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DA08F" w14:textId="77777777" w:rsidR="008B2CC1" w:rsidRPr="00AC7E46" w:rsidRDefault="00DB0349" w:rsidP="00DB0349">
      <w:pPr>
        <w:spacing w:after="120"/>
        <w:jc w:val="right"/>
        <w:rPr>
          <w:lang w:val="fr-FR"/>
        </w:rPr>
      </w:pPr>
      <w:r w:rsidRPr="00AC7E46">
        <w:rPr>
          <w:noProof/>
          <w:lang w:val="fr-FR" w:eastAsia="fr-CH"/>
        </w:rPr>
        <w:drawing>
          <wp:inline distT="0" distB="0" distL="0" distR="0" wp14:anchorId="68FA67B6" wp14:editId="6969A33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AC7E46">
        <w:rPr>
          <w:rFonts w:ascii="Arial Black" w:hAnsi="Arial Black"/>
          <w:caps/>
          <w:noProof/>
          <w:sz w:val="15"/>
          <w:szCs w:val="15"/>
          <w:lang w:val="fr-FR" w:eastAsia="fr-CH"/>
        </w:rPr>
        <mc:AlternateContent>
          <mc:Choice Requires="wps">
            <w:drawing>
              <wp:inline distT="0" distB="0" distL="0" distR="0" wp14:anchorId="14A800C7" wp14:editId="0C328CD1">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E32846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CD54A7F" w14:textId="77777777" w:rsidR="008B2CC1" w:rsidRPr="00AC7E46" w:rsidRDefault="004F0849" w:rsidP="00DB0349">
      <w:pPr>
        <w:jc w:val="right"/>
        <w:rPr>
          <w:rFonts w:ascii="Arial Black" w:hAnsi="Arial Black"/>
          <w:caps/>
          <w:sz w:val="15"/>
          <w:szCs w:val="15"/>
          <w:lang w:val="fr-FR"/>
        </w:rPr>
      </w:pPr>
      <w:r w:rsidRPr="00AC7E46">
        <w:rPr>
          <w:rFonts w:ascii="Arial Black" w:hAnsi="Arial Black"/>
          <w:caps/>
          <w:sz w:val="15"/>
          <w:szCs w:val="15"/>
          <w:lang w:val="fr-FR"/>
        </w:rPr>
        <w:t>WO/GA/5</w:t>
      </w:r>
      <w:r w:rsidR="004A576F" w:rsidRPr="00AC7E46">
        <w:rPr>
          <w:rFonts w:ascii="Arial Black" w:hAnsi="Arial Black"/>
          <w:caps/>
          <w:sz w:val="15"/>
          <w:szCs w:val="15"/>
          <w:lang w:val="fr-FR"/>
        </w:rPr>
        <w:t>7</w:t>
      </w:r>
      <w:r w:rsidR="008D402E" w:rsidRPr="00AC7E46">
        <w:rPr>
          <w:rFonts w:ascii="Arial Black" w:hAnsi="Arial Black"/>
          <w:caps/>
          <w:sz w:val="15"/>
          <w:szCs w:val="15"/>
          <w:lang w:val="fr-FR"/>
        </w:rPr>
        <w:t>/</w:t>
      </w:r>
      <w:bookmarkStart w:id="0" w:name="Code"/>
      <w:r w:rsidR="00796D1D" w:rsidRPr="00AC7E46">
        <w:rPr>
          <w:rFonts w:ascii="Arial Black" w:hAnsi="Arial Black"/>
          <w:caps/>
          <w:sz w:val="15"/>
          <w:szCs w:val="15"/>
          <w:lang w:val="fr-FR"/>
        </w:rPr>
        <w:t>2</w:t>
      </w:r>
    </w:p>
    <w:bookmarkEnd w:id="0"/>
    <w:p w14:paraId="6D97949E" w14:textId="022D22F5" w:rsidR="008B2CC1" w:rsidRPr="00AC7E46" w:rsidRDefault="00DB0349" w:rsidP="00DB0349">
      <w:pPr>
        <w:jc w:val="right"/>
        <w:rPr>
          <w:rFonts w:ascii="Arial Black" w:hAnsi="Arial Black"/>
          <w:caps/>
          <w:sz w:val="15"/>
          <w:szCs w:val="15"/>
          <w:lang w:val="fr-FR"/>
        </w:rPr>
      </w:pPr>
      <w:r w:rsidRPr="00AC7E46">
        <w:rPr>
          <w:rFonts w:ascii="Arial Black" w:hAnsi="Arial Black"/>
          <w:caps/>
          <w:sz w:val="15"/>
          <w:szCs w:val="15"/>
          <w:lang w:val="fr-FR"/>
        </w:rPr>
        <w:t>Original</w:t>
      </w:r>
      <w:r w:rsidR="00761289" w:rsidRPr="00AC7E46">
        <w:rPr>
          <w:rFonts w:ascii="Arial Black" w:hAnsi="Arial Black"/>
          <w:caps/>
          <w:sz w:val="15"/>
          <w:szCs w:val="15"/>
          <w:lang w:val="fr-FR"/>
        </w:rPr>
        <w:t> :</w:t>
      </w:r>
      <w:r w:rsidRPr="00AC7E46">
        <w:rPr>
          <w:rFonts w:ascii="Arial Black" w:hAnsi="Arial Black"/>
          <w:caps/>
          <w:sz w:val="15"/>
          <w:szCs w:val="15"/>
          <w:lang w:val="fr-FR"/>
        </w:rPr>
        <w:t xml:space="preserve"> </w:t>
      </w:r>
      <w:bookmarkStart w:id="1" w:name="Original"/>
      <w:r w:rsidR="00796D1D" w:rsidRPr="00AC7E46">
        <w:rPr>
          <w:rFonts w:ascii="Arial Black" w:hAnsi="Arial Black"/>
          <w:caps/>
          <w:sz w:val="15"/>
          <w:szCs w:val="15"/>
          <w:lang w:val="fr-FR"/>
        </w:rPr>
        <w:t>anglais</w:t>
      </w:r>
    </w:p>
    <w:bookmarkEnd w:id="1"/>
    <w:p w14:paraId="6B2D7139" w14:textId="3821AB4E" w:rsidR="008B2CC1" w:rsidRPr="00AC7E46" w:rsidRDefault="00DB0349" w:rsidP="00DB0349">
      <w:pPr>
        <w:spacing w:after="1200"/>
        <w:jc w:val="right"/>
        <w:rPr>
          <w:rFonts w:ascii="Arial Black" w:hAnsi="Arial Black"/>
          <w:caps/>
          <w:sz w:val="15"/>
          <w:szCs w:val="15"/>
          <w:lang w:val="fr-FR"/>
        </w:rPr>
      </w:pPr>
      <w:r w:rsidRPr="00AC7E46">
        <w:rPr>
          <w:rFonts w:ascii="Arial Black" w:hAnsi="Arial Black"/>
          <w:caps/>
          <w:sz w:val="15"/>
          <w:szCs w:val="15"/>
          <w:lang w:val="fr-FR"/>
        </w:rPr>
        <w:t>date</w:t>
      </w:r>
      <w:r w:rsidR="00761289" w:rsidRPr="00AC7E46">
        <w:rPr>
          <w:rFonts w:ascii="Arial Black" w:hAnsi="Arial Black"/>
          <w:caps/>
          <w:sz w:val="15"/>
          <w:szCs w:val="15"/>
          <w:lang w:val="fr-FR"/>
        </w:rPr>
        <w:t> :</w:t>
      </w:r>
      <w:r w:rsidRPr="00AC7E46">
        <w:rPr>
          <w:rFonts w:ascii="Arial Black" w:hAnsi="Arial Black"/>
          <w:caps/>
          <w:sz w:val="15"/>
          <w:szCs w:val="15"/>
          <w:lang w:val="fr-FR"/>
        </w:rPr>
        <w:t xml:space="preserve"> </w:t>
      </w:r>
      <w:bookmarkStart w:id="2" w:name="Date"/>
      <w:r w:rsidR="00796D1D" w:rsidRPr="00AC7E46">
        <w:rPr>
          <w:rFonts w:ascii="Arial Black" w:hAnsi="Arial Black"/>
          <w:caps/>
          <w:sz w:val="15"/>
          <w:szCs w:val="15"/>
          <w:lang w:val="fr-FR"/>
        </w:rPr>
        <w:t>8 mai 2024</w:t>
      </w:r>
    </w:p>
    <w:bookmarkEnd w:id="2"/>
    <w:p w14:paraId="495D936A" w14:textId="3701CAEA" w:rsidR="00C40E15" w:rsidRPr="00AC7E46" w:rsidRDefault="008D402E" w:rsidP="00DB0349">
      <w:pPr>
        <w:spacing w:after="600"/>
        <w:rPr>
          <w:b/>
          <w:sz w:val="28"/>
          <w:szCs w:val="28"/>
          <w:lang w:val="fr-FR"/>
        </w:rPr>
      </w:pPr>
      <w:r w:rsidRPr="00AC7E46">
        <w:rPr>
          <w:b/>
          <w:sz w:val="28"/>
          <w:szCs w:val="28"/>
          <w:lang w:val="fr-FR"/>
        </w:rPr>
        <w:t>Assemblée générale de l</w:t>
      </w:r>
      <w:r w:rsidR="00761289" w:rsidRPr="00AC7E46">
        <w:rPr>
          <w:b/>
          <w:sz w:val="28"/>
          <w:szCs w:val="28"/>
          <w:lang w:val="fr-FR"/>
        </w:rPr>
        <w:t>’</w:t>
      </w:r>
      <w:r w:rsidRPr="00AC7E46">
        <w:rPr>
          <w:b/>
          <w:sz w:val="28"/>
          <w:szCs w:val="28"/>
          <w:lang w:val="fr-FR"/>
        </w:rPr>
        <w:t>OMPI</w:t>
      </w:r>
    </w:p>
    <w:p w14:paraId="25ED1F27" w14:textId="0BF672C2" w:rsidR="008B2CC1" w:rsidRPr="00AC7E46" w:rsidRDefault="004A576F" w:rsidP="008B2CC1">
      <w:pPr>
        <w:rPr>
          <w:b/>
          <w:sz w:val="24"/>
          <w:szCs w:val="24"/>
          <w:lang w:val="fr-FR"/>
        </w:rPr>
      </w:pPr>
      <w:r w:rsidRPr="00AC7E46">
        <w:rPr>
          <w:b/>
          <w:sz w:val="24"/>
          <w:szCs w:val="24"/>
          <w:lang w:val="fr-FR"/>
        </w:rPr>
        <w:t>Cinquante</w:t>
      </w:r>
      <w:r w:rsidR="001908D2">
        <w:rPr>
          <w:b/>
          <w:sz w:val="24"/>
          <w:szCs w:val="24"/>
          <w:lang w:val="fr-FR"/>
        </w:rPr>
        <w:noBreakHyphen/>
      </w:r>
      <w:r w:rsidRPr="00AC7E46">
        <w:rPr>
          <w:b/>
          <w:sz w:val="24"/>
          <w:szCs w:val="24"/>
          <w:lang w:val="fr-FR"/>
        </w:rPr>
        <w:t>sept</w:t>
      </w:r>
      <w:r w:rsidR="00761289" w:rsidRPr="00AC7E46">
        <w:rPr>
          <w:b/>
          <w:sz w:val="24"/>
          <w:szCs w:val="24"/>
          <w:lang w:val="fr-FR"/>
        </w:rPr>
        <w:t>ième session</w:t>
      </w:r>
      <w:r w:rsidRPr="00AC7E46">
        <w:rPr>
          <w:b/>
          <w:sz w:val="24"/>
          <w:szCs w:val="24"/>
          <w:lang w:val="fr-FR"/>
        </w:rPr>
        <w:t xml:space="preserve"> (31</w:t>
      </w:r>
      <w:r w:rsidRPr="00AC7E46">
        <w:rPr>
          <w:b/>
          <w:sz w:val="24"/>
          <w:szCs w:val="24"/>
          <w:vertAlign w:val="superscript"/>
          <w:lang w:val="fr-FR"/>
        </w:rPr>
        <w:t>e</w:t>
      </w:r>
      <w:r w:rsidR="001908D2">
        <w:rPr>
          <w:b/>
          <w:sz w:val="24"/>
          <w:szCs w:val="24"/>
          <w:lang w:val="fr-FR"/>
        </w:rPr>
        <w:t> </w:t>
      </w:r>
      <w:r w:rsidRPr="00AC7E46">
        <w:rPr>
          <w:b/>
          <w:sz w:val="24"/>
          <w:szCs w:val="24"/>
          <w:lang w:val="fr-FR"/>
        </w:rPr>
        <w:t>session extraordinaire</w:t>
      </w:r>
      <w:r w:rsidR="008D402E" w:rsidRPr="00AC7E46">
        <w:rPr>
          <w:b/>
          <w:sz w:val="24"/>
          <w:szCs w:val="24"/>
          <w:lang w:val="fr-FR"/>
        </w:rPr>
        <w:t>)</w:t>
      </w:r>
    </w:p>
    <w:p w14:paraId="14D0E640" w14:textId="41BCED67" w:rsidR="008B2CC1" w:rsidRPr="00AC7E46" w:rsidRDefault="008D402E" w:rsidP="00DB0349">
      <w:pPr>
        <w:spacing w:after="720"/>
        <w:rPr>
          <w:b/>
          <w:sz w:val="24"/>
          <w:szCs w:val="24"/>
          <w:lang w:val="fr-FR"/>
        </w:rPr>
      </w:pPr>
      <w:r w:rsidRPr="00AC7E46">
        <w:rPr>
          <w:b/>
          <w:sz w:val="24"/>
          <w:szCs w:val="24"/>
          <w:lang w:val="fr-FR"/>
        </w:rPr>
        <w:t xml:space="preserve">Genève, </w:t>
      </w:r>
      <w:r w:rsidR="004A576F" w:rsidRPr="00AC7E46">
        <w:rPr>
          <w:b/>
          <w:sz w:val="24"/>
          <w:szCs w:val="24"/>
          <w:lang w:val="fr-FR"/>
        </w:rPr>
        <w:t>9 – 1</w:t>
      </w:r>
      <w:r w:rsidR="00761289" w:rsidRPr="00AC7E46">
        <w:rPr>
          <w:b/>
          <w:sz w:val="24"/>
          <w:szCs w:val="24"/>
          <w:lang w:val="fr-FR"/>
        </w:rPr>
        <w:t>7 juillet 20</w:t>
      </w:r>
      <w:r w:rsidR="004A576F" w:rsidRPr="00AC7E46">
        <w:rPr>
          <w:b/>
          <w:sz w:val="24"/>
          <w:szCs w:val="24"/>
          <w:lang w:val="fr-FR"/>
        </w:rPr>
        <w:t>24</w:t>
      </w:r>
    </w:p>
    <w:p w14:paraId="2D1DD8E1" w14:textId="7751299E" w:rsidR="008B2CC1" w:rsidRPr="00AC7E46" w:rsidRDefault="00796D1D" w:rsidP="00DB0349">
      <w:pPr>
        <w:spacing w:after="360"/>
        <w:rPr>
          <w:caps/>
          <w:sz w:val="24"/>
          <w:lang w:val="fr-FR"/>
        </w:rPr>
      </w:pPr>
      <w:bookmarkStart w:id="3" w:name="TitleOfDoc"/>
      <w:r w:rsidRPr="00AC7E46">
        <w:rPr>
          <w:caps/>
          <w:sz w:val="24"/>
          <w:lang w:val="fr-FR"/>
        </w:rPr>
        <w:t>Rapport annuel du directeur de la Division de la supervision interne (DSI)</w:t>
      </w:r>
    </w:p>
    <w:p w14:paraId="6D15E8FB" w14:textId="6AF78976" w:rsidR="00525B63" w:rsidRPr="00AC7E46" w:rsidRDefault="00796D1D" w:rsidP="00DB0349">
      <w:pPr>
        <w:spacing w:after="960"/>
        <w:rPr>
          <w:i/>
          <w:iCs/>
          <w:lang w:val="fr-FR"/>
        </w:rPr>
      </w:pPr>
      <w:bookmarkStart w:id="4" w:name="Prepared"/>
      <w:bookmarkEnd w:id="3"/>
      <w:proofErr w:type="gramStart"/>
      <w:r w:rsidRPr="00AC7E46">
        <w:rPr>
          <w:i/>
          <w:iCs/>
          <w:lang w:val="fr-FR"/>
        </w:rPr>
        <w:t>établi</w:t>
      </w:r>
      <w:proofErr w:type="gramEnd"/>
      <w:r w:rsidRPr="00AC7E46">
        <w:rPr>
          <w:i/>
          <w:iCs/>
          <w:lang w:val="fr-FR"/>
        </w:rPr>
        <w:t xml:space="preserve"> par le Secrétariat</w:t>
      </w:r>
    </w:p>
    <w:bookmarkEnd w:id="4"/>
    <w:p w14:paraId="6955BA31" w14:textId="11177763" w:rsidR="000D5281" w:rsidRPr="00AC7E46" w:rsidRDefault="000D5281" w:rsidP="00AB7B62">
      <w:pPr>
        <w:pStyle w:val="ONUMFS"/>
        <w:rPr>
          <w:lang w:val="fr-FR"/>
        </w:rPr>
      </w:pPr>
      <w:r w:rsidRPr="00AC7E46">
        <w:rPr>
          <w:lang w:val="fr-FR"/>
        </w:rPr>
        <w:t>Le présent document contient le “Rapport annuel du directeur de la Division de la supervision interne (DSI)” (</w:t>
      </w:r>
      <w:r w:rsidR="00761289" w:rsidRPr="00AC7E46">
        <w:rPr>
          <w:lang w:val="fr-FR"/>
        </w:rPr>
        <w:t>document</w:t>
      </w:r>
      <w:r w:rsidR="001908D2">
        <w:rPr>
          <w:lang w:val="fr-FR"/>
        </w:rPr>
        <w:t> </w:t>
      </w:r>
      <w:r w:rsidR="00761289" w:rsidRPr="00AC7E46">
        <w:rPr>
          <w:lang w:val="fr-FR"/>
        </w:rPr>
        <w:t>WO</w:t>
      </w:r>
      <w:r w:rsidRPr="00AC7E46">
        <w:rPr>
          <w:lang w:val="fr-FR"/>
        </w:rPr>
        <w:t>/PBC/37/4), soumis au Comité du programme et budget de l</w:t>
      </w:r>
      <w:r w:rsidR="00761289" w:rsidRPr="00AC7E46">
        <w:rPr>
          <w:lang w:val="fr-FR"/>
        </w:rPr>
        <w:t>’</w:t>
      </w:r>
      <w:r w:rsidRPr="00AC7E46">
        <w:rPr>
          <w:lang w:val="fr-FR"/>
        </w:rPr>
        <w:t>OMPI (PBC) à sa trente</w:t>
      </w:r>
      <w:r w:rsidR="001908D2">
        <w:rPr>
          <w:lang w:val="fr-FR"/>
        </w:rPr>
        <w:noBreakHyphen/>
      </w:r>
      <w:r w:rsidRPr="00AC7E46">
        <w:rPr>
          <w:lang w:val="fr-FR"/>
        </w:rPr>
        <w:t>sept</w:t>
      </w:r>
      <w:r w:rsidR="00761289" w:rsidRPr="00AC7E46">
        <w:rPr>
          <w:lang w:val="fr-FR"/>
        </w:rPr>
        <w:t>ième session</w:t>
      </w:r>
      <w:r w:rsidRPr="00AC7E46">
        <w:rPr>
          <w:lang w:val="fr-FR"/>
        </w:rPr>
        <w:t xml:space="preserve"> (10 – 14 juin 2024).</w:t>
      </w:r>
    </w:p>
    <w:p w14:paraId="18D4DF97" w14:textId="4A026380" w:rsidR="000D5281" w:rsidRPr="00AC7E46" w:rsidRDefault="000D5281" w:rsidP="00AB7B62">
      <w:pPr>
        <w:pStyle w:val="ONUMFS"/>
        <w:rPr>
          <w:lang w:val="fr-FR"/>
        </w:rPr>
      </w:pPr>
      <w:r w:rsidRPr="00AC7E46">
        <w:rPr>
          <w:lang w:val="fr-FR"/>
        </w:rPr>
        <w:t>Toute décision</w:t>
      </w:r>
      <w:r w:rsidR="00761289" w:rsidRPr="00AC7E46">
        <w:rPr>
          <w:lang w:val="fr-FR"/>
        </w:rPr>
        <w:t xml:space="preserve"> du PBC</w:t>
      </w:r>
      <w:r w:rsidRPr="00AC7E46">
        <w:rPr>
          <w:lang w:val="fr-FR"/>
        </w:rPr>
        <w:t xml:space="preserve"> concernant ce document figurera dans la “Liste des décisions adoptées par le Comité du programme et budget</w:t>
      </w:r>
      <w:r w:rsidR="00761289" w:rsidRPr="00AC7E46">
        <w:rPr>
          <w:lang w:val="fr-FR"/>
        </w:rPr>
        <w:t>”</w:t>
      </w:r>
      <w:r w:rsidRPr="00AC7E46">
        <w:rPr>
          <w:lang w:val="fr-FR"/>
        </w:rPr>
        <w:t xml:space="preserve"> (document</w:t>
      </w:r>
      <w:r w:rsidR="001908D2">
        <w:rPr>
          <w:lang w:val="fr-FR"/>
        </w:rPr>
        <w:t> </w:t>
      </w:r>
      <w:r w:rsidRPr="00AC7E46">
        <w:rPr>
          <w:lang w:val="fr-FR"/>
        </w:rPr>
        <w:t>A/65/6).</w:t>
      </w:r>
    </w:p>
    <w:p w14:paraId="39926C03" w14:textId="727C02EE" w:rsidR="000D5281" w:rsidRPr="00AC7E46" w:rsidRDefault="000D5281" w:rsidP="00AB7B62">
      <w:pPr>
        <w:pStyle w:val="Endofdocument-Annex"/>
      </w:pPr>
      <w:r w:rsidRPr="00AC7E46">
        <w:t>[Le document</w:t>
      </w:r>
      <w:r w:rsidR="001908D2">
        <w:t> </w:t>
      </w:r>
      <w:r w:rsidRPr="00AC7E46">
        <w:t>WO/PBC/37/4 suit]</w:t>
      </w:r>
    </w:p>
    <w:p w14:paraId="414685DB" w14:textId="77777777" w:rsidR="000D5281" w:rsidRPr="00AC7E46" w:rsidRDefault="000D5281" w:rsidP="000D5281">
      <w:pPr>
        <w:rPr>
          <w:lang w:val="fr-FR"/>
        </w:rPr>
      </w:pPr>
      <w:r w:rsidRPr="00AC7E46">
        <w:rPr>
          <w:lang w:val="fr-FR"/>
        </w:rPr>
        <w:br w:type="page"/>
      </w:r>
    </w:p>
    <w:p w14:paraId="498A096F" w14:textId="77777777" w:rsidR="000D5281" w:rsidRPr="00AC7E46" w:rsidRDefault="000D5281" w:rsidP="000D5281">
      <w:pPr>
        <w:rPr>
          <w:lang w:val="fr-FR"/>
        </w:rPr>
      </w:pPr>
    </w:p>
    <w:p w14:paraId="4F98D039" w14:textId="77777777" w:rsidR="000D5281" w:rsidRPr="00AC7E46" w:rsidRDefault="000D5281" w:rsidP="000D5281">
      <w:pPr>
        <w:rPr>
          <w:lang w:val="fr-FR"/>
        </w:rPr>
        <w:sectPr w:rsidR="000D5281" w:rsidRPr="00AC7E46" w:rsidSect="00B26AB9">
          <w:headerReference w:type="default" r:id="rId8"/>
          <w:endnotePr>
            <w:numFmt w:val="decimal"/>
          </w:endnotePr>
          <w:pgSz w:w="11907" w:h="16840" w:code="9"/>
          <w:pgMar w:top="567" w:right="1134" w:bottom="1418" w:left="1418" w:header="510" w:footer="1021" w:gutter="0"/>
          <w:pgNumType w:start="2"/>
          <w:cols w:space="720"/>
          <w:titlePg/>
          <w:docGrid w:linePitch="299"/>
        </w:sectPr>
      </w:pPr>
    </w:p>
    <w:p w14:paraId="7ED739FE" w14:textId="77777777" w:rsidR="00AB7B62" w:rsidRPr="00AC7E46" w:rsidRDefault="00AB7B62" w:rsidP="00AB7B62">
      <w:pPr>
        <w:spacing w:after="120"/>
        <w:jc w:val="right"/>
        <w:rPr>
          <w:lang w:val="fr-FR"/>
        </w:rPr>
      </w:pPr>
      <w:bookmarkStart w:id="5" w:name="_Hlk165879579"/>
      <w:r w:rsidRPr="00AC7E46">
        <w:rPr>
          <w:noProof/>
          <w:lang w:val="fr-FR" w:eastAsia="en-US"/>
        </w:rPr>
        <w:lastRenderedPageBreak/>
        <w:drawing>
          <wp:inline distT="0" distB="0" distL="0" distR="0" wp14:anchorId="1DA46234" wp14:editId="46582B19">
            <wp:extent cx="2948267" cy="1332000"/>
            <wp:effectExtent l="0" t="0" r="5080" b="1905"/>
            <wp:docPr id="45" name="Picture 45"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AC7E46">
        <w:rPr>
          <w:rFonts w:ascii="Arial Black" w:hAnsi="Arial Black"/>
          <w:caps/>
          <w:noProof/>
          <w:sz w:val="15"/>
          <w:szCs w:val="15"/>
          <w:lang w:val="fr-FR" w:eastAsia="en-US"/>
        </w:rPr>
        <mc:AlternateContent>
          <mc:Choice Requires="wps">
            <w:drawing>
              <wp:inline distT="0" distB="0" distL="0" distR="0" wp14:anchorId="3F7A3F7D" wp14:editId="4FE27D58">
                <wp:extent cx="5935980" cy="0"/>
                <wp:effectExtent l="0" t="0" r="26670" b="19050"/>
                <wp:docPr id="44" name="Straight Connector 44"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5A796B1" id="Straight Connector 44"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1D8BC69" w14:textId="77777777" w:rsidR="00AB7B62" w:rsidRPr="00AC7E46" w:rsidRDefault="00AB7B62" w:rsidP="00AB7B62">
      <w:pPr>
        <w:jc w:val="right"/>
        <w:rPr>
          <w:rFonts w:ascii="Arial Black" w:hAnsi="Arial Black"/>
          <w:caps/>
          <w:sz w:val="15"/>
          <w:szCs w:val="15"/>
          <w:lang w:val="fr-FR"/>
        </w:rPr>
      </w:pPr>
      <w:r w:rsidRPr="00AC7E46">
        <w:rPr>
          <w:rFonts w:ascii="Arial Black" w:hAnsi="Arial Black"/>
          <w:caps/>
          <w:sz w:val="15"/>
          <w:szCs w:val="15"/>
          <w:lang w:val="fr-FR"/>
        </w:rPr>
        <w:t>WO/PBC/37/4</w:t>
      </w:r>
    </w:p>
    <w:p w14:paraId="12C0DACB" w14:textId="3B6D8872" w:rsidR="00AB7B62" w:rsidRPr="00AC7E46" w:rsidRDefault="00AB7B62" w:rsidP="00AB7B62">
      <w:pPr>
        <w:jc w:val="right"/>
        <w:rPr>
          <w:rFonts w:ascii="Arial Black" w:hAnsi="Arial Black"/>
          <w:caps/>
          <w:sz w:val="15"/>
          <w:szCs w:val="15"/>
          <w:lang w:val="fr-FR"/>
        </w:rPr>
      </w:pPr>
      <w:r w:rsidRPr="00AC7E46">
        <w:rPr>
          <w:rFonts w:ascii="Arial Black" w:hAnsi="Arial Black"/>
          <w:caps/>
          <w:sz w:val="15"/>
          <w:szCs w:val="15"/>
          <w:lang w:val="fr-FR"/>
        </w:rPr>
        <w:t>Original</w:t>
      </w:r>
      <w:r w:rsidR="00761289" w:rsidRPr="00AC7E46">
        <w:rPr>
          <w:rFonts w:ascii="Arial Black" w:hAnsi="Arial Black"/>
          <w:caps/>
          <w:sz w:val="15"/>
          <w:szCs w:val="15"/>
          <w:lang w:val="fr-FR"/>
        </w:rPr>
        <w:t> :</w:t>
      </w:r>
      <w:r w:rsidRPr="00AC7E46">
        <w:rPr>
          <w:rFonts w:ascii="Arial Black" w:hAnsi="Arial Black"/>
          <w:caps/>
          <w:sz w:val="15"/>
          <w:szCs w:val="15"/>
          <w:lang w:val="fr-FR"/>
        </w:rPr>
        <w:t xml:space="preserve"> anglais</w:t>
      </w:r>
    </w:p>
    <w:p w14:paraId="0B965EA3" w14:textId="66A41597" w:rsidR="00AB7B62" w:rsidRPr="00AC7E46" w:rsidRDefault="00AB7B62" w:rsidP="00AB7B62">
      <w:pPr>
        <w:spacing w:after="1200"/>
        <w:jc w:val="right"/>
        <w:rPr>
          <w:rFonts w:ascii="Arial Black" w:hAnsi="Arial Black"/>
          <w:caps/>
          <w:sz w:val="15"/>
          <w:szCs w:val="15"/>
          <w:lang w:val="fr-FR"/>
        </w:rPr>
      </w:pPr>
      <w:r w:rsidRPr="00AC7E46">
        <w:rPr>
          <w:rFonts w:ascii="Arial Black" w:hAnsi="Arial Black"/>
          <w:caps/>
          <w:sz w:val="15"/>
          <w:szCs w:val="15"/>
          <w:lang w:val="fr-FR"/>
        </w:rPr>
        <w:t>date</w:t>
      </w:r>
      <w:r w:rsidR="00761289" w:rsidRPr="00AC7E46">
        <w:rPr>
          <w:rFonts w:ascii="Arial Black" w:hAnsi="Arial Black"/>
          <w:caps/>
          <w:sz w:val="15"/>
          <w:szCs w:val="15"/>
          <w:lang w:val="fr-FR"/>
        </w:rPr>
        <w:t> :</w:t>
      </w:r>
      <w:r w:rsidRPr="00AC7E46">
        <w:rPr>
          <w:rFonts w:ascii="Arial Black" w:hAnsi="Arial Black"/>
          <w:caps/>
          <w:sz w:val="15"/>
          <w:szCs w:val="15"/>
          <w:lang w:val="fr-FR"/>
        </w:rPr>
        <w:t xml:space="preserve"> 22 avril 2024</w:t>
      </w:r>
    </w:p>
    <w:p w14:paraId="22B9523B" w14:textId="77777777" w:rsidR="00AB7B62" w:rsidRPr="00AC7E46" w:rsidRDefault="00AB7B62" w:rsidP="00AB7B62">
      <w:pPr>
        <w:spacing w:after="600"/>
        <w:rPr>
          <w:b/>
          <w:sz w:val="28"/>
          <w:szCs w:val="28"/>
          <w:lang w:val="fr-FR"/>
        </w:rPr>
      </w:pPr>
      <w:r w:rsidRPr="00AC7E46">
        <w:rPr>
          <w:b/>
          <w:sz w:val="28"/>
          <w:szCs w:val="28"/>
          <w:lang w:val="fr-FR"/>
        </w:rPr>
        <w:t>Comité du programme et budget</w:t>
      </w:r>
    </w:p>
    <w:p w14:paraId="3A94720F" w14:textId="100CC820" w:rsidR="00AB7B62" w:rsidRPr="00AC7E46" w:rsidRDefault="00AB7B62" w:rsidP="00AB7B62">
      <w:pPr>
        <w:rPr>
          <w:b/>
          <w:sz w:val="24"/>
          <w:szCs w:val="24"/>
          <w:lang w:val="fr-FR"/>
        </w:rPr>
      </w:pPr>
      <w:r w:rsidRPr="00AC7E46">
        <w:rPr>
          <w:b/>
          <w:sz w:val="24"/>
          <w:szCs w:val="24"/>
          <w:lang w:val="fr-FR"/>
        </w:rPr>
        <w:t>Trente</w:t>
      </w:r>
      <w:r w:rsidR="001908D2">
        <w:rPr>
          <w:b/>
          <w:sz w:val="24"/>
          <w:szCs w:val="24"/>
          <w:lang w:val="fr-FR"/>
        </w:rPr>
        <w:noBreakHyphen/>
      </w:r>
      <w:r w:rsidRPr="00AC7E46">
        <w:rPr>
          <w:b/>
          <w:sz w:val="24"/>
          <w:szCs w:val="24"/>
          <w:lang w:val="fr-FR"/>
        </w:rPr>
        <w:t>sept</w:t>
      </w:r>
      <w:r w:rsidR="00761289" w:rsidRPr="00AC7E46">
        <w:rPr>
          <w:b/>
          <w:sz w:val="24"/>
          <w:szCs w:val="24"/>
          <w:lang w:val="fr-FR"/>
        </w:rPr>
        <w:t>ième session</w:t>
      </w:r>
    </w:p>
    <w:p w14:paraId="6BE86E02" w14:textId="7CC6E313" w:rsidR="00AB7B62" w:rsidRPr="00AC7E46" w:rsidRDefault="00AB7B62" w:rsidP="00AB7B62">
      <w:pPr>
        <w:spacing w:after="720"/>
        <w:rPr>
          <w:b/>
          <w:sz w:val="24"/>
          <w:szCs w:val="24"/>
          <w:lang w:val="fr-FR"/>
        </w:rPr>
      </w:pPr>
      <w:r w:rsidRPr="00AC7E46">
        <w:rPr>
          <w:b/>
          <w:sz w:val="24"/>
          <w:szCs w:val="24"/>
          <w:lang w:val="fr-FR"/>
        </w:rPr>
        <w:t>Genève, 10 – 1</w:t>
      </w:r>
      <w:r w:rsidR="00761289" w:rsidRPr="00AC7E46">
        <w:rPr>
          <w:b/>
          <w:sz w:val="24"/>
          <w:szCs w:val="24"/>
          <w:lang w:val="fr-FR"/>
        </w:rPr>
        <w:t>4 juin 20</w:t>
      </w:r>
      <w:r w:rsidRPr="00AC7E46">
        <w:rPr>
          <w:b/>
          <w:sz w:val="24"/>
          <w:szCs w:val="24"/>
          <w:lang w:val="fr-FR"/>
        </w:rPr>
        <w:t>24</w:t>
      </w:r>
    </w:p>
    <w:p w14:paraId="4ED12448" w14:textId="77777777" w:rsidR="00AB7B62" w:rsidRPr="00AC7E46" w:rsidRDefault="00AB7B62" w:rsidP="00AB7B62">
      <w:pPr>
        <w:spacing w:after="360"/>
        <w:rPr>
          <w:caps/>
          <w:sz w:val="24"/>
          <w:lang w:val="fr-FR"/>
        </w:rPr>
      </w:pPr>
      <w:r w:rsidRPr="00AC7E46">
        <w:rPr>
          <w:caps/>
          <w:sz w:val="24"/>
          <w:lang w:val="fr-FR"/>
        </w:rPr>
        <w:t>Rapport annuel du directeur de la Division de la supervision interne (DSI)</w:t>
      </w:r>
    </w:p>
    <w:p w14:paraId="4869CB2D" w14:textId="77777777" w:rsidR="00AB7B62" w:rsidRPr="00AC7E46" w:rsidRDefault="00AB7B62" w:rsidP="00AB7B62">
      <w:pPr>
        <w:spacing w:after="960"/>
        <w:rPr>
          <w:lang w:val="fr-FR"/>
        </w:rPr>
      </w:pPr>
      <w:proofErr w:type="gramStart"/>
      <w:r w:rsidRPr="00AC7E46">
        <w:rPr>
          <w:i/>
          <w:lang w:val="fr-FR"/>
        </w:rPr>
        <w:t>établi</w:t>
      </w:r>
      <w:proofErr w:type="gramEnd"/>
      <w:r w:rsidRPr="00AC7E46">
        <w:rPr>
          <w:i/>
          <w:lang w:val="fr-FR"/>
        </w:rPr>
        <w:t xml:space="preserve"> par le Secrétariat</w:t>
      </w:r>
    </w:p>
    <w:p w14:paraId="4EFD508A" w14:textId="39D28E3F" w:rsidR="000D5281" w:rsidRPr="00AC7E46" w:rsidRDefault="000D5281" w:rsidP="00AB7B62">
      <w:pPr>
        <w:pStyle w:val="ONUMFS"/>
        <w:numPr>
          <w:ilvl w:val="0"/>
          <w:numId w:val="25"/>
        </w:numPr>
        <w:rPr>
          <w:lang w:val="fr-FR"/>
        </w:rPr>
      </w:pPr>
      <w:r w:rsidRPr="00AC7E46">
        <w:rPr>
          <w:lang w:val="fr-FR"/>
        </w:rPr>
        <w:t>Conformément au paragraphe 47 de la Charte de la supervision interne, le directeur de la Division de la supervision interne (DSI) soumet chaque année un rapport de synthèse à l</w:t>
      </w:r>
      <w:r w:rsidR="00761289" w:rsidRPr="00AC7E46">
        <w:rPr>
          <w:lang w:val="fr-FR"/>
        </w:rPr>
        <w:t>’</w:t>
      </w:r>
      <w:r w:rsidRPr="00AC7E46">
        <w:rPr>
          <w:lang w:val="fr-FR"/>
        </w:rPr>
        <w:t>Assemblée générale de l</w:t>
      </w:r>
      <w:r w:rsidR="00761289" w:rsidRPr="00AC7E46">
        <w:rPr>
          <w:lang w:val="fr-FR"/>
        </w:rPr>
        <w:t>’</w:t>
      </w:r>
      <w:r w:rsidRPr="00AC7E46">
        <w:rPr>
          <w:lang w:val="fr-FR"/>
        </w:rPr>
        <w:t>Organisation Mondiale de la Propriété Intellectuelle (OMPI), par l</w:t>
      </w:r>
      <w:r w:rsidR="00761289" w:rsidRPr="00AC7E46">
        <w:rPr>
          <w:lang w:val="fr-FR"/>
        </w:rPr>
        <w:t>’</w:t>
      </w:r>
      <w:r w:rsidRPr="00AC7E46">
        <w:rPr>
          <w:lang w:val="fr-FR"/>
        </w:rPr>
        <w:t>intermédiaire du Comité du programme et budget (PBC).  Le rapport rend compte des activités de supervision interne menées au cours de la période comprise entre le</w:t>
      </w:r>
      <w:r w:rsidR="00761289" w:rsidRPr="00AC7E46">
        <w:rPr>
          <w:lang w:val="fr-FR"/>
        </w:rPr>
        <w:t xml:space="preserve"> 1</w:t>
      </w:r>
      <w:r w:rsidR="00761289" w:rsidRPr="00AC7E46">
        <w:rPr>
          <w:vertAlign w:val="superscript"/>
          <w:lang w:val="fr-FR"/>
        </w:rPr>
        <w:t>er</w:t>
      </w:r>
      <w:r w:rsidR="00761289" w:rsidRPr="00AC7E46">
        <w:rPr>
          <w:lang w:val="fr-FR"/>
        </w:rPr>
        <w:t> </w:t>
      </w:r>
      <w:r w:rsidRPr="00AC7E46">
        <w:rPr>
          <w:lang w:val="fr-FR"/>
        </w:rPr>
        <w:t>janvier 2023 et le 31 décembre 2023.</w:t>
      </w:r>
    </w:p>
    <w:p w14:paraId="67079918" w14:textId="4B8C5B64" w:rsidR="000D5281" w:rsidRPr="00AC7E46" w:rsidRDefault="000D5281" w:rsidP="00AB7B62">
      <w:pPr>
        <w:pStyle w:val="ONUMFS"/>
        <w:rPr>
          <w:iCs/>
          <w:lang w:val="fr-FR"/>
        </w:rPr>
      </w:pPr>
      <w:r w:rsidRPr="00AC7E46">
        <w:rPr>
          <w:lang w:val="fr-FR"/>
        </w:rPr>
        <w:t>Le paragraphe de décision ci</w:t>
      </w:r>
      <w:r w:rsidR="001908D2">
        <w:rPr>
          <w:lang w:val="fr-FR"/>
        </w:rPr>
        <w:noBreakHyphen/>
      </w:r>
      <w:r w:rsidRPr="00AC7E46">
        <w:rPr>
          <w:lang w:val="fr-FR"/>
        </w:rPr>
        <w:t>après est proposé.</w:t>
      </w:r>
    </w:p>
    <w:p w14:paraId="29891B31" w14:textId="2312E914" w:rsidR="000D5281" w:rsidRPr="00AC7E46" w:rsidRDefault="000D5281" w:rsidP="00AB7B62">
      <w:pPr>
        <w:pStyle w:val="ONUMFS"/>
        <w:ind w:left="5533"/>
        <w:rPr>
          <w:i/>
          <w:lang w:val="fr-FR"/>
        </w:rPr>
      </w:pPr>
      <w:r w:rsidRPr="00AC7E46">
        <w:rPr>
          <w:i/>
          <w:lang w:val="fr-FR"/>
        </w:rPr>
        <w:t>Le Comité du programme et budget (PBC) a recommandé à l</w:t>
      </w:r>
      <w:r w:rsidR="00761289" w:rsidRPr="00AC7E46">
        <w:rPr>
          <w:i/>
          <w:lang w:val="fr-FR"/>
        </w:rPr>
        <w:t>’</w:t>
      </w:r>
      <w:r w:rsidRPr="00AC7E46">
        <w:rPr>
          <w:i/>
          <w:lang w:val="fr-FR"/>
        </w:rPr>
        <w:t>Assemblée générale de l</w:t>
      </w:r>
      <w:r w:rsidR="00761289" w:rsidRPr="00AC7E46">
        <w:rPr>
          <w:i/>
          <w:lang w:val="fr-FR"/>
        </w:rPr>
        <w:t>’</w:t>
      </w:r>
      <w:r w:rsidRPr="00AC7E46">
        <w:rPr>
          <w:i/>
          <w:lang w:val="fr-FR"/>
        </w:rPr>
        <w:t>OMPI de prendre note du “Rapport annuel du directeur de la Division de la supervision interne (DSI)” (document</w:t>
      </w:r>
      <w:r w:rsidR="001908D2">
        <w:rPr>
          <w:i/>
          <w:lang w:val="fr-FR"/>
        </w:rPr>
        <w:t> </w:t>
      </w:r>
      <w:r w:rsidRPr="00AC7E46">
        <w:rPr>
          <w:i/>
          <w:lang w:val="fr-FR"/>
        </w:rPr>
        <w:t>WO/PBC/37/4).</w:t>
      </w:r>
    </w:p>
    <w:p w14:paraId="67C16E81" w14:textId="3DF7B3DE" w:rsidR="000D5281" w:rsidRPr="00AC7E46" w:rsidRDefault="000D5281" w:rsidP="00AB7B62">
      <w:pPr>
        <w:pStyle w:val="Endofdocument-Annex"/>
        <w:rPr>
          <w:i/>
        </w:rPr>
        <w:sectPr w:rsidR="000D5281" w:rsidRPr="00AC7E46" w:rsidSect="00B26AB9">
          <w:endnotePr>
            <w:numFmt w:val="decimal"/>
          </w:endnotePr>
          <w:pgSz w:w="11907" w:h="16840" w:code="9"/>
          <w:pgMar w:top="567" w:right="1134" w:bottom="1418" w:left="1418" w:header="510" w:footer="1021" w:gutter="0"/>
          <w:pgNumType w:start="2"/>
          <w:cols w:space="720"/>
          <w:titlePg/>
          <w:docGrid w:linePitch="299"/>
        </w:sectPr>
      </w:pPr>
      <w:r w:rsidRPr="00AC7E46">
        <w:t>[Le rapport annuel du directeur de</w:t>
      </w:r>
      <w:r w:rsidR="00761289" w:rsidRPr="00AC7E46">
        <w:t xml:space="preserve"> la DSI</w:t>
      </w:r>
      <w:r w:rsidRPr="00AC7E46">
        <w:t xml:space="preserve"> suit]</w:t>
      </w:r>
    </w:p>
    <w:bookmarkEnd w:id="5"/>
    <w:p w14:paraId="02B92E86" w14:textId="77777777" w:rsidR="000D5281" w:rsidRPr="00AC7E46" w:rsidRDefault="000D5281" w:rsidP="000D5281">
      <w:pPr>
        <w:rPr>
          <w:lang w:val="fr-FR"/>
        </w:rPr>
      </w:pPr>
      <w:r w:rsidRPr="00AC7E46">
        <w:rPr>
          <w:lang w:val="fr-FR"/>
        </w:rPr>
        <w:lastRenderedPageBreak/>
        <w:br w:type="page"/>
      </w:r>
    </w:p>
    <w:p w14:paraId="153A6E20" w14:textId="77777777" w:rsidR="000D5281" w:rsidRPr="00AC7E46" w:rsidRDefault="000D5281" w:rsidP="00F4635E">
      <w:pPr>
        <w:spacing w:after="240"/>
        <w:jc w:val="center"/>
        <w:rPr>
          <w:b/>
          <w:lang w:val="fr-FR"/>
        </w:rPr>
      </w:pPr>
      <w:r w:rsidRPr="00AC7E46">
        <w:rPr>
          <w:b/>
          <w:lang w:val="fr-FR"/>
        </w:rPr>
        <w:lastRenderedPageBreak/>
        <w:t>RAPPORT ANNUEL DU DIRECTEUR DE LA DIVISION DE LA SUPERVISION INTERNE</w:t>
      </w:r>
    </w:p>
    <w:p w14:paraId="68E0B4AE" w14:textId="7D141538" w:rsidR="000D5281" w:rsidRPr="00AC7E46" w:rsidRDefault="000D5281" w:rsidP="000D5281">
      <w:pPr>
        <w:spacing w:after="720"/>
        <w:jc w:val="center"/>
        <w:rPr>
          <w:lang w:val="fr-FR"/>
        </w:rPr>
      </w:pPr>
      <w:r w:rsidRPr="00AC7E46">
        <w:rPr>
          <w:lang w:val="fr-FR"/>
        </w:rPr>
        <w:t>1</w:t>
      </w:r>
      <w:r w:rsidRPr="00AC7E46">
        <w:rPr>
          <w:vertAlign w:val="superscript"/>
          <w:lang w:val="fr-FR"/>
        </w:rPr>
        <w:t>er</w:t>
      </w:r>
      <w:r w:rsidRPr="00AC7E46">
        <w:rPr>
          <w:lang w:val="fr-FR"/>
        </w:rPr>
        <w:t> janvier 2023 – 31 </w:t>
      </w:r>
      <w:r w:rsidR="00761289" w:rsidRPr="00AC7E46">
        <w:rPr>
          <w:lang w:val="fr-FR"/>
        </w:rPr>
        <w:t>décembre 20</w:t>
      </w:r>
      <w:r w:rsidRPr="00AC7E46">
        <w:rPr>
          <w:lang w:val="fr-FR"/>
        </w:rPr>
        <w:t>23</w:t>
      </w:r>
    </w:p>
    <w:p w14:paraId="0F805F71" w14:textId="77777777" w:rsidR="000D5281" w:rsidRPr="00AC7E46" w:rsidRDefault="000D5281" w:rsidP="000D5281">
      <w:pPr>
        <w:jc w:val="center"/>
        <w:rPr>
          <w:b/>
          <w:lang w:val="fr-FR"/>
        </w:rPr>
      </w:pPr>
      <w:r w:rsidRPr="00AC7E46">
        <w:rPr>
          <w:b/>
          <w:lang w:val="fr-FR"/>
        </w:rPr>
        <w:t>TABLE DES MATIÈRES</w:t>
      </w:r>
    </w:p>
    <w:p w14:paraId="07D91254" w14:textId="3AC37DBE" w:rsidR="0096590D" w:rsidRDefault="000D5281">
      <w:pPr>
        <w:pStyle w:val="TOC1"/>
        <w:rPr>
          <w:rFonts w:asciiTheme="minorHAnsi" w:eastAsiaTheme="minorEastAsia" w:hAnsiTheme="minorHAnsi" w:cstheme="minorBidi"/>
          <w:noProof/>
          <w:kern w:val="2"/>
          <w:szCs w:val="22"/>
          <w:lang w:val="fr-FR" w:eastAsia="fr-FR"/>
          <w14:ligatures w14:val="standardContextual"/>
        </w:rPr>
      </w:pPr>
      <w:r w:rsidRPr="00AC7E46">
        <w:rPr>
          <w:lang w:val="fr-FR"/>
        </w:rPr>
        <w:fldChar w:fldCharType="begin"/>
      </w:r>
      <w:r w:rsidRPr="00AC7E46">
        <w:rPr>
          <w:lang w:val="fr-FR"/>
        </w:rPr>
        <w:instrText xml:space="preserve"> TOC \o "1-1" \h \z \u </w:instrText>
      </w:r>
      <w:r w:rsidRPr="00AC7E46">
        <w:rPr>
          <w:lang w:val="fr-FR"/>
        </w:rPr>
        <w:fldChar w:fldCharType="separate"/>
      </w:r>
      <w:hyperlink w:anchor="_Toc165888306" w:history="1">
        <w:r w:rsidR="0096590D" w:rsidRPr="00D35DF1">
          <w:rPr>
            <w:rStyle w:val="Hyperlink"/>
            <w:noProof/>
          </w:rPr>
          <w:t>Liste de sigles</w:t>
        </w:r>
        <w:r w:rsidR="0096590D">
          <w:rPr>
            <w:noProof/>
            <w:webHidden/>
          </w:rPr>
          <w:tab/>
        </w:r>
        <w:r w:rsidR="0096590D">
          <w:rPr>
            <w:noProof/>
            <w:webHidden/>
          </w:rPr>
          <w:fldChar w:fldCharType="begin"/>
        </w:r>
        <w:r w:rsidR="0096590D">
          <w:rPr>
            <w:noProof/>
            <w:webHidden/>
          </w:rPr>
          <w:instrText xml:space="preserve"> PAGEREF _Toc165888306 \h </w:instrText>
        </w:r>
        <w:r w:rsidR="0096590D">
          <w:rPr>
            <w:noProof/>
            <w:webHidden/>
          </w:rPr>
        </w:r>
        <w:r w:rsidR="0096590D">
          <w:rPr>
            <w:noProof/>
            <w:webHidden/>
          </w:rPr>
          <w:fldChar w:fldCharType="separate"/>
        </w:r>
        <w:r w:rsidR="00136CB0">
          <w:rPr>
            <w:noProof/>
            <w:webHidden/>
          </w:rPr>
          <w:t>3</w:t>
        </w:r>
        <w:r w:rsidR="0096590D">
          <w:rPr>
            <w:noProof/>
            <w:webHidden/>
          </w:rPr>
          <w:fldChar w:fldCharType="end"/>
        </w:r>
      </w:hyperlink>
    </w:p>
    <w:p w14:paraId="2DA0D425" w14:textId="36E531FA" w:rsidR="0096590D" w:rsidRDefault="00136CB0">
      <w:pPr>
        <w:pStyle w:val="TOC1"/>
        <w:rPr>
          <w:rFonts w:asciiTheme="minorHAnsi" w:eastAsiaTheme="minorEastAsia" w:hAnsiTheme="minorHAnsi" w:cstheme="minorBidi"/>
          <w:noProof/>
          <w:kern w:val="2"/>
          <w:szCs w:val="22"/>
          <w:lang w:val="fr-FR" w:eastAsia="fr-FR"/>
          <w14:ligatures w14:val="standardContextual"/>
        </w:rPr>
      </w:pPr>
      <w:hyperlink w:anchor="_Toc165888307" w:history="1">
        <w:r w:rsidR="0096590D" w:rsidRPr="00D35DF1">
          <w:rPr>
            <w:rStyle w:val="Hyperlink"/>
            <w:noProof/>
          </w:rPr>
          <w:t>Résumé</w:t>
        </w:r>
        <w:r w:rsidR="0096590D">
          <w:rPr>
            <w:noProof/>
            <w:webHidden/>
          </w:rPr>
          <w:tab/>
        </w:r>
        <w:r w:rsidR="0096590D">
          <w:rPr>
            <w:noProof/>
            <w:webHidden/>
          </w:rPr>
          <w:fldChar w:fldCharType="begin"/>
        </w:r>
        <w:r w:rsidR="0096590D">
          <w:rPr>
            <w:noProof/>
            <w:webHidden/>
          </w:rPr>
          <w:instrText xml:space="preserve"> PAGEREF _Toc165888307 \h </w:instrText>
        </w:r>
        <w:r w:rsidR="0096590D">
          <w:rPr>
            <w:noProof/>
            <w:webHidden/>
          </w:rPr>
        </w:r>
        <w:r w:rsidR="0096590D">
          <w:rPr>
            <w:noProof/>
            <w:webHidden/>
          </w:rPr>
          <w:fldChar w:fldCharType="separate"/>
        </w:r>
        <w:r>
          <w:rPr>
            <w:noProof/>
            <w:webHidden/>
          </w:rPr>
          <w:t>4</w:t>
        </w:r>
        <w:r w:rsidR="0096590D">
          <w:rPr>
            <w:noProof/>
            <w:webHidden/>
          </w:rPr>
          <w:fldChar w:fldCharType="end"/>
        </w:r>
      </w:hyperlink>
    </w:p>
    <w:p w14:paraId="0DF748B1" w14:textId="3E1EC0DF" w:rsidR="0096590D" w:rsidRDefault="00136CB0">
      <w:pPr>
        <w:pStyle w:val="TOC1"/>
        <w:rPr>
          <w:rFonts w:asciiTheme="minorHAnsi" w:eastAsiaTheme="minorEastAsia" w:hAnsiTheme="minorHAnsi" w:cstheme="minorBidi"/>
          <w:noProof/>
          <w:kern w:val="2"/>
          <w:szCs w:val="22"/>
          <w:lang w:val="fr-FR" w:eastAsia="fr-FR"/>
          <w14:ligatures w14:val="standardContextual"/>
        </w:rPr>
      </w:pPr>
      <w:hyperlink w:anchor="_Toc165888308" w:history="1">
        <w:r w:rsidR="0096590D" w:rsidRPr="00D35DF1">
          <w:rPr>
            <w:rStyle w:val="Hyperlink"/>
            <w:noProof/>
          </w:rPr>
          <w:t>Contexte</w:t>
        </w:r>
        <w:r w:rsidR="0096590D">
          <w:rPr>
            <w:noProof/>
            <w:webHidden/>
          </w:rPr>
          <w:tab/>
        </w:r>
        <w:r w:rsidR="0096590D">
          <w:rPr>
            <w:noProof/>
            <w:webHidden/>
          </w:rPr>
          <w:fldChar w:fldCharType="begin"/>
        </w:r>
        <w:r w:rsidR="0096590D">
          <w:rPr>
            <w:noProof/>
            <w:webHidden/>
          </w:rPr>
          <w:instrText xml:space="preserve"> PAGEREF _Toc165888308 \h </w:instrText>
        </w:r>
        <w:r w:rsidR="0096590D">
          <w:rPr>
            <w:noProof/>
            <w:webHidden/>
          </w:rPr>
        </w:r>
        <w:r w:rsidR="0096590D">
          <w:rPr>
            <w:noProof/>
            <w:webHidden/>
          </w:rPr>
          <w:fldChar w:fldCharType="separate"/>
        </w:r>
        <w:r>
          <w:rPr>
            <w:noProof/>
            <w:webHidden/>
          </w:rPr>
          <w:t>5</w:t>
        </w:r>
        <w:r w:rsidR="0096590D">
          <w:rPr>
            <w:noProof/>
            <w:webHidden/>
          </w:rPr>
          <w:fldChar w:fldCharType="end"/>
        </w:r>
      </w:hyperlink>
    </w:p>
    <w:p w14:paraId="62AC5915" w14:textId="693EAA45" w:rsidR="0096590D" w:rsidRDefault="00136CB0">
      <w:pPr>
        <w:pStyle w:val="TOC1"/>
        <w:rPr>
          <w:rFonts w:asciiTheme="minorHAnsi" w:eastAsiaTheme="minorEastAsia" w:hAnsiTheme="minorHAnsi" w:cstheme="minorBidi"/>
          <w:noProof/>
          <w:kern w:val="2"/>
          <w:szCs w:val="22"/>
          <w:lang w:val="fr-FR" w:eastAsia="fr-FR"/>
          <w14:ligatures w14:val="standardContextual"/>
        </w:rPr>
      </w:pPr>
      <w:hyperlink w:anchor="_Toc165888309" w:history="1">
        <w:r w:rsidR="0096590D" w:rsidRPr="00D35DF1">
          <w:rPr>
            <w:rStyle w:val="Hyperlink"/>
            <w:noProof/>
          </w:rPr>
          <w:t>Faits marquants survenus en 2023</w:t>
        </w:r>
        <w:r w:rsidR="0096590D">
          <w:rPr>
            <w:noProof/>
            <w:webHidden/>
          </w:rPr>
          <w:tab/>
        </w:r>
        <w:r w:rsidR="0096590D">
          <w:rPr>
            <w:noProof/>
            <w:webHidden/>
          </w:rPr>
          <w:fldChar w:fldCharType="begin"/>
        </w:r>
        <w:r w:rsidR="0096590D">
          <w:rPr>
            <w:noProof/>
            <w:webHidden/>
          </w:rPr>
          <w:instrText xml:space="preserve"> PAGEREF _Toc165888309 \h </w:instrText>
        </w:r>
        <w:r w:rsidR="0096590D">
          <w:rPr>
            <w:noProof/>
            <w:webHidden/>
          </w:rPr>
        </w:r>
        <w:r w:rsidR="0096590D">
          <w:rPr>
            <w:noProof/>
            <w:webHidden/>
          </w:rPr>
          <w:fldChar w:fldCharType="separate"/>
        </w:r>
        <w:r>
          <w:rPr>
            <w:noProof/>
            <w:webHidden/>
          </w:rPr>
          <w:t>5</w:t>
        </w:r>
        <w:r w:rsidR="0096590D">
          <w:rPr>
            <w:noProof/>
            <w:webHidden/>
          </w:rPr>
          <w:fldChar w:fldCharType="end"/>
        </w:r>
      </w:hyperlink>
    </w:p>
    <w:p w14:paraId="08E26FF8" w14:textId="30EE0321" w:rsidR="0096590D" w:rsidRDefault="00136CB0">
      <w:pPr>
        <w:pStyle w:val="TOC1"/>
        <w:rPr>
          <w:rFonts w:asciiTheme="minorHAnsi" w:eastAsiaTheme="minorEastAsia" w:hAnsiTheme="minorHAnsi" w:cstheme="minorBidi"/>
          <w:noProof/>
          <w:kern w:val="2"/>
          <w:szCs w:val="22"/>
          <w:lang w:val="fr-FR" w:eastAsia="fr-FR"/>
          <w14:ligatures w14:val="standardContextual"/>
        </w:rPr>
      </w:pPr>
      <w:hyperlink w:anchor="_Toc165888310" w:history="1">
        <w:r w:rsidR="0096590D" w:rsidRPr="00D35DF1">
          <w:rPr>
            <w:rStyle w:val="Hyperlink"/>
            <w:noProof/>
          </w:rPr>
          <w:t>Principes de planification</w:t>
        </w:r>
        <w:r w:rsidR="0096590D">
          <w:rPr>
            <w:noProof/>
            <w:webHidden/>
          </w:rPr>
          <w:tab/>
        </w:r>
        <w:r w:rsidR="0096590D">
          <w:rPr>
            <w:noProof/>
            <w:webHidden/>
          </w:rPr>
          <w:fldChar w:fldCharType="begin"/>
        </w:r>
        <w:r w:rsidR="0096590D">
          <w:rPr>
            <w:noProof/>
            <w:webHidden/>
          </w:rPr>
          <w:instrText xml:space="preserve"> PAGEREF _Toc165888310 \h </w:instrText>
        </w:r>
        <w:r w:rsidR="0096590D">
          <w:rPr>
            <w:noProof/>
            <w:webHidden/>
          </w:rPr>
        </w:r>
        <w:r w:rsidR="0096590D">
          <w:rPr>
            <w:noProof/>
            <w:webHidden/>
          </w:rPr>
          <w:fldChar w:fldCharType="separate"/>
        </w:r>
        <w:r>
          <w:rPr>
            <w:noProof/>
            <w:webHidden/>
          </w:rPr>
          <w:t>6</w:t>
        </w:r>
        <w:r w:rsidR="0096590D">
          <w:rPr>
            <w:noProof/>
            <w:webHidden/>
          </w:rPr>
          <w:fldChar w:fldCharType="end"/>
        </w:r>
      </w:hyperlink>
    </w:p>
    <w:p w14:paraId="71EE41CD" w14:textId="0ED2DED5" w:rsidR="0096590D" w:rsidRDefault="00136CB0">
      <w:pPr>
        <w:pStyle w:val="TOC1"/>
        <w:rPr>
          <w:rFonts w:asciiTheme="minorHAnsi" w:eastAsiaTheme="minorEastAsia" w:hAnsiTheme="minorHAnsi" w:cstheme="minorBidi"/>
          <w:noProof/>
          <w:kern w:val="2"/>
          <w:szCs w:val="22"/>
          <w:lang w:val="fr-FR" w:eastAsia="fr-FR"/>
          <w14:ligatures w14:val="standardContextual"/>
        </w:rPr>
      </w:pPr>
      <w:hyperlink w:anchor="_Toc165888311" w:history="1">
        <w:r w:rsidR="0096590D" w:rsidRPr="00D35DF1">
          <w:rPr>
            <w:rStyle w:val="Hyperlink"/>
            <w:noProof/>
          </w:rPr>
          <w:t>Normes professionnelles</w:t>
        </w:r>
        <w:r w:rsidR="0096590D">
          <w:rPr>
            <w:noProof/>
            <w:webHidden/>
          </w:rPr>
          <w:tab/>
        </w:r>
        <w:r w:rsidR="0096590D">
          <w:rPr>
            <w:noProof/>
            <w:webHidden/>
          </w:rPr>
          <w:fldChar w:fldCharType="begin"/>
        </w:r>
        <w:r w:rsidR="0096590D">
          <w:rPr>
            <w:noProof/>
            <w:webHidden/>
          </w:rPr>
          <w:instrText xml:space="preserve"> PAGEREF _Toc165888311 \h </w:instrText>
        </w:r>
        <w:r w:rsidR="0096590D">
          <w:rPr>
            <w:noProof/>
            <w:webHidden/>
          </w:rPr>
        </w:r>
        <w:r w:rsidR="0096590D">
          <w:rPr>
            <w:noProof/>
            <w:webHidden/>
          </w:rPr>
          <w:fldChar w:fldCharType="separate"/>
        </w:r>
        <w:r>
          <w:rPr>
            <w:noProof/>
            <w:webHidden/>
          </w:rPr>
          <w:t>6</w:t>
        </w:r>
        <w:r w:rsidR="0096590D">
          <w:rPr>
            <w:noProof/>
            <w:webHidden/>
          </w:rPr>
          <w:fldChar w:fldCharType="end"/>
        </w:r>
      </w:hyperlink>
    </w:p>
    <w:p w14:paraId="5C5F44F7" w14:textId="727628AB" w:rsidR="0096590D" w:rsidRDefault="00136CB0">
      <w:pPr>
        <w:pStyle w:val="TOC1"/>
        <w:rPr>
          <w:rFonts w:asciiTheme="minorHAnsi" w:eastAsiaTheme="minorEastAsia" w:hAnsiTheme="minorHAnsi" w:cstheme="minorBidi"/>
          <w:noProof/>
          <w:kern w:val="2"/>
          <w:szCs w:val="22"/>
          <w:lang w:val="fr-FR" w:eastAsia="fr-FR"/>
          <w14:ligatures w14:val="standardContextual"/>
        </w:rPr>
      </w:pPr>
      <w:hyperlink w:anchor="_Toc165888312" w:history="1">
        <w:r w:rsidR="0096590D" w:rsidRPr="00D35DF1">
          <w:rPr>
            <w:rStyle w:val="Hyperlink"/>
            <w:noProof/>
          </w:rPr>
          <w:t>Intégration du principe d’égalité des sexes</w:t>
        </w:r>
        <w:r w:rsidR="0096590D">
          <w:rPr>
            <w:noProof/>
            <w:webHidden/>
          </w:rPr>
          <w:tab/>
        </w:r>
        <w:r w:rsidR="0096590D">
          <w:rPr>
            <w:noProof/>
            <w:webHidden/>
          </w:rPr>
          <w:fldChar w:fldCharType="begin"/>
        </w:r>
        <w:r w:rsidR="0096590D">
          <w:rPr>
            <w:noProof/>
            <w:webHidden/>
          </w:rPr>
          <w:instrText xml:space="preserve"> PAGEREF _Toc165888312 \h </w:instrText>
        </w:r>
        <w:r w:rsidR="0096590D">
          <w:rPr>
            <w:noProof/>
            <w:webHidden/>
          </w:rPr>
        </w:r>
        <w:r w:rsidR="0096590D">
          <w:rPr>
            <w:noProof/>
            <w:webHidden/>
          </w:rPr>
          <w:fldChar w:fldCharType="separate"/>
        </w:r>
        <w:r>
          <w:rPr>
            <w:noProof/>
            <w:webHidden/>
          </w:rPr>
          <w:t>6</w:t>
        </w:r>
        <w:r w:rsidR="0096590D">
          <w:rPr>
            <w:noProof/>
            <w:webHidden/>
          </w:rPr>
          <w:fldChar w:fldCharType="end"/>
        </w:r>
      </w:hyperlink>
    </w:p>
    <w:p w14:paraId="4DE59C5C" w14:textId="5704BD57" w:rsidR="0096590D" w:rsidRDefault="00136CB0">
      <w:pPr>
        <w:pStyle w:val="TOC1"/>
        <w:rPr>
          <w:rFonts w:asciiTheme="minorHAnsi" w:eastAsiaTheme="minorEastAsia" w:hAnsiTheme="minorHAnsi" w:cstheme="minorBidi"/>
          <w:noProof/>
          <w:kern w:val="2"/>
          <w:szCs w:val="22"/>
          <w:lang w:val="fr-FR" w:eastAsia="fr-FR"/>
          <w14:ligatures w14:val="standardContextual"/>
        </w:rPr>
      </w:pPr>
      <w:hyperlink w:anchor="_Toc165888313" w:history="1">
        <w:r w:rsidR="0096590D" w:rsidRPr="00D35DF1">
          <w:rPr>
            <w:rStyle w:val="Hyperlink"/>
            <w:noProof/>
          </w:rPr>
          <w:t>Missions assorties de recommandations en matière de supervision jugées hautement prioritaires</w:t>
        </w:r>
        <w:r w:rsidR="0096590D">
          <w:rPr>
            <w:noProof/>
            <w:webHidden/>
          </w:rPr>
          <w:tab/>
        </w:r>
        <w:r w:rsidR="0096590D">
          <w:rPr>
            <w:noProof/>
            <w:webHidden/>
          </w:rPr>
          <w:fldChar w:fldCharType="begin"/>
        </w:r>
        <w:r w:rsidR="0096590D">
          <w:rPr>
            <w:noProof/>
            <w:webHidden/>
          </w:rPr>
          <w:instrText xml:space="preserve"> PAGEREF _Toc165888313 \h </w:instrText>
        </w:r>
        <w:r w:rsidR="0096590D">
          <w:rPr>
            <w:noProof/>
            <w:webHidden/>
          </w:rPr>
        </w:r>
        <w:r w:rsidR="0096590D">
          <w:rPr>
            <w:noProof/>
            <w:webHidden/>
          </w:rPr>
          <w:fldChar w:fldCharType="separate"/>
        </w:r>
        <w:r>
          <w:rPr>
            <w:noProof/>
            <w:webHidden/>
          </w:rPr>
          <w:t>7</w:t>
        </w:r>
        <w:r w:rsidR="0096590D">
          <w:rPr>
            <w:noProof/>
            <w:webHidden/>
          </w:rPr>
          <w:fldChar w:fldCharType="end"/>
        </w:r>
      </w:hyperlink>
    </w:p>
    <w:p w14:paraId="7CAC4D16" w14:textId="1E9E9315" w:rsidR="0096590D" w:rsidRDefault="00136CB0">
      <w:pPr>
        <w:pStyle w:val="TOC1"/>
        <w:rPr>
          <w:rFonts w:asciiTheme="minorHAnsi" w:eastAsiaTheme="minorEastAsia" w:hAnsiTheme="minorHAnsi" w:cstheme="minorBidi"/>
          <w:noProof/>
          <w:kern w:val="2"/>
          <w:szCs w:val="22"/>
          <w:lang w:val="fr-FR" w:eastAsia="fr-FR"/>
          <w14:ligatures w14:val="standardContextual"/>
        </w:rPr>
      </w:pPr>
      <w:hyperlink w:anchor="_Toc165888314" w:history="1">
        <w:r w:rsidR="0096590D" w:rsidRPr="00D35DF1">
          <w:rPr>
            <w:rStyle w:val="Hyperlink"/>
            <w:noProof/>
          </w:rPr>
          <w:t>Missions ayant fait l’objet d’un rapport en 2023</w:t>
        </w:r>
        <w:r w:rsidR="0096590D">
          <w:rPr>
            <w:noProof/>
            <w:webHidden/>
          </w:rPr>
          <w:tab/>
        </w:r>
        <w:r w:rsidR="0096590D">
          <w:rPr>
            <w:noProof/>
            <w:webHidden/>
          </w:rPr>
          <w:fldChar w:fldCharType="begin"/>
        </w:r>
        <w:r w:rsidR="0096590D">
          <w:rPr>
            <w:noProof/>
            <w:webHidden/>
          </w:rPr>
          <w:instrText xml:space="preserve"> PAGEREF _Toc165888314 \h </w:instrText>
        </w:r>
        <w:r w:rsidR="0096590D">
          <w:rPr>
            <w:noProof/>
            <w:webHidden/>
          </w:rPr>
        </w:r>
        <w:r w:rsidR="0096590D">
          <w:rPr>
            <w:noProof/>
            <w:webHidden/>
          </w:rPr>
          <w:fldChar w:fldCharType="separate"/>
        </w:r>
        <w:r>
          <w:rPr>
            <w:noProof/>
            <w:webHidden/>
          </w:rPr>
          <w:t>7</w:t>
        </w:r>
        <w:r w:rsidR="0096590D">
          <w:rPr>
            <w:noProof/>
            <w:webHidden/>
          </w:rPr>
          <w:fldChar w:fldCharType="end"/>
        </w:r>
      </w:hyperlink>
    </w:p>
    <w:p w14:paraId="791632C2" w14:textId="3C6D4CE7" w:rsidR="0096590D" w:rsidRDefault="00136CB0">
      <w:pPr>
        <w:pStyle w:val="TOC1"/>
        <w:rPr>
          <w:rFonts w:asciiTheme="minorHAnsi" w:eastAsiaTheme="minorEastAsia" w:hAnsiTheme="minorHAnsi" w:cstheme="minorBidi"/>
          <w:noProof/>
          <w:kern w:val="2"/>
          <w:szCs w:val="22"/>
          <w:lang w:val="fr-FR" w:eastAsia="fr-FR"/>
          <w14:ligatures w14:val="standardContextual"/>
        </w:rPr>
      </w:pPr>
      <w:hyperlink w:anchor="_Toc165888315" w:history="1">
        <w:r w:rsidR="0096590D" w:rsidRPr="00D35DF1">
          <w:rPr>
            <w:rStyle w:val="Hyperlink"/>
            <w:noProof/>
          </w:rPr>
          <w:t>Missions lancées en 2023 et reportées au début de 2024</w:t>
        </w:r>
        <w:r w:rsidR="0096590D">
          <w:rPr>
            <w:noProof/>
            <w:webHidden/>
          </w:rPr>
          <w:tab/>
        </w:r>
        <w:r w:rsidR="0096590D">
          <w:rPr>
            <w:noProof/>
            <w:webHidden/>
          </w:rPr>
          <w:fldChar w:fldCharType="begin"/>
        </w:r>
        <w:r w:rsidR="0096590D">
          <w:rPr>
            <w:noProof/>
            <w:webHidden/>
          </w:rPr>
          <w:instrText xml:space="preserve"> PAGEREF _Toc165888315 \h </w:instrText>
        </w:r>
        <w:r w:rsidR="0096590D">
          <w:rPr>
            <w:noProof/>
            <w:webHidden/>
          </w:rPr>
        </w:r>
        <w:r w:rsidR="0096590D">
          <w:rPr>
            <w:noProof/>
            <w:webHidden/>
          </w:rPr>
          <w:fldChar w:fldCharType="separate"/>
        </w:r>
        <w:r>
          <w:rPr>
            <w:noProof/>
            <w:webHidden/>
          </w:rPr>
          <w:t>15</w:t>
        </w:r>
        <w:r w:rsidR="0096590D">
          <w:rPr>
            <w:noProof/>
            <w:webHidden/>
          </w:rPr>
          <w:fldChar w:fldCharType="end"/>
        </w:r>
      </w:hyperlink>
    </w:p>
    <w:p w14:paraId="63A640B9" w14:textId="18A3E718" w:rsidR="0096590D" w:rsidRDefault="00136CB0">
      <w:pPr>
        <w:pStyle w:val="TOC1"/>
        <w:rPr>
          <w:rFonts w:asciiTheme="minorHAnsi" w:eastAsiaTheme="minorEastAsia" w:hAnsiTheme="minorHAnsi" w:cstheme="minorBidi"/>
          <w:noProof/>
          <w:kern w:val="2"/>
          <w:szCs w:val="22"/>
          <w:lang w:val="fr-FR" w:eastAsia="fr-FR"/>
          <w14:ligatures w14:val="standardContextual"/>
        </w:rPr>
      </w:pPr>
      <w:hyperlink w:anchor="_Toc165888316" w:history="1">
        <w:r w:rsidR="0096590D" w:rsidRPr="00D35DF1">
          <w:rPr>
            <w:rStyle w:val="Hyperlink"/>
            <w:noProof/>
          </w:rPr>
          <w:t>Missions lancées en 2023 et à reporter en 2024</w:t>
        </w:r>
        <w:r w:rsidR="0096590D">
          <w:rPr>
            <w:noProof/>
            <w:webHidden/>
          </w:rPr>
          <w:tab/>
        </w:r>
        <w:r w:rsidR="0096590D">
          <w:rPr>
            <w:noProof/>
            <w:webHidden/>
          </w:rPr>
          <w:fldChar w:fldCharType="begin"/>
        </w:r>
        <w:r w:rsidR="0096590D">
          <w:rPr>
            <w:noProof/>
            <w:webHidden/>
          </w:rPr>
          <w:instrText xml:space="preserve"> PAGEREF _Toc165888316 \h </w:instrText>
        </w:r>
        <w:r w:rsidR="0096590D">
          <w:rPr>
            <w:noProof/>
            <w:webHidden/>
          </w:rPr>
        </w:r>
        <w:r w:rsidR="0096590D">
          <w:rPr>
            <w:noProof/>
            <w:webHidden/>
          </w:rPr>
          <w:fldChar w:fldCharType="separate"/>
        </w:r>
        <w:r>
          <w:rPr>
            <w:noProof/>
            <w:webHidden/>
          </w:rPr>
          <w:t>16</w:t>
        </w:r>
        <w:r w:rsidR="0096590D">
          <w:rPr>
            <w:noProof/>
            <w:webHidden/>
          </w:rPr>
          <w:fldChar w:fldCharType="end"/>
        </w:r>
      </w:hyperlink>
    </w:p>
    <w:p w14:paraId="7C0DE9F9" w14:textId="44725917" w:rsidR="0096590D" w:rsidRDefault="00136CB0">
      <w:pPr>
        <w:pStyle w:val="TOC1"/>
        <w:rPr>
          <w:rFonts w:asciiTheme="minorHAnsi" w:eastAsiaTheme="minorEastAsia" w:hAnsiTheme="minorHAnsi" w:cstheme="minorBidi"/>
          <w:noProof/>
          <w:kern w:val="2"/>
          <w:szCs w:val="22"/>
          <w:lang w:val="fr-FR" w:eastAsia="fr-FR"/>
          <w14:ligatures w14:val="standardContextual"/>
        </w:rPr>
      </w:pPr>
      <w:hyperlink w:anchor="_Toc165888317" w:history="1">
        <w:r w:rsidR="0096590D" w:rsidRPr="00D35DF1">
          <w:rPr>
            <w:rStyle w:val="Hyperlink"/>
            <w:noProof/>
          </w:rPr>
          <w:t>Activités d’enquêtes</w:t>
        </w:r>
        <w:r w:rsidR="0096590D">
          <w:rPr>
            <w:noProof/>
            <w:webHidden/>
          </w:rPr>
          <w:tab/>
        </w:r>
        <w:r w:rsidR="0096590D">
          <w:rPr>
            <w:noProof/>
            <w:webHidden/>
          </w:rPr>
          <w:fldChar w:fldCharType="begin"/>
        </w:r>
        <w:r w:rsidR="0096590D">
          <w:rPr>
            <w:noProof/>
            <w:webHidden/>
          </w:rPr>
          <w:instrText xml:space="preserve"> PAGEREF _Toc165888317 \h </w:instrText>
        </w:r>
        <w:r w:rsidR="0096590D">
          <w:rPr>
            <w:noProof/>
            <w:webHidden/>
          </w:rPr>
        </w:r>
        <w:r w:rsidR="0096590D">
          <w:rPr>
            <w:noProof/>
            <w:webHidden/>
          </w:rPr>
          <w:fldChar w:fldCharType="separate"/>
        </w:r>
        <w:r>
          <w:rPr>
            <w:noProof/>
            <w:webHidden/>
          </w:rPr>
          <w:t>16</w:t>
        </w:r>
        <w:r w:rsidR="0096590D">
          <w:rPr>
            <w:noProof/>
            <w:webHidden/>
          </w:rPr>
          <w:fldChar w:fldCharType="end"/>
        </w:r>
      </w:hyperlink>
    </w:p>
    <w:p w14:paraId="3CD5DD75" w14:textId="6BD644B5" w:rsidR="0096590D" w:rsidRDefault="00136CB0">
      <w:pPr>
        <w:pStyle w:val="TOC1"/>
        <w:rPr>
          <w:rFonts w:asciiTheme="minorHAnsi" w:eastAsiaTheme="minorEastAsia" w:hAnsiTheme="minorHAnsi" w:cstheme="minorBidi"/>
          <w:noProof/>
          <w:kern w:val="2"/>
          <w:szCs w:val="22"/>
          <w:lang w:val="fr-FR" w:eastAsia="fr-FR"/>
          <w14:ligatures w14:val="standardContextual"/>
        </w:rPr>
      </w:pPr>
      <w:hyperlink w:anchor="_Toc165888318" w:history="1">
        <w:r w:rsidR="0096590D" w:rsidRPr="00D35DF1">
          <w:rPr>
            <w:rStyle w:val="Hyperlink"/>
            <w:noProof/>
          </w:rPr>
          <w:t>Activités de conseil en matière de supervision</w:t>
        </w:r>
        <w:r w:rsidR="0096590D">
          <w:rPr>
            <w:noProof/>
            <w:webHidden/>
          </w:rPr>
          <w:tab/>
        </w:r>
        <w:r w:rsidR="0096590D">
          <w:rPr>
            <w:noProof/>
            <w:webHidden/>
          </w:rPr>
          <w:fldChar w:fldCharType="begin"/>
        </w:r>
        <w:r w:rsidR="0096590D">
          <w:rPr>
            <w:noProof/>
            <w:webHidden/>
          </w:rPr>
          <w:instrText xml:space="preserve"> PAGEREF _Toc165888318 \h </w:instrText>
        </w:r>
        <w:r w:rsidR="0096590D">
          <w:rPr>
            <w:noProof/>
            <w:webHidden/>
          </w:rPr>
        </w:r>
        <w:r w:rsidR="0096590D">
          <w:rPr>
            <w:noProof/>
            <w:webHidden/>
          </w:rPr>
          <w:fldChar w:fldCharType="separate"/>
        </w:r>
        <w:r>
          <w:rPr>
            <w:noProof/>
            <w:webHidden/>
          </w:rPr>
          <w:t>19</w:t>
        </w:r>
        <w:r w:rsidR="0096590D">
          <w:rPr>
            <w:noProof/>
            <w:webHidden/>
          </w:rPr>
          <w:fldChar w:fldCharType="end"/>
        </w:r>
      </w:hyperlink>
    </w:p>
    <w:p w14:paraId="739DAFD6" w14:textId="2A662922" w:rsidR="0096590D" w:rsidRDefault="00136CB0">
      <w:pPr>
        <w:pStyle w:val="TOC1"/>
        <w:rPr>
          <w:rFonts w:asciiTheme="minorHAnsi" w:eastAsiaTheme="minorEastAsia" w:hAnsiTheme="minorHAnsi" w:cstheme="minorBidi"/>
          <w:noProof/>
          <w:kern w:val="2"/>
          <w:szCs w:val="22"/>
          <w:lang w:val="fr-FR" w:eastAsia="fr-FR"/>
          <w14:ligatures w14:val="standardContextual"/>
        </w:rPr>
      </w:pPr>
      <w:hyperlink w:anchor="_Toc165888319" w:history="1">
        <w:r w:rsidR="0096590D" w:rsidRPr="00D35DF1">
          <w:rPr>
            <w:rStyle w:val="Hyperlink"/>
            <w:noProof/>
          </w:rPr>
          <w:t xml:space="preserve">Cas dans lesquels des demandes d’information ou d’assistance </w:t>
        </w:r>
        <w:r w:rsidR="0096590D">
          <w:rPr>
            <w:rStyle w:val="Hyperlink"/>
            <w:noProof/>
          </w:rPr>
          <w:br/>
        </w:r>
        <w:r w:rsidR="0096590D" w:rsidRPr="00D35DF1">
          <w:rPr>
            <w:rStyle w:val="Hyperlink"/>
            <w:noProof/>
          </w:rPr>
          <w:t>ont été rejetées</w:t>
        </w:r>
        <w:r w:rsidR="0096590D">
          <w:rPr>
            <w:noProof/>
            <w:webHidden/>
          </w:rPr>
          <w:tab/>
        </w:r>
        <w:r w:rsidR="0096590D">
          <w:rPr>
            <w:noProof/>
            <w:webHidden/>
          </w:rPr>
          <w:fldChar w:fldCharType="begin"/>
        </w:r>
        <w:r w:rsidR="0096590D">
          <w:rPr>
            <w:noProof/>
            <w:webHidden/>
          </w:rPr>
          <w:instrText xml:space="preserve"> PAGEREF _Toc165888319 \h </w:instrText>
        </w:r>
        <w:r w:rsidR="0096590D">
          <w:rPr>
            <w:noProof/>
            <w:webHidden/>
          </w:rPr>
        </w:r>
        <w:r w:rsidR="0096590D">
          <w:rPr>
            <w:noProof/>
            <w:webHidden/>
          </w:rPr>
          <w:fldChar w:fldCharType="separate"/>
        </w:r>
        <w:r>
          <w:rPr>
            <w:noProof/>
            <w:webHidden/>
          </w:rPr>
          <w:t>20</w:t>
        </w:r>
        <w:r w:rsidR="0096590D">
          <w:rPr>
            <w:noProof/>
            <w:webHidden/>
          </w:rPr>
          <w:fldChar w:fldCharType="end"/>
        </w:r>
      </w:hyperlink>
    </w:p>
    <w:p w14:paraId="036F98E3" w14:textId="4E315B22" w:rsidR="0096590D" w:rsidRDefault="00136CB0">
      <w:pPr>
        <w:pStyle w:val="TOC1"/>
        <w:rPr>
          <w:rFonts w:asciiTheme="minorHAnsi" w:eastAsiaTheme="minorEastAsia" w:hAnsiTheme="minorHAnsi" w:cstheme="minorBidi"/>
          <w:noProof/>
          <w:kern w:val="2"/>
          <w:szCs w:val="22"/>
          <w:lang w:val="fr-FR" w:eastAsia="fr-FR"/>
          <w14:ligatures w14:val="standardContextual"/>
        </w:rPr>
      </w:pPr>
      <w:hyperlink w:anchor="_Toc165888320" w:history="1">
        <w:r w:rsidR="0096590D" w:rsidRPr="00D35DF1">
          <w:rPr>
            <w:rStyle w:val="Hyperlink"/>
            <w:noProof/>
          </w:rPr>
          <w:t xml:space="preserve">État d’avancement de la mise en œuvre des recommandations </w:t>
        </w:r>
        <w:r w:rsidR="0096590D">
          <w:rPr>
            <w:rStyle w:val="Hyperlink"/>
            <w:noProof/>
          </w:rPr>
          <w:br/>
        </w:r>
        <w:r w:rsidR="0096590D" w:rsidRPr="00D35DF1">
          <w:rPr>
            <w:rStyle w:val="Hyperlink"/>
            <w:noProof/>
          </w:rPr>
          <w:t>en matière de supervision</w:t>
        </w:r>
        <w:r w:rsidR="0096590D">
          <w:rPr>
            <w:noProof/>
            <w:webHidden/>
          </w:rPr>
          <w:tab/>
        </w:r>
        <w:r w:rsidR="0096590D">
          <w:rPr>
            <w:noProof/>
            <w:webHidden/>
          </w:rPr>
          <w:fldChar w:fldCharType="begin"/>
        </w:r>
        <w:r w:rsidR="0096590D">
          <w:rPr>
            <w:noProof/>
            <w:webHidden/>
          </w:rPr>
          <w:instrText xml:space="preserve"> PAGEREF _Toc165888320 \h </w:instrText>
        </w:r>
        <w:r w:rsidR="0096590D">
          <w:rPr>
            <w:noProof/>
            <w:webHidden/>
          </w:rPr>
        </w:r>
        <w:r w:rsidR="0096590D">
          <w:rPr>
            <w:noProof/>
            <w:webHidden/>
          </w:rPr>
          <w:fldChar w:fldCharType="separate"/>
        </w:r>
        <w:r>
          <w:rPr>
            <w:noProof/>
            <w:webHidden/>
          </w:rPr>
          <w:t>20</w:t>
        </w:r>
        <w:r w:rsidR="0096590D">
          <w:rPr>
            <w:noProof/>
            <w:webHidden/>
          </w:rPr>
          <w:fldChar w:fldCharType="end"/>
        </w:r>
      </w:hyperlink>
    </w:p>
    <w:p w14:paraId="6B48DE8E" w14:textId="4B3EA857" w:rsidR="0096590D" w:rsidRDefault="00136CB0">
      <w:pPr>
        <w:pStyle w:val="TOC1"/>
        <w:rPr>
          <w:rFonts w:asciiTheme="minorHAnsi" w:eastAsiaTheme="minorEastAsia" w:hAnsiTheme="minorHAnsi" w:cstheme="minorBidi"/>
          <w:noProof/>
          <w:kern w:val="2"/>
          <w:szCs w:val="22"/>
          <w:lang w:val="fr-FR" w:eastAsia="fr-FR"/>
          <w14:ligatures w14:val="standardContextual"/>
        </w:rPr>
      </w:pPr>
      <w:hyperlink w:anchor="_Toc165888321" w:history="1">
        <w:r w:rsidR="0096590D" w:rsidRPr="00D35DF1">
          <w:rPr>
            <w:rStyle w:val="Hyperlink"/>
            <w:noProof/>
          </w:rPr>
          <w:t>Coordination avec les organismes de supervision externes</w:t>
        </w:r>
        <w:r w:rsidR="0096590D">
          <w:rPr>
            <w:noProof/>
            <w:webHidden/>
          </w:rPr>
          <w:tab/>
        </w:r>
        <w:r w:rsidR="0096590D">
          <w:rPr>
            <w:noProof/>
            <w:webHidden/>
          </w:rPr>
          <w:fldChar w:fldCharType="begin"/>
        </w:r>
        <w:r w:rsidR="0096590D">
          <w:rPr>
            <w:noProof/>
            <w:webHidden/>
          </w:rPr>
          <w:instrText xml:space="preserve"> PAGEREF _Toc165888321 \h </w:instrText>
        </w:r>
        <w:r w:rsidR="0096590D">
          <w:rPr>
            <w:noProof/>
            <w:webHidden/>
          </w:rPr>
        </w:r>
        <w:r w:rsidR="0096590D">
          <w:rPr>
            <w:noProof/>
            <w:webHidden/>
          </w:rPr>
          <w:fldChar w:fldCharType="separate"/>
        </w:r>
        <w:r>
          <w:rPr>
            <w:noProof/>
            <w:webHidden/>
          </w:rPr>
          <w:t>23</w:t>
        </w:r>
        <w:r w:rsidR="0096590D">
          <w:rPr>
            <w:noProof/>
            <w:webHidden/>
          </w:rPr>
          <w:fldChar w:fldCharType="end"/>
        </w:r>
      </w:hyperlink>
    </w:p>
    <w:p w14:paraId="658EE039" w14:textId="46B2F85E" w:rsidR="0096590D" w:rsidRDefault="00136CB0">
      <w:pPr>
        <w:pStyle w:val="TOC1"/>
        <w:rPr>
          <w:rFonts w:asciiTheme="minorHAnsi" w:eastAsiaTheme="minorEastAsia" w:hAnsiTheme="minorHAnsi" w:cstheme="minorBidi"/>
          <w:noProof/>
          <w:kern w:val="2"/>
          <w:szCs w:val="22"/>
          <w:lang w:val="fr-FR" w:eastAsia="fr-FR"/>
          <w14:ligatures w14:val="standardContextual"/>
        </w:rPr>
      </w:pPr>
      <w:hyperlink w:anchor="_Toc165888322" w:history="1">
        <w:r w:rsidR="0096590D" w:rsidRPr="00D35DF1">
          <w:rPr>
            <w:rStyle w:val="Hyperlink"/>
            <w:noProof/>
          </w:rPr>
          <w:t>Autres activités de supervision</w:t>
        </w:r>
        <w:r w:rsidR="0096590D">
          <w:rPr>
            <w:noProof/>
            <w:webHidden/>
          </w:rPr>
          <w:tab/>
        </w:r>
        <w:r w:rsidR="0096590D">
          <w:rPr>
            <w:noProof/>
            <w:webHidden/>
          </w:rPr>
          <w:fldChar w:fldCharType="begin"/>
        </w:r>
        <w:r w:rsidR="0096590D">
          <w:rPr>
            <w:noProof/>
            <w:webHidden/>
          </w:rPr>
          <w:instrText xml:space="preserve"> PAGEREF _Toc165888322 \h </w:instrText>
        </w:r>
        <w:r w:rsidR="0096590D">
          <w:rPr>
            <w:noProof/>
            <w:webHidden/>
          </w:rPr>
        </w:r>
        <w:r w:rsidR="0096590D">
          <w:rPr>
            <w:noProof/>
            <w:webHidden/>
          </w:rPr>
          <w:fldChar w:fldCharType="separate"/>
        </w:r>
        <w:r>
          <w:rPr>
            <w:noProof/>
            <w:webHidden/>
          </w:rPr>
          <w:t>23</w:t>
        </w:r>
        <w:r w:rsidR="0096590D">
          <w:rPr>
            <w:noProof/>
            <w:webHidden/>
          </w:rPr>
          <w:fldChar w:fldCharType="end"/>
        </w:r>
      </w:hyperlink>
    </w:p>
    <w:p w14:paraId="353CE79D" w14:textId="4FE95BBE" w:rsidR="0096590D" w:rsidRDefault="00136CB0">
      <w:pPr>
        <w:pStyle w:val="TOC1"/>
        <w:rPr>
          <w:rFonts w:asciiTheme="minorHAnsi" w:eastAsiaTheme="minorEastAsia" w:hAnsiTheme="minorHAnsi" w:cstheme="minorBidi"/>
          <w:noProof/>
          <w:kern w:val="2"/>
          <w:szCs w:val="22"/>
          <w:lang w:val="fr-FR" w:eastAsia="fr-FR"/>
          <w14:ligatures w14:val="standardContextual"/>
        </w:rPr>
      </w:pPr>
      <w:hyperlink w:anchor="_Toc165888323" w:history="1">
        <w:r w:rsidR="0096590D" w:rsidRPr="00D35DF1">
          <w:rPr>
            <w:rStyle w:val="Hyperlink"/>
            <w:noProof/>
          </w:rPr>
          <w:t>Programme d’assurance et d’amélioration de la qualité de la DSI</w:t>
        </w:r>
        <w:r w:rsidR="0096590D">
          <w:rPr>
            <w:noProof/>
            <w:webHidden/>
          </w:rPr>
          <w:tab/>
        </w:r>
        <w:r w:rsidR="0096590D">
          <w:rPr>
            <w:noProof/>
            <w:webHidden/>
          </w:rPr>
          <w:fldChar w:fldCharType="begin"/>
        </w:r>
        <w:r w:rsidR="0096590D">
          <w:rPr>
            <w:noProof/>
            <w:webHidden/>
          </w:rPr>
          <w:instrText xml:space="preserve"> PAGEREF _Toc165888323 \h </w:instrText>
        </w:r>
        <w:r w:rsidR="0096590D">
          <w:rPr>
            <w:noProof/>
            <w:webHidden/>
          </w:rPr>
        </w:r>
        <w:r w:rsidR="0096590D">
          <w:rPr>
            <w:noProof/>
            <w:webHidden/>
          </w:rPr>
          <w:fldChar w:fldCharType="separate"/>
        </w:r>
        <w:r>
          <w:rPr>
            <w:noProof/>
            <w:webHidden/>
          </w:rPr>
          <w:t>24</w:t>
        </w:r>
        <w:r w:rsidR="0096590D">
          <w:rPr>
            <w:noProof/>
            <w:webHidden/>
          </w:rPr>
          <w:fldChar w:fldCharType="end"/>
        </w:r>
      </w:hyperlink>
    </w:p>
    <w:p w14:paraId="7C8E4401" w14:textId="61929515" w:rsidR="0096590D" w:rsidRDefault="00136CB0">
      <w:pPr>
        <w:pStyle w:val="TOC1"/>
        <w:rPr>
          <w:rFonts w:asciiTheme="minorHAnsi" w:eastAsiaTheme="minorEastAsia" w:hAnsiTheme="minorHAnsi" w:cstheme="minorBidi"/>
          <w:noProof/>
          <w:kern w:val="2"/>
          <w:szCs w:val="22"/>
          <w:lang w:val="fr-FR" w:eastAsia="fr-FR"/>
          <w14:ligatures w14:val="standardContextual"/>
        </w:rPr>
      </w:pPr>
      <w:hyperlink w:anchor="_Toc165888324" w:history="1">
        <w:r w:rsidR="0096590D" w:rsidRPr="00D35DF1">
          <w:rPr>
            <w:rStyle w:val="Hyperlink"/>
            <w:noProof/>
          </w:rPr>
          <w:t>Ressources de la supervision interne</w:t>
        </w:r>
        <w:r w:rsidR="0096590D">
          <w:rPr>
            <w:noProof/>
            <w:webHidden/>
          </w:rPr>
          <w:tab/>
        </w:r>
        <w:r w:rsidR="0096590D">
          <w:rPr>
            <w:noProof/>
            <w:webHidden/>
          </w:rPr>
          <w:fldChar w:fldCharType="begin"/>
        </w:r>
        <w:r w:rsidR="0096590D">
          <w:rPr>
            <w:noProof/>
            <w:webHidden/>
          </w:rPr>
          <w:instrText xml:space="preserve"> PAGEREF _Toc165888324 \h </w:instrText>
        </w:r>
        <w:r w:rsidR="0096590D">
          <w:rPr>
            <w:noProof/>
            <w:webHidden/>
          </w:rPr>
        </w:r>
        <w:r w:rsidR="0096590D">
          <w:rPr>
            <w:noProof/>
            <w:webHidden/>
          </w:rPr>
          <w:fldChar w:fldCharType="separate"/>
        </w:r>
        <w:r>
          <w:rPr>
            <w:noProof/>
            <w:webHidden/>
          </w:rPr>
          <w:t>26</w:t>
        </w:r>
        <w:r w:rsidR="0096590D">
          <w:rPr>
            <w:noProof/>
            <w:webHidden/>
          </w:rPr>
          <w:fldChar w:fldCharType="end"/>
        </w:r>
      </w:hyperlink>
    </w:p>
    <w:p w14:paraId="78D3CF9F" w14:textId="11FBCC82" w:rsidR="0096590D" w:rsidRDefault="00136CB0">
      <w:pPr>
        <w:pStyle w:val="TOC1"/>
        <w:rPr>
          <w:rFonts w:asciiTheme="minorHAnsi" w:eastAsiaTheme="minorEastAsia" w:hAnsiTheme="minorHAnsi" w:cstheme="minorBidi"/>
          <w:noProof/>
          <w:kern w:val="2"/>
          <w:szCs w:val="22"/>
          <w:lang w:val="fr-FR" w:eastAsia="fr-FR"/>
          <w14:ligatures w14:val="standardContextual"/>
        </w:rPr>
      </w:pPr>
      <w:hyperlink w:anchor="_Toc165888325" w:history="1">
        <w:r w:rsidR="0096590D" w:rsidRPr="00D35DF1">
          <w:rPr>
            <w:rStyle w:val="Hyperlink"/>
            <w:noProof/>
          </w:rPr>
          <w:t>Voie à suivre – 2024 et au</w:t>
        </w:r>
        <w:r w:rsidR="0096590D" w:rsidRPr="00D35DF1">
          <w:rPr>
            <w:rStyle w:val="Hyperlink"/>
            <w:noProof/>
          </w:rPr>
          <w:noBreakHyphen/>
          <w:t>delà</w:t>
        </w:r>
        <w:r w:rsidR="0096590D">
          <w:rPr>
            <w:noProof/>
            <w:webHidden/>
          </w:rPr>
          <w:tab/>
        </w:r>
        <w:r w:rsidR="0096590D">
          <w:rPr>
            <w:noProof/>
            <w:webHidden/>
          </w:rPr>
          <w:fldChar w:fldCharType="begin"/>
        </w:r>
        <w:r w:rsidR="0096590D">
          <w:rPr>
            <w:noProof/>
            <w:webHidden/>
          </w:rPr>
          <w:instrText xml:space="preserve"> PAGEREF _Toc165888325 \h </w:instrText>
        </w:r>
        <w:r w:rsidR="0096590D">
          <w:rPr>
            <w:noProof/>
            <w:webHidden/>
          </w:rPr>
        </w:r>
        <w:r w:rsidR="0096590D">
          <w:rPr>
            <w:noProof/>
            <w:webHidden/>
          </w:rPr>
          <w:fldChar w:fldCharType="separate"/>
        </w:r>
        <w:r>
          <w:rPr>
            <w:noProof/>
            <w:webHidden/>
          </w:rPr>
          <w:t>27</w:t>
        </w:r>
        <w:r w:rsidR="0096590D">
          <w:rPr>
            <w:noProof/>
            <w:webHidden/>
          </w:rPr>
          <w:fldChar w:fldCharType="end"/>
        </w:r>
      </w:hyperlink>
    </w:p>
    <w:p w14:paraId="7E47B6C4" w14:textId="70D1114D" w:rsidR="000D5281" w:rsidRPr="00AC7E46" w:rsidRDefault="000D5281" w:rsidP="000D5281">
      <w:pPr>
        <w:keepLines/>
        <w:tabs>
          <w:tab w:val="left" w:leader="dot" w:pos="8910"/>
        </w:tabs>
        <w:spacing w:before="240" w:after="120" w:line="360" w:lineRule="auto"/>
        <w:rPr>
          <w:b/>
          <w:lang w:val="fr-FR"/>
        </w:rPr>
      </w:pPr>
      <w:r w:rsidRPr="00AC7E46">
        <w:rPr>
          <w:lang w:val="fr-FR"/>
        </w:rPr>
        <w:fldChar w:fldCharType="end"/>
      </w:r>
    </w:p>
    <w:p w14:paraId="203B886C" w14:textId="1F5E0F42" w:rsidR="000D5281" w:rsidRPr="00AC7E46" w:rsidRDefault="000D5281" w:rsidP="000D5281">
      <w:pPr>
        <w:keepLines/>
        <w:tabs>
          <w:tab w:val="left" w:pos="1134"/>
          <w:tab w:val="left" w:pos="1560"/>
        </w:tabs>
        <w:rPr>
          <w:lang w:val="fr-FR"/>
        </w:rPr>
      </w:pPr>
      <w:r w:rsidRPr="00AC7E46">
        <w:rPr>
          <w:lang w:val="fr-FR"/>
        </w:rPr>
        <w:t xml:space="preserve">ANNEXE </w:t>
      </w:r>
      <w:r w:rsidRPr="00AC7E46">
        <w:rPr>
          <w:lang w:val="fr-FR"/>
        </w:rPr>
        <w:tab/>
        <w:t xml:space="preserve">– </w:t>
      </w:r>
      <w:r w:rsidRPr="00AC7E46">
        <w:rPr>
          <w:lang w:val="fr-FR"/>
        </w:rPr>
        <w:tab/>
        <w:t>Liste des rapports établis par</w:t>
      </w:r>
      <w:r w:rsidR="00761289" w:rsidRPr="00AC7E46">
        <w:rPr>
          <w:lang w:val="fr-FR"/>
        </w:rPr>
        <w:t xml:space="preserve"> la DSI</w:t>
      </w:r>
    </w:p>
    <w:p w14:paraId="26ED5D98" w14:textId="77777777" w:rsidR="000D5281" w:rsidRPr="00AC7E46" w:rsidRDefault="000D5281" w:rsidP="000D5281">
      <w:pPr>
        <w:rPr>
          <w:b/>
          <w:bCs/>
          <w:caps/>
          <w:kern w:val="32"/>
          <w:szCs w:val="32"/>
          <w:lang w:val="fr-FR"/>
        </w:rPr>
      </w:pPr>
      <w:r w:rsidRPr="00AC7E46">
        <w:rPr>
          <w:lang w:val="fr-FR"/>
        </w:rPr>
        <w:br w:type="page"/>
      </w:r>
    </w:p>
    <w:p w14:paraId="7B2C5932" w14:textId="3C9AADD5" w:rsidR="000D5281" w:rsidRPr="00AC7E46" w:rsidRDefault="008E3F67" w:rsidP="008E3F67">
      <w:pPr>
        <w:pStyle w:val="Heading1"/>
      </w:pPr>
      <w:bookmarkStart w:id="6" w:name="_Toc39071243"/>
      <w:bookmarkStart w:id="7" w:name="_Toc165888306"/>
      <w:r w:rsidRPr="00AC7E46">
        <w:lastRenderedPageBreak/>
        <w:t xml:space="preserve">Liste </w:t>
      </w:r>
      <w:r>
        <w:t>d</w:t>
      </w:r>
      <w:r w:rsidRPr="00AC7E46">
        <w:t xml:space="preserve">e </w:t>
      </w:r>
      <w:r>
        <w:t>s</w:t>
      </w:r>
      <w:r w:rsidRPr="00AC7E46">
        <w:t>igles</w:t>
      </w:r>
      <w:bookmarkEnd w:id="6"/>
      <w:bookmarkEnd w:id="7"/>
    </w:p>
    <w:tbl>
      <w:tblPr>
        <w:tblStyle w:val="TableGridLight"/>
        <w:tblW w:w="0" w:type="auto"/>
        <w:tblLook w:val="04A0" w:firstRow="1" w:lastRow="0" w:firstColumn="1" w:lastColumn="0" w:noHBand="0" w:noVBand="1"/>
        <w:tblCaption w:val="List of acronyms"/>
        <w:tblDescription w:val="List of acronyms used in the document"/>
      </w:tblPr>
      <w:tblGrid>
        <w:gridCol w:w="1701"/>
        <w:gridCol w:w="7230"/>
      </w:tblGrid>
      <w:tr w:rsidR="000D5281" w:rsidRPr="00AC7E46" w14:paraId="5A8EEDAE" w14:textId="77777777" w:rsidTr="00E249CE">
        <w:trPr>
          <w:trHeight w:val="284"/>
          <w:tblHeader/>
        </w:trPr>
        <w:tc>
          <w:tcPr>
            <w:tcW w:w="1701" w:type="dxa"/>
            <w:shd w:val="clear" w:color="auto" w:fill="auto"/>
          </w:tcPr>
          <w:p w14:paraId="564ED453" w14:textId="77777777" w:rsidR="000D5281" w:rsidRPr="00AC7E46" w:rsidRDefault="000D5281" w:rsidP="00E249CE">
            <w:pPr>
              <w:tabs>
                <w:tab w:val="right" w:pos="6880"/>
              </w:tabs>
              <w:rPr>
                <w:b/>
                <w:sz w:val="20"/>
                <w:lang w:val="fr-FR"/>
              </w:rPr>
            </w:pPr>
            <w:r w:rsidRPr="00AC7E46">
              <w:rPr>
                <w:b/>
                <w:sz w:val="20"/>
                <w:lang w:val="fr-FR"/>
              </w:rPr>
              <w:t>AMCS</w:t>
            </w:r>
          </w:p>
        </w:tc>
        <w:tc>
          <w:tcPr>
            <w:tcW w:w="7230" w:type="dxa"/>
            <w:shd w:val="clear" w:color="auto" w:fill="auto"/>
          </w:tcPr>
          <w:p w14:paraId="29346838" w14:textId="77777777" w:rsidR="000D5281" w:rsidRPr="00AC7E46" w:rsidRDefault="000D5281" w:rsidP="00E249CE">
            <w:pPr>
              <w:tabs>
                <w:tab w:val="right" w:pos="6880"/>
              </w:tabs>
              <w:ind w:left="43"/>
              <w:rPr>
                <w:sz w:val="20"/>
                <w:lang w:val="fr-FR"/>
              </w:rPr>
            </w:pPr>
            <w:r w:rsidRPr="00AC7E46">
              <w:rPr>
                <w:sz w:val="20"/>
                <w:lang w:val="fr-FR"/>
              </w:rPr>
              <w:t>Assurance maladie après cessation de service</w:t>
            </w:r>
          </w:p>
        </w:tc>
      </w:tr>
      <w:tr w:rsidR="000D5281" w:rsidRPr="00AC7E46" w14:paraId="6E0FA036" w14:textId="77777777" w:rsidTr="00E249CE">
        <w:trPr>
          <w:trHeight w:val="284"/>
          <w:tblHeader/>
        </w:trPr>
        <w:tc>
          <w:tcPr>
            <w:tcW w:w="1701" w:type="dxa"/>
            <w:shd w:val="clear" w:color="auto" w:fill="auto"/>
          </w:tcPr>
          <w:p w14:paraId="38411509" w14:textId="77777777" w:rsidR="000D5281" w:rsidRPr="00AC7E46" w:rsidRDefault="000D5281" w:rsidP="00E249CE">
            <w:pPr>
              <w:tabs>
                <w:tab w:val="right" w:pos="6880"/>
              </w:tabs>
              <w:rPr>
                <w:b/>
                <w:sz w:val="20"/>
                <w:lang w:val="fr-FR"/>
              </w:rPr>
            </w:pPr>
            <w:r w:rsidRPr="00AC7E46">
              <w:rPr>
                <w:b/>
                <w:sz w:val="20"/>
                <w:lang w:val="fr-FR"/>
              </w:rPr>
              <w:t>ASEAN</w:t>
            </w:r>
          </w:p>
        </w:tc>
        <w:tc>
          <w:tcPr>
            <w:tcW w:w="7230" w:type="dxa"/>
            <w:shd w:val="clear" w:color="auto" w:fill="auto"/>
          </w:tcPr>
          <w:p w14:paraId="33D0D888" w14:textId="087C4978" w:rsidR="000D5281" w:rsidRPr="00AC7E46" w:rsidRDefault="000D5281" w:rsidP="00E249CE">
            <w:pPr>
              <w:tabs>
                <w:tab w:val="right" w:pos="6880"/>
              </w:tabs>
              <w:ind w:left="43"/>
              <w:rPr>
                <w:sz w:val="20"/>
                <w:lang w:val="fr-FR"/>
              </w:rPr>
            </w:pPr>
            <w:r w:rsidRPr="00AC7E46">
              <w:rPr>
                <w:sz w:val="20"/>
                <w:lang w:val="fr-FR"/>
              </w:rPr>
              <w:t>Association des nations de l</w:t>
            </w:r>
            <w:r w:rsidR="00761289" w:rsidRPr="00AC7E46">
              <w:rPr>
                <w:sz w:val="20"/>
                <w:lang w:val="fr-FR"/>
              </w:rPr>
              <w:t>’</w:t>
            </w:r>
            <w:r w:rsidRPr="00AC7E46">
              <w:rPr>
                <w:sz w:val="20"/>
                <w:lang w:val="fr-FR"/>
              </w:rPr>
              <w:t>Asie du Sud</w:t>
            </w:r>
            <w:r w:rsidR="001908D2">
              <w:rPr>
                <w:sz w:val="20"/>
                <w:lang w:val="fr-FR"/>
              </w:rPr>
              <w:noBreakHyphen/>
            </w:r>
            <w:r w:rsidRPr="00AC7E46">
              <w:rPr>
                <w:sz w:val="20"/>
                <w:lang w:val="fr-FR"/>
              </w:rPr>
              <w:t>Est</w:t>
            </w:r>
          </w:p>
        </w:tc>
      </w:tr>
      <w:tr w:rsidR="000D5281" w:rsidRPr="00AC7E46" w14:paraId="2BBA6054" w14:textId="77777777" w:rsidTr="00E249CE">
        <w:trPr>
          <w:trHeight w:val="284"/>
          <w:tblHeader/>
        </w:trPr>
        <w:tc>
          <w:tcPr>
            <w:tcW w:w="1701" w:type="dxa"/>
            <w:shd w:val="clear" w:color="auto" w:fill="auto"/>
          </w:tcPr>
          <w:p w14:paraId="68822A68" w14:textId="77777777" w:rsidR="000D5281" w:rsidRPr="00AC7E46" w:rsidRDefault="000D5281" w:rsidP="00E249CE">
            <w:pPr>
              <w:tabs>
                <w:tab w:val="right" w:pos="6880"/>
              </w:tabs>
              <w:rPr>
                <w:b/>
                <w:sz w:val="20"/>
                <w:lang w:val="fr-FR"/>
              </w:rPr>
            </w:pPr>
            <w:r w:rsidRPr="00AC7E46">
              <w:rPr>
                <w:b/>
                <w:sz w:val="20"/>
                <w:lang w:val="fr-FR"/>
              </w:rPr>
              <w:t>CDIP</w:t>
            </w:r>
          </w:p>
        </w:tc>
        <w:tc>
          <w:tcPr>
            <w:tcW w:w="7230" w:type="dxa"/>
            <w:shd w:val="clear" w:color="auto" w:fill="auto"/>
          </w:tcPr>
          <w:p w14:paraId="64A1BC1C" w14:textId="77777777" w:rsidR="000D5281" w:rsidRPr="00AC7E46" w:rsidRDefault="000D5281" w:rsidP="00E249CE">
            <w:pPr>
              <w:tabs>
                <w:tab w:val="right" w:pos="6880"/>
              </w:tabs>
              <w:ind w:left="43"/>
              <w:rPr>
                <w:sz w:val="20"/>
                <w:lang w:val="fr-FR"/>
              </w:rPr>
            </w:pPr>
            <w:r w:rsidRPr="00AC7E46">
              <w:rPr>
                <w:sz w:val="20"/>
                <w:lang w:val="fr-FR"/>
              </w:rPr>
              <w:t>Comité du développement et de la propriété intellectuelle</w:t>
            </w:r>
          </w:p>
        </w:tc>
      </w:tr>
      <w:tr w:rsidR="000D5281" w:rsidRPr="00AC7E46" w14:paraId="6223122A" w14:textId="77777777" w:rsidTr="00E249CE">
        <w:trPr>
          <w:trHeight w:val="284"/>
          <w:tblHeader/>
        </w:trPr>
        <w:tc>
          <w:tcPr>
            <w:tcW w:w="1701" w:type="dxa"/>
            <w:shd w:val="clear" w:color="auto" w:fill="auto"/>
          </w:tcPr>
          <w:p w14:paraId="280E4E69" w14:textId="77777777" w:rsidR="000D5281" w:rsidRPr="00AC7E46" w:rsidDel="00520E10" w:rsidRDefault="000D5281" w:rsidP="00E249CE">
            <w:pPr>
              <w:tabs>
                <w:tab w:val="right" w:pos="6880"/>
              </w:tabs>
              <w:rPr>
                <w:b/>
                <w:sz w:val="20"/>
                <w:lang w:val="fr-FR"/>
              </w:rPr>
            </w:pPr>
            <w:r w:rsidRPr="00AC7E46">
              <w:rPr>
                <w:b/>
                <w:sz w:val="20"/>
                <w:lang w:val="fr-FR"/>
              </w:rPr>
              <w:t>DGRH</w:t>
            </w:r>
          </w:p>
        </w:tc>
        <w:tc>
          <w:tcPr>
            <w:tcW w:w="7230" w:type="dxa"/>
            <w:shd w:val="clear" w:color="auto" w:fill="auto"/>
          </w:tcPr>
          <w:p w14:paraId="47E2C818" w14:textId="77777777" w:rsidR="000D5281" w:rsidRPr="00AC7E46" w:rsidDel="00520E10" w:rsidRDefault="000D5281" w:rsidP="00E249CE">
            <w:pPr>
              <w:tabs>
                <w:tab w:val="right" w:pos="6880"/>
              </w:tabs>
              <w:ind w:left="43"/>
              <w:rPr>
                <w:sz w:val="20"/>
                <w:lang w:val="fr-FR"/>
              </w:rPr>
            </w:pPr>
            <w:r w:rsidRPr="00AC7E46">
              <w:rPr>
                <w:sz w:val="20"/>
                <w:lang w:val="fr-FR"/>
              </w:rPr>
              <w:t>Département de la gestion des ressources humaines</w:t>
            </w:r>
          </w:p>
        </w:tc>
      </w:tr>
      <w:tr w:rsidR="000D5281" w:rsidRPr="00AC7E46" w14:paraId="541661C2" w14:textId="77777777" w:rsidTr="00E249CE">
        <w:trPr>
          <w:trHeight w:val="284"/>
          <w:tblHeader/>
        </w:trPr>
        <w:tc>
          <w:tcPr>
            <w:tcW w:w="1701" w:type="dxa"/>
            <w:shd w:val="clear" w:color="auto" w:fill="auto"/>
          </w:tcPr>
          <w:p w14:paraId="767CC01A" w14:textId="77777777" w:rsidR="000D5281" w:rsidRPr="00AC7E46" w:rsidRDefault="000D5281" w:rsidP="00E249CE">
            <w:pPr>
              <w:tabs>
                <w:tab w:val="right" w:pos="6880"/>
              </w:tabs>
              <w:rPr>
                <w:b/>
                <w:sz w:val="20"/>
                <w:lang w:val="fr-FR"/>
              </w:rPr>
            </w:pPr>
            <w:r w:rsidRPr="00AC7E46">
              <w:rPr>
                <w:b/>
                <w:sz w:val="20"/>
                <w:lang w:val="fr-FR"/>
              </w:rPr>
              <w:t>DSI</w:t>
            </w:r>
          </w:p>
        </w:tc>
        <w:tc>
          <w:tcPr>
            <w:tcW w:w="7230" w:type="dxa"/>
            <w:shd w:val="clear" w:color="auto" w:fill="auto"/>
          </w:tcPr>
          <w:p w14:paraId="2AE2A666" w14:textId="77777777" w:rsidR="000D5281" w:rsidRPr="00AC7E46" w:rsidRDefault="000D5281" w:rsidP="00E249CE">
            <w:pPr>
              <w:tabs>
                <w:tab w:val="right" w:pos="6880"/>
              </w:tabs>
              <w:ind w:left="43"/>
              <w:rPr>
                <w:sz w:val="20"/>
                <w:lang w:val="fr-FR"/>
              </w:rPr>
            </w:pPr>
            <w:r w:rsidRPr="00AC7E46">
              <w:rPr>
                <w:sz w:val="20"/>
                <w:lang w:val="fr-FR"/>
              </w:rPr>
              <w:t>Division de la supervision interne</w:t>
            </w:r>
          </w:p>
        </w:tc>
      </w:tr>
      <w:tr w:rsidR="000D5281" w:rsidRPr="00AC7E46" w14:paraId="31580F31" w14:textId="77777777" w:rsidTr="00E249CE">
        <w:trPr>
          <w:trHeight w:val="284"/>
          <w:tblHeader/>
        </w:trPr>
        <w:tc>
          <w:tcPr>
            <w:tcW w:w="1701" w:type="dxa"/>
            <w:shd w:val="clear" w:color="auto" w:fill="auto"/>
          </w:tcPr>
          <w:p w14:paraId="79B12CFC" w14:textId="77777777" w:rsidR="000D5281" w:rsidRPr="00AC7E46" w:rsidRDefault="000D5281" w:rsidP="00E249CE">
            <w:pPr>
              <w:tabs>
                <w:tab w:val="right" w:pos="6880"/>
              </w:tabs>
              <w:rPr>
                <w:b/>
                <w:sz w:val="20"/>
                <w:lang w:val="fr-FR"/>
              </w:rPr>
            </w:pPr>
            <w:r w:rsidRPr="00AC7E46">
              <w:rPr>
                <w:b/>
                <w:sz w:val="20"/>
                <w:lang w:val="fr-FR"/>
              </w:rPr>
              <w:t>ERM</w:t>
            </w:r>
          </w:p>
        </w:tc>
        <w:tc>
          <w:tcPr>
            <w:tcW w:w="7230" w:type="dxa"/>
            <w:shd w:val="clear" w:color="auto" w:fill="auto"/>
          </w:tcPr>
          <w:p w14:paraId="1D17B3C3" w14:textId="77777777" w:rsidR="000D5281" w:rsidRPr="00AC7E46" w:rsidRDefault="000D5281" w:rsidP="00E249CE">
            <w:pPr>
              <w:tabs>
                <w:tab w:val="right" w:pos="6880"/>
              </w:tabs>
              <w:ind w:left="43"/>
              <w:rPr>
                <w:sz w:val="20"/>
                <w:lang w:val="fr-FR"/>
              </w:rPr>
            </w:pPr>
            <w:r w:rsidRPr="00AC7E46">
              <w:rPr>
                <w:sz w:val="20"/>
                <w:lang w:val="fr-FR"/>
              </w:rPr>
              <w:t>Gestion du risque institutionnel</w:t>
            </w:r>
          </w:p>
        </w:tc>
      </w:tr>
      <w:tr w:rsidR="000D5281" w:rsidRPr="00AC7E46" w14:paraId="25A3CF9D" w14:textId="77777777" w:rsidTr="00E249CE">
        <w:trPr>
          <w:trHeight w:val="284"/>
          <w:tblHeader/>
        </w:trPr>
        <w:tc>
          <w:tcPr>
            <w:tcW w:w="1701" w:type="dxa"/>
            <w:shd w:val="clear" w:color="auto" w:fill="auto"/>
          </w:tcPr>
          <w:p w14:paraId="1A4B8BFE" w14:textId="77777777" w:rsidR="000D5281" w:rsidRPr="00AC7E46" w:rsidRDefault="000D5281" w:rsidP="00E249CE">
            <w:pPr>
              <w:tabs>
                <w:tab w:val="right" w:pos="6880"/>
              </w:tabs>
              <w:rPr>
                <w:b/>
                <w:sz w:val="20"/>
                <w:lang w:val="fr-FR"/>
              </w:rPr>
            </w:pPr>
            <w:r w:rsidRPr="00AC7E46">
              <w:rPr>
                <w:b/>
                <w:sz w:val="20"/>
                <w:lang w:val="fr-FR"/>
              </w:rPr>
              <w:t>GII</w:t>
            </w:r>
          </w:p>
        </w:tc>
        <w:tc>
          <w:tcPr>
            <w:tcW w:w="7230" w:type="dxa"/>
            <w:shd w:val="clear" w:color="auto" w:fill="auto"/>
          </w:tcPr>
          <w:p w14:paraId="5F4643CC" w14:textId="20178D8E" w:rsidR="000D5281" w:rsidRPr="00AC7E46" w:rsidRDefault="000D5281" w:rsidP="00E249CE">
            <w:pPr>
              <w:tabs>
                <w:tab w:val="right" w:pos="6880"/>
              </w:tabs>
              <w:ind w:left="43"/>
              <w:rPr>
                <w:sz w:val="20"/>
                <w:lang w:val="fr-FR"/>
              </w:rPr>
            </w:pPr>
            <w:r w:rsidRPr="00AC7E46">
              <w:rPr>
                <w:sz w:val="20"/>
                <w:lang w:val="fr-FR"/>
              </w:rPr>
              <w:t>Indice mondial de l</w:t>
            </w:r>
            <w:r w:rsidR="00761289" w:rsidRPr="00AC7E46">
              <w:rPr>
                <w:sz w:val="20"/>
                <w:lang w:val="fr-FR"/>
              </w:rPr>
              <w:t>’</w:t>
            </w:r>
            <w:r w:rsidRPr="00AC7E46">
              <w:rPr>
                <w:sz w:val="20"/>
                <w:lang w:val="fr-FR"/>
              </w:rPr>
              <w:t>innovation</w:t>
            </w:r>
          </w:p>
        </w:tc>
      </w:tr>
      <w:tr w:rsidR="000D5281" w:rsidRPr="00AC7E46" w14:paraId="4257D49D" w14:textId="77777777" w:rsidTr="00E249CE">
        <w:trPr>
          <w:trHeight w:val="284"/>
          <w:tblHeader/>
        </w:trPr>
        <w:tc>
          <w:tcPr>
            <w:tcW w:w="1701" w:type="dxa"/>
            <w:shd w:val="clear" w:color="auto" w:fill="auto"/>
          </w:tcPr>
          <w:p w14:paraId="18608019" w14:textId="77777777" w:rsidR="000D5281" w:rsidRPr="00AC7E46" w:rsidRDefault="000D5281" w:rsidP="00E249CE">
            <w:pPr>
              <w:tabs>
                <w:tab w:val="right" w:pos="6880"/>
              </w:tabs>
              <w:rPr>
                <w:b/>
                <w:sz w:val="20"/>
                <w:lang w:val="fr-FR"/>
              </w:rPr>
            </w:pPr>
            <w:r w:rsidRPr="00AC7E46">
              <w:rPr>
                <w:b/>
                <w:sz w:val="20"/>
                <w:lang w:val="fr-FR"/>
              </w:rPr>
              <w:t>GNUE</w:t>
            </w:r>
          </w:p>
        </w:tc>
        <w:tc>
          <w:tcPr>
            <w:tcW w:w="7230" w:type="dxa"/>
            <w:shd w:val="clear" w:color="auto" w:fill="auto"/>
          </w:tcPr>
          <w:p w14:paraId="491EEC30" w14:textId="4C6242E9" w:rsidR="000D5281" w:rsidRPr="00AC7E46" w:rsidRDefault="000D5281" w:rsidP="00E249CE">
            <w:pPr>
              <w:tabs>
                <w:tab w:val="right" w:pos="6880"/>
              </w:tabs>
              <w:ind w:left="43"/>
              <w:rPr>
                <w:sz w:val="20"/>
                <w:lang w:val="fr-FR"/>
              </w:rPr>
            </w:pPr>
            <w:r w:rsidRPr="00AC7E46">
              <w:rPr>
                <w:sz w:val="20"/>
                <w:lang w:val="fr-FR"/>
              </w:rPr>
              <w:t xml:space="preserve">Groupe des </w:t>
            </w:r>
            <w:r w:rsidR="00761289" w:rsidRPr="00AC7E46">
              <w:rPr>
                <w:sz w:val="20"/>
                <w:lang w:val="fr-FR"/>
              </w:rPr>
              <w:t>Nations Unies</w:t>
            </w:r>
            <w:r w:rsidRPr="00AC7E46">
              <w:rPr>
                <w:sz w:val="20"/>
                <w:lang w:val="fr-FR"/>
              </w:rPr>
              <w:t xml:space="preserve"> pour l</w:t>
            </w:r>
            <w:r w:rsidR="00761289" w:rsidRPr="00AC7E46">
              <w:rPr>
                <w:sz w:val="20"/>
                <w:lang w:val="fr-FR"/>
              </w:rPr>
              <w:t>’</w:t>
            </w:r>
            <w:r w:rsidRPr="00AC7E46">
              <w:rPr>
                <w:sz w:val="20"/>
                <w:lang w:val="fr-FR"/>
              </w:rPr>
              <w:t>évaluation</w:t>
            </w:r>
          </w:p>
        </w:tc>
      </w:tr>
      <w:tr w:rsidR="000D5281" w:rsidRPr="00AC7E46" w14:paraId="14285C15" w14:textId="77777777" w:rsidTr="00E249CE">
        <w:trPr>
          <w:trHeight w:val="284"/>
          <w:tblHeader/>
        </w:trPr>
        <w:tc>
          <w:tcPr>
            <w:tcW w:w="1701" w:type="dxa"/>
            <w:shd w:val="clear" w:color="auto" w:fill="auto"/>
          </w:tcPr>
          <w:p w14:paraId="3E846972" w14:textId="77777777" w:rsidR="000D5281" w:rsidRPr="00AC7E46" w:rsidRDefault="000D5281" w:rsidP="00E249CE">
            <w:pPr>
              <w:rPr>
                <w:b/>
                <w:sz w:val="20"/>
                <w:lang w:val="fr-FR"/>
              </w:rPr>
            </w:pPr>
            <w:r w:rsidRPr="00AC7E46">
              <w:rPr>
                <w:b/>
                <w:bCs/>
                <w:sz w:val="20"/>
                <w:lang w:val="fr-FR"/>
              </w:rPr>
              <w:t>IIA</w:t>
            </w:r>
          </w:p>
        </w:tc>
        <w:tc>
          <w:tcPr>
            <w:tcW w:w="7230" w:type="dxa"/>
            <w:shd w:val="clear" w:color="auto" w:fill="auto"/>
          </w:tcPr>
          <w:p w14:paraId="78CE0F28" w14:textId="77777777" w:rsidR="000D5281" w:rsidRPr="00AC7E46" w:rsidRDefault="000D5281" w:rsidP="00E249CE">
            <w:pPr>
              <w:ind w:left="43"/>
              <w:rPr>
                <w:sz w:val="20"/>
                <w:lang w:val="fr-FR"/>
              </w:rPr>
            </w:pPr>
            <w:r w:rsidRPr="00AC7E46">
              <w:rPr>
                <w:sz w:val="20"/>
                <w:lang w:val="fr-FR"/>
              </w:rPr>
              <w:t>Institut des auditeurs internes</w:t>
            </w:r>
          </w:p>
        </w:tc>
      </w:tr>
      <w:tr w:rsidR="000D5281" w:rsidRPr="00AC7E46" w14:paraId="052C9D9C" w14:textId="77777777" w:rsidTr="00E249CE">
        <w:trPr>
          <w:trHeight w:val="284"/>
          <w:tblHeader/>
        </w:trPr>
        <w:tc>
          <w:tcPr>
            <w:tcW w:w="1701" w:type="dxa"/>
            <w:shd w:val="clear" w:color="auto" w:fill="auto"/>
          </w:tcPr>
          <w:p w14:paraId="6B61507E" w14:textId="77777777" w:rsidR="000D5281" w:rsidRPr="00AC7E46" w:rsidRDefault="000D5281" w:rsidP="00E249CE">
            <w:pPr>
              <w:rPr>
                <w:b/>
                <w:sz w:val="20"/>
                <w:lang w:val="fr-FR"/>
              </w:rPr>
            </w:pPr>
            <w:r w:rsidRPr="00AC7E46">
              <w:rPr>
                <w:b/>
                <w:sz w:val="20"/>
                <w:lang w:val="fr-FR"/>
              </w:rPr>
              <w:t>OCIS</w:t>
            </w:r>
          </w:p>
        </w:tc>
        <w:tc>
          <w:tcPr>
            <w:tcW w:w="7230" w:type="dxa"/>
            <w:shd w:val="clear" w:color="auto" w:fill="auto"/>
          </w:tcPr>
          <w:p w14:paraId="0F59DAD4" w14:textId="77777777" w:rsidR="000D5281" w:rsidRPr="00AC7E46" w:rsidRDefault="000D5281" w:rsidP="00E249CE">
            <w:pPr>
              <w:ind w:left="43"/>
              <w:rPr>
                <w:sz w:val="20"/>
                <w:lang w:val="fr-FR"/>
              </w:rPr>
            </w:pPr>
            <w:r w:rsidRPr="00AC7E46">
              <w:rPr>
                <w:sz w:val="20"/>
                <w:lang w:val="fr-FR"/>
              </w:rPr>
              <w:t>Organe consultatif indépendant de surveillance</w:t>
            </w:r>
          </w:p>
        </w:tc>
      </w:tr>
      <w:tr w:rsidR="000D5281" w:rsidRPr="00AC7E46" w14:paraId="0BD31D30" w14:textId="77777777" w:rsidTr="00E249CE">
        <w:trPr>
          <w:trHeight w:val="284"/>
          <w:tblHeader/>
        </w:trPr>
        <w:tc>
          <w:tcPr>
            <w:tcW w:w="1701" w:type="dxa"/>
            <w:shd w:val="clear" w:color="auto" w:fill="auto"/>
          </w:tcPr>
          <w:p w14:paraId="1BA70BB1" w14:textId="77777777" w:rsidR="000D5281" w:rsidRPr="00AC7E46" w:rsidRDefault="000D5281" w:rsidP="00E249CE">
            <w:pPr>
              <w:rPr>
                <w:b/>
                <w:sz w:val="20"/>
                <w:lang w:val="fr-FR"/>
              </w:rPr>
            </w:pPr>
            <w:r w:rsidRPr="00AC7E46">
              <w:rPr>
                <w:b/>
                <w:sz w:val="20"/>
                <w:lang w:val="fr-FR"/>
              </w:rPr>
              <w:t>OMPI</w:t>
            </w:r>
          </w:p>
        </w:tc>
        <w:tc>
          <w:tcPr>
            <w:tcW w:w="7230" w:type="dxa"/>
            <w:shd w:val="clear" w:color="auto" w:fill="auto"/>
          </w:tcPr>
          <w:p w14:paraId="72784A9B" w14:textId="7E132A9D" w:rsidR="000D5281" w:rsidRPr="00AC7E46" w:rsidRDefault="000D5281" w:rsidP="00E249CE">
            <w:pPr>
              <w:ind w:left="43"/>
              <w:rPr>
                <w:sz w:val="20"/>
                <w:lang w:val="fr-FR"/>
              </w:rPr>
            </w:pPr>
            <w:r w:rsidRPr="00AC7E46">
              <w:rPr>
                <w:sz w:val="20"/>
                <w:lang w:val="fr-FR"/>
              </w:rPr>
              <w:t xml:space="preserve">Organisation </w:t>
            </w:r>
            <w:r w:rsidR="006F1D4B" w:rsidRPr="00AC7E46">
              <w:rPr>
                <w:sz w:val="20"/>
                <w:lang w:val="fr-FR"/>
              </w:rPr>
              <w:t>Mondiale</w:t>
            </w:r>
            <w:r w:rsidRPr="00AC7E46">
              <w:rPr>
                <w:sz w:val="20"/>
                <w:lang w:val="fr-FR"/>
              </w:rPr>
              <w:t xml:space="preserve"> de la </w:t>
            </w:r>
            <w:r w:rsidR="006F1D4B" w:rsidRPr="00AC7E46">
              <w:rPr>
                <w:sz w:val="20"/>
                <w:lang w:val="fr-FR"/>
              </w:rPr>
              <w:t>Propriété Intellectuelle</w:t>
            </w:r>
          </w:p>
        </w:tc>
      </w:tr>
      <w:tr w:rsidR="000D5281" w:rsidRPr="00AC7E46" w14:paraId="413AF3FC" w14:textId="77777777" w:rsidTr="00E249CE">
        <w:trPr>
          <w:trHeight w:val="284"/>
          <w:tblHeader/>
        </w:trPr>
        <w:tc>
          <w:tcPr>
            <w:tcW w:w="1701" w:type="dxa"/>
            <w:shd w:val="clear" w:color="auto" w:fill="auto"/>
          </w:tcPr>
          <w:p w14:paraId="3D137E19" w14:textId="77777777" w:rsidR="000D5281" w:rsidRPr="00AC7E46" w:rsidRDefault="000D5281" w:rsidP="00E249CE">
            <w:pPr>
              <w:rPr>
                <w:b/>
                <w:bCs/>
                <w:sz w:val="20"/>
                <w:lang w:val="fr-FR"/>
              </w:rPr>
            </w:pPr>
            <w:r w:rsidRPr="00AC7E46">
              <w:rPr>
                <w:b/>
                <w:sz w:val="20"/>
                <w:lang w:val="fr-FR"/>
              </w:rPr>
              <w:t>ONU</w:t>
            </w:r>
          </w:p>
        </w:tc>
        <w:tc>
          <w:tcPr>
            <w:tcW w:w="7230" w:type="dxa"/>
            <w:shd w:val="clear" w:color="auto" w:fill="auto"/>
          </w:tcPr>
          <w:p w14:paraId="2FD95FBF" w14:textId="66C5DD1E" w:rsidR="000D5281" w:rsidRPr="00AC7E46" w:rsidRDefault="000D5281" w:rsidP="00E249CE">
            <w:pPr>
              <w:ind w:left="171" w:hanging="142"/>
              <w:rPr>
                <w:sz w:val="20"/>
                <w:lang w:val="fr-FR"/>
              </w:rPr>
            </w:pPr>
            <w:r w:rsidRPr="00AC7E46">
              <w:rPr>
                <w:sz w:val="20"/>
                <w:lang w:val="fr-FR"/>
              </w:rPr>
              <w:t xml:space="preserve">Organisation des </w:t>
            </w:r>
            <w:r w:rsidR="00761289" w:rsidRPr="00AC7E46">
              <w:rPr>
                <w:sz w:val="20"/>
                <w:lang w:val="fr-FR"/>
              </w:rPr>
              <w:t>Nations Unies</w:t>
            </w:r>
          </w:p>
        </w:tc>
      </w:tr>
      <w:tr w:rsidR="000D5281" w:rsidRPr="00AC7E46" w14:paraId="6265026D" w14:textId="77777777" w:rsidTr="00E249CE">
        <w:trPr>
          <w:trHeight w:val="284"/>
          <w:tblHeader/>
        </w:trPr>
        <w:tc>
          <w:tcPr>
            <w:tcW w:w="1701" w:type="dxa"/>
            <w:shd w:val="clear" w:color="auto" w:fill="auto"/>
          </w:tcPr>
          <w:p w14:paraId="0DAEDCF9" w14:textId="66EB59B9" w:rsidR="000D5281" w:rsidRPr="00AC7E46" w:rsidRDefault="000D5281" w:rsidP="00E249CE">
            <w:pPr>
              <w:rPr>
                <w:b/>
                <w:bCs/>
                <w:sz w:val="20"/>
                <w:lang w:val="fr-FR"/>
              </w:rPr>
            </w:pPr>
            <w:r w:rsidRPr="00AC7E46">
              <w:rPr>
                <w:b/>
                <w:sz w:val="20"/>
                <w:lang w:val="fr-FR"/>
              </w:rPr>
              <w:t>ONU</w:t>
            </w:r>
            <w:r w:rsidR="001908D2">
              <w:rPr>
                <w:b/>
                <w:sz w:val="20"/>
                <w:lang w:val="fr-FR"/>
              </w:rPr>
              <w:noBreakHyphen/>
            </w:r>
            <w:r w:rsidRPr="00AC7E46">
              <w:rPr>
                <w:b/>
                <w:sz w:val="20"/>
                <w:lang w:val="fr-FR"/>
              </w:rPr>
              <w:t>SWAP</w:t>
            </w:r>
          </w:p>
        </w:tc>
        <w:tc>
          <w:tcPr>
            <w:tcW w:w="7230" w:type="dxa"/>
            <w:shd w:val="clear" w:color="auto" w:fill="auto"/>
          </w:tcPr>
          <w:p w14:paraId="085FE872" w14:textId="2AE588B5" w:rsidR="000D5281" w:rsidRPr="00AC7E46" w:rsidRDefault="000D5281" w:rsidP="008E3F67">
            <w:pPr>
              <w:ind w:left="45"/>
              <w:rPr>
                <w:sz w:val="20"/>
                <w:lang w:val="fr-FR"/>
              </w:rPr>
            </w:pPr>
            <w:r w:rsidRPr="00AC7E46">
              <w:rPr>
                <w:sz w:val="20"/>
                <w:lang w:val="fr-FR"/>
              </w:rPr>
              <w:t>Plan d</w:t>
            </w:r>
            <w:r w:rsidR="00761289" w:rsidRPr="00AC7E46">
              <w:rPr>
                <w:sz w:val="20"/>
                <w:lang w:val="fr-FR"/>
              </w:rPr>
              <w:t>’</w:t>
            </w:r>
            <w:r w:rsidRPr="00AC7E46">
              <w:rPr>
                <w:sz w:val="20"/>
                <w:lang w:val="fr-FR"/>
              </w:rPr>
              <w:t>action à l</w:t>
            </w:r>
            <w:r w:rsidR="00761289" w:rsidRPr="00AC7E46">
              <w:rPr>
                <w:sz w:val="20"/>
                <w:lang w:val="fr-FR"/>
              </w:rPr>
              <w:t>’</w:t>
            </w:r>
            <w:r w:rsidRPr="00AC7E46">
              <w:rPr>
                <w:sz w:val="20"/>
                <w:lang w:val="fr-FR"/>
              </w:rPr>
              <w:t xml:space="preserve">échelle du système des </w:t>
            </w:r>
            <w:r w:rsidR="00761289" w:rsidRPr="00AC7E46">
              <w:rPr>
                <w:sz w:val="20"/>
                <w:lang w:val="fr-FR"/>
              </w:rPr>
              <w:t>Nations Unies</w:t>
            </w:r>
            <w:r w:rsidRPr="00AC7E46">
              <w:rPr>
                <w:sz w:val="20"/>
                <w:lang w:val="fr-FR"/>
              </w:rPr>
              <w:t xml:space="preserve"> pour l</w:t>
            </w:r>
            <w:r w:rsidR="00761289" w:rsidRPr="00AC7E46">
              <w:rPr>
                <w:sz w:val="20"/>
                <w:lang w:val="fr-FR"/>
              </w:rPr>
              <w:t>’</w:t>
            </w:r>
            <w:r w:rsidRPr="00AC7E46">
              <w:rPr>
                <w:sz w:val="20"/>
                <w:lang w:val="fr-FR"/>
              </w:rPr>
              <w:t>égalité des sexes et l</w:t>
            </w:r>
            <w:r w:rsidR="00761289" w:rsidRPr="00AC7E46">
              <w:rPr>
                <w:sz w:val="20"/>
                <w:lang w:val="fr-FR"/>
              </w:rPr>
              <w:t>’</w:t>
            </w:r>
            <w:r w:rsidRPr="00AC7E46">
              <w:rPr>
                <w:sz w:val="20"/>
                <w:lang w:val="fr-FR"/>
              </w:rPr>
              <w:t>avancement des femmes</w:t>
            </w:r>
          </w:p>
        </w:tc>
      </w:tr>
      <w:tr w:rsidR="000D5281" w:rsidRPr="00AC7E46" w14:paraId="56BC38EB" w14:textId="77777777" w:rsidTr="00E249CE">
        <w:trPr>
          <w:trHeight w:val="284"/>
          <w:tblHeader/>
        </w:trPr>
        <w:tc>
          <w:tcPr>
            <w:tcW w:w="1701" w:type="dxa"/>
            <w:shd w:val="clear" w:color="auto" w:fill="auto"/>
          </w:tcPr>
          <w:p w14:paraId="581B0575" w14:textId="77777777" w:rsidR="000D5281" w:rsidRPr="00AC7E46" w:rsidRDefault="000D5281" w:rsidP="00E249CE">
            <w:pPr>
              <w:rPr>
                <w:b/>
                <w:sz w:val="20"/>
                <w:lang w:val="fr-FR"/>
              </w:rPr>
            </w:pPr>
            <w:r w:rsidRPr="00AC7E46">
              <w:rPr>
                <w:b/>
                <w:sz w:val="20"/>
                <w:lang w:val="fr-FR"/>
              </w:rPr>
              <w:t>PBC</w:t>
            </w:r>
          </w:p>
        </w:tc>
        <w:tc>
          <w:tcPr>
            <w:tcW w:w="7230" w:type="dxa"/>
            <w:shd w:val="clear" w:color="auto" w:fill="auto"/>
          </w:tcPr>
          <w:p w14:paraId="1FAD4EFE" w14:textId="77777777" w:rsidR="000D5281" w:rsidRPr="00AC7E46" w:rsidRDefault="000D5281" w:rsidP="00E249CE">
            <w:pPr>
              <w:ind w:left="43"/>
              <w:rPr>
                <w:sz w:val="20"/>
                <w:lang w:val="fr-FR"/>
              </w:rPr>
            </w:pPr>
            <w:r w:rsidRPr="00AC7E46">
              <w:rPr>
                <w:sz w:val="20"/>
                <w:lang w:val="fr-FR"/>
              </w:rPr>
              <w:t>Comité du programme et budget</w:t>
            </w:r>
          </w:p>
        </w:tc>
      </w:tr>
      <w:tr w:rsidR="000D5281" w:rsidRPr="00AC7E46" w14:paraId="113A10B4" w14:textId="77777777" w:rsidTr="00E249CE">
        <w:trPr>
          <w:trHeight w:val="284"/>
          <w:tblHeader/>
        </w:trPr>
        <w:tc>
          <w:tcPr>
            <w:tcW w:w="1701" w:type="dxa"/>
            <w:shd w:val="clear" w:color="auto" w:fill="auto"/>
          </w:tcPr>
          <w:p w14:paraId="0DE076A0" w14:textId="77777777" w:rsidR="000D5281" w:rsidRPr="00AC7E46" w:rsidRDefault="000D5281" w:rsidP="00E249CE">
            <w:pPr>
              <w:rPr>
                <w:b/>
                <w:sz w:val="20"/>
                <w:lang w:val="fr-FR"/>
              </w:rPr>
            </w:pPr>
            <w:r w:rsidRPr="00AC7E46">
              <w:rPr>
                <w:b/>
                <w:sz w:val="20"/>
                <w:lang w:val="fr-FR"/>
              </w:rPr>
              <w:t>PCT</w:t>
            </w:r>
          </w:p>
        </w:tc>
        <w:tc>
          <w:tcPr>
            <w:tcW w:w="7230" w:type="dxa"/>
            <w:shd w:val="clear" w:color="auto" w:fill="auto"/>
          </w:tcPr>
          <w:p w14:paraId="77339723" w14:textId="77777777" w:rsidR="000D5281" w:rsidRPr="00AC7E46" w:rsidRDefault="000D5281" w:rsidP="00E249CE">
            <w:pPr>
              <w:ind w:left="43"/>
              <w:rPr>
                <w:sz w:val="20"/>
                <w:lang w:val="fr-FR"/>
              </w:rPr>
            </w:pPr>
            <w:r w:rsidRPr="00AC7E46">
              <w:rPr>
                <w:sz w:val="20"/>
                <w:lang w:val="fr-FR"/>
              </w:rPr>
              <w:t>Traité de coopération en matière de brevets</w:t>
            </w:r>
          </w:p>
        </w:tc>
      </w:tr>
      <w:tr w:rsidR="000D5281" w:rsidRPr="00AC7E46" w14:paraId="5B95CC66" w14:textId="77777777" w:rsidTr="00E249CE">
        <w:trPr>
          <w:trHeight w:val="284"/>
          <w:tblHeader/>
        </w:trPr>
        <w:tc>
          <w:tcPr>
            <w:tcW w:w="1701" w:type="dxa"/>
            <w:shd w:val="clear" w:color="auto" w:fill="auto"/>
          </w:tcPr>
          <w:p w14:paraId="7B9F8DF2" w14:textId="77777777" w:rsidR="000D5281" w:rsidRPr="00AC7E46" w:rsidRDefault="000D5281" w:rsidP="00E249CE">
            <w:pPr>
              <w:rPr>
                <w:b/>
                <w:sz w:val="20"/>
                <w:lang w:val="fr-FR"/>
              </w:rPr>
            </w:pPr>
            <w:r w:rsidRPr="00AC7E46">
              <w:rPr>
                <w:b/>
                <w:sz w:val="20"/>
                <w:lang w:val="fr-FR"/>
              </w:rPr>
              <w:t>PSMT</w:t>
            </w:r>
          </w:p>
        </w:tc>
        <w:tc>
          <w:tcPr>
            <w:tcW w:w="7230" w:type="dxa"/>
            <w:shd w:val="clear" w:color="auto" w:fill="auto"/>
          </w:tcPr>
          <w:p w14:paraId="331584D6" w14:textId="77777777" w:rsidR="000D5281" w:rsidRPr="00AC7E46" w:rsidRDefault="000D5281" w:rsidP="00E249CE">
            <w:pPr>
              <w:ind w:left="43"/>
              <w:rPr>
                <w:sz w:val="20"/>
                <w:lang w:val="fr-FR"/>
              </w:rPr>
            </w:pPr>
            <w:r w:rsidRPr="00AC7E46">
              <w:rPr>
                <w:color w:val="323232"/>
                <w:kern w:val="2"/>
                <w:sz w:val="20"/>
                <w:lang w:val="fr-FR"/>
              </w:rPr>
              <w:t>Plan stratégique à moyen terme</w:t>
            </w:r>
          </w:p>
        </w:tc>
      </w:tr>
      <w:tr w:rsidR="000D5281" w:rsidRPr="00AC7E46" w14:paraId="2E45CD9A" w14:textId="77777777" w:rsidTr="00E249CE">
        <w:trPr>
          <w:trHeight w:val="284"/>
          <w:tblHeader/>
        </w:trPr>
        <w:tc>
          <w:tcPr>
            <w:tcW w:w="1701" w:type="dxa"/>
            <w:shd w:val="clear" w:color="auto" w:fill="auto"/>
          </w:tcPr>
          <w:p w14:paraId="1CCF49E9" w14:textId="77777777" w:rsidR="000D5281" w:rsidRPr="00AC7E46" w:rsidRDefault="000D5281" w:rsidP="00E249CE">
            <w:pPr>
              <w:rPr>
                <w:b/>
                <w:sz w:val="20"/>
                <w:lang w:val="fr-FR"/>
              </w:rPr>
            </w:pPr>
            <w:r w:rsidRPr="00AC7E46">
              <w:rPr>
                <w:b/>
                <w:sz w:val="20"/>
                <w:lang w:val="fr-FR"/>
              </w:rPr>
              <w:t>SMART</w:t>
            </w:r>
          </w:p>
        </w:tc>
        <w:tc>
          <w:tcPr>
            <w:tcW w:w="7230" w:type="dxa"/>
            <w:shd w:val="clear" w:color="auto" w:fill="auto"/>
          </w:tcPr>
          <w:p w14:paraId="575335DA" w14:textId="77777777" w:rsidR="000D5281" w:rsidRPr="00AC7E46" w:rsidRDefault="000D5281" w:rsidP="00E249CE">
            <w:pPr>
              <w:ind w:left="43"/>
              <w:rPr>
                <w:sz w:val="20"/>
                <w:lang w:val="fr-FR"/>
              </w:rPr>
            </w:pPr>
            <w:r w:rsidRPr="00AC7E46">
              <w:rPr>
                <w:sz w:val="20"/>
                <w:lang w:val="fr-FR"/>
              </w:rPr>
              <w:t>Précis, mesurable, réaliste, pertinent et assorti de délais</w:t>
            </w:r>
          </w:p>
        </w:tc>
      </w:tr>
    </w:tbl>
    <w:p w14:paraId="46ED6BE1" w14:textId="77777777" w:rsidR="000D5281" w:rsidRPr="00AC7E46" w:rsidRDefault="000D5281" w:rsidP="000D5281">
      <w:pPr>
        <w:rPr>
          <w:lang w:val="fr-FR"/>
        </w:rPr>
      </w:pPr>
    </w:p>
    <w:p w14:paraId="1D5075E6" w14:textId="77777777" w:rsidR="000D5281" w:rsidRPr="00AC7E46" w:rsidRDefault="000D5281" w:rsidP="000D5281">
      <w:pPr>
        <w:rPr>
          <w:lang w:val="fr-FR"/>
        </w:rPr>
      </w:pPr>
      <w:r w:rsidRPr="00AC7E46">
        <w:rPr>
          <w:lang w:val="fr-FR"/>
        </w:rPr>
        <w:br w:type="page"/>
      </w:r>
    </w:p>
    <w:p w14:paraId="32C7C642" w14:textId="2AB22FD7" w:rsidR="000D5281" w:rsidRPr="008E3F67" w:rsidRDefault="008E3F67" w:rsidP="008E3F67">
      <w:pPr>
        <w:pStyle w:val="Heading1"/>
      </w:pPr>
      <w:bookmarkStart w:id="8" w:name="_Toc165888307"/>
      <w:bookmarkStart w:id="9" w:name="_Toc420663565"/>
      <w:bookmarkStart w:id="10" w:name="_Toc39071244"/>
      <w:r w:rsidRPr="008E3F67">
        <w:lastRenderedPageBreak/>
        <w:t>Résumé</w:t>
      </w:r>
      <w:bookmarkEnd w:id="8"/>
    </w:p>
    <w:p w14:paraId="64D94CE3" w14:textId="7A9C66A9" w:rsidR="000D5281" w:rsidRPr="008E3F67" w:rsidRDefault="000D5281" w:rsidP="008E3F67">
      <w:pPr>
        <w:pStyle w:val="ONUMFS"/>
        <w:numPr>
          <w:ilvl w:val="0"/>
          <w:numId w:val="26"/>
        </w:numPr>
        <w:rPr>
          <w:lang w:val="fr-FR"/>
        </w:rPr>
      </w:pPr>
      <w:r w:rsidRPr="008E3F67">
        <w:rPr>
          <w:lang w:val="fr-FR"/>
        </w:rPr>
        <w:t>L</w:t>
      </w:r>
      <w:r w:rsidR="00761289" w:rsidRPr="008E3F67">
        <w:rPr>
          <w:lang w:val="fr-FR"/>
        </w:rPr>
        <w:t>’</w:t>
      </w:r>
      <w:r w:rsidRPr="008E3F67">
        <w:rPr>
          <w:lang w:val="fr-FR"/>
        </w:rPr>
        <w:t>année</w:t>
      </w:r>
      <w:r w:rsidR="001908D2" w:rsidRPr="008E3F67">
        <w:rPr>
          <w:lang w:val="fr-FR"/>
        </w:rPr>
        <w:t> </w:t>
      </w:r>
      <w:r w:rsidRPr="008E3F67">
        <w:rPr>
          <w:lang w:val="fr-FR"/>
        </w:rPr>
        <w:t xml:space="preserve">2023 était la deuxième année de la mise en œuvre du plan stratégique à moyen terme (PSMT) </w:t>
      </w:r>
      <w:r w:rsidR="00761289" w:rsidRPr="008E3F67">
        <w:rPr>
          <w:lang w:val="fr-FR"/>
        </w:rPr>
        <w:t>pour 2022</w:t>
      </w:r>
      <w:r w:rsidR="001908D2" w:rsidRPr="008E3F67">
        <w:rPr>
          <w:lang w:val="fr-FR"/>
        </w:rPr>
        <w:noBreakHyphen/>
      </w:r>
      <w:r w:rsidRPr="008E3F67">
        <w:rPr>
          <w:lang w:val="fr-FR"/>
        </w:rPr>
        <w:t>2026.  Dans le cadre de sa contribution à la fondation de la maison stratégique, la Division de la supervision interne (DSI) a mené des missions et formulé des recommandations qui visaient notamment à soutenir la réalisation des domaines d</w:t>
      </w:r>
      <w:r w:rsidR="00761289" w:rsidRPr="008E3F67">
        <w:rPr>
          <w:lang w:val="fr-FR"/>
        </w:rPr>
        <w:t>’</w:t>
      </w:r>
      <w:r w:rsidRPr="008E3F67">
        <w:rPr>
          <w:lang w:val="fr-FR"/>
        </w:rPr>
        <w:t>action stratégique de l</w:t>
      </w:r>
      <w:r w:rsidR="00761289" w:rsidRPr="008E3F67">
        <w:rPr>
          <w:lang w:val="fr-FR"/>
        </w:rPr>
        <w:t>’</w:t>
      </w:r>
      <w:r w:rsidRPr="008E3F67">
        <w:rPr>
          <w:lang w:val="fr-FR"/>
        </w:rPr>
        <w:t>Organisation et à évaluer différents éléments de son environnement de contrôle.</w:t>
      </w:r>
    </w:p>
    <w:p w14:paraId="7F677EB9" w14:textId="5B5F0752" w:rsidR="000D5281" w:rsidRPr="00AC7E46" w:rsidRDefault="000D5281" w:rsidP="00D31722">
      <w:pPr>
        <w:pStyle w:val="ONUMFS"/>
        <w:rPr>
          <w:lang w:val="fr-FR"/>
        </w:rPr>
      </w:pPr>
      <w:r w:rsidRPr="00AC7E46">
        <w:rPr>
          <w:lang w:val="fr-FR"/>
        </w:rPr>
        <w:t>Les activités de</w:t>
      </w:r>
      <w:r w:rsidR="00761289" w:rsidRPr="00AC7E46">
        <w:rPr>
          <w:lang w:val="fr-FR"/>
        </w:rPr>
        <w:t xml:space="preserve"> la DSI</w:t>
      </w:r>
      <w:r w:rsidRPr="00AC7E46">
        <w:rPr>
          <w:lang w:val="fr-FR"/>
        </w:rPr>
        <w:t xml:space="preserve"> se sont concentrées sur l</w:t>
      </w:r>
      <w:r w:rsidR="00761289" w:rsidRPr="00AC7E46">
        <w:rPr>
          <w:lang w:val="fr-FR"/>
        </w:rPr>
        <w:t>’</w:t>
      </w:r>
      <w:r w:rsidRPr="00AC7E46">
        <w:rPr>
          <w:lang w:val="fr-FR"/>
        </w:rPr>
        <w:t>appui</w:t>
      </w:r>
      <w:r w:rsidR="00761289" w:rsidRPr="00AC7E46">
        <w:rPr>
          <w:lang w:val="fr-FR"/>
        </w:rPr>
        <w:t xml:space="preserve"> au PSM</w:t>
      </w:r>
      <w:r w:rsidRPr="00AC7E46">
        <w:rPr>
          <w:lang w:val="fr-FR"/>
        </w:rPr>
        <w:t>T au travers de diverses missions telles que l</w:t>
      </w:r>
      <w:r w:rsidR="00761289" w:rsidRPr="00AC7E46">
        <w:rPr>
          <w:lang w:val="fr-FR"/>
        </w:rPr>
        <w:t>’</w:t>
      </w:r>
      <w:r w:rsidRPr="00AC7E46">
        <w:rPr>
          <w:lang w:val="fr-FR"/>
        </w:rPr>
        <w:t>audit du Service d</w:t>
      </w:r>
      <w:r w:rsidR="00761289" w:rsidRPr="00AC7E46">
        <w:rPr>
          <w:lang w:val="fr-FR"/>
        </w:rPr>
        <w:t>’</w:t>
      </w:r>
      <w:r w:rsidRPr="00AC7E46">
        <w:rPr>
          <w:lang w:val="fr-FR"/>
        </w:rPr>
        <w:t>enregistrement de Madrid, l</w:t>
      </w:r>
      <w:r w:rsidR="00761289" w:rsidRPr="00AC7E46">
        <w:rPr>
          <w:lang w:val="fr-FR"/>
        </w:rPr>
        <w:t>’</w:t>
      </w:r>
      <w:r w:rsidRPr="00AC7E46">
        <w:rPr>
          <w:lang w:val="fr-FR"/>
        </w:rPr>
        <w:t>audit de la mise en œuvre des normes et de la politique de l</w:t>
      </w:r>
      <w:r w:rsidR="00761289" w:rsidRPr="00AC7E46">
        <w:rPr>
          <w:lang w:val="fr-FR"/>
        </w:rPr>
        <w:t>’</w:t>
      </w:r>
      <w:r w:rsidRPr="00AC7E46">
        <w:rPr>
          <w:lang w:val="fr-FR"/>
        </w:rPr>
        <w:t xml:space="preserve">Organisation </w:t>
      </w:r>
      <w:r w:rsidR="006F1D4B" w:rsidRPr="00AC7E46">
        <w:rPr>
          <w:lang w:val="fr-FR"/>
        </w:rPr>
        <w:t>Mondiale</w:t>
      </w:r>
      <w:r w:rsidRPr="00AC7E46">
        <w:rPr>
          <w:lang w:val="fr-FR"/>
        </w:rPr>
        <w:t xml:space="preserve"> de la </w:t>
      </w:r>
      <w:r w:rsidR="006F1D4B" w:rsidRPr="00AC7E46">
        <w:rPr>
          <w:lang w:val="fr-FR"/>
        </w:rPr>
        <w:t>Propriété Intellectuelle</w:t>
      </w:r>
      <w:r w:rsidRPr="00AC7E46">
        <w:rPr>
          <w:lang w:val="fr-FR"/>
        </w:rPr>
        <w:t xml:space="preserve"> (OMPI) en matière de confidentialité des données, l</w:t>
      </w:r>
      <w:r w:rsidR="00761289" w:rsidRPr="00AC7E46">
        <w:rPr>
          <w:lang w:val="fr-FR"/>
        </w:rPr>
        <w:t>’</w:t>
      </w:r>
      <w:r w:rsidRPr="00AC7E46">
        <w:rPr>
          <w:lang w:val="fr-FR"/>
        </w:rPr>
        <w:t>audit de l</w:t>
      </w:r>
      <w:r w:rsidR="00761289" w:rsidRPr="00AC7E46">
        <w:rPr>
          <w:lang w:val="fr-FR"/>
        </w:rPr>
        <w:t>’</w:t>
      </w:r>
      <w:r w:rsidRPr="00AC7E46">
        <w:rPr>
          <w:lang w:val="fr-FR"/>
        </w:rPr>
        <w:t>Indice mondial de l</w:t>
      </w:r>
      <w:r w:rsidR="00761289" w:rsidRPr="00AC7E46">
        <w:rPr>
          <w:lang w:val="fr-FR"/>
        </w:rPr>
        <w:t>’</w:t>
      </w:r>
      <w:r w:rsidRPr="00AC7E46">
        <w:rPr>
          <w:lang w:val="fr-FR"/>
        </w:rPr>
        <w:t>innovation (GII) de l</w:t>
      </w:r>
      <w:r w:rsidR="00761289" w:rsidRPr="00AC7E46">
        <w:rPr>
          <w:lang w:val="fr-FR"/>
        </w:rPr>
        <w:t>’</w:t>
      </w:r>
      <w:r w:rsidRPr="00AC7E46">
        <w:rPr>
          <w:lang w:val="fr-FR"/>
        </w:rPr>
        <w:t>OMPI, et l</w:t>
      </w:r>
      <w:r w:rsidR="00761289" w:rsidRPr="00AC7E46">
        <w:rPr>
          <w:lang w:val="fr-FR"/>
        </w:rPr>
        <w:t>’</w:t>
      </w:r>
      <w:r w:rsidRPr="00AC7E46">
        <w:rPr>
          <w:lang w:val="fr-FR"/>
        </w:rPr>
        <w:t>examen du Bureau de l</w:t>
      </w:r>
      <w:r w:rsidR="00761289" w:rsidRPr="00AC7E46">
        <w:rPr>
          <w:lang w:val="fr-FR"/>
        </w:rPr>
        <w:t>’</w:t>
      </w:r>
      <w:r w:rsidRPr="00AC7E46">
        <w:rPr>
          <w:lang w:val="fr-FR"/>
        </w:rPr>
        <w:t>OMPI à Singapo</w:t>
      </w:r>
      <w:r w:rsidR="00AC7E46" w:rsidRPr="00AC7E46">
        <w:rPr>
          <w:lang w:val="fr-FR"/>
        </w:rPr>
        <w:t>ur.  La</w:t>
      </w:r>
      <w:r w:rsidR="00761289" w:rsidRPr="00AC7E46">
        <w:rPr>
          <w:lang w:val="fr-FR"/>
        </w:rPr>
        <w:t> DSI</w:t>
      </w:r>
      <w:r w:rsidRPr="00AC7E46">
        <w:rPr>
          <w:lang w:val="fr-FR"/>
        </w:rPr>
        <w:t xml:space="preserve"> a également validé les données relatives aux demandes de remboursement au titre de l</w:t>
      </w:r>
      <w:r w:rsidR="00761289" w:rsidRPr="00AC7E46">
        <w:rPr>
          <w:lang w:val="fr-FR"/>
        </w:rPr>
        <w:t>’</w:t>
      </w:r>
      <w:r w:rsidRPr="00AC7E46">
        <w:rPr>
          <w:lang w:val="fr-FR"/>
        </w:rPr>
        <w:t xml:space="preserve">assurance maladie après la cessation de service (AMCS), mené un audit des opérations au titre du Traité de coopération en matière de brevets (PCT) (qui a débuté </w:t>
      </w:r>
      <w:r w:rsidR="00761289" w:rsidRPr="00AC7E46">
        <w:rPr>
          <w:lang w:val="fr-FR"/>
        </w:rPr>
        <w:t>en 2022</w:t>
      </w:r>
      <w:r w:rsidRPr="00AC7E46">
        <w:rPr>
          <w:lang w:val="fr-FR"/>
        </w:rPr>
        <w:t xml:space="preserve">) et un audit de la gestion des services en nuage (qui a pris fin au début </w:t>
      </w:r>
      <w:r w:rsidR="00761289" w:rsidRPr="00AC7E46">
        <w:rPr>
          <w:lang w:val="fr-FR"/>
        </w:rPr>
        <w:t>de 2024</w:t>
      </w:r>
      <w:r w:rsidRPr="00AC7E46">
        <w:rPr>
          <w:lang w:val="fr-FR"/>
        </w:rPr>
        <w:t>).</w:t>
      </w:r>
    </w:p>
    <w:p w14:paraId="40756C61" w14:textId="38A0E68B" w:rsidR="000D5281" w:rsidRPr="00AC7E46" w:rsidRDefault="000D5281" w:rsidP="00D31722">
      <w:pPr>
        <w:pStyle w:val="ONUMFS"/>
        <w:rPr>
          <w:lang w:val="fr-FR"/>
        </w:rPr>
      </w:pPr>
      <w:r w:rsidRPr="00AC7E46">
        <w:rPr>
          <w:lang w:val="fr-FR"/>
        </w:rPr>
        <w:t>Par ailleurs,</w:t>
      </w:r>
      <w:r w:rsidR="00761289" w:rsidRPr="00AC7E46">
        <w:rPr>
          <w:lang w:val="fr-FR"/>
        </w:rPr>
        <w:t xml:space="preserve"> la DSI</w:t>
      </w:r>
      <w:r w:rsidRPr="00AC7E46">
        <w:rPr>
          <w:lang w:val="fr-FR"/>
        </w:rPr>
        <w:t xml:space="preserve"> a mené des évaluations en lien avec les objectifs stratégiques</w:t>
      </w:r>
      <w:r w:rsidR="00761289" w:rsidRPr="00AC7E46">
        <w:rPr>
          <w:lang w:val="fr-FR"/>
        </w:rPr>
        <w:t xml:space="preserve"> du P</w:t>
      </w:r>
      <w:r w:rsidR="00AC7E46" w:rsidRPr="00AC7E46">
        <w:rPr>
          <w:lang w:val="fr-FR"/>
        </w:rPr>
        <w:t>SMT.  Il</w:t>
      </w:r>
      <w:r w:rsidRPr="00AC7E46">
        <w:rPr>
          <w:lang w:val="fr-FR"/>
        </w:rPr>
        <w:t xml:space="preserve"> s</w:t>
      </w:r>
      <w:r w:rsidR="00761289" w:rsidRPr="00AC7E46">
        <w:rPr>
          <w:lang w:val="fr-FR"/>
        </w:rPr>
        <w:t>’</w:t>
      </w:r>
      <w:r w:rsidRPr="00AC7E46">
        <w:rPr>
          <w:lang w:val="fr-FR"/>
        </w:rPr>
        <w:t>agissait notamment du projet “Évaluation de l</w:t>
      </w:r>
      <w:r w:rsidR="00761289" w:rsidRPr="00AC7E46">
        <w:rPr>
          <w:lang w:val="fr-FR"/>
        </w:rPr>
        <w:t>’</w:t>
      </w:r>
      <w:r w:rsidRPr="00AC7E46">
        <w:rPr>
          <w:lang w:val="fr-FR"/>
        </w:rPr>
        <w:t>incidence du Plan d</w:t>
      </w:r>
      <w:r w:rsidR="00761289" w:rsidRPr="00AC7E46">
        <w:rPr>
          <w:lang w:val="fr-FR"/>
        </w:rPr>
        <w:t>’</w:t>
      </w:r>
      <w:r w:rsidRPr="00AC7E46">
        <w:rPr>
          <w:lang w:val="fr-FR"/>
        </w:rPr>
        <w:t>action pour le développement</w:t>
      </w:r>
      <w:r w:rsidR="00761289" w:rsidRPr="00AC7E46">
        <w:rPr>
          <w:lang w:val="fr-FR"/>
        </w:rPr>
        <w:t> :</w:t>
      </w:r>
      <w:r w:rsidRPr="00AC7E46">
        <w:rPr>
          <w:lang w:val="fr-FR"/>
        </w:rPr>
        <w:t xml:space="preserve"> propriété intellectuelle et développement </w:t>
      </w:r>
      <w:r w:rsidR="00761289" w:rsidRPr="00AC7E46">
        <w:rPr>
          <w:lang w:val="fr-FR"/>
        </w:rPr>
        <w:t>socioéconomique</w:t>
      </w:r>
      <w:r w:rsidRPr="00AC7E46">
        <w:rPr>
          <w:lang w:val="fr-FR"/>
        </w:rPr>
        <w:t>” et de l</w:t>
      </w:r>
      <w:r w:rsidR="00761289" w:rsidRPr="00AC7E46">
        <w:rPr>
          <w:lang w:val="fr-FR"/>
        </w:rPr>
        <w:t>’</w:t>
      </w:r>
      <w:r w:rsidRPr="00AC7E46">
        <w:rPr>
          <w:lang w:val="fr-FR"/>
        </w:rPr>
        <w:t>activité “Enseignements tirés de la mise en œuvre des initiatives de l</w:t>
      </w:r>
      <w:r w:rsidR="00761289" w:rsidRPr="00AC7E46">
        <w:rPr>
          <w:lang w:val="fr-FR"/>
        </w:rPr>
        <w:t>’</w:t>
      </w:r>
      <w:r w:rsidRPr="00AC7E46">
        <w:rPr>
          <w:lang w:val="fr-FR"/>
        </w:rPr>
        <w:t>OMPI en faveur de l</w:t>
      </w:r>
      <w:r w:rsidR="00761289" w:rsidRPr="00AC7E46">
        <w:rPr>
          <w:lang w:val="fr-FR"/>
        </w:rPr>
        <w:t>’</w:t>
      </w:r>
      <w:r w:rsidRPr="00AC7E46">
        <w:rPr>
          <w:lang w:val="fr-FR"/>
        </w:rPr>
        <w:t>autonomisation des femmes chefs d</w:t>
      </w:r>
      <w:r w:rsidR="00761289" w:rsidRPr="00AC7E46">
        <w:rPr>
          <w:lang w:val="fr-FR"/>
        </w:rPr>
        <w:t>’</w:t>
      </w:r>
      <w:r w:rsidRPr="00AC7E46">
        <w:rPr>
          <w:lang w:val="fr-FR"/>
        </w:rPr>
        <w:t>entreprise (phase 1)”.</w:t>
      </w:r>
    </w:p>
    <w:p w14:paraId="73CB91BD" w14:textId="06CAF834" w:rsidR="000D5281" w:rsidRPr="00AC7E46" w:rsidRDefault="000D5281" w:rsidP="00D31722">
      <w:pPr>
        <w:pStyle w:val="ONUMFS"/>
        <w:rPr>
          <w:rFonts w:eastAsia="Arial"/>
          <w:color w:val="000000" w:themeColor="text1"/>
          <w:lang w:val="fr-FR"/>
        </w:rPr>
      </w:pPr>
      <w:r w:rsidRPr="00AC7E46">
        <w:rPr>
          <w:rFonts w:eastAsia="Arial"/>
          <w:color w:val="000000" w:themeColor="text1"/>
          <w:lang w:val="fr-FR"/>
        </w:rPr>
        <w:t>En outre,</w:t>
      </w:r>
      <w:r w:rsidR="00761289" w:rsidRPr="00AC7E46">
        <w:rPr>
          <w:rFonts w:eastAsia="Arial"/>
          <w:color w:val="000000" w:themeColor="text1"/>
          <w:lang w:val="fr-FR"/>
        </w:rPr>
        <w:t xml:space="preserve"> la DSI</w:t>
      </w:r>
      <w:r w:rsidRPr="00AC7E46">
        <w:rPr>
          <w:rFonts w:eastAsia="Arial"/>
          <w:color w:val="000000" w:themeColor="text1"/>
          <w:lang w:val="fr-FR"/>
        </w:rPr>
        <w:t xml:space="preserve"> a conduit un audit et une évaluation combinés du Bureau du conseiller juridique, qui ont débuté </w:t>
      </w:r>
      <w:r w:rsidR="00761289" w:rsidRPr="00AC7E46">
        <w:rPr>
          <w:rFonts w:eastAsia="Arial"/>
          <w:color w:val="000000" w:themeColor="text1"/>
          <w:lang w:val="fr-FR"/>
        </w:rPr>
        <w:t>en 2022</w:t>
      </w:r>
      <w:r w:rsidRPr="00AC7E46">
        <w:rPr>
          <w:rFonts w:eastAsia="Arial"/>
          <w:color w:val="000000" w:themeColor="text1"/>
          <w:lang w:val="fr-FR"/>
        </w:rPr>
        <w:t xml:space="preserve"> et se sont terminés </w:t>
      </w:r>
      <w:r w:rsidR="00761289" w:rsidRPr="00AC7E46">
        <w:rPr>
          <w:rFonts w:eastAsia="Arial"/>
          <w:color w:val="000000" w:themeColor="text1"/>
          <w:lang w:val="fr-FR"/>
        </w:rPr>
        <w:t>en 2023</w:t>
      </w:r>
      <w:r w:rsidRPr="00AC7E46">
        <w:rPr>
          <w:rFonts w:eastAsia="Arial"/>
          <w:color w:val="000000" w:themeColor="text1"/>
          <w:lang w:val="fr-FR"/>
        </w:rPr>
        <w:t>.</w:t>
      </w:r>
    </w:p>
    <w:p w14:paraId="63A2EAF5" w14:textId="14136326" w:rsidR="000D5281" w:rsidRPr="00AC7E46" w:rsidRDefault="000D5281" w:rsidP="00D31722">
      <w:pPr>
        <w:pStyle w:val="ONUMFS"/>
        <w:rPr>
          <w:lang w:val="fr-FR"/>
        </w:rPr>
      </w:pPr>
      <w:r w:rsidRPr="00AC7E46">
        <w:rPr>
          <w:lang w:val="fr-FR"/>
        </w:rPr>
        <w:t>Dans le cadre de ses services consultatifs,</w:t>
      </w:r>
      <w:r w:rsidR="00761289" w:rsidRPr="00AC7E46">
        <w:rPr>
          <w:lang w:val="fr-FR"/>
        </w:rPr>
        <w:t xml:space="preserve"> la DSI</w:t>
      </w:r>
      <w:r w:rsidRPr="00AC7E46">
        <w:rPr>
          <w:lang w:val="fr-FR"/>
        </w:rPr>
        <w:t xml:space="preserve"> a conseillé le Département de la gestion des ressources humaines (DGRH) en vue de favoriser la mise en place d</w:t>
      </w:r>
      <w:r w:rsidR="00761289" w:rsidRPr="00AC7E46">
        <w:rPr>
          <w:lang w:val="fr-FR"/>
        </w:rPr>
        <w:t>’</w:t>
      </w:r>
      <w:r w:rsidRPr="00AC7E46">
        <w:rPr>
          <w:lang w:val="fr-FR"/>
        </w:rPr>
        <w:t>un environnement plus inclusif et plus diversifié pour la procédure de recrutement des ressources humaines.</w:t>
      </w:r>
    </w:p>
    <w:p w14:paraId="7C1C9709" w14:textId="758BB7A3" w:rsidR="000D5281" w:rsidRPr="00AC7E46" w:rsidRDefault="000D5281" w:rsidP="00D31722">
      <w:pPr>
        <w:pStyle w:val="ONUMFS"/>
        <w:rPr>
          <w:rFonts w:eastAsia="Arial"/>
          <w:color w:val="000000" w:themeColor="text1"/>
          <w:lang w:val="fr-FR"/>
        </w:rPr>
      </w:pPr>
      <w:r w:rsidRPr="00AC7E46">
        <w:rPr>
          <w:rFonts w:eastAsia="Arial"/>
          <w:color w:val="000000" w:themeColor="text1"/>
          <w:lang w:val="fr-FR"/>
        </w:rPr>
        <w:t>Toutes les recommandations formulées dans les différents rapports ont été examinées et acceptées par la directi</w:t>
      </w:r>
      <w:r w:rsidR="00AC7E46" w:rsidRPr="00AC7E46">
        <w:rPr>
          <w:rFonts w:eastAsia="Arial"/>
          <w:color w:val="000000" w:themeColor="text1"/>
          <w:lang w:val="fr-FR"/>
        </w:rPr>
        <w:t>on.  En</w:t>
      </w:r>
      <w:r w:rsidRPr="00AC7E46">
        <w:rPr>
          <w:rFonts w:eastAsia="Arial"/>
          <w:color w:val="000000" w:themeColor="text1"/>
          <w:lang w:val="fr-FR"/>
        </w:rPr>
        <w:t xml:space="preserve"> outre, il ne s</w:t>
      </w:r>
      <w:r w:rsidR="00761289" w:rsidRPr="00AC7E46">
        <w:rPr>
          <w:rFonts w:eastAsia="Arial"/>
          <w:color w:val="000000" w:themeColor="text1"/>
          <w:lang w:val="fr-FR"/>
        </w:rPr>
        <w:t>’</w:t>
      </w:r>
      <w:r w:rsidRPr="00AC7E46">
        <w:rPr>
          <w:rFonts w:eastAsia="Arial"/>
          <w:color w:val="000000" w:themeColor="text1"/>
          <w:lang w:val="fr-FR"/>
        </w:rPr>
        <w:t>est produit aucun cas pouvant être considéré comme mettant en péril l</w:t>
      </w:r>
      <w:r w:rsidR="00761289" w:rsidRPr="00AC7E46">
        <w:rPr>
          <w:rFonts w:eastAsia="Arial"/>
          <w:color w:val="000000" w:themeColor="text1"/>
          <w:lang w:val="fr-FR"/>
        </w:rPr>
        <w:t>’</w:t>
      </w:r>
      <w:r w:rsidRPr="00AC7E46">
        <w:rPr>
          <w:rFonts w:eastAsia="Arial"/>
          <w:color w:val="000000" w:themeColor="text1"/>
          <w:lang w:val="fr-FR"/>
        </w:rPr>
        <w:t>indépendance opérationnelle de</w:t>
      </w:r>
      <w:r w:rsidR="00761289" w:rsidRPr="00AC7E46">
        <w:rPr>
          <w:rFonts w:eastAsia="Arial"/>
          <w:color w:val="000000" w:themeColor="text1"/>
          <w:lang w:val="fr-FR"/>
        </w:rPr>
        <w:t xml:space="preserve"> la DSI</w:t>
      </w:r>
      <w:r w:rsidRPr="00AC7E46">
        <w:rPr>
          <w:rFonts w:eastAsia="Arial"/>
          <w:color w:val="000000" w:themeColor="text1"/>
          <w:lang w:val="fr-FR"/>
        </w:rPr>
        <w:t xml:space="preserve"> ou perçu comme une ingérence dans le travail de la division.</w:t>
      </w:r>
    </w:p>
    <w:p w14:paraId="6FDB32E5" w14:textId="7AC1A743" w:rsidR="000D5281" w:rsidRPr="00AC7E46" w:rsidRDefault="000D5281" w:rsidP="00D31722">
      <w:pPr>
        <w:pStyle w:val="ONUMFS"/>
        <w:rPr>
          <w:lang w:val="fr-FR"/>
        </w:rPr>
      </w:pPr>
      <w:r w:rsidRPr="00AC7E46">
        <w:rPr>
          <w:rFonts w:eastAsia="Arial"/>
          <w:color w:val="000000" w:themeColor="text1"/>
          <w:lang w:val="fr-FR"/>
        </w:rPr>
        <w:t>Au cours de l</w:t>
      </w:r>
      <w:r w:rsidR="00761289" w:rsidRPr="00AC7E46">
        <w:rPr>
          <w:rFonts w:eastAsia="Arial"/>
          <w:color w:val="000000" w:themeColor="text1"/>
          <w:lang w:val="fr-FR"/>
        </w:rPr>
        <w:t>’</w:t>
      </w:r>
      <w:r w:rsidRPr="00AC7E46">
        <w:rPr>
          <w:rFonts w:eastAsia="Arial"/>
          <w:color w:val="000000" w:themeColor="text1"/>
          <w:lang w:val="fr-FR"/>
        </w:rPr>
        <w:t>année</w:t>
      </w:r>
      <w:r w:rsidR="001908D2">
        <w:rPr>
          <w:rFonts w:eastAsia="Arial"/>
          <w:color w:val="000000" w:themeColor="text1"/>
          <w:lang w:val="fr-FR"/>
        </w:rPr>
        <w:t> </w:t>
      </w:r>
      <w:r w:rsidRPr="00AC7E46">
        <w:rPr>
          <w:rFonts w:eastAsia="Arial"/>
          <w:color w:val="000000" w:themeColor="text1"/>
          <w:lang w:val="fr-FR"/>
        </w:rPr>
        <w:t>2023,</w:t>
      </w:r>
      <w:r w:rsidR="00761289" w:rsidRPr="00AC7E46">
        <w:rPr>
          <w:rFonts w:eastAsia="Arial"/>
          <w:color w:val="000000" w:themeColor="text1"/>
          <w:lang w:val="fr-FR"/>
        </w:rPr>
        <w:t xml:space="preserve"> la DSI</w:t>
      </w:r>
      <w:r w:rsidRPr="00AC7E46">
        <w:rPr>
          <w:rFonts w:eastAsia="Arial"/>
          <w:color w:val="000000" w:themeColor="text1"/>
          <w:lang w:val="fr-FR"/>
        </w:rPr>
        <w:t xml:space="preserve"> a publié six</w:t>
      </w:r>
      <w:r w:rsidR="006F1D4B" w:rsidRPr="00AC7E46">
        <w:rPr>
          <w:rFonts w:eastAsia="Arial"/>
          <w:color w:val="000000" w:themeColor="text1"/>
          <w:lang w:val="fr-FR"/>
        </w:rPr>
        <w:t> </w:t>
      </w:r>
      <w:r w:rsidRPr="00AC7E46">
        <w:rPr>
          <w:rFonts w:eastAsia="Arial"/>
          <w:color w:val="000000" w:themeColor="text1"/>
          <w:lang w:val="fr-FR"/>
        </w:rPr>
        <w:t>rapports d</w:t>
      </w:r>
      <w:r w:rsidR="00761289" w:rsidRPr="00AC7E46">
        <w:rPr>
          <w:rFonts w:eastAsia="Arial"/>
          <w:color w:val="000000" w:themeColor="text1"/>
          <w:lang w:val="fr-FR"/>
        </w:rPr>
        <w:t>’</w:t>
      </w:r>
      <w:r w:rsidRPr="00AC7E46">
        <w:rPr>
          <w:rFonts w:eastAsia="Arial"/>
          <w:color w:val="000000" w:themeColor="text1"/>
          <w:lang w:val="fr-FR"/>
        </w:rPr>
        <w:t>audit interne, deux</w:t>
      </w:r>
      <w:r w:rsidR="006F1D4B" w:rsidRPr="00AC7E46">
        <w:rPr>
          <w:rFonts w:eastAsia="Arial"/>
          <w:color w:val="000000" w:themeColor="text1"/>
          <w:lang w:val="fr-FR"/>
        </w:rPr>
        <w:t> </w:t>
      </w:r>
      <w:r w:rsidRPr="00AC7E46">
        <w:rPr>
          <w:rFonts w:eastAsia="Arial"/>
          <w:color w:val="000000" w:themeColor="text1"/>
          <w:lang w:val="fr-FR"/>
        </w:rPr>
        <w:t>rapports d</w:t>
      </w:r>
      <w:r w:rsidR="00761289" w:rsidRPr="00AC7E46">
        <w:rPr>
          <w:rFonts w:eastAsia="Arial"/>
          <w:color w:val="000000" w:themeColor="text1"/>
          <w:lang w:val="fr-FR"/>
        </w:rPr>
        <w:t>’</w:t>
      </w:r>
      <w:r w:rsidRPr="00AC7E46">
        <w:rPr>
          <w:rFonts w:eastAsia="Arial"/>
          <w:color w:val="000000" w:themeColor="text1"/>
          <w:lang w:val="fr-FR"/>
        </w:rPr>
        <w:t>évaluation, 14 rapports d</w:t>
      </w:r>
      <w:r w:rsidR="00761289" w:rsidRPr="00AC7E46">
        <w:rPr>
          <w:rFonts w:eastAsia="Arial"/>
          <w:color w:val="000000" w:themeColor="text1"/>
          <w:lang w:val="fr-FR"/>
        </w:rPr>
        <w:t>’</w:t>
      </w:r>
      <w:r w:rsidRPr="00AC7E46">
        <w:rPr>
          <w:rFonts w:eastAsia="Arial"/>
          <w:color w:val="000000" w:themeColor="text1"/>
          <w:lang w:val="fr-FR"/>
        </w:rPr>
        <w:t>enquête complète et trois</w:t>
      </w:r>
      <w:r w:rsidR="006F1D4B" w:rsidRPr="00AC7E46">
        <w:rPr>
          <w:rFonts w:eastAsia="Arial"/>
          <w:color w:val="000000" w:themeColor="text1"/>
          <w:lang w:val="fr-FR"/>
        </w:rPr>
        <w:t> </w:t>
      </w:r>
      <w:r w:rsidRPr="00AC7E46">
        <w:rPr>
          <w:rFonts w:eastAsia="Arial"/>
          <w:color w:val="000000" w:themeColor="text1"/>
          <w:lang w:val="fr-FR"/>
        </w:rPr>
        <w:t>rapports à l</w:t>
      </w:r>
      <w:r w:rsidR="00761289" w:rsidRPr="00AC7E46">
        <w:rPr>
          <w:rFonts w:eastAsia="Arial"/>
          <w:color w:val="000000" w:themeColor="text1"/>
          <w:lang w:val="fr-FR"/>
        </w:rPr>
        <w:t>’</w:t>
      </w:r>
      <w:r w:rsidRPr="00AC7E46">
        <w:rPr>
          <w:rFonts w:eastAsia="Arial"/>
          <w:color w:val="000000" w:themeColor="text1"/>
          <w:lang w:val="fr-FR"/>
        </w:rPr>
        <w:t>intention de la directi</w:t>
      </w:r>
      <w:r w:rsidR="00AC7E46" w:rsidRPr="00AC7E46">
        <w:rPr>
          <w:rFonts w:eastAsia="Arial"/>
          <w:color w:val="000000" w:themeColor="text1"/>
          <w:lang w:val="fr-FR"/>
        </w:rPr>
        <w:t>on.  La</w:t>
      </w:r>
      <w:r w:rsidR="00761289" w:rsidRPr="00AC7E46">
        <w:rPr>
          <w:rFonts w:eastAsia="Arial"/>
          <w:color w:val="000000" w:themeColor="text1"/>
          <w:lang w:val="fr-FR"/>
        </w:rPr>
        <w:t> DSI</w:t>
      </w:r>
      <w:r w:rsidRPr="00AC7E46">
        <w:rPr>
          <w:rFonts w:eastAsia="Arial"/>
          <w:color w:val="000000" w:themeColor="text1"/>
          <w:lang w:val="fr-FR"/>
        </w:rPr>
        <w:t xml:space="preserve"> a formulé 45 recommandations au cours de l</w:t>
      </w:r>
      <w:r w:rsidR="00761289" w:rsidRPr="00AC7E46">
        <w:rPr>
          <w:rFonts w:eastAsia="Arial"/>
          <w:color w:val="000000" w:themeColor="text1"/>
          <w:lang w:val="fr-FR"/>
        </w:rPr>
        <w:t>’</w:t>
      </w:r>
      <w:r w:rsidRPr="00AC7E46">
        <w:rPr>
          <w:rFonts w:eastAsia="Arial"/>
          <w:color w:val="000000" w:themeColor="text1"/>
          <w:lang w:val="fr-FR"/>
        </w:rPr>
        <w:t>année considérée et en a clôturé 78.  À la fin de l</w:t>
      </w:r>
      <w:r w:rsidR="00761289" w:rsidRPr="00AC7E46">
        <w:rPr>
          <w:rFonts w:eastAsia="Arial"/>
          <w:color w:val="000000" w:themeColor="text1"/>
          <w:lang w:val="fr-FR"/>
        </w:rPr>
        <w:t>’</w:t>
      </w:r>
      <w:r w:rsidRPr="00AC7E46">
        <w:rPr>
          <w:rFonts w:eastAsia="Arial"/>
          <w:color w:val="000000" w:themeColor="text1"/>
          <w:lang w:val="fr-FR"/>
        </w:rPr>
        <w:t>année</w:t>
      </w:r>
      <w:r w:rsidR="001908D2">
        <w:rPr>
          <w:rFonts w:eastAsia="Arial"/>
          <w:color w:val="000000" w:themeColor="text1"/>
          <w:lang w:val="fr-FR"/>
        </w:rPr>
        <w:t> </w:t>
      </w:r>
      <w:r w:rsidRPr="00AC7E46">
        <w:rPr>
          <w:rFonts w:eastAsia="Arial"/>
          <w:color w:val="000000" w:themeColor="text1"/>
          <w:lang w:val="fr-FR"/>
        </w:rPr>
        <w:t>2023, 59 recommandations étaient en suspe</w:t>
      </w:r>
      <w:r w:rsidR="00AC7E46" w:rsidRPr="00AC7E46">
        <w:rPr>
          <w:rFonts w:eastAsia="Arial"/>
          <w:color w:val="000000" w:themeColor="text1"/>
          <w:lang w:val="fr-FR"/>
        </w:rPr>
        <w:t>ns.  Pa</w:t>
      </w:r>
      <w:r w:rsidRPr="00AC7E46">
        <w:rPr>
          <w:rFonts w:eastAsia="Arial"/>
          <w:color w:val="000000" w:themeColor="text1"/>
          <w:lang w:val="fr-FR"/>
        </w:rPr>
        <w:t>rmi celles</w:t>
      </w:r>
      <w:r w:rsidR="001908D2">
        <w:rPr>
          <w:rFonts w:eastAsia="Arial"/>
          <w:color w:val="000000" w:themeColor="text1"/>
          <w:lang w:val="fr-FR"/>
        </w:rPr>
        <w:noBreakHyphen/>
      </w:r>
      <w:r w:rsidRPr="00AC7E46">
        <w:rPr>
          <w:rFonts w:eastAsia="Arial"/>
          <w:color w:val="000000" w:themeColor="text1"/>
          <w:lang w:val="fr-FR"/>
        </w:rPr>
        <w:t>ci, 48 concernaient des engagements de</w:t>
      </w:r>
      <w:r w:rsidR="00761289" w:rsidRPr="00AC7E46">
        <w:rPr>
          <w:rFonts w:eastAsia="Arial"/>
          <w:color w:val="000000" w:themeColor="text1"/>
          <w:lang w:val="fr-FR"/>
        </w:rPr>
        <w:t xml:space="preserve"> la DSI</w:t>
      </w:r>
      <w:r w:rsidRPr="00AC7E46">
        <w:rPr>
          <w:rFonts w:eastAsia="Arial"/>
          <w:color w:val="000000" w:themeColor="text1"/>
          <w:lang w:val="fr-FR"/>
        </w:rPr>
        <w:t xml:space="preserve"> et 11 provenaient de rapports du vérificateur externe des comptes.</w:t>
      </w:r>
    </w:p>
    <w:p w14:paraId="473C7A7F" w14:textId="2FB4DFD3" w:rsidR="000D5281" w:rsidRPr="00AC7E46" w:rsidRDefault="000D5281" w:rsidP="00D31722">
      <w:pPr>
        <w:pStyle w:val="ONUMFS"/>
        <w:rPr>
          <w:rFonts w:eastAsia="Arial"/>
          <w:color w:val="000000" w:themeColor="text1"/>
          <w:lang w:val="fr-FR"/>
        </w:rPr>
      </w:pPr>
      <w:bookmarkStart w:id="11" w:name="OLE_LINK1"/>
      <w:r w:rsidRPr="00AC7E46">
        <w:rPr>
          <w:lang w:val="fr-FR"/>
        </w:rPr>
        <w:t>Au cours de l</w:t>
      </w:r>
      <w:r w:rsidR="00761289" w:rsidRPr="00AC7E46">
        <w:rPr>
          <w:lang w:val="fr-FR"/>
        </w:rPr>
        <w:t>’</w:t>
      </w:r>
      <w:r w:rsidRPr="00AC7E46">
        <w:rPr>
          <w:lang w:val="fr-FR"/>
        </w:rPr>
        <w:t>année 2023</w:t>
      </w:r>
      <w:r w:rsidRPr="00AC7E46">
        <w:rPr>
          <w:rFonts w:eastAsia="Arial"/>
          <w:color w:val="000000" w:themeColor="text1"/>
          <w:lang w:val="fr-FR"/>
        </w:rPr>
        <w:t>, 37 nouvelles plaintes ont été enregistrées, soit une hausse de 16</w:t>
      </w:r>
      <w:r w:rsidR="006F1D4B" w:rsidRPr="00AC7E46">
        <w:rPr>
          <w:rFonts w:eastAsia="Arial"/>
          <w:color w:val="000000" w:themeColor="text1"/>
          <w:lang w:val="fr-FR"/>
        </w:rPr>
        <w:t>%</w:t>
      </w:r>
      <w:r w:rsidRPr="00AC7E46">
        <w:rPr>
          <w:rFonts w:eastAsia="Arial"/>
          <w:color w:val="000000" w:themeColor="text1"/>
          <w:lang w:val="fr-FR"/>
        </w:rPr>
        <w:t xml:space="preserve"> par rapport à 2022.  Au cours de la même période, 31 dossiers de plaintes ont été clôturés après l</w:t>
      </w:r>
      <w:r w:rsidR="00761289" w:rsidRPr="00AC7E46">
        <w:rPr>
          <w:rFonts w:eastAsia="Arial"/>
          <w:color w:val="000000" w:themeColor="text1"/>
          <w:lang w:val="fr-FR"/>
        </w:rPr>
        <w:t>’</w:t>
      </w:r>
      <w:r w:rsidRPr="00AC7E46">
        <w:rPr>
          <w:rFonts w:eastAsia="Arial"/>
          <w:color w:val="000000" w:themeColor="text1"/>
          <w:lang w:val="fr-FR"/>
        </w:rPr>
        <w:t>évaluation préliminaire et 14 enquêtes ont été clôturé</w:t>
      </w:r>
      <w:r w:rsidR="00AC7E46" w:rsidRPr="00AC7E46">
        <w:rPr>
          <w:rFonts w:eastAsia="Arial"/>
          <w:color w:val="000000" w:themeColor="text1"/>
          <w:lang w:val="fr-FR"/>
        </w:rPr>
        <w:t>es.  Au</w:t>
      </w:r>
      <w:r w:rsidRPr="00AC7E46">
        <w:rPr>
          <w:rFonts w:eastAsia="Arial"/>
          <w:color w:val="000000" w:themeColor="text1"/>
          <w:lang w:val="fr-FR"/>
        </w:rPr>
        <w:t xml:space="preserve"> 31 décembre 2023, 16 dossiers étaient en cours, dont cinq au stade de l</w:t>
      </w:r>
      <w:r w:rsidR="00761289" w:rsidRPr="00AC7E46">
        <w:rPr>
          <w:rFonts w:eastAsia="Arial"/>
          <w:color w:val="000000" w:themeColor="text1"/>
          <w:lang w:val="fr-FR"/>
        </w:rPr>
        <w:t>’</w:t>
      </w:r>
      <w:r w:rsidRPr="00AC7E46">
        <w:rPr>
          <w:rFonts w:eastAsia="Arial"/>
          <w:color w:val="000000" w:themeColor="text1"/>
          <w:lang w:val="fr-FR"/>
        </w:rPr>
        <w:t xml:space="preserve">évaluation préliminaire, </w:t>
      </w:r>
      <w:bookmarkEnd w:id="11"/>
      <w:r w:rsidRPr="00AC7E46">
        <w:rPr>
          <w:rFonts w:eastAsia="Arial"/>
          <w:color w:val="000000" w:themeColor="text1"/>
          <w:lang w:val="fr-FR"/>
        </w:rPr>
        <w:t>sept enquêtes et quatre en suspens (du fait de l</w:t>
      </w:r>
      <w:r w:rsidR="00761289" w:rsidRPr="00AC7E46">
        <w:rPr>
          <w:rFonts w:eastAsia="Arial"/>
          <w:color w:val="000000" w:themeColor="text1"/>
          <w:lang w:val="fr-FR"/>
        </w:rPr>
        <w:t>’</w:t>
      </w:r>
      <w:r w:rsidRPr="00AC7E46">
        <w:rPr>
          <w:rFonts w:eastAsia="Arial"/>
          <w:color w:val="000000" w:themeColor="text1"/>
          <w:lang w:val="fr-FR"/>
        </w:rPr>
        <w:t>indisponibilité d</w:t>
      </w:r>
      <w:r w:rsidR="00761289" w:rsidRPr="00AC7E46">
        <w:rPr>
          <w:rFonts w:eastAsia="Arial"/>
          <w:color w:val="000000" w:themeColor="text1"/>
          <w:lang w:val="fr-FR"/>
        </w:rPr>
        <w:t>’</w:t>
      </w:r>
      <w:r w:rsidRPr="00AC7E46">
        <w:rPr>
          <w:rFonts w:eastAsia="Arial"/>
          <w:color w:val="000000" w:themeColor="text1"/>
          <w:lang w:val="fr-FR"/>
        </w:rPr>
        <w:t>une partie à une enquête ou d</w:t>
      </w:r>
      <w:r w:rsidR="00761289" w:rsidRPr="00AC7E46">
        <w:rPr>
          <w:rFonts w:eastAsia="Arial"/>
          <w:color w:val="000000" w:themeColor="text1"/>
          <w:lang w:val="fr-FR"/>
        </w:rPr>
        <w:t>’</w:t>
      </w:r>
      <w:r w:rsidRPr="00AC7E46">
        <w:rPr>
          <w:rFonts w:eastAsia="Arial"/>
          <w:color w:val="000000" w:themeColor="text1"/>
          <w:lang w:val="fr-FR"/>
        </w:rPr>
        <w:t>une procédure en cours par une autre enti</w:t>
      </w:r>
      <w:r w:rsidR="00AC7E46" w:rsidRPr="00AC7E46">
        <w:rPr>
          <w:rFonts w:eastAsia="Arial"/>
          <w:color w:val="000000" w:themeColor="text1"/>
          <w:lang w:val="fr-FR"/>
        </w:rPr>
        <w:t>té).  Pa</w:t>
      </w:r>
      <w:r w:rsidRPr="00AC7E46">
        <w:rPr>
          <w:rFonts w:eastAsia="Arial"/>
          <w:color w:val="000000" w:themeColor="text1"/>
          <w:lang w:val="fr-FR"/>
        </w:rPr>
        <w:t>rmi les affaires en cours, 12</w:t>
      </w:r>
      <w:r w:rsidR="001908D2">
        <w:rPr>
          <w:rFonts w:eastAsia="Arial"/>
          <w:color w:val="000000" w:themeColor="text1"/>
          <w:lang w:val="fr-FR"/>
        </w:rPr>
        <w:t> </w:t>
      </w:r>
      <w:r w:rsidRPr="00AC7E46">
        <w:rPr>
          <w:rFonts w:eastAsia="Arial"/>
          <w:color w:val="000000" w:themeColor="text1"/>
          <w:lang w:val="fr-FR"/>
        </w:rPr>
        <w:t xml:space="preserve">dossiers ont été ouverts </w:t>
      </w:r>
      <w:r w:rsidR="00761289" w:rsidRPr="00AC7E46">
        <w:rPr>
          <w:rFonts w:eastAsia="Arial"/>
          <w:color w:val="000000" w:themeColor="text1"/>
          <w:lang w:val="fr-FR"/>
        </w:rPr>
        <w:t>en 2023</w:t>
      </w:r>
      <w:r w:rsidRPr="00AC7E46">
        <w:rPr>
          <w:rFonts w:eastAsia="Arial"/>
          <w:color w:val="000000" w:themeColor="text1"/>
          <w:lang w:val="fr-FR"/>
        </w:rPr>
        <w:t xml:space="preserve"> et quatre </w:t>
      </w:r>
      <w:r w:rsidR="00761289" w:rsidRPr="00AC7E46">
        <w:rPr>
          <w:rFonts w:eastAsia="Arial"/>
          <w:color w:val="000000" w:themeColor="text1"/>
          <w:lang w:val="fr-FR"/>
        </w:rPr>
        <w:t>en 2022</w:t>
      </w:r>
      <w:r w:rsidRPr="00AC7E46">
        <w:rPr>
          <w:rFonts w:eastAsia="Arial"/>
          <w:color w:val="000000" w:themeColor="text1"/>
          <w:lang w:val="fr-FR"/>
        </w:rPr>
        <w:t>.  Il est à noter qu</w:t>
      </w:r>
      <w:r w:rsidR="00761289" w:rsidRPr="00AC7E46">
        <w:rPr>
          <w:rFonts w:eastAsia="Arial"/>
          <w:color w:val="000000" w:themeColor="text1"/>
          <w:lang w:val="fr-FR"/>
        </w:rPr>
        <w:t>’</w:t>
      </w:r>
      <w:r w:rsidRPr="00AC7E46">
        <w:rPr>
          <w:rFonts w:eastAsia="Arial"/>
          <w:color w:val="000000" w:themeColor="text1"/>
          <w:lang w:val="fr-FR"/>
        </w:rPr>
        <w:t>aucune des affaires susmentionnées n</w:t>
      </w:r>
      <w:r w:rsidR="00761289" w:rsidRPr="00AC7E46">
        <w:rPr>
          <w:rFonts w:eastAsia="Arial"/>
          <w:color w:val="000000" w:themeColor="text1"/>
          <w:lang w:val="fr-FR"/>
        </w:rPr>
        <w:t>’</w:t>
      </w:r>
      <w:r w:rsidRPr="00AC7E46">
        <w:rPr>
          <w:rFonts w:eastAsia="Arial"/>
          <w:color w:val="000000" w:themeColor="text1"/>
          <w:lang w:val="fr-FR"/>
        </w:rPr>
        <w:t>a été considérée comme ayant une incidence financière significative sur l</w:t>
      </w:r>
      <w:r w:rsidR="00761289" w:rsidRPr="00AC7E46">
        <w:rPr>
          <w:rFonts w:eastAsia="Arial"/>
          <w:color w:val="000000" w:themeColor="text1"/>
          <w:lang w:val="fr-FR"/>
        </w:rPr>
        <w:t>’</w:t>
      </w:r>
      <w:r w:rsidRPr="00AC7E46">
        <w:rPr>
          <w:rFonts w:eastAsia="Arial"/>
          <w:color w:val="000000" w:themeColor="text1"/>
          <w:lang w:val="fr-FR"/>
        </w:rPr>
        <w:t>Organisation.</w:t>
      </w:r>
    </w:p>
    <w:p w14:paraId="763424FD" w14:textId="21DC69F3" w:rsidR="000D5281" w:rsidRPr="00AC7E46" w:rsidRDefault="000D5281" w:rsidP="00D31722">
      <w:pPr>
        <w:pStyle w:val="ONUMFS"/>
        <w:rPr>
          <w:rFonts w:eastAsia="Arial"/>
          <w:color w:val="000000" w:themeColor="text1"/>
          <w:szCs w:val="22"/>
          <w:lang w:val="fr-FR"/>
        </w:rPr>
      </w:pPr>
      <w:r w:rsidRPr="00AC7E46">
        <w:rPr>
          <w:rFonts w:eastAsia="Arial"/>
          <w:color w:val="000000" w:themeColor="text1"/>
          <w:lang w:val="fr-FR"/>
        </w:rPr>
        <w:t>Après chaque mission,</w:t>
      </w:r>
      <w:r w:rsidR="00761289" w:rsidRPr="00AC7E46">
        <w:rPr>
          <w:rFonts w:eastAsia="Arial"/>
          <w:color w:val="000000" w:themeColor="text1"/>
          <w:lang w:val="fr-FR"/>
        </w:rPr>
        <w:t xml:space="preserve"> la DSI</w:t>
      </w:r>
      <w:r w:rsidRPr="00AC7E46">
        <w:rPr>
          <w:rFonts w:eastAsia="Arial"/>
          <w:color w:val="000000" w:themeColor="text1"/>
          <w:lang w:val="fr-FR"/>
        </w:rPr>
        <w:t xml:space="preserve"> a continué de recueillir les avis des collègues de l</w:t>
      </w:r>
      <w:r w:rsidR="00761289" w:rsidRPr="00AC7E46">
        <w:rPr>
          <w:rFonts w:eastAsia="Arial"/>
          <w:color w:val="000000" w:themeColor="text1"/>
          <w:lang w:val="fr-FR"/>
        </w:rPr>
        <w:t>’</w:t>
      </w:r>
      <w:r w:rsidRPr="00AC7E46">
        <w:rPr>
          <w:rFonts w:eastAsia="Arial"/>
          <w:color w:val="000000" w:themeColor="text1"/>
          <w:lang w:val="fr-FR"/>
        </w:rPr>
        <w:t>OMPI dans les unités administratives ayant fait l</w:t>
      </w:r>
      <w:r w:rsidR="00761289" w:rsidRPr="00AC7E46">
        <w:rPr>
          <w:rFonts w:eastAsia="Arial"/>
          <w:color w:val="000000" w:themeColor="text1"/>
          <w:lang w:val="fr-FR"/>
        </w:rPr>
        <w:t>’</w:t>
      </w:r>
      <w:r w:rsidRPr="00AC7E46">
        <w:rPr>
          <w:rFonts w:eastAsia="Arial"/>
          <w:color w:val="000000" w:themeColor="text1"/>
          <w:lang w:val="fr-FR"/>
        </w:rPr>
        <w:t>objet d</w:t>
      </w:r>
      <w:r w:rsidR="00761289" w:rsidRPr="00AC7E46">
        <w:rPr>
          <w:rFonts w:eastAsia="Arial"/>
          <w:color w:val="000000" w:themeColor="text1"/>
          <w:lang w:val="fr-FR"/>
        </w:rPr>
        <w:t>’</w:t>
      </w:r>
      <w:r w:rsidRPr="00AC7E46">
        <w:rPr>
          <w:rFonts w:eastAsia="Arial"/>
          <w:color w:val="000000" w:themeColor="text1"/>
          <w:lang w:val="fr-FR"/>
        </w:rPr>
        <w:t>audits ou d</w:t>
      </w:r>
      <w:r w:rsidR="00761289" w:rsidRPr="00AC7E46">
        <w:rPr>
          <w:rFonts w:eastAsia="Arial"/>
          <w:color w:val="000000" w:themeColor="text1"/>
          <w:lang w:val="fr-FR"/>
        </w:rPr>
        <w:t>’</w:t>
      </w:r>
      <w:r w:rsidRPr="00AC7E46">
        <w:rPr>
          <w:rFonts w:eastAsia="Arial"/>
          <w:color w:val="000000" w:themeColor="text1"/>
          <w:lang w:val="fr-FR"/>
        </w:rPr>
        <w:t>évaluations et a évalué ses propres performances au moyen d</w:t>
      </w:r>
      <w:r w:rsidR="00761289" w:rsidRPr="00AC7E46">
        <w:rPr>
          <w:rFonts w:eastAsia="Arial"/>
          <w:color w:val="000000" w:themeColor="text1"/>
          <w:lang w:val="fr-FR"/>
        </w:rPr>
        <w:t>’</w:t>
      </w:r>
      <w:r w:rsidRPr="00AC7E46">
        <w:rPr>
          <w:rFonts w:eastAsia="Arial"/>
          <w:color w:val="000000" w:themeColor="text1"/>
          <w:lang w:val="fr-FR"/>
        </w:rPr>
        <w:t>enquêtes sur le niveau de satisfaction des clien</w:t>
      </w:r>
      <w:r w:rsidR="00AC7E46" w:rsidRPr="00AC7E46">
        <w:rPr>
          <w:rFonts w:eastAsia="Arial"/>
          <w:color w:val="000000" w:themeColor="text1"/>
          <w:lang w:val="fr-FR"/>
        </w:rPr>
        <w:t xml:space="preserve">ts.  À </w:t>
      </w:r>
      <w:r w:rsidRPr="00AC7E46">
        <w:rPr>
          <w:rFonts w:eastAsia="Arial"/>
          <w:color w:val="000000" w:themeColor="text1"/>
          <w:lang w:val="fr-FR"/>
        </w:rPr>
        <w:t xml:space="preserve">la fin </w:t>
      </w:r>
      <w:r w:rsidRPr="00AC7E46">
        <w:rPr>
          <w:rFonts w:eastAsia="Arial"/>
          <w:color w:val="000000" w:themeColor="text1"/>
          <w:lang w:val="fr-FR"/>
        </w:rPr>
        <w:lastRenderedPageBreak/>
        <w:t>de l</w:t>
      </w:r>
      <w:r w:rsidR="00761289" w:rsidRPr="00AC7E46">
        <w:rPr>
          <w:rFonts w:eastAsia="Arial"/>
          <w:color w:val="000000" w:themeColor="text1"/>
          <w:lang w:val="fr-FR"/>
        </w:rPr>
        <w:t>’</w:t>
      </w:r>
      <w:r w:rsidRPr="00AC7E46">
        <w:rPr>
          <w:rFonts w:eastAsia="Arial"/>
          <w:color w:val="000000" w:themeColor="text1"/>
          <w:lang w:val="fr-FR"/>
        </w:rPr>
        <w:t>année 2023, l</w:t>
      </w:r>
      <w:r w:rsidR="00761289" w:rsidRPr="00AC7E46">
        <w:rPr>
          <w:rFonts w:eastAsia="Arial"/>
          <w:color w:val="000000" w:themeColor="text1"/>
          <w:lang w:val="fr-FR"/>
        </w:rPr>
        <w:t>’</w:t>
      </w:r>
      <w:r w:rsidRPr="00AC7E46">
        <w:rPr>
          <w:rFonts w:eastAsia="Arial"/>
          <w:color w:val="000000" w:themeColor="text1"/>
          <w:lang w:val="fr-FR"/>
        </w:rPr>
        <w:t>analyse globale des résultats de ces enquêtes révélait un taux de satisfaction de 91</w:t>
      </w:r>
      <w:r w:rsidR="006F1D4B" w:rsidRPr="00AC7E46">
        <w:rPr>
          <w:rFonts w:eastAsia="Arial"/>
          <w:color w:val="000000" w:themeColor="text1"/>
          <w:lang w:val="fr-FR"/>
        </w:rPr>
        <w:t>%</w:t>
      </w:r>
      <w:r w:rsidRPr="00AC7E46">
        <w:rPr>
          <w:rFonts w:eastAsia="Arial"/>
          <w:color w:val="000000" w:themeColor="text1"/>
          <w:lang w:val="fr-FR"/>
        </w:rPr>
        <w:t xml:space="preserve"> pour le retour d</w:t>
      </w:r>
      <w:r w:rsidR="00761289" w:rsidRPr="00AC7E46">
        <w:rPr>
          <w:rFonts w:eastAsia="Arial"/>
          <w:color w:val="000000" w:themeColor="text1"/>
          <w:lang w:val="fr-FR"/>
        </w:rPr>
        <w:t>’</w:t>
      </w:r>
      <w:r w:rsidRPr="00AC7E46">
        <w:rPr>
          <w:rFonts w:eastAsia="Arial"/>
          <w:color w:val="000000" w:themeColor="text1"/>
          <w:lang w:val="fr-FR"/>
        </w:rPr>
        <w:t>information après mission, et de 76</w:t>
      </w:r>
      <w:r w:rsidR="006F1D4B" w:rsidRPr="00AC7E46">
        <w:rPr>
          <w:rFonts w:eastAsia="Arial"/>
          <w:color w:val="000000" w:themeColor="text1"/>
          <w:lang w:val="fr-FR"/>
        </w:rPr>
        <w:t>%</w:t>
      </w:r>
      <w:r w:rsidRPr="00AC7E46">
        <w:rPr>
          <w:rFonts w:eastAsia="Arial"/>
          <w:color w:val="000000" w:themeColor="text1"/>
          <w:lang w:val="fr-FR"/>
        </w:rPr>
        <w:t xml:space="preserve"> pour les enquêtes envoyées au moins un an après l</w:t>
      </w:r>
      <w:r w:rsidR="00761289" w:rsidRPr="00AC7E46">
        <w:rPr>
          <w:rFonts w:eastAsia="Arial"/>
          <w:color w:val="000000" w:themeColor="text1"/>
          <w:lang w:val="fr-FR"/>
        </w:rPr>
        <w:t>’</w:t>
      </w:r>
      <w:r w:rsidRPr="00AC7E46">
        <w:rPr>
          <w:rFonts w:eastAsia="Arial"/>
          <w:color w:val="000000" w:themeColor="text1"/>
          <w:lang w:val="fr-FR"/>
        </w:rPr>
        <w:t>achèvement des missio</w:t>
      </w:r>
      <w:r w:rsidR="00AC7E46" w:rsidRPr="00AC7E46">
        <w:rPr>
          <w:rFonts w:eastAsia="Arial"/>
          <w:color w:val="000000" w:themeColor="text1"/>
          <w:lang w:val="fr-FR"/>
        </w:rPr>
        <w:t>ns.  Le</w:t>
      </w:r>
      <w:r w:rsidRPr="00AC7E46">
        <w:rPr>
          <w:rFonts w:eastAsia="Arial"/>
          <w:color w:val="000000" w:themeColor="text1"/>
          <w:lang w:val="fr-FR"/>
        </w:rPr>
        <w:t>s observations supplémentaires fournies par les clients contribuent à alimenter le programme d</w:t>
      </w:r>
      <w:r w:rsidR="00761289" w:rsidRPr="00AC7E46">
        <w:rPr>
          <w:rFonts w:eastAsia="Arial"/>
          <w:color w:val="000000" w:themeColor="text1"/>
          <w:lang w:val="fr-FR"/>
        </w:rPr>
        <w:t>’</w:t>
      </w:r>
      <w:r w:rsidRPr="00AC7E46">
        <w:rPr>
          <w:rFonts w:eastAsia="Arial"/>
          <w:color w:val="000000" w:themeColor="text1"/>
          <w:lang w:val="fr-FR"/>
        </w:rPr>
        <w:t>assurance et d</w:t>
      </w:r>
      <w:r w:rsidR="00761289" w:rsidRPr="00AC7E46">
        <w:rPr>
          <w:rFonts w:eastAsia="Arial"/>
          <w:color w:val="000000" w:themeColor="text1"/>
          <w:lang w:val="fr-FR"/>
        </w:rPr>
        <w:t>’</w:t>
      </w:r>
      <w:r w:rsidRPr="00AC7E46">
        <w:rPr>
          <w:rFonts w:eastAsia="Arial"/>
          <w:color w:val="000000" w:themeColor="text1"/>
          <w:lang w:val="fr-FR"/>
        </w:rPr>
        <w:t>amélioration de la qualité de</w:t>
      </w:r>
      <w:r w:rsidR="00761289" w:rsidRPr="00AC7E46">
        <w:rPr>
          <w:rFonts w:eastAsia="Arial"/>
          <w:color w:val="000000" w:themeColor="text1"/>
          <w:lang w:val="fr-FR"/>
        </w:rPr>
        <w:t xml:space="preserve"> la DSI</w:t>
      </w:r>
      <w:r w:rsidRPr="00AC7E46">
        <w:rPr>
          <w:rFonts w:eastAsia="Arial"/>
          <w:color w:val="000000" w:themeColor="text1"/>
          <w:lang w:val="fr-FR"/>
        </w:rPr>
        <w:t>.</w:t>
      </w:r>
    </w:p>
    <w:p w14:paraId="497BE95B" w14:textId="21E747F1" w:rsidR="000D5281" w:rsidRPr="00AC7E46" w:rsidRDefault="00761289" w:rsidP="00D31722">
      <w:pPr>
        <w:pStyle w:val="ONUMFS"/>
        <w:rPr>
          <w:rFonts w:eastAsia="Arial"/>
          <w:color w:val="000000" w:themeColor="text1"/>
          <w:szCs w:val="22"/>
          <w:lang w:val="fr-FR"/>
        </w:rPr>
      </w:pPr>
      <w:r w:rsidRPr="00AC7E46">
        <w:rPr>
          <w:rFonts w:eastAsia="Arial"/>
          <w:color w:val="000000" w:themeColor="text1"/>
          <w:lang w:val="fr-FR"/>
        </w:rPr>
        <w:t>En 2024</w:t>
      </w:r>
      <w:r w:rsidR="000D5281" w:rsidRPr="00AC7E46">
        <w:rPr>
          <w:rFonts w:eastAsia="Arial"/>
          <w:color w:val="000000" w:themeColor="text1"/>
          <w:lang w:val="fr-FR"/>
        </w:rPr>
        <w:t>,</w:t>
      </w:r>
      <w:r w:rsidRPr="00AC7E46">
        <w:rPr>
          <w:rFonts w:eastAsia="Arial"/>
          <w:color w:val="000000" w:themeColor="text1"/>
          <w:lang w:val="fr-FR"/>
        </w:rPr>
        <w:t xml:space="preserve"> la DSI</w:t>
      </w:r>
      <w:r w:rsidR="000D5281" w:rsidRPr="00AC7E46">
        <w:rPr>
          <w:rFonts w:eastAsia="Arial"/>
          <w:color w:val="000000" w:themeColor="text1"/>
          <w:lang w:val="fr-FR"/>
        </w:rPr>
        <w:t xml:space="preserve"> continuera de jouer son rôle en soutenant la fondation de la maison stratégique de l</w:t>
      </w:r>
      <w:r w:rsidRPr="00AC7E46">
        <w:rPr>
          <w:rFonts w:eastAsia="Arial"/>
          <w:color w:val="000000" w:themeColor="text1"/>
          <w:lang w:val="fr-FR"/>
        </w:rPr>
        <w:t>’</w:t>
      </w:r>
      <w:r w:rsidR="000D5281" w:rsidRPr="00AC7E46">
        <w:rPr>
          <w:rFonts w:eastAsia="Arial"/>
          <w:color w:val="000000" w:themeColor="text1"/>
          <w:lang w:val="fr-FR"/>
        </w:rPr>
        <w:t>Organisation et la réalisation</w:t>
      </w:r>
      <w:r w:rsidRPr="00AC7E46">
        <w:rPr>
          <w:rFonts w:eastAsia="Arial"/>
          <w:color w:val="000000" w:themeColor="text1"/>
          <w:lang w:val="fr-FR"/>
        </w:rPr>
        <w:t xml:space="preserve"> du PSM</w:t>
      </w:r>
      <w:r w:rsidR="000D5281" w:rsidRPr="00AC7E46">
        <w:rPr>
          <w:rFonts w:eastAsia="Arial"/>
          <w:color w:val="000000" w:themeColor="text1"/>
          <w:lang w:val="fr-FR"/>
        </w:rPr>
        <w:t>T, en donnant des assurances, en fournissant des conseils et des formations, et en soutenant la reddition de comptes, la justice interne et l</w:t>
      </w:r>
      <w:r w:rsidRPr="00AC7E46">
        <w:rPr>
          <w:rFonts w:eastAsia="Arial"/>
          <w:color w:val="000000" w:themeColor="text1"/>
          <w:lang w:val="fr-FR"/>
        </w:rPr>
        <w:t>’</w:t>
      </w:r>
      <w:r w:rsidR="000D5281" w:rsidRPr="00AC7E46">
        <w:rPr>
          <w:rFonts w:eastAsia="Arial"/>
          <w:color w:val="000000" w:themeColor="text1"/>
          <w:lang w:val="fr-FR"/>
        </w:rPr>
        <w:t>intégrité.</w:t>
      </w:r>
    </w:p>
    <w:p w14:paraId="31B4342E" w14:textId="54337F2E" w:rsidR="000D5281" w:rsidRPr="00AC7E46" w:rsidRDefault="008E3F67" w:rsidP="008E3F67">
      <w:pPr>
        <w:pStyle w:val="Heading1"/>
      </w:pPr>
      <w:bookmarkStart w:id="12" w:name="_Toc165888308"/>
      <w:r>
        <w:t>C</w:t>
      </w:r>
      <w:r w:rsidRPr="00AC7E46">
        <w:t>ontexte</w:t>
      </w:r>
      <w:bookmarkEnd w:id="9"/>
      <w:bookmarkEnd w:id="10"/>
      <w:bookmarkEnd w:id="12"/>
    </w:p>
    <w:p w14:paraId="6942A6AB" w14:textId="4452F2CB" w:rsidR="000D5281" w:rsidRPr="00AC7E46" w:rsidRDefault="000D5281" w:rsidP="00D31722">
      <w:pPr>
        <w:pStyle w:val="ONUMFS"/>
        <w:rPr>
          <w:lang w:val="fr-FR"/>
        </w:rPr>
      </w:pPr>
      <w:r w:rsidRPr="00AC7E46">
        <w:rPr>
          <w:lang w:val="fr-FR"/>
        </w:rPr>
        <w:t>La DSI a pour mission d</w:t>
      </w:r>
      <w:r w:rsidR="00761289" w:rsidRPr="00AC7E46">
        <w:rPr>
          <w:lang w:val="fr-FR"/>
        </w:rPr>
        <w:t>’</w:t>
      </w:r>
      <w:r w:rsidRPr="00AC7E46">
        <w:rPr>
          <w:lang w:val="fr-FR"/>
        </w:rPr>
        <w:t>assurer à l</w:t>
      </w:r>
      <w:r w:rsidR="00761289" w:rsidRPr="00AC7E46">
        <w:rPr>
          <w:lang w:val="fr-FR"/>
        </w:rPr>
        <w:t>’</w:t>
      </w:r>
      <w:r w:rsidRPr="00AC7E46">
        <w:rPr>
          <w:lang w:val="fr-FR"/>
        </w:rPr>
        <w:t>OMPI une supervision interne indépendante et efficace, conformément aux dispositions de la Charte de la supervision interne.</w:t>
      </w:r>
    </w:p>
    <w:p w14:paraId="3D00E5C8" w14:textId="44EF331A" w:rsidR="000D5281" w:rsidRPr="00AC7E46" w:rsidRDefault="000D5281" w:rsidP="00D31722">
      <w:pPr>
        <w:pStyle w:val="ONUMFS"/>
        <w:rPr>
          <w:lang w:val="fr-FR"/>
        </w:rPr>
      </w:pPr>
      <w:r w:rsidRPr="00AC7E46">
        <w:rPr>
          <w:lang w:val="fr-FR"/>
        </w:rPr>
        <w:t>En vertu de la Charte de la supervision interne</w:t>
      </w:r>
      <w:r w:rsidRPr="00AC7E46">
        <w:rPr>
          <w:rStyle w:val="FootnoteReference"/>
          <w:lang w:val="fr-FR"/>
        </w:rPr>
        <w:footnoteReference w:id="2"/>
      </w:r>
      <w:r w:rsidRPr="00AC7E46">
        <w:rPr>
          <w:lang w:val="fr-FR"/>
        </w:rPr>
        <w:t>, le directeur de</w:t>
      </w:r>
      <w:r w:rsidR="00761289" w:rsidRPr="00AC7E46">
        <w:rPr>
          <w:lang w:val="fr-FR"/>
        </w:rPr>
        <w:t xml:space="preserve"> la DSI</w:t>
      </w:r>
      <w:r w:rsidRPr="00AC7E46">
        <w:rPr>
          <w:lang w:val="fr-FR"/>
        </w:rPr>
        <w:t xml:space="preserve"> soumet chaque année un rapport de synthèse à l</w:t>
      </w:r>
      <w:r w:rsidR="00761289" w:rsidRPr="00AC7E46">
        <w:rPr>
          <w:lang w:val="fr-FR"/>
        </w:rPr>
        <w:t>’</w:t>
      </w:r>
      <w:r w:rsidRPr="00AC7E46">
        <w:rPr>
          <w:lang w:val="fr-FR"/>
        </w:rPr>
        <w:t>Assemblée générale de l</w:t>
      </w:r>
      <w:r w:rsidR="00761289" w:rsidRPr="00AC7E46">
        <w:rPr>
          <w:lang w:val="fr-FR"/>
        </w:rPr>
        <w:t>’</w:t>
      </w:r>
      <w:r w:rsidRPr="00AC7E46">
        <w:rPr>
          <w:lang w:val="fr-FR"/>
        </w:rPr>
        <w:t>OMPI, par l</w:t>
      </w:r>
      <w:r w:rsidR="00761289" w:rsidRPr="00AC7E46">
        <w:rPr>
          <w:lang w:val="fr-FR"/>
        </w:rPr>
        <w:t>’</w:t>
      </w:r>
      <w:r w:rsidRPr="00AC7E46">
        <w:rPr>
          <w:lang w:val="fr-FR"/>
        </w:rPr>
        <w:t xml:space="preserve">intermédiaire du Comité du programme et budget (PBC).  Ce rapport annuel rend compte des activités de supervision interne menées au cours de la période considérée, </w:t>
      </w:r>
      <w:r w:rsidR="00761289" w:rsidRPr="00AC7E46">
        <w:rPr>
          <w:lang w:val="fr-FR"/>
        </w:rPr>
        <w:t>y compris</w:t>
      </w:r>
      <w:r w:rsidRPr="00AC7E46">
        <w:rPr>
          <w:lang w:val="fr-FR"/>
        </w:rPr>
        <w:t xml:space="preserve"> la portée et les objectifs de celles</w:t>
      </w:r>
      <w:r w:rsidR="001908D2">
        <w:rPr>
          <w:lang w:val="fr-FR"/>
        </w:rPr>
        <w:noBreakHyphen/>
      </w:r>
      <w:r w:rsidRPr="00AC7E46">
        <w:rPr>
          <w:lang w:val="fr-FR"/>
        </w:rPr>
        <w:t>ci, du calendrier des travaux ainsi que des progrès réalisés dans la mise en œuvre des recommandations de supervision interne.</w:t>
      </w:r>
      <w:bookmarkStart w:id="13" w:name="_Toc420663566"/>
      <w:bookmarkStart w:id="14" w:name="_Toc328920434"/>
    </w:p>
    <w:p w14:paraId="667C0691" w14:textId="7F767C12" w:rsidR="000D5281" w:rsidRPr="008E3F67" w:rsidRDefault="000D5281" w:rsidP="00D31722">
      <w:pPr>
        <w:pStyle w:val="ONUMFS"/>
        <w:rPr>
          <w:caps/>
          <w:kern w:val="32"/>
          <w:szCs w:val="32"/>
          <w:lang w:val="fr-FR"/>
        </w:rPr>
      </w:pPr>
      <w:r w:rsidRPr="00AC7E46">
        <w:rPr>
          <w:lang w:val="fr-FR"/>
        </w:rPr>
        <w:t>Conformément à la Charte de la supervision interne, une version préliminaire du rapport annuel a été fournie au Directeur général et à l</w:t>
      </w:r>
      <w:r w:rsidR="00761289" w:rsidRPr="00AC7E46">
        <w:rPr>
          <w:lang w:val="fr-FR"/>
        </w:rPr>
        <w:t>’</w:t>
      </w:r>
      <w:r w:rsidRPr="00AC7E46">
        <w:rPr>
          <w:lang w:val="fr-FR"/>
        </w:rPr>
        <w:t>OCIS pour qu</w:t>
      </w:r>
      <w:r w:rsidR="00761289" w:rsidRPr="00AC7E46">
        <w:rPr>
          <w:lang w:val="fr-FR"/>
        </w:rPr>
        <w:t>’</w:t>
      </w:r>
      <w:r w:rsidRPr="00AC7E46">
        <w:rPr>
          <w:lang w:val="fr-FR"/>
        </w:rPr>
        <w:t>ils formulent des observations, dont il a été tenu compte pour établir la version définitive du rapport.</w:t>
      </w:r>
    </w:p>
    <w:p w14:paraId="3F14CB82" w14:textId="42C48278" w:rsidR="000D5281" w:rsidRPr="00AC7E46" w:rsidRDefault="008E3F67" w:rsidP="008E3F67">
      <w:pPr>
        <w:pStyle w:val="Heading1"/>
      </w:pPr>
      <w:bookmarkStart w:id="15" w:name="_Toc39071245"/>
      <w:bookmarkStart w:id="16" w:name="_Toc165888309"/>
      <w:r>
        <w:t>F</w:t>
      </w:r>
      <w:r w:rsidRPr="00AC7E46">
        <w:t>aits marquants survenus en</w:t>
      </w:r>
      <w:r>
        <w:t> </w:t>
      </w:r>
      <w:r w:rsidRPr="00AC7E46">
        <w:t>2023</w:t>
      </w:r>
      <w:bookmarkEnd w:id="15"/>
      <w:bookmarkEnd w:id="16"/>
    </w:p>
    <w:p w14:paraId="1BD0041C" w14:textId="332542DF" w:rsidR="000D5281" w:rsidRPr="00AC7E46" w:rsidRDefault="000D5281" w:rsidP="00D31722">
      <w:pPr>
        <w:pStyle w:val="ONUMFS"/>
        <w:rPr>
          <w:lang w:val="fr-FR"/>
        </w:rPr>
      </w:pPr>
      <w:r w:rsidRPr="00AC7E46">
        <w:rPr>
          <w:lang w:val="fr-FR"/>
        </w:rPr>
        <w:t>L</w:t>
      </w:r>
      <w:r w:rsidR="00761289" w:rsidRPr="00AC7E46">
        <w:rPr>
          <w:lang w:val="fr-FR"/>
        </w:rPr>
        <w:t>’</w:t>
      </w:r>
      <w:r w:rsidRPr="00AC7E46">
        <w:rPr>
          <w:lang w:val="fr-FR"/>
        </w:rPr>
        <w:t>année</w:t>
      </w:r>
      <w:r w:rsidR="001908D2">
        <w:rPr>
          <w:lang w:val="fr-FR"/>
        </w:rPr>
        <w:t> </w:t>
      </w:r>
      <w:r w:rsidRPr="00AC7E46">
        <w:rPr>
          <w:lang w:val="fr-FR"/>
        </w:rPr>
        <w:t>2023 était la deuxième année de mise en œuvre</w:t>
      </w:r>
      <w:r w:rsidR="00761289" w:rsidRPr="00AC7E46">
        <w:rPr>
          <w:lang w:val="fr-FR"/>
        </w:rPr>
        <w:t xml:space="preserve"> du PSM</w:t>
      </w:r>
      <w:r w:rsidRPr="00AC7E46">
        <w:rPr>
          <w:lang w:val="fr-FR"/>
        </w:rPr>
        <w:t xml:space="preserve">T </w:t>
      </w:r>
      <w:r w:rsidR="00761289" w:rsidRPr="00AC7E46">
        <w:rPr>
          <w:lang w:val="fr-FR"/>
        </w:rPr>
        <w:t>pour 2022</w:t>
      </w:r>
      <w:r w:rsidR="001908D2">
        <w:rPr>
          <w:lang w:val="fr-FR"/>
        </w:rPr>
        <w:noBreakHyphen/>
      </w:r>
      <w:r w:rsidRPr="00AC7E46">
        <w:rPr>
          <w:lang w:val="fr-FR"/>
        </w:rPr>
        <w:t>2026.  En tant que pilier de la fondation de la maison stratégique,</w:t>
      </w:r>
      <w:r w:rsidR="00761289" w:rsidRPr="00AC7E46">
        <w:rPr>
          <w:lang w:val="fr-FR"/>
        </w:rPr>
        <w:t xml:space="preserve"> la DSI</w:t>
      </w:r>
      <w:r w:rsidRPr="00AC7E46">
        <w:rPr>
          <w:lang w:val="fr-FR"/>
        </w:rPr>
        <w:t xml:space="preserve"> a contribué à donner à ses collègues les moyens de travailler de manière efficace, collaborative et innovante, en menant des missions et en formulant des recommandations qui soutiennent la réalisation des résultats escomptés.</w:t>
      </w:r>
    </w:p>
    <w:p w14:paraId="163A5D66" w14:textId="0B6363E5" w:rsidR="000D5281" w:rsidRPr="00AC7E46" w:rsidRDefault="000D5281" w:rsidP="00D31722">
      <w:pPr>
        <w:pStyle w:val="ONUMFS"/>
        <w:rPr>
          <w:lang w:val="fr-FR"/>
        </w:rPr>
      </w:pPr>
      <w:r w:rsidRPr="00AC7E46">
        <w:rPr>
          <w:lang w:val="fr-FR"/>
        </w:rPr>
        <w:t>Tout au long de l</w:t>
      </w:r>
      <w:r w:rsidR="00761289" w:rsidRPr="00AC7E46">
        <w:rPr>
          <w:lang w:val="fr-FR"/>
        </w:rPr>
        <w:t>’</w:t>
      </w:r>
      <w:r w:rsidRPr="00AC7E46">
        <w:rPr>
          <w:lang w:val="fr-FR"/>
        </w:rPr>
        <w:t>année 2023,</w:t>
      </w:r>
      <w:r w:rsidR="00761289" w:rsidRPr="00AC7E46">
        <w:rPr>
          <w:lang w:val="fr-FR"/>
        </w:rPr>
        <w:t xml:space="preserve"> la DSI</w:t>
      </w:r>
      <w:r w:rsidRPr="00AC7E46">
        <w:rPr>
          <w:lang w:val="fr-FR"/>
        </w:rPr>
        <w:t xml:space="preserve"> a continué d</w:t>
      </w:r>
      <w:r w:rsidR="00761289" w:rsidRPr="00AC7E46">
        <w:rPr>
          <w:lang w:val="fr-FR"/>
        </w:rPr>
        <w:t>’</w:t>
      </w:r>
      <w:r w:rsidRPr="00AC7E46">
        <w:rPr>
          <w:lang w:val="fr-FR"/>
        </w:rPr>
        <w:t>aider l</w:t>
      </w:r>
      <w:r w:rsidR="00761289" w:rsidRPr="00AC7E46">
        <w:rPr>
          <w:lang w:val="fr-FR"/>
        </w:rPr>
        <w:t>’</w:t>
      </w:r>
      <w:r w:rsidRPr="00AC7E46">
        <w:rPr>
          <w:lang w:val="fr-FR"/>
        </w:rPr>
        <w:t>OMPI à renforcer les contrôles, la reddition de comptes, la transparence et l</w:t>
      </w:r>
      <w:r w:rsidR="00761289" w:rsidRPr="00AC7E46">
        <w:rPr>
          <w:lang w:val="fr-FR"/>
        </w:rPr>
        <w:t>’</w:t>
      </w:r>
      <w:r w:rsidRPr="00AC7E46">
        <w:rPr>
          <w:lang w:val="fr-FR"/>
        </w:rPr>
        <w:t>apprentissage, grâce à des audits, des évaluations, des enquêtes, des assurances et des missions consultatives</w:t>
      </w:r>
      <w:r w:rsidRPr="00AC7E46">
        <w:rPr>
          <w:rStyle w:val="FootnoteReference"/>
          <w:lang w:val="fr-FR"/>
        </w:rPr>
        <w:footnoteReference w:id="3"/>
      </w:r>
      <w:r w:rsidRPr="00AC7E46">
        <w:rPr>
          <w:lang w:val="fr-FR"/>
        </w:rPr>
        <w:t>, tout en s</w:t>
      </w:r>
      <w:r w:rsidR="00761289" w:rsidRPr="00AC7E46">
        <w:rPr>
          <w:lang w:val="fr-FR"/>
        </w:rPr>
        <w:t>’</w:t>
      </w:r>
      <w:r w:rsidRPr="00AC7E46">
        <w:rPr>
          <w:lang w:val="fr-FR"/>
        </w:rPr>
        <w:t>engageant dans des missions transversales auxquelles participent les vérificateurs des comptes ainsi que des spécialistes de l</w:t>
      </w:r>
      <w:r w:rsidR="00761289" w:rsidRPr="00AC7E46">
        <w:rPr>
          <w:lang w:val="fr-FR"/>
        </w:rPr>
        <w:t>’</w:t>
      </w:r>
      <w:r w:rsidRPr="00AC7E46">
        <w:rPr>
          <w:lang w:val="fr-FR"/>
        </w:rPr>
        <w:t>évaluation.</w:t>
      </w:r>
    </w:p>
    <w:p w14:paraId="581DC082" w14:textId="6121BB61" w:rsidR="000D5281" w:rsidRPr="00AC7E46" w:rsidRDefault="00761289" w:rsidP="00D31722">
      <w:pPr>
        <w:pStyle w:val="ONUMFS"/>
        <w:rPr>
          <w:lang w:val="fr-FR"/>
        </w:rPr>
      </w:pPr>
      <w:r w:rsidRPr="00AC7E46">
        <w:rPr>
          <w:lang w:val="fr-FR"/>
        </w:rPr>
        <w:t>En 2023</w:t>
      </w:r>
      <w:r w:rsidR="000D5281" w:rsidRPr="00AC7E46">
        <w:rPr>
          <w:lang w:val="fr-FR"/>
        </w:rPr>
        <w:t>, une hausse du nombre d</w:t>
      </w:r>
      <w:r w:rsidRPr="00AC7E46">
        <w:rPr>
          <w:lang w:val="fr-FR"/>
        </w:rPr>
        <w:t>’</w:t>
      </w:r>
      <w:r w:rsidR="000D5281" w:rsidRPr="00AC7E46">
        <w:rPr>
          <w:lang w:val="fr-FR"/>
        </w:rPr>
        <w:t xml:space="preserve">enquêtes a été enregistrée au cours du premier semestre, par rapport à la même période </w:t>
      </w:r>
      <w:r w:rsidRPr="00AC7E46">
        <w:rPr>
          <w:lang w:val="fr-FR"/>
        </w:rPr>
        <w:t>en 2022</w:t>
      </w:r>
      <w:r w:rsidR="000D5281" w:rsidRPr="00AC7E46">
        <w:rPr>
          <w:lang w:val="fr-FR"/>
        </w:rPr>
        <w:t>.  Une ressource externe a été engagée pour aider à supporter la charge de travail.</w:t>
      </w:r>
    </w:p>
    <w:p w14:paraId="086F2CBF" w14:textId="29215486" w:rsidR="000D5281" w:rsidRPr="00AC7E46" w:rsidRDefault="000D5281" w:rsidP="00D31722">
      <w:pPr>
        <w:pStyle w:val="ONUMFS"/>
        <w:rPr>
          <w:lang w:val="fr-FR"/>
        </w:rPr>
      </w:pPr>
      <w:proofErr w:type="gramStart"/>
      <w:r w:rsidRPr="00AC7E46">
        <w:rPr>
          <w:lang w:val="fr-FR"/>
        </w:rPr>
        <w:t>Suite à une</w:t>
      </w:r>
      <w:proofErr w:type="gramEnd"/>
      <w:r w:rsidRPr="00AC7E46">
        <w:rPr>
          <w:lang w:val="fr-FR"/>
        </w:rPr>
        <w:t xml:space="preserve"> mise au concours, Mme Julie </w:t>
      </w:r>
      <w:proofErr w:type="spellStart"/>
      <w:r w:rsidRPr="00AC7E46">
        <w:rPr>
          <w:lang w:val="fr-FR"/>
        </w:rPr>
        <w:t>Nyang</w:t>
      </w:r>
      <w:r w:rsidR="00761289" w:rsidRPr="00AC7E46">
        <w:rPr>
          <w:lang w:val="fr-FR"/>
        </w:rPr>
        <w:t>’</w:t>
      </w:r>
      <w:r w:rsidRPr="00AC7E46">
        <w:rPr>
          <w:lang w:val="fr-FR"/>
        </w:rPr>
        <w:t>aya</w:t>
      </w:r>
      <w:proofErr w:type="spellEnd"/>
      <w:r w:rsidRPr="00AC7E46">
        <w:rPr>
          <w:lang w:val="fr-FR"/>
        </w:rPr>
        <w:t>, une ressortissante du Kenya, a été nommée directrice de</w:t>
      </w:r>
      <w:r w:rsidR="00761289" w:rsidRPr="00AC7E46">
        <w:rPr>
          <w:lang w:val="fr-FR"/>
        </w:rPr>
        <w:t xml:space="preserve"> la DSI</w:t>
      </w:r>
      <w:r w:rsidRPr="00AC7E46">
        <w:rPr>
          <w:lang w:val="fr-FR"/>
        </w:rPr>
        <w:t xml:space="preserve"> et est entrée en fonction le</w:t>
      </w:r>
      <w:r w:rsidR="00761289" w:rsidRPr="00AC7E46">
        <w:rPr>
          <w:lang w:val="fr-FR"/>
        </w:rPr>
        <w:t xml:space="preserve"> 1</w:t>
      </w:r>
      <w:r w:rsidR="00761289" w:rsidRPr="00AC7E46">
        <w:rPr>
          <w:vertAlign w:val="superscript"/>
          <w:lang w:val="fr-FR"/>
        </w:rPr>
        <w:t>er</w:t>
      </w:r>
      <w:r w:rsidR="00761289" w:rsidRPr="00AC7E46">
        <w:rPr>
          <w:lang w:val="fr-FR"/>
        </w:rPr>
        <w:t> </w:t>
      </w:r>
      <w:r w:rsidRPr="00AC7E46">
        <w:rPr>
          <w:lang w:val="fr-FR"/>
        </w:rPr>
        <w:t>octobre 2023.  Avant sa nomination, les différents chefs de section de la division ont assumé la charge à tour de rôle.</w:t>
      </w:r>
    </w:p>
    <w:p w14:paraId="2C1455FB" w14:textId="711CF1E8" w:rsidR="000D5281" w:rsidRPr="00AC7E46" w:rsidRDefault="000D5281" w:rsidP="00D31722">
      <w:pPr>
        <w:pStyle w:val="ONUMFS"/>
        <w:rPr>
          <w:lang w:val="fr-FR"/>
        </w:rPr>
      </w:pPr>
      <w:r w:rsidRPr="00AC7E46">
        <w:rPr>
          <w:lang w:val="fr-FR"/>
        </w:rPr>
        <w:t>À l</w:t>
      </w:r>
      <w:r w:rsidR="00761289" w:rsidRPr="00AC7E46">
        <w:rPr>
          <w:lang w:val="fr-FR"/>
        </w:rPr>
        <w:t>’</w:t>
      </w:r>
      <w:r w:rsidRPr="00AC7E46">
        <w:rPr>
          <w:lang w:val="fr-FR"/>
        </w:rPr>
        <w:t>avenir,</w:t>
      </w:r>
      <w:r w:rsidR="00761289" w:rsidRPr="00AC7E46">
        <w:rPr>
          <w:lang w:val="fr-FR"/>
        </w:rPr>
        <w:t xml:space="preserve"> la DSI</w:t>
      </w:r>
      <w:r w:rsidRPr="00AC7E46">
        <w:rPr>
          <w:lang w:val="fr-FR"/>
        </w:rPr>
        <w:t xml:space="preserve"> continuera de jouer son rôle et de soutenir la mise en œuvre progressive</w:t>
      </w:r>
      <w:r w:rsidR="00761289" w:rsidRPr="00AC7E46">
        <w:rPr>
          <w:lang w:val="fr-FR"/>
        </w:rPr>
        <w:t xml:space="preserve"> du PSM</w:t>
      </w:r>
      <w:r w:rsidRPr="00AC7E46">
        <w:rPr>
          <w:lang w:val="fr-FR"/>
        </w:rPr>
        <w:t>T en menant à bien les missions qui s</w:t>
      </w:r>
      <w:r w:rsidR="00761289" w:rsidRPr="00AC7E46">
        <w:rPr>
          <w:lang w:val="fr-FR"/>
        </w:rPr>
        <w:t>’</w:t>
      </w:r>
      <w:r w:rsidRPr="00AC7E46">
        <w:rPr>
          <w:lang w:val="fr-FR"/>
        </w:rPr>
        <w:t xml:space="preserve">imposent </w:t>
      </w:r>
      <w:r w:rsidR="00761289" w:rsidRPr="00AC7E46">
        <w:rPr>
          <w:lang w:val="fr-FR"/>
        </w:rPr>
        <w:t>en 2024</w:t>
      </w:r>
      <w:r w:rsidRPr="00AC7E46">
        <w:rPr>
          <w:lang w:val="fr-FR"/>
        </w:rPr>
        <w:t>.</w:t>
      </w:r>
    </w:p>
    <w:p w14:paraId="233359AC" w14:textId="082A1BE1" w:rsidR="000D5281" w:rsidRPr="00AC7E46" w:rsidRDefault="008E3F67" w:rsidP="008E3F67">
      <w:pPr>
        <w:pStyle w:val="Heading1"/>
      </w:pPr>
      <w:bookmarkStart w:id="17" w:name="_Toc39071246"/>
      <w:bookmarkStart w:id="18" w:name="_Toc165888310"/>
      <w:r>
        <w:lastRenderedPageBreak/>
        <w:t>P</w:t>
      </w:r>
      <w:r w:rsidRPr="00AC7E46">
        <w:t>rincipes</w:t>
      </w:r>
      <w:bookmarkEnd w:id="13"/>
      <w:bookmarkEnd w:id="14"/>
      <w:bookmarkEnd w:id="17"/>
      <w:r w:rsidRPr="00AC7E46">
        <w:t xml:space="preserve"> de planification</w:t>
      </w:r>
      <w:bookmarkEnd w:id="18"/>
    </w:p>
    <w:p w14:paraId="0403ED03" w14:textId="0FAD6B6F" w:rsidR="000D5281" w:rsidRPr="00AC7E46" w:rsidRDefault="000D5281" w:rsidP="00D31722">
      <w:pPr>
        <w:pStyle w:val="ONUMFS"/>
        <w:rPr>
          <w:lang w:val="fr-FR"/>
        </w:rPr>
      </w:pPr>
      <w:r w:rsidRPr="00AC7E46">
        <w:rPr>
          <w:lang w:val="fr-FR"/>
        </w:rPr>
        <w:t>La DSI a tenu compte d</w:t>
      </w:r>
      <w:r w:rsidR="00761289" w:rsidRPr="00AC7E46">
        <w:rPr>
          <w:lang w:val="fr-FR"/>
        </w:rPr>
        <w:t>’</w:t>
      </w:r>
      <w:r w:rsidRPr="00AC7E46">
        <w:rPr>
          <w:lang w:val="fr-FR"/>
        </w:rPr>
        <w:t>un certain nombre de facteurs dans l</w:t>
      </w:r>
      <w:r w:rsidR="00761289" w:rsidRPr="00AC7E46">
        <w:rPr>
          <w:lang w:val="fr-FR"/>
        </w:rPr>
        <w:t>’</w:t>
      </w:r>
      <w:r w:rsidRPr="00AC7E46">
        <w:rPr>
          <w:lang w:val="fr-FR"/>
        </w:rPr>
        <w:t xml:space="preserve">établissement de son plan de supervision interne </w:t>
      </w:r>
      <w:r w:rsidR="00761289" w:rsidRPr="00AC7E46">
        <w:rPr>
          <w:lang w:val="fr-FR"/>
        </w:rPr>
        <w:t>pour 2023</w:t>
      </w:r>
      <w:r w:rsidRPr="00AC7E46">
        <w:rPr>
          <w:lang w:val="fr-FR"/>
        </w:rPr>
        <w:t>, tels que l</w:t>
      </w:r>
      <w:r w:rsidR="00761289" w:rsidRPr="00AC7E46">
        <w:rPr>
          <w:lang w:val="fr-FR"/>
        </w:rPr>
        <w:t>’</w:t>
      </w:r>
      <w:r w:rsidRPr="00AC7E46">
        <w:rPr>
          <w:lang w:val="fr-FR"/>
        </w:rPr>
        <w:t>évaluation des risques, la pertinence, les analyses prospectives, le cycle de supervision et les observations présentées par la direction de l</w:t>
      </w:r>
      <w:r w:rsidR="00761289" w:rsidRPr="00AC7E46">
        <w:rPr>
          <w:lang w:val="fr-FR"/>
        </w:rPr>
        <w:t>’</w:t>
      </w:r>
      <w:r w:rsidRPr="00AC7E46">
        <w:rPr>
          <w:lang w:val="fr-FR"/>
        </w:rPr>
        <w:t>OMPI et par les États membr</w:t>
      </w:r>
      <w:r w:rsidR="00AC7E46" w:rsidRPr="00AC7E46">
        <w:rPr>
          <w:lang w:val="fr-FR"/>
        </w:rPr>
        <w:t>es.  Av</w:t>
      </w:r>
      <w:r w:rsidRPr="00AC7E46">
        <w:rPr>
          <w:lang w:val="fr-FR"/>
        </w:rPr>
        <w:t>ant de finaliser le plan,</w:t>
      </w:r>
      <w:r w:rsidR="00761289" w:rsidRPr="00AC7E46">
        <w:rPr>
          <w:lang w:val="fr-FR"/>
        </w:rPr>
        <w:t xml:space="preserve"> la DSI</w:t>
      </w:r>
      <w:r w:rsidRPr="00AC7E46">
        <w:rPr>
          <w:lang w:val="fr-FR"/>
        </w:rPr>
        <w:t xml:space="preserve"> l</w:t>
      </w:r>
      <w:r w:rsidR="00761289" w:rsidRPr="00AC7E46">
        <w:rPr>
          <w:lang w:val="fr-FR"/>
        </w:rPr>
        <w:t>’</w:t>
      </w:r>
      <w:r w:rsidRPr="00AC7E46">
        <w:rPr>
          <w:lang w:val="fr-FR"/>
        </w:rPr>
        <w:t>a soumis à l</w:t>
      </w:r>
      <w:r w:rsidR="00761289" w:rsidRPr="00AC7E46">
        <w:rPr>
          <w:lang w:val="fr-FR"/>
        </w:rPr>
        <w:t>’</w:t>
      </w:r>
      <w:r w:rsidRPr="00AC7E46">
        <w:rPr>
          <w:lang w:val="fr-FR"/>
        </w:rPr>
        <w:t>OCIS pour examen et avis, conformément au paragraphe 28.a) de la Charte de la supervision interne</w:t>
      </w:r>
      <w:r w:rsidRPr="00AC7E46">
        <w:rPr>
          <w:rStyle w:val="FootnoteReference"/>
          <w:lang w:val="fr-FR"/>
        </w:rPr>
        <w:footnoteReference w:id="4"/>
      </w:r>
      <w:r w:rsidRPr="00AC7E46">
        <w:rPr>
          <w:lang w:val="fr-FR"/>
        </w:rPr>
        <w:t>.</w:t>
      </w:r>
    </w:p>
    <w:p w14:paraId="25A8312E" w14:textId="5AAE4B30" w:rsidR="000D5281" w:rsidRPr="00AC7E46" w:rsidRDefault="000D5281" w:rsidP="00D31722">
      <w:pPr>
        <w:pStyle w:val="ONUMFS"/>
        <w:rPr>
          <w:lang w:val="fr-FR"/>
        </w:rPr>
      </w:pPr>
      <w:r w:rsidRPr="00AC7E46">
        <w:rPr>
          <w:lang w:val="fr-FR"/>
        </w:rPr>
        <w:t>Afin d</w:t>
      </w:r>
      <w:r w:rsidR="00761289" w:rsidRPr="00AC7E46">
        <w:rPr>
          <w:lang w:val="fr-FR"/>
        </w:rPr>
        <w:t>’</w:t>
      </w:r>
      <w:r w:rsidRPr="00AC7E46">
        <w:rPr>
          <w:lang w:val="fr-FR"/>
        </w:rPr>
        <w:t>assurer une couverture efficace de la supervision grâce à l</w:t>
      </w:r>
      <w:r w:rsidR="00761289" w:rsidRPr="00AC7E46">
        <w:rPr>
          <w:lang w:val="fr-FR"/>
        </w:rPr>
        <w:t>’</w:t>
      </w:r>
      <w:r w:rsidRPr="00AC7E46">
        <w:rPr>
          <w:lang w:val="fr-FR"/>
        </w:rPr>
        <w:t>utilisation rationnelle des ressources limitées à disposition, tout en évitant les éventuels chevauchements, la DSI a également pris en considération les travaux effectués par le vérificateur externe des comptes et d</w:t>
      </w:r>
      <w:r w:rsidR="00761289" w:rsidRPr="00AC7E46">
        <w:rPr>
          <w:lang w:val="fr-FR"/>
        </w:rPr>
        <w:t>’</w:t>
      </w:r>
      <w:r w:rsidRPr="00AC7E46">
        <w:rPr>
          <w:lang w:val="fr-FR"/>
        </w:rPr>
        <w:t>autres organes de supervision, tels que le Corps commun d</w:t>
      </w:r>
      <w:r w:rsidR="00761289" w:rsidRPr="00AC7E46">
        <w:rPr>
          <w:lang w:val="fr-FR"/>
        </w:rPr>
        <w:t>’</w:t>
      </w:r>
      <w:r w:rsidRPr="00AC7E46">
        <w:rPr>
          <w:lang w:val="fr-FR"/>
        </w:rPr>
        <w:t>inspection (CCI), ainsi que les évaluations que le Comité du développement et de la propriété intellectuelle (CDIP) a fait réaliser.</w:t>
      </w:r>
    </w:p>
    <w:p w14:paraId="4073882E" w14:textId="7255FAA9" w:rsidR="000D5281" w:rsidRPr="00AC7E46" w:rsidRDefault="008E3F67" w:rsidP="008E3F67">
      <w:pPr>
        <w:pStyle w:val="Heading1"/>
      </w:pPr>
      <w:bookmarkStart w:id="19" w:name="_Toc420663567"/>
      <w:bookmarkStart w:id="20" w:name="_Toc39071247"/>
      <w:bookmarkStart w:id="21" w:name="_Toc165888311"/>
      <w:r>
        <w:t>N</w:t>
      </w:r>
      <w:r w:rsidRPr="00AC7E46">
        <w:t>ormes professionnelles</w:t>
      </w:r>
      <w:bookmarkEnd w:id="19"/>
      <w:bookmarkEnd w:id="20"/>
      <w:bookmarkEnd w:id="21"/>
    </w:p>
    <w:p w14:paraId="2B3C17B7" w14:textId="395E9F11" w:rsidR="000D5281" w:rsidRPr="00AC7E46" w:rsidRDefault="000D5281" w:rsidP="00D31722">
      <w:pPr>
        <w:pStyle w:val="ONUMFS"/>
        <w:rPr>
          <w:lang w:val="fr-FR"/>
        </w:rPr>
      </w:pPr>
      <w:r w:rsidRPr="00AC7E46">
        <w:rPr>
          <w:lang w:val="fr-FR"/>
        </w:rPr>
        <w:t>La DSI mène ses activités d</w:t>
      </w:r>
      <w:r w:rsidR="00761289" w:rsidRPr="00AC7E46">
        <w:rPr>
          <w:lang w:val="fr-FR"/>
        </w:rPr>
        <w:t>’</w:t>
      </w:r>
      <w:r w:rsidRPr="00AC7E46">
        <w:rPr>
          <w:lang w:val="fr-FR"/>
        </w:rPr>
        <w:t>audit conformément aux dispositions obligatoires du Cadre de référence international des pratiques professionnelles de l</w:t>
      </w:r>
      <w:r w:rsidR="00761289" w:rsidRPr="00AC7E46">
        <w:rPr>
          <w:lang w:val="fr-FR"/>
        </w:rPr>
        <w:t>’</w:t>
      </w:r>
      <w:r w:rsidRPr="00AC7E46">
        <w:rPr>
          <w:lang w:val="fr-FR"/>
        </w:rPr>
        <w:t>Institut des auditeurs internes (IIA), qui comprennent les normes internationales, les principes fondamentaux pour la pratique professionnelle de l</w:t>
      </w:r>
      <w:r w:rsidR="00761289" w:rsidRPr="00AC7E46">
        <w:rPr>
          <w:lang w:val="fr-FR"/>
        </w:rPr>
        <w:t>’</w:t>
      </w:r>
      <w:r w:rsidRPr="00AC7E46">
        <w:rPr>
          <w:lang w:val="fr-FR"/>
        </w:rPr>
        <w:t>audit interne, la définition de l</w:t>
      </w:r>
      <w:r w:rsidR="00761289" w:rsidRPr="00AC7E46">
        <w:rPr>
          <w:lang w:val="fr-FR"/>
        </w:rPr>
        <w:t>’</w:t>
      </w:r>
      <w:r w:rsidRPr="00AC7E46">
        <w:rPr>
          <w:lang w:val="fr-FR"/>
        </w:rPr>
        <w:t>audit interne et le code de déontologie adoptés par le Réseau des représentants des services d</w:t>
      </w:r>
      <w:r w:rsidR="00761289" w:rsidRPr="00AC7E46">
        <w:rPr>
          <w:lang w:val="fr-FR"/>
        </w:rPr>
        <w:t>’</w:t>
      </w:r>
      <w:r w:rsidRPr="00AC7E46">
        <w:rPr>
          <w:lang w:val="fr-FR"/>
        </w:rPr>
        <w:t xml:space="preserve">audit interne des agences des </w:t>
      </w:r>
      <w:r w:rsidR="00761289" w:rsidRPr="00AC7E46">
        <w:rPr>
          <w:lang w:val="fr-FR"/>
        </w:rPr>
        <w:t>Nations Unies</w:t>
      </w:r>
      <w:r w:rsidRPr="00AC7E46">
        <w:rPr>
          <w:lang w:val="fr-FR"/>
        </w:rPr>
        <w:t xml:space="preserve"> et des institutions financières multilatéral</w:t>
      </w:r>
      <w:r w:rsidR="00AC7E46" w:rsidRPr="00AC7E46">
        <w:rPr>
          <w:lang w:val="fr-FR"/>
        </w:rPr>
        <w:t>es.  De</w:t>
      </w:r>
      <w:r w:rsidRPr="00AC7E46">
        <w:rPr>
          <w:lang w:val="fr-FR"/>
        </w:rPr>
        <w:t>puis,</w:t>
      </w:r>
      <w:r w:rsidR="00761289" w:rsidRPr="00AC7E46">
        <w:rPr>
          <w:lang w:val="fr-FR"/>
        </w:rPr>
        <w:t xml:space="preserve"> la DSI</w:t>
      </w:r>
      <w:r w:rsidRPr="00AC7E46">
        <w:rPr>
          <w:lang w:val="fr-FR"/>
        </w:rPr>
        <w:t xml:space="preserve"> a adopté les normes mondiales d</w:t>
      </w:r>
      <w:r w:rsidR="00761289" w:rsidRPr="00AC7E46">
        <w:rPr>
          <w:lang w:val="fr-FR"/>
        </w:rPr>
        <w:t>’</w:t>
      </w:r>
      <w:r w:rsidRPr="00AC7E46">
        <w:rPr>
          <w:lang w:val="fr-FR"/>
        </w:rPr>
        <w:t>audit interne mises à jour (</w:t>
      </w:r>
      <w:r w:rsidRPr="00AC7E46">
        <w:rPr>
          <w:i/>
          <w:iCs/>
          <w:lang w:val="fr-FR"/>
        </w:rPr>
        <w:t xml:space="preserve">Global </w:t>
      </w:r>
      <w:proofErr w:type="spellStart"/>
      <w:r w:rsidRPr="00AC7E46">
        <w:rPr>
          <w:i/>
          <w:iCs/>
          <w:lang w:val="fr-FR"/>
        </w:rPr>
        <w:t>Internal</w:t>
      </w:r>
      <w:proofErr w:type="spellEnd"/>
      <w:r w:rsidRPr="00AC7E46">
        <w:rPr>
          <w:i/>
          <w:iCs/>
          <w:lang w:val="fr-FR"/>
        </w:rPr>
        <w:t xml:space="preserve"> Audit </w:t>
      </w:r>
      <w:proofErr w:type="spellStart"/>
      <w:r w:rsidRPr="00AC7E46">
        <w:rPr>
          <w:i/>
          <w:iCs/>
          <w:lang w:val="fr-FR"/>
        </w:rPr>
        <w:t>Standards</w:t>
      </w:r>
      <w:r w:rsidRPr="00AC7E46">
        <w:rPr>
          <w:i/>
          <w:iCs/>
          <w:vertAlign w:val="superscript"/>
          <w:lang w:val="fr-FR"/>
        </w:rPr>
        <w:t>TM</w:t>
      </w:r>
      <w:proofErr w:type="spellEnd"/>
      <w:r w:rsidRPr="00AC7E46">
        <w:rPr>
          <w:lang w:val="fr-FR"/>
        </w:rPr>
        <w:t>), promulguées par l</w:t>
      </w:r>
      <w:r w:rsidR="00761289" w:rsidRPr="00AC7E46">
        <w:rPr>
          <w:lang w:val="fr-FR"/>
        </w:rPr>
        <w:t>’</w:t>
      </w:r>
      <w:r w:rsidRPr="00AC7E46">
        <w:rPr>
          <w:lang w:val="fr-FR"/>
        </w:rPr>
        <w:t>IIA le 9 janvier 2024, dont l</w:t>
      </w:r>
      <w:r w:rsidR="00761289" w:rsidRPr="00AC7E46">
        <w:rPr>
          <w:lang w:val="fr-FR"/>
        </w:rPr>
        <w:t>’</w:t>
      </w:r>
      <w:r w:rsidRPr="00AC7E46">
        <w:rPr>
          <w:lang w:val="fr-FR"/>
        </w:rPr>
        <w:t>entrée en vigueur est prévue le 9 janvier 2025, une adoption rapide étant encouragée.</w:t>
      </w:r>
    </w:p>
    <w:p w14:paraId="3B669A80" w14:textId="09CD8ED4" w:rsidR="000D5281" w:rsidRPr="00AC7E46" w:rsidRDefault="000D5281" w:rsidP="00D31722">
      <w:pPr>
        <w:pStyle w:val="ONUMFS"/>
        <w:rPr>
          <w:lang w:val="fr-FR"/>
        </w:rPr>
      </w:pPr>
      <w:r w:rsidRPr="00AC7E46">
        <w:rPr>
          <w:lang w:val="fr-FR"/>
        </w:rPr>
        <w:t>Pour les activités et les missions d</w:t>
      </w:r>
      <w:r w:rsidR="00761289" w:rsidRPr="00AC7E46">
        <w:rPr>
          <w:lang w:val="fr-FR"/>
        </w:rPr>
        <w:t>’</w:t>
      </w:r>
      <w:r w:rsidRPr="00AC7E46">
        <w:rPr>
          <w:lang w:val="fr-FR"/>
        </w:rPr>
        <w:t>évaluation,</w:t>
      </w:r>
      <w:r w:rsidR="00761289" w:rsidRPr="00AC7E46">
        <w:rPr>
          <w:lang w:val="fr-FR"/>
        </w:rPr>
        <w:t xml:space="preserve"> la DSI</w:t>
      </w:r>
      <w:r w:rsidRPr="00AC7E46">
        <w:rPr>
          <w:lang w:val="fr-FR"/>
        </w:rPr>
        <w:t xml:space="preserve"> suit les normes internationales en matière de pratique d</w:t>
      </w:r>
      <w:r w:rsidR="00761289" w:rsidRPr="00AC7E46">
        <w:rPr>
          <w:lang w:val="fr-FR"/>
        </w:rPr>
        <w:t>’</w:t>
      </w:r>
      <w:r w:rsidRPr="00AC7E46">
        <w:rPr>
          <w:lang w:val="fr-FR"/>
        </w:rPr>
        <w:t xml:space="preserve">évaluation élaborées par le Groupe des </w:t>
      </w:r>
      <w:r w:rsidR="00761289" w:rsidRPr="00AC7E46">
        <w:rPr>
          <w:lang w:val="fr-FR"/>
        </w:rPr>
        <w:t>Nations Unies</w:t>
      </w:r>
      <w:r w:rsidRPr="00AC7E46">
        <w:rPr>
          <w:lang w:val="fr-FR"/>
        </w:rPr>
        <w:t xml:space="preserve"> pour l</w:t>
      </w:r>
      <w:r w:rsidR="00761289" w:rsidRPr="00AC7E46">
        <w:rPr>
          <w:lang w:val="fr-FR"/>
        </w:rPr>
        <w:t>’</w:t>
      </w:r>
      <w:r w:rsidRPr="00AC7E46">
        <w:rPr>
          <w:lang w:val="fr-FR"/>
        </w:rPr>
        <w:t>évaluation (GNUE).</w:t>
      </w:r>
    </w:p>
    <w:p w14:paraId="6A42043A" w14:textId="0E5BC5CE" w:rsidR="000D5281" w:rsidRPr="00AC7E46" w:rsidRDefault="000D5281" w:rsidP="00D31722">
      <w:pPr>
        <w:pStyle w:val="ONUMFS"/>
        <w:rPr>
          <w:lang w:val="fr-FR"/>
        </w:rPr>
      </w:pPr>
      <w:r w:rsidRPr="00AC7E46">
        <w:rPr>
          <w:lang w:val="fr-FR"/>
        </w:rPr>
        <w:t>Le travail d</w:t>
      </w:r>
      <w:r w:rsidR="00761289" w:rsidRPr="00AC7E46">
        <w:rPr>
          <w:lang w:val="fr-FR"/>
        </w:rPr>
        <w:t>’</w:t>
      </w:r>
      <w:r w:rsidRPr="00AC7E46">
        <w:rPr>
          <w:lang w:val="fr-FR"/>
        </w:rPr>
        <w:t>enquête de</w:t>
      </w:r>
      <w:r w:rsidR="00761289" w:rsidRPr="00AC7E46">
        <w:rPr>
          <w:lang w:val="fr-FR"/>
        </w:rPr>
        <w:t xml:space="preserve"> la DSI</w:t>
      </w:r>
      <w:r w:rsidRPr="00AC7E46">
        <w:rPr>
          <w:lang w:val="fr-FR"/>
        </w:rPr>
        <w:t xml:space="preserve"> s</w:t>
      </w:r>
      <w:r w:rsidR="00761289" w:rsidRPr="00AC7E46">
        <w:rPr>
          <w:lang w:val="fr-FR"/>
        </w:rPr>
        <w:t>’</w:t>
      </w:r>
      <w:r w:rsidRPr="00AC7E46">
        <w:rPr>
          <w:lang w:val="fr-FR"/>
        </w:rPr>
        <w:t>inspire également des principes et lignes directrices uniformes en matière d</w:t>
      </w:r>
      <w:r w:rsidR="00761289" w:rsidRPr="00AC7E46">
        <w:rPr>
          <w:lang w:val="fr-FR"/>
        </w:rPr>
        <w:t>’</w:t>
      </w:r>
      <w:r w:rsidRPr="00AC7E46">
        <w:rPr>
          <w:lang w:val="fr-FR"/>
        </w:rPr>
        <w:t>enquête adoptés par la Conférence des enquêteurs internationaux.</w:t>
      </w:r>
    </w:p>
    <w:p w14:paraId="01A91C36" w14:textId="644A75A2" w:rsidR="000D5281" w:rsidRPr="00AC7E46" w:rsidRDefault="008E3F67" w:rsidP="008E3F67">
      <w:pPr>
        <w:pStyle w:val="Heading1"/>
      </w:pPr>
      <w:bookmarkStart w:id="22" w:name="_Toc165888312"/>
      <w:r>
        <w:t>I</w:t>
      </w:r>
      <w:r w:rsidRPr="00AC7E46">
        <w:t>ntégration du principe d’égalité des sexes</w:t>
      </w:r>
      <w:bookmarkEnd w:id="22"/>
    </w:p>
    <w:p w14:paraId="4FABEFC0" w14:textId="1039B7B7" w:rsidR="000D5281" w:rsidRPr="00AC7E46" w:rsidRDefault="000D5281" w:rsidP="00D31722">
      <w:pPr>
        <w:pStyle w:val="ONUMFS"/>
        <w:rPr>
          <w:rFonts w:eastAsiaTheme="minorHAnsi"/>
          <w:lang w:val="fr-FR" w:eastAsia="en-US"/>
        </w:rPr>
      </w:pPr>
      <w:r w:rsidRPr="00AC7E46">
        <w:rPr>
          <w:lang w:val="fr-FR"/>
        </w:rPr>
        <w:t>Dans le contexte du rapport sur la mise en œuvre du Plan d</w:t>
      </w:r>
      <w:r w:rsidR="00761289" w:rsidRPr="00AC7E46">
        <w:rPr>
          <w:lang w:val="fr-FR"/>
        </w:rPr>
        <w:t>’</w:t>
      </w:r>
      <w:r w:rsidRPr="00AC7E46">
        <w:rPr>
          <w:lang w:val="fr-FR"/>
        </w:rPr>
        <w:t>action à l</w:t>
      </w:r>
      <w:r w:rsidR="00761289" w:rsidRPr="00AC7E46">
        <w:rPr>
          <w:lang w:val="fr-FR"/>
        </w:rPr>
        <w:t>’</w:t>
      </w:r>
      <w:r w:rsidRPr="00AC7E46">
        <w:rPr>
          <w:lang w:val="fr-FR"/>
        </w:rPr>
        <w:t xml:space="preserve">échelle du système des </w:t>
      </w:r>
      <w:r w:rsidR="00761289" w:rsidRPr="00AC7E46">
        <w:rPr>
          <w:lang w:val="fr-FR"/>
        </w:rPr>
        <w:t>Nations Unies</w:t>
      </w:r>
      <w:r w:rsidRPr="00AC7E46">
        <w:rPr>
          <w:lang w:val="fr-FR"/>
        </w:rPr>
        <w:t xml:space="preserve"> (ONU</w:t>
      </w:r>
      <w:r w:rsidR="001908D2">
        <w:rPr>
          <w:lang w:val="fr-FR"/>
        </w:rPr>
        <w:noBreakHyphen/>
      </w:r>
      <w:r w:rsidRPr="00AC7E46">
        <w:rPr>
          <w:lang w:val="fr-FR"/>
        </w:rPr>
        <w:t>SWAP)</w:t>
      </w:r>
      <w:r w:rsidRPr="00AC7E46">
        <w:rPr>
          <w:rStyle w:val="FootnoteReference"/>
          <w:lang w:val="fr-FR"/>
        </w:rPr>
        <w:footnoteReference w:id="5"/>
      </w:r>
      <w:r w:rsidRPr="00AC7E46">
        <w:rPr>
          <w:lang w:val="fr-FR"/>
        </w:rPr>
        <w:t xml:space="preserve"> et en ce qui concerne l</w:t>
      </w:r>
      <w:r w:rsidR="00761289" w:rsidRPr="00AC7E46">
        <w:rPr>
          <w:lang w:val="fr-FR"/>
        </w:rPr>
        <w:t>’</w:t>
      </w:r>
      <w:r w:rsidRPr="00AC7E46">
        <w:rPr>
          <w:lang w:val="fr-FR"/>
        </w:rPr>
        <w:t>égalité des sexes et sa prise en considération dans les activités de</w:t>
      </w:r>
      <w:r w:rsidR="00761289" w:rsidRPr="00AC7E46">
        <w:rPr>
          <w:lang w:val="fr-FR"/>
        </w:rPr>
        <w:t xml:space="preserve"> la DSI</w:t>
      </w:r>
      <w:r w:rsidRPr="00AC7E46">
        <w:rPr>
          <w:lang w:val="fr-FR"/>
        </w:rPr>
        <w:t>, les conditions et actions ci</w:t>
      </w:r>
      <w:r w:rsidR="001908D2">
        <w:rPr>
          <w:lang w:val="fr-FR"/>
        </w:rPr>
        <w:noBreakHyphen/>
      </w:r>
      <w:r w:rsidRPr="00AC7E46">
        <w:rPr>
          <w:lang w:val="fr-FR"/>
        </w:rPr>
        <w:t>après peuvent être rapportées</w:t>
      </w:r>
      <w:r w:rsidR="00761289" w:rsidRPr="00AC7E46">
        <w:rPr>
          <w:lang w:val="fr-FR"/>
        </w:rPr>
        <w:t> :</w:t>
      </w:r>
    </w:p>
    <w:p w14:paraId="12197212" w14:textId="19016184" w:rsidR="000D5281" w:rsidRPr="00AC7E46" w:rsidRDefault="000D5281" w:rsidP="008E3F67">
      <w:pPr>
        <w:pStyle w:val="ONUMFS"/>
        <w:numPr>
          <w:ilvl w:val="1"/>
          <w:numId w:val="6"/>
        </w:numPr>
        <w:rPr>
          <w:rFonts w:eastAsiaTheme="minorHAnsi"/>
          <w:lang w:val="fr-FR" w:eastAsia="en-US"/>
        </w:rPr>
      </w:pPr>
      <w:proofErr w:type="gramStart"/>
      <w:r w:rsidRPr="00AC7E46">
        <w:rPr>
          <w:lang w:val="fr-FR"/>
        </w:rPr>
        <w:t>la</w:t>
      </w:r>
      <w:proofErr w:type="gramEnd"/>
      <w:r w:rsidRPr="00AC7E46">
        <w:rPr>
          <w:lang w:val="fr-FR"/>
        </w:rPr>
        <w:t xml:space="preserve"> DSI a consulté l</w:t>
      </w:r>
      <w:r w:rsidR="00761289" w:rsidRPr="00AC7E46">
        <w:rPr>
          <w:lang w:val="fr-FR"/>
        </w:rPr>
        <w:t>’</w:t>
      </w:r>
      <w:r w:rsidRPr="00AC7E46">
        <w:rPr>
          <w:lang w:val="fr-FR"/>
        </w:rPr>
        <w:t>experte en matière de parité et de diversité au cours des exercices annuels de planification et d</w:t>
      </w:r>
      <w:r w:rsidR="00761289" w:rsidRPr="00AC7E46">
        <w:rPr>
          <w:lang w:val="fr-FR"/>
        </w:rPr>
        <w:t>’</w:t>
      </w:r>
      <w:r w:rsidRPr="00AC7E46">
        <w:rPr>
          <w:lang w:val="fr-FR"/>
        </w:rPr>
        <w:t>évaluation des risques;</w:t>
      </w:r>
    </w:p>
    <w:p w14:paraId="7539C8E5" w14:textId="03753885" w:rsidR="000D5281" w:rsidRPr="00AC7E46" w:rsidRDefault="000D5281" w:rsidP="008E3F67">
      <w:pPr>
        <w:pStyle w:val="ONUMFS"/>
        <w:numPr>
          <w:ilvl w:val="1"/>
          <w:numId w:val="6"/>
        </w:numPr>
        <w:rPr>
          <w:lang w:val="fr-FR"/>
        </w:rPr>
      </w:pPr>
      <w:proofErr w:type="gramStart"/>
      <w:r w:rsidRPr="00AC7E46">
        <w:rPr>
          <w:lang w:val="fr-FR"/>
        </w:rPr>
        <w:t>la</w:t>
      </w:r>
      <w:proofErr w:type="gramEnd"/>
      <w:r w:rsidRPr="00AC7E46">
        <w:rPr>
          <w:lang w:val="fr-FR"/>
        </w:rPr>
        <w:t> DSI a inclus un point permanent consacré à l</w:t>
      </w:r>
      <w:r w:rsidR="00761289" w:rsidRPr="00AC7E46">
        <w:rPr>
          <w:lang w:val="fr-FR"/>
        </w:rPr>
        <w:t>’</w:t>
      </w:r>
      <w:r w:rsidRPr="00AC7E46">
        <w:rPr>
          <w:lang w:val="fr-FR"/>
        </w:rPr>
        <w:t>intégration des questions relatives à l</w:t>
      </w:r>
      <w:r w:rsidR="00761289" w:rsidRPr="00AC7E46">
        <w:rPr>
          <w:lang w:val="fr-FR"/>
        </w:rPr>
        <w:t>’</w:t>
      </w:r>
      <w:r w:rsidRPr="00AC7E46">
        <w:rPr>
          <w:lang w:val="fr-FR"/>
        </w:rPr>
        <w:t>égalité des sexes dans son programme de travail pour les missions d</w:t>
      </w:r>
      <w:r w:rsidR="00761289" w:rsidRPr="00AC7E46">
        <w:rPr>
          <w:lang w:val="fr-FR"/>
        </w:rPr>
        <w:t>’</w:t>
      </w:r>
      <w:r w:rsidRPr="00AC7E46">
        <w:rPr>
          <w:lang w:val="fr-FR"/>
        </w:rPr>
        <w:t>audit concernées;  par exemple, certains éléments relatifs à l</w:t>
      </w:r>
      <w:r w:rsidR="00761289" w:rsidRPr="00AC7E46">
        <w:rPr>
          <w:lang w:val="fr-FR"/>
        </w:rPr>
        <w:t>’</w:t>
      </w:r>
      <w:r w:rsidRPr="00AC7E46">
        <w:rPr>
          <w:lang w:val="fr-FR"/>
        </w:rPr>
        <w:t xml:space="preserve">égalité des sexes ont été inclus dans le rapport </w:t>
      </w:r>
      <w:r w:rsidRPr="00AC7E46">
        <w:rPr>
          <w:lang w:val="fr-FR"/>
        </w:rPr>
        <w:lastRenderedPageBreak/>
        <w:t>d</w:t>
      </w:r>
      <w:r w:rsidR="00761289" w:rsidRPr="00AC7E46">
        <w:rPr>
          <w:lang w:val="fr-FR"/>
        </w:rPr>
        <w:t>’</w:t>
      </w:r>
      <w:r w:rsidRPr="00AC7E46">
        <w:rPr>
          <w:lang w:val="fr-FR"/>
        </w:rPr>
        <w:t>audit du Service d</w:t>
      </w:r>
      <w:r w:rsidR="00761289" w:rsidRPr="00AC7E46">
        <w:rPr>
          <w:lang w:val="fr-FR"/>
        </w:rPr>
        <w:t>’</w:t>
      </w:r>
      <w:r w:rsidRPr="00AC7E46">
        <w:rPr>
          <w:lang w:val="fr-FR"/>
        </w:rPr>
        <w:t>enregistrement de Madrid et dans l</w:t>
      </w:r>
      <w:r w:rsidR="00761289" w:rsidRPr="00AC7E46">
        <w:rPr>
          <w:lang w:val="fr-FR"/>
        </w:rPr>
        <w:t>’</w:t>
      </w:r>
      <w:r w:rsidRPr="00AC7E46">
        <w:rPr>
          <w:lang w:val="fr-FR"/>
        </w:rPr>
        <w:t>audit de l</w:t>
      </w:r>
      <w:r w:rsidR="00761289" w:rsidRPr="00AC7E46">
        <w:rPr>
          <w:lang w:val="fr-FR"/>
        </w:rPr>
        <w:t>’</w:t>
      </w:r>
      <w:r w:rsidRPr="00AC7E46">
        <w:rPr>
          <w:lang w:val="fr-FR"/>
        </w:rPr>
        <w:t>Indice mondial de l</w:t>
      </w:r>
      <w:r w:rsidR="00761289" w:rsidRPr="00AC7E46">
        <w:rPr>
          <w:lang w:val="fr-FR"/>
        </w:rPr>
        <w:t>’</w:t>
      </w:r>
      <w:r w:rsidRPr="00AC7E46">
        <w:rPr>
          <w:lang w:val="fr-FR"/>
        </w:rPr>
        <w:t>innovation, notamment;</w:t>
      </w:r>
    </w:p>
    <w:p w14:paraId="44DCE769" w14:textId="4E718A32" w:rsidR="000D5281" w:rsidRPr="00AC7E46" w:rsidRDefault="000D5281" w:rsidP="008E3F67">
      <w:pPr>
        <w:pStyle w:val="ONUMFS"/>
        <w:numPr>
          <w:ilvl w:val="1"/>
          <w:numId w:val="6"/>
        </w:numPr>
        <w:rPr>
          <w:lang w:val="fr-FR"/>
        </w:rPr>
      </w:pPr>
      <w:proofErr w:type="gramStart"/>
      <w:r w:rsidRPr="00AC7E46">
        <w:rPr>
          <w:lang w:val="fr-FR"/>
        </w:rPr>
        <w:t>la</w:t>
      </w:r>
      <w:proofErr w:type="gramEnd"/>
      <w:r w:rsidRPr="00AC7E46">
        <w:rPr>
          <w:lang w:val="fr-FR"/>
        </w:rPr>
        <w:t xml:space="preserve"> Section de l</w:t>
      </w:r>
      <w:r w:rsidR="00761289" w:rsidRPr="00AC7E46">
        <w:rPr>
          <w:lang w:val="fr-FR"/>
        </w:rPr>
        <w:t>’</w:t>
      </w:r>
      <w:r w:rsidRPr="00AC7E46">
        <w:rPr>
          <w:lang w:val="fr-FR"/>
        </w:rPr>
        <w:t>évaluation a appliqué, le cas échéant, les recommandations du GNUE sur la prise en considération des droits humains et de l</w:t>
      </w:r>
      <w:r w:rsidR="00761289" w:rsidRPr="00AC7E46">
        <w:rPr>
          <w:lang w:val="fr-FR"/>
        </w:rPr>
        <w:t>’</w:t>
      </w:r>
      <w:r w:rsidRPr="00AC7E46">
        <w:rPr>
          <w:lang w:val="fr-FR"/>
        </w:rPr>
        <w:t>égalité entre les sexes dans les évaluations à toutes les phases de celles</w:t>
      </w:r>
      <w:r w:rsidR="001908D2">
        <w:rPr>
          <w:lang w:val="fr-FR"/>
        </w:rPr>
        <w:noBreakHyphen/>
      </w:r>
      <w:r w:rsidRPr="00AC7E46">
        <w:rPr>
          <w:lang w:val="fr-FR"/>
        </w:rPr>
        <w:t>ci</w:t>
      </w:r>
      <w:r w:rsidRPr="00AC7E46">
        <w:rPr>
          <w:iCs/>
          <w:lang w:val="fr-FR"/>
        </w:rPr>
        <w:t xml:space="preserve">; </w:t>
      </w:r>
      <w:r w:rsidR="006F1D4B" w:rsidRPr="00AC7E46">
        <w:rPr>
          <w:iCs/>
          <w:lang w:val="fr-FR"/>
        </w:rPr>
        <w:t xml:space="preserve"> </w:t>
      </w:r>
      <w:r w:rsidRPr="00AC7E46">
        <w:rPr>
          <w:iCs/>
          <w:lang w:val="fr-FR"/>
        </w:rPr>
        <w:t>et</w:t>
      </w:r>
    </w:p>
    <w:p w14:paraId="69A68879" w14:textId="4F574AE1" w:rsidR="000D5281" w:rsidRPr="00AC7E46" w:rsidRDefault="000D5281" w:rsidP="008E3F67">
      <w:pPr>
        <w:pStyle w:val="ONUMFS"/>
        <w:numPr>
          <w:ilvl w:val="1"/>
          <w:numId w:val="6"/>
        </w:numPr>
        <w:rPr>
          <w:lang w:val="fr-FR"/>
        </w:rPr>
      </w:pPr>
      <w:proofErr w:type="gramStart"/>
      <w:r w:rsidRPr="00AC7E46">
        <w:rPr>
          <w:lang w:val="fr-FR"/>
        </w:rPr>
        <w:t>la</w:t>
      </w:r>
      <w:proofErr w:type="gramEnd"/>
      <w:r w:rsidRPr="00AC7E46">
        <w:rPr>
          <w:lang w:val="fr-FR"/>
        </w:rPr>
        <w:t> DSI a assuré le suivi de la mise en œuvre des recommandations formulées dans le rapport sur l</w:t>
      </w:r>
      <w:r w:rsidR="00761289" w:rsidRPr="00AC7E46">
        <w:rPr>
          <w:lang w:val="fr-FR"/>
        </w:rPr>
        <w:t>’</w:t>
      </w:r>
      <w:r w:rsidRPr="00AC7E46">
        <w:rPr>
          <w:lang w:val="fr-FR"/>
        </w:rPr>
        <w:t>audit et l</w:t>
      </w:r>
      <w:r w:rsidR="00761289" w:rsidRPr="00AC7E46">
        <w:rPr>
          <w:lang w:val="fr-FR"/>
        </w:rPr>
        <w:t>’</w:t>
      </w:r>
      <w:r w:rsidRPr="00AC7E46">
        <w:rPr>
          <w:lang w:val="fr-FR"/>
        </w:rPr>
        <w:t>évaluation de la Politique de l</w:t>
      </w:r>
      <w:r w:rsidR="00761289" w:rsidRPr="00AC7E46">
        <w:rPr>
          <w:lang w:val="fr-FR"/>
        </w:rPr>
        <w:t>’</w:t>
      </w:r>
      <w:r w:rsidRPr="00AC7E46">
        <w:rPr>
          <w:lang w:val="fr-FR"/>
        </w:rPr>
        <w:t>OMPI en matière d</w:t>
      </w:r>
      <w:r w:rsidR="00761289" w:rsidRPr="00AC7E46">
        <w:rPr>
          <w:lang w:val="fr-FR"/>
        </w:rPr>
        <w:t>’</w:t>
      </w:r>
      <w:r w:rsidRPr="00AC7E46">
        <w:rPr>
          <w:lang w:val="fr-FR"/>
        </w:rPr>
        <w:t xml:space="preserve">égalité des sexes publié </w:t>
      </w:r>
      <w:r w:rsidR="00761289" w:rsidRPr="00AC7E46">
        <w:rPr>
          <w:lang w:val="fr-FR"/>
        </w:rPr>
        <w:t>en 2019</w:t>
      </w:r>
      <w:r w:rsidRPr="00AC7E46">
        <w:rPr>
          <w:lang w:val="fr-FR"/>
        </w:rPr>
        <w:t>.</w:t>
      </w:r>
    </w:p>
    <w:p w14:paraId="34CE884A" w14:textId="7B7B498D" w:rsidR="000D5281" w:rsidRPr="00AC7E46" w:rsidRDefault="008E3F67" w:rsidP="008E3F67">
      <w:pPr>
        <w:pStyle w:val="Heading1"/>
      </w:pPr>
      <w:bookmarkStart w:id="23" w:name="_Toc420663568"/>
      <w:bookmarkStart w:id="24" w:name="_Toc39071248"/>
      <w:bookmarkStart w:id="25" w:name="_Toc165888313"/>
      <w:r>
        <w:t>M</w:t>
      </w:r>
      <w:r w:rsidRPr="00AC7E46">
        <w:t>issions assorties de recommandations en matière de supervision jugées hautement prioritaires</w:t>
      </w:r>
      <w:bookmarkEnd w:id="23"/>
      <w:bookmarkEnd w:id="24"/>
      <w:bookmarkEnd w:id="25"/>
    </w:p>
    <w:p w14:paraId="724F3BCC" w14:textId="0F6F02DB" w:rsidR="000D5281" w:rsidRPr="00AC7E46" w:rsidRDefault="000D5281" w:rsidP="00D31722">
      <w:pPr>
        <w:pStyle w:val="ONUMFS"/>
        <w:rPr>
          <w:lang w:val="fr-FR"/>
        </w:rPr>
      </w:pPr>
      <w:r w:rsidRPr="00AC7E46">
        <w:rPr>
          <w:lang w:val="fr-FR"/>
        </w:rPr>
        <w:t>Au cours de la période considérée, les missions suivantes ont abouti à la formulation de recommandations hautement prioritaires, qui ont été approuvées par la direction et ont fait l</w:t>
      </w:r>
      <w:r w:rsidR="00761289" w:rsidRPr="00AC7E46">
        <w:rPr>
          <w:lang w:val="fr-FR"/>
        </w:rPr>
        <w:t>’</w:t>
      </w:r>
      <w:r w:rsidRPr="00AC7E46">
        <w:rPr>
          <w:lang w:val="fr-FR"/>
        </w:rPr>
        <w:t>objet d</w:t>
      </w:r>
      <w:r w:rsidR="00761289" w:rsidRPr="00AC7E46">
        <w:rPr>
          <w:lang w:val="fr-FR"/>
        </w:rPr>
        <w:t>’</w:t>
      </w:r>
      <w:r w:rsidRPr="00AC7E46">
        <w:rPr>
          <w:lang w:val="fr-FR"/>
        </w:rPr>
        <w:t>un suivi régulier de</w:t>
      </w:r>
      <w:r w:rsidR="00761289" w:rsidRPr="00AC7E46">
        <w:rPr>
          <w:lang w:val="fr-FR"/>
        </w:rPr>
        <w:t xml:space="preserve"> la DSI :</w:t>
      </w:r>
    </w:p>
    <w:p w14:paraId="64B5F4CC" w14:textId="0033B930" w:rsidR="000D5281" w:rsidRPr="00AC7E46" w:rsidRDefault="000D5281" w:rsidP="008E3F67">
      <w:pPr>
        <w:pStyle w:val="ONUMFS"/>
        <w:numPr>
          <w:ilvl w:val="1"/>
          <w:numId w:val="6"/>
        </w:numPr>
        <w:rPr>
          <w:lang w:val="fr-FR"/>
        </w:rPr>
      </w:pPr>
      <w:proofErr w:type="gramStart"/>
      <w:r w:rsidRPr="00AC7E46">
        <w:rPr>
          <w:lang w:val="fr-FR"/>
        </w:rPr>
        <w:t>audit</w:t>
      </w:r>
      <w:proofErr w:type="gramEnd"/>
      <w:r w:rsidRPr="00AC7E46">
        <w:rPr>
          <w:lang w:val="fr-FR"/>
        </w:rPr>
        <w:t xml:space="preserve"> et évaluation des opérations</w:t>
      </w:r>
      <w:r w:rsidR="00761289" w:rsidRPr="00AC7E46">
        <w:rPr>
          <w:lang w:val="fr-FR"/>
        </w:rPr>
        <w:t xml:space="preserve"> du PCT</w:t>
      </w:r>
      <w:r w:rsidRPr="00AC7E46">
        <w:rPr>
          <w:lang w:val="fr-FR"/>
        </w:rPr>
        <w:t xml:space="preserve"> et des relations avec la clientèle, partie I</w:t>
      </w:r>
      <w:r w:rsidR="00761289" w:rsidRPr="00AC7E46">
        <w:rPr>
          <w:lang w:val="fr-FR"/>
        </w:rPr>
        <w:t> :</w:t>
      </w:r>
      <w:r w:rsidRPr="00AC7E46">
        <w:rPr>
          <w:lang w:val="fr-FR"/>
        </w:rPr>
        <w:t xml:space="preserve"> résultats de l</w:t>
      </w:r>
      <w:r w:rsidR="00761289" w:rsidRPr="00AC7E46">
        <w:rPr>
          <w:lang w:val="fr-FR"/>
        </w:rPr>
        <w:t>’</w:t>
      </w:r>
      <w:r w:rsidRPr="00AC7E46">
        <w:rPr>
          <w:lang w:val="fr-FR"/>
        </w:rPr>
        <w:t>audit des opérations</w:t>
      </w:r>
      <w:r w:rsidR="00761289" w:rsidRPr="00AC7E46">
        <w:rPr>
          <w:lang w:val="fr-FR"/>
        </w:rPr>
        <w:t xml:space="preserve"> du PCT</w:t>
      </w:r>
      <w:r w:rsidRPr="00AC7E46">
        <w:rPr>
          <w:lang w:val="fr-FR"/>
        </w:rPr>
        <w:t xml:space="preserve"> (une recommandation hautement prioritaire);</w:t>
      </w:r>
    </w:p>
    <w:p w14:paraId="337D2155" w14:textId="04882C53" w:rsidR="000D5281" w:rsidRPr="00AC7E46" w:rsidRDefault="000D5281" w:rsidP="008E3F67">
      <w:pPr>
        <w:pStyle w:val="ONUMFS"/>
        <w:numPr>
          <w:ilvl w:val="1"/>
          <w:numId w:val="6"/>
        </w:numPr>
        <w:rPr>
          <w:lang w:val="fr-FR"/>
        </w:rPr>
      </w:pPr>
      <w:proofErr w:type="gramStart"/>
      <w:r w:rsidRPr="00AC7E46">
        <w:rPr>
          <w:lang w:val="fr-FR"/>
        </w:rPr>
        <w:t>audit</w:t>
      </w:r>
      <w:proofErr w:type="gramEnd"/>
      <w:r w:rsidRPr="00AC7E46">
        <w:rPr>
          <w:lang w:val="fr-FR"/>
        </w:rPr>
        <w:t xml:space="preserve"> de l</w:t>
      </w:r>
      <w:r w:rsidR="00761289" w:rsidRPr="00AC7E46">
        <w:rPr>
          <w:lang w:val="fr-FR"/>
        </w:rPr>
        <w:t>’</w:t>
      </w:r>
      <w:r w:rsidRPr="00AC7E46">
        <w:rPr>
          <w:lang w:val="fr-FR"/>
        </w:rPr>
        <w:t>Indice mondial de l</w:t>
      </w:r>
      <w:r w:rsidR="00761289" w:rsidRPr="00AC7E46">
        <w:rPr>
          <w:lang w:val="fr-FR"/>
        </w:rPr>
        <w:t>’</w:t>
      </w:r>
      <w:r w:rsidRPr="00AC7E46">
        <w:rPr>
          <w:lang w:val="fr-FR"/>
        </w:rPr>
        <w:t>innovation de l</w:t>
      </w:r>
      <w:r w:rsidR="00761289" w:rsidRPr="00AC7E46">
        <w:rPr>
          <w:lang w:val="fr-FR"/>
        </w:rPr>
        <w:t>’</w:t>
      </w:r>
      <w:r w:rsidRPr="00AC7E46">
        <w:rPr>
          <w:lang w:val="fr-FR"/>
        </w:rPr>
        <w:t>OMPI (une recommandation hautement prioritaire);  et</w:t>
      </w:r>
    </w:p>
    <w:p w14:paraId="627490F2" w14:textId="18A03A83" w:rsidR="000D5281" w:rsidRPr="00AC7E46" w:rsidRDefault="000D5281" w:rsidP="008E3F67">
      <w:pPr>
        <w:pStyle w:val="ONUMFS"/>
        <w:numPr>
          <w:ilvl w:val="1"/>
          <w:numId w:val="6"/>
        </w:numPr>
        <w:rPr>
          <w:lang w:val="fr-FR"/>
        </w:rPr>
      </w:pPr>
      <w:proofErr w:type="gramStart"/>
      <w:r w:rsidRPr="00AC7E46">
        <w:rPr>
          <w:lang w:val="fr-FR"/>
        </w:rPr>
        <w:t>audit</w:t>
      </w:r>
      <w:proofErr w:type="gramEnd"/>
      <w:r w:rsidRPr="00AC7E46">
        <w:rPr>
          <w:lang w:val="fr-FR"/>
        </w:rPr>
        <w:t xml:space="preserve"> du Service d</w:t>
      </w:r>
      <w:r w:rsidR="00761289" w:rsidRPr="00AC7E46">
        <w:rPr>
          <w:lang w:val="fr-FR"/>
        </w:rPr>
        <w:t>’</w:t>
      </w:r>
      <w:r w:rsidRPr="00AC7E46">
        <w:rPr>
          <w:lang w:val="fr-FR"/>
        </w:rPr>
        <w:t>enregistrement de Madrid (deux recommandations hautement prioritaires).</w:t>
      </w:r>
    </w:p>
    <w:p w14:paraId="2CE9704D" w14:textId="55D6120D" w:rsidR="000D5281" w:rsidRPr="00AC7E46" w:rsidRDefault="000D5281" w:rsidP="00D31722">
      <w:pPr>
        <w:pStyle w:val="ONUMFS"/>
        <w:rPr>
          <w:lang w:val="fr-FR"/>
        </w:rPr>
      </w:pPr>
      <w:r w:rsidRPr="00AC7E46">
        <w:rPr>
          <w:lang w:val="fr-FR"/>
        </w:rPr>
        <w:t>La section ci</w:t>
      </w:r>
      <w:r w:rsidR="001908D2">
        <w:rPr>
          <w:lang w:val="fr-FR"/>
        </w:rPr>
        <w:noBreakHyphen/>
      </w:r>
      <w:r w:rsidRPr="00AC7E46">
        <w:rPr>
          <w:lang w:val="fr-FR"/>
        </w:rPr>
        <w:t>après consacrée aux missions ayant fait l</w:t>
      </w:r>
      <w:r w:rsidR="00761289" w:rsidRPr="00AC7E46">
        <w:rPr>
          <w:lang w:val="fr-FR"/>
        </w:rPr>
        <w:t>’</w:t>
      </w:r>
      <w:r w:rsidRPr="00AC7E46">
        <w:rPr>
          <w:lang w:val="fr-FR"/>
        </w:rPr>
        <w:t>objet d</w:t>
      </w:r>
      <w:r w:rsidR="00761289" w:rsidRPr="00AC7E46">
        <w:rPr>
          <w:lang w:val="fr-FR"/>
        </w:rPr>
        <w:t>’</w:t>
      </w:r>
      <w:r w:rsidRPr="00AC7E46">
        <w:rPr>
          <w:lang w:val="fr-FR"/>
        </w:rPr>
        <w:t xml:space="preserve">un rapport </w:t>
      </w:r>
      <w:r w:rsidR="00761289" w:rsidRPr="00AC7E46">
        <w:rPr>
          <w:lang w:val="fr-FR"/>
        </w:rPr>
        <w:t>en 2023</w:t>
      </w:r>
      <w:r w:rsidRPr="00AC7E46">
        <w:rPr>
          <w:lang w:val="fr-FR"/>
        </w:rPr>
        <w:t xml:space="preserve"> contient davantage d</w:t>
      </w:r>
      <w:r w:rsidR="00761289" w:rsidRPr="00AC7E46">
        <w:rPr>
          <w:lang w:val="fr-FR"/>
        </w:rPr>
        <w:t>’</w:t>
      </w:r>
      <w:r w:rsidRPr="00AC7E46">
        <w:rPr>
          <w:lang w:val="fr-FR"/>
        </w:rPr>
        <w:t>informations sur les conclusions hautement prioritaires et l</w:t>
      </w:r>
      <w:r w:rsidR="00761289" w:rsidRPr="00AC7E46">
        <w:rPr>
          <w:lang w:val="fr-FR"/>
        </w:rPr>
        <w:t>’</w:t>
      </w:r>
      <w:r w:rsidRPr="00AC7E46">
        <w:rPr>
          <w:lang w:val="fr-FR"/>
        </w:rPr>
        <w:t>état d</w:t>
      </w:r>
      <w:r w:rsidR="00761289" w:rsidRPr="00AC7E46">
        <w:rPr>
          <w:lang w:val="fr-FR"/>
        </w:rPr>
        <w:t>’</w:t>
      </w:r>
      <w:r w:rsidRPr="00AC7E46">
        <w:rPr>
          <w:lang w:val="fr-FR"/>
        </w:rPr>
        <w:t>avancement des recommandations ouvertes sur la supervision.</w:t>
      </w:r>
    </w:p>
    <w:p w14:paraId="12861264" w14:textId="3C325290" w:rsidR="000D5281" w:rsidRPr="00AC7E46" w:rsidRDefault="008E3F67" w:rsidP="008E3F67">
      <w:pPr>
        <w:pStyle w:val="Heading1"/>
      </w:pPr>
      <w:bookmarkStart w:id="26" w:name="_Toc165888314"/>
      <w:r>
        <w:t>M</w:t>
      </w:r>
      <w:r w:rsidRPr="00AC7E46">
        <w:t>issions ayant fait l’objet d’un rapport en</w:t>
      </w:r>
      <w:r>
        <w:t> </w:t>
      </w:r>
      <w:r w:rsidRPr="00AC7E46">
        <w:t>2023</w:t>
      </w:r>
      <w:bookmarkEnd w:id="26"/>
    </w:p>
    <w:p w14:paraId="3C7C46B1" w14:textId="35B7D7AE" w:rsidR="000D5281" w:rsidRPr="00F4635E" w:rsidRDefault="008E3F67" w:rsidP="00F4635E">
      <w:pPr>
        <w:pStyle w:val="Heading2"/>
      </w:pPr>
      <w:bookmarkStart w:id="27" w:name="_Audit_of_the"/>
      <w:bookmarkEnd w:id="27"/>
      <w:r w:rsidRPr="00F4635E">
        <w:t>Audit et évaluation du Bureau du conseiller juridique</w:t>
      </w:r>
    </w:p>
    <w:p w14:paraId="06B0CF44" w14:textId="0F6DECA8" w:rsidR="000D5281" w:rsidRPr="00AC7E46" w:rsidRDefault="000D5281" w:rsidP="00D31722">
      <w:pPr>
        <w:pStyle w:val="ONUMFS"/>
        <w:rPr>
          <w:lang w:val="fr-FR"/>
        </w:rPr>
      </w:pPr>
      <w:r w:rsidRPr="00AC7E46">
        <w:rPr>
          <w:lang w:val="fr-FR"/>
        </w:rPr>
        <w:t>La mission poursuivait deux</w:t>
      </w:r>
      <w:r w:rsidR="006F1D4B" w:rsidRPr="00AC7E46">
        <w:rPr>
          <w:lang w:val="fr-FR"/>
        </w:rPr>
        <w:t> </w:t>
      </w:r>
      <w:r w:rsidRPr="00AC7E46">
        <w:rPr>
          <w:lang w:val="fr-FR"/>
        </w:rPr>
        <w:t>objectifs principaux</w:t>
      </w:r>
      <w:r w:rsidR="00761289" w:rsidRPr="00AC7E46">
        <w:rPr>
          <w:lang w:val="fr-FR"/>
        </w:rPr>
        <w:t> :</w:t>
      </w:r>
      <w:r w:rsidRPr="00AC7E46">
        <w:rPr>
          <w:lang w:val="fr-FR"/>
        </w:rPr>
        <w:t xml:space="preserve"> i)</w:t>
      </w:r>
      <w:r w:rsidR="006F1D4B" w:rsidRPr="00AC7E46">
        <w:rPr>
          <w:lang w:val="fr-FR"/>
        </w:rPr>
        <w:t> </w:t>
      </w:r>
      <w:r w:rsidRPr="00AC7E46">
        <w:rPr>
          <w:lang w:val="fr-FR"/>
        </w:rPr>
        <w:t>examiner la gouvernance, la gestion des risques, le respect des règles et l</w:t>
      </w:r>
      <w:r w:rsidR="00761289" w:rsidRPr="00AC7E46">
        <w:rPr>
          <w:lang w:val="fr-FR"/>
        </w:rPr>
        <w:t>’</w:t>
      </w:r>
      <w:r w:rsidRPr="00AC7E46">
        <w:rPr>
          <w:lang w:val="fr-FR"/>
        </w:rPr>
        <w:t>efficacité des contrôles internes au sein du Bureau du conseiller juridique, ainsi que l</w:t>
      </w:r>
      <w:r w:rsidR="00761289" w:rsidRPr="00AC7E46">
        <w:rPr>
          <w:lang w:val="fr-FR"/>
        </w:rPr>
        <w:t>’</w:t>
      </w:r>
      <w:r w:rsidRPr="00AC7E46">
        <w:rPr>
          <w:lang w:val="fr-FR"/>
        </w:rPr>
        <w:t xml:space="preserve">adéquation des outils et systèmes utilisés pour soutenir le </w:t>
      </w:r>
      <w:proofErr w:type="gramStart"/>
      <w:r w:rsidR="008E3F67">
        <w:rPr>
          <w:lang w:val="fr-FR"/>
        </w:rPr>
        <w:t>b</w:t>
      </w:r>
      <w:r w:rsidRPr="00AC7E46">
        <w:rPr>
          <w:lang w:val="fr-FR"/>
        </w:rPr>
        <w:t xml:space="preserve">ureau; </w:t>
      </w:r>
      <w:r w:rsidR="006F1D4B" w:rsidRPr="00AC7E46">
        <w:rPr>
          <w:lang w:val="fr-FR"/>
        </w:rPr>
        <w:t xml:space="preserve"> </w:t>
      </w:r>
      <w:r w:rsidRPr="00AC7E46">
        <w:rPr>
          <w:lang w:val="fr-FR"/>
        </w:rPr>
        <w:t>et</w:t>
      </w:r>
      <w:proofErr w:type="gramEnd"/>
      <w:r w:rsidRPr="00AC7E46">
        <w:rPr>
          <w:lang w:val="fr-FR"/>
        </w:rPr>
        <w:t xml:space="preserve"> ii) examiner les services fournis par le Bureau du conseiller juridique et recenser les mesures à prendre pour renforcer les services internes et externes compte tenu du nouveau cadre institutionnel.</w:t>
      </w:r>
    </w:p>
    <w:p w14:paraId="480C2ACF" w14:textId="2EE69062" w:rsidR="000D5281" w:rsidRPr="00AC7E46" w:rsidRDefault="000D5281" w:rsidP="00D31722">
      <w:pPr>
        <w:pStyle w:val="ONUMFS"/>
        <w:rPr>
          <w:lang w:val="fr-FR"/>
        </w:rPr>
      </w:pPr>
      <w:bookmarkStart w:id="28" w:name="_Hlk163812909"/>
      <w:r w:rsidRPr="00AC7E46">
        <w:rPr>
          <w:lang w:val="fr-FR"/>
        </w:rPr>
        <w:t>La DSI a constaté que les services du Bureau du conseiller juridique étaient conformes à son mandat et pertinents pour les orientations stratégiques de l</w:t>
      </w:r>
      <w:r w:rsidR="00761289" w:rsidRPr="00AC7E46">
        <w:rPr>
          <w:lang w:val="fr-FR"/>
        </w:rPr>
        <w:t>’</w:t>
      </w:r>
      <w:r w:rsidRPr="00AC7E46">
        <w:rPr>
          <w:lang w:val="fr-FR"/>
        </w:rPr>
        <w:t>Organisation.</w:t>
      </w:r>
    </w:p>
    <w:p w14:paraId="15D32F81" w14:textId="02843B7D" w:rsidR="000D5281" w:rsidRPr="00AC7E46" w:rsidRDefault="000D5281" w:rsidP="00D31722">
      <w:pPr>
        <w:pStyle w:val="ONUMFS"/>
        <w:rPr>
          <w:lang w:val="fr-FR"/>
        </w:rPr>
      </w:pPr>
      <w:r w:rsidRPr="00AC7E46">
        <w:rPr>
          <w:lang w:val="fr-FR"/>
        </w:rPr>
        <w:t>Le positionnement, les ressources et les capacités du Bureau du conseiller juridique ont été jugés appropriés pour mener des activités et obtenir des résultats de manière efficace et efficiente, ce qui inclut l</w:t>
      </w:r>
      <w:r w:rsidR="00761289" w:rsidRPr="00AC7E46">
        <w:rPr>
          <w:lang w:val="fr-FR"/>
        </w:rPr>
        <w:t>’</w:t>
      </w:r>
      <w:r w:rsidRPr="00AC7E46">
        <w:rPr>
          <w:lang w:val="fr-FR"/>
        </w:rPr>
        <w:t>adoption et la promotion d</w:t>
      </w:r>
      <w:r w:rsidR="00761289" w:rsidRPr="00AC7E46">
        <w:rPr>
          <w:lang w:val="fr-FR"/>
        </w:rPr>
        <w:t>’</w:t>
      </w:r>
      <w:r w:rsidRPr="00AC7E46">
        <w:rPr>
          <w:lang w:val="fr-FR"/>
        </w:rPr>
        <w:t>approches collaboratives à trois</w:t>
      </w:r>
      <w:r w:rsidR="006F1D4B" w:rsidRPr="00AC7E46">
        <w:rPr>
          <w:lang w:val="fr-FR"/>
        </w:rPr>
        <w:t> </w:t>
      </w:r>
      <w:r w:rsidRPr="00AC7E46">
        <w:rPr>
          <w:lang w:val="fr-FR"/>
        </w:rPr>
        <w:t>niveaux</w:t>
      </w:r>
      <w:r w:rsidR="00761289" w:rsidRPr="00AC7E46">
        <w:rPr>
          <w:lang w:val="fr-FR"/>
        </w:rPr>
        <w:t> :</w:t>
      </w:r>
      <w:r w:rsidRPr="00AC7E46">
        <w:rPr>
          <w:lang w:val="fr-FR"/>
        </w:rPr>
        <w:t xml:space="preserve"> interne, intersectoriel et exter</w:t>
      </w:r>
      <w:r w:rsidR="00AC7E46" w:rsidRPr="00AC7E46">
        <w:rPr>
          <w:lang w:val="fr-FR"/>
        </w:rPr>
        <w:t>ne.  Le</w:t>
      </w:r>
      <w:r w:rsidRPr="00AC7E46">
        <w:rPr>
          <w:lang w:val="fr-FR"/>
        </w:rPr>
        <w:t xml:space="preserve"> Bureau a également adapté des procédures pour gérer les informations et les savoirs, ainsi que des mécanismes garantissant que les rôles et les responsabilités au sein du Bureau du conseiller juridique soient clairement définis et compris.</w:t>
      </w:r>
    </w:p>
    <w:p w14:paraId="61D21558" w14:textId="03E2F90D" w:rsidR="000D5281" w:rsidRPr="00AC7E46" w:rsidRDefault="000D5281" w:rsidP="00D31722">
      <w:pPr>
        <w:pStyle w:val="ONUMFS"/>
        <w:rPr>
          <w:lang w:val="fr-FR"/>
        </w:rPr>
      </w:pPr>
      <w:r w:rsidRPr="00AC7E46">
        <w:rPr>
          <w:lang w:val="fr-FR"/>
        </w:rPr>
        <w:t>Conformément</w:t>
      </w:r>
      <w:r w:rsidR="00761289" w:rsidRPr="00AC7E46">
        <w:rPr>
          <w:lang w:val="fr-FR"/>
        </w:rPr>
        <w:t xml:space="preserve"> au PSM</w:t>
      </w:r>
      <w:r w:rsidRPr="00AC7E46">
        <w:rPr>
          <w:lang w:val="fr-FR"/>
        </w:rPr>
        <w:t>T</w:t>
      </w:r>
      <w:r w:rsidR="001908D2">
        <w:rPr>
          <w:lang w:val="fr-FR"/>
        </w:rPr>
        <w:t> </w:t>
      </w:r>
      <w:r w:rsidRPr="00AC7E46">
        <w:rPr>
          <w:lang w:val="fr-FR"/>
        </w:rPr>
        <w:t>2022</w:t>
      </w:r>
      <w:r w:rsidR="001908D2">
        <w:rPr>
          <w:lang w:val="fr-FR"/>
        </w:rPr>
        <w:noBreakHyphen/>
      </w:r>
      <w:r w:rsidRPr="00AC7E46">
        <w:rPr>
          <w:lang w:val="fr-FR"/>
        </w:rPr>
        <w:t>2026, il a été recommandé que le Bureau du conseiller juridique adopte des systèmes ou des procédures permettant de gérer les observations des parties prenantes dans le double objectif de promouvoir une expérience positive pour les clients et d</w:t>
      </w:r>
      <w:r w:rsidR="00761289" w:rsidRPr="00AC7E46">
        <w:rPr>
          <w:lang w:val="fr-FR"/>
        </w:rPr>
        <w:t>’</w:t>
      </w:r>
      <w:r w:rsidRPr="00AC7E46">
        <w:rPr>
          <w:lang w:val="fr-FR"/>
        </w:rPr>
        <w:t>améliorer ses services au profit de l</w:t>
      </w:r>
      <w:r w:rsidR="00761289" w:rsidRPr="00AC7E46">
        <w:rPr>
          <w:lang w:val="fr-FR"/>
        </w:rPr>
        <w:t>’</w:t>
      </w:r>
      <w:r w:rsidRPr="00AC7E46">
        <w:rPr>
          <w:lang w:val="fr-FR"/>
        </w:rPr>
        <w:t>Organisati</w:t>
      </w:r>
      <w:r w:rsidR="00AC7E46" w:rsidRPr="00AC7E46">
        <w:rPr>
          <w:lang w:val="fr-FR"/>
        </w:rPr>
        <w:t>on.  En</w:t>
      </w:r>
      <w:r w:rsidRPr="00AC7E46">
        <w:rPr>
          <w:lang w:val="fr-FR"/>
        </w:rPr>
        <w:t xml:space="preserve"> collaboration avec la Division de l</w:t>
      </w:r>
      <w:r w:rsidR="00761289" w:rsidRPr="00AC7E46">
        <w:rPr>
          <w:lang w:val="fr-FR"/>
        </w:rPr>
        <w:t>’</w:t>
      </w:r>
      <w:r w:rsidRPr="00AC7E46">
        <w:rPr>
          <w:lang w:val="fr-FR"/>
        </w:rPr>
        <w:t xml:space="preserve">exécution des programmes et du budget, il devrait élaborer un ou plusieurs indicateurs de </w:t>
      </w:r>
      <w:r w:rsidRPr="00AC7E46">
        <w:rPr>
          <w:lang w:val="fr-FR"/>
        </w:rPr>
        <w:lastRenderedPageBreak/>
        <w:t>performance, de préférence en se fondant sur les perceptions des parties prenantes qui refléteraient les contributions de ses trois</w:t>
      </w:r>
      <w:r w:rsidR="006F1D4B" w:rsidRPr="00AC7E46">
        <w:rPr>
          <w:lang w:val="fr-FR"/>
        </w:rPr>
        <w:t> </w:t>
      </w:r>
      <w:r w:rsidRPr="00AC7E46">
        <w:rPr>
          <w:lang w:val="fr-FR"/>
        </w:rPr>
        <w:t>sections au Cadre des résultats de l</w:t>
      </w:r>
      <w:r w:rsidR="00761289" w:rsidRPr="00AC7E46">
        <w:rPr>
          <w:lang w:val="fr-FR"/>
        </w:rPr>
        <w:t>’</w:t>
      </w:r>
      <w:r w:rsidRPr="00AC7E46">
        <w:rPr>
          <w:lang w:val="fr-FR"/>
        </w:rPr>
        <w:t>OMPI.</w:t>
      </w:r>
    </w:p>
    <w:p w14:paraId="5389B49F" w14:textId="402A097B" w:rsidR="000D5281" w:rsidRPr="00AC7E46" w:rsidRDefault="000D5281" w:rsidP="00D31722">
      <w:pPr>
        <w:pStyle w:val="ONUMFS"/>
        <w:rPr>
          <w:lang w:val="fr-FR"/>
        </w:rPr>
      </w:pPr>
      <w:bookmarkStart w:id="29" w:name="_Hlk163814244"/>
      <w:bookmarkEnd w:id="28"/>
      <w:r w:rsidRPr="00AC7E46">
        <w:rPr>
          <w:lang w:val="fr-FR"/>
        </w:rPr>
        <w:t>Aux fins d</w:t>
      </w:r>
      <w:r w:rsidR="00761289" w:rsidRPr="00AC7E46">
        <w:rPr>
          <w:lang w:val="fr-FR"/>
        </w:rPr>
        <w:t>’</w:t>
      </w:r>
      <w:r w:rsidRPr="00AC7E46">
        <w:rPr>
          <w:lang w:val="fr-FR"/>
        </w:rPr>
        <w:t>assurer la cohérence, d</w:t>
      </w:r>
      <w:r w:rsidR="00761289" w:rsidRPr="00AC7E46">
        <w:rPr>
          <w:lang w:val="fr-FR"/>
        </w:rPr>
        <w:t>’</w:t>
      </w:r>
      <w:r w:rsidRPr="00AC7E46">
        <w:rPr>
          <w:lang w:val="fr-FR"/>
        </w:rPr>
        <w:t>améliorer l</w:t>
      </w:r>
      <w:r w:rsidR="00761289" w:rsidRPr="00AC7E46">
        <w:rPr>
          <w:lang w:val="fr-FR"/>
        </w:rPr>
        <w:t>’</w:t>
      </w:r>
      <w:r w:rsidRPr="00AC7E46">
        <w:rPr>
          <w:lang w:val="fr-FR"/>
        </w:rPr>
        <w:t>apprentissage et de préserver la mémoire institutionnelle, le Bureau du conseiller juridique devrait renforcer ses procédures et mécanismes de gestion des informations et des savoirs, notamment en termes de</w:t>
      </w:r>
      <w:r w:rsidR="00761289" w:rsidRPr="00AC7E46">
        <w:rPr>
          <w:lang w:val="fr-FR"/>
        </w:rPr>
        <w:t> :</w:t>
      </w:r>
      <w:r w:rsidRPr="00AC7E46">
        <w:rPr>
          <w:lang w:val="fr-FR"/>
        </w:rPr>
        <w:t xml:space="preserve"> i)</w:t>
      </w:r>
      <w:r w:rsidR="006F1D4B" w:rsidRPr="00AC7E46">
        <w:rPr>
          <w:lang w:val="fr-FR"/>
        </w:rPr>
        <w:t> </w:t>
      </w:r>
      <w:r w:rsidRPr="00AC7E46">
        <w:rPr>
          <w:lang w:val="fr-FR"/>
        </w:rPr>
        <w:t xml:space="preserve">documentation des procédures et pratiques sous la forme de procédures opérationnelles </w:t>
      </w:r>
      <w:proofErr w:type="gramStart"/>
      <w:r w:rsidRPr="00AC7E46">
        <w:rPr>
          <w:lang w:val="fr-FR"/>
        </w:rPr>
        <w:t xml:space="preserve">standard; </w:t>
      </w:r>
      <w:r w:rsidR="006F1D4B" w:rsidRPr="00AC7E46">
        <w:rPr>
          <w:lang w:val="fr-FR"/>
        </w:rPr>
        <w:t xml:space="preserve"> </w:t>
      </w:r>
      <w:r w:rsidRPr="00AC7E46">
        <w:rPr>
          <w:lang w:val="fr-FR"/>
        </w:rPr>
        <w:t>et</w:t>
      </w:r>
      <w:proofErr w:type="gramEnd"/>
      <w:r w:rsidRPr="00AC7E46">
        <w:rPr>
          <w:lang w:val="fr-FR"/>
        </w:rPr>
        <w:t xml:space="preserve"> ii)</w:t>
      </w:r>
      <w:r w:rsidR="006F1D4B" w:rsidRPr="00AC7E46">
        <w:rPr>
          <w:lang w:val="fr-FR"/>
        </w:rPr>
        <w:t> </w:t>
      </w:r>
      <w:r w:rsidRPr="00AC7E46">
        <w:rPr>
          <w:lang w:val="fr-FR"/>
        </w:rPr>
        <w:t xml:space="preserve">renforcement de la communication en développant et en enrichissant les </w:t>
      </w:r>
      <w:r w:rsidR="00761289" w:rsidRPr="00AC7E46">
        <w:rPr>
          <w:lang w:val="fr-FR"/>
        </w:rPr>
        <w:t>pages I</w:t>
      </w:r>
      <w:r w:rsidRPr="00AC7E46">
        <w:rPr>
          <w:lang w:val="fr-FR"/>
        </w:rPr>
        <w:t>ntranet et Internet du Bureau.</w:t>
      </w:r>
    </w:p>
    <w:bookmarkEnd w:id="29"/>
    <w:p w14:paraId="64E327ED" w14:textId="39408F1E" w:rsidR="000D5281" w:rsidRPr="00AC7E46" w:rsidRDefault="000D5281" w:rsidP="00D31722">
      <w:pPr>
        <w:pStyle w:val="ONUMFS"/>
        <w:rPr>
          <w:lang w:val="fr-FR"/>
        </w:rPr>
      </w:pPr>
      <w:r w:rsidRPr="00AC7E46">
        <w:rPr>
          <w:lang w:val="fr-FR"/>
        </w:rPr>
        <w:t>La direction a accepté les deux</w:t>
      </w:r>
      <w:r w:rsidR="006F1D4B" w:rsidRPr="00AC7E46">
        <w:rPr>
          <w:lang w:val="fr-FR"/>
        </w:rPr>
        <w:t> </w:t>
      </w:r>
      <w:r w:rsidRPr="00AC7E46">
        <w:rPr>
          <w:lang w:val="fr-FR"/>
        </w:rPr>
        <w:t>recommandations, qui devraient être mises en œuvre au plus tard en juin 2024.</w:t>
      </w:r>
    </w:p>
    <w:p w14:paraId="797FAC13" w14:textId="76498EAF" w:rsidR="000D5281" w:rsidRPr="00AC7E46" w:rsidRDefault="008E3F67" w:rsidP="00F4635E">
      <w:pPr>
        <w:pStyle w:val="Heading2"/>
      </w:pPr>
      <w:r>
        <w:t>A</w:t>
      </w:r>
      <w:r w:rsidRPr="00AC7E46">
        <w:t xml:space="preserve">udit et évaluation des opérations du </w:t>
      </w:r>
      <w:r>
        <w:t>PCT</w:t>
      </w:r>
      <w:r w:rsidRPr="00AC7E46">
        <w:t xml:space="preserve"> et des relations avec la clientèle – </w:t>
      </w:r>
      <w:r>
        <w:t>P</w:t>
      </w:r>
      <w:r w:rsidRPr="00AC7E46">
        <w:t>artie </w:t>
      </w:r>
      <w:r>
        <w:t>I</w:t>
      </w:r>
      <w:r w:rsidRPr="00AC7E46">
        <w:t xml:space="preserve"> : audit des opérations du </w:t>
      </w:r>
      <w:r>
        <w:t>PCT</w:t>
      </w:r>
    </w:p>
    <w:p w14:paraId="31F95435" w14:textId="2CB0532A" w:rsidR="000D5281" w:rsidRPr="00AC7E46" w:rsidRDefault="000D5281" w:rsidP="00D31722">
      <w:pPr>
        <w:pStyle w:val="ONUMFS"/>
        <w:rPr>
          <w:lang w:val="fr-FR"/>
        </w:rPr>
      </w:pPr>
      <w:r w:rsidRPr="00AC7E46">
        <w:rPr>
          <w:lang w:val="fr-FR"/>
        </w:rPr>
        <w:t>La mission poursuivait les objectifs suivants</w:t>
      </w:r>
      <w:r w:rsidR="00761289" w:rsidRPr="00AC7E46">
        <w:rPr>
          <w:lang w:val="fr-FR"/>
        </w:rPr>
        <w:t> :</w:t>
      </w:r>
      <w:r w:rsidRPr="00AC7E46">
        <w:rPr>
          <w:lang w:val="fr-FR"/>
        </w:rPr>
        <w:t xml:space="preserve"> i) examiner la gouvernance et la structure, la gestion des risques et le respect des règles, ainsi que l</w:t>
      </w:r>
      <w:r w:rsidR="00761289" w:rsidRPr="00AC7E46">
        <w:rPr>
          <w:lang w:val="fr-FR"/>
        </w:rPr>
        <w:t>’</w:t>
      </w:r>
      <w:r w:rsidRPr="00AC7E46">
        <w:rPr>
          <w:lang w:val="fr-FR"/>
        </w:rPr>
        <w:t>efficacité des contrôles internes des services</w:t>
      </w:r>
      <w:r w:rsidR="00761289" w:rsidRPr="00AC7E46">
        <w:rPr>
          <w:lang w:val="fr-FR"/>
        </w:rPr>
        <w:t xml:space="preserve"> du </w:t>
      </w:r>
      <w:proofErr w:type="gramStart"/>
      <w:r w:rsidR="00761289" w:rsidRPr="00AC7E46">
        <w:rPr>
          <w:lang w:val="fr-FR"/>
        </w:rPr>
        <w:t>PCT</w:t>
      </w:r>
      <w:r w:rsidR="006F1D4B" w:rsidRPr="00AC7E46">
        <w:rPr>
          <w:lang w:val="fr-FR"/>
        </w:rPr>
        <w:t xml:space="preserve">; </w:t>
      </w:r>
      <w:r w:rsidRPr="00AC7E46">
        <w:rPr>
          <w:lang w:val="fr-FR"/>
        </w:rPr>
        <w:t xml:space="preserve"> et</w:t>
      </w:r>
      <w:proofErr w:type="gramEnd"/>
      <w:r w:rsidRPr="00AC7E46">
        <w:rPr>
          <w:lang w:val="fr-FR"/>
        </w:rPr>
        <w:t xml:space="preserve"> ii) évaluer l</w:t>
      </w:r>
      <w:r w:rsidR="00761289" w:rsidRPr="00AC7E46">
        <w:rPr>
          <w:lang w:val="fr-FR"/>
        </w:rPr>
        <w:t>’</w:t>
      </w:r>
      <w:r w:rsidRPr="00AC7E46">
        <w:rPr>
          <w:lang w:val="fr-FR"/>
        </w:rPr>
        <w:t>adéquation et l</w:t>
      </w:r>
      <w:r w:rsidR="00761289" w:rsidRPr="00AC7E46">
        <w:rPr>
          <w:lang w:val="fr-FR"/>
        </w:rPr>
        <w:t>’</w:t>
      </w:r>
      <w:r w:rsidRPr="00AC7E46">
        <w:rPr>
          <w:lang w:val="fr-FR"/>
        </w:rPr>
        <w:t>efficacité des outils et systèmes utilisés pour appuyer les services</w:t>
      </w:r>
      <w:r w:rsidR="00761289" w:rsidRPr="00AC7E46">
        <w:rPr>
          <w:lang w:val="fr-FR"/>
        </w:rPr>
        <w:t xml:space="preserve"> du PCT</w:t>
      </w:r>
      <w:r w:rsidRPr="00AC7E46">
        <w:rPr>
          <w:lang w:val="fr-FR"/>
        </w:rPr>
        <w:t>.</w:t>
      </w:r>
    </w:p>
    <w:p w14:paraId="4520401B" w14:textId="73802F7D" w:rsidR="000D5281" w:rsidRPr="00AC7E46" w:rsidRDefault="000D5281" w:rsidP="00D31722">
      <w:pPr>
        <w:pStyle w:val="ONUMFS"/>
        <w:rPr>
          <w:lang w:val="fr-FR"/>
        </w:rPr>
      </w:pPr>
      <w:r w:rsidRPr="00AC7E46">
        <w:rPr>
          <w:lang w:val="fr-FR"/>
        </w:rPr>
        <w:t>La DSI a constaté que la Division des opérations</w:t>
      </w:r>
      <w:r w:rsidR="00761289" w:rsidRPr="00AC7E46">
        <w:rPr>
          <w:lang w:val="fr-FR"/>
        </w:rPr>
        <w:t xml:space="preserve"> du PCT</w:t>
      </w:r>
      <w:r w:rsidRPr="00AC7E46">
        <w:rPr>
          <w:lang w:val="fr-FR"/>
        </w:rPr>
        <w:t xml:space="preserve"> avait entamé une réorganisation de son personnel </w:t>
      </w:r>
      <w:r w:rsidR="00761289" w:rsidRPr="00AC7E46">
        <w:rPr>
          <w:lang w:val="fr-FR"/>
        </w:rPr>
        <w:t>en 2022</w:t>
      </w:r>
      <w:r w:rsidRPr="00AC7E46">
        <w:rPr>
          <w:lang w:val="fr-FR"/>
        </w:rPr>
        <w:t xml:space="preserve"> en vue notamment de faire adopter à ses effectifs une approche fondée sur les déposants/clients (axée sur les besoins) plutôt qu</w:t>
      </w:r>
      <w:r w:rsidR="00761289" w:rsidRPr="00AC7E46">
        <w:rPr>
          <w:lang w:val="fr-FR"/>
        </w:rPr>
        <w:t>’</w:t>
      </w:r>
      <w:r w:rsidRPr="00AC7E46">
        <w:rPr>
          <w:lang w:val="fr-FR"/>
        </w:rPr>
        <w:t>une approche fondée sur les demandes (axée sur les process</w:t>
      </w:r>
      <w:r w:rsidR="00AC7E46" w:rsidRPr="00AC7E46">
        <w:rPr>
          <w:lang w:val="fr-FR"/>
        </w:rPr>
        <w:t>us).  En</w:t>
      </w:r>
      <w:r w:rsidRPr="00AC7E46">
        <w:rPr>
          <w:lang w:val="fr-FR"/>
        </w:rPr>
        <w:t xml:space="preserve"> outre, la division a mis en œuvre un système de gestion du travail qui a facilité ses activités grâce à une plateforme en ligne, et elle a fourni les statistiques pertinentes relatives</w:t>
      </w:r>
      <w:r w:rsidR="00761289" w:rsidRPr="00AC7E46">
        <w:rPr>
          <w:lang w:val="fr-FR"/>
        </w:rPr>
        <w:t xml:space="preserve"> au PCT</w:t>
      </w:r>
      <w:r w:rsidRPr="00AC7E46">
        <w:rPr>
          <w:lang w:val="fr-FR"/>
        </w:rPr>
        <w:t xml:space="preserve"> et un accès aux informations et aux ressources d</w:t>
      </w:r>
      <w:r w:rsidR="00761289" w:rsidRPr="00AC7E46">
        <w:rPr>
          <w:lang w:val="fr-FR"/>
        </w:rPr>
        <w:t>’</w:t>
      </w:r>
      <w:r w:rsidRPr="00AC7E46">
        <w:rPr>
          <w:lang w:val="fr-FR"/>
        </w:rPr>
        <w:t>apprentissage nécessaires aux membres du personnel.</w:t>
      </w:r>
    </w:p>
    <w:p w14:paraId="01483743" w14:textId="27895539" w:rsidR="000D5281" w:rsidRPr="00AC7E46" w:rsidRDefault="000D5281" w:rsidP="00D31722">
      <w:pPr>
        <w:pStyle w:val="ONUMFS"/>
        <w:rPr>
          <w:lang w:val="fr-FR"/>
        </w:rPr>
      </w:pPr>
      <w:r w:rsidRPr="00AC7E46">
        <w:rPr>
          <w:lang w:val="fr-FR"/>
        </w:rPr>
        <w:t>Tout en reconnaissant le caractère positif de ces initiatives et de ces actions,</w:t>
      </w:r>
      <w:r w:rsidR="00761289" w:rsidRPr="00AC7E46">
        <w:rPr>
          <w:lang w:val="fr-FR"/>
        </w:rPr>
        <w:t xml:space="preserve"> la DSI</w:t>
      </w:r>
      <w:r w:rsidRPr="00AC7E46">
        <w:rPr>
          <w:lang w:val="fr-FR"/>
        </w:rPr>
        <w:t xml:space="preserve"> a relevé que la transformation de la Division des opérations</w:t>
      </w:r>
      <w:r w:rsidR="00761289" w:rsidRPr="00AC7E46">
        <w:rPr>
          <w:lang w:val="fr-FR"/>
        </w:rPr>
        <w:t xml:space="preserve"> du PCT</w:t>
      </w:r>
      <w:r w:rsidRPr="00AC7E46">
        <w:rPr>
          <w:lang w:val="fr-FR"/>
        </w:rPr>
        <w:t xml:space="preserve"> et les risques qui s</w:t>
      </w:r>
      <w:r w:rsidR="00761289" w:rsidRPr="00AC7E46">
        <w:rPr>
          <w:lang w:val="fr-FR"/>
        </w:rPr>
        <w:t>’</w:t>
      </w:r>
      <w:r w:rsidRPr="00AC7E46">
        <w:rPr>
          <w:lang w:val="fr-FR"/>
        </w:rPr>
        <w:t>y rapportent doivent être gérés de telle sorte que le processus apporte les avantages escomptés, tels que répondre à l</w:t>
      </w:r>
      <w:r w:rsidR="00761289" w:rsidRPr="00AC7E46">
        <w:rPr>
          <w:lang w:val="fr-FR"/>
        </w:rPr>
        <w:t>’</w:t>
      </w:r>
      <w:r w:rsidRPr="00AC7E46">
        <w:rPr>
          <w:lang w:val="fr-FR"/>
        </w:rPr>
        <w:t>évolution des demandes des entreprises, offrir des services de meilleure qualité aux utilisateurs et mieux s</w:t>
      </w:r>
      <w:r w:rsidR="00761289" w:rsidRPr="00AC7E46">
        <w:rPr>
          <w:lang w:val="fr-FR"/>
        </w:rPr>
        <w:t>’</w:t>
      </w:r>
      <w:r w:rsidRPr="00AC7E46">
        <w:rPr>
          <w:lang w:val="fr-FR"/>
        </w:rPr>
        <w:t>aligner sur les domaines d</w:t>
      </w:r>
      <w:r w:rsidR="00761289" w:rsidRPr="00AC7E46">
        <w:rPr>
          <w:lang w:val="fr-FR"/>
        </w:rPr>
        <w:t>’</w:t>
      </w:r>
      <w:r w:rsidRPr="00AC7E46">
        <w:rPr>
          <w:lang w:val="fr-FR"/>
        </w:rPr>
        <w:t>action stratégique.</w:t>
      </w:r>
    </w:p>
    <w:p w14:paraId="4A7CA496" w14:textId="47C2C71A" w:rsidR="000D5281" w:rsidRPr="00AC7E46" w:rsidRDefault="000D5281" w:rsidP="00D31722">
      <w:pPr>
        <w:pStyle w:val="ONUMFS"/>
        <w:rPr>
          <w:lang w:val="fr-FR"/>
        </w:rPr>
      </w:pPr>
      <w:r w:rsidRPr="00AC7E46">
        <w:rPr>
          <w:rFonts w:eastAsia="Arial"/>
          <w:szCs w:val="22"/>
          <w:lang w:val="fr-FR" w:eastAsia="en-US"/>
        </w:rPr>
        <w:t>Il a été recommandé que le Secteur des brevets et de la technologie analyse et actualise le risque d</w:t>
      </w:r>
      <w:r w:rsidR="00761289" w:rsidRPr="00AC7E46">
        <w:rPr>
          <w:rFonts w:eastAsia="Arial"/>
          <w:szCs w:val="22"/>
          <w:lang w:val="fr-FR" w:eastAsia="en-US"/>
        </w:rPr>
        <w:t>’</w:t>
      </w:r>
      <w:r w:rsidRPr="00AC7E46">
        <w:rPr>
          <w:rFonts w:eastAsia="Arial"/>
          <w:szCs w:val="22"/>
          <w:lang w:val="fr-FR" w:eastAsia="en-US"/>
        </w:rPr>
        <w:t>une exposition importante au changement des volumes de dépôt dans un seul pays utilisant le système de dépôt</w:t>
      </w:r>
      <w:r w:rsidR="00761289" w:rsidRPr="00AC7E46">
        <w:rPr>
          <w:rFonts w:eastAsia="Arial"/>
          <w:szCs w:val="22"/>
          <w:lang w:val="fr-FR" w:eastAsia="en-US"/>
        </w:rPr>
        <w:t xml:space="preserve"> du PCT</w:t>
      </w:r>
      <w:r w:rsidRPr="00AC7E46">
        <w:rPr>
          <w:rFonts w:eastAsia="Arial"/>
          <w:szCs w:val="22"/>
          <w:lang w:val="fr-FR" w:eastAsia="en-US"/>
        </w:rPr>
        <w:t xml:space="preserve">, </w:t>
      </w:r>
      <w:r w:rsidR="00761289" w:rsidRPr="00AC7E46">
        <w:rPr>
          <w:rFonts w:eastAsia="Arial"/>
          <w:szCs w:val="22"/>
          <w:lang w:val="fr-FR" w:eastAsia="en-US"/>
        </w:rPr>
        <w:t>y compris</w:t>
      </w:r>
      <w:r w:rsidRPr="00AC7E46">
        <w:rPr>
          <w:rFonts w:eastAsia="Arial"/>
          <w:szCs w:val="22"/>
          <w:lang w:val="fr-FR" w:eastAsia="en-US"/>
        </w:rPr>
        <w:t xml:space="preserve"> d</w:t>
      </w:r>
      <w:r w:rsidR="00761289" w:rsidRPr="00AC7E46">
        <w:rPr>
          <w:rFonts w:eastAsia="Arial"/>
          <w:szCs w:val="22"/>
          <w:lang w:val="fr-FR" w:eastAsia="en-US"/>
        </w:rPr>
        <w:t>’</w:t>
      </w:r>
      <w:r w:rsidRPr="00AC7E46">
        <w:rPr>
          <w:rFonts w:eastAsia="Arial"/>
          <w:szCs w:val="22"/>
          <w:lang w:val="fr-FR" w:eastAsia="en-US"/>
        </w:rPr>
        <w:t>autres risques connexes dans le système de gestion des risques de l</w:t>
      </w:r>
      <w:r w:rsidR="00761289" w:rsidRPr="00AC7E46">
        <w:rPr>
          <w:rFonts w:eastAsia="Arial"/>
          <w:szCs w:val="22"/>
          <w:lang w:val="fr-FR" w:eastAsia="en-US"/>
        </w:rPr>
        <w:t>’</w:t>
      </w:r>
      <w:r w:rsidRPr="00AC7E46">
        <w:rPr>
          <w:rFonts w:eastAsia="Arial"/>
          <w:szCs w:val="22"/>
          <w:lang w:val="fr-FR" w:eastAsia="en-US"/>
        </w:rPr>
        <w:t>Organisation, et la réponse appropriée à y apporter.</w:t>
      </w:r>
    </w:p>
    <w:p w14:paraId="2AC2DE85" w14:textId="03733F70" w:rsidR="000D5281" w:rsidRPr="00AC7E46" w:rsidRDefault="000D5281" w:rsidP="00D31722">
      <w:pPr>
        <w:pStyle w:val="ONUMFS"/>
        <w:rPr>
          <w:lang w:val="fr-FR"/>
        </w:rPr>
      </w:pPr>
      <w:r w:rsidRPr="00AC7E46">
        <w:rPr>
          <w:lang w:val="fr-FR"/>
        </w:rPr>
        <w:t>Afin de continuer d</w:t>
      </w:r>
      <w:r w:rsidR="00761289" w:rsidRPr="00AC7E46">
        <w:rPr>
          <w:lang w:val="fr-FR"/>
        </w:rPr>
        <w:t>’</w:t>
      </w:r>
      <w:r w:rsidRPr="00AC7E46">
        <w:rPr>
          <w:lang w:val="fr-FR"/>
        </w:rPr>
        <w:t>améliorer le service à la clientèle, il a été recommandé de désigner au moins un ou deux</w:t>
      </w:r>
      <w:r w:rsidR="006F1D4B" w:rsidRPr="00AC7E46">
        <w:rPr>
          <w:lang w:val="fr-FR"/>
        </w:rPr>
        <w:t> </w:t>
      </w:r>
      <w:r w:rsidRPr="00AC7E46">
        <w:rPr>
          <w:lang w:val="fr-FR"/>
        </w:rPr>
        <w:t xml:space="preserve">membres du personnel qui fourniraient au quotidien une assistance de premier niveau, cohérente et coordonnée, concernant les services </w:t>
      </w:r>
      <w:proofErr w:type="spellStart"/>
      <w:r w:rsidRPr="00AC7E46">
        <w:rPr>
          <w:lang w:val="fr-FR"/>
        </w:rPr>
        <w:t>ePCT</w:t>
      </w:r>
      <w:proofErr w:type="spellEnd"/>
      <w:r w:rsidRPr="00AC7E46">
        <w:rPr>
          <w:lang w:val="fr-FR"/>
        </w:rPr>
        <w:t xml:space="preserve">, </w:t>
      </w:r>
      <w:proofErr w:type="gramStart"/>
      <w:r w:rsidRPr="00AC7E46">
        <w:rPr>
          <w:lang w:val="fr-FR"/>
        </w:rPr>
        <w:t>ceci étant</w:t>
      </w:r>
      <w:proofErr w:type="gramEnd"/>
      <w:r w:rsidRPr="00AC7E46">
        <w:rPr>
          <w:lang w:val="fr-FR"/>
        </w:rPr>
        <w:t xml:space="preserve"> l</w:t>
      </w:r>
      <w:r w:rsidR="00761289" w:rsidRPr="00AC7E46">
        <w:rPr>
          <w:lang w:val="fr-FR"/>
        </w:rPr>
        <w:t>’</w:t>
      </w:r>
      <w:r w:rsidRPr="00AC7E46">
        <w:rPr>
          <w:lang w:val="fr-FR"/>
        </w:rPr>
        <w:t>un de leurs principaux objectifs professionnels, conformément au système de gestion des performances.</w:t>
      </w:r>
    </w:p>
    <w:p w14:paraId="10DF52F6" w14:textId="7755629B" w:rsidR="000D5281" w:rsidRPr="00AC7E46" w:rsidRDefault="000D5281" w:rsidP="00D31722">
      <w:pPr>
        <w:pStyle w:val="ONUMFS"/>
        <w:rPr>
          <w:szCs w:val="22"/>
          <w:lang w:val="fr-FR"/>
        </w:rPr>
      </w:pPr>
      <w:r w:rsidRPr="00AC7E46">
        <w:rPr>
          <w:lang w:val="fr-FR"/>
        </w:rPr>
        <w:t xml:space="preserve">Les services </w:t>
      </w:r>
      <w:proofErr w:type="spellStart"/>
      <w:r w:rsidRPr="00AC7E46">
        <w:rPr>
          <w:lang w:val="fr-FR"/>
        </w:rPr>
        <w:t>ePCT</w:t>
      </w:r>
      <w:proofErr w:type="spellEnd"/>
      <w:r w:rsidRPr="00AC7E46">
        <w:rPr>
          <w:lang w:val="fr-FR"/>
        </w:rPr>
        <w:t xml:space="preserve"> utilisent le service de reconnaissance optique des caractères pour extraire et utiliser à d</w:t>
      </w:r>
      <w:r w:rsidR="00761289" w:rsidRPr="00AC7E46">
        <w:rPr>
          <w:lang w:val="fr-FR"/>
        </w:rPr>
        <w:t>’</w:t>
      </w:r>
      <w:r w:rsidRPr="00AC7E46">
        <w:rPr>
          <w:lang w:val="fr-FR"/>
        </w:rPr>
        <w:t xml:space="preserve">autres fins les données relatives aux demandes de </w:t>
      </w:r>
      <w:r w:rsidR="006F1D4B" w:rsidRPr="00AC7E46">
        <w:rPr>
          <w:lang w:val="fr-FR"/>
        </w:rPr>
        <w:t>brevet</w:t>
      </w:r>
      <w:r w:rsidRPr="00AC7E46">
        <w:rPr>
          <w:lang w:val="fr-FR"/>
        </w:rPr>
        <w:t xml:space="preserve"> provenant des dépôts sur papier, des dépôts électroniques scannés et des dépôts </w:t>
      </w:r>
      <w:r w:rsidR="00AC7E46" w:rsidRPr="00AC7E46">
        <w:rPr>
          <w:lang w:val="fr-FR"/>
        </w:rPr>
        <w:t>PDF.  La</w:t>
      </w:r>
      <w:r w:rsidRPr="00AC7E46">
        <w:rPr>
          <w:lang w:val="fr-FR"/>
        </w:rPr>
        <w:t xml:space="preserve"> procédure de traitement des dossiers de demande de brevet utilisant le contrôleur de qualité par reconnaissance optique des caractères, une application du service de reconnaissance optique des caractères, a été jugée répétitive, pénible, chronophage et limitée sur le plan techniq</w:t>
      </w:r>
      <w:r w:rsidR="00AC7E46" w:rsidRPr="00AC7E46">
        <w:rPr>
          <w:lang w:val="fr-FR"/>
        </w:rPr>
        <w:t>ue.  Il</w:t>
      </w:r>
      <w:r w:rsidRPr="00AC7E46">
        <w:rPr>
          <w:lang w:val="fr-FR"/>
        </w:rPr>
        <w:t xml:space="preserve"> a été recommandé d</w:t>
      </w:r>
      <w:r w:rsidR="00761289" w:rsidRPr="00AC7E46">
        <w:rPr>
          <w:lang w:val="fr-FR"/>
        </w:rPr>
        <w:t>’</w:t>
      </w:r>
      <w:r w:rsidRPr="00AC7E46">
        <w:rPr>
          <w:lang w:val="fr-FR"/>
        </w:rPr>
        <w:t>établir, en coordination avec les parties prenantes concernées, un plan d</w:t>
      </w:r>
      <w:r w:rsidR="00761289" w:rsidRPr="00AC7E46">
        <w:rPr>
          <w:lang w:val="fr-FR"/>
        </w:rPr>
        <w:t>’</w:t>
      </w:r>
      <w:r w:rsidRPr="00AC7E46">
        <w:rPr>
          <w:lang w:val="fr-FR"/>
        </w:rPr>
        <w:t>action destiné aux offices récepteurs, aux offices de propriété intellectuelle et aux déposants afin de réduire progressivement le nombre de dépôts internationaux requérant l</w:t>
      </w:r>
      <w:r w:rsidR="00761289" w:rsidRPr="00AC7E46">
        <w:rPr>
          <w:lang w:val="fr-FR"/>
        </w:rPr>
        <w:t>’</w:t>
      </w:r>
      <w:r w:rsidRPr="00AC7E46">
        <w:rPr>
          <w:lang w:val="fr-FR"/>
        </w:rPr>
        <w:t>utilisation du contrôleur de qualité par reconnaissance optique des caractères.</w:t>
      </w:r>
    </w:p>
    <w:p w14:paraId="627E5526" w14:textId="55F12771" w:rsidR="000D5281" w:rsidRPr="00AC7E46" w:rsidRDefault="000D5281" w:rsidP="00D31722">
      <w:pPr>
        <w:pStyle w:val="ONUMFS"/>
        <w:rPr>
          <w:lang w:val="fr-FR"/>
        </w:rPr>
      </w:pPr>
      <w:r w:rsidRPr="00AC7E46">
        <w:rPr>
          <w:lang w:val="fr-FR"/>
        </w:rPr>
        <w:lastRenderedPageBreak/>
        <w:t>Le manuel de contrôle de la qualité devait être complété par la Division des opérations</w:t>
      </w:r>
      <w:r w:rsidR="00761289" w:rsidRPr="00AC7E46">
        <w:rPr>
          <w:lang w:val="fr-FR"/>
        </w:rPr>
        <w:t xml:space="preserve"> du PCT</w:t>
      </w:r>
      <w:r w:rsidRPr="00AC7E46">
        <w:rPr>
          <w:lang w:val="fr-FR"/>
        </w:rPr>
        <w:t xml:space="preserve"> dans un délai donné et les membres du personnel chargés de mener à bien cet exercice devaient également s</w:t>
      </w:r>
      <w:r w:rsidR="00761289" w:rsidRPr="00AC7E46">
        <w:rPr>
          <w:lang w:val="fr-FR"/>
        </w:rPr>
        <w:t>’</w:t>
      </w:r>
      <w:r w:rsidRPr="00AC7E46">
        <w:rPr>
          <w:lang w:val="fr-FR"/>
        </w:rPr>
        <w:t>assurer qu</w:t>
      </w:r>
      <w:r w:rsidR="00761289" w:rsidRPr="00AC7E46">
        <w:rPr>
          <w:lang w:val="fr-FR"/>
        </w:rPr>
        <w:t>’</w:t>
      </w:r>
      <w:r w:rsidRPr="00AC7E46">
        <w:rPr>
          <w:lang w:val="fr-FR"/>
        </w:rPr>
        <w:t>il soit régulièrement révisé, mis à jour et respecté.</w:t>
      </w:r>
    </w:p>
    <w:p w14:paraId="23956BF9" w14:textId="78B1BE5D" w:rsidR="000D5281" w:rsidRPr="00AC7E46" w:rsidRDefault="000D5281" w:rsidP="00D31722">
      <w:pPr>
        <w:pStyle w:val="ONUMFS"/>
        <w:rPr>
          <w:lang w:val="fr-FR"/>
        </w:rPr>
      </w:pPr>
      <w:r w:rsidRPr="00AC7E46">
        <w:rPr>
          <w:lang w:val="fr-FR"/>
        </w:rPr>
        <w:t>Il a été recommandé de réexaminer le profil du personnel chargé du développement fonctionnel et de la fonction d</w:t>
      </w:r>
      <w:r w:rsidR="00761289" w:rsidRPr="00AC7E46">
        <w:rPr>
          <w:lang w:val="fr-FR"/>
        </w:rPr>
        <w:t>’</w:t>
      </w:r>
      <w:r w:rsidRPr="00AC7E46">
        <w:rPr>
          <w:lang w:val="fr-FR"/>
        </w:rPr>
        <w:t>appui de la Division des opérations</w:t>
      </w:r>
      <w:r w:rsidR="00761289" w:rsidRPr="00AC7E46">
        <w:rPr>
          <w:lang w:val="fr-FR"/>
        </w:rPr>
        <w:t xml:space="preserve"> du PCT</w:t>
      </w:r>
      <w:r w:rsidRPr="00AC7E46">
        <w:rPr>
          <w:lang w:val="fr-FR"/>
        </w:rPr>
        <w:t xml:space="preserve"> et d</w:t>
      </w:r>
      <w:r w:rsidR="00761289" w:rsidRPr="00AC7E46">
        <w:rPr>
          <w:lang w:val="fr-FR"/>
        </w:rPr>
        <w:t>’</w:t>
      </w:r>
      <w:r w:rsidRPr="00AC7E46">
        <w:rPr>
          <w:lang w:val="fr-FR"/>
        </w:rPr>
        <w:t>aligner les ressources pour s</w:t>
      </w:r>
      <w:r w:rsidR="00761289" w:rsidRPr="00AC7E46">
        <w:rPr>
          <w:lang w:val="fr-FR"/>
        </w:rPr>
        <w:t>’</w:t>
      </w:r>
      <w:r w:rsidRPr="00AC7E46">
        <w:rPr>
          <w:lang w:val="fr-FR"/>
        </w:rPr>
        <w:t>assurer qu</w:t>
      </w:r>
      <w:r w:rsidR="00761289" w:rsidRPr="00AC7E46">
        <w:rPr>
          <w:lang w:val="fr-FR"/>
        </w:rPr>
        <w:t>’</w:t>
      </w:r>
      <w:r w:rsidRPr="00AC7E46">
        <w:rPr>
          <w:lang w:val="fr-FR"/>
        </w:rPr>
        <w:t>ils répondent adéquatement aux besoins de la section en matière de développement fonctionnel et d</w:t>
      </w:r>
      <w:r w:rsidR="00761289" w:rsidRPr="00AC7E46">
        <w:rPr>
          <w:lang w:val="fr-FR"/>
        </w:rPr>
        <w:t>’</w:t>
      </w:r>
      <w:r w:rsidRPr="00AC7E46">
        <w:rPr>
          <w:lang w:val="fr-FR"/>
        </w:rPr>
        <w:t>activités d</w:t>
      </w:r>
      <w:r w:rsidR="00761289" w:rsidRPr="00AC7E46">
        <w:rPr>
          <w:lang w:val="fr-FR"/>
        </w:rPr>
        <w:t>’</w:t>
      </w:r>
      <w:r w:rsidRPr="00AC7E46">
        <w:rPr>
          <w:lang w:val="fr-FR"/>
        </w:rPr>
        <w:t>appui, notamment en traduisant les besoins organisationnels en solutions informatiques.</w:t>
      </w:r>
    </w:p>
    <w:p w14:paraId="365BE8C7" w14:textId="3B359B23" w:rsidR="000D5281" w:rsidRPr="00AC7E46" w:rsidRDefault="000D5281" w:rsidP="00D31722">
      <w:pPr>
        <w:pStyle w:val="ONUMFS"/>
        <w:rPr>
          <w:szCs w:val="22"/>
          <w:lang w:val="fr-FR"/>
        </w:rPr>
      </w:pPr>
      <w:r w:rsidRPr="00AC7E46">
        <w:rPr>
          <w:szCs w:val="22"/>
          <w:lang w:val="fr-FR"/>
        </w:rPr>
        <w:t>En coordination avec la Division des systèmes informatiques</w:t>
      </w:r>
      <w:r w:rsidR="00761289" w:rsidRPr="00AC7E46">
        <w:rPr>
          <w:szCs w:val="22"/>
          <w:lang w:val="fr-FR"/>
        </w:rPr>
        <w:t xml:space="preserve"> du PCT</w:t>
      </w:r>
      <w:r w:rsidRPr="00AC7E46">
        <w:rPr>
          <w:szCs w:val="22"/>
          <w:lang w:val="fr-FR"/>
        </w:rPr>
        <w:t>, il a été recommandé que la Division des opérations</w:t>
      </w:r>
      <w:r w:rsidR="00761289" w:rsidRPr="00AC7E46">
        <w:rPr>
          <w:szCs w:val="22"/>
          <w:lang w:val="fr-FR"/>
        </w:rPr>
        <w:t xml:space="preserve"> du PCT</w:t>
      </w:r>
      <w:r w:rsidRPr="00AC7E46">
        <w:rPr>
          <w:szCs w:val="22"/>
          <w:lang w:val="fr-FR"/>
        </w:rPr>
        <w:t xml:space="preserve"> mette en œuvre une solution technique appropriée pour accroître l</w:t>
      </w:r>
      <w:r w:rsidR="00761289" w:rsidRPr="00AC7E46">
        <w:rPr>
          <w:szCs w:val="22"/>
          <w:lang w:val="fr-FR"/>
        </w:rPr>
        <w:t>’</w:t>
      </w:r>
      <w:r w:rsidRPr="00AC7E46">
        <w:rPr>
          <w:szCs w:val="22"/>
          <w:lang w:val="fr-FR"/>
        </w:rPr>
        <w:t>efficacité et la précision des changements en lien avec la règle 92</w:t>
      </w:r>
      <w:r w:rsidRPr="00AC7E46">
        <w:rPr>
          <w:i/>
          <w:iCs/>
          <w:szCs w:val="22"/>
          <w:lang w:val="fr-FR"/>
        </w:rPr>
        <w:t>bis</w:t>
      </w:r>
      <w:r w:rsidRPr="00AC7E46">
        <w:rPr>
          <w:szCs w:val="22"/>
          <w:lang w:val="fr-FR"/>
        </w:rPr>
        <w:t>.1</w:t>
      </w:r>
      <w:r w:rsidR="00761289" w:rsidRPr="00AC7E46">
        <w:rPr>
          <w:szCs w:val="22"/>
          <w:lang w:val="fr-FR"/>
        </w:rPr>
        <w:t xml:space="preserve"> du PCT</w:t>
      </w:r>
      <w:r w:rsidRPr="00AC7E46">
        <w:rPr>
          <w:szCs w:val="22"/>
          <w:lang w:val="fr-FR"/>
        </w:rPr>
        <w:t>.</w:t>
      </w:r>
    </w:p>
    <w:p w14:paraId="7EFDF268" w14:textId="0FB54A56" w:rsidR="000D5281" w:rsidRPr="00AC7E46" w:rsidRDefault="000D5281" w:rsidP="00D31722">
      <w:pPr>
        <w:pStyle w:val="ONUMFS"/>
        <w:rPr>
          <w:lang w:val="fr-FR"/>
        </w:rPr>
      </w:pPr>
      <w:r w:rsidRPr="00AC7E46">
        <w:rPr>
          <w:lang w:val="fr-FR"/>
        </w:rPr>
        <w:t>Au vu des difficultés et des retards rencontrés dans la semi</w:t>
      </w:r>
      <w:r w:rsidR="001908D2">
        <w:rPr>
          <w:lang w:val="fr-FR"/>
        </w:rPr>
        <w:noBreakHyphen/>
      </w:r>
      <w:r w:rsidRPr="00AC7E46">
        <w:rPr>
          <w:lang w:val="fr-FR"/>
        </w:rPr>
        <w:t>automatisation de la répartition des tâches au moyen du Team Planner, la Division des opérations</w:t>
      </w:r>
      <w:r w:rsidR="00761289" w:rsidRPr="00AC7E46">
        <w:rPr>
          <w:lang w:val="fr-FR"/>
        </w:rPr>
        <w:t xml:space="preserve"> du PCT</w:t>
      </w:r>
      <w:r w:rsidRPr="00AC7E46">
        <w:rPr>
          <w:lang w:val="fr-FR"/>
        </w:rPr>
        <w:t xml:space="preserve"> devrait revoir l</w:t>
      </w:r>
      <w:r w:rsidR="00761289" w:rsidRPr="00AC7E46">
        <w:rPr>
          <w:lang w:val="fr-FR"/>
        </w:rPr>
        <w:t>’</w:t>
      </w:r>
      <w:r w:rsidRPr="00AC7E46">
        <w:rPr>
          <w:lang w:val="fr-FR"/>
        </w:rPr>
        <w:t>analyse de rentabilité ainsi qu</w:t>
      </w:r>
      <w:r w:rsidR="00761289" w:rsidRPr="00AC7E46">
        <w:rPr>
          <w:lang w:val="fr-FR"/>
        </w:rPr>
        <w:t>’</w:t>
      </w:r>
      <w:r w:rsidRPr="00AC7E46">
        <w:rPr>
          <w:lang w:val="fr-FR"/>
        </w:rPr>
        <w:t>étudier et mettre en place un outil automatisé offrant des avantages en termes d</w:t>
      </w:r>
      <w:r w:rsidR="00761289" w:rsidRPr="00AC7E46">
        <w:rPr>
          <w:lang w:val="fr-FR"/>
        </w:rPr>
        <w:t>’</w:t>
      </w:r>
      <w:r w:rsidRPr="00AC7E46">
        <w:rPr>
          <w:lang w:val="fr-FR"/>
        </w:rPr>
        <w:t>économie de coûts et de main</w:t>
      </w:r>
      <w:r w:rsidR="001908D2">
        <w:rPr>
          <w:lang w:val="fr-FR"/>
        </w:rPr>
        <w:noBreakHyphen/>
      </w:r>
      <w:r w:rsidRPr="00AC7E46">
        <w:rPr>
          <w:lang w:val="fr-FR"/>
        </w:rPr>
        <w:t>d</w:t>
      </w:r>
      <w:r w:rsidR="00761289" w:rsidRPr="00AC7E46">
        <w:rPr>
          <w:lang w:val="fr-FR"/>
        </w:rPr>
        <w:t>’</w:t>
      </w:r>
      <w:r w:rsidRPr="00AC7E46">
        <w:rPr>
          <w:lang w:val="fr-FR"/>
        </w:rPr>
        <w:t>œuvre, tout en intégrant des nouvelles technologies.</w:t>
      </w:r>
    </w:p>
    <w:p w14:paraId="6F4970FF" w14:textId="538829FE" w:rsidR="000D5281" w:rsidRPr="00AC7E46" w:rsidRDefault="000D5281" w:rsidP="00D31722">
      <w:pPr>
        <w:pStyle w:val="ONUMFS"/>
        <w:rPr>
          <w:lang w:val="fr-FR"/>
        </w:rPr>
      </w:pPr>
      <w:r w:rsidRPr="00AC7E46">
        <w:rPr>
          <w:lang w:val="fr-FR"/>
        </w:rPr>
        <w:t>La DSI a constaté que la Division des systèmes informatiques</w:t>
      </w:r>
      <w:r w:rsidR="00761289" w:rsidRPr="00AC7E46">
        <w:rPr>
          <w:lang w:val="fr-FR"/>
        </w:rPr>
        <w:t xml:space="preserve"> du PCT</w:t>
      </w:r>
      <w:r w:rsidRPr="00AC7E46">
        <w:rPr>
          <w:lang w:val="fr-FR"/>
        </w:rPr>
        <w:t xml:space="preserve"> pourrait renforcer son orientation client et son modèle de gestion des services internes en mettant au point un mécanisme de retour d</w:t>
      </w:r>
      <w:r w:rsidR="00761289" w:rsidRPr="00AC7E46">
        <w:rPr>
          <w:lang w:val="fr-FR"/>
        </w:rPr>
        <w:t>’</w:t>
      </w:r>
      <w:r w:rsidRPr="00AC7E46">
        <w:rPr>
          <w:lang w:val="fr-FR"/>
        </w:rPr>
        <w:t>information qui demande de manière systématique et cohérente les commentaires des clients internes.</w:t>
      </w:r>
    </w:p>
    <w:p w14:paraId="6F80D228" w14:textId="21B4D9FC" w:rsidR="000D5281" w:rsidRPr="00AC7E46" w:rsidRDefault="000D5281" w:rsidP="00D31722">
      <w:pPr>
        <w:pStyle w:val="ONUMFS"/>
        <w:rPr>
          <w:lang w:val="fr-FR"/>
        </w:rPr>
      </w:pPr>
      <w:r w:rsidRPr="00AC7E46">
        <w:rPr>
          <w:lang w:val="fr-FR"/>
        </w:rPr>
        <w:t>La DSI a émis neuf</w:t>
      </w:r>
      <w:r w:rsidR="006F1D4B" w:rsidRPr="00AC7E46">
        <w:rPr>
          <w:lang w:val="fr-FR"/>
        </w:rPr>
        <w:t> </w:t>
      </w:r>
      <w:r w:rsidRPr="00AC7E46">
        <w:rPr>
          <w:lang w:val="fr-FR"/>
        </w:rPr>
        <w:t xml:space="preserve">recommandations (dont une recommandation </w:t>
      </w:r>
      <w:r w:rsidRPr="00AC7E46">
        <w:rPr>
          <w:b/>
          <w:bCs/>
          <w:lang w:val="fr-FR"/>
        </w:rPr>
        <w:t>hautement</w:t>
      </w:r>
      <w:r w:rsidRPr="00AC7E46">
        <w:rPr>
          <w:lang w:val="fr-FR"/>
        </w:rPr>
        <w:t xml:space="preserve"> </w:t>
      </w:r>
      <w:r w:rsidRPr="00AC7E46">
        <w:rPr>
          <w:b/>
          <w:bCs/>
          <w:lang w:val="fr-FR"/>
        </w:rPr>
        <w:t>prioritaire</w:t>
      </w:r>
      <w:r w:rsidRPr="00AC7E46">
        <w:rPr>
          <w:lang w:val="fr-FR"/>
        </w:rPr>
        <w:t xml:space="preserve"> qui n</w:t>
      </w:r>
      <w:r w:rsidR="00761289" w:rsidRPr="00AC7E46">
        <w:rPr>
          <w:lang w:val="fr-FR"/>
        </w:rPr>
        <w:t>’</w:t>
      </w:r>
      <w:r w:rsidRPr="00AC7E46">
        <w:rPr>
          <w:lang w:val="fr-FR"/>
        </w:rPr>
        <w:t>a pas été publiée pour des raisons de sécurité), dont trois ont été mises en œuvre par la direction au 31 décembre 2023.</w:t>
      </w:r>
    </w:p>
    <w:p w14:paraId="3C0B3B8C" w14:textId="788DF33E" w:rsidR="000D5281" w:rsidRPr="00AC7E46" w:rsidRDefault="008E3F67" w:rsidP="00F4635E">
      <w:pPr>
        <w:pStyle w:val="Heading2"/>
      </w:pPr>
      <w:r>
        <w:t>A</w:t>
      </w:r>
      <w:r w:rsidRPr="00AC7E46">
        <w:t>udit de l’indice mondial de l’innovation de l’OMPI</w:t>
      </w:r>
    </w:p>
    <w:p w14:paraId="15F83CCF" w14:textId="262654AF" w:rsidR="000D5281" w:rsidRPr="00AC7E46" w:rsidRDefault="000D5281" w:rsidP="00D31722">
      <w:pPr>
        <w:pStyle w:val="ONUMFS"/>
        <w:rPr>
          <w:lang w:val="fr-FR"/>
        </w:rPr>
      </w:pPr>
      <w:r w:rsidRPr="00AC7E46">
        <w:rPr>
          <w:lang w:val="fr-FR"/>
        </w:rPr>
        <w:t>Les objectifs de la mission d</w:t>
      </w:r>
      <w:r w:rsidR="00761289" w:rsidRPr="00AC7E46">
        <w:rPr>
          <w:lang w:val="fr-FR"/>
        </w:rPr>
        <w:t>’</w:t>
      </w:r>
      <w:r w:rsidRPr="00AC7E46">
        <w:rPr>
          <w:lang w:val="fr-FR"/>
        </w:rPr>
        <w:t>audit étaient les suivants</w:t>
      </w:r>
      <w:r w:rsidR="00761289" w:rsidRPr="00AC7E46">
        <w:rPr>
          <w:lang w:val="fr-FR"/>
        </w:rPr>
        <w:t> :</w:t>
      </w:r>
      <w:r w:rsidRPr="00AC7E46">
        <w:rPr>
          <w:lang w:val="fr-FR"/>
        </w:rPr>
        <w:t xml:space="preserve"> i) vérifier si des mesures ont été prises pour assurer une bonne gouvernance, l</w:t>
      </w:r>
      <w:r w:rsidR="00761289" w:rsidRPr="00AC7E46">
        <w:rPr>
          <w:lang w:val="fr-FR"/>
        </w:rPr>
        <w:t>’</w:t>
      </w:r>
      <w:r w:rsidRPr="00AC7E46">
        <w:rPr>
          <w:lang w:val="fr-FR"/>
        </w:rPr>
        <w:t>indépendance, la transparence et l</w:t>
      </w:r>
      <w:r w:rsidR="00761289" w:rsidRPr="00AC7E46">
        <w:rPr>
          <w:lang w:val="fr-FR"/>
        </w:rPr>
        <w:t>’</w:t>
      </w:r>
      <w:r w:rsidRPr="00AC7E46">
        <w:rPr>
          <w:lang w:val="fr-FR"/>
        </w:rPr>
        <w:t>intégrité de la gestion et de l</w:t>
      </w:r>
      <w:r w:rsidR="00761289" w:rsidRPr="00AC7E46">
        <w:rPr>
          <w:lang w:val="fr-FR"/>
        </w:rPr>
        <w:t>’</w:t>
      </w:r>
      <w:r w:rsidRPr="00AC7E46">
        <w:rPr>
          <w:lang w:val="fr-FR"/>
        </w:rPr>
        <w:t>élaboration de l</w:t>
      </w:r>
      <w:r w:rsidR="00761289" w:rsidRPr="00AC7E46">
        <w:rPr>
          <w:lang w:val="fr-FR"/>
        </w:rPr>
        <w:t>’</w:t>
      </w:r>
      <w:r w:rsidRPr="00AC7E46">
        <w:rPr>
          <w:lang w:val="fr-FR"/>
        </w:rPr>
        <w:t>Indice mondial de l</w:t>
      </w:r>
      <w:r w:rsidR="00761289" w:rsidRPr="00AC7E46">
        <w:rPr>
          <w:lang w:val="fr-FR"/>
        </w:rPr>
        <w:t>’</w:t>
      </w:r>
      <w:r w:rsidRPr="00AC7E46">
        <w:rPr>
          <w:lang w:val="fr-FR"/>
        </w:rPr>
        <w:t xml:space="preserve">innovation, </w:t>
      </w:r>
      <w:r w:rsidR="00761289" w:rsidRPr="00AC7E46">
        <w:rPr>
          <w:lang w:val="fr-FR"/>
        </w:rPr>
        <w:t>y compris</w:t>
      </w:r>
      <w:r w:rsidRPr="00AC7E46">
        <w:rPr>
          <w:lang w:val="fr-FR"/>
        </w:rPr>
        <w:t xml:space="preserve"> la gestion de tout conflit d</w:t>
      </w:r>
      <w:r w:rsidR="00761289" w:rsidRPr="00AC7E46">
        <w:rPr>
          <w:lang w:val="fr-FR"/>
        </w:rPr>
        <w:t>’</w:t>
      </w:r>
      <w:r w:rsidRPr="00AC7E46">
        <w:rPr>
          <w:lang w:val="fr-FR"/>
        </w:rPr>
        <w:t xml:space="preserve">intérêts potentiel; </w:t>
      </w:r>
      <w:r w:rsidR="006F1D4B" w:rsidRPr="00AC7E46">
        <w:rPr>
          <w:lang w:val="fr-FR"/>
        </w:rPr>
        <w:t xml:space="preserve"> </w:t>
      </w:r>
      <w:r w:rsidRPr="00AC7E46">
        <w:rPr>
          <w:lang w:val="fr-FR"/>
        </w:rPr>
        <w:t>et ii) fournir une assurance raisonnable que l</w:t>
      </w:r>
      <w:r w:rsidR="00761289" w:rsidRPr="00AC7E46">
        <w:rPr>
          <w:lang w:val="fr-FR"/>
        </w:rPr>
        <w:t>’</w:t>
      </w:r>
      <w:r w:rsidRPr="00AC7E46">
        <w:rPr>
          <w:lang w:val="fr-FR"/>
        </w:rPr>
        <w:t>Organisation a mis en place une gestion des risques et des contrôles efficaces et efficients pour garantir l</w:t>
      </w:r>
      <w:r w:rsidR="00761289" w:rsidRPr="00AC7E46">
        <w:rPr>
          <w:lang w:val="fr-FR"/>
        </w:rPr>
        <w:t>’</w:t>
      </w:r>
      <w:r w:rsidRPr="00AC7E46">
        <w:rPr>
          <w:lang w:val="fr-FR"/>
        </w:rPr>
        <w:t>exactitude, la fiabilité et l</w:t>
      </w:r>
      <w:r w:rsidR="00761289" w:rsidRPr="00AC7E46">
        <w:rPr>
          <w:lang w:val="fr-FR"/>
        </w:rPr>
        <w:t>’</w:t>
      </w:r>
      <w:r w:rsidRPr="00AC7E46">
        <w:rPr>
          <w:lang w:val="fr-FR"/>
        </w:rPr>
        <w:t>exhaustivité des données utilisées dans l</w:t>
      </w:r>
      <w:r w:rsidR="00761289" w:rsidRPr="00AC7E46">
        <w:rPr>
          <w:lang w:val="fr-FR"/>
        </w:rPr>
        <w:t>’</w:t>
      </w:r>
      <w:r w:rsidRPr="00AC7E46">
        <w:rPr>
          <w:lang w:val="fr-FR"/>
        </w:rPr>
        <w:t>élaboration de l</w:t>
      </w:r>
      <w:r w:rsidR="00761289" w:rsidRPr="00AC7E46">
        <w:rPr>
          <w:lang w:val="fr-FR"/>
        </w:rPr>
        <w:t>’</w:t>
      </w:r>
      <w:r w:rsidRPr="00AC7E46">
        <w:rPr>
          <w:lang w:val="fr-FR"/>
        </w:rPr>
        <w:t>Indice mondial de l</w:t>
      </w:r>
      <w:r w:rsidR="00761289" w:rsidRPr="00AC7E46">
        <w:rPr>
          <w:lang w:val="fr-FR"/>
        </w:rPr>
        <w:t>’</w:t>
      </w:r>
      <w:r w:rsidRPr="00AC7E46">
        <w:rPr>
          <w:lang w:val="fr-FR"/>
        </w:rPr>
        <w:t>innovation, notamment en vérifiant la validité et le bien</w:t>
      </w:r>
      <w:r w:rsidR="001908D2">
        <w:rPr>
          <w:lang w:val="fr-FR"/>
        </w:rPr>
        <w:noBreakHyphen/>
      </w:r>
      <w:r w:rsidRPr="00AC7E46">
        <w:rPr>
          <w:lang w:val="fr-FR"/>
        </w:rPr>
        <w:t>fondé des hypothèses et des modèles utilisés.</w:t>
      </w:r>
    </w:p>
    <w:p w14:paraId="6F418798" w14:textId="1C209C4F" w:rsidR="000D5281" w:rsidRPr="00AC7E46" w:rsidRDefault="000D5281" w:rsidP="00D31722">
      <w:pPr>
        <w:pStyle w:val="ONUMFS"/>
        <w:rPr>
          <w:lang w:val="fr-FR"/>
        </w:rPr>
      </w:pPr>
      <w:r w:rsidRPr="00AC7E46">
        <w:rPr>
          <w:lang w:val="fr-FR"/>
        </w:rPr>
        <w:t>La structure de gouvernance de l</w:t>
      </w:r>
      <w:r w:rsidR="00761289" w:rsidRPr="00AC7E46">
        <w:rPr>
          <w:lang w:val="fr-FR"/>
        </w:rPr>
        <w:t>’</w:t>
      </w:r>
      <w:r w:rsidRPr="00AC7E46">
        <w:rPr>
          <w:lang w:val="fr-FR"/>
        </w:rPr>
        <w:t>Indice mondial de l</w:t>
      </w:r>
      <w:r w:rsidR="00761289" w:rsidRPr="00AC7E46">
        <w:rPr>
          <w:lang w:val="fr-FR"/>
        </w:rPr>
        <w:t>’</w:t>
      </w:r>
      <w:r w:rsidRPr="00AC7E46">
        <w:rPr>
          <w:lang w:val="fr-FR"/>
        </w:rPr>
        <w:t>innovation est un héritage du statut et des responsabilités passées de l</w:t>
      </w:r>
      <w:r w:rsidR="00761289" w:rsidRPr="00AC7E46">
        <w:rPr>
          <w:lang w:val="fr-FR"/>
        </w:rPr>
        <w:t>’</w:t>
      </w:r>
      <w:r w:rsidRPr="00AC7E46">
        <w:rPr>
          <w:lang w:val="fr-FR"/>
        </w:rPr>
        <w:t>OMPI en tant que partenaire de savoirs dans un premier temps et coéditeur ensui</w:t>
      </w:r>
      <w:r w:rsidR="00AC7E46" w:rsidRPr="00AC7E46">
        <w:rPr>
          <w:lang w:val="fr-FR"/>
        </w:rPr>
        <w:t>te.  Le</w:t>
      </w:r>
      <w:r w:rsidRPr="00AC7E46">
        <w:rPr>
          <w:lang w:val="fr-FR"/>
        </w:rPr>
        <w:t xml:space="preserve"> changement du rôle et des responsabilités de l</w:t>
      </w:r>
      <w:r w:rsidR="00761289" w:rsidRPr="00AC7E46">
        <w:rPr>
          <w:lang w:val="fr-FR"/>
        </w:rPr>
        <w:t>’</w:t>
      </w:r>
      <w:r w:rsidRPr="00AC7E46">
        <w:rPr>
          <w:lang w:val="fr-FR"/>
        </w:rPr>
        <w:t>OMPI a entraîné la nécessité de revoir la gouvernance afin de renforcer la clarté et la transparence et de redéfinir les éléments de la structure, en particulier le conseil de gouvernance et le conseil consultatif, dans le but de mieux refléter leurs fonctions respectives.</w:t>
      </w:r>
    </w:p>
    <w:p w14:paraId="3FFBCD7A" w14:textId="6F40C893" w:rsidR="000D5281" w:rsidRPr="00AC7E46" w:rsidRDefault="000D5281" w:rsidP="00D31722">
      <w:pPr>
        <w:pStyle w:val="ONUMFS"/>
        <w:rPr>
          <w:lang w:val="fr-FR"/>
        </w:rPr>
      </w:pPr>
      <w:r w:rsidRPr="00AC7E46">
        <w:rPr>
          <w:lang w:val="fr-FR"/>
        </w:rPr>
        <w:t>La DSI a constaté qu</w:t>
      </w:r>
      <w:r w:rsidR="00761289" w:rsidRPr="00AC7E46">
        <w:rPr>
          <w:lang w:val="fr-FR"/>
        </w:rPr>
        <w:t>’</w:t>
      </w:r>
      <w:r w:rsidRPr="00AC7E46">
        <w:rPr>
          <w:lang w:val="fr-FR"/>
        </w:rPr>
        <w:t>il existe plusieurs lignes et canaux de communication permettant aux institutions gouvernementales de contacter l</w:t>
      </w:r>
      <w:r w:rsidR="00761289" w:rsidRPr="00AC7E46">
        <w:rPr>
          <w:lang w:val="fr-FR"/>
        </w:rPr>
        <w:t>’</w:t>
      </w:r>
      <w:r w:rsidRPr="00AC7E46">
        <w:rPr>
          <w:lang w:val="fr-FR"/>
        </w:rPr>
        <w:t>OMPI au sujet de l</w:t>
      </w:r>
      <w:r w:rsidR="00761289" w:rsidRPr="00AC7E46">
        <w:rPr>
          <w:lang w:val="fr-FR"/>
        </w:rPr>
        <w:t>’</w:t>
      </w:r>
      <w:r w:rsidRPr="00AC7E46">
        <w:rPr>
          <w:lang w:val="fr-FR"/>
        </w:rPr>
        <w:t>Indice mondial de l</w:t>
      </w:r>
      <w:r w:rsidR="00761289" w:rsidRPr="00AC7E46">
        <w:rPr>
          <w:lang w:val="fr-FR"/>
        </w:rPr>
        <w:t>’</w:t>
      </w:r>
      <w:r w:rsidRPr="00AC7E46">
        <w:rPr>
          <w:lang w:val="fr-FR"/>
        </w:rPr>
        <w:t>innovation, qui pourraient exposer inutilement l</w:t>
      </w:r>
      <w:r w:rsidR="00761289" w:rsidRPr="00AC7E46">
        <w:rPr>
          <w:lang w:val="fr-FR"/>
        </w:rPr>
        <w:t>’</w:t>
      </w:r>
      <w:r w:rsidRPr="00AC7E46">
        <w:rPr>
          <w:lang w:val="fr-FR"/>
        </w:rPr>
        <w:t>équipe chargée de l</w:t>
      </w:r>
      <w:r w:rsidR="00761289" w:rsidRPr="00AC7E46">
        <w:rPr>
          <w:lang w:val="fr-FR"/>
        </w:rPr>
        <w:t>’</w:t>
      </w:r>
      <w:r w:rsidRPr="00AC7E46">
        <w:rPr>
          <w:lang w:val="fr-FR"/>
        </w:rPr>
        <w:t>indice à des risques liés à une influence ou un conflit d</w:t>
      </w:r>
      <w:r w:rsidR="00761289" w:rsidRPr="00AC7E46">
        <w:rPr>
          <w:lang w:val="fr-FR"/>
        </w:rPr>
        <w:t>’</w:t>
      </w:r>
      <w:r w:rsidRPr="00AC7E46">
        <w:rPr>
          <w:lang w:val="fr-FR"/>
        </w:rPr>
        <w:t>intérêts appare</w:t>
      </w:r>
      <w:r w:rsidR="00AC7E46" w:rsidRPr="00AC7E46">
        <w:rPr>
          <w:lang w:val="fr-FR"/>
        </w:rPr>
        <w:t>nt.  Il</w:t>
      </w:r>
      <w:r w:rsidRPr="00AC7E46">
        <w:rPr>
          <w:lang w:val="fr-FR"/>
        </w:rPr>
        <w:t xml:space="preserve"> a été recommandé, en tant que </w:t>
      </w:r>
      <w:r w:rsidRPr="00AC7E46">
        <w:rPr>
          <w:b/>
          <w:bCs/>
          <w:lang w:val="fr-FR"/>
        </w:rPr>
        <w:t>recommandation hautement prioritaire</w:t>
      </w:r>
      <w:r w:rsidRPr="00AC7E46">
        <w:rPr>
          <w:lang w:val="fr-FR"/>
        </w:rPr>
        <w:t>, de prendre des mesures supplémentaires pour réduire encore l</w:t>
      </w:r>
      <w:r w:rsidR="00761289" w:rsidRPr="00AC7E46">
        <w:rPr>
          <w:lang w:val="fr-FR"/>
        </w:rPr>
        <w:t>’</w:t>
      </w:r>
      <w:r w:rsidRPr="00AC7E46">
        <w:rPr>
          <w:lang w:val="fr-FR"/>
        </w:rPr>
        <w:t>exposition aux risques précités en établissant et en publiant une ligne directrice sur la communication en ce qui concerne la réception et la réponse aux demandes prévoyant une séparation des obligations et actualisant les communications tant internes qu</w:t>
      </w:r>
      <w:r w:rsidR="00761289" w:rsidRPr="00AC7E46">
        <w:rPr>
          <w:lang w:val="fr-FR"/>
        </w:rPr>
        <w:t>’</w:t>
      </w:r>
      <w:r w:rsidRPr="00AC7E46">
        <w:rPr>
          <w:lang w:val="fr-FR"/>
        </w:rPr>
        <w:t>externes sur le flux acceptable de demandes, de destinataires désignés et de répondants responsables.</w:t>
      </w:r>
    </w:p>
    <w:p w14:paraId="3A069384" w14:textId="30ACD5A6" w:rsidR="000D5281" w:rsidRPr="00AC7E46" w:rsidRDefault="000D5281" w:rsidP="00D31722">
      <w:pPr>
        <w:pStyle w:val="ONUMFS"/>
        <w:rPr>
          <w:lang w:val="fr-FR"/>
        </w:rPr>
      </w:pPr>
      <w:r w:rsidRPr="00AC7E46">
        <w:rPr>
          <w:lang w:val="fr-FR"/>
        </w:rPr>
        <w:lastRenderedPageBreak/>
        <w:t>La DSI a jugé important d</w:t>
      </w:r>
      <w:r w:rsidR="00761289" w:rsidRPr="00AC7E46">
        <w:rPr>
          <w:lang w:val="fr-FR"/>
        </w:rPr>
        <w:t>’</w:t>
      </w:r>
      <w:r w:rsidRPr="00AC7E46">
        <w:rPr>
          <w:lang w:val="fr-FR"/>
        </w:rPr>
        <w:t>examiner les critères et l</w:t>
      </w:r>
      <w:r w:rsidR="00761289" w:rsidRPr="00AC7E46">
        <w:rPr>
          <w:lang w:val="fr-FR"/>
        </w:rPr>
        <w:t>’</w:t>
      </w:r>
      <w:r w:rsidRPr="00AC7E46">
        <w:rPr>
          <w:lang w:val="fr-FR"/>
        </w:rPr>
        <w:t>approche actuels appliqués à la publication de préfaces fournies par des tiers afin de déterminer si elles sont adéquates, impartiales, dénuées de tout conflit d</w:t>
      </w:r>
      <w:r w:rsidR="00761289" w:rsidRPr="00AC7E46">
        <w:rPr>
          <w:lang w:val="fr-FR"/>
        </w:rPr>
        <w:t>’</w:t>
      </w:r>
      <w:r w:rsidRPr="00AC7E46">
        <w:rPr>
          <w:lang w:val="fr-FR"/>
        </w:rPr>
        <w:t>intérêts apparent et conforme à la finalité sous</w:t>
      </w:r>
      <w:r w:rsidR="001908D2">
        <w:rPr>
          <w:lang w:val="fr-FR"/>
        </w:rPr>
        <w:noBreakHyphen/>
      </w:r>
      <w:r w:rsidRPr="00AC7E46">
        <w:rPr>
          <w:lang w:val="fr-FR"/>
        </w:rPr>
        <w:t>jacente du rapport sur l</w:t>
      </w:r>
      <w:r w:rsidR="00761289" w:rsidRPr="00AC7E46">
        <w:rPr>
          <w:lang w:val="fr-FR"/>
        </w:rPr>
        <w:t>’</w:t>
      </w:r>
      <w:r w:rsidRPr="00AC7E46">
        <w:rPr>
          <w:lang w:val="fr-FR"/>
        </w:rPr>
        <w:t>Indice mondial de l</w:t>
      </w:r>
      <w:r w:rsidR="00761289" w:rsidRPr="00AC7E46">
        <w:rPr>
          <w:lang w:val="fr-FR"/>
        </w:rPr>
        <w:t>’</w:t>
      </w:r>
      <w:r w:rsidRPr="00AC7E46">
        <w:rPr>
          <w:lang w:val="fr-FR"/>
        </w:rPr>
        <w:t>innovation.</w:t>
      </w:r>
    </w:p>
    <w:p w14:paraId="295612C2" w14:textId="5C8550BF" w:rsidR="000D5281" w:rsidRPr="00AC7E46" w:rsidRDefault="000D5281" w:rsidP="00D31722">
      <w:pPr>
        <w:pStyle w:val="ONUMFS"/>
        <w:rPr>
          <w:lang w:val="fr-FR"/>
        </w:rPr>
      </w:pPr>
      <w:r w:rsidRPr="00AC7E46">
        <w:rPr>
          <w:lang w:val="fr-FR"/>
        </w:rPr>
        <w:t>L</w:t>
      </w:r>
      <w:r w:rsidR="00761289" w:rsidRPr="00AC7E46">
        <w:rPr>
          <w:lang w:val="fr-FR"/>
        </w:rPr>
        <w:t>’</w:t>
      </w:r>
      <w:r w:rsidRPr="00AC7E46">
        <w:rPr>
          <w:lang w:val="fr-FR"/>
        </w:rPr>
        <w:t>OMPI a eu recours à deux</w:t>
      </w:r>
      <w:r w:rsidR="006F1D4B" w:rsidRPr="00AC7E46">
        <w:rPr>
          <w:lang w:val="fr-FR"/>
        </w:rPr>
        <w:t> </w:t>
      </w:r>
      <w:r w:rsidRPr="00AC7E46">
        <w:rPr>
          <w:lang w:val="fr-FR"/>
        </w:rPr>
        <w:t>sites Internet pour, entre autres, renforcer la visibilité et diffuser des informations sur l</w:t>
      </w:r>
      <w:r w:rsidR="00761289" w:rsidRPr="00AC7E46">
        <w:rPr>
          <w:lang w:val="fr-FR"/>
        </w:rPr>
        <w:t>’</w:t>
      </w:r>
      <w:r w:rsidRPr="00AC7E46">
        <w:rPr>
          <w:lang w:val="fr-FR"/>
        </w:rPr>
        <w:t>Indice mondial de l</w:t>
      </w:r>
      <w:r w:rsidR="00761289" w:rsidRPr="00AC7E46">
        <w:rPr>
          <w:lang w:val="fr-FR"/>
        </w:rPr>
        <w:t>’</w:t>
      </w:r>
      <w:r w:rsidRPr="00AC7E46">
        <w:rPr>
          <w:lang w:val="fr-FR"/>
        </w:rPr>
        <w:t>innovati</w:t>
      </w:r>
      <w:r w:rsidR="00AC7E46" w:rsidRPr="00AC7E46">
        <w:rPr>
          <w:lang w:val="fr-FR"/>
        </w:rPr>
        <w:t>on.  Le</w:t>
      </w:r>
      <w:r w:rsidRPr="00AC7E46">
        <w:rPr>
          <w:lang w:val="fr-FR"/>
        </w:rPr>
        <w:t xml:space="preserve"> premier site appartient à l</w:t>
      </w:r>
      <w:r w:rsidR="00761289" w:rsidRPr="00AC7E46">
        <w:rPr>
          <w:lang w:val="fr-FR"/>
        </w:rPr>
        <w:t>’</w:t>
      </w:r>
      <w:r w:rsidRPr="00AC7E46">
        <w:rPr>
          <w:lang w:val="fr-FR"/>
        </w:rPr>
        <w:t>OMPI et le second, au coéditeur externe, et tous deux présentent des informations sur l</w:t>
      </w:r>
      <w:r w:rsidR="00761289" w:rsidRPr="00AC7E46">
        <w:rPr>
          <w:lang w:val="fr-FR"/>
        </w:rPr>
        <w:t>’</w:t>
      </w:r>
      <w:r w:rsidRPr="00AC7E46">
        <w:rPr>
          <w:lang w:val="fr-FR"/>
        </w:rPr>
        <w:t>Indice mondial de l</w:t>
      </w:r>
      <w:r w:rsidR="00761289" w:rsidRPr="00AC7E46">
        <w:rPr>
          <w:lang w:val="fr-FR"/>
        </w:rPr>
        <w:t>’</w:t>
      </w:r>
      <w:r w:rsidRPr="00AC7E46">
        <w:rPr>
          <w:lang w:val="fr-FR"/>
        </w:rPr>
        <w:t>innovati</w:t>
      </w:r>
      <w:r w:rsidR="00AC7E46" w:rsidRPr="00AC7E46">
        <w:rPr>
          <w:lang w:val="fr-FR"/>
        </w:rPr>
        <w:t>on.  Il</w:t>
      </w:r>
      <w:r w:rsidRPr="00AC7E46">
        <w:rPr>
          <w:lang w:val="fr-FR"/>
        </w:rPr>
        <w:t xml:space="preserve"> a été recommandé que les coûts et les avantages de la gestion des deux</w:t>
      </w:r>
      <w:r w:rsidR="006F1D4B" w:rsidRPr="00AC7E46">
        <w:rPr>
          <w:lang w:val="fr-FR"/>
        </w:rPr>
        <w:t> </w:t>
      </w:r>
      <w:r w:rsidRPr="00AC7E46">
        <w:rPr>
          <w:lang w:val="fr-FR"/>
        </w:rPr>
        <w:t>sites par l</w:t>
      </w:r>
      <w:r w:rsidR="00761289" w:rsidRPr="00AC7E46">
        <w:rPr>
          <w:lang w:val="fr-FR"/>
        </w:rPr>
        <w:t>’</w:t>
      </w:r>
      <w:r w:rsidRPr="00AC7E46">
        <w:rPr>
          <w:lang w:val="fr-FR"/>
        </w:rPr>
        <w:t>OMPI soient réexaminés et qu</w:t>
      </w:r>
      <w:r w:rsidR="00761289" w:rsidRPr="00AC7E46">
        <w:rPr>
          <w:lang w:val="fr-FR"/>
        </w:rPr>
        <w:t>’</w:t>
      </w:r>
      <w:r w:rsidRPr="00AC7E46">
        <w:rPr>
          <w:lang w:val="fr-FR"/>
        </w:rPr>
        <w:t>une approche plus économique soit définie.</w:t>
      </w:r>
    </w:p>
    <w:p w14:paraId="661A7437" w14:textId="6433EC95" w:rsidR="000D5281" w:rsidRPr="00AC7E46" w:rsidRDefault="000D5281" w:rsidP="00D31722">
      <w:pPr>
        <w:pStyle w:val="ONUMFS"/>
        <w:rPr>
          <w:lang w:val="fr-FR"/>
        </w:rPr>
      </w:pPr>
      <w:r w:rsidRPr="00AC7E46">
        <w:rPr>
          <w:lang w:val="fr-FR"/>
        </w:rPr>
        <w:t>Il a été recommandé que la Section de la recherche sur les indicateurs composites de l</w:t>
      </w:r>
      <w:r w:rsidR="00761289" w:rsidRPr="00AC7E46">
        <w:rPr>
          <w:lang w:val="fr-FR"/>
        </w:rPr>
        <w:t>’</w:t>
      </w:r>
      <w:r w:rsidRPr="00AC7E46">
        <w:rPr>
          <w:lang w:val="fr-FR"/>
        </w:rPr>
        <w:t>OMPI</w:t>
      </w:r>
      <w:r w:rsidR="00761289" w:rsidRPr="00AC7E46">
        <w:rPr>
          <w:lang w:val="fr-FR"/>
        </w:rPr>
        <w:t> :</w:t>
      </w:r>
      <w:r w:rsidRPr="00AC7E46">
        <w:rPr>
          <w:lang w:val="fr-FR"/>
        </w:rPr>
        <w:t xml:space="preserve"> i) développe ses lignes directrices internes et inclue des descriptions et des étapes plus détaillées des processus de notification des parties prenantes internes et externes avant le lancement mondial de l</w:t>
      </w:r>
      <w:r w:rsidR="00761289" w:rsidRPr="00AC7E46">
        <w:rPr>
          <w:lang w:val="fr-FR"/>
        </w:rPr>
        <w:t>’</w:t>
      </w:r>
      <w:r w:rsidRPr="00AC7E46">
        <w:rPr>
          <w:lang w:val="fr-FR"/>
        </w:rPr>
        <w:t>Indice mondial de l</w:t>
      </w:r>
      <w:r w:rsidR="00761289" w:rsidRPr="00AC7E46">
        <w:rPr>
          <w:lang w:val="fr-FR"/>
        </w:rPr>
        <w:t>’</w:t>
      </w:r>
      <w:r w:rsidRPr="00AC7E46">
        <w:rPr>
          <w:lang w:val="fr-FR"/>
        </w:rPr>
        <w:t xml:space="preserve">innovation, et les relations avec les fournisseurs externes de données, entre autres; </w:t>
      </w:r>
      <w:r w:rsidR="006F1D4B" w:rsidRPr="00AC7E46">
        <w:rPr>
          <w:lang w:val="fr-FR"/>
        </w:rPr>
        <w:t xml:space="preserve"> </w:t>
      </w:r>
      <w:r w:rsidRPr="00AC7E46">
        <w:rPr>
          <w:lang w:val="fr-FR"/>
        </w:rPr>
        <w:t>ii) mette à jour le registre des risques du système de gestion des risques et y inscrive les risques opérationnels supplémentaires relatifs à l</w:t>
      </w:r>
      <w:r w:rsidR="00761289" w:rsidRPr="00AC7E46">
        <w:rPr>
          <w:lang w:val="fr-FR"/>
        </w:rPr>
        <w:t>’</w:t>
      </w:r>
      <w:r w:rsidRPr="00AC7E46">
        <w:rPr>
          <w:lang w:val="fr-FR"/>
        </w:rPr>
        <w:t>Indice mondial de l</w:t>
      </w:r>
      <w:r w:rsidR="00761289" w:rsidRPr="00AC7E46">
        <w:rPr>
          <w:lang w:val="fr-FR"/>
        </w:rPr>
        <w:t>’</w:t>
      </w:r>
      <w:r w:rsidRPr="00AC7E46">
        <w:rPr>
          <w:lang w:val="fr-FR"/>
        </w:rPr>
        <w:t>innovation et les contrôles y afférents, tels que le risque de conflit d</w:t>
      </w:r>
      <w:r w:rsidR="00761289" w:rsidRPr="00AC7E46">
        <w:rPr>
          <w:lang w:val="fr-FR"/>
        </w:rPr>
        <w:t>’</w:t>
      </w:r>
      <w:r w:rsidRPr="00AC7E46">
        <w:rPr>
          <w:lang w:val="fr-FR"/>
        </w:rPr>
        <w:t>intérêts apparent;  iii)</w:t>
      </w:r>
      <w:r w:rsidR="006F1D4B" w:rsidRPr="00AC7E46">
        <w:rPr>
          <w:lang w:val="fr-FR"/>
        </w:rPr>
        <w:t> </w:t>
      </w:r>
      <w:r w:rsidRPr="00AC7E46">
        <w:rPr>
          <w:lang w:val="fr-FR"/>
        </w:rPr>
        <w:t>exclue ou indique clairement les données obsolètes dans les tableaux des forces et des faiblesses sur les “Notes d</w:t>
      </w:r>
      <w:r w:rsidR="00761289" w:rsidRPr="00AC7E46">
        <w:rPr>
          <w:lang w:val="fr-FR"/>
        </w:rPr>
        <w:t>’</w:t>
      </w:r>
      <w:r w:rsidRPr="00AC7E46">
        <w:rPr>
          <w:lang w:val="fr-FR"/>
        </w:rPr>
        <w:t>information approfondies sur l</w:t>
      </w:r>
      <w:r w:rsidR="00761289" w:rsidRPr="00AC7E46">
        <w:rPr>
          <w:lang w:val="fr-FR"/>
        </w:rPr>
        <w:t>’</w:t>
      </w:r>
      <w:r w:rsidRPr="00AC7E46">
        <w:rPr>
          <w:lang w:val="fr-FR"/>
        </w:rPr>
        <w:t xml:space="preserve">économie”; </w:t>
      </w:r>
      <w:r w:rsidR="006F1D4B" w:rsidRPr="00AC7E46">
        <w:rPr>
          <w:lang w:val="fr-FR"/>
        </w:rPr>
        <w:t xml:space="preserve"> </w:t>
      </w:r>
      <w:r w:rsidRPr="00AC7E46">
        <w:rPr>
          <w:lang w:val="fr-FR"/>
        </w:rPr>
        <w:t>et iv) élabore un document d</w:t>
      </w:r>
      <w:r w:rsidR="00761289" w:rsidRPr="00AC7E46">
        <w:rPr>
          <w:lang w:val="fr-FR"/>
        </w:rPr>
        <w:t>’</w:t>
      </w:r>
      <w:r w:rsidRPr="00AC7E46">
        <w:rPr>
          <w:lang w:val="fr-FR"/>
        </w:rPr>
        <w:t>orientation pour la base de données sur l</w:t>
      </w:r>
      <w:r w:rsidR="00761289" w:rsidRPr="00AC7E46">
        <w:rPr>
          <w:lang w:val="fr-FR"/>
        </w:rPr>
        <w:t>’</w:t>
      </w:r>
      <w:r w:rsidRPr="00AC7E46">
        <w:rPr>
          <w:lang w:val="fr-FR"/>
        </w:rPr>
        <w:t>Indice mondial de l</w:t>
      </w:r>
      <w:r w:rsidR="00761289" w:rsidRPr="00AC7E46">
        <w:rPr>
          <w:lang w:val="fr-FR"/>
        </w:rPr>
        <w:t>’</w:t>
      </w:r>
      <w:r w:rsidRPr="00AC7E46">
        <w:rPr>
          <w:lang w:val="fr-FR"/>
        </w:rPr>
        <w:t>innovation et le répertoire de cet indice pour les codes collaboratifs.</w:t>
      </w:r>
    </w:p>
    <w:p w14:paraId="1FE956B9" w14:textId="49A85688" w:rsidR="000D5281" w:rsidRPr="00AC7E46" w:rsidRDefault="000D5281" w:rsidP="00D31722">
      <w:pPr>
        <w:pStyle w:val="ONUMFS"/>
        <w:rPr>
          <w:lang w:val="fr-FR"/>
        </w:rPr>
      </w:pPr>
      <w:r w:rsidRPr="00AC7E46">
        <w:rPr>
          <w:lang w:val="fr-FR"/>
        </w:rPr>
        <w:t>Les huit</w:t>
      </w:r>
      <w:r w:rsidR="006F1D4B" w:rsidRPr="00AC7E46">
        <w:rPr>
          <w:lang w:val="fr-FR"/>
        </w:rPr>
        <w:t> </w:t>
      </w:r>
      <w:r w:rsidRPr="00AC7E46">
        <w:rPr>
          <w:lang w:val="fr-FR"/>
        </w:rPr>
        <w:t>recommandations ont été acceptées par la directi</w:t>
      </w:r>
      <w:r w:rsidR="00AC7E46" w:rsidRPr="00AC7E46">
        <w:rPr>
          <w:lang w:val="fr-FR"/>
        </w:rPr>
        <w:t>on.  Au</w:t>
      </w:r>
      <w:r w:rsidRPr="00AC7E46">
        <w:rPr>
          <w:lang w:val="fr-FR"/>
        </w:rPr>
        <w:t xml:space="preserve"> 31 décembre 2023, six d</w:t>
      </w:r>
      <w:r w:rsidR="00761289" w:rsidRPr="00AC7E46">
        <w:rPr>
          <w:lang w:val="fr-FR"/>
        </w:rPr>
        <w:t>’</w:t>
      </w:r>
      <w:r w:rsidRPr="00AC7E46">
        <w:rPr>
          <w:lang w:val="fr-FR"/>
        </w:rPr>
        <w:t xml:space="preserve">entre elles avaient été mises en œuvre, tandis que les deux restantes seront traitées </w:t>
      </w:r>
      <w:r w:rsidR="00761289" w:rsidRPr="00AC7E46">
        <w:rPr>
          <w:lang w:val="fr-FR"/>
        </w:rPr>
        <w:t>en 2024</w:t>
      </w:r>
      <w:r w:rsidRPr="00AC7E46">
        <w:rPr>
          <w:lang w:val="fr-FR"/>
        </w:rPr>
        <w:t>.  Les recommandations en suspens sont</w:t>
      </w:r>
      <w:r w:rsidR="00761289" w:rsidRPr="00AC7E46">
        <w:rPr>
          <w:lang w:val="fr-FR"/>
        </w:rPr>
        <w:t> :</w:t>
      </w:r>
      <w:r w:rsidRPr="00AC7E46">
        <w:rPr>
          <w:lang w:val="fr-FR"/>
        </w:rPr>
        <w:t xml:space="preserve"> i)</w:t>
      </w:r>
      <w:r w:rsidR="006F1D4B" w:rsidRPr="00AC7E46">
        <w:rPr>
          <w:lang w:val="fr-FR"/>
        </w:rPr>
        <w:t> </w:t>
      </w:r>
      <w:r w:rsidRPr="00AC7E46">
        <w:rPr>
          <w:lang w:val="fr-FR"/>
        </w:rPr>
        <w:t>examiner l</w:t>
      </w:r>
      <w:r w:rsidR="00761289" w:rsidRPr="00AC7E46">
        <w:rPr>
          <w:lang w:val="fr-FR"/>
        </w:rPr>
        <w:t>’</w:t>
      </w:r>
      <w:r w:rsidRPr="00AC7E46">
        <w:rPr>
          <w:lang w:val="fr-FR"/>
        </w:rPr>
        <w:t>approche actuelle en matière de publication de préfaces fournies par des tiers en vue de déterminer si elles sont adéquates, impartiales et conformes à la finalité sous</w:t>
      </w:r>
      <w:r w:rsidR="001908D2">
        <w:rPr>
          <w:lang w:val="fr-FR"/>
        </w:rPr>
        <w:noBreakHyphen/>
      </w:r>
      <w:r w:rsidRPr="00AC7E46">
        <w:rPr>
          <w:lang w:val="fr-FR"/>
        </w:rPr>
        <w:t>jacente du rapport sur l</w:t>
      </w:r>
      <w:r w:rsidR="00761289" w:rsidRPr="00AC7E46">
        <w:rPr>
          <w:lang w:val="fr-FR"/>
        </w:rPr>
        <w:t>’</w:t>
      </w:r>
      <w:r w:rsidRPr="00AC7E46">
        <w:rPr>
          <w:lang w:val="fr-FR"/>
        </w:rPr>
        <w:t xml:space="preserve">Indice mondial de </w:t>
      </w:r>
      <w:proofErr w:type="gramStart"/>
      <w:r w:rsidRPr="00AC7E46">
        <w:rPr>
          <w:lang w:val="fr-FR"/>
        </w:rPr>
        <w:t>l</w:t>
      </w:r>
      <w:r w:rsidR="00761289" w:rsidRPr="00AC7E46">
        <w:rPr>
          <w:lang w:val="fr-FR"/>
        </w:rPr>
        <w:t>’</w:t>
      </w:r>
      <w:r w:rsidRPr="00AC7E46">
        <w:rPr>
          <w:lang w:val="fr-FR"/>
        </w:rPr>
        <w:t xml:space="preserve">innovation; </w:t>
      </w:r>
      <w:r w:rsidR="006F1D4B" w:rsidRPr="00AC7E46">
        <w:rPr>
          <w:lang w:val="fr-FR"/>
        </w:rPr>
        <w:t xml:space="preserve"> </w:t>
      </w:r>
      <w:r w:rsidRPr="00AC7E46">
        <w:rPr>
          <w:lang w:val="fr-FR"/>
        </w:rPr>
        <w:t>et</w:t>
      </w:r>
      <w:proofErr w:type="gramEnd"/>
      <w:r w:rsidRPr="00AC7E46">
        <w:rPr>
          <w:lang w:val="fr-FR"/>
        </w:rPr>
        <w:t xml:space="preserve"> ii) élaborer un document d</w:t>
      </w:r>
      <w:r w:rsidR="00761289" w:rsidRPr="00AC7E46">
        <w:rPr>
          <w:lang w:val="fr-FR"/>
        </w:rPr>
        <w:t>’</w:t>
      </w:r>
      <w:r w:rsidRPr="00AC7E46">
        <w:rPr>
          <w:lang w:val="fr-FR"/>
        </w:rPr>
        <w:t>orientation pour la base de données sur l</w:t>
      </w:r>
      <w:r w:rsidR="00761289" w:rsidRPr="00AC7E46">
        <w:rPr>
          <w:lang w:val="fr-FR"/>
        </w:rPr>
        <w:t>’</w:t>
      </w:r>
      <w:r w:rsidRPr="00AC7E46">
        <w:rPr>
          <w:lang w:val="fr-FR"/>
        </w:rPr>
        <w:t>Indice mondial de l</w:t>
      </w:r>
      <w:r w:rsidR="00761289" w:rsidRPr="00AC7E46">
        <w:rPr>
          <w:lang w:val="fr-FR"/>
        </w:rPr>
        <w:t>’</w:t>
      </w:r>
      <w:r w:rsidRPr="00AC7E46">
        <w:rPr>
          <w:lang w:val="fr-FR"/>
        </w:rPr>
        <w:t>innovation et le répertoire de cet indice pour les codes collaboratifs.</w:t>
      </w:r>
    </w:p>
    <w:p w14:paraId="55B0AA88" w14:textId="7B963415" w:rsidR="000D5281" w:rsidRPr="00AC7E46" w:rsidRDefault="008E3F67" w:rsidP="00F4635E">
      <w:pPr>
        <w:pStyle w:val="Heading2"/>
      </w:pPr>
      <w:r>
        <w:t>V</w:t>
      </w:r>
      <w:r w:rsidRPr="00AC7E46">
        <w:t>alidation des données relatives aux demandes de remboursement au titre de l’assurance maladie après la cessation de service (AMCS)</w:t>
      </w:r>
    </w:p>
    <w:p w14:paraId="758B0D80" w14:textId="0CC176D4" w:rsidR="000D5281" w:rsidRPr="00AC7E46" w:rsidRDefault="000D5281" w:rsidP="00D31722">
      <w:pPr>
        <w:pStyle w:val="ONUMFS"/>
        <w:rPr>
          <w:lang w:val="fr-FR"/>
        </w:rPr>
      </w:pPr>
      <w:r w:rsidRPr="00AC7E46">
        <w:rPr>
          <w:lang w:val="fr-FR"/>
        </w:rPr>
        <w:t>La DSI a procédé à une validation</w:t>
      </w:r>
      <w:r w:rsidRPr="00AC7E46">
        <w:rPr>
          <w:vertAlign w:val="superscript"/>
          <w:lang w:val="fr-FR"/>
        </w:rPr>
        <w:footnoteReference w:id="6"/>
      </w:r>
      <w:r w:rsidRPr="00AC7E46">
        <w:rPr>
          <w:lang w:val="fr-FR"/>
        </w:rPr>
        <w:t xml:space="preserve"> d</w:t>
      </w:r>
      <w:r w:rsidR="00761289" w:rsidRPr="00AC7E46">
        <w:rPr>
          <w:lang w:val="fr-FR"/>
        </w:rPr>
        <w:t>’</w:t>
      </w:r>
      <w:r w:rsidRPr="00AC7E46">
        <w:rPr>
          <w:lang w:val="fr-FR"/>
        </w:rPr>
        <w:t>un échantillon de données sur les demandes de remboursement au titre de l</w:t>
      </w:r>
      <w:r w:rsidR="00761289" w:rsidRPr="00AC7E46">
        <w:rPr>
          <w:lang w:val="fr-FR"/>
        </w:rPr>
        <w:t>’</w:t>
      </w:r>
      <w:r w:rsidRPr="00AC7E46">
        <w:rPr>
          <w:lang w:val="fr-FR"/>
        </w:rPr>
        <w:t>AMCS</w:t>
      </w:r>
      <w:r w:rsidRPr="00AC7E46">
        <w:rPr>
          <w:rStyle w:val="FootnoteReference"/>
          <w:lang w:val="fr-FR"/>
        </w:rPr>
        <w:footnoteReference w:id="7"/>
      </w:r>
      <w:r w:rsidRPr="00AC7E46">
        <w:rPr>
          <w:lang w:val="fr-FR"/>
        </w:rPr>
        <w:t xml:space="preserve"> pour des dépenses engagées </w:t>
      </w:r>
      <w:r w:rsidR="00761289" w:rsidRPr="00AC7E46">
        <w:rPr>
          <w:lang w:val="fr-FR"/>
        </w:rPr>
        <w:t>en 2021</w:t>
      </w:r>
      <w:r w:rsidRPr="00AC7E46">
        <w:rPr>
          <w:lang w:val="fr-FR"/>
        </w:rPr>
        <w:t xml:space="preserve"> et entre janvier et octobre 2022, correspondant aux données communiquées à l</w:t>
      </w:r>
      <w:r w:rsidR="00761289" w:rsidRPr="00AC7E46">
        <w:rPr>
          <w:lang w:val="fr-FR"/>
        </w:rPr>
        <w:t>’</w:t>
      </w:r>
      <w:r w:rsidRPr="00AC7E46">
        <w:rPr>
          <w:lang w:val="fr-FR"/>
        </w:rPr>
        <w:t>actuaire, afin de calculer les chiffres pertinents pour les engagements au titre de l</w:t>
      </w:r>
      <w:r w:rsidR="00761289" w:rsidRPr="00AC7E46">
        <w:rPr>
          <w:lang w:val="fr-FR"/>
        </w:rPr>
        <w:t>’</w:t>
      </w:r>
      <w:r w:rsidRPr="00AC7E46">
        <w:rPr>
          <w:lang w:val="fr-FR"/>
        </w:rPr>
        <w:t>AMCS inscrits dans les états financiers de l</w:t>
      </w:r>
      <w:r w:rsidR="00761289" w:rsidRPr="00AC7E46">
        <w:rPr>
          <w:lang w:val="fr-FR"/>
        </w:rPr>
        <w:t>’</w:t>
      </w:r>
      <w:r w:rsidRPr="00AC7E46">
        <w:rPr>
          <w:lang w:val="fr-FR"/>
        </w:rPr>
        <w:t>OMPI au 31 décembre 2022.  Au total, 102 membres et 984 lignes de transaction ont été échantillonnés.</w:t>
      </w:r>
    </w:p>
    <w:p w14:paraId="7291EF7E" w14:textId="7DA60EA0" w:rsidR="000D5281" w:rsidRPr="00AC7E46" w:rsidRDefault="000D5281" w:rsidP="00D31722">
      <w:pPr>
        <w:pStyle w:val="ONUMFS"/>
        <w:rPr>
          <w:lang w:val="fr-FR"/>
        </w:rPr>
      </w:pPr>
      <w:r w:rsidRPr="00AC7E46">
        <w:rPr>
          <w:lang w:val="fr-FR"/>
        </w:rPr>
        <w:t>À l</w:t>
      </w:r>
      <w:r w:rsidR="00761289" w:rsidRPr="00AC7E46">
        <w:rPr>
          <w:lang w:val="fr-FR"/>
        </w:rPr>
        <w:t>’</w:t>
      </w:r>
      <w:r w:rsidRPr="00AC7E46">
        <w:rPr>
          <w:lang w:val="fr-FR"/>
        </w:rPr>
        <w:t>instar de la validation précédente concernant 2021,</w:t>
      </w:r>
      <w:r w:rsidR="00761289" w:rsidRPr="00AC7E46">
        <w:rPr>
          <w:lang w:val="fr-FR"/>
        </w:rPr>
        <w:t xml:space="preserve"> la DSI</w:t>
      </w:r>
      <w:r w:rsidRPr="00AC7E46">
        <w:rPr>
          <w:lang w:val="fr-FR"/>
        </w:rPr>
        <w:t xml:space="preserve"> a obtenu les données relatives aux demandes de remboursement directement auprès de </w:t>
      </w:r>
      <w:proofErr w:type="spellStart"/>
      <w:r w:rsidRPr="00AC7E46">
        <w:rPr>
          <w:lang w:val="fr-FR"/>
        </w:rPr>
        <w:t>Cigna</w:t>
      </w:r>
      <w:proofErr w:type="spellEnd"/>
      <w:r w:rsidRPr="00AC7E46">
        <w:rPr>
          <w:lang w:val="fr-FR"/>
        </w:rPr>
        <w:t xml:space="preserve"> et a procédé à des rapprochements avec les diverses sources internes de données, notamment la liste des membres de l</w:t>
      </w:r>
      <w:r w:rsidR="00761289" w:rsidRPr="00AC7E46">
        <w:rPr>
          <w:lang w:val="fr-FR"/>
        </w:rPr>
        <w:t>’</w:t>
      </w:r>
      <w:r w:rsidRPr="00AC7E46">
        <w:rPr>
          <w:lang w:val="fr-FR"/>
        </w:rPr>
        <w:t>AMCS fournie par le Département de la gestion des ressources humaines (DGRH) et la liste des primes versées fournie par la Division des financ</w:t>
      </w:r>
      <w:r w:rsidR="00AC7E46" w:rsidRPr="00AC7E46">
        <w:rPr>
          <w:lang w:val="fr-FR"/>
        </w:rPr>
        <w:t>es.  Au</w:t>
      </w:r>
      <w:r w:rsidRPr="00AC7E46">
        <w:rPr>
          <w:lang w:val="fr-FR"/>
        </w:rPr>
        <w:t>cune différence significative n</w:t>
      </w:r>
      <w:r w:rsidR="00761289" w:rsidRPr="00AC7E46">
        <w:rPr>
          <w:lang w:val="fr-FR"/>
        </w:rPr>
        <w:t>’</w:t>
      </w:r>
      <w:r w:rsidRPr="00AC7E46">
        <w:rPr>
          <w:lang w:val="fr-FR"/>
        </w:rPr>
        <w:t>a été constatée.</w:t>
      </w:r>
    </w:p>
    <w:p w14:paraId="639DA8B0" w14:textId="68BD0E30" w:rsidR="000D5281" w:rsidRPr="00AC7E46" w:rsidRDefault="000D5281" w:rsidP="00D31722">
      <w:pPr>
        <w:pStyle w:val="ONUMFS"/>
        <w:rPr>
          <w:lang w:val="fr-FR"/>
        </w:rPr>
      </w:pPr>
      <w:r w:rsidRPr="00AC7E46">
        <w:rPr>
          <w:lang w:val="fr-FR"/>
        </w:rPr>
        <w:lastRenderedPageBreak/>
        <w:t xml:space="preserve">Les résultats de la validation ont montré que les contrôles mis en place par </w:t>
      </w:r>
      <w:proofErr w:type="spellStart"/>
      <w:r w:rsidRPr="00AC7E46">
        <w:rPr>
          <w:lang w:val="fr-FR"/>
        </w:rPr>
        <w:t>Cigna</w:t>
      </w:r>
      <w:proofErr w:type="spellEnd"/>
      <w:r w:rsidRPr="00AC7E46">
        <w:rPr>
          <w:lang w:val="fr-FR"/>
        </w:rPr>
        <w:t xml:space="preserve"> pour gérer les demandes de remboursement au titre de l</w:t>
      </w:r>
      <w:r w:rsidR="00761289" w:rsidRPr="00AC7E46">
        <w:rPr>
          <w:lang w:val="fr-FR"/>
        </w:rPr>
        <w:t>’</w:t>
      </w:r>
      <w:r w:rsidRPr="00AC7E46">
        <w:rPr>
          <w:lang w:val="fr-FR"/>
        </w:rPr>
        <w:t>AMCS de l</w:t>
      </w:r>
      <w:r w:rsidR="00761289" w:rsidRPr="00AC7E46">
        <w:rPr>
          <w:lang w:val="fr-FR"/>
        </w:rPr>
        <w:t>’</w:t>
      </w:r>
      <w:r w:rsidRPr="00AC7E46">
        <w:rPr>
          <w:lang w:val="fr-FR"/>
        </w:rPr>
        <w:t>OMPI sont solides, sécurisés et gérés de manière efficace et efficiente.</w:t>
      </w:r>
    </w:p>
    <w:p w14:paraId="325D41C7" w14:textId="110A24C1" w:rsidR="000D5281" w:rsidRPr="00AC7E46" w:rsidRDefault="000D5281" w:rsidP="00D31722">
      <w:pPr>
        <w:pStyle w:val="ONUMFS"/>
        <w:rPr>
          <w:lang w:val="fr-FR"/>
        </w:rPr>
      </w:pPr>
      <w:r w:rsidRPr="00AC7E46">
        <w:rPr>
          <w:lang w:val="fr-FR"/>
        </w:rPr>
        <w:t>La vérification du flux de travail relatif à la gestion et au paiement des primes de l</w:t>
      </w:r>
      <w:r w:rsidR="00761289" w:rsidRPr="00AC7E46">
        <w:rPr>
          <w:lang w:val="fr-FR"/>
        </w:rPr>
        <w:t>’</w:t>
      </w:r>
      <w:r w:rsidRPr="00AC7E46">
        <w:rPr>
          <w:lang w:val="fr-FR"/>
        </w:rPr>
        <w:t>AMCS au sein de l</w:t>
      </w:r>
      <w:r w:rsidR="00761289" w:rsidRPr="00AC7E46">
        <w:rPr>
          <w:lang w:val="fr-FR"/>
        </w:rPr>
        <w:t>’</w:t>
      </w:r>
      <w:r w:rsidRPr="00AC7E46">
        <w:rPr>
          <w:lang w:val="fr-FR"/>
        </w:rPr>
        <w:t>OMPI n</w:t>
      </w:r>
      <w:r w:rsidR="00761289" w:rsidRPr="00AC7E46">
        <w:rPr>
          <w:lang w:val="fr-FR"/>
        </w:rPr>
        <w:t>’</w:t>
      </w:r>
      <w:r w:rsidRPr="00AC7E46">
        <w:rPr>
          <w:lang w:val="fr-FR"/>
        </w:rPr>
        <w:t>a pas mis en évidence de problèmes importants au niveau de la conception et de la mise en œuvre des contrôles de la gestion de l</w:t>
      </w:r>
      <w:r w:rsidR="00761289" w:rsidRPr="00AC7E46">
        <w:rPr>
          <w:lang w:val="fr-FR"/>
        </w:rPr>
        <w:t>’</w:t>
      </w:r>
      <w:r w:rsidRPr="00AC7E46">
        <w:rPr>
          <w:lang w:val="fr-FR"/>
        </w:rPr>
        <w:t>A</w:t>
      </w:r>
      <w:r w:rsidR="00AC7E46" w:rsidRPr="00AC7E46">
        <w:rPr>
          <w:lang w:val="fr-FR"/>
        </w:rPr>
        <w:t>MCS.  La</w:t>
      </w:r>
      <w:r w:rsidR="00761289" w:rsidRPr="00AC7E46">
        <w:rPr>
          <w:lang w:val="fr-FR"/>
        </w:rPr>
        <w:t> DSI</w:t>
      </w:r>
      <w:r w:rsidRPr="00AC7E46">
        <w:rPr>
          <w:lang w:val="fr-FR"/>
        </w:rPr>
        <w:t xml:space="preserve"> a toutefois observé que l</w:t>
      </w:r>
      <w:r w:rsidR="00761289" w:rsidRPr="00AC7E46">
        <w:rPr>
          <w:lang w:val="fr-FR"/>
        </w:rPr>
        <w:t>’</w:t>
      </w:r>
      <w:r w:rsidRPr="00AC7E46">
        <w:rPr>
          <w:lang w:val="fr-FR"/>
        </w:rPr>
        <w:t>Unité des pensions et de l</w:t>
      </w:r>
      <w:r w:rsidR="00761289" w:rsidRPr="00AC7E46">
        <w:rPr>
          <w:lang w:val="fr-FR"/>
        </w:rPr>
        <w:t>’</w:t>
      </w:r>
      <w:r w:rsidRPr="00AC7E46">
        <w:rPr>
          <w:lang w:val="fr-FR"/>
        </w:rPr>
        <w:t>assurance a détecté un cas où un fonctionnaire récemment retraité s</w:t>
      </w:r>
      <w:r w:rsidR="00761289" w:rsidRPr="00AC7E46">
        <w:rPr>
          <w:lang w:val="fr-FR"/>
        </w:rPr>
        <w:t>’</w:t>
      </w:r>
      <w:r w:rsidRPr="00AC7E46">
        <w:rPr>
          <w:lang w:val="fr-FR"/>
        </w:rPr>
        <w:t>est affilié à l</w:t>
      </w:r>
      <w:r w:rsidR="00761289" w:rsidRPr="00AC7E46">
        <w:rPr>
          <w:lang w:val="fr-FR"/>
        </w:rPr>
        <w:t>’</w:t>
      </w:r>
      <w:r w:rsidRPr="00AC7E46">
        <w:rPr>
          <w:lang w:val="fr-FR"/>
        </w:rPr>
        <w:t>AMCS alors que son conjoint était toujours en fonctions à l</w:t>
      </w:r>
      <w:r w:rsidR="00761289" w:rsidRPr="00AC7E46">
        <w:rPr>
          <w:lang w:val="fr-FR"/>
        </w:rPr>
        <w:t>’</w:t>
      </w:r>
      <w:r w:rsidRPr="00AC7E46">
        <w:rPr>
          <w:lang w:val="fr-FR"/>
        </w:rPr>
        <w:t>OMPI.  L</w:t>
      </w:r>
      <w:r w:rsidR="00761289" w:rsidRPr="00AC7E46">
        <w:rPr>
          <w:lang w:val="fr-FR"/>
        </w:rPr>
        <w:t>’</w:t>
      </w:r>
      <w:r w:rsidRPr="00AC7E46">
        <w:rPr>
          <w:lang w:val="fr-FR"/>
        </w:rPr>
        <w:t>ordre de service n° 40/2017 de l</w:t>
      </w:r>
      <w:r w:rsidR="00761289" w:rsidRPr="00AC7E46">
        <w:rPr>
          <w:lang w:val="fr-FR"/>
        </w:rPr>
        <w:t>’</w:t>
      </w:r>
      <w:r w:rsidRPr="00AC7E46">
        <w:rPr>
          <w:lang w:val="fr-FR"/>
        </w:rPr>
        <w:t>OMPI sur l</w:t>
      </w:r>
      <w:r w:rsidR="00761289" w:rsidRPr="00AC7E46">
        <w:rPr>
          <w:lang w:val="fr-FR"/>
        </w:rPr>
        <w:t>’</w:t>
      </w:r>
      <w:r w:rsidRPr="00AC7E46">
        <w:rPr>
          <w:lang w:val="fr-FR"/>
        </w:rPr>
        <w:t>AMCS dispose que “[l]</w:t>
      </w:r>
      <w:proofErr w:type="spellStart"/>
      <w:r w:rsidRPr="00AC7E46">
        <w:rPr>
          <w:lang w:val="fr-FR"/>
        </w:rPr>
        <w:t>orsque</w:t>
      </w:r>
      <w:proofErr w:type="spellEnd"/>
      <w:r w:rsidRPr="00AC7E46">
        <w:rPr>
          <w:lang w:val="fr-FR"/>
        </w:rPr>
        <w:t xml:space="preserve"> la cessation de service auprès de l</w:t>
      </w:r>
      <w:r w:rsidR="00761289" w:rsidRPr="00AC7E46">
        <w:rPr>
          <w:lang w:val="fr-FR"/>
        </w:rPr>
        <w:t>’</w:t>
      </w:r>
      <w:r w:rsidRPr="00AC7E46">
        <w:rPr>
          <w:lang w:val="fr-FR"/>
        </w:rPr>
        <w:t>OMPI de l</w:t>
      </w:r>
      <w:r w:rsidR="00761289" w:rsidRPr="00AC7E46">
        <w:rPr>
          <w:lang w:val="fr-FR"/>
        </w:rPr>
        <w:t>’</w:t>
      </w:r>
      <w:r w:rsidRPr="00AC7E46">
        <w:rPr>
          <w:lang w:val="fr-FR"/>
        </w:rPr>
        <w:t>un des deux</w:t>
      </w:r>
      <w:r w:rsidR="006F1D4B" w:rsidRPr="00AC7E46">
        <w:rPr>
          <w:lang w:val="fr-FR"/>
        </w:rPr>
        <w:t> </w:t>
      </w:r>
      <w:r w:rsidRPr="00AC7E46">
        <w:rPr>
          <w:lang w:val="fr-FR"/>
        </w:rPr>
        <w:t>conjoints précède la cession de service de l</w:t>
      </w:r>
      <w:r w:rsidR="00761289" w:rsidRPr="00AC7E46">
        <w:rPr>
          <w:lang w:val="fr-FR"/>
        </w:rPr>
        <w:t>’</w:t>
      </w:r>
      <w:r w:rsidRPr="00AC7E46">
        <w:rPr>
          <w:lang w:val="fr-FR"/>
        </w:rPr>
        <w:t>autre conjoint, le conjoint qui demeure en fonctions doit devenir le preneur d</w:t>
      </w:r>
      <w:r w:rsidR="00761289" w:rsidRPr="00AC7E46">
        <w:rPr>
          <w:lang w:val="fr-FR"/>
        </w:rPr>
        <w:t>’</w:t>
      </w:r>
      <w:r w:rsidRPr="00AC7E46">
        <w:rPr>
          <w:lang w:val="fr-FR"/>
        </w:rPr>
        <w:t>assurance au titre du régime d</w:t>
      </w:r>
      <w:r w:rsidR="00761289" w:rsidRPr="00AC7E46">
        <w:rPr>
          <w:lang w:val="fr-FR"/>
        </w:rPr>
        <w:t>’</w:t>
      </w:r>
      <w:r w:rsidRPr="00AC7E46">
        <w:rPr>
          <w:lang w:val="fr-FR"/>
        </w:rPr>
        <w:t>assurance maladie collective de l</w:t>
      </w:r>
      <w:r w:rsidR="00761289" w:rsidRPr="00AC7E46">
        <w:rPr>
          <w:lang w:val="fr-FR"/>
        </w:rPr>
        <w:t>’</w:t>
      </w:r>
      <w:r w:rsidRPr="00AC7E46">
        <w:rPr>
          <w:lang w:val="fr-FR"/>
        </w:rPr>
        <w:t>OMPI”.  L</w:t>
      </w:r>
      <w:r w:rsidR="00761289" w:rsidRPr="00AC7E46">
        <w:rPr>
          <w:lang w:val="fr-FR"/>
        </w:rPr>
        <w:t>’</w:t>
      </w:r>
      <w:r w:rsidRPr="00AC7E46">
        <w:rPr>
          <w:lang w:val="fr-FR"/>
        </w:rPr>
        <w:t>Unité des pensions et de l</w:t>
      </w:r>
      <w:r w:rsidR="00761289" w:rsidRPr="00AC7E46">
        <w:rPr>
          <w:lang w:val="fr-FR"/>
        </w:rPr>
        <w:t>’</w:t>
      </w:r>
      <w:r w:rsidRPr="00AC7E46">
        <w:rPr>
          <w:lang w:val="fr-FR"/>
        </w:rPr>
        <w:t>assurance a pris des mesures correctives rétroactiv</w:t>
      </w:r>
      <w:r w:rsidR="00AC7E46" w:rsidRPr="00AC7E46">
        <w:rPr>
          <w:lang w:val="fr-FR"/>
        </w:rPr>
        <w:t>es.  To</w:t>
      </w:r>
      <w:r w:rsidRPr="00AC7E46">
        <w:rPr>
          <w:lang w:val="fr-FR"/>
        </w:rPr>
        <w:t>ut en reconnaissant que de tels cas sont rares, il serait utile, à l</w:t>
      </w:r>
      <w:r w:rsidR="00761289" w:rsidRPr="00AC7E46">
        <w:rPr>
          <w:lang w:val="fr-FR"/>
        </w:rPr>
        <w:t>’</w:t>
      </w:r>
      <w:r w:rsidRPr="00AC7E46">
        <w:rPr>
          <w:lang w:val="fr-FR"/>
        </w:rPr>
        <w:t>avenir, d</w:t>
      </w:r>
      <w:r w:rsidR="00761289" w:rsidRPr="00AC7E46">
        <w:rPr>
          <w:lang w:val="fr-FR"/>
        </w:rPr>
        <w:t>’</w:t>
      </w:r>
      <w:r w:rsidRPr="00AC7E46">
        <w:rPr>
          <w:lang w:val="fr-FR"/>
        </w:rPr>
        <w:t>effectuer un contrôle systématique/régulier afin de prévenir ou de détecter rapidement de telles situations.</w:t>
      </w:r>
    </w:p>
    <w:p w14:paraId="3EB140F7" w14:textId="0DAC4BC6" w:rsidR="000D5281" w:rsidRPr="00AC7E46" w:rsidRDefault="000D5281" w:rsidP="00D31722">
      <w:pPr>
        <w:pStyle w:val="ONUMFS"/>
        <w:rPr>
          <w:lang w:val="fr-FR"/>
        </w:rPr>
      </w:pPr>
      <w:r w:rsidRPr="00AC7E46">
        <w:rPr>
          <w:lang w:val="fr-FR"/>
        </w:rPr>
        <w:t>La DSI n</w:t>
      </w:r>
      <w:r w:rsidR="00761289" w:rsidRPr="00AC7E46">
        <w:rPr>
          <w:lang w:val="fr-FR"/>
        </w:rPr>
        <w:t>’</w:t>
      </w:r>
      <w:r w:rsidRPr="00AC7E46">
        <w:rPr>
          <w:lang w:val="fr-FR"/>
        </w:rPr>
        <w:t>a pas formulé de recommandation formelle dans le rappo</w:t>
      </w:r>
      <w:r w:rsidR="00AC7E46" w:rsidRPr="00AC7E46">
        <w:rPr>
          <w:lang w:val="fr-FR"/>
        </w:rPr>
        <w:t>rt.  To</w:t>
      </w:r>
      <w:r w:rsidRPr="00AC7E46">
        <w:rPr>
          <w:lang w:val="fr-FR"/>
        </w:rPr>
        <w:t>utefois, elle continuera d</w:t>
      </w:r>
      <w:r w:rsidR="00761289" w:rsidRPr="00AC7E46">
        <w:rPr>
          <w:lang w:val="fr-FR"/>
        </w:rPr>
        <w:t>’</w:t>
      </w:r>
      <w:r w:rsidRPr="00AC7E46">
        <w:rPr>
          <w:lang w:val="fr-FR"/>
        </w:rPr>
        <w:t>assurer le suivi des suggestions adressées à</w:t>
      </w:r>
      <w:r w:rsidR="00761289" w:rsidRPr="00AC7E46">
        <w:rPr>
          <w:lang w:val="fr-FR"/>
        </w:rPr>
        <w:t xml:space="preserve"> la DGR</w:t>
      </w:r>
      <w:r w:rsidRPr="00AC7E46">
        <w:rPr>
          <w:lang w:val="fr-FR"/>
        </w:rPr>
        <w:t>H.</w:t>
      </w:r>
    </w:p>
    <w:p w14:paraId="31161D1F" w14:textId="3B8ECA0A" w:rsidR="000D5281" w:rsidRPr="00AC7E46" w:rsidRDefault="008E3F67" w:rsidP="00F4635E">
      <w:pPr>
        <w:pStyle w:val="Heading2"/>
      </w:pPr>
      <w:r>
        <w:t>E</w:t>
      </w:r>
      <w:r w:rsidRPr="00AC7E46">
        <w:t xml:space="preserve">xamen du bureau de l’OMPI à </w:t>
      </w:r>
      <w:r>
        <w:t>S</w:t>
      </w:r>
      <w:r w:rsidRPr="00AC7E46">
        <w:t>ingapour</w:t>
      </w:r>
    </w:p>
    <w:p w14:paraId="3867FC7D" w14:textId="4D30C353" w:rsidR="000D5281" w:rsidRPr="00AC7E46" w:rsidRDefault="000D5281" w:rsidP="00D31722">
      <w:pPr>
        <w:pStyle w:val="ONUMFS"/>
        <w:rPr>
          <w:lang w:val="fr-FR"/>
        </w:rPr>
      </w:pPr>
      <w:r w:rsidRPr="00AC7E46">
        <w:rPr>
          <w:lang w:val="fr-FR"/>
        </w:rPr>
        <w:t>L</w:t>
      </w:r>
      <w:r w:rsidR="00761289" w:rsidRPr="00AC7E46">
        <w:rPr>
          <w:lang w:val="fr-FR"/>
        </w:rPr>
        <w:t>’</w:t>
      </w:r>
      <w:r w:rsidRPr="00AC7E46">
        <w:rPr>
          <w:lang w:val="fr-FR"/>
        </w:rPr>
        <w:t>audit avait pour objet de</w:t>
      </w:r>
      <w:r w:rsidR="00761289" w:rsidRPr="00AC7E46">
        <w:rPr>
          <w:lang w:val="fr-FR"/>
        </w:rPr>
        <w:t> :</w:t>
      </w:r>
      <w:r w:rsidRPr="00AC7E46">
        <w:rPr>
          <w:lang w:val="fr-FR"/>
        </w:rPr>
        <w:t xml:space="preserve"> i) évaluer l</w:t>
      </w:r>
      <w:r w:rsidR="00761289" w:rsidRPr="00AC7E46">
        <w:rPr>
          <w:lang w:val="fr-FR"/>
        </w:rPr>
        <w:t>’</w:t>
      </w:r>
      <w:r w:rsidRPr="00AC7E46">
        <w:rPr>
          <w:lang w:val="fr-FR"/>
        </w:rPr>
        <w:t>efficacité de la gouvernance, le respect des règles, la gestion des risques et les contrôles internes relatifs aux opérations du Bureau de l</w:t>
      </w:r>
      <w:r w:rsidR="00761289" w:rsidRPr="00AC7E46">
        <w:rPr>
          <w:lang w:val="fr-FR"/>
        </w:rPr>
        <w:t>’</w:t>
      </w:r>
      <w:r w:rsidRPr="00AC7E46">
        <w:rPr>
          <w:lang w:val="fr-FR"/>
        </w:rPr>
        <w:t xml:space="preserve">OMPI à </w:t>
      </w:r>
      <w:proofErr w:type="gramStart"/>
      <w:r w:rsidRPr="00AC7E46">
        <w:rPr>
          <w:lang w:val="fr-FR"/>
        </w:rPr>
        <w:t xml:space="preserve">Singapour; </w:t>
      </w:r>
      <w:r w:rsidR="006F1D4B" w:rsidRPr="00AC7E46">
        <w:rPr>
          <w:lang w:val="fr-FR"/>
        </w:rPr>
        <w:t xml:space="preserve"> </w:t>
      </w:r>
      <w:r w:rsidRPr="00AC7E46">
        <w:rPr>
          <w:lang w:val="fr-FR"/>
        </w:rPr>
        <w:t>ii</w:t>
      </w:r>
      <w:proofErr w:type="gramEnd"/>
      <w:r w:rsidRPr="00AC7E46">
        <w:rPr>
          <w:lang w:val="fr-FR"/>
        </w:rPr>
        <w:t>) vérifier si la structure et les ressources sont adéquats;</w:t>
      </w:r>
      <w:r w:rsidR="006F1D4B" w:rsidRPr="00AC7E46">
        <w:rPr>
          <w:lang w:val="fr-FR"/>
        </w:rPr>
        <w:t xml:space="preserve"> </w:t>
      </w:r>
      <w:r w:rsidRPr="00AC7E46">
        <w:rPr>
          <w:lang w:val="fr-FR"/>
        </w:rPr>
        <w:t xml:space="preserve"> et iii) évaluer l</w:t>
      </w:r>
      <w:r w:rsidR="00761289" w:rsidRPr="00AC7E46">
        <w:rPr>
          <w:lang w:val="fr-FR"/>
        </w:rPr>
        <w:t>’</w:t>
      </w:r>
      <w:r w:rsidRPr="00AC7E46">
        <w:rPr>
          <w:lang w:val="fr-FR"/>
        </w:rPr>
        <w:t>adéquation des outils et des systèmes de soutien aux opérations, notamment le flux effectif d</w:t>
      </w:r>
      <w:r w:rsidR="00761289" w:rsidRPr="00AC7E46">
        <w:rPr>
          <w:lang w:val="fr-FR"/>
        </w:rPr>
        <w:t>’</w:t>
      </w:r>
      <w:r w:rsidRPr="00AC7E46">
        <w:rPr>
          <w:lang w:val="fr-FR"/>
        </w:rPr>
        <w:t>informations avec le siège.</w:t>
      </w:r>
    </w:p>
    <w:p w14:paraId="084E132B" w14:textId="7F5CB5C3" w:rsidR="000D5281" w:rsidRPr="00AC7E46" w:rsidRDefault="000D5281" w:rsidP="00D31722">
      <w:pPr>
        <w:pStyle w:val="ONUMFS"/>
        <w:rPr>
          <w:lang w:val="fr-FR"/>
        </w:rPr>
      </w:pPr>
      <w:r w:rsidRPr="00AC7E46">
        <w:rPr>
          <w:lang w:val="fr-FR"/>
        </w:rPr>
        <w:t>La DSI n</w:t>
      </w:r>
      <w:r w:rsidR="00761289" w:rsidRPr="00AC7E46">
        <w:rPr>
          <w:lang w:val="fr-FR"/>
        </w:rPr>
        <w:t>’</w:t>
      </w:r>
      <w:r w:rsidRPr="00AC7E46">
        <w:rPr>
          <w:lang w:val="fr-FR"/>
        </w:rPr>
        <w:t>a pas détecté de problèmes graves au cours de l</w:t>
      </w:r>
      <w:r w:rsidR="00761289" w:rsidRPr="00AC7E46">
        <w:rPr>
          <w:lang w:val="fr-FR"/>
        </w:rPr>
        <w:t>’</w:t>
      </w:r>
      <w:r w:rsidRPr="00AC7E46">
        <w:rPr>
          <w:lang w:val="fr-FR"/>
        </w:rPr>
        <w:t>examen du Bureau de l</w:t>
      </w:r>
      <w:r w:rsidR="00761289" w:rsidRPr="00AC7E46">
        <w:rPr>
          <w:lang w:val="fr-FR"/>
        </w:rPr>
        <w:t>’</w:t>
      </w:r>
      <w:r w:rsidRPr="00AC7E46">
        <w:rPr>
          <w:lang w:val="fr-FR"/>
        </w:rPr>
        <w:t>OMPI à Singapo</w:t>
      </w:r>
      <w:r w:rsidR="00AC7E46" w:rsidRPr="00AC7E46">
        <w:rPr>
          <w:lang w:val="fr-FR"/>
        </w:rPr>
        <w:t>ur.  El</w:t>
      </w:r>
      <w:r w:rsidRPr="00AC7E46">
        <w:rPr>
          <w:lang w:val="fr-FR"/>
        </w:rPr>
        <w:t>le a toutefois mis en évidence des possibilités de renforcer le rôle et les responsabilités du bureau, sa communication, son image de marque et sa visibilité.</w:t>
      </w:r>
    </w:p>
    <w:p w14:paraId="3641FE3C" w14:textId="1A1AC97B" w:rsidR="000D5281" w:rsidRPr="00AC7E46" w:rsidRDefault="000D5281" w:rsidP="00D31722">
      <w:pPr>
        <w:pStyle w:val="ONUMFS"/>
        <w:rPr>
          <w:color w:val="000000" w:themeColor="text1"/>
          <w:lang w:val="fr-FR"/>
        </w:rPr>
      </w:pPr>
      <w:r w:rsidRPr="00AC7E46">
        <w:rPr>
          <w:lang w:val="fr-FR"/>
        </w:rPr>
        <w:t>Alors que le mandat du Bureau de l</w:t>
      </w:r>
      <w:r w:rsidR="00761289" w:rsidRPr="00AC7E46">
        <w:rPr>
          <w:lang w:val="fr-FR"/>
        </w:rPr>
        <w:t>’</w:t>
      </w:r>
      <w:r w:rsidRPr="00AC7E46">
        <w:rPr>
          <w:lang w:val="fr-FR"/>
        </w:rPr>
        <w:t>OMPI à Singapour couvrait la région Asie</w:t>
      </w:r>
      <w:r w:rsidR="001908D2">
        <w:rPr>
          <w:lang w:val="fr-FR"/>
        </w:rPr>
        <w:noBreakHyphen/>
      </w:r>
      <w:r w:rsidRPr="00AC7E46">
        <w:rPr>
          <w:lang w:val="fr-FR"/>
        </w:rPr>
        <w:t>Pacifique, dans la pratique, ce mandat a évolué au fil du temps, au rythme des stratégies de l</w:t>
      </w:r>
      <w:r w:rsidR="00761289" w:rsidRPr="00AC7E46">
        <w:rPr>
          <w:lang w:val="fr-FR"/>
        </w:rPr>
        <w:t>’</w:t>
      </w:r>
      <w:r w:rsidRPr="00AC7E46">
        <w:rPr>
          <w:lang w:val="fr-FR"/>
        </w:rPr>
        <w:t>Organisation en vue de concentrer ses efforts sur l</w:t>
      </w:r>
      <w:r w:rsidR="00761289" w:rsidRPr="00AC7E46">
        <w:rPr>
          <w:lang w:val="fr-FR"/>
        </w:rPr>
        <w:t>’</w:t>
      </w:r>
      <w:r w:rsidRPr="00AC7E46">
        <w:rPr>
          <w:lang w:val="fr-FR"/>
        </w:rPr>
        <w:t>Association des nations de l</w:t>
      </w:r>
      <w:r w:rsidR="00761289" w:rsidRPr="00AC7E46">
        <w:rPr>
          <w:lang w:val="fr-FR"/>
        </w:rPr>
        <w:t>’</w:t>
      </w:r>
      <w:r w:rsidRPr="00AC7E46">
        <w:rPr>
          <w:lang w:val="fr-FR"/>
        </w:rPr>
        <w:t>Asie du Sud</w:t>
      </w:r>
      <w:r w:rsidR="001908D2">
        <w:rPr>
          <w:lang w:val="fr-FR"/>
        </w:rPr>
        <w:noBreakHyphen/>
      </w:r>
      <w:r w:rsidRPr="00AC7E46">
        <w:rPr>
          <w:lang w:val="fr-FR"/>
        </w:rPr>
        <w:t>Est (ASEAN), qui regroupe 10 pa</w:t>
      </w:r>
      <w:r w:rsidR="00AC7E46" w:rsidRPr="00AC7E46">
        <w:rPr>
          <w:lang w:val="fr-FR"/>
        </w:rPr>
        <w:t>ys.  To</w:t>
      </w:r>
      <w:r w:rsidRPr="00AC7E46">
        <w:rPr>
          <w:lang w:val="fr-FR"/>
        </w:rPr>
        <w:t>utefois, le mandat de la Division pour l</w:t>
      </w:r>
      <w:r w:rsidR="00761289" w:rsidRPr="00AC7E46">
        <w:rPr>
          <w:lang w:val="fr-FR"/>
        </w:rPr>
        <w:t>’</w:t>
      </w:r>
      <w:r w:rsidRPr="00AC7E46">
        <w:rPr>
          <w:lang w:val="fr-FR"/>
        </w:rPr>
        <w:t>Asie et le Pacifique du Secteur du développement régional et national couvre également les 38 pays de la région Asie</w:t>
      </w:r>
      <w:r w:rsidR="001908D2">
        <w:rPr>
          <w:lang w:val="fr-FR"/>
        </w:rPr>
        <w:noBreakHyphen/>
      </w:r>
      <w:r w:rsidRPr="00AC7E46">
        <w:rPr>
          <w:lang w:val="fr-FR"/>
        </w:rPr>
        <w:t>Pacifique, dont l</w:t>
      </w:r>
      <w:r w:rsidR="00761289" w:rsidRPr="00AC7E46">
        <w:rPr>
          <w:lang w:val="fr-FR"/>
        </w:rPr>
        <w:t>’</w:t>
      </w:r>
      <w:r w:rsidRPr="00AC7E46">
        <w:rPr>
          <w:lang w:val="fr-FR"/>
        </w:rPr>
        <w:t>ASEAN fait part</w:t>
      </w:r>
      <w:r w:rsidR="00AC7E46" w:rsidRPr="00AC7E46">
        <w:rPr>
          <w:lang w:val="fr-FR"/>
        </w:rPr>
        <w:t>ie.  Re</w:t>
      </w:r>
      <w:r w:rsidRPr="00AC7E46">
        <w:rPr>
          <w:lang w:val="fr-FR"/>
        </w:rPr>
        <w:t xml:space="preserve">connaissant que le Secteur du développement régional et national </w:t>
      </w:r>
      <w:proofErr w:type="gramStart"/>
      <w:r w:rsidRPr="00AC7E46">
        <w:rPr>
          <w:lang w:val="fr-FR"/>
        </w:rPr>
        <w:t>a</w:t>
      </w:r>
      <w:proofErr w:type="gramEnd"/>
      <w:r w:rsidRPr="00AC7E46">
        <w:rPr>
          <w:lang w:val="fr-FR"/>
        </w:rPr>
        <w:t xml:space="preserve"> pris des mesures pour clarifier et coordonner les activités entre les deux,</w:t>
      </w:r>
      <w:r w:rsidR="00761289" w:rsidRPr="00AC7E46">
        <w:rPr>
          <w:lang w:val="fr-FR"/>
        </w:rPr>
        <w:t xml:space="preserve"> la DSI</w:t>
      </w:r>
      <w:r w:rsidRPr="00AC7E46">
        <w:rPr>
          <w:lang w:val="fr-FR"/>
        </w:rPr>
        <w:t xml:space="preserve"> a recommandé que ces mesures soient renforcées afin de faire en sorte que les rôles et responsabilités du Bureau de l</w:t>
      </w:r>
      <w:r w:rsidR="00761289" w:rsidRPr="00AC7E46">
        <w:rPr>
          <w:lang w:val="fr-FR"/>
        </w:rPr>
        <w:t>’</w:t>
      </w:r>
      <w:r w:rsidRPr="00AC7E46">
        <w:rPr>
          <w:lang w:val="fr-FR"/>
        </w:rPr>
        <w:t>OMPI à Singapour et de la Division pour l</w:t>
      </w:r>
      <w:r w:rsidR="00761289" w:rsidRPr="00AC7E46">
        <w:rPr>
          <w:lang w:val="fr-FR"/>
        </w:rPr>
        <w:t>’</w:t>
      </w:r>
      <w:r w:rsidRPr="00AC7E46">
        <w:rPr>
          <w:lang w:val="fr-FR"/>
        </w:rPr>
        <w:t>Asie et le Pacifique soient clairs pour éviter d</w:t>
      </w:r>
      <w:r w:rsidR="00761289" w:rsidRPr="00AC7E46">
        <w:rPr>
          <w:lang w:val="fr-FR"/>
        </w:rPr>
        <w:t>’</w:t>
      </w:r>
      <w:r w:rsidRPr="00AC7E46">
        <w:rPr>
          <w:lang w:val="fr-FR"/>
        </w:rPr>
        <w:t>éventuels doubles emplois, chevauchements ou inefficacités dans la communication.</w:t>
      </w:r>
    </w:p>
    <w:p w14:paraId="1CC324AE" w14:textId="59236B56" w:rsidR="000D5281" w:rsidRPr="00AC7E46" w:rsidRDefault="000D5281" w:rsidP="00D31722">
      <w:pPr>
        <w:pStyle w:val="ONUMFS"/>
        <w:rPr>
          <w:lang w:val="fr-FR"/>
        </w:rPr>
      </w:pPr>
      <w:r w:rsidRPr="00AC7E46">
        <w:rPr>
          <w:lang w:val="fr-FR"/>
        </w:rPr>
        <w:t>Tout en reconnaissant que le Bureau de l</w:t>
      </w:r>
      <w:r w:rsidR="00761289" w:rsidRPr="00AC7E46">
        <w:rPr>
          <w:lang w:val="fr-FR"/>
        </w:rPr>
        <w:t>’</w:t>
      </w:r>
      <w:r w:rsidRPr="00AC7E46">
        <w:rPr>
          <w:lang w:val="fr-FR"/>
        </w:rPr>
        <w:t>OMPI à Singapour a entrepris diverses activités pour promouvoir la marque OMPI dans la région et renforcer sa présence numérique,</w:t>
      </w:r>
      <w:r w:rsidR="00761289" w:rsidRPr="00AC7E46">
        <w:rPr>
          <w:lang w:val="fr-FR"/>
        </w:rPr>
        <w:t xml:space="preserve"> la DSI</w:t>
      </w:r>
      <w:r w:rsidRPr="00AC7E46">
        <w:rPr>
          <w:lang w:val="fr-FR"/>
        </w:rPr>
        <w:t xml:space="preserve"> a recommandé que le Secteur du développement régional et national, avec l</w:t>
      </w:r>
      <w:r w:rsidR="00761289" w:rsidRPr="00AC7E46">
        <w:rPr>
          <w:lang w:val="fr-FR"/>
        </w:rPr>
        <w:t>’</w:t>
      </w:r>
      <w:r w:rsidRPr="00AC7E46">
        <w:rPr>
          <w:lang w:val="fr-FR"/>
        </w:rPr>
        <w:t>appui du Bureau de l</w:t>
      </w:r>
      <w:r w:rsidR="00761289" w:rsidRPr="00AC7E46">
        <w:rPr>
          <w:lang w:val="fr-FR"/>
        </w:rPr>
        <w:t>’</w:t>
      </w:r>
      <w:r w:rsidRPr="00AC7E46">
        <w:rPr>
          <w:lang w:val="fr-FR"/>
        </w:rPr>
        <w:t>OMPI à Singapour, collabore avec d</w:t>
      </w:r>
      <w:r w:rsidR="00761289" w:rsidRPr="00AC7E46">
        <w:rPr>
          <w:lang w:val="fr-FR"/>
        </w:rPr>
        <w:t>’</w:t>
      </w:r>
      <w:r w:rsidRPr="00AC7E46">
        <w:rPr>
          <w:lang w:val="fr-FR"/>
        </w:rPr>
        <w:t>autres parties prenantes concernées pour élaborer une stratégie de marque et de communication pour le Bureau, ce qui inclut l</w:t>
      </w:r>
      <w:r w:rsidR="00761289" w:rsidRPr="00AC7E46">
        <w:rPr>
          <w:lang w:val="fr-FR"/>
        </w:rPr>
        <w:t>’</w:t>
      </w:r>
      <w:r w:rsidRPr="00AC7E46">
        <w:rPr>
          <w:lang w:val="fr-FR"/>
        </w:rPr>
        <w:t>utilisation de matériels de marque et de publications existants du siège de l</w:t>
      </w:r>
      <w:r w:rsidR="00761289" w:rsidRPr="00AC7E46">
        <w:rPr>
          <w:lang w:val="fr-FR"/>
        </w:rPr>
        <w:t>’</w:t>
      </w:r>
      <w:r w:rsidRPr="00AC7E46">
        <w:rPr>
          <w:lang w:val="fr-FR"/>
        </w:rPr>
        <w:t>OMPI, et renforcer la présence numérique du Bureau de l</w:t>
      </w:r>
      <w:r w:rsidR="00761289" w:rsidRPr="00AC7E46">
        <w:rPr>
          <w:lang w:val="fr-FR"/>
        </w:rPr>
        <w:t>’</w:t>
      </w:r>
      <w:r w:rsidRPr="00AC7E46">
        <w:rPr>
          <w:lang w:val="fr-FR"/>
        </w:rPr>
        <w:t>OMPI à Singapour dans la région ASEAN.</w:t>
      </w:r>
    </w:p>
    <w:p w14:paraId="0562FBBC" w14:textId="62C21E5E" w:rsidR="000D5281" w:rsidRPr="00AC7E46" w:rsidRDefault="000D5281" w:rsidP="00D31722">
      <w:pPr>
        <w:pStyle w:val="ONUMFS"/>
        <w:rPr>
          <w:lang w:val="fr-FR"/>
        </w:rPr>
      </w:pPr>
      <w:r w:rsidRPr="00AC7E46">
        <w:rPr>
          <w:lang w:val="fr-FR"/>
        </w:rPr>
        <w:t>La direction a accepté de mettre en œuvre les deux</w:t>
      </w:r>
      <w:r w:rsidR="006F1D4B" w:rsidRPr="00AC7E46">
        <w:rPr>
          <w:lang w:val="fr-FR"/>
        </w:rPr>
        <w:t> </w:t>
      </w:r>
      <w:r w:rsidRPr="00AC7E46">
        <w:rPr>
          <w:lang w:val="fr-FR"/>
        </w:rPr>
        <w:t xml:space="preserve">recommandations </w:t>
      </w:r>
      <w:r w:rsidR="00761289" w:rsidRPr="00AC7E46">
        <w:rPr>
          <w:lang w:val="fr-FR"/>
        </w:rPr>
        <w:t>en 2024</w:t>
      </w:r>
      <w:r w:rsidRPr="00AC7E46">
        <w:rPr>
          <w:lang w:val="fr-FR"/>
        </w:rPr>
        <w:t>.</w:t>
      </w:r>
    </w:p>
    <w:p w14:paraId="41600A94" w14:textId="3B1C0049" w:rsidR="000D5281" w:rsidRPr="00AC7E46" w:rsidRDefault="008E3F67" w:rsidP="00F4635E">
      <w:pPr>
        <w:pStyle w:val="Heading2"/>
      </w:pPr>
      <w:r>
        <w:lastRenderedPageBreak/>
        <w:t>A</w:t>
      </w:r>
      <w:r w:rsidRPr="00AC7E46">
        <w:t xml:space="preserve">udit du </w:t>
      </w:r>
      <w:r w:rsidR="00EB4D8F">
        <w:t>S</w:t>
      </w:r>
      <w:r w:rsidRPr="00AC7E46">
        <w:t xml:space="preserve">ervice d’enregistrement de </w:t>
      </w:r>
      <w:r>
        <w:t>M</w:t>
      </w:r>
      <w:r w:rsidRPr="00AC7E46">
        <w:t>adrid</w:t>
      </w:r>
    </w:p>
    <w:p w14:paraId="1C829AD9" w14:textId="4FF8407C" w:rsidR="000D5281" w:rsidRPr="00AC7E46" w:rsidRDefault="000D5281" w:rsidP="00EB4D8F">
      <w:pPr>
        <w:pStyle w:val="ONUMFS"/>
        <w:keepLines/>
        <w:rPr>
          <w:lang w:val="fr-FR"/>
        </w:rPr>
      </w:pPr>
      <w:r w:rsidRPr="00AC7E46">
        <w:rPr>
          <w:lang w:val="fr-FR"/>
        </w:rPr>
        <w:t>Les objectifs de l</w:t>
      </w:r>
      <w:r w:rsidR="00761289" w:rsidRPr="00AC7E46">
        <w:rPr>
          <w:lang w:val="fr-FR"/>
        </w:rPr>
        <w:t>’</w:t>
      </w:r>
      <w:r w:rsidRPr="00AC7E46">
        <w:rPr>
          <w:lang w:val="fr-FR"/>
        </w:rPr>
        <w:t>audit étaient les suivants</w:t>
      </w:r>
      <w:r w:rsidR="00761289" w:rsidRPr="00AC7E46">
        <w:rPr>
          <w:lang w:val="fr-FR"/>
        </w:rPr>
        <w:t> :</w:t>
      </w:r>
      <w:r w:rsidRPr="00AC7E46">
        <w:rPr>
          <w:lang w:val="fr-FR"/>
        </w:rPr>
        <w:t xml:space="preserve"> </w:t>
      </w:r>
      <w:r w:rsidR="00E71C24">
        <w:rPr>
          <w:lang w:val="fr-FR"/>
        </w:rPr>
        <w:t>a</w:t>
      </w:r>
      <w:r w:rsidRPr="00AC7E46">
        <w:rPr>
          <w:lang w:val="fr-FR"/>
        </w:rPr>
        <w:t>) évaluer la gouvernance, la gestion des risques, le respect des règles et les contrôles internes du Service d</w:t>
      </w:r>
      <w:r w:rsidR="00761289" w:rsidRPr="00AC7E46">
        <w:rPr>
          <w:lang w:val="fr-FR"/>
        </w:rPr>
        <w:t>’</w:t>
      </w:r>
      <w:r w:rsidRPr="00AC7E46">
        <w:rPr>
          <w:lang w:val="fr-FR"/>
        </w:rPr>
        <w:t xml:space="preserve">enregistrement de Madrid; </w:t>
      </w:r>
      <w:r w:rsidR="006F1D4B" w:rsidRPr="00AC7E46">
        <w:rPr>
          <w:lang w:val="fr-FR"/>
        </w:rPr>
        <w:t xml:space="preserve"> </w:t>
      </w:r>
      <w:r w:rsidR="00E71C24">
        <w:rPr>
          <w:lang w:val="fr-FR"/>
        </w:rPr>
        <w:t>b</w:t>
      </w:r>
      <w:r w:rsidRPr="00AC7E46">
        <w:rPr>
          <w:lang w:val="fr-FR"/>
        </w:rPr>
        <w:t>)</w:t>
      </w:r>
      <w:r w:rsidR="006F1D4B" w:rsidRPr="00AC7E46">
        <w:rPr>
          <w:lang w:val="fr-FR"/>
        </w:rPr>
        <w:t> </w:t>
      </w:r>
      <w:r w:rsidRPr="00AC7E46">
        <w:rPr>
          <w:lang w:val="fr-FR"/>
        </w:rPr>
        <w:t>déterminer si les ressources sont gérées efficacement pour soutenir la réalisation des objectifs stratégiques du Service d</w:t>
      </w:r>
      <w:r w:rsidR="00761289" w:rsidRPr="00AC7E46">
        <w:rPr>
          <w:lang w:val="fr-FR"/>
        </w:rPr>
        <w:t>’</w:t>
      </w:r>
      <w:r w:rsidRPr="00AC7E46">
        <w:rPr>
          <w:lang w:val="fr-FR"/>
        </w:rPr>
        <w:t xml:space="preserve">enregistrement de Madrid; </w:t>
      </w:r>
      <w:r w:rsidR="006F1D4B" w:rsidRPr="00AC7E46">
        <w:rPr>
          <w:lang w:val="fr-FR"/>
        </w:rPr>
        <w:t xml:space="preserve"> </w:t>
      </w:r>
      <w:r w:rsidR="00E71C24">
        <w:rPr>
          <w:lang w:val="fr-FR"/>
        </w:rPr>
        <w:t>c</w:t>
      </w:r>
      <w:r w:rsidRPr="00AC7E46">
        <w:rPr>
          <w:lang w:val="fr-FR"/>
        </w:rPr>
        <w:t>) évaluer l</w:t>
      </w:r>
      <w:r w:rsidR="00761289" w:rsidRPr="00AC7E46">
        <w:rPr>
          <w:lang w:val="fr-FR"/>
        </w:rPr>
        <w:t>’</w:t>
      </w:r>
      <w:r w:rsidRPr="00AC7E46">
        <w:rPr>
          <w:lang w:val="fr-FR"/>
        </w:rPr>
        <w:t>efficacité de la coordination et de la coopération, ainsi que l</w:t>
      </w:r>
      <w:r w:rsidR="00761289" w:rsidRPr="00AC7E46">
        <w:rPr>
          <w:lang w:val="fr-FR"/>
        </w:rPr>
        <w:t>’</w:t>
      </w:r>
      <w:r w:rsidRPr="00AC7E46">
        <w:rPr>
          <w:lang w:val="fr-FR"/>
        </w:rPr>
        <w:t>alignement entre les départements du Service d</w:t>
      </w:r>
      <w:r w:rsidR="00761289" w:rsidRPr="00AC7E46">
        <w:rPr>
          <w:lang w:val="fr-FR"/>
        </w:rPr>
        <w:t>’</w:t>
      </w:r>
      <w:r w:rsidRPr="00AC7E46">
        <w:rPr>
          <w:lang w:val="fr-FR"/>
        </w:rPr>
        <w:t xml:space="preserve">enregistrement de Madrid; </w:t>
      </w:r>
      <w:r w:rsidR="006F1D4B" w:rsidRPr="00AC7E46">
        <w:rPr>
          <w:lang w:val="fr-FR"/>
        </w:rPr>
        <w:t xml:space="preserve"> </w:t>
      </w:r>
      <w:r w:rsidRPr="00AC7E46">
        <w:rPr>
          <w:lang w:val="fr-FR"/>
        </w:rPr>
        <w:t>et</w:t>
      </w:r>
      <w:r w:rsidR="00E71C24">
        <w:rPr>
          <w:lang w:val="fr-FR"/>
        </w:rPr>
        <w:t> </w:t>
      </w:r>
      <w:r w:rsidRPr="00AC7E46">
        <w:rPr>
          <w:lang w:val="fr-FR"/>
        </w:rPr>
        <w:t>d) évaluer l</w:t>
      </w:r>
      <w:r w:rsidR="00761289" w:rsidRPr="00AC7E46">
        <w:rPr>
          <w:lang w:val="fr-FR"/>
        </w:rPr>
        <w:t>’</w:t>
      </w:r>
      <w:r w:rsidRPr="00AC7E46">
        <w:rPr>
          <w:lang w:val="fr-FR"/>
        </w:rPr>
        <w:t>adéquation et l</w:t>
      </w:r>
      <w:r w:rsidR="00761289" w:rsidRPr="00AC7E46">
        <w:rPr>
          <w:lang w:val="fr-FR"/>
        </w:rPr>
        <w:t>’</w:t>
      </w:r>
      <w:r w:rsidRPr="00AC7E46">
        <w:rPr>
          <w:lang w:val="fr-FR"/>
        </w:rPr>
        <w:t>efficacité des outils et des systèmes utilisés pour soutenir le Service d</w:t>
      </w:r>
      <w:r w:rsidR="00761289" w:rsidRPr="00AC7E46">
        <w:rPr>
          <w:lang w:val="fr-FR"/>
        </w:rPr>
        <w:t>’</w:t>
      </w:r>
      <w:r w:rsidRPr="00AC7E46">
        <w:rPr>
          <w:lang w:val="fr-FR"/>
        </w:rPr>
        <w:t>enregistrement de Madrid.</w:t>
      </w:r>
    </w:p>
    <w:p w14:paraId="597B2A75" w14:textId="4623F9D5" w:rsidR="000D5281" w:rsidRPr="00AC7E46" w:rsidRDefault="000D5281" w:rsidP="00D31722">
      <w:pPr>
        <w:pStyle w:val="ONUMFS"/>
        <w:rPr>
          <w:lang w:val="fr-FR"/>
        </w:rPr>
      </w:pPr>
      <w:r w:rsidRPr="00AC7E46">
        <w:rPr>
          <w:lang w:val="fr-FR"/>
        </w:rPr>
        <w:t>La DSI a observé que le Service d</w:t>
      </w:r>
      <w:r w:rsidR="00761289" w:rsidRPr="00AC7E46">
        <w:rPr>
          <w:lang w:val="fr-FR"/>
        </w:rPr>
        <w:t>’</w:t>
      </w:r>
      <w:r w:rsidRPr="00AC7E46">
        <w:rPr>
          <w:lang w:val="fr-FR"/>
        </w:rPr>
        <w:t>enregistrement de Madrid disposait d</w:t>
      </w:r>
      <w:r w:rsidR="00761289" w:rsidRPr="00AC7E46">
        <w:rPr>
          <w:lang w:val="fr-FR"/>
        </w:rPr>
        <w:t>’</w:t>
      </w:r>
      <w:r w:rsidRPr="00AC7E46">
        <w:rPr>
          <w:lang w:val="fr-FR"/>
        </w:rPr>
        <w:t>une feuille de route</w:t>
      </w:r>
      <w:r w:rsidRPr="00AC7E46">
        <w:rPr>
          <w:rStyle w:val="FootnoteReference"/>
          <w:sz w:val="18"/>
          <w:szCs w:val="18"/>
          <w:lang w:val="fr-FR"/>
        </w:rPr>
        <w:footnoteReference w:id="8"/>
      </w:r>
      <w:r w:rsidRPr="00AC7E46">
        <w:rPr>
          <w:lang w:val="fr-FR"/>
        </w:rPr>
        <w:t>, régulièrement actualisée, la dernière mise à jour remontant à 2023.  La feuille de route contenait un certain nombre de points concernant la manière dont le système de Madrid pourrait évoluer dans l</w:t>
      </w:r>
      <w:r w:rsidR="00761289" w:rsidRPr="00AC7E46">
        <w:rPr>
          <w:lang w:val="fr-FR"/>
        </w:rPr>
        <w:t>’</w:t>
      </w:r>
      <w:r w:rsidRPr="00AC7E46">
        <w:rPr>
          <w:lang w:val="fr-FR"/>
        </w:rPr>
        <w:t>intérêt de ses utilisateurs ainsi que pour attirer de nouveaux membres et leur apporter un appui.</w:t>
      </w:r>
    </w:p>
    <w:p w14:paraId="6518AA1C" w14:textId="31F52E75" w:rsidR="000D5281" w:rsidRPr="00AC7E46" w:rsidRDefault="000D5281" w:rsidP="00D31722">
      <w:pPr>
        <w:pStyle w:val="ONUMFS"/>
        <w:rPr>
          <w:lang w:val="fr-FR"/>
        </w:rPr>
      </w:pPr>
      <w:r w:rsidRPr="00AC7E46">
        <w:rPr>
          <w:lang w:val="fr-FR"/>
        </w:rPr>
        <w:t>Le Service d</w:t>
      </w:r>
      <w:r w:rsidR="00761289" w:rsidRPr="00AC7E46">
        <w:rPr>
          <w:lang w:val="fr-FR"/>
        </w:rPr>
        <w:t>’</w:t>
      </w:r>
      <w:r w:rsidRPr="00AC7E46">
        <w:rPr>
          <w:lang w:val="fr-FR"/>
        </w:rPr>
        <w:t>enregistrement de Madrid, plus précisément la Division de l</w:t>
      </w:r>
      <w:r w:rsidR="00761289" w:rsidRPr="00AC7E46">
        <w:rPr>
          <w:lang w:val="fr-FR"/>
        </w:rPr>
        <w:t>’</w:t>
      </w:r>
      <w:r w:rsidRPr="00AC7E46">
        <w:rPr>
          <w:lang w:val="fr-FR"/>
        </w:rPr>
        <w:t>information et de la promotion du système de Madrid, est chargé d</w:t>
      </w:r>
      <w:r w:rsidR="00761289" w:rsidRPr="00AC7E46">
        <w:rPr>
          <w:lang w:val="fr-FR"/>
        </w:rPr>
        <w:t>’</w:t>
      </w:r>
      <w:r w:rsidRPr="00AC7E46">
        <w:rPr>
          <w:lang w:val="fr-FR"/>
        </w:rPr>
        <w:t>informer les titulaires de marques des nouveaux membres et des membres existants du système de Madrid et de promouvoir le système auprès d</w:t>
      </w:r>
      <w:r w:rsidR="00761289" w:rsidRPr="00AC7E46">
        <w:rPr>
          <w:lang w:val="fr-FR"/>
        </w:rPr>
        <w:t>’</w:t>
      </w:r>
      <w:r w:rsidRPr="00AC7E46">
        <w:rPr>
          <w:lang w:val="fr-FR"/>
        </w:rPr>
        <w:t>e</w:t>
      </w:r>
      <w:r w:rsidR="00AC7E46" w:rsidRPr="00AC7E46">
        <w:rPr>
          <w:lang w:val="fr-FR"/>
        </w:rPr>
        <w:t>ux.  Af</w:t>
      </w:r>
      <w:r w:rsidRPr="00AC7E46">
        <w:rPr>
          <w:lang w:val="fr-FR"/>
        </w:rPr>
        <w:t>in d</w:t>
      </w:r>
      <w:r w:rsidR="00761289" w:rsidRPr="00AC7E46">
        <w:rPr>
          <w:lang w:val="fr-FR"/>
        </w:rPr>
        <w:t>’</w:t>
      </w:r>
      <w:r w:rsidRPr="00AC7E46">
        <w:rPr>
          <w:lang w:val="fr-FR"/>
        </w:rPr>
        <w:t>accroître l</w:t>
      </w:r>
      <w:r w:rsidR="00761289" w:rsidRPr="00AC7E46">
        <w:rPr>
          <w:lang w:val="fr-FR"/>
        </w:rPr>
        <w:t>’</w:t>
      </w:r>
      <w:r w:rsidRPr="00AC7E46">
        <w:rPr>
          <w:lang w:val="fr-FR"/>
        </w:rPr>
        <w:t>efficacité de ses efforts de marketing et de promotion et d</w:t>
      </w:r>
      <w:r w:rsidR="00761289" w:rsidRPr="00AC7E46">
        <w:rPr>
          <w:lang w:val="fr-FR"/>
        </w:rPr>
        <w:t>’</w:t>
      </w:r>
      <w:r w:rsidRPr="00AC7E46">
        <w:rPr>
          <w:lang w:val="fr-FR"/>
        </w:rPr>
        <w:t>aider à la réalisation des objectifs fixés dans la feuille de route du système de Madrid,</w:t>
      </w:r>
      <w:r w:rsidR="00761289" w:rsidRPr="00AC7E46">
        <w:rPr>
          <w:lang w:val="fr-FR"/>
        </w:rPr>
        <w:t xml:space="preserve"> la DSI</w:t>
      </w:r>
      <w:r w:rsidRPr="00AC7E46">
        <w:rPr>
          <w:lang w:val="fr-FR"/>
        </w:rPr>
        <w:t xml:space="preserve"> a recommandé que le Service d</w:t>
      </w:r>
      <w:r w:rsidR="00761289" w:rsidRPr="00AC7E46">
        <w:rPr>
          <w:lang w:val="fr-FR"/>
        </w:rPr>
        <w:t>’</w:t>
      </w:r>
      <w:r w:rsidRPr="00AC7E46">
        <w:rPr>
          <w:lang w:val="fr-FR"/>
        </w:rPr>
        <w:t>enregistrement de Madrid examine la structure actuelle, l</w:t>
      </w:r>
      <w:r w:rsidR="00761289" w:rsidRPr="00AC7E46">
        <w:rPr>
          <w:lang w:val="fr-FR"/>
        </w:rPr>
        <w:t>’</w:t>
      </w:r>
      <w:r w:rsidRPr="00AC7E46">
        <w:rPr>
          <w:lang w:val="fr-FR"/>
        </w:rPr>
        <w:t>approche et l</w:t>
      </w:r>
      <w:r w:rsidR="00761289" w:rsidRPr="00AC7E46">
        <w:rPr>
          <w:lang w:val="fr-FR"/>
        </w:rPr>
        <w:t>’</w:t>
      </w:r>
      <w:r w:rsidRPr="00AC7E46">
        <w:rPr>
          <w:lang w:val="fr-FR"/>
        </w:rPr>
        <w:t>état de la promotion et du marketing par rapport aux résultats souhaités, notamment en renforçant l</w:t>
      </w:r>
      <w:r w:rsidR="00761289" w:rsidRPr="00AC7E46">
        <w:rPr>
          <w:lang w:val="fr-FR"/>
        </w:rPr>
        <w:t>’</w:t>
      </w:r>
      <w:r w:rsidRPr="00AC7E46">
        <w:rPr>
          <w:lang w:val="fr-FR"/>
        </w:rPr>
        <w:t>utilisation d</w:t>
      </w:r>
      <w:r w:rsidR="00761289" w:rsidRPr="00AC7E46">
        <w:rPr>
          <w:lang w:val="fr-FR"/>
        </w:rPr>
        <w:t>’</w:t>
      </w:r>
      <w:r w:rsidRPr="00AC7E46">
        <w:rPr>
          <w:lang w:val="fr-FR"/>
        </w:rPr>
        <w:t>informations fondées sur des données pour appuyer la prise de décisions et une utilisation efficace des ressources.</w:t>
      </w:r>
    </w:p>
    <w:p w14:paraId="7E42EBAE" w14:textId="287B2471" w:rsidR="000D5281" w:rsidRPr="00AC7E46" w:rsidRDefault="000D5281" w:rsidP="00D31722">
      <w:pPr>
        <w:pStyle w:val="ONUMFS"/>
        <w:rPr>
          <w:lang w:val="fr-FR"/>
        </w:rPr>
      </w:pPr>
      <w:r w:rsidRPr="00AC7E46">
        <w:rPr>
          <w:lang w:val="fr-FR"/>
        </w:rPr>
        <w:t>Conformément à l</w:t>
      </w:r>
      <w:r w:rsidR="00761289" w:rsidRPr="00AC7E46">
        <w:rPr>
          <w:lang w:val="fr-FR"/>
        </w:rPr>
        <w:t>’</w:t>
      </w:r>
      <w:r w:rsidRPr="00AC7E46">
        <w:rPr>
          <w:lang w:val="fr-FR"/>
        </w:rPr>
        <w:t>objectif de la feuille de route actualisée visant à offrir un meilleur service à la clientèle, le Service d</w:t>
      </w:r>
      <w:r w:rsidR="00761289" w:rsidRPr="00AC7E46">
        <w:rPr>
          <w:lang w:val="fr-FR"/>
        </w:rPr>
        <w:t>’</w:t>
      </w:r>
      <w:r w:rsidRPr="00AC7E46">
        <w:rPr>
          <w:lang w:val="fr-FR"/>
        </w:rPr>
        <w:t>enregistrement de Madrid serait avisé d</w:t>
      </w:r>
      <w:r w:rsidR="00761289" w:rsidRPr="00AC7E46">
        <w:rPr>
          <w:lang w:val="fr-FR"/>
        </w:rPr>
        <w:t>’</w:t>
      </w:r>
      <w:r w:rsidRPr="00AC7E46">
        <w:rPr>
          <w:lang w:val="fr-FR"/>
        </w:rPr>
        <w:t>examiner le cadre du service à la clientèle afin de recenser les lacunes et d</w:t>
      </w:r>
      <w:r w:rsidR="00761289" w:rsidRPr="00AC7E46">
        <w:rPr>
          <w:lang w:val="fr-FR"/>
        </w:rPr>
        <w:t>’</w:t>
      </w:r>
      <w:r w:rsidRPr="00AC7E46">
        <w:rPr>
          <w:lang w:val="fr-FR"/>
        </w:rPr>
        <w:t>intégrer les meilleures pratiqu</w:t>
      </w:r>
      <w:r w:rsidR="00AC7E46" w:rsidRPr="00AC7E46">
        <w:rPr>
          <w:lang w:val="fr-FR"/>
        </w:rPr>
        <w:t>es.  Po</w:t>
      </w:r>
      <w:r w:rsidRPr="00AC7E46">
        <w:rPr>
          <w:lang w:val="fr-FR"/>
        </w:rPr>
        <w:t>ur ce faire, le Service d</w:t>
      </w:r>
      <w:r w:rsidR="00761289" w:rsidRPr="00AC7E46">
        <w:rPr>
          <w:lang w:val="fr-FR"/>
        </w:rPr>
        <w:t>’</w:t>
      </w:r>
      <w:r w:rsidRPr="00AC7E46">
        <w:rPr>
          <w:lang w:val="fr-FR"/>
        </w:rPr>
        <w:t>enregistrement de Madrid devrait prendre contact avec l</w:t>
      </w:r>
      <w:r w:rsidR="00761289" w:rsidRPr="00AC7E46">
        <w:rPr>
          <w:lang w:val="fr-FR"/>
        </w:rPr>
        <w:t>’</w:t>
      </w:r>
      <w:r w:rsidRPr="00AC7E46">
        <w:rPr>
          <w:lang w:val="fr-FR"/>
        </w:rPr>
        <w:t>équipe du projet Gestion de la relation avec la clientèle pour inclure une fonction d</w:t>
      </w:r>
      <w:r w:rsidR="00761289" w:rsidRPr="00AC7E46">
        <w:rPr>
          <w:lang w:val="fr-FR"/>
        </w:rPr>
        <w:t>’</w:t>
      </w:r>
      <w:r w:rsidRPr="00AC7E46">
        <w:rPr>
          <w:lang w:val="fr-FR"/>
        </w:rPr>
        <w:t>enregistrement des appels dans les spécifications du nouveau système de gestion de la relation avec la clientèle.</w:t>
      </w:r>
    </w:p>
    <w:p w14:paraId="6858678C" w14:textId="045B476D" w:rsidR="000D5281" w:rsidRPr="00AC7E46" w:rsidRDefault="000D5281" w:rsidP="00D31722">
      <w:pPr>
        <w:pStyle w:val="ONUMFS"/>
        <w:rPr>
          <w:lang w:val="fr-FR"/>
        </w:rPr>
      </w:pPr>
      <w:r w:rsidRPr="00AC7E46">
        <w:rPr>
          <w:rFonts w:eastAsia="Arial"/>
          <w:szCs w:val="22"/>
          <w:lang w:val="fr-FR" w:eastAsia="en-US"/>
        </w:rPr>
        <w:t>Le Service d</w:t>
      </w:r>
      <w:r w:rsidR="00761289" w:rsidRPr="00AC7E46">
        <w:rPr>
          <w:rFonts w:eastAsia="Arial"/>
          <w:szCs w:val="22"/>
          <w:lang w:val="fr-FR" w:eastAsia="en-US"/>
        </w:rPr>
        <w:t>’</w:t>
      </w:r>
      <w:r w:rsidRPr="00AC7E46">
        <w:rPr>
          <w:rFonts w:eastAsia="Arial"/>
          <w:szCs w:val="22"/>
          <w:lang w:val="fr-FR" w:eastAsia="en-US"/>
        </w:rPr>
        <w:t>enregistrement de Madrid devrait, en coordination avec</w:t>
      </w:r>
      <w:r w:rsidR="00761289" w:rsidRPr="00AC7E46">
        <w:rPr>
          <w:rFonts w:eastAsia="Arial"/>
          <w:szCs w:val="22"/>
          <w:lang w:val="fr-FR" w:eastAsia="en-US"/>
        </w:rPr>
        <w:t xml:space="preserve"> le DGR</w:t>
      </w:r>
      <w:r w:rsidRPr="00AC7E46">
        <w:rPr>
          <w:rFonts w:eastAsia="Arial"/>
          <w:szCs w:val="22"/>
          <w:lang w:val="fr-FR" w:eastAsia="en-US"/>
        </w:rPr>
        <w:t>H, examiner et réviser les descriptions de poste du personnel en utilisant l</w:t>
      </w:r>
      <w:r w:rsidR="00761289" w:rsidRPr="00AC7E46">
        <w:rPr>
          <w:rFonts w:eastAsia="Arial"/>
          <w:szCs w:val="22"/>
          <w:lang w:val="fr-FR" w:eastAsia="en-US"/>
        </w:rPr>
        <w:t>’</w:t>
      </w:r>
      <w:r w:rsidRPr="00AC7E46">
        <w:rPr>
          <w:rFonts w:eastAsia="Arial"/>
          <w:szCs w:val="22"/>
          <w:lang w:val="fr-FR" w:eastAsia="en-US"/>
        </w:rPr>
        <w:t>outil électronique interne afin d</w:t>
      </w:r>
      <w:r w:rsidR="00761289" w:rsidRPr="00AC7E46">
        <w:rPr>
          <w:rFonts w:eastAsia="Arial"/>
          <w:szCs w:val="22"/>
          <w:lang w:val="fr-FR" w:eastAsia="en-US"/>
        </w:rPr>
        <w:t>’</w:t>
      </w:r>
      <w:r w:rsidRPr="00AC7E46">
        <w:rPr>
          <w:rFonts w:eastAsia="Arial"/>
          <w:szCs w:val="22"/>
          <w:lang w:val="fr-FR" w:eastAsia="en-US"/>
        </w:rPr>
        <w:t>intégrer les devoirs et les responsabilités du service à la clientèle et d</w:t>
      </w:r>
      <w:r w:rsidR="00761289" w:rsidRPr="00AC7E46">
        <w:rPr>
          <w:rFonts w:eastAsia="Arial"/>
          <w:szCs w:val="22"/>
          <w:lang w:val="fr-FR" w:eastAsia="en-US"/>
        </w:rPr>
        <w:t>’</w:t>
      </w:r>
      <w:r w:rsidRPr="00AC7E46">
        <w:rPr>
          <w:rFonts w:eastAsia="Arial"/>
          <w:szCs w:val="22"/>
          <w:lang w:val="fr-FR" w:eastAsia="en-US"/>
        </w:rPr>
        <w:t>autres compétences liées au poste, le cas échéant.</w:t>
      </w:r>
    </w:p>
    <w:p w14:paraId="22895115" w14:textId="42E6545F" w:rsidR="000D5281" w:rsidRPr="00AC7E46" w:rsidRDefault="000D5281" w:rsidP="00D31722">
      <w:pPr>
        <w:pStyle w:val="ONUMFS"/>
        <w:rPr>
          <w:lang w:val="fr-FR"/>
        </w:rPr>
      </w:pPr>
      <w:r w:rsidRPr="00AC7E46">
        <w:rPr>
          <w:lang w:val="fr-FR"/>
        </w:rPr>
        <w:t>Le profil démographique du Service d</w:t>
      </w:r>
      <w:r w:rsidR="00761289" w:rsidRPr="00AC7E46">
        <w:rPr>
          <w:lang w:val="fr-FR"/>
        </w:rPr>
        <w:t>’</w:t>
      </w:r>
      <w:r w:rsidRPr="00AC7E46">
        <w:rPr>
          <w:lang w:val="fr-FR"/>
        </w:rPr>
        <w:t>enregistrement de Madrid a mis en évidence une répartition par âge biaisée (négativement) à gauche, ce qui indique que plusieurs fonctionnaires se situent à l</w:t>
      </w:r>
      <w:r w:rsidR="00761289" w:rsidRPr="00AC7E46">
        <w:rPr>
          <w:lang w:val="fr-FR"/>
        </w:rPr>
        <w:t>’</w:t>
      </w:r>
      <w:r w:rsidRPr="00AC7E46">
        <w:rPr>
          <w:lang w:val="fr-FR"/>
        </w:rPr>
        <w:t>extrémité supérieure de la tranche d</w:t>
      </w:r>
      <w:r w:rsidR="00761289" w:rsidRPr="00AC7E46">
        <w:rPr>
          <w:lang w:val="fr-FR"/>
        </w:rPr>
        <w:t>’</w:t>
      </w:r>
      <w:r w:rsidRPr="00AC7E46">
        <w:rPr>
          <w:lang w:val="fr-FR"/>
        </w:rPr>
        <w:t>â</w:t>
      </w:r>
      <w:r w:rsidR="00AC7E46" w:rsidRPr="00AC7E46">
        <w:rPr>
          <w:lang w:val="fr-FR"/>
        </w:rPr>
        <w:t>ge.  Il</w:t>
      </w:r>
      <w:r w:rsidRPr="00AC7E46">
        <w:rPr>
          <w:lang w:val="fr-FR"/>
        </w:rPr>
        <w:t xml:space="preserve"> serait utile que le Service d</w:t>
      </w:r>
      <w:r w:rsidR="00761289" w:rsidRPr="00AC7E46">
        <w:rPr>
          <w:lang w:val="fr-FR"/>
        </w:rPr>
        <w:t>’</w:t>
      </w:r>
      <w:r w:rsidRPr="00AC7E46">
        <w:rPr>
          <w:lang w:val="fr-FR"/>
        </w:rPr>
        <w:t>enregistrement de Madrid exécute en temps opportun l</w:t>
      </w:r>
      <w:r w:rsidR="00761289" w:rsidRPr="00AC7E46">
        <w:rPr>
          <w:lang w:val="fr-FR"/>
        </w:rPr>
        <w:t>’</w:t>
      </w:r>
      <w:r w:rsidRPr="00AC7E46">
        <w:rPr>
          <w:lang w:val="fr-FR"/>
        </w:rPr>
        <w:t>action proposée d</w:t>
      </w:r>
      <w:r w:rsidR="00761289" w:rsidRPr="00AC7E46">
        <w:rPr>
          <w:lang w:val="fr-FR"/>
        </w:rPr>
        <w:t>’</w:t>
      </w:r>
      <w:r w:rsidRPr="00AC7E46">
        <w:rPr>
          <w:lang w:val="fr-FR"/>
        </w:rPr>
        <w:t>établir un plan d</w:t>
      </w:r>
      <w:r w:rsidR="00761289" w:rsidRPr="00AC7E46">
        <w:rPr>
          <w:lang w:val="fr-FR"/>
        </w:rPr>
        <w:t>’</w:t>
      </w:r>
      <w:r w:rsidRPr="00AC7E46">
        <w:rPr>
          <w:lang w:val="fr-FR"/>
        </w:rPr>
        <w:t>organisation de la relève qui soit exhaustif et coordonné.</w:t>
      </w:r>
    </w:p>
    <w:p w14:paraId="08F869B3" w14:textId="13A95978" w:rsidR="000D5281" w:rsidRPr="00AC7E46" w:rsidRDefault="000D5281" w:rsidP="00D31722">
      <w:pPr>
        <w:pStyle w:val="ONUMFS"/>
        <w:rPr>
          <w:lang w:val="fr-FR"/>
        </w:rPr>
      </w:pPr>
      <w:r w:rsidRPr="00AC7E46">
        <w:rPr>
          <w:lang w:val="fr-FR"/>
        </w:rPr>
        <w:t>La DSI a constaté que 32</w:t>
      </w:r>
      <w:r w:rsidR="006F1D4B" w:rsidRPr="00AC7E46">
        <w:rPr>
          <w:lang w:val="fr-FR"/>
        </w:rPr>
        <w:t>%</w:t>
      </w:r>
      <w:r w:rsidRPr="00AC7E46">
        <w:rPr>
          <w:lang w:val="fr-FR"/>
        </w:rPr>
        <w:t xml:space="preserve"> (44 personnes) des effectifs du Service d</w:t>
      </w:r>
      <w:r w:rsidR="00761289" w:rsidRPr="00AC7E46">
        <w:rPr>
          <w:lang w:val="fr-FR"/>
        </w:rPr>
        <w:t>’</w:t>
      </w:r>
      <w:r w:rsidRPr="00AC7E46">
        <w:rPr>
          <w:lang w:val="fr-FR"/>
        </w:rPr>
        <w:t>enregistrement de Madrid n</w:t>
      </w:r>
      <w:r w:rsidR="00761289" w:rsidRPr="00AC7E46">
        <w:rPr>
          <w:lang w:val="fr-FR"/>
        </w:rPr>
        <w:t>’</w:t>
      </w:r>
      <w:r w:rsidRPr="00AC7E46">
        <w:rPr>
          <w:lang w:val="fr-FR"/>
        </w:rPr>
        <w:t>avaient pas la qualité de fonctionnaires et, parmi eux, 68</w:t>
      </w:r>
      <w:r w:rsidR="006F1D4B" w:rsidRPr="00AC7E46">
        <w:rPr>
          <w:lang w:val="fr-FR"/>
        </w:rPr>
        <w:t>%</w:t>
      </w:r>
      <w:r w:rsidRPr="00AC7E46">
        <w:rPr>
          <w:lang w:val="fr-FR"/>
        </w:rPr>
        <w:t xml:space="preserve"> (30 personnes) étaient des intérimair</w:t>
      </w:r>
      <w:r w:rsidR="00AC7E46" w:rsidRPr="00AC7E46">
        <w:rPr>
          <w:lang w:val="fr-FR"/>
        </w:rPr>
        <w:t>es.  La</w:t>
      </w:r>
      <w:r w:rsidR="00761289" w:rsidRPr="00AC7E46">
        <w:rPr>
          <w:lang w:val="fr-FR"/>
        </w:rPr>
        <w:t> DSI</w:t>
      </w:r>
      <w:r w:rsidRPr="00AC7E46">
        <w:rPr>
          <w:lang w:val="fr-FR"/>
        </w:rPr>
        <w:t xml:space="preserve"> a formulé une </w:t>
      </w:r>
      <w:r w:rsidRPr="00AC7E46">
        <w:rPr>
          <w:b/>
          <w:bCs/>
          <w:lang w:val="fr-FR"/>
        </w:rPr>
        <w:t>recommandation hautement prioritaire</w:t>
      </w:r>
      <w:r w:rsidRPr="00AC7E46">
        <w:rPr>
          <w:lang w:val="fr-FR"/>
        </w:rPr>
        <w:t xml:space="preserve"> afin que le Service d</w:t>
      </w:r>
      <w:r w:rsidR="00761289" w:rsidRPr="00AC7E46">
        <w:rPr>
          <w:lang w:val="fr-FR"/>
        </w:rPr>
        <w:t>’</w:t>
      </w:r>
      <w:r w:rsidRPr="00AC7E46">
        <w:rPr>
          <w:lang w:val="fr-FR"/>
        </w:rPr>
        <w:t>enregistrement de Madrid, en coordination avec la Division des achats et des voyages et d</w:t>
      </w:r>
      <w:r w:rsidR="00761289" w:rsidRPr="00AC7E46">
        <w:rPr>
          <w:lang w:val="fr-FR"/>
        </w:rPr>
        <w:t>’</w:t>
      </w:r>
      <w:r w:rsidRPr="00AC7E46">
        <w:rPr>
          <w:lang w:val="fr-FR"/>
        </w:rPr>
        <w:t>autres parties prenantes concernées, examine le mandat des intérimaires et les rôles et responsabilités réels qu</w:t>
      </w:r>
      <w:r w:rsidR="00761289" w:rsidRPr="00AC7E46">
        <w:rPr>
          <w:lang w:val="fr-FR"/>
        </w:rPr>
        <w:t>’</w:t>
      </w:r>
      <w:r w:rsidRPr="00AC7E46">
        <w:rPr>
          <w:lang w:val="fr-FR"/>
        </w:rPr>
        <w:t>ils assument en vue de déterminer s</w:t>
      </w:r>
      <w:r w:rsidR="00761289" w:rsidRPr="00AC7E46">
        <w:rPr>
          <w:lang w:val="fr-FR"/>
        </w:rPr>
        <w:t>’</w:t>
      </w:r>
      <w:r w:rsidRPr="00AC7E46">
        <w:rPr>
          <w:lang w:val="fr-FR"/>
        </w:rPr>
        <w:t>ils correspondent au profil d</w:t>
      </w:r>
      <w:r w:rsidR="00761289" w:rsidRPr="00AC7E46">
        <w:rPr>
          <w:lang w:val="fr-FR"/>
        </w:rPr>
        <w:t>’</w:t>
      </w:r>
      <w:r w:rsidRPr="00AC7E46">
        <w:rPr>
          <w:lang w:val="fr-FR"/>
        </w:rPr>
        <w:t>appui ou au niveau de classement approprié.</w:t>
      </w:r>
    </w:p>
    <w:p w14:paraId="3CFBAE0D" w14:textId="7E15E79F" w:rsidR="000D5281" w:rsidRPr="00AC7E46" w:rsidRDefault="000D5281" w:rsidP="00EB4D8F">
      <w:pPr>
        <w:pStyle w:val="ONUMFS"/>
        <w:keepLines/>
        <w:rPr>
          <w:lang w:val="fr-FR"/>
        </w:rPr>
      </w:pPr>
      <w:r w:rsidRPr="00AC7E46">
        <w:rPr>
          <w:rFonts w:eastAsia="Arial"/>
          <w:szCs w:val="22"/>
          <w:lang w:val="fr-FR" w:eastAsia="en-US"/>
        </w:rPr>
        <w:lastRenderedPageBreak/>
        <w:t>Le Service d</w:t>
      </w:r>
      <w:r w:rsidR="00761289" w:rsidRPr="00AC7E46">
        <w:rPr>
          <w:rFonts w:eastAsia="Arial"/>
          <w:szCs w:val="22"/>
          <w:lang w:val="fr-FR" w:eastAsia="en-US"/>
        </w:rPr>
        <w:t>’</w:t>
      </w:r>
      <w:r w:rsidRPr="00AC7E46">
        <w:rPr>
          <w:rFonts w:eastAsia="Arial"/>
          <w:szCs w:val="22"/>
          <w:lang w:val="fr-FR" w:eastAsia="en-US"/>
        </w:rPr>
        <w:t>enregistrement de Madrid, en collaboration avec la Division des statistiques et de l</w:t>
      </w:r>
      <w:r w:rsidR="00761289" w:rsidRPr="00AC7E46">
        <w:rPr>
          <w:rFonts w:eastAsia="Arial"/>
          <w:szCs w:val="22"/>
          <w:lang w:val="fr-FR" w:eastAsia="en-US"/>
        </w:rPr>
        <w:t>’</w:t>
      </w:r>
      <w:r w:rsidRPr="00AC7E46">
        <w:rPr>
          <w:rFonts w:eastAsia="Arial"/>
          <w:szCs w:val="22"/>
          <w:lang w:val="fr-FR" w:eastAsia="en-US"/>
        </w:rPr>
        <w:t>analyse des données, et la Division de l</w:t>
      </w:r>
      <w:r w:rsidR="00761289" w:rsidRPr="00AC7E46">
        <w:rPr>
          <w:rFonts w:eastAsia="Arial"/>
          <w:szCs w:val="22"/>
          <w:lang w:val="fr-FR" w:eastAsia="en-US"/>
        </w:rPr>
        <w:t>’</w:t>
      </w:r>
      <w:r w:rsidRPr="00AC7E46">
        <w:rPr>
          <w:rFonts w:eastAsia="Arial"/>
          <w:szCs w:val="22"/>
          <w:lang w:val="fr-FR" w:eastAsia="en-US"/>
        </w:rPr>
        <w:t>exécution des programmes et du budget devraient réévaluer le calcul et les hypothèses concernant le coût unitaire des enregistrements internationaux nouveaux ou renouvelés et désigner un agent de liaison chargé de suivre l</w:t>
      </w:r>
      <w:r w:rsidR="00761289" w:rsidRPr="00AC7E46">
        <w:rPr>
          <w:rFonts w:eastAsia="Arial"/>
          <w:szCs w:val="22"/>
          <w:lang w:val="fr-FR" w:eastAsia="en-US"/>
        </w:rPr>
        <w:t>’</w:t>
      </w:r>
      <w:r w:rsidRPr="00AC7E46">
        <w:rPr>
          <w:rFonts w:eastAsia="Arial"/>
          <w:szCs w:val="22"/>
          <w:lang w:val="fr-FR" w:eastAsia="en-US"/>
        </w:rPr>
        <w:t>évolution des éléments utilisés dans le calcul des coûts unitaires.</w:t>
      </w:r>
    </w:p>
    <w:p w14:paraId="1E510124" w14:textId="4FFAEBA7" w:rsidR="000D5281" w:rsidRPr="00AC7E46" w:rsidRDefault="000D5281" w:rsidP="00D31722">
      <w:pPr>
        <w:pStyle w:val="ONUMFS"/>
        <w:rPr>
          <w:lang w:val="fr-FR"/>
        </w:rPr>
      </w:pPr>
      <w:r w:rsidRPr="00AC7E46">
        <w:rPr>
          <w:lang w:val="fr-FR"/>
        </w:rPr>
        <w:t>Le projet de nouvelle plateforme informatique du système de Madrid, qui relève du Plan</w:t>
      </w:r>
      <w:r w:rsidR="001908D2">
        <w:rPr>
          <w:lang w:val="fr-FR"/>
        </w:rPr>
        <w:noBreakHyphen/>
      </w:r>
      <w:r w:rsidRPr="00AC7E46">
        <w:rPr>
          <w:lang w:val="fr-FR"/>
        </w:rPr>
        <w:t>cadre d</w:t>
      </w:r>
      <w:r w:rsidR="00761289" w:rsidRPr="00AC7E46">
        <w:rPr>
          <w:lang w:val="fr-FR"/>
        </w:rPr>
        <w:t>’</w:t>
      </w:r>
      <w:r w:rsidRPr="00AC7E46">
        <w:rPr>
          <w:lang w:val="fr-FR"/>
        </w:rPr>
        <w:t>équipement doté d</w:t>
      </w:r>
      <w:r w:rsidR="00761289" w:rsidRPr="00AC7E46">
        <w:rPr>
          <w:lang w:val="fr-FR"/>
        </w:rPr>
        <w:t>’</w:t>
      </w:r>
      <w:r w:rsidRPr="00AC7E46">
        <w:rPr>
          <w:lang w:val="fr-FR"/>
        </w:rPr>
        <w:t>un budget approuvé de six</w:t>
      </w:r>
      <w:r w:rsidR="006F1D4B" w:rsidRPr="00AC7E46">
        <w:rPr>
          <w:lang w:val="fr-FR"/>
        </w:rPr>
        <w:t> </w:t>
      </w:r>
      <w:r w:rsidRPr="00AC7E46">
        <w:rPr>
          <w:lang w:val="fr-FR"/>
        </w:rPr>
        <w:t>millions de francs suisses, est actuellement mis en œuv</w:t>
      </w:r>
      <w:r w:rsidR="00AC7E46" w:rsidRPr="00AC7E46">
        <w:rPr>
          <w:lang w:val="fr-FR"/>
        </w:rPr>
        <w:t>re.  La</w:t>
      </w:r>
      <w:r w:rsidR="00761289" w:rsidRPr="00AC7E46">
        <w:rPr>
          <w:lang w:val="fr-FR"/>
        </w:rPr>
        <w:t> DSI</w:t>
      </w:r>
      <w:r w:rsidRPr="00AC7E46">
        <w:rPr>
          <w:lang w:val="fr-FR"/>
        </w:rPr>
        <w:t xml:space="preserve"> a noté que la feuille de route du projet, qui couvre l</w:t>
      </w:r>
      <w:r w:rsidR="00761289" w:rsidRPr="00AC7E46">
        <w:rPr>
          <w:lang w:val="fr-FR"/>
        </w:rPr>
        <w:t>’</w:t>
      </w:r>
      <w:r w:rsidRPr="00AC7E46">
        <w:rPr>
          <w:lang w:val="fr-FR"/>
        </w:rPr>
        <w:t>ensemble du cycle de projet, n</w:t>
      </w:r>
      <w:r w:rsidR="00761289" w:rsidRPr="00AC7E46">
        <w:rPr>
          <w:lang w:val="fr-FR"/>
        </w:rPr>
        <w:t>’</w:t>
      </w:r>
      <w:r w:rsidRPr="00AC7E46">
        <w:rPr>
          <w:lang w:val="fr-FR"/>
        </w:rPr>
        <w:t>était pas termin</w:t>
      </w:r>
      <w:r w:rsidR="00AC7E46" w:rsidRPr="00AC7E46">
        <w:rPr>
          <w:lang w:val="fr-FR"/>
        </w:rPr>
        <w:t>ée.  La</w:t>
      </w:r>
      <w:r w:rsidRPr="00AC7E46">
        <w:rPr>
          <w:lang w:val="fr-FR"/>
        </w:rPr>
        <w:t xml:space="preserve"> direction du Service d</w:t>
      </w:r>
      <w:r w:rsidR="00761289" w:rsidRPr="00AC7E46">
        <w:rPr>
          <w:lang w:val="fr-FR"/>
        </w:rPr>
        <w:t>’</w:t>
      </w:r>
      <w:r w:rsidRPr="00AC7E46">
        <w:rPr>
          <w:lang w:val="fr-FR"/>
        </w:rPr>
        <w:t>enregistrement de Madrid a prévu d</w:t>
      </w:r>
      <w:r w:rsidR="00761289" w:rsidRPr="00AC7E46">
        <w:rPr>
          <w:lang w:val="fr-FR"/>
        </w:rPr>
        <w:t>’</w:t>
      </w:r>
      <w:r w:rsidRPr="00AC7E46">
        <w:rPr>
          <w:lang w:val="fr-FR"/>
        </w:rPr>
        <w:t>achever la planification pour fixer la date butoir du projet global d</w:t>
      </w:r>
      <w:r w:rsidR="00761289" w:rsidRPr="00AC7E46">
        <w:rPr>
          <w:lang w:val="fr-FR"/>
        </w:rPr>
        <w:t>’</w:t>
      </w:r>
      <w:r w:rsidRPr="00AC7E46">
        <w:rPr>
          <w:lang w:val="fr-FR"/>
        </w:rPr>
        <w:t>ici à mars 2024.  Afin de consolider l</w:t>
      </w:r>
      <w:r w:rsidR="00761289" w:rsidRPr="00AC7E46">
        <w:rPr>
          <w:lang w:val="fr-FR"/>
        </w:rPr>
        <w:t>’</w:t>
      </w:r>
      <w:r w:rsidRPr="00AC7E46">
        <w:rPr>
          <w:lang w:val="fr-FR"/>
        </w:rPr>
        <w:t>avancement de la mise en œuvre et de s</w:t>
      </w:r>
      <w:r w:rsidR="00761289" w:rsidRPr="00AC7E46">
        <w:rPr>
          <w:lang w:val="fr-FR"/>
        </w:rPr>
        <w:t>’</w:t>
      </w:r>
      <w:r w:rsidRPr="00AC7E46">
        <w:rPr>
          <w:lang w:val="fr-FR"/>
        </w:rPr>
        <w:t>appuyer sur les progrès,</w:t>
      </w:r>
      <w:r w:rsidR="00761289" w:rsidRPr="00AC7E46">
        <w:rPr>
          <w:lang w:val="fr-FR"/>
        </w:rPr>
        <w:t xml:space="preserve"> la DSI</w:t>
      </w:r>
      <w:r w:rsidRPr="00AC7E46">
        <w:rPr>
          <w:lang w:val="fr-FR"/>
        </w:rPr>
        <w:t xml:space="preserve"> a formulé une </w:t>
      </w:r>
      <w:r w:rsidRPr="00AC7E46">
        <w:rPr>
          <w:b/>
          <w:bCs/>
          <w:lang w:val="fr-FR"/>
        </w:rPr>
        <w:t>recommandation hautement prioritaire</w:t>
      </w:r>
      <w:r w:rsidRPr="00AC7E46">
        <w:rPr>
          <w:lang w:val="fr-FR"/>
        </w:rPr>
        <w:t xml:space="preserve"> pour que le Service d</w:t>
      </w:r>
      <w:r w:rsidR="00761289" w:rsidRPr="00AC7E46">
        <w:rPr>
          <w:lang w:val="fr-FR"/>
        </w:rPr>
        <w:t>’</w:t>
      </w:r>
      <w:r w:rsidRPr="00AC7E46">
        <w:rPr>
          <w:lang w:val="fr-FR"/>
        </w:rPr>
        <w:t>enregistrement élabore un mécanisme de gestion des travaux dans le cadre du projet, ainsi que des ressources, en facilitant le transfert permanent des responsabilités de maintenance, d</w:t>
      </w:r>
      <w:r w:rsidR="00761289" w:rsidRPr="00AC7E46">
        <w:rPr>
          <w:lang w:val="fr-FR"/>
        </w:rPr>
        <w:t>’</w:t>
      </w:r>
      <w:r w:rsidRPr="00AC7E46">
        <w:rPr>
          <w:lang w:val="fr-FR"/>
        </w:rPr>
        <w:t>appui et d</w:t>
      </w:r>
      <w:r w:rsidR="00761289" w:rsidRPr="00AC7E46">
        <w:rPr>
          <w:lang w:val="fr-FR"/>
        </w:rPr>
        <w:t>’</w:t>
      </w:r>
      <w:r w:rsidRPr="00AC7E46">
        <w:rPr>
          <w:lang w:val="fr-FR"/>
        </w:rPr>
        <w:t>amélioration continue des ressources externes vers des fonctionnaires.</w:t>
      </w:r>
    </w:p>
    <w:p w14:paraId="24A58272" w14:textId="79C09795" w:rsidR="000D5281" w:rsidRPr="00AC7E46" w:rsidRDefault="000D5281" w:rsidP="00D31722">
      <w:pPr>
        <w:pStyle w:val="ONUMFS"/>
        <w:rPr>
          <w:lang w:val="fr-FR"/>
        </w:rPr>
      </w:pPr>
      <w:r w:rsidRPr="00AC7E46">
        <w:rPr>
          <w:lang w:val="fr-FR"/>
        </w:rPr>
        <w:t>La DSI a formulé huit</w:t>
      </w:r>
      <w:r w:rsidR="006F1D4B" w:rsidRPr="00AC7E46">
        <w:rPr>
          <w:lang w:val="fr-FR"/>
        </w:rPr>
        <w:t> </w:t>
      </w:r>
      <w:r w:rsidRPr="00AC7E46">
        <w:rPr>
          <w:lang w:val="fr-FR"/>
        </w:rPr>
        <w:t>recommandations, dont deux sont prioritaires, comme indiqué ci</w:t>
      </w:r>
      <w:r w:rsidR="001908D2">
        <w:rPr>
          <w:lang w:val="fr-FR"/>
        </w:rPr>
        <w:noBreakHyphen/>
      </w:r>
      <w:r w:rsidRPr="00AC7E46">
        <w:rPr>
          <w:lang w:val="fr-FR"/>
        </w:rPr>
        <w:t>dess</w:t>
      </w:r>
      <w:r w:rsidR="00AC7E46" w:rsidRPr="00AC7E46">
        <w:rPr>
          <w:lang w:val="fr-FR"/>
        </w:rPr>
        <w:t>us.  Au</w:t>
      </w:r>
      <w:r w:rsidRPr="00AC7E46">
        <w:rPr>
          <w:lang w:val="fr-FR"/>
        </w:rPr>
        <w:t xml:space="preserve"> 31 décembre 2023, la direction avait pris des mesures pour mettre en œuvre une recommandation, les sept</w:t>
      </w:r>
      <w:r w:rsidR="006F1D4B" w:rsidRPr="00AC7E46">
        <w:rPr>
          <w:lang w:val="fr-FR"/>
        </w:rPr>
        <w:t> </w:t>
      </w:r>
      <w:r w:rsidRPr="00AC7E46">
        <w:rPr>
          <w:lang w:val="fr-FR"/>
        </w:rPr>
        <w:t xml:space="preserve">autres devant être mises en œuvre </w:t>
      </w:r>
      <w:r w:rsidR="00761289" w:rsidRPr="00AC7E46">
        <w:rPr>
          <w:lang w:val="fr-FR"/>
        </w:rPr>
        <w:t>en 2024</w:t>
      </w:r>
      <w:r w:rsidRPr="00AC7E46">
        <w:rPr>
          <w:lang w:val="fr-FR"/>
        </w:rPr>
        <w:t>.</w:t>
      </w:r>
    </w:p>
    <w:p w14:paraId="7C8A0403" w14:textId="7CFE7150" w:rsidR="000D5281" w:rsidRPr="00AC7E46" w:rsidRDefault="00F917C1" w:rsidP="00F4635E">
      <w:pPr>
        <w:pStyle w:val="Heading2"/>
      </w:pPr>
      <w:r>
        <w:t>A</w:t>
      </w:r>
      <w:r w:rsidRPr="00AC7E46">
        <w:t>udit de la mise en œuvre des normes et de la politique de l’OMPI en matière de confidentialité des données</w:t>
      </w:r>
    </w:p>
    <w:p w14:paraId="55C8D48F" w14:textId="610C9413" w:rsidR="000D5281" w:rsidRPr="00AC7E46" w:rsidRDefault="000D5281" w:rsidP="00D31722">
      <w:pPr>
        <w:pStyle w:val="ONUMFS"/>
        <w:rPr>
          <w:lang w:val="fr-FR"/>
        </w:rPr>
      </w:pPr>
      <w:r w:rsidRPr="00AC7E46">
        <w:rPr>
          <w:lang w:val="fr-FR"/>
        </w:rPr>
        <w:t>L</w:t>
      </w:r>
      <w:r w:rsidR="00761289" w:rsidRPr="00AC7E46">
        <w:rPr>
          <w:lang w:val="fr-FR"/>
        </w:rPr>
        <w:t>’</w:t>
      </w:r>
      <w:r w:rsidRPr="00AC7E46">
        <w:rPr>
          <w:lang w:val="fr-FR"/>
        </w:rPr>
        <w:t>audit poursuivait les objectifs suivants</w:t>
      </w:r>
      <w:r w:rsidR="00761289" w:rsidRPr="00AC7E46">
        <w:rPr>
          <w:lang w:val="fr-FR"/>
        </w:rPr>
        <w:t> :</w:t>
      </w:r>
      <w:r w:rsidRPr="00AC7E46">
        <w:rPr>
          <w:lang w:val="fr-FR"/>
        </w:rPr>
        <w:t xml:space="preserve"> i) évaluer l</w:t>
      </w:r>
      <w:r w:rsidR="00761289" w:rsidRPr="00AC7E46">
        <w:rPr>
          <w:lang w:val="fr-FR"/>
        </w:rPr>
        <w:t>’</w:t>
      </w:r>
      <w:r w:rsidRPr="00AC7E46">
        <w:rPr>
          <w:lang w:val="fr-FR"/>
        </w:rPr>
        <w:t xml:space="preserve">adéquation de la structure de gouvernance, des effectifs et des processus, ainsi que les systèmes relatifs à la protection ou à la confidentialité des données; </w:t>
      </w:r>
      <w:r w:rsidR="006F1D4B" w:rsidRPr="00AC7E46">
        <w:rPr>
          <w:lang w:val="fr-FR"/>
        </w:rPr>
        <w:t xml:space="preserve"> </w:t>
      </w:r>
      <w:r w:rsidRPr="00AC7E46">
        <w:rPr>
          <w:lang w:val="fr-FR"/>
        </w:rPr>
        <w:t>ii) évaluer la conception, l</w:t>
      </w:r>
      <w:r w:rsidR="00761289" w:rsidRPr="00AC7E46">
        <w:rPr>
          <w:lang w:val="fr-FR"/>
        </w:rPr>
        <w:t>’</w:t>
      </w:r>
      <w:r w:rsidRPr="00AC7E46">
        <w:rPr>
          <w:lang w:val="fr-FR"/>
        </w:rPr>
        <w:t>efficacité et l</w:t>
      </w:r>
      <w:r w:rsidR="00761289" w:rsidRPr="00AC7E46">
        <w:rPr>
          <w:lang w:val="fr-FR"/>
        </w:rPr>
        <w:t>’</w:t>
      </w:r>
      <w:r w:rsidRPr="00AC7E46">
        <w:rPr>
          <w:lang w:val="fr-FR"/>
        </w:rPr>
        <w:t>adéquation des normes et de la politique de l</w:t>
      </w:r>
      <w:r w:rsidR="00761289" w:rsidRPr="00AC7E46">
        <w:rPr>
          <w:lang w:val="fr-FR"/>
        </w:rPr>
        <w:t>’</w:t>
      </w:r>
      <w:r w:rsidRPr="00AC7E46">
        <w:rPr>
          <w:lang w:val="fr-FR"/>
        </w:rPr>
        <w:t xml:space="preserve">OMPI en matière de confidentialité des données par rapport aux orientations et aux bonnes pratiques pertinentes; </w:t>
      </w:r>
      <w:r w:rsidR="006F1D4B" w:rsidRPr="00AC7E46">
        <w:rPr>
          <w:lang w:val="fr-FR"/>
        </w:rPr>
        <w:t xml:space="preserve"> </w:t>
      </w:r>
      <w:r w:rsidRPr="00AC7E46">
        <w:rPr>
          <w:lang w:val="fr-FR"/>
        </w:rPr>
        <w:t>iii) vérifier la pertinence et l</w:t>
      </w:r>
      <w:r w:rsidR="00761289" w:rsidRPr="00AC7E46">
        <w:rPr>
          <w:lang w:val="fr-FR"/>
        </w:rPr>
        <w:t>’</w:t>
      </w:r>
      <w:r w:rsidRPr="00AC7E46">
        <w:rPr>
          <w:lang w:val="fr-FR"/>
        </w:rPr>
        <w:t>alignement du programme de protection ou de confidentialité des données par rapport aux risques principaux, à la politique et aux besoins de l</w:t>
      </w:r>
      <w:r w:rsidR="00761289" w:rsidRPr="00AC7E46">
        <w:rPr>
          <w:lang w:val="fr-FR"/>
        </w:rPr>
        <w:t>’</w:t>
      </w:r>
      <w:r w:rsidRPr="00AC7E46">
        <w:rPr>
          <w:lang w:val="fr-FR"/>
        </w:rPr>
        <w:t xml:space="preserve">OMPI; </w:t>
      </w:r>
      <w:r w:rsidR="006F1D4B" w:rsidRPr="00AC7E46">
        <w:rPr>
          <w:lang w:val="fr-FR"/>
        </w:rPr>
        <w:t xml:space="preserve"> </w:t>
      </w:r>
      <w:r w:rsidRPr="00AC7E46">
        <w:rPr>
          <w:lang w:val="fr-FR"/>
        </w:rPr>
        <w:t>et iv) examiner le plan et la feuille de route pour la mise en œuvre du programme de protection ou de confidentialité des données et évaluer l</w:t>
      </w:r>
      <w:r w:rsidR="00761289" w:rsidRPr="00AC7E46">
        <w:rPr>
          <w:lang w:val="fr-FR"/>
        </w:rPr>
        <w:t>’</w:t>
      </w:r>
      <w:r w:rsidRPr="00AC7E46">
        <w:rPr>
          <w:lang w:val="fr-FR"/>
        </w:rPr>
        <w:t>état de la mise en œuvre.</w:t>
      </w:r>
    </w:p>
    <w:p w14:paraId="148F5A54" w14:textId="22B7B022" w:rsidR="000D5281" w:rsidRPr="00AC7E46" w:rsidRDefault="000D5281" w:rsidP="00D31722">
      <w:pPr>
        <w:pStyle w:val="ONUMFS"/>
        <w:rPr>
          <w:lang w:val="fr-FR"/>
        </w:rPr>
      </w:pPr>
      <w:r w:rsidRPr="00AC7E46">
        <w:rPr>
          <w:lang w:val="fr-FR"/>
        </w:rPr>
        <w:t>L</w:t>
      </w:r>
      <w:r w:rsidR="00761289" w:rsidRPr="00AC7E46">
        <w:rPr>
          <w:lang w:val="fr-FR"/>
        </w:rPr>
        <w:t>’</w:t>
      </w:r>
      <w:r w:rsidRPr="00AC7E46">
        <w:rPr>
          <w:lang w:val="fr-FR"/>
        </w:rPr>
        <w:t>audit a constaté que l</w:t>
      </w:r>
      <w:r w:rsidR="00761289" w:rsidRPr="00AC7E46">
        <w:rPr>
          <w:lang w:val="fr-FR"/>
        </w:rPr>
        <w:t>’</w:t>
      </w:r>
      <w:r w:rsidRPr="00AC7E46">
        <w:rPr>
          <w:lang w:val="fr-FR"/>
        </w:rPr>
        <w:t>OMPI dispose d</w:t>
      </w:r>
      <w:r w:rsidR="00761289" w:rsidRPr="00AC7E46">
        <w:rPr>
          <w:lang w:val="fr-FR"/>
        </w:rPr>
        <w:t>’</w:t>
      </w:r>
      <w:r w:rsidRPr="00AC7E46">
        <w:rPr>
          <w:lang w:val="fr-FR"/>
        </w:rPr>
        <w:t xml:space="preserve">une politique et de normes adéquates, conformes aux bonnes pratiques en matière de confidentialité des données et aux Principes de protection des données personnelles et de la vie privée des </w:t>
      </w:r>
      <w:r w:rsidR="00761289" w:rsidRPr="00AC7E46">
        <w:rPr>
          <w:lang w:val="fr-FR"/>
        </w:rPr>
        <w:t>Nations Unies</w:t>
      </w:r>
      <w:r w:rsidRPr="00AC7E46">
        <w:rPr>
          <w:lang w:val="fr-FR"/>
        </w:rPr>
        <w:t>.</w:t>
      </w:r>
    </w:p>
    <w:p w14:paraId="5A88FCF7" w14:textId="0E5856C8" w:rsidR="000D5281" w:rsidRPr="00AC7E46" w:rsidRDefault="000D5281" w:rsidP="00D31722">
      <w:pPr>
        <w:pStyle w:val="ONUMFS"/>
        <w:rPr>
          <w:lang w:val="fr-FR"/>
        </w:rPr>
      </w:pPr>
      <w:r w:rsidRPr="00AC7E46">
        <w:rPr>
          <w:lang w:val="fr-FR"/>
        </w:rPr>
        <w:t>La DSI a également conclu que l</w:t>
      </w:r>
      <w:r w:rsidR="00761289" w:rsidRPr="00AC7E46">
        <w:rPr>
          <w:lang w:val="fr-FR"/>
        </w:rPr>
        <w:t>’</w:t>
      </w:r>
      <w:r w:rsidRPr="00AC7E46">
        <w:rPr>
          <w:lang w:val="fr-FR"/>
        </w:rPr>
        <w:t>OMPI a élaboré une déclaration de protection de la vie privée exhaustive pour les personnes externes et a appliqué le classement, le cryptage et le stockage sécurisé des données ainsi que le principe du “besoin d</w:t>
      </w:r>
      <w:r w:rsidR="00761289" w:rsidRPr="00AC7E46">
        <w:rPr>
          <w:lang w:val="fr-FR"/>
        </w:rPr>
        <w:t>’</w:t>
      </w:r>
      <w:r w:rsidRPr="00AC7E46">
        <w:rPr>
          <w:lang w:val="fr-FR"/>
        </w:rPr>
        <w:t>en connaître” afin de protéger les données personnelles.</w:t>
      </w:r>
    </w:p>
    <w:p w14:paraId="545D6F43" w14:textId="26591786" w:rsidR="000D5281" w:rsidRPr="00AC7E46" w:rsidRDefault="000D5281" w:rsidP="00D31722">
      <w:pPr>
        <w:pStyle w:val="ONUMFS"/>
        <w:rPr>
          <w:lang w:val="fr-FR"/>
        </w:rPr>
      </w:pPr>
      <w:r w:rsidRPr="00AC7E46">
        <w:rPr>
          <w:lang w:val="fr-FR"/>
        </w:rPr>
        <w:t>L</w:t>
      </w:r>
      <w:r w:rsidR="00761289" w:rsidRPr="00AC7E46">
        <w:rPr>
          <w:lang w:val="fr-FR"/>
        </w:rPr>
        <w:t>’</w:t>
      </w:r>
      <w:r w:rsidRPr="00AC7E46">
        <w:rPr>
          <w:lang w:val="fr-FR"/>
        </w:rPr>
        <w:t>audit a mis en évidence une série de possibilités pour améliorer la gestion de la protection des données par l</w:t>
      </w:r>
      <w:r w:rsidR="00761289" w:rsidRPr="00AC7E46">
        <w:rPr>
          <w:lang w:val="fr-FR"/>
        </w:rPr>
        <w:t>’</w:t>
      </w:r>
      <w:r w:rsidRPr="00AC7E46">
        <w:rPr>
          <w:lang w:val="fr-FR"/>
        </w:rPr>
        <w:t>OMPI, ainsi que son cadre et ses pratiqu</w:t>
      </w:r>
      <w:r w:rsidR="00AC7E46" w:rsidRPr="00AC7E46">
        <w:rPr>
          <w:lang w:val="fr-FR"/>
        </w:rPr>
        <w:t>es.  Il</w:t>
      </w:r>
      <w:r w:rsidRPr="00AC7E46">
        <w:rPr>
          <w:lang w:val="fr-FR"/>
        </w:rPr>
        <w:t xml:space="preserve"> s</w:t>
      </w:r>
      <w:r w:rsidR="00761289" w:rsidRPr="00AC7E46">
        <w:rPr>
          <w:lang w:val="fr-FR"/>
        </w:rPr>
        <w:t>’</w:t>
      </w:r>
      <w:r w:rsidRPr="00AC7E46">
        <w:rPr>
          <w:lang w:val="fr-FR"/>
        </w:rPr>
        <w:t>agit notamment d</w:t>
      </w:r>
      <w:r w:rsidR="00761289" w:rsidRPr="00AC7E46">
        <w:rPr>
          <w:lang w:val="fr-FR"/>
        </w:rPr>
        <w:t>’</w:t>
      </w:r>
      <w:r w:rsidRPr="00AC7E46">
        <w:rPr>
          <w:lang w:val="fr-FR"/>
        </w:rPr>
        <w:t>une communication continue et structurée entre l</w:t>
      </w:r>
      <w:r w:rsidR="00761289" w:rsidRPr="00AC7E46">
        <w:rPr>
          <w:lang w:val="fr-FR"/>
        </w:rPr>
        <w:t>’</w:t>
      </w:r>
      <w:r w:rsidRPr="00AC7E46">
        <w:rPr>
          <w:lang w:val="fr-FR"/>
        </w:rPr>
        <w:t>administrateur de la protection des données et les parties prenantes, l</w:t>
      </w:r>
      <w:r w:rsidR="00761289" w:rsidRPr="00AC7E46">
        <w:rPr>
          <w:lang w:val="fr-FR"/>
        </w:rPr>
        <w:t>’</w:t>
      </w:r>
      <w:r w:rsidRPr="00AC7E46">
        <w:rPr>
          <w:lang w:val="fr-FR"/>
        </w:rPr>
        <w:t>élaboration d</w:t>
      </w:r>
      <w:r w:rsidR="00761289" w:rsidRPr="00AC7E46">
        <w:rPr>
          <w:lang w:val="fr-FR"/>
        </w:rPr>
        <w:t>’</w:t>
      </w:r>
      <w:r w:rsidRPr="00AC7E46">
        <w:rPr>
          <w:lang w:val="fr-FR"/>
        </w:rPr>
        <w:t>une mesure ou des principaux indicateurs d</w:t>
      </w:r>
      <w:r w:rsidR="00761289" w:rsidRPr="00AC7E46">
        <w:rPr>
          <w:lang w:val="fr-FR"/>
        </w:rPr>
        <w:t>’</w:t>
      </w:r>
      <w:r w:rsidRPr="00AC7E46">
        <w:rPr>
          <w:lang w:val="fr-FR"/>
        </w:rPr>
        <w:t>exécution pour le suivi, l</w:t>
      </w:r>
      <w:r w:rsidR="00761289" w:rsidRPr="00AC7E46">
        <w:rPr>
          <w:lang w:val="fr-FR"/>
        </w:rPr>
        <w:t>’</w:t>
      </w:r>
      <w:r w:rsidRPr="00AC7E46">
        <w:rPr>
          <w:lang w:val="fr-FR"/>
        </w:rPr>
        <w:t>examen et l</w:t>
      </w:r>
      <w:r w:rsidR="00761289" w:rsidRPr="00AC7E46">
        <w:rPr>
          <w:lang w:val="fr-FR"/>
        </w:rPr>
        <w:t>’</w:t>
      </w:r>
      <w:r w:rsidRPr="00AC7E46">
        <w:rPr>
          <w:lang w:val="fr-FR"/>
        </w:rPr>
        <w:t>amélioration constante du cadre et des pratiques de protection des données, et l</w:t>
      </w:r>
      <w:r w:rsidR="00761289" w:rsidRPr="00AC7E46">
        <w:rPr>
          <w:lang w:val="fr-FR"/>
        </w:rPr>
        <w:t>’</w:t>
      </w:r>
      <w:r w:rsidRPr="00AC7E46">
        <w:rPr>
          <w:lang w:val="fr-FR"/>
        </w:rPr>
        <w:t>introduction d</w:t>
      </w:r>
      <w:r w:rsidR="00761289" w:rsidRPr="00AC7E46">
        <w:rPr>
          <w:lang w:val="fr-FR"/>
        </w:rPr>
        <w:t>’</w:t>
      </w:r>
      <w:r w:rsidRPr="00AC7E46">
        <w:rPr>
          <w:lang w:val="fr-FR"/>
        </w:rPr>
        <w:t>une formation obligatoire à la protection des donné</w:t>
      </w:r>
      <w:r w:rsidR="00AC7E46" w:rsidRPr="00AC7E46">
        <w:rPr>
          <w:lang w:val="fr-FR"/>
        </w:rPr>
        <w:t>es.  En</w:t>
      </w:r>
      <w:r w:rsidRPr="00AC7E46">
        <w:rPr>
          <w:lang w:val="fr-FR"/>
        </w:rPr>
        <w:t xml:space="preserve"> outre,</w:t>
      </w:r>
      <w:r w:rsidR="00761289" w:rsidRPr="00AC7E46">
        <w:rPr>
          <w:lang w:val="fr-FR"/>
        </w:rPr>
        <w:t xml:space="preserve"> la DSI</w:t>
      </w:r>
      <w:r w:rsidRPr="00AC7E46">
        <w:rPr>
          <w:lang w:val="fr-FR"/>
        </w:rPr>
        <w:t xml:space="preserve"> a recommandé de finaliser les documents et outils pertinents en matière de protection des données, notamment la déclaration interne de protection de la vie privée et l</w:t>
      </w:r>
      <w:r w:rsidR="00761289" w:rsidRPr="00AC7E46">
        <w:rPr>
          <w:lang w:val="fr-FR"/>
        </w:rPr>
        <w:t>’</w:t>
      </w:r>
      <w:r w:rsidRPr="00AC7E46">
        <w:rPr>
          <w:lang w:val="fr-FR"/>
        </w:rPr>
        <w:t>évaluation de l</w:t>
      </w:r>
      <w:r w:rsidR="00761289" w:rsidRPr="00AC7E46">
        <w:rPr>
          <w:lang w:val="fr-FR"/>
        </w:rPr>
        <w:t>’</w:t>
      </w:r>
      <w:r w:rsidRPr="00AC7E46">
        <w:rPr>
          <w:lang w:val="fr-FR"/>
        </w:rPr>
        <w:t>incidence sur la vie priv</w:t>
      </w:r>
      <w:r w:rsidR="00AC7E46" w:rsidRPr="00AC7E46">
        <w:rPr>
          <w:lang w:val="fr-FR"/>
        </w:rPr>
        <w:t>ée.  La</w:t>
      </w:r>
      <w:r w:rsidRPr="00AC7E46">
        <w:rPr>
          <w:lang w:val="fr-FR"/>
        </w:rPr>
        <w:t xml:space="preserve"> mise en place d</w:t>
      </w:r>
      <w:r w:rsidR="00761289" w:rsidRPr="00AC7E46">
        <w:rPr>
          <w:lang w:val="fr-FR"/>
        </w:rPr>
        <w:t>’</w:t>
      </w:r>
      <w:r w:rsidRPr="00AC7E46">
        <w:rPr>
          <w:lang w:val="fr-FR"/>
        </w:rPr>
        <w:t>un processus d</w:t>
      </w:r>
      <w:r w:rsidR="00761289" w:rsidRPr="00AC7E46">
        <w:rPr>
          <w:lang w:val="fr-FR"/>
        </w:rPr>
        <w:t>’</w:t>
      </w:r>
      <w:r w:rsidRPr="00AC7E46">
        <w:rPr>
          <w:lang w:val="fr-FR"/>
        </w:rPr>
        <w:t>analyse et de mise à jour régulières de l</w:t>
      </w:r>
      <w:r w:rsidR="00761289" w:rsidRPr="00AC7E46">
        <w:rPr>
          <w:lang w:val="fr-FR"/>
        </w:rPr>
        <w:t>’</w:t>
      </w:r>
      <w:r w:rsidRPr="00AC7E46">
        <w:rPr>
          <w:lang w:val="fr-FR"/>
        </w:rPr>
        <w:t xml:space="preserve">inventaire des données personnelles </w:t>
      </w:r>
      <w:proofErr w:type="gramStart"/>
      <w:r w:rsidRPr="00AC7E46">
        <w:rPr>
          <w:lang w:val="fr-FR"/>
        </w:rPr>
        <w:t>renforcerait</w:t>
      </w:r>
      <w:proofErr w:type="gramEnd"/>
      <w:r w:rsidRPr="00AC7E46">
        <w:rPr>
          <w:lang w:val="fr-FR"/>
        </w:rPr>
        <w:t xml:space="preserve"> le programme et la culture de l</w:t>
      </w:r>
      <w:r w:rsidR="00761289" w:rsidRPr="00AC7E46">
        <w:rPr>
          <w:lang w:val="fr-FR"/>
        </w:rPr>
        <w:t>’</w:t>
      </w:r>
      <w:r w:rsidRPr="00AC7E46">
        <w:rPr>
          <w:lang w:val="fr-FR"/>
        </w:rPr>
        <w:t>OMPI en matière de protection des données.</w:t>
      </w:r>
    </w:p>
    <w:p w14:paraId="1F824DE2" w14:textId="63FA2EFA" w:rsidR="000D5281" w:rsidRPr="00AC7E46" w:rsidRDefault="000D5281" w:rsidP="00520633">
      <w:pPr>
        <w:pStyle w:val="ONUMFS"/>
        <w:keepLines/>
        <w:rPr>
          <w:lang w:val="fr-FR"/>
        </w:rPr>
      </w:pPr>
      <w:r w:rsidRPr="00AC7E46">
        <w:rPr>
          <w:lang w:val="fr-FR"/>
        </w:rPr>
        <w:lastRenderedPageBreak/>
        <w:t>L</w:t>
      </w:r>
      <w:r w:rsidR="00761289" w:rsidRPr="00AC7E46">
        <w:rPr>
          <w:lang w:val="fr-FR"/>
        </w:rPr>
        <w:t>’</w:t>
      </w:r>
      <w:r w:rsidRPr="00AC7E46">
        <w:rPr>
          <w:lang w:val="fr-FR"/>
        </w:rPr>
        <w:t>audit a mis en lumière la nécessité de préciser à qui incombe la responsabilité de surveiller la gestion de la protection des données, étant donné que le suivi initial de la mise en œuvre du programme relatif à la protection des données relevait de la responsabilité d</w:t>
      </w:r>
      <w:r w:rsidR="00761289" w:rsidRPr="00AC7E46">
        <w:rPr>
          <w:lang w:val="fr-FR"/>
        </w:rPr>
        <w:t>’</w:t>
      </w:r>
      <w:r w:rsidRPr="00AC7E46">
        <w:rPr>
          <w:lang w:val="fr-FR"/>
        </w:rPr>
        <w:t>une équipe spéciale chargée de la gestion des donné</w:t>
      </w:r>
      <w:r w:rsidR="00AC7E46" w:rsidRPr="00AC7E46">
        <w:rPr>
          <w:lang w:val="fr-FR"/>
        </w:rPr>
        <w:t>es.  Af</w:t>
      </w:r>
      <w:r w:rsidRPr="00AC7E46">
        <w:rPr>
          <w:lang w:val="fr-FR"/>
        </w:rPr>
        <w:t>in de préserver l</w:t>
      </w:r>
      <w:r w:rsidR="00761289" w:rsidRPr="00AC7E46">
        <w:rPr>
          <w:lang w:val="fr-FR"/>
        </w:rPr>
        <w:t>’</w:t>
      </w:r>
      <w:r w:rsidRPr="00AC7E46">
        <w:rPr>
          <w:lang w:val="fr-FR"/>
        </w:rPr>
        <w:t>indépendance et de renforcer la surveillance, il conviendrait de faire en sorte que le suivi et l</w:t>
      </w:r>
      <w:r w:rsidR="00761289" w:rsidRPr="00AC7E46">
        <w:rPr>
          <w:lang w:val="fr-FR"/>
        </w:rPr>
        <w:t>’</w:t>
      </w:r>
      <w:r w:rsidRPr="00AC7E46">
        <w:rPr>
          <w:lang w:val="fr-FR"/>
        </w:rPr>
        <w:t>examen de la gestion de la protection des données relèvent directement du Conseil de sécurité et d</w:t>
      </w:r>
      <w:r w:rsidR="00761289" w:rsidRPr="00AC7E46">
        <w:rPr>
          <w:lang w:val="fr-FR"/>
        </w:rPr>
        <w:t>’</w:t>
      </w:r>
      <w:r w:rsidRPr="00AC7E46">
        <w:rPr>
          <w:lang w:val="fr-FR"/>
        </w:rPr>
        <w:t>assurance informatique ou d</w:t>
      </w:r>
      <w:r w:rsidR="00761289" w:rsidRPr="00AC7E46">
        <w:rPr>
          <w:lang w:val="fr-FR"/>
        </w:rPr>
        <w:t>’</w:t>
      </w:r>
      <w:r w:rsidRPr="00AC7E46">
        <w:rPr>
          <w:lang w:val="fr-FR"/>
        </w:rPr>
        <w:t>un organisme équivalent.</w:t>
      </w:r>
    </w:p>
    <w:p w14:paraId="64F2AA32" w14:textId="45E69FEF" w:rsidR="000D5281" w:rsidRPr="00AC7E46" w:rsidRDefault="000D5281" w:rsidP="00D31722">
      <w:pPr>
        <w:pStyle w:val="ONUMFS"/>
        <w:rPr>
          <w:lang w:val="fr-FR"/>
        </w:rPr>
      </w:pPr>
      <w:r w:rsidRPr="00AC7E46">
        <w:rPr>
          <w:lang w:val="fr-FR"/>
        </w:rPr>
        <w:t>La DSI a formulé sept</w:t>
      </w:r>
      <w:r w:rsidR="006F1D4B" w:rsidRPr="00AC7E46">
        <w:rPr>
          <w:lang w:val="fr-FR"/>
        </w:rPr>
        <w:t> </w:t>
      </w:r>
      <w:r w:rsidRPr="00AC7E46">
        <w:rPr>
          <w:lang w:val="fr-FR"/>
        </w:rPr>
        <w:t xml:space="preserve">recommandations que la direction a accepté de mettre en œuvre </w:t>
      </w:r>
      <w:r w:rsidR="00761289" w:rsidRPr="00AC7E46">
        <w:rPr>
          <w:lang w:val="fr-FR"/>
        </w:rPr>
        <w:t>en 2024</w:t>
      </w:r>
      <w:r w:rsidRPr="00AC7E46">
        <w:rPr>
          <w:lang w:val="fr-FR"/>
        </w:rPr>
        <w:t>.</w:t>
      </w:r>
    </w:p>
    <w:p w14:paraId="4C782ADD" w14:textId="1887498D" w:rsidR="000D5281" w:rsidRPr="00AC7E46" w:rsidRDefault="00F917C1" w:rsidP="00F4635E">
      <w:pPr>
        <w:pStyle w:val="Heading2"/>
      </w:pPr>
      <w:r>
        <w:t>É</w:t>
      </w:r>
      <w:r w:rsidRPr="00AC7E46">
        <w:t xml:space="preserve">valuation de l’incidence sur le projet du </w:t>
      </w:r>
      <w:r>
        <w:t>P</w:t>
      </w:r>
      <w:r w:rsidRPr="00AC7E46">
        <w:t>lan d’action pour le développement : propriété intellectuelle et développement socioéconomique</w:t>
      </w:r>
    </w:p>
    <w:p w14:paraId="39112CF0" w14:textId="1BD63DCF" w:rsidR="000D5281" w:rsidRPr="00AC7E46" w:rsidRDefault="000D5281" w:rsidP="00D31722">
      <w:pPr>
        <w:pStyle w:val="ONUMFS"/>
        <w:rPr>
          <w:color w:val="000000" w:themeColor="text1"/>
          <w:lang w:val="fr-FR"/>
        </w:rPr>
      </w:pPr>
      <w:r w:rsidRPr="00AC7E46">
        <w:rPr>
          <w:color w:val="000000" w:themeColor="text1"/>
          <w:lang w:val="fr-FR"/>
        </w:rPr>
        <w:t>Le rapport couvrait deux</w:t>
      </w:r>
      <w:r w:rsidR="006F1D4B" w:rsidRPr="00AC7E46">
        <w:rPr>
          <w:color w:val="000000" w:themeColor="text1"/>
          <w:lang w:val="fr-FR"/>
        </w:rPr>
        <w:t> </w:t>
      </w:r>
      <w:r w:rsidRPr="00AC7E46">
        <w:rPr>
          <w:color w:val="000000" w:themeColor="text1"/>
          <w:lang w:val="fr-FR"/>
        </w:rPr>
        <w:t>phases du projet du Plan d</w:t>
      </w:r>
      <w:r w:rsidR="00761289" w:rsidRPr="00AC7E46">
        <w:rPr>
          <w:color w:val="000000" w:themeColor="text1"/>
          <w:lang w:val="fr-FR"/>
        </w:rPr>
        <w:t>’</w:t>
      </w:r>
      <w:r w:rsidRPr="00AC7E46">
        <w:rPr>
          <w:color w:val="000000" w:themeColor="text1"/>
          <w:lang w:val="fr-FR"/>
        </w:rPr>
        <w:t xml:space="preserve">action pour le développement sur la propriété intellectuelle et le développement </w:t>
      </w:r>
      <w:r w:rsidR="00761289" w:rsidRPr="00AC7E46">
        <w:rPr>
          <w:color w:val="000000" w:themeColor="text1"/>
          <w:lang w:val="fr-FR"/>
        </w:rPr>
        <w:t>socioéconomique</w:t>
      </w:r>
      <w:r w:rsidRPr="00AC7E46">
        <w:rPr>
          <w:color w:val="000000" w:themeColor="text1"/>
          <w:lang w:val="fr-FR"/>
        </w:rPr>
        <w:t xml:space="preserve"> mis en œuvre entre 2012 et 2018 et visait à réduire l</w:t>
      </w:r>
      <w:r w:rsidR="00761289" w:rsidRPr="00AC7E46">
        <w:rPr>
          <w:color w:val="000000" w:themeColor="text1"/>
          <w:lang w:val="fr-FR"/>
        </w:rPr>
        <w:t>’</w:t>
      </w:r>
      <w:r w:rsidRPr="00AC7E46">
        <w:rPr>
          <w:color w:val="000000" w:themeColor="text1"/>
          <w:lang w:val="fr-FR"/>
        </w:rPr>
        <w:t>écart de connaissances auquel sont confrontés les décideurs lors de la conception et de la mise en œuvre d</w:t>
      </w:r>
      <w:r w:rsidR="00761289" w:rsidRPr="00AC7E46">
        <w:rPr>
          <w:color w:val="000000" w:themeColor="text1"/>
          <w:lang w:val="fr-FR"/>
        </w:rPr>
        <w:t>’</w:t>
      </w:r>
      <w:r w:rsidRPr="00AC7E46">
        <w:rPr>
          <w:color w:val="000000" w:themeColor="text1"/>
          <w:lang w:val="fr-FR"/>
        </w:rPr>
        <w:t>un régime de propriété intellectuelle propice au développeme</w:t>
      </w:r>
      <w:r w:rsidR="00AC7E46" w:rsidRPr="00AC7E46">
        <w:rPr>
          <w:color w:val="000000" w:themeColor="text1"/>
          <w:lang w:val="fr-FR"/>
        </w:rPr>
        <w:t>nt.  L’é</w:t>
      </w:r>
      <w:r w:rsidRPr="00AC7E46">
        <w:rPr>
          <w:color w:val="000000" w:themeColor="text1"/>
          <w:lang w:val="fr-FR"/>
        </w:rPr>
        <w:t>valuation s</w:t>
      </w:r>
      <w:r w:rsidR="00761289" w:rsidRPr="00AC7E46">
        <w:rPr>
          <w:color w:val="000000" w:themeColor="text1"/>
          <w:lang w:val="fr-FR"/>
        </w:rPr>
        <w:t>’</w:t>
      </w:r>
      <w:r w:rsidRPr="00AC7E46">
        <w:rPr>
          <w:color w:val="000000" w:themeColor="text1"/>
          <w:lang w:val="fr-FR"/>
        </w:rPr>
        <w:t>est concentrée sur les incidences à long terme du projet et a complété deux</w:t>
      </w:r>
      <w:r w:rsidR="006F1D4B" w:rsidRPr="00AC7E46">
        <w:rPr>
          <w:color w:val="000000" w:themeColor="text1"/>
          <w:lang w:val="fr-FR"/>
        </w:rPr>
        <w:t> </w:t>
      </w:r>
      <w:r w:rsidRPr="00AC7E46">
        <w:rPr>
          <w:color w:val="000000" w:themeColor="text1"/>
          <w:lang w:val="fr-FR"/>
        </w:rPr>
        <w:t xml:space="preserve">évaluations antérieures réalisées </w:t>
      </w:r>
      <w:r w:rsidR="00761289" w:rsidRPr="00AC7E46">
        <w:rPr>
          <w:color w:val="000000" w:themeColor="text1"/>
          <w:lang w:val="fr-FR"/>
        </w:rPr>
        <w:t>en 2014</w:t>
      </w:r>
      <w:r w:rsidRPr="00AC7E46">
        <w:rPr>
          <w:color w:val="000000" w:themeColor="text1"/>
          <w:lang w:val="fr-FR"/>
        </w:rPr>
        <w:t xml:space="preserve"> et </w:t>
      </w:r>
      <w:r w:rsidR="00761289" w:rsidRPr="00AC7E46">
        <w:rPr>
          <w:color w:val="000000" w:themeColor="text1"/>
          <w:lang w:val="fr-FR"/>
        </w:rPr>
        <w:t>en 2018</w:t>
      </w:r>
      <w:r w:rsidRPr="00AC7E46">
        <w:rPr>
          <w:color w:val="000000" w:themeColor="text1"/>
          <w:lang w:val="fr-FR"/>
        </w:rPr>
        <w:t xml:space="preserve"> (documents</w:t>
      </w:r>
      <w:r w:rsidR="001908D2">
        <w:rPr>
          <w:color w:val="000000" w:themeColor="text1"/>
          <w:lang w:val="fr-FR"/>
        </w:rPr>
        <w:t> </w:t>
      </w:r>
      <w:r w:rsidRPr="00AC7E46">
        <w:rPr>
          <w:color w:val="000000" w:themeColor="text1"/>
          <w:lang w:val="fr-FR"/>
        </w:rPr>
        <w:t>CDIP/14/3 et CDIP/22/9</w:t>
      </w:r>
      <w:r w:rsidR="006F1D4B" w:rsidRPr="00AC7E46">
        <w:rPr>
          <w:color w:val="000000" w:themeColor="text1"/>
          <w:lang w:val="fr-FR"/>
        </w:rPr>
        <w:t> </w:t>
      </w:r>
      <w:proofErr w:type="spellStart"/>
      <w:r w:rsidRPr="00AC7E46">
        <w:rPr>
          <w:color w:val="000000" w:themeColor="text1"/>
          <w:lang w:val="fr-FR"/>
        </w:rPr>
        <w:t>Rev</w:t>
      </w:r>
      <w:proofErr w:type="spellEnd"/>
      <w:r w:rsidRPr="00AC7E46">
        <w:rPr>
          <w:color w:val="000000" w:themeColor="text1"/>
          <w:lang w:val="fr-FR"/>
        </w:rPr>
        <w:t>.).  L</w:t>
      </w:r>
      <w:r w:rsidR="00761289" w:rsidRPr="00AC7E46">
        <w:rPr>
          <w:color w:val="000000" w:themeColor="text1"/>
          <w:lang w:val="fr-FR"/>
        </w:rPr>
        <w:t>’</w:t>
      </w:r>
      <w:r w:rsidRPr="00AC7E46">
        <w:rPr>
          <w:color w:val="000000" w:themeColor="text1"/>
          <w:lang w:val="fr-FR"/>
        </w:rPr>
        <w:t>évaluation a été coordonnée avec la Division de la coordination du Plan d</w:t>
      </w:r>
      <w:r w:rsidR="00761289" w:rsidRPr="00AC7E46">
        <w:rPr>
          <w:color w:val="000000" w:themeColor="text1"/>
          <w:lang w:val="fr-FR"/>
        </w:rPr>
        <w:t>’</w:t>
      </w:r>
      <w:r w:rsidRPr="00AC7E46">
        <w:rPr>
          <w:color w:val="000000" w:themeColor="text1"/>
          <w:lang w:val="fr-FR"/>
        </w:rPr>
        <w:t>action pour le développement et la Section d</w:t>
      </w:r>
      <w:r w:rsidR="00761289" w:rsidRPr="00AC7E46">
        <w:rPr>
          <w:color w:val="000000" w:themeColor="text1"/>
          <w:lang w:val="fr-FR"/>
        </w:rPr>
        <w:t>’</w:t>
      </w:r>
      <w:r w:rsidRPr="00AC7E46">
        <w:rPr>
          <w:color w:val="000000" w:themeColor="text1"/>
          <w:lang w:val="fr-FR"/>
        </w:rPr>
        <w:t>évaluation de</w:t>
      </w:r>
      <w:r w:rsidR="00761289" w:rsidRPr="00AC7E46">
        <w:rPr>
          <w:color w:val="000000" w:themeColor="text1"/>
          <w:lang w:val="fr-FR"/>
        </w:rPr>
        <w:t xml:space="preserve"> la DSI</w:t>
      </w:r>
      <w:r w:rsidRPr="00AC7E46">
        <w:rPr>
          <w:color w:val="000000" w:themeColor="text1"/>
          <w:lang w:val="fr-FR"/>
        </w:rPr>
        <w:t xml:space="preserve"> a procédé à un examen de l</w:t>
      </w:r>
      <w:r w:rsidR="00761289" w:rsidRPr="00AC7E46">
        <w:rPr>
          <w:color w:val="000000" w:themeColor="text1"/>
          <w:lang w:val="fr-FR"/>
        </w:rPr>
        <w:t>’</w:t>
      </w:r>
      <w:r w:rsidRPr="00AC7E46">
        <w:rPr>
          <w:color w:val="000000" w:themeColor="text1"/>
          <w:lang w:val="fr-FR"/>
        </w:rPr>
        <w:t>assurance qualité des résultats.</w:t>
      </w:r>
    </w:p>
    <w:p w14:paraId="09BC033F" w14:textId="2C33C6A7" w:rsidR="000D5281" w:rsidRPr="00AC7E46" w:rsidRDefault="000D5281" w:rsidP="00D31722">
      <w:pPr>
        <w:pStyle w:val="ONUMFS"/>
        <w:rPr>
          <w:color w:val="000000" w:themeColor="text1"/>
          <w:lang w:val="fr-FR"/>
        </w:rPr>
      </w:pPr>
      <w:r w:rsidRPr="00AC7E46">
        <w:rPr>
          <w:color w:val="000000" w:themeColor="text1"/>
          <w:lang w:val="fr-FR"/>
        </w:rPr>
        <w:t>L</w:t>
      </w:r>
      <w:r w:rsidR="00761289" w:rsidRPr="00AC7E46">
        <w:rPr>
          <w:color w:val="000000" w:themeColor="text1"/>
          <w:lang w:val="fr-FR"/>
        </w:rPr>
        <w:t>’</w:t>
      </w:r>
      <w:r w:rsidRPr="00AC7E46">
        <w:rPr>
          <w:color w:val="000000" w:themeColor="text1"/>
          <w:lang w:val="fr-FR"/>
        </w:rPr>
        <w:t xml:space="preserve">évaluation a constaté des résultats escomptés pertinents dans certains des pays où le projet était mis en </w:t>
      </w:r>
      <w:proofErr w:type="gramStart"/>
      <w:r w:rsidRPr="00AC7E46">
        <w:rPr>
          <w:color w:val="000000" w:themeColor="text1"/>
          <w:lang w:val="fr-FR"/>
        </w:rPr>
        <w:t xml:space="preserve">œuvre; </w:t>
      </w:r>
      <w:r w:rsidR="006F1D4B" w:rsidRPr="00AC7E46">
        <w:rPr>
          <w:color w:val="000000" w:themeColor="text1"/>
          <w:lang w:val="fr-FR"/>
        </w:rPr>
        <w:t xml:space="preserve"> </w:t>
      </w:r>
      <w:r w:rsidRPr="00AC7E46">
        <w:rPr>
          <w:color w:val="000000" w:themeColor="text1"/>
          <w:lang w:val="fr-FR"/>
        </w:rPr>
        <w:t>ces</w:t>
      </w:r>
      <w:proofErr w:type="gramEnd"/>
      <w:r w:rsidRPr="00AC7E46">
        <w:rPr>
          <w:color w:val="000000" w:themeColor="text1"/>
          <w:lang w:val="fr-FR"/>
        </w:rPr>
        <w:t xml:space="preserve"> résultats incluent, mais sans s</w:t>
      </w:r>
      <w:r w:rsidR="00761289" w:rsidRPr="00AC7E46">
        <w:rPr>
          <w:color w:val="000000" w:themeColor="text1"/>
          <w:lang w:val="fr-FR"/>
        </w:rPr>
        <w:t>’</w:t>
      </w:r>
      <w:r w:rsidRPr="00AC7E46">
        <w:rPr>
          <w:color w:val="000000" w:themeColor="text1"/>
          <w:lang w:val="fr-FR"/>
        </w:rPr>
        <w:t>y limiter, les éléments suivants</w:t>
      </w:r>
      <w:r w:rsidR="00761289" w:rsidRPr="00AC7E46">
        <w:rPr>
          <w:color w:val="000000" w:themeColor="text1"/>
          <w:lang w:val="fr-FR"/>
        </w:rPr>
        <w:t> :</w:t>
      </w:r>
    </w:p>
    <w:p w14:paraId="6B3391E1" w14:textId="3A788AFA" w:rsidR="000D5281" w:rsidRPr="00AC7E46" w:rsidRDefault="000D5281" w:rsidP="00F917C1">
      <w:pPr>
        <w:pStyle w:val="ONUMFS"/>
        <w:numPr>
          <w:ilvl w:val="1"/>
          <w:numId w:val="6"/>
        </w:numPr>
        <w:rPr>
          <w:lang w:val="fr-FR"/>
        </w:rPr>
      </w:pPr>
      <w:proofErr w:type="gramStart"/>
      <w:r w:rsidRPr="00AC7E46">
        <w:rPr>
          <w:lang w:val="fr-FR"/>
        </w:rPr>
        <w:t>la</w:t>
      </w:r>
      <w:proofErr w:type="gramEnd"/>
      <w:r w:rsidRPr="00AC7E46">
        <w:rPr>
          <w:lang w:val="fr-FR"/>
        </w:rPr>
        <w:t xml:space="preserve"> promotion des recommandations du Plan d</w:t>
      </w:r>
      <w:r w:rsidR="00761289" w:rsidRPr="00AC7E46">
        <w:rPr>
          <w:lang w:val="fr-FR"/>
        </w:rPr>
        <w:t>’</w:t>
      </w:r>
      <w:r w:rsidRPr="00AC7E46">
        <w:rPr>
          <w:lang w:val="fr-FR"/>
        </w:rPr>
        <w:t>action pour le développement s</w:t>
      </w:r>
      <w:r w:rsidR="00761289" w:rsidRPr="00AC7E46">
        <w:rPr>
          <w:lang w:val="fr-FR"/>
        </w:rPr>
        <w:t>’</w:t>
      </w:r>
      <w:r w:rsidRPr="00AC7E46">
        <w:rPr>
          <w:lang w:val="fr-FR"/>
        </w:rPr>
        <w:t>est développée à l</w:t>
      </w:r>
      <w:r w:rsidR="00761289" w:rsidRPr="00AC7E46">
        <w:rPr>
          <w:lang w:val="fr-FR"/>
        </w:rPr>
        <w:t>’</w:t>
      </w:r>
      <w:r w:rsidRPr="00AC7E46">
        <w:rPr>
          <w:lang w:val="fr-FR"/>
        </w:rPr>
        <w:t>intérieur des pays bénéficiaires;</w:t>
      </w:r>
    </w:p>
    <w:p w14:paraId="34704519" w14:textId="556A27F4" w:rsidR="000D5281" w:rsidRPr="00AC7E46" w:rsidRDefault="000D5281" w:rsidP="00F917C1">
      <w:pPr>
        <w:pStyle w:val="ONUMFS"/>
        <w:numPr>
          <w:ilvl w:val="1"/>
          <w:numId w:val="6"/>
        </w:numPr>
        <w:rPr>
          <w:lang w:val="fr-FR"/>
        </w:rPr>
      </w:pPr>
      <w:proofErr w:type="gramStart"/>
      <w:r w:rsidRPr="00AC7E46">
        <w:rPr>
          <w:lang w:val="fr-FR"/>
        </w:rPr>
        <w:t>le</w:t>
      </w:r>
      <w:proofErr w:type="gramEnd"/>
      <w:r w:rsidRPr="00AC7E46">
        <w:rPr>
          <w:lang w:val="fr-FR"/>
        </w:rPr>
        <w:t xml:space="preserve"> renforcement des capacités des individus a été soutenu et s</w:t>
      </w:r>
      <w:r w:rsidR="00761289" w:rsidRPr="00AC7E46">
        <w:rPr>
          <w:lang w:val="fr-FR"/>
        </w:rPr>
        <w:t>’</w:t>
      </w:r>
      <w:r w:rsidRPr="00AC7E46">
        <w:rPr>
          <w:lang w:val="fr-FR"/>
        </w:rPr>
        <w:t>est développé au fil du temps, contribuant ainsi à l</w:t>
      </w:r>
      <w:r w:rsidR="00761289" w:rsidRPr="00AC7E46">
        <w:rPr>
          <w:lang w:val="fr-FR"/>
        </w:rPr>
        <w:t>’</w:t>
      </w:r>
      <w:r w:rsidRPr="00AC7E46">
        <w:rPr>
          <w:lang w:val="fr-FR"/>
        </w:rPr>
        <w:t>obtention d</w:t>
      </w:r>
      <w:r w:rsidR="00761289" w:rsidRPr="00AC7E46">
        <w:rPr>
          <w:lang w:val="fr-FR"/>
        </w:rPr>
        <w:t>’</w:t>
      </w:r>
      <w:r w:rsidRPr="00AC7E46">
        <w:rPr>
          <w:lang w:val="fr-FR"/>
        </w:rPr>
        <w:t>effets après la fin du cycle d</w:t>
      </w:r>
      <w:r w:rsidR="00761289" w:rsidRPr="00AC7E46">
        <w:rPr>
          <w:lang w:val="fr-FR"/>
        </w:rPr>
        <w:t>’</w:t>
      </w:r>
      <w:r w:rsidRPr="00AC7E46">
        <w:rPr>
          <w:lang w:val="fr-FR"/>
        </w:rPr>
        <w:t>exécution du projet;</w:t>
      </w:r>
    </w:p>
    <w:p w14:paraId="52179A56" w14:textId="77777777" w:rsidR="000D5281" w:rsidRPr="00AC7E46" w:rsidRDefault="000D5281" w:rsidP="00F917C1">
      <w:pPr>
        <w:pStyle w:val="ONUMFS"/>
        <w:numPr>
          <w:ilvl w:val="1"/>
          <w:numId w:val="6"/>
        </w:numPr>
        <w:rPr>
          <w:lang w:val="fr-FR"/>
        </w:rPr>
      </w:pPr>
      <w:proofErr w:type="gramStart"/>
      <w:r w:rsidRPr="00AC7E46">
        <w:rPr>
          <w:lang w:val="fr-FR"/>
        </w:rPr>
        <w:t>la</w:t>
      </w:r>
      <w:proofErr w:type="gramEnd"/>
      <w:r w:rsidRPr="00AC7E46">
        <w:rPr>
          <w:lang w:val="fr-FR"/>
        </w:rPr>
        <w:t xml:space="preserve"> recherche relative à des questions de propriété intellectuelle a pris un caractère pluridisciplinaire plus marqué, notamment parmi les économistes;</w:t>
      </w:r>
    </w:p>
    <w:p w14:paraId="6E88AF4E" w14:textId="5DB835E7" w:rsidR="000D5281" w:rsidRPr="00AC7E46" w:rsidRDefault="000D5281" w:rsidP="00F917C1">
      <w:pPr>
        <w:pStyle w:val="ONUMFS"/>
        <w:numPr>
          <w:ilvl w:val="1"/>
          <w:numId w:val="6"/>
        </w:numPr>
        <w:rPr>
          <w:lang w:val="fr-FR"/>
        </w:rPr>
      </w:pPr>
      <w:proofErr w:type="gramStart"/>
      <w:r w:rsidRPr="00AC7E46">
        <w:rPr>
          <w:lang w:val="fr-FR"/>
        </w:rPr>
        <w:t>les</w:t>
      </w:r>
      <w:proofErr w:type="gramEnd"/>
      <w:r w:rsidRPr="00AC7E46">
        <w:rPr>
          <w:lang w:val="fr-FR"/>
        </w:rPr>
        <w:t xml:space="preserve"> offices de propriété intellectuelle et d</w:t>
      </w:r>
      <w:r w:rsidR="00761289" w:rsidRPr="00AC7E46">
        <w:rPr>
          <w:lang w:val="fr-FR"/>
        </w:rPr>
        <w:t>’</w:t>
      </w:r>
      <w:r w:rsidRPr="00AC7E46">
        <w:rPr>
          <w:lang w:val="fr-FR"/>
        </w:rPr>
        <w:t>autres institutions bénéficiaires ont mis en place des réseaux solides et une priorité accrue a été donnée aux questions de propriété intellectuelle;</w:t>
      </w:r>
    </w:p>
    <w:p w14:paraId="0CBA29EB" w14:textId="4F2D7C70" w:rsidR="000D5281" w:rsidRPr="00AC7E46" w:rsidRDefault="000D5281" w:rsidP="00F917C1">
      <w:pPr>
        <w:pStyle w:val="ONUMFS"/>
        <w:numPr>
          <w:ilvl w:val="1"/>
          <w:numId w:val="6"/>
        </w:numPr>
        <w:rPr>
          <w:lang w:val="fr-FR"/>
        </w:rPr>
      </w:pPr>
      <w:proofErr w:type="gramStart"/>
      <w:r w:rsidRPr="00AC7E46">
        <w:rPr>
          <w:lang w:val="fr-FR"/>
        </w:rPr>
        <w:t>les</w:t>
      </w:r>
      <w:proofErr w:type="gramEnd"/>
      <w:r w:rsidRPr="00AC7E46">
        <w:rPr>
          <w:lang w:val="fr-FR"/>
        </w:rPr>
        <w:t xml:space="preserve"> bases de données nationales ont amélioré la qualité et la disponibilité globales de leurs données, promouvant ainsi l</w:t>
      </w:r>
      <w:r w:rsidR="00761289" w:rsidRPr="00AC7E46">
        <w:rPr>
          <w:lang w:val="fr-FR"/>
        </w:rPr>
        <w:t>’</w:t>
      </w:r>
      <w:r w:rsidRPr="00AC7E46">
        <w:rPr>
          <w:lang w:val="fr-FR"/>
        </w:rPr>
        <w:t>utilisation de données économiques aux fins de l</w:t>
      </w:r>
      <w:r w:rsidR="00761289" w:rsidRPr="00AC7E46">
        <w:rPr>
          <w:lang w:val="fr-FR"/>
        </w:rPr>
        <w:t>’</w:t>
      </w:r>
      <w:r w:rsidRPr="00AC7E46">
        <w:rPr>
          <w:lang w:val="fr-FR"/>
        </w:rPr>
        <w:t>élaboration des politiques;</w:t>
      </w:r>
    </w:p>
    <w:p w14:paraId="5CE6C31C" w14:textId="230CB979" w:rsidR="000D5281" w:rsidRPr="00AC7E46" w:rsidRDefault="000D5281" w:rsidP="00F917C1">
      <w:pPr>
        <w:pStyle w:val="ONUMFS"/>
        <w:numPr>
          <w:ilvl w:val="1"/>
          <w:numId w:val="6"/>
        </w:numPr>
        <w:rPr>
          <w:lang w:val="fr-FR"/>
        </w:rPr>
      </w:pPr>
      <w:proofErr w:type="gramStart"/>
      <w:r w:rsidRPr="00AC7E46">
        <w:rPr>
          <w:lang w:val="fr-FR"/>
        </w:rPr>
        <w:t>un</w:t>
      </w:r>
      <w:proofErr w:type="gramEnd"/>
      <w:r w:rsidRPr="00AC7E46">
        <w:rPr>
          <w:lang w:val="fr-FR"/>
        </w:rPr>
        <w:t xml:space="preserve"> changement conceptuel a été constaté dans la connaissance, la compréhension et les attitudes des chercheurs et des décideurs en ce qui concerne les avantages économiques et l</w:t>
      </w:r>
      <w:r w:rsidR="00761289" w:rsidRPr="00AC7E46">
        <w:rPr>
          <w:lang w:val="fr-FR"/>
        </w:rPr>
        <w:t>’</w:t>
      </w:r>
      <w:r w:rsidRPr="00AC7E46">
        <w:rPr>
          <w:lang w:val="fr-FR"/>
        </w:rPr>
        <w:t>importance de l</w:t>
      </w:r>
      <w:r w:rsidR="00761289" w:rsidRPr="00AC7E46">
        <w:rPr>
          <w:lang w:val="fr-FR"/>
        </w:rPr>
        <w:t>’</w:t>
      </w:r>
      <w:r w:rsidRPr="00AC7E46">
        <w:rPr>
          <w:lang w:val="fr-FR"/>
        </w:rPr>
        <w:t xml:space="preserve">innovation pour le développement </w:t>
      </w:r>
      <w:r w:rsidR="00761289" w:rsidRPr="00AC7E46">
        <w:rPr>
          <w:lang w:val="fr-FR"/>
        </w:rPr>
        <w:t>socioéconomique</w:t>
      </w:r>
      <w:r w:rsidRPr="00AC7E46">
        <w:rPr>
          <w:lang w:val="fr-FR"/>
        </w:rPr>
        <w:t>;</w:t>
      </w:r>
    </w:p>
    <w:p w14:paraId="1BD7DF7E" w14:textId="5958BBD9" w:rsidR="000D5281" w:rsidRPr="00AC7E46" w:rsidRDefault="000D5281" w:rsidP="00F917C1">
      <w:pPr>
        <w:pStyle w:val="ONUMFS"/>
        <w:numPr>
          <w:ilvl w:val="1"/>
          <w:numId w:val="6"/>
        </w:numPr>
        <w:rPr>
          <w:lang w:val="fr-FR"/>
        </w:rPr>
      </w:pPr>
      <w:proofErr w:type="gramStart"/>
      <w:r w:rsidRPr="00AC7E46">
        <w:rPr>
          <w:lang w:val="fr-FR"/>
        </w:rPr>
        <w:t>une</w:t>
      </w:r>
      <w:proofErr w:type="gramEnd"/>
      <w:r w:rsidRPr="00AC7E46">
        <w:rPr>
          <w:lang w:val="fr-FR"/>
        </w:rPr>
        <w:t xml:space="preserve"> capacité analytique développée au niveau national a alimenté la prise de décisions et l</w:t>
      </w:r>
      <w:r w:rsidR="00761289" w:rsidRPr="00AC7E46">
        <w:rPr>
          <w:lang w:val="fr-FR"/>
        </w:rPr>
        <w:t>’</w:t>
      </w:r>
      <w:r w:rsidRPr="00AC7E46">
        <w:rPr>
          <w:lang w:val="fr-FR"/>
        </w:rPr>
        <w:t xml:space="preserve">élaboration des politiques; </w:t>
      </w:r>
      <w:r w:rsidR="006F1D4B" w:rsidRPr="00AC7E46">
        <w:rPr>
          <w:lang w:val="fr-FR"/>
        </w:rPr>
        <w:t xml:space="preserve"> </w:t>
      </w:r>
      <w:r w:rsidRPr="00AC7E46">
        <w:rPr>
          <w:lang w:val="fr-FR"/>
        </w:rPr>
        <w:t>et</w:t>
      </w:r>
    </w:p>
    <w:p w14:paraId="43A5A1D7" w14:textId="6FBF2654" w:rsidR="000D5281" w:rsidRPr="00AC7E46" w:rsidRDefault="000D5281" w:rsidP="00F917C1">
      <w:pPr>
        <w:pStyle w:val="ONUMFS"/>
        <w:numPr>
          <w:ilvl w:val="1"/>
          <w:numId w:val="6"/>
        </w:numPr>
        <w:rPr>
          <w:lang w:val="fr-FR"/>
        </w:rPr>
      </w:pPr>
      <w:proofErr w:type="gramStart"/>
      <w:r w:rsidRPr="00AC7E46">
        <w:rPr>
          <w:lang w:val="fr-FR"/>
        </w:rPr>
        <w:t>les</w:t>
      </w:r>
      <w:proofErr w:type="gramEnd"/>
      <w:r w:rsidRPr="00AC7E46">
        <w:rPr>
          <w:lang w:val="fr-FR"/>
        </w:rPr>
        <w:t xml:space="preserve"> investissements ont augmenté en termes de réglementation et d</w:t>
      </w:r>
      <w:r w:rsidR="00761289" w:rsidRPr="00AC7E46">
        <w:rPr>
          <w:lang w:val="fr-FR"/>
        </w:rPr>
        <w:t>’</w:t>
      </w:r>
      <w:r w:rsidRPr="00AC7E46">
        <w:rPr>
          <w:lang w:val="fr-FR"/>
        </w:rPr>
        <w:t>utilisation de la propriété intellectuelle par les pouvoirs publics et le secteur privé.</w:t>
      </w:r>
    </w:p>
    <w:p w14:paraId="443E905E" w14:textId="24E7EF56" w:rsidR="000D5281" w:rsidRPr="00AC7E46" w:rsidRDefault="000D5281" w:rsidP="00D31722">
      <w:pPr>
        <w:pStyle w:val="ONUMFS"/>
        <w:rPr>
          <w:color w:val="000000" w:themeColor="text1"/>
          <w:lang w:val="fr-FR"/>
        </w:rPr>
      </w:pPr>
      <w:r w:rsidRPr="00AC7E46">
        <w:rPr>
          <w:color w:val="000000" w:themeColor="text1"/>
          <w:lang w:val="fr-FR"/>
        </w:rPr>
        <w:lastRenderedPageBreak/>
        <w:t>L</w:t>
      </w:r>
      <w:r w:rsidR="00761289" w:rsidRPr="00AC7E46">
        <w:rPr>
          <w:color w:val="000000" w:themeColor="text1"/>
          <w:lang w:val="fr-FR"/>
        </w:rPr>
        <w:t>’</w:t>
      </w:r>
      <w:r w:rsidRPr="00AC7E46">
        <w:rPr>
          <w:color w:val="000000" w:themeColor="text1"/>
          <w:lang w:val="fr-FR"/>
        </w:rPr>
        <w:t>évaluation a également recensé une série d</w:t>
      </w:r>
      <w:r w:rsidR="00761289" w:rsidRPr="00AC7E46">
        <w:rPr>
          <w:color w:val="000000" w:themeColor="text1"/>
          <w:lang w:val="fr-FR"/>
        </w:rPr>
        <w:t>’</w:t>
      </w:r>
      <w:r w:rsidRPr="00AC7E46">
        <w:rPr>
          <w:color w:val="000000" w:themeColor="text1"/>
          <w:lang w:val="fr-FR"/>
        </w:rPr>
        <w:t>enseignements qui pourraient être appliqués à de futurs projets dans le même domai</w:t>
      </w:r>
      <w:r w:rsidR="00AC7E46" w:rsidRPr="00AC7E46">
        <w:rPr>
          <w:color w:val="000000" w:themeColor="text1"/>
          <w:lang w:val="fr-FR"/>
        </w:rPr>
        <w:t>ne.  Pa</w:t>
      </w:r>
      <w:r w:rsidRPr="00AC7E46">
        <w:rPr>
          <w:color w:val="000000" w:themeColor="text1"/>
          <w:lang w:val="fr-FR"/>
        </w:rPr>
        <w:t>rmi ces enseignements figure notamment l</w:t>
      </w:r>
      <w:r w:rsidR="00761289" w:rsidRPr="00AC7E46">
        <w:rPr>
          <w:color w:val="000000" w:themeColor="text1"/>
          <w:lang w:val="fr-FR"/>
        </w:rPr>
        <w:t>’</w:t>
      </w:r>
      <w:r w:rsidRPr="00AC7E46">
        <w:rPr>
          <w:color w:val="000000" w:themeColor="text1"/>
          <w:lang w:val="fr-FR"/>
        </w:rPr>
        <w:t>importance de réaliser une étude de faisabilité au cours de la phase de lancement des projets pour chaque pays afin de recenser les risques et les mesures d</w:t>
      </w:r>
      <w:r w:rsidR="00761289" w:rsidRPr="00AC7E46">
        <w:rPr>
          <w:color w:val="000000" w:themeColor="text1"/>
          <w:lang w:val="fr-FR"/>
        </w:rPr>
        <w:t>’</w:t>
      </w:r>
      <w:r w:rsidRPr="00AC7E46">
        <w:rPr>
          <w:color w:val="000000" w:themeColor="text1"/>
          <w:lang w:val="fr-FR"/>
        </w:rPr>
        <w:t>atténuation de ceux</w:t>
      </w:r>
      <w:r w:rsidR="001908D2">
        <w:rPr>
          <w:color w:val="000000" w:themeColor="text1"/>
          <w:lang w:val="fr-FR"/>
        </w:rPr>
        <w:noBreakHyphen/>
      </w:r>
      <w:r w:rsidR="00AC7E46" w:rsidRPr="00AC7E46">
        <w:rPr>
          <w:color w:val="000000" w:themeColor="text1"/>
          <w:lang w:val="fr-FR"/>
        </w:rPr>
        <w:t>ci.  En</w:t>
      </w:r>
      <w:r w:rsidRPr="00AC7E46">
        <w:rPr>
          <w:color w:val="000000" w:themeColor="text1"/>
          <w:lang w:val="fr-FR"/>
        </w:rPr>
        <w:t xml:space="preserve"> outre, l</w:t>
      </w:r>
      <w:r w:rsidR="00761289" w:rsidRPr="00AC7E46">
        <w:rPr>
          <w:color w:val="000000" w:themeColor="text1"/>
          <w:lang w:val="fr-FR"/>
        </w:rPr>
        <w:t>’</w:t>
      </w:r>
      <w:r w:rsidRPr="00AC7E46">
        <w:rPr>
          <w:color w:val="000000" w:themeColor="text1"/>
          <w:lang w:val="fr-FR"/>
        </w:rPr>
        <w:t>évaluation a reconnu que les effets du projet peuvent se produire longtemps après le cycle de mise en œuvre du projet et, partant, les responsables devraient investir dans la durabilité des résultats (p.</w:t>
      </w:r>
      <w:r w:rsidR="006F1D4B" w:rsidRPr="00AC7E46">
        <w:rPr>
          <w:color w:val="000000" w:themeColor="text1"/>
          <w:lang w:val="fr-FR"/>
        </w:rPr>
        <w:t> </w:t>
      </w:r>
      <w:r w:rsidRPr="00AC7E46">
        <w:rPr>
          <w:color w:val="000000" w:themeColor="text1"/>
          <w:lang w:val="fr-FR"/>
        </w:rPr>
        <w:t>ex.</w:t>
      </w:r>
      <w:r w:rsidR="006F1D4B" w:rsidRPr="00AC7E46">
        <w:rPr>
          <w:color w:val="000000" w:themeColor="text1"/>
          <w:lang w:val="fr-FR"/>
        </w:rPr>
        <w:t> </w:t>
      </w:r>
      <w:r w:rsidRPr="00AC7E46">
        <w:rPr>
          <w:color w:val="000000" w:themeColor="text1"/>
          <w:lang w:val="fr-FR"/>
        </w:rPr>
        <w:t>produits champions, renforcement des capacités institutionnelles, financement durable d</w:t>
      </w:r>
      <w:r w:rsidR="00761289" w:rsidRPr="00AC7E46">
        <w:rPr>
          <w:color w:val="000000" w:themeColor="text1"/>
          <w:lang w:val="fr-FR"/>
        </w:rPr>
        <w:t>’</w:t>
      </w:r>
      <w:r w:rsidRPr="00AC7E46">
        <w:rPr>
          <w:color w:val="000000" w:themeColor="text1"/>
          <w:lang w:val="fr-FR"/>
        </w:rPr>
        <w:t>activités de recherc</w:t>
      </w:r>
      <w:r w:rsidR="00AC7E46" w:rsidRPr="00AC7E46">
        <w:rPr>
          <w:color w:val="000000" w:themeColor="text1"/>
          <w:lang w:val="fr-FR"/>
        </w:rPr>
        <w:t>he).  En</w:t>
      </w:r>
      <w:r w:rsidRPr="00AC7E46">
        <w:rPr>
          <w:color w:val="000000" w:themeColor="text1"/>
          <w:lang w:val="fr-FR"/>
        </w:rPr>
        <w:t>fin, les futurs projets devraient prendre des mesures pour garantir une diffusion plus large (à l</w:t>
      </w:r>
      <w:r w:rsidR="00761289" w:rsidRPr="00AC7E46">
        <w:rPr>
          <w:color w:val="000000" w:themeColor="text1"/>
          <w:lang w:val="fr-FR"/>
        </w:rPr>
        <w:t>’</w:t>
      </w:r>
      <w:r w:rsidRPr="00AC7E46">
        <w:rPr>
          <w:color w:val="000000" w:themeColor="text1"/>
          <w:lang w:val="fr-FR"/>
        </w:rPr>
        <w:t>échelle nationale et mondiale) des résultats positifs par l</w:t>
      </w:r>
      <w:r w:rsidR="00761289" w:rsidRPr="00AC7E46">
        <w:rPr>
          <w:color w:val="000000" w:themeColor="text1"/>
          <w:lang w:val="fr-FR"/>
        </w:rPr>
        <w:t>’</w:t>
      </w:r>
      <w:r w:rsidRPr="00AC7E46">
        <w:rPr>
          <w:color w:val="000000" w:themeColor="text1"/>
          <w:lang w:val="fr-FR"/>
        </w:rPr>
        <w:t>intermédiaire des réseaux sociaux, de webinaires, de blogs, d</w:t>
      </w:r>
      <w:r w:rsidR="00761289" w:rsidRPr="00AC7E46">
        <w:rPr>
          <w:color w:val="000000" w:themeColor="text1"/>
          <w:lang w:val="fr-FR"/>
        </w:rPr>
        <w:t>’</w:t>
      </w:r>
      <w:r w:rsidRPr="00AC7E46">
        <w:rPr>
          <w:color w:val="000000" w:themeColor="text1"/>
          <w:lang w:val="fr-FR"/>
        </w:rPr>
        <w:t>articles de presse et de revues universitaires.</w:t>
      </w:r>
    </w:p>
    <w:p w14:paraId="2A434ECE" w14:textId="40A05C2D" w:rsidR="000D5281" w:rsidRPr="00AC7E46" w:rsidRDefault="00F917C1" w:rsidP="00F4635E">
      <w:pPr>
        <w:pStyle w:val="Heading2"/>
      </w:pPr>
      <w:r>
        <w:t>E</w:t>
      </w:r>
      <w:r w:rsidRPr="00AC7E46">
        <w:t>nseignements tirés de la mise en œuvre des initiatives de l’OMPI en faveur de l’autonomisation des femmes chefs d’entreprise</w:t>
      </w:r>
    </w:p>
    <w:p w14:paraId="081A5C48" w14:textId="4358CDA8" w:rsidR="000D5281" w:rsidRPr="00AC7E46" w:rsidRDefault="000D5281" w:rsidP="00D31722">
      <w:pPr>
        <w:pStyle w:val="ONUMFS"/>
        <w:rPr>
          <w:lang w:val="fr-FR"/>
        </w:rPr>
      </w:pPr>
      <w:r w:rsidRPr="00AC7E46">
        <w:rPr>
          <w:color w:val="000000" w:themeColor="text1"/>
          <w:lang w:val="fr-FR"/>
        </w:rPr>
        <w:t>L</w:t>
      </w:r>
      <w:r w:rsidR="00761289" w:rsidRPr="00AC7E46">
        <w:rPr>
          <w:color w:val="000000" w:themeColor="text1"/>
          <w:lang w:val="fr-FR"/>
        </w:rPr>
        <w:t>’</w:t>
      </w:r>
      <w:r w:rsidRPr="00AC7E46">
        <w:rPr>
          <w:color w:val="000000" w:themeColor="text1"/>
          <w:lang w:val="fr-FR"/>
        </w:rPr>
        <w:t>évaluation faisait partie de la première phase d</w:t>
      </w:r>
      <w:r w:rsidR="00761289" w:rsidRPr="00AC7E46">
        <w:rPr>
          <w:color w:val="000000" w:themeColor="text1"/>
          <w:lang w:val="fr-FR"/>
        </w:rPr>
        <w:t>’</w:t>
      </w:r>
      <w:r w:rsidRPr="00AC7E46">
        <w:rPr>
          <w:color w:val="000000" w:themeColor="text1"/>
          <w:lang w:val="fr-FR"/>
        </w:rPr>
        <w:t>une évaluation de l</w:t>
      </w:r>
      <w:r w:rsidR="00761289" w:rsidRPr="00AC7E46">
        <w:rPr>
          <w:color w:val="000000" w:themeColor="text1"/>
          <w:lang w:val="fr-FR"/>
        </w:rPr>
        <w:t>’</w:t>
      </w:r>
      <w:r w:rsidRPr="00AC7E46">
        <w:rPr>
          <w:color w:val="000000" w:themeColor="text1"/>
          <w:lang w:val="fr-FR"/>
        </w:rPr>
        <w:t>impact des initiatives de l</w:t>
      </w:r>
      <w:r w:rsidR="00761289" w:rsidRPr="00AC7E46">
        <w:rPr>
          <w:color w:val="000000" w:themeColor="text1"/>
          <w:lang w:val="fr-FR"/>
        </w:rPr>
        <w:t>’</w:t>
      </w:r>
      <w:r w:rsidRPr="00AC7E46">
        <w:rPr>
          <w:color w:val="000000" w:themeColor="text1"/>
          <w:lang w:val="fr-FR"/>
        </w:rPr>
        <w:t>OMPI en faveur des femmes chefs d</w:t>
      </w:r>
      <w:r w:rsidR="00761289" w:rsidRPr="00AC7E46">
        <w:rPr>
          <w:color w:val="000000" w:themeColor="text1"/>
          <w:lang w:val="fr-FR"/>
        </w:rPr>
        <w:t>’</w:t>
      </w:r>
      <w:r w:rsidRPr="00AC7E46">
        <w:rPr>
          <w:color w:val="000000" w:themeColor="text1"/>
          <w:lang w:val="fr-FR"/>
        </w:rPr>
        <w:t>entrepri</w:t>
      </w:r>
      <w:r w:rsidR="00AC7E46" w:rsidRPr="00AC7E46">
        <w:rPr>
          <w:color w:val="000000" w:themeColor="text1"/>
          <w:lang w:val="fr-FR"/>
        </w:rPr>
        <w:t>se.  El</w:t>
      </w:r>
      <w:r w:rsidRPr="00AC7E46">
        <w:rPr>
          <w:color w:val="000000" w:themeColor="text1"/>
          <w:lang w:val="fr-FR"/>
        </w:rPr>
        <w:t>le visait à recenser les interventions qui seront examinées au cours de la seconde phase de l</w:t>
      </w:r>
      <w:r w:rsidR="00761289" w:rsidRPr="00AC7E46">
        <w:rPr>
          <w:color w:val="000000" w:themeColor="text1"/>
          <w:lang w:val="fr-FR"/>
        </w:rPr>
        <w:t>’</w:t>
      </w:r>
      <w:r w:rsidRPr="00AC7E46">
        <w:rPr>
          <w:color w:val="000000" w:themeColor="text1"/>
          <w:lang w:val="fr-FR"/>
        </w:rPr>
        <w:t>évaluati</w:t>
      </w:r>
      <w:r w:rsidR="00AC7E46" w:rsidRPr="00AC7E46">
        <w:rPr>
          <w:color w:val="000000" w:themeColor="text1"/>
          <w:lang w:val="fr-FR"/>
        </w:rPr>
        <w:t>on.  Le</w:t>
      </w:r>
      <w:r w:rsidRPr="00AC7E46">
        <w:rPr>
          <w:color w:val="000000" w:themeColor="text1"/>
          <w:lang w:val="fr-FR"/>
        </w:rPr>
        <w:t xml:space="preserve"> présent rapport avait également pour but d</w:t>
      </w:r>
      <w:r w:rsidR="00761289" w:rsidRPr="00AC7E46">
        <w:rPr>
          <w:color w:val="000000" w:themeColor="text1"/>
          <w:lang w:val="fr-FR"/>
        </w:rPr>
        <w:t>’</w:t>
      </w:r>
      <w:r w:rsidRPr="00AC7E46">
        <w:rPr>
          <w:color w:val="000000" w:themeColor="text1"/>
          <w:lang w:val="fr-FR"/>
        </w:rPr>
        <w:t>aider les chefs de service de l</w:t>
      </w:r>
      <w:r w:rsidR="00761289" w:rsidRPr="00AC7E46">
        <w:rPr>
          <w:color w:val="000000" w:themeColor="text1"/>
          <w:lang w:val="fr-FR"/>
        </w:rPr>
        <w:t>’</w:t>
      </w:r>
      <w:r w:rsidRPr="00AC7E46">
        <w:rPr>
          <w:color w:val="000000" w:themeColor="text1"/>
          <w:lang w:val="fr-FR"/>
        </w:rPr>
        <w:t>OMPI à fixer un ordre de priorité pour les initiatives destinées à soutenir les femmes chefs d</w:t>
      </w:r>
      <w:r w:rsidR="00761289" w:rsidRPr="00AC7E46">
        <w:rPr>
          <w:color w:val="000000" w:themeColor="text1"/>
          <w:lang w:val="fr-FR"/>
        </w:rPr>
        <w:t>’</w:t>
      </w:r>
      <w:r w:rsidRPr="00AC7E46">
        <w:rPr>
          <w:color w:val="000000" w:themeColor="text1"/>
          <w:lang w:val="fr-FR"/>
        </w:rPr>
        <w:t>entreprise et à aider les membres du personnel durant leur mise en œuv</w:t>
      </w:r>
      <w:r w:rsidR="00AC7E46" w:rsidRPr="00AC7E46">
        <w:rPr>
          <w:color w:val="000000" w:themeColor="text1"/>
          <w:lang w:val="fr-FR"/>
        </w:rPr>
        <w:t>re.  La</w:t>
      </w:r>
      <w:r w:rsidRPr="00AC7E46">
        <w:rPr>
          <w:color w:val="000000" w:themeColor="text1"/>
          <w:lang w:val="fr-FR"/>
        </w:rPr>
        <w:t xml:space="preserve"> cartographie a donné un aperçu des initiatives de l</w:t>
      </w:r>
      <w:r w:rsidR="00761289" w:rsidRPr="00AC7E46">
        <w:rPr>
          <w:color w:val="000000" w:themeColor="text1"/>
          <w:lang w:val="fr-FR"/>
        </w:rPr>
        <w:t>’</w:t>
      </w:r>
      <w:r w:rsidRPr="00AC7E46">
        <w:rPr>
          <w:color w:val="000000" w:themeColor="text1"/>
          <w:lang w:val="fr-FR"/>
        </w:rPr>
        <w:t>OMPI en faveur des femmes chefs d</w:t>
      </w:r>
      <w:r w:rsidR="00761289" w:rsidRPr="00AC7E46">
        <w:rPr>
          <w:color w:val="000000" w:themeColor="text1"/>
          <w:lang w:val="fr-FR"/>
        </w:rPr>
        <w:t>’</w:t>
      </w:r>
      <w:r w:rsidRPr="00AC7E46">
        <w:rPr>
          <w:color w:val="000000" w:themeColor="text1"/>
          <w:lang w:val="fr-FR"/>
        </w:rPr>
        <w:t>entreprise qui ont été mises en œuvre entre 2018 et 2022.</w:t>
      </w:r>
    </w:p>
    <w:p w14:paraId="685DA08D" w14:textId="6CFE9BA2" w:rsidR="000D5281" w:rsidRPr="00AC7E46" w:rsidRDefault="000D5281" w:rsidP="00D31722">
      <w:pPr>
        <w:pStyle w:val="ONUMFS"/>
        <w:rPr>
          <w:lang w:val="fr-FR"/>
        </w:rPr>
      </w:pPr>
      <w:r w:rsidRPr="00AC7E46">
        <w:rPr>
          <w:color w:val="000000" w:themeColor="text1"/>
          <w:lang w:val="fr-FR"/>
        </w:rPr>
        <w:t>Le rapport a tiré des enseignements préliminaires qui pourraient aider l</w:t>
      </w:r>
      <w:r w:rsidR="00761289" w:rsidRPr="00AC7E46">
        <w:rPr>
          <w:color w:val="000000" w:themeColor="text1"/>
          <w:lang w:val="fr-FR"/>
        </w:rPr>
        <w:t>’</w:t>
      </w:r>
      <w:r w:rsidRPr="00AC7E46">
        <w:rPr>
          <w:color w:val="000000" w:themeColor="text1"/>
          <w:lang w:val="fr-FR"/>
        </w:rPr>
        <w:t>OMPI à renforcer son impact sur les piliers de fondation de la maison stratégique, le nouveau Plan d</w:t>
      </w:r>
      <w:r w:rsidR="00761289" w:rsidRPr="00AC7E46">
        <w:rPr>
          <w:color w:val="000000" w:themeColor="text1"/>
          <w:lang w:val="fr-FR"/>
        </w:rPr>
        <w:t>’</w:t>
      </w:r>
      <w:r w:rsidRPr="00AC7E46">
        <w:rPr>
          <w:color w:val="000000" w:themeColor="text1"/>
          <w:lang w:val="fr-FR"/>
        </w:rPr>
        <w:t>action en matière d</w:t>
      </w:r>
      <w:r w:rsidR="00761289" w:rsidRPr="00AC7E46">
        <w:rPr>
          <w:color w:val="000000" w:themeColor="text1"/>
          <w:lang w:val="fr-FR"/>
        </w:rPr>
        <w:t>’</w:t>
      </w:r>
      <w:r w:rsidRPr="00AC7E46">
        <w:rPr>
          <w:color w:val="000000" w:themeColor="text1"/>
          <w:lang w:val="fr-FR"/>
        </w:rPr>
        <w:t xml:space="preserve">égalité des sexes, les </w:t>
      </w:r>
      <w:r w:rsidR="006F1D4B" w:rsidRPr="00AC7E46">
        <w:rPr>
          <w:color w:val="000000" w:themeColor="text1"/>
          <w:lang w:val="fr-FR"/>
        </w:rPr>
        <w:t>objectifs</w:t>
      </w:r>
      <w:r w:rsidRPr="00AC7E46">
        <w:rPr>
          <w:color w:val="000000" w:themeColor="text1"/>
          <w:lang w:val="fr-FR"/>
        </w:rPr>
        <w:t xml:space="preserve"> de développement durable et, surtout, les avantages pour les femmes chefs d</w:t>
      </w:r>
      <w:r w:rsidR="00761289" w:rsidRPr="00AC7E46">
        <w:rPr>
          <w:color w:val="000000" w:themeColor="text1"/>
          <w:lang w:val="fr-FR"/>
        </w:rPr>
        <w:t>’</w:t>
      </w:r>
      <w:r w:rsidRPr="00AC7E46">
        <w:rPr>
          <w:color w:val="000000" w:themeColor="text1"/>
          <w:lang w:val="fr-FR"/>
        </w:rPr>
        <w:t>entreprise.</w:t>
      </w:r>
      <w:bookmarkStart w:id="30" w:name="_Toc476745979"/>
    </w:p>
    <w:p w14:paraId="6AE53EBA" w14:textId="7A8DA92A" w:rsidR="000D5281" w:rsidRPr="00AC7E46" w:rsidRDefault="00F917C1" w:rsidP="00F917C1">
      <w:pPr>
        <w:pStyle w:val="Heading1"/>
      </w:pPr>
      <w:bookmarkStart w:id="31" w:name="_Toc165888315"/>
      <w:r>
        <w:t>M</w:t>
      </w:r>
      <w:r w:rsidRPr="00AC7E46">
        <w:t>issions lancées en 2023 et reportées au début de 2024</w:t>
      </w:r>
      <w:bookmarkEnd w:id="31"/>
    </w:p>
    <w:p w14:paraId="77A448EC" w14:textId="34F0C8A7" w:rsidR="000D5281" w:rsidRPr="00AC7E46" w:rsidRDefault="00F917C1" w:rsidP="00F4635E">
      <w:pPr>
        <w:pStyle w:val="Heading2"/>
      </w:pPr>
      <w:r>
        <w:t>A</w:t>
      </w:r>
      <w:r w:rsidRPr="00AC7E46">
        <w:t>udit de la gestion des services en nuage</w:t>
      </w:r>
    </w:p>
    <w:p w14:paraId="748E808A" w14:textId="3F1F87A7" w:rsidR="000D5281" w:rsidRPr="00AC7E46" w:rsidRDefault="000D5281" w:rsidP="00D31722">
      <w:pPr>
        <w:pStyle w:val="ONUMFS"/>
        <w:rPr>
          <w:lang w:val="fr-FR" w:eastAsia="en-US"/>
        </w:rPr>
      </w:pPr>
      <w:r w:rsidRPr="00AC7E46">
        <w:rPr>
          <w:lang w:val="fr-FR" w:eastAsia="en-US"/>
        </w:rPr>
        <w:t>Les objectifs de l</w:t>
      </w:r>
      <w:r w:rsidR="00761289" w:rsidRPr="00AC7E46">
        <w:rPr>
          <w:lang w:val="fr-FR" w:eastAsia="en-US"/>
        </w:rPr>
        <w:t>’</w:t>
      </w:r>
      <w:r w:rsidRPr="00AC7E46">
        <w:rPr>
          <w:lang w:val="fr-FR" w:eastAsia="en-US"/>
        </w:rPr>
        <w:t>audit étaient les suivants</w:t>
      </w:r>
      <w:r w:rsidR="00761289" w:rsidRPr="00AC7E46">
        <w:rPr>
          <w:lang w:val="fr-FR" w:eastAsia="en-US"/>
        </w:rPr>
        <w:t> :</w:t>
      </w:r>
      <w:r w:rsidRPr="00AC7E46">
        <w:rPr>
          <w:lang w:val="fr-FR" w:eastAsia="en-US"/>
        </w:rPr>
        <w:t xml:space="preserve"> i) évaluer l</w:t>
      </w:r>
      <w:r w:rsidR="00761289" w:rsidRPr="00AC7E46">
        <w:rPr>
          <w:lang w:val="fr-FR" w:eastAsia="en-US"/>
        </w:rPr>
        <w:t>’</w:t>
      </w:r>
      <w:r w:rsidRPr="00AC7E46">
        <w:rPr>
          <w:lang w:val="fr-FR" w:eastAsia="en-US"/>
        </w:rPr>
        <w:t xml:space="preserve">adéquation de la structure de gouvernance et les politiques et ressources connexes relatives à la gestion des services en nuage; </w:t>
      </w:r>
      <w:r w:rsidR="006F1D4B" w:rsidRPr="00AC7E46">
        <w:rPr>
          <w:lang w:val="fr-FR" w:eastAsia="en-US"/>
        </w:rPr>
        <w:t xml:space="preserve"> </w:t>
      </w:r>
      <w:r w:rsidRPr="00AC7E46">
        <w:rPr>
          <w:lang w:val="fr-FR" w:eastAsia="en-US"/>
        </w:rPr>
        <w:t>ii) vérifier l</w:t>
      </w:r>
      <w:r w:rsidR="00761289" w:rsidRPr="00AC7E46">
        <w:rPr>
          <w:lang w:val="fr-FR" w:eastAsia="en-US"/>
        </w:rPr>
        <w:t>’</w:t>
      </w:r>
      <w:r w:rsidRPr="00AC7E46">
        <w:rPr>
          <w:lang w:val="fr-FR" w:eastAsia="en-US"/>
        </w:rPr>
        <w:t>efficacité des pratiques en matière de gestion des risques afin d</w:t>
      </w:r>
      <w:r w:rsidR="00761289" w:rsidRPr="00AC7E46">
        <w:rPr>
          <w:lang w:val="fr-FR" w:eastAsia="en-US"/>
        </w:rPr>
        <w:t>’</w:t>
      </w:r>
      <w:r w:rsidRPr="00AC7E46">
        <w:rPr>
          <w:lang w:val="fr-FR" w:eastAsia="en-US"/>
        </w:rPr>
        <w:t xml:space="preserve">évaluer, notamment, les menaces et les vulnérabilités avant et après la mise en œuvre des services en nuage; </w:t>
      </w:r>
      <w:r w:rsidR="006F1D4B" w:rsidRPr="00AC7E46">
        <w:rPr>
          <w:lang w:val="fr-FR" w:eastAsia="en-US"/>
        </w:rPr>
        <w:t xml:space="preserve"> </w:t>
      </w:r>
      <w:r w:rsidRPr="00AC7E46">
        <w:rPr>
          <w:lang w:val="fr-FR" w:eastAsia="en-US"/>
        </w:rPr>
        <w:t>et iii) évaluer l</w:t>
      </w:r>
      <w:r w:rsidR="00761289" w:rsidRPr="00AC7E46">
        <w:rPr>
          <w:lang w:val="fr-FR" w:eastAsia="en-US"/>
        </w:rPr>
        <w:t>’</w:t>
      </w:r>
      <w:r w:rsidRPr="00AC7E46">
        <w:rPr>
          <w:lang w:val="fr-FR" w:eastAsia="en-US"/>
        </w:rPr>
        <w:t>efficacité des contrôles des services en nuage actuellement utilisés en ce qui concerne, entre autres choses, la sécurité de l</w:t>
      </w:r>
      <w:r w:rsidR="00761289" w:rsidRPr="00AC7E46">
        <w:rPr>
          <w:lang w:val="fr-FR" w:eastAsia="en-US"/>
        </w:rPr>
        <w:t>’</w:t>
      </w:r>
      <w:r w:rsidRPr="00AC7E46">
        <w:rPr>
          <w:lang w:val="fr-FR" w:eastAsia="en-US"/>
        </w:rPr>
        <w:t xml:space="preserve">information, </w:t>
      </w:r>
      <w:r w:rsidR="00761289" w:rsidRPr="00AC7E46">
        <w:rPr>
          <w:lang w:val="fr-FR" w:eastAsia="en-US"/>
        </w:rPr>
        <w:t>à savoir</w:t>
      </w:r>
      <w:r w:rsidRPr="00AC7E46">
        <w:rPr>
          <w:lang w:val="fr-FR" w:eastAsia="en-US"/>
        </w:rPr>
        <w:t xml:space="preserve"> la confidentialité, l</w:t>
      </w:r>
      <w:r w:rsidR="00761289" w:rsidRPr="00AC7E46">
        <w:rPr>
          <w:lang w:val="fr-FR" w:eastAsia="en-US"/>
        </w:rPr>
        <w:t>’</w:t>
      </w:r>
      <w:r w:rsidRPr="00AC7E46">
        <w:rPr>
          <w:lang w:val="fr-FR" w:eastAsia="en-US"/>
        </w:rPr>
        <w:t>intégrité et la disponibilité des données de l</w:t>
      </w:r>
      <w:r w:rsidR="00761289" w:rsidRPr="00AC7E46">
        <w:rPr>
          <w:lang w:val="fr-FR" w:eastAsia="en-US"/>
        </w:rPr>
        <w:t>’</w:t>
      </w:r>
      <w:r w:rsidRPr="00AC7E46">
        <w:rPr>
          <w:lang w:val="fr-FR" w:eastAsia="en-US"/>
        </w:rPr>
        <w:t>OMPI.</w:t>
      </w:r>
    </w:p>
    <w:p w14:paraId="19E62340" w14:textId="7EA57EE6" w:rsidR="000D5281" w:rsidRPr="00AC7E46" w:rsidRDefault="000D5281" w:rsidP="00D31722">
      <w:pPr>
        <w:pStyle w:val="ONUMFS"/>
        <w:rPr>
          <w:lang w:val="fr-FR"/>
        </w:rPr>
      </w:pPr>
      <w:r w:rsidRPr="00AC7E46">
        <w:rPr>
          <w:lang w:val="fr-FR" w:eastAsia="en-US"/>
        </w:rPr>
        <w:t>L</w:t>
      </w:r>
      <w:r w:rsidR="00761289" w:rsidRPr="00AC7E46">
        <w:rPr>
          <w:lang w:val="fr-FR" w:eastAsia="en-US"/>
        </w:rPr>
        <w:t>’</w:t>
      </w:r>
      <w:r w:rsidRPr="00AC7E46">
        <w:rPr>
          <w:lang w:val="fr-FR" w:eastAsia="en-US"/>
        </w:rPr>
        <w:t>audit a également évalué le degré de maturité actuel de la gestion de l</w:t>
      </w:r>
      <w:r w:rsidR="00761289" w:rsidRPr="00AC7E46">
        <w:rPr>
          <w:lang w:val="fr-FR" w:eastAsia="en-US"/>
        </w:rPr>
        <w:t>’</w:t>
      </w:r>
      <w:r w:rsidRPr="00AC7E46">
        <w:rPr>
          <w:lang w:val="fr-FR" w:eastAsia="en-US"/>
        </w:rPr>
        <w:t>informatique en nuage pour les trois</w:t>
      </w:r>
      <w:r w:rsidR="006F1D4B" w:rsidRPr="00AC7E46">
        <w:rPr>
          <w:lang w:val="fr-FR" w:eastAsia="en-US"/>
        </w:rPr>
        <w:t> </w:t>
      </w:r>
      <w:r w:rsidRPr="00AC7E46">
        <w:rPr>
          <w:lang w:val="fr-FR" w:eastAsia="en-US"/>
        </w:rPr>
        <w:t>principaux modèles de services en nuage</w:t>
      </w:r>
      <w:r w:rsidR="00761289" w:rsidRPr="00AC7E46">
        <w:rPr>
          <w:lang w:val="fr-FR" w:eastAsia="en-US"/>
        </w:rPr>
        <w:t> :</w:t>
      </w:r>
      <w:r w:rsidRPr="00AC7E46">
        <w:rPr>
          <w:lang w:val="fr-FR" w:eastAsia="en-US"/>
        </w:rPr>
        <w:t xml:space="preserve"> Infrastructure en tant que service (IaaS), Plateforme en tant que service (PaaS) et Logiciel en tant que service (SaaS), pour recenser les possibilités de renforcer l</w:t>
      </w:r>
      <w:r w:rsidR="00761289" w:rsidRPr="00AC7E46">
        <w:rPr>
          <w:lang w:val="fr-FR" w:eastAsia="en-US"/>
        </w:rPr>
        <w:t>’</w:t>
      </w:r>
      <w:r w:rsidRPr="00AC7E46">
        <w:rPr>
          <w:lang w:val="fr-FR" w:eastAsia="en-US"/>
        </w:rPr>
        <w:t>utilisation et la gestion des services en nuage au sein de l</w:t>
      </w:r>
      <w:r w:rsidR="00761289" w:rsidRPr="00AC7E46">
        <w:rPr>
          <w:lang w:val="fr-FR" w:eastAsia="en-US"/>
        </w:rPr>
        <w:t>’</w:t>
      </w:r>
      <w:r w:rsidRPr="00AC7E46">
        <w:rPr>
          <w:lang w:val="fr-FR" w:eastAsia="en-US"/>
        </w:rPr>
        <w:t>OMPI.</w:t>
      </w:r>
    </w:p>
    <w:p w14:paraId="2CE2FE21" w14:textId="6E835A7F" w:rsidR="000D5281" w:rsidRPr="00AC7E46" w:rsidRDefault="000D5281" w:rsidP="00D31722">
      <w:pPr>
        <w:pStyle w:val="ONUMFS"/>
        <w:rPr>
          <w:lang w:val="fr-FR"/>
        </w:rPr>
      </w:pPr>
      <w:r w:rsidRPr="00AC7E46">
        <w:rPr>
          <w:lang w:val="fr-FR" w:eastAsia="en-US"/>
        </w:rPr>
        <w:t>L</w:t>
      </w:r>
      <w:r w:rsidR="00761289" w:rsidRPr="00AC7E46">
        <w:rPr>
          <w:lang w:val="fr-FR" w:eastAsia="en-US"/>
        </w:rPr>
        <w:t>’</w:t>
      </w:r>
      <w:r w:rsidRPr="00AC7E46">
        <w:rPr>
          <w:lang w:val="fr-FR" w:eastAsia="en-US"/>
        </w:rPr>
        <w:t>audit a conclu que l</w:t>
      </w:r>
      <w:r w:rsidR="00761289" w:rsidRPr="00AC7E46">
        <w:rPr>
          <w:lang w:val="fr-FR" w:eastAsia="en-US"/>
        </w:rPr>
        <w:t>’</w:t>
      </w:r>
      <w:r w:rsidRPr="00AC7E46">
        <w:rPr>
          <w:lang w:val="fr-FR" w:eastAsia="en-US"/>
        </w:rPr>
        <w:t>Organisation a défini une orientation stratégique pour la gestion des services en nuage et élaboré une politique relative à l</w:t>
      </w:r>
      <w:r w:rsidR="00761289" w:rsidRPr="00AC7E46">
        <w:rPr>
          <w:lang w:val="fr-FR" w:eastAsia="en-US"/>
        </w:rPr>
        <w:t>’</w:t>
      </w:r>
      <w:r w:rsidRPr="00AC7E46">
        <w:rPr>
          <w:lang w:val="fr-FR" w:eastAsia="en-US"/>
        </w:rPr>
        <w:t>hébergement en nuage, mis en œuvre une procédure structurée de gestion des risques afin de gérer les risques de sécurité liés au fournisseur de services, et pris des mesures appropriées pour garantir le contrôle de la sécurité du réseau, de la protection des données et de la gestion de l</w:t>
      </w:r>
      <w:r w:rsidR="00761289" w:rsidRPr="00AC7E46">
        <w:rPr>
          <w:lang w:val="fr-FR" w:eastAsia="en-US"/>
        </w:rPr>
        <w:t>’</w:t>
      </w:r>
      <w:r w:rsidRPr="00AC7E46">
        <w:rPr>
          <w:lang w:val="fr-FR" w:eastAsia="en-US"/>
        </w:rPr>
        <w:t>identité et de l</w:t>
      </w:r>
      <w:r w:rsidR="00761289" w:rsidRPr="00AC7E46">
        <w:rPr>
          <w:lang w:val="fr-FR" w:eastAsia="en-US"/>
        </w:rPr>
        <w:t>’</w:t>
      </w:r>
      <w:r w:rsidRPr="00AC7E46">
        <w:rPr>
          <w:lang w:val="fr-FR" w:eastAsia="en-US"/>
        </w:rPr>
        <w:t>accès, notamment.</w:t>
      </w:r>
    </w:p>
    <w:p w14:paraId="1B3C1474" w14:textId="71280D7A" w:rsidR="000D5281" w:rsidRPr="00AC7E46" w:rsidRDefault="000D5281" w:rsidP="00D31722">
      <w:pPr>
        <w:pStyle w:val="ONUMFS"/>
        <w:rPr>
          <w:lang w:val="fr-FR"/>
        </w:rPr>
      </w:pPr>
      <w:r w:rsidRPr="00AC7E46">
        <w:rPr>
          <w:lang w:val="fr-FR" w:eastAsia="en-US"/>
        </w:rPr>
        <w:t>La DSI a mis en évidence les bonnes pratiques à adopter, telles que la réalisation d</w:t>
      </w:r>
      <w:r w:rsidR="00761289" w:rsidRPr="00AC7E46">
        <w:rPr>
          <w:lang w:val="fr-FR" w:eastAsia="en-US"/>
        </w:rPr>
        <w:t>’</w:t>
      </w:r>
      <w:r w:rsidRPr="00AC7E46">
        <w:rPr>
          <w:lang w:val="fr-FR" w:eastAsia="en-US"/>
        </w:rPr>
        <w:t>examens des performances et d</w:t>
      </w:r>
      <w:r w:rsidR="00761289" w:rsidRPr="00AC7E46">
        <w:rPr>
          <w:lang w:val="fr-FR" w:eastAsia="en-US"/>
        </w:rPr>
        <w:t>’</w:t>
      </w:r>
      <w:r w:rsidRPr="00AC7E46">
        <w:rPr>
          <w:lang w:val="fr-FR" w:eastAsia="en-US"/>
        </w:rPr>
        <w:t>évaluations de sécurité des contrats stratégiques relatifs aux services en nuage, au moins une fois par an, afin de s</w:t>
      </w:r>
      <w:r w:rsidR="00761289" w:rsidRPr="00AC7E46">
        <w:rPr>
          <w:lang w:val="fr-FR" w:eastAsia="en-US"/>
        </w:rPr>
        <w:t>’</w:t>
      </w:r>
      <w:r w:rsidRPr="00AC7E46">
        <w:rPr>
          <w:lang w:val="fr-FR" w:eastAsia="en-US"/>
        </w:rPr>
        <w:t>aligner sur les meilleures pratiques du secte</w:t>
      </w:r>
      <w:r w:rsidR="00AC7E46" w:rsidRPr="00AC7E46">
        <w:rPr>
          <w:lang w:val="fr-FR" w:eastAsia="en-US"/>
        </w:rPr>
        <w:t>ur.  Un</w:t>
      </w:r>
      <w:r w:rsidRPr="00AC7E46">
        <w:rPr>
          <w:lang w:val="fr-FR" w:eastAsia="en-US"/>
        </w:rPr>
        <w:t xml:space="preserve"> nouvel outil a été mis en place pour faciliter ce processus.</w:t>
      </w:r>
    </w:p>
    <w:p w14:paraId="6AE95F29" w14:textId="2E0230DF" w:rsidR="000D5281" w:rsidRPr="00AC7E46" w:rsidRDefault="000D5281" w:rsidP="00D31722">
      <w:pPr>
        <w:pStyle w:val="ONUMFS"/>
        <w:rPr>
          <w:lang w:val="fr-FR"/>
        </w:rPr>
      </w:pPr>
      <w:r w:rsidRPr="00AC7E46">
        <w:rPr>
          <w:lang w:val="fr-FR" w:eastAsia="en-US"/>
        </w:rPr>
        <w:lastRenderedPageBreak/>
        <w:t>La DSI a formulé deux</w:t>
      </w:r>
      <w:r w:rsidR="006F1D4B" w:rsidRPr="00AC7E46">
        <w:rPr>
          <w:lang w:val="fr-FR" w:eastAsia="en-US"/>
        </w:rPr>
        <w:t> </w:t>
      </w:r>
      <w:r w:rsidRPr="00AC7E46">
        <w:rPr>
          <w:lang w:val="fr-FR" w:eastAsia="en-US"/>
        </w:rPr>
        <w:t xml:space="preserve">recommandations, acceptées par la direction, qui seront mises en œuvre </w:t>
      </w:r>
      <w:r w:rsidR="00761289" w:rsidRPr="00AC7E46">
        <w:rPr>
          <w:lang w:val="fr-FR" w:eastAsia="en-US"/>
        </w:rPr>
        <w:t>en 2024</w:t>
      </w:r>
      <w:r w:rsidRPr="00AC7E46">
        <w:rPr>
          <w:lang w:val="fr-FR" w:eastAsia="en-US"/>
        </w:rPr>
        <w:t>.  Elles concernent la mise à jour des documents de gouvernance et l</w:t>
      </w:r>
      <w:r w:rsidR="00761289" w:rsidRPr="00AC7E46">
        <w:rPr>
          <w:lang w:val="fr-FR" w:eastAsia="en-US"/>
        </w:rPr>
        <w:t>’</w:t>
      </w:r>
      <w:r w:rsidRPr="00AC7E46">
        <w:rPr>
          <w:lang w:val="fr-FR" w:eastAsia="en-US"/>
        </w:rPr>
        <w:t>alignement sur les pratiques actuelles, ainsi que la mise à jour du Manuel de gestion des risques de sécurité liés aux fournisseurs de services afin de distinguer clairement les rôles et responsabilités de l</w:t>
      </w:r>
      <w:r w:rsidR="00761289" w:rsidRPr="00AC7E46">
        <w:rPr>
          <w:lang w:val="fr-FR" w:eastAsia="en-US"/>
        </w:rPr>
        <w:t>’</w:t>
      </w:r>
      <w:r w:rsidRPr="00AC7E46">
        <w:rPr>
          <w:lang w:val="fr-FR" w:eastAsia="en-US"/>
        </w:rPr>
        <w:t>OMPI et des fournisseurs de services en nuage.</w:t>
      </w:r>
    </w:p>
    <w:p w14:paraId="15F48A81" w14:textId="393218CC" w:rsidR="000D5281" w:rsidRPr="00AC7E46" w:rsidRDefault="00F917C1" w:rsidP="00F917C1">
      <w:pPr>
        <w:pStyle w:val="Heading1"/>
      </w:pPr>
      <w:bookmarkStart w:id="32" w:name="_Toc165888316"/>
      <w:r>
        <w:t>M</w:t>
      </w:r>
      <w:r w:rsidRPr="00AC7E46">
        <w:t>issions lancées en 2023 et à reporter en 2024</w:t>
      </w:r>
      <w:bookmarkEnd w:id="32"/>
    </w:p>
    <w:p w14:paraId="61722BD6" w14:textId="5FD13572" w:rsidR="000D5281" w:rsidRPr="00AC7E46" w:rsidRDefault="00F917C1" w:rsidP="00F4635E">
      <w:pPr>
        <w:pStyle w:val="Heading2"/>
      </w:pPr>
      <w:r>
        <w:t>A</w:t>
      </w:r>
      <w:r w:rsidRPr="00AC7E46">
        <w:t>udit et évaluation des opérations du PCT et relations avec la clientèle</w:t>
      </w:r>
      <w:r w:rsidR="00520633">
        <w:t> </w:t>
      </w:r>
      <w:r w:rsidRPr="00AC7E46">
        <w:t xml:space="preserve">– </w:t>
      </w:r>
      <w:r>
        <w:t>P</w:t>
      </w:r>
      <w:r w:rsidRPr="00AC7E46">
        <w:t>artie </w:t>
      </w:r>
      <w:r>
        <w:t>II</w:t>
      </w:r>
      <w:r w:rsidRPr="00AC7E46">
        <w:t> : résultats de l’évaluation de la culture du</w:t>
      </w:r>
      <w:r>
        <w:t xml:space="preserve"> PCT </w:t>
      </w:r>
      <w:r w:rsidRPr="00AC7E46">
        <w:t>au</w:t>
      </w:r>
      <w:r w:rsidR="00520633">
        <w:t> </w:t>
      </w:r>
      <w:r w:rsidRPr="00AC7E46">
        <w:t>sein du service à la clientèle</w:t>
      </w:r>
    </w:p>
    <w:p w14:paraId="74089AB0" w14:textId="63F8D085" w:rsidR="000D5281" w:rsidRPr="00AC7E46" w:rsidRDefault="000D5281" w:rsidP="00D31722">
      <w:pPr>
        <w:pStyle w:val="ONUMFS"/>
        <w:rPr>
          <w:lang w:val="fr-FR" w:eastAsia="en-US"/>
        </w:rPr>
      </w:pPr>
      <w:r w:rsidRPr="00AC7E46">
        <w:rPr>
          <w:lang w:val="fr-FR" w:eastAsia="en-US"/>
        </w:rPr>
        <w:t>Les objectifs spécifiques de l</w:t>
      </w:r>
      <w:r w:rsidR="00761289" w:rsidRPr="00AC7E46">
        <w:rPr>
          <w:lang w:val="fr-FR" w:eastAsia="en-US"/>
        </w:rPr>
        <w:t>’</w:t>
      </w:r>
      <w:r w:rsidRPr="00AC7E46">
        <w:rPr>
          <w:lang w:val="fr-FR" w:eastAsia="en-US"/>
        </w:rPr>
        <w:t>évaluation étaient les suivants</w:t>
      </w:r>
      <w:r w:rsidR="00761289" w:rsidRPr="00AC7E46">
        <w:rPr>
          <w:lang w:val="fr-FR" w:eastAsia="en-US"/>
        </w:rPr>
        <w:t> :</w:t>
      </w:r>
      <w:r w:rsidRPr="00AC7E46">
        <w:rPr>
          <w:lang w:val="fr-FR" w:eastAsia="en-US"/>
        </w:rPr>
        <w:t xml:space="preserve"> i) vérifier si la culture du service à la clientèle est mise en œuvre de manière efficace et si elle est alignée sur les objectifs de performance connexes</w:t>
      </w:r>
      <w:r w:rsidR="00761289" w:rsidRPr="00AC7E46">
        <w:rPr>
          <w:lang w:val="fr-FR" w:eastAsia="en-US"/>
        </w:rPr>
        <w:t xml:space="preserve"> du PCT</w:t>
      </w:r>
      <w:r w:rsidRPr="00AC7E46">
        <w:rPr>
          <w:lang w:val="fr-FR" w:eastAsia="en-US"/>
        </w:rPr>
        <w:t>, les résultats escomptés et les piliers stratégiques pertinents</w:t>
      </w:r>
      <w:r w:rsidR="00761289" w:rsidRPr="00AC7E46">
        <w:rPr>
          <w:lang w:val="fr-FR" w:eastAsia="en-US"/>
        </w:rPr>
        <w:t xml:space="preserve"> du PSM</w:t>
      </w:r>
      <w:r w:rsidRPr="00AC7E46">
        <w:rPr>
          <w:lang w:val="fr-FR" w:eastAsia="en-US"/>
        </w:rPr>
        <w:t xml:space="preserve">T de </w:t>
      </w:r>
      <w:proofErr w:type="gramStart"/>
      <w:r w:rsidRPr="00AC7E46">
        <w:rPr>
          <w:lang w:val="fr-FR" w:eastAsia="en-US"/>
        </w:rPr>
        <w:t>l</w:t>
      </w:r>
      <w:r w:rsidR="00761289" w:rsidRPr="00AC7E46">
        <w:rPr>
          <w:lang w:val="fr-FR" w:eastAsia="en-US"/>
        </w:rPr>
        <w:t>’</w:t>
      </w:r>
      <w:r w:rsidRPr="00AC7E46">
        <w:rPr>
          <w:lang w:val="fr-FR" w:eastAsia="en-US"/>
        </w:rPr>
        <w:t xml:space="preserve">Organisation; </w:t>
      </w:r>
      <w:r w:rsidR="006F1D4B" w:rsidRPr="00AC7E46">
        <w:rPr>
          <w:lang w:val="fr-FR" w:eastAsia="en-US"/>
        </w:rPr>
        <w:t xml:space="preserve"> </w:t>
      </w:r>
      <w:r w:rsidRPr="00AC7E46">
        <w:rPr>
          <w:lang w:val="fr-FR" w:eastAsia="en-US"/>
        </w:rPr>
        <w:t>et</w:t>
      </w:r>
      <w:proofErr w:type="gramEnd"/>
      <w:r w:rsidRPr="00AC7E46">
        <w:rPr>
          <w:lang w:val="fr-FR" w:eastAsia="en-US"/>
        </w:rPr>
        <w:t xml:space="preserve"> ii) déterminer les façons d</w:t>
      </w:r>
      <w:r w:rsidR="00761289" w:rsidRPr="00AC7E46">
        <w:rPr>
          <w:lang w:val="fr-FR" w:eastAsia="en-US"/>
        </w:rPr>
        <w:t>’</w:t>
      </w:r>
      <w:r w:rsidRPr="00AC7E46">
        <w:rPr>
          <w:lang w:val="fr-FR" w:eastAsia="en-US"/>
        </w:rPr>
        <w:t>améliorer les services et les relations avec la clientèle grâce à l</w:t>
      </w:r>
      <w:r w:rsidR="00761289" w:rsidRPr="00AC7E46">
        <w:rPr>
          <w:lang w:val="fr-FR" w:eastAsia="en-US"/>
        </w:rPr>
        <w:t>’</w:t>
      </w:r>
      <w:r w:rsidRPr="00AC7E46">
        <w:rPr>
          <w:lang w:val="fr-FR" w:eastAsia="en-US"/>
        </w:rPr>
        <w:t>apprentissage adaptatif et aux sciences du comportement.</w:t>
      </w:r>
    </w:p>
    <w:p w14:paraId="09234C00" w14:textId="048FA6F2" w:rsidR="000D5281" w:rsidRPr="00AC7E46" w:rsidRDefault="000D5281" w:rsidP="00D31722">
      <w:pPr>
        <w:pStyle w:val="ONUMFS"/>
        <w:rPr>
          <w:lang w:val="fr-FR" w:eastAsia="en-US"/>
        </w:rPr>
      </w:pPr>
      <w:r w:rsidRPr="00AC7E46">
        <w:rPr>
          <w:lang w:val="fr-FR" w:eastAsia="en-US"/>
        </w:rPr>
        <w:t>Cet exercice de vérification portait principalement sur le Département des affaires juridiques et internationales</w:t>
      </w:r>
      <w:r w:rsidR="00761289" w:rsidRPr="00AC7E46">
        <w:rPr>
          <w:lang w:val="fr-FR" w:eastAsia="en-US"/>
        </w:rPr>
        <w:t xml:space="preserve"> du PCT</w:t>
      </w:r>
      <w:r w:rsidRPr="00AC7E46">
        <w:rPr>
          <w:lang w:val="fr-FR" w:eastAsia="en-US"/>
        </w:rPr>
        <w:t>, qui est chargé de développer</w:t>
      </w:r>
      <w:r w:rsidR="00761289" w:rsidRPr="00AC7E46">
        <w:rPr>
          <w:lang w:val="fr-FR" w:eastAsia="en-US"/>
        </w:rPr>
        <w:t xml:space="preserve"> le PCT</w:t>
      </w:r>
      <w:r w:rsidRPr="00AC7E46">
        <w:rPr>
          <w:lang w:val="fr-FR" w:eastAsia="en-US"/>
        </w:rPr>
        <w:t xml:space="preserve"> pour en faire l</w:t>
      </w:r>
      <w:r w:rsidR="00761289" w:rsidRPr="00AC7E46">
        <w:rPr>
          <w:lang w:val="fr-FR" w:eastAsia="en-US"/>
        </w:rPr>
        <w:t>’</w:t>
      </w:r>
      <w:r w:rsidRPr="00AC7E46">
        <w:rPr>
          <w:lang w:val="fr-FR" w:eastAsia="en-US"/>
        </w:rPr>
        <w:t>élément central du système international des brevets et de fournir une assistance aux parties prenantes du système</w:t>
      </w:r>
      <w:r w:rsidR="00761289" w:rsidRPr="00AC7E46">
        <w:rPr>
          <w:lang w:val="fr-FR" w:eastAsia="en-US"/>
        </w:rPr>
        <w:t xml:space="preserve"> du PCT</w:t>
      </w:r>
      <w:r w:rsidRPr="00AC7E46">
        <w:rPr>
          <w:lang w:val="fr-FR" w:eastAsia="en-US"/>
        </w:rPr>
        <w:t xml:space="preserve">, </w:t>
      </w:r>
      <w:r w:rsidR="00761289" w:rsidRPr="00AC7E46">
        <w:rPr>
          <w:lang w:val="fr-FR" w:eastAsia="en-US"/>
        </w:rPr>
        <w:t>y compris</w:t>
      </w:r>
      <w:r w:rsidRPr="00AC7E46">
        <w:rPr>
          <w:lang w:val="fr-FR" w:eastAsia="en-US"/>
        </w:rPr>
        <w:t xml:space="preserve"> les États membres, les utilisateurs, les organisations intergouvernementales et les organisations non gouvernementales.</w:t>
      </w:r>
    </w:p>
    <w:p w14:paraId="2A274B6E" w14:textId="596E9EE9" w:rsidR="000D5281" w:rsidRPr="00AC7E46" w:rsidRDefault="000D5281" w:rsidP="00D31722">
      <w:pPr>
        <w:pStyle w:val="ONUMFS"/>
        <w:rPr>
          <w:lang w:val="fr-FR"/>
        </w:rPr>
      </w:pPr>
      <w:r w:rsidRPr="00AC7E46">
        <w:rPr>
          <w:rStyle w:val="normaltextrun"/>
          <w:lang w:val="fr-FR"/>
        </w:rPr>
        <w:t>Les résultats de l</w:t>
      </w:r>
      <w:r w:rsidR="00761289" w:rsidRPr="00AC7E46">
        <w:rPr>
          <w:rStyle w:val="normaltextrun"/>
          <w:lang w:val="fr-FR"/>
        </w:rPr>
        <w:t>’</w:t>
      </w:r>
      <w:r w:rsidRPr="00AC7E46">
        <w:rPr>
          <w:rStyle w:val="normaltextrun"/>
          <w:lang w:val="fr-FR"/>
        </w:rPr>
        <w:t>évaluation feront l</w:t>
      </w:r>
      <w:r w:rsidR="00761289" w:rsidRPr="00AC7E46">
        <w:rPr>
          <w:rStyle w:val="normaltextrun"/>
          <w:lang w:val="fr-FR"/>
        </w:rPr>
        <w:t>’</w:t>
      </w:r>
      <w:r w:rsidRPr="00AC7E46">
        <w:rPr>
          <w:rStyle w:val="normaltextrun"/>
          <w:lang w:val="fr-FR"/>
        </w:rPr>
        <w:t>objet d</w:t>
      </w:r>
      <w:r w:rsidR="00761289" w:rsidRPr="00AC7E46">
        <w:rPr>
          <w:rStyle w:val="normaltextrun"/>
          <w:lang w:val="fr-FR"/>
        </w:rPr>
        <w:t>’</w:t>
      </w:r>
      <w:r w:rsidRPr="00AC7E46">
        <w:rPr>
          <w:rStyle w:val="normaltextrun"/>
          <w:lang w:val="fr-FR"/>
        </w:rPr>
        <w:t xml:space="preserve">un rapport au cours du deuxième trimestre </w:t>
      </w:r>
      <w:r w:rsidR="00761289" w:rsidRPr="00AC7E46">
        <w:rPr>
          <w:rStyle w:val="normaltextrun"/>
          <w:lang w:val="fr-FR"/>
        </w:rPr>
        <w:t>de 2024</w:t>
      </w:r>
      <w:r w:rsidRPr="00AC7E46">
        <w:rPr>
          <w:rStyle w:val="normaltextrun"/>
          <w:lang w:val="fr-FR"/>
        </w:rPr>
        <w:t>.</w:t>
      </w:r>
    </w:p>
    <w:p w14:paraId="408593FA" w14:textId="198449D8" w:rsidR="000D5281" w:rsidRPr="00AC7E46" w:rsidRDefault="00F917C1" w:rsidP="00F4635E">
      <w:pPr>
        <w:pStyle w:val="Heading2"/>
      </w:pPr>
      <w:r>
        <w:t>F</w:t>
      </w:r>
      <w:r w:rsidRPr="00AC7E46">
        <w:t>emmes chefs d’entreprise – évaluation de l’impact – phase deux</w:t>
      </w:r>
    </w:p>
    <w:p w14:paraId="5F8AAF91" w14:textId="325E8768" w:rsidR="000D5281" w:rsidRPr="00AC7E46" w:rsidRDefault="000D5281" w:rsidP="00D31722">
      <w:pPr>
        <w:pStyle w:val="ONUMFS"/>
        <w:rPr>
          <w:rStyle w:val="normaltextrun"/>
          <w:lang w:val="fr-FR"/>
        </w:rPr>
      </w:pPr>
      <w:r w:rsidRPr="00AC7E46">
        <w:rPr>
          <w:rStyle w:val="normaltextrun"/>
          <w:lang w:val="fr-FR"/>
        </w:rPr>
        <w:t>L</w:t>
      </w:r>
      <w:r w:rsidR="00761289" w:rsidRPr="00AC7E46">
        <w:rPr>
          <w:rStyle w:val="normaltextrun"/>
          <w:lang w:val="fr-FR"/>
        </w:rPr>
        <w:t>’</w:t>
      </w:r>
      <w:r w:rsidRPr="00AC7E46">
        <w:rPr>
          <w:rStyle w:val="normaltextrun"/>
          <w:lang w:val="fr-FR"/>
        </w:rPr>
        <w:t>évaluation couvrait trois</w:t>
      </w:r>
      <w:r w:rsidR="006F1D4B" w:rsidRPr="00AC7E46">
        <w:rPr>
          <w:rStyle w:val="normaltextrun"/>
          <w:lang w:val="fr-FR"/>
        </w:rPr>
        <w:t> </w:t>
      </w:r>
      <w:r w:rsidRPr="00AC7E46">
        <w:rPr>
          <w:rStyle w:val="normaltextrun"/>
          <w:lang w:val="fr-FR"/>
        </w:rPr>
        <w:t>projets sélectionnés dans un large portefeuille de projets sur l</w:t>
      </w:r>
      <w:r w:rsidR="00761289" w:rsidRPr="00AC7E46">
        <w:rPr>
          <w:rStyle w:val="normaltextrun"/>
          <w:lang w:val="fr-FR"/>
        </w:rPr>
        <w:t>’</w:t>
      </w:r>
      <w:r w:rsidRPr="00AC7E46">
        <w:rPr>
          <w:rStyle w:val="normaltextrun"/>
          <w:lang w:val="fr-FR"/>
        </w:rPr>
        <w:t>égalité des sexes parmi les chefs d</w:t>
      </w:r>
      <w:r w:rsidR="00761289" w:rsidRPr="00AC7E46">
        <w:rPr>
          <w:rStyle w:val="normaltextrun"/>
          <w:lang w:val="fr-FR"/>
        </w:rPr>
        <w:t>’</w:t>
      </w:r>
      <w:r w:rsidRPr="00AC7E46">
        <w:rPr>
          <w:rStyle w:val="normaltextrun"/>
          <w:lang w:val="fr-FR"/>
        </w:rPr>
        <w:t>entreprise au niveau de l</w:t>
      </w:r>
      <w:r w:rsidR="00761289" w:rsidRPr="00AC7E46">
        <w:rPr>
          <w:rStyle w:val="normaltextrun"/>
          <w:lang w:val="fr-FR"/>
        </w:rPr>
        <w:t>’</w:t>
      </w:r>
      <w:r w:rsidRPr="00AC7E46">
        <w:rPr>
          <w:rStyle w:val="normaltextrun"/>
          <w:lang w:val="fr-FR"/>
        </w:rPr>
        <w:t>Organisati</w:t>
      </w:r>
      <w:r w:rsidR="00AC7E46" w:rsidRPr="00AC7E46">
        <w:rPr>
          <w:rStyle w:val="normaltextrun"/>
          <w:lang w:val="fr-FR"/>
        </w:rPr>
        <w:t>on.  Le</w:t>
      </w:r>
      <w:r w:rsidRPr="00AC7E46">
        <w:rPr>
          <w:rStyle w:val="normaltextrun"/>
          <w:lang w:val="fr-FR"/>
        </w:rPr>
        <w:t>s trois</w:t>
      </w:r>
      <w:r w:rsidR="006F1D4B" w:rsidRPr="00AC7E46">
        <w:rPr>
          <w:rStyle w:val="normaltextrun"/>
          <w:lang w:val="fr-FR"/>
        </w:rPr>
        <w:t> </w:t>
      </w:r>
      <w:r w:rsidRPr="00AC7E46">
        <w:rPr>
          <w:rStyle w:val="normaltextrun"/>
          <w:lang w:val="fr-FR"/>
        </w:rPr>
        <w:t>projets étaient</w:t>
      </w:r>
      <w:r w:rsidR="00761289" w:rsidRPr="00AC7E46">
        <w:rPr>
          <w:rStyle w:val="normaltextrun"/>
          <w:lang w:val="fr-FR"/>
        </w:rPr>
        <w:t> :</w:t>
      </w:r>
      <w:r w:rsidRPr="00AC7E46">
        <w:rPr>
          <w:rStyle w:val="normaltextrun"/>
          <w:lang w:val="fr-FR"/>
        </w:rPr>
        <w:t xml:space="preserve"> la commercialisation des paniers de </w:t>
      </w:r>
      <w:proofErr w:type="spellStart"/>
      <w:r w:rsidRPr="00AC7E46">
        <w:rPr>
          <w:rStyle w:val="normaltextrun"/>
          <w:lang w:val="fr-FR"/>
        </w:rPr>
        <w:t>Chobe</w:t>
      </w:r>
      <w:proofErr w:type="spellEnd"/>
      <w:r w:rsidRPr="00AC7E46">
        <w:rPr>
          <w:rStyle w:val="normaltextrun"/>
          <w:lang w:val="fr-FR"/>
        </w:rPr>
        <w:t xml:space="preserve"> (Botswana), le programme en faveur des femmes chefs d</w:t>
      </w:r>
      <w:r w:rsidR="00761289" w:rsidRPr="00AC7E46">
        <w:rPr>
          <w:rStyle w:val="normaltextrun"/>
          <w:lang w:val="fr-FR"/>
        </w:rPr>
        <w:t>’</w:t>
      </w:r>
      <w:r w:rsidRPr="00AC7E46">
        <w:rPr>
          <w:rStyle w:val="normaltextrun"/>
          <w:lang w:val="fr-FR"/>
        </w:rPr>
        <w:t>entreprise issues de peuples autochtones et de communautés locales et le renforcement du rôle des femmes dans l</w:t>
      </w:r>
      <w:r w:rsidR="00761289" w:rsidRPr="00AC7E46">
        <w:rPr>
          <w:rStyle w:val="normaltextrun"/>
          <w:lang w:val="fr-FR"/>
        </w:rPr>
        <w:t>’</w:t>
      </w:r>
      <w:r w:rsidRPr="00AC7E46">
        <w:rPr>
          <w:rStyle w:val="normaltextrun"/>
          <w:lang w:val="fr-FR"/>
        </w:rPr>
        <w:t>innovation et l</w:t>
      </w:r>
      <w:r w:rsidR="00761289" w:rsidRPr="00AC7E46">
        <w:rPr>
          <w:rStyle w:val="normaltextrun"/>
          <w:lang w:val="fr-FR"/>
        </w:rPr>
        <w:t>’</w:t>
      </w:r>
      <w:r w:rsidRPr="00AC7E46">
        <w:rPr>
          <w:rStyle w:val="normaltextrun"/>
          <w:lang w:val="fr-FR"/>
        </w:rPr>
        <w:t>entrepreneuri</w:t>
      </w:r>
      <w:r w:rsidR="00AC7E46" w:rsidRPr="00AC7E46">
        <w:rPr>
          <w:rStyle w:val="normaltextrun"/>
          <w:lang w:val="fr-FR"/>
        </w:rPr>
        <w:t>at.  Le</w:t>
      </w:r>
      <w:r w:rsidRPr="00AC7E46">
        <w:rPr>
          <w:rStyle w:val="normaltextrun"/>
          <w:lang w:val="fr-FR"/>
        </w:rPr>
        <w:t>s résultats de l</w:t>
      </w:r>
      <w:r w:rsidR="00761289" w:rsidRPr="00AC7E46">
        <w:rPr>
          <w:rStyle w:val="normaltextrun"/>
          <w:lang w:val="fr-FR"/>
        </w:rPr>
        <w:t>’</w:t>
      </w:r>
      <w:r w:rsidRPr="00AC7E46">
        <w:rPr>
          <w:rStyle w:val="normaltextrun"/>
          <w:lang w:val="fr-FR"/>
        </w:rPr>
        <w:t>évaluation feront l</w:t>
      </w:r>
      <w:r w:rsidR="00761289" w:rsidRPr="00AC7E46">
        <w:rPr>
          <w:rStyle w:val="normaltextrun"/>
          <w:lang w:val="fr-FR"/>
        </w:rPr>
        <w:t>’</w:t>
      </w:r>
      <w:r w:rsidRPr="00AC7E46">
        <w:rPr>
          <w:rStyle w:val="normaltextrun"/>
          <w:lang w:val="fr-FR"/>
        </w:rPr>
        <w:t>objet d</w:t>
      </w:r>
      <w:r w:rsidR="00761289" w:rsidRPr="00AC7E46">
        <w:rPr>
          <w:rStyle w:val="normaltextrun"/>
          <w:lang w:val="fr-FR"/>
        </w:rPr>
        <w:t>’</w:t>
      </w:r>
      <w:r w:rsidRPr="00AC7E46">
        <w:rPr>
          <w:rStyle w:val="normaltextrun"/>
          <w:lang w:val="fr-FR"/>
        </w:rPr>
        <w:t xml:space="preserve">un rapport </w:t>
      </w:r>
      <w:r w:rsidR="00761289" w:rsidRPr="00AC7E46">
        <w:rPr>
          <w:rStyle w:val="normaltextrun"/>
          <w:lang w:val="fr-FR"/>
        </w:rPr>
        <w:t>en 2024</w:t>
      </w:r>
      <w:r w:rsidRPr="00AC7E46">
        <w:rPr>
          <w:rStyle w:val="normaltextrun"/>
          <w:lang w:val="fr-FR"/>
        </w:rPr>
        <w:t>.</w:t>
      </w:r>
    </w:p>
    <w:p w14:paraId="667E2E08" w14:textId="578794AD" w:rsidR="000D5281" w:rsidRPr="00AC7E46" w:rsidRDefault="00F917C1" w:rsidP="00F4635E">
      <w:pPr>
        <w:pStyle w:val="Heading2"/>
      </w:pPr>
      <w:r>
        <w:t>A</w:t>
      </w:r>
      <w:r w:rsidRPr="00AC7E46">
        <w:t>ctivité de conseil – recours aux sciences du comportement (incitation) pour le projet collaboratif sur la gestion du contenu de l’organisation</w:t>
      </w:r>
    </w:p>
    <w:p w14:paraId="11B8D960" w14:textId="6B77F74A" w:rsidR="000D5281" w:rsidRPr="00AC7E46" w:rsidRDefault="000D5281" w:rsidP="00D31722">
      <w:pPr>
        <w:pStyle w:val="ONUMFS"/>
        <w:rPr>
          <w:lang w:val="fr-FR"/>
        </w:rPr>
      </w:pPr>
      <w:r w:rsidRPr="00AC7E46">
        <w:rPr>
          <w:lang w:val="fr-FR"/>
        </w:rPr>
        <w:t>L</w:t>
      </w:r>
      <w:r w:rsidR="00761289" w:rsidRPr="00AC7E46">
        <w:rPr>
          <w:lang w:val="fr-FR"/>
        </w:rPr>
        <w:t>’</w:t>
      </w:r>
      <w:r w:rsidRPr="00AC7E46">
        <w:rPr>
          <w:lang w:val="fr-FR"/>
        </w:rPr>
        <w:t>objectif de l</w:t>
      </w:r>
      <w:r w:rsidR="00761289" w:rsidRPr="00AC7E46">
        <w:rPr>
          <w:lang w:val="fr-FR"/>
        </w:rPr>
        <w:t>’</w:t>
      </w:r>
      <w:r w:rsidRPr="00AC7E46">
        <w:rPr>
          <w:lang w:val="fr-FR"/>
        </w:rPr>
        <w:t>activité de conseil précitée consiste à conseiller sur l</w:t>
      </w:r>
      <w:r w:rsidR="00761289" w:rsidRPr="00AC7E46">
        <w:rPr>
          <w:lang w:val="fr-FR"/>
        </w:rPr>
        <w:t>’</w:t>
      </w:r>
      <w:r w:rsidRPr="00AC7E46">
        <w:rPr>
          <w:lang w:val="fr-FR"/>
        </w:rPr>
        <w:t>élaboration d</w:t>
      </w:r>
      <w:r w:rsidR="00761289" w:rsidRPr="00AC7E46">
        <w:rPr>
          <w:lang w:val="fr-FR"/>
        </w:rPr>
        <w:t>’</w:t>
      </w:r>
      <w:r w:rsidRPr="00AC7E46">
        <w:rPr>
          <w:lang w:val="fr-FR"/>
        </w:rPr>
        <w:t>une théorie du changement pour l</w:t>
      </w:r>
      <w:r w:rsidR="00761289" w:rsidRPr="00AC7E46">
        <w:rPr>
          <w:lang w:val="fr-FR"/>
        </w:rPr>
        <w:t>’</w:t>
      </w:r>
      <w:r w:rsidRPr="00AC7E46">
        <w:rPr>
          <w:lang w:val="fr-FR"/>
        </w:rPr>
        <w:t>adoption par le personnel de l</w:t>
      </w:r>
      <w:r w:rsidR="00761289" w:rsidRPr="00AC7E46">
        <w:rPr>
          <w:lang w:val="fr-FR"/>
        </w:rPr>
        <w:t>’</w:t>
      </w:r>
      <w:r w:rsidRPr="00AC7E46">
        <w:rPr>
          <w:lang w:val="fr-FR"/>
        </w:rPr>
        <w:t>OMPI des changements introduits dans les services informatiques et dans le processus de numérisation en vue de la numérisation et du partage de lecteurs dans toute l</w:t>
      </w:r>
      <w:r w:rsidR="00761289" w:rsidRPr="00AC7E46">
        <w:rPr>
          <w:lang w:val="fr-FR"/>
        </w:rPr>
        <w:t>’</w:t>
      </w:r>
      <w:r w:rsidRPr="00AC7E46">
        <w:rPr>
          <w:lang w:val="fr-FR"/>
        </w:rPr>
        <w:t>Organisation, ainsi que de l</w:t>
      </w:r>
      <w:r w:rsidR="00761289" w:rsidRPr="00AC7E46">
        <w:rPr>
          <w:lang w:val="fr-FR"/>
        </w:rPr>
        <w:t>’</w:t>
      </w:r>
      <w:r w:rsidRPr="00AC7E46">
        <w:rPr>
          <w:lang w:val="fr-FR"/>
        </w:rPr>
        <w:t>utilisation de capacités accrues pour Tea</w:t>
      </w:r>
      <w:r w:rsidR="00AC7E46" w:rsidRPr="00AC7E46">
        <w:rPr>
          <w:lang w:val="fr-FR"/>
        </w:rPr>
        <w:t>ms.  L’a</w:t>
      </w:r>
      <w:r w:rsidRPr="00AC7E46">
        <w:rPr>
          <w:lang w:val="fr-FR"/>
        </w:rPr>
        <w:t>ctivité de conseil comprend également la conception d</w:t>
      </w:r>
      <w:r w:rsidR="00761289" w:rsidRPr="00AC7E46">
        <w:rPr>
          <w:lang w:val="fr-FR"/>
        </w:rPr>
        <w:t>’</w:t>
      </w:r>
      <w:r w:rsidRPr="00AC7E46">
        <w:rPr>
          <w:lang w:val="fr-FR"/>
        </w:rPr>
        <w:t>incitations pertinentes en vue d</w:t>
      </w:r>
      <w:r w:rsidR="00761289" w:rsidRPr="00AC7E46">
        <w:rPr>
          <w:lang w:val="fr-FR"/>
        </w:rPr>
        <w:t>’</w:t>
      </w:r>
      <w:r w:rsidRPr="00AC7E46">
        <w:rPr>
          <w:lang w:val="fr-FR"/>
        </w:rPr>
        <w:t>améliorer le taux et le rythme d</w:t>
      </w:r>
      <w:r w:rsidR="00761289" w:rsidRPr="00AC7E46">
        <w:rPr>
          <w:lang w:val="fr-FR"/>
        </w:rPr>
        <w:t>’</w:t>
      </w:r>
      <w:r w:rsidRPr="00AC7E46">
        <w:rPr>
          <w:lang w:val="fr-FR"/>
        </w:rPr>
        <w:t>adoption des changements informatiques.</w:t>
      </w:r>
    </w:p>
    <w:p w14:paraId="7B780400" w14:textId="62A9098B" w:rsidR="000D5281" w:rsidRPr="00AC7E46" w:rsidRDefault="000D5281" w:rsidP="00D31722">
      <w:pPr>
        <w:pStyle w:val="ONUMFS"/>
        <w:rPr>
          <w:lang w:val="fr-FR"/>
        </w:rPr>
      </w:pPr>
      <w:r w:rsidRPr="00AC7E46">
        <w:rPr>
          <w:lang w:val="fr-FR"/>
        </w:rPr>
        <w:t>La théorie du changement de l</w:t>
      </w:r>
      <w:r w:rsidR="00761289" w:rsidRPr="00AC7E46">
        <w:rPr>
          <w:lang w:val="fr-FR"/>
        </w:rPr>
        <w:t>’</w:t>
      </w:r>
      <w:r w:rsidRPr="00AC7E46">
        <w:rPr>
          <w:lang w:val="fr-FR"/>
        </w:rPr>
        <w:t xml:space="preserve">activité de conseil a été finalisée </w:t>
      </w:r>
      <w:r w:rsidR="00761289" w:rsidRPr="00AC7E46">
        <w:rPr>
          <w:lang w:val="fr-FR"/>
        </w:rPr>
        <w:t>en 2023</w:t>
      </w:r>
      <w:r w:rsidRPr="00AC7E46">
        <w:rPr>
          <w:lang w:val="fr-FR"/>
        </w:rPr>
        <w:t xml:space="preserve"> et la deuxième partie sur les incitations débutera au cours du premier trimestre </w:t>
      </w:r>
      <w:r w:rsidR="00761289" w:rsidRPr="00AC7E46">
        <w:rPr>
          <w:lang w:val="fr-FR"/>
        </w:rPr>
        <w:t>de 2024</w:t>
      </w:r>
      <w:r w:rsidRPr="00AC7E46">
        <w:rPr>
          <w:lang w:val="fr-FR"/>
        </w:rPr>
        <w:t>.</w:t>
      </w:r>
    </w:p>
    <w:p w14:paraId="463E62D2" w14:textId="2A6EC68C" w:rsidR="000D5281" w:rsidRPr="00AC7E46" w:rsidRDefault="00F917C1" w:rsidP="00F917C1">
      <w:pPr>
        <w:pStyle w:val="Heading1"/>
      </w:pPr>
      <w:bookmarkStart w:id="33" w:name="_Toc39071249"/>
      <w:bookmarkStart w:id="34" w:name="_Toc165888317"/>
      <w:bookmarkStart w:id="35" w:name="_Hlk156899119"/>
      <w:bookmarkStart w:id="36" w:name="_Toc328920437"/>
      <w:bookmarkEnd w:id="30"/>
      <w:r>
        <w:t>A</w:t>
      </w:r>
      <w:r w:rsidRPr="00AC7E46">
        <w:t>ctivités d’enquêtes</w:t>
      </w:r>
      <w:bookmarkEnd w:id="33"/>
      <w:bookmarkEnd w:id="34"/>
    </w:p>
    <w:p w14:paraId="6261DEA4" w14:textId="4D9E4F62" w:rsidR="000D5281" w:rsidRPr="00AC7E46" w:rsidRDefault="00F917C1" w:rsidP="00F4635E">
      <w:pPr>
        <w:pStyle w:val="Heading2"/>
      </w:pPr>
      <w:r>
        <w:t>Aperçu</w:t>
      </w:r>
      <w:r w:rsidRPr="00AC7E46">
        <w:t xml:space="preserve"> des dossiers </w:t>
      </w:r>
      <w:r>
        <w:t>traités</w:t>
      </w:r>
    </w:p>
    <w:p w14:paraId="5FA716F0" w14:textId="6F7D64D0" w:rsidR="000D5281" w:rsidRPr="00AC7E46" w:rsidRDefault="000D5281" w:rsidP="00D31722">
      <w:pPr>
        <w:pStyle w:val="ONUMFS"/>
        <w:rPr>
          <w:lang w:val="fr-FR"/>
        </w:rPr>
      </w:pPr>
      <w:r w:rsidRPr="00AC7E46">
        <w:rPr>
          <w:lang w:val="fr-FR"/>
        </w:rPr>
        <w:t>Au cours de la période considérée, 37 nouvelles plaintes ont été enregistrées (soit une augmentation de 16</w:t>
      </w:r>
      <w:r w:rsidR="006F1D4B" w:rsidRPr="00AC7E46">
        <w:rPr>
          <w:lang w:val="fr-FR"/>
        </w:rPr>
        <w:t>%</w:t>
      </w:r>
      <w:r w:rsidRPr="00AC7E46">
        <w:rPr>
          <w:lang w:val="fr-FR"/>
        </w:rPr>
        <w:t xml:space="preserve"> par rapport à 2022).  Sur les plaintes enregistrées </w:t>
      </w:r>
      <w:r w:rsidR="00761289" w:rsidRPr="00AC7E46">
        <w:rPr>
          <w:lang w:val="fr-FR"/>
        </w:rPr>
        <w:t>en 2023</w:t>
      </w:r>
      <w:r w:rsidRPr="00AC7E46">
        <w:rPr>
          <w:lang w:val="fr-FR"/>
        </w:rPr>
        <w:t>, 10 enquêtes ont été ouvertes, tandis que 23 dossiers ont été clôturés à la suite d</w:t>
      </w:r>
      <w:r w:rsidR="00761289" w:rsidRPr="00AC7E46">
        <w:rPr>
          <w:lang w:val="fr-FR"/>
        </w:rPr>
        <w:t>’</w:t>
      </w:r>
      <w:r w:rsidRPr="00AC7E46">
        <w:rPr>
          <w:lang w:val="fr-FR"/>
        </w:rPr>
        <w:t>une évaluation préliminai</w:t>
      </w:r>
      <w:r w:rsidR="00AC7E46" w:rsidRPr="00AC7E46">
        <w:rPr>
          <w:lang w:val="fr-FR"/>
        </w:rPr>
        <w:t xml:space="preserve">re.  </w:t>
      </w:r>
      <w:r w:rsidR="00AC7E46" w:rsidRPr="00AC7E46">
        <w:rPr>
          <w:lang w:val="fr-FR"/>
        </w:rPr>
        <w:lastRenderedPageBreak/>
        <w:t>Au</w:t>
      </w:r>
      <w:r w:rsidRPr="00AC7E46">
        <w:rPr>
          <w:lang w:val="fr-FR"/>
        </w:rPr>
        <w:t xml:space="preserve"> total, 31 plaintes</w:t>
      </w:r>
      <w:r w:rsidRPr="00AC7E46">
        <w:rPr>
          <w:rStyle w:val="FootnoteReference"/>
          <w:lang w:val="fr-FR"/>
        </w:rPr>
        <w:footnoteReference w:id="9"/>
      </w:r>
      <w:r w:rsidRPr="00AC7E46">
        <w:rPr>
          <w:lang w:val="fr-FR"/>
        </w:rPr>
        <w:t xml:space="preserve"> ont été clôturées après une évaluation préliminaire et 14 enquêtes complètes</w:t>
      </w:r>
      <w:r w:rsidRPr="00AC7E46">
        <w:rPr>
          <w:rStyle w:val="FootnoteReference"/>
          <w:lang w:val="fr-FR"/>
        </w:rPr>
        <w:footnoteReference w:id="10"/>
      </w:r>
      <w:r w:rsidRPr="00AC7E46">
        <w:rPr>
          <w:lang w:val="fr-FR"/>
        </w:rPr>
        <w:t xml:space="preserve"> ont été mené</w:t>
      </w:r>
      <w:r w:rsidR="00AC7E46" w:rsidRPr="00AC7E46">
        <w:rPr>
          <w:lang w:val="fr-FR"/>
        </w:rPr>
        <w:t>es.  Au</w:t>
      </w:r>
      <w:r w:rsidRPr="00AC7E46">
        <w:rPr>
          <w:lang w:val="fr-FR"/>
        </w:rPr>
        <w:t xml:space="preserve"> 31 décembre 2023, 16 dossiers étaient en cours, dont cinq au stade de l</w:t>
      </w:r>
      <w:r w:rsidR="00761289" w:rsidRPr="00AC7E46">
        <w:rPr>
          <w:lang w:val="fr-FR"/>
        </w:rPr>
        <w:t>’</w:t>
      </w:r>
      <w:r w:rsidRPr="00AC7E46">
        <w:rPr>
          <w:lang w:val="fr-FR"/>
        </w:rPr>
        <w:t>évaluation préliminaire, sept au stade de l</w:t>
      </w:r>
      <w:r w:rsidR="00761289" w:rsidRPr="00AC7E46">
        <w:rPr>
          <w:lang w:val="fr-FR"/>
        </w:rPr>
        <w:t>’</w:t>
      </w:r>
      <w:r w:rsidRPr="00AC7E46">
        <w:rPr>
          <w:lang w:val="fr-FR"/>
        </w:rPr>
        <w:t>enquête et quatre étaient en suspens (du fait de l</w:t>
      </w:r>
      <w:r w:rsidR="00761289" w:rsidRPr="00AC7E46">
        <w:rPr>
          <w:lang w:val="fr-FR"/>
        </w:rPr>
        <w:t>’</w:t>
      </w:r>
      <w:r w:rsidRPr="00AC7E46">
        <w:rPr>
          <w:lang w:val="fr-FR"/>
        </w:rPr>
        <w:t>indisponibilité d</w:t>
      </w:r>
      <w:r w:rsidR="00761289" w:rsidRPr="00AC7E46">
        <w:rPr>
          <w:lang w:val="fr-FR"/>
        </w:rPr>
        <w:t>’</w:t>
      </w:r>
      <w:r w:rsidRPr="00AC7E46">
        <w:rPr>
          <w:lang w:val="fr-FR"/>
        </w:rPr>
        <w:t>une partie à l</w:t>
      </w:r>
      <w:r w:rsidR="00761289" w:rsidRPr="00AC7E46">
        <w:rPr>
          <w:lang w:val="fr-FR"/>
        </w:rPr>
        <w:t>’</w:t>
      </w:r>
      <w:r w:rsidRPr="00AC7E46">
        <w:rPr>
          <w:lang w:val="fr-FR"/>
        </w:rPr>
        <w:t>enquête ou d</w:t>
      </w:r>
      <w:r w:rsidR="00761289" w:rsidRPr="00AC7E46">
        <w:rPr>
          <w:lang w:val="fr-FR"/>
        </w:rPr>
        <w:t>’</w:t>
      </w:r>
      <w:r w:rsidRPr="00AC7E46">
        <w:rPr>
          <w:lang w:val="fr-FR"/>
        </w:rPr>
        <w:t>une procédure en cours d</w:t>
      </w:r>
      <w:r w:rsidR="00761289" w:rsidRPr="00AC7E46">
        <w:rPr>
          <w:lang w:val="fr-FR"/>
        </w:rPr>
        <w:t>’</w:t>
      </w:r>
      <w:r w:rsidRPr="00AC7E46">
        <w:rPr>
          <w:lang w:val="fr-FR"/>
        </w:rPr>
        <w:t>une autre enti</w:t>
      </w:r>
      <w:r w:rsidR="00AC7E46" w:rsidRPr="00AC7E46">
        <w:rPr>
          <w:lang w:val="fr-FR"/>
        </w:rPr>
        <w:t>té).  Su</w:t>
      </w:r>
      <w:r w:rsidRPr="00AC7E46">
        <w:rPr>
          <w:lang w:val="fr-FR"/>
        </w:rPr>
        <w:t xml:space="preserve">r les 16 dossiers en suspens, 12 ont été ouverts </w:t>
      </w:r>
      <w:r w:rsidR="00761289" w:rsidRPr="00AC7E46">
        <w:rPr>
          <w:lang w:val="fr-FR"/>
        </w:rPr>
        <w:t>en 2023</w:t>
      </w:r>
      <w:r w:rsidRPr="00AC7E46">
        <w:rPr>
          <w:lang w:val="fr-FR"/>
        </w:rPr>
        <w:t xml:space="preserve"> et quatre </w:t>
      </w:r>
      <w:r w:rsidR="00761289" w:rsidRPr="00AC7E46">
        <w:rPr>
          <w:lang w:val="fr-FR"/>
        </w:rPr>
        <w:t>en 2022</w:t>
      </w:r>
      <w:r w:rsidRPr="00AC7E46">
        <w:rPr>
          <w:lang w:val="fr-FR"/>
        </w:rPr>
        <w:t>.</w:t>
      </w:r>
    </w:p>
    <w:p w14:paraId="1C1B3BC0" w14:textId="77777777" w:rsidR="000D5281" w:rsidRPr="00F917C1" w:rsidRDefault="000D5281" w:rsidP="00F917C1">
      <w:pPr>
        <w:spacing w:after="240"/>
        <w:jc w:val="center"/>
        <w:rPr>
          <w:b/>
          <w:bCs/>
          <w:lang w:val="fr-FR"/>
        </w:rPr>
      </w:pPr>
      <w:r w:rsidRPr="00F917C1">
        <w:rPr>
          <w:b/>
          <w:bCs/>
          <w:lang w:val="fr-FR"/>
        </w:rPr>
        <w:t>Tableau 1 – Analyse des plaintes enregistrées en 2022 et 2023</w:t>
      </w:r>
    </w:p>
    <w:p w14:paraId="52F2C065" w14:textId="23B2D56C" w:rsidR="000D5281" w:rsidRPr="00AC7E46" w:rsidRDefault="00EB4D8F" w:rsidP="00F917C1">
      <w:pPr>
        <w:spacing w:after="240"/>
        <w:rPr>
          <w:lang w:val="fr-FR"/>
        </w:rPr>
      </w:pPr>
      <w:r w:rsidRPr="00EB4D8F">
        <w:rPr>
          <w:noProof/>
        </w:rPr>
        <w:drawing>
          <wp:inline distT="0" distB="0" distL="0" distR="0" wp14:anchorId="255A5063" wp14:editId="6A01644C">
            <wp:extent cx="5940425" cy="3047365"/>
            <wp:effectExtent l="0" t="0" r="3175" b="635"/>
            <wp:docPr id="6" name="Picture 6" descr="Tableau 1 - Analyse des plaintes enregistrées en 2022 et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au 1 - Analyse des plaintes enregistrées en 2022 et 20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047365"/>
                    </a:xfrm>
                    <a:prstGeom prst="rect">
                      <a:avLst/>
                    </a:prstGeom>
                    <a:noFill/>
                    <a:ln>
                      <a:noFill/>
                    </a:ln>
                  </pic:spPr>
                </pic:pic>
              </a:graphicData>
            </a:graphic>
          </wp:inline>
        </w:drawing>
      </w:r>
    </w:p>
    <w:p w14:paraId="365124F5" w14:textId="497BA487" w:rsidR="000D5281" w:rsidRPr="00AC7E46" w:rsidRDefault="000D5281" w:rsidP="00D31722">
      <w:pPr>
        <w:pStyle w:val="ONUMFS"/>
        <w:rPr>
          <w:lang w:val="fr-FR"/>
        </w:rPr>
      </w:pPr>
      <w:r w:rsidRPr="00AC7E46">
        <w:rPr>
          <w:lang w:val="fr-FR"/>
        </w:rPr>
        <w:t>Le délai moyen pour boucler une enquête était de 8,7 mois (262 jours civils), ce qui est bien au</w:t>
      </w:r>
      <w:r w:rsidR="001908D2">
        <w:rPr>
          <w:lang w:val="fr-FR"/>
        </w:rPr>
        <w:noBreakHyphen/>
      </w:r>
      <w:r w:rsidRPr="00AC7E46">
        <w:rPr>
          <w:lang w:val="fr-FR"/>
        </w:rPr>
        <w:t>dessus de l</w:t>
      </w:r>
      <w:r w:rsidR="00761289" w:rsidRPr="00AC7E46">
        <w:rPr>
          <w:lang w:val="fr-FR"/>
        </w:rPr>
        <w:t>’</w:t>
      </w:r>
      <w:r w:rsidRPr="00AC7E46">
        <w:rPr>
          <w:lang w:val="fr-FR"/>
        </w:rPr>
        <w:t>objectif de six</w:t>
      </w:r>
      <w:r w:rsidR="006F1D4B" w:rsidRPr="00AC7E46">
        <w:rPr>
          <w:lang w:val="fr-FR"/>
        </w:rPr>
        <w:t> </w:t>
      </w:r>
      <w:r w:rsidRPr="00AC7E46">
        <w:rPr>
          <w:lang w:val="fr-FR"/>
        </w:rPr>
        <w:t>mois</w:t>
      </w:r>
      <w:r w:rsidRPr="00AC7E46">
        <w:rPr>
          <w:rStyle w:val="FootnoteReference"/>
          <w:lang w:val="fr-FR"/>
        </w:rPr>
        <w:footnoteReference w:id="11"/>
      </w:r>
      <w:r w:rsidRPr="00AC7E46">
        <w:rPr>
          <w:lang w:val="fr-FR"/>
        </w:rPr>
        <w:t xml:space="preserve"> et du délai moyen de 5,7 mois (171 jours civils) enregistré au cours de la période précéden</w:t>
      </w:r>
      <w:r w:rsidR="00AC7E46" w:rsidRPr="00AC7E46">
        <w:rPr>
          <w:lang w:val="fr-FR"/>
        </w:rPr>
        <w:t>te.  L’a</w:t>
      </w:r>
      <w:r w:rsidRPr="00AC7E46">
        <w:rPr>
          <w:lang w:val="fr-FR"/>
        </w:rPr>
        <w:t>llongement du délai nécessaire pour boucler les enquêtes a été attribué à une combinaison de facteurs, notamment</w:t>
      </w:r>
      <w:r w:rsidR="00761289" w:rsidRPr="00AC7E46">
        <w:rPr>
          <w:lang w:val="fr-FR"/>
        </w:rPr>
        <w:t> :</w:t>
      </w:r>
      <w:r w:rsidRPr="00AC7E46">
        <w:rPr>
          <w:lang w:val="fr-FR"/>
        </w:rPr>
        <w:t xml:space="preserve"> i) une hausse constante du nombre de nouvelles plaintes enregistrées </w:t>
      </w:r>
      <w:r w:rsidR="00761289" w:rsidRPr="00AC7E46">
        <w:rPr>
          <w:lang w:val="fr-FR"/>
        </w:rPr>
        <w:t>depuis </w:t>
      </w:r>
      <w:proofErr w:type="gramStart"/>
      <w:r w:rsidR="00761289" w:rsidRPr="00AC7E46">
        <w:rPr>
          <w:lang w:val="fr-FR"/>
        </w:rPr>
        <w:t>2021</w:t>
      </w:r>
      <w:r w:rsidRPr="00AC7E46">
        <w:rPr>
          <w:lang w:val="fr-FR"/>
        </w:rPr>
        <w:t xml:space="preserve">; </w:t>
      </w:r>
      <w:r w:rsidR="006F1D4B" w:rsidRPr="00AC7E46">
        <w:rPr>
          <w:lang w:val="fr-FR"/>
        </w:rPr>
        <w:t xml:space="preserve"> </w:t>
      </w:r>
      <w:r w:rsidRPr="00AC7E46">
        <w:rPr>
          <w:lang w:val="fr-FR"/>
        </w:rPr>
        <w:t>ii</w:t>
      </w:r>
      <w:proofErr w:type="gramEnd"/>
      <w:r w:rsidRPr="00AC7E46">
        <w:rPr>
          <w:lang w:val="fr-FR"/>
        </w:rPr>
        <w:t>)</w:t>
      </w:r>
      <w:r w:rsidR="006F1D4B" w:rsidRPr="00AC7E46">
        <w:rPr>
          <w:lang w:val="fr-FR"/>
        </w:rPr>
        <w:t> </w:t>
      </w:r>
      <w:r w:rsidRPr="00AC7E46">
        <w:rPr>
          <w:lang w:val="fr-FR"/>
        </w:rPr>
        <w:t>la pénurie de personnel en 2022 et 2023;</w:t>
      </w:r>
      <w:r w:rsidR="006F1D4B" w:rsidRPr="00AC7E46">
        <w:rPr>
          <w:lang w:val="fr-FR"/>
        </w:rPr>
        <w:t xml:space="preserve"> </w:t>
      </w:r>
      <w:r w:rsidRPr="00AC7E46">
        <w:rPr>
          <w:lang w:val="fr-FR"/>
        </w:rPr>
        <w:t xml:space="preserve"> et iii) l</w:t>
      </w:r>
      <w:r w:rsidR="00761289" w:rsidRPr="00AC7E46">
        <w:rPr>
          <w:lang w:val="fr-FR"/>
        </w:rPr>
        <w:t>’</w:t>
      </w:r>
      <w:r w:rsidRPr="00AC7E46">
        <w:rPr>
          <w:lang w:val="fr-FR"/>
        </w:rPr>
        <w:t>absence de directeur à</w:t>
      </w:r>
      <w:r w:rsidR="00761289" w:rsidRPr="00AC7E46">
        <w:rPr>
          <w:lang w:val="fr-FR"/>
        </w:rPr>
        <w:t xml:space="preserve"> la DSI</w:t>
      </w:r>
      <w:r w:rsidRPr="00AC7E46">
        <w:rPr>
          <w:lang w:val="fr-FR"/>
        </w:rPr>
        <w:t xml:space="preserve"> pendant la majeure partie de la période considérée.</w:t>
      </w:r>
    </w:p>
    <w:p w14:paraId="3CC17337" w14:textId="2FA5604F" w:rsidR="000D5281" w:rsidRPr="00AC7E46" w:rsidRDefault="000D5281" w:rsidP="00D31722">
      <w:pPr>
        <w:pStyle w:val="ONUMFS"/>
        <w:rPr>
          <w:lang w:val="fr-FR"/>
        </w:rPr>
      </w:pPr>
      <w:r w:rsidRPr="00AC7E46">
        <w:rPr>
          <w:lang w:val="fr-FR"/>
        </w:rPr>
        <w:t>L</w:t>
      </w:r>
      <w:r w:rsidR="00761289" w:rsidRPr="00AC7E46">
        <w:rPr>
          <w:lang w:val="fr-FR"/>
        </w:rPr>
        <w:t>’</w:t>
      </w:r>
      <w:r w:rsidRPr="00AC7E46">
        <w:rPr>
          <w:lang w:val="fr-FR"/>
        </w:rPr>
        <w:t>arrivée de la nouvelle directrice de</w:t>
      </w:r>
      <w:r w:rsidR="00761289" w:rsidRPr="00AC7E46">
        <w:rPr>
          <w:lang w:val="fr-FR"/>
        </w:rPr>
        <w:t xml:space="preserve"> la DSI</w:t>
      </w:r>
      <w:r w:rsidRPr="00AC7E46">
        <w:rPr>
          <w:lang w:val="fr-FR"/>
        </w:rPr>
        <w:t>, le recrutement de personnel temporaire (consultants individuels) pour aider à traiter l</w:t>
      </w:r>
      <w:r w:rsidR="00761289" w:rsidRPr="00AC7E46">
        <w:rPr>
          <w:lang w:val="fr-FR"/>
        </w:rPr>
        <w:t>’</w:t>
      </w:r>
      <w:r w:rsidRPr="00AC7E46">
        <w:rPr>
          <w:lang w:val="fr-FR"/>
        </w:rPr>
        <w:t>arriéré depuis octobre 2023 et les efforts combinés de toute l</w:t>
      </w:r>
      <w:r w:rsidR="00761289" w:rsidRPr="00AC7E46">
        <w:rPr>
          <w:lang w:val="fr-FR"/>
        </w:rPr>
        <w:t>’</w:t>
      </w:r>
      <w:r w:rsidRPr="00AC7E46">
        <w:rPr>
          <w:lang w:val="fr-FR"/>
        </w:rPr>
        <w:t xml:space="preserve">équipe ont abouti à une hausse significative du nombre de dossiers clôturés au cours du dernier trimestre </w:t>
      </w:r>
      <w:r w:rsidR="00761289" w:rsidRPr="00AC7E46">
        <w:rPr>
          <w:lang w:val="fr-FR"/>
        </w:rPr>
        <w:t>de 2023</w:t>
      </w:r>
      <w:r w:rsidRPr="00AC7E46">
        <w:rPr>
          <w:lang w:val="fr-FR"/>
        </w:rPr>
        <w:t>, avec 3</w:t>
      </w:r>
      <w:r w:rsidR="00C27523">
        <w:rPr>
          <w:lang w:val="fr-FR"/>
        </w:rPr>
        <w:t>1</w:t>
      </w:r>
      <w:r w:rsidR="001908D2">
        <w:rPr>
          <w:lang w:val="fr-FR"/>
        </w:rPr>
        <w:t> </w:t>
      </w:r>
      <w:r w:rsidRPr="00AC7E46">
        <w:rPr>
          <w:lang w:val="fr-FR"/>
        </w:rPr>
        <w:t>plaintes clôturées et 14</w:t>
      </w:r>
      <w:r w:rsidR="001908D2">
        <w:rPr>
          <w:lang w:val="fr-FR"/>
        </w:rPr>
        <w:t> </w:t>
      </w:r>
      <w:r w:rsidRPr="00AC7E46">
        <w:rPr>
          <w:lang w:val="fr-FR"/>
        </w:rPr>
        <w:t>enquêtes exceptionnellement clôturées à la fin de décembre 2023.</w:t>
      </w:r>
    </w:p>
    <w:p w14:paraId="668E2A03" w14:textId="36D9A630" w:rsidR="000D5281" w:rsidRPr="00AC7E46" w:rsidRDefault="000D5281" w:rsidP="00EB4D8F">
      <w:pPr>
        <w:pStyle w:val="ONUMFS"/>
        <w:keepNext/>
        <w:rPr>
          <w:szCs w:val="22"/>
          <w:lang w:val="fr-FR"/>
        </w:rPr>
      </w:pPr>
      <w:r w:rsidRPr="00AC7E46">
        <w:rPr>
          <w:lang w:val="fr-FR"/>
        </w:rPr>
        <w:lastRenderedPageBreak/>
        <w:t>Ces tendances et résultats sont résumés dans le diagramme ci</w:t>
      </w:r>
      <w:r w:rsidR="001908D2">
        <w:rPr>
          <w:lang w:val="fr-FR"/>
        </w:rPr>
        <w:noBreakHyphen/>
      </w:r>
      <w:r w:rsidRPr="00AC7E46">
        <w:rPr>
          <w:lang w:val="fr-FR"/>
        </w:rPr>
        <w:t>après</w:t>
      </w:r>
      <w:r w:rsidR="00761289" w:rsidRPr="00AC7E46">
        <w:rPr>
          <w:lang w:val="fr-FR"/>
        </w:rPr>
        <w:t> :</w:t>
      </w:r>
    </w:p>
    <w:p w14:paraId="76EE90B9" w14:textId="63AA6A14" w:rsidR="000D5281" w:rsidRPr="00F917C1" w:rsidRDefault="000D5281" w:rsidP="00F917C1">
      <w:pPr>
        <w:keepNext/>
        <w:spacing w:after="240"/>
        <w:jc w:val="center"/>
        <w:rPr>
          <w:b/>
          <w:bCs/>
          <w:lang w:val="fr-FR"/>
        </w:rPr>
      </w:pPr>
      <w:r w:rsidRPr="00F917C1">
        <w:rPr>
          <w:b/>
          <w:bCs/>
          <w:lang w:val="fr-FR"/>
        </w:rPr>
        <w:t>Diagramme</w:t>
      </w:r>
      <w:r w:rsidR="001908D2" w:rsidRPr="00F917C1">
        <w:rPr>
          <w:b/>
          <w:bCs/>
          <w:lang w:val="fr-FR"/>
        </w:rPr>
        <w:t> </w:t>
      </w:r>
      <w:r w:rsidRPr="00F917C1">
        <w:rPr>
          <w:b/>
          <w:bCs/>
          <w:lang w:val="fr-FR"/>
        </w:rPr>
        <w:t>1 – Analyse comparée des enquêtes menées en 2022 et 2023</w:t>
      </w:r>
    </w:p>
    <w:p w14:paraId="39330F08" w14:textId="1D6510DE" w:rsidR="000D5281" w:rsidRPr="00AC7E46" w:rsidRDefault="00EB4D8F" w:rsidP="00520633">
      <w:pPr>
        <w:spacing w:after="240"/>
        <w:jc w:val="center"/>
        <w:rPr>
          <w:lang w:val="fr-FR"/>
        </w:rPr>
      </w:pPr>
      <w:r w:rsidRPr="00EB4D8F">
        <w:rPr>
          <w:noProof/>
        </w:rPr>
        <w:drawing>
          <wp:inline distT="0" distB="0" distL="0" distR="0" wp14:anchorId="1F14F634" wp14:editId="3DAE0794">
            <wp:extent cx="4680000" cy="2544985"/>
            <wp:effectExtent l="0" t="0" r="6350" b="8255"/>
            <wp:docPr id="8" name="Picture 8" descr="Diagramme 1 – Analyse comparée des enquêtes menées en 2022 et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me 1 – Analyse comparée des enquêtes menées en 2022 et 20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80000" cy="2544985"/>
                    </a:xfrm>
                    <a:prstGeom prst="rect">
                      <a:avLst/>
                    </a:prstGeom>
                    <a:noFill/>
                    <a:ln>
                      <a:noFill/>
                    </a:ln>
                  </pic:spPr>
                </pic:pic>
              </a:graphicData>
            </a:graphic>
          </wp:inline>
        </w:drawing>
      </w:r>
    </w:p>
    <w:p w14:paraId="4DD73ADB" w14:textId="7AFC4832" w:rsidR="000D5281" w:rsidRPr="00AC7E46" w:rsidRDefault="000D5281" w:rsidP="00D31722">
      <w:pPr>
        <w:pStyle w:val="ONUMFS"/>
        <w:rPr>
          <w:lang w:val="fr-FR"/>
        </w:rPr>
      </w:pPr>
      <w:r w:rsidRPr="00AC7E46">
        <w:rPr>
          <w:lang w:val="fr-FR"/>
        </w:rPr>
        <w:t>Sur les 37 plaintes enregistrées au cours de la période considérée, quatre concernaient l</w:t>
      </w:r>
      <w:r w:rsidR="00761289" w:rsidRPr="00AC7E46">
        <w:rPr>
          <w:lang w:val="fr-FR"/>
        </w:rPr>
        <w:t>’</w:t>
      </w:r>
      <w:r w:rsidRPr="00AC7E46">
        <w:rPr>
          <w:lang w:val="fr-FR"/>
        </w:rPr>
        <w:t>OCIS en vue de recueillir son avis, conformément aux dispositions applicables de la Charte de la supervision interne.</w:t>
      </w:r>
    </w:p>
    <w:p w14:paraId="54F9C5CA" w14:textId="7FBD13E7" w:rsidR="000D5281" w:rsidRPr="00AC7E46" w:rsidRDefault="00F917C1" w:rsidP="00F4635E">
      <w:pPr>
        <w:pStyle w:val="Heading2"/>
      </w:pPr>
      <w:r>
        <w:t>R</w:t>
      </w:r>
      <w:r w:rsidRPr="00AC7E46">
        <w:t>ésultats des activités d’enquête</w:t>
      </w:r>
    </w:p>
    <w:p w14:paraId="0D25B53F" w14:textId="50BD8D92" w:rsidR="000D5281" w:rsidRPr="00AC7E46" w:rsidRDefault="000D5281" w:rsidP="00D31722">
      <w:pPr>
        <w:pStyle w:val="ONUMFS"/>
        <w:rPr>
          <w:lang w:val="fr-FR"/>
        </w:rPr>
      </w:pPr>
      <w:r w:rsidRPr="00AC7E46">
        <w:rPr>
          <w:lang w:val="fr-FR"/>
        </w:rPr>
        <w:t>Conformément à la Charte de la supervision interne</w:t>
      </w:r>
      <w:r w:rsidRPr="00AC7E46">
        <w:rPr>
          <w:rStyle w:val="FootnoteReference"/>
          <w:lang w:val="fr-FR"/>
        </w:rPr>
        <w:footnoteReference w:id="12"/>
      </w:r>
      <w:r w:rsidRPr="00AC7E46">
        <w:rPr>
          <w:lang w:val="fr-FR"/>
        </w:rPr>
        <w:t>, le rapport annuel contient une description des enquêtes sur les dossiers considérés comme fondés, ainsi que de leur iss</w:t>
      </w:r>
      <w:r w:rsidR="00AC7E46" w:rsidRPr="00AC7E46">
        <w:rPr>
          <w:lang w:val="fr-FR"/>
        </w:rPr>
        <w:t>ue.  En</w:t>
      </w:r>
      <w:r w:rsidR="00761289" w:rsidRPr="00AC7E46">
        <w:rPr>
          <w:lang w:val="fr-FR"/>
        </w:rPr>
        <w:t> 2023</w:t>
      </w:r>
      <w:r w:rsidRPr="00AC7E46">
        <w:rPr>
          <w:lang w:val="fr-FR"/>
        </w:rPr>
        <w:t>,</w:t>
      </w:r>
      <w:r w:rsidR="00761289" w:rsidRPr="00AC7E46">
        <w:rPr>
          <w:lang w:val="fr-FR"/>
        </w:rPr>
        <w:t xml:space="preserve"> la DSI</w:t>
      </w:r>
      <w:r w:rsidRPr="00AC7E46">
        <w:rPr>
          <w:lang w:val="fr-FR"/>
        </w:rPr>
        <w:t xml:space="preserve"> a jugé les allégations fondées dans cinq</w:t>
      </w:r>
      <w:r w:rsidR="006F1D4B" w:rsidRPr="00AC7E46">
        <w:rPr>
          <w:lang w:val="fr-FR"/>
        </w:rPr>
        <w:t> </w:t>
      </w:r>
      <w:r w:rsidRPr="00AC7E46">
        <w:rPr>
          <w:lang w:val="fr-FR"/>
        </w:rPr>
        <w:t xml:space="preserve">enquêtes, </w:t>
      </w:r>
      <w:r w:rsidR="00761289" w:rsidRPr="00AC7E46">
        <w:rPr>
          <w:lang w:val="fr-FR"/>
        </w:rPr>
        <w:t>à savoir :</w:t>
      </w:r>
      <w:bookmarkStart w:id="37" w:name="OLE_LINK2"/>
      <w:bookmarkStart w:id="38" w:name="_Hlk163825667"/>
    </w:p>
    <w:p w14:paraId="236C13FA" w14:textId="7633D1A2" w:rsidR="00761289" w:rsidRPr="00386FF4" w:rsidRDefault="000D5281" w:rsidP="00F917C1">
      <w:pPr>
        <w:pStyle w:val="ONUMFS"/>
        <w:numPr>
          <w:ilvl w:val="1"/>
          <w:numId w:val="6"/>
        </w:numPr>
        <w:rPr>
          <w:spacing w:val="-2"/>
          <w:lang w:val="fr-FR"/>
        </w:rPr>
      </w:pPr>
      <w:proofErr w:type="gramStart"/>
      <w:r w:rsidRPr="00386FF4">
        <w:rPr>
          <w:spacing w:val="-2"/>
          <w:lang w:val="fr-FR"/>
        </w:rPr>
        <w:t>deux</w:t>
      </w:r>
      <w:proofErr w:type="gramEnd"/>
      <w:r w:rsidRPr="00386FF4">
        <w:rPr>
          <w:spacing w:val="-2"/>
          <w:lang w:val="fr-FR"/>
        </w:rPr>
        <w:t xml:space="preserve"> enquêtes concernaient l</w:t>
      </w:r>
      <w:r w:rsidR="00761289" w:rsidRPr="00386FF4">
        <w:rPr>
          <w:spacing w:val="-2"/>
          <w:lang w:val="fr-FR"/>
        </w:rPr>
        <w:t>’</w:t>
      </w:r>
      <w:r w:rsidRPr="00386FF4">
        <w:rPr>
          <w:spacing w:val="-2"/>
          <w:lang w:val="fr-FR"/>
        </w:rPr>
        <w:t>utilisation abusive d</w:t>
      </w:r>
      <w:r w:rsidR="00761289" w:rsidRPr="00386FF4">
        <w:rPr>
          <w:spacing w:val="-2"/>
          <w:lang w:val="fr-FR"/>
        </w:rPr>
        <w:t>’</w:t>
      </w:r>
      <w:r w:rsidRPr="00386FF4">
        <w:rPr>
          <w:spacing w:val="-2"/>
          <w:lang w:val="fr-FR"/>
        </w:rPr>
        <w:t>actifs de l</w:t>
      </w:r>
      <w:r w:rsidR="00761289" w:rsidRPr="00386FF4">
        <w:rPr>
          <w:spacing w:val="-2"/>
          <w:lang w:val="fr-FR"/>
        </w:rPr>
        <w:t>’</w:t>
      </w:r>
      <w:r w:rsidRPr="00386FF4">
        <w:rPr>
          <w:spacing w:val="-2"/>
          <w:lang w:val="fr-FR"/>
        </w:rPr>
        <w:t>Organisation par des fonctionnaires de l</w:t>
      </w:r>
      <w:r w:rsidR="00761289" w:rsidRPr="00386FF4">
        <w:rPr>
          <w:spacing w:val="-2"/>
          <w:lang w:val="fr-FR"/>
        </w:rPr>
        <w:t>’</w:t>
      </w:r>
      <w:r w:rsidRPr="00386FF4">
        <w:rPr>
          <w:spacing w:val="-2"/>
          <w:lang w:val="fr-FR"/>
        </w:rPr>
        <w:t>O</w:t>
      </w:r>
      <w:r w:rsidR="00AC7E46" w:rsidRPr="00386FF4">
        <w:rPr>
          <w:spacing w:val="-2"/>
          <w:lang w:val="fr-FR"/>
        </w:rPr>
        <w:t>MPI.  Da</w:t>
      </w:r>
      <w:r w:rsidRPr="00386FF4">
        <w:rPr>
          <w:spacing w:val="-2"/>
          <w:lang w:val="fr-FR"/>
        </w:rPr>
        <w:t>ns la première enquête, après un examen approfondi des circonstances particulières (</w:t>
      </w:r>
      <w:r w:rsidR="00761289" w:rsidRPr="00386FF4">
        <w:rPr>
          <w:spacing w:val="-2"/>
          <w:lang w:val="fr-FR"/>
        </w:rPr>
        <w:t>y compris</w:t>
      </w:r>
      <w:r w:rsidRPr="00386FF4">
        <w:rPr>
          <w:spacing w:val="-2"/>
          <w:lang w:val="fr-FR"/>
        </w:rPr>
        <w:t xml:space="preserve"> atténuantes) de l</w:t>
      </w:r>
      <w:r w:rsidR="00761289" w:rsidRPr="00386FF4">
        <w:rPr>
          <w:spacing w:val="-2"/>
          <w:lang w:val="fr-FR"/>
        </w:rPr>
        <w:t>’</w:t>
      </w:r>
      <w:r w:rsidRPr="00386FF4">
        <w:rPr>
          <w:spacing w:val="-2"/>
          <w:lang w:val="fr-FR"/>
        </w:rPr>
        <w:t>affaire, le directeur</w:t>
      </w:r>
      <w:r w:rsidR="00761289" w:rsidRPr="00386FF4">
        <w:rPr>
          <w:spacing w:val="-2"/>
          <w:lang w:val="fr-FR"/>
        </w:rPr>
        <w:t xml:space="preserve"> du DGR</w:t>
      </w:r>
      <w:r w:rsidRPr="00386FF4">
        <w:rPr>
          <w:spacing w:val="-2"/>
          <w:lang w:val="fr-FR"/>
        </w:rPr>
        <w:t>H a décidé de ne pas engager de procédure disciplinaire et a clos le dossi</w:t>
      </w:r>
      <w:r w:rsidR="00AC7E46" w:rsidRPr="00386FF4">
        <w:rPr>
          <w:spacing w:val="-2"/>
          <w:lang w:val="fr-FR"/>
        </w:rPr>
        <w:t>er.  Da</w:t>
      </w:r>
      <w:r w:rsidRPr="00386FF4">
        <w:rPr>
          <w:spacing w:val="-2"/>
          <w:lang w:val="fr-FR"/>
        </w:rPr>
        <w:t>ns la seconde enquête, à l</w:t>
      </w:r>
      <w:r w:rsidR="00761289" w:rsidRPr="00386FF4">
        <w:rPr>
          <w:spacing w:val="-2"/>
          <w:lang w:val="fr-FR"/>
        </w:rPr>
        <w:t>’</w:t>
      </w:r>
      <w:r w:rsidRPr="00386FF4">
        <w:rPr>
          <w:spacing w:val="-2"/>
          <w:lang w:val="fr-FR"/>
        </w:rPr>
        <w:t>issue d</w:t>
      </w:r>
      <w:r w:rsidR="00761289" w:rsidRPr="00386FF4">
        <w:rPr>
          <w:spacing w:val="-2"/>
          <w:lang w:val="fr-FR"/>
        </w:rPr>
        <w:t>’</w:t>
      </w:r>
      <w:r w:rsidRPr="00386FF4">
        <w:rPr>
          <w:spacing w:val="-2"/>
          <w:lang w:val="fr-FR"/>
        </w:rPr>
        <w:t>une procédure disciplinaire, le Directeur général a décidé de renvoyer le fonctionnaire, conformément à la disposition</w:t>
      </w:r>
      <w:r w:rsidR="001908D2" w:rsidRPr="00386FF4">
        <w:rPr>
          <w:spacing w:val="-2"/>
          <w:lang w:val="fr-FR"/>
        </w:rPr>
        <w:t> </w:t>
      </w:r>
      <w:r w:rsidRPr="00386FF4">
        <w:rPr>
          <w:spacing w:val="-2"/>
          <w:lang w:val="fr-FR"/>
        </w:rPr>
        <w:t xml:space="preserve">10.1.1.6) du Règlement du </w:t>
      </w:r>
      <w:proofErr w:type="gramStart"/>
      <w:r w:rsidRPr="00386FF4">
        <w:rPr>
          <w:spacing w:val="-2"/>
          <w:lang w:val="fr-FR"/>
        </w:rPr>
        <w:t>personnel;</w:t>
      </w:r>
      <w:proofErr w:type="gramEnd"/>
    </w:p>
    <w:p w14:paraId="5DF9895C" w14:textId="7FC3A762" w:rsidR="00761289" w:rsidRPr="00AC7E46" w:rsidRDefault="000D5281" w:rsidP="00F917C1">
      <w:pPr>
        <w:pStyle w:val="ONUMFS"/>
        <w:numPr>
          <w:ilvl w:val="1"/>
          <w:numId w:val="6"/>
        </w:numPr>
        <w:rPr>
          <w:lang w:val="fr-FR"/>
        </w:rPr>
      </w:pPr>
      <w:proofErr w:type="gramStart"/>
      <w:r w:rsidRPr="00AC7E46">
        <w:rPr>
          <w:lang w:val="fr-FR"/>
        </w:rPr>
        <w:t>une</w:t>
      </w:r>
      <w:proofErr w:type="gramEnd"/>
      <w:r w:rsidRPr="00AC7E46">
        <w:rPr>
          <w:lang w:val="fr-FR"/>
        </w:rPr>
        <w:t xml:space="preserve"> enquête portait sur un abus concernant les horaires de travail par un membre du personnel de l</w:t>
      </w:r>
      <w:r w:rsidR="00761289" w:rsidRPr="00AC7E46">
        <w:rPr>
          <w:lang w:val="fr-FR"/>
        </w:rPr>
        <w:t>’</w:t>
      </w:r>
      <w:r w:rsidRPr="00AC7E46">
        <w:rPr>
          <w:lang w:val="fr-FR"/>
        </w:rPr>
        <w:t>OMPI.  À l</w:t>
      </w:r>
      <w:r w:rsidR="00761289" w:rsidRPr="00AC7E46">
        <w:rPr>
          <w:lang w:val="fr-FR"/>
        </w:rPr>
        <w:t>’</w:t>
      </w:r>
      <w:r w:rsidRPr="00AC7E46">
        <w:rPr>
          <w:lang w:val="fr-FR"/>
        </w:rPr>
        <w:t>issue d</w:t>
      </w:r>
      <w:r w:rsidR="00761289" w:rsidRPr="00AC7E46">
        <w:rPr>
          <w:lang w:val="fr-FR"/>
        </w:rPr>
        <w:t>’</w:t>
      </w:r>
      <w:r w:rsidRPr="00AC7E46">
        <w:rPr>
          <w:lang w:val="fr-FR"/>
        </w:rPr>
        <w:t>une procédure disciplinaire, le Directeur général a décidé de renvoyer le fonctionnaire, conformément à la disposition</w:t>
      </w:r>
      <w:r w:rsidR="001908D2">
        <w:rPr>
          <w:lang w:val="fr-FR"/>
        </w:rPr>
        <w:t> </w:t>
      </w:r>
      <w:r w:rsidRPr="00AC7E46">
        <w:rPr>
          <w:lang w:val="fr-FR"/>
        </w:rPr>
        <w:t xml:space="preserve">10.1.1.6) du Règlement du </w:t>
      </w:r>
      <w:proofErr w:type="gramStart"/>
      <w:r w:rsidRPr="00AC7E46">
        <w:rPr>
          <w:lang w:val="fr-FR"/>
        </w:rPr>
        <w:t>personnel;</w:t>
      </w:r>
      <w:proofErr w:type="gramEnd"/>
    </w:p>
    <w:p w14:paraId="518A324C" w14:textId="67F8D5DB" w:rsidR="000D5281" w:rsidRPr="00386FF4" w:rsidRDefault="000D5281" w:rsidP="00F917C1">
      <w:pPr>
        <w:pStyle w:val="ONUMFS"/>
        <w:numPr>
          <w:ilvl w:val="1"/>
          <w:numId w:val="6"/>
        </w:numPr>
        <w:rPr>
          <w:spacing w:val="-2"/>
          <w:lang w:val="fr-FR"/>
        </w:rPr>
      </w:pPr>
      <w:proofErr w:type="gramStart"/>
      <w:r w:rsidRPr="00386FF4">
        <w:rPr>
          <w:spacing w:val="-2"/>
          <w:lang w:val="fr-FR"/>
        </w:rPr>
        <w:t>dans</w:t>
      </w:r>
      <w:proofErr w:type="gramEnd"/>
      <w:r w:rsidRPr="00386FF4">
        <w:rPr>
          <w:spacing w:val="-2"/>
          <w:lang w:val="fr-FR"/>
        </w:rPr>
        <w:t xml:space="preserve"> un dossier pour fraude et fausses déclarations, la personne concernée a démissionné de ses fonctions à l</w:t>
      </w:r>
      <w:r w:rsidR="00761289" w:rsidRPr="00386FF4">
        <w:rPr>
          <w:spacing w:val="-2"/>
          <w:lang w:val="fr-FR"/>
        </w:rPr>
        <w:t>’</w:t>
      </w:r>
      <w:r w:rsidRPr="00386FF4">
        <w:rPr>
          <w:spacing w:val="-2"/>
          <w:lang w:val="fr-FR"/>
        </w:rPr>
        <w:t>OMPI au cours de l</w:t>
      </w:r>
      <w:r w:rsidR="00761289" w:rsidRPr="00386FF4">
        <w:rPr>
          <w:spacing w:val="-2"/>
          <w:lang w:val="fr-FR"/>
        </w:rPr>
        <w:t>’</w:t>
      </w:r>
      <w:r w:rsidRPr="00386FF4">
        <w:rPr>
          <w:spacing w:val="-2"/>
          <w:lang w:val="fr-FR"/>
        </w:rPr>
        <w:t>enquê</w:t>
      </w:r>
      <w:r w:rsidR="00AC7E46" w:rsidRPr="00386FF4">
        <w:rPr>
          <w:spacing w:val="-2"/>
          <w:lang w:val="fr-FR"/>
        </w:rPr>
        <w:t>te.  Pa</w:t>
      </w:r>
      <w:r w:rsidRPr="00386FF4">
        <w:rPr>
          <w:spacing w:val="-2"/>
          <w:lang w:val="fr-FR"/>
        </w:rPr>
        <w:t>r conséquent,</w:t>
      </w:r>
      <w:r w:rsidR="00761289" w:rsidRPr="00386FF4">
        <w:rPr>
          <w:spacing w:val="-2"/>
          <w:lang w:val="fr-FR"/>
        </w:rPr>
        <w:t xml:space="preserve"> la DSI</w:t>
      </w:r>
      <w:r w:rsidRPr="00386FF4">
        <w:rPr>
          <w:spacing w:val="-2"/>
          <w:lang w:val="fr-FR"/>
        </w:rPr>
        <w:t xml:space="preserve"> n</w:t>
      </w:r>
      <w:r w:rsidR="00761289" w:rsidRPr="00386FF4">
        <w:rPr>
          <w:spacing w:val="-2"/>
          <w:lang w:val="fr-FR"/>
        </w:rPr>
        <w:t>’</w:t>
      </w:r>
      <w:r w:rsidRPr="00386FF4">
        <w:rPr>
          <w:spacing w:val="-2"/>
          <w:lang w:val="fr-FR"/>
        </w:rPr>
        <w:t>a pas recommandé de mesures disciplinaires, étant donné que c</w:t>
      </w:r>
      <w:r w:rsidR="00761289" w:rsidRPr="00386FF4">
        <w:rPr>
          <w:spacing w:val="-2"/>
          <w:lang w:val="fr-FR"/>
        </w:rPr>
        <w:t>’</w:t>
      </w:r>
      <w:r w:rsidRPr="00386FF4">
        <w:rPr>
          <w:spacing w:val="-2"/>
          <w:lang w:val="fr-FR"/>
        </w:rPr>
        <w:t xml:space="preserve">était devenu </w:t>
      </w:r>
      <w:proofErr w:type="gramStart"/>
      <w:r w:rsidRPr="00386FF4">
        <w:rPr>
          <w:spacing w:val="-2"/>
          <w:lang w:val="fr-FR"/>
        </w:rPr>
        <w:t xml:space="preserve">impossible; </w:t>
      </w:r>
      <w:r w:rsidR="006F1D4B" w:rsidRPr="00386FF4">
        <w:rPr>
          <w:spacing w:val="-2"/>
          <w:lang w:val="fr-FR"/>
        </w:rPr>
        <w:t xml:space="preserve"> </w:t>
      </w:r>
      <w:r w:rsidRPr="00386FF4">
        <w:rPr>
          <w:spacing w:val="-2"/>
          <w:lang w:val="fr-FR"/>
        </w:rPr>
        <w:t>et</w:t>
      </w:r>
      <w:proofErr w:type="gramEnd"/>
    </w:p>
    <w:p w14:paraId="3DB87A08" w14:textId="12ECFD06" w:rsidR="000D5281" w:rsidRPr="00AC7E46" w:rsidRDefault="000D5281" w:rsidP="00F917C1">
      <w:pPr>
        <w:pStyle w:val="ONUMFS"/>
        <w:numPr>
          <w:ilvl w:val="1"/>
          <w:numId w:val="6"/>
        </w:numPr>
        <w:rPr>
          <w:szCs w:val="22"/>
          <w:lang w:val="fr-FR"/>
        </w:rPr>
      </w:pPr>
      <w:proofErr w:type="gramStart"/>
      <w:r w:rsidRPr="00AC7E46">
        <w:rPr>
          <w:lang w:val="fr-FR"/>
        </w:rPr>
        <w:t>une</w:t>
      </w:r>
      <w:proofErr w:type="gramEnd"/>
      <w:r w:rsidRPr="00AC7E46">
        <w:rPr>
          <w:lang w:val="fr-FR"/>
        </w:rPr>
        <w:t xml:space="preserve"> affaire concernant des irrégularités dans la passation de marchés impliquait un prestataire individuel de servic</w:t>
      </w:r>
      <w:r w:rsidR="00AC7E46" w:rsidRPr="00AC7E46">
        <w:rPr>
          <w:lang w:val="fr-FR"/>
        </w:rPr>
        <w:t>es.  Le</w:t>
      </w:r>
      <w:r w:rsidRPr="00AC7E46">
        <w:rPr>
          <w:lang w:val="fr-FR"/>
        </w:rPr>
        <w:t xml:space="preserve"> haut fonctionnaire chargé des achats, qui est l</w:t>
      </w:r>
      <w:r w:rsidR="00761289" w:rsidRPr="00AC7E46">
        <w:rPr>
          <w:lang w:val="fr-FR"/>
        </w:rPr>
        <w:t>’</w:t>
      </w:r>
      <w:r w:rsidRPr="00AC7E46">
        <w:rPr>
          <w:lang w:val="fr-FR"/>
        </w:rPr>
        <w:t>autorité compétente pour statuer sur les affaires impliquant des fournisseurs de l</w:t>
      </w:r>
      <w:r w:rsidR="00761289" w:rsidRPr="00AC7E46">
        <w:rPr>
          <w:lang w:val="fr-FR"/>
        </w:rPr>
        <w:t>’</w:t>
      </w:r>
      <w:r w:rsidRPr="00AC7E46">
        <w:rPr>
          <w:lang w:val="fr-FR"/>
        </w:rPr>
        <w:t>OMPI, a décidé de suivre la recommandation du Comité chargé des sanctions applicables aux fournisseurs</w:t>
      </w:r>
      <w:bookmarkEnd w:id="37"/>
      <w:bookmarkEnd w:id="38"/>
      <w:r w:rsidRPr="00AC7E46">
        <w:rPr>
          <w:lang w:val="fr-FR"/>
        </w:rPr>
        <w:t xml:space="preserve"> de clore le dossier et de ne pas prendre de mesures contre le fournisseur. </w:t>
      </w:r>
      <w:r w:rsidR="006F1D4B" w:rsidRPr="00AC7E46">
        <w:rPr>
          <w:lang w:val="fr-FR"/>
        </w:rPr>
        <w:t xml:space="preserve"> </w:t>
      </w:r>
      <w:r w:rsidRPr="00AC7E46">
        <w:rPr>
          <w:lang w:val="fr-FR"/>
        </w:rPr>
        <w:t>Étant donné que la décision du haut fonctionnaire chargé des achats dans les affaires impliquant des fournisseurs de l</w:t>
      </w:r>
      <w:r w:rsidR="00761289" w:rsidRPr="00AC7E46">
        <w:rPr>
          <w:lang w:val="fr-FR"/>
        </w:rPr>
        <w:t>’</w:t>
      </w:r>
      <w:r w:rsidRPr="00AC7E46">
        <w:rPr>
          <w:lang w:val="fr-FR"/>
        </w:rPr>
        <w:t>OMPI est définitive, cette affaire est close.</w:t>
      </w:r>
    </w:p>
    <w:p w14:paraId="692E5860" w14:textId="042F697E" w:rsidR="000D5281" w:rsidRPr="00AC7E46" w:rsidRDefault="000D5281" w:rsidP="00D31722">
      <w:pPr>
        <w:pStyle w:val="ONUMFS"/>
        <w:rPr>
          <w:lang w:val="fr-FR"/>
        </w:rPr>
      </w:pPr>
      <w:r w:rsidRPr="00AC7E46">
        <w:rPr>
          <w:lang w:val="fr-FR"/>
        </w:rPr>
        <w:lastRenderedPageBreak/>
        <w:t>Aucune des enquêtes susmentionnées n</w:t>
      </w:r>
      <w:r w:rsidR="00761289" w:rsidRPr="00AC7E46">
        <w:rPr>
          <w:lang w:val="fr-FR"/>
        </w:rPr>
        <w:t>’</w:t>
      </w:r>
      <w:r w:rsidRPr="00AC7E46">
        <w:rPr>
          <w:lang w:val="fr-FR"/>
        </w:rPr>
        <w:t>a été considérée comme ayant une incidence financière significative sur l</w:t>
      </w:r>
      <w:r w:rsidR="00761289" w:rsidRPr="00AC7E46">
        <w:rPr>
          <w:lang w:val="fr-FR"/>
        </w:rPr>
        <w:t>’</w:t>
      </w:r>
      <w:r w:rsidRPr="00AC7E46">
        <w:rPr>
          <w:lang w:val="fr-FR"/>
        </w:rPr>
        <w:t>Organisati</w:t>
      </w:r>
      <w:r w:rsidR="00AC7E46" w:rsidRPr="00AC7E46">
        <w:rPr>
          <w:lang w:val="fr-FR"/>
        </w:rPr>
        <w:t>on.  Le</w:t>
      </w:r>
      <w:r w:rsidRPr="00AC7E46">
        <w:rPr>
          <w:lang w:val="fr-FR"/>
        </w:rPr>
        <w:t xml:space="preserve"> diagramme 2 présente le nombre d</w:t>
      </w:r>
      <w:r w:rsidR="00761289" w:rsidRPr="00AC7E46">
        <w:rPr>
          <w:lang w:val="fr-FR"/>
        </w:rPr>
        <w:t>’</w:t>
      </w:r>
      <w:r w:rsidRPr="00AC7E46">
        <w:rPr>
          <w:lang w:val="fr-FR"/>
        </w:rPr>
        <w:t>enquêtes fondées en 2022 et 2023 par rapport au nombre total de plaintes traitées.</w:t>
      </w:r>
      <w:bookmarkEnd w:id="35"/>
    </w:p>
    <w:p w14:paraId="3201420D" w14:textId="6B570B94" w:rsidR="000D5281" w:rsidRDefault="000D5281" w:rsidP="00F917C1">
      <w:pPr>
        <w:spacing w:after="240"/>
        <w:jc w:val="center"/>
        <w:rPr>
          <w:b/>
          <w:bCs/>
          <w:lang w:val="fr-FR"/>
        </w:rPr>
      </w:pPr>
      <w:r w:rsidRPr="00F917C1">
        <w:rPr>
          <w:b/>
          <w:bCs/>
          <w:lang w:val="fr-FR"/>
        </w:rPr>
        <w:t>Diagramme</w:t>
      </w:r>
      <w:r w:rsidR="001908D2" w:rsidRPr="00F917C1">
        <w:rPr>
          <w:b/>
          <w:bCs/>
          <w:lang w:val="fr-FR"/>
        </w:rPr>
        <w:t> </w:t>
      </w:r>
      <w:r w:rsidRPr="00F917C1">
        <w:rPr>
          <w:b/>
          <w:bCs/>
          <w:lang w:val="fr-FR"/>
        </w:rPr>
        <w:t>2 – Allégations fondées par rapport au nombre total de plaintes traitées en 2022 et 2023</w:t>
      </w:r>
    </w:p>
    <w:p w14:paraId="6A6434C2" w14:textId="7E02982D" w:rsidR="00EB4D8F" w:rsidRPr="00EB4D8F" w:rsidRDefault="00EB4D8F" w:rsidP="00F917C1">
      <w:pPr>
        <w:spacing w:after="240"/>
        <w:jc w:val="center"/>
        <w:rPr>
          <w:lang w:val="fr-FR"/>
        </w:rPr>
      </w:pPr>
      <w:r w:rsidRPr="00EB4D8F">
        <w:rPr>
          <w:noProof/>
        </w:rPr>
        <w:drawing>
          <wp:inline distT="0" distB="0" distL="0" distR="0" wp14:anchorId="41E68613" wp14:editId="74D1B412">
            <wp:extent cx="4710430" cy="2604770"/>
            <wp:effectExtent l="0" t="0" r="0" b="5080"/>
            <wp:docPr id="9" name="Picture 9" descr="Diagramme 2 – Allégations fondées par rapport au nombre total de plaintes traitées en 2022 et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me 2 – Allégations fondées par rapport au nombre total de plaintes traitées en 2022 et 20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10430" cy="2604770"/>
                    </a:xfrm>
                    <a:prstGeom prst="rect">
                      <a:avLst/>
                    </a:prstGeom>
                    <a:noFill/>
                    <a:ln>
                      <a:noFill/>
                    </a:ln>
                  </pic:spPr>
                </pic:pic>
              </a:graphicData>
            </a:graphic>
          </wp:inline>
        </w:drawing>
      </w:r>
    </w:p>
    <w:p w14:paraId="1130AC19" w14:textId="3E3DBA1E" w:rsidR="000D5281" w:rsidRPr="00AC7E46" w:rsidRDefault="00F917C1" w:rsidP="00F4635E">
      <w:pPr>
        <w:pStyle w:val="Heading2"/>
      </w:pPr>
      <w:r>
        <w:t>R</w:t>
      </w:r>
      <w:r w:rsidRPr="00AC7E46">
        <w:t>apports à l’intention de la direction</w:t>
      </w:r>
    </w:p>
    <w:p w14:paraId="1346FF58" w14:textId="65C979CC" w:rsidR="000D5281" w:rsidRPr="00AC7E46" w:rsidRDefault="000D5281" w:rsidP="00D31722">
      <w:pPr>
        <w:pStyle w:val="ONUMFS"/>
        <w:rPr>
          <w:lang w:val="fr-FR"/>
        </w:rPr>
      </w:pPr>
      <w:r w:rsidRPr="00AC7E46">
        <w:rPr>
          <w:lang w:val="fr-FR"/>
        </w:rPr>
        <w:t>Trois rapports à l</w:t>
      </w:r>
      <w:r w:rsidR="00761289" w:rsidRPr="00AC7E46">
        <w:rPr>
          <w:lang w:val="fr-FR"/>
        </w:rPr>
        <w:t>’</w:t>
      </w:r>
      <w:r w:rsidRPr="00AC7E46">
        <w:rPr>
          <w:lang w:val="fr-FR"/>
        </w:rPr>
        <w:t>intention de la direction ont été établis au cours de la période considérée et concernaient</w:t>
      </w:r>
      <w:r w:rsidR="00761289" w:rsidRPr="00AC7E46">
        <w:rPr>
          <w:lang w:val="fr-FR"/>
        </w:rPr>
        <w:t> :</w:t>
      </w:r>
      <w:r w:rsidRPr="00AC7E46">
        <w:rPr>
          <w:lang w:val="fr-FR"/>
        </w:rPr>
        <w:t xml:space="preserve"> i) les obligations applicables aux fonctionnaires en matière de résidence dans la région du lieu </w:t>
      </w:r>
      <w:proofErr w:type="gramStart"/>
      <w:r w:rsidRPr="00AC7E46">
        <w:rPr>
          <w:lang w:val="fr-FR"/>
        </w:rPr>
        <w:t>d</w:t>
      </w:r>
      <w:r w:rsidR="00761289" w:rsidRPr="00AC7E46">
        <w:rPr>
          <w:lang w:val="fr-FR"/>
        </w:rPr>
        <w:t>’</w:t>
      </w:r>
      <w:r w:rsidRPr="00AC7E46">
        <w:rPr>
          <w:lang w:val="fr-FR"/>
        </w:rPr>
        <w:t xml:space="preserve">affectation; </w:t>
      </w:r>
      <w:r w:rsidR="006F1D4B" w:rsidRPr="00AC7E46">
        <w:rPr>
          <w:lang w:val="fr-FR"/>
        </w:rPr>
        <w:t xml:space="preserve"> </w:t>
      </w:r>
      <w:r w:rsidRPr="00AC7E46">
        <w:rPr>
          <w:lang w:val="fr-FR"/>
        </w:rPr>
        <w:t>ii</w:t>
      </w:r>
      <w:proofErr w:type="gramEnd"/>
      <w:r w:rsidRPr="00AC7E46">
        <w:rPr>
          <w:lang w:val="fr-FR"/>
        </w:rPr>
        <w:t>) les risques de conflit d</w:t>
      </w:r>
      <w:r w:rsidR="00761289" w:rsidRPr="00AC7E46">
        <w:rPr>
          <w:lang w:val="fr-FR"/>
        </w:rPr>
        <w:t>’</w:t>
      </w:r>
      <w:r w:rsidRPr="00AC7E46">
        <w:rPr>
          <w:lang w:val="fr-FR"/>
        </w:rPr>
        <w:t xml:space="preserve">intérêts résultant de relations personnelles entre les membres du personnel; </w:t>
      </w:r>
      <w:r w:rsidR="006F1D4B" w:rsidRPr="00AC7E46">
        <w:rPr>
          <w:lang w:val="fr-FR"/>
        </w:rPr>
        <w:t xml:space="preserve"> </w:t>
      </w:r>
      <w:r w:rsidRPr="00AC7E46">
        <w:rPr>
          <w:lang w:val="fr-FR"/>
        </w:rPr>
        <w:t>et iii) la procédure et la pratique en matière de recrutement de prestataires individuels de services.</w:t>
      </w:r>
    </w:p>
    <w:p w14:paraId="25BE98A7" w14:textId="3A91435C" w:rsidR="000D5281" w:rsidRPr="00AC7E46" w:rsidRDefault="00F917C1" w:rsidP="00F917C1">
      <w:pPr>
        <w:pStyle w:val="Heading1"/>
      </w:pPr>
      <w:bookmarkStart w:id="39" w:name="_Toc39071252"/>
      <w:bookmarkStart w:id="40" w:name="_Toc165888318"/>
      <w:bookmarkStart w:id="41" w:name="_Toc39071250"/>
      <w:r>
        <w:t>A</w:t>
      </w:r>
      <w:r w:rsidRPr="00AC7E46">
        <w:t>ctivités de conseil en matière de supervision</w:t>
      </w:r>
      <w:bookmarkEnd w:id="39"/>
      <w:bookmarkEnd w:id="40"/>
    </w:p>
    <w:p w14:paraId="1BF315AA" w14:textId="1938EB95" w:rsidR="000D5281" w:rsidRPr="00AC7E46" w:rsidRDefault="000D5281" w:rsidP="00D31722">
      <w:pPr>
        <w:pStyle w:val="ONUMFS"/>
        <w:rPr>
          <w:lang w:val="fr-FR"/>
        </w:rPr>
      </w:pPr>
      <w:r w:rsidRPr="00AC7E46">
        <w:rPr>
          <w:lang w:val="fr-FR"/>
        </w:rPr>
        <w:t>Dans le cadre de ses services consultatifs,</w:t>
      </w:r>
      <w:r w:rsidR="00761289" w:rsidRPr="00AC7E46">
        <w:rPr>
          <w:lang w:val="fr-FR"/>
        </w:rPr>
        <w:t xml:space="preserve"> la DSI</w:t>
      </w:r>
      <w:r w:rsidRPr="00AC7E46">
        <w:rPr>
          <w:lang w:val="fr-FR"/>
        </w:rPr>
        <w:t xml:space="preserve"> a continué de fournir des conseils sur les documents de politique générale, les évaluations, les processus opérationnels ou le cadre réglementaire, notamment.</w:t>
      </w:r>
    </w:p>
    <w:p w14:paraId="5792C9D0" w14:textId="6E03E95C" w:rsidR="000D5281" w:rsidRPr="00AC7E46" w:rsidRDefault="00F917C1" w:rsidP="00F4635E">
      <w:pPr>
        <w:pStyle w:val="Heading2"/>
      </w:pPr>
      <w:r>
        <w:t>A</w:t>
      </w:r>
      <w:r w:rsidRPr="00AC7E46">
        <w:t>ctivité de conseil – créer un environnement plus inclusif et plus diversifi</w:t>
      </w:r>
      <w:r>
        <w:t>é</w:t>
      </w:r>
      <w:r w:rsidRPr="00AC7E46">
        <w:t xml:space="preserve"> pour la procédure de recrutement des ressources humaines</w:t>
      </w:r>
    </w:p>
    <w:p w14:paraId="35550D1A" w14:textId="01E0B398" w:rsidR="000D5281" w:rsidRPr="00AC7E46" w:rsidRDefault="000D5281" w:rsidP="00D31722">
      <w:pPr>
        <w:pStyle w:val="ONUMFS"/>
        <w:rPr>
          <w:lang w:val="fr-FR"/>
        </w:rPr>
      </w:pPr>
      <w:r w:rsidRPr="00AC7E46">
        <w:rPr>
          <w:lang w:val="fr-FR"/>
        </w:rPr>
        <w:t>L</w:t>
      </w:r>
      <w:r w:rsidR="00761289" w:rsidRPr="00AC7E46">
        <w:rPr>
          <w:lang w:val="fr-FR"/>
        </w:rPr>
        <w:t>’</w:t>
      </w:r>
      <w:r w:rsidRPr="00AC7E46">
        <w:rPr>
          <w:lang w:val="fr-FR"/>
        </w:rPr>
        <w:t>OMPI s</w:t>
      </w:r>
      <w:r w:rsidR="00761289" w:rsidRPr="00AC7E46">
        <w:rPr>
          <w:lang w:val="fr-FR"/>
        </w:rPr>
        <w:t>’</w:t>
      </w:r>
      <w:r w:rsidRPr="00AC7E46">
        <w:rPr>
          <w:lang w:val="fr-FR"/>
        </w:rPr>
        <w:t>est engagée à créer une culture véritablement diversifiée et inclusive, telle que décrite dans</w:t>
      </w:r>
      <w:r w:rsidR="00761289" w:rsidRPr="00AC7E46">
        <w:rPr>
          <w:lang w:val="fr-FR"/>
        </w:rPr>
        <w:t xml:space="preserve"> le PSM</w:t>
      </w:r>
      <w:r w:rsidRPr="00AC7E46">
        <w:rPr>
          <w:lang w:val="fr-FR"/>
        </w:rPr>
        <w:t xml:space="preserve">T </w:t>
      </w:r>
      <w:r w:rsidR="00761289" w:rsidRPr="00AC7E46">
        <w:rPr>
          <w:lang w:val="fr-FR"/>
        </w:rPr>
        <w:t>pour 2022</w:t>
      </w:r>
      <w:r w:rsidR="001908D2">
        <w:rPr>
          <w:lang w:val="fr-FR"/>
        </w:rPr>
        <w:noBreakHyphen/>
      </w:r>
      <w:r w:rsidRPr="00AC7E46">
        <w:rPr>
          <w:lang w:val="fr-FR"/>
        </w:rPr>
        <w:t>2026.  Le Secrétaire général de l</w:t>
      </w:r>
      <w:r w:rsidR="00761289" w:rsidRPr="00AC7E46">
        <w:rPr>
          <w:lang w:val="fr-FR"/>
        </w:rPr>
        <w:t>’</w:t>
      </w:r>
      <w:r w:rsidRPr="00AC7E46">
        <w:rPr>
          <w:lang w:val="fr-FR"/>
        </w:rPr>
        <w:t xml:space="preserve">Organisation des </w:t>
      </w:r>
      <w:r w:rsidR="00761289" w:rsidRPr="00AC7E46">
        <w:rPr>
          <w:lang w:val="fr-FR"/>
        </w:rPr>
        <w:t>Nations Unies</w:t>
      </w:r>
      <w:r w:rsidRPr="00AC7E46">
        <w:rPr>
          <w:lang w:val="fr-FR"/>
        </w:rPr>
        <w:t xml:space="preserve"> considère les sciences du comportement comme un élément stratégique important pour la réalisation de ses objectifs et elles sont un pilier du “Quintet of change” d</w:t>
      </w:r>
      <w:r w:rsidR="00761289" w:rsidRPr="00AC7E46">
        <w:rPr>
          <w:lang w:val="fr-FR"/>
        </w:rPr>
        <w:t>’</w:t>
      </w:r>
      <w:r w:rsidRPr="00AC7E46">
        <w:rPr>
          <w:lang w:val="fr-FR"/>
        </w:rPr>
        <w:t>ONU</w:t>
      </w:r>
      <w:r w:rsidR="001908D2">
        <w:rPr>
          <w:lang w:val="fr-FR"/>
        </w:rPr>
        <w:t> </w:t>
      </w:r>
      <w:r w:rsidRPr="00AC7E46">
        <w:rPr>
          <w:lang w:val="fr-FR"/>
        </w:rPr>
        <w:t>2.0</w:t>
      </w:r>
      <w:r w:rsidRPr="00AC7E46">
        <w:rPr>
          <w:rStyle w:val="FootnoteReference"/>
          <w:lang w:val="fr-FR"/>
        </w:rPr>
        <w:footnoteReference w:id="13"/>
      </w:r>
      <w:r w:rsidRPr="00AC7E46">
        <w:rPr>
          <w:lang w:val="fr-FR"/>
        </w:rPr>
        <w:t>.</w:t>
      </w:r>
    </w:p>
    <w:p w14:paraId="1AE45E70" w14:textId="5BD63DF5" w:rsidR="000D5281" w:rsidRPr="00AC7E46" w:rsidRDefault="000D5281" w:rsidP="00D31722">
      <w:pPr>
        <w:pStyle w:val="ONUMFS"/>
        <w:rPr>
          <w:lang w:val="fr-FR"/>
        </w:rPr>
      </w:pPr>
      <w:r w:rsidRPr="00AC7E46">
        <w:rPr>
          <w:lang w:val="fr-FR"/>
        </w:rPr>
        <w:t>Dans le cadre de cet effort,</w:t>
      </w:r>
      <w:r w:rsidR="00761289" w:rsidRPr="00AC7E46">
        <w:rPr>
          <w:lang w:val="fr-FR"/>
        </w:rPr>
        <w:t xml:space="preserve"> la DSI</w:t>
      </w:r>
      <w:r w:rsidRPr="00AC7E46">
        <w:rPr>
          <w:lang w:val="fr-FR"/>
        </w:rPr>
        <w:t xml:space="preserve"> a fourni des services de conseil en vue d</w:t>
      </w:r>
      <w:r w:rsidR="00761289" w:rsidRPr="00AC7E46">
        <w:rPr>
          <w:lang w:val="fr-FR"/>
        </w:rPr>
        <w:t>’</w:t>
      </w:r>
      <w:r w:rsidRPr="00AC7E46">
        <w:rPr>
          <w:lang w:val="fr-FR"/>
        </w:rPr>
        <w:t>une prise en compte des sciences du comportement pour améliorer l</w:t>
      </w:r>
      <w:r w:rsidR="00761289" w:rsidRPr="00AC7E46">
        <w:rPr>
          <w:lang w:val="fr-FR"/>
        </w:rPr>
        <w:t>’</w:t>
      </w:r>
      <w:r w:rsidRPr="00AC7E46">
        <w:rPr>
          <w:lang w:val="fr-FR"/>
        </w:rPr>
        <w:t>inclusion et la diversité dans la procédure de recrutement de l</w:t>
      </w:r>
      <w:r w:rsidR="00761289" w:rsidRPr="00AC7E46">
        <w:rPr>
          <w:lang w:val="fr-FR"/>
        </w:rPr>
        <w:t>’</w:t>
      </w:r>
      <w:r w:rsidRPr="00AC7E46">
        <w:rPr>
          <w:lang w:val="fr-FR"/>
        </w:rPr>
        <w:t>OMPI, conformément à l</w:t>
      </w:r>
      <w:r w:rsidR="00761289" w:rsidRPr="00AC7E46">
        <w:rPr>
          <w:lang w:val="fr-FR"/>
        </w:rPr>
        <w:t>’</w:t>
      </w:r>
      <w:r w:rsidRPr="00AC7E46">
        <w:rPr>
          <w:lang w:val="fr-FR"/>
        </w:rPr>
        <w:t>Objectif 7 de la stratégie de l</w:t>
      </w:r>
      <w:r w:rsidR="00761289" w:rsidRPr="00AC7E46">
        <w:rPr>
          <w:lang w:val="fr-FR"/>
        </w:rPr>
        <w:t>’</w:t>
      </w:r>
      <w:r w:rsidRPr="00AC7E46">
        <w:rPr>
          <w:lang w:val="fr-FR"/>
        </w:rPr>
        <w:t>OMPI en matière de ressources humaines (Un effectif diversifié et sans exclusive).</w:t>
      </w:r>
    </w:p>
    <w:p w14:paraId="4607A6CF" w14:textId="46036D86" w:rsidR="000D5281" w:rsidRPr="00AC7E46" w:rsidRDefault="000D5281" w:rsidP="00D31722">
      <w:pPr>
        <w:pStyle w:val="ONUMFS"/>
        <w:rPr>
          <w:lang w:val="fr-FR"/>
        </w:rPr>
      </w:pPr>
      <w:r w:rsidRPr="00AC7E46">
        <w:rPr>
          <w:lang w:val="fr-FR"/>
        </w:rPr>
        <w:t>L</w:t>
      </w:r>
      <w:r w:rsidR="00761289" w:rsidRPr="00AC7E46">
        <w:rPr>
          <w:lang w:val="fr-FR"/>
        </w:rPr>
        <w:t>’</w:t>
      </w:r>
      <w:r w:rsidRPr="00AC7E46">
        <w:rPr>
          <w:lang w:val="fr-FR"/>
        </w:rPr>
        <w:t>activité de conseil a proposé une série de petites incitations visant à réduire les inégalités entre les sexes dans la procédure de liste d</w:t>
      </w:r>
      <w:r w:rsidR="00761289" w:rsidRPr="00AC7E46">
        <w:rPr>
          <w:lang w:val="fr-FR"/>
        </w:rPr>
        <w:t>’</w:t>
      </w:r>
      <w:r w:rsidRPr="00AC7E46">
        <w:rPr>
          <w:lang w:val="fr-FR"/>
        </w:rPr>
        <w:t>attente pour le recruteme</w:t>
      </w:r>
      <w:r w:rsidR="00AC7E46" w:rsidRPr="00AC7E46">
        <w:rPr>
          <w:lang w:val="fr-FR"/>
        </w:rPr>
        <w:t>nt.  Le</w:t>
      </w:r>
      <w:r w:rsidRPr="00AC7E46">
        <w:rPr>
          <w:lang w:val="fr-FR"/>
        </w:rPr>
        <w:t xml:space="preserve"> rapport contient des solutions inspirées des ateliers organisés avec</w:t>
      </w:r>
      <w:r w:rsidR="00761289" w:rsidRPr="00AC7E46">
        <w:rPr>
          <w:lang w:val="fr-FR"/>
        </w:rPr>
        <w:t xml:space="preserve"> le DGR</w:t>
      </w:r>
      <w:r w:rsidRPr="00AC7E46">
        <w:rPr>
          <w:lang w:val="fr-FR"/>
        </w:rPr>
        <w:t xml:space="preserve">H et son personnel, des </w:t>
      </w:r>
      <w:r w:rsidRPr="00AC7E46">
        <w:rPr>
          <w:lang w:val="fr-FR"/>
        </w:rPr>
        <w:lastRenderedPageBreak/>
        <w:t>données probantes et la manière dont l</w:t>
      </w:r>
      <w:r w:rsidR="00761289" w:rsidRPr="00AC7E46">
        <w:rPr>
          <w:lang w:val="fr-FR"/>
        </w:rPr>
        <w:t>’</w:t>
      </w:r>
      <w:r w:rsidRPr="00AC7E46">
        <w:rPr>
          <w:lang w:val="fr-FR"/>
        </w:rPr>
        <w:t>équipe comprend l</w:t>
      </w:r>
      <w:r w:rsidR="00761289" w:rsidRPr="00AC7E46">
        <w:rPr>
          <w:lang w:val="fr-FR"/>
        </w:rPr>
        <w:t>’</w:t>
      </w:r>
      <w:r w:rsidRPr="00AC7E46">
        <w:rPr>
          <w:lang w:val="fr-FR"/>
        </w:rPr>
        <w:t>établissement d</w:t>
      </w:r>
      <w:r w:rsidR="00761289" w:rsidRPr="00AC7E46">
        <w:rPr>
          <w:lang w:val="fr-FR"/>
        </w:rPr>
        <w:t>’</w:t>
      </w:r>
      <w:r w:rsidRPr="00AC7E46">
        <w:rPr>
          <w:lang w:val="fr-FR"/>
        </w:rPr>
        <w:t>une liste d</w:t>
      </w:r>
      <w:r w:rsidR="00761289" w:rsidRPr="00AC7E46">
        <w:rPr>
          <w:lang w:val="fr-FR"/>
        </w:rPr>
        <w:t>’</w:t>
      </w:r>
      <w:r w:rsidRPr="00AC7E46">
        <w:rPr>
          <w:lang w:val="fr-FR"/>
        </w:rPr>
        <w:t>atten</w:t>
      </w:r>
      <w:r w:rsidR="00AC7E46" w:rsidRPr="00AC7E46">
        <w:rPr>
          <w:lang w:val="fr-FR"/>
        </w:rPr>
        <w:t>te.  To</w:t>
      </w:r>
      <w:r w:rsidRPr="00AC7E46">
        <w:rPr>
          <w:lang w:val="fr-FR"/>
        </w:rPr>
        <w:t>ut cela nécessitera d</w:t>
      </w:r>
      <w:r w:rsidR="00761289" w:rsidRPr="00AC7E46">
        <w:rPr>
          <w:lang w:val="fr-FR"/>
        </w:rPr>
        <w:t>’</w:t>
      </w:r>
      <w:r w:rsidRPr="00AC7E46">
        <w:rPr>
          <w:lang w:val="fr-FR"/>
        </w:rPr>
        <w:t xml:space="preserve">apporter des changements </w:t>
      </w:r>
      <w:r w:rsidR="00C27523">
        <w:rPr>
          <w:lang w:val="fr-FR"/>
        </w:rPr>
        <w:t>i) </w:t>
      </w:r>
      <w:r w:rsidRPr="00AC7E46">
        <w:rPr>
          <w:lang w:val="fr-FR"/>
        </w:rPr>
        <w:t xml:space="preserve">au formulaire de candidature ou </w:t>
      </w:r>
      <w:r w:rsidR="00C27523">
        <w:rPr>
          <w:lang w:val="fr-FR"/>
        </w:rPr>
        <w:t>ii) </w:t>
      </w:r>
      <w:r w:rsidRPr="00AC7E46">
        <w:rPr>
          <w:lang w:val="fr-FR"/>
        </w:rPr>
        <w:t>à la procédure de liste d</w:t>
      </w:r>
      <w:r w:rsidR="00761289" w:rsidRPr="00AC7E46">
        <w:rPr>
          <w:lang w:val="fr-FR"/>
        </w:rPr>
        <w:t>’</w:t>
      </w:r>
      <w:r w:rsidRPr="00AC7E46">
        <w:rPr>
          <w:lang w:val="fr-FR"/>
        </w:rPr>
        <w:t>atten</w:t>
      </w:r>
      <w:r w:rsidR="00AC7E46" w:rsidRPr="00AC7E46">
        <w:rPr>
          <w:lang w:val="fr-FR"/>
        </w:rPr>
        <w:t>te.  S’i</w:t>
      </w:r>
      <w:r w:rsidRPr="00AC7E46">
        <w:rPr>
          <w:lang w:val="fr-FR"/>
        </w:rPr>
        <w:t>l est malaisé d</w:t>
      </w:r>
      <w:r w:rsidR="00761289" w:rsidRPr="00AC7E46">
        <w:rPr>
          <w:lang w:val="fr-FR"/>
        </w:rPr>
        <w:t>’</w:t>
      </w:r>
      <w:r w:rsidRPr="00AC7E46">
        <w:rPr>
          <w:lang w:val="fr-FR"/>
        </w:rPr>
        <w:t>anticiper l</w:t>
      </w:r>
      <w:r w:rsidR="00761289" w:rsidRPr="00AC7E46">
        <w:rPr>
          <w:lang w:val="fr-FR"/>
        </w:rPr>
        <w:t>’</w:t>
      </w:r>
      <w:r w:rsidRPr="00AC7E46">
        <w:rPr>
          <w:lang w:val="fr-FR"/>
        </w:rPr>
        <w:t>impact avec précision, l</w:t>
      </w:r>
      <w:r w:rsidR="00761289" w:rsidRPr="00AC7E46">
        <w:rPr>
          <w:lang w:val="fr-FR"/>
        </w:rPr>
        <w:t>’</w:t>
      </w:r>
      <w:r w:rsidRPr="00AC7E46">
        <w:rPr>
          <w:lang w:val="fr-FR"/>
        </w:rPr>
        <w:t>équipe de spécialistes du comportement a suggéré que la suppression de l</w:t>
      </w:r>
      <w:r w:rsidR="00761289" w:rsidRPr="00AC7E46">
        <w:rPr>
          <w:lang w:val="fr-FR"/>
        </w:rPr>
        <w:t>’</w:t>
      </w:r>
      <w:r w:rsidRPr="00AC7E46">
        <w:rPr>
          <w:lang w:val="fr-FR"/>
        </w:rPr>
        <w:t>exigence de mentionner le pourcentage de temps de travail dans les emplois précédents dans le formulaire de candidature produirait le plus d</w:t>
      </w:r>
      <w:r w:rsidR="00761289" w:rsidRPr="00AC7E46">
        <w:rPr>
          <w:lang w:val="fr-FR"/>
        </w:rPr>
        <w:t>’</w:t>
      </w:r>
      <w:r w:rsidRPr="00AC7E46">
        <w:rPr>
          <w:lang w:val="fr-FR"/>
        </w:rPr>
        <w:t>effet, étant donné que les candidates sont nettement plus susceptibles d</w:t>
      </w:r>
      <w:r w:rsidR="00761289" w:rsidRPr="00AC7E46">
        <w:rPr>
          <w:lang w:val="fr-FR"/>
        </w:rPr>
        <w:t>’</w:t>
      </w:r>
      <w:r w:rsidRPr="00AC7E46">
        <w:rPr>
          <w:lang w:val="fr-FR"/>
        </w:rPr>
        <w:t>avoir travaillé à temps partiel que les candidats masculins.</w:t>
      </w:r>
    </w:p>
    <w:p w14:paraId="2E972EEA" w14:textId="0B0E2D50" w:rsidR="000D5281" w:rsidRPr="00AC7E46" w:rsidRDefault="00F917C1" w:rsidP="00F917C1">
      <w:pPr>
        <w:pStyle w:val="Heading1"/>
      </w:pPr>
      <w:bookmarkStart w:id="42" w:name="_Toc165888319"/>
      <w:r>
        <w:t>C</w:t>
      </w:r>
      <w:r w:rsidRPr="00AC7E46">
        <w:t>as dans lesquels des demandes d’information ou d’assistance ont été rejetées</w:t>
      </w:r>
      <w:bookmarkEnd w:id="41"/>
      <w:bookmarkEnd w:id="42"/>
    </w:p>
    <w:p w14:paraId="78EF8711" w14:textId="4A242BE0" w:rsidR="000D5281" w:rsidRPr="00AC7E46" w:rsidRDefault="000D5281" w:rsidP="00D31722">
      <w:pPr>
        <w:pStyle w:val="ONUMFS"/>
        <w:rPr>
          <w:lang w:val="fr-FR"/>
        </w:rPr>
      </w:pPr>
      <w:r w:rsidRPr="00AC7E46">
        <w:rPr>
          <w:lang w:val="fr-FR"/>
        </w:rPr>
        <w:t>Conformément au paragraphe 48.g) de la Charte de la supervision interne, le directeur de</w:t>
      </w:r>
      <w:r w:rsidR="00761289" w:rsidRPr="00AC7E46">
        <w:rPr>
          <w:lang w:val="fr-FR"/>
        </w:rPr>
        <w:t xml:space="preserve"> la DSI</w:t>
      </w:r>
      <w:r w:rsidRPr="00AC7E46">
        <w:rPr>
          <w:lang w:val="fr-FR"/>
        </w:rPr>
        <w:t xml:space="preserve"> doit établir un rapport dans tous les cas où l</w:t>
      </w:r>
      <w:r w:rsidR="00761289" w:rsidRPr="00AC7E46">
        <w:rPr>
          <w:lang w:val="fr-FR"/>
        </w:rPr>
        <w:t>’</w:t>
      </w:r>
      <w:r w:rsidRPr="00AC7E46">
        <w:rPr>
          <w:lang w:val="fr-FR"/>
        </w:rPr>
        <w:t>accès de</w:t>
      </w:r>
      <w:r w:rsidR="00761289" w:rsidRPr="00AC7E46">
        <w:rPr>
          <w:lang w:val="fr-FR"/>
        </w:rPr>
        <w:t xml:space="preserve"> la DSI</w:t>
      </w:r>
      <w:r w:rsidRPr="00AC7E46">
        <w:rPr>
          <w:lang w:val="fr-FR"/>
        </w:rPr>
        <w:t xml:space="preserve"> aux dossiers, personnel et locaux a été limité au cours de la période considérée.</w:t>
      </w:r>
    </w:p>
    <w:p w14:paraId="181DA2FF" w14:textId="4874A73D" w:rsidR="000D5281" w:rsidRPr="00AC7E46" w:rsidRDefault="000D5281" w:rsidP="00D31722">
      <w:pPr>
        <w:pStyle w:val="ONUMFS"/>
        <w:rPr>
          <w:lang w:val="fr-FR"/>
        </w:rPr>
      </w:pPr>
      <w:r w:rsidRPr="00AC7E46">
        <w:rPr>
          <w:lang w:val="fr-FR"/>
        </w:rPr>
        <w:t>La DSI signale qu</w:t>
      </w:r>
      <w:r w:rsidR="00761289" w:rsidRPr="00AC7E46">
        <w:rPr>
          <w:lang w:val="fr-FR"/>
        </w:rPr>
        <w:t>’</w:t>
      </w:r>
      <w:r w:rsidRPr="00AC7E46">
        <w:rPr>
          <w:lang w:val="fr-FR"/>
        </w:rPr>
        <w:t>il n</w:t>
      </w:r>
      <w:r w:rsidR="00761289" w:rsidRPr="00AC7E46">
        <w:rPr>
          <w:lang w:val="fr-FR"/>
        </w:rPr>
        <w:t>’</w:t>
      </w:r>
      <w:r w:rsidRPr="00AC7E46">
        <w:rPr>
          <w:lang w:val="fr-FR"/>
        </w:rPr>
        <w:t>y a pas eu de cas tels que décrits au paragraphe 48.g) de la Charte de la supervision interne pendant la période considérée.</w:t>
      </w:r>
    </w:p>
    <w:p w14:paraId="4402C204" w14:textId="53F5D76D" w:rsidR="000D5281" w:rsidRPr="00AC7E46" w:rsidRDefault="00F917C1" w:rsidP="00F917C1">
      <w:pPr>
        <w:pStyle w:val="Heading1"/>
      </w:pPr>
      <w:bookmarkStart w:id="43" w:name="_Toc165888320"/>
      <w:bookmarkEnd w:id="36"/>
      <w:r>
        <w:t>É</w:t>
      </w:r>
      <w:r w:rsidRPr="00AC7E46">
        <w:t>tat d’avancement de la mise en œuvre des recommandations en matière de supervision</w:t>
      </w:r>
      <w:bookmarkEnd w:id="43"/>
    </w:p>
    <w:p w14:paraId="38D9E1D4" w14:textId="4DEB115A" w:rsidR="000D5281" w:rsidRPr="00AC7E46" w:rsidRDefault="000D5281" w:rsidP="00D31722">
      <w:pPr>
        <w:pStyle w:val="ONUMFS"/>
        <w:rPr>
          <w:lang w:val="fr-FR"/>
        </w:rPr>
      </w:pPr>
      <w:r w:rsidRPr="00AC7E46">
        <w:rPr>
          <w:lang w:val="fr-FR"/>
        </w:rPr>
        <w:t>Le Directeur général a la responsabilité de veiller à ce qu</w:t>
      </w:r>
      <w:r w:rsidR="00761289" w:rsidRPr="00AC7E46">
        <w:rPr>
          <w:lang w:val="fr-FR"/>
        </w:rPr>
        <w:t>’</w:t>
      </w:r>
      <w:r w:rsidRPr="00AC7E46">
        <w:rPr>
          <w:lang w:val="fr-FR"/>
        </w:rPr>
        <w:t>il soit donné effet sans tarder à toutes les recommandations du directeur de</w:t>
      </w:r>
      <w:r w:rsidR="00761289" w:rsidRPr="00AC7E46">
        <w:rPr>
          <w:lang w:val="fr-FR"/>
        </w:rPr>
        <w:t xml:space="preserve"> la DSI</w:t>
      </w:r>
      <w:r w:rsidRPr="00AC7E46">
        <w:rPr>
          <w:lang w:val="fr-FR"/>
        </w:rPr>
        <w:t xml:space="preserve"> et des autres organes de supervision et d</w:t>
      </w:r>
      <w:r w:rsidR="00761289" w:rsidRPr="00AC7E46">
        <w:rPr>
          <w:lang w:val="fr-FR"/>
        </w:rPr>
        <w:t>’</w:t>
      </w:r>
      <w:r w:rsidRPr="00AC7E46">
        <w:rPr>
          <w:lang w:val="fr-FR"/>
        </w:rPr>
        <w:t xml:space="preserve">indiquer les mesures prises </w:t>
      </w:r>
      <w:r w:rsidR="00761289" w:rsidRPr="00AC7E46">
        <w:rPr>
          <w:lang w:val="fr-FR"/>
        </w:rPr>
        <w:t>à l’égard</w:t>
      </w:r>
      <w:r w:rsidRPr="00AC7E46">
        <w:rPr>
          <w:lang w:val="fr-FR"/>
        </w:rPr>
        <w:t xml:space="preserve"> des différentes conclusions et recommandations</w:t>
      </w:r>
      <w:r w:rsidRPr="00AC7E46">
        <w:rPr>
          <w:rStyle w:val="FootnoteReference"/>
          <w:lang w:val="fr-FR"/>
        </w:rPr>
        <w:footnoteReference w:id="14"/>
      </w:r>
      <w:r w:rsidRPr="00AC7E46">
        <w:rPr>
          <w:lang w:val="fr-FR"/>
        </w:rPr>
        <w:t>.  Le Directeur général s</w:t>
      </w:r>
      <w:r w:rsidR="00761289" w:rsidRPr="00AC7E46">
        <w:rPr>
          <w:lang w:val="fr-FR"/>
        </w:rPr>
        <w:t>’</w:t>
      </w:r>
      <w:r w:rsidRPr="00AC7E46">
        <w:rPr>
          <w:lang w:val="fr-FR"/>
        </w:rPr>
        <w:t>acquitte de cette responsabilité par l</w:t>
      </w:r>
      <w:r w:rsidR="00761289" w:rsidRPr="00AC7E46">
        <w:rPr>
          <w:lang w:val="fr-FR"/>
        </w:rPr>
        <w:t>’</w:t>
      </w:r>
      <w:r w:rsidRPr="00AC7E46">
        <w:rPr>
          <w:lang w:val="fr-FR"/>
        </w:rPr>
        <w:t>intermédiaire des chefs de secteur et d</w:t>
      </w:r>
      <w:r w:rsidR="00761289" w:rsidRPr="00AC7E46">
        <w:rPr>
          <w:lang w:val="fr-FR"/>
        </w:rPr>
        <w:t>’</w:t>
      </w:r>
      <w:r w:rsidRPr="00AC7E46">
        <w:rPr>
          <w:lang w:val="fr-FR"/>
        </w:rPr>
        <w:t>autres membres de la haute direction chargés des différents secteurs opérationnels de l</w:t>
      </w:r>
      <w:r w:rsidR="00761289" w:rsidRPr="00AC7E46">
        <w:rPr>
          <w:lang w:val="fr-FR"/>
        </w:rPr>
        <w:t>’</w:t>
      </w:r>
      <w:r w:rsidRPr="00AC7E46">
        <w:rPr>
          <w:lang w:val="fr-FR"/>
        </w:rPr>
        <w:t>Organisation</w:t>
      </w:r>
      <w:r w:rsidRPr="00AC7E46">
        <w:rPr>
          <w:rStyle w:val="FootnoteReference"/>
          <w:lang w:val="fr-FR"/>
        </w:rPr>
        <w:footnoteReference w:id="15"/>
      </w:r>
      <w:r w:rsidRPr="00AC7E46">
        <w:rPr>
          <w:lang w:val="fr-FR"/>
        </w:rPr>
        <w:t>.  La mise en œuvre de toutes les recommandations relatives à la supervision fait l</w:t>
      </w:r>
      <w:r w:rsidR="00761289" w:rsidRPr="00AC7E46">
        <w:rPr>
          <w:lang w:val="fr-FR"/>
        </w:rPr>
        <w:t>’</w:t>
      </w:r>
      <w:r w:rsidRPr="00AC7E46">
        <w:rPr>
          <w:lang w:val="fr-FR"/>
        </w:rPr>
        <w:t>objet d</w:t>
      </w:r>
      <w:r w:rsidR="00761289" w:rsidRPr="00AC7E46">
        <w:rPr>
          <w:lang w:val="fr-FR"/>
        </w:rPr>
        <w:t>’</w:t>
      </w:r>
      <w:r w:rsidRPr="00AC7E46">
        <w:rPr>
          <w:lang w:val="fr-FR"/>
        </w:rPr>
        <w:t>un suivi régulier par</w:t>
      </w:r>
      <w:r w:rsidR="00761289" w:rsidRPr="00AC7E46">
        <w:rPr>
          <w:lang w:val="fr-FR"/>
        </w:rPr>
        <w:t xml:space="preserve"> la DSI</w:t>
      </w:r>
      <w:r w:rsidRPr="00AC7E46">
        <w:rPr>
          <w:rStyle w:val="FootnoteReference"/>
          <w:lang w:val="fr-FR"/>
        </w:rPr>
        <w:footnoteReference w:id="16"/>
      </w:r>
      <w:r w:rsidRPr="00AC7E46">
        <w:rPr>
          <w:lang w:val="fr-FR"/>
        </w:rPr>
        <w:t>.</w:t>
      </w:r>
    </w:p>
    <w:p w14:paraId="19B95BB5" w14:textId="2190F549" w:rsidR="000D5281" w:rsidRPr="00AC7E46" w:rsidRDefault="000D5281" w:rsidP="00D31722">
      <w:pPr>
        <w:pStyle w:val="ONUMFS"/>
        <w:rPr>
          <w:lang w:val="fr-FR"/>
        </w:rPr>
      </w:pPr>
      <w:r w:rsidRPr="00AC7E46">
        <w:rPr>
          <w:lang w:val="fr-FR"/>
        </w:rPr>
        <w:t xml:space="preserve">LA DSI gère les recommandations et en rend compte au moyen du système </w:t>
      </w:r>
      <w:proofErr w:type="spellStart"/>
      <w:r w:rsidRPr="00AC7E46">
        <w:rPr>
          <w:lang w:val="fr-FR"/>
        </w:rPr>
        <w:t>TeamMate</w:t>
      </w:r>
      <w:proofErr w:type="spellEnd"/>
      <w:r w:rsidRPr="00AC7E46">
        <w:rPr>
          <w:lang w:val="fr-FR"/>
        </w:rPr>
        <w:t>+, qui facilite le dialogue avec la direction en vue d</w:t>
      </w:r>
      <w:r w:rsidR="00761289" w:rsidRPr="00AC7E46">
        <w:rPr>
          <w:lang w:val="fr-FR"/>
        </w:rPr>
        <w:t>’</w:t>
      </w:r>
      <w:r w:rsidRPr="00AC7E46">
        <w:rPr>
          <w:lang w:val="fr-FR"/>
        </w:rPr>
        <w:t>un suivi efficace de la mise en œuvre des recommandations ouvertes.</w:t>
      </w:r>
    </w:p>
    <w:p w14:paraId="76FFF27C" w14:textId="7B87512E" w:rsidR="000D5281" w:rsidRPr="00AC7E46" w:rsidRDefault="000D5281" w:rsidP="00D31722">
      <w:pPr>
        <w:pStyle w:val="ONUMFS"/>
        <w:rPr>
          <w:lang w:val="fr-FR"/>
        </w:rPr>
      </w:pPr>
      <w:r w:rsidRPr="00AC7E46">
        <w:rPr>
          <w:lang w:val="fr-FR"/>
        </w:rPr>
        <w:t>Au 31 décembre 2023, on comptait 59 recommandations ouvertes dans le système de</w:t>
      </w:r>
      <w:r w:rsidR="00EB4D8F">
        <w:rPr>
          <w:lang w:val="fr-FR"/>
        </w:rPr>
        <w:t> </w:t>
      </w:r>
      <w:r w:rsidRPr="00AC7E46">
        <w:rPr>
          <w:lang w:val="fr-FR"/>
        </w:rPr>
        <w:t>gestion des audits de</w:t>
      </w:r>
      <w:r w:rsidR="00761289" w:rsidRPr="00AC7E46">
        <w:rPr>
          <w:lang w:val="fr-FR"/>
        </w:rPr>
        <w:t xml:space="preserve"> la DSI</w:t>
      </w:r>
      <w:r w:rsidRPr="00AC7E46">
        <w:rPr>
          <w:lang w:val="fr-FR"/>
        </w:rPr>
        <w:t>, dont sept étaient jugées hautement prioritaires et 52</w:t>
      </w:r>
      <w:r w:rsidR="00EB4D8F">
        <w:rPr>
          <w:lang w:val="fr-FR"/>
        </w:rPr>
        <w:t> </w:t>
      </w:r>
      <w:r w:rsidRPr="00AC7E46">
        <w:rPr>
          <w:lang w:val="fr-FR"/>
        </w:rPr>
        <w:t>moyennement prioritair</w:t>
      </w:r>
      <w:r w:rsidR="00AC7E46" w:rsidRPr="00AC7E46">
        <w:rPr>
          <w:lang w:val="fr-FR"/>
        </w:rPr>
        <w:t>es.  Pa</w:t>
      </w:r>
      <w:r w:rsidRPr="00AC7E46">
        <w:rPr>
          <w:lang w:val="fr-FR"/>
        </w:rPr>
        <w:t>rmi celles</w:t>
      </w:r>
      <w:r w:rsidR="001908D2">
        <w:rPr>
          <w:lang w:val="fr-FR"/>
        </w:rPr>
        <w:noBreakHyphen/>
      </w:r>
      <w:r w:rsidRPr="00AC7E46">
        <w:rPr>
          <w:lang w:val="fr-FR"/>
        </w:rPr>
        <w:t>ci, 81</w:t>
      </w:r>
      <w:r w:rsidR="006F1D4B" w:rsidRPr="00AC7E46">
        <w:rPr>
          <w:lang w:val="fr-FR"/>
        </w:rPr>
        <w:t>%</w:t>
      </w:r>
      <w:r w:rsidRPr="00AC7E46">
        <w:rPr>
          <w:lang w:val="fr-FR"/>
        </w:rPr>
        <w:t xml:space="preserve"> (48) émanaient de</w:t>
      </w:r>
      <w:r w:rsidR="00761289" w:rsidRPr="00AC7E46">
        <w:rPr>
          <w:lang w:val="fr-FR"/>
        </w:rPr>
        <w:t xml:space="preserve"> la DSI</w:t>
      </w:r>
      <w:r w:rsidRPr="00AC7E46">
        <w:rPr>
          <w:lang w:val="fr-FR"/>
        </w:rPr>
        <w:t xml:space="preserve"> et les 19</w:t>
      </w:r>
      <w:r w:rsidR="006F1D4B" w:rsidRPr="00AC7E46">
        <w:rPr>
          <w:lang w:val="fr-FR"/>
        </w:rPr>
        <w:t>%</w:t>
      </w:r>
      <w:r w:rsidRPr="00AC7E46">
        <w:rPr>
          <w:lang w:val="fr-FR"/>
        </w:rPr>
        <w:t xml:space="preserve"> restants</w:t>
      </w:r>
      <w:r w:rsidR="00EB4D8F">
        <w:rPr>
          <w:lang w:val="fr-FR"/>
        </w:rPr>
        <w:t> </w:t>
      </w:r>
      <w:r w:rsidRPr="00AC7E46">
        <w:rPr>
          <w:lang w:val="fr-FR"/>
        </w:rPr>
        <w:t>(11) concernaient des recommandations faites par le vérificateur externe des compt</w:t>
      </w:r>
      <w:r w:rsidR="00AC7E46" w:rsidRPr="00AC7E46">
        <w:rPr>
          <w:lang w:val="fr-FR"/>
        </w:rPr>
        <w:t>es.  Le</w:t>
      </w:r>
      <w:r w:rsidRPr="00AC7E46">
        <w:rPr>
          <w:lang w:val="fr-FR"/>
        </w:rPr>
        <w:t xml:space="preserve"> diagramme 3 ci</w:t>
      </w:r>
      <w:r w:rsidR="001908D2">
        <w:rPr>
          <w:lang w:val="fr-FR"/>
        </w:rPr>
        <w:noBreakHyphen/>
      </w:r>
      <w:r w:rsidRPr="00AC7E46">
        <w:rPr>
          <w:lang w:val="fr-FR"/>
        </w:rPr>
        <w:t>après présente les recommandations ouvertes par source et par degré de priorité au 31 décembre 2023.</w:t>
      </w:r>
    </w:p>
    <w:p w14:paraId="19777E8D" w14:textId="3226C7D7" w:rsidR="000D5281" w:rsidRPr="00F917C1" w:rsidRDefault="000D5281" w:rsidP="00F917C1">
      <w:pPr>
        <w:keepNext/>
        <w:spacing w:after="240"/>
        <w:jc w:val="center"/>
        <w:rPr>
          <w:b/>
          <w:bCs/>
          <w:lang w:val="fr-FR"/>
        </w:rPr>
      </w:pPr>
      <w:r w:rsidRPr="00F917C1">
        <w:rPr>
          <w:b/>
          <w:bCs/>
          <w:lang w:val="fr-FR"/>
        </w:rPr>
        <w:lastRenderedPageBreak/>
        <w:t>Diagramme</w:t>
      </w:r>
      <w:r w:rsidR="001908D2" w:rsidRPr="00F917C1">
        <w:rPr>
          <w:b/>
          <w:bCs/>
          <w:lang w:val="fr-FR"/>
        </w:rPr>
        <w:t> </w:t>
      </w:r>
      <w:r w:rsidRPr="00F917C1">
        <w:rPr>
          <w:b/>
          <w:bCs/>
          <w:lang w:val="fr-FR"/>
        </w:rPr>
        <w:t>3 – Recommandations ouvertes par source et par degré de priorité (59)</w:t>
      </w:r>
    </w:p>
    <w:p w14:paraId="38527880" w14:textId="3A8C852D" w:rsidR="00EB4D8F" w:rsidRDefault="00EB4D8F" w:rsidP="00EB4D8F">
      <w:pPr>
        <w:spacing w:after="240"/>
        <w:jc w:val="center"/>
        <w:rPr>
          <w:lang w:val="fr-FR"/>
        </w:rPr>
      </w:pPr>
      <w:r w:rsidRPr="00EB4D8F">
        <w:rPr>
          <w:noProof/>
        </w:rPr>
        <w:drawing>
          <wp:inline distT="0" distB="0" distL="0" distR="0" wp14:anchorId="706FB486" wp14:editId="34E653E3">
            <wp:extent cx="5400000" cy="3235058"/>
            <wp:effectExtent l="0" t="0" r="0" b="3810"/>
            <wp:docPr id="10" name="Picture 10" descr="Diagramme 3 – Recommandations ouvertes par source et par degré de priorité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me 3 – Recommandations ouvertes par source et par degré de priorité (5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00" cy="3235058"/>
                    </a:xfrm>
                    <a:prstGeom prst="rect">
                      <a:avLst/>
                    </a:prstGeom>
                    <a:noFill/>
                    <a:ln>
                      <a:noFill/>
                    </a:ln>
                  </pic:spPr>
                </pic:pic>
              </a:graphicData>
            </a:graphic>
          </wp:inline>
        </w:drawing>
      </w:r>
    </w:p>
    <w:p w14:paraId="1378C087" w14:textId="37C915B4" w:rsidR="000D5281" w:rsidRPr="00AC7E46" w:rsidRDefault="000D5281" w:rsidP="00F917C1">
      <w:pPr>
        <w:spacing w:after="240"/>
        <w:rPr>
          <w:b/>
          <w:sz w:val="18"/>
          <w:lang w:val="fr-FR"/>
        </w:rPr>
      </w:pPr>
      <w:r w:rsidRPr="00AC7E46">
        <w:rPr>
          <w:lang w:val="fr-FR"/>
        </w:rPr>
        <w:t>Source</w:t>
      </w:r>
      <w:r w:rsidR="00761289" w:rsidRPr="00AC7E46">
        <w:rPr>
          <w:lang w:val="fr-FR"/>
        </w:rPr>
        <w:t> :</w:t>
      </w:r>
      <w:r w:rsidRPr="00AC7E46">
        <w:rPr>
          <w:lang w:val="fr-FR"/>
        </w:rPr>
        <w:t xml:space="preserve"> Système de gestion des audits de</w:t>
      </w:r>
      <w:r w:rsidR="00761289" w:rsidRPr="00AC7E46">
        <w:rPr>
          <w:lang w:val="fr-FR"/>
        </w:rPr>
        <w:t xml:space="preserve"> la DSI</w:t>
      </w:r>
    </w:p>
    <w:p w14:paraId="0CEDC878" w14:textId="291A0A24" w:rsidR="000D5281" w:rsidRPr="00AC7E46" w:rsidRDefault="000D5281" w:rsidP="00D31722">
      <w:pPr>
        <w:pStyle w:val="ONUMFS"/>
        <w:rPr>
          <w:lang w:val="fr-FR"/>
        </w:rPr>
      </w:pPr>
      <w:r w:rsidRPr="00AC7E46">
        <w:rPr>
          <w:lang w:val="fr-FR"/>
        </w:rPr>
        <w:t>Entre janvier et décembre 2023, 51 nouvelles recommandations ont été ajoutées au système de gestion des audits, dont 45 provenaient des missions de</w:t>
      </w:r>
      <w:r w:rsidR="00761289" w:rsidRPr="00AC7E46">
        <w:rPr>
          <w:lang w:val="fr-FR"/>
        </w:rPr>
        <w:t xml:space="preserve"> la DSI</w:t>
      </w:r>
      <w:r w:rsidRPr="00AC7E46">
        <w:rPr>
          <w:lang w:val="fr-FR"/>
        </w:rPr>
        <w:t xml:space="preserve"> et six du rapport du vérificateur externe des compt</w:t>
      </w:r>
      <w:r w:rsidR="00AC7E46" w:rsidRPr="00AC7E46">
        <w:rPr>
          <w:lang w:val="fr-FR"/>
        </w:rPr>
        <w:t>es.  Au</w:t>
      </w:r>
      <w:r w:rsidRPr="00AC7E46">
        <w:rPr>
          <w:lang w:val="fr-FR"/>
        </w:rPr>
        <w:t xml:space="preserve"> cours de la même période, 86 recommandations ont été clôturées, </w:t>
      </w:r>
      <w:r w:rsidR="00761289" w:rsidRPr="00AC7E46">
        <w:rPr>
          <w:lang w:val="fr-FR"/>
        </w:rPr>
        <w:t>à savoir</w:t>
      </w:r>
      <w:r w:rsidRPr="00AC7E46">
        <w:rPr>
          <w:lang w:val="fr-FR"/>
        </w:rPr>
        <w:t xml:space="preserve"> 78 de</w:t>
      </w:r>
      <w:r w:rsidR="00761289" w:rsidRPr="00AC7E46">
        <w:rPr>
          <w:lang w:val="fr-FR"/>
        </w:rPr>
        <w:t xml:space="preserve"> la DSI</w:t>
      </w:r>
      <w:r w:rsidRPr="00AC7E46">
        <w:rPr>
          <w:lang w:val="fr-FR"/>
        </w:rPr>
        <w:t>, sept du vérificateur externe des comptes et une de l</w:t>
      </w:r>
      <w:r w:rsidR="00761289" w:rsidRPr="00AC7E46">
        <w:rPr>
          <w:lang w:val="fr-FR"/>
        </w:rPr>
        <w:t>’</w:t>
      </w:r>
      <w:r w:rsidRPr="00AC7E46">
        <w:rPr>
          <w:lang w:val="fr-FR"/>
        </w:rPr>
        <w:t>O</w:t>
      </w:r>
      <w:r w:rsidR="00AC7E46" w:rsidRPr="00AC7E46">
        <w:rPr>
          <w:lang w:val="fr-FR"/>
        </w:rPr>
        <w:t>CIS.  Le</w:t>
      </w:r>
      <w:r w:rsidRPr="00AC7E46">
        <w:rPr>
          <w:lang w:val="fr-FR"/>
        </w:rPr>
        <w:t xml:space="preserve"> tableau 2 ci</w:t>
      </w:r>
      <w:r w:rsidR="001908D2">
        <w:rPr>
          <w:lang w:val="fr-FR"/>
        </w:rPr>
        <w:noBreakHyphen/>
      </w:r>
      <w:r w:rsidRPr="00AC7E46">
        <w:rPr>
          <w:lang w:val="fr-FR"/>
        </w:rPr>
        <w:t>après montre l</w:t>
      </w:r>
      <w:r w:rsidR="00761289" w:rsidRPr="00AC7E46">
        <w:rPr>
          <w:lang w:val="fr-FR"/>
        </w:rPr>
        <w:t>’</w:t>
      </w:r>
      <w:r w:rsidRPr="00AC7E46">
        <w:rPr>
          <w:lang w:val="fr-FR"/>
        </w:rPr>
        <w:t xml:space="preserve">évolution des recommandations, par source, </w:t>
      </w:r>
      <w:r w:rsidR="00761289" w:rsidRPr="00AC7E46">
        <w:rPr>
          <w:lang w:val="fr-FR"/>
        </w:rPr>
        <w:t>en 2023</w:t>
      </w:r>
      <w:r w:rsidRPr="00AC7E46">
        <w:rPr>
          <w:lang w:val="fr-FR"/>
        </w:rPr>
        <w:t>.</w:t>
      </w:r>
    </w:p>
    <w:p w14:paraId="19305DD1" w14:textId="64B87E6A" w:rsidR="000D5281" w:rsidRPr="00AC7E46" w:rsidRDefault="000D5281" w:rsidP="000D5281">
      <w:pPr>
        <w:pStyle w:val="ONUME"/>
        <w:keepNext/>
        <w:numPr>
          <w:ilvl w:val="0"/>
          <w:numId w:val="0"/>
        </w:numPr>
        <w:jc w:val="center"/>
        <w:rPr>
          <w:b/>
          <w:szCs w:val="22"/>
          <w:lang w:val="fr-FR"/>
        </w:rPr>
      </w:pPr>
      <w:r w:rsidRPr="00AC7E46">
        <w:rPr>
          <w:b/>
          <w:szCs w:val="22"/>
          <w:lang w:val="fr-FR"/>
        </w:rPr>
        <w:t>Tableau 2 – Évolution des recommandations entre le</w:t>
      </w:r>
      <w:r w:rsidR="00761289" w:rsidRPr="00AC7E46">
        <w:rPr>
          <w:b/>
          <w:szCs w:val="22"/>
          <w:lang w:val="fr-FR"/>
        </w:rPr>
        <w:t xml:space="preserve"> 1</w:t>
      </w:r>
      <w:r w:rsidR="00761289" w:rsidRPr="00AC7E46">
        <w:rPr>
          <w:b/>
          <w:szCs w:val="22"/>
          <w:vertAlign w:val="superscript"/>
          <w:lang w:val="fr-FR"/>
        </w:rPr>
        <w:t>er</w:t>
      </w:r>
      <w:r w:rsidR="00761289" w:rsidRPr="00AC7E46">
        <w:rPr>
          <w:b/>
          <w:szCs w:val="22"/>
          <w:lang w:val="fr-FR"/>
        </w:rPr>
        <w:t> </w:t>
      </w:r>
      <w:r w:rsidRPr="00AC7E46">
        <w:rPr>
          <w:b/>
          <w:szCs w:val="22"/>
          <w:lang w:val="fr-FR"/>
        </w:rPr>
        <w:t>janvier 2023 et</w:t>
      </w:r>
      <w:r w:rsidR="00386FF4">
        <w:rPr>
          <w:b/>
          <w:szCs w:val="22"/>
          <w:lang w:val="fr-FR"/>
        </w:rPr>
        <w:t> </w:t>
      </w:r>
      <w:r w:rsidRPr="00AC7E46">
        <w:rPr>
          <w:b/>
          <w:szCs w:val="22"/>
          <w:lang w:val="fr-FR"/>
        </w:rPr>
        <w:t>le</w:t>
      </w:r>
      <w:r w:rsidR="00386FF4">
        <w:rPr>
          <w:b/>
          <w:szCs w:val="22"/>
          <w:lang w:val="fr-FR"/>
        </w:rPr>
        <w:t> </w:t>
      </w:r>
      <w:r w:rsidRPr="00AC7E46">
        <w:rPr>
          <w:b/>
          <w:szCs w:val="22"/>
          <w:lang w:val="fr-FR"/>
        </w:rPr>
        <w:t>31 décembre 2023</w:t>
      </w:r>
    </w:p>
    <w:tbl>
      <w:tblPr>
        <w:tblStyle w:val="GridTable4-Accent1"/>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au 2"/>
        <w:tblDescription w:val="Évolution des recommandations entre le 1er janvier 2023 et le 31 décembre 2023"/>
      </w:tblPr>
      <w:tblGrid>
        <w:gridCol w:w="3522"/>
        <w:gridCol w:w="1619"/>
        <w:gridCol w:w="1517"/>
        <w:gridCol w:w="1461"/>
        <w:gridCol w:w="1908"/>
      </w:tblGrid>
      <w:tr w:rsidR="000D5281" w:rsidRPr="00AC7E46" w14:paraId="453C071B" w14:textId="77777777" w:rsidTr="00E249CE">
        <w:trPr>
          <w:cnfStyle w:val="100000000000" w:firstRow="1" w:lastRow="0" w:firstColumn="0" w:lastColumn="0" w:oddVBand="0" w:evenVBand="0" w:oddHBand="0" w:evenHBand="0" w:firstRowFirstColumn="0" w:firstRowLastColumn="0" w:lastRowFirstColumn="0" w:lastRowLastColumn="0"/>
          <w:trHeight w:val="711"/>
          <w:tblHeader/>
        </w:trPr>
        <w:tc>
          <w:tcPr>
            <w:cnfStyle w:val="001000000000" w:firstRow="0" w:lastRow="0" w:firstColumn="1" w:lastColumn="0" w:oddVBand="0" w:evenVBand="0" w:oddHBand="0" w:evenHBand="0" w:firstRowFirstColumn="0" w:firstRowLastColumn="0" w:lastRowFirstColumn="0" w:lastRowLastColumn="0"/>
            <w:tcW w:w="3522" w:type="dxa"/>
            <w:noWrap/>
            <w:hideMark/>
          </w:tcPr>
          <w:p w14:paraId="6F8BD392" w14:textId="77777777" w:rsidR="000D5281" w:rsidRPr="00AC7E46" w:rsidRDefault="000D5281" w:rsidP="00E249CE">
            <w:pPr>
              <w:rPr>
                <w:rFonts w:eastAsia="Times New Roman"/>
                <w:b w:val="0"/>
                <w:bCs w:val="0"/>
                <w:color w:val="000000"/>
                <w:sz w:val="20"/>
                <w:lang w:val="fr-FR" w:eastAsia="en-US"/>
              </w:rPr>
            </w:pPr>
            <w:r w:rsidRPr="00AC7E46">
              <w:rPr>
                <w:color w:val="000000"/>
                <w:spacing w:val="-2"/>
                <w:sz w:val="20"/>
                <w:lang w:val="fr-FR"/>
              </w:rPr>
              <w:t>Source</w:t>
            </w:r>
          </w:p>
        </w:tc>
        <w:tc>
          <w:tcPr>
            <w:tcW w:w="1592" w:type="dxa"/>
            <w:hideMark/>
          </w:tcPr>
          <w:p w14:paraId="62406E2A" w14:textId="63C0C4D7" w:rsidR="000D5281" w:rsidRPr="00AC7E46" w:rsidRDefault="000D5281" w:rsidP="00E249CE">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val="fr-FR" w:eastAsia="en-US"/>
              </w:rPr>
            </w:pPr>
            <w:r w:rsidRPr="00AC7E46">
              <w:rPr>
                <w:color w:val="000000"/>
                <w:spacing w:val="-2"/>
                <w:sz w:val="20"/>
                <w:lang w:val="fr-FR"/>
              </w:rPr>
              <w:t>Ouvertes au</w:t>
            </w:r>
            <w:r w:rsidR="00761289" w:rsidRPr="00AC7E46">
              <w:rPr>
                <w:color w:val="000000"/>
                <w:spacing w:val="-2"/>
                <w:sz w:val="20"/>
                <w:lang w:val="fr-FR"/>
              </w:rPr>
              <w:t xml:space="preserve"> 1</w:t>
            </w:r>
            <w:r w:rsidR="00761289" w:rsidRPr="00AC7E46">
              <w:rPr>
                <w:color w:val="000000"/>
                <w:spacing w:val="-2"/>
                <w:sz w:val="20"/>
                <w:vertAlign w:val="superscript"/>
                <w:lang w:val="fr-FR"/>
              </w:rPr>
              <w:t>er</w:t>
            </w:r>
            <w:r w:rsidR="00761289" w:rsidRPr="00AC7E46">
              <w:rPr>
                <w:color w:val="000000"/>
                <w:spacing w:val="-2"/>
                <w:sz w:val="20"/>
                <w:lang w:val="fr-FR"/>
              </w:rPr>
              <w:t> </w:t>
            </w:r>
            <w:r w:rsidRPr="00AC7E46">
              <w:rPr>
                <w:color w:val="000000"/>
                <w:spacing w:val="-2"/>
                <w:sz w:val="20"/>
                <w:lang w:val="fr-FR"/>
              </w:rPr>
              <w:t>janvier 2023</w:t>
            </w:r>
          </w:p>
        </w:tc>
        <w:tc>
          <w:tcPr>
            <w:tcW w:w="1517" w:type="dxa"/>
            <w:hideMark/>
          </w:tcPr>
          <w:p w14:paraId="5CCF3146" w14:textId="77777777" w:rsidR="000D5281" w:rsidRPr="00AC7E46" w:rsidRDefault="000D5281" w:rsidP="00E249CE">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val="fr-FR" w:eastAsia="en-US"/>
              </w:rPr>
            </w:pPr>
            <w:r w:rsidRPr="00AC7E46">
              <w:rPr>
                <w:color w:val="000000"/>
                <w:spacing w:val="-2"/>
                <w:sz w:val="20"/>
                <w:lang w:val="fr-FR"/>
              </w:rPr>
              <w:t>Ajoutées pendant la période</w:t>
            </w:r>
          </w:p>
        </w:tc>
        <w:tc>
          <w:tcPr>
            <w:tcW w:w="1461" w:type="dxa"/>
            <w:hideMark/>
          </w:tcPr>
          <w:p w14:paraId="13A2397A" w14:textId="77777777" w:rsidR="000D5281" w:rsidRPr="00AC7E46" w:rsidRDefault="000D5281" w:rsidP="00E249CE">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val="fr-FR" w:eastAsia="en-US"/>
              </w:rPr>
            </w:pPr>
            <w:r w:rsidRPr="00AC7E46">
              <w:rPr>
                <w:color w:val="000000"/>
                <w:spacing w:val="-2"/>
                <w:sz w:val="20"/>
                <w:lang w:val="fr-FR"/>
              </w:rPr>
              <w:t>Closes pendant la période</w:t>
            </w:r>
          </w:p>
        </w:tc>
        <w:tc>
          <w:tcPr>
            <w:tcW w:w="1348" w:type="dxa"/>
            <w:hideMark/>
          </w:tcPr>
          <w:p w14:paraId="5183B823" w14:textId="77777777" w:rsidR="000D5281" w:rsidRPr="00AC7E46" w:rsidRDefault="000D5281" w:rsidP="00E249CE">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val="fr-FR" w:eastAsia="en-US"/>
              </w:rPr>
            </w:pPr>
            <w:r w:rsidRPr="00AC7E46">
              <w:rPr>
                <w:color w:val="000000"/>
                <w:spacing w:val="-2"/>
                <w:sz w:val="20"/>
                <w:lang w:val="fr-FR"/>
              </w:rPr>
              <w:t>Ouvertes au 31 décembre 2023</w:t>
            </w:r>
          </w:p>
        </w:tc>
      </w:tr>
      <w:tr w:rsidR="000D5281" w:rsidRPr="00AC7E46" w14:paraId="7B4CD49A" w14:textId="77777777" w:rsidTr="00E249CE">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2AE98255" w14:textId="77777777" w:rsidR="000D5281" w:rsidRPr="00AC7E46" w:rsidRDefault="000D5281" w:rsidP="00E249CE">
            <w:pPr>
              <w:rPr>
                <w:rFonts w:eastAsia="Times New Roman"/>
                <w:b w:val="0"/>
                <w:bCs w:val="0"/>
                <w:color w:val="000000"/>
                <w:sz w:val="20"/>
                <w:lang w:val="fr-FR" w:eastAsia="en-US"/>
              </w:rPr>
            </w:pPr>
            <w:r w:rsidRPr="00AC7E46">
              <w:rPr>
                <w:rFonts w:eastAsia="Times New Roman"/>
                <w:color w:val="000000"/>
                <w:sz w:val="20"/>
                <w:lang w:val="fr-FR" w:eastAsia="en-US"/>
              </w:rPr>
              <w:t>DSI</w:t>
            </w:r>
          </w:p>
        </w:tc>
        <w:tc>
          <w:tcPr>
            <w:tcW w:w="1592" w:type="dxa"/>
            <w:noWrap/>
            <w:hideMark/>
          </w:tcPr>
          <w:p w14:paraId="5B39C374" w14:textId="77777777" w:rsidR="000D5281" w:rsidRPr="00AC7E46" w:rsidRDefault="000D5281" w:rsidP="00E249C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fr-FR" w:eastAsia="en-US"/>
              </w:rPr>
            </w:pPr>
            <w:r w:rsidRPr="00AC7E46">
              <w:rPr>
                <w:rFonts w:eastAsia="Times New Roman"/>
                <w:color w:val="000000"/>
                <w:sz w:val="20"/>
                <w:lang w:val="fr-FR" w:eastAsia="en-US"/>
              </w:rPr>
              <w:t>81</w:t>
            </w:r>
          </w:p>
        </w:tc>
        <w:tc>
          <w:tcPr>
            <w:tcW w:w="1517" w:type="dxa"/>
            <w:noWrap/>
          </w:tcPr>
          <w:p w14:paraId="520C2B68" w14:textId="77777777" w:rsidR="000D5281" w:rsidRPr="00AC7E46" w:rsidRDefault="000D5281" w:rsidP="00E249C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fr-FR" w:eastAsia="en-US"/>
              </w:rPr>
            </w:pPr>
            <w:r w:rsidRPr="00AC7E46">
              <w:rPr>
                <w:rFonts w:eastAsia="Times New Roman"/>
                <w:color w:val="000000"/>
                <w:sz w:val="20"/>
                <w:lang w:val="fr-FR" w:eastAsia="en-US"/>
              </w:rPr>
              <w:t>45</w:t>
            </w:r>
          </w:p>
        </w:tc>
        <w:tc>
          <w:tcPr>
            <w:tcW w:w="1461" w:type="dxa"/>
            <w:noWrap/>
          </w:tcPr>
          <w:p w14:paraId="37EA0EB2" w14:textId="77777777" w:rsidR="000D5281" w:rsidRPr="00AC7E46" w:rsidRDefault="000D5281" w:rsidP="00E249C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fr-FR" w:eastAsia="en-US"/>
              </w:rPr>
            </w:pPr>
            <w:r w:rsidRPr="00AC7E46">
              <w:rPr>
                <w:rFonts w:eastAsia="Times New Roman"/>
                <w:color w:val="000000"/>
                <w:sz w:val="20"/>
                <w:lang w:val="fr-FR" w:eastAsia="en-US"/>
              </w:rPr>
              <w:t>78</w:t>
            </w:r>
          </w:p>
        </w:tc>
        <w:tc>
          <w:tcPr>
            <w:tcW w:w="1348" w:type="dxa"/>
            <w:noWrap/>
          </w:tcPr>
          <w:p w14:paraId="29429B4E" w14:textId="77777777" w:rsidR="000D5281" w:rsidRPr="00AC7E46" w:rsidRDefault="000D5281" w:rsidP="00E249C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fr-FR" w:eastAsia="en-US"/>
              </w:rPr>
            </w:pPr>
            <w:r w:rsidRPr="00AC7E46">
              <w:rPr>
                <w:rFonts w:eastAsia="Times New Roman"/>
                <w:color w:val="000000"/>
                <w:sz w:val="20"/>
                <w:lang w:val="fr-FR" w:eastAsia="en-US"/>
              </w:rPr>
              <w:t>48</w:t>
            </w:r>
          </w:p>
        </w:tc>
      </w:tr>
      <w:tr w:rsidR="000D5281" w:rsidRPr="00AC7E46" w14:paraId="09D8DB97" w14:textId="77777777" w:rsidTr="00E249CE">
        <w:trPr>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4D850CE8" w14:textId="77777777" w:rsidR="000D5281" w:rsidRPr="00AC7E46" w:rsidRDefault="000D5281" w:rsidP="00E249CE">
            <w:pPr>
              <w:rPr>
                <w:rFonts w:eastAsia="Times New Roman"/>
                <w:b w:val="0"/>
                <w:bCs w:val="0"/>
                <w:color w:val="000000"/>
                <w:sz w:val="20"/>
                <w:lang w:val="fr-FR" w:eastAsia="en-US"/>
              </w:rPr>
            </w:pPr>
            <w:r w:rsidRPr="00AC7E46">
              <w:rPr>
                <w:rFonts w:eastAsia="Times New Roman"/>
                <w:color w:val="000000"/>
                <w:sz w:val="20"/>
                <w:lang w:val="fr-FR" w:eastAsia="en-US"/>
              </w:rPr>
              <w:t>Vérificateur externe des comptes</w:t>
            </w:r>
          </w:p>
        </w:tc>
        <w:tc>
          <w:tcPr>
            <w:tcW w:w="1592" w:type="dxa"/>
            <w:noWrap/>
            <w:hideMark/>
          </w:tcPr>
          <w:p w14:paraId="044D0EF4" w14:textId="77777777" w:rsidR="000D5281" w:rsidRPr="00AC7E46" w:rsidRDefault="000D5281" w:rsidP="00E249C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fr-FR" w:eastAsia="en-US"/>
              </w:rPr>
            </w:pPr>
            <w:r w:rsidRPr="00AC7E46">
              <w:rPr>
                <w:rFonts w:eastAsia="Times New Roman"/>
                <w:color w:val="000000"/>
                <w:sz w:val="20"/>
                <w:lang w:val="fr-FR" w:eastAsia="en-US"/>
              </w:rPr>
              <w:t>12</w:t>
            </w:r>
          </w:p>
        </w:tc>
        <w:tc>
          <w:tcPr>
            <w:tcW w:w="1517" w:type="dxa"/>
            <w:noWrap/>
          </w:tcPr>
          <w:p w14:paraId="1B4364FC" w14:textId="77777777" w:rsidR="000D5281" w:rsidRPr="00AC7E46" w:rsidRDefault="000D5281" w:rsidP="00E249C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fr-FR" w:eastAsia="en-US"/>
              </w:rPr>
            </w:pPr>
            <w:r w:rsidRPr="00AC7E46">
              <w:rPr>
                <w:rFonts w:eastAsia="Times New Roman"/>
                <w:color w:val="000000"/>
                <w:sz w:val="20"/>
                <w:lang w:val="fr-FR" w:eastAsia="en-US"/>
              </w:rPr>
              <w:t>6</w:t>
            </w:r>
          </w:p>
        </w:tc>
        <w:tc>
          <w:tcPr>
            <w:tcW w:w="1461" w:type="dxa"/>
            <w:noWrap/>
          </w:tcPr>
          <w:p w14:paraId="0385CFD2" w14:textId="77777777" w:rsidR="000D5281" w:rsidRPr="00AC7E46" w:rsidRDefault="000D5281" w:rsidP="00E249C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fr-FR" w:eastAsia="en-US"/>
              </w:rPr>
            </w:pPr>
            <w:r w:rsidRPr="00AC7E46">
              <w:rPr>
                <w:rFonts w:eastAsia="Times New Roman"/>
                <w:color w:val="000000"/>
                <w:sz w:val="20"/>
                <w:lang w:val="fr-FR" w:eastAsia="en-US"/>
              </w:rPr>
              <w:t>7</w:t>
            </w:r>
          </w:p>
        </w:tc>
        <w:tc>
          <w:tcPr>
            <w:tcW w:w="1348" w:type="dxa"/>
            <w:noWrap/>
          </w:tcPr>
          <w:p w14:paraId="3F826E93" w14:textId="77777777" w:rsidR="000D5281" w:rsidRPr="00AC7E46" w:rsidRDefault="000D5281" w:rsidP="00E249C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fr-FR" w:eastAsia="en-US"/>
              </w:rPr>
            </w:pPr>
            <w:r w:rsidRPr="00AC7E46">
              <w:rPr>
                <w:rFonts w:eastAsia="Times New Roman"/>
                <w:color w:val="000000"/>
                <w:sz w:val="20"/>
                <w:lang w:val="fr-FR" w:eastAsia="en-US"/>
              </w:rPr>
              <w:t>11</w:t>
            </w:r>
          </w:p>
        </w:tc>
      </w:tr>
      <w:tr w:rsidR="000D5281" w:rsidRPr="00AC7E46" w14:paraId="4B5BA9E9" w14:textId="77777777" w:rsidTr="00E249CE">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5F6CEFB1" w14:textId="77777777" w:rsidR="000D5281" w:rsidRPr="00AC7E46" w:rsidRDefault="000D5281" w:rsidP="00E249CE">
            <w:pPr>
              <w:rPr>
                <w:rFonts w:eastAsia="Times New Roman"/>
                <w:color w:val="000000"/>
                <w:sz w:val="20"/>
                <w:lang w:val="fr-FR" w:eastAsia="en-US"/>
              </w:rPr>
            </w:pPr>
            <w:r w:rsidRPr="00AC7E46">
              <w:rPr>
                <w:rFonts w:eastAsia="Times New Roman"/>
                <w:color w:val="000000"/>
                <w:sz w:val="20"/>
                <w:lang w:val="fr-FR" w:eastAsia="en-US"/>
              </w:rPr>
              <w:t>OCIS</w:t>
            </w:r>
          </w:p>
        </w:tc>
        <w:tc>
          <w:tcPr>
            <w:tcW w:w="1592" w:type="dxa"/>
            <w:noWrap/>
            <w:hideMark/>
          </w:tcPr>
          <w:p w14:paraId="71345036" w14:textId="77777777" w:rsidR="000D5281" w:rsidRPr="00AC7E46" w:rsidRDefault="000D5281" w:rsidP="00E249C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fr-FR" w:eastAsia="en-US"/>
              </w:rPr>
            </w:pPr>
            <w:r w:rsidRPr="00AC7E46">
              <w:rPr>
                <w:rFonts w:eastAsia="Times New Roman"/>
                <w:color w:val="000000"/>
                <w:sz w:val="20"/>
                <w:lang w:val="fr-FR" w:eastAsia="en-US"/>
              </w:rPr>
              <w:t>1</w:t>
            </w:r>
          </w:p>
        </w:tc>
        <w:tc>
          <w:tcPr>
            <w:tcW w:w="1517" w:type="dxa"/>
            <w:noWrap/>
          </w:tcPr>
          <w:p w14:paraId="7EF60B91" w14:textId="77777777" w:rsidR="000D5281" w:rsidRPr="00AC7E46" w:rsidRDefault="000D5281" w:rsidP="00E249C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fr-FR" w:eastAsia="en-US"/>
              </w:rPr>
            </w:pPr>
            <w:r w:rsidRPr="00AC7E46">
              <w:rPr>
                <w:rFonts w:eastAsia="Times New Roman"/>
                <w:color w:val="000000"/>
                <w:sz w:val="20"/>
                <w:lang w:val="fr-FR" w:eastAsia="en-US"/>
              </w:rPr>
              <w:t>0</w:t>
            </w:r>
          </w:p>
        </w:tc>
        <w:tc>
          <w:tcPr>
            <w:tcW w:w="1461" w:type="dxa"/>
            <w:noWrap/>
          </w:tcPr>
          <w:p w14:paraId="4026C5DE" w14:textId="77777777" w:rsidR="000D5281" w:rsidRPr="00AC7E46" w:rsidRDefault="000D5281" w:rsidP="00E249C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fr-FR" w:eastAsia="en-US"/>
              </w:rPr>
            </w:pPr>
            <w:r w:rsidRPr="00AC7E46">
              <w:rPr>
                <w:rFonts w:eastAsia="Times New Roman"/>
                <w:color w:val="000000"/>
                <w:sz w:val="20"/>
                <w:lang w:val="fr-FR" w:eastAsia="en-US"/>
              </w:rPr>
              <w:t>1</w:t>
            </w:r>
          </w:p>
        </w:tc>
        <w:tc>
          <w:tcPr>
            <w:tcW w:w="1348" w:type="dxa"/>
            <w:noWrap/>
          </w:tcPr>
          <w:p w14:paraId="2A81A9CB" w14:textId="77777777" w:rsidR="000D5281" w:rsidRPr="00AC7E46" w:rsidRDefault="000D5281" w:rsidP="00E249C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fr-FR" w:eastAsia="en-US"/>
              </w:rPr>
            </w:pPr>
            <w:r w:rsidRPr="00AC7E46">
              <w:rPr>
                <w:rFonts w:eastAsia="Times New Roman"/>
                <w:color w:val="000000"/>
                <w:sz w:val="20"/>
                <w:lang w:val="fr-FR" w:eastAsia="en-US"/>
              </w:rPr>
              <w:t>0</w:t>
            </w:r>
          </w:p>
        </w:tc>
      </w:tr>
      <w:tr w:rsidR="000D5281" w:rsidRPr="00AC7E46" w14:paraId="584E7BA9" w14:textId="77777777" w:rsidTr="00E249CE">
        <w:trPr>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16922F55" w14:textId="77777777" w:rsidR="000D5281" w:rsidRPr="00AC7E46" w:rsidRDefault="000D5281" w:rsidP="00E249CE">
            <w:pPr>
              <w:rPr>
                <w:rFonts w:eastAsia="Times New Roman"/>
                <w:b w:val="0"/>
                <w:bCs w:val="0"/>
                <w:color w:val="000000"/>
                <w:sz w:val="20"/>
                <w:lang w:val="fr-FR" w:eastAsia="en-US"/>
              </w:rPr>
            </w:pPr>
            <w:r w:rsidRPr="00AC7E46">
              <w:rPr>
                <w:rFonts w:eastAsia="Times New Roman"/>
                <w:color w:val="000000"/>
                <w:sz w:val="20"/>
                <w:lang w:val="fr-FR" w:eastAsia="en-US"/>
              </w:rPr>
              <w:t>Total</w:t>
            </w:r>
          </w:p>
        </w:tc>
        <w:tc>
          <w:tcPr>
            <w:tcW w:w="1592" w:type="dxa"/>
            <w:noWrap/>
            <w:hideMark/>
          </w:tcPr>
          <w:p w14:paraId="012E81A3" w14:textId="77777777" w:rsidR="000D5281" w:rsidRPr="00AC7E46" w:rsidRDefault="000D5281" w:rsidP="00E249CE">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lang w:val="fr-FR" w:eastAsia="en-US"/>
              </w:rPr>
            </w:pPr>
            <w:r w:rsidRPr="00AC7E46">
              <w:rPr>
                <w:rFonts w:eastAsia="Times New Roman"/>
                <w:b/>
                <w:bCs/>
                <w:color w:val="000000"/>
                <w:sz w:val="20"/>
                <w:lang w:val="fr-FR" w:eastAsia="en-US"/>
              </w:rPr>
              <w:t>94</w:t>
            </w:r>
          </w:p>
        </w:tc>
        <w:tc>
          <w:tcPr>
            <w:tcW w:w="1517" w:type="dxa"/>
            <w:noWrap/>
          </w:tcPr>
          <w:p w14:paraId="702FEEB4" w14:textId="77777777" w:rsidR="000D5281" w:rsidRPr="00AC7E46" w:rsidRDefault="000D5281" w:rsidP="00E249CE">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lang w:val="fr-FR" w:eastAsia="en-US"/>
              </w:rPr>
            </w:pPr>
            <w:r w:rsidRPr="00AC7E46">
              <w:rPr>
                <w:rFonts w:eastAsia="Times New Roman"/>
                <w:b/>
                <w:bCs/>
                <w:color w:val="000000"/>
                <w:sz w:val="20"/>
                <w:lang w:val="fr-FR" w:eastAsia="en-US"/>
              </w:rPr>
              <w:t>51</w:t>
            </w:r>
          </w:p>
        </w:tc>
        <w:tc>
          <w:tcPr>
            <w:tcW w:w="1461" w:type="dxa"/>
            <w:noWrap/>
          </w:tcPr>
          <w:p w14:paraId="79E55AD6" w14:textId="77777777" w:rsidR="000D5281" w:rsidRPr="00AC7E46" w:rsidRDefault="000D5281" w:rsidP="00E249CE">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lang w:val="fr-FR" w:eastAsia="en-US"/>
              </w:rPr>
            </w:pPr>
            <w:r w:rsidRPr="00AC7E46">
              <w:rPr>
                <w:rFonts w:eastAsia="Times New Roman"/>
                <w:b/>
                <w:bCs/>
                <w:color w:val="000000"/>
                <w:sz w:val="20"/>
                <w:lang w:val="fr-FR" w:eastAsia="en-US"/>
              </w:rPr>
              <w:t>86</w:t>
            </w:r>
          </w:p>
        </w:tc>
        <w:tc>
          <w:tcPr>
            <w:tcW w:w="1348" w:type="dxa"/>
            <w:noWrap/>
          </w:tcPr>
          <w:p w14:paraId="6EDABB40" w14:textId="77777777" w:rsidR="000D5281" w:rsidRPr="00AC7E46" w:rsidRDefault="000D5281" w:rsidP="00E249CE">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lang w:val="fr-FR" w:eastAsia="en-US"/>
              </w:rPr>
            </w:pPr>
            <w:r w:rsidRPr="00AC7E46">
              <w:rPr>
                <w:rFonts w:eastAsia="Times New Roman"/>
                <w:b/>
                <w:bCs/>
                <w:color w:val="000000"/>
                <w:sz w:val="20"/>
                <w:lang w:val="fr-FR" w:eastAsia="en-US"/>
              </w:rPr>
              <w:t>59</w:t>
            </w:r>
          </w:p>
        </w:tc>
      </w:tr>
    </w:tbl>
    <w:p w14:paraId="31B31191" w14:textId="1C949621" w:rsidR="000D5281" w:rsidRPr="00AC7E46" w:rsidRDefault="000D5281" w:rsidP="00F917C1">
      <w:pPr>
        <w:pStyle w:val="ONUMFS"/>
        <w:spacing w:before="240"/>
        <w:rPr>
          <w:lang w:val="fr-FR"/>
        </w:rPr>
      </w:pPr>
      <w:r w:rsidRPr="00AC7E46">
        <w:rPr>
          <w:lang w:val="fr-FR"/>
        </w:rPr>
        <w:t>Le diagramme ci</w:t>
      </w:r>
      <w:r w:rsidR="001908D2">
        <w:rPr>
          <w:lang w:val="fr-FR"/>
        </w:rPr>
        <w:noBreakHyphen/>
      </w:r>
      <w:r w:rsidRPr="00AC7E46">
        <w:rPr>
          <w:lang w:val="fr-FR"/>
        </w:rPr>
        <w:t>dessous résume l</w:t>
      </w:r>
      <w:r w:rsidR="00761289" w:rsidRPr="00AC7E46">
        <w:rPr>
          <w:lang w:val="fr-FR"/>
        </w:rPr>
        <w:t>’</w:t>
      </w:r>
      <w:r w:rsidRPr="00AC7E46">
        <w:rPr>
          <w:lang w:val="fr-FR"/>
        </w:rPr>
        <w:t>évolution des recommandations ouvertes, sur la base de l</w:t>
      </w:r>
      <w:r w:rsidR="00761289" w:rsidRPr="00AC7E46">
        <w:rPr>
          <w:lang w:val="fr-FR"/>
        </w:rPr>
        <w:t>’</w:t>
      </w:r>
      <w:r w:rsidRPr="00AC7E46">
        <w:rPr>
          <w:lang w:val="fr-FR"/>
        </w:rPr>
        <w:t>année initiale au cours de laquelle la recommandation aurait dû être mise en œuv</w:t>
      </w:r>
      <w:r w:rsidR="00AC7E46" w:rsidRPr="00AC7E46">
        <w:rPr>
          <w:lang w:val="fr-FR"/>
        </w:rPr>
        <w:t>re.  Le</w:t>
      </w:r>
      <w:r w:rsidRPr="00AC7E46">
        <w:rPr>
          <w:lang w:val="fr-FR"/>
        </w:rPr>
        <w:t>s dates de mise en œuvre de neuf</w:t>
      </w:r>
      <w:r w:rsidR="006F1D4B" w:rsidRPr="00AC7E46">
        <w:rPr>
          <w:lang w:val="fr-FR"/>
        </w:rPr>
        <w:t> </w:t>
      </w:r>
      <w:r w:rsidRPr="00AC7E46">
        <w:rPr>
          <w:lang w:val="fr-FR"/>
        </w:rPr>
        <w:t>recommandations datant de la pério</w:t>
      </w:r>
      <w:r w:rsidR="00761289" w:rsidRPr="00AC7E46">
        <w:rPr>
          <w:lang w:val="fr-FR"/>
        </w:rPr>
        <w:t>de 2019</w:t>
      </w:r>
      <w:r w:rsidR="001908D2">
        <w:rPr>
          <w:lang w:val="fr-FR"/>
        </w:rPr>
        <w:noBreakHyphen/>
      </w:r>
      <w:r w:rsidRPr="00AC7E46">
        <w:rPr>
          <w:lang w:val="fr-FR"/>
        </w:rPr>
        <w:t xml:space="preserve">2022 ont été reprogrammées par la direction </w:t>
      </w:r>
      <w:r w:rsidR="00761289" w:rsidRPr="00AC7E46">
        <w:rPr>
          <w:lang w:val="fr-FR"/>
        </w:rPr>
        <w:t>en 2024</w:t>
      </w:r>
      <w:r w:rsidRPr="00AC7E46">
        <w:rPr>
          <w:lang w:val="fr-FR"/>
        </w:rPr>
        <w:t>.  En outre, 16 recommandations (quatre hautement prioritaires et 12 moyennement prioritaires) auraient dû être mises en œuvre à la fin de l</w:t>
      </w:r>
      <w:r w:rsidR="00761289" w:rsidRPr="00AC7E46">
        <w:rPr>
          <w:lang w:val="fr-FR"/>
        </w:rPr>
        <w:t>’</w:t>
      </w:r>
      <w:r w:rsidRPr="00AC7E46">
        <w:rPr>
          <w:lang w:val="fr-FR"/>
        </w:rPr>
        <w:t>année</w:t>
      </w:r>
      <w:r w:rsidR="001908D2">
        <w:rPr>
          <w:lang w:val="fr-FR"/>
        </w:rPr>
        <w:t> </w:t>
      </w:r>
      <w:r w:rsidRPr="00AC7E46">
        <w:rPr>
          <w:lang w:val="fr-FR"/>
        </w:rPr>
        <w:t>2023.</w:t>
      </w:r>
    </w:p>
    <w:p w14:paraId="3DB5C88F" w14:textId="720AD919" w:rsidR="000D5281" w:rsidRPr="00AC7E46" w:rsidRDefault="000D5281" w:rsidP="00287CF0">
      <w:pPr>
        <w:pStyle w:val="ONUME"/>
        <w:keepNext/>
        <w:numPr>
          <w:ilvl w:val="0"/>
          <w:numId w:val="0"/>
        </w:numPr>
        <w:spacing w:after="240"/>
        <w:jc w:val="center"/>
        <w:rPr>
          <w:b/>
          <w:szCs w:val="22"/>
          <w:lang w:val="fr-FR"/>
        </w:rPr>
      </w:pPr>
      <w:r w:rsidRPr="00AC7E46">
        <w:rPr>
          <w:b/>
          <w:szCs w:val="22"/>
          <w:lang w:val="fr-FR"/>
        </w:rPr>
        <w:lastRenderedPageBreak/>
        <w:t>Diagramme</w:t>
      </w:r>
      <w:r w:rsidR="001908D2">
        <w:rPr>
          <w:b/>
          <w:szCs w:val="22"/>
          <w:lang w:val="fr-FR"/>
        </w:rPr>
        <w:t> </w:t>
      </w:r>
      <w:r w:rsidRPr="00AC7E46">
        <w:rPr>
          <w:b/>
          <w:szCs w:val="22"/>
          <w:lang w:val="fr-FR"/>
        </w:rPr>
        <w:t>4 – Évolution des recommandations de supervision ouvertes sur la base de la date initiale de mise en œuvre</w:t>
      </w:r>
    </w:p>
    <w:p w14:paraId="6CBED33C" w14:textId="706F2EE0" w:rsidR="000D5281" w:rsidRPr="00AC7E46" w:rsidRDefault="0005784A" w:rsidP="00287CF0">
      <w:pPr>
        <w:pStyle w:val="ONUMFS"/>
        <w:numPr>
          <w:ilvl w:val="0"/>
          <w:numId w:val="0"/>
        </w:numPr>
        <w:jc w:val="center"/>
        <w:rPr>
          <w:lang w:val="fr-FR"/>
        </w:rPr>
      </w:pPr>
      <w:r w:rsidRPr="0005784A">
        <w:rPr>
          <w:noProof/>
        </w:rPr>
        <w:drawing>
          <wp:inline distT="0" distB="0" distL="0" distR="0" wp14:anchorId="0A5EABE2" wp14:editId="710E42B0">
            <wp:extent cx="4680000" cy="2437802"/>
            <wp:effectExtent l="0" t="0" r="6350" b="635"/>
            <wp:docPr id="11" name="Picture 11" descr="Diagramme 4 – Évolution des recommandations de supervision ouvertes sur la base de la date initiale de mise en œu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me 4 – Évolution des recommandations de supervision ouvertes sur la base de la date initiale de mise en œuv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80000" cy="2437802"/>
                    </a:xfrm>
                    <a:prstGeom prst="rect">
                      <a:avLst/>
                    </a:prstGeom>
                    <a:noFill/>
                    <a:ln>
                      <a:noFill/>
                    </a:ln>
                  </pic:spPr>
                </pic:pic>
              </a:graphicData>
            </a:graphic>
          </wp:inline>
        </w:drawing>
      </w:r>
    </w:p>
    <w:p w14:paraId="6422933A" w14:textId="1CBDDA49" w:rsidR="000D5281" w:rsidRPr="00AC7E46" w:rsidRDefault="000D5281" w:rsidP="00D31722">
      <w:pPr>
        <w:pStyle w:val="ONUMFS"/>
        <w:rPr>
          <w:lang w:val="fr-FR"/>
        </w:rPr>
      </w:pPr>
      <w:r w:rsidRPr="00AC7E46">
        <w:rPr>
          <w:lang w:val="fr-FR"/>
        </w:rPr>
        <w:t>Au 31 décembre 2023, le nombre de recommandations ouvertes par secteur de l</w:t>
      </w:r>
      <w:r w:rsidR="00761289" w:rsidRPr="00AC7E46">
        <w:rPr>
          <w:lang w:val="fr-FR"/>
        </w:rPr>
        <w:t>’</w:t>
      </w:r>
      <w:r w:rsidRPr="00AC7E46">
        <w:rPr>
          <w:lang w:val="fr-FR"/>
        </w:rPr>
        <w:t>OMPI et par degré de priorité est indiqué ci</w:t>
      </w:r>
      <w:r w:rsidR="001908D2">
        <w:rPr>
          <w:lang w:val="fr-FR"/>
        </w:rPr>
        <w:noBreakHyphen/>
      </w:r>
      <w:r w:rsidRPr="00AC7E46">
        <w:rPr>
          <w:lang w:val="fr-FR"/>
        </w:rPr>
        <w:t>après</w:t>
      </w:r>
      <w:r w:rsidR="00761289" w:rsidRPr="00AC7E46">
        <w:rPr>
          <w:lang w:val="fr-FR"/>
        </w:rPr>
        <w:t> :</w:t>
      </w:r>
    </w:p>
    <w:p w14:paraId="1D76F5A8" w14:textId="5F661018" w:rsidR="000D5281" w:rsidRPr="00AC7E46" w:rsidRDefault="000D5281" w:rsidP="00287CF0">
      <w:pPr>
        <w:pStyle w:val="ONUME"/>
        <w:keepNext/>
        <w:numPr>
          <w:ilvl w:val="0"/>
          <w:numId w:val="0"/>
        </w:numPr>
        <w:spacing w:after="240"/>
        <w:jc w:val="center"/>
        <w:rPr>
          <w:szCs w:val="22"/>
          <w:lang w:val="fr-FR"/>
        </w:rPr>
      </w:pPr>
      <w:r w:rsidRPr="00AC7E46">
        <w:rPr>
          <w:b/>
          <w:szCs w:val="22"/>
          <w:lang w:val="fr-FR"/>
        </w:rPr>
        <w:t>Diagramme</w:t>
      </w:r>
      <w:r w:rsidR="001908D2">
        <w:rPr>
          <w:b/>
          <w:szCs w:val="22"/>
          <w:lang w:val="fr-FR"/>
        </w:rPr>
        <w:t> </w:t>
      </w:r>
      <w:r w:rsidRPr="00AC7E46">
        <w:rPr>
          <w:b/>
          <w:szCs w:val="22"/>
          <w:lang w:val="fr-FR"/>
        </w:rPr>
        <w:t>5 – Recommandations par secteur et par degré de priorité</w:t>
      </w:r>
    </w:p>
    <w:p w14:paraId="73EBD2A9" w14:textId="0267EF0F" w:rsidR="0005784A" w:rsidRDefault="0005784A" w:rsidP="00287CF0">
      <w:pPr>
        <w:spacing w:after="240"/>
        <w:rPr>
          <w:noProof/>
          <w:lang w:val="fr-FR"/>
        </w:rPr>
      </w:pPr>
      <w:r w:rsidRPr="0005784A">
        <w:rPr>
          <w:noProof/>
        </w:rPr>
        <w:drawing>
          <wp:inline distT="0" distB="0" distL="0" distR="0" wp14:anchorId="5CE58458" wp14:editId="542CA428">
            <wp:extent cx="5760000" cy="2866146"/>
            <wp:effectExtent l="0" t="0" r="0" b="0"/>
            <wp:docPr id="14" name="Picture 14" descr="Diagramme 5 – Recommandations par secteur et par degré de prio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iagramme 5 – Recommandations par secteur et par degré de priorité"/>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000" cy="2866146"/>
                    </a:xfrm>
                    <a:prstGeom prst="rect">
                      <a:avLst/>
                    </a:prstGeom>
                    <a:noFill/>
                    <a:ln>
                      <a:noFill/>
                    </a:ln>
                  </pic:spPr>
                </pic:pic>
              </a:graphicData>
            </a:graphic>
          </wp:inline>
        </w:drawing>
      </w:r>
    </w:p>
    <w:p w14:paraId="77BB02D9" w14:textId="6F6795D4" w:rsidR="000D5281" w:rsidRPr="00AC7E46" w:rsidRDefault="000D5281" w:rsidP="00287CF0">
      <w:pPr>
        <w:spacing w:after="240"/>
        <w:rPr>
          <w:lang w:val="fr-FR"/>
        </w:rPr>
      </w:pPr>
      <w:r w:rsidRPr="00AC7E46">
        <w:rPr>
          <w:lang w:val="fr-FR"/>
        </w:rPr>
        <w:t>Source</w:t>
      </w:r>
      <w:r w:rsidR="00761289" w:rsidRPr="00AC7E46">
        <w:rPr>
          <w:lang w:val="fr-FR"/>
        </w:rPr>
        <w:t> :</w:t>
      </w:r>
      <w:r w:rsidRPr="00AC7E46">
        <w:rPr>
          <w:lang w:val="fr-FR"/>
        </w:rPr>
        <w:t xml:space="preserve"> Système de gestion des audits de</w:t>
      </w:r>
      <w:r w:rsidR="00761289" w:rsidRPr="00AC7E46">
        <w:rPr>
          <w:lang w:val="fr-FR"/>
        </w:rPr>
        <w:t xml:space="preserve"> la DSI</w:t>
      </w:r>
      <w:r w:rsidRPr="00AC7E46">
        <w:rPr>
          <w:lang w:val="fr-FR"/>
        </w:rPr>
        <w:t>, décembre 2023</w:t>
      </w:r>
    </w:p>
    <w:p w14:paraId="5C693059" w14:textId="6722E5EF" w:rsidR="000D5281" w:rsidRPr="00AC7E46" w:rsidRDefault="000D5281" w:rsidP="00D31722">
      <w:pPr>
        <w:pStyle w:val="ONUMFS"/>
        <w:rPr>
          <w:lang w:val="fr-FR"/>
        </w:rPr>
      </w:pPr>
      <w:r w:rsidRPr="00AC7E46">
        <w:rPr>
          <w:lang w:val="fr-FR"/>
        </w:rPr>
        <w:t>Les recommandations ouvertes (59) se répartissent comme suit</w:t>
      </w:r>
      <w:r w:rsidR="00761289" w:rsidRPr="00AC7E46">
        <w:rPr>
          <w:lang w:val="fr-FR"/>
        </w:rPr>
        <w:t> :</w:t>
      </w:r>
      <w:r w:rsidRPr="00AC7E46">
        <w:rPr>
          <w:lang w:val="fr-FR"/>
        </w:rPr>
        <w:t xml:space="preserve"> le Secteur administration, finances et gestion comptait pour 53</w:t>
      </w:r>
      <w:r w:rsidR="006F1D4B" w:rsidRPr="00AC7E46">
        <w:rPr>
          <w:lang w:val="fr-FR"/>
        </w:rPr>
        <w:t>%,</w:t>
      </w:r>
      <w:r w:rsidRPr="00AC7E46">
        <w:rPr>
          <w:lang w:val="fr-FR"/>
        </w:rPr>
        <w:t xml:space="preserve"> le Secteur des marques et dessins et modèles pour 15</w:t>
      </w:r>
      <w:r w:rsidR="006F1D4B" w:rsidRPr="00AC7E46">
        <w:rPr>
          <w:lang w:val="fr-FR"/>
        </w:rPr>
        <w:t>%,</w:t>
      </w:r>
      <w:r w:rsidRPr="00AC7E46">
        <w:rPr>
          <w:lang w:val="fr-FR"/>
        </w:rPr>
        <w:t xml:space="preserve"> le Secteur du Directeur général pour 12</w:t>
      </w:r>
      <w:r w:rsidR="006F1D4B" w:rsidRPr="00AC7E46">
        <w:rPr>
          <w:lang w:val="fr-FR"/>
        </w:rPr>
        <w:t>%</w:t>
      </w:r>
      <w:r w:rsidRPr="00AC7E46">
        <w:rPr>
          <w:lang w:val="fr-FR"/>
        </w:rPr>
        <w:t xml:space="preserve"> et les quatre</w:t>
      </w:r>
      <w:r w:rsidR="006F1D4B" w:rsidRPr="00AC7E46">
        <w:rPr>
          <w:lang w:val="fr-FR"/>
        </w:rPr>
        <w:t> </w:t>
      </w:r>
      <w:r w:rsidRPr="00AC7E46">
        <w:rPr>
          <w:lang w:val="fr-FR"/>
        </w:rPr>
        <w:t>secteurs restants représentaient ensemble 20</w:t>
      </w:r>
      <w:r w:rsidR="006F1D4B" w:rsidRPr="00AC7E46">
        <w:rPr>
          <w:lang w:val="fr-FR"/>
        </w:rPr>
        <w:t>%.</w:t>
      </w:r>
    </w:p>
    <w:p w14:paraId="4A70A75D" w14:textId="2FA18892" w:rsidR="000D5281" w:rsidRPr="00AC7E46" w:rsidRDefault="000D5281" w:rsidP="00D31722">
      <w:pPr>
        <w:pStyle w:val="ONUMFS"/>
        <w:rPr>
          <w:lang w:val="fr-FR"/>
        </w:rPr>
      </w:pPr>
      <w:r w:rsidRPr="00AC7E46">
        <w:rPr>
          <w:lang w:val="fr-FR"/>
        </w:rPr>
        <w:t>La DSI est reconnaissante du soutien sans faille de l</w:t>
      </w:r>
      <w:r w:rsidR="00761289" w:rsidRPr="00AC7E46">
        <w:rPr>
          <w:lang w:val="fr-FR"/>
        </w:rPr>
        <w:t>’</w:t>
      </w:r>
      <w:r w:rsidRPr="00AC7E46">
        <w:rPr>
          <w:lang w:val="fr-FR"/>
        </w:rPr>
        <w:t>OCIS et du Directeur général, ainsi que des initiatives prises par le Bureau du contrôleur pour inciter la direction à traiter les recommandations ouvertes.</w:t>
      </w:r>
    </w:p>
    <w:p w14:paraId="5ED17D3D" w14:textId="77777777" w:rsidR="000D5281" w:rsidRPr="00AC7E46" w:rsidRDefault="000D5281" w:rsidP="00287CF0">
      <w:pPr>
        <w:pStyle w:val="Heading1"/>
      </w:pPr>
      <w:bookmarkStart w:id="44" w:name="_Toc39071253"/>
      <w:bookmarkStart w:id="45" w:name="_Toc129687051"/>
      <w:bookmarkStart w:id="46" w:name="_Toc132192603"/>
      <w:bookmarkStart w:id="47" w:name="_Toc165888321"/>
      <w:r w:rsidRPr="00AC7E46">
        <w:lastRenderedPageBreak/>
        <w:t>Coordination avec les organismes de supervision externes</w:t>
      </w:r>
      <w:bookmarkEnd w:id="44"/>
      <w:bookmarkEnd w:id="45"/>
      <w:bookmarkEnd w:id="46"/>
      <w:bookmarkEnd w:id="47"/>
    </w:p>
    <w:p w14:paraId="25BE80ED" w14:textId="7291FCF0" w:rsidR="000D5281" w:rsidRPr="00AC7E46" w:rsidRDefault="00287CF0" w:rsidP="00F4635E">
      <w:pPr>
        <w:pStyle w:val="Heading2"/>
      </w:pPr>
      <w:r>
        <w:t>L</w:t>
      </w:r>
      <w:r w:rsidR="00761289" w:rsidRPr="00AC7E46">
        <w:t>’</w:t>
      </w:r>
      <w:r w:rsidR="000D5281" w:rsidRPr="00AC7E46">
        <w:t>organe consultatif indépendant de surveillance (</w:t>
      </w:r>
      <w:r w:rsidRPr="00AC7E46">
        <w:t>OCIS</w:t>
      </w:r>
      <w:r w:rsidR="000D5281" w:rsidRPr="00AC7E46">
        <w:t>)</w:t>
      </w:r>
    </w:p>
    <w:p w14:paraId="1864CFEE" w14:textId="55E0AA9A" w:rsidR="000D5281" w:rsidRPr="00AC7E46" w:rsidRDefault="000D5281" w:rsidP="00D31722">
      <w:pPr>
        <w:pStyle w:val="ONUMFS"/>
        <w:rPr>
          <w:lang w:val="fr-FR"/>
        </w:rPr>
      </w:pPr>
      <w:r w:rsidRPr="00AC7E46">
        <w:rPr>
          <w:lang w:val="fr-FR"/>
        </w:rPr>
        <w:t>La DSI a assisté aux sessions trimestrielles de l</w:t>
      </w:r>
      <w:r w:rsidR="00761289" w:rsidRPr="00AC7E46">
        <w:rPr>
          <w:lang w:val="fr-FR"/>
        </w:rPr>
        <w:t>’</w:t>
      </w:r>
      <w:r w:rsidRPr="00AC7E46">
        <w:rPr>
          <w:lang w:val="fr-FR"/>
        </w:rPr>
        <w:t>OCIS, au cours desquelles elle a fait rapport sur la mise en œuvre du plan de supervision interne, examiné les résultats de la supervision et d</w:t>
      </w:r>
      <w:r w:rsidR="00761289" w:rsidRPr="00AC7E46">
        <w:rPr>
          <w:lang w:val="fr-FR"/>
        </w:rPr>
        <w:t>’</w:t>
      </w:r>
      <w:r w:rsidRPr="00AC7E46">
        <w:rPr>
          <w:lang w:val="fr-FR"/>
        </w:rPr>
        <w:t>autres aspects concernant le travail et le fonctionnement de la division et sollicité l</w:t>
      </w:r>
      <w:r w:rsidR="00761289" w:rsidRPr="00AC7E46">
        <w:rPr>
          <w:lang w:val="fr-FR"/>
        </w:rPr>
        <w:t>’</w:t>
      </w:r>
      <w:r w:rsidRPr="00AC7E46">
        <w:rPr>
          <w:lang w:val="fr-FR"/>
        </w:rPr>
        <w:t>avis de l</w:t>
      </w:r>
      <w:r w:rsidR="00761289" w:rsidRPr="00AC7E46">
        <w:rPr>
          <w:lang w:val="fr-FR"/>
        </w:rPr>
        <w:t>’</w:t>
      </w:r>
      <w:r w:rsidRPr="00AC7E46">
        <w:rPr>
          <w:lang w:val="fr-FR"/>
        </w:rPr>
        <w:t>OCIS, en tant que de beso</w:t>
      </w:r>
      <w:r w:rsidR="00AC7E46" w:rsidRPr="00AC7E46">
        <w:rPr>
          <w:lang w:val="fr-FR"/>
        </w:rPr>
        <w:t>in.  Qu</w:t>
      </w:r>
      <w:r w:rsidRPr="00AC7E46">
        <w:rPr>
          <w:lang w:val="fr-FR"/>
        </w:rPr>
        <w:t>atre sessions de l</w:t>
      </w:r>
      <w:r w:rsidR="00761289" w:rsidRPr="00AC7E46">
        <w:rPr>
          <w:lang w:val="fr-FR"/>
        </w:rPr>
        <w:t>’</w:t>
      </w:r>
      <w:r w:rsidRPr="00AC7E46">
        <w:rPr>
          <w:lang w:val="fr-FR"/>
        </w:rPr>
        <w:t>OCIS (soixante</w:t>
      </w:r>
      <w:r w:rsidR="001908D2">
        <w:rPr>
          <w:lang w:val="fr-FR"/>
        </w:rPr>
        <w:noBreakHyphen/>
      </w:r>
      <w:r w:rsidRPr="00AC7E46">
        <w:rPr>
          <w:lang w:val="fr-FR"/>
        </w:rPr>
        <w:t>huitième à soixante</w:t>
      </w:r>
      <w:r w:rsidR="00761289" w:rsidRPr="00AC7E46">
        <w:rPr>
          <w:lang w:val="fr-FR"/>
        </w:rPr>
        <w:t> et onzième session</w:t>
      </w:r>
      <w:r w:rsidRPr="00AC7E46">
        <w:rPr>
          <w:lang w:val="fr-FR"/>
        </w:rPr>
        <w:t>s) ont été tenues au cours de la période considérée dans le présent rapport.</w:t>
      </w:r>
    </w:p>
    <w:p w14:paraId="6E898A0A" w14:textId="4931EEBB" w:rsidR="000D5281" w:rsidRPr="00AC7E46" w:rsidRDefault="00287CF0" w:rsidP="00F4635E">
      <w:pPr>
        <w:pStyle w:val="Heading2"/>
      </w:pPr>
      <w:r>
        <w:t>L</w:t>
      </w:r>
      <w:r w:rsidRPr="00AC7E46">
        <w:t>e vérificateur externe des comptes</w:t>
      </w:r>
    </w:p>
    <w:p w14:paraId="2D81A4C2" w14:textId="13E5C382" w:rsidR="000D5281" w:rsidRPr="00AC7E46" w:rsidRDefault="000D5281" w:rsidP="00D31722">
      <w:pPr>
        <w:pStyle w:val="ONUMFS"/>
        <w:rPr>
          <w:lang w:val="fr-FR"/>
        </w:rPr>
      </w:pPr>
      <w:r w:rsidRPr="00AC7E46">
        <w:rPr>
          <w:lang w:val="fr-FR"/>
        </w:rPr>
        <w:t>La DSI entretient de bonnes relations de travail avec le vérificateur externe des comptes au moyen de réunions régulières sur les questions d</w:t>
      </w:r>
      <w:r w:rsidR="00761289" w:rsidRPr="00AC7E46">
        <w:rPr>
          <w:lang w:val="fr-FR"/>
        </w:rPr>
        <w:t>’</w:t>
      </w:r>
      <w:r w:rsidRPr="00AC7E46">
        <w:rPr>
          <w:lang w:val="fr-FR"/>
        </w:rPr>
        <w:t>audit, de contrôle interne et de gestion des risqu</w:t>
      </w:r>
      <w:r w:rsidR="00AC7E46" w:rsidRPr="00AC7E46">
        <w:rPr>
          <w:lang w:val="fr-FR"/>
        </w:rPr>
        <w:t>es.  Le</w:t>
      </w:r>
      <w:r w:rsidRPr="00AC7E46">
        <w:rPr>
          <w:lang w:val="fr-FR"/>
        </w:rPr>
        <w:t xml:space="preserve"> vérificateur externe des comptes et la DSI ont partagé leurs stratégies, programmes de travail et rapports individuels en vue d</w:t>
      </w:r>
      <w:r w:rsidR="00761289" w:rsidRPr="00AC7E46">
        <w:rPr>
          <w:lang w:val="fr-FR"/>
        </w:rPr>
        <w:t>’</w:t>
      </w:r>
      <w:r w:rsidRPr="00AC7E46">
        <w:rPr>
          <w:lang w:val="fr-FR"/>
        </w:rPr>
        <w:t>assurer une couverture de supervision efficace et d</w:t>
      </w:r>
      <w:r w:rsidR="00761289" w:rsidRPr="00AC7E46">
        <w:rPr>
          <w:lang w:val="fr-FR"/>
        </w:rPr>
        <w:t>’</w:t>
      </w:r>
      <w:r w:rsidRPr="00AC7E46">
        <w:rPr>
          <w:lang w:val="fr-FR"/>
        </w:rPr>
        <w:t>éviter tout chevauchement inutile et toute lassitude en matière de supervisi</w:t>
      </w:r>
      <w:r w:rsidR="00AC7E46" w:rsidRPr="00AC7E46">
        <w:rPr>
          <w:lang w:val="fr-FR"/>
        </w:rPr>
        <w:t>on.  La</w:t>
      </w:r>
      <w:r w:rsidRPr="00AC7E46">
        <w:rPr>
          <w:lang w:val="fr-FR"/>
        </w:rPr>
        <w:t xml:space="preserve"> DSI a collaboré activement avec le vérificateur externe des comptes lors de la planification et de la mise en œuvre ultérieure des missions accomplies </w:t>
      </w:r>
      <w:r w:rsidR="00761289" w:rsidRPr="00AC7E46">
        <w:rPr>
          <w:lang w:val="fr-FR"/>
        </w:rPr>
        <w:t>en 2023</w:t>
      </w:r>
      <w:r w:rsidRPr="00AC7E46">
        <w:rPr>
          <w:lang w:val="fr-FR"/>
        </w:rPr>
        <w:t xml:space="preserve"> et lui a fourni les éléments nécessaires en tant que de beso</w:t>
      </w:r>
      <w:r w:rsidR="00AC7E46" w:rsidRPr="00AC7E46">
        <w:rPr>
          <w:lang w:val="fr-FR"/>
        </w:rPr>
        <w:t>in.  Pa</w:t>
      </w:r>
      <w:r w:rsidRPr="00AC7E46">
        <w:rPr>
          <w:lang w:val="fr-FR"/>
        </w:rPr>
        <w:t xml:space="preserve">r exemple, </w:t>
      </w:r>
      <w:r w:rsidR="00761289" w:rsidRPr="00AC7E46">
        <w:rPr>
          <w:lang w:val="fr-FR"/>
        </w:rPr>
        <w:t>en 2023</w:t>
      </w:r>
      <w:r w:rsidRPr="00AC7E46">
        <w:rPr>
          <w:lang w:val="fr-FR"/>
        </w:rPr>
        <w:t>,</w:t>
      </w:r>
      <w:r w:rsidR="00761289" w:rsidRPr="00AC7E46">
        <w:rPr>
          <w:lang w:val="fr-FR"/>
        </w:rPr>
        <w:t xml:space="preserve"> la DSI</w:t>
      </w:r>
      <w:r w:rsidRPr="00AC7E46">
        <w:rPr>
          <w:lang w:val="fr-FR"/>
        </w:rPr>
        <w:t xml:space="preserve"> a procédé à une validation des demandes de remboursement au titre de l</w:t>
      </w:r>
      <w:r w:rsidR="00761289" w:rsidRPr="00AC7E46">
        <w:rPr>
          <w:lang w:val="fr-FR"/>
        </w:rPr>
        <w:t>’</w:t>
      </w:r>
      <w:r w:rsidRPr="00AC7E46">
        <w:rPr>
          <w:lang w:val="fr-FR"/>
        </w:rPr>
        <w:t>assurance maladie après la cessation de service (AMCS), en vue d</w:t>
      </w:r>
      <w:r w:rsidR="00761289" w:rsidRPr="00AC7E46">
        <w:rPr>
          <w:lang w:val="fr-FR"/>
        </w:rPr>
        <w:t>’</w:t>
      </w:r>
      <w:r w:rsidRPr="00AC7E46">
        <w:rPr>
          <w:lang w:val="fr-FR"/>
        </w:rPr>
        <w:t>étayer l</w:t>
      </w:r>
      <w:r w:rsidR="00761289" w:rsidRPr="00AC7E46">
        <w:rPr>
          <w:lang w:val="fr-FR"/>
        </w:rPr>
        <w:t>’</w:t>
      </w:r>
      <w:r w:rsidRPr="00AC7E46">
        <w:rPr>
          <w:lang w:val="fr-FR"/>
        </w:rPr>
        <w:t>évaluation des engagements réalisée par le vérificateur externe des comptes aux fins de l</w:t>
      </w:r>
      <w:r w:rsidR="00761289" w:rsidRPr="00AC7E46">
        <w:rPr>
          <w:lang w:val="fr-FR"/>
        </w:rPr>
        <w:t>’</w:t>
      </w:r>
      <w:r w:rsidRPr="00AC7E46">
        <w:rPr>
          <w:lang w:val="fr-FR"/>
        </w:rPr>
        <w:t>audit des états financiers de l</w:t>
      </w:r>
      <w:r w:rsidR="00761289" w:rsidRPr="00AC7E46">
        <w:rPr>
          <w:lang w:val="fr-FR"/>
        </w:rPr>
        <w:t>’</w:t>
      </w:r>
      <w:r w:rsidRPr="00AC7E46">
        <w:rPr>
          <w:lang w:val="fr-FR"/>
        </w:rPr>
        <w:t>O</w:t>
      </w:r>
      <w:r w:rsidR="00AC7E46" w:rsidRPr="00AC7E46">
        <w:rPr>
          <w:lang w:val="fr-FR"/>
        </w:rPr>
        <w:t>MPI.  En</w:t>
      </w:r>
      <w:r w:rsidRPr="00AC7E46">
        <w:rPr>
          <w:lang w:val="fr-FR"/>
        </w:rPr>
        <w:t xml:space="preserve"> outre,</w:t>
      </w:r>
      <w:r w:rsidR="00761289" w:rsidRPr="00AC7E46">
        <w:rPr>
          <w:lang w:val="fr-FR"/>
        </w:rPr>
        <w:t xml:space="preserve"> la DSI</w:t>
      </w:r>
      <w:r w:rsidRPr="00AC7E46">
        <w:rPr>
          <w:lang w:val="fr-FR"/>
        </w:rPr>
        <w:t xml:space="preserve"> a mené son deuxième audit opérationnel d</w:t>
      </w:r>
      <w:r w:rsidR="00761289" w:rsidRPr="00AC7E46">
        <w:rPr>
          <w:lang w:val="fr-FR"/>
        </w:rPr>
        <w:t>’</w:t>
      </w:r>
      <w:r w:rsidRPr="00AC7E46">
        <w:rPr>
          <w:lang w:val="fr-FR"/>
        </w:rPr>
        <w:t>un bureau extérieur de l</w:t>
      </w:r>
      <w:r w:rsidR="00761289" w:rsidRPr="00AC7E46">
        <w:rPr>
          <w:lang w:val="fr-FR"/>
        </w:rPr>
        <w:t>’</w:t>
      </w:r>
      <w:r w:rsidRPr="00AC7E46">
        <w:rPr>
          <w:lang w:val="fr-FR"/>
        </w:rPr>
        <w:t xml:space="preserve">OMPI, </w:t>
      </w:r>
      <w:r w:rsidR="00761289" w:rsidRPr="00AC7E46">
        <w:rPr>
          <w:lang w:val="fr-FR"/>
        </w:rPr>
        <w:t>à savoir</w:t>
      </w:r>
      <w:r w:rsidRPr="00AC7E46">
        <w:rPr>
          <w:lang w:val="fr-FR"/>
        </w:rPr>
        <w:t xml:space="preserve"> le Bureau de Singapour, à la suite d</w:t>
      </w:r>
      <w:r w:rsidR="00761289" w:rsidRPr="00AC7E46">
        <w:rPr>
          <w:lang w:val="fr-FR"/>
        </w:rPr>
        <w:t>’</w:t>
      </w:r>
      <w:r w:rsidRPr="00AC7E46">
        <w:rPr>
          <w:lang w:val="fr-FR"/>
        </w:rPr>
        <w:t>une recommandation adressée à</w:t>
      </w:r>
      <w:r w:rsidR="00761289" w:rsidRPr="00AC7E46">
        <w:rPr>
          <w:lang w:val="fr-FR"/>
        </w:rPr>
        <w:t xml:space="preserve"> la DSI</w:t>
      </w:r>
      <w:r w:rsidRPr="00AC7E46">
        <w:rPr>
          <w:lang w:val="fr-FR"/>
        </w:rPr>
        <w:t xml:space="preserve"> dans le rapport du vérificateur externe des comptes pour l</w:t>
      </w:r>
      <w:r w:rsidR="00761289" w:rsidRPr="00AC7E46">
        <w:rPr>
          <w:lang w:val="fr-FR"/>
        </w:rPr>
        <w:t>’</w:t>
      </w:r>
      <w:r w:rsidRPr="00AC7E46">
        <w:rPr>
          <w:lang w:val="fr-FR"/>
        </w:rPr>
        <w:t>exercice</w:t>
      </w:r>
      <w:r w:rsidR="001908D2">
        <w:rPr>
          <w:lang w:val="fr-FR"/>
        </w:rPr>
        <w:t> </w:t>
      </w:r>
      <w:r w:rsidRPr="00AC7E46">
        <w:rPr>
          <w:lang w:val="fr-FR"/>
        </w:rPr>
        <w:t>2019.</w:t>
      </w:r>
    </w:p>
    <w:p w14:paraId="619A7B85" w14:textId="7D98D310" w:rsidR="000D5281" w:rsidRPr="00AC7E46" w:rsidRDefault="000D5281" w:rsidP="00D31722">
      <w:pPr>
        <w:pStyle w:val="ONUMFS"/>
        <w:rPr>
          <w:lang w:val="fr-FR"/>
        </w:rPr>
      </w:pPr>
      <w:r w:rsidRPr="00AC7E46">
        <w:rPr>
          <w:lang w:val="fr-FR"/>
        </w:rPr>
        <w:t>La DSI est en bonne voie pour mettre en œuvre la recommandation faite par le vérificateur externe des comptes dans son rapport pour l</w:t>
      </w:r>
      <w:r w:rsidR="00761289" w:rsidRPr="00AC7E46">
        <w:rPr>
          <w:lang w:val="fr-FR"/>
        </w:rPr>
        <w:t>’</w:t>
      </w:r>
      <w:r w:rsidRPr="00AC7E46">
        <w:rPr>
          <w:lang w:val="fr-FR"/>
        </w:rPr>
        <w:t>exercice</w:t>
      </w:r>
      <w:r w:rsidR="001908D2">
        <w:rPr>
          <w:lang w:val="fr-FR"/>
        </w:rPr>
        <w:t> </w:t>
      </w:r>
      <w:r w:rsidRPr="00AC7E46">
        <w:rPr>
          <w:lang w:val="fr-FR"/>
        </w:rPr>
        <w:t>2020</w:t>
      </w:r>
      <w:r w:rsidRPr="00AC7E46">
        <w:rPr>
          <w:rStyle w:val="FootnoteReference"/>
          <w:lang w:val="fr-FR"/>
        </w:rPr>
        <w:footnoteReference w:id="17"/>
      </w:r>
      <w:r w:rsidRPr="00AC7E46">
        <w:rPr>
          <w:lang w:val="fr-FR"/>
        </w:rPr>
        <w:t xml:space="preserve">, </w:t>
      </w:r>
      <w:r w:rsidR="00761289" w:rsidRPr="00AC7E46">
        <w:rPr>
          <w:lang w:val="fr-FR"/>
        </w:rPr>
        <w:t>à savoir</w:t>
      </w:r>
      <w:r w:rsidRPr="00AC7E46">
        <w:rPr>
          <w:lang w:val="fr-FR"/>
        </w:rPr>
        <w:t xml:space="preserve"> donner un avis annuel sur la gouvernance, la gestion des risques et l</w:t>
      </w:r>
      <w:r w:rsidR="00761289" w:rsidRPr="00AC7E46">
        <w:rPr>
          <w:lang w:val="fr-FR"/>
        </w:rPr>
        <w:t>’</w:t>
      </w:r>
      <w:r w:rsidRPr="00AC7E46">
        <w:rPr>
          <w:lang w:val="fr-FR"/>
        </w:rPr>
        <w:t>environnement de contrôle de l</w:t>
      </w:r>
      <w:r w:rsidR="00761289" w:rsidRPr="00AC7E46">
        <w:rPr>
          <w:lang w:val="fr-FR"/>
        </w:rPr>
        <w:t>’</w:t>
      </w:r>
      <w:r w:rsidRPr="00AC7E46">
        <w:rPr>
          <w:lang w:val="fr-FR"/>
        </w:rPr>
        <w:t>O</w:t>
      </w:r>
      <w:r w:rsidR="00AC7E46" w:rsidRPr="00AC7E46">
        <w:rPr>
          <w:lang w:val="fr-FR"/>
        </w:rPr>
        <w:t>MPI.  Ce</w:t>
      </w:r>
      <w:r w:rsidRPr="00AC7E46">
        <w:rPr>
          <w:lang w:val="fr-FR"/>
        </w:rPr>
        <w:t>tte recommandation devrait être pleinement mise en œuvre d</w:t>
      </w:r>
      <w:r w:rsidR="00761289" w:rsidRPr="00AC7E46">
        <w:rPr>
          <w:lang w:val="fr-FR"/>
        </w:rPr>
        <w:t>’</w:t>
      </w:r>
      <w:r w:rsidRPr="00AC7E46">
        <w:rPr>
          <w:lang w:val="fr-FR"/>
        </w:rPr>
        <w:t>ici le 31 décembre 2025.</w:t>
      </w:r>
    </w:p>
    <w:p w14:paraId="7E817D5F" w14:textId="3CB6565C" w:rsidR="000D5281" w:rsidRPr="00AC7E46" w:rsidRDefault="00287CF0" w:rsidP="00287CF0">
      <w:pPr>
        <w:pStyle w:val="Heading1"/>
      </w:pPr>
      <w:bookmarkStart w:id="48" w:name="_Toc39071254"/>
      <w:bookmarkStart w:id="49" w:name="_Toc165888322"/>
      <w:r>
        <w:t>A</w:t>
      </w:r>
      <w:r w:rsidRPr="00AC7E46">
        <w:t>utres activités de supervision</w:t>
      </w:r>
      <w:bookmarkEnd w:id="48"/>
      <w:bookmarkEnd w:id="49"/>
    </w:p>
    <w:p w14:paraId="48B3A078" w14:textId="516A7B65" w:rsidR="000D5281" w:rsidRPr="00AC7E46" w:rsidRDefault="00287CF0" w:rsidP="00F4635E">
      <w:pPr>
        <w:pStyle w:val="Heading2"/>
      </w:pPr>
      <w:r>
        <w:t>C</w:t>
      </w:r>
      <w:r w:rsidRPr="00AC7E46">
        <w:t xml:space="preserve">oopération avec le médiateur et le </w:t>
      </w:r>
      <w:r>
        <w:t>B</w:t>
      </w:r>
      <w:r w:rsidRPr="00AC7E46">
        <w:t>ureau de la déontologie</w:t>
      </w:r>
    </w:p>
    <w:p w14:paraId="2E1FF848" w14:textId="36808807" w:rsidR="000D5281" w:rsidRPr="00AC7E46" w:rsidRDefault="000D5281" w:rsidP="00D31722">
      <w:pPr>
        <w:pStyle w:val="ONUMFS"/>
        <w:rPr>
          <w:lang w:val="fr-FR"/>
        </w:rPr>
      </w:pPr>
      <w:r w:rsidRPr="00AC7E46">
        <w:rPr>
          <w:lang w:val="fr-FR"/>
        </w:rPr>
        <w:t>Au cours de la période considérée, le fonctionnaire faisant fonction de directeur et ensuite la directrice de</w:t>
      </w:r>
      <w:r w:rsidR="00761289" w:rsidRPr="00AC7E46">
        <w:rPr>
          <w:lang w:val="fr-FR"/>
        </w:rPr>
        <w:t xml:space="preserve"> la DSI</w:t>
      </w:r>
      <w:r w:rsidRPr="00AC7E46">
        <w:rPr>
          <w:lang w:val="fr-FR"/>
        </w:rPr>
        <w:t>, ont rencontré le médiateur et le chef du Bureau de la déontologie, pour assurer une bonne coordination et apporter un appui supplémentaire.</w:t>
      </w:r>
    </w:p>
    <w:p w14:paraId="1B84B016" w14:textId="1588BB05" w:rsidR="000D5281" w:rsidRPr="00AC7E46" w:rsidRDefault="00287CF0" w:rsidP="00F4635E">
      <w:pPr>
        <w:pStyle w:val="Heading2"/>
      </w:pPr>
      <w:r>
        <w:t>A</w:t>
      </w:r>
      <w:r w:rsidRPr="00AC7E46">
        <w:t>ctivités de sensibilisation au sein de l’organisation</w:t>
      </w:r>
    </w:p>
    <w:p w14:paraId="4C63EBDF" w14:textId="7343EE6A" w:rsidR="000D5281" w:rsidRPr="00AC7E46" w:rsidRDefault="000D5281" w:rsidP="00D31722">
      <w:pPr>
        <w:pStyle w:val="ONUMFS"/>
        <w:rPr>
          <w:lang w:val="fr-FR"/>
        </w:rPr>
      </w:pPr>
      <w:r w:rsidRPr="00AC7E46">
        <w:rPr>
          <w:lang w:val="fr-FR"/>
        </w:rPr>
        <w:t>Au titre des efforts qu</w:t>
      </w:r>
      <w:r w:rsidR="00761289" w:rsidRPr="00AC7E46">
        <w:rPr>
          <w:lang w:val="fr-FR"/>
        </w:rPr>
        <w:t>’</w:t>
      </w:r>
      <w:r w:rsidRPr="00AC7E46">
        <w:rPr>
          <w:lang w:val="fr-FR"/>
        </w:rPr>
        <w:t>elle déploie pour mieux expliquer et faire comprendre la fonction de supervision interne,</w:t>
      </w:r>
      <w:r w:rsidR="00761289" w:rsidRPr="00AC7E46">
        <w:rPr>
          <w:lang w:val="fr-FR"/>
        </w:rPr>
        <w:t xml:space="preserve"> la DSI</w:t>
      </w:r>
      <w:r w:rsidRPr="00AC7E46">
        <w:rPr>
          <w:lang w:val="fr-FR"/>
        </w:rPr>
        <w:t xml:space="preserve"> a poursuivi son travail de sensibilisation à l</w:t>
      </w:r>
      <w:r w:rsidR="00761289" w:rsidRPr="00AC7E46">
        <w:rPr>
          <w:lang w:val="fr-FR"/>
        </w:rPr>
        <w:t>’</w:t>
      </w:r>
      <w:r w:rsidRPr="00AC7E46">
        <w:rPr>
          <w:lang w:val="fr-FR"/>
        </w:rPr>
        <w:t>intention du personnel de l</w:t>
      </w:r>
      <w:r w:rsidR="00761289" w:rsidRPr="00AC7E46">
        <w:rPr>
          <w:lang w:val="fr-FR"/>
        </w:rPr>
        <w:t>’</w:t>
      </w:r>
      <w:r w:rsidRPr="00AC7E46">
        <w:rPr>
          <w:lang w:val="fr-FR"/>
        </w:rPr>
        <w:t>O</w:t>
      </w:r>
      <w:r w:rsidR="00AC7E46" w:rsidRPr="00AC7E46">
        <w:rPr>
          <w:lang w:val="fr-FR"/>
        </w:rPr>
        <w:t>MPI.  Ce</w:t>
      </w:r>
      <w:r w:rsidRPr="00AC7E46">
        <w:rPr>
          <w:lang w:val="fr-FR"/>
        </w:rPr>
        <w:t>s activités de sensibilisation ont notamment pris la forme de cours d</w:t>
      </w:r>
      <w:r w:rsidR="00761289" w:rsidRPr="00AC7E46">
        <w:rPr>
          <w:lang w:val="fr-FR"/>
        </w:rPr>
        <w:t>’</w:t>
      </w:r>
      <w:r w:rsidRPr="00AC7E46">
        <w:rPr>
          <w:lang w:val="fr-FR"/>
        </w:rPr>
        <w:t>initiation à l</w:t>
      </w:r>
      <w:r w:rsidR="00761289" w:rsidRPr="00AC7E46">
        <w:rPr>
          <w:lang w:val="fr-FR"/>
        </w:rPr>
        <w:t>’</w:t>
      </w:r>
      <w:r w:rsidRPr="00AC7E46">
        <w:rPr>
          <w:lang w:val="fr-FR"/>
        </w:rPr>
        <w:t>intention des nouveaux fonctionnaires, de contributions au bulletin de</w:t>
      </w:r>
      <w:r w:rsidR="00761289" w:rsidRPr="00AC7E46">
        <w:rPr>
          <w:lang w:val="fr-FR"/>
        </w:rPr>
        <w:t xml:space="preserve"> la DSI</w:t>
      </w:r>
      <w:r w:rsidRPr="00AC7E46">
        <w:rPr>
          <w:lang w:val="fr-FR"/>
        </w:rPr>
        <w:t>, de mises à jour sur le tableau de bord de</w:t>
      </w:r>
      <w:r w:rsidR="00761289" w:rsidRPr="00AC7E46">
        <w:rPr>
          <w:lang w:val="fr-FR"/>
        </w:rPr>
        <w:t xml:space="preserve"> la DSI</w:t>
      </w:r>
      <w:r w:rsidRPr="00AC7E46">
        <w:rPr>
          <w:lang w:val="fr-FR"/>
        </w:rPr>
        <w:t>, de sessions de formation en ligne et d</w:t>
      </w:r>
      <w:r w:rsidR="00761289" w:rsidRPr="00AC7E46">
        <w:rPr>
          <w:lang w:val="fr-FR"/>
        </w:rPr>
        <w:t>’</w:t>
      </w:r>
      <w:r w:rsidRPr="00AC7E46">
        <w:rPr>
          <w:lang w:val="fr-FR"/>
        </w:rPr>
        <w:t>exposés présentés à la direction et aux chefs de secteur selon que de besoin.</w:t>
      </w:r>
    </w:p>
    <w:p w14:paraId="305CA679" w14:textId="167F947E" w:rsidR="000D5281" w:rsidRPr="00AC7E46" w:rsidRDefault="00287CF0" w:rsidP="00F4635E">
      <w:pPr>
        <w:pStyle w:val="Heading2"/>
      </w:pPr>
      <w:r>
        <w:lastRenderedPageBreak/>
        <w:t>C</w:t>
      </w:r>
      <w:r w:rsidRPr="00AC7E46">
        <w:t>réation de réseaux avec d’autres fonctions de supervision</w:t>
      </w:r>
    </w:p>
    <w:p w14:paraId="6D6B4F57" w14:textId="4C5F0BAC" w:rsidR="000D5281" w:rsidRPr="00AC7E46" w:rsidRDefault="000D5281" w:rsidP="00386FF4">
      <w:pPr>
        <w:pStyle w:val="ONUMFS"/>
        <w:keepLines/>
        <w:rPr>
          <w:lang w:val="fr-FR"/>
        </w:rPr>
      </w:pPr>
      <w:r w:rsidRPr="00AC7E46">
        <w:rPr>
          <w:lang w:val="fr-FR"/>
        </w:rPr>
        <w:t>La Charte de la supervision interne mentionne expressément</w:t>
      </w:r>
      <w:r w:rsidRPr="00AC7E46">
        <w:rPr>
          <w:vertAlign w:val="superscript"/>
          <w:lang w:val="fr-FR"/>
        </w:rPr>
        <w:footnoteReference w:id="18"/>
      </w:r>
      <w:r w:rsidRPr="00AC7E46">
        <w:rPr>
          <w:lang w:val="fr-FR"/>
        </w:rPr>
        <w:t xml:space="preserve"> le fait d</w:t>
      </w:r>
      <w:r w:rsidR="00761289" w:rsidRPr="00AC7E46">
        <w:rPr>
          <w:lang w:val="fr-FR"/>
        </w:rPr>
        <w:t>’</w:t>
      </w:r>
      <w:r w:rsidRPr="00AC7E46">
        <w:rPr>
          <w:lang w:val="fr-FR"/>
        </w:rPr>
        <w:t>assurer la liaison et la coopération avec les services de supervision interne d</w:t>
      </w:r>
      <w:r w:rsidR="00761289" w:rsidRPr="00AC7E46">
        <w:rPr>
          <w:lang w:val="fr-FR"/>
        </w:rPr>
        <w:t>’</w:t>
      </w:r>
      <w:r w:rsidRPr="00AC7E46">
        <w:rPr>
          <w:lang w:val="fr-FR"/>
        </w:rPr>
        <w:t xml:space="preserve">autres organisations du système des </w:t>
      </w:r>
      <w:r w:rsidR="00761289" w:rsidRPr="00AC7E46">
        <w:rPr>
          <w:lang w:val="fr-FR"/>
        </w:rPr>
        <w:t>Nations Unies</w:t>
      </w:r>
      <w:r w:rsidRPr="00AC7E46">
        <w:rPr>
          <w:lang w:val="fr-FR"/>
        </w:rPr>
        <w:t xml:space="preserve"> et d</w:t>
      </w:r>
      <w:r w:rsidR="00761289" w:rsidRPr="00AC7E46">
        <w:rPr>
          <w:lang w:val="fr-FR"/>
        </w:rPr>
        <w:t>’</w:t>
      </w:r>
      <w:r w:rsidRPr="00AC7E46">
        <w:rPr>
          <w:lang w:val="fr-FR"/>
        </w:rPr>
        <w:t>institutions financières multilatéral</w:t>
      </w:r>
      <w:r w:rsidR="00AC7E46" w:rsidRPr="00AC7E46">
        <w:rPr>
          <w:lang w:val="fr-FR"/>
        </w:rPr>
        <w:t>es.  La</w:t>
      </w:r>
      <w:r w:rsidR="00761289" w:rsidRPr="00AC7E46">
        <w:rPr>
          <w:lang w:val="fr-FR"/>
        </w:rPr>
        <w:t> DSI</w:t>
      </w:r>
      <w:r w:rsidRPr="00AC7E46">
        <w:rPr>
          <w:lang w:val="fr-FR"/>
        </w:rPr>
        <w:t xml:space="preserve"> est consciente de la valeur et de l</w:t>
      </w:r>
      <w:r w:rsidR="00761289" w:rsidRPr="00AC7E46">
        <w:rPr>
          <w:lang w:val="fr-FR"/>
        </w:rPr>
        <w:t>’</w:t>
      </w:r>
      <w:r w:rsidRPr="00AC7E46">
        <w:rPr>
          <w:lang w:val="fr-FR"/>
        </w:rPr>
        <w:t>importance que revêt l</w:t>
      </w:r>
      <w:r w:rsidR="00761289" w:rsidRPr="00AC7E46">
        <w:rPr>
          <w:lang w:val="fr-FR"/>
        </w:rPr>
        <w:t>’</w:t>
      </w:r>
      <w:r w:rsidRPr="00AC7E46">
        <w:rPr>
          <w:lang w:val="fr-FR"/>
        </w:rPr>
        <w:t>établissement de relations de travail avec ses homologu</w:t>
      </w:r>
      <w:r w:rsidR="00AC7E46" w:rsidRPr="00AC7E46">
        <w:rPr>
          <w:lang w:val="fr-FR"/>
        </w:rPr>
        <w:t>es.  Pe</w:t>
      </w:r>
      <w:r w:rsidRPr="00AC7E46">
        <w:rPr>
          <w:lang w:val="fr-FR"/>
        </w:rPr>
        <w:t>ndant la période considérée,</w:t>
      </w:r>
      <w:r w:rsidR="00761289" w:rsidRPr="00AC7E46">
        <w:rPr>
          <w:lang w:val="fr-FR"/>
        </w:rPr>
        <w:t xml:space="preserve"> la DSI</w:t>
      </w:r>
      <w:r w:rsidRPr="00AC7E46">
        <w:rPr>
          <w:lang w:val="fr-FR"/>
        </w:rPr>
        <w:t xml:space="preserve"> a poursuivi activement et utilement ses activités de collaboration et de création de réseaux avec les autres organisations et entités des </w:t>
      </w:r>
      <w:r w:rsidR="00761289" w:rsidRPr="00AC7E46">
        <w:rPr>
          <w:lang w:val="fr-FR"/>
        </w:rPr>
        <w:t>Nations Uni</w:t>
      </w:r>
      <w:r w:rsidR="00AC7E46" w:rsidRPr="00AC7E46">
        <w:rPr>
          <w:lang w:val="fr-FR"/>
        </w:rPr>
        <w:t>es.  En</w:t>
      </w:r>
      <w:r w:rsidRPr="00AC7E46">
        <w:rPr>
          <w:lang w:val="fr-FR"/>
        </w:rPr>
        <w:t xml:space="preserve"> particulier,</w:t>
      </w:r>
    </w:p>
    <w:p w14:paraId="48CF9F36" w14:textId="1E786A1C" w:rsidR="000D5281" w:rsidRPr="00AC7E46" w:rsidRDefault="000D5281" w:rsidP="00287CF0">
      <w:pPr>
        <w:pStyle w:val="ONUMFS"/>
        <w:numPr>
          <w:ilvl w:val="1"/>
          <w:numId w:val="6"/>
        </w:numPr>
        <w:rPr>
          <w:rFonts w:eastAsia="Arial"/>
          <w:szCs w:val="22"/>
          <w:lang w:val="fr-FR"/>
        </w:rPr>
      </w:pPr>
      <w:proofErr w:type="gramStart"/>
      <w:r w:rsidRPr="00AC7E46">
        <w:rPr>
          <w:rFonts w:eastAsia="Arial"/>
          <w:szCs w:val="22"/>
          <w:lang w:val="fr-FR"/>
        </w:rPr>
        <w:t>la</w:t>
      </w:r>
      <w:proofErr w:type="gramEnd"/>
      <w:r w:rsidRPr="00AC7E46">
        <w:rPr>
          <w:rFonts w:eastAsia="Arial"/>
          <w:szCs w:val="22"/>
          <w:lang w:val="fr-FR"/>
        </w:rPr>
        <w:t xml:space="preserve"> DSI a continué de participer au Comité exécutif</w:t>
      </w:r>
      <w:r w:rsidR="00761289" w:rsidRPr="00AC7E46">
        <w:rPr>
          <w:rFonts w:eastAsia="Arial"/>
          <w:szCs w:val="22"/>
          <w:lang w:val="fr-FR"/>
        </w:rPr>
        <w:t xml:space="preserve"> du GNU</w:t>
      </w:r>
      <w:r w:rsidRPr="00AC7E46">
        <w:rPr>
          <w:rFonts w:eastAsia="Arial"/>
          <w:szCs w:val="22"/>
          <w:lang w:val="fr-FR"/>
        </w:rPr>
        <w:t>E en s</w:t>
      </w:r>
      <w:r w:rsidR="00761289" w:rsidRPr="00AC7E46">
        <w:rPr>
          <w:rFonts w:eastAsia="Arial"/>
          <w:szCs w:val="22"/>
          <w:lang w:val="fr-FR"/>
        </w:rPr>
        <w:t>’</w:t>
      </w:r>
      <w:r w:rsidRPr="00AC7E46">
        <w:rPr>
          <w:rFonts w:eastAsia="Arial"/>
          <w:szCs w:val="22"/>
          <w:lang w:val="fr-FR"/>
        </w:rPr>
        <w:t>entretenant avec les parties prenantes et en représentant l</w:t>
      </w:r>
      <w:r w:rsidR="00761289" w:rsidRPr="00AC7E46">
        <w:rPr>
          <w:rFonts w:eastAsia="Arial"/>
          <w:szCs w:val="22"/>
          <w:lang w:val="fr-FR"/>
        </w:rPr>
        <w:t>’</w:t>
      </w:r>
      <w:r w:rsidRPr="00AC7E46">
        <w:rPr>
          <w:rFonts w:eastAsia="Arial"/>
          <w:szCs w:val="22"/>
          <w:lang w:val="fr-FR"/>
        </w:rPr>
        <w:t>Organisation dans les événements et les débats en lien avec la supervision, et a participé activement à l</w:t>
      </w:r>
      <w:r w:rsidR="00761289" w:rsidRPr="00AC7E46">
        <w:rPr>
          <w:rFonts w:eastAsia="Arial"/>
          <w:szCs w:val="22"/>
          <w:lang w:val="fr-FR"/>
        </w:rPr>
        <w:t>’</w:t>
      </w:r>
      <w:r w:rsidRPr="00AC7E46">
        <w:rPr>
          <w:rFonts w:eastAsia="Arial"/>
          <w:szCs w:val="22"/>
          <w:lang w:val="fr-FR"/>
        </w:rPr>
        <w:t>exécution du plan de travail annuel</w:t>
      </w:r>
      <w:r w:rsidR="00761289" w:rsidRPr="00AC7E46">
        <w:rPr>
          <w:rFonts w:eastAsia="Arial"/>
          <w:szCs w:val="22"/>
          <w:lang w:val="fr-FR"/>
        </w:rPr>
        <w:t xml:space="preserve"> du GNU</w:t>
      </w:r>
      <w:r w:rsidRPr="00AC7E46">
        <w:rPr>
          <w:rFonts w:eastAsia="Arial"/>
          <w:szCs w:val="22"/>
          <w:lang w:val="fr-FR"/>
        </w:rPr>
        <w:t>E;</w:t>
      </w:r>
    </w:p>
    <w:p w14:paraId="601BB5F4" w14:textId="254EBD72" w:rsidR="000D5281" w:rsidRPr="00AC7E46" w:rsidRDefault="000D5281" w:rsidP="00287CF0">
      <w:pPr>
        <w:pStyle w:val="ONUMFS"/>
        <w:numPr>
          <w:ilvl w:val="1"/>
          <w:numId w:val="6"/>
        </w:numPr>
        <w:rPr>
          <w:rFonts w:eastAsia="Arial"/>
          <w:szCs w:val="22"/>
          <w:lang w:val="fr-FR"/>
        </w:rPr>
      </w:pPr>
      <w:proofErr w:type="gramStart"/>
      <w:r w:rsidRPr="00AC7E46">
        <w:rPr>
          <w:rFonts w:eastAsia="Arial"/>
          <w:szCs w:val="22"/>
          <w:lang w:val="fr-FR"/>
        </w:rPr>
        <w:t>la</w:t>
      </w:r>
      <w:proofErr w:type="gramEnd"/>
      <w:r w:rsidRPr="00AC7E46">
        <w:rPr>
          <w:rFonts w:eastAsia="Arial"/>
          <w:szCs w:val="22"/>
          <w:lang w:val="fr-FR"/>
        </w:rPr>
        <w:t xml:space="preserve"> DSI a participé à la réunion du réseau des chefs de l</w:t>
      </w:r>
      <w:r w:rsidR="00761289" w:rsidRPr="00AC7E46">
        <w:rPr>
          <w:rFonts w:eastAsia="Arial"/>
          <w:szCs w:val="22"/>
          <w:lang w:val="fr-FR"/>
        </w:rPr>
        <w:t>’</w:t>
      </w:r>
      <w:r w:rsidRPr="00AC7E46">
        <w:rPr>
          <w:rFonts w:eastAsia="Arial"/>
          <w:szCs w:val="22"/>
          <w:lang w:val="fr-FR"/>
        </w:rPr>
        <w:t>audit interne dans des organisations internationales en Europe, aux côtés de représentants de 35 organisations internationales, tenue du 3 au 6 mai 2023, à la Commission européenne à Bruxelles;</w:t>
      </w:r>
    </w:p>
    <w:p w14:paraId="499AE38D" w14:textId="558B0BCE" w:rsidR="000D5281" w:rsidRPr="00AC7E46" w:rsidRDefault="000D5281" w:rsidP="00287CF0">
      <w:pPr>
        <w:pStyle w:val="ONUMFS"/>
        <w:numPr>
          <w:ilvl w:val="1"/>
          <w:numId w:val="6"/>
        </w:numPr>
        <w:rPr>
          <w:rFonts w:eastAsia="Arial"/>
          <w:szCs w:val="22"/>
          <w:lang w:val="fr-FR"/>
        </w:rPr>
      </w:pPr>
      <w:proofErr w:type="gramStart"/>
      <w:r w:rsidRPr="00AC7E46">
        <w:rPr>
          <w:rFonts w:eastAsia="Arial"/>
          <w:szCs w:val="22"/>
          <w:lang w:val="fr-FR"/>
        </w:rPr>
        <w:t>la</w:t>
      </w:r>
      <w:proofErr w:type="gramEnd"/>
      <w:r w:rsidRPr="00AC7E46">
        <w:rPr>
          <w:rFonts w:eastAsia="Arial"/>
          <w:szCs w:val="22"/>
          <w:lang w:val="fr-FR"/>
        </w:rPr>
        <w:t xml:space="preserve"> DSI a participé à la réunion du Groupe de Genève organisée par la Mission permanente du Canada le 25 avril 2023.  Le Groupe de Genève est un groupe informel composé de 17</w:t>
      </w:r>
      <w:r w:rsidR="001908D2">
        <w:rPr>
          <w:rFonts w:eastAsia="Arial"/>
          <w:szCs w:val="22"/>
          <w:lang w:val="fr-FR"/>
        </w:rPr>
        <w:t> </w:t>
      </w:r>
      <w:r w:rsidRPr="00AC7E46">
        <w:rPr>
          <w:rFonts w:eastAsia="Arial"/>
          <w:szCs w:val="22"/>
          <w:lang w:val="fr-FR"/>
        </w:rPr>
        <w:t xml:space="preserve">importants contributeurs au budget des </w:t>
      </w:r>
      <w:r w:rsidR="00761289" w:rsidRPr="00AC7E46">
        <w:rPr>
          <w:rFonts w:eastAsia="Arial"/>
          <w:szCs w:val="22"/>
          <w:lang w:val="fr-FR"/>
        </w:rPr>
        <w:t>Nations Unies</w:t>
      </w:r>
      <w:r w:rsidRPr="00AC7E46">
        <w:rPr>
          <w:rFonts w:eastAsia="Arial"/>
          <w:szCs w:val="22"/>
          <w:lang w:val="fr-FR"/>
        </w:rPr>
        <w:t xml:space="preserve">, qui vise à améliorer la gouvernance et la gestion du système des </w:t>
      </w:r>
      <w:r w:rsidR="00761289" w:rsidRPr="00AC7E46">
        <w:rPr>
          <w:rFonts w:eastAsia="Arial"/>
          <w:szCs w:val="22"/>
          <w:lang w:val="fr-FR"/>
        </w:rPr>
        <w:t>Nations Uni</w:t>
      </w:r>
      <w:r w:rsidR="00AC7E46" w:rsidRPr="00AC7E46">
        <w:rPr>
          <w:rFonts w:eastAsia="Arial"/>
          <w:szCs w:val="22"/>
          <w:lang w:val="fr-FR"/>
        </w:rPr>
        <w:t>es.  Le</w:t>
      </w:r>
      <w:r w:rsidRPr="00AC7E46">
        <w:rPr>
          <w:rFonts w:eastAsia="Arial"/>
          <w:szCs w:val="22"/>
          <w:lang w:val="fr-FR"/>
        </w:rPr>
        <w:t xml:space="preserve"> groupe a invité le </w:t>
      </w:r>
      <w:proofErr w:type="spellStart"/>
      <w:r w:rsidRPr="00AC7E46">
        <w:rPr>
          <w:rFonts w:eastAsia="Arial"/>
          <w:szCs w:val="22"/>
          <w:lang w:val="fr-FR"/>
        </w:rPr>
        <w:t>Haut</w:t>
      </w:r>
      <w:r w:rsidR="001908D2">
        <w:rPr>
          <w:rFonts w:eastAsia="Arial"/>
          <w:szCs w:val="22"/>
          <w:lang w:val="fr-FR"/>
        </w:rPr>
        <w:t xml:space="preserve"> Commissariat</w:t>
      </w:r>
      <w:proofErr w:type="spellEnd"/>
      <w:r w:rsidR="001908D2">
        <w:rPr>
          <w:rFonts w:eastAsia="Arial"/>
          <w:szCs w:val="22"/>
          <w:lang w:val="fr-FR"/>
        </w:rPr>
        <w:t xml:space="preserve"> des Nations u</w:t>
      </w:r>
      <w:r w:rsidR="00761289" w:rsidRPr="00AC7E46">
        <w:rPr>
          <w:rFonts w:eastAsia="Arial"/>
          <w:szCs w:val="22"/>
          <w:lang w:val="fr-FR"/>
        </w:rPr>
        <w:t>nies</w:t>
      </w:r>
      <w:r w:rsidRPr="00AC7E46">
        <w:rPr>
          <w:rFonts w:eastAsia="Arial"/>
          <w:szCs w:val="22"/>
          <w:lang w:val="fr-FR"/>
        </w:rPr>
        <w:t xml:space="preserve"> pour les réfugiés, l</w:t>
      </w:r>
      <w:r w:rsidR="00761289" w:rsidRPr="00AC7E46">
        <w:rPr>
          <w:rFonts w:eastAsia="Arial"/>
          <w:szCs w:val="22"/>
          <w:lang w:val="fr-FR"/>
        </w:rPr>
        <w:t>’</w:t>
      </w:r>
      <w:r w:rsidRPr="00AC7E46">
        <w:rPr>
          <w:rFonts w:eastAsia="Arial"/>
          <w:szCs w:val="22"/>
          <w:lang w:val="fr-FR"/>
        </w:rPr>
        <w:t>Organisation internationale pour les migrations, l</w:t>
      </w:r>
      <w:r w:rsidR="00761289" w:rsidRPr="00AC7E46">
        <w:rPr>
          <w:rFonts w:eastAsia="Arial"/>
          <w:szCs w:val="22"/>
          <w:lang w:val="fr-FR"/>
        </w:rPr>
        <w:t>’</w:t>
      </w:r>
      <w:r w:rsidRPr="00AC7E46">
        <w:rPr>
          <w:rFonts w:eastAsia="Arial"/>
          <w:szCs w:val="22"/>
          <w:lang w:val="fr-FR"/>
        </w:rPr>
        <w:t>Union internationale des télécommunications et l</w:t>
      </w:r>
      <w:r w:rsidR="00761289" w:rsidRPr="00AC7E46">
        <w:rPr>
          <w:rFonts w:eastAsia="Arial"/>
          <w:szCs w:val="22"/>
          <w:lang w:val="fr-FR"/>
        </w:rPr>
        <w:t>’</w:t>
      </w:r>
      <w:r w:rsidRPr="00AC7E46">
        <w:rPr>
          <w:rFonts w:eastAsia="Arial"/>
          <w:szCs w:val="22"/>
          <w:lang w:val="fr-FR"/>
        </w:rPr>
        <w:t>OMPI à cette série de discussions axées, entre autres, sur le renforcement de la cohérence et de la coordination de la supervision dans l</w:t>
      </w:r>
      <w:r w:rsidR="00761289" w:rsidRPr="00AC7E46">
        <w:rPr>
          <w:rFonts w:eastAsia="Arial"/>
          <w:szCs w:val="22"/>
          <w:lang w:val="fr-FR"/>
        </w:rPr>
        <w:t>’</w:t>
      </w:r>
      <w:r w:rsidRPr="00AC7E46">
        <w:rPr>
          <w:rFonts w:eastAsia="Arial"/>
          <w:szCs w:val="22"/>
          <w:lang w:val="fr-FR"/>
        </w:rPr>
        <w:t xml:space="preserve">ensemble du système des </w:t>
      </w:r>
      <w:r w:rsidR="00761289" w:rsidRPr="00AC7E46">
        <w:rPr>
          <w:rFonts w:eastAsia="Arial"/>
          <w:szCs w:val="22"/>
          <w:lang w:val="fr-FR"/>
        </w:rPr>
        <w:t>Nations </w:t>
      </w:r>
      <w:proofErr w:type="gramStart"/>
      <w:r w:rsidR="00761289" w:rsidRPr="00AC7E46">
        <w:rPr>
          <w:rFonts w:eastAsia="Arial"/>
          <w:szCs w:val="22"/>
          <w:lang w:val="fr-FR"/>
        </w:rPr>
        <w:t>Unies</w:t>
      </w:r>
      <w:r w:rsidRPr="00AC7E46">
        <w:rPr>
          <w:rFonts w:eastAsia="Arial"/>
          <w:szCs w:val="22"/>
          <w:lang w:val="fr-FR"/>
        </w:rPr>
        <w:t>;</w:t>
      </w:r>
      <w:proofErr w:type="gramEnd"/>
    </w:p>
    <w:p w14:paraId="023E889A" w14:textId="01B6AA94" w:rsidR="000D5281" w:rsidRPr="00AC7E46" w:rsidRDefault="000D5281" w:rsidP="00287CF0">
      <w:pPr>
        <w:pStyle w:val="ONUMFS"/>
        <w:numPr>
          <w:ilvl w:val="1"/>
          <w:numId w:val="6"/>
        </w:numPr>
        <w:rPr>
          <w:rFonts w:eastAsia="Arial"/>
          <w:szCs w:val="22"/>
          <w:lang w:val="fr-FR"/>
        </w:rPr>
      </w:pPr>
      <w:proofErr w:type="gramStart"/>
      <w:r w:rsidRPr="00AC7E46">
        <w:rPr>
          <w:rFonts w:eastAsia="Arial"/>
          <w:lang w:val="fr-FR"/>
        </w:rPr>
        <w:t>la</w:t>
      </w:r>
      <w:proofErr w:type="gramEnd"/>
      <w:r w:rsidRPr="00AC7E46">
        <w:rPr>
          <w:rFonts w:eastAsia="Arial"/>
          <w:lang w:val="fr-FR"/>
        </w:rPr>
        <w:t xml:space="preserve"> DSI a participé à la 15</w:t>
      </w:r>
      <w:r w:rsidRPr="00AC7E46">
        <w:rPr>
          <w:rFonts w:eastAsia="Arial"/>
          <w:vertAlign w:val="superscript"/>
          <w:lang w:val="fr-FR"/>
        </w:rPr>
        <w:t>e</w:t>
      </w:r>
      <w:r w:rsidRPr="00AC7E46">
        <w:rPr>
          <w:rFonts w:eastAsia="Arial"/>
          <w:lang w:val="fr-FR"/>
        </w:rPr>
        <w:t> réunion annuelle et à la 52</w:t>
      </w:r>
      <w:r w:rsidRPr="00AC7E46">
        <w:rPr>
          <w:rFonts w:eastAsia="Arial"/>
          <w:vertAlign w:val="superscript"/>
          <w:lang w:val="fr-FR"/>
        </w:rPr>
        <w:t>e</w:t>
      </w:r>
      <w:r w:rsidR="001908D2">
        <w:rPr>
          <w:rFonts w:eastAsia="Arial"/>
          <w:lang w:val="fr-FR"/>
        </w:rPr>
        <w:t> </w:t>
      </w:r>
      <w:r w:rsidRPr="00AC7E46">
        <w:rPr>
          <w:rFonts w:eastAsia="Arial"/>
          <w:lang w:val="fr-FR"/>
        </w:rPr>
        <w:t>Conférence des représentants des services d</w:t>
      </w:r>
      <w:r w:rsidR="00761289" w:rsidRPr="00AC7E46">
        <w:rPr>
          <w:rFonts w:eastAsia="Arial"/>
          <w:lang w:val="fr-FR"/>
        </w:rPr>
        <w:t>’</w:t>
      </w:r>
      <w:r w:rsidRPr="00AC7E46">
        <w:rPr>
          <w:rFonts w:eastAsia="Arial"/>
          <w:lang w:val="fr-FR"/>
        </w:rPr>
        <w:t xml:space="preserve">audit interne des organismes des </w:t>
      </w:r>
      <w:r w:rsidR="00761289" w:rsidRPr="00AC7E46">
        <w:rPr>
          <w:rFonts w:eastAsia="Arial"/>
          <w:lang w:val="fr-FR"/>
        </w:rPr>
        <w:t>Nations Unies</w:t>
      </w:r>
      <w:r w:rsidRPr="00AC7E46">
        <w:rPr>
          <w:rFonts w:eastAsia="Arial"/>
          <w:lang w:val="fr-FR"/>
        </w:rPr>
        <w:t>, organisées par la Banque mondiale, du 22 au 25 août 2023, à son siège à Washington, DC.  La conférence a porté sur les domaines hautement prioritaires, tels que l</w:t>
      </w:r>
      <w:r w:rsidR="00761289" w:rsidRPr="00AC7E46">
        <w:rPr>
          <w:rFonts w:eastAsia="Arial"/>
          <w:lang w:val="fr-FR"/>
        </w:rPr>
        <w:t>’</w:t>
      </w:r>
      <w:r w:rsidRPr="00AC7E46">
        <w:rPr>
          <w:rFonts w:eastAsia="Arial"/>
          <w:lang w:val="fr-FR"/>
        </w:rPr>
        <w:t>innovation, la cybersécurité, l</w:t>
      </w:r>
      <w:r w:rsidR="00761289" w:rsidRPr="00AC7E46">
        <w:rPr>
          <w:rFonts w:eastAsia="Arial"/>
          <w:lang w:val="fr-FR"/>
        </w:rPr>
        <w:t>’</w:t>
      </w:r>
      <w:r w:rsidRPr="00AC7E46">
        <w:rPr>
          <w:rFonts w:eastAsia="Arial"/>
          <w:lang w:val="fr-FR"/>
        </w:rPr>
        <w:t xml:space="preserve">intelligence artificielle, la gouvernance des données, la gestion des risques et le radar stratégique des </w:t>
      </w:r>
      <w:r w:rsidR="00761289" w:rsidRPr="00AC7E46">
        <w:rPr>
          <w:rFonts w:eastAsia="Arial"/>
          <w:lang w:val="fr-FR"/>
        </w:rPr>
        <w:t>Nations </w:t>
      </w:r>
      <w:proofErr w:type="gramStart"/>
      <w:r w:rsidR="00761289" w:rsidRPr="00AC7E46">
        <w:rPr>
          <w:rFonts w:eastAsia="Arial"/>
          <w:lang w:val="fr-FR"/>
        </w:rPr>
        <w:t>Unies</w:t>
      </w:r>
      <w:r w:rsidRPr="00AC7E46">
        <w:rPr>
          <w:rFonts w:eastAsia="Arial"/>
          <w:lang w:val="fr-FR"/>
        </w:rPr>
        <w:t xml:space="preserve">; </w:t>
      </w:r>
      <w:r w:rsidR="006F1D4B" w:rsidRPr="00AC7E46">
        <w:rPr>
          <w:rFonts w:eastAsia="Arial"/>
          <w:lang w:val="fr-FR"/>
        </w:rPr>
        <w:t xml:space="preserve"> </w:t>
      </w:r>
      <w:r w:rsidRPr="00AC7E46">
        <w:rPr>
          <w:rFonts w:eastAsia="Arial"/>
          <w:lang w:val="fr-FR"/>
        </w:rPr>
        <w:t>et</w:t>
      </w:r>
      <w:proofErr w:type="gramEnd"/>
    </w:p>
    <w:p w14:paraId="2B8EBAC4" w14:textId="2149AF48" w:rsidR="000D5281" w:rsidRPr="00AC7E46" w:rsidRDefault="000D5281" w:rsidP="00287CF0">
      <w:pPr>
        <w:pStyle w:val="ONUMFS"/>
        <w:numPr>
          <w:ilvl w:val="1"/>
          <w:numId w:val="6"/>
        </w:numPr>
        <w:rPr>
          <w:rFonts w:eastAsia="Arial"/>
          <w:szCs w:val="22"/>
          <w:lang w:val="fr-FR"/>
        </w:rPr>
      </w:pPr>
      <w:proofErr w:type="gramStart"/>
      <w:r w:rsidRPr="00AC7E46">
        <w:rPr>
          <w:rFonts w:eastAsia="Arial"/>
          <w:lang w:val="fr-FR"/>
        </w:rPr>
        <w:t>la</w:t>
      </w:r>
      <w:proofErr w:type="gramEnd"/>
      <w:r w:rsidRPr="00AC7E46">
        <w:rPr>
          <w:rFonts w:eastAsia="Arial"/>
          <w:lang w:val="fr-FR"/>
        </w:rPr>
        <w:t xml:space="preserve"> DSI a participé aux réunions annuelles de la Conférence des enquêteurs internationaux et du groupe des représentants des services d</w:t>
      </w:r>
      <w:r w:rsidR="00761289" w:rsidRPr="00AC7E46">
        <w:rPr>
          <w:rFonts w:eastAsia="Arial"/>
          <w:lang w:val="fr-FR"/>
        </w:rPr>
        <w:t>’</w:t>
      </w:r>
      <w:r w:rsidRPr="00AC7E46">
        <w:rPr>
          <w:rFonts w:eastAsia="Arial"/>
          <w:lang w:val="fr-FR"/>
        </w:rPr>
        <w:t xml:space="preserve">enquête des </w:t>
      </w:r>
      <w:r w:rsidR="00761289" w:rsidRPr="00AC7E46">
        <w:rPr>
          <w:rFonts w:eastAsia="Arial"/>
          <w:lang w:val="fr-FR"/>
        </w:rPr>
        <w:t>Nations Unies</w:t>
      </w:r>
      <w:r w:rsidRPr="00AC7E46">
        <w:rPr>
          <w:rFonts w:eastAsia="Arial"/>
          <w:lang w:val="fr-FR"/>
        </w:rPr>
        <w:t>, organisées par la Banque européenne pour la reconstruction et le développement, à Londres, du 8 au 10 novembre 2023.  À ces occasions,</w:t>
      </w:r>
      <w:r w:rsidR="00761289" w:rsidRPr="00AC7E46">
        <w:rPr>
          <w:rFonts w:eastAsia="Arial"/>
          <w:lang w:val="fr-FR"/>
        </w:rPr>
        <w:t xml:space="preserve"> la DSI</w:t>
      </w:r>
      <w:r w:rsidRPr="00AC7E46">
        <w:rPr>
          <w:rFonts w:eastAsia="Arial"/>
          <w:lang w:val="fr-FR"/>
        </w:rPr>
        <w:t xml:space="preserve"> a dirigé des ateliers et présenté des exposés sur</w:t>
      </w:r>
      <w:r w:rsidR="00761289" w:rsidRPr="00AC7E46">
        <w:rPr>
          <w:rFonts w:eastAsia="Arial"/>
          <w:lang w:val="fr-FR"/>
        </w:rPr>
        <w:t> :</w:t>
      </w:r>
      <w:r w:rsidRPr="00AC7E46">
        <w:rPr>
          <w:rFonts w:eastAsia="Arial"/>
          <w:lang w:val="fr-FR"/>
        </w:rPr>
        <w:t xml:space="preserve"> i) les cas de </w:t>
      </w:r>
      <w:proofErr w:type="gramStart"/>
      <w:r w:rsidRPr="00AC7E46">
        <w:rPr>
          <w:rFonts w:eastAsia="Arial"/>
          <w:lang w:val="fr-FR"/>
        </w:rPr>
        <w:t xml:space="preserve">représailles; </w:t>
      </w:r>
      <w:r w:rsidR="006F1D4B" w:rsidRPr="00AC7E46">
        <w:rPr>
          <w:rFonts w:eastAsia="Arial"/>
          <w:lang w:val="fr-FR"/>
        </w:rPr>
        <w:t xml:space="preserve"> </w:t>
      </w:r>
      <w:r w:rsidRPr="00AC7E46">
        <w:rPr>
          <w:rFonts w:eastAsia="Arial"/>
          <w:lang w:val="fr-FR"/>
        </w:rPr>
        <w:t>ii</w:t>
      </w:r>
      <w:proofErr w:type="gramEnd"/>
      <w:r w:rsidRPr="00AC7E46">
        <w:rPr>
          <w:rFonts w:eastAsia="Arial"/>
          <w:lang w:val="fr-FR"/>
        </w:rPr>
        <w:t>) les systèmes d</w:t>
      </w:r>
      <w:r w:rsidR="00761289" w:rsidRPr="00AC7E46">
        <w:rPr>
          <w:rFonts w:eastAsia="Arial"/>
          <w:lang w:val="fr-FR"/>
        </w:rPr>
        <w:t>’</w:t>
      </w:r>
      <w:r w:rsidRPr="00AC7E46">
        <w:rPr>
          <w:rFonts w:eastAsia="Arial"/>
          <w:lang w:val="fr-FR"/>
        </w:rPr>
        <w:t>enregistrement et de gestion des affaires;</w:t>
      </w:r>
      <w:r w:rsidR="006F1D4B" w:rsidRPr="00AC7E46">
        <w:rPr>
          <w:rFonts w:eastAsia="Arial"/>
          <w:lang w:val="fr-FR"/>
        </w:rPr>
        <w:t xml:space="preserve"> </w:t>
      </w:r>
      <w:r w:rsidRPr="00AC7E46">
        <w:rPr>
          <w:rFonts w:eastAsia="Arial"/>
          <w:lang w:val="fr-FR"/>
        </w:rPr>
        <w:t xml:space="preserve"> et iii) l</w:t>
      </w:r>
      <w:r w:rsidR="00761289" w:rsidRPr="00AC7E46">
        <w:rPr>
          <w:rFonts w:eastAsia="Arial"/>
          <w:lang w:val="fr-FR"/>
        </w:rPr>
        <w:t>’</w:t>
      </w:r>
      <w:r w:rsidRPr="00AC7E46">
        <w:rPr>
          <w:rFonts w:eastAsia="Arial"/>
          <w:lang w:val="fr-FR"/>
        </w:rPr>
        <w:t>examen des allégations portées contre des chefs de secrétariat.</w:t>
      </w:r>
    </w:p>
    <w:p w14:paraId="1D9FAF79" w14:textId="3F94AE9F" w:rsidR="000D5281" w:rsidRPr="00AC7E46" w:rsidRDefault="00287CF0" w:rsidP="00287CF0">
      <w:pPr>
        <w:pStyle w:val="Heading1"/>
      </w:pPr>
      <w:bookmarkStart w:id="50" w:name="_Toc165888323"/>
      <w:bookmarkStart w:id="51" w:name="_Toc39071255"/>
      <w:r>
        <w:t>P</w:t>
      </w:r>
      <w:r w:rsidRPr="00AC7E46">
        <w:t xml:space="preserve">rogramme d’assurance et d’amélioration de la qualité de la </w:t>
      </w:r>
      <w:r>
        <w:t>DSI</w:t>
      </w:r>
      <w:bookmarkEnd w:id="50"/>
    </w:p>
    <w:p w14:paraId="121B6643" w14:textId="6DA97F8D" w:rsidR="000D5281" w:rsidRPr="00AC7E46" w:rsidRDefault="000D5281" w:rsidP="00D31722">
      <w:pPr>
        <w:pStyle w:val="ONUMFS"/>
        <w:rPr>
          <w:lang w:val="fr-FR"/>
        </w:rPr>
      </w:pPr>
      <w:r w:rsidRPr="00AC7E46">
        <w:rPr>
          <w:lang w:val="fr-FR"/>
        </w:rPr>
        <w:t>Le programme d</w:t>
      </w:r>
      <w:r w:rsidR="00761289" w:rsidRPr="00AC7E46">
        <w:rPr>
          <w:lang w:val="fr-FR"/>
        </w:rPr>
        <w:t>’</w:t>
      </w:r>
      <w:r w:rsidRPr="00AC7E46">
        <w:rPr>
          <w:lang w:val="fr-FR"/>
        </w:rPr>
        <w:t>assurance et d</w:t>
      </w:r>
      <w:r w:rsidR="00761289" w:rsidRPr="00AC7E46">
        <w:rPr>
          <w:lang w:val="fr-FR"/>
        </w:rPr>
        <w:t>’</w:t>
      </w:r>
      <w:r w:rsidRPr="00AC7E46">
        <w:rPr>
          <w:lang w:val="fr-FR"/>
        </w:rPr>
        <w:t>amélioration de la qualité de</w:t>
      </w:r>
      <w:r w:rsidR="00761289" w:rsidRPr="00AC7E46">
        <w:rPr>
          <w:lang w:val="fr-FR"/>
        </w:rPr>
        <w:t xml:space="preserve"> la DSI</w:t>
      </w:r>
      <w:r w:rsidRPr="00AC7E46">
        <w:rPr>
          <w:lang w:val="fr-FR"/>
        </w:rPr>
        <w:t xml:space="preserve"> est destiné à fournir une garantie raisonnable aux différentes parties prenantes</w:t>
      </w:r>
      <w:r w:rsidRPr="00AC7E46">
        <w:rPr>
          <w:vertAlign w:val="superscript"/>
          <w:lang w:val="fr-FR"/>
        </w:rPr>
        <w:footnoteReference w:id="19"/>
      </w:r>
      <w:r w:rsidRPr="00AC7E46">
        <w:rPr>
          <w:vertAlign w:val="superscript"/>
          <w:lang w:val="fr-FR"/>
        </w:rPr>
        <w:t xml:space="preserve"> </w:t>
      </w:r>
      <w:r w:rsidRPr="00AC7E46">
        <w:rPr>
          <w:lang w:val="fr-FR"/>
        </w:rPr>
        <w:t>quant au fait que les activités de supervision sont menées conformément à la Charte de la supervision interne, ainsi qu</w:t>
      </w:r>
      <w:r w:rsidR="00761289" w:rsidRPr="00AC7E46">
        <w:rPr>
          <w:lang w:val="fr-FR"/>
        </w:rPr>
        <w:t>’</w:t>
      </w:r>
      <w:r w:rsidRPr="00AC7E46">
        <w:rPr>
          <w:lang w:val="fr-FR"/>
        </w:rPr>
        <w:t xml:space="preserve">aux normes et pratiques professionnelles respectives de chaque </w:t>
      </w:r>
      <w:proofErr w:type="gramStart"/>
      <w:r w:rsidRPr="00AC7E46">
        <w:rPr>
          <w:lang w:val="fr-FR"/>
        </w:rPr>
        <w:t xml:space="preserve">fonction; </w:t>
      </w:r>
      <w:r w:rsidR="006F1D4B" w:rsidRPr="00AC7E46">
        <w:rPr>
          <w:lang w:val="fr-FR"/>
        </w:rPr>
        <w:t xml:space="preserve"> </w:t>
      </w:r>
      <w:r w:rsidRPr="00AC7E46">
        <w:rPr>
          <w:lang w:val="fr-FR"/>
        </w:rPr>
        <w:t>que</w:t>
      </w:r>
      <w:proofErr w:type="gramEnd"/>
      <w:r w:rsidR="00761289" w:rsidRPr="00AC7E46">
        <w:rPr>
          <w:lang w:val="fr-FR"/>
        </w:rPr>
        <w:t xml:space="preserve"> la DSI</w:t>
      </w:r>
      <w:r w:rsidRPr="00AC7E46">
        <w:rPr>
          <w:lang w:val="fr-FR"/>
        </w:rPr>
        <w:t xml:space="preserve"> opère de manière efficace et est perçue par les parties prenantes comme un vecteur de valeur ajoutée et d</w:t>
      </w:r>
      <w:r w:rsidR="00761289" w:rsidRPr="00AC7E46">
        <w:rPr>
          <w:lang w:val="fr-FR"/>
        </w:rPr>
        <w:t>’</w:t>
      </w:r>
      <w:r w:rsidRPr="00AC7E46">
        <w:rPr>
          <w:lang w:val="fr-FR"/>
        </w:rPr>
        <w:t>amélioration permanen</w:t>
      </w:r>
      <w:r w:rsidR="00AC7E46" w:rsidRPr="00AC7E46">
        <w:rPr>
          <w:lang w:val="fr-FR"/>
        </w:rPr>
        <w:t>te.  Le</w:t>
      </w:r>
      <w:r w:rsidRPr="00AC7E46">
        <w:rPr>
          <w:lang w:val="fr-FR"/>
        </w:rPr>
        <w:t>s domaines indiqués ci</w:t>
      </w:r>
      <w:r w:rsidR="001908D2">
        <w:rPr>
          <w:lang w:val="fr-FR"/>
        </w:rPr>
        <w:noBreakHyphen/>
      </w:r>
      <w:r w:rsidRPr="00AC7E46">
        <w:rPr>
          <w:lang w:val="fr-FR"/>
        </w:rPr>
        <w:t>après sont pris en considération dans ce programme.</w:t>
      </w:r>
    </w:p>
    <w:p w14:paraId="402EDFBF" w14:textId="10C6A07E" w:rsidR="000D5281" w:rsidRPr="00AC7E46" w:rsidRDefault="00287CF0" w:rsidP="00F4635E">
      <w:pPr>
        <w:pStyle w:val="Heading2"/>
      </w:pPr>
      <w:r>
        <w:lastRenderedPageBreak/>
        <w:t>I</w:t>
      </w:r>
      <w:r w:rsidRPr="00AC7E46">
        <w:t xml:space="preserve">ndépendance des activités de la </w:t>
      </w:r>
      <w:bookmarkEnd w:id="51"/>
      <w:r>
        <w:t>DSI</w:t>
      </w:r>
    </w:p>
    <w:p w14:paraId="614A8032" w14:textId="6B075E73" w:rsidR="000D5281" w:rsidRPr="00AC7E46" w:rsidRDefault="000D5281" w:rsidP="00D31722">
      <w:pPr>
        <w:pStyle w:val="ONUMFS"/>
        <w:rPr>
          <w:lang w:val="fr-FR"/>
        </w:rPr>
      </w:pPr>
      <w:r w:rsidRPr="00AC7E46">
        <w:rPr>
          <w:lang w:val="fr-FR"/>
        </w:rPr>
        <w:t>En vertu de la Charte de la supervision interne</w:t>
      </w:r>
      <w:r w:rsidRPr="00AC7E46">
        <w:rPr>
          <w:rStyle w:val="FootnoteReference"/>
          <w:lang w:val="fr-FR"/>
        </w:rPr>
        <w:footnoteReference w:id="20"/>
      </w:r>
      <w:r w:rsidRPr="00AC7E46">
        <w:rPr>
          <w:lang w:val="fr-FR"/>
        </w:rPr>
        <w:t>, le directeur de</w:t>
      </w:r>
      <w:r w:rsidR="00761289" w:rsidRPr="00AC7E46">
        <w:rPr>
          <w:lang w:val="fr-FR"/>
        </w:rPr>
        <w:t xml:space="preserve"> la DSI</w:t>
      </w:r>
      <w:r w:rsidRPr="00AC7E46">
        <w:rPr>
          <w:lang w:val="fr-FR"/>
        </w:rPr>
        <w:t xml:space="preserve"> confirme l</w:t>
      </w:r>
      <w:r w:rsidR="00761289" w:rsidRPr="00AC7E46">
        <w:rPr>
          <w:lang w:val="fr-FR"/>
        </w:rPr>
        <w:t>’</w:t>
      </w:r>
      <w:r w:rsidRPr="00AC7E46">
        <w:rPr>
          <w:lang w:val="fr-FR"/>
        </w:rPr>
        <w:t>indépendance de ses activités et fait part de ses observations sur la portée de celles</w:t>
      </w:r>
      <w:r w:rsidR="001908D2">
        <w:rPr>
          <w:lang w:val="fr-FR"/>
        </w:rPr>
        <w:noBreakHyphen/>
      </w:r>
      <w:r w:rsidRPr="00AC7E46">
        <w:rPr>
          <w:lang w:val="fr-FR"/>
        </w:rPr>
        <w:t>ci et la question de savoir si les ressources allouées à la fonction de supervision interne sont adaptées.</w:t>
      </w:r>
    </w:p>
    <w:p w14:paraId="0224E7E4" w14:textId="2448CFE6" w:rsidR="000D5281" w:rsidRPr="00AC7E46" w:rsidRDefault="000D5281" w:rsidP="00D31722">
      <w:pPr>
        <w:pStyle w:val="ONUMFS"/>
        <w:rPr>
          <w:lang w:val="fr-FR"/>
        </w:rPr>
      </w:pPr>
      <w:r w:rsidRPr="00AC7E46">
        <w:rPr>
          <w:lang w:val="fr-FR"/>
        </w:rPr>
        <w:t>Au cours de la période considérée, aucun cas ni aucune activité n</w:t>
      </w:r>
      <w:r w:rsidR="00761289" w:rsidRPr="00AC7E46">
        <w:rPr>
          <w:lang w:val="fr-FR"/>
        </w:rPr>
        <w:t>’</w:t>
      </w:r>
      <w:r w:rsidRPr="00AC7E46">
        <w:rPr>
          <w:lang w:val="fr-FR"/>
        </w:rPr>
        <w:t>ont été observés qui auraient pu mettre en péril l</w:t>
      </w:r>
      <w:r w:rsidR="00761289" w:rsidRPr="00AC7E46">
        <w:rPr>
          <w:lang w:val="fr-FR"/>
        </w:rPr>
        <w:t>’</w:t>
      </w:r>
      <w:r w:rsidRPr="00AC7E46">
        <w:rPr>
          <w:lang w:val="fr-FR"/>
        </w:rPr>
        <w:t>indépendance des activités de la </w:t>
      </w:r>
      <w:r w:rsidR="00AC7E46" w:rsidRPr="00AC7E46">
        <w:rPr>
          <w:lang w:val="fr-FR"/>
        </w:rPr>
        <w:t>DSI.  Il</w:t>
      </w:r>
      <w:r w:rsidRPr="00AC7E46">
        <w:rPr>
          <w:lang w:val="fr-FR"/>
        </w:rPr>
        <w:t xml:space="preserve"> n</w:t>
      </w:r>
      <w:r w:rsidR="00761289" w:rsidRPr="00AC7E46">
        <w:rPr>
          <w:lang w:val="fr-FR"/>
        </w:rPr>
        <w:t>’</w:t>
      </w:r>
      <w:r w:rsidRPr="00AC7E46">
        <w:rPr>
          <w:lang w:val="fr-FR"/>
        </w:rPr>
        <w:t>y a pas eu d</w:t>
      </w:r>
      <w:r w:rsidR="00761289" w:rsidRPr="00AC7E46">
        <w:rPr>
          <w:lang w:val="fr-FR"/>
        </w:rPr>
        <w:t>’</w:t>
      </w:r>
      <w:r w:rsidRPr="00AC7E46">
        <w:rPr>
          <w:lang w:val="fr-FR"/>
        </w:rPr>
        <w:t>ingérence réelle ou présumée dans les travaux de la </w:t>
      </w:r>
      <w:r w:rsidR="00AC7E46" w:rsidRPr="00AC7E46">
        <w:rPr>
          <w:lang w:val="fr-FR"/>
        </w:rPr>
        <w:t>DSI.  La</w:t>
      </w:r>
      <w:r w:rsidRPr="00AC7E46">
        <w:rPr>
          <w:lang w:val="fr-FR"/>
        </w:rPr>
        <w:t xml:space="preserve"> portée des activités de supervision a été déterminée par la division, sur la base d</w:t>
      </w:r>
      <w:r w:rsidR="00761289" w:rsidRPr="00AC7E46">
        <w:rPr>
          <w:lang w:val="fr-FR"/>
        </w:rPr>
        <w:t>’</w:t>
      </w:r>
      <w:r w:rsidRPr="00AC7E46">
        <w:rPr>
          <w:lang w:val="fr-FR"/>
        </w:rPr>
        <w:t>une évaluation des risques et compte tenu des commentaires et des observations formulés, le cas échéant, par la direction de l</w:t>
      </w:r>
      <w:r w:rsidR="00761289" w:rsidRPr="00AC7E46">
        <w:rPr>
          <w:lang w:val="fr-FR"/>
        </w:rPr>
        <w:t>’</w:t>
      </w:r>
      <w:r w:rsidRPr="00AC7E46">
        <w:rPr>
          <w:lang w:val="fr-FR"/>
        </w:rPr>
        <w:t>OMPI, l</w:t>
      </w:r>
      <w:r w:rsidR="00761289" w:rsidRPr="00AC7E46">
        <w:rPr>
          <w:lang w:val="fr-FR"/>
        </w:rPr>
        <w:t>’</w:t>
      </w:r>
      <w:r w:rsidRPr="00AC7E46">
        <w:rPr>
          <w:lang w:val="fr-FR"/>
        </w:rPr>
        <w:t>OCIS et les États membres.</w:t>
      </w:r>
      <w:bookmarkStart w:id="52" w:name="_Toc420663573"/>
    </w:p>
    <w:p w14:paraId="5CE0D49E" w14:textId="5C98C24E" w:rsidR="000D5281" w:rsidRPr="00AC7E46" w:rsidRDefault="00287CF0" w:rsidP="00F4635E">
      <w:pPr>
        <w:pStyle w:val="Heading2"/>
      </w:pPr>
      <w:r>
        <w:t>S</w:t>
      </w:r>
      <w:r w:rsidRPr="00AC7E46">
        <w:t>uivi continu et principaux indicateurs d’exécution</w:t>
      </w:r>
    </w:p>
    <w:p w14:paraId="3849937C" w14:textId="607A2DA0" w:rsidR="000D5281" w:rsidRPr="00AC7E46" w:rsidRDefault="000D5281" w:rsidP="00D31722">
      <w:pPr>
        <w:pStyle w:val="ONUMFS"/>
        <w:rPr>
          <w:lang w:val="fr-FR"/>
        </w:rPr>
      </w:pPr>
      <w:r w:rsidRPr="00AC7E46">
        <w:rPr>
          <w:lang w:val="fr-FR"/>
        </w:rPr>
        <w:t>Le suivi continu du fonctionnement des activités de supervision s</w:t>
      </w:r>
      <w:r w:rsidR="00761289" w:rsidRPr="00AC7E46">
        <w:rPr>
          <w:lang w:val="fr-FR"/>
        </w:rPr>
        <w:t>’</w:t>
      </w:r>
      <w:r w:rsidRPr="00AC7E46">
        <w:rPr>
          <w:lang w:val="fr-FR"/>
        </w:rPr>
        <w:t>entend de la supervision, de l</w:t>
      </w:r>
      <w:r w:rsidR="00761289" w:rsidRPr="00AC7E46">
        <w:rPr>
          <w:lang w:val="fr-FR"/>
        </w:rPr>
        <w:t>’</w:t>
      </w:r>
      <w:r w:rsidRPr="00AC7E46">
        <w:rPr>
          <w:lang w:val="fr-FR"/>
        </w:rPr>
        <w:t>examen et de l</w:t>
      </w:r>
      <w:r w:rsidR="00761289" w:rsidRPr="00AC7E46">
        <w:rPr>
          <w:lang w:val="fr-FR"/>
        </w:rPr>
        <w:t>’</w:t>
      </w:r>
      <w:r w:rsidRPr="00AC7E46">
        <w:rPr>
          <w:lang w:val="fr-FR"/>
        </w:rPr>
        <w:t>évaluation au quotidien de l</w:t>
      </w:r>
      <w:r w:rsidR="00761289" w:rsidRPr="00AC7E46">
        <w:rPr>
          <w:lang w:val="fr-FR"/>
        </w:rPr>
        <w:t>’</w:t>
      </w:r>
      <w:r w:rsidRPr="00AC7E46">
        <w:rPr>
          <w:lang w:val="fr-FR"/>
        </w:rPr>
        <w:t>audit interne qui sont inscrits dans les politiques, les manuels et les procédures habituelles de la </w:t>
      </w:r>
      <w:r w:rsidR="00AC7E46" w:rsidRPr="00AC7E46">
        <w:rPr>
          <w:lang w:val="fr-FR"/>
        </w:rPr>
        <w:t>DSI.  Un</w:t>
      </w:r>
      <w:r w:rsidRPr="00AC7E46">
        <w:rPr>
          <w:lang w:val="fr-FR"/>
        </w:rPr>
        <w:t xml:space="preserve"> système de gestion des missions (</w:t>
      </w:r>
      <w:proofErr w:type="spellStart"/>
      <w:r w:rsidRPr="00AC7E46">
        <w:rPr>
          <w:lang w:val="fr-FR"/>
        </w:rPr>
        <w:t>TeamMate</w:t>
      </w:r>
      <w:proofErr w:type="spellEnd"/>
      <w:r w:rsidRPr="00AC7E46">
        <w:rPr>
          <w:lang w:val="fr-FR"/>
        </w:rPr>
        <w:t>+) est utilisé pour mettre en pratique les manuels et les procédures, notamment les documents déposés à l</w:t>
      </w:r>
      <w:r w:rsidR="00761289" w:rsidRPr="00AC7E46">
        <w:rPr>
          <w:lang w:val="fr-FR"/>
        </w:rPr>
        <w:t>’</w:t>
      </w:r>
      <w:r w:rsidRPr="00AC7E46">
        <w:rPr>
          <w:lang w:val="fr-FR"/>
        </w:rPr>
        <w:t>appui, les éléments matériels des examens et des approbations, ainsi que le suivi et la communication des recommandations.</w:t>
      </w:r>
    </w:p>
    <w:p w14:paraId="79ABBD9B" w14:textId="0D01ED3A" w:rsidR="000D5281" w:rsidRPr="00AC7E46" w:rsidRDefault="000D5281" w:rsidP="00D31722">
      <w:pPr>
        <w:pStyle w:val="ONUMFS"/>
        <w:rPr>
          <w:lang w:val="fr-FR"/>
        </w:rPr>
      </w:pPr>
      <w:r w:rsidRPr="00AC7E46">
        <w:rPr>
          <w:lang w:val="fr-FR"/>
        </w:rPr>
        <w:t>En outre, la DSI a établi des indicateurs d</w:t>
      </w:r>
      <w:r w:rsidR="00761289" w:rsidRPr="00AC7E46">
        <w:rPr>
          <w:lang w:val="fr-FR"/>
        </w:rPr>
        <w:t>’</w:t>
      </w:r>
      <w:r w:rsidRPr="00AC7E46">
        <w:rPr>
          <w:lang w:val="fr-FR"/>
        </w:rPr>
        <w:t>exécution pour mesurer l</w:t>
      </w:r>
      <w:r w:rsidR="00761289" w:rsidRPr="00AC7E46">
        <w:rPr>
          <w:lang w:val="fr-FR"/>
        </w:rPr>
        <w:t>’</w:t>
      </w:r>
      <w:r w:rsidRPr="00AC7E46">
        <w:rPr>
          <w:lang w:val="fr-FR"/>
        </w:rPr>
        <w:t>efficacité, la rationalité et la pertinence des activités de supervisi</w:t>
      </w:r>
      <w:r w:rsidR="00AC7E46" w:rsidRPr="00AC7E46">
        <w:rPr>
          <w:lang w:val="fr-FR"/>
        </w:rPr>
        <w:t>on.  Il</w:t>
      </w:r>
      <w:r w:rsidRPr="00AC7E46">
        <w:rPr>
          <w:lang w:val="fr-FR"/>
        </w:rPr>
        <w:t xml:space="preserve"> s</w:t>
      </w:r>
      <w:r w:rsidR="00761289" w:rsidRPr="00AC7E46">
        <w:rPr>
          <w:lang w:val="fr-FR"/>
        </w:rPr>
        <w:t>’</w:t>
      </w:r>
      <w:r w:rsidRPr="00AC7E46">
        <w:rPr>
          <w:lang w:val="fr-FR"/>
        </w:rPr>
        <w:t>agit notamment du délai moyen pour mener à bien les missions, de la perception par les parties prenantes internes des activités de la DSI, ainsi que du niveau d</w:t>
      </w:r>
      <w:r w:rsidR="00761289" w:rsidRPr="00AC7E46">
        <w:rPr>
          <w:lang w:val="fr-FR"/>
        </w:rPr>
        <w:t>’</w:t>
      </w:r>
      <w:r w:rsidRPr="00AC7E46">
        <w:rPr>
          <w:lang w:val="fr-FR"/>
        </w:rPr>
        <w:t>acceptation et de la pertinence des recommandations de la divisi</w:t>
      </w:r>
      <w:r w:rsidR="00AC7E46" w:rsidRPr="00AC7E46">
        <w:rPr>
          <w:lang w:val="fr-FR"/>
        </w:rPr>
        <w:t>on.  Le</w:t>
      </w:r>
      <w:r w:rsidRPr="00AC7E46">
        <w:rPr>
          <w:lang w:val="fr-FR"/>
        </w:rPr>
        <w:t xml:space="preserve"> tableau ci</w:t>
      </w:r>
      <w:r w:rsidR="001908D2">
        <w:rPr>
          <w:lang w:val="fr-FR"/>
        </w:rPr>
        <w:noBreakHyphen/>
      </w:r>
      <w:r w:rsidRPr="00AC7E46">
        <w:rPr>
          <w:lang w:val="fr-FR"/>
        </w:rPr>
        <w:t>après résume les résultats.</w:t>
      </w:r>
    </w:p>
    <w:p w14:paraId="4C95E10A" w14:textId="3BE37900" w:rsidR="000D5281" w:rsidRPr="00AC7E46" w:rsidRDefault="000D5281" w:rsidP="000D5281">
      <w:pPr>
        <w:pStyle w:val="ONUME"/>
        <w:numPr>
          <w:ilvl w:val="0"/>
          <w:numId w:val="0"/>
        </w:numPr>
        <w:spacing w:after="0"/>
        <w:ind w:left="1701" w:firstLine="567"/>
        <w:rPr>
          <w:rFonts w:eastAsia="Times New Roman"/>
          <w:b/>
          <w:bCs/>
          <w:szCs w:val="22"/>
          <w:lang w:val="fr-FR" w:eastAsia="en-US"/>
        </w:rPr>
      </w:pPr>
      <w:r w:rsidRPr="00AC7E46">
        <w:rPr>
          <w:rFonts w:eastAsia="Times New Roman"/>
          <w:b/>
          <w:bCs/>
          <w:szCs w:val="22"/>
          <w:lang w:val="fr-FR" w:eastAsia="en-US"/>
        </w:rPr>
        <w:t>Tableau 3 – Indicateurs d</w:t>
      </w:r>
      <w:r w:rsidR="00761289" w:rsidRPr="00AC7E46">
        <w:rPr>
          <w:rFonts w:eastAsia="Times New Roman"/>
          <w:b/>
          <w:bCs/>
          <w:szCs w:val="22"/>
          <w:lang w:val="fr-FR" w:eastAsia="en-US"/>
        </w:rPr>
        <w:t>’</w:t>
      </w:r>
      <w:r w:rsidRPr="00AC7E46">
        <w:rPr>
          <w:rFonts w:eastAsia="Times New Roman"/>
          <w:b/>
          <w:bCs/>
          <w:szCs w:val="22"/>
          <w:lang w:val="fr-FR" w:eastAsia="en-US"/>
        </w:rPr>
        <w:t>exécution de</w:t>
      </w:r>
      <w:r w:rsidR="00761289" w:rsidRPr="00AC7E46">
        <w:rPr>
          <w:rFonts w:eastAsia="Times New Roman"/>
          <w:b/>
          <w:bCs/>
          <w:szCs w:val="22"/>
          <w:lang w:val="fr-FR" w:eastAsia="en-US"/>
        </w:rPr>
        <w:t xml:space="preserve"> la DSI</w:t>
      </w:r>
      <w:r w:rsidRPr="00AC7E46">
        <w:rPr>
          <w:rFonts w:eastAsia="Times New Roman"/>
          <w:b/>
          <w:bCs/>
          <w:szCs w:val="22"/>
          <w:lang w:val="fr-FR" w:eastAsia="en-US"/>
        </w:rPr>
        <w:t xml:space="preserve"> </w:t>
      </w:r>
      <w:r w:rsidR="00761289" w:rsidRPr="00AC7E46">
        <w:rPr>
          <w:rFonts w:eastAsia="Times New Roman"/>
          <w:b/>
          <w:bCs/>
          <w:szCs w:val="22"/>
          <w:lang w:val="fr-FR" w:eastAsia="en-US"/>
        </w:rPr>
        <w:t>en 2023</w:t>
      </w:r>
    </w:p>
    <w:tbl>
      <w:tblPr>
        <w:tblW w:w="9858" w:type="dxa"/>
        <w:tblInd w:w="-5" w:type="dxa"/>
        <w:tblLook w:val="04A0" w:firstRow="1" w:lastRow="0" w:firstColumn="1" w:lastColumn="0" w:noHBand="0" w:noVBand="1"/>
        <w:tblCaption w:val="Tableau 3"/>
        <w:tblDescription w:val="Indicateurs d’exécution de la DSI en 2023"/>
      </w:tblPr>
      <w:tblGrid>
        <w:gridCol w:w="3600"/>
        <w:gridCol w:w="2637"/>
        <w:gridCol w:w="3621"/>
      </w:tblGrid>
      <w:tr w:rsidR="000D5281" w:rsidRPr="00AC7E46" w14:paraId="1AF99EE1" w14:textId="77777777" w:rsidTr="00E249CE">
        <w:trPr>
          <w:trHeight w:val="324"/>
        </w:trPr>
        <w:tc>
          <w:tcPr>
            <w:tcW w:w="3600" w:type="dxa"/>
            <w:tcBorders>
              <w:top w:val="single" w:sz="4" w:space="0" w:color="auto"/>
              <w:left w:val="single" w:sz="4" w:space="0" w:color="auto"/>
              <w:bottom w:val="single" w:sz="4" w:space="0" w:color="auto"/>
              <w:right w:val="single" w:sz="4" w:space="0" w:color="auto"/>
            </w:tcBorders>
            <w:shd w:val="clear" w:color="auto" w:fill="DDEBF7"/>
            <w:noWrap/>
            <w:hideMark/>
          </w:tcPr>
          <w:p w14:paraId="2CE70EAE" w14:textId="4D563067" w:rsidR="000D5281" w:rsidRPr="00AC7E46" w:rsidRDefault="000D5281" w:rsidP="00E249CE">
            <w:pPr>
              <w:rPr>
                <w:rFonts w:eastAsia="Times New Roman"/>
                <w:b/>
                <w:bCs/>
                <w:color w:val="000000"/>
                <w:sz w:val="20"/>
                <w:lang w:val="fr-FR" w:eastAsia="en-US"/>
              </w:rPr>
            </w:pPr>
            <w:r w:rsidRPr="00AC7E46">
              <w:rPr>
                <w:b/>
                <w:color w:val="000000"/>
                <w:spacing w:val="-2"/>
                <w:sz w:val="20"/>
                <w:lang w:val="fr-FR"/>
              </w:rPr>
              <w:t>Indicateur d</w:t>
            </w:r>
            <w:r w:rsidR="00761289" w:rsidRPr="00AC7E46">
              <w:rPr>
                <w:b/>
                <w:color w:val="000000"/>
                <w:spacing w:val="-2"/>
                <w:sz w:val="20"/>
                <w:lang w:val="fr-FR"/>
              </w:rPr>
              <w:t>’</w:t>
            </w:r>
            <w:r w:rsidRPr="00AC7E46">
              <w:rPr>
                <w:b/>
                <w:color w:val="000000"/>
                <w:spacing w:val="-2"/>
                <w:sz w:val="20"/>
                <w:lang w:val="fr-FR"/>
              </w:rPr>
              <w:t>exécution</w:t>
            </w:r>
          </w:p>
        </w:tc>
        <w:tc>
          <w:tcPr>
            <w:tcW w:w="2637" w:type="dxa"/>
            <w:tcBorders>
              <w:top w:val="single" w:sz="4" w:space="0" w:color="auto"/>
              <w:left w:val="nil"/>
              <w:bottom w:val="single" w:sz="4" w:space="0" w:color="auto"/>
              <w:right w:val="single" w:sz="4" w:space="0" w:color="auto"/>
            </w:tcBorders>
            <w:shd w:val="clear" w:color="auto" w:fill="DDEBF7"/>
          </w:tcPr>
          <w:p w14:paraId="372AFF14" w14:textId="77777777" w:rsidR="000D5281" w:rsidRPr="00AC7E46" w:rsidRDefault="000D5281" w:rsidP="00E249CE">
            <w:pPr>
              <w:jc w:val="center"/>
              <w:rPr>
                <w:rFonts w:eastAsia="Times New Roman"/>
                <w:b/>
                <w:bCs/>
                <w:color w:val="000000"/>
                <w:sz w:val="20"/>
                <w:lang w:val="fr-FR" w:eastAsia="en-US"/>
              </w:rPr>
            </w:pPr>
            <w:r w:rsidRPr="00AC7E46">
              <w:rPr>
                <w:b/>
                <w:color w:val="000000"/>
                <w:spacing w:val="-2"/>
                <w:sz w:val="20"/>
                <w:lang w:val="fr-FR"/>
              </w:rPr>
              <w:t>Objectif visé</w:t>
            </w:r>
          </w:p>
        </w:tc>
        <w:tc>
          <w:tcPr>
            <w:tcW w:w="3621" w:type="dxa"/>
            <w:tcBorders>
              <w:top w:val="single" w:sz="4" w:space="0" w:color="auto"/>
              <w:left w:val="single" w:sz="4" w:space="0" w:color="auto"/>
              <w:bottom w:val="single" w:sz="4" w:space="0" w:color="auto"/>
              <w:right w:val="single" w:sz="4" w:space="0" w:color="auto"/>
            </w:tcBorders>
            <w:shd w:val="clear" w:color="auto" w:fill="DDEBF7"/>
            <w:noWrap/>
            <w:hideMark/>
          </w:tcPr>
          <w:p w14:paraId="07888241" w14:textId="77777777" w:rsidR="000D5281" w:rsidRPr="00AC7E46" w:rsidRDefault="000D5281" w:rsidP="00E249CE">
            <w:pPr>
              <w:jc w:val="center"/>
              <w:rPr>
                <w:rFonts w:eastAsia="Times New Roman"/>
                <w:b/>
                <w:bCs/>
                <w:color w:val="000000"/>
                <w:sz w:val="20"/>
                <w:lang w:val="fr-FR" w:eastAsia="en-US"/>
              </w:rPr>
            </w:pPr>
            <w:r w:rsidRPr="00AC7E46">
              <w:rPr>
                <w:b/>
                <w:color w:val="000000"/>
                <w:spacing w:val="-2"/>
                <w:sz w:val="20"/>
                <w:lang w:val="fr-FR"/>
              </w:rPr>
              <w:t>Résultats</w:t>
            </w:r>
          </w:p>
        </w:tc>
      </w:tr>
      <w:tr w:rsidR="000D5281" w:rsidRPr="00AC7E46" w14:paraId="77FBDC11" w14:textId="77777777" w:rsidTr="0005748D">
        <w:trPr>
          <w:trHeight w:val="416"/>
        </w:trPr>
        <w:tc>
          <w:tcPr>
            <w:tcW w:w="3600" w:type="dxa"/>
            <w:tcBorders>
              <w:top w:val="nil"/>
              <w:left w:val="single" w:sz="4" w:space="0" w:color="auto"/>
              <w:bottom w:val="single" w:sz="4" w:space="0" w:color="auto"/>
              <w:right w:val="single" w:sz="4" w:space="0" w:color="auto"/>
            </w:tcBorders>
            <w:shd w:val="clear" w:color="auto" w:fill="auto"/>
            <w:hideMark/>
          </w:tcPr>
          <w:p w14:paraId="7550D81B" w14:textId="77777777" w:rsidR="000D5281" w:rsidRPr="00AC7E46" w:rsidRDefault="000D5281" w:rsidP="00E249CE">
            <w:pPr>
              <w:rPr>
                <w:rFonts w:eastAsia="Times New Roman"/>
                <w:color w:val="000000"/>
                <w:sz w:val="20"/>
                <w:lang w:val="fr-FR" w:eastAsia="en-US"/>
              </w:rPr>
            </w:pPr>
            <w:r w:rsidRPr="00AC7E46">
              <w:rPr>
                <w:color w:val="000000"/>
                <w:spacing w:val="-2"/>
                <w:sz w:val="20"/>
                <w:lang w:val="fr-FR"/>
              </w:rPr>
              <w:t>Aucune interférence et indépendance perçue par les principales parties prenantes</w:t>
            </w:r>
          </w:p>
        </w:tc>
        <w:tc>
          <w:tcPr>
            <w:tcW w:w="2637" w:type="dxa"/>
            <w:tcBorders>
              <w:top w:val="single" w:sz="4" w:space="0" w:color="auto"/>
              <w:left w:val="nil"/>
              <w:bottom w:val="single" w:sz="4" w:space="0" w:color="auto"/>
              <w:right w:val="single" w:sz="4" w:space="0" w:color="auto"/>
            </w:tcBorders>
          </w:tcPr>
          <w:p w14:paraId="397F70C1" w14:textId="77777777" w:rsidR="000D5281" w:rsidRPr="00AC7E46" w:rsidRDefault="000D5281" w:rsidP="00E249CE">
            <w:pPr>
              <w:rPr>
                <w:rFonts w:eastAsia="Times New Roman"/>
                <w:color w:val="000000"/>
                <w:sz w:val="20"/>
                <w:lang w:val="fr-FR" w:eastAsia="en-US"/>
              </w:rPr>
            </w:pPr>
            <w:r w:rsidRPr="00AC7E46">
              <w:rPr>
                <w:color w:val="000000"/>
                <w:spacing w:val="-2"/>
                <w:sz w:val="20"/>
                <w:lang w:val="fr-FR"/>
              </w:rPr>
              <w:t>Aucune interférence</w:t>
            </w:r>
          </w:p>
        </w:tc>
        <w:tc>
          <w:tcPr>
            <w:tcW w:w="3621" w:type="dxa"/>
            <w:tcBorders>
              <w:top w:val="single" w:sz="4" w:space="0" w:color="auto"/>
              <w:left w:val="single" w:sz="4" w:space="0" w:color="auto"/>
              <w:bottom w:val="single" w:sz="4" w:space="0" w:color="auto"/>
              <w:right w:val="single" w:sz="4" w:space="0" w:color="auto"/>
            </w:tcBorders>
            <w:shd w:val="clear" w:color="auto" w:fill="auto"/>
            <w:noWrap/>
            <w:hideMark/>
          </w:tcPr>
          <w:p w14:paraId="69157A25" w14:textId="77777777" w:rsidR="000D5281" w:rsidRPr="00AC7E46" w:rsidRDefault="000D5281" w:rsidP="0005748D">
            <w:pPr>
              <w:rPr>
                <w:rFonts w:eastAsia="Times New Roman"/>
                <w:color w:val="000000"/>
                <w:sz w:val="20"/>
                <w:lang w:val="fr-FR" w:eastAsia="en-US"/>
              </w:rPr>
            </w:pPr>
            <w:r w:rsidRPr="00AC7E46">
              <w:rPr>
                <w:color w:val="000000"/>
                <w:spacing w:val="-2"/>
                <w:sz w:val="20"/>
                <w:lang w:val="fr-FR"/>
              </w:rPr>
              <w:t>Aucune interférence observée au cours de la période</w:t>
            </w:r>
          </w:p>
        </w:tc>
      </w:tr>
      <w:tr w:rsidR="000D5281" w:rsidRPr="00AC7E46" w14:paraId="4D56648C" w14:textId="77777777" w:rsidTr="00E249CE">
        <w:trPr>
          <w:trHeight w:val="295"/>
        </w:trPr>
        <w:tc>
          <w:tcPr>
            <w:tcW w:w="36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367755" w14:textId="77777777" w:rsidR="000D5281" w:rsidRPr="00AC7E46" w:rsidRDefault="000D5281" w:rsidP="00E249CE">
            <w:pPr>
              <w:rPr>
                <w:rFonts w:eastAsia="Times New Roman"/>
                <w:color w:val="000000"/>
                <w:sz w:val="20"/>
                <w:lang w:val="fr-FR" w:eastAsia="en-US"/>
              </w:rPr>
            </w:pPr>
            <w:r w:rsidRPr="00AC7E46">
              <w:rPr>
                <w:color w:val="000000"/>
                <w:spacing w:val="-2"/>
                <w:sz w:val="20"/>
                <w:lang w:val="fr-FR"/>
              </w:rPr>
              <w:t>Délai moyen pour mener à bien les missions</w:t>
            </w:r>
          </w:p>
        </w:tc>
        <w:tc>
          <w:tcPr>
            <w:tcW w:w="2637" w:type="dxa"/>
            <w:tcBorders>
              <w:top w:val="single" w:sz="4" w:space="0" w:color="auto"/>
              <w:left w:val="nil"/>
              <w:bottom w:val="single" w:sz="4" w:space="0" w:color="auto"/>
              <w:right w:val="single" w:sz="4" w:space="0" w:color="auto"/>
            </w:tcBorders>
          </w:tcPr>
          <w:p w14:paraId="088CB4CD" w14:textId="7E9A548A" w:rsidR="000D5281" w:rsidRPr="00AC7E46" w:rsidRDefault="000D5281" w:rsidP="00E249CE">
            <w:pPr>
              <w:rPr>
                <w:rFonts w:eastAsia="Times New Roman"/>
                <w:sz w:val="20"/>
                <w:lang w:val="fr-FR" w:eastAsia="en-US"/>
              </w:rPr>
            </w:pPr>
            <w:r w:rsidRPr="00AC7E46">
              <w:rPr>
                <w:rFonts w:eastAsia="Times New Roman"/>
                <w:sz w:val="20"/>
                <w:lang w:val="fr-FR" w:eastAsia="en-US"/>
              </w:rPr>
              <w:t>Audit interne</w:t>
            </w:r>
            <w:r w:rsidR="00761289" w:rsidRPr="00AC7E46">
              <w:rPr>
                <w:rFonts w:eastAsia="Times New Roman"/>
                <w:sz w:val="20"/>
                <w:lang w:val="fr-FR" w:eastAsia="en-US"/>
              </w:rPr>
              <w:t> :</w:t>
            </w:r>
            <w:r w:rsidRPr="00AC7E46">
              <w:rPr>
                <w:rFonts w:eastAsia="Times New Roman"/>
                <w:sz w:val="20"/>
                <w:lang w:val="fr-FR" w:eastAsia="en-US"/>
              </w:rPr>
              <w:t xml:space="preserve"> 4,5 mois</w:t>
            </w:r>
          </w:p>
        </w:tc>
        <w:tc>
          <w:tcPr>
            <w:tcW w:w="3621" w:type="dxa"/>
            <w:tcBorders>
              <w:top w:val="single" w:sz="4" w:space="0" w:color="auto"/>
              <w:left w:val="single" w:sz="4" w:space="0" w:color="auto"/>
              <w:bottom w:val="single" w:sz="4" w:space="0" w:color="auto"/>
              <w:right w:val="single" w:sz="4" w:space="0" w:color="auto"/>
            </w:tcBorders>
            <w:shd w:val="clear" w:color="auto" w:fill="auto"/>
            <w:noWrap/>
            <w:hideMark/>
          </w:tcPr>
          <w:p w14:paraId="1900C370" w14:textId="2E533187" w:rsidR="000D5281" w:rsidRPr="00AC7E46" w:rsidRDefault="000D5281" w:rsidP="00E249CE">
            <w:pPr>
              <w:rPr>
                <w:rFonts w:eastAsia="Times New Roman"/>
                <w:sz w:val="20"/>
                <w:lang w:val="fr-FR" w:eastAsia="en-US"/>
              </w:rPr>
            </w:pPr>
            <w:r w:rsidRPr="00AC7E46">
              <w:rPr>
                <w:rFonts w:eastAsia="Times New Roman"/>
                <w:color w:val="000000"/>
                <w:sz w:val="20"/>
                <w:lang w:val="fr-FR" w:eastAsia="en-US"/>
              </w:rPr>
              <w:t>4,4</w:t>
            </w:r>
            <w:r w:rsidR="0005748D">
              <w:rPr>
                <w:rFonts w:eastAsia="Times New Roman"/>
                <w:color w:val="000000"/>
                <w:sz w:val="20"/>
                <w:lang w:val="fr-FR" w:eastAsia="en-US"/>
              </w:rPr>
              <w:t> </w:t>
            </w:r>
            <w:r w:rsidRPr="00AC7E46">
              <w:rPr>
                <w:rFonts w:eastAsia="Times New Roman"/>
                <w:color w:val="000000"/>
                <w:sz w:val="20"/>
                <w:lang w:val="fr-FR" w:eastAsia="en-US"/>
              </w:rPr>
              <w:t>mois</w:t>
            </w:r>
          </w:p>
        </w:tc>
      </w:tr>
      <w:tr w:rsidR="000D5281" w:rsidRPr="00AC7E46" w14:paraId="6B474797" w14:textId="77777777" w:rsidTr="00E249CE">
        <w:trPr>
          <w:trHeight w:val="262"/>
        </w:trPr>
        <w:tc>
          <w:tcPr>
            <w:tcW w:w="3600" w:type="dxa"/>
            <w:vMerge/>
            <w:tcBorders>
              <w:left w:val="single" w:sz="4" w:space="0" w:color="auto"/>
              <w:right w:val="single" w:sz="4" w:space="0" w:color="auto"/>
            </w:tcBorders>
            <w:vAlign w:val="center"/>
            <w:hideMark/>
          </w:tcPr>
          <w:p w14:paraId="065C25EE" w14:textId="77777777" w:rsidR="000D5281" w:rsidRPr="00AC7E46" w:rsidRDefault="000D5281" w:rsidP="00E249CE">
            <w:pPr>
              <w:rPr>
                <w:rFonts w:eastAsia="Times New Roman"/>
                <w:color w:val="000000"/>
                <w:sz w:val="20"/>
                <w:lang w:val="fr-FR" w:eastAsia="en-US"/>
              </w:rPr>
            </w:pPr>
          </w:p>
        </w:tc>
        <w:tc>
          <w:tcPr>
            <w:tcW w:w="2637" w:type="dxa"/>
            <w:tcBorders>
              <w:top w:val="single" w:sz="4" w:space="0" w:color="auto"/>
              <w:left w:val="single" w:sz="4" w:space="0" w:color="auto"/>
              <w:bottom w:val="single" w:sz="4" w:space="0" w:color="auto"/>
              <w:right w:val="single" w:sz="4" w:space="0" w:color="auto"/>
            </w:tcBorders>
          </w:tcPr>
          <w:p w14:paraId="1827D17D" w14:textId="7AB5AF43" w:rsidR="000D5281" w:rsidRPr="00AC7E46" w:rsidRDefault="000D5281" w:rsidP="00E249CE">
            <w:pPr>
              <w:rPr>
                <w:rFonts w:eastAsia="Times New Roman"/>
                <w:sz w:val="20"/>
                <w:lang w:val="fr-FR" w:eastAsia="en-US"/>
              </w:rPr>
            </w:pPr>
            <w:r w:rsidRPr="00AC7E46">
              <w:rPr>
                <w:rFonts w:eastAsia="Times New Roman"/>
                <w:sz w:val="20"/>
                <w:lang w:val="fr-FR" w:eastAsia="en-US"/>
              </w:rPr>
              <w:t>Évaluations</w:t>
            </w:r>
            <w:r w:rsidR="00761289" w:rsidRPr="00AC7E46">
              <w:rPr>
                <w:rFonts w:eastAsia="Times New Roman"/>
                <w:sz w:val="20"/>
                <w:lang w:val="fr-FR" w:eastAsia="en-US"/>
              </w:rPr>
              <w:t> :</w:t>
            </w:r>
            <w:r w:rsidRPr="00AC7E46">
              <w:rPr>
                <w:rFonts w:eastAsia="Times New Roman"/>
                <w:sz w:val="20"/>
                <w:lang w:val="fr-FR" w:eastAsia="en-US"/>
              </w:rPr>
              <w:t xml:space="preserve"> 6 mois</w:t>
            </w:r>
          </w:p>
        </w:tc>
        <w:tc>
          <w:tcPr>
            <w:tcW w:w="3621" w:type="dxa"/>
            <w:tcBorders>
              <w:top w:val="single" w:sz="4" w:space="0" w:color="auto"/>
              <w:left w:val="single" w:sz="4" w:space="0" w:color="auto"/>
              <w:bottom w:val="single" w:sz="4" w:space="0" w:color="auto"/>
              <w:right w:val="single" w:sz="4" w:space="0" w:color="auto"/>
            </w:tcBorders>
            <w:shd w:val="clear" w:color="auto" w:fill="auto"/>
            <w:noWrap/>
            <w:hideMark/>
          </w:tcPr>
          <w:p w14:paraId="4A9C5A76" w14:textId="37369D75" w:rsidR="000D5281" w:rsidRPr="00AC7E46" w:rsidRDefault="000D5281" w:rsidP="00E249CE">
            <w:pPr>
              <w:rPr>
                <w:rFonts w:eastAsia="Times New Roman"/>
                <w:sz w:val="20"/>
                <w:lang w:val="fr-FR" w:eastAsia="en-US"/>
              </w:rPr>
            </w:pPr>
            <w:r w:rsidRPr="00AC7E46">
              <w:rPr>
                <w:rFonts w:eastAsia="Times New Roman"/>
                <w:sz w:val="20"/>
                <w:lang w:val="fr-FR" w:eastAsia="en-US"/>
              </w:rPr>
              <w:t>5,3</w:t>
            </w:r>
            <w:r w:rsidR="0005748D">
              <w:rPr>
                <w:rFonts w:eastAsia="Times New Roman"/>
                <w:sz w:val="20"/>
                <w:lang w:val="fr-FR" w:eastAsia="en-US"/>
              </w:rPr>
              <w:t> </w:t>
            </w:r>
            <w:r w:rsidRPr="00AC7E46">
              <w:rPr>
                <w:rFonts w:eastAsia="Times New Roman"/>
                <w:sz w:val="20"/>
                <w:lang w:val="fr-FR" w:eastAsia="en-US"/>
              </w:rPr>
              <w:t>mois</w:t>
            </w:r>
          </w:p>
        </w:tc>
      </w:tr>
      <w:tr w:rsidR="000D5281" w:rsidRPr="00AC7E46" w14:paraId="57D796B7" w14:textId="77777777" w:rsidTr="00E249CE">
        <w:trPr>
          <w:trHeight w:val="262"/>
        </w:trPr>
        <w:tc>
          <w:tcPr>
            <w:tcW w:w="3600" w:type="dxa"/>
            <w:vMerge/>
            <w:tcBorders>
              <w:left w:val="single" w:sz="4" w:space="0" w:color="auto"/>
              <w:right w:val="single" w:sz="4" w:space="0" w:color="auto"/>
            </w:tcBorders>
            <w:vAlign w:val="center"/>
            <w:hideMark/>
          </w:tcPr>
          <w:p w14:paraId="28926D2F" w14:textId="77777777" w:rsidR="000D5281" w:rsidRPr="00AC7E46" w:rsidRDefault="000D5281" w:rsidP="00E249CE">
            <w:pPr>
              <w:rPr>
                <w:rFonts w:eastAsia="Times New Roman"/>
                <w:color w:val="000000"/>
                <w:sz w:val="20"/>
                <w:lang w:val="fr-FR" w:eastAsia="en-US"/>
              </w:rPr>
            </w:pPr>
          </w:p>
        </w:tc>
        <w:tc>
          <w:tcPr>
            <w:tcW w:w="2637" w:type="dxa"/>
            <w:tcBorders>
              <w:top w:val="single" w:sz="4" w:space="0" w:color="auto"/>
              <w:left w:val="single" w:sz="4" w:space="0" w:color="auto"/>
              <w:bottom w:val="single" w:sz="4" w:space="0" w:color="auto"/>
              <w:right w:val="single" w:sz="4" w:space="0" w:color="auto"/>
            </w:tcBorders>
          </w:tcPr>
          <w:p w14:paraId="14736B56" w14:textId="69C75B5A" w:rsidR="000D5281" w:rsidRPr="00AC7E46" w:rsidRDefault="000D5281" w:rsidP="00E249CE">
            <w:pPr>
              <w:rPr>
                <w:rFonts w:eastAsia="Times New Roman"/>
                <w:sz w:val="20"/>
                <w:lang w:val="fr-FR" w:eastAsia="en-US"/>
              </w:rPr>
            </w:pPr>
            <w:r w:rsidRPr="00AC7E46">
              <w:rPr>
                <w:rFonts w:eastAsia="Times New Roman"/>
                <w:sz w:val="20"/>
                <w:lang w:val="fr-FR" w:eastAsia="en-US"/>
              </w:rPr>
              <w:t>Enquêtes</w:t>
            </w:r>
            <w:r w:rsidR="00761289" w:rsidRPr="00AC7E46">
              <w:rPr>
                <w:rFonts w:eastAsia="Times New Roman"/>
                <w:sz w:val="20"/>
                <w:lang w:val="fr-FR" w:eastAsia="en-US"/>
              </w:rPr>
              <w:t> :</w:t>
            </w:r>
            <w:r w:rsidRPr="00AC7E46">
              <w:rPr>
                <w:rFonts w:eastAsia="Times New Roman"/>
                <w:sz w:val="20"/>
                <w:lang w:val="fr-FR" w:eastAsia="en-US"/>
              </w:rPr>
              <w:t xml:space="preserve"> 6 mois</w:t>
            </w:r>
          </w:p>
        </w:tc>
        <w:tc>
          <w:tcPr>
            <w:tcW w:w="3621" w:type="dxa"/>
            <w:tcBorders>
              <w:top w:val="single" w:sz="4" w:space="0" w:color="auto"/>
              <w:left w:val="single" w:sz="4" w:space="0" w:color="auto"/>
              <w:bottom w:val="single" w:sz="4" w:space="0" w:color="auto"/>
              <w:right w:val="single" w:sz="4" w:space="0" w:color="auto"/>
            </w:tcBorders>
            <w:shd w:val="clear" w:color="auto" w:fill="auto"/>
            <w:noWrap/>
            <w:hideMark/>
          </w:tcPr>
          <w:p w14:paraId="2AE96BC1" w14:textId="4596CADB" w:rsidR="000D5281" w:rsidRPr="00AC7E46" w:rsidRDefault="000D5281" w:rsidP="00E249CE">
            <w:pPr>
              <w:rPr>
                <w:rFonts w:eastAsia="Times New Roman"/>
                <w:sz w:val="20"/>
                <w:lang w:val="fr-FR" w:eastAsia="en-US"/>
              </w:rPr>
            </w:pPr>
            <w:r w:rsidRPr="00AC7E46">
              <w:rPr>
                <w:rFonts w:eastAsia="Times New Roman"/>
                <w:sz w:val="20"/>
                <w:lang w:val="fr-FR" w:eastAsia="en-US"/>
              </w:rPr>
              <w:t>8,7</w:t>
            </w:r>
            <w:r w:rsidR="0005748D">
              <w:rPr>
                <w:rFonts w:eastAsia="Times New Roman"/>
                <w:sz w:val="20"/>
                <w:lang w:val="fr-FR" w:eastAsia="en-US"/>
              </w:rPr>
              <w:t> </w:t>
            </w:r>
            <w:r w:rsidRPr="00AC7E46">
              <w:rPr>
                <w:rFonts w:eastAsia="Times New Roman"/>
                <w:sz w:val="20"/>
                <w:lang w:val="fr-FR" w:eastAsia="en-US"/>
              </w:rPr>
              <w:t>mois</w:t>
            </w:r>
          </w:p>
        </w:tc>
      </w:tr>
      <w:tr w:rsidR="000D5281" w:rsidRPr="00AC7E46" w14:paraId="27E04DCB" w14:textId="77777777" w:rsidTr="00E249CE">
        <w:trPr>
          <w:trHeight w:val="262"/>
        </w:trPr>
        <w:tc>
          <w:tcPr>
            <w:tcW w:w="3600" w:type="dxa"/>
            <w:tcBorders>
              <w:left w:val="single" w:sz="4" w:space="0" w:color="auto"/>
              <w:right w:val="single" w:sz="4" w:space="0" w:color="auto"/>
            </w:tcBorders>
            <w:vAlign w:val="center"/>
          </w:tcPr>
          <w:p w14:paraId="04BDCEE3" w14:textId="77777777" w:rsidR="000D5281" w:rsidRPr="00AC7E46" w:rsidRDefault="000D5281" w:rsidP="00E249CE">
            <w:pPr>
              <w:rPr>
                <w:rFonts w:eastAsia="Times New Roman"/>
                <w:color w:val="000000"/>
                <w:sz w:val="20"/>
                <w:lang w:val="fr-FR" w:eastAsia="en-US"/>
              </w:rPr>
            </w:pPr>
          </w:p>
        </w:tc>
        <w:tc>
          <w:tcPr>
            <w:tcW w:w="2637" w:type="dxa"/>
            <w:tcBorders>
              <w:top w:val="single" w:sz="4" w:space="0" w:color="auto"/>
              <w:left w:val="single" w:sz="4" w:space="0" w:color="auto"/>
              <w:bottom w:val="single" w:sz="4" w:space="0" w:color="auto"/>
              <w:right w:val="single" w:sz="4" w:space="0" w:color="auto"/>
            </w:tcBorders>
          </w:tcPr>
          <w:p w14:paraId="00B69D3B" w14:textId="00090978" w:rsidR="000D5281" w:rsidRPr="00AC7E46" w:rsidRDefault="000D5281" w:rsidP="00E249CE">
            <w:pPr>
              <w:rPr>
                <w:rFonts w:eastAsia="Times New Roman"/>
                <w:sz w:val="20"/>
                <w:lang w:val="fr-FR" w:eastAsia="en-US"/>
              </w:rPr>
            </w:pPr>
            <w:r w:rsidRPr="00AC7E46">
              <w:rPr>
                <w:rFonts w:eastAsia="Times New Roman"/>
                <w:sz w:val="20"/>
                <w:lang w:val="fr-FR" w:eastAsia="en-US"/>
              </w:rPr>
              <w:t>Missions conjointes</w:t>
            </w:r>
            <w:r w:rsidR="00761289" w:rsidRPr="00AC7E46">
              <w:rPr>
                <w:rFonts w:eastAsia="Times New Roman"/>
                <w:sz w:val="20"/>
                <w:lang w:val="fr-FR" w:eastAsia="en-US"/>
              </w:rPr>
              <w:t> :</w:t>
            </w:r>
            <w:r w:rsidRPr="00AC7E46">
              <w:rPr>
                <w:rFonts w:eastAsia="Times New Roman"/>
                <w:sz w:val="20"/>
                <w:lang w:val="fr-FR" w:eastAsia="en-US"/>
              </w:rPr>
              <w:t xml:space="preserve"> 6 mois</w:t>
            </w:r>
          </w:p>
        </w:tc>
        <w:tc>
          <w:tcPr>
            <w:tcW w:w="3621" w:type="dxa"/>
            <w:tcBorders>
              <w:top w:val="single" w:sz="4" w:space="0" w:color="auto"/>
              <w:left w:val="single" w:sz="4" w:space="0" w:color="auto"/>
              <w:bottom w:val="single" w:sz="4" w:space="0" w:color="auto"/>
              <w:right w:val="single" w:sz="4" w:space="0" w:color="auto"/>
            </w:tcBorders>
            <w:shd w:val="clear" w:color="auto" w:fill="auto"/>
            <w:noWrap/>
          </w:tcPr>
          <w:p w14:paraId="78BA8DD6" w14:textId="7156544C" w:rsidR="000D5281" w:rsidRPr="00AC7E46" w:rsidRDefault="000D5281" w:rsidP="00E249CE">
            <w:pPr>
              <w:rPr>
                <w:rFonts w:eastAsia="Times New Roman"/>
                <w:sz w:val="20"/>
                <w:lang w:val="fr-FR" w:eastAsia="en-US"/>
              </w:rPr>
            </w:pPr>
            <w:r w:rsidRPr="00AC7E46">
              <w:rPr>
                <w:rFonts w:eastAsia="Times New Roman"/>
                <w:sz w:val="20"/>
                <w:lang w:val="fr-FR" w:eastAsia="en-US"/>
              </w:rPr>
              <w:t>5,5</w:t>
            </w:r>
            <w:r w:rsidR="0005748D">
              <w:rPr>
                <w:rFonts w:eastAsia="Times New Roman"/>
                <w:sz w:val="20"/>
                <w:lang w:val="fr-FR" w:eastAsia="en-US"/>
              </w:rPr>
              <w:t> </w:t>
            </w:r>
            <w:r w:rsidRPr="00AC7E46">
              <w:rPr>
                <w:rFonts w:eastAsia="Times New Roman"/>
                <w:sz w:val="20"/>
                <w:lang w:val="fr-FR" w:eastAsia="en-US"/>
              </w:rPr>
              <w:t>mois</w:t>
            </w:r>
          </w:p>
        </w:tc>
      </w:tr>
      <w:tr w:rsidR="000D5281" w:rsidRPr="00AC7E46" w14:paraId="6EED63B7" w14:textId="77777777" w:rsidTr="00E249CE">
        <w:trPr>
          <w:trHeight w:val="630"/>
        </w:trPr>
        <w:tc>
          <w:tcPr>
            <w:tcW w:w="3600" w:type="dxa"/>
            <w:tcBorders>
              <w:top w:val="nil"/>
              <w:left w:val="single" w:sz="4" w:space="0" w:color="auto"/>
              <w:bottom w:val="single" w:sz="4" w:space="0" w:color="auto"/>
              <w:right w:val="single" w:sz="4" w:space="0" w:color="auto"/>
            </w:tcBorders>
            <w:shd w:val="clear" w:color="auto" w:fill="auto"/>
            <w:hideMark/>
          </w:tcPr>
          <w:p w14:paraId="63153E49" w14:textId="77777777" w:rsidR="000D5281" w:rsidRPr="00AC7E46" w:rsidRDefault="000D5281" w:rsidP="00E249CE">
            <w:pPr>
              <w:rPr>
                <w:rFonts w:eastAsia="Times New Roman"/>
                <w:color w:val="000000"/>
                <w:sz w:val="20"/>
                <w:lang w:val="fr-FR" w:eastAsia="en-US"/>
              </w:rPr>
            </w:pPr>
            <w:r w:rsidRPr="00AC7E46">
              <w:rPr>
                <w:color w:val="000000"/>
                <w:spacing w:val="-2"/>
                <w:sz w:val="20"/>
                <w:lang w:val="fr-FR"/>
              </w:rPr>
              <w:t>Pourcentage de parties prenantes internes qui considèrent que les recommandations de la DSI sont précises, mesurables, réalistes, pertinentes et assorties de délais</w:t>
            </w:r>
            <w:r w:rsidRPr="00AC7E46">
              <w:rPr>
                <w:rStyle w:val="FootnoteReference"/>
                <w:rFonts w:eastAsia="Times New Roman"/>
                <w:color w:val="000000"/>
                <w:spacing w:val="-2"/>
                <w:sz w:val="20"/>
                <w:lang w:val="fr-FR" w:eastAsia="en-US"/>
              </w:rPr>
              <w:footnoteReference w:id="21"/>
            </w:r>
          </w:p>
        </w:tc>
        <w:tc>
          <w:tcPr>
            <w:tcW w:w="2637" w:type="dxa"/>
            <w:tcBorders>
              <w:top w:val="single" w:sz="4" w:space="0" w:color="auto"/>
              <w:left w:val="nil"/>
              <w:bottom w:val="single" w:sz="4" w:space="0" w:color="auto"/>
              <w:right w:val="single" w:sz="4" w:space="0" w:color="auto"/>
            </w:tcBorders>
          </w:tcPr>
          <w:p w14:paraId="410352AE" w14:textId="77777777" w:rsidR="000D5281" w:rsidRPr="00AC7E46" w:rsidRDefault="000D5281" w:rsidP="00E249CE">
            <w:pPr>
              <w:rPr>
                <w:rFonts w:eastAsia="Times New Roman"/>
                <w:sz w:val="20"/>
                <w:lang w:val="fr-FR" w:eastAsia="en-US"/>
              </w:rPr>
            </w:pPr>
            <w:r w:rsidRPr="00AC7E46">
              <w:rPr>
                <w:rFonts w:eastAsia="Times New Roman"/>
                <w:sz w:val="20"/>
                <w:lang w:val="fr-FR" w:eastAsia="en-US"/>
              </w:rPr>
              <w:t xml:space="preserve">80% </w:t>
            </w:r>
          </w:p>
        </w:tc>
        <w:tc>
          <w:tcPr>
            <w:tcW w:w="3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7C716" w14:textId="77777777" w:rsidR="000D5281" w:rsidRPr="00AC7E46" w:rsidRDefault="000D5281" w:rsidP="00E249CE">
            <w:pPr>
              <w:rPr>
                <w:rFonts w:eastAsia="Times New Roman"/>
                <w:sz w:val="20"/>
                <w:lang w:val="fr-FR" w:eastAsia="en-US"/>
              </w:rPr>
            </w:pPr>
            <w:r w:rsidRPr="00AC7E46">
              <w:rPr>
                <w:rFonts w:eastAsia="Times New Roman"/>
                <w:sz w:val="20"/>
                <w:lang w:val="fr-FR" w:eastAsia="en-US"/>
              </w:rPr>
              <w:t>88% des chefs de service considèrent que les recommandations de la DSI sont précises, mesurables, réalistes, pertinentes et assorties de délais (SMART)</w:t>
            </w:r>
          </w:p>
        </w:tc>
      </w:tr>
      <w:tr w:rsidR="000D5281" w:rsidRPr="00AC7E46" w14:paraId="1C064FE9" w14:textId="77777777" w:rsidTr="00E249CE">
        <w:trPr>
          <w:trHeight w:val="639"/>
        </w:trPr>
        <w:tc>
          <w:tcPr>
            <w:tcW w:w="3600" w:type="dxa"/>
            <w:tcBorders>
              <w:top w:val="nil"/>
              <w:left w:val="single" w:sz="4" w:space="0" w:color="auto"/>
              <w:bottom w:val="single" w:sz="4" w:space="0" w:color="auto"/>
              <w:right w:val="single" w:sz="4" w:space="0" w:color="auto"/>
            </w:tcBorders>
            <w:shd w:val="clear" w:color="auto" w:fill="auto"/>
            <w:hideMark/>
          </w:tcPr>
          <w:p w14:paraId="241763AF" w14:textId="77777777" w:rsidR="000D5281" w:rsidRPr="00AC7E46" w:rsidRDefault="000D5281" w:rsidP="00E249CE">
            <w:pPr>
              <w:rPr>
                <w:rFonts w:eastAsia="Times New Roman"/>
                <w:color w:val="000000"/>
                <w:sz w:val="20"/>
                <w:lang w:val="fr-FR" w:eastAsia="en-US"/>
              </w:rPr>
            </w:pPr>
            <w:r w:rsidRPr="00AC7E46">
              <w:rPr>
                <w:rFonts w:eastAsia="Times New Roman"/>
                <w:color w:val="000000"/>
                <w:sz w:val="20"/>
                <w:lang w:val="fr-FR" w:eastAsia="en-US"/>
              </w:rPr>
              <w:t>Pourcentage de parties prenantes internes qui considèrent que les travaux de supervision sont pertinents</w:t>
            </w:r>
          </w:p>
        </w:tc>
        <w:tc>
          <w:tcPr>
            <w:tcW w:w="2637" w:type="dxa"/>
            <w:tcBorders>
              <w:top w:val="single" w:sz="4" w:space="0" w:color="auto"/>
              <w:left w:val="nil"/>
              <w:bottom w:val="single" w:sz="4" w:space="0" w:color="auto"/>
              <w:right w:val="single" w:sz="4" w:space="0" w:color="auto"/>
            </w:tcBorders>
          </w:tcPr>
          <w:p w14:paraId="30580253" w14:textId="77777777" w:rsidR="000D5281" w:rsidRPr="00AC7E46" w:rsidRDefault="000D5281" w:rsidP="00E249CE">
            <w:pPr>
              <w:rPr>
                <w:rFonts w:eastAsia="Times New Roman"/>
                <w:sz w:val="20"/>
                <w:lang w:val="fr-FR" w:eastAsia="en-US" w:bidi="th-TH"/>
              </w:rPr>
            </w:pPr>
            <w:r w:rsidRPr="00AC7E46">
              <w:rPr>
                <w:rFonts w:eastAsia="Times New Roman"/>
                <w:sz w:val="20"/>
                <w:lang w:val="fr-FR" w:eastAsia="en-US" w:bidi="th-TH"/>
              </w:rPr>
              <w:t>80%</w:t>
            </w:r>
          </w:p>
        </w:tc>
        <w:tc>
          <w:tcPr>
            <w:tcW w:w="3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DE426" w14:textId="77777777" w:rsidR="000D5281" w:rsidRPr="00AC7E46" w:rsidRDefault="000D5281" w:rsidP="00E249CE">
            <w:pPr>
              <w:rPr>
                <w:rFonts w:eastAsia="Times New Roman"/>
                <w:sz w:val="20"/>
                <w:lang w:val="fr-FR" w:eastAsia="en-US"/>
              </w:rPr>
            </w:pPr>
            <w:r w:rsidRPr="00AC7E46">
              <w:rPr>
                <w:rFonts w:eastAsia="Times New Roman"/>
                <w:sz w:val="20"/>
                <w:lang w:val="fr-FR" w:eastAsia="en-US" w:bidi="th-TH"/>
              </w:rPr>
              <w:t>79% des personnes interrogées considèrent que les travaux de supervision sont pertinents</w:t>
            </w:r>
          </w:p>
        </w:tc>
      </w:tr>
      <w:tr w:rsidR="000D5281" w:rsidRPr="00AC7E46" w14:paraId="61331BEA" w14:textId="77777777" w:rsidTr="00E249CE">
        <w:trPr>
          <w:trHeight w:val="268"/>
        </w:trPr>
        <w:tc>
          <w:tcPr>
            <w:tcW w:w="3600" w:type="dxa"/>
            <w:tcBorders>
              <w:top w:val="nil"/>
              <w:left w:val="single" w:sz="4" w:space="0" w:color="auto"/>
              <w:bottom w:val="single" w:sz="4" w:space="0" w:color="auto"/>
              <w:right w:val="single" w:sz="4" w:space="0" w:color="auto"/>
            </w:tcBorders>
            <w:shd w:val="clear" w:color="auto" w:fill="auto"/>
            <w:hideMark/>
          </w:tcPr>
          <w:p w14:paraId="393469C6" w14:textId="77777777" w:rsidR="000D5281" w:rsidRPr="00AC7E46" w:rsidRDefault="000D5281" w:rsidP="00E249CE">
            <w:pPr>
              <w:rPr>
                <w:rFonts w:eastAsia="Times New Roman"/>
                <w:color w:val="000000"/>
                <w:sz w:val="20"/>
                <w:lang w:val="fr-FR" w:eastAsia="en-US"/>
              </w:rPr>
            </w:pPr>
            <w:r w:rsidRPr="00AC7E46">
              <w:rPr>
                <w:color w:val="000000"/>
                <w:spacing w:val="-2"/>
                <w:sz w:val="20"/>
                <w:lang w:val="fr-FR"/>
              </w:rPr>
              <w:t>Nombre de recommandations en matière de supervision acceptées</w:t>
            </w:r>
          </w:p>
        </w:tc>
        <w:tc>
          <w:tcPr>
            <w:tcW w:w="2637" w:type="dxa"/>
            <w:tcBorders>
              <w:top w:val="single" w:sz="4" w:space="0" w:color="auto"/>
              <w:left w:val="nil"/>
              <w:bottom w:val="single" w:sz="4" w:space="0" w:color="auto"/>
              <w:right w:val="single" w:sz="4" w:space="0" w:color="auto"/>
            </w:tcBorders>
          </w:tcPr>
          <w:p w14:paraId="2ACA9963" w14:textId="77777777" w:rsidR="000D5281" w:rsidRPr="00AC7E46" w:rsidRDefault="000D5281" w:rsidP="00E249CE">
            <w:pPr>
              <w:rPr>
                <w:rFonts w:eastAsia="Times New Roman"/>
                <w:sz w:val="20"/>
                <w:lang w:val="fr-FR" w:eastAsia="en-US"/>
              </w:rPr>
            </w:pPr>
            <w:r w:rsidRPr="00AC7E46">
              <w:rPr>
                <w:rFonts w:eastAsia="Times New Roman"/>
                <w:sz w:val="20"/>
                <w:lang w:val="fr-FR" w:eastAsia="en-US"/>
              </w:rPr>
              <w:t>90%</w:t>
            </w:r>
          </w:p>
        </w:tc>
        <w:tc>
          <w:tcPr>
            <w:tcW w:w="3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B373E" w14:textId="77777777" w:rsidR="000D5281" w:rsidRPr="00AC7E46" w:rsidRDefault="000D5281" w:rsidP="00E249CE">
            <w:pPr>
              <w:rPr>
                <w:rFonts w:eastAsia="Times New Roman"/>
                <w:sz w:val="20"/>
                <w:lang w:val="fr-FR" w:eastAsia="en-US"/>
              </w:rPr>
            </w:pPr>
            <w:r w:rsidRPr="00AC7E46">
              <w:rPr>
                <w:spacing w:val="-2"/>
                <w:sz w:val="20"/>
                <w:lang w:val="fr-FR"/>
              </w:rPr>
              <w:t>100% des recommandations de la DSI acceptées</w:t>
            </w:r>
          </w:p>
        </w:tc>
      </w:tr>
    </w:tbl>
    <w:p w14:paraId="4BDBCEEC" w14:textId="39553B11" w:rsidR="000D5281" w:rsidRPr="00AC7E46" w:rsidRDefault="000D5281" w:rsidP="0005748D">
      <w:pPr>
        <w:pStyle w:val="ONUMFS"/>
        <w:spacing w:before="240"/>
        <w:rPr>
          <w:lang w:val="fr-FR"/>
        </w:rPr>
      </w:pPr>
      <w:r w:rsidRPr="00AC7E46">
        <w:rPr>
          <w:lang w:val="fr-FR"/>
        </w:rPr>
        <w:t>Les indicateurs continuent de montrer une acceptation élevée de l</w:t>
      </w:r>
      <w:r w:rsidR="00761289" w:rsidRPr="00AC7E46">
        <w:rPr>
          <w:lang w:val="fr-FR"/>
        </w:rPr>
        <w:t>’</w:t>
      </w:r>
      <w:r w:rsidRPr="00AC7E46">
        <w:rPr>
          <w:lang w:val="fr-FR"/>
        </w:rPr>
        <w:t>utilité des travaux de la DSI et de la pertinence des recommandations formulé</w:t>
      </w:r>
      <w:r w:rsidR="00AC7E46" w:rsidRPr="00AC7E46">
        <w:rPr>
          <w:lang w:val="fr-FR"/>
        </w:rPr>
        <w:t>es.  Le</w:t>
      </w:r>
      <w:r w:rsidRPr="00AC7E46">
        <w:rPr>
          <w:lang w:val="fr-FR"/>
        </w:rPr>
        <w:t xml:space="preserve"> délai moyen pour mener à bien les missions reste proche de l</w:t>
      </w:r>
      <w:r w:rsidR="00761289" w:rsidRPr="00AC7E46">
        <w:rPr>
          <w:lang w:val="fr-FR"/>
        </w:rPr>
        <w:t>’</w:t>
      </w:r>
      <w:r w:rsidRPr="00AC7E46">
        <w:rPr>
          <w:lang w:val="fr-FR"/>
        </w:rPr>
        <w:t>objectif ou conforme à l</w:t>
      </w:r>
      <w:r w:rsidR="00761289" w:rsidRPr="00AC7E46">
        <w:rPr>
          <w:lang w:val="fr-FR"/>
        </w:rPr>
        <w:t>’</w:t>
      </w:r>
      <w:r w:rsidRPr="00AC7E46">
        <w:rPr>
          <w:lang w:val="fr-FR"/>
        </w:rPr>
        <w:t>objectif.</w:t>
      </w:r>
    </w:p>
    <w:p w14:paraId="4A9E1717" w14:textId="70C15571" w:rsidR="000D5281" w:rsidRPr="00AC7E46" w:rsidRDefault="00287CF0" w:rsidP="00F4635E">
      <w:pPr>
        <w:pStyle w:val="Heading2"/>
      </w:pPr>
      <w:r>
        <w:lastRenderedPageBreak/>
        <w:t>E</w:t>
      </w:r>
      <w:r w:rsidRPr="00AC7E46">
        <w:t>nquête de satisfaction</w:t>
      </w:r>
    </w:p>
    <w:p w14:paraId="2DE8AD1E" w14:textId="769F8EF7" w:rsidR="000D5281" w:rsidRPr="00AC7E46" w:rsidRDefault="000D5281" w:rsidP="00D31722">
      <w:pPr>
        <w:pStyle w:val="ONUMFS"/>
        <w:rPr>
          <w:lang w:val="fr-FR"/>
        </w:rPr>
      </w:pPr>
      <w:r w:rsidRPr="00AC7E46">
        <w:rPr>
          <w:lang w:val="fr-FR"/>
        </w:rPr>
        <w:t>La DSI a continué de recueillir les avis des collègues de l</w:t>
      </w:r>
      <w:r w:rsidR="00761289" w:rsidRPr="00AC7E46">
        <w:rPr>
          <w:lang w:val="fr-FR"/>
        </w:rPr>
        <w:t>’</w:t>
      </w:r>
      <w:r w:rsidRPr="00AC7E46">
        <w:rPr>
          <w:lang w:val="fr-FR"/>
        </w:rPr>
        <w:t>OMPI dans les services ayant fait l</w:t>
      </w:r>
      <w:r w:rsidR="00761289" w:rsidRPr="00AC7E46">
        <w:rPr>
          <w:lang w:val="fr-FR"/>
        </w:rPr>
        <w:t>’</w:t>
      </w:r>
      <w:r w:rsidRPr="00AC7E46">
        <w:rPr>
          <w:lang w:val="fr-FR"/>
        </w:rPr>
        <w:t>objet d</w:t>
      </w:r>
      <w:r w:rsidR="00761289" w:rsidRPr="00AC7E46">
        <w:rPr>
          <w:lang w:val="fr-FR"/>
        </w:rPr>
        <w:t>’</w:t>
      </w:r>
      <w:r w:rsidRPr="00AC7E46">
        <w:rPr>
          <w:lang w:val="fr-FR"/>
        </w:rPr>
        <w:t>audits ou d</w:t>
      </w:r>
      <w:r w:rsidR="00761289" w:rsidRPr="00AC7E46">
        <w:rPr>
          <w:lang w:val="fr-FR"/>
        </w:rPr>
        <w:t>’</w:t>
      </w:r>
      <w:r w:rsidRPr="00AC7E46">
        <w:rPr>
          <w:lang w:val="fr-FR"/>
        </w:rPr>
        <w:t>évaluations au moyen d</w:t>
      </w:r>
      <w:r w:rsidR="00761289" w:rsidRPr="00AC7E46">
        <w:rPr>
          <w:lang w:val="fr-FR"/>
        </w:rPr>
        <w:t>’</w:t>
      </w:r>
      <w:r w:rsidRPr="00AC7E46">
        <w:rPr>
          <w:lang w:val="fr-FR"/>
        </w:rPr>
        <w:t>enquêtes sur le niveau de satisfaction des clients après chaque missi</w:t>
      </w:r>
      <w:r w:rsidR="00AC7E46" w:rsidRPr="00AC7E46">
        <w:rPr>
          <w:lang w:val="fr-FR"/>
        </w:rPr>
        <w:t>on.  L’o</w:t>
      </w:r>
      <w:r w:rsidRPr="00AC7E46">
        <w:rPr>
          <w:lang w:val="fr-FR"/>
        </w:rPr>
        <w:t>bjectif est de recevoir et d</w:t>
      </w:r>
      <w:r w:rsidR="00761289" w:rsidRPr="00AC7E46">
        <w:rPr>
          <w:lang w:val="fr-FR"/>
        </w:rPr>
        <w:t>’</w:t>
      </w:r>
      <w:r w:rsidRPr="00AC7E46">
        <w:rPr>
          <w:lang w:val="fr-FR"/>
        </w:rPr>
        <w:t>analyser efficacement les avis des collègues sur les activités de supervisi</w:t>
      </w:r>
      <w:r w:rsidR="00AC7E46" w:rsidRPr="00AC7E46">
        <w:rPr>
          <w:lang w:val="fr-FR"/>
        </w:rPr>
        <w:t xml:space="preserve">on.  À </w:t>
      </w:r>
      <w:r w:rsidRPr="00AC7E46">
        <w:rPr>
          <w:lang w:val="fr-FR"/>
        </w:rPr>
        <w:t xml:space="preserve">la fin </w:t>
      </w:r>
      <w:r w:rsidR="00761289" w:rsidRPr="00AC7E46">
        <w:rPr>
          <w:lang w:val="fr-FR"/>
        </w:rPr>
        <w:t>de 2023</w:t>
      </w:r>
      <w:r w:rsidRPr="00AC7E46">
        <w:rPr>
          <w:lang w:val="fr-FR"/>
        </w:rPr>
        <w:t>, l</w:t>
      </w:r>
      <w:r w:rsidR="00761289" w:rsidRPr="00AC7E46">
        <w:rPr>
          <w:lang w:val="fr-FR"/>
        </w:rPr>
        <w:t>’</w:t>
      </w:r>
      <w:r w:rsidRPr="00AC7E46">
        <w:rPr>
          <w:lang w:val="fr-FR"/>
        </w:rPr>
        <w:t>analyse globale des résultats de ces enquêtes révèle un taux de satisfaction de 91</w:t>
      </w:r>
      <w:r w:rsidR="006F1D4B" w:rsidRPr="00AC7E46">
        <w:rPr>
          <w:lang w:val="fr-FR"/>
        </w:rPr>
        <w:t>%</w:t>
      </w:r>
      <w:r w:rsidRPr="00AC7E46">
        <w:rPr>
          <w:rStyle w:val="FootnoteReference"/>
          <w:lang w:val="fr-FR"/>
        </w:rPr>
        <w:footnoteReference w:id="22"/>
      </w:r>
      <w:r w:rsidRPr="00AC7E46">
        <w:rPr>
          <w:lang w:val="fr-FR"/>
        </w:rPr>
        <w:t>.</w:t>
      </w:r>
    </w:p>
    <w:p w14:paraId="5246109E" w14:textId="13859A27" w:rsidR="000D5281" w:rsidRPr="00AC7E46" w:rsidRDefault="000D5281" w:rsidP="00D31722">
      <w:pPr>
        <w:pStyle w:val="ONUMFS"/>
        <w:rPr>
          <w:lang w:val="fr-FR"/>
        </w:rPr>
      </w:pPr>
      <w:r w:rsidRPr="00AC7E46">
        <w:rPr>
          <w:lang w:val="fr-FR"/>
        </w:rPr>
        <w:t>Les résultats des enquêtes effectuées au moins un an après la fin des missions et lorsqu</w:t>
      </w:r>
      <w:r w:rsidR="001908D2">
        <w:rPr>
          <w:lang w:val="fr-FR"/>
        </w:rPr>
        <w:t xml:space="preserve">e </w:t>
      </w:r>
      <w:r w:rsidRPr="00AC7E46">
        <w:rPr>
          <w:lang w:val="fr-FR"/>
        </w:rPr>
        <w:t>au moins 70</w:t>
      </w:r>
      <w:r w:rsidR="006F1D4B" w:rsidRPr="00AC7E46">
        <w:rPr>
          <w:lang w:val="fr-FR"/>
        </w:rPr>
        <w:t>%</w:t>
      </w:r>
      <w:r w:rsidRPr="00AC7E46">
        <w:rPr>
          <w:lang w:val="fr-FR"/>
        </w:rPr>
        <w:t xml:space="preserve"> des recommandations ont été mises en œuvre, indiquaient un taux moyen de satisfaction de 76</w:t>
      </w:r>
      <w:r w:rsidR="006F1D4B" w:rsidRPr="00AC7E46">
        <w:rPr>
          <w:lang w:val="fr-FR"/>
        </w:rPr>
        <w:t>%</w:t>
      </w:r>
      <w:r w:rsidRPr="00AC7E46">
        <w:rPr>
          <w:rStyle w:val="FootnoteReference"/>
          <w:lang w:val="fr-FR"/>
        </w:rPr>
        <w:footnoteReference w:id="23"/>
      </w:r>
      <w:r w:rsidRPr="00AC7E46">
        <w:rPr>
          <w:lang w:val="fr-FR"/>
        </w:rPr>
        <w:t>.  Cette enquête sert à mesurer l</w:t>
      </w:r>
      <w:r w:rsidR="00761289" w:rsidRPr="00AC7E46">
        <w:rPr>
          <w:lang w:val="fr-FR"/>
        </w:rPr>
        <w:t>’</w:t>
      </w:r>
      <w:r w:rsidRPr="00AC7E46">
        <w:rPr>
          <w:lang w:val="fr-FR"/>
        </w:rPr>
        <w:t>incidence et les résultats des recommandations mises en œuvre sur le program</w:t>
      </w:r>
      <w:r w:rsidR="00AC7E46" w:rsidRPr="00AC7E46">
        <w:rPr>
          <w:lang w:val="fr-FR"/>
        </w:rPr>
        <w:t>me.  Le</w:t>
      </w:r>
      <w:r w:rsidRPr="00AC7E46">
        <w:rPr>
          <w:lang w:val="fr-FR"/>
        </w:rPr>
        <w:t>s observations supplémentaires communiquées par les services ayant fait l</w:t>
      </w:r>
      <w:r w:rsidR="00761289" w:rsidRPr="00AC7E46">
        <w:rPr>
          <w:lang w:val="fr-FR"/>
        </w:rPr>
        <w:t>’</w:t>
      </w:r>
      <w:r w:rsidRPr="00AC7E46">
        <w:rPr>
          <w:lang w:val="fr-FR"/>
        </w:rPr>
        <w:t>objet d</w:t>
      </w:r>
      <w:r w:rsidR="00761289" w:rsidRPr="00AC7E46">
        <w:rPr>
          <w:lang w:val="fr-FR"/>
        </w:rPr>
        <w:t>’</w:t>
      </w:r>
      <w:r w:rsidRPr="00AC7E46">
        <w:rPr>
          <w:lang w:val="fr-FR"/>
        </w:rPr>
        <w:t>audits ou d</w:t>
      </w:r>
      <w:r w:rsidR="00761289" w:rsidRPr="00AC7E46">
        <w:rPr>
          <w:lang w:val="fr-FR"/>
        </w:rPr>
        <w:t>’</w:t>
      </w:r>
      <w:r w:rsidRPr="00AC7E46">
        <w:rPr>
          <w:lang w:val="fr-FR"/>
        </w:rPr>
        <w:t>évaluations ont aidé</w:t>
      </w:r>
      <w:r w:rsidR="00761289" w:rsidRPr="00AC7E46">
        <w:rPr>
          <w:lang w:val="fr-FR"/>
        </w:rPr>
        <w:t xml:space="preserve"> la DSI</w:t>
      </w:r>
      <w:r w:rsidRPr="00AC7E46">
        <w:rPr>
          <w:lang w:val="fr-FR"/>
        </w:rPr>
        <w:t xml:space="preserve"> à recenser les lacunes et à prendre des mesures correctiv</w:t>
      </w:r>
      <w:r w:rsidR="00AC7E46" w:rsidRPr="00AC7E46">
        <w:rPr>
          <w:lang w:val="fr-FR"/>
        </w:rPr>
        <w:t>es.  La</w:t>
      </w:r>
      <w:r w:rsidR="00761289" w:rsidRPr="00AC7E46">
        <w:rPr>
          <w:lang w:val="fr-FR"/>
        </w:rPr>
        <w:t> DSI</w:t>
      </w:r>
      <w:r w:rsidRPr="00AC7E46">
        <w:rPr>
          <w:lang w:val="fr-FR"/>
        </w:rPr>
        <w:t xml:space="preserve"> continuera de s</w:t>
      </w:r>
      <w:r w:rsidR="00761289" w:rsidRPr="00AC7E46">
        <w:rPr>
          <w:lang w:val="fr-FR"/>
        </w:rPr>
        <w:t>’</w:t>
      </w:r>
      <w:r w:rsidRPr="00AC7E46">
        <w:rPr>
          <w:lang w:val="fr-FR"/>
        </w:rPr>
        <w:t>efforcer de renforcer en permanence la valeur de ses activités de supervision.</w:t>
      </w:r>
    </w:p>
    <w:p w14:paraId="64F86A7E" w14:textId="77777777" w:rsidR="000D5281" w:rsidRPr="00AC7E46" w:rsidRDefault="000D5281" w:rsidP="00F4635E">
      <w:pPr>
        <w:pStyle w:val="Heading2"/>
      </w:pPr>
      <w:r w:rsidRPr="00AC7E46">
        <w:t>Évaluations internes et externes périodiques</w:t>
      </w:r>
    </w:p>
    <w:p w14:paraId="291A4F99" w14:textId="15A2855E" w:rsidR="000D5281" w:rsidRPr="00AC7E46" w:rsidRDefault="000D5281" w:rsidP="00D31722">
      <w:pPr>
        <w:pStyle w:val="ONUMFS"/>
        <w:rPr>
          <w:lang w:val="fr-FR"/>
        </w:rPr>
      </w:pPr>
      <w:r w:rsidRPr="00AC7E46">
        <w:rPr>
          <w:lang w:val="fr-FR"/>
        </w:rPr>
        <w:t>Chaque fonction de la DSI procède à des auto</w:t>
      </w:r>
      <w:r w:rsidR="001908D2">
        <w:rPr>
          <w:lang w:val="fr-FR"/>
        </w:rPr>
        <w:noBreakHyphen/>
      </w:r>
      <w:r w:rsidRPr="00AC7E46">
        <w:rPr>
          <w:lang w:val="fr-FR"/>
        </w:rPr>
        <w:t>évaluations bisannuelles ou à des évaluations externes quinquennales afin de déterminer si les fonctions de la DSI sont remplies de manière efficace et rationnelle, et conformément aux normes, pratiques professionnelles et codes de déontologie pertinen</w:t>
      </w:r>
      <w:r w:rsidR="00AC7E46" w:rsidRPr="00AC7E46">
        <w:rPr>
          <w:lang w:val="fr-FR"/>
        </w:rPr>
        <w:t>ts.  Le</w:t>
      </w:r>
      <w:r w:rsidRPr="00AC7E46">
        <w:rPr>
          <w:lang w:val="fr-FR"/>
        </w:rPr>
        <w:t>s éléments du programme relatif à la qualité de la DSI figurent dans les manuels, directives et procédures opérationnelles pertinents.</w:t>
      </w:r>
    </w:p>
    <w:p w14:paraId="716C62AB" w14:textId="1FA52F3C" w:rsidR="000D5281" w:rsidRPr="00AC7E46" w:rsidRDefault="000D5281" w:rsidP="00D31722">
      <w:pPr>
        <w:pStyle w:val="ONUMFS"/>
        <w:rPr>
          <w:lang w:val="fr-FR"/>
        </w:rPr>
      </w:pPr>
      <w:r w:rsidRPr="00AC7E46">
        <w:rPr>
          <w:lang w:val="fr-FR"/>
        </w:rPr>
        <w:t xml:space="preserve">Les résultats des évaluations externes menées pour chaque fonction de la DSI ont été communiqués dans le rapport annuel </w:t>
      </w:r>
      <w:r w:rsidR="00761289" w:rsidRPr="00AC7E46">
        <w:rPr>
          <w:lang w:val="fr-FR"/>
        </w:rPr>
        <w:t>pour 2020</w:t>
      </w:r>
      <w:r w:rsidRPr="00AC7E46">
        <w:rPr>
          <w:lang w:val="fr-FR"/>
        </w:rPr>
        <w:t xml:space="preserve"> et les recommandations connexes sont en cours de mise en œuvre.</w:t>
      </w:r>
    </w:p>
    <w:p w14:paraId="66121BE7" w14:textId="77DA70E7" w:rsidR="000D5281" w:rsidRPr="00AC7E46" w:rsidRDefault="000D5281" w:rsidP="00D31722">
      <w:pPr>
        <w:pStyle w:val="ONUMFS"/>
        <w:rPr>
          <w:lang w:val="fr-FR"/>
        </w:rPr>
      </w:pPr>
      <w:r w:rsidRPr="00AC7E46">
        <w:rPr>
          <w:color w:val="000000" w:themeColor="text1"/>
          <w:lang w:val="fr-FR"/>
        </w:rPr>
        <w:t>Conformément au paragraphe 4 de la Charte de la supervision interne,</w:t>
      </w:r>
      <w:r w:rsidR="00761289" w:rsidRPr="00AC7E46">
        <w:rPr>
          <w:color w:val="000000" w:themeColor="text1"/>
          <w:lang w:val="fr-FR"/>
        </w:rPr>
        <w:t xml:space="preserve"> la DSI</w:t>
      </w:r>
      <w:r w:rsidRPr="00AC7E46">
        <w:rPr>
          <w:color w:val="000000" w:themeColor="text1"/>
          <w:lang w:val="fr-FR"/>
        </w:rPr>
        <w:t xml:space="preserve"> a procédé à une auto</w:t>
      </w:r>
      <w:r w:rsidR="001908D2">
        <w:rPr>
          <w:color w:val="000000" w:themeColor="text1"/>
          <w:lang w:val="fr-FR"/>
        </w:rPr>
        <w:noBreakHyphen/>
      </w:r>
      <w:r w:rsidRPr="00AC7E46">
        <w:rPr>
          <w:color w:val="000000" w:themeColor="text1"/>
          <w:lang w:val="fr-FR"/>
        </w:rPr>
        <w:t>évaluation périodique de la fonction d</w:t>
      </w:r>
      <w:r w:rsidR="00761289" w:rsidRPr="00AC7E46">
        <w:rPr>
          <w:color w:val="000000" w:themeColor="text1"/>
          <w:lang w:val="fr-FR"/>
        </w:rPr>
        <w:t>’</w:t>
      </w:r>
      <w:r w:rsidRPr="00AC7E46">
        <w:rPr>
          <w:color w:val="000000" w:themeColor="text1"/>
          <w:lang w:val="fr-FR"/>
        </w:rPr>
        <w:t>audit interne tel</w:t>
      </w:r>
      <w:r w:rsidR="001908D2">
        <w:rPr>
          <w:color w:val="000000" w:themeColor="text1"/>
          <w:lang w:val="fr-FR"/>
        </w:rPr>
        <w:t>le</w:t>
      </w:r>
      <w:r w:rsidRPr="00AC7E46">
        <w:rPr>
          <w:color w:val="000000" w:themeColor="text1"/>
          <w:lang w:val="fr-FR"/>
        </w:rPr>
        <w:t xml:space="preserve"> que requise par la norme 1311 des normes internationales pour la pratique professionnelle de l</w:t>
      </w:r>
      <w:r w:rsidR="00761289" w:rsidRPr="00AC7E46">
        <w:rPr>
          <w:color w:val="000000" w:themeColor="text1"/>
          <w:lang w:val="fr-FR"/>
        </w:rPr>
        <w:t>’</w:t>
      </w:r>
      <w:r w:rsidRPr="00AC7E46">
        <w:rPr>
          <w:color w:val="000000" w:themeColor="text1"/>
          <w:lang w:val="fr-FR"/>
        </w:rPr>
        <w:t>audit inter</w:t>
      </w:r>
      <w:r w:rsidR="00AC7E46" w:rsidRPr="00AC7E46">
        <w:rPr>
          <w:color w:val="000000" w:themeColor="text1"/>
          <w:lang w:val="fr-FR"/>
        </w:rPr>
        <w:t>ne.  Le</w:t>
      </w:r>
      <w:r w:rsidRPr="00AC7E46">
        <w:rPr>
          <w:color w:val="000000" w:themeColor="text1"/>
          <w:lang w:val="fr-FR"/>
        </w:rPr>
        <w:t xml:space="preserve"> rapport a été établi en mai 2023 et discuté avec l</w:t>
      </w:r>
      <w:r w:rsidR="00761289" w:rsidRPr="00AC7E46">
        <w:rPr>
          <w:color w:val="000000" w:themeColor="text1"/>
          <w:lang w:val="fr-FR"/>
        </w:rPr>
        <w:t>’</w:t>
      </w:r>
      <w:r w:rsidRPr="00AC7E46">
        <w:rPr>
          <w:color w:val="000000" w:themeColor="text1"/>
          <w:lang w:val="fr-FR"/>
        </w:rPr>
        <w:t xml:space="preserve">OCIS à sa </w:t>
      </w:r>
      <w:r w:rsidR="0005748D">
        <w:rPr>
          <w:color w:val="000000" w:themeColor="text1"/>
          <w:lang w:val="fr-FR"/>
        </w:rPr>
        <w:t>soixante</w:t>
      </w:r>
      <w:r w:rsidR="0005748D">
        <w:rPr>
          <w:color w:val="000000" w:themeColor="text1"/>
          <w:lang w:val="fr-FR"/>
        </w:rPr>
        <w:noBreakHyphen/>
        <w:t>neuvième</w:t>
      </w:r>
      <w:r w:rsidRPr="00AC7E46">
        <w:rPr>
          <w:color w:val="000000" w:themeColor="text1"/>
          <w:lang w:val="fr-FR"/>
        </w:rPr>
        <w:t> session.</w:t>
      </w:r>
    </w:p>
    <w:p w14:paraId="5FC54867" w14:textId="7D6C39F9" w:rsidR="000D5281" w:rsidRPr="00AC7E46" w:rsidRDefault="000D5281" w:rsidP="00D31722">
      <w:pPr>
        <w:pStyle w:val="ONUMFS"/>
        <w:rPr>
          <w:lang w:val="fr-FR"/>
        </w:rPr>
      </w:pPr>
      <w:r w:rsidRPr="00AC7E46">
        <w:rPr>
          <w:lang w:val="fr-FR"/>
        </w:rPr>
        <w:t>Les trois</w:t>
      </w:r>
      <w:r w:rsidR="006F1D4B" w:rsidRPr="00AC7E46">
        <w:rPr>
          <w:lang w:val="fr-FR"/>
        </w:rPr>
        <w:t> </w:t>
      </w:r>
      <w:r w:rsidRPr="00AC7E46">
        <w:rPr>
          <w:lang w:val="fr-FR"/>
        </w:rPr>
        <w:t>recommandations de l</w:t>
      </w:r>
      <w:r w:rsidR="00761289" w:rsidRPr="00AC7E46">
        <w:rPr>
          <w:lang w:val="fr-FR"/>
        </w:rPr>
        <w:t>’</w:t>
      </w:r>
      <w:r w:rsidRPr="00AC7E46">
        <w:rPr>
          <w:lang w:val="fr-FR"/>
        </w:rPr>
        <w:t>auto</w:t>
      </w:r>
      <w:r w:rsidR="001908D2">
        <w:rPr>
          <w:lang w:val="fr-FR"/>
        </w:rPr>
        <w:noBreakHyphen/>
      </w:r>
      <w:r w:rsidRPr="00AC7E46">
        <w:rPr>
          <w:lang w:val="fr-FR"/>
        </w:rPr>
        <w:t xml:space="preserve">évaluation périodique ont été mises en œuvre </w:t>
      </w:r>
      <w:r w:rsidR="00761289" w:rsidRPr="00AC7E46">
        <w:rPr>
          <w:lang w:val="fr-FR"/>
        </w:rPr>
        <w:t>en 2023</w:t>
      </w:r>
      <w:r w:rsidRPr="00AC7E46">
        <w:rPr>
          <w:lang w:val="fr-FR"/>
        </w:rPr>
        <w:t>.  L</w:t>
      </w:r>
      <w:r w:rsidR="00761289" w:rsidRPr="00AC7E46">
        <w:rPr>
          <w:lang w:val="fr-FR"/>
        </w:rPr>
        <w:t>’</w:t>
      </w:r>
      <w:r w:rsidRPr="00AC7E46">
        <w:rPr>
          <w:lang w:val="fr-FR"/>
        </w:rPr>
        <w:t xml:space="preserve">OCIS a examiné et formulé des observations sur le projet de procédures relatives à la gestion des recommandations et les procédures opérationnelles standard pour les missions conjointes à sa </w:t>
      </w:r>
      <w:r w:rsidR="0005748D">
        <w:rPr>
          <w:lang w:val="fr-FR"/>
        </w:rPr>
        <w:t>soixante</w:t>
      </w:r>
      <w:r w:rsidR="0005748D">
        <w:rPr>
          <w:lang w:val="fr-FR"/>
        </w:rPr>
        <w:noBreakHyphen/>
        <w:t>dixième</w:t>
      </w:r>
      <w:r w:rsidRPr="00AC7E46">
        <w:rPr>
          <w:lang w:val="fr-FR"/>
        </w:rPr>
        <w:t> sessi</w:t>
      </w:r>
      <w:r w:rsidR="00AC7E46" w:rsidRPr="00AC7E46">
        <w:rPr>
          <w:lang w:val="fr-FR"/>
        </w:rPr>
        <w:t>on.  Le</w:t>
      </w:r>
      <w:r w:rsidRPr="00AC7E46">
        <w:rPr>
          <w:lang w:val="fr-FR"/>
        </w:rPr>
        <w:t xml:space="preserve"> modèle actuel de présentation de rapports a été modifié pour refléter la terminologie de l</w:t>
      </w:r>
      <w:r w:rsidR="00761289" w:rsidRPr="00AC7E46">
        <w:rPr>
          <w:lang w:val="fr-FR"/>
        </w:rPr>
        <w:t>’</w:t>
      </w:r>
      <w:r w:rsidR="00AC7E46" w:rsidRPr="00AC7E46">
        <w:rPr>
          <w:lang w:val="fr-FR"/>
        </w:rPr>
        <w:t>IIA.  Le</w:t>
      </w:r>
      <w:r w:rsidRPr="00AC7E46">
        <w:rPr>
          <w:lang w:val="fr-FR"/>
        </w:rPr>
        <w:t>s rappels envoyés aux services ayant fait l</w:t>
      </w:r>
      <w:r w:rsidR="00761289" w:rsidRPr="00AC7E46">
        <w:rPr>
          <w:lang w:val="fr-FR"/>
        </w:rPr>
        <w:t>’</w:t>
      </w:r>
      <w:r w:rsidRPr="00AC7E46">
        <w:rPr>
          <w:lang w:val="fr-FR"/>
        </w:rPr>
        <w:t>objet d</w:t>
      </w:r>
      <w:r w:rsidR="00761289" w:rsidRPr="00AC7E46">
        <w:rPr>
          <w:lang w:val="fr-FR"/>
        </w:rPr>
        <w:t>’</w:t>
      </w:r>
      <w:r w:rsidRPr="00AC7E46">
        <w:rPr>
          <w:lang w:val="fr-FR"/>
        </w:rPr>
        <w:t>un audit pour qu</w:t>
      </w:r>
      <w:r w:rsidR="00761289" w:rsidRPr="00AC7E46">
        <w:rPr>
          <w:lang w:val="fr-FR"/>
        </w:rPr>
        <w:t>’</w:t>
      </w:r>
      <w:r w:rsidRPr="00AC7E46">
        <w:rPr>
          <w:lang w:val="fr-FR"/>
        </w:rPr>
        <w:t>ils actualisent l</w:t>
      </w:r>
      <w:r w:rsidR="00761289" w:rsidRPr="00AC7E46">
        <w:rPr>
          <w:lang w:val="fr-FR"/>
        </w:rPr>
        <w:t>’</w:t>
      </w:r>
      <w:r w:rsidRPr="00AC7E46">
        <w:rPr>
          <w:lang w:val="fr-FR"/>
        </w:rPr>
        <w:t>état d</w:t>
      </w:r>
      <w:r w:rsidR="00761289" w:rsidRPr="00AC7E46">
        <w:rPr>
          <w:lang w:val="fr-FR"/>
        </w:rPr>
        <w:t>’</w:t>
      </w:r>
      <w:r w:rsidRPr="00AC7E46">
        <w:rPr>
          <w:lang w:val="fr-FR"/>
        </w:rPr>
        <w:t>avancement de la mise en œuvre des recommandations et les enquêtes de satisfaction des clients ont été automatisées.</w:t>
      </w:r>
    </w:p>
    <w:p w14:paraId="2E778F4E" w14:textId="70C86A67" w:rsidR="000D5281" w:rsidRPr="00AC7E46" w:rsidRDefault="00287CF0" w:rsidP="00287CF0">
      <w:pPr>
        <w:pStyle w:val="Heading1"/>
      </w:pPr>
      <w:bookmarkStart w:id="53" w:name="_Toc165888324"/>
      <w:bookmarkEnd w:id="52"/>
      <w:r>
        <w:t>R</w:t>
      </w:r>
      <w:r w:rsidRPr="00AC7E46">
        <w:t>essources de la supervision interne</w:t>
      </w:r>
      <w:bookmarkEnd w:id="53"/>
    </w:p>
    <w:p w14:paraId="3BC16ECA" w14:textId="65BF00A2" w:rsidR="000D5281" w:rsidRPr="00AC7E46" w:rsidRDefault="00287CF0" w:rsidP="00F4635E">
      <w:pPr>
        <w:pStyle w:val="Heading2"/>
      </w:pPr>
      <w:r>
        <w:t>B</w:t>
      </w:r>
      <w:r w:rsidRPr="00AC7E46">
        <w:t>udget et effectifs</w:t>
      </w:r>
    </w:p>
    <w:p w14:paraId="06C411DB" w14:textId="37FE2313" w:rsidR="000D5281" w:rsidRPr="00AC7E46" w:rsidRDefault="000D5281" w:rsidP="00D31722">
      <w:pPr>
        <w:pStyle w:val="ONUMFS"/>
        <w:rPr>
          <w:lang w:val="fr-FR"/>
        </w:rPr>
      </w:pPr>
      <w:r w:rsidRPr="00AC7E46">
        <w:rPr>
          <w:lang w:val="fr-FR"/>
        </w:rPr>
        <w:t>Aux fins de l</w:t>
      </w:r>
      <w:r w:rsidR="00761289" w:rsidRPr="00AC7E46">
        <w:rPr>
          <w:lang w:val="fr-FR"/>
        </w:rPr>
        <w:t>’</w:t>
      </w:r>
      <w:r w:rsidRPr="00AC7E46">
        <w:rPr>
          <w:lang w:val="fr-FR"/>
        </w:rPr>
        <w:t>exécution de son mandat,</w:t>
      </w:r>
      <w:r w:rsidR="00761289" w:rsidRPr="00AC7E46">
        <w:rPr>
          <w:lang w:val="fr-FR"/>
        </w:rPr>
        <w:t xml:space="preserve"> la DSI</w:t>
      </w:r>
      <w:r w:rsidRPr="00AC7E46">
        <w:rPr>
          <w:lang w:val="fr-FR"/>
        </w:rPr>
        <w:t xml:space="preserve"> disposait d</w:t>
      </w:r>
      <w:r w:rsidR="00761289" w:rsidRPr="00AC7E46">
        <w:rPr>
          <w:lang w:val="fr-FR"/>
        </w:rPr>
        <w:t>’</w:t>
      </w:r>
      <w:r w:rsidRPr="00AC7E46">
        <w:rPr>
          <w:lang w:val="fr-FR"/>
        </w:rPr>
        <w:t xml:space="preserve">un budget de 2,97 millions de francs suisses </w:t>
      </w:r>
      <w:r w:rsidR="00761289" w:rsidRPr="00AC7E46">
        <w:rPr>
          <w:lang w:val="fr-FR"/>
        </w:rPr>
        <w:t>en 2023</w:t>
      </w:r>
      <w:r w:rsidRPr="00AC7E46">
        <w:rPr>
          <w:lang w:val="fr-FR"/>
        </w:rPr>
        <w:t>, ce qui représente 0,75</w:t>
      </w:r>
      <w:r w:rsidR="006F1D4B" w:rsidRPr="00AC7E46">
        <w:rPr>
          <w:lang w:val="fr-FR"/>
        </w:rPr>
        <w:t>%</w:t>
      </w:r>
      <w:r w:rsidRPr="00AC7E46">
        <w:rPr>
          <w:lang w:val="fr-FR"/>
        </w:rPr>
        <w:t xml:space="preserve"> du budget de l</w:t>
      </w:r>
      <w:r w:rsidR="00761289" w:rsidRPr="00AC7E46">
        <w:rPr>
          <w:lang w:val="fr-FR"/>
        </w:rPr>
        <w:t>’</w:t>
      </w:r>
      <w:r w:rsidRPr="00AC7E46">
        <w:rPr>
          <w:lang w:val="fr-FR"/>
        </w:rPr>
        <w:t>OMPI (398 millions de francs suisses)</w:t>
      </w:r>
      <w:r w:rsidRPr="00AC7E46">
        <w:rPr>
          <w:rStyle w:val="FootnoteReference"/>
          <w:lang w:val="fr-FR"/>
        </w:rPr>
        <w:footnoteReference w:id="24"/>
      </w:r>
      <w:r w:rsidRPr="00AC7E46">
        <w:rPr>
          <w:lang w:val="fr-FR"/>
        </w:rPr>
        <w:t xml:space="preserve"> pour la même période (DSI – 2022</w:t>
      </w:r>
      <w:r w:rsidR="00761289" w:rsidRPr="00AC7E46">
        <w:rPr>
          <w:lang w:val="fr-FR"/>
        </w:rPr>
        <w:t> :</w:t>
      </w:r>
      <w:r w:rsidRPr="00AC7E46">
        <w:rPr>
          <w:lang w:val="fr-FR"/>
        </w:rPr>
        <w:t xml:space="preserve"> 0,69</w:t>
      </w:r>
      <w:r w:rsidR="006F1D4B" w:rsidRPr="00AC7E46">
        <w:rPr>
          <w:lang w:val="fr-FR"/>
        </w:rPr>
        <w:t>%,</w:t>
      </w:r>
      <w:r w:rsidRPr="00AC7E46">
        <w:rPr>
          <w:lang w:val="fr-FR"/>
        </w:rPr>
        <w:t xml:space="preserve"> OMPI – budget annuel</w:t>
      </w:r>
      <w:r w:rsidR="00761289" w:rsidRPr="00AC7E46">
        <w:rPr>
          <w:lang w:val="fr-FR"/>
        </w:rPr>
        <w:t> :</w:t>
      </w:r>
      <w:r w:rsidRPr="00AC7E46">
        <w:rPr>
          <w:lang w:val="fr-FR"/>
        </w:rPr>
        <w:t xml:space="preserve"> 395,7 millions de francs suiss</w:t>
      </w:r>
      <w:r w:rsidR="00AC7E46" w:rsidRPr="00AC7E46">
        <w:rPr>
          <w:lang w:val="fr-FR"/>
        </w:rPr>
        <w:t>es).  En</w:t>
      </w:r>
      <w:r w:rsidR="00761289" w:rsidRPr="00AC7E46">
        <w:rPr>
          <w:lang w:val="fr-FR"/>
        </w:rPr>
        <w:t> 2023</w:t>
      </w:r>
      <w:r w:rsidRPr="00AC7E46">
        <w:rPr>
          <w:lang w:val="fr-FR"/>
        </w:rPr>
        <w:t>, les dépenses effectives s</w:t>
      </w:r>
      <w:r w:rsidR="00761289" w:rsidRPr="00AC7E46">
        <w:rPr>
          <w:lang w:val="fr-FR"/>
        </w:rPr>
        <w:t>’</w:t>
      </w:r>
      <w:r w:rsidRPr="00AC7E46">
        <w:rPr>
          <w:lang w:val="fr-FR"/>
        </w:rPr>
        <w:t>élevaient à 2,97 millions de francs suiss</w:t>
      </w:r>
      <w:r w:rsidR="00AC7E46" w:rsidRPr="00AC7E46">
        <w:rPr>
          <w:lang w:val="fr-FR"/>
        </w:rPr>
        <w:t>es.  Le</w:t>
      </w:r>
      <w:r w:rsidRPr="00AC7E46">
        <w:rPr>
          <w:lang w:val="fr-FR"/>
        </w:rPr>
        <w:t xml:space="preserve"> taux d</w:t>
      </w:r>
      <w:r w:rsidR="00761289" w:rsidRPr="00AC7E46">
        <w:rPr>
          <w:lang w:val="fr-FR"/>
        </w:rPr>
        <w:t>’</w:t>
      </w:r>
      <w:r w:rsidRPr="00AC7E46">
        <w:rPr>
          <w:lang w:val="fr-FR"/>
        </w:rPr>
        <w:t>utilisation du budget pour les dépenses de personnel se situait à 102</w:t>
      </w:r>
      <w:r w:rsidR="006F1D4B" w:rsidRPr="00AC7E46">
        <w:rPr>
          <w:lang w:val="fr-FR"/>
        </w:rPr>
        <w:t>%,</w:t>
      </w:r>
      <w:r w:rsidRPr="00AC7E46">
        <w:rPr>
          <w:lang w:val="fr-FR"/>
        </w:rPr>
        <w:t xml:space="preserve"> tandis que les coûts hors personnel représentaient 90</w:t>
      </w:r>
      <w:r w:rsidR="006F1D4B" w:rsidRPr="00AC7E46">
        <w:rPr>
          <w:lang w:val="fr-FR"/>
        </w:rPr>
        <w:t>%</w:t>
      </w:r>
      <w:r w:rsidRPr="00AC7E46">
        <w:rPr>
          <w:lang w:val="fr-FR"/>
        </w:rPr>
        <w:t xml:space="preserve"> du budg</w:t>
      </w:r>
      <w:r w:rsidR="00AC7E46" w:rsidRPr="00AC7E46">
        <w:rPr>
          <w:lang w:val="fr-FR"/>
        </w:rPr>
        <w:t>et.  Le</w:t>
      </w:r>
      <w:r w:rsidRPr="00AC7E46">
        <w:rPr>
          <w:lang w:val="fr-FR"/>
        </w:rPr>
        <w:t xml:space="preserve"> diagramme 6 présente l</w:t>
      </w:r>
      <w:r w:rsidR="00761289" w:rsidRPr="00AC7E46">
        <w:rPr>
          <w:lang w:val="fr-FR"/>
        </w:rPr>
        <w:t>’</w:t>
      </w:r>
      <w:r w:rsidRPr="00AC7E46">
        <w:rPr>
          <w:lang w:val="fr-FR"/>
        </w:rPr>
        <w:t>analyse du budget et des dépenses, par grade, et la composition de l</w:t>
      </w:r>
      <w:r w:rsidR="00761289" w:rsidRPr="00AC7E46">
        <w:rPr>
          <w:lang w:val="fr-FR"/>
        </w:rPr>
        <w:t>’</w:t>
      </w:r>
      <w:r w:rsidRPr="00AC7E46">
        <w:rPr>
          <w:lang w:val="fr-FR"/>
        </w:rPr>
        <w:t>effectif de</w:t>
      </w:r>
      <w:r w:rsidR="00761289" w:rsidRPr="00AC7E46">
        <w:rPr>
          <w:lang w:val="fr-FR"/>
        </w:rPr>
        <w:t xml:space="preserve"> la DSI</w:t>
      </w:r>
      <w:r w:rsidRPr="00AC7E46">
        <w:rPr>
          <w:lang w:val="fr-FR"/>
        </w:rPr>
        <w:t xml:space="preserve"> </w:t>
      </w:r>
      <w:r w:rsidR="00761289" w:rsidRPr="00AC7E46">
        <w:rPr>
          <w:lang w:val="fr-FR"/>
        </w:rPr>
        <w:t>en 2023</w:t>
      </w:r>
      <w:r w:rsidRPr="00AC7E46">
        <w:rPr>
          <w:lang w:val="fr-FR"/>
        </w:rPr>
        <w:t>.</w:t>
      </w:r>
    </w:p>
    <w:p w14:paraId="2AEDA333" w14:textId="684DFC49" w:rsidR="000D5281" w:rsidRPr="00927FF9" w:rsidRDefault="000D5281" w:rsidP="00927FF9">
      <w:pPr>
        <w:keepNext/>
        <w:spacing w:after="240"/>
        <w:jc w:val="center"/>
        <w:rPr>
          <w:b/>
          <w:bCs/>
          <w:lang w:val="fr-FR"/>
        </w:rPr>
      </w:pPr>
      <w:r w:rsidRPr="00927FF9">
        <w:rPr>
          <w:b/>
          <w:bCs/>
          <w:lang w:val="fr-FR"/>
        </w:rPr>
        <w:lastRenderedPageBreak/>
        <w:t>Diagramme 6 – Budget et dépenses de</w:t>
      </w:r>
      <w:r w:rsidR="00761289" w:rsidRPr="00927FF9">
        <w:rPr>
          <w:b/>
          <w:bCs/>
          <w:lang w:val="fr-FR"/>
        </w:rPr>
        <w:t xml:space="preserve"> la DSI</w:t>
      </w:r>
      <w:r w:rsidRPr="00927FF9">
        <w:rPr>
          <w:b/>
          <w:bCs/>
          <w:lang w:val="fr-FR"/>
        </w:rPr>
        <w:t xml:space="preserve"> </w:t>
      </w:r>
      <w:r w:rsidR="00761289" w:rsidRPr="00927FF9">
        <w:rPr>
          <w:b/>
          <w:bCs/>
          <w:lang w:val="fr-FR"/>
        </w:rPr>
        <w:t>en 2023</w:t>
      </w:r>
      <w:r w:rsidRPr="00927FF9">
        <w:rPr>
          <w:b/>
          <w:bCs/>
          <w:vertAlign w:val="superscript"/>
          <w:lang w:val="fr-FR"/>
        </w:rPr>
        <w:footnoteReference w:id="25"/>
      </w:r>
      <w:r w:rsidRPr="00927FF9">
        <w:rPr>
          <w:b/>
          <w:bCs/>
          <w:lang w:val="fr-FR"/>
        </w:rPr>
        <w:t xml:space="preserve"> et composition de l</w:t>
      </w:r>
      <w:r w:rsidR="00761289" w:rsidRPr="00927FF9">
        <w:rPr>
          <w:b/>
          <w:bCs/>
          <w:lang w:val="fr-FR"/>
        </w:rPr>
        <w:t>’</w:t>
      </w:r>
      <w:r w:rsidRPr="00927FF9">
        <w:rPr>
          <w:b/>
          <w:bCs/>
          <w:lang w:val="fr-FR"/>
        </w:rPr>
        <w:t>effectif</w:t>
      </w:r>
    </w:p>
    <w:tbl>
      <w:tblPr>
        <w:tblStyle w:val="TableGrid"/>
        <w:tblW w:w="1022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318"/>
      </w:tblGrid>
      <w:tr w:rsidR="000D5281" w:rsidRPr="00AC7E46" w14:paraId="475ACA2D" w14:textId="77777777" w:rsidTr="00DA2C59">
        <w:trPr>
          <w:trHeight w:val="3276"/>
        </w:trPr>
        <w:tc>
          <w:tcPr>
            <w:tcW w:w="5109" w:type="dxa"/>
          </w:tcPr>
          <w:tbl>
            <w:tblPr>
              <w:tblStyle w:val="GridTable4-Accent1"/>
              <w:tblW w:w="496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au 4"/>
              <w:tblDescription w:val="Budget et dépenses de la DSI en 2023"/>
            </w:tblPr>
            <w:tblGrid>
              <w:gridCol w:w="1420"/>
              <w:gridCol w:w="1057"/>
              <w:gridCol w:w="1236"/>
              <w:gridCol w:w="1251"/>
            </w:tblGrid>
            <w:tr w:rsidR="00DA2C59" w:rsidRPr="00AC7E46" w14:paraId="6F057B80" w14:textId="77777777" w:rsidTr="00DA2C59">
              <w:trPr>
                <w:cnfStyle w:val="100000000000" w:firstRow="1" w:lastRow="0" w:firstColumn="0" w:lastColumn="0" w:oddVBand="0" w:evenVBand="0" w:oddHBand="0" w:evenHBand="0" w:firstRowFirstColumn="0" w:firstRowLastColumn="0" w:lastRowFirstColumn="0" w:lastRowLastColumn="0"/>
                <w:trHeight w:val="995"/>
                <w:tblHeader/>
              </w:trPr>
              <w:tc>
                <w:tcPr>
                  <w:cnfStyle w:val="001000000000" w:firstRow="0" w:lastRow="0" w:firstColumn="1" w:lastColumn="0" w:oddVBand="0" w:evenVBand="0" w:oddHBand="0" w:evenHBand="0" w:firstRowFirstColumn="0" w:firstRowLastColumn="0" w:lastRowFirstColumn="0" w:lastRowLastColumn="0"/>
                  <w:tcW w:w="1420" w:type="dxa"/>
                  <w:noWrap/>
                  <w:hideMark/>
                </w:tcPr>
                <w:p w14:paraId="799AAE8B" w14:textId="77777777" w:rsidR="000D5281" w:rsidRPr="00AC7E46" w:rsidRDefault="000D5281" w:rsidP="00E249CE">
                  <w:pPr>
                    <w:rPr>
                      <w:color w:val="000000"/>
                      <w:sz w:val="18"/>
                      <w:szCs w:val="18"/>
                      <w:lang w:val="fr-FR"/>
                    </w:rPr>
                  </w:pPr>
                </w:p>
              </w:tc>
              <w:tc>
                <w:tcPr>
                  <w:tcW w:w="1057" w:type="dxa"/>
                  <w:hideMark/>
                </w:tcPr>
                <w:p w14:paraId="3E271497" w14:textId="2BE569E7" w:rsidR="000D5281" w:rsidRPr="00AC7E46" w:rsidRDefault="000D5281" w:rsidP="00E249CE">
                  <w:pPr>
                    <w:jc w:val="center"/>
                    <w:cnfStyle w:val="100000000000" w:firstRow="1" w:lastRow="0" w:firstColumn="0" w:lastColumn="0" w:oddVBand="0" w:evenVBand="0" w:oddHBand="0" w:evenHBand="0" w:firstRowFirstColumn="0" w:firstRowLastColumn="0" w:lastRowFirstColumn="0" w:lastRowLastColumn="0"/>
                    <w:rPr>
                      <w:bCs w:val="0"/>
                      <w:color w:val="000000"/>
                      <w:sz w:val="18"/>
                      <w:szCs w:val="18"/>
                      <w:lang w:val="fr-FR"/>
                    </w:rPr>
                  </w:pPr>
                  <w:r w:rsidRPr="00AC7E46">
                    <w:rPr>
                      <w:bCs w:val="0"/>
                      <w:color w:val="000000"/>
                      <w:spacing w:val="-2"/>
                      <w:sz w:val="18"/>
                      <w:lang w:val="fr-FR"/>
                    </w:rPr>
                    <w:t xml:space="preserve">Budget approuvé </w:t>
                  </w:r>
                  <w:r w:rsidR="00DA2C59">
                    <w:rPr>
                      <w:bCs w:val="0"/>
                      <w:color w:val="000000"/>
                      <w:spacing w:val="-2"/>
                      <w:sz w:val="18"/>
                      <w:lang w:val="fr-FR"/>
                    </w:rPr>
                    <w:t xml:space="preserve">2023 </w:t>
                  </w:r>
                  <w:r w:rsidRPr="00AC7E46">
                    <w:rPr>
                      <w:bCs w:val="0"/>
                      <w:color w:val="000000"/>
                      <w:spacing w:val="-2"/>
                      <w:sz w:val="18"/>
                      <w:lang w:val="fr-FR"/>
                    </w:rPr>
                    <w:t>(en</w:t>
                  </w:r>
                  <w:r w:rsidR="005F3E1B">
                    <w:rPr>
                      <w:bCs w:val="0"/>
                      <w:color w:val="000000"/>
                      <w:spacing w:val="-2"/>
                      <w:sz w:val="18"/>
                      <w:lang w:val="fr-FR"/>
                    </w:rPr>
                    <w:t> </w:t>
                  </w:r>
                  <w:r w:rsidRPr="00AC7E46">
                    <w:rPr>
                      <w:bCs w:val="0"/>
                      <w:color w:val="000000"/>
                      <w:spacing w:val="-2"/>
                      <w:sz w:val="18"/>
                      <w:lang w:val="fr-FR"/>
                    </w:rPr>
                    <w:t>francs suisses)</w:t>
                  </w:r>
                </w:p>
              </w:tc>
              <w:tc>
                <w:tcPr>
                  <w:tcW w:w="1236" w:type="dxa"/>
                  <w:hideMark/>
                </w:tcPr>
                <w:p w14:paraId="4C4093DB" w14:textId="0B772E91" w:rsidR="000D5281" w:rsidRPr="00AC7E46" w:rsidRDefault="000D5281" w:rsidP="00E249CE">
                  <w:pPr>
                    <w:jc w:val="center"/>
                    <w:cnfStyle w:val="100000000000" w:firstRow="1" w:lastRow="0" w:firstColumn="0" w:lastColumn="0" w:oddVBand="0" w:evenVBand="0" w:oddHBand="0" w:evenHBand="0" w:firstRowFirstColumn="0" w:firstRowLastColumn="0" w:lastRowFirstColumn="0" w:lastRowLastColumn="0"/>
                    <w:rPr>
                      <w:color w:val="000000"/>
                      <w:sz w:val="18"/>
                      <w:szCs w:val="18"/>
                      <w:lang w:val="fr-FR"/>
                    </w:rPr>
                  </w:pPr>
                  <w:r w:rsidRPr="00AC7E46">
                    <w:rPr>
                      <w:color w:val="000000"/>
                      <w:sz w:val="18"/>
                      <w:szCs w:val="18"/>
                      <w:lang w:val="fr-FR"/>
                    </w:rPr>
                    <w:t>Dépenses</w:t>
                  </w:r>
                  <w:r w:rsidR="00DA2C59">
                    <w:rPr>
                      <w:color w:val="000000"/>
                      <w:sz w:val="18"/>
                      <w:szCs w:val="18"/>
                      <w:lang w:val="fr-FR"/>
                    </w:rPr>
                    <w:t xml:space="preserve"> 2023</w:t>
                  </w:r>
                  <w:r w:rsidRPr="00AC7E46">
                    <w:rPr>
                      <w:rStyle w:val="FootnoteReference"/>
                      <w:color w:val="000000"/>
                      <w:sz w:val="18"/>
                      <w:szCs w:val="18"/>
                      <w:lang w:val="fr-FR"/>
                    </w:rPr>
                    <w:footnoteReference w:id="26"/>
                  </w:r>
                  <w:r w:rsidRPr="00AC7E46">
                    <w:rPr>
                      <w:color w:val="000000"/>
                      <w:sz w:val="18"/>
                      <w:szCs w:val="18"/>
                      <w:lang w:val="fr-FR"/>
                    </w:rPr>
                    <w:t xml:space="preserve"> (en</w:t>
                  </w:r>
                  <w:r w:rsidR="005F3E1B">
                    <w:rPr>
                      <w:color w:val="000000"/>
                      <w:sz w:val="18"/>
                      <w:szCs w:val="18"/>
                      <w:lang w:val="fr-FR"/>
                    </w:rPr>
                    <w:t> </w:t>
                  </w:r>
                  <w:r w:rsidRPr="00AC7E46">
                    <w:rPr>
                      <w:color w:val="000000"/>
                      <w:sz w:val="18"/>
                      <w:szCs w:val="18"/>
                      <w:lang w:val="fr-FR"/>
                    </w:rPr>
                    <w:t>francs suisses)</w:t>
                  </w:r>
                </w:p>
              </w:tc>
              <w:tc>
                <w:tcPr>
                  <w:tcW w:w="1251" w:type="dxa"/>
                </w:tcPr>
                <w:p w14:paraId="79A32C7C" w14:textId="797824D6" w:rsidR="000D5281" w:rsidRPr="00AC7E46" w:rsidRDefault="000D5281" w:rsidP="00E249CE">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lang w:val="fr-FR"/>
                    </w:rPr>
                  </w:pPr>
                  <w:r w:rsidRPr="00AC7E46">
                    <w:rPr>
                      <w:color w:val="000000"/>
                      <w:sz w:val="18"/>
                      <w:szCs w:val="18"/>
                      <w:lang w:val="fr-FR"/>
                    </w:rPr>
                    <w:t>Taux d</w:t>
                  </w:r>
                  <w:r w:rsidR="00761289" w:rsidRPr="00AC7E46">
                    <w:rPr>
                      <w:color w:val="000000"/>
                      <w:sz w:val="18"/>
                      <w:szCs w:val="18"/>
                      <w:lang w:val="fr-FR"/>
                    </w:rPr>
                    <w:t>’</w:t>
                  </w:r>
                  <w:r w:rsidRPr="00AC7E46">
                    <w:rPr>
                      <w:color w:val="000000"/>
                      <w:sz w:val="18"/>
                      <w:szCs w:val="18"/>
                      <w:lang w:val="fr-FR"/>
                    </w:rPr>
                    <w:t>utilisation</w:t>
                  </w:r>
                  <w:r w:rsidR="00DA2C59">
                    <w:rPr>
                      <w:color w:val="000000"/>
                      <w:sz w:val="18"/>
                      <w:szCs w:val="18"/>
                      <w:lang w:val="fr-FR"/>
                    </w:rPr>
                    <w:t xml:space="preserve"> du budget</w:t>
                  </w:r>
                </w:p>
                <w:p w14:paraId="03EE7B86" w14:textId="77777777" w:rsidR="000D5281" w:rsidRPr="00AC7E46" w:rsidRDefault="000D5281" w:rsidP="00E249CE">
                  <w:pPr>
                    <w:jc w:val="center"/>
                    <w:cnfStyle w:val="100000000000" w:firstRow="1" w:lastRow="0" w:firstColumn="0" w:lastColumn="0" w:oddVBand="0" w:evenVBand="0" w:oddHBand="0" w:evenHBand="0" w:firstRowFirstColumn="0" w:firstRowLastColumn="0" w:lastRowFirstColumn="0" w:lastRowLastColumn="0"/>
                    <w:rPr>
                      <w:color w:val="000000"/>
                      <w:sz w:val="18"/>
                      <w:szCs w:val="18"/>
                      <w:lang w:val="fr-FR"/>
                    </w:rPr>
                  </w:pPr>
                  <w:r w:rsidRPr="00AC7E46">
                    <w:rPr>
                      <w:color w:val="000000"/>
                      <w:sz w:val="18"/>
                      <w:szCs w:val="18"/>
                      <w:lang w:val="fr-FR"/>
                    </w:rPr>
                    <w:t>(%)</w:t>
                  </w:r>
                </w:p>
              </w:tc>
            </w:tr>
            <w:tr w:rsidR="00DA2C59" w:rsidRPr="00AC7E46" w14:paraId="3547CD9C" w14:textId="77777777" w:rsidTr="00DA2C59">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420" w:type="dxa"/>
                  <w:noWrap/>
                  <w:hideMark/>
                </w:tcPr>
                <w:p w14:paraId="405FC3B4" w14:textId="77777777" w:rsidR="000D5281" w:rsidRPr="00AC7E46" w:rsidRDefault="000D5281" w:rsidP="00E249CE">
                  <w:pPr>
                    <w:rPr>
                      <w:color w:val="000000"/>
                      <w:sz w:val="18"/>
                      <w:szCs w:val="18"/>
                      <w:lang w:val="fr-FR"/>
                    </w:rPr>
                  </w:pPr>
                  <w:r w:rsidRPr="00AC7E46">
                    <w:rPr>
                      <w:color w:val="000000"/>
                      <w:sz w:val="18"/>
                      <w:szCs w:val="18"/>
                      <w:lang w:val="fr-FR"/>
                    </w:rPr>
                    <w:t>Ressources en personnel</w:t>
                  </w:r>
                </w:p>
              </w:tc>
              <w:tc>
                <w:tcPr>
                  <w:tcW w:w="1057" w:type="dxa"/>
                </w:tcPr>
                <w:p w14:paraId="34E3A0F1" w14:textId="77777777" w:rsidR="000D5281" w:rsidRPr="00AC7E46" w:rsidRDefault="000D5281" w:rsidP="00E249CE">
                  <w:pPr>
                    <w:jc w:val="center"/>
                    <w:cnfStyle w:val="000000100000" w:firstRow="0" w:lastRow="0" w:firstColumn="0" w:lastColumn="0" w:oddVBand="0" w:evenVBand="0" w:oddHBand="1" w:evenHBand="0" w:firstRowFirstColumn="0" w:firstRowLastColumn="0" w:lastRowFirstColumn="0" w:lastRowLastColumn="0"/>
                    <w:rPr>
                      <w:color w:val="000000"/>
                      <w:sz w:val="18"/>
                      <w:szCs w:val="18"/>
                      <w:lang w:val="fr-FR"/>
                    </w:rPr>
                  </w:pPr>
                  <w:r w:rsidRPr="00AC7E46">
                    <w:rPr>
                      <w:color w:val="000000"/>
                      <w:sz w:val="18"/>
                      <w:szCs w:val="18"/>
                      <w:lang w:val="fr-FR"/>
                    </w:rPr>
                    <w:t>2 480 000</w:t>
                  </w:r>
                </w:p>
              </w:tc>
              <w:tc>
                <w:tcPr>
                  <w:tcW w:w="1236" w:type="dxa"/>
                </w:tcPr>
                <w:p w14:paraId="1BA1FB25" w14:textId="77777777" w:rsidR="000D5281" w:rsidRPr="00AC7E46" w:rsidRDefault="000D5281" w:rsidP="00E249CE">
                  <w:pPr>
                    <w:jc w:val="center"/>
                    <w:cnfStyle w:val="000000100000" w:firstRow="0" w:lastRow="0" w:firstColumn="0" w:lastColumn="0" w:oddVBand="0" w:evenVBand="0" w:oddHBand="1" w:evenHBand="0" w:firstRowFirstColumn="0" w:firstRowLastColumn="0" w:lastRowFirstColumn="0" w:lastRowLastColumn="0"/>
                    <w:rPr>
                      <w:color w:val="000000"/>
                      <w:sz w:val="18"/>
                      <w:szCs w:val="18"/>
                      <w:lang w:val="fr-FR"/>
                    </w:rPr>
                  </w:pPr>
                  <w:r w:rsidRPr="00AC7E46">
                    <w:rPr>
                      <w:color w:val="000000"/>
                      <w:sz w:val="18"/>
                      <w:szCs w:val="18"/>
                      <w:lang w:val="fr-FR"/>
                    </w:rPr>
                    <w:t>2 528 245</w:t>
                  </w:r>
                </w:p>
              </w:tc>
              <w:tc>
                <w:tcPr>
                  <w:tcW w:w="1251" w:type="dxa"/>
                </w:tcPr>
                <w:p w14:paraId="302C79C2" w14:textId="77777777" w:rsidR="000D5281" w:rsidRPr="00AC7E46" w:rsidRDefault="000D5281" w:rsidP="00E249CE">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lang w:val="fr-FR"/>
                    </w:rPr>
                  </w:pPr>
                  <w:r w:rsidRPr="00AC7E46">
                    <w:rPr>
                      <w:color w:val="000000"/>
                      <w:sz w:val="18"/>
                      <w:szCs w:val="18"/>
                      <w:lang w:val="fr-FR"/>
                    </w:rPr>
                    <w:t>102%</w:t>
                  </w:r>
                </w:p>
              </w:tc>
            </w:tr>
            <w:tr w:rsidR="000D5281" w:rsidRPr="00AC7E46" w14:paraId="4F5E4C99" w14:textId="77777777" w:rsidTr="00DA2C59">
              <w:trPr>
                <w:trHeight w:val="509"/>
              </w:trPr>
              <w:tc>
                <w:tcPr>
                  <w:cnfStyle w:val="001000000000" w:firstRow="0" w:lastRow="0" w:firstColumn="1" w:lastColumn="0" w:oddVBand="0" w:evenVBand="0" w:oddHBand="0" w:evenHBand="0" w:firstRowFirstColumn="0" w:firstRowLastColumn="0" w:lastRowFirstColumn="0" w:lastRowLastColumn="0"/>
                  <w:tcW w:w="1420" w:type="dxa"/>
                  <w:noWrap/>
                  <w:hideMark/>
                </w:tcPr>
                <w:p w14:paraId="1EA7B41D" w14:textId="3C2CD27B" w:rsidR="000D5281" w:rsidRPr="00AC7E46" w:rsidRDefault="00DA2C59" w:rsidP="00E249CE">
                  <w:pPr>
                    <w:rPr>
                      <w:color w:val="000000"/>
                      <w:sz w:val="18"/>
                      <w:szCs w:val="18"/>
                      <w:lang w:val="fr-FR"/>
                    </w:rPr>
                  </w:pPr>
                  <w:r>
                    <w:rPr>
                      <w:color w:val="000000"/>
                      <w:sz w:val="18"/>
                      <w:szCs w:val="18"/>
                      <w:lang w:val="fr-FR"/>
                    </w:rPr>
                    <w:t>Autres r</w:t>
                  </w:r>
                  <w:r w:rsidR="000D5281" w:rsidRPr="00AC7E46">
                    <w:rPr>
                      <w:color w:val="000000"/>
                      <w:sz w:val="18"/>
                      <w:szCs w:val="18"/>
                      <w:lang w:val="fr-FR"/>
                    </w:rPr>
                    <w:t>essources</w:t>
                  </w:r>
                </w:p>
              </w:tc>
              <w:tc>
                <w:tcPr>
                  <w:tcW w:w="1057" w:type="dxa"/>
                </w:tcPr>
                <w:p w14:paraId="22B5793B" w14:textId="77777777" w:rsidR="000D5281" w:rsidRPr="00AC7E46" w:rsidRDefault="000D5281" w:rsidP="00E249CE">
                  <w:pPr>
                    <w:jc w:val="center"/>
                    <w:cnfStyle w:val="000000000000" w:firstRow="0" w:lastRow="0" w:firstColumn="0" w:lastColumn="0" w:oddVBand="0" w:evenVBand="0" w:oddHBand="0" w:evenHBand="0" w:firstRowFirstColumn="0" w:firstRowLastColumn="0" w:lastRowFirstColumn="0" w:lastRowLastColumn="0"/>
                    <w:rPr>
                      <w:color w:val="000000"/>
                      <w:sz w:val="18"/>
                      <w:szCs w:val="18"/>
                      <w:lang w:val="fr-FR"/>
                    </w:rPr>
                  </w:pPr>
                  <w:r w:rsidRPr="00AC7E46">
                    <w:rPr>
                      <w:color w:val="000000"/>
                      <w:sz w:val="18"/>
                      <w:szCs w:val="18"/>
                      <w:lang w:val="fr-FR"/>
                    </w:rPr>
                    <w:t>489 300</w:t>
                  </w:r>
                </w:p>
              </w:tc>
              <w:tc>
                <w:tcPr>
                  <w:tcW w:w="1236" w:type="dxa"/>
                </w:tcPr>
                <w:p w14:paraId="26F884DB" w14:textId="77777777" w:rsidR="000D5281" w:rsidRPr="00AC7E46" w:rsidRDefault="000D5281" w:rsidP="00E249CE">
                  <w:pPr>
                    <w:jc w:val="center"/>
                    <w:cnfStyle w:val="000000000000" w:firstRow="0" w:lastRow="0" w:firstColumn="0" w:lastColumn="0" w:oddVBand="0" w:evenVBand="0" w:oddHBand="0" w:evenHBand="0" w:firstRowFirstColumn="0" w:firstRowLastColumn="0" w:lastRowFirstColumn="0" w:lastRowLastColumn="0"/>
                    <w:rPr>
                      <w:color w:val="000000"/>
                      <w:sz w:val="18"/>
                      <w:szCs w:val="18"/>
                      <w:lang w:val="fr-FR"/>
                    </w:rPr>
                  </w:pPr>
                  <w:r w:rsidRPr="00AC7E46">
                    <w:rPr>
                      <w:color w:val="000000"/>
                      <w:sz w:val="18"/>
                      <w:szCs w:val="18"/>
                      <w:lang w:val="fr-FR"/>
                    </w:rPr>
                    <w:t>439 010</w:t>
                  </w:r>
                </w:p>
              </w:tc>
              <w:tc>
                <w:tcPr>
                  <w:tcW w:w="1251" w:type="dxa"/>
                </w:tcPr>
                <w:p w14:paraId="270D96C8" w14:textId="77777777" w:rsidR="000D5281" w:rsidRPr="00AC7E46" w:rsidRDefault="000D5281" w:rsidP="00E249CE">
                  <w:pPr>
                    <w:jc w:val="center"/>
                    <w:cnfStyle w:val="000000000000" w:firstRow="0" w:lastRow="0" w:firstColumn="0" w:lastColumn="0" w:oddVBand="0" w:evenVBand="0" w:oddHBand="0" w:evenHBand="0" w:firstRowFirstColumn="0" w:firstRowLastColumn="0" w:lastRowFirstColumn="0" w:lastRowLastColumn="0"/>
                    <w:rPr>
                      <w:color w:val="000000"/>
                      <w:sz w:val="18"/>
                      <w:szCs w:val="18"/>
                      <w:lang w:val="fr-FR"/>
                    </w:rPr>
                  </w:pPr>
                  <w:r w:rsidRPr="00AC7E46">
                    <w:rPr>
                      <w:color w:val="000000"/>
                      <w:sz w:val="18"/>
                      <w:szCs w:val="18"/>
                      <w:lang w:val="fr-FR"/>
                    </w:rPr>
                    <w:t>90%</w:t>
                  </w:r>
                </w:p>
              </w:tc>
            </w:tr>
            <w:tr w:rsidR="00DA2C59" w:rsidRPr="00AC7E46" w14:paraId="499F7134" w14:textId="77777777" w:rsidTr="00DA2C59">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420" w:type="dxa"/>
                  <w:noWrap/>
                  <w:hideMark/>
                </w:tcPr>
                <w:p w14:paraId="6FAD7088" w14:textId="3A5771D8" w:rsidR="000D5281" w:rsidRPr="00AC7E46" w:rsidRDefault="000D5281" w:rsidP="00E249CE">
                  <w:pPr>
                    <w:rPr>
                      <w:color w:val="000000"/>
                      <w:sz w:val="18"/>
                      <w:szCs w:val="18"/>
                      <w:lang w:val="fr-FR"/>
                    </w:rPr>
                  </w:pPr>
                  <w:r w:rsidRPr="00AC7E46">
                    <w:rPr>
                      <w:color w:val="000000"/>
                      <w:sz w:val="18"/>
                      <w:szCs w:val="18"/>
                      <w:lang w:val="fr-FR"/>
                    </w:rPr>
                    <w:t>Total</w:t>
                  </w:r>
                </w:p>
              </w:tc>
              <w:tc>
                <w:tcPr>
                  <w:tcW w:w="1057" w:type="dxa"/>
                </w:tcPr>
                <w:p w14:paraId="6BC30146" w14:textId="77777777" w:rsidR="000D5281" w:rsidRPr="00AC7E46" w:rsidRDefault="000D5281" w:rsidP="00E249CE">
                  <w:pPr>
                    <w:jc w:val="center"/>
                    <w:cnfStyle w:val="000000100000" w:firstRow="0" w:lastRow="0" w:firstColumn="0" w:lastColumn="0" w:oddVBand="0" w:evenVBand="0" w:oddHBand="1" w:evenHBand="0" w:firstRowFirstColumn="0" w:firstRowLastColumn="0" w:lastRowFirstColumn="0" w:lastRowLastColumn="0"/>
                    <w:rPr>
                      <w:b/>
                      <w:color w:val="000000"/>
                      <w:sz w:val="18"/>
                      <w:szCs w:val="18"/>
                      <w:lang w:val="fr-FR"/>
                    </w:rPr>
                  </w:pPr>
                  <w:r w:rsidRPr="00AC7E46">
                    <w:rPr>
                      <w:b/>
                      <w:color w:val="000000"/>
                      <w:sz w:val="18"/>
                      <w:szCs w:val="18"/>
                      <w:lang w:val="fr-FR"/>
                    </w:rPr>
                    <w:t>2 969 300</w:t>
                  </w:r>
                </w:p>
              </w:tc>
              <w:tc>
                <w:tcPr>
                  <w:tcW w:w="1236" w:type="dxa"/>
                </w:tcPr>
                <w:p w14:paraId="3314BB9D" w14:textId="77777777" w:rsidR="000D5281" w:rsidRPr="00AC7E46" w:rsidRDefault="000D5281" w:rsidP="00E249CE">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lang w:val="fr-FR"/>
                    </w:rPr>
                  </w:pPr>
                  <w:r w:rsidRPr="00AC7E46">
                    <w:rPr>
                      <w:b/>
                      <w:bCs/>
                      <w:color w:val="000000"/>
                      <w:sz w:val="18"/>
                      <w:szCs w:val="18"/>
                      <w:lang w:val="fr-FR"/>
                    </w:rPr>
                    <w:t>2 967 255</w:t>
                  </w:r>
                </w:p>
              </w:tc>
              <w:tc>
                <w:tcPr>
                  <w:tcW w:w="1251" w:type="dxa"/>
                </w:tcPr>
                <w:p w14:paraId="3D6E4024" w14:textId="77777777" w:rsidR="000D5281" w:rsidRPr="00AC7E46" w:rsidRDefault="000D5281" w:rsidP="00E249CE">
                  <w:pPr>
                    <w:jc w:val="center"/>
                    <w:cnfStyle w:val="000000100000" w:firstRow="0" w:lastRow="0" w:firstColumn="0" w:lastColumn="0" w:oddVBand="0" w:evenVBand="0" w:oddHBand="1" w:evenHBand="0" w:firstRowFirstColumn="0" w:firstRowLastColumn="0" w:lastRowFirstColumn="0" w:lastRowLastColumn="0"/>
                    <w:rPr>
                      <w:b/>
                      <w:color w:val="000000"/>
                      <w:sz w:val="18"/>
                      <w:szCs w:val="18"/>
                      <w:lang w:val="fr-FR"/>
                    </w:rPr>
                  </w:pPr>
                  <w:r w:rsidRPr="00AC7E46">
                    <w:rPr>
                      <w:b/>
                      <w:color w:val="000000"/>
                      <w:sz w:val="18"/>
                      <w:szCs w:val="18"/>
                      <w:lang w:val="fr-FR"/>
                    </w:rPr>
                    <w:t>100%</w:t>
                  </w:r>
                </w:p>
              </w:tc>
            </w:tr>
          </w:tbl>
          <w:p w14:paraId="04C6C6B7" w14:textId="47B74888" w:rsidR="000D5281" w:rsidRPr="00AC7E46" w:rsidRDefault="000D5281" w:rsidP="00DA2C59">
            <w:pPr>
              <w:pStyle w:val="ONUME"/>
              <w:numPr>
                <w:ilvl w:val="0"/>
                <w:numId w:val="0"/>
              </w:numPr>
              <w:spacing w:before="120"/>
              <w:ind w:left="34"/>
              <w:rPr>
                <w:sz w:val="18"/>
                <w:szCs w:val="16"/>
                <w:lang w:val="fr-FR"/>
              </w:rPr>
            </w:pPr>
            <w:r w:rsidRPr="00AC7E46">
              <w:rPr>
                <w:sz w:val="18"/>
                <w:szCs w:val="16"/>
                <w:lang w:val="fr-FR"/>
              </w:rPr>
              <w:t>Source</w:t>
            </w:r>
            <w:r w:rsidR="00761289" w:rsidRPr="00AC7E46">
              <w:rPr>
                <w:sz w:val="18"/>
                <w:szCs w:val="16"/>
                <w:lang w:val="fr-FR"/>
              </w:rPr>
              <w:t> :</w:t>
            </w:r>
            <w:r w:rsidRPr="00AC7E46">
              <w:rPr>
                <w:sz w:val="18"/>
                <w:szCs w:val="16"/>
                <w:lang w:val="fr-FR"/>
              </w:rPr>
              <w:t xml:space="preserve"> Système de gestion des performances de l</w:t>
            </w:r>
            <w:r w:rsidR="00761289" w:rsidRPr="00AC7E46">
              <w:rPr>
                <w:sz w:val="18"/>
                <w:szCs w:val="16"/>
                <w:lang w:val="fr-FR"/>
              </w:rPr>
              <w:t>’</w:t>
            </w:r>
            <w:r w:rsidRPr="00AC7E46">
              <w:rPr>
                <w:sz w:val="18"/>
                <w:szCs w:val="16"/>
                <w:lang w:val="fr-FR"/>
              </w:rPr>
              <w:t>Organisation</w:t>
            </w:r>
          </w:p>
          <w:p w14:paraId="58C20065" w14:textId="77777777" w:rsidR="000D5281" w:rsidRPr="00AC7E46" w:rsidRDefault="000D5281" w:rsidP="00E249CE">
            <w:pPr>
              <w:pStyle w:val="ONUME"/>
              <w:numPr>
                <w:ilvl w:val="0"/>
                <w:numId w:val="0"/>
              </w:numPr>
              <w:rPr>
                <w:lang w:val="fr-FR"/>
              </w:rPr>
            </w:pPr>
          </w:p>
        </w:tc>
        <w:tc>
          <w:tcPr>
            <w:tcW w:w="5119" w:type="dxa"/>
          </w:tcPr>
          <w:p w14:paraId="2595F916" w14:textId="77777777" w:rsidR="000D5281" w:rsidRPr="00AC7E46" w:rsidRDefault="000D5281" w:rsidP="00E249CE">
            <w:pPr>
              <w:pStyle w:val="ONUME"/>
              <w:numPr>
                <w:ilvl w:val="0"/>
                <w:numId w:val="0"/>
              </w:numPr>
              <w:rPr>
                <w:lang w:val="fr-FR"/>
              </w:rPr>
            </w:pPr>
          </w:p>
          <w:p w14:paraId="05818508" w14:textId="77777777" w:rsidR="000D5281" w:rsidRPr="00AC7E46" w:rsidRDefault="000D5281" w:rsidP="00E249CE">
            <w:pPr>
              <w:pStyle w:val="ONUME"/>
              <w:numPr>
                <w:ilvl w:val="0"/>
                <w:numId w:val="0"/>
              </w:numPr>
              <w:rPr>
                <w:sz w:val="16"/>
                <w:szCs w:val="14"/>
                <w:lang w:val="fr-FR"/>
              </w:rPr>
            </w:pPr>
          </w:p>
          <w:p w14:paraId="54D934AF" w14:textId="77777777" w:rsidR="000D5281" w:rsidRPr="00AC7E46" w:rsidRDefault="000D5281" w:rsidP="00E249CE">
            <w:pPr>
              <w:pStyle w:val="ONUME"/>
              <w:numPr>
                <w:ilvl w:val="0"/>
                <w:numId w:val="0"/>
              </w:numPr>
              <w:rPr>
                <w:sz w:val="16"/>
                <w:szCs w:val="14"/>
                <w:lang w:val="fr-FR"/>
              </w:rPr>
            </w:pPr>
          </w:p>
          <w:p w14:paraId="2BC700EE" w14:textId="77777777" w:rsidR="000D5281" w:rsidRPr="00AC7E46" w:rsidRDefault="000D5281" w:rsidP="00E249CE">
            <w:pPr>
              <w:pStyle w:val="ONUME"/>
              <w:numPr>
                <w:ilvl w:val="0"/>
                <w:numId w:val="0"/>
              </w:numPr>
              <w:rPr>
                <w:lang w:val="fr-FR"/>
              </w:rPr>
            </w:pPr>
          </w:p>
          <w:p w14:paraId="0C7B7EC2" w14:textId="77777777" w:rsidR="000D5281" w:rsidRPr="00AC7E46" w:rsidRDefault="000D5281" w:rsidP="00E249CE">
            <w:pPr>
              <w:pStyle w:val="ONUME"/>
              <w:numPr>
                <w:ilvl w:val="0"/>
                <w:numId w:val="0"/>
              </w:numPr>
              <w:rPr>
                <w:sz w:val="16"/>
                <w:szCs w:val="14"/>
                <w:lang w:val="fr-FR"/>
              </w:rPr>
            </w:pPr>
          </w:p>
          <w:p w14:paraId="78BA9936" w14:textId="77777777" w:rsidR="000D5281" w:rsidRPr="00AC7E46" w:rsidRDefault="000D5281" w:rsidP="00E249CE">
            <w:pPr>
              <w:pStyle w:val="ONUME"/>
              <w:numPr>
                <w:ilvl w:val="0"/>
                <w:numId w:val="0"/>
              </w:numPr>
              <w:rPr>
                <w:sz w:val="16"/>
                <w:szCs w:val="14"/>
                <w:lang w:val="fr-FR"/>
              </w:rPr>
            </w:pPr>
          </w:p>
          <w:p w14:paraId="2994AA6C" w14:textId="6D5263A9" w:rsidR="000D5281" w:rsidRPr="00AC7E46" w:rsidRDefault="005F3E1B" w:rsidP="00E249CE">
            <w:pPr>
              <w:pStyle w:val="ONUME"/>
              <w:numPr>
                <w:ilvl w:val="0"/>
                <w:numId w:val="0"/>
              </w:numPr>
              <w:rPr>
                <w:sz w:val="16"/>
                <w:szCs w:val="14"/>
                <w:lang w:val="fr-FR"/>
              </w:rPr>
            </w:pPr>
            <w:r w:rsidRPr="005F3E1B">
              <w:rPr>
                <w:noProof/>
                <w:sz w:val="18"/>
                <w:szCs w:val="18"/>
                <w:lang w:val="fr-FR"/>
              </w:rPr>
              <w:drawing>
                <wp:inline distT="0" distB="0" distL="0" distR="0" wp14:anchorId="0C8ED9BE" wp14:editId="45E3637C">
                  <wp:extent cx="3240000" cy="2040814"/>
                  <wp:effectExtent l="0" t="0" r="0" b="0"/>
                  <wp:docPr id="18" name="Picture 18" descr="Diagramme 6 – Budget et dépenses de la DSI en 2023  et composition de l’effe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iagramme 6 – Budget et dépenses de la DSI en 2023  et composition de l’effect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40000" cy="2040814"/>
                          </a:xfrm>
                          <a:prstGeom prst="rect">
                            <a:avLst/>
                          </a:prstGeom>
                          <a:noFill/>
                          <a:ln>
                            <a:noFill/>
                          </a:ln>
                        </pic:spPr>
                      </pic:pic>
                    </a:graphicData>
                  </a:graphic>
                </wp:inline>
              </w:drawing>
            </w:r>
            <w:r w:rsidR="000D5281" w:rsidRPr="00AC7E46">
              <w:rPr>
                <w:sz w:val="18"/>
                <w:szCs w:val="18"/>
                <w:lang w:val="fr-FR"/>
              </w:rPr>
              <w:t>Source</w:t>
            </w:r>
            <w:r w:rsidR="00761289" w:rsidRPr="00AC7E46">
              <w:rPr>
                <w:sz w:val="18"/>
                <w:szCs w:val="18"/>
                <w:lang w:val="fr-FR"/>
              </w:rPr>
              <w:t> :</w:t>
            </w:r>
            <w:r w:rsidR="000D5281" w:rsidRPr="00AC7E46">
              <w:rPr>
                <w:sz w:val="18"/>
                <w:szCs w:val="18"/>
                <w:lang w:val="fr-FR"/>
              </w:rPr>
              <w:t xml:space="preserve"> Analyse des données décisionnelles de l</w:t>
            </w:r>
            <w:r w:rsidR="00761289" w:rsidRPr="00AC7E46">
              <w:rPr>
                <w:sz w:val="18"/>
                <w:szCs w:val="18"/>
                <w:lang w:val="fr-FR"/>
              </w:rPr>
              <w:t>’</w:t>
            </w:r>
            <w:r w:rsidR="000D5281" w:rsidRPr="00AC7E46">
              <w:rPr>
                <w:sz w:val="18"/>
                <w:szCs w:val="18"/>
                <w:lang w:val="fr-FR"/>
              </w:rPr>
              <w:t>OMPI, tableau de bord</w:t>
            </w:r>
            <w:r w:rsidR="00761289" w:rsidRPr="00AC7E46">
              <w:rPr>
                <w:sz w:val="18"/>
                <w:szCs w:val="18"/>
                <w:lang w:val="fr-FR"/>
              </w:rPr>
              <w:t xml:space="preserve"> du DGR</w:t>
            </w:r>
            <w:r w:rsidR="000D5281" w:rsidRPr="00AC7E46">
              <w:rPr>
                <w:sz w:val="18"/>
                <w:szCs w:val="18"/>
                <w:lang w:val="fr-FR"/>
              </w:rPr>
              <w:t>H</w:t>
            </w:r>
          </w:p>
        </w:tc>
      </w:tr>
    </w:tbl>
    <w:p w14:paraId="010AEB21" w14:textId="59968FC1" w:rsidR="000D5281" w:rsidRPr="00AC7E46" w:rsidRDefault="000D5281" w:rsidP="00D31722">
      <w:pPr>
        <w:pStyle w:val="ONUMFS"/>
        <w:rPr>
          <w:lang w:val="fr-FR"/>
        </w:rPr>
      </w:pPr>
      <w:r w:rsidRPr="00AC7E46">
        <w:rPr>
          <w:lang w:val="fr-FR"/>
        </w:rPr>
        <w:t>Globalement, le niveau des ressources humaines et financières a été suffisant pour permettre à</w:t>
      </w:r>
      <w:r w:rsidR="00761289" w:rsidRPr="00AC7E46">
        <w:rPr>
          <w:lang w:val="fr-FR"/>
        </w:rPr>
        <w:t xml:space="preserve"> la DSI</w:t>
      </w:r>
      <w:r w:rsidRPr="00AC7E46">
        <w:rPr>
          <w:lang w:val="fr-FR"/>
        </w:rPr>
        <w:t xml:space="preserve"> de couvrir adéquatement les secteurs prioritaires recensés dans son programme de travail </w:t>
      </w:r>
      <w:r w:rsidR="00761289" w:rsidRPr="00AC7E46">
        <w:rPr>
          <w:lang w:val="fr-FR"/>
        </w:rPr>
        <w:t>pour 2023</w:t>
      </w:r>
      <w:r w:rsidRPr="00AC7E46">
        <w:rPr>
          <w:lang w:val="fr-FR"/>
        </w:rPr>
        <w:t>.  L</w:t>
      </w:r>
      <w:r w:rsidR="00761289" w:rsidRPr="00AC7E46">
        <w:rPr>
          <w:lang w:val="fr-FR"/>
        </w:rPr>
        <w:t>’</w:t>
      </w:r>
      <w:r w:rsidRPr="00AC7E46">
        <w:rPr>
          <w:lang w:val="fr-FR"/>
        </w:rPr>
        <w:t>utilisation de ressources hors personnel, la coordination des activités de supervision avec le vérificateur externe des comptes et l</w:t>
      </w:r>
      <w:r w:rsidR="00761289" w:rsidRPr="00AC7E46">
        <w:rPr>
          <w:lang w:val="fr-FR"/>
        </w:rPr>
        <w:t>’</w:t>
      </w:r>
      <w:r w:rsidRPr="00AC7E46">
        <w:rPr>
          <w:lang w:val="fr-FR"/>
        </w:rPr>
        <w:t>utilisation rationnelle des outils informatiques ont contribué à l</w:t>
      </w:r>
      <w:r w:rsidR="00761289" w:rsidRPr="00AC7E46">
        <w:rPr>
          <w:lang w:val="fr-FR"/>
        </w:rPr>
        <w:t>’</w:t>
      </w:r>
      <w:r w:rsidRPr="00AC7E46">
        <w:rPr>
          <w:lang w:val="fr-FR"/>
        </w:rPr>
        <w:t>efficacité et à la rentabilité accrues des activités et à une meilleure couverture des secteurs à risque.</w:t>
      </w:r>
    </w:p>
    <w:p w14:paraId="1AEB0F1B" w14:textId="1B0FDFBF" w:rsidR="000D5281" w:rsidRPr="00AC7E46" w:rsidRDefault="00927FF9" w:rsidP="00F4635E">
      <w:pPr>
        <w:pStyle w:val="Heading2"/>
      </w:pPr>
      <w:r>
        <w:t>F</w:t>
      </w:r>
      <w:r w:rsidRPr="00AC7E46">
        <w:t>ormation et formation professionnelle continue</w:t>
      </w:r>
    </w:p>
    <w:p w14:paraId="46AF488A" w14:textId="613F960F" w:rsidR="000D5281" w:rsidRPr="00AC7E46" w:rsidRDefault="000D5281" w:rsidP="00D31722">
      <w:pPr>
        <w:pStyle w:val="ONUMFS"/>
        <w:rPr>
          <w:lang w:val="fr-FR"/>
        </w:rPr>
      </w:pPr>
      <w:r w:rsidRPr="00AC7E46">
        <w:rPr>
          <w:lang w:val="fr-FR"/>
        </w:rPr>
        <w:t>La formation professionnelle continue de son personnel est essentielle pour garantir la capacité de la DSI à remplir sa mission et à soutenir l</w:t>
      </w:r>
      <w:r w:rsidR="00761289" w:rsidRPr="00AC7E46">
        <w:rPr>
          <w:lang w:val="fr-FR"/>
        </w:rPr>
        <w:t>’</w:t>
      </w:r>
      <w:r w:rsidRPr="00AC7E46">
        <w:rPr>
          <w:lang w:val="fr-FR"/>
        </w:rPr>
        <w:t>Organisati</w:t>
      </w:r>
      <w:r w:rsidR="00AC7E46" w:rsidRPr="00AC7E46">
        <w:rPr>
          <w:lang w:val="fr-FR"/>
        </w:rPr>
        <w:t>on.  Co</w:t>
      </w:r>
      <w:r w:rsidRPr="00AC7E46">
        <w:rPr>
          <w:lang w:val="fr-FR"/>
        </w:rPr>
        <w:t>nformément à la politique de l</w:t>
      </w:r>
      <w:r w:rsidR="00761289" w:rsidRPr="00AC7E46">
        <w:rPr>
          <w:lang w:val="fr-FR"/>
        </w:rPr>
        <w:t>’</w:t>
      </w:r>
      <w:r w:rsidRPr="00AC7E46">
        <w:rPr>
          <w:lang w:val="fr-FR"/>
        </w:rPr>
        <w:t>OMPI en matière de formation, la DSI établit un programme de formation annuel afin que les fonctionnaires puissent participer à diverses activités de formation et acquérir des connaissances, des aptitudes techniques et d</w:t>
      </w:r>
      <w:r w:rsidR="00761289" w:rsidRPr="00AC7E46">
        <w:rPr>
          <w:lang w:val="fr-FR"/>
        </w:rPr>
        <w:t>’</w:t>
      </w:r>
      <w:r w:rsidRPr="00AC7E46">
        <w:rPr>
          <w:lang w:val="fr-FR"/>
        </w:rPr>
        <w:t>autres compétences qui contribueront à renforcer le fonctionnement et l</w:t>
      </w:r>
      <w:r w:rsidR="00761289" w:rsidRPr="00AC7E46">
        <w:rPr>
          <w:lang w:val="fr-FR"/>
        </w:rPr>
        <w:t>’</w:t>
      </w:r>
      <w:r w:rsidRPr="00AC7E46">
        <w:rPr>
          <w:lang w:val="fr-FR"/>
        </w:rPr>
        <w:t>efficacité de la division dans le cadre de ses missions de supervisi</w:t>
      </w:r>
      <w:r w:rsidR="00AC7E46" w:rsidRPr="00AC7E46">
        <w:rPr>
          <w:lang w:val="fr-FR"/>
        </w:rPr>
        <w:t>on.  En</w:t>
      </w:r>
      <w:r w:rsidRPr="00AC7E46">
        <w:rPr>
          <w:lang w:val="fr-FR"/>
        </w:rPr>
        <w:t xml:space="preserve"> moyenne, chaque fonctionnaire de la DSI a suivi 10 jours de formation </w:t>
      </w:r>
      <w:r w:rsidR="00761289" w:rsidRPr="00AC7E46">
        <w:rPr>
          <w:lang w:val="fr-FR"/>
        </w:rPr>
        <w:t>en 2023</w:t>
      </w:r>
      <w:r w:rsidRPr="00AC7E46">
        <w:rPr>
          <w:lang w:val="fr-FR"/>
        </w:rPr>
        <w:t>.</w:t>
      </w:r>
    </w:p>
    <w:p w14:paraId="4D7EB148" w14:textId="77E81DBE" w:rsidR="000D5281" w:rsidRPr="00AC7E46" w:rsidRDefault="00927FF9" w:rsidP="00927FF9">
      <w:pPr>
        <w:pStyle w:val="Heading1"/>
      </w:pPr>
      <w:bookmarkStart w:id="54" w:name="_Toc165888325"/>
      <w:r>
        <w:t>V</w:t>
      </w:r>
      <w:r w:rsidRPr="00AC7E46">
        <w:t>oie à suivre – 2024 et au</w:t>
      </w:r>
      <w:r>
        <w:noBreakHyphen/>
      </w:r>
      <w:r w:rsidRPr="00AC7E46">
        <w:t>delà</w:t>
      </w:r>
      <w:bookmarkEnd w:id="54"/>
    </w:p>
    <w:p w14:paraId="67D03966" w14:textId="2AE29A37" w:rsidR="000D5281" w:rsidRPr="00AC7E46" w:rsidRDefault="000D5281" w:rsidP="00D31722">
      <w:pPr>
        <w:pStyle w:val="ONUMFS"/>
        <w:rPr>
          <w:lang w:val="fr-FR"/>
        </w:rPr>
      </w:pPr>
      <w:r w:rsidRPr="00AC7E46">
        <w:rPr>
          <w:lang w:val="fr-FR"/>
        </w:rPr>
        <w:t>La DSI tient à remercier l</w:t>
      </w:r>
      <w:r w:rsidR="00761289" w:rsidRPr="00AC7E46">
        <w:rPr>
          <w:lang w:val="fr-FR"/>
        </w:rPr>
        <w:t>’</w:t>
      </w:r>
      <w:r w:rsidRPr="00AC7E46">
        <w:rPr>
          <w:lang w:val="fr-FR"/>
        </w:rPr>
        <w:t xml:space="preserve">OCIS, le Directeur général, les chefs de secteur et les membres du personnel pour leur soutien constant, qui a permis à la division de remplir sa mission avec succès </w:t>
      </w:r>
      <w:r w:rsidR="00761289" w:rsidRPr="00AC7E46">
        <w:rPr>
          <w:lang w:val="fr-FR"/>
        </w:rPr>
        <w:t>en 2023</w:t>
      </w:r>
      <w:r w:rsidRPr="00AC7E46">
        <w:rPr>
          <w:lang w:val="fr-FR"/>
        </w:rPr>
        <w:t>.</w:t>
      </w:r>
    </w:p>
    <w:p w14:paraId="3A36E3F5" w14:textId="3345C9CF" w:rsidR="000D5281" w:rsidRPr="00AC7E46" w:rsidRDefault="000D5281" w:rsidP="00D31722">
      <w:pPr>
        <w:pStyle w:val="ONUMFS"/>
        <w:rPr>
          <w:lang w:val="fr-FR"/>
        </w:rPr>
      </w:pPr>
      <w:r w:rsidRPr="00AC7E46">
        <w:rPr>
          <w:lang w:val="fr-FR"/>
        </w:rPr>
        <w:t>Sous l</w:t>
      </w:r>
      <w:r w:rsidR="00761289" w:rsidRPr="00AC7E46">
        <w:rPr>
          <w:lang w:val="fr-FR"/>
        </w:rPr>
        <w:t>’</w:t>
      </w:r>
      <w:r w:rsidRPr="00AC7E46">
        <w:rPr>
          <w:lang w:val="fr-FR"/>
        </w:rPr>
        <w:t xml:space="preserve">autorité de sa nouvelle directrice, </w:t>
      </w:r>
      <w:r w:rsidR="00761289" w:rsidRPr="00AC7E46">
        <w:rPr>
          <w:lang w:val="fr-FR"/>
        </w:rPr>
        <w:t>en 2024</w:t>
      </w:r>
      <w:r w:rsidRPr="00AC7E46">
        <w:rPr>
          <w:lang w:val="fr-FR"/>
        </w:rPr>
        <w:t>,</w:t>
      </w:r>
      <w:r w:rsidR="00761289" w:rsidRPr="00AC7E46">
        <w:rPr>
          <w:lang w:val="fr-FR"/>
        </w:rPr>
        <w:t xml:space="preserve"> la DSI</w:t>
      </w:r>
      <w:r w:rsidRPr="00AC7E46">
        <w:rPr>
          <w:lang w:val="fr-FR"/>
        </w:rPr>
        <w:t xml:space="preserve"> mettra en œuvre diverses initiatives en vue d</w:t>
      </w:r>
      <w:r w:rsidR="00761289" w:rsidRPr="00AC7E46">
        <w:rPr>
          <w:lang w:val="fr-FR"/>
        </w:rPr>
        <w:t>’</w:t>
      </w:r>
      <w:r w:rsidRPr="00AC7E46">
        <w:rPr>
          <w:lang w:val="fr-FR"/>
        </w:rPr>
        <w:t>améliorer ses services, d</w:t>
      </w:r>
      <w:r w:rsidR="00761289" w:rsidRPr="00AC7E46">
        <w:rPr>
          <w:lang w:val="fr-FR"/>
        </w:rPr>
        <w:t>’</w:t>
      </w:r>
      <w:r w:rsidRPr="00AC7E46">
        <w:rPr>
          <w:lang w:val="fr-FR"/>
        </w:rPr>
        <w:t>accroître son efficacité et son efficience, et de poursuivre ses échanges avec diverses parties prenant</w:t>
      </w:r>
      <w:r w:rsidR="00AC7E46" w:rsidRPr="00AC7E46">
        <w:rPr>
          <w:lang w:val="fr-FR"/>
        </w:rPr>
        <w:t>es.  Ce</w:t>
      </w:r>
      <w:r w:rsidRPr="00AC7E46">
        <w:rPr>
          <w:lang w:val="fr-FR"/>
        </w:rPr>
        <w:t>s initiatives englobent les actions clés suivantes, qui sont déjà en cours de déploiement</w:t>
      </w:r>
      <w:r w:rsidR="00761289" w:rsidRPr="00AC7E46">
        <w:rPr>
          <w:lang w:val="fr-FR"/>
        </w:rPr>
        <w:t> :</w:t>
      </w:r>
    </w:p>
    <w:p w14:paraId="66D4090A" w14:textId="4399A149" w:rsidR="000D5281" w:rsidRPr="00AC7E46" w:rsidRDefault="00927FF9" w:rsidP="00F4635E">
      <w:pPr>
        <w:pStyle w:val="Heading2"/>
      </w:pPr>
      <w:r>
        <w:t>S</w:t>
      </w:r>
      <w:r w:rsidRPr="00AC7E46">
        <w:t>ection de l’audit interne</w:t>
      </w:r>
    </w:p>
    <w:p w14:paraId="12A7CBB9" w14:textId="7A91592C" w:rsidR="000D5281" w:rsidRPr="00AC7E46" w:rsidRDefault="000D5281" w:rsidP="00D31722">
      <w:pPr>
        <w:pStyle w:val="ONUMFS"/>
        <w:rPr>
          <w:lang w:val="fr-FR"/>
        </w:rPr>
      </w:pPr>
      <w:r w:rsidRPr="00AC7E46">
        <w:rPr>
          <w:lang w:val="fr-FR"/>
        </w:rPr>
        <w:t>L</w:t>
      </w:r>
      <w:r w:rsidR="00761289" w:rsidRPr="00AC7E46">
        <w:rPr>
          <w:lang w:val="fr-FR"/>
        </w:rPr>
        <w:t>’</w:t>
      </w:r>
      <w:r w:rsidRPr="00AC7E46">
        <w:rPr>
          <w:lang w:val="fr-FR"/>
        </w:rPr>
        <w:t>IIA a publié les nouvelles normes internationales en matière d</w:t>
      </w:r>
      <w:r w:rsidR="00761289" w:rsidRPr="00AC7E46">
        <w:rPr>
          <w:lang w:val="fr-FR"/>
        </w:rPr>
        <w:t>’</w:t>
      </w:r>
      <w:r w:rsidRPr="00AC7E46">
        <w:rPr>
          <w:lang w:val="fr-FR"/>
        </w:rPr>
        <w:t>audit interne le 9 janvier 2024, lesquelles devraient entrer en vigueur le 9 janvier 2025, une adoption rapide étant encourag</w:t>
      </w:r>
      <w:r w:rsidR="00AC7E46" w:rsidRPr="00AC7E46">
        <w:rPr>
          <w:lang w:val="fr-FR"/>
        </w:rPr>
        <w:t>ée.  La</w:t>
      </w:r>
      <w:r w:rsidR="00761289" w:rsidRPr="00AC7E46">
        <w:rPr>
          <w:lang w:val="fr-FR"/>
        </w:rPr>
        <w:t> DSI</w:t>
      </w:r>
      <w:r w:rsidRPr="00AC7E46">
        <w:rPr>
          <w:lang w:val="fr-FR"/>
        </w:rPr>
        <w:t xml:space="preserve"> a choisi la voie d</w:t>
      </w:r>
      <w:r w:rsidR="00761289" w:rsidRPr="00AC7E46">
        <w:rPr>
          <w:lang w:val="fr-FR"/>
        </w:rPr>
        <w:t>’</w:t>
      </w:r>
      <w:r w:rsidRPr="00AC7E46">
        <w:rPr>
          <w:lang w:val="fr-FR"/>
        </w:rPr>
        <w:t>une adoption rapide et mettra à jour son manuel, sa politique et sa Charte sur l</w:t>
      </w:r>
      <w:r w:rsidR="00761289" w:rsidRPr="00AC7E46">
        <w:rPr>
          <w:lang w:val="fr-FR"/>
        </w:rPr>
        <w:t>’</w:t>
      </w:r>
      <w:r w:rsidRPr="00AC7E46">
        <w:rPr>
          <w:lang w:val="fr-FR"/>
        </w:rPr>
        <w:t>audit interne, en tant que de besoin.</w:t>
      </w:r>
    </w:p>
    <w:p w14:paraId="4A3F2623" w14:textId="7D64DC5A" w:rsidR="000D5281" w:rsidRPr="00AC7E46" w:rsidRDefault="000D5281" w:rsidP="00D31722">
      <w:pPr>
        <w:pStyle w:val="ONUMFS"/>
        <w:rPr>
          <w:lang w:val="fr-FR"/>
        </w:rPr>
      </w:pPr>
      <w:r w:rsidRPr="00AC7E46">
        <w:rPr>
          <w:lang w:val="fr-FR"/>
        </w:rPr>
        <w:t>Conformément aux normes susmentionnées,</w:t>
      </w:r>
      <w:r w:rsidR="00761289" w:rsidRPr="00AC7E46">
        <w:rPr>
          <w:lang w:val="fr-FR"/>
        </w:rPr>
        <w:t xml:space="preserve"> la DSI</w:t>
      </w:r>
      <w:r w:rsidRPr="00AC7E46">
        <w:rPr>
          <w:lang w:val="fr-FR"/>
        </w:rPr>
        <w:t xml:space="preserve"> inclura une conclusion sur la mission dans chaque rapport d</w:t>
      </w:r>
      <w:r w:rsidR="00761289" w:rsidRPr="00AC7E46">
        <w:rPr>
          <w:lang w:val="fr-FR"/>
        </w:rPr>
        <w:t>’</w:t>
      </w:r>
      <w:r w:rsidRPr="00AC7E46">
        <w:rPr>
          <w:lang w:val="fr-FR"/>
        </w:rPr>
        <w:t xml:space="preserve">audit établi </w:t>
      </w:r>
      <w:r w:rsidR="00761289" w:rsidRPr="00AC7E46">
        <w:rPr>
          <w:lang w:val="fr-FR"/>
        </w:rPr>
        <w:t>en 2024</w:t>
      </w:r>
      <w:r w:rsidRPr="00AC7E46">
        <w:rPr>
          <w:lang w:val="fr-FR"/>
        </w:rPr>
        <w:t>.  En outre, à partir de l</w:t>
      </w:r>
      <w:r w:rsidR="00761289" w:rsidRPr="00AC7E46">
        <w:rPr>
          <w:lang w:val="fr-FR"/>
        </w:rPr>
        <w:t>’</w:t>
      </w:r>
      <w:r w:rsidRPr="00AC7E46">
        <w:rPr>
          <w:lang w:val="fr-FR"/>
        </w:rPr>
        <w:t xml:space="preserve">exercice se clôturant le </w:t>
      </w:r>
      <w:r w:rsidRPr="00AC7E46">
        <w:rPr>
          <w:lang w:val="fr-FR"/>
        </w:rPr>
        <w:lastRenderedPageBreak/>
        <w:t>31 décembre 2025, la directrice de</w:t>
      </w:r>
      <w:r w:rsidR="00761289" w:rsidRPr="00AC7E46">
        <w:rPr>
          <w:lang w:val="fr-FR"/>
        </w:rPr>
        <w:t xml:space="preserve"> la DSI</w:t>
      </w:r>
      <w:r w:rsidRPr="00AC7E46">
        <w:rPr>
          <w:lang w:val="fr-FR"/>
        </w:rPr>
        <w:t xml:space="preserve"> rendra chaque année un avis général concernant la déclaration sur le contrôle interne de l</w:t>
      </w:r>
      <w:r w:rsidR="00761289" w:rsidRPr="00AC7E46">
        <w:rPr>
          <w:lang w:val="fr-FR"/>
        </w:rPr>
        <w:t>’</w:t>
      </w:r>
      <w:r w:rsidRPr="00AC7E46">
        <w:rPr>
          <w:lang w:val="fr-FR"/>
        </w:rPr>
        <w:t>OMPI.  À cet effet, parallèlement à d</w:t>
      </w:r>
      <w:r w:rsidR="00761289" w:rsidRPr="00AC7E46">
        <w:rPr>
          <w:lang w:val="fr-FR"/>
        </w:rPr>
        <w:t>’</w:t>
      </w:r>
      <w:r w:rsidRPr="00AC7E46">
        <w:rPr>
          <w:lang w:val="fr-FR"/>
        </w:rPr>
        <w:t>autres audits prévus,</w:t>
      </w:r>
      <w:r w:rsidR="00761289" w:rsidRPr="00AC7E46">
        <w:rPr>
          <w:lang w:val="fr-FR"/>
        </w:rPr>
        <w:t xml:space="preserve"> la DSI</w:t>
      </w:r>
      <w:r w:rsidRPr="00AC7E46">
        <w:rPr>
          <w:lang w:val="fr-FR"/>
        </w:rPr>
        <w:t xml:space="preserve"> mènera un essai en vue de tester la conception, la mise en œuvre et l</w:t>
      </w:r>
      <w:r w:rsidR="00761289" w:rsidRPr="00AC7E46">
        <w:rPr>
          <w:lang w:val="fr-FR"/>
        </w:rPr>
        <w:t>’</w:t>
      </w:r>
      <w:r w:rsidRPr="00AC7E46">
        <w:rPr>
          <w:lang w:val="fr-FR"/>
        </w:rPr>
        <w:t>efficacité opérationnelle des principaux contrôles de l</w:t>
      </w:r>
      <w:r w:rsidR="00761289" w:rsidRPr="00AC7E46">
        <w:rPr>
          <w:lang w:val="fr-FR"/>
        </w:rPr>
        <w:t>’</w:t>
      </w:r>
      <w:r w:rsidRPr="00AC7E46">
        <w:rPr>
          <w:lang w:val="fr-FR"/>
        </w:rPr>
        <w:t>Organisation prévus par le Règlement financier et règlement d</w:t>
      </w:r>
      <w:r w:rsidR="00761289" w:rsidRPr="00AC7E46">
        <w:rPr>
          <w:lang w:val="fr-FR"/>
        </w:rPr>
        <w:t>’</w:t>
      </w:r>
      <w:r w:rsidRPr="00AC7E46">
        <w:rPr>
          <w:lang w:val="fr-FR"/>
        </w:rPr>
        <w:t>exécution du Règlement financier et par le Statut et Règlement du personnel.</w:t>
      </w:r>
    </w:p>
    <w:p w14:paraId="73A6F3D0" w14:textId="7007597E" w:rsidR="000D5281" w:rsidRPr="00AC7E46" w:rsidRDefault="00927FF9" w:rsidP="00F4635E">
      <w:pPr>
        <w:pStyle w:val="Heading2"/>
      </w:pPr>
      <w:r>
        <w:t>S</w:t>
      </w:r>
      <w:r w:rsidRPr="00AC7E46">
        <w:t>ection des enquêtes</w:t>
      </w:r>
    </w:p>
    <w:p w14:paraId="66E4705D" w14:textId="300BA016" w:rsidR="000D5281" w:rsidRPr="00AC7E46" w:rsidRDefault="000D5281" w:rsidP="00D31722">
      <w:pPr>
        <w:pStyle w:val="ONUMFS"/>
        <w:rPr>
          <w:lang w:val="fr-FR"/>
        </w:rPr>
      </w:pPr>
      <w:r w:rsidRPr="00AC7E46">
        <w:rPr>
          <w:lang w:val="fr-FR"/>
        </w:rPr>
        <w:t>Dans le cadre d</w:t>
      </w:r>
      <w:r w:rsidR="00761289" w:rsidRPr="00AC7E46">
        <w:rPr>
          <w:lang w:val="fr-FR"/>
        </w:rPr>
        <w:t>’</w:t>
      </w:r>
      <w:r w:rsidRPr="00AC7E46">
        <w:rPr>
          <w:lang w:val="fr-FR"/>
        </w:rPr>
        <w:t>un contrôle périodique régulier de ses règles et procédures,</w:t>
      </w:r>
      <w:r w:rsidR="00761289" w:rsidRPr="00AC7E46">
        <w:rPr>
          <w:lang w:val="fr-FR"/>
        </w:rPr>
        <w:t xml:space="preserve"> la DSI</w:t>
      </w:r>
      <w:r w:rsidRPr="00AC7E46">
        <w:rPr>
          <w:lang w:val="fr-FR"/>
        </w:rPr>
        <w:t xml:space="preserve"> examinera le manuel et la politique en matière d</w:t>
      </w:r>
      <w:r w:rsidR="00761289" w:rsidRPr="00AC7E46">
        <w:rPr>
          <w:lang w:val="fr-FR"/>
        </w:rPr>
        <w:t>’</w:t>
      </w:r>
      <w:r w:rsidRPr="00AC7E46">
        <w:rPr>
          <w:lang w:val="fr-FR"/>
        </w:rPr>
        <w:t>enquêtes en vue de préciser la procédure d</w:t>
      </w:r>
      <w:r w:rsidR="00761289" w:rsidRPr="00AC7E46">
        <w:rPr>
          <w:lang w:val="fr-FR"/>
        </w:rPr>
        <w:t>’</w:t>
      </w:r>
      <w:r w:rsidRPr="00AC7E46">
        <w:rPr>
          <w:lang w:val="fr-FR"/>
        </w:rPr>
        <w:t>enregistrement et d</w:t>
      </w:r>
      <w:r w:rsidR="00761289" w:rsidRPr="00AC7E46">
        <w:rPr>
          <w:lang w:val="fr-FR"/>
        </w:rPr>
        <w:t>’</w:t>
      </w:r>
      <w:r w:rsidRPr="00AC7E46">
        <w:rPr>
          <w:lang w:val="fr-FR"/>
        </w:rPr>
        <w:t>inclure des informations sur les mécanismes existants de règlement informel des différends avant de passer à une enquête formelle des dossiers concernés.</w:t>
      </w:r>
    </w:p>
    <w:p w14:paraId="64B79F16" w14:textId="78793FA7" w:rsidR="000D5281" w:rsidRPr="00AC7E46" w:rsidRDefault="00927FF9" w:rsidP="00F4635E">
      <w:pPr>
        <w:pStyle w:val="Heading2"/>
      </w:pPr>
      <w:r>
        <w:t>S</w:t>
      </w:r>
      <w:r w:rsidRPr="00AC7E46">
        <w:t>ection de l’évaluation</w:t>
      </w:r>
    </w:p>
    <w:p w14:paraId="735F0022" w14:textId="725EFCC8" w:rsidR="000D5281" w:rsidRPr="00AC7E46" w:rsidRDefault="000D5281" w:rsidP="00D31722">
      <w:pPr>
        <w:pStyle w:val="ONUMFS"/>
        <w:rPr>
          <w:lang w:val="fr-FR"/>
        </w:rPr>
      </w:pPr>
      <w:r w:rsidRPr="00AC7E46">
        <w:rPr>
          <w:lang w:val="fr-FR"/>
        </w:rPr>
        <w:t>Le manuel et la politique d</w:t>
      </w:r>
      <w:r w:rsidR="00761289" w:rsidRPr="00AC7E46">
        <w:rPr>
          <w:lang w:val="fr-FR"/>
        </w:rPr>
        <w:t>’</w:t>
      </w:r>
      <w:r w:rsidRPr="00AC7E46">
        <w:rPr>
          <w:lang w:val="fr-FR"/>
        </w:rPr>
        <w:t>évaluation seront mis à jour pour inclure les différents types de projets mis en œuvre au titre</w:t>
      </w:r>
      <w:r w:rsidR="00761289" w:rsidRPr="00AC7E46">
        <w:rPr>
          <w:lang w:val="fr-FR"/>
        </w:rPr>
        <w:t xml:space="preserve"> du PSM</w:t>
      </w:r>
      <w:r w:rsidRPr="00AC7E46">
        <w:rPr>
          <w:lang w:val="fr-FR"/>
        </w:rPr>
        <w:t>T</w:t>
      </w:r>
      <w:r w:rsidR="001908D2">
        <w:rPr>
          <w:lang w:val="fr-FR"/>
        </w:rPr>
        <w:t> </w:t>
      </w:r>
      <w:r w:rsidRPr="00AC7E46">
        <w:rPr>
          <w:lang w:val="fr-FR"/>
        </w:rPr>
        <w:t>2022</w:t>
      </w:r>
      <w:r w:rsidR="001908D2">
        <w:rPr>
          <w:lang w:val="fr-FR"/>
        </w:rPr>
        <w:noBreakHyphen/>
      </w:r>
      <w:r w:rsidRPr="00AC7E46">
        <w:rPr>
          <w:lang w:val="fr-FR"/>
        </w:rPr>
        <w:t>2026 et le type d</w:t>
      </w:r>
      <w:r w:rsidR="00761289" w:rsidRPr="00AC7E46">
        <w:rPr>
          <w:lang w:val="fr-FR"/>
        </w:rPr>
        <w:t>’</w:t>
      </w:r>
      <w:r w:rsidRPr="00AC7E46">
        <w:rPr>
          <w:lang w:val="fr-FR"/>
        </w:rPr>
        <w:t>évaluation correspondant afin de faciliter l</w:t>
      </w:r>
      <w:r w:rsidR="00761289" w:rsidRPr="00AC7E46">
        <w:rPr>
          <w:lang w:val="fr-FR"/>
        </w:rPr>
        <w:t>’</w:t>
      </w:r>
      <w:r w:rsidRPr="00AC7E46">
        <w:rPr>
          <w:lang w:val="fr-FR"/>
        </w:rPr>
        <w:t>apprentissage, la reddition de comptes et la prise de décisions pour les responsables de programme et l</w:t>
      </w:r>
      <w:r w:rsidR="00761289" w:rsidRPr="00AC7E46">
        <w:rPr>
          <w:lang w:val="fr-FR"/>
        </w:rPr>
        <w:t>’</w:t>
      </w:r>
      <w:r w:rsidRPr="00AC7E46">
        <w:rPr>
          <w:lang w:val="fr-FR"/>
        </w:rPr>
        <w:t>Organisation.</w:t>
      </w:r>
    </w:p>
    <w:p w14:paraId="1E94FCD5" w14:textId="324AB515" w:rsidR="000D5281" w:rsidRPr="00AC7E46" w:rsidRDefault="000D5281" w:rsidP="00D31722">
      <w:pPr>
        <w:pStyle w:val="ONUMFS"/>
        <w:rPr>
          <w:lang w:val="fr-FR"/>
        </w:rPr>
      </w:pPr>
      <w:r w:rsidRPr="00AC7E46">
        <w:rPr>
          <w:lang w:val="fr-FR"/>
        </w:rPr>
        <w:t>Conformément au programme d</w:t>
      </w:r>
      <w:r w:rsidR="00761289" w:rsidRPr="00AC7E46">
        <w:rPr>
          <w:lang w:val="fr-FR"/>
        </w:rPr>
        <w:t>’</w:t>
      </w:r>
      <w:r w:rsidRPr="00AC7E46">
        <w:rPr>
          <w:lang w:val="fr-FR"/>
        </w:rPr>
        <w:t>assurance et d</w:t>
      </w:r>
      <w:r w:rsidR="00761289" w:rsidRPr="00AC7E46">
        <w:rPr>
          <w:lang w:val="fr-FR"/>
        </w:rPr>
        <w:t>’</w:t>
      </w:r>
      <w:r w:rsidRPr="00AC7E46">
        <w:rPr>
          <w:lang w:val="fr-FR"/>
        </w:rPr>
        <w:t>amélioration de la qualité de</w:t>
      </w:r>
      <w:r w:rsidR="00761289" w:rsidRPr="00AC7E46">
        <w:rPr>
          <w:lang w:val="fr-FR"/>
        </w:rPr>
        <w:t xml:space="preserve"> la DSI</w:t>
      </w:r>
      <w:r w:rsidRPr="00AC7E46">
        <w:rPr>
          <w:lang w:val="fr-FR"/>
        </w:rPr>
        <w:t>, la Section de l</w:t>
      </w:r>
      <w:r w:rsidR="00761289" w:rsidRPr="00AC7E46">
        <w:rPr>
          <w:lang w:val="fr-FR"/>
        </w:rPr>
        <w:t>’</w:t>
      </w:r>
      <w:r w:rsidRPr="00AC7E46">
        <w:rPr>
          <w:lang w:val="fr-FR"/>
        </w:rPr>
        <w:t>évaluation fera l</w:t>
      </w:r>
      <w:r w:rsidR="00761289" w:rsidRPr="00AC7E46">
        <w:rPr>
          <w:lang w:val="fr-FR"/>
        </w:rPr>
        <w:t>’</w:t>
      </w:r>
      <w:r w:rsidRPr="00AC7E46">
        <w:rPr>
          <w:lang w:val="fr-FR"/>
        </w:rPr>
        <w:t>objet d</w:t>
      </w:r>
      <w:r w:rsidR="00761289" w:rsidRPr="00AC7E46">
        <w:rPr>
          <w:lang w:val="fr-FR"/>
        </w:rPr>
        <w:t>’</w:t>
      </w:r>
      <w:r w:rsidRPr="00AC7E46">
        <w:rPr>
          <w:lang w:val="fr-FR"/>
        </w:rPr>
        <w:t>un examen par les spécialistes</w:t>
      </w:r>
      <w:r w:rsidR="00761289" w:rsidRPr="00AC7E46">
        <w:rPr>
          <w:lang w:val="fr-FR"/>
        </w:rPr>
        <w:t xml:space="preserve"> du G</w:t>
      </w:r>
      <w:r w:rsidR="00AC7E46" w:rsidRPr="00AC7E46">
        <w:rPr>
          <w:lang w:val="fr-FR"/>
        </w:rPr>
        <w:t>NUE.  Ce</w:t>
      </w:r>
      <w:r w:rsidRPr="00AC7E46">
        <w:rPr>
          <w:lang w:val="fr-FR"/>
        </w:rPr>
        <w:t>s examens visent à évaluer de manière systématique le degré d</w:t>
      </w:r>
      <w:r w:rsidR="00761289" w:rsidRPr="00AC7E46">
        <w:rPr>
          <w:lang w:val="fr-FR"/>
        </w:rPr>
        <w:t>’</w:t>
      </w:r>
      <w:r w:rsidRPr="00AC7E46">
        <w:rPr>
          <w:lang w:val="fr-FR"/>
        </w:rPr>
        <w:t>indépendance, de crédibilité et d</w:t>
      </w:r>
      <w:r w:rsidR="00761289" w:rsidRPr="00AC7E46">
        <w:rPr>
          <w:lang w:val="fr-FR"/>
        </w:rPr>
        <w:t>’</w:t>
      </w:r>
      <w:r w:rsidRPr="00AC7E46">
        <w:rPr>
          <w:lang w:val="fr-FR"/>
        </w:rPr>
        <w:t>utilité d</w:t>
      </w:r>
      <w:r w:rsidR="00761289" w:rsidRPr="00AC7E46">
        <w:rPr>
          <w:lang w:val="fr-FR"/>
        </w:rPr>
        <w:t>’</w:t>
      </w:r>
      <w:r w:rsidRPr="00AC7E46">
        <w:rPr>
          <w:lang w:val="fr-FR"/>
        </w:rPr>
        <w:t>une fonction d</w:t>
      </w:r>
      <w:r w:rsidR="00761289" w:rsidRPr="00AC7E46">
        <w:rPr>
          <w:lang w:val="fr-FR"/>
        </w:rPr>
        <w:t>’</w:t>
      </w:r>
      <w:r w:rsidRPr="00AC7E46">
        <w:rPr>
          <w:lang w:val="fr-FR"/>
        </w:rPr>
        <w:t>évaluation.</w:t>
      </w:r>
    </w:p>
    <w:p w14:paraId="54B4412F" w14:textId="44E995F8" w:rsidR="000D5281" w:rsidRPr="00AC7E46" w:rsidRDefault="00927FF9" w:rsidP="00F4635E">
      <w:pPr>
        <w:pStyle w:val="Heading2"/>
      </w:pPr>
      <w:r>
        <w:t>Ap</w:t>
      </w:r>
      <w:r w:rsidRPr="00AC7E46">
        <w:t>prentissage et collaboration</w:t>
      </w:r>
    </w:p>
    <w:p w14:paraId="22357EB2" w14:textId="75937F62" w:rsidR="000D5281" w:rsidRPr="00AC7E46" w:rsidRDefault="000D5281" w:rsidP="00D31722">
      <w:pPr>
        <w:pStyle w:val="ONUMFS"/>
        <w:rPr>
          <w:lang w:val="fr-FR"/>
        </w:rPr>
      </w:pPr>
      <w:r w:rsidRPr="00AC7E46">
        <w:rPr>
          <w:lang w:val="fr-FR"/>
        </w:rPr>
        <w:t>La DSI exploitera le réseau qu</w:t>
      </w:r>
      <w:r w:rsidR="00761289" w:rsidRPr="00AC7E46">
        <w:rPr>
          <w:lang w:val="fr-FR"/>
        </w:rPr>
        <w:t>’</w:t>
      </w:r>
      <w:r w:rsidRPr="00AC7E46">
        <w:rPr>
          <w:lang w:val="fr-FR"/>
        </w:rPr>
        <w:t xml:space="preserve">elle a créé avec les institutions des </w:t>
      </w:r>
      <w:r w:rsidR="00761289" w:rsidRPr="00AC7E46">
        <w:rPr>
          <w:lang w:val="fr-FR"/>
        </w:rPr>
        <w:t>Nations Unies</w:t>
      </w:r>
      <w:r w:rsidRPr="00AC7E46">
        <w:rPr>
          <w:lang w:val="fr-FR"/>
        </w:rPr>
        <w:t xml:space="preserve"> basées à Genève pour lancer des activités d</w:t>
      </w:r>
      <w:r w:rsidR="00761289" w:rsidRPr="00AC7E46">
        <w:rPr>
          <w:lang w:val="fr-FR"/>
        </w:rPr>
        <w:t>’</w:t>
      </w:r>
      <w:r w:rsidRPr="00AC7E46">
        <w:rPr>
          <w:lang w:val="fr-FR"/>
        </w:rPr>
        <w:t>apprentissage et de formation conjointes dans toute la mesure du possib</w:t>
      </w:r>
      <w:r w:rsidR="00AC7E46" w:rsidRPr="00AC7E46">
        <w:rPr>
          <w:lang w:val="fr-FR"/>
        </w:rPr>
        <w:t>le.  En</w:t>
      </w:r>
      <w:r w:rsidRPr="00AC7E46">
        <w:rPr>
          <w:lang w:val="fr-FR"/>
        </w:rPr>
        <w:t xml:space="preserve"> outre, une formation ciblée et spécifique sera organisée par le personnel de</w:t>
      </w:r>
      <w:r w:rsidR="00761289" w:rsidRPr="00AC7E46">
        <w:rPr>
          <w:lang w:val="fr-FR"/>
        </w:rPr>
        <w:t xml:space="preserve"> la DSI</w:t>
      </w:r>
      <w:r w:rsidRPr="00AC7E46">
        <w:rPr>
          <w:lang w:val="fr-FR"/>
        </w:rPr>
        <w:t xml:space="preserve"> pour se former et se recycler, selon les besoins, en ce qui concerne les tendances, les risques et les méthodologies émergents afin de proposer des services de supervision efficaces.</w:t>
      </w:r>
    </w:p>
    <w:p w14:paraId="794A253D" w14:textId="61B55DE3" w:rsidR="000D5281" w:rsidRPr="00AC7E46" w:rsidRDefault="000D5281" w:rsidP="00D31722">
      <w:pPr>
        <w:pStyle w:val="ONUMFS"/>
        <w:rPr>
          <w:lang w:val="fr-FR"/>
        </w:rPr>
      </w:pPr>
      <w:r w:rsidRPr="00AC7E46">
        <w:rPr>
          <w:lang w:val="fr-FR"/>
        </w:rPr>
        <w:t>Aux fins d</w:t>
      </w:r>
      <w:r w:rsidR="00761289" w:rsidRPr="00AC7E46">
        <w:rPr>
          <w:lang w:val="fr-FR"/>
        </w:rPr>
        <w:t>’</w:t>
      </w:r>
      <w:r w:rsidRPr="00AC7E46">
        <w:rPr>
          <w:lang w:val="fr-FR"/>
        </w:rPr>
        <w:t>entretenir des échanges permanents et proactifs avec les parties prenantes internes,</w:t>
      </w:r>
      <w:r w:rsidR="00761289" w:rsidRPr="00AC7E46">
        <w:rPr>
          <w:lang w:val="fr-FR"/>
        </w:rPr>
        <w:t xml:space="preserve"> la DSI</w:t>
      </w:r>
      <w:r w:rsidRPr="00AC7E46">
        <w:rPr>
          <w:lang w:val="fr-FR"/>
        </w:rPr>
        <w:t xml:space="preserve"> proposera des sessions de gestion des connaissances à différentes équipes de l</w:t>
      </w:r>
      <w:r w:rsidR="00761289" w:rsidRPr="00AC7E46">
        <w:rPr>
          <w:lang w:val="fr-FR"/>
        </w:rPr>
        <w:t>’</w:t>
      </w:r>
      <w:r w:rsidRPr="00AC7E46">
        <w:rPr>
          <w:lang w:val="fr-FR"/>
        </w:rPr>
        <w:t>OMPI pour mieux faire comprendre le rôle de supervision de la division, tout en recueillant de précieuses informations pratiques auprès de ses parties prenantes.</w:t>
      </w:r>
    </w:p>
    <w:p w14:paraId="2C83864E" w14:textId="4B50BCA2" w:rsidR="000D5281" w:rsidRPr="00AC7E46" w:rsidRDefault="000D5281" w:rsidP="00D31722">
      <w:pPr>
        <w:pStyle w:val="ONUMFS"/>
        <w:rPr>
          <w:lang w:val="fr-FR"/>
        </w:rPr>
      </w:pPr>
      <w:r w:rsidRPr="00AC7E46">
        <w:rPr>
          <w:lang w:val="fr-FR"/>
        </w:rPr>
        <w:t>La DSI se réjouit de collaborer avec l</w:t>
      </w:r>
      <w:r w:rsidR="00761289" w:rsidRPr="00AC7E46">
        <w:rPr>
          <w:lang w:val="fr-FR"/>
        </w:rPr>
        <w:t>’</w:t>
      </w:r>
      <w:r w:rsidRPr="00AC7E46">
        <w:rPr>
          <w:lang w:val="fr-FR"/>
        </w:rPr>
        <w:t>OCIS, le Directeur général, les chefs de secteur et le personnel de l</w:t>
      </w:r>
      <w:r w:rsidR="00761289" w:rsidRPr="00AC7E46">
        <w:rPr>
          <w:lang w:val="fr-FR"/>
        </w:rPr>
        <w:t>’</w:t>
      </w:r>
      <w:r w:rsidRPr="00AC7E46">
        <w:rPr>
          <w:lang w:val="fr-FR"/>
        </w:rPr>
        <w:t>OMPI pour atteindre les objectifs et les résultats clés de l</w:t>
      </w:r>
      <w:r w:rsidR="00761289" w:rsidRPr="00AC7E46">
        <w:rPr>
          <w:lang w:val="fr-FR"/>
        </w:rPr>
        <w:t>’</w:t>
      </w:r>
      <w:r w:rsidRPr="00AC7E46">
        <w:rPr>
          <w:lang w:val="fr-FR"/>
        </w:rPr>
        <w:t>organisation, tels qu</w:t>
      </w:r>
      <w:r w:rsidR="00761289" w:rsidRPr="00AC7E46">
        <w:rPr>
          <w:lang w:val="fr-FR"/>
        </w:rPr>
        <w:t>’</w:t>
      </w:r>
      <w:r w:rsidRPr="00AC7E46">
        <w:rPr>
          <w:lang w:val="fr-FR"/>
        </w:rPr>
        <w:t>ils sont énoncés dans</w:t>
      </w:r>
      <w:r w:rsidR="00761289" w:rsidRPr="00AC7E46">
        <w:rPr>
          <w:lang w:val="fr-FR"/>
        </w:rPr>
        <w:t xml:space="preserve"> le PSM</w:t>
      </w:r>
      <w:r w:rsidRPr="00AC7E46">
        <w:rPr>
          <w:lang w:val="fr-FR"/>
        </w:rPr>
        <w:t>T</w:t>
      </w:r>
      <w:r w:rsidR="001908D2">
        <w:rPr>
          <w:lang w:val="fr-FR"/>
        </w:rPr>
        <w:t> </w:t>
      </w:r>
      <w:r w:rsidRPr="00AC7E46">
        <w:rPr>
          <w:lang w:val="fr-FR"/>
        </w:rPr>
        <w:t>2022</w:t>
      </w:r>
      <w:r w:rsidR="001908D2">
        <w:rPr>
          <w:lang w:val="fr-FR"/>
        </w:rPr>
        <w:noBreakHyphen/>
      </w:r>
      <w:r w:rsidRPr="00AC7E46">
        <w:rPr>
          <w:lang w:val="fr-FR"/>
        </w:rPr>
        <w:t>2026, tout en continuant d</w:t>
      </w:r>
      <w:r w:rsidR="00761289" w:rsidRPr="00AC7E46">
        <w:rPr>
          <w:lang w:val="fr-FR"/>
        </w:rPr>
        <w:t>’</w:t>
      </w:r>
      <w:r w:rsidRPr="00AC7E46">
        <w:rPr>
          <w:lang w:val="fr-FR"/>
        </w:rPr>
        <w:t>améliorer sa contribution à la gouvernance, à la gestion des risques, aux procédures de contrôle interne, à la prise de décisions et à la supervision, ainsi qu</w:t>
      </w:r>
      <w:r w:rsidR="00761289" w:rsidRPr="00AC7E46">
        <w:rPr>
          <w:lang w:val="fr-FR"/>
        </w:rPr>
        <w:t>’</w:t>
      </w:r>
      <w:r w:rsidRPr="00AC7E46">
        <w:rPr>
          <w:lang w:val="fr-FR"/>
        </w:rPr>
        <w:t>à la réputation et à la crédibilité avec ses parties prenantes, sans oublier sa capacité à servir l</w:t>
      </w:r>
      <w:r w:rsidR="00761289" w:rsidRPr="00AC7E46">
        <w:rPr>
          <w:lang w:val="fr-FR"/>
        </w:rPr>
        <w:t>’</w:t>
      </w:r>
      <w:r w:rsidRPr="00AC7E46">
        <w:rPr>
          <w:lang w:val="fr-FR"/>
        </w:rPr>
        <w:t>intérêt public.</w:t>
      </w:r>
    </w:p>
    <w:p w14:paraId="4CC41C9A" w14:textId="71ACB2E1" w:rsidR="000D5281" w:rsidRPr="00AC7E46" w:rsidRDefault="000D5281" w:rsidP="00AB7B62">
      <w:pPr>
        <w:pStyle w:val="Endofdocument-Annex"/>
      </w:pPr>
      <w:r w:rsidRPr="00AC7E46">
        <w:t>[L</w:t>
      </w:r>
      <w:r w:rsidR="00761289" w:rsidRPr="00AC7E46">
        <w:t>’</w:t>
      </w:r>
      <w:r w:rsidRPr="00AC7E46">
        <w:t>annexe suit]</w:t>
      </w:r>
    </w:p>
    <w:p w14:paraId="1A8A179D" w14:textId="77777777" w:rsidR="000D5281" w:rsidRPr="00AC7E46" w:rsidRDefault="000D5281" w:rsidP="00AB7B62">
      <w:pPr>
        <w:rPr>
          <w:lang w:val="fr-FR"/>
        </w:rPr>
      </w:pPr>
    </w:p>
    <w:p w14:paraId="3EB8A971" w14:textId="77777777" w:rsidR="000D5281" w:rsidRPr="00AC7E46" w:rsidRDefault="000D5281" w:rsidP="00AB7B62">
      <w:pPr>
        <w:rPr>
          <w:lang w:val="fr-FR"/>
        </w:rPr>
        <w:sectPr w:rsidR="000D5281" w:rsidRPr="00AC7E46" w:rsidSect="00B26AB9">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305" w:right="1134" w:bottom="1418" w:left="1418" w:header="510" w:footer="1021" w:gutter="0"/>
          <w:pgNumType w:start="1"/>
          <w:cols w:space="720"/>
          <w:titlePg/>
          <w:docGrid w:linePitch="299"/>
        </w:sectPr>
      </w:pPr>
    </w:p>
    <w:p w14:paraId="4D4931DC" w14:textId="6E9B109D" w:rsidR="000D5281" w:rsidRPr="00AC7E46" w:rsidRDefault="000D5281" w:rsidP="00DA2C59">
      <w:pPr>
        <w:keepLines/>
        <w:spacing w:after="240"/>
        <w:jc w:val="center"/>
        <w:rPr>
          <w:lang w:val="fr-FR"/>
        </w:rPr>
      </w:pPr>
      <w:r w:rsidRPr="00AC7E46">
        <w:rPr>
          <w:b/>
          <w:bCs/>
          <w:lang w:val="fr-FR"/>
        </w:rPr>
        <w:lastRenderedPageBreak/>
        <w:t>ANNEXE – Liste des rapports établis par</w:t>
      </w:r>
      <w:r w:rsidR="00761289" w:rsidRPr="00AC7E46">
        <w:rPr>
          <w:b/>
          <w:bCs/>
          <w:lang w:val="fr-FR"/>
        </w:rPr>
        <w:t xml:space="preserve"> la DSI</w:t>
      </w:r>
    </w:p>
    <w:tbl>
      <w:tblPr>
        <w:tblStyle w:val="TableGridLight"/>
        <w:tblW w:w="0" w:type="auto"/>
        <w:tblLook w:val="04A0" w:firstRow="1" w:lastRow="0" w:firstColumn="1" w:lastColumn="0" w:noHBand="0" w:noVBand="1"/>
        <w:tblCaption w:val="Annex"/>
        <w:tblDescription w:val="List of IOD Reports from January 1, 2021 to December 31, 2021&#10;"/>
      </w:tblPr>
      <w:tblGrid>
        <w:gridCol w:w="5637"/>
        <w:gridCol w:w="1648"/>
        <w:gridCol w:w="2060"/>
      </w:tblGrid>
      <w:tr w:rsidR="000D5281" w:rsidRPr="00AC7E46" w14:paraId="18561866" w14:textId="77777777" w:rsidTr="00DA2C59">
        <w:trPr>
          <w:trHeight w:val="680"/>
          <w:tblHeader/>
        </w:trPr>
        <w:tc>
          <w:tcPr>
            <w:tcW w:w="5733" w:type="dxa"/>
            <w:shd w:val="clear" w:color="auto" w:fill="D9D9D9" w:themeFill="background1" w:themeFillShade="D9"/>
            <w:vAlign w:val="center"/>
          </w:tcPr>
          <w:p w14:paraId="0C0AAEA6" w14:textId="00312A15" w:rsidR="000D5281" w:rsidRPr="00927FF9" w:rsidRDefault="000D5281" w:rsidP="00DA2C59">
            <w:pPr>
              <w:spacing w:after="120"/>
              <w:rPr>
                <w:b/>
                <w:bCs/>
                <w:lang w:val="fr-FR"/>
              </w:rPr>
            </w:pPr>
            <w:r w:rsidRPr="00927FF9">
              <w:rPr>
                <w:b/>
                <w:bCs/>
                <w:lang w:val="fr-FR"/>
              </w:rPr>
              <w:t>Rapports établis par la DSI entre le</w:t>
            </w:r>
            <w:r w:rsidR="00761289" w:rsidRPr="00927FF9">
              <w:rPr>
                <w:b/>
                <w:bCs/>
                <w:lang w:val="fr-FR"/>
              </w:rPr>
              <w:t xml:space="preserve"> 1</w:t>
            </w:r>
            <w:r w:rsidR="00761289" w:rsidRPr="00927FF9">
              <w:rPr>
                <w:b/>
                <w:bCs/>
                <w:vertAlign w:val="superscript"/>
                <w:lang w:val="fr-FR"/>
              </w:rPr>
              <w:t>er</w:t>
            </w:r>
            <w:r w:rsidR="00761289" w:rsidRPr="00927FF9">
              <w:rPr>
                <w:b/>
                <w:bCs/>
                <w:lang w:val="fr-FR"/>
              </w:rPr>
              <w:t> </w:t>
            </w:r>
            <w:r w:rsidRPr="00927FF9">
              <w:rPr>
                <w:b/>
                <w:bCs/>
                <w:lang w:val="fr-FR"/>
              </w:rPr>
              <w:t>janvier 2023 et le 31 décembre 2023</w:t>
            </w:r>
          </w:p>
        </w:tc>
        <w:tc>
          <w:tcPr>
            <w:tcW w:w="1552" w:type="dxa"/>
            <w:shd w:val="clear" w:color="auto" w:fill="D9D9D9" w:themeFill="background1" w:themeFillShade="D9"/>
            <w:vAlign w:val="center"/>
          </w:tcPr>
          <w:p w14:paraId="10DAD519" w14:textId="77777777" w:rsidR="000D5281" w:rsidRPr="00927FF9" w:rsidRDefault="000D5281" w:rsidP="00DA2C59">
            <w:pPr>
              <w:spacing w:after="120"/>
              <w:rPr>
                <w:b/>
                <w:bCs/>
                <w:lang w:val="fr-FR"/>
              </w:rPr>
            </w:pPr>
            <w:r w:rsidRPr="00927FF9">
              <w:rPr>
                <w:b/>
                <w:bCs/>
                <w:lang w:val="fr-FR"/>
              </w:rPr>
              <w:t>Réf.</w:t>
            </w:r>
          </w:p>
        </w:tc>
        <w:tc>
          <w:tcPr>
            <w:tcW w:w="2060" w:type="dxa"/>
            <w:shd w:val="clear" w:color="auto" w:fill="D9D9D9" w:themeFill="background1" w:themeFillShade="D9"/>
          </w:tcPr>
          <w:p w14:paraId="362DDBCD" w14:textId="77777777" w:rsidR="000D5281" w:rsidRPr="00927FF9" w:rsidRDefault="000D5281" w:rsidP="00DA2C59">
            <w:pPr>
              <w:spacing w:after="120"/>
              <w:rPr>
                <w:b/>
                <w:bCs/>
                <w:lang w:val="fr-FR"/>
              </w:rPr>
            </w:pPr>
            <w:r w:rsidRPr="00927FF9">
              <w:rPr>
                <w:b/>
                <w:bCs/>
                <w:lang w:val="fr-FR"/>
              </w:rPr>
              <w:t>Date de publication du rapport</w:t>
            </w:r>
          </w:p>
        </w:tc>
      </w:tr>
      <w:tr w:rsidR="000D5281" w:rsidRPr="00DA2C59" w14:paraId="30018BB3" w14:textId="77777777" w:rsidTr="00E249CE">
        <w:trPr>
          <w:trHeight w:val="260"/>
          <w:tblHeader/>
        </w:trPr>
        <w:tc>
          <w:tcPr>
            <w:tcW w:w="9345" w:type="dxa"/>
            <w:gridSpan w:val="3"/>
            <w:shd w:val="clear" w:color="auto" w:fill="DBE5F1" w:themeFill="accent1" w:themeFillTint="33"/>
            <w:vAlign w:val="center"/>
          </w:tcPr>
          <w:p w14:paraId="39F2BB20" w14:textId="77777777" w:rsidR="000D5281" w:rsidRPr="00696BE6" w:rsidRDefault="000D5281" w:rsidP="00DA2C59">
            <w:pPr>
              <w:spacing w:before="120" w:after="120"/>
              <w:jc w:val="center"/>
              <w:rPr>
                <w:b/>
                <w:bCs/>
                <w:lang w:val="fr-FR"/>
              </w:rPr>
            </w:pPr>
            <w:r w:rsidRPr="00696BE6">
              <w:rPr>
                <w:b/>
                <w:bCs/>
                <w:lang w:val="fr-FR"/>
              </w:rPr>
              <w:t>Mission conjointe</w:t>
            </w:r>
          </w:p>
        </w:tc>
      </w:tr>
      <w:tr w:rsidR="000D5281" w:rsidRPr="00AC7E46" w14:paraId="5F37F6AD" w14:textId="77777777" w:rsidTr="00DA2C59">
        <w:trPr>
          <w:trHeight w:val="567"/>
          <w:tblHeader/>
        </w:trPr>
        <w:tc>
          <w:tcPr>
            <w:tcW w:w="5733" w:type="dxa"/>
            <w:shd w:val="clear" w:color="auto" w:fill="FFFFFF" w:themeFill="background1"/>
            <w:vAlign w:val="center"/>
          </w:tcPr>
          <w:p w14:paraId="46591A09" w14:textId="77777777" w:rsidR="000D5281" w:rsidRPr="00AC7E46" w:rsidRDefault="000D5281" w:rsidP="00DA2C59">
            <w:pPr>
              <w:spacing w:after="120"/>
              <w:rPr>
                <w:lang w:val="fr-FR"/>
              </w:rPr>
            </w:pPr>
            <w:r w:rsidRPr="00AC7E46">
              <w:rPr>
                <w:lang w:val="fr-FR"/>
              </w:rPr>
              <w:t>Audit et évaluation du Bureau du conseiller juridique</w:t>
            </w:r>
          </w:p>
        </w:tc>
        <w:tc>
          <w:tcPr>
            <w:tcW w:w="1552" w:type="dxa"/>
            <w:shd w:val="clear" w:color="auto" w:fill="FFFFFF" w:themeFill="background1"/>
            <w:vAlign w:val="center"/>
          </w:tcPr>
          <w:p w14:paraId="63489419" w14:textId="7D5C9F68" w:rsidR="000D5281" w:rsidRPr="00AC7E46" w:rsidRDefault="000D5281" w:rsidP="00DA2C59">
            <w:pPr>
              <w:spacing w:after="120"/>
              <w:jc w:val="center"/>
              <w:rPr>
                <w:lang w:val="fr-FR"/>
              </w:rPr>
            </w:pPr>
            <w:r w:rsidRPr="00AC7E46">
              <w:rPr>
                <w:lang w:val="fr-FR"/>
              </w:rPr>
              <w:t>IA</w:t>
            </w:r>
            <w:r w:rsidR="001908D2">
              <w:rPr>
                <w:lang w:val="fr-FR"/>
              </w:rPr>
              <w:t> </w:t>
            </w:r>
            <w:r w:rsidRPr="00AC7E46">
              <w:rPr>
                <w:lang w:val="fr-FR"/>
              </w:rPr>
              <w:t>2022</w:t>
            </w:r>
            <w:r w:rsidR="001908D2">
              <w:rPr>
                <w:lang w:val="fr-FR"/>
              </w:rPr>
              <w:noBreakHyphen/>
            </w:r>
            <w:r w:rsidRPr="00AC7E46">
              <w:rPr>
                <w:lang w:val="fr-FR"/>
              </w:rPr>
              <w:t>04</w:t>
            </w:r>
          </w:p>
        </w:tc>
        <w:tc>
          <w:tcPr>
            <w:tcW w:w="2060" w:type="dxa"/>
            <w:shd w:val="clear" w:color="auto" w:fill="FFFFFF" w:themeFill="background1"/>
            <w:vAlign w:val="center"/>
          </w:tcPr>
          <w:p w14:paraId="72667233" w14:textId="77777777" w:rsidR="000D5281" w:rsidRPr="00AC7E46" w:rsidRDefault="000D5281" w:rsidP="00DA2C59">
            <w:pPr>
              <w:spacing w:after="120"/>
              <w:jc w:val="center"/>
              <w:rPr>
                <w:lang w:val="fr-FR"/>
              </w:rPr>
            </w:pPr>
            <w:r w:rsidRPr="00AC7E46">
              <w:rPr>
                <w:lang w:val="fr-FR"/>
              </w:rPr>
              <w:t>16 février 2023</w:t>
            </w:r>
          </w:p>
        </w:tc>
      </w:tr>
      <w:tr w:rsidR="000D5281" w:rsidRPr="00696BE6" w14:paraId="59F82589" w14:textId="77777777" w:rsidTr="00E249CE">
        <w:trPr>
          <w:trHeight w:val="332"/>
          <w:tblHeader/>
        </w:trPr>
        <w:tc>
          <w:tcPr>
            <w:tcW w:w="9345" w:type="dxa"/>
            <w:gridSpan w:val="3"/>
            <w:shd w:val="clear" w:color="auto" w:fill="DBE5F1" w:themeFill="accent1" w:themeFillTint="33"/>
            <w:vAlign w:val="center"/>
          </w:tcPr>
          <w:p w14:paraId="00FF3746" w14:textId="70731387" w:rsidR="000D5281" w:rsidRPr="00696BE6" w:rsidRDefault="000D5281" w:rsidP="00DA2C59">
            <w:pPr>
              <w:spacing w:before="120" w:after="120"/>
              <w:jc w:val="center"/>
              <w:rPr>
                <w:b/>
                <w:bCs/>
                <w:lang w:val="fr-FR"/>
              </w:rPr>
            </w:pPr>
            <w:r w:rsidRPr="00696BE6">
              <w:rPr>
                <w:b/>
                <w:bCs/>
                <w:lang w:val="fr-FR"/>
              </w:rPr>
              <w:t>Missions d</w:t>
            </w:r>
            <w:r w:rsidR="00761289" w:rsidRPr="00696BE6">
              <w:rPr>
                <w:b/>
                <w:bCs/>
                <w:lang w:val="fr-FR"/>
              </w:rPr>
              <w:t>’</w:t>
            </w:r>
            <w:r w:rsidRPr="00696BE6">
              <w:rPr>
                <w:b/>
                <w:bCs/>
                <w:lang w:val="fr-FR"/>
              </w:rPr>
              <w:t>audit interne</w:t>
            </w:r>
          </w:p>
        </w:tc>
      </w:tr>
      <w:tr w:rsidR="000D5281" w:rsidRPr="00AC7E46" w14:paraId="16B2B2D7" w14:textId="77777777" w:rsidTr="00E249CE">
        <w:trPr>
          <w:trHeight w:val="620"/>
        </w:trPr>
        <w:tc>
          <w:tcPr>
            <w:tcW w:w="5733" w:type="dxa"/>
            <w:vAlign w:val="center"/>
          </w:tcPr>
          <w:p w14:paraId="1FC4DFF3" w14:textId="77777777" w:rsidR="000D5281" w:rsidRPr="00AC7E46" w:rsidRDefault="000D5281" w:rsidP="00DA2C59">
            <w:pPr>
              <w:rPr>
                <w:lang w:val="fr-FR"/>
              </w:rPr>
            </w:pPr>
            <w:r w:rsidRPr="00AC7E46">
              <w:rPr>
                <w:lang w:val="fr-FR"/>
              </w:rPr>
              <w:t>Audit et évaluation du Traité de coopération en matière de brevets (PCT)</w:t>
            </w:r>
          </w:p>
          <w:p w14:paraId="5ED030C9" w14:textId="166AB2E9" w:rsidR="000D5281" w:rsidRPr="00AC7E46" w:rsidRDefault="000D5281" w:rsidP="00DA2C59">
            <w:pPr>
              <w:spacing w:after="60"/>
              <w:rPr>
                <w:lang w:val="fr-FR"/>
              </w:rPr>
            </w:pPr>
            <w:r w:rsidRPr="00AC7E46">
              <w:rPr>
                <w:lang w:val="fr-FR"/>
              </w:rPr>
              <w:t>Opérations et relations avec la clientèle</w:t>
            </w:r>
            <w:r w:rsidR="00761289" w:rsidRPr="00AC7E46">
              <w:rPr>
                <w:lang w:val="fr-FR"/>
              </w:rPr>
              <w:t xml:space="preserve"> – </w:t>
            </w:r>
            <w:r w:rsidRPr="00AC7E46">
              <w:rPr>
                <w:lang w:val="fr-FR"/>
              </w:rPr>
              <w:t>Partie I</w:t>
            </w:r>
            <w:r w:rsidR="00761289" w:rsidRPr="00AC7E46">
              <w:rPr>
                <w:lang w:val="fr-FR"/>
              </w:rPr>
              <w:t> :</w:t>
            </w:r>
            <w:r w:rsidRPr="00AC7E46">
              <w:rPr>
                <w:lang w:val="fr-FR"/>
              </w:rPr>
              <w:t xml:space="preserve"> Audit des opérations</w:t>
            </w:r>
            <w:r w:rsidR="00761289" w:rsidRPr="00AC7E46">
              <w:rPr>
                <w:lang w:val="fr-FR"/>
              </w:rPr>
              <w:t xml:space="preserve"> du PCT</w:t>
            </w:r>
          </w:p>
        </w:tc>
        <w:tc>
          <w:tcPr>
            <w:tcW w:w="1552" w:type="dxa"/>
            <w:vAlign w:val="center"/>
          </w:tcPr>
          <w:p w14:paraId="73EC821B" w14:textId="224A533F" w:rsidR="000D5281" w:rsidRPr="00AC7E46" w:rsidRDefault="000D5281" w:rsidP="00DA2C59">
            <w:pPr>
              <w:spacing w:after="60"/>
              <w:jc w:val="center"/>
              <w:rPr>
                <w:lang w:val="fr-FR"/>
              </w:rPr>
            </w:pPr>
            <w:r w:rsidRPr="00AC7E46">
              <w:rPr>
                <w:lang w:val="fr-FR"/>
              </w:rPr>
              <w:t>IA</w:t>
            </w:r>
            <w:r w:rsidR="001908D2">
              <w:rPr>
                <w:lang w:val="fr-FR"/>
              </w:rPr>
              <w:t> </w:t>
            </w:r>
            <w:r w:rsidRPr="00AC7E46">
              <w:rPr>
                <w:lang w:val="fr-FR"/>
              </w:rPr>
              <w:t>2022</w:t>
            </w:r>
            <w:r w:rsidR="001908D2">
              <w:rPr>
                <w:lang w:val="fr-FR"/>
              </w:rPr>
              <w:noBreakHyphen/>
            </w:r>
            <w:r w:rsidRPr="00AC7E46">
              <w:rPr>
                <w:lang w:val="fr-FR"/>
              </w:rPr>
              <w:t>05</w:t>
            </w:r>
          </w:p>
        </w:tc>
        <w:tc>
          <w:tcPr>
            <w:tcW w:w="2060" w:type="dxa"/>
            <w:vAlign w:val="center"/>
          </w:tcPr>
          <w:p w14:paraId="53484603" w14:textId="77777777" w:rsidR="000D5281" w:rsidRPr="00AC7E46" w:rsidRDefault="000D5281" w:rsidP="00DA2C59">
            <w:pPr>
              <w:spacing w:after="60"/>
              <w:jc w:val="center"/>
              <w:rPr>
                <w:lang w:val="fr-FR"/>
              </w:rPr>
            </w:pPr>
            <w:r w:rsidRPr="00AC7E46">
              <w:rPr>
                <w:lang w:val="fr-FR"/>
              </w:rPr>
              <w:t>12 avril 2023</w:t>
            </w:r>
          </w:p>
        </w:tc>
      </w:tr>
      <w:tr w:rsidR="000D5281" w:rsidRPr="00AC7E46" w14:paraId="6A59D126" w14:textId="77777777" w:rsidTr="00DA2C59">
        <w:trPr>
          <w:trHeight w:val="567"/>
        </w:trPr>
        <w:tc>
          <w:tcPr>
            <w:tcW w:w="5733" w:type="dxa"/>
            <w:vAlign w:val="center"/>
          </w:tcPr>
          <w:p w14:paraId="60839C19" w14:textId="4937F95D" w:rsidR="000D5281" w:rsidRPr="00AC7E46" w:rsidRDefault="000D5281" w:rsidP="00DA2C59">
            <w:pPr>
              <w:spacing w:after="60"/>
              <w:rPr>
                <w:lang w:val="fr-FR"/>
              </w:rPr>
            </w:pPr>
            <w:r w:rsidRPr="00AC7E46">
              <w:rPr>
                <w:lang w:val="fr-FR"/>
              </w:rPr>
              <w:t>Audit de l</w:t>
            </w:r>
            <w:r w:rsidR="00761289" w:rsidRPr="00AC7E46">
              <w:rPr>
                <w:lang w:val="fr-FR"/>
              </w:rPr>
              <w:t>’</w:t>
            </w:r>
            <w:r w:rsidRPr="00AC7E46">
              <w:rPr>
                <w:lang w:val="fr-FR"/>
              </w:rPr>
              <w:t>Indice mondial de l</w:t>
            </w:r>
            <w:r w:rsidR="00761289" w:rsidRPr="00AC7E46">
              <w:rPr>
                <w:lang w:val="fr-FR"/>
              </w:rPr>
              <w:t>’</w:t>
            </w:r>
            <w:r w:rsidRPr="00AC7E46">
              <w:rPr>
                <w:lang w:val="fr-FR"/>
              </w:rPr>
              <w:t>innovation de l</w:t>
            </w:r>
            <w:r w:rsidR="00761289" w:rsidRPr="00AC7E46">
              <w:rPr>
                <w:lang w:val="fr-FR"/>
              </w:rPr>
              <w:t>’</w:t>
            </w:r>
            <w:r w:rsidRPr="00AC7E46">
              <w:rPr>
                <w:lang w:val="fr-FR"/>
              </w:rPr>
              <w:t>OMPI (GII)</w:t>
            </w:r>
          </w:p>
        </w:tc>
        <w:tc>
          <w:tcPr>
            <w:tcW w:w="1552" w:type="dxa"/>
            <w:vAlign w:val="center"/>
          </w:tcPr>
          <w:p w14:paraId="34085B8D" w14:textId="74C3D915" w:rsidR="000D5281" w:rsidRPr="00AC7E46" w:rsidRDefault="000D5281" w:rsidP="00DA2C59">
            <w:pPr>
              <w:spacing w:after="60"/>
              <w:jc w:val="center"/>
              <w:rPr>
                <w:lang w:val="fr-FR"/>
              </w:rPr>
            </w:pPr>
            <w:r w:rsidRPr="00AC7E46">
              <w:rPr>
                <w:lang w:val="fr-FR"/>
              </w:rPr>
              <w:t>IA</w:t>
            </w:r>
            <w:r w:rsidR="001908D2">
              <w:rPr>
                <w:lang w:val="fr-FR"/>
              </w:rPr>
              <w:t> </w:t>
            </w:r>
            <w:r w:rsidRPr="00AC7E46">
              <w:rPr>
                <w:lang w:val="fr-FR"/>
              </w:rPr>
              <w:t>2022</w:t>
            </w:r>
            <w:r w:rsidR="001908D2">
              <w:rPr>
                <w:lang w:val="fr-FR"/>
              </w:rPr>
              <w:noBreakHyphen/>
            </w:r>
            <w:r w:rsidRPr="00AC7E46">
              <w:rPr>
                <w:lang w:val="fr-FR"/>
              </w:rPr>
              <w:t>03</w:t>
            </w:r>
          </w:p>
        </w:tc>
        <w:tc>
          <w:tcPr>
            <w:tcW w:w="2060" w:type="dxa"/>
            <w:vAlign w:val="center"/>
          </w:tcPr>
          <w:p w14:paraId="3FACFC5A" w14:textId="77777777" w:rsidR="000D5281" w:rsidRPr="00AC7E46" w:rsidRDefault="000D5281" w:rsidP="00DA2C59">
            <w:pPr>
              <w:spacing w:after="60"/>
              <w:jc w:val="center"/>
              <w:rPr>
                <w:lang w:val="fr-FR"/>
              </w:rPr>
            </w:pPr>
            <w:r w:rsidRPr="00AC7E46">
              <w:rPr>
                <w:lang w:val="fr-FR"/>
              </w:rPr>
              <w:t>14 avril 2023</w:t>
            </w:r>
          </w:p>
        </w:tc>
      </w:tr>
      <w:tr w:rsidR="000D5281" w:rsidRPr="00AC7E46" w14:paraId="09B831F1" w14:textId="77777777" w:rsidTr="00E249CE">
        <w:trPr>
          <w:trHeight w:val="620"/>
        </w:trPr>
        <w:tc>
          <w:tcPr>
            <w:tcW w:w="5733" w:type="dxa"/>
            <w:vAlign w:val="center"/>
          </w:tcPr>
          <w:p w14:paraId="12B99173" w14:textId="04F32C80" w:rsidR="000D5281" w:rsidRPr="00DA2C59" w:rsidRDefault="000D5281" w:rsidP="00DA2C59">
            <w:pPr>
              <w:spacing w:after="60"/>
              <w:ind w:right="-141"/>
              <w:rPr>
                <w:spacing w:val="-4"/>
                <w:lang w:val="fr-FR"/>
              </w:rPr>
            </w:pPr>
            <w:r w:rsidRPr="00DA2C59">
              <w:rPr>
                <w:spacing w:val="-4"/>
                <w:lang w:val="fr-FR"/>
              </w:rPr>
              <w:t>Validation des demandes de remboursement au titre de l</w:t>
            </w:r>
            <w:r w:rsidR="00761289" w:rsidRPr="00DA2C59">
              <w:rPr>
                <w:spacing w:val="-4"/>
                <w:lang w:val="fr-FR"/>
              </w:rPr>
              <w:t>’</w:t>
            </w:r>
            <w:r w:rsidRPr="00DA2C59">
              <w:rPr>
                <w:spacing w:val="-4"/>
                <w:lang w:val="fr-FR"/>
              </w:rPr>
              <w:t>assurance maladie après la cessation de service (AMCS)</w:t>
            </w:r>
          </w:p>
        </w:tc>
        <w:tc>
          <w:tcPr>
            <w:tcW w:w="1552" w:type="dxa"/>
            <w:vAlign w:val="center"/>
          </w:tcPr>
          <w:p w14:paraId="740D98CE" w14:textId="00BC3821" w:rsidR="000D5281" w:rsidRPr="00AC7E46" w:rsidRDefault="000D5281" w:rsidP="00DA2C59">
            <w:pPr>
              <w:spacing w:after="60"/>
              <w:jc w:val="center"/>
              <w:rPr>
                <w:lang w:val="fr-FR"/>
              </w:rPr>
            </w:pPr>
            <w:r w:rsidRPr="00AC7E46">
              <w:rPr>
                <w:lang w:val="fr-FR"/>
              </w:rPr>
              <w:t>IA</w:t>
            </w:r>
            <w:r w:rsidR="001908D2">
              <w:rPr>
                <w:lang w:val="fr-FR"/>
              </w:rPr>
              <w:t> </w:t>
            </w:r>
            <w:r w:rsidRPr="00AC7E46">
              <w:rPr>
                <w:lang w:val="fr-FR"/>
              </w:rPr>
              <w:t>2023</w:t>
            </w:r>
            <w:r w:rsidR="001908D2">
              <w:rPr>
                <w:lang w:val="fr-FR"/>
              </w:rPr>
              <w:noBreakHyphen/>
            </w:r>
            <w:r w:rsidRPr="00AC7E46">
              <w:rPr>
                <w:lang w:val="fr-FR"/>
              </w:rPr>
              <w:t>06</w:t>
            </w:r>
          </w:p>
        </w:tc>
        <w:tc>
          <w:tcPr>
            <w:tcW w:w="2060" w:type="dxa"/>
            <w:vAlign w:val="center"/>
          </w:tcPr>
          <w:p w14:paraId="48AC013C" w14:textId="77777777" w:rsidR="000D5281" w:rsidRPr="00AC7E46" w:rsidRDefault="000D5281" w:rsidP="00DA2C59">
            <w:pPr>
              <w:spacing w:after="60"/>
              <w:jc w:val="center"/>
              <w:rPr>
                <w:lang w:val="fr-FR"/>
              </w:rPr>
            </w:pPr>
            <w:r w:rsidRPr="00AC7E46">
              <w:rPr>
                <w:lang w:val="fr-FR"/>
              </w:rPr>
              <w:t>20 avril 2023</w:t>
            </w:r>
          </w:p>
        </w:tc>
      </w:tr>
      <w:tr w:rsidR="000D5281" w:rsidRPr="00AC7E46" w14:paraId="6C29735B" w14:textId="77777777" w:rsidTr="00DA2C59">
        <w:trPr>
          <w:trHeight w:val="567"/>
        </w:trPr>
        <w:tc>
          <w:tcPr>
            <w:tcW w:w="5733" w:type="dxa"/>
            <w:vAlign w:val="center"/>
          </w:tcPr>
          <w:p w14:paraId="7A60A78A" w14:textId="6D324D09" w:rsidR="000D5281" w:rsidRPr="00AC7E46" w:rsidRDefault="000D5281" w:rsidP="00DA2C59">
            <w:pPr>
              <w:spacing w:after="60"/>
              <w:rPr>
                <w:lang w:val="fr-FR"/>
              </w:rPr>
            </w:pPr>
            <w:r w:rsidRPr="00AC7E46">
              <w:rPr>
                <w:lang w:val="fr-FR"/>
              </w:rPr>
              <w:t>Examen du Bureau de l</w:t>
            </w:r>
            <w:r w:rsidR="00761289" w:rsidRPr="00AC7E46">
              <w:rPr>
                <w:lang w:val="fr-FR"/>
              </w:rPr>
              <w:t>’</w:t>
            </w:r>
            <w:r w:rsidRPr="00AC7E46">
              <w:rPr>
                <w:lang w:val="fr-FR"/>
              </w:rPr>
              <w:t>OMPI à Singapour</w:t>
            </w:r>
          </w:p>
        </w:tc>
        <w:tc>
          <w:tcPr>
            <w:tcW w:w="1552" w:type="dxa"/>
            <w:vAlign w:val="center"/>
          </w:tcPr>
          <w:p w14:paraId="690853CA" w14:textId="5EC9BF8D" w:rsidR="000D5281" w:rsidRPr="00AC7E46" w:rsidRDefault="000D5281" w:rsidP="00DA2C59">
            <w:pPr>
              <w:spacing w:after="60"/>
              <w:jc w:val="center"/>
              <w:rPr>
                <w:lang w:val="fr-FR"/>
              </w:rPr>
            </w:pPr>
            <w:r w:rsidRPr="00AC7E46">
              <w:rPr>
                <w:lang w:val="fr-FR"/>
              </w:rPr>
              <w:t>IA</w:t>
            </w:r>
            <w:r w:rsidR="001908D2">
              <w:rPr>
                <w:lang w:val="fr-FR"/>
              </w:rPr>
              <w:t> </w:t>
            </w:r>
            <w:r w:rsidRPr="00AC7E46">
              <w:rPr>
                <w:lang w:val="fr-FR"/>
              </w:rPr>
              <w:t>2023</w:t>
            </w:r>
            <w:r w:rsidR="001908D2">
              <w:rPr>
                <w:lang w:val="fr-FR"/>
              </w:rPr>
              <w:noBreakHyphen/>
            </w:r>
            <w:r w:rsidRPr="00AC7E46">
              <w:rPr>
                <w:lang w:val="fr-FR"/>
              </w:rPr>
              <w:t>03</w:t>
            </w:r>
          </w:p>
        </w:tc>
        <w:tc>
          <w:tcPr>
            <w:tcW w:w="2060" w:type="dxa"/>
            <w:vAlign w:val="center"/>
          </w:tcPr>
          <w:p w14:paraId="7F83538E" w14:textId="77777777" w:rsidR="000D5281" w:rsidRPr="00AC7E46" w:rsidRDefault="000D5281" w:rsidP="00DA2C59">
            <w:pPr>
              <w:spacing w:after="60"/>
              <w:jc w:val="center"/>
              <w:rPr>
                <w:lang w:val="fr-FR"/>
              </w:rPr>
            </w:pPr>
            <w:r w:rsidRPr="00AC7E46">
              <w:rPr>
                <w:lang w:val="fr-FR"/>
              </w:rPr>
              <w:t>15 décembre 2023</w:t>
            </w:r>
          </w:p>
        </w:tc>
      </w:tr>
      <w:tr w:rsidR="000D5281" w:rsidRPr="00AC7E46" w14:paraId="4A94C303" w14:textId="77777777" w:rsidTr="00DA2C59">
        <w:trPr>
          <w:trHeight w:val="567"/>
        </w:trPr>
        <w:tc>
          <w:tcPr>
            <w:tcW w:w="5733" w:type="dxa"/>
            <w:vAlign w:val="center"/>
          </w:tcPr>
          <w:p w14:paraId="0D3B652B" w14:textId="6225063D" w:rsidR="000D5281" w:rsidRPr="00AC7E46" w:rsidRDefault="000D5281" w:rsidP="00DA2C59">
            <w:pPr>
              <w:spacing w:after="60"/>
              <w:rPr>
                <w:lang w:val="fr-FR"/>
              </w:rPr>
            </w:pPr>
            <w:r w:rsidRPr="00AC7E46">
              <w:rPr>
                <w:lang w:val="fr-FR"/>
              </w:rPr>
              <w:t>Audit du Service d</w:t>
            </w:r>
            <w:r w:rsidR="00761289" w:rsidRPr="00AC7E46">
              <w:rPr>
                <w:lang w:val="fr-FR"/>
              </w:rPr>
              <w:t>’</w:t>
            </w:r>
            <w:r w:rsidRPr="00AC7E46">
              <w:rPr>
                <w:lang w:val="fr-FR"/>
              </w:rPr>
              <w:t>enregistrement de Madrid</w:t>
            </w:r>
          </w:p>
        </w:tc>
        <w:tc>
          <w:tcPr>
            <w:tcW w:w="1552" w:type="dxa"/>
            <w:vAlign w:val="center"/>
          </w:tcPr>
          <w:p w14:paraId="3AA4E6E2" w14:textId="62B70A9A" w:rsidR="000D5281" w:rsidRPr="00AC7E46" w:rsidRDefault="000D5281" w:rsidP="00DA2C59">
            <w:pPr>
              <w:spacing w:after="60"/>
              <w:jc w:val="center"/>
              <w:rPr>
                <w:lang w:val="fr-FR"/>
              </w:rPr>
            </w:pPr>
            <w:r w:rsidRPr="00AC7E46">
              <w:rPr>
                <w:lang w:val="fr-FR"/>
              </w:rPr>
              <w:t>IA</w:t>
            </w:r>
            <w:r w:rsidR="001908D2">
              <w:rPr>
                <w:lang w:val="fr-FR"/>
              </w:rPr>
              <w:t> </w:t>
            </w:r>
            <w:r w:rsidRPr="00AC7E46">
              <w:rPr>
                <w:lang w:val="fr-FR"/>
              </w:rPr>
              <w:t>2023</w:t>
            </w:r>
            <w:r w:rsidR="001908D2">
              <w:rPr>
                <w:lang w:val="fr-FR"/>
              </w:rPr>
              <w:noBreakHyphen/>
            </w:r>
            <w:r w:rsidRPr="00AC7E46">
              <w:rPr>
                <w:lang w:val="fr-FR"/>
              </w:rPr>
              <w:t>01</w:t>
            </w:r>
          </w:p>
        </w:tc>
        <w:tc>
          <w:tcPr>
            <w:tcW w:w="2060" w:type="dxa"/>
            <w:vAlign w:val="center"/>
          </w:tcPr>
          <w:p w14:paraId="633A31C8" w14:textId="77777777" w:rsidR="000D5281" w:rsidRPr="00AC7E46" w:rsidRDefault="000D5281" w:rsidP="00DA2C59">
            <w:pPr>
              <w:spacing w:after="60"/>
              <w:jc w:val="center"/>
              <w:rPr>
                <w:lang w:val="fr-FR"/>
              </w:rPr>
            </w:pPr>
            <w:r w:rsidRPr="00AC7E46">
              <w:rPr>
                <w:lang w:val="fr-FR"/>
              </w:rPr>
              <w:t>19 décembre 2023</w:t>
            </w:r>
          </w:p>
        </w:tc>
      </w:tr>
      <w:tr w:rsidR="000D5281" w:rsidRPr="00AC7E46" w14:paraId="2D056349" w14:textId="77777777" w:rsidTr="00E249CE">
        <w:trPr>
          <w:trHeight w:val="620"/>
        </w:trPr>
        <w:tc>
          <w:tcPr>
            <w:tcW w:w="5733" w:type="dxa"/>
            <w:vAlign w:val="center"/>
          </w:tcPr>
          <w:p w14:paraId="480A1F82" w14:textId="15BC1C79" w:rsidR="000D5281" w:rsidRPr="00DA2C59" w:rsidRDefault="000D5281" w:rsidP="00DA2C59">
            <w:pPr>
              <w:spacing w:after="60"/>
              <w:rPr>
                <w:spacing w:val="-2"/>
                <w:lang w:val="fr-FR"/>
              </w:rPr>
            </w:pPr>
            <w:r w:rsidRPr="00DA2C59">
              <w:rPr>
                <w:spacing w:val="-2"/>
                <w:lang w:val="fr-FR"/>
              </w:rPr>
              <w:t>Audit de la mise en œuvre des normes et de la politique de l</w:t>
            </w:r>
            <w:r w:rsidR="00761289" w:rsidRPr="00DA2C59">
              <w:rPr>
                <w:spacing w:val="-2"/>
                <w:lang w:val="fr-FR"/>
              </w:rPr>
              <w:t>’</w:t>
            </w:r>
            <w:r w:rsidRPr="00DA2C59">
              <w:rPr>
                <w:spacing w:val="-2"/>
                <w:lang w:val="fr-FR"/>
              </w:rPr>
              <w:t>OMPI en matière de confidentialité des données</w:t>
            </w:r>
          </w:p>
        </w:tc>
        <w:tc>
          <w:tcPr>
            <w:tcW w:w="1552" w:type="dxa"/>
            <w:vAlign w:val="center"/>
          </w:tcPr>
          <w:p w14:paraId="47679AC3" w14:textId="683F4F84" w:rsidR="000D5281" w:rsidRPr="00AC7E46" w:rsidRDefault="000D5281" w:rsidP="00DA2C59">
            <w:pPr>
              <w:spacing w:after="60"/>
              <w:jc w:val="center"/>
              <w:rPr>
                <w:lang w:val="fr-FR"/>
              </w:rPr>
            </w:pPr>
            <w:r w:rsidRPr="00AC7E46">
              <w:rPr>
                <w:lang w:val="fr-FR"/>
              </w:rPr>
              <w:t>IA</w:t>
            </w:r>
            <w:r w:rsidR="001908D2">
              <w:rPr>
                <w:lang w:val="fr-FR"/>
              </w:rPr>
              <w:t> </w:t>
            </w:r>
            <w:r w:rsidRPr="00AC7E46">
              <w:rPr>
                <w:lang w:val="fr-FR"/>
              </w:rPr>
              <w:t>2023</w:t>
            </w:r>
            <w:r w:rsidR="001908D2">
              <w:rPr>
                <w:lang w:val="fr-FR"/>
              </w:rPr>
              <w:noBreakHyphen/>
            </w:r>
            <w:r w:rsidRPr="00AC7E46">
              <w:rPr>
                <w:lang w:val="fr-FR"/>
              </w:rPr>
              <w:t>04</w:t>
            </w:r>
          </w:p>
        </w:tc>
        <w:tc>
          <w:tcPr>
            <w:tcW w:w="2060" w:type="dxa"/>
            <w:vAlign w:val="center"/>
          </w:tcPr>
          <w:p w14:paraId="6CA91131" w14:textId="77777777" w:rsidR="000D5281" w:rsidRPr="00AC7E46" w:rsidRDefault="000D5281" w:rsidP="00DA2C59">
            <w:pPr>
              <w:spacing w:after="60"/>
              <w:jc w:val="center"/>
              <w:rPr>
                <w:lang w:val="fr-FR"/>
              </w:rPr>
            </w:pPr>
            <w:r w:rsidRPr="00AC7E46">
              <w:rPr>
                <w:lang w:val="fr-FR"/>
              </w:rPr>
              <w:t>20 décembre 2023</w:t>
            </w:r>
          </w:p>
        </w:tc>
      </w:tr>
      <w:tr w:rsidR="000D5281" w:rsidRPr="00DA2C59" w14:paraId="2B5774BC" w14:textId="77777777" w:rsidTr="00E249CE">
        <w:trPr>
          <w:trHeight w:val="350"/>
        </w:trPr>
        <w:tc>
          <w:tcPr>
            <w:tcW w:w="9345" w:type="dxa"/>
            <w:gridSpan w:val="3"/>
            <w:shd w:val="clear" w:color="auto" w:fill="DBE5F1" w:themeFill="accent1" w:themeFillTint="33"/>
            <w:vAlign w:val="center"/>
          </w:tcPr>
          <w:p w14:paraId="42BEC34F" w14:textId="6254C291" w:rsidR="000D5281" w:rsidRPr="00DA2C59" w:rsidRDefault="000D5281" w:rsidP="00DA2C59">
            <w:pPr>
              <w:spacing w:before="120" w:after="120"/>
              <w:jc w:val="center"/>
              <w:rPr>
                <w:b/>
                <w:bCs/>
                <w:lang w:val="fr-FR"/>
              </w:rPr>
            </w:pPr>
            <w:r w:rsidRPr="00DA2C59">
              <w:rPr>
                <w:b/>
                <w:bCs/>
                <w:lang w:val="fr-FR"/>
              </w:rPr>
              <w:t>Missions d</w:t>
            </w:r>
            <w:r w:rsidR="00761289" w:rsidRPr="00DA2C59">
              <w:rPr>
                <w:b/>
                <w:bCs/>
                <w:lang w:val="fr-FR"/>
              </w:rPr>
              <w:t>’</w:t>
            </w:r>
            <w:r w:rsidRPr="00DA2C59">
              <w:rPr>
                <w:b/>
                <w:bCs/>
                <w:lang w:val="fr-FR"/>
              </w:rPr>
              <w:t>évaluation</w:t>
            </w:r>
          </w:p>
        </w:tc>
      </w:tr>
      <w:tr w:rsidR="000D5281" w:rsidRPr="00AC7E46" w14:paraId="60DF52BE" w14:textId="77777777" w:rsidTr="00E249CE">
        <w:trPr>
          <w:trHeight w:val="620"/>
        </w:trPr>
        <w:tc>
          <w:tcPr>
            <w:tcW w:w="5733" w:type="dxa"/>
            <w:vAlign w:val="center"/>
          </w:tcPr>
          <w:p w14:paraId="55260B44" w14:textId="402A0EA1" w:rsidR="000D5281" w:rsidRPr="00AC7E46" w:rsidRDefault="000D5281" w:rsidP="00DA2C59">
            <w:pPr>
              <w:spacing w:after="60"/>
              <w:rPr>
                <w:lang w:val="fr-FR"/>
              </w:rPr>
            </w:pPr>
            <w:r w:rsidRPr="00AC7E46">
              <w:rPr>
                <w:lang w:val="fr-FR"/>
              </w:rPr>
              <w:t>Enseignements tirés des initiatives de l</w:t>
            </w:r>
            <w:r w:rsidR="00761289" w:rsidRPr="00AC7E46">
              <w:rPr>
                <w:lang w:val="fr-FR"/>
              </w:rPr>
              <w:t>’</w:t>
            </w:r>
            <w:r w:rsidRPr="00AC7E46">
              <w:rPr>
                <w:lang w:val="fr-FR"/>
              </w:rPr>
              <w:t>OMPI en faveur de l</w:t>
            </w:r>
            <w:r w:rsidR="00761289" w:rsidRPr="00AC7E46">
              <w:rPr>
                <w:lang w:val="fr-FR"/>
              </w:rPr>
              <w:t>’</w:t>
            </w:r>
            <w:r w:rsidRPr="00AC7E46">
              <w:rPr>
                <w:lang w:val="fr-FR"/>
              </w:rPr>
              <w:t>autonomisation des femmes chefs d</w:t>
            </w:r>
            <w:r w:rsidR="00761289" w:rsidRPr="00AC7E46">
              <w:rPr>
                <w:lang w:val="fr-FR"/>
              </w:rPr>
              <w:t>’</w:t>
            </w:r>
            <w:r w:rsidRPr="00AC7E46">
              <w:rPr>
                <w:lang w:val="fr-FR"/>
              </w:rPr>
              <w:t>entreprise</w:t>
            </w:r>
          </w:p>
        </w:tc>
        <w:tc>
          <w:tcPr>
            <w:tcW w:w="1552" w:type="dxa"/>
            <w:vAlign w:val="center"/>
          </w:tcPr>
          <w:p w14:paraId="2F8B07AC" w14:textId="5746F228" w:rsidR="000D5281" w:rsidRPr="00AC7E46" w:rsidRDefault="000D5281" w:rsidP="00DA2C59">
            <w:pPr>
              <w:jc w:val="center"/>
              <w:rPr>
                <w:lang w:val="fr-FR"/>
              </w:rPr>
            </w:pPr>
            <w:r w:rsidRPr="00AC7E46">
              <w:rPr>
                <w:lang w:val="fr-FR"/>
              </w:rPr>
              <w:t>EVAL</w:t>
            </w:r>
            <w:r w:rsidR="001908D2">
              <w:rPr>
                <w:lang w:val="fr-FR"/>
              </w:rPr>
              <w:t> </w:t>
            </w:r>
            <w:r w:rsidRPr="00AC7E46">
              <w:rPr>
                <w:lang w:val="fr-FR"/>
              </w:rPr>
              <w:t>2022</w:t>
            </w:r>
            <w:r w:rsidR="001908D2">
              <w:rPr>
                <w:lang w:val="fr-FR"/>
              </w:rPr>
              <w:noBreakHyphen/>
            </w:r>
            <w:r w:rsidRPr="00AC7E46">
              <w:rPr>
                <w:lang w:val="fr-FR"/>
              </w:rPr>
              <w:t>03</w:t>
            </w:r>
          </w:p>
        </w:tc>
        <w:tc>
          <w:tcPr>
            <w:tcW w:w="2060" w:type="dxa"/>
            <w:vAlign w:val="center"/>
          </w:tcPr>
          <w:p w14:paraId="03B20E68" w14:textId="77777777" w:rsidR="000D5281" w:rsidRPr="00AC7E46" w:rsidRDefault="000D5281" w:rsidP="00DA2C59">
            <w:pPr>
              <w:jc w:val="center"/>
              <w:rPr>
                <w:lang w:val="fr-FR"/>
              </w:rPr>
            </w:pPr>
            <w:r w:rsidRPr="00AC7E46">
              <w:rPr>
                <w:lang w:val="fr-FR"/>
              </w:rPr>
              <w:t>17 mai 2023</w:t>
            </w:r>
          </w:p>
        </w:tc>
      </w:tr>
      <w:tr w:rsidR="000D5281" w:rsidRPr="00AC7E46" w14:paraId="38CECB83" w14:textId="77777777" w:rsidTr="00E249CE">
        <w:trPr>
          <w:trHeight w:val="800"/>
        </w:trPr>
        <w:tc>
          <w:tcPr>
            <w:tcW w:w="5733" w:type="dxa"/>
            <w:vAlign w:val="center"/>
          </w:tcPr>
          <w:p w14:paraId="72762E3E" w14:textId="5D96FEAD" w:rsidR="000D5281" w:rsidRPr="00AC7E46" w:rsidRDefault="000D5281" w:rsidP="00DA2C59">
            <w:pPr>
              <w:spacing w:after="60"/>
              <w:rPr>
                <w:lang w:val="fr-FR"/>
              </w:rPr>
            </w:pPr>
            <w:r w:rsidRPr="00AC7E46">
              <w:rPr>
                <w:lang w:val="fr-FR"/>
              </w:rPr>
              <w:t>Activité de conseil</w:t>
            </w:r>
            <w:r w:rsidR="00761289" w:rsidRPr="00AC7E46">
              <w:rPr>
                <w:lang w:val="fr-FR"/>
              </w:rPr>
              <w:t> :</w:t>
            </w:r>
            <w:r w:rsidRPr="00AC7E46">
              <w:rPr>
                <w:lang w:val="fr-FR"/>
              </w:rPr>
              <w:t xml:space="preserve"> Créer un environnement plus inclusif et plus diversifié pour la procédure de recrutement des ressources humaines </w:t>
            </w:r>
          </w:p>
        </w:tc>
        <w:tc>
          <w:tcPr>
            <w:tcW w:w="1552" w:type="dxa"/>
            <w:vAlign w:val="center"/>
          </w:tcPr>
          <w:p w14:paraId="3193562E" w14:textId="4C8C51AD" w:rsidR="000D5281" w:rsidRPr="00AC7E46" w:rsidRDefault="000D5281" w:rsidP="00DA2C59">
            <w:pPr>
              <w:jc w:val="center"/>
              <w:rPr>
                <w:lang w:val="fr-FR"/>
              </w:rPr>
            </w:pPr>
            <w:r w:rsidRPr="00AC7E46">
              <w:rPr>
                <w:lang w:val="fr-FR"/>
              </w:rPr>
              <w:t>EVAL</w:t>
            </w:r>
            <w:r w:rsidR="001908D2">
              <w:rPr>
                <w:lang w:val="fr-FR"/>
              </w:rPr>
              <w:t> </w:t>
            </w:r>
            <w:r w:rsidRPr="00AC7E46">
              <w:rPr>
                <w:lang w:val="fr-FR"/>
              </w:rPr>
              <w:t>2023</w:t>
            </w:r>
            <w:r w:rsidR="001908D2">
              <w:rPr>
                <w:lang w:val="fr-FR"/>
              </w:rPr>
              <w:noBreakHyphen/>
            </w:r>
            <w:r w:rsidRPr="00AC7E46">
              <w:rPr>
                <w:lang w:val="fr-FR"/>
              </w:rPr>
              <w:t>04</w:t>
            </w:r>
          </w:p>
        </w:tc>
        <w:tc>
          <w:tcPr>
            <w:tcW w:w="2060" w:type="dxa"/>
            <w:vAlign w:val="center"/>
          </w:tcPr>
          <w:p w14:paraId="7C5DE2B2" w14:textId="77777777" w:rsidR="000D5281" w:rsidRPr="00AC7E46" w:rsidRDefault="000D5281" w:rsidP="00DA2C59">
            <w:pPr>
              <w:jc w:val="center"/>
              <w:rPr>
                <w:lang w:val="fr-FR"/>
              </w:rPr>
            </w:pPr>
            <w:r w:rsidRPr="00AC7E46">
              <w:rPr>
                <w:lang w:val="fr-FR"/>
              </w:rPr>
              <w:t>23 novembre 2023</w:t>
            </w:r>
          </w:p>
        </w:tc>
      </w:tr>
      <w:tr w:rsidR="000D5281" w:rsidRPr="00DA2C59" w14:paraId="03B31C46" w14:textId="77777777" w:rsidTr="00E249CE">
        <w:trPr>
          <w:trHeight w:val="467"/>
        </w:trPr>
        <w:tc>
          <w:tcPr>
            <w:tcW w:w="9345" w:type="dxa"/>
            <w:gridSpan w:val="3"/>
            <w:shd w:val="clear" w:color="auto" w:fill="DBE5F1" w:themeFill="accent1" w:themeFillTint="33"/>
            <w:vAlign w:val="center"/>
          </w:tcPr>
          <w:p w14:paraId="70623C60" w14:textId="52D165C4" w:rsidR="000D5281" w:rsidRPr="00DA2C59" w:rsidRDefault="000D5281" w:rsidP="00DA2C59">
            <w:pPr>
              <w:spacing w:before="120" w:after="120"/>
              <w:jc w:val="center"/>
              <w:rPr>
                <w:b/>
                <w:bCs/>
                <w:lang w:val="fr-FR"/>
              </w:rPr>
            </w:pPr>
            <w:r w:rsidRPr="00DA2C59">
              <w:rPr>
                <w:b/>
                <w:bCs/>
                <w:lang w:val="fr-FR"/>
              </w:rPr>
              <w:t>Rapports à l</w:t>
            </w:r>
            <w:r w:rsidR="00761289" w:rsidRPr="00DA2C59">
              <w:rPr>
                <w:b/>
                <w:bCs/>
                <w:lang w:val="fr-FR"/>
              </w:rPr>
              <w:t>’</w:t>
            </w:r>
            <w:r w:rsidRPr="00DA2C59">
              <w:rPr>
                <w:b/>
                <w:bCs/>
                <w:lang w:val="fr-FR"/>
              </w:rPr>
              <w:t>intention de la direction</w:t>
            </w:r>
          </w:p>
        </w:tc>
      </w:tr>
      <w:tr w:rsidR="000D5281" w:rsidRPr="00AC7E46" w14:paraId="0A5BA07D" w14:textId="77777777" w:rsidTr="00E249CE">
        <w:trPr>
          <w:trHeight w:val="800"/>
        </w:trPr>
        <w:tc>
          <w:tcPr>
            <w:tcW w:w="5733" w:type="dxa"/>
            <w:vAlign w:val="center"/>
          </w:tcPr>
          <w:p w14:paraId="09506467" w14:textId="230F5199" w:rsidR="000D5281" w:rsidRPr="00AC7E46" w:rsidRDefault="000D5281" w:rsidP="00DA2C59">
            <w:pPr>
              <w:spacing w:after="60"/>
              <w:rPr>
                <w:lang w:val="fr-FR"/>
              </w:rPr>
            </w:pPr>
            <w:r w:rsidRPr="00AC7E46">
              <w:rPr>
                <w:lang w:val="fr-FR"/>
              </w:rPr>
              <w:t>Rapport à l</w:t>
            </w:r>
            <w:r w:rsidR="00761289" w:rsidRPr="00AC7E46">
              <w:rPr>
                <w:lang w:val="fr-FR"/>
              </w:rPr>
              <w:t>’</w:t>
            </w:r>
            <w:r w:rsidRPr="00AC7E46">
              <w:rPr>
                <w:lang w:val="fr-FR"/>
              </w:rPr>
              <w:t>intention de la direction sur les obligations des membres du personnel en matière de résidence dans la région de leur lieu d</w:t>
            </w:r>
            <w:r w:rsidR="00761289" w:rsidRPr="00AC7E46">
              <w:rPr>
                <w:lang w:val="fr-FR"/>
              </w:rPr>
              <w:t>’</w:t>
            </w:r>
            <w:r w:rsidRPr="00AC7E46">
              <w:rPr>
                <w:lang w:val="fr-FR"/>
              </w:rPr>
              <w:t>affectation</w:t>
            </w:r>
          </w:p>
        </w:tc>
        <w:tc>
          <w:tcPr>
            <w:tcW w:w="1552" w:type="dxa"/>
            <w:vAlign w:val="center"/>
          </w:tcPr>
          <w:p w14:paraId="6C287505" w14:textId="7CDE5FE5" w:rsidR="000D5281" w:rsidRPr="00AC7E46" w:rsidRDefault="000D5281" w:rsidP="00DA2C59">
            <w:pPr>
              <w:jc w:val="center"/>
              <w:rPr>
                <w:lang w:val="fr-FR"/>
              </w:rPr>
            </w:pPr>
            <w:r w:rsidRPr="00AC7E46">
              <w:rPr>
                <w:lang w:val="fr-FR"/>
              </w:rPr>
              <w:t>MIR</w:t>
            </w:r>
            <w:r w:rsidR="001908D2">
              <w:rPr>
                <w:lang w:val="fr-FR"/>
              </w:rPr>
              <w:t> </w:t>
            </w:r>
            <w:r w:rsidRPr="00AC7E46">
              <w:rPr>
                <w:lang w:val="fr-FR"/>
              </w:rPr>
              <w:t>2022</w:t>
            </w:r>
            <w:r w:rsidR="001908D2">
              <w:rPr>
                <w:lang w:val="fr-FR"/>
              </w:rPr>
              <w:noBreakHyphen/>
            </w:r>
            <w:r w:rsidRPr="00AC7E46">
              <w:rPr>
                <w:lang w:val="fr-FR"/>
              </w:rPr>
              <w:t>10</w:t>
            </w:r>
          </w:p>
        </w:tc>
        <w:tc>
          <w:tcPr>
            <w:tcW w:w="2060" w:type="dxa"/>
            <w:vAlign w:val="center"/>
          </w:tcPr>
          <w:p w14:paraId="671E2418" w14:textId="77777777" w:rsidR="000D5281" w:rsidRPr="00AC7E46" w:rsidRDefault="000D5281" w:rsidP="00DA2C59">
            <w:pPr>
              <w:jc w:val="center"/>
              <w:rPr>
                <w:lang w:val="fr-FR"/>
              </w:rPr>
            </w:pPr>
            <w:r w:rsidRPr="00AC7E46">
              <w:rPr>
                <w:lang w:val="fr-FR"/>
              </w:rPr>
              <w:t>19 janvier 2023</w:t>
            </w:r>
          </w:p>
        </w:tc>
      </w:tr>
      <w:tr w:rsidR="000D5281" w:rsidRPr="00AC7E46" w14:paraId="5EF6A7FC" w14:textId="77777777" w:rsidTr="00E249CE">
        <w:trPr>
          <w:trHeight w:val="800"/>
        </w:trPr>
        <w:tc>
          <w:tcPr>
            <w:tcW w:w="5733" w:type="dxa"/>
            <w:vAlign w:val="center"/>
          </w:tcPr>
          <w:p w14:paraId="782880DF" w14:textId="060D8360" w:rsidR="000D5281" w:rsidRPr="00AC7E46" w:rsidRDefault="000D5281" w:rsidP="00DA2C59">
            <w:pPr>
              <w:spacing w:after="60"/>
              <w:rPr>
                <w:lang w:val="fr-FR"/>
              </w:rPr>
            </w:pPr>
            <w:r w:rsidRPr="00AC7E46">
              <w:rPr>
                <w:lang w:val="fr-FR"/>
              </w:rPr>
              <w:t>Rapport à l</w:t>
            </w:r>
            <w:r w:rsidR="00761289" w:rsidRPr="00AC7E46">
              <w:rPr>
                <w:lang w:val="fr-FR"/>
              </w:rPr>
              <w:t>’</w:t>
            </w:r>
            <w:r w:rsidRPr="00AC7E46">
              <w:rPr>
                <w:lang w:val="fr-FR"/>
              </w:rPr>
              <w:t>intention de la direction sur les relations personnelles entre membres du personnel</w:t>
            </w:r>
          </w:p>
        </w:tc>
        <w:tc>
          <w:tcPr>
            <w:tcW w:w="1552" w:type="dxa"/>
            <w:vAlign w:val="center"/>
          </w:tcPr>
          <w:p w14:paraId="44E4E452" w14:textId="18BD7C10" w:rsidR="000D5281" w:rsidRPr="00AC7E46" w:rsidRDefault="000D5281" w:rsidP="00DA2C59">
            <w:pPr>
              <w:jc w:val="center"/>
              <w:rPr>
                <w:lang w:val="fr-FR"/>
              </w:rPr>
            </w:pPr>
            <w:r w:rsidRPr="00AC7E46">
              <w:rPr>
                <w:lang w:val="fr-FR"/>
              </w:rPr>
              <w:t>MIR</w:t>
            </w:r>
            <w:r w:rsidR="001908D2">
              <w:rPr>
                <w:lang w:val="fr-FR"/>
              </w:rPr>
              <w:t> </w:t>
            </w:r>
            <w:r w:rsidRPr="00AC7E46">
              <w:rPr>
                <w:lang w:val="fr-FR"/>
              </w:rPr>
              <w:t>2023</w:t>
            </w:r>
            <w:r w:rsidR="001908D2">
              <w:rPr>
                <w:lang w:val="fr-FR"/>
              </w:rPr>
              <w:noBreakHyphen/>
            </w:r>
            <w:r w:rsidRPr="00AC7E46">
              <w:rPr>
                <w:lang w:val="fr-FR"/>
              </w:rPr>
              <w:t>01</w:t>
            </w:r>
          </w:p>
        </w:tc>
        <w:tc>
          <w:tcPr>
            <w:tcW w:w="2060" w:type="dxa"/>
            <w:vAlign w:val="center"/>
          </w:tcPr>
          <w:p w14:paraId="1C17FAA1" w14:textId="77777777" w:rsidR="000D5281" w:rsidRPr="00AC7E46" w:rsidRDefault="000D5281" w:rsidP="00DA2C59">
            <w:pPr>
              <w:jc w:val="center"/>
              <w:rPr>
                <w:lang w:val="fr-FR"/>
              </w:rPr>
            </w:pPr>
            <w:r w:rsidRPr="00AC7E46">
              <w:rPr>
                <w:lang w:val="fr-FR"/>
              </w:rPr>
              <w:t>8 mai 2023</w:t>
            </w:r>
          </w:p>
        </w:tc>
      </w:tr>
      <w:tr w:rsidR="000D5281" w:rsidRPr="00AC7E46" w14:paraId="79CEE54F" w14:textId="77777777" w:rsidTr="00E249CE">
        <w:trPr>
          <w:trHeight w:val="800"/>
        </w:trPr>
        <w:tc>
          <w:tcPr>
            <w:tcW w:w="5733" w:type="dxa"/>
            <w:vAlign w:val="center"/>
          </w:tcPr>
          <w:p w14:paraId="379762E9" w14:textId="6FCD4FC5" w:rsidR="000D5281" w:rsidRPr="00AC7E46" w:rsidRDefault="000D5281" w:rsidP="00DA2C59">
            <w:pPr>
              <w:spacing w:after="60"/>
              <w:rPr>
                <w:lang w:val="fr-FR"/>
              </w:rPr>
            </w:pPr>
            <w:r w:rsidRPr="00AC7E46">
              <w:rPr>
                <w:lang w:val="fr-FR"/>
              </w:rPr>
              <w:t>Rapport à l</w:t>
            </w:r>
            <w:r w:rsidR="00761289" w:rsidRPr="00AC7E46">
              <w:rPr>
                <w:lang w:val="fr-FR"/>
              </w:rPr>
              <w:t>’</w:t>
            </w:r>
            <w:r w:rsidRPr="00AC7E46">
              <w:rPr>
                <w:lang w:val="fr-FR"/>
              </w:rPr>
              <w:t>intention de la direction sur la procédure et la pratique de recrutement de prestataires individuels de services</w:t>
            </w:r>
          </w:p>
        </w:tc>
        <w:tc>
          <w:tcPr>
            <w:tcW w:w="1552" w:type="dxa"/>
            <w:vAlign w:val="center"/>
          </w:tcPr>
          <w:p w14:paraId="45BA61DB" w14:textId="03A4CDA9" w:rsidR="000D5281" w:rsidRPr="00AC7E46" w:rsidRDefault="000D5281" w:rsidP="00DA2C59">
            <w:pPr>
              <w:jc w:val="center"/>
              <w:rPr>
                <w:lang w:val="fr-FR"/>
              </w:rPr>
            </w:pPr>
            <w:r w:rsidRPr="00AC7E46">
              <w:rPr>
                <w:lang w:val="fr-FR"/>
              </w:rPr>
              <w:t>MIR</w:t>
            </w:r>
            <w:r w:rsidR="001908D2">
              <w:rPr>
                <w:lang w:val="fr-FR"/>
              </w:rPr>
              <w:t> </w:t>
            </w:r>
            <w:r w:rsidRPr="00AC7E46">
              <w:rPr>
                <w:lang w:val="fr-FR"/>
              </w:rPr>
              <w:t>2023</w:t>
            </w:r>
            <w:r w:rsidR="001908D2">
              <w:rPr>
                <w:lang w:val="fr-FR"/>
              </w:rPr>
              <w:noBreakHyphen/>
            </w:r>
            <w:r w:rsidRPr="00AC7E46">
              <w:rPr>
                <w:lang w:val="fr-FR"/>
              </w:rPr>
              <w:t>07</w:t>
            </w:r>
          </w:p>
        </w:tc>
        <w:tc>
          <w:tcPr>
            <w:tcW w:w="2060" w:type="dxa"/>
            <w:vAlign w:val="center"/>
          </w:tcPr>
          <w:p w14:paraId="1A48E6E7" w14:textId="77777777" w:rsidR="000D5281" w:rsidRPr="00AC7E46" w:rsidRDefault="000D5281" w:rsidP="00DA2C59">
            <w:pPr>
              <w:jc w:val="center"/>
              <w:rPr>
                <w:lang w:val="fr-FR"/>
              </w:rPr>
            </w:pPr>
            <w:r w:rsidRPr="00AC7E46">
              <w:rPr>
                <w:lang w:val="fr-FR"/>
              </w:rPr>
              <w:t>20 novembre 2023</w:t>
            </w:r>
          </w:p>
        </w:tc>
      </w:tr>
      <w:tr w:rsidR="000D5281" w:rsidRPr="00DA2C59" w14:paraId="6145319C" w14:textId="77777777" w:rsidTr="00E249CE">
        <w:trPr>
          <w:trHeight w:val="440"/>
        </w:trPr>
        <w:tc>
          <w:tcPr>
            <w:tcW w:w="9345" w:type="dxa"/>
            <w:gridSpan w:val="3"/>
            <w:shd w:val="clear" w:color="auto" w:fill="D9D9D9" w:themeFill="background1" w:themeFillShade="D9"/>
            <w:vAlign w:val="center"/>
          </w:tcPr>
          <w:p w14:paraId="11400D26" w14:textId="4E28763C" w:rsidR="000D5281" w:rsidRPr="00DA2C59" w:rsidRDefault="000D5281" w:rsidP="00DA2C59">
            <w:pPr>
              <w:spacing w:before="120" w:after="120"/>
              <w:jc w:val="center"/>
              <w:rPr>
                <w:b/>
                <w:bCs/>
                <w:lang w:val="fr-FR"/>
              </w:rPr>
            </w:pPr>
            <w:r w:rsidRPr="00DA2C59">
              <w:rPr>
                <w:b/>
                <w:bCs/>
                <w:lang w:val="fr-FR"/>
              </w:rPr>
              <w:t>Rapport de</w:t>
            </w:r>
            <w:r w:rsidR="00761289" w:rsidRPr="00DA2C59">
              <w:rPr>
                <w:b/>
                <w:bCs/>
                <w:lang w:val="fr-FR"/>
              </w:rPr>
              <w:t xml:space="preserve"> la DSI</w:t>
            </w:r>
            <w:r w:rsidRPr="00DA2C59">
              <w:rPr>
                <w:b/>
                <w:bCs/>
                <w:lang w:val="fr-FR"/>
              </w:rPr>
              <w:t xml:space="preserve"> établi au début </w:t>
            </w:r>
            <w:r w:rsidR="00761289" w:rsidRPr="00DA2C59">
              <w:rPr>
                <w:b/>
                <w:bCs/>
                <w:lang w:val="fr-FR"/>
              </w:rPr>
              <w:t>de 2024</w:t>
            </w:r>
          </w:p>
        </w:tc>
      </w:tr>
      <w:tr w:rsidR="000D5281" w:rsidRPr="00AC7E46" w14:paraId="340A0CAE" w14:textId="77777777" w:rsidTr="00DA2C59">
        <w:trPr>
          <w:trHeight w:val="567"/>
        </w:trPr>
        <w:tc>
          <w:tcPr>
            <w:tcW w:w="5733" w:type="dxa"/>
            <w:shd w:val="clear" w:color="auto" w:fill="FFFFFF" w:themeFill="background1"/>
            <w:vAlign w:val="center"/>
          </w:tcPr>
          <w:p w14:paraId="368D2077" w14:textId="77777777" w:rsidR="000D5281" w:rsidRPr="00AC7E46" w:rsidRDefault="000D5281" w:rsidP="00DA2C59">
            <w:pPr>
              <w:spacing w:after="60"/>
              <w:rPr>
                <w:lang w:val="fr-FR"/>
              </w:rPr>
            </w:pPr>
            <w:r w:rsidRPr="00AC7E46">
              <w:rPr>
                <w:lang w:val="fr-FR"/>
              </w:rPr>
              <w:t>Audit de la gestion des services en nuage</w:t>
            </w:r>
          </w:p>
        </w:tc>
        <w:tc>
          <w:tcPr>
            <w:tcW w:w="1552" w:type="dxa"/>
            <w:shd w:val="clear" w:color="auto" w:fill="FFFFFF" w:themeFill="background1"/>
            <w:vAlign w:val="center"/>
          </w:tcPr>
          <w:p w14:paraId="5F233332" w14:textId="183B98B4" w:rsidR="000D5281" w:rsidRPr="00AC7E46" w:rsidRDefault="000D5281" w:rsidP="00DA2C59">
            <w:pPr>
              <w:jc w:val="center"/>
              <w:rPr>
                <w:lang w:val="fr-FR"/>
              </w:rPr>
            </w:pPr>
            <w:r w:rsidRPr="00AC7E46">
              <w:rPr>
                <w:lang w:val="fr-FR"/>
              </w:rPr>
              <w:t>IA</w:t>
            </w:r>
            <w:r w:rsidR="001908D2">
              <w:rPr>
                <w:lang w:val="fr-FR"/>
              </w:rPr>
              <w:t> </w:t>
            </w:r>
            <w:r w:rsidRPr="00AC7E46">
              <w:rPr>
                <w:lang w:val="fr-FR"/>
              </w:rPr>
              <w:t>2023</w:t>
            </w:r>
            <w:r w:rsidR="001908D2">
              <w:rPr>
                <w:lang w:val="fr-FR"/>
              </w:rPr>
              <w:noBreakHyphen/>
            </w:r>
            <w:r w:rsidRPr="00AC7E46">
              <w:rPr>
                <w:lang w:val="fr-FR"/>
              </w:rPr>
              <w:t>02</w:t>
            </w:r>
          </w:p>
        </w:tc>
        <w:tc>
          <w:tcPr>
            <w:tcW w:w="2060" w:type="dxa"/>
            <w:shd w:val="clear" w:color="auto" w:fill="FFFFFF" w:themeFill="background1"/>
            <w:vAlign w:val="center"/>
          </w:tcPr>
          <w:p w14:paraId="646FE751" w14:textId="77777777" w:rsidR="000D5281" w:rsidRPr="00AC7E46" w:rsidRDefault="000D5281" w:rsidP="00DA2C59">
            <w:pPr>
              <w:jc w:val="center"/>
              <w:rPr>
                <w:lang w:val="fr-FR"/>
              </w:rPr>
            </w:pPr>
            <w:r w:rsidRPr="00AC7E46">
              <w:rPr>
                <w:lang w:val="fr-FR"/>
              </w:rPr>
              <w:t>31 janvier 2024</w:t>
            </w:r>
          </w:p>
        </w:tc>
      </w:tr>
    </w:tbl>
    <w:p w14:paraId="7C97DCB1" w14:textId="15B5912E" w:rsidR="000F5E56" w:rsidRPr="00AC7E46" w:rsidRDefault="000D5281" w:rsidP="00AB7B62">
      <w:pPr>
        <w:pStyle w:val="Endofdocument-Annex"/>
      </w:pPr>
      <w:r w:rsidRPr="00AC7E46">
        <w:t>[Fin de l</w:t>
      </w:r>
      <w:r w:rsidR="00761289" w:rsidRPr="00AC7E46">
        <w:t>’</w:t>
      </w:r>
      <w:r w:rsidRPr="00AC7E46">
        <w:t>annexe et du document]</w:t>
      </w:r>
    </w:p>
    <w:sectPr w:rsidR="000F5E56" w:rsidRPr="00AC7E46" w:rsidSect="00796D1D">
      <w:headerReference w:type="default" r:id="rId22"/>
      <w:footerReference w:type="even" r:id="rId23"/>
      <w:footerReference w:type="default" r:id="rId24"/>
      <w:headerReference w:type="first" r:id="rId25"/>
      <w:footerReference w:type="first" r:id="rId2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BB64E" w14:textId="77777777" w:rsidR="00796D1D" w:rsidRDefault="00796D1D">
      <w:r>
        <w:separator/>
      </w:r>
    </w:p>
  </w:endnote>
  <w:endnote w:type="continuationSeparator" w:id="0">
    <w:p w14:paraId="366ADD65" w14:textId="77777777" w:rsidR="00796D1D" w:rsidRPr="009D30E6" w:rsidRDefault="00796D1D" w:rsidP="00D45252">
      <w:pPr>
        <w:rPr>
          <w:sz w:val="17"/>
          <w:szCs w:val="17"/>
        </w:rPr>
      </w:pPr>
      <w:r w:rsidRPr="009D30E6">
        <w:rPr>
          <w:sz w:val="17"/>
          <w:szCs w:val="17"/>
        </w:rPr>
        <w:separator/>
      </w:r>
    </w:p>
    <w:p w14:paraId="3CBC46CE" w14:textId="77777777" w:rsidR="00796D1D" w:rsidRPr="009D30E6" w:rsidRDefault="00796D1D" w:rsidP="00D45252">
      <w:pPr>
        <w:spacing w:after="60"/>
        <w:rPr>
          <w:sz w:val="17"/>
          <w:szCs w:val="17"/>
        </w:rPr>
      </w:pPr>
      <w:r w:rsidRPr="009D30E6">
        <w:rPr>
          <w:sz w:val="17"/>
          <w:szCs w:val="17"/>
        </w:rPr>
        <w:t>[Suite de la note de la page précédente]</w:t>
      </w:r>
    </w:p>
  </w:endnote>
  <w:endnote w:type="continuationNotice" w:id="1">
    <w:p w14:paraId="602194CB" w14:textId="77777777" w:rsidR="00796D1D" w:rsidRPr="009D30E6" w:rsidRDefault="00796D1D"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B0F1" w14:textId="022C3614" w:rsidR="000D5281" w:rsidRPr="00CD472C" w:rsidRDefault="000D5281" w:rsidP="00267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35ED" w14:textId="09E84BF9" w:rsidR="000D5281" w:rsidRPr="00CD472C" w:rsidRDefault="000D5281" w:rsidP="002670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1BBA7" w14:textId="1C288068" w:rsidR="000D5281" w:rsidRPr="00AB7B62" w:rsidRDefault="000D5281" w:rsidP="00AB7B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4DC2D" w14:textId="3111A535" w:rsidR="000D5281" w:rsidRDefault="000D52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364AE" w14:textId="611D033A" w:rsidR="000D5281" w:rsidRDefault="000D528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2B64" w14:textId="7E461192" w:rsidR="000D5281" w:rsidRDefault="000D5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10FC5" w14:textId="77777777" w:rsidR="00796D1D" w:rsidRDefault="00796D1D">
      <w:r>
        <w:separator/>
      </w:r>
    </w:p>
  </w:footnote>
  <w:footnote w:type="continuationSeparator" w:id="0">
    <w:p w14:paraId="69A1E434" w14:textId="77777777" w:rsidR="00796D1D" w:rsidRDefault="00796D1D" w:rsidP="007461F1">
      <w:r>
        <w:separator/>
      </w:r>
    </w:p>
    <w:p w14:paraId="02BC8E63" w14:textId="77777777" w:rsidR="00796D1D" w:rsidRPr="009D30E6" w:rsidRDefault="00796D1D" w:rsidP="007461F1">
      <w:pPr>
        <w:spacing w:after="60"/>
        <w:rPr>
          <w:sz w:val="17"/>
          <w:szCs w:val="17"/>
        </w:rPr>
      </w:pPr>
      <w:r w:rsidRPr="009D30E6">
        <w:rPr>
          <w:sz w:val="17"/>
          <w:szCs w:val="17"/>
        </w:rPr>
        <w:t>[Suite de la note de la page précédente]</w:t>
      </w:r>
    </w:p>
  </w:footnote>
  <w:footnote w:type="continuationNotice" w:id="1">
    <w:p w14:paraId="58F3F11A" w14:textId="77777777" w:rsidR="00796D1D" w:rsidRPr="009D30E6" w:rsidRDefault="00796D1D" w:rsidP="007461F1">
      <w:pPr>
        <w:spacing w:before="60"/>
        <w:jc w:val="right"/>
        <w:rPr>
          <w:sz w:val="17"/>
          <w:szCs w:val="17"/>
        </w:rPr>
      </w:pPr>
      <w:r w:rsidRPr="009D30E6">
        <w:rPr>
          <w:sz w:val="17"/>
          <w:szCs w:val="17"/>
        </w:rPr>
        <w:t>[Suite de la note page suivante]</w:t>
      </w:r>
    </w:p>
  </w:footnote>
  <w:footnote w:id="2">
    <w:p w14:paraId="48D4E3D6" w14:textId="705EE2A4" w:rsidR="000D5281" w:rsidRPr="008E3F67" w:rsidRDefault="000D5281" w:rsidP="000D5281">
      <w:pPr>
        <w:pStyle w:val="FootnoteText"/>
        <w:rPr>
          <w:szCs w:val="18"/>
          <w:lang w:val="fr-FR"/>
        </w:rPr>
      </w:pPr>
      <w:r w:rsidRPr="008E3F67">
        <w:rPr>
          <w:rStyle w:val="FootnoteReference"/>
          <w:szCs w:val="18"/>
          <w:lang w:val="fr-FR"/>
        </w:rPr>
        <w:footnoteRef/>
      </w:r>
      <w:r w:rsidRPr="008E3F67">
        <w:rPr>
          <w:szCs w:val="18"/>
          <w:lang w:val="fr-FR"/>
        </w:rPr>
        <w:t xml:space="preserve"> </w:t>
      </w:r>
      <w:r w:rsidR="008E3F67" w:rsidRPr="008E3F67">
        <w:rPr>
          <w:szCs w:val="18"/>
          <w:lang w:val="fr-FR"/>
        </w:rPr>
        <w:tab/>
      </w:r>
      <w:r w:rsidRPr="008E3F67">
        <w:rPr>
          <w:szCs w:val="18"/>
          <w:lang w:val="fr-FR"/>
        </w:rPr>
        <w:t>Voir les paragraphes 47 et 48 de la Charte de la supervision interne.</w:t>
      </w:r>
    </w:p>
  </w:footnote>
  <w:footnote w:id="3">
    <w:p w14:paraId="2A356CEC" w14:textId="03299AC1" w:rsidR="000D5281" w:rsidRPr="008E3F67" w:rsidRDefault="000D5281" w:rsidP="000D5281">
      <w:pPr>
        <w:pStyle w:val="FootnoteText"/>
        <w:rPr>
          <w:szCs w:val="18"/>
          <w:lang w:val="fr-FR"/>
        </w:rPr>
      </w:pPr>
      <w:r w:rsidRPr="008E3F67">
        <w:rPr>
          <w:rStyle w:val="FootnoteReference"/>
          <w:szCs w:val="18"/>
          <w:lang w:val="fr-FR"/>
        </w:rPr>
        <w:footnoteRef/>
      </w:r>
      <w:r w:rsidRPr="008E3F67">
        <w:rPr>
          <w:szCs w:val="18"/>
          <w:lang w:val="fr-FR"/>
        </w:rPr>
        <w:t xml:space="preserve"> </w:t>
      </w:r>
      <w:r w:rsidR="008E3F67" w:rsidRPr="008E3F67">
        <w:rPr>
          <w:szCs w:val="18"/>
          <w:lang w:val="fr-FR"/>
        </w:rPr>
        <w:tab/>
      </w:r>
      <w:r w:rsidRPr="008E3F67">
        <w:rPr>
          <w:szCs w:val="18"/>
          <w:lang w:val="fr-FR"/>
        </w:rPr>
        <w:t xml:space="preserve">Le terme </w:t>
      </w:r>
      <w:r w:rsidRPr="008E3F67">
        <w:rPr>
          <w:b/>
          <w:szCs w:val="18"/>
          <w:lang w:val="fr-FR"/>
        </w:rPr>
        <w:t>consultatif</w:t>
      </w:r>
      <w:r w:rsidRPr="008E3F67">
        <w:rPr>
          <w:szCs w:val="18"/>
          <w:lang w:val="fr-FR"/>
        </w:rPr>
        <w:t xml:space="preserve"> est utilisé lorsque</w:t>
      </w:r>
      <w:r w:rsidR="00C116D6" w:rsidRPr="008E3F67">
        <w:rPr>
          <w:szCs w:val="18"/>
          <w:lang w:val="fr-FR"/>
        </w:rPr>
        <w:t xml:space="preserve"> la DSI</w:t>
      </w:r>
      <w:r w:rsidRPr="008E3F67">
        <w:rPr>
          <w:szCs w:val="18"/>
          <w:lang w:val="fr-FR"/>
        </w:rPr>
        <w:t xml:space="preserve"> aide le client en fournissant des avis et en formulant des observations, mais ne prend pas l</w:t>
      </w:r>
      <w:r w:rsidR="00C116D6" w:rsidRPr="008E3F67">
        <w:rPr>
          <w:szCs w:val="18"/>
          <w:lang w:val="fr-FR"/>
        </w:rPr>
        <w:t>’</w:t>
      </w:r>
      <w:r w:rsidRPr="008E3F67">
        <w:rPr>
          <w:szCs w:val="18"/>
          <w:lang w:val="fr-FR"/>
        </w:rPr>
        <w:t>initiative de gérer l</w:t>
      </w:r>
      <w:r w:rsidR="00C116D6" w:rsidRPr="008E3F67">
        <w:rPr>
          <w:szCs w:val="18"/>
          <w:lang w:val="fr-FR"/>
        </w:rPr>
        <w:t>’</w:t>
      </w:r>
      <w:r w:rsidRPr="008E3F67">
        <w:rPr>
          <w:szCs w:val="18"/>
          <w:lang w:val="fr-FR"/>
        </w:rPr>
        <w:t>activité ou de produire un résultat concret.</w:t>
      </w:r>
    </w:p>
  </w:footnote>
  <w:footnote w:id="4">
    <w:p w14:paraId="5EA06DF4" w14:textId="22940DD3" w:rsidR="000D5281" w:rsidRPr="008E3F67" w:rsidRDefault="000D5281" w:rsidP="000D5281">
      <w:pPr>
        <w:pStyle w:val="FootnoteText"/>
        <w:rPr>
          <w:szCs w:val="18"/>
          <w:lang w:val="fr-FR"/>
        </w:rPr>
      </w:pPr>
      <w:r w:rsidRPr="008E3F67">
        <w:rPr>
          <w:rStyle w:val="FootnoteReference"/>
          <w:szCs w:val="18"/>
          <w:lang w:val="fr-FR"/>
        </w:rPr>
        <w:footnoteRef/>
      </w:r>
      <w:r w:rsidRPr="008E3F67">
        <w:rPr>
          <w:szCs w:val="18"/>
          <w:lang w:val="fr-FR"/>
        </w:rPr>
        <w:t xml:space="preserve"> </w:t>
      </w:r>
      <w:r w:rsidR="008E3F67">
        <w:rPr>
          <w:szCs w:val="18"/>
          <w:lang w:val="fr-FR"/>
        </w:rPr>
        <w:tab/>
      </w:r>
      <w:r w:rsidRPr="008E3F67">
        <w:rPr>
          <w:szCs w:val="18"/>
          <w:lang w:val="fr-FR"/>
        </w:rPr>
        <w:t>Le paragraphe 28 de la Charte de la supervision interne établit les tâches et modalités de travail et prévoit notamment que, “avant d</w:t>
      </w:r>
      <w:r w:rsidR="00C116D6" w:rsidRPr="008E3F67">
        <w:rPr>
          <w:szCs w:val="18"/>
          <w:lang w:val="fr-FR"/>
        </w:rPr>
        <w:t>’</w:t>
      </w:r>
      <w:r w:rsidRPr="008E3F67">
        <w:rPr>
          <w:szCs w:val="18"/>
          <w:lang w:val="fr-FR"/>
        </w:rPr>
        <w:t>arrêter définitivement le plan de supervision interne, le directeur de la DSI soumet le projet de plan à l</w:t>
      </w:r>
      <w:r w:rsidR="00C116D6" w:rsidRPr="008E3F67">
        <w:rPr>
          <w:szCs w:val="18"/>
          <w:lang w:val="fr-FR"/>
        </w:rPr>
        <w:t>’</w:t>
      </w:r>
      <w:r w:rsidRPr="008E3F67">
        <w:rPr>
          <w:szCs w:val="18"/>
          <w:lang w:val="fr-FR"/>
        </w:rPr>
        <w:t>OCIS pour examen et avis”.</w:t>
      </w:r>
    </w:p>
  </w:footnote>
  <w:footnote w:id="5">
    <w:p w14:paraId="4BA709C6" w14:textId="24E320C9" w:rsidR="000D5281" w:rsidRPr="008E3F67" w:rsidRDefault="000D5281" w:rsidP="000D5281">
      <w:pPr>
        <w:pStyle w:val="FootnoteText"/>
        <w:rPr>
          <w:szCs w:val="18"/>
          <w:lang w:val="fr-FR"/>
        </w:rPr>
      </w:pPr>
      <w:r w:rsidRPr="008E3F67">
        <w:rPr>
          <w:rStyle w:val="FootnoteReference"/>
          <w:szCs w:val="18"/>
          <w:lang w:val="fr-FR"/>
        </w:rPr>
        <w:footnoteRef/>
      </w:r>
      <w:r w:rsidRPr="008E3F67">
        <w:rPr>
          <w:szCs w:val="18"/>
          <w:lang w:val="fr-FR"/>
        </w:rPr>
        <w:t xml:space="preserve"> </w:t>
      </w:r>
      <w:r w:rsidR="008E3F67">
        <w:rPr>
          <w:szCs w:val="18"/>
          <w:lang w:val="fr-FR"/>
        </w:rPr>
        <w:tab/>
      </w:r>
      <w:r w:rsidR="00C116D6" w:rsidRPr="008E3F67">
        <w:rPr>
          <w:szCs w:val="18"/>
          <w:lang w:val="fr-FR"/>
        </w:rPr>
        <w:t>Depuis 2021</w:t>
      </w:r>
      <w:r w:rsidRPr="008E3F67">
        <w:rPr>
          <w:szCs w:val="18"/>
          <w:lang w:val="fr-FR"/>
        </w:rPr>
        <w:t xml:space="preserve">, les </w:t>
      </w:r>
      <w:r w:rsidR="00C116D6" w:rsidRPr="008E3F67">
        <w:rPr>
          <w:szCs w:val="18"/>
          <w:lang w:val="fr-FR"/>
        </w:rPr>
        <w:t>Nations Unies</w:t>
      </w:r>
      <w:r w:rsidRPr="008E3F67">
        <w:rPr>
          <w:szCs w:val="18"/>
          <w:lang w:val="fr-FR"/>
        </w:rPr>
        <w:t xml:space="preserve"> sont convenues du Plan d</w:t>
      </w:r>
      <w:r w:rsidR="00C116D6" w:rsidRPr="008E3F67">
        <w:rPr>
          <w:szCs w:val="18"/>
          <w:lang w:val="fr-FR"/>
        </w:rPr>
        <w:t>’</w:t>
      </w:r>
      <w:r w:rsidRPr="008E3F67">
        <w:rPr>
          <w:szCs w:val="18"/>
          <w:lang w:val="fr-FR"/>
        </w:rPr>
        <w:t>action à l</w:t>
      </w:r>
      <w:r w:rsidR="00C116D6" w:rsidRPr="008E3F67">
        <w:rPr>
          <w:szCs w:val="18"/>
          <w:lang w:val="fr-FR"/>
        </w:rPr>
        <w:t>’</w:t>
      </w:r>
      <w:r w:rsidRPr="008E3F67">
        <w:rPr>
          <w:szCs w:val="18"/>
          <w:lang w:val="fr-FR"/>
        </w:rPr>
        <w:t xml:space="preserve">échelle du système des </w:t>
      </w:r>
      <w:r w:rsidR="00C116D6" w:rsidRPr="008E3F67">
        <w:rPr>
          <w:szCs w:val="18"/>
          <w:lang w:val="fr-FR"/>
        </w:rPr>
        <w:t>Nations Unies</w:t>
      </w:r>
      <w:r w:rsidRPr="008E3F67">
        <w:rPr>
          <w:szCs w:val="18"/>
          <w:lang w:val="fr-FR"/>
        </w:rPr>
        <w:t xml:space="preserve"> sur l</w:t>
      </w:r>
      <w:r w:rsidR="00C116D6" w:rsidRPr="008E3F67">
        <w:rPr>
          <w:szCs w:val="18"/>
          <w:lang w:val="fr-FR"/>
        </w:rPr>
        <w:t>’</w:t>
      </w:r>
      <w:r w:rsidRPr="008E3F67">
        <w:rPr>
          <w:szCs w:val="18"/>
          <w:lang w:val="fr-FR"/>
        </w:rPr>
        <w:t>égalité des sexes et l</w:t>
      </w:r>
      <w:r w:rsidR="00C116D6" w:rsidRPr="008E3F67">
        <w:rPr>
          <w:szCs w:val="18"/>
          <w:lang w:val="fr-FR"/>
        </w:rPr>
        <w:t>’</w:t>
      </w:r>
      <w:r w:rsidRPr="008E3F67">
        <w:rPr>
          <w:szCs w:val="18"/>
          <w:lang w:val="fr-FR"/>
        </w:rPr>
        <w:t>autonomisation des femmes (ONUSWAP), afin de mettre en œuvre la politique en matière d</w:t>
      </w:r>
      <w:r w:rsidR="00C116D6" w:rsidRPr="008E3F67">
        <w:rPr>
          <w:szCs w:val="18"/>
          <w:lang w:val="fr-FR"/>
        </w:rPr>
        <w:t>’</w:t>
      </w:r>
      <w:r w:rsidRPr="008E3F67">
        <w:rPr>
          <w:szCs w:val="18"/>
          <w:lang w:val="fr-FR"/>
        </w:rPr>
        <w:t xml:space="preserve">égalité des sexes de son principal organe exécutif, le Conseil des chefs de secrétariat des organismes des </w:t>
      </w:r>
      <w:r w:rsidR="00C116D6" w:rsidRPr="008E3F67">
        <w:rPr>
          <w:szCs w:val="18"/>
          <w:lang w:val="fr-FR"/>
        </w:rPr>
        <w:t>Nations Unies</w:t>
      </w:r>
      <w:r w:rsidRPr="008E3F67">
        <w:rPr>
          <w:szCs w:val="18"/>
          <w:lang w:val="fr-FR"/>
        </w:rPr>
        <w:t>, présidé par le Secrétaire général.  Sous la direction d</w:t>
      </w:r>
      <w:r w:rsidR="00C116D6" w:rsidRPr="008E3F67">
        <w:rPr>
          <w:szCs w:val="18"/>
          <w:lang w:val="fr-FR"/>
        </w:rPr>
        <w:t>’</w:t>
      </w:r>
      <w:r w:rsidRPr="008E3F67">
        <w:rPr>
          <w:szCs w:val="18"/>
          <w:lang w:val="fr-FR"/>
        </w:rPr>
        <w:t>ONU Femmes, le plan d</w:t>
      </w:r>
      <w:r w:rsidR="00C116D6" w:rsidRPr="008E3F67">
        <w:rPr>
          <w:szCs w:val="18"/>
          <w:lang w:val="fr-FR"/>
        </w:rPr>
        <w:t>’</w:t>
      </w:r>
      <w:r w:rsidRPr="008E3F67">
        <w:rPr>
          <w:szCs w:val="18"/>
          <w:lang w:val="fr-FR"/>
        </w:rPr>
        <w:t>action ONUSWAP fixe pour la première fois des normes de performance communes pour les activités relatives à l</w:t>
      </w:r>
      <w:r w:rsidR="00C116D6" w:rsidRPr="008E3F67">
        <w:rPr>
          <w:szCs w:val="18"/>
          <w:lang w:val="fr-FR"/>
        </w:rPr>
        <w:t>’</w:t>
      </w:r>
      <w:r w:rsidRPr="008E3F67">
        <w:rPr>
          <w:szCs w:val="18"/>
          <w:lang w:val="fr-FR"/>
        </w:rPr>
        <w:t xml:space="preserve">égalité des sexes menées par toutes les entités du système des </w:t>
      </w:r>
      <w:r w:rsidR="00C116D6" w:rsidRPr="008E3F67">
        <w:rPr>
          <w:szCs w:val="18"/>
          <w:lang w:val="fr-FR"/>
        </w:rPr>
        <w:t>Nations Unies</w:t>
      </w:r>
      <w:r w:rsidRPr="008E3F67">
        <w:rPr>
          <w:szCs w:val="18"/>
          <w:lang w:val="fr-FR"/>
        </w:rPr>
        <w:t>, en vue de favoriser la cohérence et la reddition de comptes.</w:t>
      </w:r>
    </w:p>
  </w:footnote>
  <w:footnote w:id="6">
    <w:p w14:paraId="622ECC7E" w14:textId="3CCBA723" w:rsidR="000D5281" w:rsidRPr="008E3F67" w:rsidRDefault="000D5281" w:rsidP="000D5281">
      <w:pPr>
        <w:pStyle w:val="FootnoteText"/>
        <w:rPr>
          <w:szCs w:val="18"/>
          <w:lang w:val="fr-FR"/>
        </w:rPr>
      </w:pPr>
      <w:r w:rsidRPr="008E3F67">
        <w:rPr>
          <w:rStyle w:val="FootnoteReference"/>
          <w:szCs w:val="18"/>
          <w:lang w:val="fr-FR"/>
        </w:rPr>
        <w:footnoteRef/>
      </w:r>
      <w:r w:rsidRPr="008E3F67">
        <w:rPr>
          <w:szCs w:val="18"/>
          <w:lang w:val="fr-FR"/>
        </w:rPr>
        <w:t xml:space="preserve"> </w:t>
      </w:r>
      <w:r w:rsidR="008E3F67">
        <w:rPr>
          <w:szCs w:val="18"/>
          <w:lang w:val="fr-FR"/>
        </w:rPr>
        <w:tab/>
      </w:r>
      <w:r w:rsidRPr="008E3F67">
        <w:rPr>
          <w:szCs w:val="18"/>
          <w:lang w:val="fr-FR"/>
        </w:rPr>
        <w:t>La validation n</w:t>
      </w:r>
      <w:r w:rsidR="00C116D6" w:rsidRPr="008E3F67">
        <w:rPr>
          <w:szCs w:val="18"/>
          <w:lang w:val="fr-FR"/>
        </w:rPr>
        <w:t>’</w:t>
      </w:r>
      <w:r w:rsidRPr="008E3F67">
        <w:rPr>
          <w:szCs w:val="18"/>
          <w:lang w:val="fr-FR"/>
        </w:rPr>
        <w:t>offre pas une garantie complète et vise à tester un échantillon de demandes de remboursement de l</w:t>
      </w:r>
      <w:r w:rsidR="00C116D6" w:rsidRPr="008E3F67">
        <w:rPr>
          <w:szCs w:val="18"/>
          <w:lang w:val="fr-FR"/>
        </w:rPr>
        <w:t>’</w:t>
      </w:r>
      <w:r w:rsidRPr="008E3F67">
        <w:rPr>
          <w:szCs w:val="18"/>
          <w:lang w:val="fr-FR"/>
        </w:rPr>
        <w:t>OMPI pour en vérifier la fréquence, l</w:t>
      </w:r>
      <w:r w:rsidR="00C116D6" w:rsidRPr="008E3F67">
        <w:rPr>
          <w:szCs w:val="18"/>
          <w:lang w:val="fr-FR"/>
        </w:rPr>
        <w:t>’</w:t>
      </w:r>
      <w:r w:rsidRPr="008E3F67">
        <w:rPr>
          <w:szCs w:val="18"/>
          <w:lang w:val="fr-FR"/>
        </w:rPr>
        <w:t>exactitude et la validité, tout en examinant les informations pertinentes qui permettraient de supposer que des mesures efficaces ont été mises en place par Cigna pour garantir l</w:t>
      </w:r>
      <w:r w:rsidR="00C116D6" w:rsidRPr="008E3F67">
        <w:rPr>
          <w:szCs w:val="18"/>
          <w:lang w:val="fr-FR"/>
        </w:rPr>
        <w:t>’</w:t>
      </w:r>
      <w:r w:rsidRPr="008E3F67">
        <w:rPr>
          <w:szCs w:val="18"/>
          <w:lang w:val="fr-FR"/>
        </w:rPr>
        <w:t>exactitude, la qualité, l</w:t>
      </w:r>
      <w:r w:rsidR="00C116D6" w:rsidRPr="008E3F67">
        <w:rPr>
          <w:szCs w:val="18"/>
          <w:lang w:val="fr-FR"/>
        </w:rPr>
        <w:t>’</w:t>
      </w:r>
      <w:r w:rsidRPr="008E3F67">
        <w:rPr>
          <w:szCs w:val="18"/>
          <w:lang w:val="fr-FR"/>
        </w:rPr>
        <w:t>intégrité des informations, la confidentialité et la disponibilité des données relatives aux demandes de remboursement au titre de l</w:t>
      </w:r>
      <w:r w:rsidR="00C116D6" w:rsidRPr="008E3F67">
        <w:rPr>
          <w:szCs w:val="18"/>
          <w:lang w:val="fr-FR"/>
        </w:rPr>
        <w:t>’</w:t>
      </w:r>
      <w:r w:rsidRPr="008E3F67">
        <w:rPr>
          <w:szCs w:val="18"/>
          <w:lang w:val="fr-FR"/>
        </w:rPr>
        <w:t>AMCS.</w:t>
      </w:r>
    </w:p>
  </w:footnote>
  <w:footnote w:id="7">
    <w:p w14:paraId="3867D644" w14:textId="6BD7B70A" w:rsidR="000D5281" w:rsidRPr="008E3F67" w:rsidRDefault="000D5281" w:rsidP="000D5281">
      <w:pPr>
        <w:pStyle w:val="FootnoteText"/>
        <w:rPr>
          <w:szCs w:val="18"/>
          <w:lang w:val="fr-BE"/>
        </w:rPr>
      </w:pPr>
      <w:r w:rsidRPr="008E3F67">
        <w:rPr>
          <w:rStyle w:val="FootnoteReference"/>
          <w:szCs w:val="18"/>
        </w:rPr>
        <w:footnoteRef/>
      </w:r>
      <w:r w:rsidRPr="008E3F67">
        <w:rPr>
          <w:szCs w:val="18"/>
        </w:rPr>
        <w:t xml:space="preserve"> </w:t>
      </w:r>
      <w:r w:rsidR="008E3F67">
        <w:rPr>
          <w:szCs w:val="18"/>
        </w:rPr>
        <w:tab/>
      </w:r>
      <w:r w:rsidRPr="008E3F67">
        <w:rPr>
          <w:szCs w:val="18"/>
          <w:lang w:val="fr-BE"/>
        </w:rPr>
        <w:t>L</w:t>
      </w:r>
      <w:r w:rsidR="00C116D6" w:rsidRPr="008E3F67">
        <w:rPr>
          <w:szCs w:val="18"/>
          <w:lang w:val="fr-BE"/>
        </w:rPr>
        <w:t>’</w:t>
      </w:r>
      <w:r w:rsidRPr="008E3F67">
        <w:rPr>
          <w:szCs w:val="18"/>
          <w:lang w:val="fr-BE"/>
        </w:rPr>
        <w:t>OMPI a signé un contrat avec Cigna Life Insurance Company of Europe S.A. (l</w:t>
      </w:r>
      <w:r w:rsidR="00C116D6" w:rsidRPr="008E3F67">
        <w:rPr>
          <w:szCs w:val="18"/>
          <w:lang w:val="fr-BE"/>
        </w:rPr>
        <w:t>’</w:t>
      </w:r>
      <w:r w:rsidRPr="008E3F67">
        <w:rPr>
          <w:szCs w:val="18"/>
          <w:lang w:val="fr-BE"/>
        </w:rPr>
        <w:t>assureur) et Cigna International Health Services B.V. (l</w:t>
      </w:r>
      <w:r w:rsidR="00C116D6" w:rsidRPr="008E3F67">
        <w:rPr>
          <w:szCs w:val="18"/>
          <w:lang w:val="fr-BE"/>
        </w:rPr>
        <w:t>’</w:t>
      </w:r>
      <w:r w:rsidRPr="008E3F67">
        <w:rPr>
          <w:szCs w:val="18"/>
          <w:lang w:val="fr-BE"/>
        </w:rPr>
        <w:t>intermédiaire) pour la fourniture de services d</w:t>
      </w:r>
      <w:r w:rsidR="00C116D6" w:rsidRPr="008E3F67">
        <w:rPr>
          <w:szCs w:val="18"/>
          <w:lang w:val="fr-BE"/>
        </w:rPr>
        <w:t>’</w:t>
      </w:r>
      <w:r w:rsidRPr="008E3F67">
        <w:rPr>
          <w:szCs w:val="18"/>
          <w:lang w:val="fr-BE"/>
        </w:rPr>
        <w:t>assurance maladie au personnel en fonctions et aux fonctionnaires retraités de l</w:t>
      </w:r>
      <w:r w:rsidR="00C116D6" w:rsidRPr="008E3F67">
        <w:rPr>
          <w:szCs w:val="18"/>
          <w:lang w:val="fr-BE"/>
        </w:rPr>
        <w:t>’</w:t>
      </w:r>
      <w:r w:rsidRPr="008E3F67">
        <w:rPr>
          <w:szCs w:val="18"/>
          <w:lang w:val="fr-BE"/>
        </w:rPr>
        <w:t>OMPI.</w:t>
      </w:r>
    </w:p>
  </w:footnote>
  <w:footnote w:id="8">
    <w:p w14:paraId="77BB4E1C" w14:textId="22BF51C6" w:rsidR="000D5281" w:rsidRPr="008E3F67" w:rsidRDefault="000D5281" w:rsidP="000D5281">
      <w:pPr>
        <w:pStyle w:val="FootnoteText"/>
        <w:rPr>
          <w:szCs w:val="18"/>
          <w:lang w:val="fr-FR"/>
        </w:rPr>
      </w:pPr>
      <w:r w:rsidRPr="008E3F67">
        <w:rPr>
          <w:rStyle w:val="FootnoteReference"/>
          <w:szCs w:val="18"/>
          <w:lang w:val="fr-FR"/>
        </w:rPr>
        <w:footnoteRef/>
      </w:r>
      <w:r w:rsidRPr="008E3F67">
        <w:rPr>
          <w:szCs w:val="18"/>
          <w:lang w:val="fr-FR"/>
        </w:rPr>
        <w:t xml:space="preserve"> </w:t>
      </w:r>
      <w:r w:rsidR="00F917C1">
        <w:rPr>
          <w:szCs w:val="18"/>
          <w:lang w:val="fr-FR"/>
        </w:rPr>
        <w:tab/>
      </w:r>
      <w:hyperlink r:id="rId1" w:history="1">
        <w:r w:rsidR="00F917C1" w:rsidRPr="009C500C">
          <w:rPr>
            <w:rStyle w:val="Hyperlink"/>
            <w:rFonts w:cs="Arial"/>
            <w:szCs w:val="18"/>
            <w:lang w:val="fr-FR"/>
          </w:rPr>
          <w:t>https://www.wipo.int/edocs/mdocs/madrid/fr/mm_ld_wg_21/mm_ld_wg_21_6.pdf</w:t>
        </w:r>
      </w:hyperlink>
      <w:r w:rsidR="00F917C1">
        <w:rPr>
          <w:szCs w:val="18"/>
          <w:lang w:val="fr-FR"/>
        </w:rPr>
        <w:t>.</w:t>
      </w:r>
    </w:p>
  </w:footnote>
  <w:footnote w:id="9">
    <w:p w14:paraId="67B07604" w14:textId="4DA2A9C8" w:rsidR="000D5281" w:rsidRPr="008E3F67" w:rsidRDefault="000D5281" w:rsidP="000D5281">
      <w:pPr>
        <w:pStyle w:val="FootnoteText"/>
        <w:rPr>
          <w:szCs w:val="18"/>
          <w:lang w:val="fr-FR"/>
        </w:rPr>
      </w:pPr>
      <w:r w:rsidRPr="008E3F67">
        <w:rPr>
          <w:rStyle w:val="FootnoteReference"/>
          <w:szCs w:val="18"/>
          <w:lang w:val="fr-FR"/>
        </w:rPr>
        <w:footnoteRef/>
      </w:r>
      <w:r w:rsidRPr="008E3F67">
        <w:rPr>
          <w:szCs w:val="18"/>
          <w:lang w:val="fr-FR"/>
        </w:rPr>
        <w:t xml:space="preserve"> </w:t>
      </w:r>
      <w:r w:rsidR="00F917C1">
        <w:rPr>
          <w:szCs w:val="18"/>
          <w:lang w:val="fr-FR"/>
        </w:rPr>
        <w:tab/>
      </w:r>
      <w:r w:rsidRPr="008E3F67">
        <w:rPr>
          <w:szCs w:val="18"/>
          <w:lang w:val="fr-FR"/>
        </w:rPr>
        <w:t>Huit</w:t>
      </w:r>
      <w:r w:rsidR="006F1D4B" w:rsidRPr="008E3F67">
        <w:rPr>
          <w:szCs w:val="18"/>
          <w:lang w:val="fr-FR"/>
        </w:rPr>
        <w:t> </w:t>
      </w:r>
      <w:r w:rsidRPr="008E3F67">
        <w:rPr>
          <w:szCs w:val="18"/>
          <w:lang w:val="fr-FR"/>
        </w:rPr>
        <w:t xml:space="preserve">plaintes ont été enregistrées </w:t>
      </w:r>
      <w:r w:rsidR="00C116D6" w:rsidRPr="008E3F67">
        <w:rPr>
          <w:szCs w:val="18"/>
          <w:lang w:val="fr-FR"/>
        </w:rPr>
        <w:t>en 2022</w:t>
      </w:r>
      <w:r w:rsidRPr="008E3F67">
        <w:rPr>
          <w:szCs w:val="18"/>
          <w:lang w:val="fr-FR"/>
        </w:rPr>
        <w:t xml:space="preserve"> et 23 </w:t>
      </w:r>
      <w:r w:rsidR="00C116D6" w:rsidRPr="008E3F67">
        <w:rPr>
          <w:szCs w:val="18"/>
          <w:lang w:val="fr-FR"/>
        </w:rPr>
        <w:t>en 2023</w:t>
      </w:r>
      <w:r w:rsidRPr="008E3F67">
        <w:rPr>
          <w:szCs w:val="18"/>
          <w:lang w:val="fr-FR"/>
        </w:rPr>
        <w:t>.</w:t>
      </w:r>
    </w:p>
  </w:footnote>
  <w:footnote w:id="10">
    <w:p w14:paraId="77AC734E" w14:textId="74583731" w:rsidR="000D5281" w:rsidRPr="008E3F67" w:rsidRDefault="000D5281" w:rsidP="000D5281">
      <w:pPr>
        <w:pStyle w:val="FootnoteText"/>
        <w:rPr>
          <w:szCs w:val="18"/>
          <w:lang w:val="fr-FR"/>
        </w:rPr>
      </w:pPr>
      <w:r w:rsidRPr="008E3F67">
        <w:rPr>
          <w:rStyle w:val="FootnoteReference"/>
          <w:szCs w:val="18"/>
          <w:lang w:val="fr-FR"/>
        </w:rPr>
        <w:footnoteRef/>
      </w:r>
      <w:r w:rsidRPr="008E3F67">
        <w:rPr>
          <w:szCs w:val="18"/>
          <w:lang w:val="fr-FR"/>
        </w:rPr>
        <w:t xml:space="preserve"> </w:t>
      </w:r>
      <w:r w:rsidR="00F917C1">
        <w:rPr>
          <w:szCs w:val="18"/>
          <w:lang w:val="fr-FR"/>
        </w:rPr>
        <w:tab/>
      </w:r>
      <w:r w:rsidRPr="008E3F67">
        <w:rPr>
          <w:szCs w:val="18"/>
          <w:lang w:val="fr-FR"/>
        </w:rPr>
        <w:t xml:space="preserve">Une enquête a été reportée </w:t>
      </w:r>
      <w:r w:rsidR="00C116D6" w:rsidRPr="008E3F67">
        <w:rPr>
          <w:szCs w:val="18"/>
          <w:lang w:val="fr-FR"/>
        </w:rPr>
        <w:t>de 2020</w:t>
      </w:r>
      <w:r w:rsidRPr="008E3F67">
        <w:rPr>
          <w:szCs w:val="18"/>
          <w:lang w:val="fr-FR"/>
        </w:rPr>
        <w:t xml:space="preserve">, quatre </w:t>
      </w:r>
      <w:r w:rsidR="00C116D6" w:rsidRPr="008E3F67">
        <w:rPr>
          <w:szCs w:val="18"/>
          <w:lang w:val="fr-FR"/>
        </w:rPr>
        <w:t>de 2021</w:t>
      </w:r>
      <w:r w:rsidRPr="008E3F67">
        <w:rPr>
          <w:szCs w:val="18"/>
          <w:lang w:val="fr-FR"/>
        </w:rPr>
        <w:t xml:space="preserve">, sept </w:t>
      </w:r>
      <w:r w:rsidR="00C116D6" w:rsidRPr="008E3F67">
        <w:rPr>
          <w:szCs w:val="18"/>
          <w:lang w:val="fr-FR"/>
        </w:rPr>
        <w:t>de 2022</w:t>
      </w:r>
      <w:r w:rsidRPr="008E3F67">
        <w:rPr>
          <w:szCs w:val="18"/>
          <w:lang w:val="fr-FR"/>
        </w:rPr>
        <w:t xml:space="preserve"> et deux ont été ouvertes </w:t>
      </w:r>
      <w:r w:rsidR="00C116D6" w:rsidRPr="008E3F67">
        <w:rPr>
          <w:szCs w:val="18"/>
          <w:lang w:val="fr-FR"/>
        </w:rPr>
        <w:t>en 2023</w:t>
      </w:r>
      <w:r w:rsidRPr="008E3F67">
        <w:rPr>
          <w:szCs w:val="18"/>
          <w:lang w:val="fr-FR"/>
        </w:rPr>
        <w:t>.</w:t>
      </w:r>
    </w:p>
  </w:footnote>
  <w:footnote w:id="11">
    <w:p w14:paraId="2DD08135" w14:textId="01492D00" w:rsidR="000D5281" w:rsidRPr="008E3F67" w:rsidRDefault="000D5281" w:rsidP="000D5281">
      <w:pPr>
        <w:pStyle w:val="FootnoteText"/>
        <w:rPr>
          <w:szCs w:val="18"/>
          <w:lang w:val="fr-FR"/>
        </w:rPr>
      </w:pPr>
      <w:r w:rsidRPr="008E3F67">
        <w:rPr>
          <w:rStyle w:val="FootnoteReference"/>
          <w:szCs w:val="18"/>
          <w:lang w:val="fr-FR"/>
        </w:rPr>
        <w:footnoteRef/>
      </w:r>
      <w:r w:rsidRPr="008E3F67">
        <w:rPr>
          <w:szCs w:val="18"/>
          <w:lang w:val="fr-FR"/>
        </w:rPr>
        <w:t xml:space="preserve"> </w:t>
      </w:r>
      <w:r w:rsidR="00F917C1">
        <w:rPr>
          <w:szCs w:val="18"/>
          <w:lang w:val="fr-FR"/>
        </w:rPr>
        <w:tab/>
      </w:r>
      <w:r w:rsidRPr="008E3F67">
        <w:rPr>
          <w:szCs w:val="18"/>
          <w:lang w:val="fr-FR"/>
        </w:rPr>
        <w:t>Politique en matière d</w:t>
      </w:r>
      <w:r w:rsidR="00C116D6" w:rsidRPr="008E3F67">
        <w:rPr>
          <w:szCs w:val="18"/>
          <w:lang w:val="fr-FR"/>
        </w:rPr>
        <w:t>’</w:t>
      </w:r>
      <w:r w:rsidRPr="008E3F67">
        <w:rPr>
          <w:szCs w:val="18"/>
          <w:lang w:val="fr-FR"/>
        </w:rPr>
        <w:t>enquêtes, paragraphe 33.</w:t>
      </w:r>
    </w:p>
  </w:footnote>
  <w:footnote w:id="12">
    <w:p w14:paraId="32F98A1F" w14:textId="11DEADD6" w:rsidR="000D5281" w:rsidRPr="008E3F67" w:rsidRDefault="000D5281" w:rsidP="000D5281">
      <w:pPr>
        <w:pStyle w:val="FootnoteText"/>
        <w:rPr>
          <w:szCs w:val="18"/>
          <w:lang w:val="fr-FR"/>
        </w:rPr>
      </w:pPr>
      <w:r w:rsidRPr="008E3F67">
        <w:rPr>
          <w:rStyle w:val="FootnoteReference"/>
          <w:szCs w:val="18"/>
          <w:lang w:val="fr-FR"/>
        </w:rPr>
        <w:footnoteRef/>
      </w:r>
      <w:r w:rsidRPr="008E3F67">
        <w:rPr>
          <w:szCs w:val="18"/>
          <w:lang w:val="fr-FR"/>
        </w:rPr>
        <w:t xml:space="preserve"> </w:t>
      </w:r>
      <w:r w:rsidR="00F917C1">
        <w:rPr>
          <w:szCs w:val="18"/>
          <w:lang w:val="fr-FR"/>
        </w:rPr>
        <w:tab/>
      </w:r>
      <w:r w:rsidRPr="008E3F67">
        <w:rPr>
          <w:szCs w:val="18"/>
          <w:lang w:val="fr-FR"/>
        </w:rPr>
        <w:t>Voir le paragraphe 48.b) de la Charte de la supervision interne.</w:t>
      </w:r>
    </w:p>
  </w:footnote>
  <w:footnote w:id="13">
    <w:p w14:paraId="2A34A61F" w14:textId="1440E3A0" w:rsidR="000D5281" w:rsidRPr="008E3F67" w:rsidRDefault="000D5281" w:rsidP="000D5281">
      <w:pPr>
        <w:pStyle w:val="FootnoteText"/>
        <w:rPr>
          <w:szCs w:val="18"/>
          <w:lang w:val="fr-FR"/>
        </w:rPr>
      </w:pPr>
      <w:r w:rsidRPr="008E3F67">
        <w:rPr>
          <w:rStyle w:val="FootnoteReference"/>
          <w:szCs w:val="18"/>
          <w:lang w:val="fr-FR"/>
        </w:rPr>
        <w:footnoteRef/>
      </w:r>
      <w:r w:rsidRPr="008E3F67">
        <w:rPr>
          <w:szCs w:val="18"/>
          <w:lang w:val="fr-FR"/>
        </w:rPr>
        <w:t xml:space="preserve"> </w:t>
      </w:r>
      <w:r w:rsidR="00F917C1">
        <w:rPr>
          <w:szCs w:val="18"/>
          <w:lang w:val="fr-FR"/>
        </w:rPr>
        <w:tab/>
      </w:r>
      <w:hyperlink r:id="rId2" w:history="1">
        <w:r w:rsidR="00F917C1" w:rsidRPr="009C500C">
          <w:rPr>
            <w:rStyle w:val="Hyperlink"/>
            <w:rFonts w:cs="Arial"/>
            <w:szCs w:val="18"/>
            <w:lang w:val="fr-FR"/>
          </w:rPr>
          <w:t>https://www.un.org/two-zero/fr</w:t>
        </w:r>
      </w:hyperlink>
      <w:r w:rsidR="00F917C1">
        <w:rPr>
          <w:szCs w:val="18"/>
          <w:lang w:val="fr-FR"/>
        </w:rPr>
        <w:t>.</w:t>
      </w:r>
    </w:p>
  </w:footnote>
  <w:footnote w:id="14">
    <w:p w14:paraId="40D5CB74" w14:textId="70102BB7" w:rsidR="000D5281" w:rsidRPr="008E3F67" w:rsidRDefault="000D5281" w:rsidP="000D5281">
      <w:pPr>
        <w:pStyle w:val="FootnoteText"/>
        <w:spacing w:after="20"/>
        <w:rPr>
          <w:szCs w:val="18"/>
          <w:lang w:val="fr-FR"/>
        </w:rPr>
      </w:pPr>
      <w:r w:rsidRPr="008E3F67">
        <w:rPr>
          <w:rStyle w:val="FootnoteReference"/>
          <w:szCs w:val="18"/>
          <w:lang w:val="fr-FR"/>
        </w:rPr>
        <w:footnoteRef/>
      </w:r>
      <w:r w:rsidRPr="008E3F67">
        <w:rPr>
          <w:szCs w:val="18"/>
          <w:lang w:val="fr-FR"/>
        </w:rPr>
        <w:t xml:space="preserve"> </w:t>
      </w:r>
      <w:r w:rsidR="00F917C1">
        <w:rPr>
          <w:szCs w:val="18"/>
          <w:lang w:val="fr-FR"/>
        </w:rPr>
        <w:tab/>
      </w:r>
      <w:r w:rsidRPr="008E3F67">
        <w:rPr>
          <w:szCs w:val="18"/>
          <w:lang w:val="fr-FR"/>
        </w:rPr>
        <w:t>Voir le paragraphe 45 de la Charte de la supervision interne.</w:t>
      </w:r>
    </w:p>
  </w:footnote>
  <w:footnote w:id="15">
    <w:p w14:paraId="64EAF2F6" w14:textId="3769ED1D" w:rsidR="000D5281" w:rsidRPr="008E3F67" w:rsidRDefault="000D5281" w:rsidP="000D5281">
      <w:pPr>
        <w:pStyle w:val="FootnoteText"/>
        <w:spacing w:after="20"/>
        <w:rPr>
          <w:szCs w:val="18"/>
          <w:lang w:val="fr-FR"/>
        </w:rPr>
      </w:pPr>
      <w:r w:rsidRPr="008E3F67">
        <w:rPr>
          <w:rStyle w:val="FootnoteReference"/>
          <w:szCs w:val="18"/>
          <w:lang w:val="fr-FR"/>
        </w:rPr>
        <w:footnoteRef/>
      </w:r>
      <w:r w:rsidRPr="008E3F67">
        <w:rPr>
          <w:szCs w:val="18"/>
          <w:lang w:val="fr-FR"/>
        </w:rPr>
        <w:t xml:space="preserve"> </w:t>
      </w:r>
      <w:r w:rsidR="00F917C1">
        <w:rPr>
          <w:szCs w:val="18"/>
          <w:lang w:val="fr-FR"/>
        </w:rPr>
        <w:tab/>
      </w:r>
      <w:r w:rsidRPr="008E3F67">
        <w:rPr>
          <w:szCs w:val="18"/>
          <w:lang w:val="fr-FR"/>
        </w:rPr>
        <w:t>Voir le paragraphe 7 de l</w:t>
      </w:r>
      <w:r w:rsidR="00C116D6" w:rsidRPr="008E3F67">
        <w:rPr>
          <w:szCs w:val="18"/>
          <w:lang w:val="fr-FR"/>
        </w:rPr>
        <w:t>’</w:t>
      </w:r>
      <w:r w:rsidRPr="008E3F67">
        <w:rPr>
          <w:szCs w:val="18"/>
          <w:lang w:val="fr-FR"/>
        </w:rPr>
        <w:t>ordre de service n° 16/2010.</w:t>
      </w:r>
    </w:p>
  </w:footnote>
  <w:footnote w:id="16">
    <w:p w14:paraId="2477AEB2" w14:textId="75BA3F15" w:rsidR="000D5281" w:rsidRPr="008E3F67" w:rsidRDefault="000D5281" w:rsidP="000D5281">
      <w:pPr>
        <w:spacing w:after="20"/>
        <w:rPr>
          <w:sz w:val="18"/>
          <w:szCs w:val="18"/>
          <w:lang w:val="fr-FR"/>
        </w:rPr>
      </w:pPr>
      <w:r w:rsidRPr="008E3F67">
        <w:rPr>
          <w:rStyle w:val="FootnoteReference"/>
          <w:sz w:val="18"/>
          <w:szCs w:val="18"/>
          <w:lang w:val="fr-FR"/>
        </w:rPr>
        <w:footnoteRef/>
      </w:r>
      <w:r w:rsidRPr="008E3F67">
        <w:rPr>
          <w:sz w:val="18"/>
          <w:szCs w:val="18"/>
          <w:lang w:val="fr-FR"/>
        </w:rPr>
        <w:t xml:space="preserve"> </w:t>
      </w:r>
      <w:r w:rsidR="00F917C1">
        <w:rPr>
          <w:sz w:val="18"/>
          <w:szCs w:val="18"/>
          <w:lang w:val="fr-FR"/>
        </w:rPr>
        <w:tab/>
      </w:r>
      <w:r w:rsidRPr="008E3F67">
        <w:rPr>
          <w:sz w:val="18"/>
          <w:szCs w:val="18"/>
          <w:lang w:val="fr-FR"/>
        </w:rPr>
        <w:t>Voir le paragraphe 8 de l</w:t>
      </w:r>
      <w:r w:rsidR="00C116D6" w:rsidRPr="008E3F67">
        <w:rPr>
          <w:sz w:val="18"/>
          <w:szCs w:val="18"/>
          <w:lang w:val="fr-FR"/>
        </w:rPr>
        <w:t>’</w:t>
      </w:r>
      <w:r w:rsidRPr="008E3F67">
        <w:rPr>
          <w:sz w:val="18"/>
          <w:szCs w:val="18"/>
          <w:lang w:val="fr-FR"/>
        </w:rPr>
        <w:t>ordre de service n° 16/2010.</w:t>
      </w:r>
    </w:p>
  </w:footnote>
  <w:footnote w:id="17">
    <w:p w14:paraId="1E75A8A6" w14:textId="5C95CC26" w:rsidR="000D5281" w:rsidRPr="008E3F67" w:rsidRDefault="000D5281" w:rsidP="000D5281">
      <w:pPr>
        <w:pStyle w:val="FootnoteText"/>
        <w:rPr>
          <w:szCs w:val="18"/>
          <w:lang w:val="fr-FR"/>
        </w:rPr>
      </w:pPr>
      <w:r w:rsidRPr="008E3F67">
        <w:rPr>
          <w:rStyle w:val="FootnoteReference"/>
          <w:szCs w:val="18"/>
          <w:lang w:val="fr-FR"/>
        </w:rPr>
        <w:footnoteRef/>
      </w:r>
      <w:r w:rsidRPr="008E3F67">
        <w:rPr>
          <w:szCs w:val="18"/>
          <w:lang w:val="fr-FR"/>
        </w:rPr>
        <w:t xml:space="preserve"> </w:t>
      </w:r>
      <w:r w:rsidR="00287CF0">
        <w:rPr>
          <w:szCs w:val="18"/>
          <w:lang w:val="fr-FR"/>
        </w:rPr>
        <w:tab/>
      </w:r>
      <w:r w:rsidRPr="008E3F67">
        <w:rPr>
          <w:szCs w:val="18"/>
          <w:lang w:val="fr-FR"/>
        </w:rPr>
        <w:t>(WO/PBC/33/5) Le rapport du vérificateur externe des comptes pour l</w:t>
      </w:r>
      <w:r w:rsidR="00C116D6" w:rsidRPr="008E3F67">
        <w:rPr>
          <w:szCs w:val="18"/>
          <w:lang w:val="fr-FR"/>
        </w:rPr>
        <w:t>’</w:t>
      </w:r>
      <w:r w:rsidRPr="008E3F67">
        <w:rPr>
          <w:szCs w:val="18"/>
          <w:lang w:val="fr-FR"/>
        </w:rPr>
        <w:t>exercice 2020 à la soixante</w:t>
      </w:r>
      <w:r w:rsidR="00C116D6" w:rsidRPr="008E3F67">
        <w:rPr>
          <w:szCs w:val="18"/>
          <w:lang w:val="fr-FR"/>
        </w:rPr>
        <w:t>-</w:t>
      </w:r>
      <w:r w:rsidRPr="008E3F67">
        <w:rPr>
          <w:szCs w:val="18"/>
          <w:lang w:val="fr-FR"/>
        </w:rPr>
        <w:t>deuxième série de réunions des assemblées des États membres de l</w:t>
      </w:r>
      <w:r w:rsidR="00C116D6" w:rsidRPr="008E3F67">
        <w:rPr>
          <w:szCs w:val="18"/>
          <w:lang w:val="fr-FR"/>
        </w:rPr>
        <w:t>’</w:t>
      </w:r>
      <w:r w:rsidRPr="008E3F67">
        <w:rPr>
          <w:szCs w:val="18"/>
          <w:lang w:val="fr-FR"/>
        </w:rPr>
        <w:t>OMPI (également dénommé “rapport détaillé”).</w:t>
      </w:r>
    </w:p>
  </w:footnote>
  <w:footnote w:id="18">
    <w:p w14:paraId="22D3B4CF" w14:textId="79C5BB1F" w:rsidR="000D5281" w:rsidRPr="008E3F67" w:rsidRDefault="000D5281" w:rsidP="000D5281">
      <w:pPr>
        <w:pStyle w:val="FootnoteText"/>
        <w:rPr>
          <w:szCs w:val="18"/>
          <w:lang w:val="fr-FR"/>
        </w:rPr>
      </w:pPr>
      <w:r w:rsidRPr="008E3F67">
        <w:rPr>
          <w:rStyle w:val="FootnoteReference"/>
          <w:szCs w:val="18"/>
          <w:lang w:val="fr-FR"/>
        </w:rPr>
        <w:footnoteRef/>
      </w:r>
      <w:r w:rsidRPr="008E3F67">
        <w:rPr>
          <w:szCs w:val="18"/>
          <w:lang w:val="fr-FR"/>
        </w:rPr>
        <w:t xml:space="preserve"> </w:t>
      </w:r>
      <w:r w:rsidR="00287CF0">
        <w:rPr>
          <w:szCs w:val="18"/>
          <w:lang w:val="fr-FR"/>
        </w:rPr>
        <w:tab/>
      </w:r>
      <w:r w:rsidRPr="008E3F67">
        <w:rPr>
          <w:szCs w:val="18"/>
          <w:lang w:val="fr-FR"/>
        </w:rPr>
        <w:t>Voir le paragraphe 28.g) de la Charte de la supervision interne.</w:t>
      </w:r>
    </w:p>
  </w:footnote>
  <w:footnote w:id="19">
    <w:p w14:paraId="2ECC2E22" w14:textId="60A68AA2" w:rsidR="000D5281" w:rsidRPr="008E3F67" w:rsidRDefault="000D5281" w:rsidP="000D5281">
      <w:pPr>
        <w:pStyle w:val="FootnoteText"/>
        <w:rPr>
          <w:szCs w:val="18"/>
          <w:lang w:val="fr-FR"/>
        </w:rPr>
      </w:pPr>
      <w:r w:rsidRPr="008E3F67">
        <w:rPr>
          <w:rStyle w:val="FootnoteReference"/>
          <w:szCs w:val="18"/>
          <w:lang w:val="fr-FR"/>
        </w:rPr>
        <w:footnoteRef/>
      </w:r>
      <w:r w:rsidRPr="008E3F67">
        <w:rPr>
          <w:szCs w:val="18"/>
          <w:lang w:val="fr-FR"/>
        </w:rPr>
        <w:t xml:space="preserve"> </w:t>
      </w:r>
      <w:r w:rsidR="00287CF0">
        <w:rPr>
          <w:szCs w:val="18"/>
          <w:lang w:val="fr-FR"/>
        </w:rPr>
        <w:tab/>
      </w:r>
      <w:r w:rsidRPr="008E3F67">
        <w:rPr>
          <w:szCs w:val="18"/>
          <w:lang w:val="fr-FR"/>
        </w:rPr>
        <w:t>Les principales parties prenantes comprennent le Directeur général, les chefs de service, l</w:t>
      </w:r>
      <w:r w:rsidR="00C116D6" w:rsidRPr="008E3F67">
        <w:rPr>
          <w:szCs w:val="18"/>
          <w:lang w:val="fr-FR"/>
        </w:rPr>
        <w:t>’</w:t>
      </w:r>
      <w:r w:rsidRPr="008E3F67">
        <w:rPr>
          <w:szCs w:val="18"/>
          <w:lang w:val="fr-FR"/>
        </w:rPr>
        <w:t>OCIS, les États membres, le vérificateur externe des comptes et le grand public.</w:t>
      </w:r>
    </w:p>
  </w:footnote>
  <w:footnote w:id="20">
    <w:p w14:paraId="6A12AC62" w14:textId="70215E09" w:rsidR="000D5281" w:rsidRPr="008E3F67" w:rsidRDefault="000D5281" w:rsidP="000D5281">
      <w:pPr>
        <w:pStyle w:val="FootnoteText"/>
        <w:rPr>
          <w:szCs w:val="18"/>
          <w:lang w:val="fr-FR"/>
        </w:rPr>
      </w:pPr>
      <w:r w:rsidRPr="008E3F67">
        <w:rPr>
          <w:rStyle w:val="FootnoteReference"/>
          <w:szCs w:val="18"/>
          <w:lang w:val="fr-FR"/>
        </w:rPr>
        <w:footnoteRef/>
      </w:r>
      <w:r w:rsidRPr="008E3F67">
        <w:rPr>
          <w:szCs w:val="18"/>
          <w:lang w:val="fr-FR"/>
        </w:rPr>
        <w:t xml:space="preserve"> </w:t>
      </w:r>
      <w:r w:rsidR="00287CF0">
        <w:rPr>
          <w:szCs w:val="18"/>
          <w:lang w:val="fr-FR"/>
        </w:rPr>
        <w:tab/>
      </w:r>
      <w:r w:rsidRPr="008E3F67">
        <w:rPr>
          <w:szCs w:val="18"/>
          <w:lang w:val="fr-FR"/>
        </w:rPr>
        <w:t>Voir le paragraphe 48.i) de la Charte de la supervision interne.</w:t>
      </w:r>
    </w:p>
  </w:footnote>
  <w:footnote w:id="21">
    <w:p w14:paraId="696C2A3A" w14:textId="4193EF23" w:rsidR="000D5281" w:rsidRPr="008E3F67" w:rsidRDefault="000D5281" w:rsidP="000D5281">
      <w:pPr>
        <w:pStyle w:val="FootnoteText"/>
        <w:rPr>
          <w:szCs w:val="18"/>
          <w:lang w:val="fr-FR"/>
        </w:rPr>
      </w:pPr>
      <w:r w:rsidRPr="008E3F67">
        <w:rPr>
          <w:rStyle w:val="FootnoteReference"/>
          <w:szCs w:val="18"/>
          <w:lang w:val="fr-FR"/>
        </w:rPr>
        <w:footnoteRef/>
      </w:r>
      <w:r w:rsidRPr="008E3F67">
        <w:rPr>
          <w:szCs w:val="18"/>
          <w:lang w:val="fr-FR"/>
        </w:rPr>
        <w:t xml:space="preserve"> </w:t>
      </w:r>
      <w:r w:rsidR="00287CF0">
        <w:rPr>
          <w:szCs w:val="18"/>
          <w:lang w:val="fr-FR"/>
        </w:rPr>
        <w:tab/>
      </w:r>
      <w:r w:rsidRPr="008E3F67">
        <w:rPr>
          <w:szCs w:val="18"/>
          <w:lang w:val="fr-FR"/>
        </w:rPr>
        <w:t>SMART.</w:t>
      </w:r>
    </w:p>
  </w:footnote>
  <w:footnote w:id="22">
    <w:p w14:paraId="759CF238" w14:textId="6349E15D" w:rsidR="000D5281" w:rsidRPr="008E3F67" w:rsidRDefault="000D5281" w:rsidP="000D5281">
      <w:pPr>
        <w:pStyle w:val="FootnoteText"/>
        <w:rPr>
          <w:szCs w:val="18"/>
          <w:lang w:val="fr-FR"/>
        </w:rPr>
      </w:pPr>
      <w:r w:rsidRPr="008E3F67">
        <w:rPr>
          <w:rStyle w:val="FootnoteReference"/>
          <w:szCs w:val="18"/>
          <w:lang w:val="fr-FR"/>
        </w:rPr>
        <w:footnoteRef/>
      </w:r>
      <w:r w:rsidR="00C116D6" w:rsidRPr="008E3F67">
        <w:rPr>
          <w:szCs w:val="18"/>
          <w:lang w:val="fr-FR"/>
        </w:rPr>
        <w:t xml:space="preserve"> </w:t>
      </w:r>
      <w:r w:rsidR="00287CF0">
        <w:rPr>
          <w:szCs w:val="18"/>
          <w:lang w:val="fr-FR"/>
        </w:rPr>
        <w:tab/>
      </w:r>
      <w:r w:rsidR="00C116D6" w:rsidRPr="008E3F67">
        <w:rPr>
          <w:szCs w:val="18"/>
          <w:lang w:val="fr-FR"/>
        </w:rPr>
        <w:t>La DSI</w:t>
      </w:r>
      <w:r w:rsidRPr="008E3F67">
        <w:rPr>
          <w:szCs w:val="18"/>
          <w:lang w:val="fr-FR"/>
        </w:rPr>
        <w:t xml:space="preserve"> a reçu des réponses à six</w:t>
      </w:r>
      <w:r w:rsidR="006F1D4B" w:rsidRPr="008E3F67">
        <w:rPr>
          <w:szCs w:val="18"/>
          <w:lang w:val="fr-FR"/>
        </w:rPr>
        <w:t> </w:t>
      </w:r>
      <w:r w:rsidRPr="008E3F67">
        <w:rPr>
          <w:szCs w:val="18"/>
          <w:lang w:val="fr-FR"/>
        </w:rPr>
        <w:t xml:space="preserve">enquêtes sur des missions réalisées </w:t>
      </w:r>
      <w:r w:rsidR="00C116D6" w:rsidRPr="008E3F67">
        <w:rPr>
          <w:szCs w:val="18"/>
          <w:lang w:val="fr-FR"/>
        </w:rPr>
        <w:t>en 2023</w:t>
      </w:r>
      <w:r w:rsidRPr="008E3F67">
        <w:rPr>
          <w:szCs w:val="18"/>
          <w:lang w:val="fr-FR"/>
        </w:rPr>
        <w:t>.</w:t>
      </w:r>
    </w:p>
  </w:footnote>
  <w:footnote w:id="23">
    <w:p w14:paraId="210557EA" w14:textId="7B7EBBE2" w:rsidR="000D5281" w:rsidRPr="008E3F67" w:rsidRDefault="000D5281" w:rsidP="000D5281">
      <w:pPr>
        <w:pStyle w:val="FootnoteText"/>
        <w:rPr>
          <w:szCs w:val="18"/>
          <w:lang w:val="fr-FR"/>
        </w:rPr>
      </w:pPr>
      <w:r w:rsidRPr="008E3F67">
        <w:rPr>
          <w:rStyle w:val="FootnoteReference"/>
          <w:szCs w:val="18"/>
          <w:lang w:val="fr-FR"/>
        </w:rPr>
        <w:footnoteRef/>
      </w:r>
      <w:r w:rsidR="00C116D6" w:rsidRPr="008E3F67">
        <w:rPr>
          <w:szCs w:val="18"/>
          <w:lang w:val="fr-FR"/>
        </w:rPr>
        <w:t xml:space="preserve"> </w:t>
      </w:r>
      <w:r w:rsidR="00287CF0">
        <w:rPr>
          <w:szCs w:val="18"/>
          <w:lang w:val="fr-FR"/>
        </w:rPr>
        <w:tab/>
      </w:r>
      <w:r w:rsidR="00C116D6" w:rsidRPr="008E3F67">
        <w:rPr>
          <w:szCs w:val="18"/>
          <w:lang w:val="fr-FR"/>
        </w:rPr>
        <w:t>La DSI</w:t>
      </w:r>
      <w:r w:rsidRPr="008E3F67">
        <w:rPr>
          <w:szCs w:val="18"/>
          <w:lang w:val="fr-FR"/>
        </w:rPr>
        <w:t xml:space="preserve"> a reçu des réponses à huit</w:t>
      </w:r>
      <w:r w:rsidR="006F1D4B" w:rsidRPr="008E3F67">
        <w:rPr>
          <w:szCs w:val="18"/>
          <w:lang w:val="fr-FR"/>
        </w:rPr>
        <w:t> </w:t>
      </w:r>
      <w:r w:rsidRPr="008E3F67">
        <w:rPr>
          <w:szCs w:val="18"/>
          <w:lang w:val="fr-FR"/>
        </w:rPr>
        <w:t xml:space="preserve">enquêtes </w:t>
      </w:r>
      <w:r w:rsidR="00C116D6" w:rsidRPr="008E3F67">
        <w:rPr>
          <w:szCs w:val="18"/>
          <w:lang w:val="fr-FR"/>
        </w:rPr>
        <w:t>en 2023</w:t>
      </w:r>
      <w:r w:rsidRPr="008E3F67">
        <w:rPr>
          <w:szCs w:val="18"/>
          <w:lang w:val="fr-FR"/>
        </w:rPr>
        <w:t>.</w:t>
      </w:r>
    </w:p>
  </w:footnote>
  <w:footnote w:id="24">
    <w:p w14:paraId="650A725D" w14:textId="42D09BD3" w:rsidR="000D5281" w:rsidRPr="008E3F67" w:rsidRDefault="000D5281" w:rsidP="000D5281">
      <w:pPr>
        <w:pStyle w:val="FootnoteText"/>
        <w:rPr>
          <w:szCs w:val="18"/>
          <w:lang w:val="fr-FR"/>
        </w:rPr>
      </w:pPr>
      <w:r w:rsidRPr="008E3F67">
        <w:rPr>
          <w:rStyle w:val="FootnoteReference"/>
          <w:szCs w:val="18"/>
          <w:lang w:val="fr-FR"/>
        </w:rPr>
        <w:footnoteRef/>
      </w:r>
      <w:r w:rsidRPr="008E3F67">
        <w:rPr>
          <w:szCs w:val="18"/>
          <w:lang w:val="fr-FR"/>
        </w:rPr>
        <w:t xml:space="preserve"> </w:t>
      </w:r>
      <w:r w:rsidR="00287CF0">
        <w:rPr>
          <w:szCs w:val="18"/>
          <w:lang w:val="fr-FR"/>
        </w:rPr>
        <w:tab/>
      </w:r>
      <w:hyperlink r:id="rId3" w:history="1">
        <w:r w:rsidR="00287CF0" w:rsidRPr="009C500C">
          <w:rPr>
            <w:rStyle w:val="Hyperlink"/>
            <w:rFonts w:cs="Arial"/>
            <w:szCs w:val="18"/>
            <w:lang w:val="fr-FR"/>
          </w:rPr>
          <w:t>https://www.wipo.int/edocs/pubdocs/fr/wipo_pub_360_pb22_23.pdf</w:t>
        </w:r>
      </w:hyperlink>
      <w:r w:rsidRPr="008E3F67">
        <w:rPr>
          <w:szCs w:val="18"/>
          <w:lang w:val="fr-FR"/>
        </w:rPr>
        <w:t>, annexe VIII, Budget annuel</w:t>
      </w:r>
      <w:r w:rsidR="001908D2" w:rsidRPr="008E3F67">
        <w:rPr>
          <w:szCs w:val="18"/>
          <w:lang w:val="fr-FR"/>
        </w:rPr>
        <w:t> </w:t>
      </w:r>
      <w:r w:rsidRPr="008E3F67">
        <w:rPr>
          <w:szCs w:val="18"/>
          <w:lang w:val="fr-FR"/>
        </w:rPr>
        <w:t>2022</w:t>
      </w:r>
      <w:r w:rsidR="00C116D6" w:rsidRPr="008E3F67">
        <w:rPr>
          <w:szCs w:val="18"/>
          <w:lang w:val="fr-FR"/>
        </w:rPr>
        <w:t>-</w:t>
      </w:r>
      <w:r w:rsidRPr="008E3F67">
        <w:rPr>
          <w:szCs w:val="18"/>
          <w:lang w:val="fr-FR"/>
        </w:rPr>
        <w:t>2023.</w:t>
      </w:r>
    </w:p>
  </w:footnote>
  <w:footnote w:id="25">
    <w:p w14:paraId="5CD24921" w14:textId="5A7CB072" w:rsidR="000D5281" w:rsidRPr="008E3F67" w:rsidRDefault="000D5281" w:rsidP="000D5281">
      <w:pPr>
        <w:rPr>
          <w:sz w:val="18"/>
          <w:szCs w:val="18"/>
          <w:lang w:val="fr-FR"/>
        </w:rPr>
      </w:pPr>
      <w:r w:rsidRPr="008E3F67">
        <w:rPr>
          <w:rStyle w:val="FootnoteReference"/>
          <w:sz w:val="18"/>
          <w:szCs w:val="18"/>
          <w:lang w:val="fr-FR"/>
        </w:rPr>
        <w:footnoteRef/>
      </w:r>
      <w:r w:rsidRPr="008E3F67">
        <w:rPr>
          <w:sz w:val="18"/>
          <w:szCs w:val="18"/>
          <w:lang w:val="fr-FR"/>
        </w:rPr>
        <w:t xml:space="preserve"> </w:t>
      </w:r>
      <w:r w:rsidR="00287CF0">
        <w:rPr>
          <w:sz w:val="18"/>
          <w:szCs w:val="18"/>
          <w:lang w:val="fr-FR"/>
        </w:rPr>
        <w:tab/>
      </w:r>
      <w:r w:rsidRPr="008E3F67">
        <w:rPr>
          <w:sz w:val="18"/>
          <w:szCs w:val="18"/>
          <w:lang w:val="fr-FR"/>
        </w:rPr>
        <w:t>Source</w:t>
      </w:r>
      <w:r w:rsidR="00C116D6" w:rsidRPr="008E3F67">
        <w:rPr>
          <w:sz w:val="18"/>
          <w:szCs w:val="18"/>
          <w:lang w:val="fr-FR"/>
        </w:rPr>
        <w:t> :</w:t>
      </w:r>
      <w:r w:rsidRPr="008E3F67">
        <w:rPr>
          <w:sz w:val="18"/>
          <w:szCs w:val="18"/>
          <w:lang w:val="fr-FR"/>
        </w:rPr>
        <w:t xml:space="preserve"> EPM de l</w:t>
      </w:r>
      <w:r w:rsidR="00C116D6" w:rsidRPr="008E3F67">
        <w:rPr>
          <w:sz w:val="18"/>
          <w:szCs w:val="18"/>
          <w:lang w:val="fr-FR"/>
        </w:rPr>
        <w:t>’</w:t>
      </w:r>
      <w:r w:rsidRPr="008E3F67">
        <w:rPr>
          <w:sz w:val="18"/>
          <w:szCs w:val="18"/>
          <w:lang w:val="fr-FR"/>
        </w:rPr>
        <w:t xml:space="preserve">OMPI; </w:t>
      </w:r>
      <w:r w:rsidR="006F1D4B" w:rsidRPr="008E3F67">
        <w:rPr>
          <w:sz w:val="18"/>
          <w:szCs w:val="18"/>
          <w:lang w:val="fr-FR"/>
        </w:rPr>
        <w:t xml:space="preserve"> </w:t>
      </w:r>
      <w:r w:rsidRPr="008E3F67">
        <w:rPr>
          <w:sz w:val="18"/>
          <w:szCs w:val="18"/>
          <w:lang w:val="fr-FR"/>
        </w:rPr>
        <w:t>en francs suisses.</w:t>
      </w:r>
    </w:p>
  </w:footnote>
  <w:footnote w:id="26">
    <w:p w14:paraId="0A4C4DAF" w14:textId="4D26C8C3" w:rsidR="000D5281" w:rsidRPr="008E3F67" w:rsidRDefault="000D5281" w:rsidP="000D5281">
      <w:pPr>
        <w:pStyle w:val="FootnoteText"/>
        <w:rPr>
          <w:szCs w:val="18"/>
          <w:lang w:val="fr-FR"/>
        </w:rPr>
      </w:pPr>
      <w:r w:rsidRPr="008E3F67">
        <w:rPr>
          <w:rStyle w:val="FootnoteReference"/>
          <w:szCs w:val="18"/>
          <w:lang w:val="fr-FR"/>
        </w:rPr>
        <w:footnoteRef/>
      </w:r>
      <w:r w:rsidRPr="008E3F67">
        <w:rPr>
          <w:szCs w:val="18"/>
          <w:lang w:val="fr-FR"/>
        </w:rPr>
        <w:t xml:space="preserve"> </w:t>
      </w:r>
      <w:r w:rsidR="00927FF9">
        <w:rPr>
          <w:szCs w:val="18"/>
          <w:lang w:val="fr-FR"/>
        </w:rPr>
        <w:tab/>
      </w:r>
      <w:r w:rsidRPr="008E3F67">
        <w:rPr>
          <w:szCs w:val="18"/>
          <w:lang w:val="fr-FR"/>
        </w:rPr>
        <w:t xml:space="preserve">Les dépenses </w:t>
      </w:r>
      <w:r w:rsidR="00C116D6" w:rsidRPr="008E3F67">
        <w:rPr>
          <w:szCs w:val="18"/>
          <w:lang w:val="fr-FR"/>
        </w:rPr>
        <w:t>de 2023</w:t>
      </w:r>
      <w:r w:rsidRPr="008E3F67">
        <w:rPr>
          <w:szCs w:val="18"/>
          <w:lang w:val="fr-FR"/>
        </w:rPr>
        <w:t xml:space="preserve"> n</w:t>
      </w:r>
      <w:r w:rsidR="00C116D6" w:rsidRPr="008E3F67">
        <w:rPr>
          <w:szCs w:val="18"/>
          <w:lang w:val="fr-FR"/>
        </w:rPr>
        <w:t>’</w:t>
      </w:r>
      <w:r w:rsidRPr="008E3F67">
        <w:rPr>
          <w:szCs w:val="18"/>
          <w:lang w:val="fr-FR"/>
        </w:rPr>
        <w:t>ont pas fait l</w:t>
      </w:r>
      <w:r w:rsidR="00C116D6" w:rsidRPr="008E3F67">
        <w:rPr>
          <w:szCs w:val="18"/>
          <w:lang w:val="fr-FR"/>
        </w:rPr>
        <w:t>’</w:t>
      </w:r>
      <w:r w:rsidRPr="008E3F67">
        <w:rPr>
          <w:szCs w:val="18"/>
          <w:lang w:val="fr-FR"/>
        </w:rPr>
        <w:t>objet d</w:t>
      </w:r>
      <w:r w:rsidR="00C116D6" w:rsidRPr="008E3F67">
        <w:rPr>
          <w:szCs w:val="18"/>
          <w:lang w:val="fr-FR"/>
        </w:rPr>
        <w:t>’</w:t>
      </w:r>
      <w:r w:rsidRPr="008E3F67">
        <w:rPr>
          <w:szCs w:val="18"/>
          <w:lang w:val="fr-FR"/>
        </w:rPr>
        <w:t>un audit.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4D291" w14:textId="77777777" w:rsidR="000D5281" w:rsidRDefault="000D5281"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4FCED" w14:textId="77777777" w:rsidR="000D5281" w:rsidRPr="00F87303" w:rsidRDefault="000D5281" w:rsidP="002670C4">
    <w:pPr>
      <w:jc w:val="right"/>
    </w:pPr>
    <w:r>
      <w:t>WO/PBC/28</w:t>
    </w:r>
    <w:r w:rsidRPr="00E204EC">
      <w:t>/</w:t>
    </w:r>
    <w:r>
      <w:t>5</w:t>
    </w:r>
  </w:p>
  <w:p w14:paraId="4DC7E956" w14:textId="51573C8A" w:rsidR="000D5281" w:rsidRPr="00E365E6" w:rsidRDefault="000D5281" w:rsidP="002670C4">
    <w:pPr>
      <w:pStyle w:val="Header"/>
      <w:jc w:val="right"/>
    </w:pPr>
    <w:r>
      <w:t>page</w:t>
    </w:r>
    <w:r w:rsidR="001908D2">
      <w:t> </w:t>
    </w:r>
    <w:r>
      <w:rPr>
        <w:noProof/>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E1B30" w14:textId="77777777" w:rsidR="000D5281" w:rsidRDefault="000D5281" w:rsidP="002670C4">
    <w:pPr>
      <w:jc w:val="right"/>
    </w:pPr>
    <w:r>
      <w:t>WO/PBC/</w:t>
    </w:r>
    <w:r w:rsidRPr="00F462AE">
      <w:t>3</w:t>
    </w:r>
    <w:r>
      <w:t>7</w:t>
    </w:r>
    <w:r w:rsidRPr="00F462AE">
      <w:t>/</w:t>
    </w:r>
    <w:r>
      <w:t>4</w:t>
    </w:r>
  </w:p>
  <w:p w14:paraId="0045CBAB" w14:textId="5E53369A" w:rsidR="000D5281" w:rsidRPr="00F87303" w:rsidRDefault="000D5281" w:rsidP="00BA1E73">
    <w:pPr>
      <w:pStyle w:val="Header"/>
      <w:spacing w:after="240"/>
      <w:jc w:val="right"/>
    </w:pPr>
    <w:r>
      <w:t>page</w:t>
    </w:r>
    <w:r w:rsidR="00AB7B62">
      <w:t> </w:t>
    </w:r>
    <w:r>
      <w:fldChar w:fldCharType="begin"/>
    </w:r>
    <w:r>
      <w:instrText xml:space="preserve"> PAGE   \* MERGEFORMAT </w:instrText>
    </w:r>
    <w:r>
      <w:fldChar w:fldCharType="separate"/>
    </w:r>
    <w:r>
      <w:rPr>
        <w:noProof/>
      </w:rPr>
      <w:t>23</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E586A" w14:textId="77777777" w:rsidR="000D5281" w:rsidRPr="003E573F" w:rsidRDefault="000D5281" w:rsidP="002670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11801" w14:textId="77777777" w:rsidR="00F16975" w:rsidRDefault="00796D1D" w:rsidP="00477D6B">
    <w:pPr>
      <w:jc w:val="right"/>
    </w:pPr>
    <w:bookmarkStart w:id="55" w:name="Code2"/>
    <w:bookmarkEnd w:id="55"/>
    <w:r>
      <w:t>WO/GA/57/2</w:t>
    </w:r>
  </w:p>
  <w:p w14:paraId="73F2A551" w14:textId="4CCC475F" w:rsidR="00F16975" w:rsidRDefault="00F16975" w:rsidP="00477D6B">
    <w:pPr>
      <w:jc w:val="right"/>
    </w:pPr>
    <w:r>
      <w:t>page</w:t>
    </w:r>
    <w:r w:rsidR="001908D2">
      <w:t> </w:t>
    </w:r>
    <w:r>
      <w:fldChar w:fldCharType="begin"/>
    </w:r>
    <w:r>
      <w:instrText xml:space="preserve"> PAGE  \* MERGEFORMAT </w:instrText>
    </w:r>
    <w:r>
      <w:fldChar w:fldCharType="separate"/>
    </w:r>
    <w:r w:rsidR="004F4E31">
      <w:rPr>
        <w:noProof/>
      </w:rPr>
      <w:t>2</w:t>
    </w:r>
    <w:r>
      <w:fldChar w:fldCharType="end"/>
    </w:r>
  </w:p>
  <w:p w14:paraId="3EBD1527" w14:textId="77777777" w:rsidR="00F16975" w:rsidRDefault="00F16975" w:rsidP="00477D6B">
    <w:pPr>
      <w:jc w:val="right"/>
    </w:pPr>
  </w:p>
  <w:p w14:paraId="76E15567" w14:textId="77777777" w:rsidR="004F4E31" w:rsidRDefault="004F4E31"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CF46F" w14:textId="77777777" w:rsidR="00BA1E73" w:rsidRDefault="00BA1E73" w:rsidP="00BA1E73">
    <w:pPr>
      <w:jc w:val="right"/>
    </w:pPr>
    <w:r>
      <w:t>WO/PBC/</w:t>
    </w:r>
    <w:r w:rsidRPr="00F462AE">
      <w:t>3</w:t>
    </w:r>
    <w:r>
      <w:t>7</w:t>
    </w:r>
    <w:r w:rsidRPr="00F462AE">
      <w:t>/</w:t>
    </w:r>
    <w:r>
      <w:t>4</w:t>
    </w:r>
  </w:p>
  <w:p w14:paraId="3D2A191F" w14:textId="1D904815" w:rsidR="00BA1E73" w:rsidRPr="00F87303" w:rsidRDefault="00BA1E73" w:rsidP="00BA1E73">
    <w:pPr>
      <w:pStyle w:val="Header"/>
      <w:spacing w:after="24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21B4BD"/>
    <w:multiLevelType w:val="hybridMultilevel"/>
    <w:tmpl w:val="46D6CE3C"/>
    <w:lvl w:ilvl="0" w:tplc="7BFCCE28">
      <w:start w:val="1"/>
      <w:numFmt w:val="decimal"/>
      <w:lvlText w:val="%1."/>
      <w:lvlJc w:val="left"/>
      <w:pPr>
        <w:ind w:left="720" w:hanging="360"/>
      </w:pPr>
    </w:lvl>
    <w:lvl w:ilvl="1" w:tplc="8BDAA95C">
      <w:start w:val="1"/>
      <w:numFmt w:val="lowerLetter"/>
      <w:lvlText w:val="%2."/>
      <w:lvlJc w:val="left"/>
      <w:pPr>
        <w:ind w:left="1440" w:hanging="360"/>
      </w:pPr>
    </w:lvl>
    <w:lvl w:ilvl="2" w:tplc="CE8431AA">
      <w:start w:val="1"/>
      <w:numFmt w:val="lowerRoman"/>
      <w:lvlText w:val="%3."/>
      <w:lvlJc w:val="right"/>
      <w:pPr>
        <w:ind w:left="2160" w:hanging="180"/>
      </w:pPr>
    </w:lvl>
    <w:lvl w:ilvl="3" w:tplc="CDAE1BFA">
      <w:start w:val="1"/>
      <w:numFmt w:val="decimal"/>
      <w:lvlText w:val="%4."/>
      <w:lvlJc w:val="left"/>
      <w:pPr>
        <w:ind w:left="2880" w:hanging="360"/>
      </w:pPr>
    </w:lvl>
    <w:lvl w:ilvl="4" w:tplc="CC685F18">
      <w:start w:val="1"/>
      <w:numFmt w:val="lowerLetter"/>
      <w:lvlText w:val="%5."/>
      <w:lvlJc w:val="left"/>
      <w:pPr>
        <w:ind w:left="3600" w:hanging="360"/>
      </w:pPr>
    </w:lvl>
    <w:lvl w:ilvl="5" w:tplc="B990513C">
      <w:start w:val="1"/>
      <w:numFmt w:val="lowerRoman"/>
      <w:lvlText w:val="%6."/>
      <w:lvlJc w:val="right"/>
      <w:pPr>
        <w:ind w:left="4320" w:hanging="180"/>
      </w:pPr>
    </w:lvl>
    <w:lvl w:ilvl="6" w:tplc="D32CF25A">
      <w:start w:val="1"/>
      <w:numFmt w:val="decimal"/>
      <w:lvlText w:val="%7."/>
      <w:lvlJc w:val="left"/>
      <w:pPr>
        <w:ind w:left="5040" w:hanging="360"/>
      </w:pPr>
    </w:lvl>
    <w:lvl w:ilvl="7" w:tplc="F440D40C">
      <w:start w:val="1"/>
      <w:numFmt w:val="lowerLetter"/>
      <w:lvlText w:val="%8."/>
      <w:lvlJc w:val="left"/>
      <w:pPr>
        <w:ind w:left="5760" w:hanging="360"/>
      </w:pPr>
    </w:lvl>
    <w:lvl w:ilvl="8" w:tplc="77B24944">
      <w:start w:val="1"/>
      <w:numFmt w:val="lowerRoman"/>
      <w:lvlText w:val="%9."/>
      <w:lvlJc w:val="right"/>
      <w:pPr>
        <w:ind w:left="6480" w:hanging="180"/>
      </w:pPr>
    </w:lvl>
  </w:abstractNum>
  <w:abstractNum w:abstractNumId="3" w15:restartNumberingAfterBreak="0">
    <w:nsid w:val="14E3A2B0"/>
    <w:multiLevelType w:val="multilevel"/>
    <w:tmpl w:val="4B682A38"/>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36A5E5C"/>
    <w:multiLevelType w:val="hybridMultilevel"/>
    <w:tmpl w:val="3C6412B2"/>
    <w:lvl w:ilvl="0" w:tplc="04824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FD4EA3"/>
    <w:multiLevelType w:val="hybridMultilevel"/>
    <w:tmpl w:val="FE9EB11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3F4AE2"/>
    <w:multiLevelType w:val="hybridMultilevel"/>
    <w:tmpl w:val="07EE788A"/>
    <w:lvl w:ilvl="0" w:tplc="683AEB44">
      <w:start w:val="1"/>
      <w:numFmt w:val="lowerLetter"/>
      <w:lvlText w:val="(%1)"/>
      <w:lvlJc w:val="left"/>
      <w:pPr>
        <w:ind w:left="927" w:hanging="360"/>
      </w:pPr>
      <w:rPr>
        <w:rFonts w:hint="default"/>
        <w:b w:val="0"/>
        <w:sz w:val="22"/>
        <w:szCs w:val="22"/>
      </w:rPr>
    </w:lvl>
    <w:lvl w:ilvl="1" w:tplc="04100019">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9" w15:restartNumberingAfterBreak="0">
    <w:nsid w:val="331D229F"/>
    <w:multiLevelType w:val="hybridMultilevel"/>
    <w:tmpl w:val="B582C48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47C5ED1"/>
    <w:multiLevelType w:val="hybridMultilevel"/>
    <w:tmpl w:val="122A27AA"/>
    <w:lvl w:ilvl="0" w:tplc="683AEB44">
      <w:start w:val="1"/>
      <w:numFmt w:val="lowerLetter"/>
      <w:lvlText w:val="(%1)"/>
      <w:lvlJc w:val="left"/>
      <w:pPr>
        <w:ind w:left="720" w:hanging="72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F9DB492"/>
    <w:multiLevelType w:val="hybridMultilevel"/>
    <w:tmpl w:val="1368F3AC"/>
    <w:lvl w:ilvl="0" w:tplc="A41EB368">
      <w:start w:val="1"/>
      <w:numFmt w:val="decimal"/>
      <w:lvlText w:val="%1."/>
      <w:lvlJc w:val="left"/>
      <w:pPr>
        <w:ind w:left="720" w:hanging="360"/>
      </w:pPr>
    </w:lvl>
    <w:lvl w:ilvl="1" w:tplc="4B6CF856">
      <w:start w:val="1"/>
      <w:numFmt w:val="lowerLetter"/>
      <w:lvlText w:val="%2."/>
      <w:lvlJc w:val="left"/>
      <w:pPr>
        <w:ind w:left="1440" w:hanging="360"/>
      </w:pPr>
    </w:lvl>
    <w:lvl w:ilvl="2" w:tplc="8EAA74CC">
      <w:start w:val="1"/>
      <w:numFmt w:val="lowerRoman"/>
      <w:lvlText w:val="%3."/>
      <w:lvlJc w:val="right"/>
      <w:pPr>
        <w:ind w:left="2160" w:hanging="180"/>
      </w:pPr>
    </w:lvl>
    <w:lvl w:ilvl="3" w:tplc="45DA0A94">
      <w:start w:val="1"/>
      <w:numFmt w:val="decimal"/>
      <w:lvlText w:val="%4."/>
      <w:lvlJc w:val="left"/>
      <w:pPr>
        <w:ind w:left="2880" w:hanging="360"/>
      </w:pPr>
    </w:lvl>
    <w:lvl w:ilvl="4" w:tplc="0F2EA1C0">
      <w:start w:val="1"/>
      <w:numFmt w:val="lowerLetter"/>
      <w:lvlText w:val="%5."/>
      <w:lvlJc w:val="left"/>
      <w:pPr>
        <w:ind w:left="3600" w:hanging="360"/>
      </w:pPr>
    </w:lvl>
    <w:lvl w:ilvl="5" w:tplc="AAF02886">
      <w:start w:val="1"/>
      <w:numFmt w:val="lowerRoman"/>
      <w:lvlText w:val="%6."/>
      <w:lvlJc w:val="right"/>
      <w:pPr>
        <w:ind w:left="4320" w:hanging="180"/>
      </w:pPr>
    </w:lvl>
    <w:lvl w:ilvl="6" w:tplc="0060CE54">
      <w:start w:val="1"/>
      <w:numFmt w:val="decimal"/>
      <w:lvlText w:val="%7."/>
      <w:lvlJc w:val="left"/>
      <w:pPr>
        <w:ind w:left="5040" w:hanging="360"/>
      </w:pPr>
    </w:lvl>
    <w:lvl w:ilvl="7" w:tplc="E60ACBD4">
      <w:start w:val="1"/>
      <w:numFmt w:val="lowerLetter"/>
      <w:lvlText w:val="%8."/>
      <w:lvlJc w:val="left"/>
      <w:pPr>
        <w:ind w:left="5760" w:hanging="360"/>
      </w:pPr>
    </w:lvl>
    <w:lvl w:ilvl="8" w:tplc="24FAF08C">
      <w:start w:val="1"/>
      <w:numFmt w:val="lowerRoman"/>
      <w:lvlText w:val="%9."/>
      <w:lvlJc w:val="right"/>
      <w:pPr>
        <w:ind w:left="6480" w:hanging="180"/>
      </w:pPr>
    </w:lvl>
  </w:abstractNum>
  <w:abstractNum w:abstractNumId="14" w15:restartNumberingAfterBreak="0">
    <w:nsid w:val="628E3C7D"/>
    <w:multiLevelType w:val="hybridMultilevel"/>
    <w:tmpl w:val="9DAC5F16"/>
    <w:lvl w:ilvl="0" w:tplc="ADFAE05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6683362"/>
    <w:multiLevelType w:val="hybridMultilevel"/>
    <w:tmpl w:val="4E686CCC"/>
    <w:lvl w:ilvl="0" w:tplc="4AA06F08">
      <w:start w:val="2"/>
      <w:numFmt w:val="decimal"/>
      <w:lvlText w:val="%1."/>
      <w:lvlJc w:val="left"/>
      <w:pPr>
        <w:ind w:left="720" w:hanging="360"/>
      </w:pPr>
    </w:lvl>
    <w:lvl w:ilvl="1" w:tplc="E2B2548A">
      <w:start w:val="1"/>
      <w:numFmt w:val="lowerLetter"/>
      <w:lvlText w:val="%2."/>
      <w:lvlJc w:val="left"/>
      <w:pPr>
        <w:ind w:left="1440" w:hanging="360"/>
      </w:pPr>
    </w:lvl>
    <w:lvl w:ilvl="2" w:tplc="98E88F44">
      <w:start w:val="1"/>
      <w:numFmt w:val="lowerRoman"/>
      <w:lvlText w:val="%3."/>
      <w:lvlJc w:val="right"/>
      <w:pPr>
        <w:ind w:left="2160" w:hanging="180"/>
      </w:pPr>
    </w:lvl>
    <w:lvl w:ilvl="3" w:tplc="BF42E46E">
      <w:start w:val="1"/>
      <w:numFmt w:val="decimal"/>
      <w:lvlText w:val="%4."/>
      <w:lvlJc w:val="left"/>
      <w:pPr>
        <w:ind w:left="2880" w:hanging="360"/>
      </w:pPr>
    </w:lvl>
    <w:lvl w:ilvl="4" w:tplc="D3BEE014">
      <w:start w:val="1"/>
      <w:numFmt w:val="lowerLetter"/>
      <w:lvlText w:val="%5."/>
      <w:lvlJc w:val="left"/>
      <w:pPr>
        <w:ind w:left="3600" w:hanging="360"/>
      </w:pPr>
    </w:lvl>
    <w:lvl w:ilvl="5" w:tplc="F086FC30">
      <w:start w:val="1"/>
      <w:numFmt w:val="lowerRoman"/>
      <w:lvlText w:val="%6."/>
      <w:lvlJc w:val="right"/>
      <w:pPr>
        <w:ind w:left="4320" w:hanging="180"/>
      </w:pPr>
    </w:lvl>
    <w:lvl w:ilvl="6" w:tplc="4CCA4EA4">
      <w:start w:val="1"/>
      <w:numFmt w:val="decimal"/>
      <w:lvlText w:val="%7."/>
      <w:lvlJc w:val="left"/>
      <w:pPr>
        <w:ind w:left="5040" w:hanging="360"/>
      </w:pPr>
    </w:lvl>
    <w:lvl w:ilvl="7" w:tplc="4DDA0448">
      <w:start w:val="1"/>
      <w:numFmt w:val="lowerLetter"/>
      <w:lvlText w:val="%8."/>
      <w:lvlJc w:val="left"/>
      <w:pPr>
        <w:ind w:left="5760" w:hanging="360"/>
      </w:pPr>
    </w:lvl>
    <w:lvl w:ilvl="8" w:tplc="809C6A18">
      <w:start w:val="1"/>
      <w:numFmt w:val="lowerRoman"/>
      <w:lvlText w:val="%9."/>
      <w:lvlJc w:val="right"/>
      <w:pPr>
        <w:ind w:left="6480" w:hanging="180"/>
      </w:pPr>
    </w:lvl>
  </w:abstractNum>
  <w:abstractNum w:abstractNumId="16"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15:restartNumberingAfterBreak="0">
    <w:nsid w:val="6C700937"/>
    <w:multiLevelType w:val="hybridMultilevel"/>
    <w:tmpl w:val="3CBC5746"/>
    <w:lvl w:ilvl="0" w:tplc="B016EF94">
      <w:start w:val="1"/>
      <w:numFmt w:val="decimal"/>
      <w:lvlText w:val="%1."/>
      <w:lvlJc w:val="left"/>
      <w:pPr>
        <w:ind w:left="720" w:hanging="360"/>
      </w:pPr>
    </w:lvl>
    <w:lvl w:ilvl="1" w:tplc="8660A7D2">
      <w:start w:val="1"/>
      <w:numFmt w:val="lowerLetter"/>
      <w:lvlText w:val="%2."/>
      <w:lvlJc w:val="left"/>
      <w:pPr>
        <w:ind w:left="1440" w:hanging="360"/>
      </w:pPr>
    </w:lvl>
    <w:lvl w:ilvl="2" w:tplc="CAF00B9C">
      <w:start w:val="1"/>
      <w:numFmt w:val="lowerRoman"/>
      <w:lvlText w:val="%3."/>
      <w:lvlJc w:val="right"/>
      <w:pPr>
        <w:ind w:left="2160" w:hanging="180"/>
      </w:pPr>
    </w:lvl>
    <w:lvl w:ilvl="3" w:tplc="D514F086">
      <w:start w:val="1"/>
      <w:numFmt w:val="decimal"/>
      <w:lvlText w:val="%4."/>
      <w:lvlJc w:val="left"/>
      <w:pPr>
        <w:ind w:left="2880" w:hanging="360"/>
      </w:pPr>
    </w:lvl>
    <w:lvl w:ilvl="4" w:tplc="D8582C7C">
      <w:start w:val="1"/>
      <w:numFmt w:val="lowerLetter"/>
      <w:lvlText w:val="%5."/>
      <w:lvlJc w:val="left"/>
      <w:pPr>
        <w:ind w:left="3600" w:hanging="360"/>
      </w:pPr>
    </w:lvl>
    <w:lvl w:ilvl="5" w:tplc="EA041F54">
      <w:start w:val="1"/>
      <w:numFmt w:val="lowerRoman"/>
      <w:lvlText w:val="%6."/>
      <w:lvlJc w:val="right"/>
      <w:pPr>
        <w:ind w:left="4320" w:hanging="180"/>
      </w:pPr>
    </w:lvl>
    <w:lvl w:ilvl="6" w:tplc="22800DA4">
      <w:start w:val="1"/>
      <w:numFmt w:val="decimal"/>
      <w:lvlText w:val="%7."/>
      <w:lvlJc w:val="left"/>
      <w:pPr>
        <w:ind w:left="5040" w:hanging="360"/>
      </w:pPr>
    </w:lvl>
    <w:lvl w:ilvl="7" w:tplc="8AAA2B20">
      <w:start w:val="1"/>
      <w:numFmt w:val="lowerLetter"/>
      <w:lvlText w:val="%8."/>
      <w:lvlJc w:val="left"/>
      <w:pPr>
        <w:ind w:left="5760" w:hanging="360"/>
      </w:pPr>
    </w:lvl>
    <w:lvl w:ilvl="8" w:tplc="BE74F25C">
      <w:start w:val="1"/>
      <w:numFmt w:val="lowerRoman"/>
      <w:lvlText w:val="%9."/>
      <w:lvlJc w:val="right"/>
      <w:pPr>
        <w:ind w:left="6480" w:hanging="180"/>
      </w:pPr>
    </w:lvl>
  </w:abstractNum>
  <w:abstractNum w:abstractNumId="19" w15:restartNumberingAfterBreak="0">
    <w:nsid w:val="731E0C78"/>
    <w:multiLevelType w:val="hybridMultilevel"/>
    <w:tmpl w:val="76AABA32"/>
    <w:lvl w:ilvl="0" w:tplc="0A6C50E4">
      <w:start w:val="5"/>
      <w:numFmt w:val="decimal"/>
      <w:pStyle w:val="Heading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D11C28"/>
    <w:multiLevelType w:val="multilevel"/>
    <w:tmpl w:val="EF02DFF0"/>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15:restartNumberingAfterBreak="0">
    <w:nsid w:val="7A5C6497"/>
    <w:multiLevelType w:val="hybridMultilevel"/>
    <w:tmpl w:val="AFBAE040"/>
    <w:lvl w:ilvl="0" w:tplc="080C0017">
      <w:start w:val="1"/>
      <w:numFmt w:val="lowerLetter"/>
      <w:lvlText w:val="%1)"/>
      <w:lvlJc w:val="left"/>
      <w:pPr>
        <w:tabs>
          <w:tab w:val="num" w:pos="1134"/>
        </w:tabs>
        <w:ind w:left="567" w:firstLine="0"/>
      </w:pPr>
      <w:rPr>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AE252E1"/>
    <w:multiLevelType w:val="hybridMultilevel"/>
    <w:tmpl w:val="01661B4E"/>
    <w:lvl w:ilvl="0" w:tplc="F3745220">
      <w:start w:val="1"/>
      <w:numFmt w:val="decimal"/>
      <w:lvlText w:val="%1."/>
      <w:lvlJc w:val="left"/>
      <w:pPr>
        <w:ind w:left="720" w:hanging="360"/>
      </w:pPr>
    </w:lvl>
    <w:lvl w:ilvl="1" w:tplc="2B70B1DA">
      <w:start w:val="1"/>
      <w:numFmt w:val="lowerLetter"/>
      <w:lvlText w:val="%2."/>
      <w:lvlJc w:val="left"/>
      <w:pPr>
        <w:ind w:left="1440" w:hanging="360"/>
      </w:pPr>
    </w:lvl>
    <w:lvl w:ilvl="2" w:tplc="8DA44E66">
      <w:start w:val="1"/>
      <w:numFmt w:val="lowerRoman"/>
      <w:lvlText w:val="%3."/>
      <w:lvlJc w:val="right"/>
      <w:pPr>
        <w:ind w:left="2160" w:hanging="180"/>
      </w:pPr>
    </w:lvl>
    <w:lvl w:ilvl="3" w:tplc="17569338">
      <w:start w:val="1"/>
      <w:numFmt w:val="decimal"/>
      <w:lvlText w:val="%4."/>
      <w:lvlJc w:val="left"/>
      <w:pPr>
        <w:ind w:left="2880" w:hanging="360"/>
      </w:pPr>
    </w:lvl>
    <w:lvl w:ilvl="4" w:tplc="3BE6460A">
      <w:start w:val="1"/>
      <w:numFmt w:val="lowerLetter"/>
      <w:lvlText w:val="%5."/>
      <w:lvlJc w:val="left"/>
      <w:pPr>
        <w:ind w:left="3600" w:hanging="360"/>
      </w:pPr>
    </w:lvl>
    <w:lvl w:ilvl="5" w:tplc="3998E418">
      <w:start w:val="1"/>
      <w:numFmt w:val="lowerRoman"/>
      <w:lvlText w:val="%6."/>
      <w:lvlJc w:val="right"/>
      <w:pPr>
        <w:ind w:left="4320" w:hanging="180"/>
      </w:pPr>
    </w:lvl>
    <w:lvl w:ilvl="6" w:tplc="0EDA302E">
      <w:start w:val="1"/>
      <w:numFmt w:val="decimal"/>
      <w:lvlText w:val="%7."/>
      <w:lvlJc w:val="left"/>
      <w:pPr>
        <w:ind w:left="5040" w:hanging="360"/>
      </w:pPr>
    </w:lvl>
    <w:lvl w:ilvl="7" w:tplc="9F8C27B4">
      <w:start w:val="1"/>
      <w:numFmt w:val="lowerLetter"/>
      <w:lvlText w:val="%8."/>
      <w:lvlJc w:val="left"/>
      <w:pPr>
        <w:ind w:left="5760" w:hanging="360"/>
      </w:pPr>
    </w:lvl>
    <w:lvl w:ilvl="8" w:tplc="9680422E">
      <w:start w:val="1"/>
      <w:numFmt w:val="lowerRoman"/>
      <w:lvlText w:val="%9."/>
      <w:lvlJc w:val="right"/>
      <w:pPr>
        <w:ind w:left="6480" w:hanging="180"/>
      </w:pPr>
    </w:lvl>
  </w:abstractNum>
  <w:num w:numId="1" w16cid:durableId="1780753844">
    <w:abstractNumId w:val="4"/>
  </w:num>
  <w:num w:numId="2" w16cid:durableId="94903856">
    <w:abstractNumId w:val="10"/>
  </w:num>
  <w:num w:numId="3" w16cid:durableId="1846895430">
    <w:abstractNumId w:val="0"/>
  </w:num>
  <w:num w:numId="4" w16cid:durableId="1742175926">
    <w:abstractNumId w:val="11"/>
  </w:num>
  <w:num w:numId="5" w16cid:durableId="1817991361">
    <w:abstractNumId w:val="1"/>
  </w:num>
  <w:num w:numId="6" w16cid:durableId="2755125">
    <w:abstractNumId w:val="5"/>
  </w:num>
  <w:num w:numId="7" w16cid:durableId="891574413">
    <w:abstractNumId w:val="16"/>
  </w:num>
  <w:num w:numId="8" w16cid:durableId="5340071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3539502">
    <w:abstractNumId w:val="19"/>
  </w:num>
  <w:num w:numId="10" w16cid:durableId="210968298">
    <w:abstractNumId w:val="21"/>
  </w:num>
  <w:num w:numId="11" w16cid:durableId="1080172063">
    <w:abstractNumId w:val="2"/>
  </w:num>
  <w:num w:numId="12" w16cid:durableId="1146968006">
    <w:abstractNumId w:val="13"/>
  </w:num>
  <w:num w:numId="13" w16cid:durableId="855551">
    <w:abstractNumId w:val="15"/>
  </w:num>
  <w:num w:numId="14" w16cid:durableId="833030821">
    <w:abstractNumId w:val="18"/>
  </w:num>
  <w:num w:numId="15" w16cid:durableId="158738001">
    <w:abstractNumId w:val="22"/>
  </w:num>
  <w:num w:numId="16" w16cid:durableId="887761705">
    <w:abstractNumId w:val="3"/>
  </w:num>
  <w:num w:numId="17" w16cid:durableId="2004704106">
    <w:abstractNumId w:val="20"/>
  </w:num>
  <w:num w:numId="18" w16cid:durableId="1083989107">
    <w:abstractNumId w:val="12"/>
  </w:num>
  <w:num w:numId="19" w16cid:durableId="1927380353">
    <w:abstractNumId w:val="17"/>
  </w:num>
  <w:num w:numId="20" w16cid:durableId="2124153852">
    <w:abstractNumId w:val="6"/>
  </w:num>
  <w:num w:numId="21" w16cid:durableId="3896679">
    <w:abstractNumId w:val="8"/>
  </w:num>
  <w:num w:numId="22" w16cid:durableId="1365059771">
    <w:abstractNumId w:val="7"/>
  </w:num>
  <w:num w:numId="23" w16cid:durableId="999892806">
    <w:abstractNumId w:val="14"/>
  </w:num>
  <w:num w:numId="24" w16cid:durableId="17388953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593006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64541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D1D"/>
    <w:rsid w:val="00011B7D"/>
    <w:rsid w:val="0004794F"/>
    <w:rsid w:val="0005748D"/>
    <w:rsid w:val="0005784A"/>
    <w:rsid w:val="00075432"/>
    <w:rsid w:val="000D5281"/>
    <w:rsid w:val="000F5E56"/>
    <w:rsid w:val="00102D47"/>
    <w:rsid w:val="001362EE"/>
    <w:rsid w:val="00136CB0"/>
    <w:rsid w:val="001832A6"/>
    <w:rsid w:val="001908D2"/>
    <w:rsid w:val="00195C6E"/>
    <w:rsid w:val="001B266A"/>
    <w:rsid w:val="001D3D56"/>
    <w:rsid w:val="001D72BE"/>
    <w:rsid w:val="00240654"/>
    <w:rsid w:val="002634C4"/>
    <w:rsid w:val="00287CF0"/>
    <w:rsid w:val="002D4918"/>
    <w:rsid w:val="002E4D1A"/>
    <w:rsid w:val="002F16BC"/>
    <w:rsid w:val="002F1B6F"/>
    <w:rsid w:val="002F4E68"/>
    <w:rsid w:val="00315FCA"/>
    <w:rsid w:val="0038059C"/>
    <w:rsid w:val="003845C1"/>
    <w:rsid w:val="00386FF4"/>
    <w:rsid w:val="00391F11"/>
    <w:rsid w:val="003A1BCD"/>
    <w:rsid w:val="004008A2"/>
    <w:rsid w:val="004025DF"/>
    <w:rsid w:val="00423E3E"/>
    <w:rsid w:val="00427AF4"/>
    <w:rsid w:val="004647DA"/>
    <w:rsid w:val="00477D6B"/>
    <w:rsid w:val="004813F2"/>
    <w:rsid w:val="004A576F"/>
    <w:rsid w:val="004D6471"/>
    <w:rsid w:val="004F0849"/>
    <w:rsid w:val="004F4E31"/>
    <w:rsid w:val="00520633"/>
    <w:rsid w:val="00525B63"/>
    <w:rsid w:val="00547476"/>
    <w:rsid w:val="005528BD"/>
    <w:rsid w:val="00561DB8"/>
    <w:rsid w:val="00567A4C"/>
    <w:rsid w:val="005B2C26"/>
    <w:rsid w:val="005D22D3"/>
    <w:rsid w:val="005D52AD"/>
    <w:rsid w:val="005E6516"/>
    <w:rsid w:val="005F3E1B"/>
    <w:rsid w:val="00605827"/>
    <w:rsid w:val="00676936"/>
    <w:rsid w:val="00696BE6"/>
    <w:rsid w:val="006B0DB5"/>
    <w:rsid w:val="006E4243"/>
    <w:rsid w:val="006F1D4B"/>
    <w:rsid w:val="007461F1"/>
    <w:rsid w:val="00761289"/>
    <w:rsid w:val="00796D1D"/>
    <w:rsid w:val="007D6961"/>
    <w:rsid w:val="007F07CB"/>
    <w:rsid w:val="00810CEF"/>
    <w:rsid w:val="0081208D"/>
    <w:rsid w:val="00813698"/>
    <w:rsid w:val="00842A13"/>
    <w:rsid w:val="008B2CC1"/>
    <w:rsid w:val="008D402E"/>
    <w:rsid w:val="008E3F67"/>
    <w:rsid w:val="008E7930"/>
    <w:rsid w:val="0090731E"/>
    <w:rsid w:val="00927FF9"/>
    <w:rsid w:val="00930446"/>
    <w:rsid w:val="0096590D"/>
    <w:rsid w:val="00966A22"/>
    <w:rsid w:val="00974CD6"/>
    <w:rsid w:val="009D30E6"/>
    <w:rsid w:val="009E3F6F"/>
    <w:rsid w:val="009F499F"/>
    <w:rsid w:val="00A927B4"/>
    <w:rsid w:val="00AB7B62"/>
    <w:rsid w:val="00AC0AE4"/>
    <w:rsid w:val="00AC7E46"/>
    <w:rsid w:val="00AD61DB"/>
    <w:rsid w:val="00B87BCF"/>
    <w:rsid w:val="00BA1E73"/>
    <w:rsid w:val="00BA62D4"/>
    <w:rsid w:val="00C116D6"/>
    <w:rsid w:val="00C27523"/>
    <w:rsid w:val="00C40E15"/>
    <w:rsid w:val="00C64797"/>
    <w:rsid w:val="00C664C8"/>
    <w:rsid w:val="00C76A79"/>
    <w:rsid w:val="00CA15F5"/>
    <w:rsid w:val="00CF0460"/>
    <w:rsid w:val="00D31722"/>
    <w:rsid w:val="00D45252"/>
    <w:rsid w:val="00D71B4D"/>
    <w:rsid w:val="00D75C1E"/>
    <w:rsid w:val="00D93D55"/>
    <w:rsid w:val="00DA2C59"/>
    <w:rsid w:val="00DB0349"/>
    <w:rsid w:val="00DD6A16"/>
    <w:rsid w:val="00E0091A"/>
    <w:rsid w:val="00E203AA"/>
    <w:rsid w:val="00E527A5"/>
    <w:rsid w:val="00E71C24"/>
    <w:rsid w:val="00E76456"/>
    <w:rsid w:val="00EB4D8F"/>
    <w:rsid w:val="00EE71CB"/>
    <w:rsid w:val="00F16975"/>
    <w:rsid w:val="00F4635E"/>
    <w:rsid w:val="00F60ACA"/>
    <w:rsid w:val="00F66152"/>
    <w:rsid w:val="00F917C1"/>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2BEFC"/>
  <w15:docId w15:val="{19D77D82-34A9-43FC-90B6-B5A892377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qFormat/>
    <w:rsid w:val="008E3F67"/>
    <w:pPr>
      <w:keepNext/>
      <w:spacing w:before="240" w:after="240"/>
      <w:outlineLvl w:val="0"/>
    </w:pPr>
    <w:rPr>
      <w:b/>
      <w:bCs/>
      <w:caps/>
      <w:kern w:val="32"/>
      <w:szCs w:val="32"/>
      <w:lang w:val="fr-FR"/>
    </w:rPr>
  </w:style>
  <w:style w:type="paragraph" w:styleId="Heading2">
    <w:name w:val="heading 2"/>
    <w:basedOn w:val="Normal"/>
    <w:next w:val="Normal"/>
    <w:link w:val="Heading2Char"/>
    <w:qFormat/>
    <w:rsid w:val="00F4635E"/>
    <w:pPr>
      <w:keepNext/>
      <w:spacing w:before="240" w:after="120"/>
      <w:outlineLvl w:val="1"/>
    </w:pPr>
    <w:rPr>
      <w:bCs/>
      <w:iCs/>
      <w:caps/>
      <w:szCs w:val="28"/>
      <w:lang w:val="fr-FR"/>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paragraph" w:styleId="Heading5">
    <w:name w:val="heading 5"/>
    <w:basedOn w:val="Normal"/>
    <w:next w:val="Normal"/>
    <w:link w:val="Heading5Char"/>
    <w:autoRedefine/>
    <w:qFormat/>
    <w:rsid w:val="000D5281"/>
    <w:pPr>
      <w:keepNext/>
      <w:keepLines/>
      <w:spacing w:before="240" w:after="220"/>
      <w:outlineLvl w:val="4"/>
    </w:pPr>
    <w:rPr>
      <w:rFonts w:eastAsiaTheme="majorEastAsia" w:cstheme="majorBidi"/>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link w:val="CaptionChar"/>
    <w:qFormat/>
    <w:rsid w:val="004025DF"/>
    <w:rPr>
      <w:b/>
      <w:bCs/>
      <w:sz w:val="18"/>
    </w:rPr>
  </w:style>
  <w:style w:type="paragraph" w:styleId="CommentText">
    <w:name w:val="annotation text"/>
    <w:basedOn w:val="Normal"/>
    <w:link w:val="CommentTextChar1"/>
    <w:semiHidden/>
    <w:rsid w:val="004025DF"/>
    <w:rPr>
      <w:sz w:val="18"/>
    </w:rPr>
  </w:style>
  <w:style w:type="paragraph" w:styleId="EndnoteText">
    <w:name w:val="endnote text"/>
    <w:basedOn w:val="Normal"/>
    <w:link w:val="EndnoteTextChar"/>
    <w:semiHidden/>
    <w:rsid w:val="004025DF"/>
    <w:rPr>
      <w:sz w:val="18"/>
    </w:rPr>
  </w:style>
  <w:style w:type="paragraph" w:styleId="Footer">
    <w:name w:val="footer"/>
    <w:basedOn w:val="Normal"/>
    <w:link w:val="FooterChar"/>
    <w:rsid w:val="004025DF"/>
    <w:pPr>
      <w:tabs>
        <w:tab w:val="center" w:pos="4320"/>
        <w:tab w:val="right" w:pos="8640"/>
      </w:tabs>
    </w:pPr>
  </w:style>
  <w:style w:type="paragraph" w:styleId="FootnoteText">
    <w:name w:val="footnote text"/>
    <w:aliases w:val="Footnote,Char,ALTS FOOTNOTE,Footnote Text Char Char Char Char,Footnote Text Char Char Char1,Footnote Text Char Char1 Char,Footnote Text Char1 Char Char,Footnote Text Char1 Char1,Footnote Text qer,Footnote Text qer Char,fn,ft"/>
    <w:basedOn w:val="Normal"/>
    <w:link w:val="FootnoteTextChar"/>
    <w:qFormat/>
    <w:rsid w:val="004025DF"/>
    <w:rPr>
      <w:sz w:val="18"/>
    </w:rPr>
  </w:style>
  <w:style w:type="paragraph" w:customStyle="1" w:styleId="Endofdocument-Annex">
    <w:name w:val="[End of document - Annex]"/>
    <w:basedOn w:val="Normal"/>
    <w:rsid w:val="000D5281"/>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qForma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5Char">
    <w:name w:val="Heading 5 Char"/>
    <w:basedOn w:val="DefaultParagraphFont"/>
    <w:link w:val="Heading5"/>
    <w:rsid w:val="000D5281"/>
    <w:rPr>
      <w:rFonts w:ascii="Arial" w:eastAsiaTheme="majorEastAsia" w:hAnsi="Arial" w:cstheme="majorBidi"/>
      <w:i/>
      <w:sz w:val="22"/>
      <w:lang w:val="en-US" w:eastAsia="zh-CN"/>
    </w:rPr>
  </w:style>
  <w:style w:type="paragraph" w:styleId="BalloonText">
    <w:name w:val="Balloon Text"/>
    <w:basedOn w:val="Normal"/>
    <w:link w:val="BalloonTextChar"/>
    <w:uiPriority w:val="99"/>
    <w:unhideWhenUsed/>
    <w:rsid w:val="000D5281"/>
    <w:rPr>
      <w:rFonts w:ascii="Segoe UI" w:hAnsi="Segoe UI" w:cs="Segoe UI"/>
      <w:sz w:val="18"/>
      <w:szCs w:val="18"/>
      <w:lang w:val="en-US"/>
    </w:rPr>
  </w:style>
  <w:style w:type="character" w:customStyle="1" w:styleId="BalloonTextChar">
    <w:name w:val="Balloon Text Char"/>
    <w:basedOn w:val="DefaultParagraphFont"/>
    <w:link w:val="BalloonText"/>
    <w:uiPriority w:val="99"/>
    <w:rsid w:val="000D5281"/>
    <w:rPr>
      <w:rFonts w:ascii="Segoe UI" w:eastAsia="SimSun" w:hAnsi="Segoe UI" w:cs="Segoe UI"/>
      <w:sz w:val="18"/>
      <w:szCs w:val="18"/>
      <w:lang w:val="en-US" w:eastAsia="zh-CN"/>
    </w:rPr>
  </w:style>
  <w:style w:type="character" w:customStyle="1" w:styleId="ONUMEChar">
    <w:name w:val="ONUM E Char"/>
    <w:link w:val="ONUME"/>
    <w:locked/>
    <w:rsid w:val="000D5281"/>
    <w:rPr>
      <w:rFonts w:ascii="Arial" w:eastAsia="SimSun" w:hAnsi="Arial" w:cs="Arial"/>
      <w:sz w:val="22"/>
      <w:lang w:eastAsia="zh-CN"/>
    </w:rPr>
  </w:style>
  <w:style w:type="character" w:customStyle="1" w:styleId="Heading2Char">
    <w:name w:val="Heading 2 Char"/>
    <w:link w:val="Heading2"/>
    <w:locked/>
    <w:rsid w:val="00F4635E"/>
    <w:rPr>
      <w:rFonts w:ascii="Arial" w:eastAsia="SimSun" w:hAnsi="Arial" w:cs="Arial"/>
      <w:bCs/>
      <w:iCs/>
      <w:caps/>
      <w:sz w:val="22"/>
      <w:szCs w:val="28"/>
      <w:lang w:val="fr-FR" w:eastAsia="zh-CN"/>
    </w:rPr>
  </w:style>
  <w:style w:type="character" w:customStyle="1" w:styleId="BodyTextChar">
    <w:name w:val="Body Text Char"/>
    <w:basedOn w:val="DefaultParagraphFont"/>
    <w:link w:val="BodyText"/>
    <w:rsid w:val="000D5281"/>
    <w:rPr>
      <w:rFonts w:ascii="Arial" w:eastAsia="SimSun" w:hAnsi="Arial" w:cs="Arial"/>
      <w:sz w:val="22"/>
      <w:lang w:eastAsia="zh-CN"/>
    </w:rPr>
  </w:style>
  <w:style w:type="character" w:customStyle="1" w:styleId="CaptionChar">
    <w:name w:val="Caption Char"/>
    <w:basedOn w:val="DefaultParagraphFont"/>
    <w:link w:val="Caption"/>
    <w:rsid w:val="000D5281"/>
    <w:rPr>
      <w:rFonts w:ascii="Arial" w:eastAsia="SimSun" w:hAnsi="Arial" w:cs="Arial"/>
      <w:b/>
      <w:bCs/>
      <w:sz w:val="18"/>
      <w:lang w:eastAsia="zh-CN"/>
    </w:rPr>
  </w:style>
  <w:style w:type="character" w:customStyle="1" w:styleId="CommentTextChar">
    <w:name w:val="Comment Text Char"/>
    <w:basedOn w:val="DefaultParagraphFont"/>
    <w:semiHidden/>
    <w:rsid w:val="000D5281"/>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0D5281"/>
    <w:rPr>
      <w:rFonts w:ascii="Arial" w:eastAsia="SimSun" w:hAnsi="Arial" w:cs="Arial"/>
      <w:sz w:val="18"/>
      <w:lang w:eastAsia="zh-CN"/>
    </w:rPr>
  </w:style>
  <w:style w:type="character" w:customStyle="1" w:styleId="FootnoteTextChar">
    <w:name w:val="Footnote Text Char"/>
    <w:aliases w:val="Footnote Char,Char Char,ALTS FOOTNOTE Char,Footnote Text Char Char Char Char Char,Footnote Text Char Char Char1 Char,Footnote Text Char Char1 Char Char,Footnote Text Char1 Char Char Char,Footnote Text Char1 Char1 Char,fn Char,ft Char"/>
    <w:link w:val="FootnoteText"/>
    <w:locked/>
    <w:rsid w:val="000D5281"/>
    <w:rPr>
      <w:rFonts w:ascii="Arial" w:eastAsia="SimSun" w:hAnsi="Arial" w:cs="Arial"/>
      <w:sz w:val="18"/>
      <w:lang w:eastAsia="zh-CN"/>
    </w:rPr>
  </w:style>
  <w:style w:type="character" w:customStyle="1" w:styleId="HeaderChar">
    <w:name w:val="Header Char"/>
    <w:link w:val="Header"/>
    <w:uiPriority w:val="99"/>
    <w:locked/>
    <w:rsid w:val="000D5281"/>
    <w:rPr>
      <w:rFonts w:ascii="Arial" w:eastAsia="SimSun" w:hAnsi="Arial" w:cs="Arial"/>
      <w:sz w:val="22"/>
      <w:lang w:eastAsia="zh-CN"/>
    </w:rPr>
  </w:style>
  <w:style w:type="paragraph" w:styleId="NoSpacing">
    <w:name w:val="No Spacing"/>
    <w:uiPriority w:val="1"/>
    <w:qFormat/>
    <w:rsid w:val="000D5281"/>
    <w:rPr>
      <w:rFonts w:ascii="Arial" w:eastAsia="SimSun" w:hAnsi="Arial" w:cs="Arial"/>
      <w:sz w:val="22"/>
      <w:lang w:val="en-US" w:eastAsia="zh-CN"/>
    </w:rPr>
  </w:style>
  <w:style w:type="paragraph" w:styleId="TOC1">
    <w:name w:val="toc 1"/>
    <w:basedOn w:val="Normal"/>
    <w:next w:val="Normal"/>
    <w:autoRedefine/>
    <w:uiPriority w:val="39"/>
    <w:qFormat/>
    <w:rsid w:val="0096590D"/>
    <w:pPr>
      <w:tabs>
        <w:tab w:val="left" w:pos="440"/>
        <w:tab w:val="right" w:leader="dot" w:pos="9345"/>
      </w:tabs>
      <w:spacing w:before="240" w:after="240"/>
    </w:pPr>
    <w:rPr>
      <w:caps/>
      <w:lang w:val="en-US"/>
    </w:rPr>
  </w:style>
  <w:style w:type="character" w:styleId="Hyperlink">
    <w:name w:val="Hyperlink"/>
    <w:basedOn w:val="DefaultParagraphFont"/>
    <w:uiPriority w:val="99"/>
    <w:rsid w:val="000D5281"/>
    <w:rPr>
      <w:rFonts w:cs="Times New Roman"/>
      <w:color w:val="0000FF"/>
      <w:u w:val="single"/>
    </w:rPr>
  </w:style>
  <w:style w:type="table" w:styleId="TableGrid">
    <w:name w:val="Table Grid"/>
    <w:basedOn w:val="TableNormal"/>
    <w:uiPriority w:val="59"/>
    <w:rsid w:val="000D5281"/>
    <w:pPr>
      <w:spacing w:after="120" w:line="260" w:lineRule="exact"/>
      <w:ind w:left="1021"/>
    </w:pPr>
    <w:rPr>
      <w:lang w:val="en-US"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16 Poin,Carattere Carattere Char Char Char Carattere Char,Carattere Char Carattere Carattere Char Carattere Char Carattere Char Char Char1 Char,Footnote Reference Char Char Char,ftref, BVI fnr Tegn Char Tegn Char Char,BVI fnr"/>
    <w:basedOn w:val="DefaultParagraphFont"/>
    <w:link w:val="BVIfnrTegnCharTegnChar"/>
    <w:qFormat/>
    <w:rsid w:val="000D5281"/>
    <w:rPr>
      <w:vertAlign w:val="superscript"/>
    </w:rPr>
  </w:style>
  <w:style w:type="paragraph" w:styleId="PlainText">
    <w:name w:val="Plain Text"/>
    <w:basedOn w:val="Normal"/>
    <w:link w:val="PlainTextChar"/>
    <w:uiPriority w:val="99"/>
    <w:rsid w:val="000D5281"/>
    <w:rPr>
      <w:rFonts w:ascii="Courier New" w:hAnsi="Courier New" w:cs="Courier New"/>
      <w:sz w:val="20"/>
      <w:lang w:val="en-US"/>
    </w:rPr>
  </w:style>
  <w:style w:type="character" w:customStyle="1" w:styleId="PlainTextChar">
    <w:name w:val="Plain Text Char"/>
    <w:basedOn w:val="DefaultParagraphFont"/>
    <w:link w:val="PlainText"/>
    <w:uiPriority w:val="99"/>
    <w:rsid w:val="000D5281"/>
    <w:rPr>
      <w:rFonts w:ascii="Courier New" w:eastAsia="SimSun" w:hAnsi="Courier New" w:cs="Courier New"/>
      <w:lang w:val="en-US" w:eastAsia="zh-CN"/>
    </w:rPr>
  </w:style>
  <w:style w:type="paragraph" w:styleId="ListParagraph">
    <w:name w:val="List Paragraph"/>
    <w:aliases w:val="MCHIP_list paragraph,Recommendation,List Paragraph (numbered (a)),Dot pt,F5 List Paragraph,No Spacing1,List Paragraph Char Char Char,Indicator Text,Numbered Para 1,MAIN CONTENT,Bullet 1,Colorful List - Accent 11,References"/>
    <w:basedOn w:val="Normal"/>
    <w:link w:val="ListParagraphChar"/>
    <w:uiPriority w:val="34"/>
    <w:qFormat/>
    <w:rsid w:val="000D5281"/>
    <w:pPr>
      <w:ind w:left="720"/>
      <w:contextualSpacing/>
    </w:pPr>
    <w:rPr>
      <w:lang w:val="en-US"/>
    </w:rPr>
  </w:style>
  <w:style w:type="character" w:customStyle="1" w:styleId="ListParagraphChar">
    <w:name w:val="List Paragraph Char"/>
    <w:aliases w:val="MCHIP_list paragraph Char,Recommendation Char,List Paragraph (numbered (a)) Char,Dot pt Char,F5 List Paragraph Char,No Spacing1 Char,List Paragraph Char Char Char Char,Indicator Text Char,Numbered Para 1 Char,MAIN CONTENT Char"/>
    <w:basedOn w:val="DefaultParagraphFont"/>
    <w:link w:val="ListParagraph"/>
    <w:uiPriority w:val="34"/>
    <w:rsid w:val="000D5281"/>
    <w:rPr>
      <w:rFonts w:ascii="Arial" w:eastAsia="SimSun" w:hAnsi="Arial" w:cs="Arial"/>
      <w:sz w:val="22"/>
      <w:lang w:val="en-US" w:eastAsia="zh-CN"/>
    </w:rPr>
  </w:style>
  <w:style w:type="character" w:styleId="CommentReference">
    <w:name w:val="annotation reference"/>
    <w:basedOn w:val="DefaultParagraphFont"/>
    <w:rsid w:val="000D5281"/>
    <w:rPr>
      <w:sz w:val="16"/>
      <w:szCs w:val="16"/>
    </w:rPr>
  </w:style>
  <w:style w:type="paragraph" w:styleId="CommentSubject">
    <w:name w:val="annotation subject"/>
    <w:basedOn w:val="CommentText"/>
    <w:next w:val="CommentText"/>
    <w:link w:val="CommentSubjectChar"/>
    <w:rsid w:val="000D5281"/>
    <w:rPr>
      <w:b/>
      <w:bCs/>
      <w:sz w:val="20"/>
      <w:lang w:val="en-US"/>
    </w:rPr>
  </w:style>
  <w:style w:type="character" w:customStyle="1" w:styleId="CommentTextChar1">
    <w:name w:val="Comment Text Char1"/>
    <w:basedOn w:val="DefaultParagraphFont"/>
    <w:link w:val="CommentText"/>
    <w:semiHidden/>
    <w:rsid w:val="000D5281"/>
    <w:rPr>
      <w:rFonts w:ascii="Arial" w:eastAsia="SimSun" w:hAnsi="Arial" w:cs="Arial"/>
      <w:sz w:val="18"/>
      <w:lang w:eastAsia="zh-CN"/>
    </w:rPr>
  </w:style>
  <w:style w:type="character" w:customStyle="1" w:styleId="CommentSubjectChar">
    <w:name w:val="Comment Subject Char"/>
    <w:basedOn w:val="CommentTextChar1"/>
    <w:link w:val="CommentSubject"/>
    <w:rsid w:val="000D5281"/>
    <w:rPr>
      <w:rFonts w:ascii="Arial" w:eastAsia="SimSun" w:hAnsi="Arial" w:cs="Arial"/>
      <w:b/>
      <w:bCs/>
      <w:sz w:val="18"/>
      <w:lang w:val="en-US" w:eastAsia="zh-CN"/>
    </w:rPr>
  </w:style>
  <w:style w:type="character" w:styleId="EndnoteReference">
    <w:name w:val="endnote reference"/>
    <w:basedOn w:val="DefaultParagraphFont"/>
    <w:rsid w:val="000D5281"/>
    <w:rPr>
      <w:vertAlign w:val="superscript"/>
    </w:rPr>
  </w:style>
  <w:style w:type="paragraph" w:styleId="NormalWeb">
    <w:name w:val="Normal (Web)"/>
    <w:basedOn w:val="Normal"/>
    <w:uiPriority w:val="99"/>
    <w:rsid w:val="000D5281"/>
    <w:pPr>
      <w:spacing w:before="100" w:beforeAutospacing="1" w:after="100" w:afterAutospacing="1"/>
    </w:pPr>
    <w:rPr>
      <w:rFonts w:eastAsia="Times New Roman"/>
      <w:sz w:val="18"/>
      <w:szCs w:val="18"/>
      <w:lang w:val="en-US" w:eastAsia="en-US"/>
    </w:rPr>
  </w:style>
  <w:style w:type="character" w:customStyle="1" w:styleId="ONUMECharChar">
    <w:name w:val="ONUM E Char Char"/>
    <w:locked/>
    <w:rsid w:val="000D5281"/>
    <w:rPr>
      <w:rFonts w:ascii="Arial" w:hAnsi="Arial"/>
      <w:sz w:val="22"/>
      <w:lang w:val="x-none" w:eastAsia="x-none"/>
    </w:rPr>
  </w:style>
  <w:style w:type="character" w:customStyle="1" w:styleId="apple-converted-space">
    <w:name w:val="apple-converted-space"/>
    <w:basedOn w:val="DefaultParagraphFont"/>
    <w:rsid w:val="000D5281"/>
  </w:style>
  <w:style w:type="paragraph" w:customStyle="1" w:styleId="Default">
    <w:name w:val="Default"/>
    <w:rsid w:val="000D5281"/>
    <w:pPr>
      <w:autoSpaceDE w:val="0"/>
      <w:autoSpaceDN w:val="0"/>
      <w:adjustRightInd w:val="0"/>
    </w:pPr>
    <w:rPr>
      <w:rFonts w:ascii="Arial" w:hAnsi="Arial" w:cs="Arial"/>
      <w:color w:val="000000"/>
      <w:sz w:val="24"/>
      <w:szCs w:val="24"/>
      <w:lang w:val="en-US" w:eastAsia="en-US"/>
    </w:rPr>
  </w:style>
  <w:style w:type="paragraph" w:styleId="TOC2">
    <w:name w:val="toc 2"/>
    <w:basedOn w:val="Normal"/>
    <w:next w:val="Normal"/>
    <w:autoRedefine/>
    <w:uiPriority w:val="39"/>
    <w:unhideWhenUsed/>
    <w:qFormat/>
    <w:rsid w:val="000D5281"/>
    <w:pPr>
      <w:spacing w:after="100"/>
      <w:ind w:left="220"/>
    </w:pPr>
    <w:rPr>
      <w:lang w:val="en-US"/>
    </w:rPr>
  </w:style>
  <w:style w:type="paragraph" w:customStyle="1" w:styleId="Heading11">
    <w:name w:val="Heading 1.1"/>
    <w:basedOn w:val="Heading1"/>
    <w:qFormat/>
    <w:rsid w:val="000D5281"/>
    <w:pPr>
      <w:numPr>
        <w:numId w:val="9"/>
      </w:numPr>
      <w:spacing w:before="480"/>
    </w:pPr>
    <w:rPr>
      <w:lang w:val="pt-PT"/>
    </w:rPr>
  </w:style>
  <w:style w:type="paragraph" w:customStyle="1" w:styleId="BVIfnrTegnCharTegnChar">
    <w:name w:val="BVI fnr Tegn Char Tegn Char"/>
    <w:aliases w:val=" BVI fnr Car Car Tegn Char Tegn Char,BVI fnr Car Tegn Char Tegn Char, BVI fnr Car Car Car Car Tegn Char Tegn Char,BVI fnr Car Car Tegn Char Tegn Char,BVI fnr Car Car Car Car Tegn Char Tegn Char"/>
    <w:basedOn w:val="Normal"/>
    <w:link w:val="FootnoteReference"/>
    <w:rsid w:val="000D5281"/>
    <w:pPr>
      <w:spacing w:after="160" w:line="240" w:lineRule="atLeast"/>
    </w:pPr>
    <w:rPr>
      <w:rFonts w:ascii="Times New Roman" w:eastAsia="Times New Roman" w:hAnsi="Times New Roman" w:cs="Times New Roman"/>
      <w:sz w:val="20"/>
      <w:vertAlign w:val="superscript"/>
      <w:lang w:eastAsia="fr-CH"/>
    </w:rPr>
  </w:style>
  <w:style w:type="paragraph" w:styleId="Revision">
    <w:name w:val="Revision"/>
    <w:hidden/>
    <w:uiPriority w:val="99"/>
    <w:semiHidden/>
    <w:rsid w:val="000D5281"/>
    <w:rPr>
      <w:rFonts w:ascii="Arial" w:eastAsia="SimSun" w:hAnsi="Arial" w:cs="Arial"/>
      <w:sz w:val="22"/>
      <w:lang w:val="en-US" w:eastAsia="zh-CN"/>
    </w:rPr>
  </w:style>
  <w:style w:type="character" w:customStyle="1" w:styleId="Heading1Char">
    <w:name w:val="Heading 1 Char"/>
    <w:basedOn w:val="DefaultParagraphFont"/>
    <w:link w:val="Heading1"/>
    <w:rsid w:val="008E3F67"/>
    <w:rPr>
      <w:rFonts w:ascii="Arial" w:eastAsia="SimSun" w:hAnsi="Arial" w:cs="Arial"/>
      <w:b/>
      <w:bCs/>
      <w:caps/>
      <w:kern w:val="32"/>
      <w:sz w:val="22"/>
      <w:szCs w:val="32"/>
      <w:lang w:val="fr-FR" w:eastAsia="zh-CN"/>
    </w:rPr>
  </w:style>
  <w:style w:type="table" w:styleId="GridTable6Colorful-Accent1">
    <w:name w:val="Grid Table 6 Colorful Accent 1"/>
    <w:basedOn w:val="TableNormal"/>
    <w:uiPriority w:val="51"/>
    <w:rsid w:val="000D528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0D528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D528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AndChartTitle">
    <w:name w:val="TableAndChartTitle"/>
    <w:basedOn w:val="Normal"/>
    <w:next w:val="Normal"/>
    <w:uiPriority w:val="14"/>
    <w:qFormat/>
    <w:rsid w:val="000D5281"/>
    <w:pPr>
      <w:keepNext/>
      <w:keepLines/>
      <w:spacing w:before="240" w:after="60" w:line="220" w:lineRule="atLeast"/>
      <w:jc w:val="center"/>
    </w:pPr>
    <w:rPr>
      <w:rFonts w:eastAsiaTheme="minorHAnsi" w:cstheme="minorBidi"/>
      <w:b/>
      <w:color w:val="1F497D" w:themeColor="text2"/>
      <w:sz w:val="18"/>
      <w:szCs w:val="22"/>
      <w:lang w:val="en-GB" w:eastAsia="en-US"/>
    </w:rPr>
  </w:style>
  <w:style w:type="paragraph" w:customStyle="1" w:styleId="TableAndChartTitleAddText">
    <w:name w:val="TableAndChartTitleAddText"/>
    <w:basedOn w:val="Normal"/>
    <w:next w:val="Normal"/>
    <w:uiPriority w:val="15"/>
    <w:qFormat/>
    <w:rsid w:val="000D5281"/>
    <w:pPr>
      <w:keepNext/>
      <w:keepLines/>
      <w:spacing w:before="60" w:after="180" w:line="220" w:lineRule="atLeast"/>
      <w:jc w:val="center"/>
    </w:pPr>
    <w:rPr>
      <w:rFonts w:eastAsiaTheme="minorHAnsi" w:cstheme="minorBidi"/>
      <w:i/>
      <w:sz w:val="18"/>
      <w:szCs w:val="22"/>
      <w:lang w:val="en-GB" w:eastAsia="en-US"/>
    </w:rPr>
  </w:style>
  <w:style w:type="character" w:customStyle="1" w:styleId="FooterChar">
    <w:name w:val="Footer Char"/>
    <w:basedOn w:val="DefaultParagraphFont"/>
    <w:link w:val="Footer"/>
    <w:rsid w:val="000D5281"/>
    <w:rPr>
      <w:rFonts w:ascii="Arial" w:eastAsia="SimSun" w:hAnsi="Arial" w:cs="Arial"/>
      <w:sz w:val="22"/>
      <w:lang w:eastAsia="zh-CN"/>
    </w:rPr>
  </w:style>
  <w:style w:type="character" w:styleId="FollowedHyperlink">
    <w:name w:val="FollowedHyperlink"/>
    <w:basedOn w:val="DefaultParagraphFont"/>
    <w:semiHidden/>
    <w:unhideWhenUsed/>
    <w:rsid w:val="000D5281"/>
    <w:rPr>
      <w:color w:val="800080" w:themeColor="followedHyperlink"/>
      <w:u w:val="single"/>
    </w:rPr>
  </w:style>
  <w:style w:type="paragraph" w:styleId="TOCHeading">
    <w:name w:val="TOC Heading"/>
    <w:basedOn w:val="Heading1"/>
    <w:next w:val="Normal"/>
    <w:uiPriority w:val="39"/>
    <w:unhideWhenUsed/>
    <w:qFormat/>
    <w:rsid w:val="000D5281"/>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val="en-US" w:eastAsia="en-US"/>
    </w:rPr>
  </w:style>
  <w:style w:type="character" w:customStyle="1" w:styleId="pwa-mark">
    <w:name w:val="pwa-mark"/>
    <w:basedOn w:val="DefaultParagraphFont"/>
    <w:rsid w:val="000D5281"/>
  </w:style>
  <w:style w:type="paragraph" w:styleId="MacroText">
    <w:name w:val="macro"/>
    <w:link w:val="MacroTextChar"/>
    <w:semiHidden/>
    <w:rsid w:val="000D5281"/>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semiHidden/>
    <w:rsid w:val="000D5281"/>
    <w:rPr>
      <w:rFonts w:ascii="Courier New" w:hAnsi="Courier New"/>
      <w:sz w:val="16"/>
      <w:lang w:val="en-US" w:eastAsia="en-US"/>
    </w:rPr>
  </w:style>
  <w:style w:type="table" w:styleId="GridTable5Dark-Accent1">
    <w:name w:val="Grid Table 5 Dark Accent 1"/>
    <w:basedOn w:val="TableNormal"/>
    <w:uiPriority w:val="50"/>
    <w:rsid w:val="000D52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0D528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graph">
    <w:name w:val="paragraph"/>
    <w:basedOn w:val="Normal"/>
    <w:rsid w:val="000D5281"/>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0D5281"/>
  </w:style>
  <w:style w:type="character" w:customStyle="1" w:styleId="eop">
    <w:name w:val="eop"/>
    <w:basedOn w:val="DefaultParagraphFont"/>
    <w:rsid w:val="000D5281"/>
  </w:style>
  <w:style w:type="character" w:styleId="Emphasis">
    <w:name w:val="Emphasis"/>
    <w:basedOn w:val="DefaultParagraphFont"/>
    <w:uiPriority w:val="20"/>
    <w:qFormat/>
    <w:rsid w:val="000D5281"/>
    <w:rPr>
      <w:i/>
      <w:iCs/>
    </w:rPr>
  </w:style>
  <w:style w:type="table" w:customStyle="1" w:styleId="TableGridLight1">
    <w:name w:val="Table Grid Light1"/>
    <w:basedOn w:val="TableNormal"/>
    <w:next w:val="TableGridLight"/>
    <w:uiPriority w:val="40"/>
    <w:rsid w:val="000D528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i-provider">
    <w:name w:val="ui-provider"/>
    <w:basedOn w:val="DefaultParagraphFont"/>
    <w:rsid w:val="000D5281"/>
  </w:style>
  <w:style w:type="character" w:styleId="Mention">
    <w:name w:val="Mention"/>
    <w:basedOn w:val="DefaultParagraphFont"/>
    <w:uiPriority w:val="99"/>
    <w:unhideWhenUsed/>
    <w:rsid w:val="000D5281"/>
    <w:rPr>
      <w:color w:val="2B579A"/>
      <w:shd w:val="clear" w:color="auto" w:fill="E1DFDD"/>
    </w:rPr>
  </w:style>
  <w:style w:type="paragraph" w:customStyle="1" w:styleId="TableParagraph">
    <w:name w:val="Table Paragraph"/>
    <w:basedOn w:val="Normal"/>
    <w:uiPriority w:val="1"/>
    <w:qFormat/>
    <w:rsid w:val="000D5281"/>
    <w:pPr>
      <w:widowControl w:val="0"/>
      <w:autoSpaceDE w:val="0"/>
      <w:autoSpaceDN w:val="0"/>
    </w:pPr>
    <w:rPr>
      <w:rFonts w:eastAsia="Arial"/>
      <w:szCs w:val="22"/>
      <w:lang w:val="en-US" w:eastAsia="en-US"/>
    </w:rPr>
  </w:style>
  <w:style w:type="character" w:styleId="UnresolvedMention">
    <w:name w:val="Unresolved Mention"/>
    <w:basedOn w:val="DefaultParagraphFont"/>
    <w:uiPriority w:val="99"/>
    <w:semiHidden/>
    <w:unhideWhenUsed/>
    <w:rsid w:val="000D5281"/>
    <w:rPr>
      <w:color w:val="605E5C"/>
      <w:shd w:val="clear" w:color="auto" w:fill="E1DFDD"/>
    </w:rPr>
  </w:style>
  <w:style w:type="table" w:styleId="ListTable3-Accent1">
    <w:name w:val="List Table 3 Accent 1"/>
    <w:basedOn w:val="TableNormal"/>
    <w:uiPriority w:val="48"/>
    <w:rsid w:val="000D5281"/>
    <w:rPr>
      <w:rFonts w:asciiTheme="minorHAnsi" w:eastAsiaTheme="minorHAnsi" w:hAnsiTheme="minorHAnsi" w:cstheme="minorBidi"/>
      <w:sz w:val="22"/>
      <w:szCs w:val="22"/>
      <w:lang w:val="en-US"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emf"/><Relationship Id="rId18" Type="http://schemas.openxmlformats.org/officeDocument/2006/relationships/footer" Target="footer1.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5.emf"/><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pubdocs/fr/wipo_pub_360_pb22_23.pdf" TargetMode="External"/><Relationship Id="rId2" Type="http://schemas.openxmlformats.org/officeDocument/2006/relationships/hyperlink" Target="https://www.un.org/two-zero/fr" TargetMode="External"/><Relationship Id="rId1" Type="http://schemas.openxmlformats.org/officeDocument/2006/relationships/hyperlink" Target="https://www.wipo.int/edocs/mdocs/madrid/fr/mm_ld_wg_21/mm_ld_wg_21_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7%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WO_GA_57 (F)</Template>
  <TotalTime>5</TotalTime>
  <Pages>32</Pages>
  <Words>12773</Words>
  <Characters>69668</Characters>
  <Application>Microsoft Office Word</Application>
  <DocSecurity>0</DocSecurity>
  <Lines>1421</Lines>
  <Paragraphs>687</Paragraphs>
  <ScaleCrop>false</ScaleCrop>
  <HeadingPairs>
    <vt:vector size="2" baseType="variant">
      <vt:variant>
        <vt:lpstr>Title</vt:lpstr>
      </vt:variant>
      <vt:variant>
        <vt:i4>1</vt:i4>
      </vt:variant>
    </vt:vector>
  </HeadingPairs>
  <TitlesOfParts>
    <vt:vector size="1" baseType="lpstr">
      <vt:lpstr>WO/GA/57/2</vt:lpstr>
    </vt:vector>
  </TitlesOfParts>
  <Company>WIPO</Company>
  <LinksUpToDate>false</LinksUpToDate>
  <CharactersWithSpaces>81754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WO/GA/57/2</dc:title>
  <dc:subject>Sixty-Fifth Series of Meetings</dc:subject>
  <dc:creator>WIPO</dc:creator>
  <cp:keywords>FOR OFFICIAL USE ONLY</cp:keywords>
  <cp:lastModifiedBy>MARIN-CUDRAZ DAVI Nicoletta</cp:lastModifiedBy>
  <cp:revision>3</cp:revision>
  <cp:lastPrinted>2011-05-19T12:37:00Z</cp:lastPrinted>
  <dcterms:created xsi:type="dcterms:W3CDTF">2024-05-06T13:58:00Z</dcterms:created>
  <dcterms:modified xsi:type="dcterms:W3CDTF">2024-05-06T14:30:00Z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2024-05-06T07:12:45Z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8d96ca27-0e47-43cb-a1c6-944809db4435</vt:lpwstr>
  </property>
  <property fmtid="{D5CDD505-2E9C-101B-9397-08002B2CF9AE}" pid="14" name="MSIP_Label_20773ee6-353b-4fb9-a59d-0b94c8c67bea_ContentBits">
    <vt:lpwstr>0</vt:lpwstr>
  </property>
</Properties>
</file>