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6F75E" w14:textId="77777777" w:rsidR="008B2CC1" w:rsidRPr="001E5043" w:rsidRDefault="0040540C" w:rsidP="003B5CD9">
      <w:pPr>
        <w:spacing w:before="360" w:after="240"/>
        <w:jc w:val="right"/>
        <w:rPr>
          <w:lang w:val="fr-FR"/>
        </w:rPr>
      </w:pPr>
      <w:bookmarkStart w:id="0" w:name="_GoBack"/>
      <w:bookmarkEnd w:id="0"/>
      <w:r w:rsidRPr="001E5043">
        <w:rPr>
          <w:noProof/>
          <w:lang w:val="en-US" w:eastAsia="en-US"/>
        </w:rPr>
        <w:drawing>
          <wp:inline distT="0" distB="0" distL="0" distR="0" wp14:anchorId="7380CD2D" wp14:editId="132FB06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DBC8C0A" w14:textId="7314262C" w:rsidR="00B1090C" w:rsidRPr="001E5043" w:rsidRDefault="0037544C" w:rsidP="003B5CD9">
      <w:pPr>
        <w:pBdr>
          <w:top w:val="single" w:sz="4" w:space="16" w:color="auto"/>
        </w:pBdr>
        <w:spacing w:before="240"/>
        <w:jc w:val="right"/>
        <w:rPr>
          <w:rFonts w:ascii="Arial Black" w:hAnsi="Arial Black"/>
          <w:caps/>
          <w:sz w:val="15"/>
          <w:lang w:val="fr-FR"/>
        </w:rPr>
      </w:pPr>
      <w:r w:rsidRPr="001E5043">
        <w:rPr>
          <w:rFonts w:ascii="Arial Black" w:hAnsi="Arial Black"/>
          <w:caps/>
          <w:sz w:val="15"/>
          <w:lang w:val="fr-FR"/>
        </w:rPr>
        <w:t>WO/GA/5</w:t>
      </w:r>
      <w:r w:rsidR="008B4EF4">
        <w:rPr>
          <w:rFonts w:ascii="Arial Black" w:hAnsi="Arial Black"/>
          <w:caps/>
          <w:sz w:val="15"/>
          <w:lang w:val="fr-FR"/>
        </w:rPr>
        <w:t>6</w:t>
      </w:r>
      <w:r w:rsidRPr="001E5043">
        <w:rPr>
          <w:rFonts w:ascii="Arial Black" w:hAnsi="Arial Black"/>
          <w:caps/>
          <w:sz w:val="15"/>
          <w:lang w:val="fr-FR"/>
        </w:rPr>
        <w:t>/</w:t>
      </w:r>
      <w:bookmarkStart w:id="1" w:name="Code"/>
      <w:bookmarkEnd w:id="1"/>
      <w:r w:rsidR="008E0BF9" w:rsidRPr="001E5043">
        <w:rPr>
          <w:rFonts w:ascii="Arial Black" w:hAnsi="Arial Black"/>
          <w:caps/>
          <w:sz w:val="15"/>
          <w:lang w:val="fr-FR"/>
        </w:rPr>
        <w:t>1</w:t>
      </w:r>
      <w:r w:rsidR="008B4EF4">
        <w:rPr>
          <w:rFonts w:ascii="Arial Black" w:hAnsi="Arial Black"/>
          <w:caps/>
          <w:sz w:val="15"/>
          <w:lang w:val="fr-FR"/>
        </w:rPr>
        <w:t>3</w:t>
      </w:r>
    </w:p>
    <w:p w14:paraId="755552FE" w14:textId="4E206EB5" w:rsidR="008B2CC1" w:rsidRPr="001E5043" w:rsidRDefault="00B1090C" w:rsidP="003B5CD9">
      <w:pPr>
        <w:jc w:val="right"/>
        <w:rPr>
          <w:lang w:val="fr-FR"/>
        </w:rPr>
      </w:pPr>
      <w:r w:rsidRPr="001E5043">
        <w:rPr>
          <w:rFonts w:ascii="Arial Black" w:hAnsi="Arial Black"/>
          <w:caps/>
          <w:sz w:val="15"/>
          <w:lang w:val="fr-FR"/>
        </w:rPr>
        <w:t>ORIGINAL</w:t>
      </w:r>
      <w:r w:rsidR="001D039F">
        <w:rPr>
          <w:rFonts w:ascii="Arial Black" w:hAnsi="Arial Black"/>
          <w:caps/>
          <w:sz w:val="15"/>
          <w:lang w:val="fr-FR"/>
        </w:rPr>
        <w:t> :</w:t>
      </w:r>
      <w:r w:rsidR="002956DE" w:rsidRPr="001E5043">
        <w:rPr>
          <w:rFonts w:ascii="Arial Black" w:hAnsi="Arial Black"/>
          <w:caps/>
          <w:sz w:val="15"/>
          <w:lang w:val="fr-FR"/>
        </w:rPr>
        <w:t xml:space="preserve"> </w:t>
      </w:r>
      <w:bookmarkStart w:id="2" w:name="Original"/>
      <w:r w:rsidR="008E0BF9" w:rsidRPr="001E5043">
        <w:rPr>
          <w:rFonts w:ascii="Arial Black" w:hAnsi="Arial Black"/>
          <w:caps/>
          <w:sz w:val="15"/>
          <w:lang w:val="fr-FR"/>
        </w:rPr>
        <w:t>anglais</w:t>
      </w:r>
    </w:p>
    <w:bookmarkEnd w:id="2"/>
    <w:p w14:paraId="655DC1BF" w14:textId="43BE3B35" w:rsidR="008B2CC1" w:rsidRPr="001E5043" w:rsidRDefault="00B1090C" w:rsidP="003B5CD9">
      <w:pPr>
        <w:spacing w:after="1200"/>
        <w:jc w:val="right"/>
        <w:rPr>
          <w:lang w:val="fr-FR"/>
        </w:rPr>
      </w:pPr>
      <w:r w:rsidRPr="001E5043">
        <w:rPr>
          <w:rFonts w:ascii="Arial Black" w:hAnsi="Arial Black"/>
          <w:caps/>
          <w:sz w:val="15"/>
          <w:lang w:val="fr-FR"/>
        </w:rPr>
        <w:t>DATE</w:t>
      </w:r>
      <w:r w:rsidR="001D039F">
        <w:rPr>
          <w:rFonts w:ascii="Arial Black" w:hAnsi="Arial Black"/>
          <w:caps/>
          <w:sz w:val="15"/>
          <w:lang w:val="fr-FR"/>
        </w:rPr>
        <w:t> :</w:t>
      </w:r>
      <w:r w:rsidR="002956DE" w:rsidRPr="001E5043">
        <w:rPr>
          <w:rFonts w:ascii="Arial Black" w:hAnsi="Arial Black"/>
          <w:caps/>
          <w:sz w:val="15"/>
          <w:lang w:val="fr-FR"/>
        </w:rPr>
        <w:t xml:space="preserve"> </w:t>
      </w:r>
      <w:bookmarkStart w:id="3" w:name="Date"/>
      <w:r w:rsidR="008B4EF4">
        <w:rPr>
          <w:rFonts w:ascii="Arial Black" w:hAnsi="Arial Black"/>
          <w:caps/>
          <w:sz w:val="15"/>
          <w:lang w:val="fr-FR"/>
        </w:rPr>
        <w:t>5</w:t>
      </w:r>
      <w:r w:rsidR="008E0BF9" w:rsidRPr="001E5043">
        <w:rPr>
          <w:rFonts w:ascii="Arial Black" w:hAnsi="Arial Black"/>
          <w:caps/>
          <w:sz w:val="15"/>
          <w:lang w:val="fr-FR"/>
        </w:rPr>
        <w:t> </w:t>
      </w:r>
      <w:r w:rsidR="00A33E39" w:rsidRPr="001E5043">
        <w:rPr>
          <w:rFonts w:ascii="Arial Black" w:hAnsi="Arial Black"/>
          <w:caps/>
          <w:sz w:val="15"/>
          <w:lang w:val="fr-FR"/>
        </w:rPr>
        <w:t>mai</w:t>
      </w:r>
      <w:r w:rsidR="008E0BF9" w:rsidRPr="001E5043">
        <w:rPr>
          <w:rFonts w:ascii="Arial Black" w:hAnsi="Arial Black"/>
          <w:caps/>
          <w:sz w:val="15"/>
          <w:lang w:val="fr-FR"/>
        </w:rPr>
        <w:t> 202</w:t>
      </w:r>
      <w:r w:rsidR="008B4EF4">
        <w:rPr>
          <w:rFonts w:ascii="Arial Black" w:hAnsi="Arial Black"/>
          <w:caps/>
          <w:sz w:val="15"/>
          <w:lang w:val="fr-FR"/>
        </w:rPr>
        <w:t>3</w:t>
      </w:r>
    </w:p>
    <w:bookmarkEnd w:id="3"/>
    <w:p w14:paraId="58DEB6BE" w14:textId="2FA7C3C1" w:rsidR="003845C1" w:rsidRPr="001E5043" w:rsidRDefault="006947A9" w:rsidP="003B5CD9">
      <w:pPr>
        <w:pStyle w:val="Title"/>
        <w:rPr>
          <w:lang w:val="fr-FR"/>
        </w:rPr>
      </w:pPr>
      <w:r w:rsidRPr="001E5043">
        <w:rPr>
          <w:lang w:val="fr-FR"/>
        </w:rPr>
        <w:t>Assemblée générale de l</w:t>
      </w:r>
      <w:r w:rsidR="001D039F">
        <w:rPr>
          <w:caps/>
          <w:lang w:val="fr-FR"/>
        </w:rPr>
        <w:t>’</w:t>
      </w:r>
      <w:r w:rsidRPr="001E5043">
        <w:rPr>
          <w:lang w:val="fr-FR"/>
        </w:rPr>
        <w:t>OMPI</w:t>
      </w:r>
    </w:p>
    <w:p w14:paraId="7315889D" w14:textId="2ED548DE" w:rsidR="008B2CC1" w:rsidRPr="001E5043" w:rsidRDefault="004016CD" w:rsidP="003B5CD9">
      <w:pPr>
        <w:spacing w:after="720"/>
        <w:outlineLvl w:val="1"/>
        <w:rPr>
          <w:b/>
          <w:sz w:val="24"/>
          <w:szCs w:val="24"/>
          <w:lang w:val="fr-FR"/>
        </w:rPr>
      </w:pPr>
      <w:r w:rsidRPr="001E5043">
        <w:rPr>
          <w:b/>
          <w:bCs/>
          <w:iCs/>
          <w:sz w:val="24"/>
          <w:lang w:val="fr-FR"/>
        </w:rPr>
        <w:t>Cinquante</w:t>
      </w:r>
      <w:r w:rsidR="005723D0">
        <w:rPr>
          <w:b/>
          <w:bCs/>
          <w:iCs/>
          <w:sz w:val="24"/>
          <w:lang w:val="fr-FR"/>
        </w:rPr>
        <w:noBreakHyphen/>
      </w:r>
      <w:r w:rsidR="008B4EF4">
        <w:rPr>
          <w:b/>
          <w:bCs/>
          <w:iCs/>
          <w:sz w:val="24"/>
          <w:lang w:val="fr-FR"/>
        </w:rPr>
        <w:t>six</w:t>
      </w:r>
      <w:r w:rsidR="001D039F">
        <w:rPr>
          <w:b/>
          <w:bCs/>
          <w:iCs/>
          <w:sz w:val="24"/>
          <w:lang w:val="fr-FR"/>
        </w:rPr>
        <w:t>ième session</w:t>
      </w:r>
      <w:r w:rsidRPr="001E5043">
        <w:rPr>
          <w:b/>
          <w:bCs/>
          <w:iCs/>
          <w:sz w:val="24"/>
          <w:lang w:val="fr-FR"/>
        </w:rPr>
        <w:t xml:space="preserve"> (</w:t>
      </w:r>
      <w:r w:rsidR="008B4EF4">
        <w:rPr>
          <w:b/>
          <w:bCs/>
          <w:iCs/>
          <w:sz w:val="24"/>
          <w:lang w:val="fr-FR"/>
        </w:rPr>
        <w:t>26</w:t>
      </w:r>
      <w:r w:rsidRPr="001E5043">
        <w:rPr>
          <w:b/>
          <w:bCs/>
          <w:iCs/>
          <w:sz w:val="24"/>
          <w:vertAlign w:val="superscript"/>
          <w:lang w:val="fr-FR"/>
        </w:rPr>
        <w:t>e</w:t>
      </w:r>
      <w:r w:rsidR="001E5043">
        <w:rPr>
          <w:b/>
          <w:bCs/>
          <w:iCs/>
          <w:sz w:val="24"/>
          <w:lang w:val="fr-FR"/>
        </w:rPr>
        <w:t> </w:t>
      </w:r>
      <w:r w:rsidRPr="001E5043">
        <w:rPr>
          <w:b/>
          <w:bCs/>
          <w:iCs/>
          <w:sz w:val="24"/>
          <w:lang w:val="fr-FR"/>
        </w:rPr>
        <w:t>session ordinaire</w:t>
      </w:r>
      <w:r w:rsidR="00D30DFB" w:rsidRPr="001E5043">
        <w:rPr>
          <w:b/>
          <w:sz w:val="24"/>
          <w:szCs w:val="24"/>
          <w:lang w:val="fr-FR"/>
        </w:rPr>
        <w:t>)</w:t>
      </w:r>
      <w:r w:rsidR="00D30DFB" w:rsidRPr="001E5043">
        <w:rPr>
          <w:b/>
          <w:sz w:val="24"/>
          <w:szCs w:val="24"/>
          <w:lang w:val="fr-FR"/>
        </w:rPr>
        <w:br/>
      </w:r>
      <w:r w:rsidRPr="001E5043">
        <w:rPr>
          <w:b/>
          <w:sz w:val="24"/>
          <w:lang w:val="fr-FR"/>
        </w:rPr>
        <w:t xml:space="preserve">Genève, </w:t>
      </w:r>
      <w:r w:rsidR="008B4EF4">
        <w:rPr>
          <w:b/>
          <w:sz w:val="24"/>
          <w:lang w:val="fr-FR"/>
        </w:rPr>
        <w:t>6</w:t>
      </w:r>
      <w:r w:rsidRPr="001E5043">
        <w:rPr>
          <w:b/>
          <w:sz w:val="24"/>
          <w:szCs w:val="24"/>
          <w:lang w:val="fr-FR"/>
        </w:rPr>
        <w:t xml:space="preserve"> – </w:t>
      </w:r>
      <w:r w:rsidR="008B4EF4">
        <w:rPr>
          <w:b/>
          <w:sz w:val="24"/>
          <w:szCs w:val="24"/>
          <w:lang w:val="fr-FR"/>
        </w:rPr>
        <w:t>14</w:t>
      </w:r>
      <w:r w:rsidR="00A33E39" w:rsidRPr="001E5043">
        <w:rPr>
          <w:b/>
          <w:sz w:val="24"/>
          <w:szCs w:val="24"/>
          <w:lang w:val="fr-FR"/>
        </w:rPr>
        <w:t> juillet </w:t>
      </w:r>
      <w:r w:rsidRPr="001E5043">
        <w:rPr>
          <w:b/>
          <w:sz w:val="24"/>
          <w:szCs w:val="24"/>
          <w:lang w:val="fr-FR"/>
        </w:rPr>
        <w:t>202</w:t>
      </w:r>
      <w:r w:rsidR="008B4EF4">
        <w:rPr>
          <w:b/>
          <w:sz w:val="24"/>
          <w:szCs w:val="24"/>
          <w:lang w:val="fr-FR"/>
        </w:rPr>
        <w:t>3</w:t>
      </w:r>
    </w:p>
    <w:p w14:paraId="1C26D6F7" w14:textId="60CC2446" w:rsidR="008B2CC1" w:rsidRPr="001E5043" w:rsidRDefault="008E0BF9" w:rsidP="003B5CD9">
      <w:pPr>
        <w:spacing w:after="360"/>
        <w:rPr>
          <w:caps/>
          <w:sz w:val="24"/>
          <w:lang w:val="fr-FR"/>
        </w:rPr>
      </w:pPr>
      <w:bookmarkStart w:id="4" w:name="TitleOfDoc"/>
      <w:r w:rsidRPr="001E5043">
        <w:rPr>
          <w:caps/>
          <w:sz w:val="24"/>
          <w:lang w:val="fr-FR"/>
        </w:rPr>
        <w:t>Centre d</w:t>
      </w:r>
      <w:r w:rsidR="001D039F">
        <w:rPr>
          <w:caps/>
          <w:sz w:val="24"/>
          <w:lang w:val="fr-FR"/>
        </w:rPr>
        <w:t>’</w:t>
      </w:r>
      <w:r w:rsidRPr="001E5043">
        <w:rPr>
          <w:caps/>
          <w:sz w:val="24"/>
          <w:lang w:val="fr-FR"/>
        </w:rPr>
        <w:t>arbitrage et de médiation de l</w:t>
      </w:r>
      <w:r w:rsidR="001D039F">
        <w:rPr>
          <w:caps/>
          <w:sz w:val="24"/>
          <w:lang w:val="fr-FR"/>
        </w:rPr>
        <w:t>’</w:t>
      </w:r>
      <w:r w:rsidRPr="001E5043">
        <w:rPr>
          <w:caps/>
          <w:sz w:val="24"/>
          <w:lang w:val="fr-FR"/>
        </w:rPr>
        <w:t xml:space="preserve">OMPI, </w:t>
      </w:r>
      <w:r w:rsidR="001D039F">
        <w:rPr>
          <w:caps/>
          <w:sz w:val="24"/>
          <w:lang w:val="fr-FR"/>
        </w:rPr>
        <w:t>y compris</w:t>
      </w:r>
      <w:r w:rsidRPr="001E5043">
        <w:rPr>
          <w:caps/>
          <w:sz w:val="24"/>
          <w:lang w:val="fr-FR"/>
        </w:rPr>
        <w:t xml:space="preserve"> les noms de domaine</w:t>
      </w:r>
    </w:p>
    <w:p w14:paraId="191172D0" w14:textId="77777777" w:rsidR="008B2CC1" w:rsidRPr="001E5043" w:rsidRDefault="008E0BF9" w:rsidP="003B5CD9">
      <w:pPr>
        <w:spacing w:after="960"/>
        <w:rPr>
          <w:i/>
          <w:lang w:val="fr-FR"/>
        </w:rPr>
      </w:pPr>
      <w:bookmarkStart w:id="5" w:name="Prepared"/>
      <w:bookmarkEnd w:id="4"/>
      <w:r w:rsidRPr="001E5043">
        <w:rPr>
          <w:i/>
          <w:lang w:val="fr-FR"/>
        </w:rPr>
        <w:t>Document établi par le Secrétariat</w:t>
      </w:r>
    </w:p>
    <w:bookmarkEnd w:id="5"/>
    <w:p w14:paraId="4D6E4810" w14:textId="4262EF97" w:rsidR="008E0BF9" w:rsidRPr="002548FF" w:rsidRDefault="008E0BF9" w:rsidP="002548FF">
      <w:pPr>
        <w:pStyle w:val="ONUMFS"/>
      </w:pPr>
      <w:r w:rsidRPr="002548FF">
        <w:t>Le Centre d</w:t>
      </w:r>
      <w:r w:rsidR="001D039F" w:rsidRPr="002548FF">
        <w:t>’</w:t>
      </w:r>
      <w:r w:rsidRPr="002548FF">
        <w:t>arbitrage et de médiation de l</w:t>
      </w:r>
      <w:r w:rsidR="001D039F" w:rsidRPr="002548FF">
        <w:t>’</w:t>
      </w:r>
      <w:r w:rsidRPr="002548FF">
        <w:t>OMPI (ci</w:t>
      </w:r>
      <w:r w:rsidR="005723D0" w:rsidRPr="002548FF">
        <w:noBreakHyphen/>
      </w:r>
      <w:r w:rsidRPr="002548FF">
        <w:t>après dénommé “Centre”) fait partie du Secteur des écosystèmes de propriété intellectuelle et d</w:t>
      </w:r>
      <w:r w:rsidR="001D039F" w:rsidRPr="002548FF">
        <w:t>’</w:t>
      </w:r>
      <w:r w:rsidRPr="002548FF">
        <w:t>innovati</w:t>
      </w:r>
      <w:r w:rsidR="00567D37" w:rsidRPr="002548FF">
        <w:t>on.  En</w:t>
      </w:r>
      <w:r w:rsidRPr="002548FF">
        <w:t xml:space="preserve"> coordination avec d</w:t>
      </w:r>
      <w:r w:rsidR="001D039F" w:rsidRPr="002548FF">
        <w:t>’</w:t>
      </w:r>
      <w:r w:rsidRPr="002548FF">
        <w:t>autres secteurs de l</w:t>
      </w:r>
      <w:r w:rsidR="001D039F" w:rsidRPr="002548FF">
        <w:t>’</w:t>
      </w:r>
      <w:r w:rsidRPr="002548FF">
        <w:t>OMPI, le Secteur des écosystèmes de propriété intellectuelle et d</w:t>
      </w:r>
      <w:r w:rsidR="001D039F" w:rsidRPr="002548FF">
        <w:t>’</w:t>
      </w:r>
      <w:r w:rsidRPr="002548FF">
        <w:t>innovation est chargé d</w:t>
      </w:r>
      <w:r w:rsidR="001D039F" w:rsidRPr="002548FF">
        <w:t>’</w:t>
      </w:r>
      <w:r w:rsidRPr="002548FF">
        <w:t>aider les États membres à élaborer leurs écosystèmes de propriété intellectuelle et d</w:t>
      </w:r>
      <w:r w:rsidR="001D039F" w:rsidRPr="002548FF">
        <w:t>’</w:t>
      </w:r>
      <w:r w:rsidRPr="002548FF">
        <w:t>innovation afin de stimuler la croissance des entreprises et la croissance économiq</w:t>
      </w:r>
      <w:r w:rsidR="001E5043" w:rsidRPr="002548FF">
        <w:t>ue</w:t>
      </w:r>
      <w:r w:rsidRPr="002548FF">
        <w:t>.</w:t>
      </w:r>
    </w:p>
    <w:p w14:paraId="1ACF77FD" w14:textId="4EB681C1" w:rsidR="008E0BF9" w:rsidRPr="002548FF" w:rsidRDefault="008E0BF9" w:rsidP="002548FF">
      <w:pPr>
        <w:pStyle w:val="ONUMFS"/>
      </w:pPr>
      <w:r w:rsidRPr="002548FF">
        <w:t>Dans ce cadre, le présent document fait le point sur les activités du Centre en tant que prestataire international de services extrajudiciaires rapides et économiques de règlement des litiges de propriété intellectuelle</w:t>
      </w:r>
      <w:r w:rsidR="008B4EF4" w:rsidRPr="002548FF">
        <w:t xml:space="preserve"> et de technologie</w:t>
      </w:r>
      <w:r w:rsidRPr="002548FF">
        <w:t>, proposant à la fois des services d</w:t>
      </w:r>
      <w:r w:rsidR="001D039F" w:rsidRPr="002548FF">
        <w:t>’</w:t>
      </w:r>
      <w:r w:rsidRPr="002548FF">
        <w:t>administration de litiges et des services d</w:t>
      </w:r>
      <w:r w:rsidR="001D039F" w:rsidRPr="002548FF">
        <w:t>’</w:t>
      </w:r>
      <w:r w:rsidRPr="002548FF">
        <w:t>expertise juridique et d</w:t>
      </w:r>
      <w:r w:rsidR="001D039F" w:rsidRPr="002548FF">
        <w:t>’</w:t>
      </w:r>
      <w:r w:rsidRPr="002548FF">
        <w:t>organisation en matière de modes extrajudiciaires de règlement des litiges.</w:t>
      </w:r>
    </w:p>
    <w:p w14:paraId="243AE726" w14:textId="091127ED" w:rsidR="008E0BF9" w:rsidRPr="002548FF" w:rsidRDefault="008E0BF9" w:rsidP="002548FF">
      <w:pPr>
        <w:pStyle w:val="ONUMFS"/>
      </w:pPr>
      <w:r w:rsidRPr="002548FF">
        <w:rPr>
          <w:rStyle w:val="ONUMEChar"/>
        </w:rPr>
        <w:t>Il contient également des informations actualisées sur les activités de l</w:t>
      </w:r>
      <w:r w:rsidR="001D039F" w:rsidRPr="002548FF">
        <w:rPr>
          <w:rStyle w:val="ONUMEChar"/>
        </w:rPr>
        <w:t>’</w:t>
      </w:r>
      <w:r w:rsidRPr="002548FF">
        <w:rPr>
          <w:rStyle w:val="ONUMEChar"/>
        </w:rPr>
        <w:t>OMPI relatives aux noms de domaine dont il a précédemment été rendu compte dans le document</w:t>
      </w:r>
      <w:r w:rsidR="00567D37" w:rsidRPr="002548FF">
        <w:rPr>
          <w:rStyle w:val="ONUMEChar"/>
        </w:rPr>
        <w:t> </w:t>
      </w:r>
      <w:r w:rsidRPr="002548FF">
        <w:rPr>
          <w:rStyle w:val="ONUMEChar"/>
        </w:rPr>
        <w:t>WO/GA/5</w:t>
      </w:r>
      <w:r w:rsidR="008B4EF4" w:rsidRPr="002548FF">
        <w:rPr>
          <w:rStyle w:val="ONUMEChar"/>
        </w:rPr>
        <w:t>5</w:t>
      </w:r>
      <w:r w:rsidRPr="002548FF">
        <w:rPr>
          <w:rStyle w:val="ONUMEChar"/>
        </w:rPr>
        <w:t>/</w:t>
      </w:r>
      <w:r w:rsidR="00A33E39" w:rsidRPr="002548FF">
        <w:rPr>
          <w:rStyle w:val="ONUMEChar"/>
        </w:rPr>
        <w:t>1</w:t>
      </w:r>
      <w:r w:rsidR="008B4EF4" w:rsidRPr="002548FF">
        <w:rPr>
          <w:rStyle w:val="ONUMEChar"/>
        </w:rPr>
        <w:t>0</w:t>
      </w:r>
      <w:r w:rsidRPr="002548FF">
        <w:rPr>
          <w:rStyle w:val="FootnoteReference"/>
        </w:rPr>
        <w:footnoteReference w:id="2"/>
      </w:r>
      <w:r w:rsidRPr="002548FF">
        <w:rPr>
          <w:rStyle w:val="ONUMEChar"/>
        </w:rPr>
        <w:t>.  Il traite des litiges relatifs aux noms de domaine administrés par le Centre en vertu des différents principes directeurs et des aspects connexes du système des noms de domaine de l</w:t>
      </w:r>
      <w:r w:rsidR="001D039F" w:rsidRPr="002548FF">
        <w:rPr>
          <w:rStyle w:val="ONUMEChar"/>
        </w:rPr>
        <w:t>’</w:t>
      </w:r>
      <w:r w:rsidRPr="002548FF">
        <w:rPr>
          <w:rStyle w:val="ONUMEChar"/>
        </w:rPr>
        <w:t>Internet</w:t>
      </w:r>
      <w:r w:rsidR="005723D0" w:rsidRPr="002548FF">
        <w:rPr>
          <w:rStyle w:val="ONUMEChar"/>
        </w:rPr>
        <w:t> </w:t>
      </w:r>
      <w:r w:rsidRPr="002548FF">
        <w:rPr>
          <w:rStyle w:val="ONUMEChar"/>
        </w:rPr>
        <w:t>(DNS), ainsi que de certains faits de politique générale, en particulier les mécanismes de protection des droits pour l</w:t>
      </w:r>
      <w:r w:rsidR="001D039F" w:rsidRPr="002548FF">
        <w:rPr>
          <w:rStyle w:val="ONUMEChar"/>
        </w:rPr>
        <w:t>’</w:t>
      </w:r>
      <w:r w:rsidRPr="002548FF">
        <w:rPr>
          <w:rStyle w:val="ONUMEChar"/>
        </w:rPr>
        <w:t>introduction de nouveaux domaines génériques de premier niveau</w:t>
      </w:r>
      <w:r w:rsidR="005723D0" w:rsidRPr="002548FF">
        <w:rPr>
          <w:rStyle w:val="ONUMEChar"/>
        </w:rPr>
        <w:t> </w:t>
      </w:r>
      <w:r w:rsidRPr="002548FF">
        <w:rPr>
          <w:rStyle w:val="ONUMEChar"/>
        </w:rPr>
        <w:t>(gTLD), la révision</w:t>
      </w:r>
      <w:r w:rsidR="00B669C0" w:rsidRPr="002548FF">
        <w:rPr>
          <w:rStyle w:val="ONUMEChar"/>
        </w:rPr>
        <w:t xml:space="preserve"> à venir</w:t>
      </w:r>
      <w:r w:rsidRPr="002548FF">
        <w:rPr>
          <w:rStyle w:val="ONUMEChar"/>
        </w:rPr>
        <w:t xml:space="preserve"> des Principes directeurs concernant le règlement uniforme </w:t>
      </w:r>
      <w:r w:rsidRPr="002548FF">
        <w:rPr>
          <w:rStyle w:val="ONUMEChar"/>
        </w:rPr>
        <w:lastRenderedPageBreak/>
        <w:t>des litiges relatifs aux noms de domaine (principes</w:t>
      </w:r>
      <w:r w:rsidR="005723D0" w:rsidRPr="002548FF">
        <w:rPr>
          <w:rStyle w:val="ONUMEChar"/>
        </w:rPr>
        <w:t> </w:t>
      </w:r>
      <w:r w:rsidRPr="002548FF">
        <w:rPr>
          <w:rStyle w:val="ONUMEChar"/>
        </w:rPr>
        <w:t>UDRP) que l</w:t>
      </w:r>
      <w:r w:rsidR="001D039F" w:rsidRPr="002548FF">
        <w:rPr>
          <w:rStyle w:val="ONUMEChar"/>
        </w:rPr>
        <w:t>’</w:t>
      </w:r>
      <w:r w:rsidRPr="002548FF">
        <w:rPr>
          <w:rStyle w:val="ONUMEChar"/>
        </w:rPr>
        <w:t>Internet Corporation for Assigned Names and Numbers</w:t>
      </w:r>
      <w:r w:rsidR="005723D0" w:rsidRPr="002548FF">
        <w:rPr>
          <w:rStyle w:val="ONUMEChar"/>
        </w:rPr>
        <w:t> </w:t>
      </w:r>
      <w:r w:rsidRPr="002548FF">
        <w:rPr>
          <w:rStyle w:val="ONUMEChar"/>
        </w:rPr>
        <w:t>(ICANN) prévoit de mener et d</w:t>
      </w:r>
      <w:r w:rsidR="001D039F" w:rsidRPr="002548FF">
        <w:rPr>
          <w:rStyle w:val="ONUMEChar"/>
        </w:rPr>
        <w:t>’</w:t>
      </w:r>
      <w:r w:rsidRPr="002548FF">
        <w:rPr>
          <w:rStyle w:val="ONUMEChar"/>
        </w:rPr>
        <w:t>autres mécanismes de protection des droits, et la suite donnée aux recommandations faites par les États membres de l</w:t>
      </w:r>
      <w:r w:rsidR="001D039F" w:rsidRPr="002548FF">
        <w:rPr>
          <w:rStyle w:val="ONUMEChar"/>
        </w:rPr>
        <w:t>’</w:t>
      </w:r>
      <w:r w:rsidRPr="002548FF">
        <w:rPr>
          <w:rStyle w:val="ONUMEChar"/>
        </w:rPr>
        <w:t>OMPI dans le contexte du deuxième</w:t>
      </w:r>
      <w:r w:rsidR="007B6B33">
        <w:rPr>
          <w:rStyle w:val="ONUMEChar"/>
        </w:rPr>
        <w:t> </w:t>
      </w:r>
      <w:r w:rsidRPr="002548FF">
        <w:rPr>
          <w:rStyle w:val="ONUMEChar"/>
        </w:rPr>
        <w:t>processus de consultations de l</w:t>
      </w:r>
      <w:r w:rsidR="001D039F" w:rsidRPr="002548FF">
        <w:rPr>
          <w:rStyle w:val="ONUMEChar"/>
        </w:rPr>
        <w:t>’</w:t>
      </w:r>
      <w:r w:rsidRPr="002548FF">
        <w:rPr>
          <w:rStyle w:val="ONUMEChar"/>
        </w:rPr>
        <w:t>OMPI sur les noms de domaine de l</w:t>
      </w:r>
      <w:r w:rsidR="001D039F" w:rsidRPr="002548FF">
        <w:rPr>
          <w:rStyle w:val="ONUMEChar"/>
        </w:rPr>
        <w:t>’</w:t>
      </w:r>
      <w:r w:rsidRPr="002548FF">
        <w:rPr>
          <w:rStyle w:val="ONUMEChar"/>
        </w:rPr>
        <w:t>Internet.</w:t>
      </w:r>
    </w:p>
    <w:p w14:paraId="02C2662A" w14:textId="4A7C352B" w:rsidR="008E0BF9" w:rsidRPr="005723D0" w:rsidRDefault="005723D0" w:rsidP="003B5CD9">
      <w:pPr>
        <w:pStyle w:val="Heading2"/>
        <w:rPr>
          <w:lang w:val="fr-FR"/>
        </w:rPr>
      </w:pPr>
      <w:r w:rsidRPr="005723D0">
        <w:rPr>
          <w:lang w:val="fr-FR"/>
        </w:rPr>
        <w:t>M</w:t>
      </w:r>
      <w:r w:rsidR="003B5CD9" w:rsidRPr="005723D0">
        <w:rPr>
          <w:lang w:val="fr-FR"/>
        </w:rPr>
        <w:t xml:space="preserve">édiation </w:t>
      </w:r>
      <w:r w:rsidRPr="005723D0">
        <w:rPr>
          <w:lang w:val="fr-FR"/>
        </w:rPr>
        <w:t>et arbitrage</w:t>
      </w:r>
      <w:r w:rsidR="00B669C0" w:rsidRPr="005723D0">
        <w:rPr>
          <w:lang w:val="fr-FR"/>
        </w:rPr>
        <w:t xml:space="preserve"> </w:t>
      </w:r>
      <w:r w:rsidR="003B5CD9" w:rsidRPr="005723D0">
        <w:rPr>
          <w:lang w:val="fr-FR"/>
        </w:rPr>
        <w:t>des litiges de propriété intellectuelle</w:t>
      </w:r>
    </w:p>
    <w:p w14:paraId="76D60610" w14:textId="77777777" w:rsidR="008E0BF9" w:rsidRPr="001E5043" w:rsidRDefault="003B5CD9" w:rsidP="003B5CD9">
      <w:pPr>
        <w:pStyle w:val="Heading3"/>
      </w:pPr>
      <w:r w:rsidRPr="001E5043">
        <w:t>Administration des procédures</w:t>
      </w:r>
    </w:p>
    <w:p w14:paraId="0BB3857C" w14:textId="33A584D4" w:rsidR="008E0BF9" w:rsidRPr="002548FF" w:rsidRDefault="008E0BF9" w:rsidP="002548FF">
      <w:pPr>
        <w:pStyle w:val="ONUMFS"/>
      </w:pPr>
      <w:r w:rsidRPr="002548FF">
        <w:t>Les procédures d</w:t>
      </w:r>
      <w:r w:rsidR="001D039F" w:rsidRPr="002548FF">
        <w:t>’</w:t>
      </w:r>
      <w:r w:rsidRPr="002548FF">
        <w:t xml:space="preserve">arbitrage et de médiation proposées par le Centre visent à répondre aux besoins des parties en matière de rapidité et de rentabilité dans le règlement des litiges relatifs à </w:t>
      </w:r>
      <w:r w:rsidR="00A33E39" w:rsidRPr="002548FF">
        <w:t>la propriété intellectuelle et à la technolog</w:t>
      </w:r>
      <w:r w:rsidR="00567D37" w:rsidRPr="002548FF">
        <w:t>ie.  Le</w:t>
      </w:r>
      <w:r w:rsidRPr="002548FF">
        <w:t xml:space="preserve"> Centre est chargé de l</w:t>
      </w:r>
      <w:r w:rsidR="001D039F" w:rsidRPr="002548FF">
        <w:t>’</w:t>
      </w:r>
      <w:r w:rsidRPr="002548FF">
        <w:t xml:space="preserve">administration des litiges dans le cadre de ces procédures, ce qui passe par </w:t>
      </w:r>
      <w:r w:rsidR="006827D7" w:rsidRPr="002548FF">
        <w:t>des conseils en matière de procédure</w:t>
      </w:r>
      <w:r w:rsidR="006827D7" w:rsidRPr="002548FF">
        <w:rPr>
          <w:rStyle w:val="FootnoteReference"/>
        </w:rPr>
        <w:footnoteReference w:id="3"/>
      </w:r>
      <w:r w:rsidR="006827D7" w:rsidRPr="002548FF">
        <w:t xml:space="preserve">, </w:t>
      </w:r>
      <w:r w:rsidRPr="002548FF">
        <w:t>la formation</w:t>
      </w:r>
      <w:r w:rsidRPr="002548FF">
        <w:rPr>
          <w:rStyle w:val="FootnoteReference"/>
        </w:rPr>
        <w:footnoteReference w:id="4"/>
      </w:r>
      <w:r w:rsidRPr="002548FF">
        <w:t>, la désignation de médiateurs et d</w:t>
      </w:r>
      <w:r w:rsidR="001D039F" w:rsidRPr="002548FF">
        <w:t>’</w:t>
      </w:r>
      <w:r w:rsidRPr="002548FF">
        <w:t>arbitres qualifiés et le maintien d</w:t>
      </w:r>
      <w:r w:rsidR="001D039F" w:rsidRPr="002548FF">
        <w:t>’</w:t>
      </w:r>
      <w:r w:rsidRPr="002548FF">
        <w:t>une infrastructure moderne de règlement des litig</w:t>
      </w:r>
      <w:r w:rsidR="00567D37" w:rsidRPr="002548FF">
        <w:t>es.  Le</w:t>
      </w:r>
      <w:r w:rsidRPr="002548FF">
        <w:t>s litiges sont soumis au Centre sur la base de clauses compromissoires</w:t>
      </w:r>
      <w:r w:rsidR="00531B83" w:rsidRPr="002548FF">
        <w:t xml:space="preserve"> ou</w:t>
      </w:r>
      <w:r w:rsidRPr="002548FF">
        <w:t xml:space="preserve">, </w:t>
      </w:r>
      <w:r w:rsidR="00531B83" w:rsidRPr="002548FF">
        <w:t>de plus en plus,</w:t>
      </w:r>
      <w:r w:rsidRPr="002548FF">
        <w:t xml:space="preserve"> de conventions ad hoc postlitige (</w:t>
      </w:r>
      <w:r w:rsidR="001D039F" w:rsidRPr="002548FF">
        <w:t>y compris</w:t>
      </w:r>
      <w:r w:rsidRPr="002548FF">
        <w:t xml:space="preserve"> le renvoi par les tribunaux), ou de demandes unilatérales en vertu de l</w:t>
      </w:r>
      <w:r w:rsidR="001D039F" w:rsidRPr="002548FF">
        <w:t>’</w:t>
      </w:r>
      <w:r w:rsidRPr="002548FF">
        <w:t>article 4 du Règlement de médiation de l</w:t>
      </w:r>
      <w:r w:rsidR="001D039F" w:rsidRPr="002548FF">
        <w:t>’</w:t>
      </w:r>
      <w:r w:rsidRPr="002548FF">
        <w:t>OMPI</w:t>
      </w:r>
      <w:r w:rsidRPr="002548FF">
        <w:rPr>
          <w:rStyle w:val="FootnoteReference"/>
        </w:rPr>
        <w:footnoteReference w:id="5"/>
      </w:r>
      <w:r w:rsidRPr="002548FF">
        <w:t>.</w:t>
      </w:r>
    </w:p>
    <w:p w14:paraId="01149F39" w14:textId="600B8F9B" w:rsidR="008E0BF9" w:rsidRPr="002548FF" w:rsidRDefault="008E0BF9" w:rsidP="002548FF">
      <w:pPr>
        <w:pStyle w:val="ONUMFS"/>
      </w:pPr>
      <w:r w:rsidRPr="002548FF">
        <w:t xml:space="preserve">Au cours de la période considérée, </w:t>
      </w:r>
      <w:r w:rsidR="00531B83" w:rsidRPr="002548FF">
        <w:t>plusieurs</w:t>
      </w:r>
      <w:r w:rsidRPr="002548FF">
        <w:t xml:space="preserve"> grandes entreprises, petites et moyennes entreprises</w:t>
      </w:r>
      <w:r w:rsidR="005723D0" w:rsidRPr="002548FF">
        <w:t> </w:t>
      </w:r>
      <w:r w:rsidRPr="002548FF">
        <w:t>(PME)</w:t>
      </w:r>
      <w:r w:rsidRPr="002548FF">
        <w:rPr>
          <w:rStyle w:val="FootnoteReference"/>
        </w:rPr>
        <w:footnoteReference w:id="6"/>
      </w:r>
      <w:r w:rsidRPr="002548FF">
        <w:t xml:space="preserve">, universités et instituts de recherche, </w:t>
      </w:r>
      <w:r w:rsidR="00531B83" w:rsidRPr="002548FF">
        <w:t xml:space="preserve">organisations de gestion collective, </w:t>
      </w:r>
      <w:r w:rsidRPr="002548FF">
        <w:t xml:space="preserve">ainsi que des </w:t>
      </w:r>
      <w:r w:rsidR="004A0E32" w:rsidRPr="002548FF">
        <w:t>innovateur</w:t>
      </w:r>
      <w:r w:rsidRPr="002548FF">
        <w:t>s</w:t>
      </w:r>
      <w:r w:rsidR="004A0E32" w:rsidRPr="002548FF">
        <w:t xml:space="preserve"> et des créateurs</w:t>
      </w:r>
      <w:r w:rsidRPr="002548FF">
        <w:t xml:space="preserve">, provenant de </w:t>
      </w:r>
      <w:r w:rsidR="004A0E32" w:rsidRPr="002548FF">
        <w:t>51</w:t>
      </w:r>
      <w:r w:rsidR="00531B83" w:rsidRPr="002548FF">
        <w:t> </w:t>
      </w:r>
      <w:r w:rsidRPr="002548FF">
        <w:t xml:space="preserve">pays, ont eu recours aux </w:t>
      </w:r>
      <w:r w:rsidR="004A0E32" w:rsidRPr="002548FF">
        <w:t xml:space="preserve">services </w:t>
      </w:r>
      <w:r w:rsidR="00531B83" w:rsidRPr="002548FF">
        <w:t>de médiation</w:t>
      </w:r>
      <w:r w:rsidR="004A0E32" w:rsidRPr="002548FF">
        <w:t>,</w:t>
      </w:r>
      <w:r w:rsidR="00531B83" w:rsidRPr="002548FF">
        <w:t xml:space="preserve"> d</w:t>
      </w:r>
      <w:r w:rsidR="001D039F" w:rsidRPr="002548FF">
        <w:t>’</w:t>
      </w:r>
      <w:r w:rsidR="00531B83" w:rsidRPr="002548FF">
        <w:t xml:space="preserve">arbitrage </w:t>
      </w:r>
      <w:r w:rsidR="004A0E32" w:rsidRPr="002548FF">
        <w:t xml:space="preserve">et de bons offices </w:t>
      </w:r>
      <w:r w:rsidRPr="002548FF">
        <w:t>proposés par le Cent</w:t>
      </w:r>
      <w:r w:rsidR="00567D37" w:rsidRPr="002548FF">
        <w:t>re.  Le</w:t>
      </w:r>
      <w:r w:rsidRPr="002548FF">
        <w:t xml:space="preserve"> Centre a observé une augmentation de </w:t>
      </w:r>
      <w:r w:rsidR="004A0E32" w:rsidRPr="002548FF">
        <w:t>105</w:t>
      </w:r>
      <w:r w:rsidRPr="002548FF">
        <w:t>% du nombre de procédures en 202</w:t>
      </w:r>
      <w:r w:rsidR="004A0E32" w:rsidRPr="002548FF">
        <w:t>2</w:t>
      </w:r>
      <w:r w:rsidRPr="002548FF">
        <w:t>,</w:t>
      </w:r>
      <w:r w:rsidR="004A0E32" w:rsidRPr="002548FF">
        <w:t xml:space="preserve"> soit un total de 548</w:t>
      </w:r>
      <w:r w:rsidR="00567D37" w:rsidRPr="002548FF">
        <w:t> </w:t>
      </w:r>
      <w:r w:rsidR="004A0E32" w:rsidRPr="002548FF">
        <w:t>demandes,</w:t>
      </w:r>
      <w:r w:rsidRPr="002548FF">
        <w:t xml:space="preserve"> et une nouvelle augmentation au premier </w:t>
      </w:r>
      <w:r w:rsidR="00531B83" w:rsidRPr="002548FF">
        <w:t>tri</w:t>
      </w:r>
      <w:r w:rsidRPr="002548FF">
        <w:t>mestre de 202</w:t>
      </w:r>
      <w:r w:rsidR="004A0E32" w:rsidRPr="002548FF">
        <w:t>3</w:t>
      </w:r>
      <w:r w:rsidRPr="002548FF">
        <w:t>.  Les litiges administrés dans le cadre des règlements de médiation, d</w:t>
      </w:r>
      <w:r w:rsidR="001D039F" w:rsidRPr="002548FF">
        <w:t>’</w:t>
      </w:r>
      <w:r w:rsidRPr="002548FF">
        <w:t>arbitrage et d</w:t>
      </w:r>
      <w:r w:rsidR="001D039F" w:rsidRPr="002548FF">
        <w:t>’</w:t>
      </w:r>
      <w:r w:rsidRPr="002548FF">
        <w:t>arbitrage accéléré de l</w:t>
      </w:r>
      <w:r w:rsidR="001D039F" w:rsidRPr="002548FF">
        <w:t>’</w:t>
      </w:r>
      <w:r w:rsidRPr="002548FF">
        <w:t>OMPI (ci</w:t>
      </w:r>
      <w:r w:rsidR="005723D0" w:rsidRPr="002548FF">
        <w:noBreakHyphen/>
      </w:r>
      <w:r w:rsidRPr="002548FF">
        <w:t>après dénommés “règlements de l</w:t>
      </w:r>
      <w:r w:rsidR="001D039F" w:rsidRPr="002548FF">
        <w:t>’</w:t>
      </w:r>
      <w:r w:rsidRPr="002548FF">
        <w:t>OMPI”) ont notamment porté sur des contrats de recherche</w:t>
      </w:r>
      <w:r w:rsidR="005723D0" w:rsidRPr="002548FF">
        <w:noBreakHyphen/>
      </w:r>
      <w:r w:rsidRPr="002548FF">
        <w:t>développement, notamment des accords de consortium, des licences de brevet, de marque et de droit d</w:t>
      </w:r>
      <w:r w:rsidR="001D039F" w:rsidRPr="002548FF">
        <w:t>’</w:t>
      </w:r>
      <w:r w:rsidRPr="002548FF">
        <w:t>auteur,</w:t>
      </w:r>
      <w:r w:rsidR="00137512" w:rsidRPr="002548FF">
        <w:t xml:space="preserve"> </w:t>
      </w:r>
      <w:r w:rsidR="000F0156" w:rsidRPr="002548FF">
        <w:t>d</w:t>
      </w:r>
      <w:r w:rsidR="00137512" w:rsidRPr="002548FF">
        <w:t>es indications géographiques,</w:t>
      </w:r>
      <w:r w:rsidRPr="002548FF">
        <w:t xml:space="preserve"> la gestion collective du droit d</w:t>
      </w:r>
      <w:r w:rsidR="001D039F" w:rsidRPr="002548FF">
        <w:t>’</w:t>
      </w:r>
      <w:r w:rsidRPr="002548FF">
        <w:t>auteur, la conception de logiciels et l</w:t>
      </w:r>
      <w:r w:rsidR="000F0156" w:rsidRPr="002548FF">
        <w:t>a concession d</w:t>
      </w:r>
      <w:r w:rsidRPr="002548FF">
        <w:t>e licences de logiciels</w:t>
      </w:r>
      <w:r w:rsidR="00137512" w:rsidRPr="002548FF">
        <w:t xml:space="preserve">, </w:t>
      </w:r>
      <w:r w:rsidR="000F0156" w:rsidRPr="002548FF">
        <w:t>d</w:t>
      </w:r>
      <w:r w:rsidR="00137512" w:rsidRPr="002548FF">
        <w:t xml:space="preserve">es accords de parrainage et de publicité, ainsi que </w:t>
      </w:r>
      <w:r w:rsidR="000F0156" w:rsidRPr="002548FF">
        <w:t>d</w:t>
      </w:r>
      <w:r w:rsidR="00137512" w:rsidRPr="002548FF">
        <w:t xml:space="preserve">es </w:t>
      </w:r>
      <w:r w:rsidR="007328FC" w:rsidRPr="002548FF">
        <w:t>litiges en matière</w:t>
      </w:r>
      <w:r w:rsidR="00137512" w:rsidRPr="002548FF">
        <w:t xml:space="preserve"> d</w:t>
      </w:r>
      <w:r w:rsidR="001D039F" w:rsidRPr="002548FF">
        <w:t>’</w:t>
      </w:r>
      <w:r w:rsidR="00137512" w:rsidRPr="002548FF">
        <w:t xml:space="preserve">atteinte aux droits et de concurrence déloyale, </w:t>
      </w:r>
      <w:r w:rsidR="001D039F" w:rsidRPr="002548FF">
        <w:t>y compris</w:t>
      </w:r>
      <w:r w:rsidR="00515F36" w:rsidRPr="002548FF">
        <w:t xml:space="preserve"> </w:t>
      </w:r>
      <w:r w:rsidR="000F0156" w:rsidRPr="002548FF">
        <w:t>d</w:t>
      </w:r>
      <w:r w:rsidR="00515F36" w:rsidRPr="002548FF">
        <w:t>es litiges en instance devant les tribunaux nationaux</w:t>
      </w:r>
      <w:r w:rsidR="00531B83" w:rsidRPr="007B6B33">
        <w:rPr>
          <w:vertAlign w:val="superscript"/>
        </w:rPr>
        <w:footnoteReference w:id="7"/>
      </w:r>
      <w:r w:rsidR="00531B83" w:rsidRPr="002548FF">
        <w:t xml:space="preserve">.  </w:t>
      </w:r>
      <w:r w:rsidR="00515F36" w:rsidRPr="002548FF">
        <w:t>Les principaux secteurs d</w:t>
      </w:r>
      <w:r w:rsidR="001D039F" w:rsidRPr="002548FF">
        <w:t>’</w:t>
      </w:r>
      <w:r w:rsidR="00515F36" w:rsidRPr="002548FF">
        <w:t>activité comprenaient les industries de la création, les technologies de l</w:t>
      </w:r>
      <w:r w:rsidR="001D039F" w:rsidRPr="002548FF">
        <w:t>’</w:t>
      </w:r>
      <w:r w:rsidR="00515F36" w:rsidRPr="002548FF">
        <w:t>information et de la communication</w:t>
      </w:r>
      <w:r w:rsidR="005723D0" w:rsidRPr="002548FF">
        <w:t> </w:t>
      </w:r>
      <w:r w:rsidR="00515F36" w:rsidRPr="002548FF">
        <w:t>(TIC), les sciences de la vie et les procédés et équipements mécaniques</w:t>
      </w:r>
      <w:r w:rsidR="00531B83" w:rsidRPr="002548FF">
        <w:t>.</w:t>
      </w:r>
    </w:p>
    <w:p w14:paraId="0F2CF187" w14:textId="344DC633" w:rsidR="00CE55B0" w:rsidRPr="002548FF" w:rsidRDefault="00491AE4" w:rsidP="002548FF">
      <w:pPr>
        <w:pStyle w:val="ONUMFS"/>
      </w:pPr>
      <w:r w:rsidRPr="002548FF">
        <w:lastRenderedPageBreak/>
        <w:t>Soucieux de la nécessité pour les parties de limiter la durée et le coût des procédures</w:t>
      </w:r>
      <w:r w:rsidR="00515F36" w:rsidRPr="002548FF">
        <w:t>, l</w:t>
      </w:r>
      <w:r w:rsidR="008E0BF9" w:rsidRPr="002548FF">
        <w:t xml:space="preserve">e Centre a </w:t>
      </w:r>
      <w:r w:rsidR="00515F36" w:rsidRPr="002548FF">
        <w:t xml:space="preserve">pris </w:t>
      </w:r>
      <w:r w:rsidR="008E0BF9" w:rsidRPr="002548FF">
        <w:t>des initiatives pour</w:t>
      </w:r>
      <w:r w:rsidRPr="002548FF">
        <w:t xml:space="preserve"> rationaliser davantage</w:t>
      </w:r>
      <w:r w:rsidR="008E0BF9" w:rsidRPr="002548FF">
        <w:t xml:space="preserve"> </w:t>
      </w:r>
      <w:r w:rsidR="00F77804" w:rsidRPr="002548FF">
        <w:t>l</w:t>
      </w:r>
      <w:r w:rsidR="001D039F" w:rsidRPr="002548FF">
        <w:t>’</w:t>
      </w:r>
      <w:r w:rsidR="00F77804" w:rsidRPr="002548FF">
        <w:t>application des</w:t>
      </w:r>
      <w:r w:rsidR="008E0BF9" w:rsidRPr="002548FF">
        <w:t xml:space="preserve"> procédures extrajudiciaires de règlement des litiges de l</w:t>
      </w:r>
      <w:r w:rsidR="001D039F" w:rsidRPr="002548FF">
        <w:t>’</w:t>
      </w:r>
      <w:r w:rsidR="008E0BF9" w:rsidRPr="002548FF">
        <w:t>O</w:t>
      </w:r>
      <w:r w:rsidR="00567D37" w:rsidRPr="002548FF">
        <w:t>MPI.  Po</w:t>
      </w:r>
      <w:r w:rsidR="008E0BF9" w:rsidRPr="002548FF">
        <w:t>ur accroître l</w:t>
      </w:r>
      <w:r w:rsidR="001D039F" w:rsidRPr="002548FF">
        <w:t>’</w:t>
      </w:r>
      <w:r w:rsidR="008E0BF9" w:rsidRPr="002548FF">
        <w:t>efficacité de leurs procédures d</w:t>
      </w:r>
      <w:r w:rsidR="001D039F" w:rsidRPr="002548FF">
        <w:t>’</w:t>
      </w:r>
      <w:r w:rsidR="008E0BF9" w:rsidRPr="002548FF">
        <w:t>arbitra</w:t>
      </w:r>
      <w:r w:rsidR="001E5043" w:rsidRPr="002548FF">
        <w:t>ge</w:t>
      </w:r>
      <w:r w:rsidRPr="002548FF">
        <w:t xml:space="preserve">, de nombreuses parties ont </w:t>
      </w:r>
      <w:r w:rsidR="00301FC7" w:rsidRPr="002548FF">
        <w:t xml:space="preserve">eu </w:t>
      </w:r>
      <w:r w:rsidRPr="002548FF">
        <w:t>recours</w:t>
      </w:r>
      <w:r w:rsidR="001D039F" w:rsidRPr="002548FF">
        <w:t xml:space="preserve"> au WIP</w:t>
      </w:r>
      <w:r w:rsidR="00301FC7" w:rsidRPr="002548FF">
        <w:t>O</w:t>
      </w:r>
      <w:r w:rsidR="00567D37" w:rsidRPr="002548FF">
        <w:t> </w:t>
      </w:r>
      <w:r w:rsidR="00301FC7" w:rsidRPr="002548FF">
        <w:t>eADR, le</w:t>
      </w:r>
      <w:r w:rsidRPr="002548FF">
        <w:t xml:space="preserve"> système électronique amélioré d</w:t>
      </w:r>
      <w:r w:rsidR="001D039F" w:rsidRPr="002548FF">
        <w:t>’</w:t>
      </w:r>
      <w:r w:rsidRPr="002548FF">
        <w:t>administration des litiges de l</w:t>
      </w:r>
      <w:r w:rsidR="001D039F" w:rsidRPr="002548FF">
        <w:t>’</w:t>
      </w:r>
      <w:r w:rsidRPr="002548FF">
        <w:t>OMPI</w:t>
      </w:r>
      <w:r w:rsidRPr="002548FF">
        <w:rPr>
          <w:rStyle w:val="FootnoteReference"/>
        </w:rPr>
        <w:footnoteReference w:id="8"/>
      </w:r>
      <w:r w:rsidR="001E5043" w:rsidRPr="002548FF">
        <w:t>.  En</w:t>
      </w:r>
      <w:r w:rsidR="008E0BF9" w:rsidRPr="002548FF">
        <w:t xml:space="preserve"> outre, la </w:t>
      </w:r>
      <w:r w:rsidR="002C51BF" w:rsidRPr="002548FF">
        <w:t>plupart</w:t>
      </w:r>
      <w:r w:rsidR="008E0BF9" w:rsidRPr="002548FF">
        <w:t xml:space="preserve"> des audiences d</w:t>
      </w:r>
      <w:r w:rsidR="001D039F" w:rsidRPr="002548FF">
        <w:t>’</w:t>
      </w:r>
      <w:r w:rsidR="008E0BF9" w:rsidRPr="002548FF">
        <w:t>arbitrage</w:t>
      </w:r>
      <w:r w:rsidRPr="002548FF">
        <w:t xml:space="preserve"> et des réunions de médiation</w:t>
      </w:r>
      <w:r w:rsidR="008E0BF9" w:rsidRPr="002548FF">
        <w:t xml:space="preserve"> ont </w:t>
      </w:r>
      <w:r w:rsidR="00472921" w:rsidRPr="002548FF">
        <w:t>continué d</w:t>
      </w:r>
      <w:r w:rsidR="001D039F" w:rsidRPr="002548FF">
        <w:t>’</w:t>
      </w:r>
      <w:r w:rsidR="00472921" w:rsidRPr="002548FF">
        <w:t xml:space="preserve">être </w:t>
      </w:r>
      <w:r w:rsidR="008E0BF9" w:rsidRPr="002548FF">
        <w:t>menées à distance</w:t>
      </w:r>
      <w:r w:rsidR="00472921" w:rsidRPr="002548FF">
        <w:t xml:space="preserve"> ou selon un format hybride</w:t>
      </w:r>
      <w:r w:rsidR="008E0BF9" w:rsidRPr="002548FF">
        <w:t xml:space="preserve"> en utilisant les installations hébergées par l</w:t>
      </w:r>
      <w:r w:rsidR="001D039F" w:rsidRPr="002548FF">
        <w:t>’</w:t>
      </w:r>
      <w:r w:rsidR="008E0BF9" w:rsidRPr="002548FF">
        <w:t>OMPI</w:t>
      </w:r>
      <w:r w:rsidR="00ED7759" w:rsidRPr="002548FF">
        <w:rPr>
          <w:rStyle w:val="FootnoteReference"/>
        </w:rPr>
        <w:footnoteReference w:id="9"/>
      </w:r>
      <w:r w:rsidR="008E0BF9" w:rsidRPr="002548FF">
        <w:t>.</w:t>
      </w:r>
    </w:p>
    <w:p w14:paraId="4A3A74C7" w14:textId="3DA46A51" w:rsidR="00CE55B0" w:rsidRPr="002548FF" w:rsidRDefault="008E0BF9" w:rsidP="002548FF">
      <w:pPr>
        <w:pStyle w:val="ONUMFS"/>
      </w:pPr>
      <w:r w:rsidRPr="002548FF">
        <w:t>Le Centre fournit aussi des services sur mesure de règlement extrajudiciaire des litiges dans des secteurs particuliers</w:t>
      </w:r>
      <w:r w:rsidRPr="002548FF">
        <w:rPr>
          <w:rStyle w:val="FootnoteReference"/>
        </w:rPr>
        <w:footnoteReference w:id="10"/>
      </w:r>
      <w:r w:rsidRPr="002548FF">
        <w:t>.  L</w:t>
      </w:r>
      <w:r w:rsidR="001D039F" w:rsidRPr="002548FF">
        <w:t>’</w:t>
      </w:r>
      <w:r w:rsidRPr="002548FF">
        <w:t>un des services proposés concerne les litiges portant sur la concession de licences à des conditions</w:t>
      </w:r>
      <w:r w:rsidR="005723D0" w:rsidRPr="002548FF">
        <w:t> </w:t>
      </w:r>
      <w:r w:rsidRPr="002548FF">
        <w:t>FRAND pour les brevets essentiels à des normes</w:t>
      </w:r>
      <w:r w:rsidRPr="002548FF">
        <w:rPr>
          <w:rStyle w:val="FootnoteReference"/>
        </w:rPr>
        <w:footnoteReference w:id="11"/>
      </w:r>
      <w:r w:rsidRPr="002548FF">
        <w:t xml:space="preserve">.  </w:t>
      </w:r>
      <w:r w:rsidR="007328FC" w:rsidRPr="002548FF">
        <w:t>À ce jour</w:t>
      </w:r>
      <w:r w:rsidR="00472921" w:rsidRPr="002548FF">
        <w:t xml:space="preserve">, </w:t>
      </w:r>
      <w:r w:rsidR="007328FC" w:rsidRPr="002548FF">
        <w:t>l</w:t>
      </w:r>
      <w:r w:rsidR="00472921" w:rsidRPr="002548FF">
        <w:t>e Centr</w:t>
      </w:r>
      <w:r w:rsidR="007328FC" w:rsidRPr="002548FF">
        <w:t>e</w:t>
      </w:r>
      <w:r w:rsidR="00472921" w:rsidRPr="002548FF">
        <w:t xml:space="preserve"> a administ</w:t>
      </w:r>
      <w:r w:rsidR="007328FC" w:rsidRPr="002548FF">
        <w:t>ré quelque</w:t>
      </w:r>
      <w:r w:rsidR="00472921" w:rsidRPr="002548FF">
        <w:t xml:space="preserve"> 70</w:t>
      </w:r>
      <w:r w:rsidR="00567D37" w:rsidRPr="002548FF">
        <w:t> </w:t>
      </w:r>
      <w:r w:rsidR="007328FC" w:rsidRPr="002548FF">
        <w:t>médiations liées à des brevets essentiels à l</w:t>
      </w:r>
      <w:r w:rsidR="001D039F" w:rsidRPr="002548FF">
        <w:t>’</w:t>
      </w:r>
      <w:r w:rsidR="007328FC" w:rsidRPr="002548FF">
        <w:t>application d</w:t>
      </w:r>
      <w:r w:rsidR="001D039F" w:rsidRPr="002548FF">
        <w:t>’</w:t>
      </w:r>
      <w:r w:rsidR="007328FC" w:rsidRPr="002548FF">
        <w:t>une norme impliquant</w:t>
      </w:r>
      <w:r w:rsidR="001D039F" w:rsidRPr="002548FF">
        <w:t xml:space="preserve"> des PME</w:t>
      </w:r>
      <w:r w:rsidR="007328FC" w:rsidRPr="002548FF">
        <w:t>, des communautés de brevet et des grandes entreprises</w:t>
      </w:r>
      <w:r w:rsidR="00472921" w:rsidRPr="002548FF">
        <w:t xml:space="preserve">, </w:t>
      </w:r>
      <w:r w:rsidR="007328FC" w:rsidRPr="002548FF">
        <w:t>et dont les</w:t>
      </w:r>
      <w:r w:rsidR="00472921" w:rsidRPr="002548FF">
        <w:t xml:space="preserve"> parties </w:t>
      </w:r>
      <w:r w:rsidR="007328FC" w:rsidRPr="002548FF">
        <w:t>étaient issues de plus de</w:t>
      </w:r>
      <w:r w:rsidR="00472921" w:rsidRPr="002548FF">
        <w:t xml:space="preserve"> 20</w:t>
      </w:r>
      <w:r w:rsidR="00567D37" w:rsidRPr="002548FF">
        <w:t> </w:t>
      </w:r>
      <w:r w:rsidR="007328FC" w:rsidRPr="002548FF">
        <w:t>juridictio</w:t>
      </w:r>
      <w:r w:rsidR="00567D37" w:rsidRPr="002548FF">
        <w:t>ns.  Co</w:t>
      </w:r>
      <w:r w:rsidRPr="002548FF">
        <w:t xml:space="preserve">mpte tenu de </w:t>
      </w:r>
      <w:r w:rsidR="007328FC" w:rsidRPr="002548FF">
        <w:t xml:space="preserve">cette </w:t>
      </w:r>
      <w:r w:rsidRPr="002548FF">
        <w:t>augmentation du nombre de litiges, notamment de</w:t>
      </w:r>
      <w:r w:rsidR="00726F93" w:rsidRPr="002548FF">
        <w:t>s</w:t>
      </w:r>
      <w:r w:rsidRPr="002548FF">
        <w:t xml:space="preserve"> litiges en instance devant </w:t>
      </w:r>
      <w:r w:rsidR="00E670A8" w:rsidRPr="002548FF">
        <w:t>de nombreux</w:t>
      </w:r>
      <w:r w:rsidRPr="002548FF">
        <w:t xml:space="preserve"> tribunaux, le Centre a </w:t>
      </w:r>
      <w:r w:rsidR="00E670A8" w:rsidRPr="002548FF">
        <w:t xml:space="preserve">publié, </w:t>
      </w:r>
      <w:r w:rsidR="001D039F" w:rsidRPr="002548FF">
        <w:t>en 2022</w:t>
      </w:r>
      <w:r w:rsidR="00E670A8" w:rsidRPr="002548FF">
        <w:t>, un</w:t>
      </w:r>
      <w:r w:rsidR="00726F93" w:rsidRPr="002548FF">
        <w:t>e</w:t>
      </w:r>
      <w:r w:rsidR="00E670A8" w:rsidRPr="002548FF">
        <w:t xml:space="preserve"> version mise à jour de ses orientations afin de faciliter davantage le recours aux services de médiation et d</w:t>
      </w:r>
      <w:r w:rsidR="001D039F" w:rsidRPr="002548FF">
        <w:t>’</w:t>
      </w:r>
      <w:r w:rsidR="00E670A8" w:rsidRPr="002548FF">
        <w:t>arbitrage de l</w:t>
      </w:r>
      <w:r w:rsidR="001D039F" w:rsidRPr="002548FF">
        <w:t>’</w:t>
      </w:r>
      <w:r w:rsidR="00E670A8" w:rsidRPr="002548FF">
        <w:t>OMPI</w:t>
      </w:r>
      <w:r w:rsidR="002C51BF" w:rsidRPr="002548FF">
        <w:rPr>
          <w:vertAlign w:val="superscript"/>
        </w:rPr>
        <w:footnoteReference w:id="12"/>
      </w:r>
      <w:r w:rsidRPr="002548FF">
        <w:t>.</w:t>
      </w:r>
      <w:r w:rsidR="00E670A8" w:rsidRPr="002548FF">
        <w:t xml:space="preserve">  Au cours de la période considérée, l</w:t>
      </w:r>
      <w:r w:rsidR="001D039F" w:rsidRPr="002548FF">
        <w:t>’</w:t>
      </w:r>
      <w:r w:rsidR="00E670A8" w:rsidRPr="002548FF">
        <w:t>OMPI et l</w:t>
      </w:r>
      <w:r w:rsidR="001D039F" w:rsidRPr="002548FF">
        <w:t>’</w:t>
      </w:r>
      <w:r w:rsidR="00E670A8" w:rsidRPr="002548FF">
        <w:t>Office des brevets et des marques des États</w:t>
      </w:r>
      <w:r w:rsidR="005723D0" w:rsidRPr="002548FF">
        <w:noBreakHyphen/>
      </w:r>
      <w:r w:rsidR="00E670A8" w:rsidRPr="002548FF">
        <w:t>Unis d</w:t>
      </w:r>
      <w:r w:rsidR="001D039F" w:rsidRPr="002548FF">
        <w:t>’</w:t>
      </w:r>
      <w:r w:rsidR="00E670A8" w:rsidRPr="002548FF">
        <w:t>Amérique</w:t>
      </w:r>
      <w:r w:rsidR="005723D0" w:rsidRPr="002548FF">
        <w:t> </w:t>
      </w:r>
      <w:r w:rsidR="00E670A8" w:rsidRPr="002548FF">
        <w:t>(USPTO) ont accepté de s</w:t>
      </w:r>
      <w:r w:rsidR="001D039F" w:rsidRPr="002548FF">
        <w:t>’</w:t>
      </w:r>
      <w:r w:rsidR="00E670A8" w:rsidRPr="002548FF">
        <w:t>associer</w:t>
      </w:r>
      <w:r w:rsidR="00C73779" w:rsidRPr="002548FF">
        <w:t xml:space="preserve"> sur le plan de la sensibilisation des parties prenantes dans le but de faire mieux connaître les services de règlement extrajudiciaire des litiges proposés par l</w:t>
      </w:r>
      <w:r w:rsidR="001D039F" w:rsidRPr="002548FF">
        <w:t>’</w:t>
      </w:r>
      <w:r w:rsidR="00C73779" w:rsidRPr="002548FF">
        <w:t>OMPI</w:t>
      </w:r>
      <w:r w:rsidR="00E670A8" w:rsidRPr="002548FF">
        <w:t xml:space="preserve"> </w:t>
      </w:r>
      <w:r w:rsidR="00C73779" w:rsidRPr="002548FF">
        <w:t>dans le cadre des brevets essentiels à l</w:t>
      </w:r>
      <w:r w:rsidR="001D039F" w:rsidRPr="002548FF">
        <w:t>’</w:t>
      </w:r>
      <w:r w:rsidR="00C73779" w:rsidRPr="002548FF">
        <w:t>application d</w:t>
      </w:r>
      <w:r w:rsidR="001D039F" w:rsidRPr="002548FF">
        <w:t>’</w:t>
      </w:r>
      <w:r w:rsidR="00C73779" w:rsidRPr="002548FF">
        <w:t>une norme</w:t>
      </w:r>
      <w:r w:rsidR="00E670A8" w:rsidRPr="002548FF">
        <w:t>.</w:t>
      </w:r>
    </w:p>
    <w:p w14:paraId="0C4CFBEE" w14:textId="36E2CC5D" w:rsidR="001D039F" w:rsidRPr="002548FF" w:rsidRDefault="00C73779" w:rsidP="002548FF">
      <w:pPr>
        <w:pStyle w:val="ONUMFS"/>
      </w:pPr>
      <w:r w:rsidRPr="002548FF">
        <w:t xml:space="preserve">Le Centre administre régulièrement des </w:t>
      </w:r>
      <w:r w:rsidR="00B762CE" w:rsidRPr="002548FF">
        <w:t>procédures de médiation ou d</w:t>
      </w:r>
      <w:r w:rsidR="001D039F" w:rsidRPr="002548FF">
        <w:t>’</w:t>
      </w:r>
      <w:r w:rsidR="00B762CE" w:rsidRPr="002548FF">
        <w:t xml:space="preserve">arbitrage </w:t>
      </w:r>
      <w:r w:rsidRPr="002548FF">
        <w:t xml:space="preserve">dans </w:t>
      </w:r>
      <w:r w:rsidR="00B762CE" w:rsidRPr="002548FF">
        <w:t>le</w:t>
      </w:r>
      <w:r w:rsidR="00891FF7" w:rsidRPr="002548FF">
        <w:t xml:space="preserve"> domaine</w:t>
      </w:r>
      <w:r w:rsidR="00B762CE" w:rsidRPr="002548FF">
        <w:t xml:space="preserve"> des sciences de la v</w:t>
      </w:r>
      <w:r w:rsidR="001E5043" w:rsidRPr="002548FF">
        <w:t>ie</w:t>
      </w:r>
      <w:r w:rsidR="00891FF7" w:rsidRPr="002548FF">
        <w:t xml:space="preserve">, dont les parties </w:t>
      </w:r>
      <w:r w:rsidR="00726F93" w:rsidRPr="002548FF">
        <w:t>proviennent</w:t>
      </w:r>
      <w:r w:rsidR="00891FF7" w:rsidRPr="002548FF">
        <w:t xml:space="preserve"> de secteurs </w:t>
      </w:r>
      <w:r w:rsidR="00726F93" w:rsidRPr="002548FF">
        <w:t xml:space="preserve">divers </w:t>
      </w:r>
      <w:r w:rsidR="00891FF7" w:rsidRPr="002548FF">
        <w:t>tels que l</w:t>
      </w:r>
      <w:r w:rsidR="001D039F" w:rsidRPr="002548FF">
        <w:t>’</w:t>
      </w:r>
      <w:r w:rsidR="00891FF7" w:rsidRPr="002548FF">
        <w:t>industrie pharmaceutique, la biotechnologie, les entreprises de dispositifs médicaux et de diagnostic ainsi que les établissements de recherche</w:t>
      </w:r>
      <w:r w:rsidR="005723D0" w:rsidRPr="002548FF">
        <w:noBreakHyphen/>
      </w:r>
      <w:r w:rsidR="00891FF7" w:rsidRPr="002548FF">
        <w:t>développeme</w:t>
      </w:r>
      <w:r w:rsidR="00567D37" w:rsidRPr="002548FF">
        <w:t>nt.  Le</w:t>
      </w:r>
      <w:r w:rsidR="00891FF7" w:rsidRPr="002548FF">
        <w:t xml:space="preserve">s </w:t>
      </w:r>
      <w:r w:rsidR="00835155" w:rsidRPr="002548FF">
        <w:t>dossier</w:t>
      </w:r>
      <w:r w:rsidR="00891FF7" w:rsidRPr="002548FF">
        <w:t>s</w:t>
      </w:r>
      <w:r w:rsidR="00835155" w:rsidRPr="002548FF">
        <w:t xml:space="preserve"> traités</w:t>
      </w:r>
      <w:r w:rsidR="00891FF7" w:rsidRPr="002548FF">
        <w:t xml:space="preserve"> comprennent</w:t>
      </w:r>
      <w:r w:rsidR="00835155" w:rsidRPr="002548FF">
        <w:t xml:space="preserve"> des litiges en matière de brevets et de concession de licences à haute valeur commerciale dans l</w:t>
      </w:r>
      <w:r w:rsidR="001D039F" w:rsidRPr="002548FF">
        <w:t>’</w:t>
      </w:r>
      <w:r w:rsidR="00835155" w:rsidRPr="002548FF">
        <w:t>industrie pharmaceutique</w:t>
      </w:r>
      <w:r w:rsidR="00891FF7" w:rsidRPr="002548FF">
        <w:t xml:space="preserve">, </w:t>
      </w:r>
      <w:r w:rsidR="00835155" w:rsidRPr="002548FF">
        <w:t xml:space="preserve">qui, dernièrement, concernaient également </w:t>
      </w:r>
      <w:r w:rsidR="00726F93" w:rsidRPr="002548FF">
        <w:t>d</w:t>
      </w:r>
      <w:r w:rsidR="00835155" w:rsidRPr="002548FF">
        <w:t>es vaccins contre</w:t>
      </w:r>
      <w:r w:rsidR="001D039F" w:rsidRPr="002548FF">
        <w:t xml:space="preserve"> la COV</w:t>
      </w:r>
      <w:r w:rsidR="00891FF7" w:rsidRPr="002548FF">
        <w:t>ID</w:t>
      </w:r>
      <w:r w:rsidR="005723D0" w:rsidRPr="002548FF">
        <w:noBreakHyphen/>
      </w:r>
      <w:r w:rsidR="00891FF7" w:rsidRPr="002548FF">
        <w:t>19</w:t>
      </w:r>
      <w:r w:rsidR="0083165C" w:rsidRPr="002548FF">
        <w:rPr>
          <w:rStyle w:val="FootnoteReference"/>
        </w:rPr>
        <w:footnoteReference w:id="13"/>
      </w:r>
      <w:r w:rsidR="00835155" w:rsidRPr="002548FF">
        <w:t>.</w:t>
      </w:r>
      <w:r w:rsidR="00891FF7" w:rsidRPr="002548FF">
        <w:t xml:space="preserve"> </w:t>
      </w:r>
      <w:r w:rsidR="00835155" w:rsidRPr="002548FF">
        <w:t xml:space="preserve"> </w:t>
      </w:r>
      <w:r w:rsidR="001D039F" w:rsidRPr="002548FF">
        <w:t>En 2022</w:t>
      </w:r>
      <w:r w:rsidR="001778D8" w:rsidRPr="002548FF">
        <w:t>, dans le cadre des mesures prises par l</w:t>
      </w:r>
      <w:r w:rsidR="001D039F" w:rsidRPr="002548FF">
        <w:t>’</w:t>
      </w:r>
      <w:r w:rsidR="001778D8" w:rsidRPr="002548FF">
        <w:t>OMPI en réponse à</w:t>
      </w:r>
      <w:r w:rsidR="001D039F" w:rsidRPr="002548FF">
        <w:t xml:space="preserve"> la COV</w:t>
      </w:r>
      <w:r w:rsidR="001778D8" w:rsidRPr="002548FF">
        <w:t>ID</w:t>
      </w:r>
      <w:r w:rsidR="005723D0" w:rsidRPr="002548FF">
        <w:noBreakHyphen/>
      </w:r>
      <w:r w:rsidR="001778D8" w:rsidRPr="002548FF">
        <w:t>19,</w:t>
      </w:r>
      <w:r w:rsidR="00B762CE" w:rsidRPr="002548FF">
        <w:t xml:space="preserve"> le Centre a élaboré et </w:t>
      </w:r>
      <w:r w:rsidR="00FF631B" w:rsidRPr="002548FF">
        <w:t>publi</w:t>
      </w:r>
      <w:r w:rsidR="00B762CE" w:rsidRPr="002548FF">
        <w:t>é</w:t>
      </w:r>
      <w:r w:rsidR="00FF631B" w:rsidRPr="002548FF">
        <w:t xml:space="preserve"> le document sur les Modes extrajudiciaires de règlement des litiges proposés par l</w:t>
      </w:r>
      <w:r w:rsidR="001D039F" w:rsidRPr="002548FF">
        <w:t>’</w:t>
      </w:r>
      <w:r w:rsidR="00FF631B" w:rsidRPr="002548FF">
        <w:t>OMPI dans le domaine des sciences de la vie</w:t>
      </w:r>
      <w:r w:rsidR="00FF631B" w:rsidRPr="002548FF">
        <w:rPr>
          <w:rStyle w:val="FootnoteReference"/>
        </w:rPr>
        <w:footnoteReference w:id="14"/>
      </w:r>
      <w:r w:rsidR="00656B74" w:rsidRPr="002548FF">
        <w:t>, d</w:t>
      </w:r>
      <w:r w:rsidR="001D039F" w:rsidRPr="002548FF">
        <w:t>’</w:t>
      </w:r>
      <w:r w:rsidR="00656B74" w:rsidRPr="002548FF">
        <w:t xml:space="preserve">entente avec les principaux spécialistes internationaux du domaine des sciences de la </w:t>
      </w:r>
      <w:r w:rsidR="00656B74" w:rsidRPr="002548FF">
        <w:lastRenderedPageBreak/>
        <w:t>vie et d</w:t>
      </w:r>
      <w:r w:rsidR="00726F93" w:rsidRPr="002548FF">
        <w:t>u règlement</w:t>
      </w:r>
      <w:r w:rsidR="00656B74" w:rsidRPr="002548FF">
        <w:t xml:space="preserve"> extrajudiciaire des litig</w:t>
      </w:r>
      <w:r w:rsidR="00567D37" w:rsidRPr="002548FF">
        <w:t>es.  La</w:t>
      </w:r>
      <w:r w:rsidR="00FF631B" w:rsidRPr="002548FF">
        <w:t xml:space="preserve"> publication</w:t>
      </w:r>
      <w:r w:rsidR="0083165C" w:rsidRPr="002548FF">
        <w:t xml:space="preserve"> pr</w:t>
      </w:r>
      <w:r w:rsidR="00FF631B" w:rsidRPr="002548FF">
        <w:t>é</w:t>
      </w:r>
      <w:r w:rsidR="0083165C" w:rsidRPr="002548FF">
        <w:t>sent</w:t>
      </w:r>
      <w:r w:rsidR="00FF631B" w:rsidRPr="002548FF">
        <w:t>e de nouve</w:t>
      </w:r>
      <w:r w:rsidR="00726F93" w:rsidRPr="002548FF">
        <w:t>lles</w:t>
      </w:r>
      <w:r w:rsidR="00FF631B" w:rsidRPr="002548FF">
        <w:t xml:space="preserve"> </w:t>
      </w:r>
      <w:r w:rsidR="00726F93" w:rsidRPr="002548FF">
        <w:t xml:space="preserve">solutions </w:t>
      </w:r>
      <w:r w:rsidR="00FF631B" w:rsidRPr="002548FF">
        <w:t>de règlement extrajudiciaire des litiges proposé</w:t>
      </w:r>
      <w:r w:rsidR="00726F93" w:rsidRPr="002548FF">
        <w:t>e</w:t>
      </w:r>
      <w:r w:rsidR="00FF631B" w:rsidRPr="002548FF">
        <w:t>s par l</w:t>
      </w:r>
      <w:r w:rsidR="001D039F" w:rsidRPr="002548FF">
        <w:t>’</w:t>
      </w:r>
      <w:r w:rsidR="00FF631B" w:rsidRPr="002548FF">
        <w:t xml:space="preserve">OMPI et de nouvelles </w:t>
      </w:r>
      <w:r w:rsidR="0083165C" w:rsidRPr="002548FF">
        <w:t xml:space="preserve">clauses </w:t>
      </w:r>
      <w:r w:rsidR="00FF631B" w:rsidRPr="002548FF">
        <w:t>ad</w:t>
      </w:r>
      <w:r w:rsidR="00563191" w:rsidRPr="002548FF">
        <w:t> </w:t>
      </w:r>
      <w:r w:rsidR="00FF631B" w:rsidRPr="002548FF">
        <w:t xml:space="preserve">hoc </w:t>
      </w:r>
      <w:r w:rsidR="00726F93" w:rsidRPr="002548FF">
        <w:t>sur mesure pour</w:t>
      </w:r>
      <w:r w:rsidR="00FF631B" w:rsidRPr="002548FF">
        <w:t xml:space="preserve"> </w:t>
      </w:r>
      <w:r w:rsidR="00726F93" w:rsidRPr="002548FF">
        <w:t>les</w:t>
      </w:r>
      <w:r w:rsidR="00FF631B" w:rsidRPr="002548FF">
        <w:t xml:space="preserve"> litiges</w:t>
      </w:r>
      <w:r w:rsidR="00C66119" w:rsidRPr="002548FF">
        <w:t xml:space="preserve"> </w:t>
      </w:r>
      <w:r w:rsidR="00FF631B" w:rsidRPr="002548FF">
        <w:t>dans le domaine des sciences de la vie</w:t>
      </w:r>
      <w:r w:rsidR="0083165C" w:rsidRPr="002548FF">
        <w:t>, nota</w:t>
      </w:r>
      <w:r w:rsidR="00FF631B" w:rsidRPr="002548FF">
        <w:t>mment la médiation de l</w:t>
      </w:r>
      <w:r w:rsidR="001D039F" w:rsidRPr="002548FF">
        <w:t>’</w:t>
      </w:r>
      <w:r w:rsidR="00FF631B" w:rsidRPr="002548FF">
        <w:t>OMPI visant à faciliter</w:t>
      </w:r>
      <w:r w:rsidR="0083165C" w:rsidRPr="002548FF">
        <w:t xml:space="preserve"> </w:t>
      </w:r>
      <w:r w:rsidR="006F2D13" w:rsidRPr="002548FF">
        <w:t xml:space="preserve">la </w:t>
      </w:r>
      <w:r w:rsidR="0083165C" w:rsidRPr="002548FF">
        <w:t>n</w:t>
      </w:r>
      <w:r w:rsidR="006F2D13" w:rsidRPr="002548FF">
        <w:t>é</w:t>
      </w:r>
      <w:r w:rsidR="0083165C" w:rsidRPr="002548FF">
        <w:t>go</w:t>
      </w:r>
      <w:r w:rsidR="006F2D13" w:rsidRPr="002548FF">
        <w:t>c</w:t>
      </w:r>
      <w:r w:rsidR="0083165C" w:rsidRPr="002548FF">
        <w:t>ia</w:t>
      </w:r>
      <w:r w:rsidR="006F2D13" w:rsidRPr="002548FF">
        <w:t>t</w:t>
      </w:r>
      <w:r w:rsidR="0083165C" w:rsidRPr="002548FF">
        <w:t>ion</w:t>
      </w:r>
      <w:r w:rsidR="006F2D13" w:rsidRPr="002548FF">
        <w:t xml:space="preserve"> des litiges relatifs aux contrats</w:t>
      </w:r>
      <w:r w:rsidR="0083165C" w:rsidRPr="002548FF">
        <w:t xml:space="preserve"> </w:t>
      </w:r>
      <w:r w:rsidR="006F2D13" w:rsidRPr="002548FF">
        <w:t>(</w:t>
      </w:r>
      <w:r w:rsidR="00A04BC3" w:rsidRPr="002548FF">
        <w:t>médiation commerciale</w:t>
      </w:r>
      <w:r w:rsidR="0083165C" w:rsidRPr="002548FF">
        <w:t xml:space="preserve">), </w:t>
      </w:r>
      <w:r w:rsidR="006F2D13" w:rsidRPr="002548FF">
        <w:t>qui peut s</w:t>
      </w:r>
      <w:r w:rsidR="001D039F" w:rsidRPr="002548FF">
        <w:t>’</w:t>
      </w:r>
      <w:r w:rsidR="006F2D13" w:rsidRPr="002548FF">
        <w:t>avérer particulièrement utile dans le</w:t>
      </w:r>
      <w:r w:rsidR="0083165C" w:rsidRPr="002548FF">
        <w:t xml:space="preserve"> c</w:t>
      </w:r>
      <w:r w:rsidR="00A04BC3" w:rsidRPr="002548FF">
        <w:t>adre</w:t>
      </w:r>
      <w:r w:rsidR="006F2D13" w:rsidRPr="002548FF">
        <w:t xml:space="preserve"> de l</w:t>
      </w:r>
      <w:r w:rsidR="001D039F" w:rsidRPr="002548FF">
        <w:t>’</w:t>
      </w:r>
      <w:r w:rsidR="006F2D13" w:rsidRPr="002548FF">
        <w:t>innovation médicale et de la</w:t>
      </w:r>
      <w:r w:rsidR="0083165C" w:rsidRPr="002548FF">
        <w:t xml:space="preserve"> collaboration</w:t>
      </w:r>
      <w:r w:rsidR="006F2D13" w:rsidRPr="002548FF">
        <w:t xml:space="preserve"> entre </w:t>
      </w:r>
      <w:r w:rsidR="0083165C" w:rsidRPr="002548FF">
        <w:t>r</w:t>
      </w:r>
      <w:r w:rsidR="006F2D13" w:rsidRPr="002548FF">
        <w:t>é</w:t>
      </w:r>
      <w:r w:rsidR="0083165C" w:rsidRPr="002548FF">
        <w:t xml:space="preserve">gions </w:t>
      </w:r>
      <w:r w:rsidR="006F2D13" w:rsidRPr="002548FF">
        <w:t xml:space="preserve">et différents </w:t>
      </w:r>
      <w:r w:rsidR="0083165C" w:rsidRPr="002548FF">
        <w:t xml:space="preserve">types </w:t>
      </w:r>
      <w:r w:rsidR="006F2D13" w:rsidRPr="002548FF">
        <w:t>d</w:t>
      </w:r>
      <w:r w:rsidR="001D039F" w:rsidRPr="002548FF">
        <w:t>’</w:t>
      </w:r>
      <w:r w:rsidR="0083165C" w:rsidRPr="002548FF">
        <w:t>entit</w:t>
      </w:r>
      <w:r w:rsidR="006F2D13" w:rsidRPr="002548FF">
        <w:t>é</w:t>
      </w:r>
      <w:r w:rsidR="0083165C" w:rsidRPr="002548FF">
        <w:t>s</w:t>
      </w:r>
      <w:r w:rsidR="0083165C" w:rsidRPr="002548FF">
        <w:rPr>
          <w:rStyle w:val="FootnoteReference"/>
        </w:rPr>
        <w:footnoteReference w:id="15"/>
      </w:r>
      <w:r w:rsidR="00D0057E" w:rsidRPr="002548FF">
        <w:t>.</w:t>
      </w:r>
    </w:p>
    <w:p w14:paraId="4923BB40" w14:textId="1E5727C3" w:rsidR="00CE55B0" w:rsidRPr="002548FF" w:rsidRDefault="0076393B" w:rsidP="002548FF">
      <w:pPr>
        <w:pStyle w:val="ONUMFS"/>
      </w:pPr>
      <w:r w:rsidRPr="002548FF">
        <w:t xml:space="preserve">Le Centre a observé une augmentation significative du nombre de demandes </w:t>
      </w:r>
      <w:r w:rsidR="00C467FE" w:rsidRPr="002548FF">
        <w:t xml:space="preserve">concernant </w:t>
      </w:r>
      <w:r w:rsidRPr="002548FF">
        <w:t>de</w:t>
      </w:r>
      <w:r w:rsidR="00C467FE" w:rsidRPr="002548FF">
        <w:t>s</w:t>
      </w:r>
      <w:r w:rsidRPr="002548FF">
        <w:t xml:space="preserve"> litiges </w:t>
      </w:r>
      <w:r w:rsidR="00FA0CC3" w:rsidRPr="002548FF">
        <w:t xml:space="preserve">portant sur le </w:t>
      </w:r>
      <w:r w:rsidRPr="002548FF">
        <w:t>droit d</w:t>
      </w:r>
      <w:r w:rsidR="001D039F" w:rsidRPr="002548FF">
        <w:t>’</w:t>
      </w:r>
      <w:r w:rsidRPr="002548FF">
        <w:t>auteur durant l</w:t>
      </w:r>
      <w:r w:rsidR="001D039F" w:rsidRPr="002548FF">
        <w:t>’</w:t>
      </w:r>
      <w:r w:rsidRPr="002548FF">
        <w:t>année écoul</w:t>
      </w:r>
      <w:r w:rsidR="00567D37" w:rsidRPr="002548FF">
        <w:t>ée.  Ce</w:t>
      </w:r>
      <w:r w:rsidRPr="002548FF">
        <w:t xml:space="preserve">tte tendance </w:t>
      </w:r>
      <w:r w:rsidR="00C467FE" w:rsidRPr="002548FF">
        <w:t>e</w:t>
      </w:r>
      <w:r w:rsidRPr="002548FF">
        <w:t>s</w:t>
      </w:r>
      <w:r w:rsidR="00C467FE" w:rsidRPr="002548FF">
        <w:t>t notamment liée au fait que le Centre assure une coadministration des demandes</w:t>
      </w:r>
      <w:r w:rsidR="00FA0CC3" w:rsidRPr="002548FF">
        <w:t xml:space="preserve"> soumises</w:t>
      </w:r>
      <w:r w:rsidR="00C467FE" w:rsidRPr="002548FF">
        <w:t xml:space="preserve"> auprès de la Direction</w:t>
      </w:r>
      <w:r w:rsidRPr="002548FF">
        <w:t xml:space="preserve"> </w:t>
      </w:r>
      <w:r w:rsidR="00C467FE" w:rsidRPr="002548FF">
        <w:t>n</w:t>
      </w:r>
      <w:r w:rsidRPr="002548FF">
        <w:t>ational</w:t>
      </w:r>
      <w:r w:rsidR="00C467FE" w:rsidRPr="002548FF">
        <w:t>e du droit d</w:t>
      </w:r>
      <w:r w:rsidR="001D039F" w:rsidRPr="002548FF">
        <w:t>’</w:t>
      </w:r>
      <w:r w:rsidR="00C467FE" w:rsidRPr="002548FF">
        <w:t>auteur de</w:t>
      </w:r>
      <w:r w:rsidRPr="002548FF">
        <w:t xml:space="preserve"> Colombi</w:t>
      </w:r>
      <w:r w:rsidR="00C467FE" w:rsidRPr="002548FF">
        <w:t>e</w:t>
      </w:r>
      <w:r w:rsidR="005723D0" w:rsidRPr="002548FF">
        <w:t> </w:t>
      </w:r>
      <w:r w:rsidRPr="002548FF">
        <w:t xml:space="preserve">(DNDA) </w:t>
      </w:r>
      <w:r w:rsidR="001A34FC" w:rsidRPr="002548FF">
        <w:t>et de l</w:t>
      </w:r>
      <w:r w:rsidR="001D039F" w:rsidRPr="002548FF">
        <w:t>’</w:t>
      </w:r>
      <w:r w:rsidR="001A34FC" w:rsidRPr="002548FF">
        <w:t>Institut national du droit d</w:t>
      </w:r>
      <w:r w:rsidR="001D039F" w:rsidRPr="002548FF">
        <w:t>’</w:t>
      </w:r>
      <w:r w:rsidR="001A34FC" w:rsidRPr="002548FF">
        <w:t>auteur du</w:t>
      </w:r>
      <w:r w:rsidRPr="002548FF">
        <w:t xml:space="preserve"> </w:t>
      </w:r>
      <w:r w:rsidR="005723D0" w:rsidRPr="002548FF">
        <w:t>Mexique </w:t>
      </w:r>
      <w:r w:rsidRPr="002548FF">
        <w:t xml:space="preserve">(INDAUTOR). </w:t>
      </w:r>
      <w:r w:rsidR="007504E1" w:rsidRPr="002548FF">
        <w:t xml:space="preserve"> Au cours de la période considérée</w:t>
      </w:r>
      <w:r w:rsidRPr="002548FF">
        <w:t xml:space="preserve">, </w:t>
      </w:r>
      <w:r w:rsidR="007504E1" w:rsidRPr="002548FF">
        <w:t>l</w:t>
      </w:r>
      <w:r w:rsidRPr="002548FF">
        <w:t>e Cent</w:t>
      </w:r>
      <w:r w:rsidR="007504E1" w:rsidRPr="002548FF">
        <w:t>re a coadministré plus de</w:t>
      </w:r>
      <w:r w:rsidRPr="002548FF">
        <w:t xml:space="preserve"> 280</w:t>
      </w:r>
      <w:r w:rsidR="00567D37" w:rsidRPr="002548FF">
        <w:t> </w:t>
      </w:r>
      <w:r w:rsidR="007504E1" w:rsidRPr="002548FF">
        <w:t xml:space="preserve">litiges </w:t>
      </w:r>
      <w:r w:rsidR="00FA0CC3" w:rsidRPr="002548FF">
        <w:t xml:space="preserve">soumis </w:t>
      </w:r>
      <w:r w:rsidR="007504E1" w:rsidRPr="002548FF">
        <w:t>dans le cadre de ces deux</w:t>
      </w:r>
      <w:r w:rsidR="00563191" w:rsidRPr="002548FF">
        <w:t> </w:t>
      </w:r>
      <w:r w:rsidR="007504E1" w:rsidRPr="002548FF">
        <w:t>systèm</w:t>
      </w:r>
      <w:r w:rsidR="00567D37" w:rsidRPr="002548FF">
        <w:t>es.  Le</w:t>
      </w:r>
      <w:r w:rsidR="007504E1" w:rsidRPr="002548FF">
        <w:t xml:space="preserve"> recours aux modes de règlement extrajudiciaire des litiges</w:t>
      </w:r>
      <w:r w:rsidR="00FA0CC3" w:rsidRPr="002548FF">
        <w:t xml:space="preserve"> proposés par l</w:t>
      </w:r>
      <w:r w:rsidR="001D039F" w:rsidRPr="002548FF">
        <w:t>’</w:t>
      </w:r>
      <w:r w:rsidR="00FA0CC3" w:rsidRPr="002548FF">
        <w:t>OMPI</w:t>
      </w:r>
      <w:r w:rsidR="007504E1" w:rsidRPr="002548FF">
        <w:t xml:space="preserve"> </w:t>
      </w:r>
      <w:r w:rsidR="00FA0CC3" w:rsidRPr="002548FF">
        <w:t>dans le cadre de litiges relatifs au</w:t>
      </w:r>
      <w:r w:rsidR="007504E1" w:rsidRPr="002548FF">
        <w:t xml:space="preserve"> droit d</w:t>
      </w:r>
      <w:r w:rsidR="001D039F" w:rsidRPr="002548FF">
        <w:t>’</w:t>
      </w:r>
      <w:r w:rsidR="007504E1" w:rsidRPr="002548FF">
        <w:t>auteur dans l</w:t>
      </w:r>
      <w:r w:rsidR="001D039F" w:rsidRPr="002548FF">
        <w:t>’</w:t>
      </w:r>
      <w:r w:rsidR="007504E1" w:rsidRPr="002548FF">
        <w:t xml:space="preserve">environnement numérique </w:t>
      </w:r>
      <w:r w:rsidR="003A2951" w:rsidRPr="002548FF">
        <w:t xml:space="preserve">connaît </w:t>
      </w:r>
      <w:r w:rsidR="007504E1" w:rsidRPr="002548FF">
        <w:t>également une croissance rapi</w:t>
      </w:r>
      <w:r w:rsidR="00567D37" w:rsidRPr="002548FF">
        <w:t>de.  Ce</w:t>
      </w:r>
      <w:r w:rsidR="003A2951" w:rsidRPr="002548FF">
        <w:t>la concernait notamment des litiges</w:t>
      </w:r>
      <w:r w:rsidR="00FA0CC3" w:rsidRPr="002548FF">
        <w:t xml:space="preserve"> en lien avec</w:t>
      </w:r>
      <w:r w:rsidR="003A2951" w:rsidRPr="002548FF">
        <w:t xml:space="preserve"> les contenus audiovisuels, la musique, l</w:t>
      </w:r>
      <w:r w:rsidR="001D039F" w:rsidRPr="002548FF">
        <w:t>’</w:t>
      </w:r>
      <w:r w:rsidR="003A2951" w:rsidRPr="002548FF">
        <w:t>édition, les logiciels, les applications mobiles et les jeux vid</w:t>
      </w:r>
      <w:r w:rsidR="00567D37" w:rsidRPr="002548FF">
        <w:t>éo.  Le</w:t>
      </w:r>
      <w:r w:rsidR="003A2951" w:rsidRPr="002548FF">
        <w:t xml:space="preserve"> rapport d</w:t>
      </w:r>
      <w:r w:rsidR="001D039F" w:rsidRPr="002548FF">
        <w:t>’</w:t>
      </w:r>
      <w:r w:rsidR="003A2951" w:rsidRPr="002548FF">
        <w:t>enquête sur le recours aux mécanismes extrajudiciaires de règlement des litiges entre entreprises relatifs au droit d</w:t>
      </w:r>
      <w:r w:rsidR="001D039F" w:rsidRPr="002548FF">
        <w:t>’</w:t>
      </w:r>
      <w:r w:rsidR="003A2951" w:rsidRPr="002548FF">
        <w:t>auteur et au contenu numérique</w:t>
      </w:r>
      <w:r w:rsidR="00DA2A76" w:rsidRPr="002548FF">
        <w:rPr>
          <w:rStyle w:val="FootnoteReference"/>
        </w:rPr>
        <w:footnoteReference w:id="16"/>
      </w:r>
      <w:r w:rsidR="00DA2A76" w:rsidRPr="002548FF">
        <w:t xml:space="preserve"> </w:t>
      </w:r>
      <w:r w:rsidR="003A2951" w:rsidRPr="002548FF">
        <w:t>du Centre et du Ministère de la culture, des sports et du tourisme de la République de Corée</w:t>
      </w:r>
      <w:r w:rsidR="005723D0" w:rsidRPr="002548FF">
        <w:t> </w:t>
      </w:r>
      <w:r w:rsidR="003A2951" w:rsidRPr="002548FF">
        <w:t xml:space="preserve">(MCST) a permis de faire connaître les </w:t>
      </w:r>
      <w:r w:rsidR="00DA2A76" w:rsidRPr="002548FF">
        <w:t>efforts déployés par le Centre en ce qui concerne l</w:t>
      </w:r>
      <w:r w:rsidR="001D039F" w:rsidRPr="002548FF">
        <w:t>’</w:t>
      </w:r>
      <w:r w:rsidR="00DA2A76" w:rsidRPr="002548FF">
        <w:t>élaboration de pratiques recommandées de règlement extrajudiciaire des litiges relatifs au droit d</w:t>
      </w:r>
      <w:r w:rsidR="001D039F" w:rsidRPr="002548FF">
        <w:t>’</w:t>
      </w:r>
      <w:r w:rsidR="00DA2A76" w:rsidRPr="002548FF">
        <w:t>auteur et aux contenus numériques</w:t>
      </w:r>
      <w:r w:rsidR="003A2951" w:rsidRPr="002548FF">
        <w:t xml:space="preserve">, </w:t>
      </w:r>
      <w:r w:rsidR="00DA2A76" w:rsidRPr="002548FF">
        <w:t>en tenant compte de la législation pertinente et des pratiques contractuelles existant</w:t>
      </w:r>
      <w:r w:rsidR="00567D37" w:rsidRPr="002548FF">
        <w:t>es.  La</w:t>
      </w:r>
      <w:r w:rsidR="00DA2A76" w:rsidRPr="002548FF">
        <w:t xml:space="preserve"> démarche du Centre vise à promouvoir des mécanismes de règlement efficaces des litiges dans l</w:t>
      </w:r>
      <w:r w:rsidR="001D039F" w:rsidRPr="002548FF">
        <w:t>’</w:t>
      </w:r>
      <w:r w:rsidR="00DA2A76" w:rsidRPr="002548FF">
        <w:t>environnement numérique, qui s</w:t>
      </w:r>
      <w:r w:rsidR="001D039F" w:rsidRPr="002548FF">
        <w:t>’</w:t>
      </w:r>
      <w:r w:rsidR="00F2081D" w:rsidRPr="002548FF">
        <w:t>avèrent</w:t>
      </w:r>
      <w:r w:rsidR="00DA2A76" w:rsidRPr="002548FF">
        <w:t xml:space="preserve"> essentiels au maintien de l</w:t>
      </w:r>
      <w:r w:rsidR="001D039F" w:rsidRPr="002548FF">
        <w:t>’</w:t>
      </w:r>
      <w:r w:rsidR="00DA2A76" w:rsidRPr="002548FF">
        <w:t xml:space="preserve">intégrité des services </w:t>
      </w:r>
      <w:r w:rsidR="00A03230" w:rsidRPr="002548FF">
        <w:t>de partage des contenus en ligne</w:t>
      </w:r>
      <w:r w:rsidR="00DA2A76" w:rsidRPr="002548FF">
        <w:t xml:space="preserve"> </w:t>
      </w:r>
      <w:r w:rsidR="00A03230" w:rsidRPr="002548FF">
        <w:t xml:space="preserve">et à la protection des droits, tant </w:t>
      </w:r>
      <w:r w:rsidR="00F2081D" w:rsidRPr="002548FF">
        <w:t>pour l</w:t>
      </w:r>
      <w:r w:rsidR="00A03230" w:rsidRPr="002548FF">
        <w:t>es créateurs de contenus</w:t>
      </w:r>
      <w:r w:rsidR="00DA2A76" w:rsidRPr="002548FF">
        <w:t xml:space="preserve"> </w:t>
      </w:r>
      <w:r w:rsidR="00A03230" w:rsidRPr="002548FF">
        <w:t xml:space="preserve">que </w:t>
      </w:r>
      <w:r w:rsidR="00F2081D" w:rsidRPr="002548FF">
        <w:t>pour l</w:t>
      </w:r>
      <w:r w:rsidR="00DA2A76" w:rsidRPr="002548FF">
        <w:t>e</w:t>
      </w:r>
      <w:r w:rsidR="00A03230" w:rsidRPr="002548FF">
        <w:t>s utilisateurs</w:t>
      </w:r>
      <w:r w:rsidR="00E37547" w:rsidRPr="002548FF">
        <w:rPr>
          <w:vertAlign w:val="superscript"/>
        </w:rPr>
        <w:footnoteReference w:id="17"/>
      </w:r>
      <w:r w:rsidR="005278C4" w:rsidRPr="002548FF">
        <w:t>.</w:t>
      </w:r>
    </w:p>
    <w:p w14:paraId="7AD3693A" w14:textId="4CBDEE95" w:rsidR="008E0BF9" w:rsidRPr="001E5043" w:rsidRDefault="003B5CD9" w:rsidP="003B5CD9">
      <w:pPr>
        <w:pStyle w:val="Heading3"/>
      </w:pPr>
      <w:r w:rsidRPr="001E5043">
        <w:t>Collaboration avec les offices de propriété intellectuelle</w:t>
      </w:r>
      <w:r w:rsidR="00D0057E">
        <w:t xml:space="preserve"> et les tribunaux</w:t>
      </w:r>
    </w:p>
    <w:p w14:paraId="1B78D441" w14:textId="267BA9CE" w:rsidR="008E0BF9" w:rsidRPr="002548FF" w:rsidRDefault="008E0BF9" w:rsidP="002548FF">
      <w:pPr>
        <w:pStyle w:val="ONUMFS"/>
      </w:pPr>
      <w:r w:rsidRPr="002548FF">
        <w:t>Un autre domaine d</w:t>
      </w:r>
      <w:r w:rsidR="001D039F" w:rsidRPr="002548FF">
        <w:t>’</w:t>
      </w:r>
      <w:r w:rsidRPr="002548FF">
        <w:t xml:space="preserve">activité essentiel du Centre est la collaboration avec </w:t>
      </w:r>
      <w:r w:rsidR="00CD01C0" w:rsidRPr="002548FF">
        <w:t>l</w:t>
      </w:r>
      <w:r w:rsidRPr="002548FF">
        <w:t>es offices de propriété intellectuelle</w:t>
      </w:r>
      <w:r w:rsidR="00CD01C0" w:rsidRPr="002548FF">
        <w:t>,</w:t>
      </w:r>
      <w:r w:rsidRPr="002548FF">
        <w:t xml:space="preserve"> </w:t>
      </w:r>
      <w:r w:rsidR="00CD01C0" w:rsidRPr="002548FF">
        <w:t xml:space="preserve">les </w:t>
      </w:r>
      <w:r w:rsidRPr="002548FF">
        <w:t>bureaux du droit d</w:t>
      </w:r>
      <w:r w:rsidR="001D039F" w:rsidRPr="002548FF">
        <w:t>’</w:t>
      </w:r>
      <w:r w:rsidRPr="002548FF">
        <w:t xml:space="preserve">auteur et </w:t>
      </w:r>
      <w:r w:rsidR="00CD01C0" w:rsidRPr="002548FF">
        <w:t>l</w:t>
      </w:r>
      <w:r w:rsidRPr="002548FF">
        <w:t>es tribunaux</w:t>
      </w:r>
      <w:r w:rsidR="00CD01C0" w:rsidRPr="002548FF">
        <w:t>,</w:t>
      </w:r>
      <w:r w:rsidR="00D0057E" w:rsidRPr="002548FF">
        <w:t xml:space="preserve"> au niveau mondial</w:t>
      </w:r>
      <w:r w:rsidR="005278C4" w:rsidRPr="002548FF">
        <w:rPr>
          <w:rStyle w:val="FootnoteReference"/>
        </w:rPr>
        <w:footnoteReference w:id="18"/>
      </w:r>
      <w:r w:rsidRPr="002548FF">
        <w:t>.  Depuis les assemblées de 202</w:t>
      </w:r>
      <w:r w:rsidR="006411D4" w:rsidRPr="002548FF">
        <w:t>2</w:t>
      </w:r>
      <w:r w:rsidRPr="002548FF">
        <w:t xml:space="preserve">, le Centre a établi </w:t>
      </w:r>
      <w:r w:rsidR="00B31C67" w:rsidRPr="002548FF">
        <w:t xml:space="preserve">de </w:t>
      </w:r>
      <w:r w:rsidRPr="002548FF">
        <w:t>nouve</w:t>
      </w:r>
      <w:r w:rsidR="006411D4" w:rsidRPr="002548FF">
        <w:t>aux projets</w:t>
      </w:r>
      <w:r w:rsidRPr="002548FF">
        <w:t xml:space="preserve"> avec </w:t>
      </w:r>
      <w:r w:rsidR="006411D4" w:rsidRPr="002548FF">
        <w:t>14 </w:t>
      </w:r>
      <w:r w:rsidR="00B31C67" w:rsidRPr="002548FF">
        <w:t>administrations</w:t>
      </w:r>
      <w:r w:rsidR="006411D4" w:rsidRPr="002548FF">
        <w:t xml:space="preserve"> </w:t>
      </w:r>
      <w:r w:rsidR="006411D4" w:rsidRPr="002548FF">
        <w:lastRenderedPageBreak/>
        <w:t>et autorités judiciaires</w:t>
      </w:r>
      <w:r w:rsidRPr="002548FF">
        <w:t xml:space="preserve"> chargées de la propriété intellectuelle dans </w:t>
      </w:r>
      <w:r w:rsidR="00A110D8" w:rsidRPr="002548FF">
        <w:t xml:space="preserve">des </w:t>
      </w:r>
      <w:r w:rsidRPr="002548FF">
        <w:t>États membres</w:t>
      </w:r>
      <w:r w:rsidR="006411D4" w:rsidRPr="002548FF">
        <w:t xml:space="preserve"> afin de promouvoir et d</w:t>
      </w:r>
      <w:r w:rsidR="001D039F" w:rsidRPr="002548FF">
        <w:t>’</w:t>
      </w:r>
      <w:r w:rsidR="006411D4" w:rsidRPr="002548FF">
        <w:t>aider à mettre en place des procédures extrajudiciaires rapides et économiques de règlement des litiges de propriété intellectuelle et de technologie en dehors des tribunaux et autres organes juridictionnels</w:t>
      </w:r>
      <w:r w:rsidRPr="002548FF">
        <w:rPr>
          <w:rStyle w:val="FootnoteReference"/>
        </w:rPr>
        <w:footnoteReference w:id="19"/>
      </w:r>
      <w:r w:rsidR="001E5043" w:rsidRPr="002548FF">
        <w:t>.  Du</w:t>
      </w:r>
      <w:r w:rsidRPr="002548FF">
        <w:t>rant la période considérée, ce</w:t>
      </w:r>
      <w:r w:rsidR="00C43806" w:rsidRPr="002548FF">
        <w:t>la</w:t>
      </w:r>
      <w:r w:rsidR="00E229F2" w:rsidRPr="002548FF">
        <w:t xml:space="preserve"> </w:t>
      </w:r>
      <w:r w:rsidR="00C43806" w:rsidRPr="002548FF">
        <w:t>a</w:t>
      </w:r>
      <w:r w:rsidRPr="002548FF">
        <w:t xml:space="preserve"> consisté en l</w:t>
      </w:r>
      <w:r w:rsidR="001D039F" w:rsidRPr="002548FF">
        <w:t>’</w:t>
      </w:r>
      <w:r w:rsidRPr="002548FF">
        <w:t>élaboration de supports d</w:t>
      </w:r>
      <w:r w:rsidR="001D039F" w:rsidRPr="002548FF">
        <w:t>’</w:t>
      </w:r>
      <w:r w:rsidRPr="002548FF">
        <w:t xml:space="preserve">information par pays pour les parties intéressées concernant ces procédures, </w:t>
      </w:r>
      <w:r w:rsidR="00C43806" w:rsidRPr="002548FF">
        <w:t>tel</w:t>
      </w:r>
      <w:r w:rsidR="00567D37" w:rsidRPr="002548FF">
        <w:t>les</w:t>
      </w:r>
      <w:r w:rsidR="00C43806" w:rsidRPr="002548FF">
        <w:t xml:space="preserve"> que</w:t>
      </w:r>
      <w:r w:rsidRPr="002548FF">
        <w:t xml:space="preserve"> l</w:t>
      </w:r>
      <w:r w:rsidR="001D039F" w:rsidRPr="002548FF">
        <w:t>’</w:t>
      </w:r>
      <w:r w:rsidRPr="002548FF">
        <w:t>administration des litiges en ligne</w:t>
      </w:r>
      <w:r w:rsidR="00C43806" w:rsidRPr="002548FF">
        <w:t>, une assistance en matière de rédaction des clauses relatives au</w:t>
      </w:r>
      <w:r w:rsidR="002977D2" w:rsidRPr="002548FF">
        <w:t xml:space="preserve"> règlement</w:t>
      </w:r>
      <w:r w:rsidR="00C43806" w:rsidRPr="002548FF">
        <w:t xml:space="preserve"> extrajudiciaire des litiges en lien avec les contrats types de recherche</w:t>
      </w:r>
      <w:r w:rsidR="005723D0" w:rsidRPr="002548FF">
        <w:noBreakHyphen/>
      </w:r>
      <w:r w:rsidR="00C43806" w:rsidRPr="002548FF">
        <w:t>développement,</w:t>
      </w:r>
      <w:r w:rsidR="00E229F2" w:rsidRPr="002548FF">
        <w:t xml:space="preserve"> et</w:t>
      </w:r>
      <w:r w:rsidRPr="002548FF">
        <w:t xml:space="preserve"> des activités de formation et des manifestations conjointes </w:t>
      </w:r>
      <w:r w:rsidR="00E229F2" w:rsidRPr="002548FF">
        <w:t>à l</w:t>
      </w:r>
      <w:r w:rsidR="001D039F" w:rsidRPr="002548FF">
        <w:t>’</w:t>
      </w:r>
      <w:r w:rsidR="00E229F2" w:rsidRPr="002548FF">
        <w:t>intention de</w:t>
      </w:r>
      <w:r w:rsidRPr="002548FF">
        <w:t>s parties prenantes</w:t>
      </w:r>
      <w:r w:rsidR="00E229F2" w:rsidRPr="002548FF">
        <w:rPr>
          <w:rStyle w:val="FootnoteReference"/>
        </w:rPr>
        <w:footnoteReference w:id="20"/>
      </w:r>
      <w:r w:rsidRPr="002548FF">
        <w:t>.</w:t>
      </w:r>
    </w:p>
    <w:p w14:paraId="05737099" w14:textId="7473409A" w:rsidR="008E0BF9" w:rsidRPr="002548FF" w:rsidRDefault="008E0BF9" w:rsidP="002548FF">
      <w:pPr>
        <w:pStyle w:val="ONUMFS"/>
      </w:pPr>
      <w:r w:rsidRPr="002548FF">
        <w:t>Certains offices de propriété intellectuelle ont mis au point des procédures extrajudiciaires de règlement des litiges ou encouragent les parties à y recouri</w:t>
      </w:r>
      <w:r w:rsidR="00E229F2" w:rsidRPr="002548FF">
        <w:t>r</w:t>
      </w:r>
      <w:r w:rsidRPr="002548FF">
        <w:t xml:space="preserve"> dans le contexte des procédures en instance devant eux, notamment d</w:t>
      </w:r>
      <w:r w:rsidR="001D039F" w:rsidRPr="002548FF">
        <w:t>’</w:t>
      </w:r>
      <w:r w:rsidRPr="002548FF">
        <w:t>opposition à des marques ou à des breve</w:t>
      </w:r>
      <w:r w:rsidR="00567D37" w:rsidRPr="002548FF">
        <w:t>ts.  Le</w:t>
      </w:r>
      <w:r w:rsidRPr="002548FF">
        <w:t xml:space="preserve"> Centre a travaillé avec les offices pour élaborer des procédures de médiation à cet égard</w:t>
      </w:r>
      <w:r w:rsidR="00E229F2" w:rsidRPr="002548FF">
        <w:t xml:space="preserve"> et </w:t>
      </w:r>
      <w:r w:rsidRPr="002548FF">
        <w:t>a collaboré avec les offices de propriété intellectuelle aux fins de l</w:t>
      </w:r>
      <w:r w:rsidR="001D039F" w:rsidRPr="002548FF">
        <w:t>’</w:t>
      </w:r>
      <w:r w:rsidRPr="002548FF">
        <w:t xml:space="preserve">administration des litiges soumis par les parties en vertu de ces </w:t>
      </w:r>
      <w:r w:rsidR="00E229F2" w:rsidRPr="002548FF">
        <w:t>procédur</w:t>
      </w:r>
      <w:r w:rsidRPr="002548FF">
        <w:t>es</w:t>
      </w:r>
      <w:r w:rsidRPr="002548FF">
        <w:rPr>
          <w:rStyle w:val="FootnoteReference"/>
        </w:rPr>
        <w:footnoteReference w:id="21"/>
      </w:r>
      <w:r w:rsidRPr="002548FF">
        <w:t>.  Dans le domaine du droit d</w:t>
      </w:r>
      <w:r w:rsidR="001D039F" w:rsidRPr="002548FF">
        <w:t>’</w:t>
      </w:r>
      <w:r w:rsidRPr="002548FF">
        <w:t xml:space="preserve">auteur, certains offices </w:t>
      </w:r>
      <w:r w:rsidR="00021CFD" w:rsidRPr="002548FF">
        <w:t>font désormais appel au</w:t>
      </w:r>
      <w:r w:rsidRPr="002548FF">
        <w:t xml:space="preserve"> Centre </w:t>
      </w:r>
      <w:r w:rsidR="00021CFD" w:rsidRPr="002548FF">
        <w:t>en tant</w:t>
      </w:r>
      <w:r w:rsidRPr="002548FF">
        <w:t xml:space="preserve"> </w:t>
      </w:r>
      <w:r w:rsidR="00021CFD" w:rsidRPr="002548FF">
        <w:t>qu</w:t>
      </w:r>
      <w:r w:rsidR="001D039F" w:rsidRPr="002548FF">
        <w:t>’</w:t>
      </w:r>
      <w:r w:rsidRPr="002548FF">
        <w:t xml:space="preserve">institution </w:t>
      </w:r>
      <w:r w:rsidR="00CE6057" w:rsidRPr="002548FF">
        <w:t>chargée d</w:t>
      </w:r>
      <w:r w:rsidR="001D039F" w:rsidRPr="002548FF">
        <w:t>’</w:t>
      </w:r>
      <w:r w:rsidR="00CE6057" w:rsidRPr="002548FF">
        <w:t>administrer ou de coadministrer</w:t>
      </w:r>
      <w:r w:rsidRPr="002548FF">
        <w:t xml:space="preserve"> des litiges</w:t>
      </w:r>
      <w:r w:rsidR="00021CFD" w:rsidRPr="002548FF">
        <w:t xml:space="preserve"> en instance</w:t>
      </w:r>
      <w:r w:rsidR="00CE6057" w:rsidRPr="002548FF">
        <w:t xml:space="preserve"> impliquant des organisations de gestion collective ou d</w:t>
      </w:r>
      <w:r w:rsidR="001D039F" w:rsidRPr="002548FF">
        <w:t>’</w:t>
      </w:r>
      <w:r w:rsidR="00CE6057" w:rsidRPr="002548FF">
        <w:t xml:space="preserve">autres titulaires </w:t>
      </w:r>
      <w:r w:rsidR="009017CB" w:rsidRPr="002548FF">
        <w:t>du droit d</w:t>
      </w:r>
      <w:r w:rsidR="001D039F" w:rsidRPr="002548FF">
        <w:t>’</w:t>
      </w:r>
      <w:r w:rsidR="009017CB" w:rsidRPr="002548FF">
        <w:t>auteur et des utilisateurs</w:t>
      </w:r>
      <w:r w:rsidRPr="002548FF">
        <w:rPr>
          <w:rStyle w:val="FootnoteReference"/>
        </w:rPr>
        <w:footnoteReference w:id="22"/>
      </w:r>
      <w:r w:rsidRPr="002548FF">
        <w:t>.</w:t>
      </w:r>
    </w:p>
    <w:p w14:paraId="38B34CCA" w14:textId="0D97B12A" w:rsidR="008E0BF9" w:rsidRPr="002548FF" w:rsidRDefault="008E0BF9" w:rsidP="002548FF">
      <w:pPr>
        <w:pStyle w:val="ONUMFS"/>
      </w:pPr>
      <w:r w:rsidRPr="002548FF">
        <w:lastRenderedPageBreak/>
        <w:t>En outre, en collaboration avec des offices de propriété intellectuelle, le Centre a établi des contrats types de recherche</w:t>
      </w:r>
      <w:r w:rsidR="005723D0" w:rsidRPr="002548FF">
        <w:noBreakHyphen/>
      </w:r>
      <w:r w:rsidRPr="002548FF">
        <w:t>développement</w:t>
      </w:r>
      <w:r w:rsidR="001812DB" w:rsidRPr="002548FF">
        <w:t xml:space="preserve"> qui </w:t>
      </w:r>
      <w:r w:rsidRPr="002548FF">
        <w:t xml:space="preserve">comprennent </w:t>
      </w:r>
      <w:r w:rsidR="009017CB" w:rsidRPr="002548FF">
        <w:t xml:space="preserve">des </w:t>
      </w:r>
      <w:r w:rsidR="00AF1903" w:rsidRPr="002548FF">
        <w:t>procédures</w:t>
      </w:r>
      <w:r w:rsidR="009017CB" w:rsidRPr="002548FF">
        <w:t xml:space="preserve"> de </w:t>
      </w:r>
      <w:r w:rsidRPr="002548FF">
        <w:t xml:space="preserve">médiation </w:t>
      </w:r>
      <w:r w:rsidR="00147D6B" w:rsidRPr="002548FF">
        <w:t>et d</w:t>
      </w:r>
      <w:r w:rsidR="001D039F" w:rsidRPr="002548FF">
        <w:t>’</w:t>
      </w:r>
      <w:r w:rsidR="00147D6B" w:rsidRPr="002548FF">
        <w:t xml:space="preserve">arbitrage </w:t>
      </w:r>
      <w:r w:rsidRPr="002548FF">
        <w:t>de l</w:t>
      </w:r>
      <w:r w:rsidR="001D039F" w:rsidRPr="002548FF">
        <w:t>’</w:t>
      </w:r>
      <w:r w:rsidRPr="002548FF">
        <w:t>OMPI</w:t>
      </w:r>
      <w:r w:rsidRPr="002548FF">
        <w:rPr>
          <w:rStyle w:val="FootnoteReference"/>
        </w:rPr>
        <w:footnoteReference w:id="23"/>
      </w:r>
      <w:r w:rsidRPr="002548FF">
        <w:t>.</w:t>
      </w:r>
    </w:p>
    <w:p w14:paraId="5195A57E" w14:textId="4575DC82" w:rsidR="008E0BF9" w:rsidRPr="002548FF" w:rsidRDefault="00362FBE" w:rsidP="002548FF">
      <w:pPr>
        <w:pStyle w:val="ONUMFS"/>
      </w:pPr>
      <w:r w:rsidRPr="002548FF">
        <w:t>Le Centre collabore également avec un nombre croissant de tribunaux pour faciliter le renvoi à la médiation auprès de l</w:t>
      </w:r>
      <w:r w:rsidR="001D039F" w:rsidRPr="002548FF">
        <w:t>’</w:t>
      </w:r>
      <w:r w:rsidRPr="002548FF">
        <w:t xml:space="preserve">OMPI des litiges dans le cadre desquels les parties souhaitent étudier les possibilités de règlement amiable, </w:t>
      </w:r>
      <w:r w:rsidR="00C87641" w:rsidRPr="002548FF">
        <w:t>notamment des formations à destination des membres du corps judiciaire et des</w:t>
      </w:r>
      <w:r w:rsidRPr="002548FF">
        <w:t xml:space="preserve"> m</w:t>
      </w:r>
      <w:r w:rsidR="00C87641" w:rsidRPr="002548FF">
        <w:t>é</w:t>
      </w:r>
      <w:r w:rsidRPr="002548FF">
        <w:t>diat</w:t>
      </w:r>
      <w:r w:rsidR="00C87641" w:rsidRPr="002548FF">
        <w:t>eu</w:t>
      </w:r>
      <w:r w:rsidRPr="002548FF">
        <w:t>rs</w:t>
      </w:r>
      <w:r w:rsidRPr="002548FF">
        <w:rPr>
          <w:rStyle w:val="FootnoteReference"/>
        </w:rPr>
        <w:footnoteReference w:id="24"/>
      </w:r>
      <w:r w:rsidR="00C87641" w:rsidRPr="002548FF">
        <w:t>.  Pa</w:t>
      </w:r>
      <w:r w:rsidRPr="002548FF">
        <w:t>r ex</w:t>
      </w:r>
      <w:r w:rsidR="00C87641" w:rsidRPr="002548FF">
        <w:t>e</w:t>
      </w:r>
      <w:r w:rsidRPr="002548FF">
        <w:t>mple,</w:t>
      </w:r>
      <w:r w:rsidR="00C87641" w:rsidRPr="002548FF">
        <w:t xml:space="preserve"> dans le cadre de la collaboration entre la Cour populaire suprême de Chine et l</w:t>
      </w:r>
      <w:r w:rsidR="001D039F" w:rsidRPr="002548FF">
        <w:t>’</w:t>
      </w:r>
      <w:r w:rsidR="00C87641" w:rsidRPr="002548FF">
        <w:t>OMPI, la Cour et le</w:t>
      </w:r>
      <w:r w:rsidRPr="002548FF">
        <w:t xml:space="preserve"> Centr</w:t>
      </w:r>
      <w:r w:rsidR="00C87641" w:rsidRPr="002548FF">
        <w:t>e</w:t>
      </w:r>
      <w:r w:rsidRPr="002548FF">
        <w:t xml:space="preserve">, </w:t>
      </w:r>
      <w:r w:rsidR="00C87641" w:rsidRPr="002548FF">
        <w:t>en coordination avec le Bureau de l</w:t>
      </w:r>
      <w:r w:rsidR="001D039F" w:rsidRPr="002548FF">
        <w:t>’</w:t>
      </w:r>
      <w:r w:rsidR="00C87641" w:rsidRPr="002548FF">
        <w:t>OMPI en Chine, œuvrent de concert dans le domaine de la médiation pour favoriser le règlement de litiges internationaux de propriété intellectuelle et de technologie en Chine</w:t>
      </w:r>
      <w:r w:rsidR="008E0BF9" w:rsidRPr="002548FF">
        <w:rPr>
          <w:rStyle w:val="FootnoteReference"/>
        </w:rPr>
        <w:footnoteReference w:id="25"/>
      </w:r>
      <w:r w:rsidR="008E0BF9" w:rsidRPr="002548FF">
        <w:t>.</w:t>
      </w:r>
      <w:r w:rsidRPr="002548FF">
        <w:t xml:space="preserve"> </w:t>
      </w:r>
      <w:r w:rsidR="00C87641" w:rsidRPr="002548FF">
        <w:t xml:space="preserve"> À ce jour, plus de</w:t>
      </w:r>
      <w:r w:rsidRPr="002548FF">
        <w:t xml:space="preserve"> 60</w:t>
      </w:r>
      <w:r w:rsidR="00567D37" w:rsidRPr="002548FF">
        <w:t> </w:t>
      </w:r>
      <w:r w:rsidR="00C87641" w:rsidRPr="002548FF">
        <w:t xml:space="preserve">litiges internationaux de propriété intellectuelle en instance devant les tribunaux de </w:t>
      </w:r>
      <w:r w:rsidRPr="002548FF">
        <w:t>Shanghai</w:t>
      </w:r>
      <w:r w:rsidR="00C87641" w:rsidRPr="002548FF">
        <w:t xml:space="preserve"> et du</w:t>
      </w:r>
      <w:r w:rsidRPr="002548FF">
        <w:t xml:space="preserve"> Fujian </w:t>
      </w:r>
      <w:r w:rsidR="00C87641" w:rsidRPr="002548FF">
        <w:t>ont été soumis à l</w:t>
      </w:r>
      <w:r w:rsidR="001D039F" w:rsidRPr="002548FF">
        <w:t>’</w:t>
      </w:r>
      <w:r w:rsidR="00C87641" w:rsidRPr="002548FF">
        <w:t>arbitrage de l</w:t>
      </w:r>
      <w:r w:rsidR="001D039F" w:rsidRPr="002548FF">
        <w:t>’</w:t>
      </w:r>
      <w:r w:rsidR="00C87641" w:rsidRPr="002548FF">
        <w:t>OMPI et aux services de médiation</w:t>
      </w:r>
      <w:r w:rsidRPr="002548FF">
        <w:t xml:space="preserve"> </w:t>
      </w:r>
      <w:r w:rsidR="00C87641" w:rsidRPr="002548FF">
        <w:t xml:space="preserve">de </w:t>
      </w:r>
      <w:r w:rsidRPr="002548FF">
        <w:t xml:space="preserve">Shanghai, </w:t>
      </w:r>
      <w:r w:rsidR="00C87641" w:rsidRPr="002548FF">
        <w:t xml:space="preserve">notamment des litiges </w:t>
      </w:r>
      <w:r w:rsidR="00AF1903" w:rsidRPr="002548FF">
        <w:t>en lien avec les</w:t>
      </w:r>
      <w:r w:rsidR="00C87641" w:rsidRPr="002548FF">
        <w:t xml:space="preserve"> marques</w:t>
      </w:r>
      <w:r w:rsidRPr="002548FF">
        <w:t>,</w:t>
      </w:r>
      <w:r w:rsidR="00C87641" w:rsidRPr="002548FF">
        <w:t xml:space="preserve"> </w:t>
      </w:r>
      <w:r w:rsidR="00AF1903" w:rsidRPr="002548FF">
        <w:t>l</w:t>
      </w:r>
      <w:r w:rsidR="00C87641" w:rsidRPr="002548FF">
        <w:t>es brevets</w:t>
      </w:r>
      <w:r w:rsidRPr="002548FF">
        <w:t xml:space="preserve">, </w:t>
      </w:r>
      <w:r w:rsidR="006D0912" w:rsidRPr="002548FF">
        <w:t>le droit d</w:t>
      </w:r>
      <w:r w:rsidR="001D039F" w:rsidRPr="002548FF">
        <w:t>’</w:t>
      </w:r>
      <w:r w:rsidR="006D0912" w:rsidRPr="002548FF">
        <w:t>auteur</w:t>
      </w:r>
      <w:r w:rsidRPr="002548FF">
        <w:t>,</w:t>
      </w:r>
      <w:r w:rsidR="001D039F" w:rsidRPr="002548FF">
        <w:t xml:space="preserve"> les TIC</w:t>
      </w:r>
      <w:r w:rsidR="006D0912" w:rsidRPr="002548FF">
        <w:t xml:space="preserve"> ainsi que d</w:t>
      </w:r>
      <w:r w:rsidR="001D039F" w:rsidRPr="002548FF">
        <w:t>’</w:t>
      </w:r>
      <w:r w:rsidR="006D0912" w:rsidRPr="002548FF">
        <w:t xml:space="preserve">autres litiges à caractère </w:t>
      </w:r>
      <w:r w:rsidRPr="002548FF">
        <w:t>commercial,</w:t>
      </w:r>
      <w:r w:rsidR="005D7F46" w:rsidRPr="002548FF">
        <w:t xml:space="preserve"> et dont les parties étaient issues de</w:t>
      </w:r>
      <w:r w:rsidRPr="002548FF">
        <w:t xml:space="preserve"> 13</w:t>
      </w:r>
      <w:r w:rsidR="00567D37" w:rsidRPr="002548FF">
        <w:t> </w:t>
      </w:r>
      <w:r w:rsidRPr="002548FF">
        <w:t>juridictions</w:t>
      </w:r>
      <w:r w:rsidRPr="002548FF">
        <w:rPr>
          <w:rStyle w:val="FootnoteReference"/>
        </w:rPr>
        <w:footnoteReference w:id="26"/>
      </w:r>
      <w:r w:rsidRPr="002548FF">
        <w:t xml:space="preserve">.  </w:t>
      </w:r>
      <w:r w:rsidR="001D039F" w:rsidRPr="002548FF">
        <w:t>Depuis 2023</w:t>
      </w:r>
      <w:r w:rsidRPr="002548FF">
        <w:t xml:space="preserve">, </w:t>
      </w:r>
      <w:r w:rsidR="005D7F46" w:rsidRPr="002548FF">
        <w:t xml:space="preserve">le </w:t>
      </w:r>
      <w:r w:rsidRPr="002548FF">
        <w:t>Cent</w:t>
      </w:r>
      <w:r w:rsidR="005D7F46" w:rsidRPr="002548FF">
        <w:t>re collabore également avec le</w:t>
      </w:r>
      <w:r w:rsidRPr="002548FF">
        <w:t xml:space="preserve"> Tribunal judiciaire de Paris </w:t>
      </w:r>
      <w:r w:rsidR="005D7F46" w:rsidRPr="002548FF">
        <w:t>afin de simplifier le recours à la médiation de l</w:t>
      </w:r>
      <w:r w:rsidR="001D039F" w:rsidRPr="002548FF">
        <w:t>’</w:t>
      </w:r>
      <w:r w:rsidR="005D7F46" w:rsidRPr="002548FF">
        <w:t>OMPI si un litige en instance devant un tribunal s</w:t>
      </w:r>
      <w:r w:rsidR="001D039F" w:rsidRPr="002548FF">
        <w:t>’</w:t>
      </w:r>
      <w:r w:rsidR="005D7F46" w:rsidRPr="002548FF">
        <w:t>y prête</w:t>
      </w:r>
      <w:r w:rsidRPr="002548FF">
        <w:t xml:space="preserve">, </w:t>
      </w:r>
      <w:r w:rsidR="005D7F46" w:rsidRPr="002548FF">
        <w:t xml:space="preserve">et a administré les premiers litiges soumis </w:t>
      </w:r>
      <w:r w:rsidR="00323BC9" w:rsidRPr="002548FF">
        <w:t>dans le cadre de</w:t>
      </w:r>
      <w:r w:rsidR="005D7F46" w:rsidRPr="002548FF">
        <w:t xml:space="preserve"> cette procédure</w:t>
      </w:r>
      <w:r w:rsidRPr="002548FF">
        <w:t>.</w:t>
      </w:r>
    </w:p>
    <w:p w14:paraId="74FAB0E1" w14:textId="7EDD16AF" w:rsidR="008E0BF9" w:rsidRPr="001E5043" w:rsidRDefault="00DD5F8C" w:rsidP="002548FF">
      <w:pPr>
        <w:pStyle w:val="ONUMFS"/>
        <w:rPr>
          <w:lang w:val="fr-FR"/>
        </w:rPr>
      </w:pPr>
      <w:r w:rsidRPr="002548FF">
        <w:t>Reflétant la portée et la nature croissantes</w:t>
      </w:r>
      <w:r w:rsidR="005D7F46" w:rsidRPr="002548FF">
        <w:t xml:space="preserve"> de ces efforts de collaboration</w:t>
      </w:r>
      <w:r w:rsidR="008E0BF9" w:rsidRPr="002548FF">
        <w:t xml:space="preserve">, </w:t>
      </w:r>
      <w:r w:rsidR="009017CB" w:rsidRPr="002548FF">
        <w:t>le Centre a publié</w:t>
      </w:r>
      <w:r w:rsidR="001C425A" w:rsidRPr="002548FF">
        <w:t xml:space="preserve"> </w:t>
      </w:r>
      <w:r w:rsidR="001D039F" w:rsidRPr="002548FF">
        <w:t>en 2022</w:t>
      </w:r>
      <w:r w:rsidR="009017CB" w:rsidRPr="002548FF">
        <w:t xml:space="preserve"> une </w:t>
      </w:r>
      <w:r w:rsidR="008E0BF9" w:rsidRPr="002548FF">
        <w:t>version actualisée du Guide de l</w:t>
      </w:r>
      <w:r w:rsidR="001D039F" w:rsidRPr="002548FF">
        <w:t>’</w:t>
      </w:r>
      <w:r w:rsidR="008E0BF9" w:rsidRPr="002548FF">
        <w:t>OMPI sur les modes extrajudiciaires de règlement des litiges à destination des offices de propriété intellectuelle et des tribuna</w:t>
      </w:r>
      <w:r w:rsidR="001E5043" w:rsidRPr="002548FF">
        <w:t>ux</w:t>
      </w:r>
      <w:r w:rsidR="001C425A" w:rsidRPr="002548FF">
        <w:rPr>
          <w:rStyle w:val="FootnoteReference"/>
        </w:rPr>
        <w:footnoteReference w:id="27"/>
      </w:r>
      <w:r w:rsidR="001C425A" w:rsidRPr="002548FF">
        <w:t>.</w:t>
      </w:r>
      <w:r w:rsidR="001E5043" w:rsidRPr="002548FF">
        <w:t xml:space="preserve">  Ce</w:t>
      </w:r>
      <w:r w:rsidR="009017CB" w:rsidRPr="002548FF">
        <w:t>tte</w:t>
      </w:r>
      <w:r w:rsidR="001C425A" w:rsidRPr="002548FF">
        <w:t xml:space="preserve"> dernière</w:t>
      </w:r>
      <w:r w:rsidR="009017CB" w:rsidRPr="002548FF">
        <w:t> édition</w:t>
      </w:r>
      <w:r w:rsidR="008E0BF9" w:rsidRPr="002548FF">
        <w:t xml:space="preserve"> </w:t>
      </w:r>
      <w:r w:rsidRPr="002548FF">
        <w:t>met en lumière l</w:t>
      </w:r>
      <w:r w:rsidR="001C425A" w:rsidRPr="002548FF">
        <w:t>es programmes publics de règlement extrajudiciaire des litiges sur mesure élaborés en collaboration avec le Centre</w:t>
      </w:r>
      <w:r w:rsidR="00323BC9" w:rsidRPr="002548FF">
        <w:t>,</w:t>
      </w:r>
      <w:r w:rsidR="001C425A" w:rsidRPr="002548FF">
        <w:t xml:space="preserve"> qui comportent des éléments novateurs tels que des systèmes d</w:t>
      </w:r>
      <w:r w:rsidR="001D039F" w:rsidRPr="002548FF">
        <w:t>’</w:t>
      </w:r>
      <w:r w:rsidR="001C425A" w:rsidRPr="002548FF">
        <w:t>administration et de coadministration</w:t>
      </w:r>
      <w:r w:rsidRPr="002548FF">
        <w:t>, des outils d</w:t>
      </w:r>
      <w:r w:rsidR="001D039F" w:rsidRPr="002548FF">
        <w:t>’</w:t>
      </w:r>
      <w:r w:rsidRPr="002548FF">
        <w:t>administration en ligne des litiges, des formations et des activités de sensibilisation, ainsi que des accords types de recherche</w:t>
      </w:r>
      <w:r w:rsidR="005723D0" w:rsidRPr="002548FF">
        <w:noBreakHyphen/>
      </w:r>
      <w:r w:rsidRPr="002548FF">
        <w:t>développement comprenant des clauses de règlement extrajudiciaire des litig</w:t>
      </w:r>
      <w:r w:rsidR="00567D37" w:rsidRPr="002548FF">
        <w:t>es.  Le</w:t>
      </w:r>
      <w:r w:rsidR="001C425A" w:rsidRPr="002548FF">
        <w:t xml:space="preserve"> </w:t>
      </w:r>
      <w:r w:rsidRPr="002548FF">
        <w:t>g</w:t>
      </w:r>
      <w:r w:rsidR="001C425A" w:rsidRPr="002548FF">
        <w:t>uide</w:t>
      </w:r>
      <w:r w:rsidR="00427008" w:rsidRPr="002548FF">
        <w:t xml:space="preserve"> donne</w:t>
      </w:r>
      <w:r w:rsidRPr="002548FF">
        <w:t xml:space="preserve"> également </w:t>
      </w:r>
      <w:r w:rsidR="00427008" w:rsidRPr="002548FF">
        <w:t>un aperçu d</w:t>
      </w:r>
      <w:r w:rsidRPr="002548FF">
        <w:t>es</w:t>
      </w:r>
      <w:r w:rsidR="00427008" w:rsidRPr="002548FF">
        <w:t xml:space="preserve"> solutions</w:t>
      </w:r>
      <w:r w:rsidR="001C425A" w:rsidRPr="002548FF">
        <w:t xml:space="preserve"> </w:t>
      </w:r>
      <w:r w:rsidRPr="002548FF">
        <w:t xml:space="preserve">à disposition des offices de propriété intellectuelle et des tribunaux qui souhaitent intégrer des modes </w:t>
      </w:r>
      <w:r w:rsidR="00427008" w:rsidRPr="002548FF">
        <w:t>extrajudiciaires de règlement des litiges</w:t>
      </w:r>
      <w:r w:rsidR="001C425A" w:rsidRPr="002548FF">
        <w:t>, e</w:t>
      </w:r>
      <w:r w:rsidR="00427008" w:rsidRPr="002548FF">
        <w:t xml:space="preserve">n particulier la </w:t>
      </w:r>
      <w:r w:rsidR="001C425A" w:rsidRPr="002548FF">
        <w:t>m</w:t>
      </w:r>
      <w:r w:rsidR="00427008" w:rsidRPr="002548FF">
        <w:t>é</w:t>
      </w:r>
      <w:r w:rsidR="001C425A" w:rsidRPr="002548FF">
        <w:t xml:space="preserve">diation, </w:t>
      </w:r>
      <w:r w:rsidR="00427008" w:rsidRPr="002548FF">
        <w:t>dans leurs procédures</w:t>
      </w:r>
      <w:r w:rsidR="008E0BF9" w:rsidRPr="002548FF">
        <w:t>.</w:t>
      </w:r>
    </w:p>
    <w:p w14:paraId="5060AD56" w14:textId="09334BB3" w:rsidR="008E0BF9" w:rsidRPr="001E5043" w:rsidRDefault="003B5CD9" w:rsidP="003B5CD9">
      <w:pPr>
        <w:pStyle w:val="Heading3"/>
      </w:pPr>
      <w:r w:rsidRPr="001E5043">
        <w:t>Sources d</w:t>
      </w:r>
      <w:r w:rsidR="001D039F">
        <w:t>’</w:t>
      </w:r>
      <w:r w:rsidRPr="001E5043">
        <w:t>information sur le règlement extrajudiciaire des litiges</w:t>
      </w:r>
    </w:p>
    <w:p w14:paraId="27E690FD" w14:textId="1DDBC685" w:rsidR="00CE55B0" w:rsidRPr="002548FF" w:rsidRDefault="008E0BF9" w:rsidP="002548FF">
      <w:pPr>
        <w:pStyle w:val="ONUMFS"/>
      </w:pPr>
      <w:r w:rsidRPr="002548FF">
        <w:t>Au cours de la période considérée, pour répondre à la demande croissante de ressources et de formations en ligne sur le règlement extrajudiciaire des litiges, le Centre a continué d</w:t>
      </w:r>
      <w:r w:rsidR="001D039F" w:rsidRPr="002548FF">
        <w:t>’</w:t>
      </w:r>
      <w:r w:rsidRPr="002548FF">
        <w:t>utiliser les canaux de diffusion existants, tels que son bulletin d</w:t>
      </w:r>
      <w:r w:rsidR="001D039F" w:rsidRPr="002548FF">
        <w:t>’</w:t>
      </w:r>
      <w:r w:rsidRPr="002548FF">
        <w:t xml:space="preserve">information </w:t>
      </w:r>
      <w:r w:rsidRPr="002548FF">
        <w:lastRenderedPageBreak/>
        <w:t>WIPO</w:t>
      </w:r>
      <w:r w:rsidR="002347BC" w:rsidRPr="002548FF">
        <w:t> </w:t>
      </w:r>
      <w:r w:rsidRPr="002548FF">
        <w:t>ADR</w:t>
      </w:r>
      <w:r w:rsidR="002347BC" w:rsidRPr="002548FF">
        <w:t> </w:t>
      </w:r>
      <w:r w:rsidRPr="002548FF">
        <w:t xml:space="preserve">Highlights </w:t>
      </w:r>
      <w:r w:rsidR="0032750C" w:rsidRPr="002548FF">
        <w:t xml:space="preserve">et la </w:t>
      </w:r>
      <w:r w:rsidR="00CE55B0" w:rsidRPr="002548FF">
        <w:t>page L</w:t>
      </w:r>
      <w:r w:rsidR="0032750C" w:rsidRPr="002548FF">
        <w:t>inkedIn du Centre</w:t>
      </w:r>
      <w:r w:rsidR="00427008" w:rsidRPr="002548FF">
        <w:rPr>
          <w:rStyle w:val="FootnoteReference"/>
        </w:rPr>
        <w:footnoteReference w:id="28"/>
      </w:r>
      <w:r w:rsidR="0032750C" w:rsidRPr="002548FF">
        <w:t xml:space="preserve">, </w:t>
      </w:r>
      <w:r w:rsidRPr="002548FF">
        <w:t>tout en développant ou en ouvrant d</w:t>
      </w:r>
      <w:r w:rsidR="001D039F" w:rsidRPr="002548FF">
        <w:t>’</w:t>
      </w:r>
      <w:r w:rsidR="00C5415F" w:rsidRPr="002548FF">
        <w:t>autres</w:t>
      </w:r>
      <w:r w:rsidRPr="002548FF">
        <w:t xml:space="preserve"> </w:t>
      </w:r>
      <w:r w:rsidR="00427008" w:rsidRPr="002548FF">
        <w:t xml:space="preserve">médias </w:t>
      </w:r>
      <w:r w:rsidRPr="002548FF">
        <w:t xml:space="preserve">sociaux </w:t>
      </w:r>
      <w:r w:rsidR="00427008" w:rsidRPr="002548FF">
        <w:t xml:space="preserve">et </w:t>
      </w:r>
      <w:r w:rsidR="005431D9" w:rsidRPr="002548FF">
        <w:t>voies de communication</w:t>
      </w:r>
      <w:r w:rsidR="00427008" w:rsidRPr="002548FF">
        <w:t xml:space="preserve"> en ligne</w:t>
      </w:r>
      <w:r w:rsidRPr="002548FF">
        <w:t xml:space="preserve"> pour les utilisateurs existants ou potentiels des services de règlement extrajudiciaire des litiges de l</w:t>
      </w:r>
      <w:r w:rsidR="001D039F" w:rsidRPr="002548FF">
        <w:t>’</w:t>
      </w:r>
      <w:r w:rsidRPr="002548FF">
        <w:t>O</w:t>
      </w:r>
      <w:r w:rsidR="001E5043" w:rsidRPr="002548FF">
        <w:t>MPI</w:t>
      </w:r>
      <w:r w:rsidR="00427008" w:rsidRPr="002548FF">
        <w:rPr>
          <w:rStyle w:val="FootnoteReference"/>
        </w:rPr>
        <w:footnoteReference w:id="29"/>
      </w:r>
      <w:r w:rsidR="001E5043" w:rsidRPr="002548FF">
        <w:t>.  Pa</w:t>
      </w:r>
      <w:r w:rsidR="0032750C" w:rsidRPr="002548FF">
        <w:t>r exemple, WIPO</w:t>
      </w:r>
      <w:r w:rsidR="002347BC" w:rsidRPr="002548FF">
        <w:t> </w:t>
      </w:r>
      <w:r w:rsidR="0032750C" w:rsidRPr="002548FF">
        <w:t>ADR</w:t>
      </w:r>
      <w:r w:rsidR="002347BC" w:rsidRPr="002548FF">
        <w:t> </w:t>
      </w:r>
      <w:r w:rsidR="0032750C" w:rsidRPr="002548FF">
        <w:t>Young</w:t>
      </w:r>
      <w:r w:rsidR="005431D9" w:rsidRPr="002548FF">
        <w:t>,</w:t>
      </w:r>
      <w:r w:rsidR="0032750C" w:rsidRPr="002548FF">
        <w:t xml:space="preserve"> </w:t>
      </w:r>
      <w:r w:rsidR="005431D9" w:rsidRPr="002548FF">
        <w:t xml:space="preserve">lancée en 2021, </w:t>
      </w:r>
      <w:r w:rsidR="0032750C" w:rsidRPr="002548FF">
        <w:t>est une plateforme de mise en réseau et de formation destinée aux jeunes cadres des communautés de la propriété intellectuelle et du règlement des litig</w:t>
      </w:r>
      <w:r w:rsidR="001E5043" w:rsidRPr="002548FF">
        <w:t>es</w:t>
      </w:r>
      <w:r w:rsidR="005431D9" w:rsidRPr="002548FF">
        <w:t>, qui, à</w:t>
      </w:r>
      <w:r w:rsidR="001E5043" w:rsidRPr="002548FF">
        <w:t xml:space="preserve"> </w:t>
      </w:r>
      <w:r w:rsidR="0032750C" w:rsidRPr="002548FF">
        <w:t>ce jour, a attiré</w:t>
      </w:r>
      <w:r w:rsidR="005431D9" w:rsidRPr="002548FF">
        <w:t xml:space="preserve"> près</w:t>
      </w:r>
      <w:r w:rsidR="0032750C" w:rsidRPr="002548FF">
        <w:t xml:space="preserve"> de </w:t>
      </w:r>
      <w:r w:rsidR="005431D9" w:rsidRPr="002548FF">
        <w:t>98</w:t>
      </w:r>
      <w:r w:rsidR="0032750C" w:rsidRPr="002548FF">
        <w:t>0 membres de</w:t>
      </w:r>
      <w:r w:rsidR="005431D9" w:rsidRPr="002548FF">
        <w:t xml:space="preserve"> plus de</w:t>
      </w:r>
      <w:r w:rsidR="0032750C" w:rsidRPr="002548FF">
        <w:t xml:space="preserve"> </w:t>
      </w:r>
      <w:r w:rsidR="005431D9" w:rsidRPr="002548FF">
        <w:t>95</w:t>
      </w:r>
      <w:r w:rsidR="0032750C" w:rsidRPr="002548FF">
        <w:t> pays</w:t>
      </w:r>
      <w:r w:rsidR="0032750C" w:rsidRPr="0004064B">
        <w:rPr>
          <w:vertAlign w:val="superscript"/>
        </w:rPr>
        <w:footnoteReference w:id="30"/>
      </w:r>
      <w:r w:rsidR="0032750C" w:rsidRPr="002548FF">
        <w:t>.</w:t>
      </w:r>
      <w:r w:rsidR="005431D9" w:rsidRPr="002548FF">
        <w:t xml:space="preserve">  Le Centre a également organisé des activités et pris part à des manifestations dans le cadre de la Journée mondiale de la propriété intellectuelle.</w:t>
      </w:r>
    </w:p>
    <w:p w14:paraId="5354FE18" w14:textId="09CAC003" w:rsidR="00CE55B0" w:rsidRPr="002548FF" w:rsidRDefault="008E0BF9" w:rsidP="002548FF">
      <w:pPr>
        <w:pStyle w:val="ONUMFS"/>
      </w:pPr>
      <w:r w:rsidRPr="002548FF">
        <w:t>La page LinkedIn du Centre</w:t>
      </w:r>
      <w:r w:rsidR="00707556" w:rsidRPr="002548FF">
        <w:t>, qui compte actuellement plus de 15</w:t>
      </w:r>
      <w:r w:rsidR="00567D37" w:rsidRPr="002548FF">
        <w:t> </w:t>
      </w:r>
      <w:r w:rsidR="00707556" w:rsidRPr="002548FF">
        <w:t>500 abonnés,</w:t>
      </w:r>
      <w:r w:rsidRPr="002548FF">
        <w:t xml:space="preserve"> sert de plateforme à la communauté de la propriété intellectuelle, de la technologie et du règlement extrajudiciaire des litiges pour se tenir au courant des faits nouveaux, des événements et des publications de l</w:t>
      </w:r>
      <w:r w:rsidR="001D039F" w:rsidRPr="002548FF">
        <w:t>’</w:t>
      </w:r>
      <w:r w:rsidRPr="002548FF">
        <w:t>OMPI dans le domaine du règlement extrajudiciaire des litiges</w:t>
      </w:r>
      <w:r w:rsidRPr="0004064B">
        <w:rPr>
          <w:rStyle w:val="FootnoteReference"/>
        </w:rPr>
        <w:footnoteReference w:id="31"/>
      </w:r>
      <w:r w:rsidRPr="002548FF">
        <w:t>.</w:t>
      </w:r>
      <w:r w:rsidR="00B86BC6" w:rsidRPr="002548FF">
        <w:t xml:space="preserve">  </w:t>
      </w:r>
      <w:r w:rsidR="00707556" w:rsidRPr="002548FF">
        <w:t>Le</w:t>
      </w:r>
      <w:r w:rsidR="00B86BC6" w:rsidRPr="002548FF">
        <w:t xml:space="preserve"> Centre a </w:t>
      </w:r>
      <w:r w:rsidR="00707556" w:rsidRPr="002548FF">
        <w:t xml:space="preserve">également poursuivi son </w:t>
      </w:r>
      <w:r w:rsidR="00B86BC6" w:rsidRPr="002548FF">
        <w:t>programme audio de vulgarisation WIPOD</w:t>
      </w:r>
      <w:r w:rsidR="00CE55B0" w:rsidRPr="002548FF">
        <w:t xml:space="preserve"> – </w:t>
      </w:r>
      <w:r w:rsidR="00B86BC6" w:rsidRPr="002548FF">
        <w:t>Arbitration and Mediation Matters</w:t>
      </w:r>
      <w:r w:rsidR="00C5415F" w:rsidRPr="002548FF">
        <w:t xml:space="preserve">, qui </w:t>
      </w:r>
      <w:r w:rsidR="00B86BC6" w:rsidRPr="002548FF">
        <w:t>cont</w:t>
      </w:r>
      <w:r w:rsidR="00C5415F" w:rsidRPr="002548FF">
        <w:t>ient</w:t>
      </w:r>
      <w:r w:rsidR="00B86BC6" w:rsidRPr="002548FF">
        <w:t xml:space="preserve"> des entretiens avec des spécialistes de la propriété intellectuelle et des mécanismes extrajudiciaires de règlement des litiges</w:t>
      </w:r>
      <w:r w:rsidR="00B86BC6" w:rsidRPr="0004064B">
        <w:rPr>
          <w:vertAlign w:val="superscript"/>
        </w:rPr>
        <w:footnoteReference w:id="32"/>
      </w:r>
      <w:r w:rsidR="00B86BC6" w:rsidRPr="002548FF">
        <w:t>.</w:t>
      </w:r>
    </w:p>
    <w:p w14:paraId="7EA4C3CB" w14:textId="71E7F515" w:rsidR="008E0BF9" w:rsidRPr="002548FF" w:rsidRDefault="008E0BF9" w:rsidP="002548FF">
      <w:pPr>
        <w:pStyle w:val="ONUMFS"/>
      </w:pPr>
      <w:r w:rsidRPr="002548FF">
        <w:t xml:space="preserve">Le Centre </w:t>
      </w:r>
      <w:r w:rsidR="00215AF4" w:rsidRPr="002548FF">
        <w:t xml:space="preserve">a </w:t>
      </w:r>
      <w:r w:rsidR="007D70F6" w:rsidRPr="002548FF">
        <w:t>continu</w:t>
      </w:r>
      <w:r w:rsidR="00215AF4" w:rsidRPr="002548FF">
        <w:t>é</w:t>
      </w:r>
      <w:r w:rsidR="007D70F6" w:rsidRPr="002548FF">
        <w:t xml:space="preserve"> d</w:t>
      </w:r>
      <w:r w:rsidR="001D039F" w:rsidRPr="002548FF">
        <w:t>’</w:t>
      </w:r>
      <w:r w:rsidR="007D70F6" w:rsidRPr="002548FF">
        <w:t>organiser</w:t>
      </w:r>
      <w:r w:rsidRPr="002548FF">
        <w:t xml:space="preserve"> </w:t>
      </w:r>
      <w:r w:rsidR="007D70F6" w:rsidRPr="002548FF">
        <w:t xml:space="preserve">et de participer à </w:t>
      </w:r>
      <w:r w:rsidRPr="002548FF">
        <w:t>des</w:t>
      </w:r>
      <w:r w:rsidR="00215AF4" w:rsidRPr="002548FF">
        <w:t xml:space="preserve"> manifestations, notamment des</w:t>
      </w:r>
      <w:r w:rsidRPr="002548FF">
        <w:t xml:space="preserve"> webinaires</w:t>
      </w:r>
      <w:r w:rsidR="007D70F6" w:rsidRPr="002548FF">
        <w:t xml:space="preserve"> et des ateliers en ligne sur la médiation et l</w:t>
      </w:r>
      <w:r w:rsidR="001D039F" w:rsidRPr="002548FF">
        <w:t>’</w:t>
      </w:r>
      <w:r w:rsidR="007D70F6" w:rsidRPr="002548FF">
        <w:t>arbitrage de litiges de propriété intellectuelle</w:t>
      </w:r>
      <w:r w:rsidR="00215AF4" w:rsidRPr="002548FF">
        <w:t xml:space="preserve"> proposés par l</w:t>
      </w:r>
      <w:r w:rsidR="001D039F" w:rsidRPr="002548FF">
        <w:t>’</w:t>
      </w:r>
      <w:r w:rsidR="00215AF4" w:rsidRPr="002548FF">
        <w:t>OMPI</w:t>
      </w:r>
      <w:r w:rsidRPr="002548FF">
        <w:t>, qu</w:t>
      </w:r>
      <w:r w:rsidR="007D70F6" w:rsidRPr="002548FF">
        <w:t xml:space="preserve">i sont mis </w:t>
      </w:r>
      <w:r w:rsidRPr="002548FF">
        <w:t>à la disposition des parties prenantes avec du contenu adapté à leurs centres d</w:t>
      </w:r>
      <w:r w:rsidR="001D039F" w:rsidRPr="002548FF">
        <w:t>’</w:t>
      </w:r>
      <w:r w:rsidRPr="002548FF">
        <w:t>intérêt dans un large éventail de langues</w:t>
      </w:r>
      <w:r w:rsidRPr="0004064B">
        <w:rPr>
          <w:rStyle w:val="FootnoteReference"/>
        </w:rPr>
        <w:footnoteReference w:id="33"/>
      </w:r>
      <w:r w:rsidRPr="002548FF">
        <w:t xml:space="preserve">.  </w:t>
      </w:r>
      <w:r w:rsidR="00853BCC" w:rsidRPr="002548FF">
        <w:t>L</w:t>
      </w:r>
      <w:r w:rsidR="001D039F" w:rsidRPr="002548FF">
        <w:t>’</w:t>
      </w:r>
      <w:r w:rsidR="00853BCC" w:rsidRPr="002548FF">
        <w:t>attention était notamment portée sur des sujets tels que le droit d</w:t>
      </w:r>
      <w:r w:rsidR="001D039F" w:rsidRPr="002548FF">
        <w:t>’</w:t>
      </w:r>
      <w:r w:rsidR="00853BCC" w:rsidRPr="002548FF">
        <w:t>auteur dans l</w:t>
      </w:r>
      <w:r w:rsidR="001D039F" w:rsidRPr="002548FF">
        <w:t>’</w:t>
      </w:r>
      <w:r w:rsidR="00853BCC" w:rsidRPr="002548FF">
        <w:t>environnement numérique</w:t>
      </w:r>
      <w:r w:rsidR="00215AF4" w:rsidRPr="002548FF">
        <w:t xml:space="preserve"> (</w:t>
      </w:r>
      <w:r w:rsidR="00853BCC" w:rsidRPr="002548FF">
        <w:t>comme l</w:t>
      </w:r>
      <w:r w:rsidR="001D039F" w:rsidRPr="002548FF">
        <w:t>’</w:t>
      </w:r>
      <w:r w:rsidR="00215AF4" w:rsidRPr="002548FF">
        <w:t>eSport</w:t>
      </w:r>
      <w:r w:rsidR="00853BCC" w:rsidRPr="002548FF">
        <w:t xml:space="preserve"> et les jeux vidéo ain</w:t>
      </w:r>
      <w:r w:rsidR="00215AF4" w:rsidRPr="002548FF">
        <w:t>s</w:t>
      </w:r>
      <w:r w:rsidR="00853BCC" w:rsidRPr="002548FF">
        <w:t>i que</w:t>
      </w:r>
      <w:r w:rsidR="001D039F" w:rsidRPr="002548FF">
        <w:t xml:space="preserve"> les NFT</w:t>
      </w:r>
      <w:r w:rsidR="00853BCC" w:rsidRPr="002548FF">
        <w:t xml:space="preserve"> et le métavers</w:t>
      </w:r>
      <w:r w:rsidR="00215AF4" w:rsidRPr="0004064B">
        <w:rPr>
          <w:rStyle w:val="FootnoteReference"/>
        </w:rPr>
        <w:footnoteReference w:id="34"/>
      </w:r>
      <w:r w:rsidR="00215AF4" w:rsidRPr="002548FF">
        <w:t xml:space="preserve">), </w:t>
      </w:r>
      <w:r w:rsidR="00853BCC" w:rsidRPr="002548FF">
        <w:t>les litiges portant sur la concession de licences à des conditions</w:t>
      </w:r>
      <w:r w:rsidR="002347BC" w:rsidRPr="002548FF">
        <w:t> </w:t>
      </w:r>
      <w:r w:rsidR="00215AF4" w:rsidRPr="002548FF">
        <w:t xml:space="preserve">FRAND, </w:t>
      </w:r>
      <w:r w:rsidR="00853BCC" w:rsidRPr="002548FF">
        <w:t xml:space="preserve">les </w:t>
      </w:r>
      <w:r w:rsidR="00215AF4" w:rsidRPr="002548FF">
        <w:t>sciences</w:t>
      </w:r>
      <w:r w:rsidR="00853BCC" w:rsidRPr="002548FF">
        <w:t xml:space="preserve"> de la vie et la recherche</w:t>
      </w:r>
      <w:r w:rsidR="005723D0" w:rsidRPr="002548FF">
        <w:noBreakHyphen/>
      </w:r>
      <w:r w:rsidR="00853BCC" w:rsidRPr="002548FF">
        <w:t>développement</w:t>
      </w:r>
      <w:r w:rsidR="00215AF4" w:rsidRPr="002548FF">
        <w:t xml:space="preserve">; </w:t>
      </w:r>
      <w:r w:rsidR="00853BCC" w:rsidRPr="002548FF">
        <w:t xml:space="preserve"> les manifestations </w:t>
      </w:r>
      <w:r w:rsidR="00C5415F" w:rsidRPr="002548FF">
        <w:t xml:space="preserve">ont </w:t>
      </w:r>
      <w:r w:rsidR="00853BCC" w:rsidRPr="002548FF">
        <w:t xml:space="preserve">également </w:t>
      </w:r>
      <w:r w:rsidR="00C5415F" w:rsidRPr="002548FF">
        <w:t xml:space="preserve">visés </w:t>
      </w:r>
      <w:r w:rsidR="00853BCC" w:rsidRPr="002548FF">
        <w:t>certains publics en particulier</w:t>
      </w:r>
      <w:r w:rsidR="00215AF4" w:rsidRPr="002548FF">
        <w:t xml:space="preserve">, </w:t>
      </w:r>
      <w:r w:rsidR="00853BCC" w:rsidRPr="002548FF">
        <w:t>tels que</w:t>
      </w:r>
      <w:r w:rsidR="001D039F" w:rsidRPr="002548FF">
        <w:t xml:space="preserve"> les PME</w:t>
      </w:r>
      <w:r w:rsidR="00215AF4" w:rsidRPr="002548FF">
        <w:t>,</w:t>
      </w:r>
      <w:r w:rsidR="00853BCC" w:rsidRPr="002548FF">
        <w:t xml:space="preserve"> les jeunes et les femm</w:t>
      </w:r>
      <w:r w:rsidR="00567D37" w:rsidRPr="002548FF">
        <w:t>es.  De</w:t>
      </w:r>
      <w:r w:rsidR="00215AF4" w:rsidRPr="002548FF">
        <w:t>puis les assemblées de 2022</w:t>
      </w:r>
      <w:r w:rsidR="00853BCC" w:rsidRPr="002548FF">
        <w:t>,</w:t>
      </w:r>
      <w:r w:rsidR="00215AF4" w:rsidRPr="002548FF">
        <w:t xml:space="preserve"> le</w:t>
      </w:r>
      <w:r w:rsidR="002347BC" w:rsidRPr="002548FF">
        <w:t> </w:t>
      </w:r>
      <w:r w:rsidR="00215AF4" w:rsidRPr="002548FF">
        <w:t>Centre a organisé ou a participé à plus de 70</w:t>
      </w:r>
      <w:r w:rsidR="00567D37" w:rsidRPr="002548FF">
        <w:t> </w:t>
      </w:r>
      <w:r w:rsidR="00215AF4" w:rsidRPr="002548FF">
        <w:t>manifestations auxquelles plus de 10 200</w:t>
      </w:r>
      <w:r w:rsidR="00567D37" w:rsidRPr="002548FF">
        <w:t> </w:t>
      </w:r>
      <w:r w:rsidR="00215AF4" w:rsidRPr="002548FF">
        <w:t>participants provenant de 159</w:t>
      </w:r>
      <w:r w:rsidR="00853BCC" w:rsidRPr="002548FF">
        <w:t> </w:t>
      </w:r>
      <w:r w:rsidR="00215AF4" w:rsidRPr="002548FF">
        <w:t>pays</w:t>
      </w:r>
      <w:r w:rsidRPr="002548FF">
        <w:t xml:space="preserve"> se sont inscrits.</w:t>
      </w:r>
    </w:p>
    <w:p w14:paraId="11F8443A" w14:textId="5B542C28" w:rsidR="002347BC" w:rsidRPr="002548FF" w:rsidRDefault="008E0BF9" w:rsidP="002548FF">
      <w:pPr>
        <w:pStyle w:val="ONUMFS"/>
      </w:pPr>
      <w:r w:rsidRPr="002548FF">
        <w:t>Dans le cadre de l</w:t>
      </w:r>
      <w:r w:rsidR="001D039F" w:rsidRPr="002548FF">
        <w:t>’</w:t>
      </w:r>
      <w:r w:rsidRPr="002548FF">
        <w:t>engagement de l</w:t>
      </w:r>
      <w:r w:rsidR="001D039F" w:rsidRPr="002548FF">
        <w:t>’</w:t>
      </w:r>
      <w:r w:rsidRPr="002548FF">
        <w:t xml:space="preserve">OMPI en faveur de la médiation dans les litiges de propriété intellectuelle et de technologie, les signataires et entités collaboratrices conviennent de promouvoir la médiation comme </w:t>
      </w:r>
      <w:r w:rsidR="007D70F6" w:rsidRPr="002548FF">
        <w:t>solution de remplacement des</w:t>
      </w:r>
      <w:r w:rsidRPr="002548FF">
        <w:t xml:space="preserve"> procédures devant les tribunaux pour réduire l</w:t>
      </w:r>
      <w:r w:rsidR="001D039F" w:rsidRPr="002548FF">
        <w:t>’</w:t>
      </w:r>
      <w:r w:rsidRPr="002548FF">
        <w:t>incidence des litiges sur l</w:t>
      </w:r>
      <w:r w:rsidR="001D039F" w:rsidRPr="002548FF">
        <w:t>’</w:t>
      </w:r>
      <w:r w:rsidRPr="002548FF">
        <w:t>innovation et la créativi</w:t>
      </w:r>
      <w:r w:rsidR="00567D37" w:rsidRPr="002548FF">
        <w:t>té.  Le</w:t>
      </w:r>
      <w:r w:rsidRPr="002548FF">
        <w:t xml:space="preserve"> nombre de participants dépasse désormais les </w:t>
      </w:r>
      <w:r w:rsidR="00C408A5" w:rsidRPr="002548FF">
        <w:t>88</w:t>
      </w:r>
      <w:r w:rsidRPr="002548FF">
        <w:t xml:space="preserve">0, avec plus de </w:t>
      </w:r>
      <w:r w:rsidR="00C408A5" w:rsidRPr="002548FF">
        <w:t>37</w:t>
      </w:r>
      <w:r w:rsidR="00027C5E" w:rsidRPr="002548FF">
        <w:t> </w:t>
      </w:r>
      <w:r w:rsidRPr="002548FF">
        <w:t>offices de propriété intellectuelle d</w:t>
      </w:r>
      <w:r w:rsidR="001D039F" w:rsidRPr="002548FF">
        <w:t>’</w:t>
      </w:r>
      <w:r w:rsidRPr="002548FF">
        <w:t>États membres et associations professionnelles œuvrant dans le domaine du règlement extrajudiciaire des litiges</w:t>
      </w:r>
      <w:r w:rsidRPr="0004064B">
        <w:rPr>
          <w:rStyle w:val="FootnoteReference"/>
        </w:rPr>
        <w:footnoteReference w:id="35"/>
      </w:r>
      <w:r w:rsidRPr="002548FF">
        <w:t>.</w:t>
      </w:r>
    </w:p>
    <w:p w14:paraId="472EEB39" w14:textId="77777777" w:rsidR="002347BC" w:rsidRDefault="002347BC">
      <w:pPr>
        <w:rPr>
          <w:lang w:val="fr-FR"/>
        </w:rPr>
      </w:pPr>
      <w:r>
        <w:rPr>
          <w:lang w:val="fr-FR"/>
        </w:rPr>
        <w:br w:type="page"/>
      </w:r>
    </w:p>
    <w:p w14:paraId="7C5E13BF" w14:textId="77777777" w:rsidR="008E0BF9" w:rsidRPr="001E5043" w:rsidRDefault="008E0BF9" w:rsidP="003B5CD9">
      <w:pPr>
        <w:pStyle w:val="Heading2"/>
        <w:rPr>
          <w:lang w:val="fr-FR"/>
        </w:rPr>
      </w:pPr>
      <w:r w:rsidRPr="001E5043">
        <w:rPr>
          <w:lang w:val="fr-FR"/>
        </w:rPr>
        <w:lastRenderedPageBreak/>
        <w:t>Administration des litiges relatifs aux noms de domaine</w:t>
      </w:r>
    </w:p>
    <w:p w14:paraId="40288CCF" w14:textId="77777777" w:rsidR="008E0BF9" w:rsidRPr="001E5043" w:rsidRDefault="003B5CD9" w:rsidP="003B5CD9">
      <w:pPr>
        <w:pStyle w:val="Heading3"/>
        <w:numPr>
          <w:ilvl w:val="0"/>
          <w:numId w:val="10"/>
        </w:numPr>
        <w:ind w:left="1134" w:hanging="567"/>
      </w:pPr>
      <w:r w:rsidRPr="001E5043">
        <w:t>Principes UDRP</w:t>
      </w:r>
    </w:p>
    <w:p w14:paraId="6EAEB5F1" w14:textId="1720D495" w:rsidR="008E0BF9" w:rsidRPr="0004064B" w:rsidRDefault="008E0BF9" w:rsidP="0004064B">
      <w:pPr>
        <w:pStyle w:val="ONUMFS"/>
      </w:pPr>
      <w:r w:rsidRPr="0004064B">
        <w:t>Le système de noms de domaine</w:t>
      </w:r>
      <w:r w:rsidR="002347BC" w:rsidRPr="0004064B">
        <w:t> </w:t>
      </w:r>
      <w:r w:rsidRPr="0004064B">
        <w:t>(DNS) soulève sur le plan de la protection de la propriété intellectuelle des défis qui, compte tenu de la nature planétaire de l</w:t>
      </w:r>
      <w:r w:rsidR="001D039F" w:rsidRPr="0004064B">
        <w:t>’</w:t>
      </w:r>
      <w:r w:rsidRPr="0004064B">
        <w:t>Internet, appellent une action internationale.  L</w:t>
      </w:r>
      <w:r w:rsidR="001D039F" w:rsidRPr="0004064B">
        <w:t>’</w:t>
      </w:r>
      <w:r w:rsidRPr="0004064B">
        <w:t>OMPI répond à ces défis depuis 1998, en élaborant des solutions, notamment dans le cadre des premier</w:t>
      </w:r>
      <w:r w:rsidRPr="0004064B">
        <w:rPr>
          <w:rStyle w:val="FootnoteReference"/>
        </w:rPr>
        <w:footnoteReference w:id="36"/>
      </w:r>
      <w:r w:rsidRPr="0004064B">
        <w:t xml:space="preserve"> et deuxième</w:t>
      </w:r>
      <w:r w:rsidRPr="0004064B">
        <w:rPr>
          <w:rStyle w:val="FootnoteReference"/>
        </w:rPr>
        <w:footnoteReference w:id="37"/>
      </w:r>
      <w:r w:rsidR="002347BC" w:rsidRPr="0004064B">
        <w:t> </w:t>
      </w:r>
      <w:r w:rsidRPr="0004064B">
        <w:t>processus de consultations de l</w:t>
      </w:r>
      <w:r w:rsidR="001D039F" w:rsidRPr="0004064B">
        <w:t>’</w:t>
      </w:r>
      <w:r w:rsidRPr="0004064B">
        <w:t>OMPI sur les noms de domaine de l</w:t>
      </w:r>
      <w:r w:rsidR="001D039F" w:rsidRPr="0004064B">
        <w:t>’</w:t>
      </w:r>
      <w:r w:rsidRPr="0004064B">
        <w:t>Intern</w:t>
      </w:r>
      <w:r w:rsidR="00567D37" w:rsidRPr="0004064B">
        <w:t>et.  Pa</w:t>
      </w:r>
      <w:r w:rsidRPr="0004064B">
        <w:t>r l</w:t>
      </w:r>
      <w:r w:rsidR="001D039F" w:rsidRPr="0004064B">
        <w:t>’</w:t>
      </w:r>
      <w:r w:rsidRPr="0004064B">
        <w:t>intermédiaire du Centre, l</w:t>
      </w:r>
      <w:r w:rsidR="001D039F" w:rsidRPr="0004064B">
        <w:t>’</w:t>
      </w:r>
      <w:r w:rsidRPr="0004064B">
        <w:t>OMPI met à la disposition des propriétaires de marques des mécanismes internationaux efficaces contre l</w:t>
      </w:r>
      <w:r w:rsidR="001D039F" w:rsidRPr="0004064B">
        <w:t>’</w:t>
      </w:r>
      <w:r w:rsidRPr="0004064B">
        <w:t>enregistrement et l</w:t>
      </w:r>
      <w:r w:rsidR="001D039F" w:rsidRPr="0004064B">
        <w:t>’</w:t>
      </w:r>
      <w:r w:rsidRPr="0004064B">
        <w:t>utilisation de mauvaise foi de noms de domaine correspondant à leurs marqu</w:t>
      </w:r>
      <w:r w:rsidR="00567D37" w:rsidRPr="0004064B">
        <w:t>es.  Le</w:t>
      </w:r>
      <w:r w:rsidRPr="0004064B">
        <w:t xml:space="preserve"> principal mécanisme administré par le Centre, </w:t>
      </w:r>
      <w:r w:rsidR="001D039F" w:rsidRPr="0004064B">
        <w:t>à savoir</w:t>
      </w:r>
      <w:r w:rsidRPr="0004064B">
        <w:t xml:space="preserve"> les principes UDRP, a été adopté par l</w:t>
      </w:r>
      <w:r w:rsidR="001D039F" w:rsidRPr="0004064B">
        <w:t>’</w:t>
      </w:r>
      <w:r w:rsidRPr="0004064B">
        <w:t>ICANN sur la base des recommandations faites par l</w:t>
      </w:r>
      <w:r w:rsidR="001D039F" w:rsidRPr="0004064B">
        <w:t>’</w:t>
      </w:r>
      <w:r w:rsidRPr="0004064B">
        <w:t>OMPI à l</w:t>
      </w:r>
      <w:r w:rsidR="001D039F" w:rsidRPr="0004064B">
        <w:t>’</w:t>
      </w:r>
      <w:r w:rsidRPr="0004064B">
        <w:t>issue du premier processus de consultations sur les noms de domaine de l</w:t>
      </w:r>
      <w:r w:rsidR="001D039F" w:rsidRPr="0004064B">
        <w:t>’</w:t>
      </w:r>
      <w:r w:rsidRPr="0004064B">
        <w:t>Internet.</w:t>
      </w:r>
    </w:p>
    <w:p w14:paraId="3F86C919" w14:textId="4A45CDCD" w:rsidR="008E0BF9" w:rsidRPr="0004064B" w:rsidRDefault="008E0BF9" w:rsidP="0004064B">
      <w:pPr>
        <w:pStyle w:val="ONUMFS"/>
      </w:pPr>
      <w:r w:rsidRPr="0004064B">
        <w:t>Compte tenu du nombre croissant de personnes passant davantage de temps en ligne d</w:t>
      </w:r>
      <w:r w:rsidR="00933637" w:rsidRPr="0004064B">
        <w:t>epuis</w:t>
      </w:r>
      <w:r w:rsidRPr="0004064B">
        <w:t xml:space="preserve"> la pandémie</w:t>
      </w:r>
      <w:r w:rsidR="00933637" w:rsidRPr="0004064B">
        <w:t xml:space="preserve"> de COVID</w:t>
      </w:r>
      <w:r w:rsidR="005723D0" w:rsidRPr="0004064B">
        <w:noBreakHyphen/>
      </w:r>
      <w:r w:rsidR="00933637" w:rsidRPr="0004064B">
        <w:t>19</w:t>
      </w:r>
      <w:r w:rsidRPr="0004064B">
        <w:t>, les auteurs d</w:t>
      </w:r>
      <w:r w:rsidR="001D039F" w:rsidRPr="0004064B">
        <w:t>’</w:t>
      </w:r>
      <w:r w:rsidRPr="0004064B">
        <w:t>atteintes trouvent un environnement qui leur est de plus en plus favorab</w:t>
      </w:r>
      <w:r w:rsidR="00567D37" w:rsidRPr="0004064B">
        <w:t>le.  Le</w:t>
      </w:r>
      <w:r w:rsidRPr="0004064B">
        <w:t>s propriétaires de marques augmentent la protection de leurs marques sur Internet à mesure qu</w:t>
      </w:r>
      <w:r w:rsidR="001D039F" w:rsidRPr="0004064B">
        <w:t>’</w:t>
      </w:r>
      <w:r w:rsidRPr="0004064B">
        <w:t>ils intensifient la vente de leurs produits et services en lig</w:t>
      </w:r>
      <w:r w:rsidR="00567D37" w:rsidRPr="0004064B">
        <w:t>ne.  S’a</w:t>
      </w:r>
      <w:r w:rsidRPr="0004064B">
        <w:t>ppliquant exclusivement aux cas</w:t>
      </w:r>
      <w:r w:rsidR="002347BC" w:rsidRPr="0004064B">
        <w:t xml:space="preserve"> de mauvaise foi, les principes </w:t>
      </w:r>
      <w:r w:rsidRPr="0004064B">
        <w:t xml:space="preserve">UDRP </w:t>
      </w:r>
      <w:r w:rsidR="00933637" w:rsidRPr="0004064B">
        <w:t>n</w:t>
      </w:r>
      <w:r w:rsidR="001D039F" w:rsidRPr="0004064B">
        <w:t>’</w:t>
      </w:r>
      <w:r w:rsidRPr="0004064B">
        <w:t xml:space="preserve">ont </w:t>
      </w:r>
      <w:r w:rsidR="00933637" w:rsidRPr="0004064B">
        <w:t xml:space="preserve">jamais été aussi </w:t>
      </w:r>
      <w:r w:rsidRPr="0004064B">
        <w:t>appréciés</w:t>
      </w:r>
      <w:r w:rsidRPr="0004064B">
        <w:rPr>
          <w:rStyle w:val="FootnoteReference"/>
        </w:rPr>
        <w:footnoteReference w:id="38"/>
      </w:r>
      <w:r w:rsidRPr="0004064B">
        <w:t xml:space="preserve">.  Depuis décembre 1999, le Centre a administré plus de </w:t>
      </w:r>
      <w:r w:rsidR="00820F1E" w:rsidRPr="0004064B">
        <w:t>63 </w:t>
      </w:r>
      <w:r w:rsidRPr="0004064B">
        <w:t>000</w:t>
      </w:r>
      <w:r w:rsidR="00EA6E80" w:rsidRPr="0004064B">
        <w:t> </w:t>
      </w:r>
      <w:r w:rsidRPr="0004064B">
        <w:t>litiges sur la base des principes</w:t>
      </w:r>
      <w:r w:rsidR="002347BC" w:rsidRPr="0004064B">
        <w:t> </w:t>
      </w:r>
      <w:r w:rsidRPr="0004064B">
        <w:t>UDRP</w:t>
      </w:r>
      <w:r w:rsidRPr="0004064B">
        <w:rPr>
          <w:rStyle w:val="FootnoteReference"/>
        </w:rPr>
        <w:footnoteReference w:id="39"/>
      </w:r>
      <w:r w:rsidRPr="0004064B">
        <w:t>.  Le Centre a reçu en 202</w:t>
      </w:r>
      <w:r w:rsidR="00820F1E" w:rsidRPr="0004064B">
        <w:t>2</w:t>
      </w:r>
      <w:r w:rsidRPr="0004064B">
        <w:t xml:space="preserve"> le nombre record de </w:t>
      </w:r>
      <w:r w:rsidR="00EA6E80" w:rsidRPr="0004064B">
        <w:t>5</w:t>
      </w:r>
      <w:r w:rsidR="00820F1E" w:rsidRPr="0004064B">
        <w:t>764</w:t>
      </w:r>
      <w:r w:rsidR="00EA6E80" w:rsidRPr="0004064B">
        <w:t> </w:t>
      </w:r>
      <w:r w:rsidRPr="0004064B">
        <w:t>plaintes déposées en vertu des principes</w:t>
      </w:r>
      <w:r w:rsidR="002347BC" w:rsidRPr="0004064B">
        <w:t> </w:t>
      </w:r>
      <w:r w:rsidRPr="0004064B">
        <w:t>UDRP par des titulaires de droits en réaction à la prolifération des sites Web destinés à la vente de contrefaçons, au hameçonnage ou à d</w:t>
      </w:r>
      <w:r w:rsidR="001D039F" w:rsidRPr="0004064B">
        <w:t>’</w:t>
      </w:r>
      <w:r w:rsidRPr="0004064B">
        <w:t>autres activités frauduleuses, ainsi qu</w:t>
      </w:r>
      <w:r w:rsidR="001D039F" w:rsidRPr="0004064B">
        <w:t>’</w:t>
      </w:r>
      <w:r w:rsidRPr="0004064B">
        <w:t>à toutes sortes atteintes aux marques en lig</w:t>
      </w:r>
      <w:r w:rsidR="00567D37" w:rsidRPr="0004064B">
        <w:t>ne.  Le</w:t>
      </w:r>
      <w:r w:rsidRPr="0004064B">
        <w:t xml:space="preserve"> nombre total de litiges relatifs à des noms de domaine soumis à l</w:t>
      </w:r>
      <w:r w:rsidR="001D039F" w:rsidRPr="0004064B">
        <w:t>’</w:t>
      </w:r>
      <w:r w:rsidRPr="0004064B">
        <w:t>OMPI en vertu des principes UDRP dépassait les</w:t>
      </w:r>
      <w:r w:rsidR="002347BC" w:rsidRPr="0004064B">
        <w:t> </w:t>
      </w:r>
      <w:r w:rsidR="00EA6E80" w:rsidRPr="0004064B">
        <w:t>1</w:t>
      </w:r>
      <w:r w:rsidR="00820F1E" w:rsidRPr="0004064B">
        <w:t>13 </w:t>
      </w:r>
      <w:r w:rsidRPr="0004064B">
        <w:t>000.  Les principaux secteurs d</w:t>
      </w:r>
      <w:r w:rsidR="001D039F" w:rsidRPr="0004064B">
        <w:t>’</w:t>
      </w:r>
      <w:r w:rsidRPr="0004064B">
        <w:t>activité des requérants, notamment la banque et la finance, l</w:t>
      </w:r>
      <w:r w:rsidR="001D039F" w:rsidRPr="0004064B">
        <w:t>’</w:t>
      </w:r>
      <w:r w:rsidRPr="0004064B">
        <w:t>Internet et les technologies de l</w:t>
      </w:r>
      <w:r w:rsidR="001D039F" w:rsidRPr="0004064B">
        <w:t>’</w:t>
      </w:r>
      <w:r w:rsidRPr="0004064B">
        <w:t xml:space="preserve">information, </w:t>
      </w:r>
      <w:r w:rsidR="00820F1E" w:rsidRPr="0004064B">
        <w:t xml:space="preserve">le commerce de détail, </w:t>
      </w:r>
      <w:r w:rsidR="00EA6E80" w:rsidRPr="0004064B">
        <w:t xml:space="preserve">la biotechnologie et les produits pharmaceutiques, </w:t>
      </w:r>
      <w:r w:rsidRPr="0004064B">
        <w:t>la mode</w:t>
      </w:r>
      <w:r w:rsidR="00820F1E" w:rsidRPr="0004064B">
        <w:t>, l</w:t>
      </w:r>
      <w:r w:rsidR="001D039F" w:rsidRPr="0004064B">
        <w:t>’</w:t>
      </w:r>
      <w:r w:rsidR="00820F1E" w:rsidRPr="0004064B">
        <w:t>industrie lourde et la construction de machines,</w:t>
      </w:r>
      <w:r w:rsidRPr="0004064B">
        <w:t xml:space="preserve"> </w:t>
      </w:r>
      <w:r w:rsidR="00EA6E80" w:rsidRPr="0004064B">
        <w:t>les produits alimentaires, les boissons et les restaurants</w:t>
      </w:r>
      <w:r w:rsidR="00820F1E" w:rsidRPr="0004064B">
        <w:t xml:space="preserve"> </w:t>
      </w:r>
      <w:r w:rsidR="00D567BD" w:rsidRPr="0004064B">
        <w:t>ainsi que</w:t>
      </w:r>
      <w:r w:rsidR="00820F1E" w:rsidRPr="0004064B">
        <w:t xml:space="preserve"> le divertissement,</w:t>
      </w:r>
      <w:r w:rsidRPr="0004064B">
        <w:t xml:space="preserve"> témoignent également de l</w:t>
      </w:r>
      <w:r w:rsidR="001D039F" w:rsidRPr="0004064B">
        <w:t>’</w:t>
      </w:r>
      <w:r w:rsidRPr="0004064B">
        <w:t>ampleur des risques pour les consommateurs.</w:t>
      </w:r>
    </w:p>
    <w:p w14:paraId="30DDA950" w14:textId="3BC706D5" w:rsidR="008E0BF9" w:rsidRPr="0004064B" w:rsidRDefault="008E0BF9" w:rsidP="0004064B">
      <w:pPr>
        <w:pStyle w:val="ONUMFS"/>
      </w:pPr>
      <w:r w:rsidRPr="0004064B">
        <w:t>Le cybersquattage, c</w:t>
      </w:r>
      <w:r w:rsidR="001D039F" w:rsidRPr="0004064B">
        <w:t>’</w:t>
      </w:r>
      <w:r w:rsidRPr="0004064B">
        <w:t>est</w:t>
      </w:r>
      <w:r w:rsidR="005723D0" w:rsidRPr="0004064B">
        <w:noBreakHyphen/>
      </w:r>
      <w:r w:rsidRPr="0004064B">
        <w:t>à</w:t>
      </w:r>
      <w:r w:rsidR="005723D0" w:rsidRPr="0004064B">
        <w:noBreakHyphen/>
      </w:r>
      <w:r w:rsidRPr="0004064B">
        <w:t>dire l</w:t>
      </w:r>
      <w:r w:rsidR="001D039F" w:rsidRPr="0004064B">
        <w:t>’</w:t>
      </w:r>
      <w:r w:rsidRPr="0004064B">
        <w:t>incorporation abusive d</w:t>
      </w:r>
      <w:r w:rsidR="001D039F" w:rsidRPr="0004064B">
        <w:t>’</w:t>
      </w:r>
      <w:r w:rsidRPr="0004064B">
        <w:t>une marque dans un nom de domaine, est un problème mondi</w:t>
      </w:r>
      <w:r w:rsidR="00567D37" w:rsidRPr="0004064B">
        <w:t>al.  Le</w:t>
      </w:r>
      <w:r w:rsidRPr="0004064B">
        <w:t>s parties nommément désignées dans les procédures administrées par l</w:t>
      </w:r>
      <w:r w:rsidR="001D039F" w:rsidRPr="0004064B">
        <w:t>’</w:t>
      </w:r>
      <w:r w:rsidRPr="0004064B">
        <w:t>OMPI en 202</w:t>
      </w:r>
      <w:r w:rsidR="00820F1E" w:rsidRPr="0004064B">
        <w:t>2</w:t>
      </w:r>
      <w:r w:rsidRPr="0004064B">
        <w:t xml:space="preserve"> représentaient 1</w:t>
      </w:r>
      <w:r w:rsidR="00EA6E80" w:rsidRPr="0004064B">
        <w:t>3</w:t>
      </w:r>
      <w:r w:rsidRPr="0004064B">
        <w:t>2</w:t>
      </w:r>
      <w:r w:rsidR="00EA6E80" w:rsidRPr="0004064B">
        <w:t> </w:t>
      </w:r>
      <w:r w:rsidRPr="0004064B">
        <w:t>pays, pour un total de 18</w:t>
      </w:r>
      <w:r w:rsidR="00820F1E" w:rsidRPr="0004064B">
        <w:t>5</w:t>
      </w:r>
      <w:r w:rsidR="00EA6E80" w:rsidRPr="0004064B">
        <w:t> p</w:t>
      </w:r>
      <w:r w:rsidRPr="0004064B">
        <w:t>ays depuis la création de ce mécanis</w:t>
      </w:r>
      <w:r w:rsidR="00567D37" w:rsidRPr="0004064B">
        <w:t>me.  En</w:t>
      </w:r>
      <w:r w:rsidRPr="0004064B">
        <w:t xml:space="preserve"> fonction de la langue du contrat d</w:t>
      </w:r>
      <w:r w:rsidR="001D039F" w:rsidRPr="0004064B">
        <w:t>’</w:t>
      </w:r>
      <w:r w:rsidRPr="0004064B">
        <w:t xml:space="preserve">enregistrement relatif au nom </w:t>
      </w:r>
      <w:r w:rsidRPr="0004064B">
        <w:lastRenderedPageBreak/>
        <w:t>de domaine en cause, l</w:t>
      </w:r>
      <w:r w:rsidR="001D039F" w:rsidRPr="0004064B">
        <w:t>’</w:t>
      </w:r>
      <w:r w:rsidRPr="0004064B">
        <w:t>OMPI a conduit jusqu</w:t>
      </w:r>
      <w:r w:rsidR="001D039F" w:rsidRPr="0004064B">
        <w:t>’</w:t>
      </w:r>
      <w:r w:rsidRPr="0004064B">
        <w:t>ici des procédures en vertu des principes UDRP dans 23</w:t>
      </w:r>
      <w:r w:rsidR="001E5043" w:rsidRPr="0004064B">
        <w:t> </w:t>
      </w:r>
      <w:r w:rsidRPr="0004064B">
        <w:t>langues</w:t>
      </w:r>
      <w:r w:rsidRPr="0004064B">
        <w:rPr>
          <w:rStyle w:val="FootnoteReference"/>
        </w:rPr>
        <w:footnoteReference w:id="40"/>
      </w:r>
      <w:r w:rsidRPr="0004064B">
        <w:t>.</w:t>
      </w:r>
    </w:p>
    <w:p w14:paraId="42B524C0" w14:textId="4545A49E" w:rsidR="008E0BF9" w:rsidRPr="0004064B" w:rsidRDefault="008E0BF9" w:rsidP="0004064B">
      <w:pPr>
        <w:pStyle w:val="ONUMFS"/>
      </w:pPr>
      <w:r w:rsidRPr="0004064B">
        <w:t>Toutes les décisions rendues par les commissions administratives de l</w:t>
      </w:r>
      <w:r w:rsidR="001D039F" w:rsidRPr="0004064B">
        <w:t>’</w:t>
      </w:r>
      <w:r w:rsidRPr="0004064B">
        <w:t>OMPI sont publiées sur le site Web du Cent</w:t>
      </w:r>
      <w:r w:rsidR="00567D37" w:rsidRPr="0004064B">
        <w:t>re.  La</w:t>
      </w:r>
      <w:r w:rsidRPr="0004064B">
        <w:t xml:space="preserve"> “Synthèse des avis des commissions administratives de l</w:t>
      </w:r>
      <w:r w:rsidR="001D039F" w:rsidRPr="0004064B">
        <w:t>’</w:t>
      </w:r>
      <w:r w:rsidRPr="0004064B">
        <w:t>OMPI sur certaines questions relatives aux principes</w:t>
      </w:r>
      <w:r w:rsidR="002347BC" w:rsidRPr="0004064B">
        <w:t> </w:t>
      </w:r>
      <w:r w:rsidRPr="0004064B">
        <w:t>UDRP” publiée en ligne par le Centre et accessible gratuitement reste une synthèse essentielle de la jurisprudence en ce qui concerne les tendances des décisions rendues sur certaines questions importantes consultée dans le monde entier qui couvre plus d</w:t>
      </w:r>
      <w:r w:rsidR="001D039F" w:rsidRPr="0004064B">
        <w:t>’</w:t>
      </w:r>
      <w:r w:rsidRPr="0004064B">
        <w:t>une centaine de thèmes et qui recense près d</w:t>
      </w:r>
      <w:r w:rsidR="001D039F" w:rsidRPr="0004064B">
        <w:t>’</w:t>
      </w:r>
      <w:r w:rsidRPr="0004064B">
        <w:t>un millier de décisions rendues par plus de 265</w:t>
      </w:r>
      <w:r w:rsidR="001E5043" w:rsidRPr="0004064B">
        <w:t> </w:t>
      </w:r>
      <w:r w:rsidRPr="0004064B">
        <w:t>experts de l</w:t>
      </w:r>
      <w:r w:rsidR="001D039F" w:rsidRPr="0004064B">
        <w:t>’</w:t>
      </w:r>
      <w:r w:rsidRPr="0004064B">
        <w:t>OMPI</w:t>
      </w:r>
      <w:r w:rsidRPr="0004064B">
        <w:rPr>
          <w:rStyle w:val="FootnoteReference"/>
        </w:rPr>
        <w:footnoteReference w:id="41"/>
      </w:r>
      <w:r w:rsidRPr="0004064B">
        <w:t>.  Pour faciliter l</w:t>
      </w:r>
      <w:r w:rsidR="001D039F" w:rsidRPr="0004064B">
        <w:t>’</w:t>
      </w:r>
      <w:r w:rsidRPr="0004064B">
        <w:t>accès thématique à ces décisions, le Centre met aussi à disposition un index juridique des décisions rendues en vertu des principes</w:t>
      </w:r>
      <w:r w:rsidR="002347BC" w:rsidRPr="0004064B">
        <w:t> </w:t>
      </w:r>
      <w:r w:rsidRPr="0004064B">
        <w:t>UDRP qui permet d</w:t>
      </w:r>
      <w:r w:rsidR="001D039F" w:rsidRPr="0004064B">
        <w:t>’</w:t>
      </w:r>
      <w:r w:rsidRPr="0004064B">
        <w:t>effectuer des recherches en ligne</w:t>
      </w:r>
      <w:r w:rsidRPr="0004064B">
        <w:rPr>
          <w:rStyle w:val="FootnoteReference"/>
        </w:rPr>
        <w:footnoteReference w:id="42"/>
      </w:r>
      <w:r w:rsidRPr="0004064B">
        <w:t>.</w:t>
      </w:r>
    </w:p>
    <w:p w14:paraId="3A4FA68D" w14:textId="083444D9" w:rsidR="008E0BF9" w:rsidRPr="0004064B" w:rsidRDefault="008E0BF9" w:rsidP="0004064B">
      <w:pPr>
        <w:pStyle w:val="ONUMFS"/>
      </w:pPr>
      <w:r w:rsidRPr="0004064B">
        <w:t>Conscient du rôle moteur joué par l</w:t>
      </w:r>
      <w:r w:rsidR="001D039F" w:rsidRPr="0004064B">
        <w:t>’</w:t>
      </w:r>
      <w:r w:rsidRPr="0004064B">
        <w:t>OMPI e</w:t>
      </w:r>
      <w:r w:rsidR="00921588" w:rsidRPr="0004064B">
        <w:t>n ce qui concerne les principes </w:t>
      </w:r>
      <w:r w:rsidRPr="0004064B">
        <w:t>UDRP, le Centre se tient activement informé des évolutions à l</w:t>
      </w:r>
      <w:r w:rsidR="001D039F" w:rsidRPr="0004064B">
        <w:t>’</w:t>
      </w:r>
      <w:r w:rsidRPr="0004064B">
        <w:t>œuvre dans le DNS afin d</w:t>
      </w:r>
      <w:r w:rsidR="001D039F" w:rsidRPr="0004064B">
        <w:t>’</w:t>
      </w:r>
      <w:r w:rsidRPr="0004064B">
        <w:t>ajuster ses ressources et ses pratiques</w:t>
      </w:r>
      <w:r w:rsidRPr="0004064B">
        <w:rPr>
          <w:rStyle w:val="FootnoteReference"/>
        </w:rPr>
        <w:footnoteReference w:id="43"/>
      </w:r>
      <w:r w:rsidRPr="0004064B">
        <w:t>.  Il organise des ateliers sur le règlement des litiges relatifs aux noms de domaine pour informer les parties intéressées</w:t>
      </w:r>
      <w:r w:rsidRPr="0004064B">
        <w:rPr>
          <w:rStyle w:val="FootnoteReference"/>
        </w:rPr>
        <w:footnoteReference w:id="44"/>
      </w:r>
      <w:r w:rsidRPr="0004064B">
        <w:t>, ainsi que d</w:t>
      </w:r>
      <w:r w:rsidR="001D039F" w:rsidRPr="0004064B">
        <w:t>’</w:t>
      </w:r>
      <w:r w:rsidRPr="0004064B">
        <w:t>importantes réunions à l</w:t>
      </w:r>
      <w:r w:rsidR="001D039F" w:rsidRPr="0004064B">
        <w:t>’</w:t>
      </w:r>
      <w:r w:rsidRPr="0004064B">
        <w:t>intention de ses experts des noms de domaine.</w:t>
      </w:r>
    </w:p>
    <w:p w14:paraId="1CB55008" w14:textId="56BDD4C5" w:rsidR="008E0BF9" w:rsidRPr="001E5043" w:rsidRDefault="002B3C37" w:rsidP="002B3C37">
      <w:pPr>
        <w:pStyle w:val="Heading3"/>
      </w:pPr>
      <w:r w:rsidRPr="001E5043">
        <w:t>Domaines de premier</w:t>
      </w:r>
      <w:r w:rsidR="002347BC">
        <w:rPr>
          <w:szCs w:val="24"/>
        </w:rPr>
        <w:t> </w:t>
      </w:r>
      <w:r w:rsidRPr="001E5043">
        <w:t>niveau qui sont des codes de pays</w:t>
      </w:r>
      <w:r w:rsidR="002347BC">
        <w:rPr>
          <w:szCs w:val="24"/>
        </w:rPr>
        <w:t> </w:t>
      </w:r>
      <w:r w:rsidRPr="001E5043">
        <w:t>(ccTLD)</w:t>
      </w:r>
    </w:p>
    <w:p w14:paraId="72CC1074" w14:textId="6326C4F0" w:rsidR="008E0BF9" w:rsidRPr="0004064B" w:rsidRDefault="008E0BF9" w:rsidP="0004064B">
      <w:pPr>
        <w:pStyle w:val="ONUMFS"/>
      </w:pPr>
      <w:r w:rsidRPr="0004064B">
        <w:t>L</w:t>
      </w:r>
      <w:r w:rsidR="001D039F" w:rsidRPr="0004064B">
        <w:t>’</w:t>
      </w:r>
      <w:r w:rsidRPr="0004064B">
        <w:t>application obligatoire des principes</w:t>
      </w:r>
      <w:r w:rsidR="002347BC" w:rsidRPr="0004064B">
        <w:t> </w:t>
      </w:r>
      <w:r w:rsidRPr="0004064B">
        <w:t>UDRP est limitée aux noms de domaine enregistrés dans les gTLD traditionnels, tels que .com, mais le Centre aide également de nombreux services d</w:t>
      </w:r>
      <w:r w:rsidR="001D039F" w:rsidRPr="0004064B">
        <w:t>’</w:t>
      </w:r>
      <w:r w:rsidRPr="0004064B">
        <w:t>enregistrement de ccTLD à établir des conditions d</w:t>
      </w:r>
      <w:r w:rsidR="001D039F" w:rsidRPr="0004064B">
        <w:t>’</w:t>
      </w:r>
      <w:r w:rsidRPr="0004064B">
        <w:t>enregistrement et des procédures de règlement des litiges conformes aux pratiques recommandées en matière de gestion des services d</w:t>
      </w:r>
      <w:r w:rsidR="001D039F" w:rsidRPr="0004064B">
        <w:t>’</w:t>
      </w:r>
      <w:r w:rsidRPr="0004064B">
        <w:t>enregistrement et de protection de la propriété intellectuelle</w:t>
      </w:r>
      <w:r w:rsidRPr="0004064B">
        <w:rPr>
          <w:rStyle w:val="FootnoteReference"/>
        </w:rPr>
        <w:footnoteReference w:id="45"/>
      </w:r>
      <w:r w:rsidRPr="0004064B">
        <w:t>.  Certains services d</w:t>
      </w:r>
      <w:r w:rsidR="001D039F" w:rsidRPr="0004064B">
        <w:t>’</w:t>
      </w:r>
      <w:r w:rsidRPr="0004064B">
        <w:t>enregistrement dans les ccTLD adoptent directement les principes</w:t>
      </w:r>
      <w:r w:rsidR="002347BC" w:rsidRPr="0004064B">
        <w:t> </w:t>
      </w:r>
      <w:r w:rsidRPr="0004064B">
        <w:t>UDRP, tandis que d</w:t>
      </w:r>
      <w:r w:rsidR="001D039F" w:rsidRPr="0004064B">
        <w:t>’</w:t>
      </w:r>
      <w:r w:rsidRPr="0004064B">
        <w:t>autres ont adopté des procédures fondées sur les principes UDRP qui tiennent compte de la situation et des besoins particuliers des différents cc</w:t>
      </w:r>
      <w:r w:rsidR="00567D37" w:rsidRPr="0004064B">
        <w:t>TLD.  Le</w:t>
      </w:r>
      <w:r w:rsidRPr="0004064B">
        <w:t xml:space="preserve"> Centre fournit des services de règlement des litiges relatifs aux noms de domaine à plus de </w:t>
      </w:r>
      <w:r w:rsidR="00C423BD" w:rsidRPr="0004064B">
        <w:t>80 </w:t>
      </w:r>
      <w:r w:rsidRPr="0004064B">
        <w:t>services d</w:t>
      </w:r>
      <w:r w:rsidR="001D039F" w:rsidRPr="0004064B">
        <w:t>’</w:t>
      </w:r>
      <w:r w:rsidRPr="0004064B">
        <w:t xml:space="preserve">enregistrement dans les ccTLD, dont les domaines </w:t>
      </w:r>
      <w:r w:rsidR="00C423BD" w:rsidRPr="0004064B">
        <w:t xml:space="preserve">.BH et البحرين. </w:t>
      </w:r>
      <w:r w:rsidR="00563191" w:rsidRPr="0004064B">
        <w:t xml:space="preserve"> </w:t>
      </w:r>
      <w:r w:rsidR="00C423BD" w:rsidRPr="0004064B">
        <w:t>(Bahreïn) et .SN (Sénégal)</w:t>
      </w:r>
      <w:r w:rsidR="001A0E04" w:rsidRPr="0004064B">
        <w:t xml:space="preserve">, récemment </w:t>
      </w:r>
      <w:r w:rsidR="00C423BD" w:rsidRPr="0004064B">
        <w:t>ajoutés</w:t>
      </w:r>
      <w:r w:rsidRPr="0004064B">
        <w:rPr>
          <w:vertAlign w:val="superscript"/>
        </w:rPr>
        <w:footnoteReference w:id="46"/>
      </w:r>
      <w:r w:rsidRPr="0004064B">
        <w:t>.</w:t>
      </w:r>
    </w:p>
    <w:p w14:paraId="19A03245" w14:textId="3E38D16A" w:rsidR="008E0BF9" w:rsidRPr="0004064B" w:rsidRDefault="008E0BF9" w:rsidP="0004064B">
      <w:pPr>
        <w:pStyle w:val="ONUMFS"/>
      </w:pPr>
      <w:r w:rsidRPr="0004064B">
        <w:t>Pour tous les ccTLD concernés, le Centre offre de très nombreuses ressources en ligne à l</w:t>
      </w:r>
      <w:r w:rsidR="001D039F" w:rsidRPr="0004064B">
        <w:t>’</w:t>
      </w:r>
      <w:r w:rsidRPr="0004064B">
        <w:t>intention des parties, s</w:t>
      </w:r>
      <w:r w:rsidR="001D039F" w:rsidRPr="0004064B">
        <w:t>’</w:t>
      </w:r>
      <w:r w:rsidRPr="0004064B">
        <w:t xml:space="preserve">agissant notamment des critères à remplir pour prétendre à un enregistrement, des caractères pris en charge, de communications types et de renseignements </w:t>
      </w:r>
      <w:r w:rsidRPr="0004064B">
        <w:lastRenderedPageBreak/>
        <w:t>multilingues sur le dépôt des demandes</w:t>
      </w:r>
      <w:r w:rsidRPr="0004064B">
        <w:rPr>
          <w:rStyle w:val="FootnoteReference"/>
        </w:rPr>
        <w:footnoteReference w:id="47"/>
      </w:r>
      <w:r w:rsidRPr="0004064B">
        <w:t>, ainsi que de résumés des différences à prendre en considération entre les politiques relatives aux ccTLD inspirées des principes UDRP et les principes UDRP proprement dits</w:t>
      </w:r>
      <w:r w:rsidRPr="0004064B">
        <w:rPr>
          <w:rStyle w:val="FootnoteReference"/>
        </w:rPr>
        <w:footnoteReference w:id="48"/>
      </w:r>
      <w:r w:rsidRPr="0004064B">
        <w:t>.  Ces informations sont résumées dans le “Guide des services de l</w:t>
      </w:r>
      <w:r w:rsidR="001D039F" w:rsidRPr="0004064B">
        <w:t>’</w:t>
      </w:r>
      <w:r w:rsidRPr="0004064B">
        <w:t>OMPI relatifs aux services d</w:t>
      </w:r>
      <w:r w:rsidR="001D039F" w:rsidRPr="0004064B">
        <w:t>’</w:t>
      </w:r>
      <w:r w:rsidRPr="0004064B">
        <w:t>enregistrement dans les domaines de premier niveau qui sont des codes de pays”</w:t>
      </w:r>
      <w:r w:rsidRPr="0004064B">
        <w:rPr>
          <w:rStyle w:val="FootnoteReference"/>
        </w:rPr>
        <w:footnoteReference w:id="49"/>
      </w:r>
      <w:r w:rsidRPr="0004064B">
        <w:t>.</w:t>
      </w:r>
    </w:p>
    <w:p w14:paraId="31B54BEC" w14:textId="77777777" w:rsidR="008E0BF9" w:rsidRPr="001E5043" w:rsidRDefault="002B3C37" w:rsidP="002B3C37">
      <w:pPr>
        <w:pStyle w:val="Heading2"/>
        <w:rPr>
          <w:lang w:val="fr-FR"/>
        </w:rPr>
      </w:pPr>
      <w:r w:rsidRPr="001E5043">
        <w:rPr>
          <w:lang w:val="fr-FR"/>
        </w:rPr>
        <w:t>Faits nouveaux dans le DNS</w:t>
      </w:r>
    </w:p>
    <w:p w14:paraId="132E61D2" w14:textId="27138AA1" w:rsidR="008E0BF9" w:rsidRPr="0004064B" w:rsidRDefault="008E0BF9" w:rsidP="0004064B">
      <w:pPr>
        <w:pStyle w:val="ONUMFS"/>
      </w:pPr>
      <w:r w:rsidRPr="0004064B">
        <w:t>Plusieurs initiatives de politique générale de l</w:t>
      </w:r>
      <w:r w:rsidR="001D039F" w:rsidRPr="0004064B">
        <w:t>’</w:t>
      </w:r>
      <w:r w:rsidRPr="0004064B">
        <w:t>ICANN créent non seulement des opportunités mais également des difficultés pour les titulaires de droits de propriété intellectuelle et les utilisateu</w:t>
      </w:r>
      <w:r w:rsidR="00567D37" w:rsidRPr="0004064B">
        <w:t>rs.  La</w:t>
      </w:r>
      <w:r w:rsidRPr="0004064B">
        <w:t xml:space="preserve"> première concerne l</w:t>
      </w:r>
      <w:r w:rsidR="001D039F" w:rsidRPr="0004064B">
        <w:t>’</w:t>
      </w:r>
      <w:r w:rsidRPr="0004064B">
        <w:t>introduction en masse de nouveaux gTLD par l</w:t>
      </w:r>
      <w:r w:rsidR="001D039F" w:rsidRPr="0004064B">
        <w:t>’</w:t>
      </w:r>
      <w:r w:rsidRPr="0004064B">
        <w:t>IC</w:t>
      </w:r>
      <w:r w:rsidR="00567D37" w:rsidRPr="0004064B">
        <w:t>ANN.  Ce</w:t>
      </w:r>
      <w:r w:rsidRPr="0004064B">
        <w:t xml:space="preserve">s nouveaux domaines génériques de premier niveau peuvent être de nature “ouverte” (similaires à .com), ou plus spécifique ou restrictive, par exemple .[marque], .[ville], .[collectivité], .[culture], .[industrie] ou .[langue].  Un facteur important de cette croissance du DNS </w:t>
      </w:r>
      <w:r w:rsidR="00C64E8F" w:rsidRPr="0004064B">
        <w:t>concern</w:t>
      </w:r>
      <w:r w:rsidR="00E240A2" w:rsidRPr="0004064B">
        <w:t>e</w:t>
      </w:r>
      <w:r w:rsidRPr="0004064B">
        <w:t xml:space="preserve"> </w:t>
      </w:r>
      <w:r w:rsidR="00C64E8F" w:rsidRPr="0004064B">
        <w:t>les</w:t>
      </w:r>
      <w:r w:rsidRPr="0004064B">
        <w:t xml:space="preserve"> noms de domaine internationalisés au premier niveau, qui </w:t>
      </w:r>
      <w:r w:rsidR="00C64E8F" w:rsidRPr="0004064B">
        <w:t>ont</w:t>
      </w:r>
      <w:r w:rsidRPr="0004064B">
        <w:t xml:space="preserve"> permis d</w:t>
      </w:r>
      <w:r w:rsidR="001D039F" w:rsidRPr="0004064B">
        <w:t>’</w:t>
      </w:r>
      <w:r w:rsidRPr="0004064B">
        <w:t>étendre la couverture linguistique du </w:t>
      </w:r>
      <w:r w:rsidR="00567D37" w:rsidRPr="0004064B">
        <w:t>DNS.  En</w:t>
      </w:r>
      <w:r w:rsidRPr="0004064B">
        <w:t xml:space="preserve"> outre, l</w:t>
      </w:r>
      <w:r w:rsidR="001D039F" w:rsidRPr="0004064B">
        <w:t>’</w:t>
      </w:r>
      <w:r w:rsidRPr="0004064B">
        <w:t>expansion du DNS envisagée par l</w:t>
      </w:r>
      <w:r w:rsidR="001D039F" w:rsidRPr="0004064B">
        <w:t>’</w:t>
      </w:r>
      <w:r w:rsidRPr="0004064B">
        <w:t>ICANN soulève des questions de protection des droits en rapport avec le deuxième processus de consultations de l</w:t>
      </w:r>
      <w:r w:rsidR="001D039F" w:rsidRPr="0004064B">
        <w:t>’</w:t>
      </w:r>
      <w:r w:rsidRPr="0004064B">
        <w:t>OMPI sur les noms de domaine de l</w:t>
      </w:r>
      <w:r w:rsidR="001D039F" w:rsidRPr="0004064B">
        <w:t>’</w:t>
      </w:r>
      <w:r w:rsidRPr="0004064B">
        <w:t>Internet.</w:t>
      </w:r>
    </w:p>
    <w:p w14:paraId="756B7AE5" w14:textId="77777777" w:rsidR="008E0BF9" w:rsidRPr="001E5043" w:rsidRDefault="002B3C37" w:rsidP="002B3C37">
      <w:pPr>
        <w:pStyle w:val="Heading3"/>
        <w:keepNext/>
        <w:numPr>
          <w:ilvl w:val="0"/>
          <w:numId w:val="11"/>
        </w:numPr>
        <w:ind w:left="1134" w:hanging="567"/>
      </w:pPr>
      <w:r w:rsidRPr="001E5043">
        <w:t>Nouveaux gTLD</w:t>
      </w:r>
    </w:p>
    <w:p w14:paraId="37569994" w14:textId="58AFA0CA" w:rsidR="008E0BF9" w:rsidRPr="0004064B" w:rsidRDefault="008E0BF9" w:rsidP="0004064B">
      <w:pPr>
        <w:pStyle w:val="ONUMFS"/>
      </w:pPr>
      <w:r w:rsidRPr="0004064B">
        <w:t>La mise en œuvre du programme de l</w:t>
      </w:r>
      <w:r w:rsidR="001D039F" w:rsidRPr="0004064B">
        <w:t>’</w:t>
      </w:r>
      <w:r w:rsidRPr="0004064B">
        <w:t xml:space="preserve">ICANN relatif aux nouveaux gTLD approuvée </w:t>
      </w:r>
      <w:r w:rsidR="00C64E8F" w:rsidRPr="0004064B">
        <w:t xml:space="preserve">en premier lieu </w:t>
      </w:r>
      <w:r w:rsidRPr="0004064B">
        <w:t>en juin 2011</w:t>
      </w:r>
      <w:r w:rsidRPr="0004064B">
        <w:rPr>
          <w:rStyle w:val="FootnoteReference"/>
        </w:rPr>
        <w:footnoteReference w:id="50"/>
      </w:r>
      <w:r w:rsidRPr="0004064B">
        <w:t xml:space="preserve"> est détaillée dans le </w:t>
      </w:r>
      <w:r w:rsidR="00C423BD" w:rsidRPr="0004064B">
        <w:t>g</w:t>
      </w:r>
      <w:r w:rsidRPr="0004064B">
        <w:t>uide de candidature de l</w:t>
      </w:r>
      <w:r w:rsidR="001D039F" w:rsidRPr="0004064B">
        <w:t>’</w:t>
      </w:r>
      <w:r w:rsidRPr="0004064B">
        <w:t>ICANN</w:t>
      </w:r>
      <w:r w:rsidRPr="0004064B">
        <w:rPr>
          <w:rStyle w:val="FootnoteReference"/>
        </w:rPr>
        <w:footnoteReference w:id="51"/>
      </w:r>
      <w:r w:rsidRPr="0004064B">
        <w:t>, qui a fait l</w:t>
      </w:r>
      <w:r w:rsidR="001D039F" w:rsidRPr="0004064B">
        <w:t>’</w:t>
      </w:r>
      <w:r w:rsidRPr="0004064B">
        <w:t>objet de nombreuses révisio</w:t>
      </w:r>
      <w:r w:rsidR="00567D37" w:rsidRPr="0004064B">
        <w:t>ns.  La</w:t>
      </w:r>
      <w:r w:rsidRPr="0004064B">
        <w:t xml:space="preserve"> délégation de la première série de gTLD dans la zone racine de l</w:t>
      </w:r>
      <w:r w:rsidR="001D039F" w:rsidRPr="0004064B">
        <w:t>’</w:t>
      </w:r>
      <w:r w:rsidRPr="0004064B">
        <w:t>Internet a eu lieu en octobre 2013, pratiquement l</w:t>
      </w:r>
      <w:r w:rsidR="001D039F" w:rsidRPr="0004064B">
        <w:t>’</w:t>
      </w:r>
      <w:r w:rsidRPr="0004064B">
        <w:t>ensemble des 1200</w:t>
      </w:r>
      <w:r w:rsidR="00567D37" w:rsidRPr="0004064B">
        <w:t> </w:t>
      </w:r>
      <w:r w:rsidRPr="0004064B">
        <w:t>gTLD ayant été attribués en juin 2019</w:t>
      </w:r>
      <w:r w:rsidRPr="0004064B">
        <w:rPr>
          <w:rStyle w:val="FootnoteReference"/>
        </w:rPr>
        <w:footnoteReference w:id="52"/>
      </w:r>
      <w:r w:rsidRPr="0004064B">
        <w:t>.  Ses travaux de politique générale sur ce sujet étant en grande partie achevés, l</w:t>
      </w:r>
      <w:r w:rsidR="001D039F" w:rsidRPr="0004064B">
        <w:t>’</w:t>
      </w:r>
      <w:r w:rsidRPr="0004064B">
        <w:t xml:space="preserve">ICANN </w:t>
      </w:r>
      <w:r w:rsidR="000B0AF1" w:rsidRPr="0004064B">
        <w:t>a démarré la mise en œuvre</w:t>
      </w:r>
      <w:r w:rsidRPr="0004064B">
        <w:t xml:space="preserve"> </w:t>
      </w:r>
      <w:r w:rsidR="000B0AF1" w:rsidRPr="0004064B">
        <w:t>d</w:t>
      </w:r>
      <w:r w:rsidR="001D039F" w:rsidRPr="0004064B">
        <w:t>’</w:t>
      </w:r>
      <w:r w:rsidRPr="0004064B">
        <w:t>une nouvelle série de “nouveaux gTLD”</w:t>
      </w:r>
      <w:r w:rsidRPr="0004064B">
        <w:rPr>
          <w:rStyle w:val="FootnoteReference"/>
        </w:rPr>
        <w:footnoteReference w:id="53"/>
      </w:r>
      <w:r w:rsidRPr="0004064B">
        <w:t>.</w:t>
      </w:r>
    </w:p>
    <w:p w14:paraId="104E9C4F" w14:textId="27B058D7" w:rsidR="002347BC" w:rsidRDefault="008E0BF9" w:rsidP="0004064B">
      <w:pPr>
        <w:pStyle w:val="ONUMFS"/>
        <w:rPr>
          <w:lang w:val="fr-FR"/>
        </w:rPr>
      </w:pPr>
      <w:r w:rsidRPr="0004064B">
        <w:t>Le Centre reste déterminé à travailler avec les parties prenantes</w:t>
      </w:r>
      <w:r w:rsidR="000B0AF1" w:rsidRPr="0004064B">
        <w:t xml:space="preserve"> en vue</w:t>
      </w:r>
      <w:r w:rsidRPr="0004064B">
        <w:t xml:space="preserve"> de préserver l</w:t>
      </w:r>
      <w:r w:rsidR="001D039F" w:rsidRPr="0004064B">
        <w:t>’</w:t>
      </w:r>
      <w:r w:rsidRPr="0004064B">
        <w:t>observation des principes généraux de la protection de la propriété intellectuelle dans les nouveaux g</w:t>
      </w:r>
      <w:r w:rsidR="00567D37" w:rsidRPr="0004064B">
        <w:t>TLD.  Ce</w:t>
      </w:r>
      <w:r w:rsidRPr="0004064B">
        <w:t>rtains mécanismes de protection des droits ont émergé d</w:t>
      </w:r>
      <w:r w:rsidR="001D039F" w:rsidRPr="0004064B">
        <w:t>’</w:t>
      </w:r>
      <w:r w:rsidRPr="0004064B">
        <w:t>une série de comités et processus de l</w:t>
      </w:r>
      <w:r w:rsidR="001D039F" w:rsidRPr="0004064B">
        <w:t>’</w:t>
      </w:r>
      <w:r w:rsidRPr="0004064B">
        <w:t>ICANN relatifs aux nouveaux gTLD</w:t>
      </w:r>
      <w:r w:rsidRPr="0004064B">
        <w:rPr>
          <w:rStyle w:val="FootnoteReference"/>
        </w:rPr>
        <w:footnoteReference w:id="54"/>
      </w:r>
      <w:r w:rsidRPr="0004064B">
        <w:t>.  On trouvera ci</w:t>
      </w:r>
      <w:r w:rsidR="005723D0" w:rsidRPr="0004064B">
        <w:noBreakHyphen/>
      </w:r>
      <w:r w:rsidRPr="0004064B">
        <w:t>après une description générale des mécanismes de protection des droits de l</w:t>
      </w:r>
      <w:r w:rsidR="001D039F" w:rsidRPr="0004064B">
        <w:t>’</w:t>
      </w:r>
      <w:r w:rsidRPr="0004064B">
        <w:t>ICANN, pour les premier et</w:t>
      </w:r>
      <w:r w:rsidR="002347BC" w:rsidRPr="0004064B">
        <w:t> </w:t>
      </w:r>
      <w:r w:rsidRPr="0004064B">
        <w:t>deuxième</w:t>
      </w:r>
      <w:r w:rsidR="002347BC" w:rsidRPr="0004064B">
        <w:t> </w:t>
      </w:r>
      <w:r w:rsidRPr="0004064B">
        <w:t>niveaux respectivement.</w:t>
      </w:r>
    </w:p>
    <w:p w14:paraId="334D0380" w14:textId="77777777" w:rsidR="002347BC" w:rsidRDefault="002347BC">
      <w:pPr>
        <w:rPr>
          <w:lang w:val="fr-FR"/>
        </w:rPr>
      </w:pPr>
      <w:r>
        <w:rPr>
          <w:lang w:val="fr-FR"/>
        </w:rPr>
        <w:br w:type="page"/>
      </w:r>
    </w:p>
    <w:p w14:paraId="32CF3880" w14:textId="042D2427" w:rsidR="008E0BF9" w:rsidRPr="001E5043" w:rsidRDefault="008E0BF9" w:rsidP="002B3C37">
      <w:pPr>
        <w:pStyle w:val="Heading4"/>
        <w:rPr>
          <w:lang w:val="fr-FR"/>
        </w:rPr>
      </w:pPr>
      <w:r w:rsidRPr="001E5043">
        <w:rPr>
          <w:lang w:val="fr-FR"/>
        </w:rPr>
        <w:lastRenderedPageBreak/>
        <w:t>Mécanismes de protection des droits de premier</w:t>
      </w:r>
      <w:r w:rsidR="002347BC">
        <w:rPr>
          <w:lang w:val="fr-FR"/>
        </w:rPr>
        <w:t> </w:t>
      </w:r>
      <w:r w:rsidRPr="001E5043">
        <w:rPr>
          <w:lang w:val="fr-FR"/>
        </w:rPr>
        <w:t>niveau</w:t>
      </w:r>
    </w:p>
    <w:p w14:paraId="52B74A02" w14:textId="37B2C6B3" w:rsidR="008E0BF9" w:rsidRPr="001E5043" w:rsidRDefault="008E0BF9" w:rsidP="002B3C37">
      <w:pPr>
        <w:pStyle w:val="Heading5"/>
      </w:pPr>
      <w:r w:rsidRPr="001E5043">
        <w:t>Procédure de règlement des litiges préalable à l</w:t>
      </w:r>
      <w:r w:rsidR="001D039F">
        <w:t>’</w:t>
      </w:r>
      <w:r w:rsidRPr="001E5043">
        <w:t>attribution d</w:t>
      </w:r>
      <w:r w:rsidR="001D039F">
        <w:t>’</w:t>
      </w:r>
      <w:r w:rsidRPr="001E5043">
        <w:t>un domaine de premier niveau</w:t>
      </w:r>
    </w:p>
    <w:p w14:paraId="5C9F21D1" w14:textId="07FD0E2D" w:rsidR="008E0BF9" w:rsidRPr="0004064B" w:rsidRDefault="008E0BF9" w:rsidP="0004064B">
      <w:pPr>
        <w:pStyle w:val="ONUMFS"/>
      </w:pPr>
      <w:r w:rsidRPr="0004064B">
        <w:t>Ce mécanisme permettait aux propriétaires de marques d</w:t>
      </w:r>
      <w:r w:rsidR="001D039F" w:rsidRPr="0004064B">
        <w:t>’</w:t>
      </w:r>
      <w:r w:rsidRPr="0004064B">
        <w:t>opposer aux deman</w:t>
      </w:r>
      <w:r w:rsidR="0004064B">
        <w:t>des de nouveaux gTLD au premier </w:t>
      </w:r>
      <w:r w:rsidRPr="0004064B">
        <w:t>niveau des objections pour atteinte aux droits lorsque certains critères matériels étaient réunis</w:t>
      </w:r>
      <w:r w:rsidRPr="0004064B">
        <w:rPr>
          <w:rStyle w:val="FootnoteReference"/>
        </w:rPr>
        <w:footnoteReference w:id="55"/>
      </w:r>
      <w:r w:rsidRPr="0004064B">
        <w:t>.  Le Centre a apporté à l</w:t>
      </w:r>
      <w:r w:rsidR="001D039F" w:rsidRPr="0004064B">
        <w:t>’</w:t>
      </w:r>
      <w:r w:rsidRPr="0004064B">
        <w:t>ICANN une assistance pour l</w:t>
      </w:r>
      <w:r w:rsidR="001D039F" w:rsidRPr="0004064B">
        <w:t>’</w:t>
      </w:r>
      <w:r w:rsidRPr="0004064B">
        <w:t>élaboration de ces critères sur la base de la “Recommandation commune de l</w:t>
      </w:r>
      <w:r w:rsidR="001D039F" w:rsidRPr="0004064B">
        <w:t>’</w:t>
      </w:r>
      <w:r w:rsidRPr="0004064B">
        <w:t>OMPI concernant la protection des marques, et autres droits de propriété industrielle relatifs à des signes, sur l</w:t>
      </w:r>
      <w:r w:rsidR="001D039F" w:rsidRPr="0004064B">
        <w:t>’</w:t>
      </w:r>
      <w:r w:rsidRPr="0004064B">
        <w:t>Internet”</w:t>
      </w:r>
      <w:r w:rsidRPr="0004064B">
        <w:rPr>
          <w:rStyle w:val="FootnoteReference"/>
        </w:rPr>
        <w:footnoteReference w:id="56"/>
      </w:r>
      <w:r w:rsidRPr="0004064B">
        <w:t>.  Désigné par l</w:t>
      </w:r>
      <w:r w:rsidR="001D039F" w:rsidRPr="0004064B">
        <w:t>’</w:t>
      </w:r>
      <w:r w:rsidRPr="0004064B">
        <w:t>ICANN comme prestataire exclusif de services de règlement des litiges relatifs aux objections pour atteinte aux droits</w:t>
      </w:r>
      <w:r w:rsidRPr="0004064B">
        <w:rPr>
          <w:rStyle w:val="FootnoteReference"/>
        </w:rPr>
        <w:footnoteReference w:id="57"/>
      </w:r>
      <w:r w:rsidRPr="0004064B">
        <w:t>, le Centre a instruit à ce titre 69</w:t>
      </w:r>
      <w:r w:rsidR="001E5043" w:rsidRPr="0004064B">
        <w:t> </w:t>
      </w:r>
      <w:r w:rsidRPr="0004064B">
        <w:t>plaintes en 2013</w:t>
      </w:r>
      <w:r w:rsidRPr="0004064B">
        <w:rPr>
          <w:rStyle w:val="FootnoteReference"/>
        </w:rPr>
        <w:footnoteReference w:id="58"/>
      </w:r>
      <w:r w:rsidRPr="0004064B">
        <w:t>.</w:t>
      </w:r>
    </w:p>
    <w:p w14:paraId="5FE128C3" w14:textId="56D67095" w:rsidR="008E0BF9" w:rsidRPr="001E5043" w:rsidRDefault="008E0BF9" w:rsidP="002B3C37">
      <w:pPr>
        <w:pStyle w:val="Heading5"/>
        <w:rPr>
          <w:i/>
        </w:rPr>
      </w:pPr>
      <w:r w:rsidRPr="001E5043">
        <w:t>Procédure de règlement des litiges postérieure à l</w:t>
      </w:r>
      <w:r w:rsidR="001D039F">
        <w:t>’</w:t>
      </w:r>
      <w:r w:rsidRPr="001E5043">
        <w:t>attribution d</w:t>
      </w:r>
      <w:r w:rsidR="001D039F">
        <w:t>’</w:t>
      </w:r>
      <w:r w:rsidRPr="001E5043">
        <w:t>un domaine de premier</w:t>
      </w:r>
      <w:r w:rsidR="002347BC">
        <w:t> </w:t>
      </w:r>
      <w:r w:rsidRPr="001E5043">
        <w:t>niveau</w:t>
      </w:r>
    </w:p>
    <w:p w14:paraId="5BE5B8E0" w14:textId="14030906" w:rsidR="008E0BF9" w:rsidRPr="0004064B" w:rsidRDefault="008E0BF9" w:rsidP="0004064B">
      <w:pPr>
        <w:pStyle w:val="ONUMFS"/>
      </w:pPr>
      <w:r w:rsidRPr="0004064B">
        <w:t>Début</w:t>
      </w:r>
      <w:r w:rsidR="001E5043" w:rsidRPr="0004064B">
        <w:t> </w:t>
      </w:r>
      <w:r w:rsidRPr="0004064B">
        <w:t>2009, le Centre a communiqué à l</w:t>
      </w:r>
      <w:r w:rsidR="001D039F" w:rsidRPr="0004064B">
        <w:t>’</w:t>
      </w:r>
      <w:r w:rsidRPr="0004064B">
        <w:t>ICANN une proposition concrète en faveur d</w:t>
      </w:r>
      <w:r w:rsidR="001D039F" w:rsidRPr="0004064B">
        <w:t>’</w:t>
      </w:r>
      <w:r w:rsidRPr="0004064B">
        <w:t>une option administrative permanente qui permettrait le dépôt d</w:t>
      </w:r>
      <w:r w:rsidR="001D039F" w:rsidRPr="0004064B">
        <w:t>’</w:t>
      </w:r>
      <w:r w:rsidRPr="0004064B">
        <w:t>une plainte contre l</w:t>
      </w:r>
      <w:r w:rsidR="001D039F" w:rsidRPr="0004064B">
        <w:t>’</w:t>
      </w:r>
      <w:r w:rsidRPr="0004064B">
        <w:t>administrateur d</w:t>
      </w:r>
      <w:r w:rsidR="001D039F" w:rsidRPr="0004064B">
        <w:t>’</w:t>
      </w:r>
      <w:r w:rsidRPr="0004064B">
        <w:t>un service d</w:t>
      </w:r>
      <w:r w:rsidR="001D039F" w:rsidRPr="0004064B">
        <w:t>’</w:t>
      </w:r>
      <w:r w:rsidRPr="0004064B">
        <w:t>enregistrement pour un gTLD nouvellement approuvé dont le mode de fonctionnement ou l</w:t>
      </w:r>
      <w:r w:rsidR="001D039F" w:rsidRPr="0004064B">
        <w:t>’</w:t>
      </w:r>
      <w:r w:rsidRPr="0004064B">
        <w:t>utilisation de son service porterait atteinte ou contribuerait matériellement à porter atteinte à une marque</w:t>
      </w:r>
      <w:r w:rsidRPr="0004064B">
        <w:rPr>
          <w:rStyle w:val="FootnoteReference"/>
        </w:rPr>
        <w:footnoteReference w:id="59"/>
      </w:r>
      <w:r w:rsidRPr="0004064B">
        <w:t>.  L</w:t>
      </w:r>
      <w:r w:rsidR="001D039F" w:rsidRPr="0004064B">
        <w:t>’</w:t>
      </w:r>
      <w:r w:rsidRPr="0004064B">
        <w:t>intention était de procurer une forme d</w:t>
      </w:r>
      <w:r w:rsidR="001D039F" w:rsidRPr="0004064B">
        <w:t>’</w:t>
      </w:r>
      <w:r w:rsidRPr="0004064B">
        <w:t>assistance normalisée à l</w:t>
      </w:r>
      <w:r w:rsidR="001D039F" w:rsidRPr="0004064B">
        <w:t>’</w:t>
      </w:r>
      <w:r w:rsidRPr="0004064B">
        <w:t>ICANN pour lui permettre de s</w:t>
      </w:r>
      <w:r w:rsidR="001D039F" w:rsidRPr="0004064B">
        <w:t>’</w:t>
      </w:r>
      <w:r w:rsidRPr="0004064B">
        <w:t>acquitter de ses responsabilités en matière de supervision, en prévoyant une voie de règlement administrative pouvant se substituer à l</w:t>
      </w:r>
      <w:r w:rsidR="001D039F" w:rsidRPr="0004064B">
        <w:t>’</w:t>
      </w:r>
      <w:r w:rsidRPr="0004064B">
        <w:t>action en justice et en encourageant les acteurs concernés à se comporter de manière responsable, le tout assorti de clauses d</w:t>
      </w:r>
      <w:r w:rsidR="001D039F" w:rsidRPr="0004064B">
        <w:t>’</w:t>
      </w:r>
      <w:r w:rsidRPr="0004064B">
        <w:t>exonération de responsabilité</w:t>
      </w:r>
      <w:r w:rsidRPr="0004064B">
        <w:rPr>
          <w:rStyle w:val="FootnoteReference"/>
        </w:rPr>
        <w:footnoteReference w:id="60"/>
      </w:r>
      <w:r w:rsidRPr="0004064B">
        <w:t>.</w:t>
      </w:r>
    </w:p>
    <w:p w14:paraId="16F242C4" w14:textId="61B4CFA1" w:rsidR="008E0BF9" w:rsidRPr="0004064B" w:rsidRDefault="008E0BF9" w:rsidP="0004064B">
      <w:pPr>
        <w:pStyle w:val="ONUMFS"/>
      </w:pPr>
      <w:r w:rsidRPr="0004064B">
        <w:lastRenderedPageBreak/>
        <w:t>À la suite de différentes procédures de l</w:t>
      </w:r>
      <w:r w:rsidR="001D039F" w:rsidRPr="0004064B">
        <w:t>’</w:t>
      </w:r>
      <w:r w:rsidRPr="0004064B">
        <w:t>ICANN, notamment les consultations avec les administrateurs de services d</w:t>
      </w:r>
      <w:r w:rsidR="001D039F" w:rsidRPr="0004064B">
        <w:t>’</w:t>
      </w:r>
      <w:r w:rsidRPr="0004064B">
        <w:t>enregistrement, l</w:t>
      </w:r>
      <w:r w:rsidR="001D039F" w:rsidRPr="0004064B">
        <w:t>’</w:t>
      </w:r>
      <w:r w:rsidRPr="0004064B">
        <w:t>efficacité de la procédure de règlement des litiges postérieure à l</w:t>
      </w:r>
      <w:r w:rsidR="001D039F" w:rsidRPr="0004064B">
        <w:t>’</w:t>
      </w:r>
      <w:r w:rsidRPr="0004064B">
        <w:t>attribution reste incertaine, compte tenu en particulier de la superposition de différentes couches procédurales et des problèmes concernant le champ d</w:t>
      </w:r>
      <w:r w:rsidR="001D039F" w:rsidRPr="0004064B">
        <w:t>’</w:t>
      </w:r>
      <w:r w:rsidRPr="0004064B">
        <w:t>application de ce mécanisme, tels que l</w:t>
      </w:r>
      <w:r w:rsidR="001D039F" w:rsidRPr="0004064B">
        <w:t>’</w:t>
      </w:r>
      <w:r w:rsidRPr="0004064B">
        <w:t>exclusion de la notion juridique d</w:t>
      </w:r>
      <w:r w:rsidR="001D039F" w:rsidRPr="0004064B">
        <w:t>’</w:t>
      </w:r>
      <w:r w:rsidRPr="0004064B">
        <w:t>“aveuglement volontaire” des critères applicables</w:t>
      </w:r>
      <w:r w:rsidRPr="0004064B">
        <w:rPr>
          <w:rStyle w:val="FootnoteReference"/>
        </w:rPr>
        <w:footnoteReference w:id="61"/>
      </w:r>
      <w:r w:rsidRPr="0004064B">
        <w:t>.</w:t>
      </w:r>
    </w:p>
    <w:p w14:paraId="66F8276D" w14:textId="77777777" w:rsidR="008E0BF9" w:rsidRPr="001E5043" w:rsidRDefault="008E0BF9" w:rsidP="002B3C37">
      <w:pPr>
        <w:pStyle w:val="Heading4"/>
        <w:rPr>
          <w:lang w:val="fr-FR"/>
        </w:rPr>
      </w:pPr>
      <w:r w:rsidRPr="001E5043">
        <w:rPr>
          <w:lang w:val="fr-FR"/>
        </w:rPr>
        <w:t>Mécanismes de protection des droits au deuxième niveau</w:t>
      </w:r>
    </w:p>
    <w:p w14:paraId="590D72B6" w14:textId="77777777" w:rsidR="008E0BF9" w:rsidRPr="001E5043" w:rsidRDefault="008E0BF9" w:rsidP="002B3C37">
      <w:pPr>
        <w:pStyle w:val="Heading5"/>
        <w:numPr>
          <w:ilvl w:val="0"/>
          <w:numId w:val="23"/>
        </w:numPr>
        <w:ind w:left="1701" w:hanging="567"/>
        <w:rPr>
          <w:i/>
        </w:rPr>
      </w:pPr>
      <w:r w:rsidRPr="001E5043">
        <w:t>Base de données centrale sur les marques</w:t>
      </w:r>
    </w:p>
    <w:p w14:paraId="73F6A274" w14:textId="6024D8FE" w:rsidR="008E0BF9" w:rsidRPr="0004064B" w:rsidRDefault="008E0BF9" w:rsidP="0004064B">
      <w:pPr>
        <w:pStyle w:val="ONUMFS"/>
      </w:pPr>
      <w:r w:rsidRPr="0004064B">
        <w:t>Le programme de l</w:t>
      </w:r>
      <w:r w:rsidR="001D039F" w:rsidRPr="0004064B">
        <w:t>’</w:t>
      </w:r>
      <w:r w:rsidRPr="0004064B">
        <w:t>ICANN relatif aux nouveaux gTLD prévoit l</w:t>
      </w:r>
      <w:r w:rsidR="001D039F" w:rsidRPr="0004064B">
        <w:t>’</w:t>
      </w:r>
      <w:r w:rsidRPr="0004064B">
        <w:t>établissement d</w:t>
      </w:r>
      <w:r w:rsidR="001D039F" w:rsidRPr="0004064B">
        <w:t>’</w:t>
      </w:r>
      <w:r w:rsidRPr="0004064B">
        <w:t>une base de données centrale sur les marques pouvant être invoquée en vertu des mécanismes de protection des droits relatifs aux nouveaux gTLD</w:t>
      </w:r>
      <w:r w:rsidRPr="0004064B">
        <w:rPr>
          <w:rStyle w:val="FootnoteReference"/>
        </w:rPr>
        <w:footnoteReference w:id="62"/>
      </w:r>
      <w:r w:rsidRPr="0004064B">
        <w:t>.  Le Centre a fait valoir que toute base de données centrale devrait éviter d</w:t>
      </w:r>
      <w:r w:rsidR="001D039F" w:rsidRPr="0004064B">
        <w:t>’</w:t>
      </w:r>
      <w:r w:rsidRPr="0004064B">
        <w:t>alourdir la charge de travail des titulaires de droits en matière de traitement des enregistrements de marques légitimement obtenus dans le cadre des systèmes d</w:t>
      </w:r>
      <w:r w:rsidR="001D039F" w:rsidRPr="0004064B">
        <w:t>’</w:t>
      </w:r>
      <w:r w:rsidRPr="0004064B">
        <w:t>examen et d</w:t>
      </w:r>
      <w:r w:rsidR="001D039F" w:rsidRPr="0004064B">
        <w:t>’</w:t>
      </w:r>
      <w:r w:rsidRPr="0004064B">
        <w:t>enregistrement appliqués dans de nombreux ressorts juridiques et qu</w:t>
      </w:r>
      <w:r w:rsidR="001D039F" w:rsidRPr="0004064B">
        <w:t>’</w:t>
      </w:r>
      <w:r w:rsidRPr="0004064B">
        <w:t>il conviendrait, le cas échéant, d</w:t>
      </w:r>
      <w:r w:rsidR="001D039F" w:rsidRPr="0004064B">
        <w:t>’</w:t>
      </w:r>
      <w:r w:rsidRPr="0004064B">
        <w:t>envisager des mesures pratiques pour recenser toute invocation inappropriée de droits dans certains context</w:t>
      </w:r>
      <w:r w:rsidR="00567D37" w:rsidRPr="0004064B">
        <w:t>es.  La</w:t>
      </w:r>
      <w:r w:rsidRPr="0004064B">
        <w:t xml:space="preserve"> base de données centrale sur les marques compt</w:t>
      </w:r>
      <w:r w:rsidR="00C423BD" w:rsidRPr="0004064B">
        <w:t>e</w:t>
      </w:r>
      <w:r w:rsidRPr="0004064B">
        <w:t xml:space="preserve"> quelque 4</w:t>
      </w:r>
      <w:r w:rsidR="00C423BD" w:rsidRPr="0004064B">
        <w:t>7</w:t>
      </w:r>
      <w:r w:rsidRPr="0004064B">
        <w:t> </w:t>
      </w:r>
      <w:r w:rsidR="00C423BD" w:rsidRPr="0004064B">
        <w:t>0</w:t>
      </w:r>
      <w:r w:rsidRPr="0004064B">
        <w:t>00</w:t>
      </w:r>
      <w:r w:rsidR="00C423BD" w:rsidRPr="0004064B">
        <w:t> </w:t>
      </w:r>
      <w:r w:rsidRPr="0004064B">
        <w:t>entrées</w:t>
      </w:r>
      <w:r w:rsidRPr="0004064B">
        <w:rPr>
          <w:rStyle w:val="FootnoteReference"/>
        </w:rPr>
        <w:footnoteReference w:id="63"/>
      </w:r>
      <w:r w:rsidRPr="0004064B">
        <w:t>.</w:t>
      </w:r>
    </w:p>
    <w:p w14:paraId="57C34363" w14:textId="77777777" w:rsidR="008E0BF9" w:rsidRPr="001E5043" w:rsidRDefault="008E0BF9" w:rsidP="002B3C37">
      <w:pPr>
        <w:pStyle w:val="Heading5"/>
        <w:rPr>
          <w:i/>
        </w:rPr>
      </w:pPr>
      <w:r w:rsidRPr="001E5043">
        <w:t>Système de suspension uniforme rapide</w:t>
      </w:r>
    </w:p>
    <w:p w14:paraId="78FD018E" w14:textId="0F692515" w:rsidR="008E0BF9" w:rsidRPr="0004064B" w:rsidRDefault="008E0BF9" w:rsidP="0004064B">
      <w:pPr>
        <w:pStyle w:val="ONUMFS"/>
      </w:pPr>
      <w:r w:rsidRPr="0004064B">
        <w:t>Les principes</w:t>
      </w:r>
      <w:r w:rsidR="002347BC" w:rsidRPr="0004064B">
        <w:t> </w:t>
      </w:r>
      <w:r w:rsidRPr="0004064B">
        <w:t>UDRP resteront un instrument défensif pour certains litiges qui appellent le transfert du nom de domaine contesté au propriétaire de la marque, et l</w:t>
      </w:r>
      <w:r w:rsidR="001D039F" w:rsidRPr="0004064B">
        <w:t>’</w:t>
      </w:r>
      <w:r w:rsidRPr="0004064B">
        <w:t>ICANN a mis en place un mécanisme “allégé” de protection des droits de deuxième</w:t>
      </w:r>
      <w:r w:rsidR="0004064B">
        <w:t> </w:t>
      </w:r>
      <w:r w:rsidRPr="0004064B">
        <w:t>niveau dans certains cas</w:t>
      </w:r>
      <w:r w:rsidRPr="0004064B">
        <w:rPr>
          <w:rStyle w:val="FootnoteReference"/>
        </w:rPr>
        <w:footnoteReference w:id="64"/>
      </w:r>
      <w:r w:rsidRPr="0004064B">
        <w:t xml:space="preserve">.  Issu </w:t>
      </w:r>
      <w:r w:rsidRPr="0004064B">
        <w:lastRenderedPageBreak/>
        <w:t>d</w:t>
      </w:r>
      <w:r w:rsidR="001D039F" w:rsidRPr="0004064B">
        <w:t>’</w:t>
      </w:r>
      <w:r w:rsidRPr="0004064B">
        <w:t>une série de procédures et de comités de l</w:t>
      </w:r>
      <w:r w:rsidR="001D039F" w:rsidRPr="0004064B">
        <w:t>’</w:t>
      </w:r>
      <w:r w:rsidRPr="0004064B">
        <w:t>ICANN, le système de suspension uniforme rapide continue de soulever des questions, concernant en particulier son lien avec les principes UDRP</w:t>
      </w:r>
      <w:r w:rsidRPr="0004064B">
        <w:rPr>
          <w:rStyle w:val="FootnoteReference"/>
        </w:rPr>
        <w:footnoteReference w:id="65"/>
      </w:r>
      <w:r w:rsidRPr="0004064B">
        <w:t>.  L</w:t>
      </w:r>
      <w:r w:rsidR="001D039F" w:rsidRPr="0004064B">
        <w:t>’</w:t>
      </w:r>
      <w:r w:rsidRPr="0004064B">
        <w:t>ICANN a adressé aux prestataires potentiels de services de suspension uniforme rapide un appel d</w:t>
      </w:r>
      <w:r w:rsidR="001D039F" w:rsidRPr="0004064B">
        <w:t>’</w:t>
      </w:r>
      <w:r w:rsidRPr="0004064B">
        <w:t>offres auquel, à l</w:t>
      </w:r>
      <w:r w:rsidR="001D039F" w:rsidRPr="0004064B">
        <w:t>’</w:t>
      </w:r>
      <w:r w:rsidRPr="0004064B">
        <w:t>issue d</w:t>
      </w:r>
      <w:r w:rsidR="001D039F" w:rsidRPr="0004064B">
        <w:t>’</w:t>
      </w:r>
      <w:r w:rsidRPr="0004064B">
        <w:t>un examen approfondi du modèle de suspension uniforme rapide de l</w:t>
      </w:r>
      <w:r w:rsidR="001D039F" w:rsidRPr="0004064B">
        <w:t>’</w:t>
      </w:r>
      <w:r w:rsidRPr="0004064B">
        <w:t>ICANN et des ressources nécessaires, le Centre n</w:t>
      </w:r>
      <w:r w:rsidR="001D039F" w:rsidRPr="0004064B">
        <w:t>’</w:t>
      </w:r>
      <w:r w:rsidRPr="0004064B">
        <w:t>a pas été en mesure de participer</w:t>
      </w:r>
      <w:r w:rsidRPr="0004064B">
        <w:rPr>
          <w:rStyle w:val="FootnoteReference"/>
        </w:rPr>
        <w:footnoteReference w:id="66"/>
      </w:r>
      <w:r w:rsidRPr="0004064B">
        <w:t>.  Le Centre continue de suivre l</w:t>
      </w:r>
      <w:r w:rsidR="001D039F" w:rsidRPr="0004064B">
        <w:t>’</w:t>
      </w:r>
      <w:r w:rsidRPr="0004064B">
        <w:t>évolution de la situation.</w:t>
      </w:r>
    </w:p>
    <w:p w14:paraId="1D31A790" w14:textId="5587D614" w:rsidR="008E0BF9" w:rsidRPr="001E5043" w:rsidRDefault="00170962" w:rsidP="002B3C37">
      <w:pPr>
        <w:pStyle w:val="Heading3"/>
      </w:pPr>
      <w:r>
        <w:t>Révision par</w:t>
      </w:r>
      <w:r w:rsidR="002B3C37" w:rsidRPr="001E5043">
        <w:t xml:space="preserve"> l</w:t>
      </w:r>
      <w:r w:rsidR="001D039F">
        <w:t>’</w:t>
      </w:r>
      <w:r w:rsidR="002B3C37" w:rsidRPr="001E5043">
        <w:t>ICANN des principes UDRP établis à l</w:t>
      </w:r>
      <w:r w:rsidR="001D039F">
        <w:t>’</w:t>
      </w:r>
      <w:r w:rsidR="002B3C37" w:rsidRPr="001E5043">
        <w:t>initiative de l</w:t>
      </w:r>
      <w:r w:rsidR="001D039F">
        <w:t>’</w:t>
      </w:r>
      <w:r w:rsidR="002B3C37" w:rsidRPr="001E5043">
        <w:t>OMPI et autres mécanismes de protection des droits</w:t>
      </w:r>
    </w:p>
    <w:p w14:paraId="14F60646" w14:textId="796BE0E5" w:rsidR="008E0BF9" w:rsidRPr="0004064B" w:rsidRDefault="008E0BF9" w:rsidP="0004064B">
      <w:pPr>
        <w:pStyle w:val="ONUMFS"/>
      </w:pPr>
      <w:r w:rsidRPr="0004064B">
        <w:t>Adaptés à l</w:t>
      </w:r>
      <w:r w:rsidR="001D039F" w:rsidRPr="0004064B">
        <w:t>’</w:t>
      </w:r>
      <w:r w:rsidRPr="0004064B">
        <w:t>évolution dynamique du DNS, les principes</w:t>
      </w:r>
      <w:r w:rsidR="002347BC" w:rsidRPr="0004064B">
        <w:t> </w:t>
      </w:r>
      <w:r w:rsidRPr="0004064B">
        <w:t>UDRP offrent aux propriétaires de marques, aux détenteurs de noms de domaine et aux administrateurs de services d</w:t>
      </w:r>
      <w:r w:rsidR="001D039F" w:rsidRPr="0004064B">
        <w:t>’</w:t>
      </w:r>
      <w:r w:rsidRPr="0004064B">
        <w:t>enregistrement une solution remplaçant très avantageusement l</w:t>
      </w:r>
      <w:r w:rsidR="001D039F" w:rsidRPr="0004064B">
        <w:t>’</w:t>
      </w:r>
      <w:r w:rsidRPr="0004064B">
        <w:t>action judiciaire.  L</w:t>
      </w:r>
      <w:r w:rsidR="001D039F" w:rsidRPr="0004064B">
        <w:t>’</w:t>
      </w:r>
      <w:r w:rsidRPr="0004064B">
        <w:t>Organisation de soutien en matière de noms de domaine génériques de l</w:t>
      </w:r>
      <w:r w:rsidR="001D039F" w:rsidRPr="0004064B">
        <w:t>’</w:t>
      </w:r>
      <w:r w:rsidRPr="0004064B">
        <w:t>Internet</w:t>
      </w:r>
      <w:r w:rsidR="002347BC" w:rsidRPr="0004064B">
        <w:t> </w:t>
      </w:r>
      <w:r w:rsidRPr="0004064B">
        <w:t>(GNSO) a pris la décision de procéder à la révision des principes</w:t>
      </w:r>
      <w:r w:rsidR="002347BC" w:rsidRPr="0004064B">
        <w:t> </w:t>
      </w:r>
      <w:r w:rsidRPr="0004064B">
        <w:t>UDRP après le lancement de nouveaux gTLD</w:t>
      </w:r>
      <w:r w:rsidRPr="0004064B">
        <w:rPr>
          <w:vertAlign w:val="superscript"/>
        </w:rPr>
        <w:footnoteReference w:id="67"/>
      </w:r>
      <w:r w:rsidRPr="0004064B">
        <w:t>.  Le rapport préliminaire de l</w:t>
      </w:r>
      <w:r w:rsidR="001D039F" w:rsidRPr="0004064B">
        <w:t>’</w:t>
      </w:r>
      <w:r w:rsidRPr="0004064B">
        <w:t>ICANN publié en 2015 présente une série de questions complexes relatives au fond et à la procédure</w:t>
      </w:r>
      <w:r w:rsidRPr="0004064B">
        <w:rPr>
          <w:vertAlign w:val="superscript"/>
        </w:rPr>
        <w:footnoteReference w:id="68"/>
      </w:r>
      <w:r w:rsidRPr="0004064B">
        <w:t>.  Le Centre a formulé des observations soulignant le succès de longue date des principes</w:t>
      </w:r>
      <w:r w:rsidR="002347BC" w:rsidRPr="0004064B">
        <w:t> </w:t>
      </w:r>
      <w:r w:rsidRPr="0004064B">
        <w:t>UDRP et les risques liés à toute tentative de révision des principes</w:t>
      </w:r>
      <w:r w:rsidR="002347BC" w:rsidRPr="0004064B">
        <w:t> </w:t>
      </w:r>
      <w:r w:rsidRPr="0004064B">
        <w:t>UDRP par l</w:t>
      </w:r>
      <w:r w:rsidR="001D039F" w:rsidRPr="0004064B">
        <w:t>’</w:t>
      </w:r>
      <w:r w:rsidRPr="0004064B">
        <w:t>IC</w:t>
      </w:r>
      <w:r w:rsidR="00567D37" w:rsidRPr="0004064B">
        <w:t>ANN.  Ap</w:t>
      </w:r>
      <w:r w:rsidRPr="0004064B">
        <w:t>rès l</w:t>
      </w:r>
      <w:r w:rsidR="001D039F" w:rsidRPr="0004064B">
        <w:t>’</w:t>
      </w:r>
      <w:r w:rsidRPr="0004064B">
        <w:t>ouverture d</w:t>
      </w:r>
      <w:r w:rsidR="001D039F" w:rsidRPr="0004064B">
        <w:t>’</w:t>
      </w:r>
      <w:r w:rsidRPr="0004064B">
        <w:t>un débat public, l</w:t>
      </w:r>
      <w:r w:rsidR="001D039F" w:rsidRPr="0004064B">
        <w:t>’</w:t>
      </w:r>
      <w:r w:rsidRPr="0004064B">
        <w:t>ICANN a publié son rapport final sur cette question en janvier 2016, recommandant que la GNSO lance un processus d</w:t>
      </w:r>
      <w:r w:rsidR="001D039F" w:rsidRPr="0004064B">
        <w:t>’</w:t>
      </w:r>
      <w:r w:rsidRPr="0004064B">
        <w:t>élaboration de politique afin d</w:t>
      </w:r>
      <w:r w:rsidR="001D039F" w:rsidRPr="0004064B">
        <w:t>’</w:t>
      </w:r>
      <w:r w:rsidRPr="0004064B">
        <w:t>examiner tous les mécanismes de protection des droits en deux phas</w:t>
      </w:r>
      <w:r w:rsidR="00567D37" w:rsidRPr="0004064B">
        <w:t>es.  La</w:t>
      </w:r>
      <w:r w:rsidRPr="0004064B">
        <w:t xml:space="preserve"> phase initiale, qui est désormais achevée, a donné lieu à la publication d</w:t>
      </w:r>
      <w:r w:rsidR="001D039F" w:rsidRPr="0004064B">
        <w:t>’</w:t>
      </w:r>
      <w:r w:rsidRPr="0004064B">
        <w:t>un rapport final</w:t>
      </w:r>
      <w:r w:rsidRPr="0004064B">
        <w:rPr>
          <w:rStyle w:val="FootnoteReference"/>
        </w:rPr>
        <w:footnoteReference w:id="69"/>
      </w:r>
      <w:r w:rsidRPr="0004064B">
        <w:t xml:space="preserve"> axé sur les mécanismes de protection des droits établis pour le programme relatif aux nouveaux gTLD, notamment la base de données centrale sur les marques (</w:t>
      </w:r>
      <w:r w:rsidR="001D039F" w:rsidRPr="0004064B">
        <w:t>y compris</w:t>
      </w:r>
      <w:r w:rsidRPr="0004064B">
        <w:t xml:space="preserve"> les services “préliminaires” et le système de “contentieux”) et le système de suspension uniforme rapide, et contenant des propositions de modifications mineures de ces mécanismes</w:t>
      </w:r>
      <w:r w:rsidRPr="0004064B">
        <w:rPr>
          <w:rStyle w:val="FootnoteReference"/>
        </w:rPr>
        <w:footnoteReference w:id="70"/>
      </w:r>
      <w:r w:rsidRPr="0004064B">
        <w:t>,</w:t>
      </w:r>
      <w:r w:rsidR="00572346" w:rsidRPr="0004064B">
        <w:t xml:space="preserve"> </w:t>
      </w:r>
      <w:r w:rsidR="009D2C71" w:rsidRPr="0004064B">
        <w:t>et est actuellement en cours de mise en œuvre</w:t>
      </w:r>
      <w:r w:rsidR="00572346" w:rsidRPr="0004064B">
        <w:rPr>
          <w:rStyle w:val="FootnoteReference"/>
        </w:rPr>
        <w:footnoteReference w:id="71"/>
      </w:r>
      <w:r w:rsidR="00572346" w:rsidRPr="0004064B">
        <w:t>,</w:t>
      </w:r>
      <w:r w:rsidRPr="0004064B">
        <w:t xml:space="preserve"> tandis que la deuxième</w:t>
      </w:r>
      <w:r w:rsidR="002347BC" w:rsidRPr="0004064B">
        <w:t> </w:t>
      </w:r>
      <w:r w:rsidRPr="0004064B">
        <w:t>phase portera sur les principes</w:t>
      </w:r>
      <w:r w:rsidR="002347BC" w:rsidRPr="0004064B">
        <w:t> </w:t>
      </w:r>
      <w:r w:rsidRPr="0004064B">
        <w:t>UDRP</w:t>
      </w:r>
      <w:r w:rsidRPr="0004064B">
        <w:rPr>
          <w:vertAlign w:val="superscript"/>
        </w:rPr>
        <w:footnoteReference w:id="72"/>
      </w:r>
      <w:r w:rsidRPr="0004064B">
        <w:t>.  Cette dernière phase constitue un sujet de préoccupation particulièrement important et le Centre continue de se tenir activement informé des intentions des parties prenantes de l</w:t>
      </w:r>
      <w:r w:rsidR="001D039F" w:rsidRPr="0004064B">
        <w:t>’</w:t>
      </w:r>
      <w:r w:rsidRPr="0004064B">
        <w:t>ICANN concernant les principes</w:t>
      </w:r>
      <w:r w:rsidR="002347BC" w:rsidRPr="0004064B">
        <w:t> </w:t>
      </w:r>
      <w:r w:rsidRPr="0004064B">
        <w:t>UDRP et les mécanismes de protection des droits attachés aux marques en génér</w:t>
      </w:r>
      <w:r w:rsidR="00567D37" w:rsidRPr="0004064B">
        <w:t xml:space="preserve">al.  À </w:t>
      </w:r>
      <w:r w:rsidRPr="0004064B">
        <w:t>cet égard, le Centre reste en relation avec les principaux acteurs du domaine, tels que l</w:t>
      </w:r>
      <w:r w:rsidR="001D039F" w:rsidRPr="0004064B">
        <w:t>’</w:t>
      </w:r>
      <w:r w:rsidRPr="0004064B">
        <w:t>ECTA, l</w:t>
      </w:r>
      <w:r w:rsidR="001D039F" w:rsidRPr="0004064B">
        <w:t>’</w:t>
      </w:r>
      <w:r w:rsidR="00C423BD" w:rsidRPr="0004064B">
        <w:t>INTA</w:t>
      </w:r>
      <w:r w:rsidRPr="0004064B">
        <w:t xml:space="preserve"> et</w:t>
      </w:r>
      <w:r w:rsidR="002347BC" w:rsidRPr="0004064B">
        <w:t> </w:t>
      </w:r>
      <w:r w:rsidRPr="0004064B">
        <w:t>MARQ</w:t>
      </w:r>
      <w:r w:rsidR="00567D37" w:rsidRPr="0004064B">
        <w:t>UES.  Il</w:t>
      </w:r>
      <w:r w:rsidR="00474AFE" w:rsidRPr="0004064B">
        <w:t xml:space="preserve"> convien</w:t>
      </w:r>
      <w:r w:rsidR="009D2C71" w:rsidRPr="0004064B">
        <w:t>t</w:t>
      </w:r>
      <w:r w:rsidR="00474AFE" w:rsidRPr="0004064B">
        <w:t xml:space="preserve"> en outre de noter que dans le communiqué</w:t>
      </w:r>
      <w:r w:rsidR="00567D37" w:rsidRPr="0004064B">
        <w:t> </w:t>
      </w:r>
      <w:r w:rsidR="00474AFE" w:rsidRPr="0004064B">
        <w:t>74 de l</w:t>
      </w:r>
      <w:r w:rsidR="001D039F" w:rsidRPr="0004064B">
        <w:t>’</w:t>
      </w:r>
      <w:r w:rsidR="00474AFE" w:rsidRPr="0004064B">
        <w:t>ICANN daté de juin </w:t>
      </w:r>
      <w:r w:rsidR="009D2C71" w:rsidRPr="0004064B">
        <w:t xml:space="preserve">2022, </w:t>
      </w:r>
      <w:r w:rsidR="00E633C3" w:rsidRPr="0004064B">
        <w:t xml:space="preserve">le </w:t>
      </w:r>
      <w:r w:rsidR="00E633C3" w:rsidRPr="0004064B">
        <w:rPr>
          <w:rStyle w:val="markedcontent"/>
        </w:rPr>
        <w:t xml:space="preserve">Comité consultatif </w:t>
      </w:r>
      <w:r w:rsidR="002347BC" w:rsidRPr="0004064B">
        <w:rPr>
          <w:rStyle w:val="markedcontent"/>
        </w:rPr>
        <w:t>gouvernemental </w:t>
      </w:r>
      <w:r w:rsidR="00E633C3" w:rsidRPr="0004064B">
        <w:rPr>
          <w:rStyle w:val="markedcontent"/>
        </w:rPr>
        <w:t>(GAC) de l</w:t>
      </w:r>
      <w:r w:rsidR="001D039F" w:rsidRPr="0004064B">
        <w:rPr>
          <w:rStyle w:val="markedcontent"/>
        </w:rPr>
        <w:t>’</w:t>
      </w:r>
      <w:r w:rsidR="00E633C3" w:rsidRPr="0004064B">
        <w:rPr>
          <w:rStyle w:val="markedcontent"/>
        </w:rPr>
        <w:t>ICANN</w:t>
      </w:r>
      <w:r w:rsidR="00E633C3" w:rsidRPr="0004064B">
        <w:t xml:space="preserve"> a indiqué ce qui suit</w:t>
      </w:r>
      <w:r w:rsidR="001D039F" w:rsidRPr="0004064B">
        <w:t> :</w:t>
      </w:r>
      <w:r w:rsidR="009D2C71" w:rsidRPr="0004064B">
        <w:t xml:space="preserve"> “</w:t>
      </w:r>
      <w:r w:rsidR="00E633C3" w:rsidRPr="0004064B">
        <w:rPr>
          <w:rStyle w:val="markedcontent"/>
        </w:rPr>
        <w:t>Le</w:t>
      </w:r>
      <w:r w:rsidR="002347BC" w:rsidRPr="0004064B">
        <w:rPr>
          <w:rStyle w:val="markedcontent"/>
        </w:rPr>
        <w:t> </w:t>
      </w:r>
      <w:r w:rsidR="00E633C3" w:rsidRPr="0004064B">
        <w:rPr>
          <w:rStyle w:val="markedcontent"/>
        </w:rPr>
        <w:t>GAC a reçu une mise à jour sur l</w:t>
      </w:r>
      <w:r w:rsidR="001D039F" w:rsidRPr="0004064B">
        <w:rPr>
          <w:rStyle w:val="markedcontent"/>
        </w:rPr>
        <w:t>’</w:t>
      </w:r>
      <w:r w:rsidR="00E633C3" w:rsidRPr="0004064B">
        <w:rPr>
          <w:rStyle w:val="markedcontent"/>
        </w:rPr>
        <w:t>état d</w:t>
      </w:r>
      <w:r w:rsidR="001D039F" w:rsidRPr="0004064B">
        <w:rPr>
          <w:rStyle w:val="markedcontent"/>
        </w:rPr>
        <w:t>’</w:t>
      </w:r>
      <w:r w:rsidR="00E633C3" w:rsidRPr="0004064B">
        <w:rPr>
          <w:rStyle w:val="markedcontent"/>
        </w:rPr>
        <w:t>avancement de la révision prévue des principes</w:t>
      </w:r>
      <w:r w:rsidR="002347BC" w:rsidRPr="0004064B">
        <w:rPr>
          <w:rStyle w:val="markedcontent"/>
        </w:rPr>
        <w:t> </w:t>
      </w:r>
      <w:r w:rsidR="00E633C3" w:rsidRPr="0004064B">
        <w:rPr>
          <w:rStyle w:val="markedcontent"/>
        </w:rPr>
        <w:t xml:space="preserve">UDRP, et note en particulier la </w:t>
      </w:r>
      <w:r w:rsidR="00E633C3" w:rsidRPr="0004064B">
        <w:rPr>
          <w:rStyle w:val="markedcontent"/>
        </w:rPr>
        <w:lastRenderedPageBreak/>
        <w:t xml:space="preserve">référence à la </w:t>
      </w:r>
      <w:r w:rsidR="001D039F" w:rsidRPr="0004064B">
        <w:rPr>
          <w:rStyle w:val="markedcontent"/>
        </w:rPr>
        <w:t>section 1</w:t>
      </w:r>
      <w:r w:rsidR="00E633C3" w:rsidRPr="0004064B">
        <w:rPr>
          <w:rStyle w:val="markedcontent"/>
        </w:rPr>
        <w:t>3.1 des statuts de l</w:t>
      </w:r>
      <w:r w:rsidR="001D039F" w:rsidRPr="0004064B">
        <w:rPr>
          <w:rStyle w:val="markedcontent"/>
        </w:rPr>
        <w:t>’</w:t>
      </w:r>
      <w:r w:rsidR="00E633C3" w:rsidRPr="0004064B">
        <w:rPr>
          <w:rStyle w:val="markedcontent"/>
        </w:rPr>
        <w:t>ICANN qui invite et encourage le conseil d</w:t>
      </w:r>
      <w:r w:rsidR="001D039F" w:rsidRPr="0004064B">
        <w:rPr>
          <w:rStyle w:val="markedcontent"/>
        </w:rPr>
        <w:t>’</w:t>
      </w:r>
      <w:r w:rsidR="00E633C3" w:rsidRPr="0004064B">
        <w:rPr>
          <w:rStyle w:val="markedcontent"/>
        </w:rPr>
        <w:t>administration et les organes constitutifs à demander conseil à des organismes publics pertinents ayant une expertise existante en dehors de l</w:t>
      </w:r>
      <w:r w:rsidR="001D039F" w:rsidRPr="0004064B">
        <w:rPr>
          <w:rStyle w:val="markedcontent"/>
        </w:rPr>
        <w:t>’</w:t>
      </w:r>
      <w:r w:rsidR="00E633C3" w:rsidRPr="0004064B">
        <w:rPr>
          <w:rStyle w:val="markedcontent"/>
        </w:rPr>
        <w:t>ICANN (notamment l</w:t>
      </w:r>
      <w:r w:rsidR="001D039F" w:rsidRPr="0004064B">
        <w:rPr>
          <w:rStyle w:val="markedcontent"/>
        </w:rPr>
        <w:t>’</w:t>
      </w:r>
      <w:r w:rsidR="00E633C3" w:rsidRPr="0004064B">
        <w:rPr>
          <w:rStyle w:val="markedcontent"/>
        </w:rPr>
        <w:t>Organisation Mondiale de la Propriété Intellectuelle – OMPI, en tant qu</w:t>
      </w:r>
      <w:r w:rsidR="001D039F" w:rsidRPr="0004064B">
        <w:rPr>
          <w:rStyle w:val="markedcontent"/>
        </w:rPr>
        <w:t>’</w:t>
      </w:r>
      <w:r w:rsidR="00E633C3" w:rsidRPr="0004064B">
        <w:rPr>
          <w:rStyle w:val="markedcontent"/>
        </w:rPr>
        <w:t>auteur et gestionnaire des principes</w:t>
      </w:r>
      <w:r w:rsidR="0065462F" w:rsidRPr="0004064B">
        <w:rPr>
          <w:rStyle w:val="markedcontent"/>
        </w:rPr>
        <w:t> </w:t>
      </w:r>
      <w:r w:rsidR="00E633C3" w:rsidRPr="0004064B">
        <w:rPr>
          <w:rStyle w:val="markedcontent"/>
        </w:rPr>
        <w:t>UDRP) pour informer le processus d</w:t>
      </w:r>
      <w:r w:rsidR="001D039F" w:rsidRPr="0004064B">
        <w:rPr>
          <w:rStyle w:val="markedcontent"/>
        </w:rPr>
        <w:t>’</w:t>
      </w:r>
      <w:r w:rsidR="00E633C3" w:rsidRPr="0004064B">
        <w:rPr>
          <w:rStyle w:val="markedcontent"/>
        </w:rPr>
        <w:t>élaboration des politiques, et attend avec impatience d</w:t>
      </w:r>
      <w:r w:rsidR="001D039F" w:rsidRPr="0004064B">
        <w:rPr>
          <w:rStyle w:val="markedcontent"/>
        </w:rPr>
        <w:t>’</w:t>
      </w:r>
      <w:r w:rsidR="00E633C3" w:rsidRPr="0004064B">
        <w:rPr>
          <w:rStyle w:val="markedcontent"/>
        </w:rPr>
        <w:t>explorer plus avant cette disposition avant toute révision des principes UDR</w:t>
      </w:r>
      <w:r w:rsidR="001D039F" w:rsidRPr="0004064B">
        <w:rPr>
          <w:rStyle w:val="markedcontent"/>
        </w:rPr>
        <w:t>P”</w:t>
      </w:r>
      <w:r w:rsidR="009D2C71" w:rsidRPr="0004064B">
        <w:rPr>
          <w:rStyle w:val="FootnoteReference"/>
        </w:rPr>
        <w:footnoteReference w:id="73"/>
      </w:r>
      <w:r w:rsidR="00474AFE" w:rsidRPr="0004064B">
        <w:t>.</w:t>
      </w:r>
    </w:p>
    <w:p w14:paraId="3D5B5F6E" w14:textId="12DAAA97" w:rsidR="008E0BF9" w:rsidRPr="001E5043" w:rsidRDefault="002B3C37" w:rsidP="002B3C37">
      <w:pPr>
        <w:pStyle w:val="Heading3"/>
      </w:pPr>
      <w:r w:rsidRPr="001E5043">
        <w:t>RGPD et répertoire</w:t>
      </w:r>
      <w:r w:rsidR="0065462F">
        <w:t> </w:t>
      </w:r>
      <w:r w:rsidRPr="001E5043">
        <w:t>WHOIS</w:t>
      </w:r>
    </w:p>
    <w:p w14:paraId="7568DB0B" w14:textId="7FCA532A" w:rsidR="008E0BF9" w:rsidRPr="001E5043" w:rsidRDefault="008E0BF9" w:rsidP="003B5CD9">
      <w:pPr>
        <w:pStyle w:val="ONUMFS"/>
        <w:rPr>
          <w:lang w:val="fr-FR"/>
        </w:rPr>
      </w:pPr>
      <w:r w:rsidRPr="001E5043">
        <w:rPr>
          <w:lang w:val="fr-FR"/>
        </w:rPr>
        <w:t>Le règlement général de l</w:t>
      </w:r>
      <w:r w:rsidR="001D039F">
        <w:rPr>
          <w:lang w:val="fr-FR"/>
        </w:rPr>
        <w:t>’</w:t>
      </w:r>
      <w:r w:rsidRPr="001E5043">
        <w:rPr>
          <w:lang w:val="fr-FR"/>
        </w:rPr>
        <w:t>Union européenne sur la protection des données</w:t>
      </w:r>
      <w:r w:rsidR="0065462F">
        <w:t> </w:t>
      </w:r>
      <w:r w:rsidRPr="001E5043">
        <w:rPr>
          <w:lang w:val="fr-FR"/>
        </w:rPr>
        <w:t>(RGPD) est entré en vigueur le</w:t>
      </w:r>
      <w:r w:rsidR="0065462F">
        <w:t> </w:t>
      </w:r>
      <w:r w:rsidRPr="001E5043">
        <w:rPr>
          <w:lang w:val="fr-FR"/>
        </w:rPr>
        <w:t>25 mai 2018.  Comme l</w:t>
      </w:r>
      <w:r w:rsidR="001D039F">
        <w:rPr>
          <w:lang w:val="fr-FR"/>
        </w:rPr>
        <w:t>’</w:t>
      </w:r>
      <w:r w:rsidRPr="001E5043">
        <w:rPr>
          <w:lang w:val="fr-FR"/>
        </w:rPr>
        <w:t>a déclaré la Commission européenne, l</w:t>
      </w:r>
      <w:r w:rsidR="001D039F">
        <w:rPr>
          <w:lang w:val="fr-FR"/>
        </w:rPr>
        <w:t>’</w:t>
      </w:r>
      <w:r w:rsidRPr="001E5043">
        <w:rPr>
          <w:lang w:val="fr-FR"/>
        </w:rPr>
        <w:t>objectif ultime du RGPD est de répondre aux préoccupations en matière de respect de la vie privée et de confidentialité des données compte tenu des intérêts légitimes des tiers, notamment en matière contractuelle et contentieuse.</w:t>
      </w:r>
    </w:p>
    <w:p w14:paraId="52A83E44" w14:textId="231149BB" w:rsidR="008E0BF9" w:rsidRPr="001E5043" w:rsidRDefault="008E0BF9" w:rsidP="003B5CD9">
      <w:pPr>
        <w:pStyle w:val="ONUMFS"/>
        <w:rPr>
          <w:lang w:val="fr-FR"/>
        </w:rPr>
      </w:pPr>
      <w:r w:rsidRPr="001E5043">
        <w:rPr>
          <w:lang w:val="fr-FR"/>
        </w:rPr>
        <w:t>À compter du</w:t>
      </w:r>
      <w:r w:rsidR="0065462F">
        <w:t> </w:t>
      </w:r>
      <w:r w:rsidRPr="001E5043">
        <w:rPr>
          <w:lang w:val="fr-FR"/>
        </w:rPr>
        <w:t>25 mai 2018, les données figurant dans les répertoires</w:t>
      </w:r>
      <w:r w:rsidR="0065462F">
        <w:t> </w:t>
      </w:r>
      <w:r w:rsidRPr="001E5043">
        <w:rPr>
          <w:lang w:val="fr-FR"/>
        </w:rPr>
        <w:t>WHOIS publics ne mentionnent plus les coordonnées complètes du détenteur du nom de domai</w:t>
      </w:r>
      <w:r w:rsidR="00567D37" w:rsidRPr="001E5043">
        <w:rPr>
          <w:lang w:val="fr-FR"/>
        </w:rPr>
        <w:t>ne</w:t>
      </w:r>
      <w:r w:rsidR="00567D37">
        <w:rPr>
          <w:lang w:val="fr-FR"/>
        </w:rPr>
        <w:t xml:space="preserve">.  </w:t>
      </w:r>
      <w:r w:rsidR="00567D37" w:rsidRPr="001E5043">
        <w:rPr>
          <w:lang w:val="fr-FR"/>
        </w:rPr>
        <w:t>El</w:t>
      </w:r>
      <w:r w:rsidRPr="001E5043">
        <w:rPr>
          <w:lang w:val="fr-FR"/>
        </w:rPr>
        <w:t>les se limitent normalement à “l</w:t>
      </w:r>
      <w:r w:rsidR="001D039F">
        <w:rPr>
          <w:lang w:val="fr-FR"/>
        </w:rPr>
        <w:t>’</w:t>
      </w:r>
      <w:r w:rsidRPr="001E5043">
        <w:rPr>
          <w:lang w:val="fr-FR"/>
        </w:rPr>
        <w:t>organisme d</w:t>
      </w:r>
      <w:r w:rsidR="001D039F">
        <w:rPr>
          <w:lang w:val="fr-FR"/>
        </w:rPr>
        <w:t>’</w:t>
      </w:r>
      <w:r w:rsidRPr="001E5043">
        <w:rPr>
          <w:lang w:val="fr-FR"/>
        </w:rPr>
        <w:t>enregistrement” et au pays</w:t>
      </w:r>
      <w:r w:rsidRPr="001E5043">
        <w:rPr>
          <w:rStyle w:val="FootnoteReference"/>
          <w:szCs w:val="22"/>
          <w:lang w:val="fr-FR"/>
        </w:rPr>
        <w:footnoteReference w:id="74"/>
      </w:r>
      <w:r w:rsidRPr="001E5043">
        <w:rPr>
          <w:lang w:val="fr-FR"/>
        </w:rPr>
        <w:t>.  En dépit de ces limitations publiques, lorsqu</w:t>
      </w:r>
      <w:r w:rsidR="001D039F">
        <w:rPr>
          <w:lang w:val="fr-FR"/>
        </w:rPr>
        <w:t>’</w:t>
      </w:r>
      <w:r w:rsidRPr="001E5043">
        <w:rPr>
          <w:lang w:val="fr-FR"/>
        </w:rPr>
        <w:t>un prestataire de services UDRP reçoit une plainte, les unités d</w:t>
      </w:r>
      <w:r w:rsidR="001D039F">
        <w:rPr>
          <w:lang w:val="fr-FR"/>
        </w:rPr>
        <w:t>’</w:t>
      </w:r>
      <w:r w:rsidRPr="001E5043">
        <w:rPr>
          <w:lang w:val="fr-FR"/>
        </w:rPr>
        <w:t>enregistrement respectant les principes de l</w:t>
      </w:r>
      <w:r w:rsidR="001D039F">
        <w:rPr>
          <w:lang w:val="fr-FR"/>
        </w:rPr>
        <w:t>’</w:t>
      </w:r>
      <w:r w:rsidRPr="001E5043">
        <w:rPr>
          <w:lang w:val="fr-FR"/>
        </w:rPr>
        <w:t>ICANN transmettent généralement les coordonnées du répertoire sur demande de ce prestataire (tout en “verrouillant” parallèlement l</w:t>
      </w:r>
      <w:r w:rsidR="001D039F">
        <w:rPr>
          <w:lang w:val="fr-FR"/>
        </w:rPr>
        <w:t>’</w:t>
      </w:r>
      <w:r w:rsidRPr="001E5043">
        <w:rPr>
          <w:lang w:val="fr-FR"/>
        </w:rPr>
        <w:t>enregistrement du nom de domaine et les coordonnées de l</w:t>
      </w:r>
      <w:r w:rsidR="001D039F">
        <w:rPr>
          <w:lang w:val="fr-FR"/>
        </w:rPr>
        <w:t>’</w:t>
      </w:r>
      <w:r w:rsidRPr="001E5043">
        <w:rPr>
          <w:lang w:val="fr-FR"/>
        </w:rPr>
        <w:t>unité d</w:t>
      </w:r>
      <w:r w:rsidR="001D039F">
        <w:rPr>
          <w:lang w:val="fr-FR"/>
        </w:rPr>
        <w:t>’</w:t>
      </w:r>
      <w:r w:rsidRPr="001E5043">
        <w:rPr>
          <w:lang w:val="fr-FR"/>
        </w:rPr>
        <w:t>enregistrement), conformément aux garanties d</w:t>
      </w:r>
      <w:r w:rsidR="001D039F">
        <w:rPr>
          <w:lang w:val="fr-FR"/>
        </w:rPr>
        <w:t>’</w:t>
      </w:r>
      <w:r w:rsidRPr="001E5043">
        <w:rPr>
          <w:lang w:val="fr-FR"/>
        </w:rPr>
        <w:t>une procédure régulière énoncées dans les règlements</w:t>
      </w:r>
      <w:r w:rsidR="0065462F">
        <w:t> </w:t>
      </w:r>
      <w:r w:rsidRPr="001E5043">
        <w:rPr>
          <w:lang w:val="fr-FR"/>
        </w:rPr>
        <w:t>UDRP</w:t>
      </w:r>
      <w:r w:rsidRPr="001E5043">
        <w:rPr>
          <w:rStyle w:val="FootnoteReference"/>
          <w:szCs w:val="22"/>
          <w:lang w:val="fr-FR"/>
        </w:rPr>
        <w:footnoteReference w:id="75"/>
      </w:r>
      <w:r w:rsidRPr="001E5043">
        <w:rPr>
          <w:lang w:val="fr-FR"/>
        </w:rPr>
        <w:t>.</w:t>
      </w:r>
    </w:p>
    <w:p w14:paraId="1B69878E" w14:textId="06145823" w:rsidR="008E0BF9" w:rsidRPr="001E5043" w:rsidRDefault="008E0BF9" w:rsidP="00F1685C">
      <w:pPr>
        <w:pStyle w:val="ONUMFS"/>
        <w:keepNext/>
        <w:rPr>
          <w:lang w:val="fr-FR"/>
        </w:rPr>
      </w:pPr>
      <w:r w:rsidRPr="001E5043">
        <w:rPr>
          <w:lang w:val="fr-FR"/>
        </w:rPr>
        <w:t>Le Centre continue de suivre de près les incidences sur les procédures</w:t>
      </w:r>
      <w:r w:rsidR="0065462F">
        <w:t> </w:t>
      </w:r>
      <w:r w:rsidRPr="001E5043">
        <w:rPr>
          <w:lang w:val="fr-FR"/>
        </w:rPr>
        <w:t>UDRP de la réglementation sur la protection des donné</w:t>
      </w:r>
      <w:r w:rsidR="00567D37" w:rsidRPr="001E5043">
        <w:rPr>
          <w:lang w:val="fr-FR"/>
        </w:rPr>
        <w:t>es</w:t>
      </w:r>
      <w:r w:rsidR="00567D37">
        <w:rPr>
          <w:lang w:val="fr-FR"/>
        </w:rPr>
        <w:t xml:space="preserve">.  </w:t>
      </w:r>
      <w:r w:rsidR="00567D37" w:rsidRPr="001E5043">
        <w:rPr>
          <w:lang w:val="fr-FR"/>
        </w:rPr>
        <w:t>Ou</w:t>
      </w:r>
      <w:r w:rsidRPr="001E5043">
        <w:rPr>
          <w:lang w:val="fr-FR"/>
        </w:rPr>
        <w:t>tre les fonctions du Centre en rapport avec les principes</w:t>
      </w:r>
      <w:r w:rsidR="0065462F">
        <w:t> </w:t>
      </w:r>
      <w:r w:rsidRPr="001E5043">
        <w:rPr>
          <w:lang w:val="fr-FR"/>
        </w:rPr>
        <w:t>UDRP, pour répondre aux préoccupations plus larges en matière d</w:t>
      </w:r>
      <w:r w:rsidR="001D039F">
        <w:rPr>
          <w:lang w:val="fr-FR"/>
        </w:rPr>
        <w:t>’</w:t>
      </w:r>
      <w:r w:rsidRPr="001E5043">
        <w:rPr>
          <w:lang w:val="fr-FR"/>
        </w:rPr>
        <w:t>application des droits de propriété intellectuelle suscitées par la réglementation sur la protection de la vie privée, des discussions étendues sont en cours avec les parties prenantes sur un éventuel modèle d</w:t>
      </w:r>
      <w:r w:rsidR="001D039F">
        <w:rPr>
          <w:lang w:val="fr-FR"/>
        </w:rPr>
        <w:t>’</w:t>
      </w:r>
      <w:r w:rsidRPr="001E5043">
        <w:rPr>
          <w:lang w:val="fr-FR"/>
        </w:rPr>
        <w:t xml:space="preserve">“accréditation et accès” au répertoire, </w:t>
      </w:r>
      <w:r w:rsidR="001D039F">
        <w:rPr>
          <w:lang w:val="fr-FR"/>
        </w:rPr>
        <w:t>y compris</w:t>
      </w:r>
      <w:r w:rsidRPr="001E5043">
        <w:rPr>
          <w:lang w:val="fr-FR"/>
        </w:rPr>
        <w:t xml:space="preserve"> un rôle potentiel de certification des droits des propriétaires d</w:t>
      </w:r>
      <w:r w:rsidR="001D039F">
        <w:rPr>
          <w:lang w:val="fr-FR"/>
        </w:rPr>
        <w:t>’</w:t>
      </w:r>
      <w:r w:rsidRPr="001E5043">
        <w:rPr>
          <w:lang w:val="fr-FR"/>
        </w:rPr>
        <w:t>actifs de propriété intellectuelle pour l</w:t>
      </w:r>
      <w:r w:rsidR="001D039F">
        <w:rPr>
          <w:lang w:val="fr-FR"/>
        </w:rPr>
        <w:t>’</w:t>
      </w:r>
      <w:r w:rsidRPr="001E5043">
        <w:rPr>
          <w:lang w:val="fr-FR"/>
        </w:rPr>
        <w:t>OMPI</w:t>
      </w:r>
      <w:r w:rsidRPr="001E5043">
        <w:rPr>
          <w:rStyle w:val="FootnoteReference"/>
          <w:szCs w:val="22"/>
          <w:lang w:val="fr-FR"/>
        </w:rPr>
        <w:footnoteReference w:id="76"/>
      </w:r>
      <w:r w:rsidRPr="001E5043">
        <w:rPr>
          <w:lang w:val="fr-FR"/>
        </w:rPr>
        <w:t>.  Le débat au sein de l</w:t>
      </w:r>
      <w:r w:rsidR="001D039F">
        <w:rPr>
          <w:lang w:val="fr-FR"/>
        </w:rPr>
        <w:t>’</w:t>
      </w:r>
      <w:r w:rsidRPr="001E5043">
        <w:rPr>
          <w:lang w:val="fr-FR"/>
        </w:rPr>
        <w:t>ICANN se poursuit sur les spécificités de ce qu</w:t>
      </w:r>
      <w:r w:rsidR="001D039F">
        <w:rPr>
          <w:lang w:val="fr-FR"/>
        </w:rPr>
        <w:t>’</w:t>
      </w:r>
      <w:r w:rsidRPr="001E5043">
        <w:rPr>
          <w:lang w:val="fr-FR"/>
        </w:rPr>
        <w:t>il a aussi été convenu d</w:t>
      </w:r>
      <w:r w:rsidR="001D039F">
        <w:rPr>
          <w:lang w:val="fr-FR"/>
        </w:rPr>
        <w:t>’</w:t>
      </w:r>
      <w:r w:rsidRPr="001E5043">
        <w:rPr>
          <w:lang w:val="fr-FR"/>
        </w:rPr>
        <w:t>appeler un système normalisé d</w:t>
      </w:r>
      <w:r w:rsidR="001D039F">
        <w:rPr>
          <w:lang w:val="fr-FR"/>
        </w:rPr>
        <w:t>’</w:t>
      </w:r>
      <w:r w:rsidRPr="001E5043">
        <w:rPr>
          <w:lang w:val="fr-FR"/>
        </w:rPr>
        <w:t>accès et de divulgation</w:t>
      </w:r>
      <w:r w:rsidR="0065462F">
        <w:t> </w:t>
      </w:r>
      <w:r w:rsidRPr="001E5043">
        <w:rPr>
          <w:lang w:val="fr-FR"/>
        </w:rPr>
        <w:t>(SSAD) des données d</w:t>
      </w:r>
      <w:r w:rsidR="001D039F">
        <w:rPr>
          <w:lang w:val="fr-FR"/>
        </w:rPr>
        <w:t>’</w:t>
      </w:r>
      <w:r w:rsidRPr="001E5043">
        <w:rPr>
          <w:lang w:val="fr-FR"/>
        </w:rPr>
        <w:t>enregistrement non publiques concernant les gTLD, notamment à un niveau stratégique dans le cadre du processus accéléré d</w:t>
      </w:r>
      <w:r w:rsidR="001D039F">
        <w:rPr>
          <w:lang w:val="fr-FR"/>
        </w:rPr>
        <w:t>’</w:t>
      </w:r>
      <w:r w:rsidRPr="001E5043">
        <w:rPr>
          <w:lang w:val="fr-FR"/>
        </w:rPr>
        <w:t>élaboration des politiques</w:t>
      </w:r>
      <w:r w:rsidR="0065462F">
        <w:t> </w:t>
      </w:r>
      <w:r w:rsidRPr="001E5043">
        <w:rPr>
          <w:lang w:val="fr-FR"/>
        </w:rPr>
        <w:t>(EPDP) de l</w:t>
      </w:r>
      <w:r w:rsidR="001D039F">
        <w:rPr>
          <w:lang w:val="fr-FR"/>
        </w:rPr>
        <w:t>’</w:t>
      </w:r>
      <w:r w:rsidRPr="001E5043">
        <w:rPr>
          <w:lang w:val="fr-FR"/>
        </w:rPr>
        <w:t>ICANN</w:t>
      </w:r>
      <w:r w:rsidRPr="001E5043">
        <w:rPr>
          <w:rStyle w:val="FootnoteReference"/>
          <w:szCs w:val="22"/>
          <w:lang w:val="fr-FR"/>
        </w:rPr>
        <w:footnoteReference w:id="77"/>
      </w:r>
      <w:r w:rsidRPr="001E5043">
        <w:rPr>
          <w:lang w:val="fr-FR"/>
        </w:rPr>
        <w:t>.</w:t>
      </w:r>
      <w:r w:rsidR="00A7394B">
        <w:rPr>
          <w:lang w:val="fr-FR"/>
        </w:rPr>
        <w:t xml:space="preserve">  Parmi ses décisions les plus récentes, l</w:t>
      </w:r>
      <w:r w:rsidR="001D039F">
        <w:rPr>
          <w:lang w:val="fr-FR"/>
        </w:rPr>
        <w:t>’</w:t>
      </w:r>
      <w:r w:rsidR="00A7394B">
        <w:rPr>
          <w:szCs w:val="22"/>
        </w:rPr>
        <w:t>ICANN a approuvé l</w:t>
      </w:r>
      <w:r w:rsidR="001D039F">
        <w:rPr>
          <w:szCs w:val="22"/>
        </w:rPr>
        <w:t>’</w:t>
      </w:r>
      <w:r w:rsidR="00A7394B">
        <w:rPr>
          <w:szCs w:val="22"/>
        </w:rPr>
        <w:t>élaboration et la mise en place d</w:t>
      </w:r>
      <w:r w:rsidR="001D039F">
        <w:rPr>
          <w:szCs w:val="22"/>
        </w:rPr>
        <w:t>’</w:t>
      </w:r>
      <w:r w:rsidR="00A7394B">
        <w:rPr>
          <w:szCs w:val="22"/>
        </w:rPr>
        <w:t>un programme pilote relatif à un système de divulgation</w:t>
      </w:r>
      <w:r w:rsidR="0065462F">
        <w:t> </w:t>
      </w:r>
      <w:r w:rsidR="00A7394B">
        <w:t>WHOIS pour une durée pouvant aller jusqu</w:t>
      </w:r>
      <w:r w:rsidR="001D039F">
        <w:t>’</w:t>
      </w:r>
      <w:r w:rsidR="00A7394B">
        <w:t>à deux</w:t>
      </w:r>
      <w:r w:rsidR="00563191">
        <w:t> </w:t>
      </w:r>
      <w:r w:rsidR="00A7394B">
        <w:t>ans afin d</w:t>
      </w:r>
      <w:r w:rsidR="001D039F">
        <w:t>’</w:t>
      </w:r>
      <w:r w:rsidR="00F00DCF">
        <w:t>alimente</w:t>
      </w:r>
      <w:r w:rsidR="00A7394B">
        <w:t xml:space="preserve">r </w:t>
      </w:r>
      <w:r w:rsidR="00F00DCF">
        <w:t xml:space="preserve">toute </w:t>
      </w:r>
      <w:r w:rsidR="00F00DCF">
        <w:lastRenderedPageBreak/>
        <w:t xml:space="preserve">future politique à mener </w:t>
      </w:r>
      <w:r w:rsidR="00415B4A">
        <w:t>en ce sens</w:t>
      </w:r>
      <w:r w:rsidR="00A7394B">
        <w:rPr>
          <w:rStyle w:val="FootnoteReference"/>
        </w:rPr>
        <w:footnoteReference w:id="78"/>
      </w:r>
      <w:r w:rsidR="00A7394B">
        <w:t xml:space="preserve">.  </w:t>
      </w:r>
      <w:r w:rsidR="003C2671">
        <w:t>Plus</w:t>
      </w:r>
      <w:r w:rsidR="00F00DCF">
        <w:t xml:space="preserve"> particuli</w:t>
      </w:r>
      <w:r w:rsidR="003C2671">
        <w:t>èrement</w:t>
      </w:r>
      <w:r w:rsidR="00A7394B">
        <w:t xml:space="preserve">, </w:t>
      </w:r>
      <w:r w:rsidR="00415B4A">
        <w:t>la décision prise par le Conseil d</w:t>
      </w:r>
      <w:r w:rsidR="001D039F">
        <w:t>’</w:t>
      </w:r>
      <w:r w:rsidR="00415B4A">
        <w:t>administration de l</w:t>
      </w:r>
      <w:r w:rsidR="001D039F">
        <w:t>’</w:t>
      </w:r>
      <w:r w:rsidR="00415B4A">
        <w:t xml:space="preserve">ICANN </w:t>
      </w:r>
      <w:r w:rsidR="00444161">
        <w:t>concernant</w:t>
      </w:r>
      <w:r w:rsidR="00415B4A">
        <w:t xml:space="preserve"> la participation volontaire </w:t>
      </w:r>
      <w:r w:rsidR="00415B4A" w:rsidRPr="006C7091">
        <w:t>de l</w:t>
      </w:r>
      <w:r w:rsidR="001D039F">
        <w:t>’</w:t>
      </w:r>
      <w:r w:rsidR="00415B4A" w:rsidRPr="006C7091">
        <w:t>unité d</w:t>
      </w:r>
      <w:r w:rsidR="001D039F">
        <w:t>’</w:t>
      </w:r>
      <w:r w:rsidR="00415B4A" w:rsidRPr="006C7091">
        <w:t>enregistrement</w:t>
      </w:r>
      <w:r w:rsidR="00415B4A">
        <w:t xml:space="preserve"> (et du </w:t>
      </w:r>
      <w:r w:rsidR="00415B4A" w:rsidRPr="006C7091">
        <w:t>service d</w:t>
      </w:r>
      <w:r w:rsidR="001D039F">
        <w:t>’</w:t>
      </w:r>
      <w:r w:rsidR="00415B4A" w:rsidRPr="006C7091">
        <w:t>enregistrement</w:t>
      </w:r>
      <w:r w:rsidR="00415B4A">
        <w:t>)</w:t>
      </w:r>
      <w:r w:rsidR="00415B4A" w:rsidRPr="006C7091">
        <w:t xml:space="preserve"> </w:t>
      </w:r>
      <w:r w:rsidR="00415B4A">
        <w:t>au programme pilote</w:t>
      </w:r>
      <w:r w:rsidR="00F00DCF">
        <w:t xml:space="preserve"> </w:t>
      </w:r>
      <w:r w:rsidR="00415B4A">
        <w:t>a suscité de sérieuses préoccupations</w:t>
      </w:r>
      <w:r w:rsidR="00A7394B">
        <w:t xml:space="preserve">; </w:t>
      </w:r>
      <w:r w:rsidR="00415B4A">
        <w:t xml:space="preserve"> les débats à cet égard se poursuivent</w:t>
      </w:r>
      <w:r w:rsidR="00A7394B">
        <w:t>.</w:t>
      </w:r>
    </w:p>
    <w:p w14:paraId="3A8205B0" w14:textId="77777777" w:rsidR="008E0BF9" w:rsidRPr="001E5043" w:rsidRDefault="002B3C37" w:rsidP="002B3C37">
      <w:pPr>
        <w:pStyle w:val="Heading3"/>
      </w:pPr>
      <w:r w:rsidRPr="001E5043">
        <w:t>Noms de domaines internationalisés</w:t>
      </w:r>
    </w:p>
    <w:p w14:paraId="29210622" w14:textId="29611AA2" w:rsidR="008E0BF9" w:rsidRPr="001E5043" w:rsidRDefault="008E0BF9" w:rsidP="003B5CD9">
      <w:pPr>
        <w:pStyle w:val="ONUMFS"/>
        <w:rPr>
          <w:lang w:val="fr-FR"/>
        </w:rPr>
      </w:pPr>
      <w:r w:rsidRPr="001E5043">
        <w:rPr>
          <w:lang w:val="fr-FR"/>
        </w:rPr>
        <w:t>Ainsi qu</w:t>
      </w:r>
      <w:r w:rsidR="001D039F">
        <w:rPr>
          <w:lang w:val="fr-FR"/>
        </w:rPr>
        <w:t>’</w:t>
      </w:r>
      <w:r w:rsidRPr="001E5043">
        <w:rPr>
          <w:lang w:val="fr-FR"/>
        </w:rPr>
        <w:t>il est indiqué au paragraphe 26, l</w:t>
      </w:r>
      <w:r w:rsidR="001D039F">
        <w:rPr>
          <w:lang w:val="fr-FR"/>
        </w:rPr>
        <w:t>’</w:t>
      </w:r>
      <w:r w:rsidRPr="001E5043">
        <w:rPr>
          <w:lang w:val="fr-FR"/>
        </w:rPr>
        <w:t>introduction de noms de domaine internationalisés (en caractères non latins) dans les domaines de premier niveau constitue une autre évolution importante du DNS</w:t>
      </w:r>
      <w:r w:rsidRPr="001E5043">
        <w:rPr>
          <w:rStyle w:val="FootnoteReference"/>
          <w:szCs w:val="22"/>
          <w:lang w:val="fr-FR"/>
        </w:rPr>
        <w:footnoteReference w:id="79"/>
      </w:r>
      <w:r w:rsidRPr="001E5043">
        <w:rPr>
          <w:lang w:val="fr-FR"/>
        </w:rPr>
        <w:t>.  Ces domaines étaient nombreux parmi les premiers gTLD dont l</w:t>
      </w:r>
      <w:r w:rsidR="001D039F">
        <w:rPr>
          <w:lang w:val="fr-FR"/>
        </w:rPr>
        <w:t>’</w:t>
      </w:r>
      <w:r w:rsidRPr="001E5043">
        <w:rPr>
          <w:lang w:val="fr-FR"/>
        </w:rPr>
        <w:t>attribution dans la zone racine du DNS a été annoncée par l</w:t>
      </w:r>
      <w:r w:rsidR="001D039F">
        <w:rPr>
          <w:lang w:val="fr-FR"/>
        </w:rPr>
        <w:t>’</w:t>
      </w:r>
      <w:r w:rsidRPr="001E5043">
        <w:rPr>
          <w:lang w:val="fr-FR"/>
        </w:rPr>
        <w:t>ICANN.</w:t>
      </w:r>
    </w:p>
    <w:p w14:paraId="72F50DFB" w14:textId="77777777" w:rsidR="008E0BF9" w:rsidRPr="001E5043" w:rsidRDefault="002B3C37" w:rsidP="002B3C37">
      <w:pPr>
        <w:pStyle w:val="Heading3"/>
      </w:pPr>
      <w:r w:rsidRPr="001E5043">
        <w:t>Autres désignations</w:t>
      </w:r>
    </w:p>
    <w:p w14:paraId="3E2648E6" w14:textId="38432DDA" w:rsidR="008E0BF9" w:rsidRPr="001E5043" w:rsidRDefault="008E0BF9" w:rsidP="003B5CD9">
      <w:pPr>
        <w:pStyle w:val="ONUMFS"/>
        <w:rPr>
          <w:lang w:val="fr-FR"/>
        </w:rPr>
      </w:pPr>
      <w:r w:rsidRPr="001E5043">
        <w:rPr>
          <w:lang w:val="fr-FR"/>
        </w:rPr>
        <w:t>Outre les évolutions susmentionnées et en relation avec celles</w:t>
      </w:r>
      <w:r w:rsidR="005723D0">
        <w:rPr>
          <w:lang w:val="fr-FR"/>
        </w:rPr>
        <w:noBreakHyphen/>
      </w:r>
      <w:r w:rsidRPr="001E5043">
        <w:rPr>
          <w:lang w:val="fr-FR"/>
        </w:rPr>
        <w:t>ci, d</w:t>
      </w:r>
      <w:r w:rsidR="001D039F">
        <w:rPr>
          <w:lang w:val="fr-FR"/>
        </w:rPr>
        <w:t>’</w:t>
      </w:r>
      <w:r w:rsidRPr="001E5043">
        <w:rPr>
          <w:lang w:val="fr-FR"/>
        </w:rPr>
        <w:t>autres activités déployées par l</w:t>
      </w:r>
      <w:r w:rsidR="001D039F">
        <w:rPr>
          <w:lang w:val="fr-FR"/>
        </w:rPr>
        <w:t>’</w:t>
      </w:r>
      <w:r w:rsidRPr="001E5043">
        <w:rPr>
          <w:lang w:val="fr-FR"/>
        </w:rPr>
        <w:t>ICANN touchent à la protection de désignations autres que les marques.</w:t>
      </w:r>
    </w:p>
    <w:p w14:paraId="5DC77CFD" w14:textId="77777777" w:rsidR="008E0BF9" w:rsidRPr="001E5043" w:rsidRDefault="008E0BF9" w:rsidP="00F1685C">
      <w:pPr>
        <w:pStyle w:val="Heading4"/>
        <w:numPr>
          <w:ilvl w:val="0"/>
          <w:numId w:val="24"/>
        </w:numPr>
        <w:ind w:left="1701" w:hanging="567"/>
        <w:rPr>
          <w:lang w:val="fr-FR"/>
        </w:rPr>
      </w:pPr>
      <w:r w:rsidRPr="001E5043">
        <w:rPr>
          <w:lang w:val="fr-FR"/>
        </w:rPr>
        <w:t>Organisations intergouvernementales</w:t>
      </w:r>
    </w:p>
    <w:p w14:paraId="4912E328" w14:textId="1BE00EB3" w:rsidR="008E0BF9" w:rsidRPr="001E5043" w:rsidRDefault="008E0BF9" w:rsidP="003B5CD9">
      <w:pPr>
        <w:pStyle w:val="ONUMFS"/>
        <w:rPr>
          <w:lang w:val="fr-FR"/>
        </w:rPr>
      </w:pPr>
      <w:r w:rsidRPr="001E5043">
        <w:rPr>
          <w:lang w:val="fr-FR"/>
        </w:rPr>
        <w:t>Il est rappelé que le premier processus de consultations de l</w:t>
      </w:r>
      <w:r w:rsidR="001D039F">
        <w:rPr>
          <w:lang w:val="fr-FR"/>
        </w:rPr>
        <w:t>’</w:t>
      </w:r>
      <w:r w:rsidRPr="001E5043">
        <w:rPr>
          <w:lang w:val="fr-FR"/>
        </w:rPr>
        <w:t>OMPI sur les noms de domaine de l</w:t>
      </w:r>
      <w:r w:rsidR="001D039F">
        <w:rPr>
          <w:lang w:val="fr-FR"/>
        </w:rPr>
        <w:t>’</w:t>
      </w:r>
      <w:r w:rsidRPr="001E5043">
        <w:rPr>
          <w:lang w:val="fr-FR"/>
        </w:rPr>
        <w:t>Internet traitait du lien entre les noms de domaine et les marqu</w:t>
      </w:r>
      <w:r w:rsidR="00567D37" w:rsidRPr="001E5043">
        <w:rPr>
          <w:lang w:val="fr-FR"/>
        </w:rPr>
        <w:t>es</w:t>
      </w:r>
      <w:r w:rsidR="00567D37">
        <w:rPr>
          <w:lang w:val="fr-FR"/>
        </w:rPr>
        <w:t xml:space="preserve">.  </w:t>
      </w:r>
      <w:r w:rsidR="00567D37" w:rsidRPr="001E5043">
        <w:rPr>
          <w:lang w:val="fr-FR"/>
        </w:rPr>
        <w:t>Le</w:t>
      </w:r>
      <w:r w:rsidRPr="001E5043">
        <w:rPr>
          <w:lang w:val="fr-FR"/>
        </w:rPr>
        <w:t xml:space="preserve"> second traitait du lien entre les noms de domaine et d</w:t>
      </w:r>
      <w:r w:rsidR="001D039F">
        <w:rPr>
          <w:lang w:val="fr-FR"/>
        </w:rPr>
        <w:t>’</w:t>
      </w:r>
      <w:r w:rsidRPr="001E5043">
        <w:rPr>
          <w:lang w:val="fr-FR"/>
        </w:rPr>
        <w:t>autres types de désignations, dont les noms de pays et les noms et sigles d</w:t>
      </w:r>
      <w:r w:rsidR="001D039F">
        <w:rPr>
          <w:lang w:val="fr-FR"/>
        </w:rPr>
        <w:t>’</w:t>
      </w:r>
      <w:r w:rsidRPr="001E5043">
        <w:rPr>
          <w:lang w:val="fr-FR"/>
        </w:rPr>
        <w:t>organisations intergouvernemental</w:t>
      </w:r>
      <w:r w:rsidR="00567D37" w:rsidRPr="001E5043">
        <w:rPr>
          <w:lang w:val="fr-FR"/>
        </w:rPr>
        <w:t>es</w:t>
      </w:r>
      <w:r w:rsidR="00567D37">
        <w:rPr>
          <w:lang w:val="fr-FR"/>
        </w:rPr>
        <w:t xml:space="preserve">.  </w:t>
      </w:r>
      <w:r w:rsidR="00567D37" w:rsidRPr="001E5043">
        <w:rPr>
          <w:lang w:val="fr-FR"/>
        </w:rPr>
        <w:t>En</w:t>
      </w:r>
      <w:r w:rsidRPr="001E5043">
        <w:rPr>
          <w:lang w:val="fr-FR"/>
        </w:rPr>
        <w:t> 2002, l</w:t>
      </w:r>
      <w:r w:rsidR="001D039F">
        <w:rPr>
          <w:lang w:val="fr-FR"/>
        </w:rPr>
        <w:t>’</w:t>
      </w:r>
      <w:r w:rsidRPr="001E5043">
        <w:rPr>
          <w:lang w:val="fr-FR"/>
        </w:rPr>
        <w:t>Assemblée générale de l</w:t>
      </w:r>
      <w:r w:rsidR="001D039F">
        <w:rPr>
          <w:lang w:val="fr-FR"/>
        </w:rPr>
        <w:t>’</w:t>
      </w:r>
      <w:r w:rsidRPr="001E5043">
        <w:rPr>
          <w:lang w:val="fr-FR"/>
        </w:rPr>
        <w:t>OMPI a recom</w:t>
      </w:r>
      <w:r w:rsidR="0065462F">
        <w:rPr>
          <w:lang w:val="fr-FR"/>
        </w:rPr>
        <w:t>mandé de modifier les principes </w:t>
      </w:r>
      <w:r w:rsidRPr="001E5043">
        <w:rPr>
          <w:lang w:val="fr-FR"/>
        </w:rPr>
        <w:t>UDRP afin de protéger les noms de pays et les noms et sigles d</w:t>
      </w:r>
      <w:r w:rsidR="001D039F">
        <w:rPr>
          <w:lang w:val="fr-FR"/>
        </w:rPr>
        <w:t>’</w:t>
      </w:r>
      <w:r w:rsidRPr="001E5043">
        <w:rPr>
          <w:lang w:val="fr-FR"/>
        </w:rPr>
        <w:t>organisations intergouvernementales</w:t>
      </w:r>
      <w:r w:rsidRPr="001E5043">
        <w:rPr>
          <w:rStyle w:val="FootnoteReference"/>
          <w:szCs w:val="22"/>
          <w:lang w:val="fr-FR"/>
        </w:rPr>
        <w:footnoteReference w:id="80"/>
      </w:r>
      <w:r w:rsidRPr="001E5043">
        <w:rPr>
          <w:lang w:val="fr-FR"/>
        </w:rPr>
        <w:t>.</w:t>
      </w:r>
    </w:p>
    <w:p w14:paraId="74A148EC" w14:textId="5FFDB583" w:rsidR="008E0BF9" w:rsidRPr="001E5043" w:rsidRDefault="008E0BF9" w:rsidP="003B5CD9">
      <w:pPr>
        <w:pStyle w:val="ONUMFS"/>
        <w:rPr>
          <w:lang w:val="fr-FR"/>
        </w:rPr>
      </w:pPr>
      <w:r w:rsidRPr="001E5043">
        <w:rPr>
          <w:lang w:val="fr-FR"/>
        </w:rPr>
        <w:t>Ces recommandations ont fait l</w:t>
      </w:r>
      <w:r w:rsidR="001D039F">
        <w:rPr>
          <w:lang w:val="fr-FR"/>
        </w:rPr>
        <w:t>’</w:t>
      </w:r>
      <w:r w:rsidRPr="001E5043">
        <w:rPr>
          <w:lang w:val="fr-FR"/>
        </w:rPr>
        <w:t>objet de délibérations longues et complexes au sein du cadre d</w:t>
      </w:r>
      <w:r w:rsidR="001D039F">
        <w:rPr>
          <w:lang w:val="fr-FR"/>
        </w:rPr>
        <w:t>’</w:t>
      </w:r>
      <w:r w:rsidRPr="001E5043">
        <w:rPr>
          <w:lang w:val="fr-FR"/>
        </w:rPr>
        <w:t>élaboration des politiques à plusieurs niveaux de l</w:t>
      </w:r>
      <w:r w:rsidR="001D039F">
        <w:rPr>
          <w:lang w:val="fr-FR"/>
        </w:rPr>
        <w:t>’</w:t>
      </w:r>
      <w:r w:rsidRPr="001E5043">
        <w:rPr>
          <w:lang w:val="fr-FR"/>
        </w:rPr>
        <w:t>ICANN, notamment en ce qui concerne les conditions relatives aux demandes de nouveaux g</w:t>
      </w:r>
      <w:r w:rsidR="00567D37" w:rsidRPr="001E5043">
        <w:rPr>
          <w:lang w:val="fr-FR"/>
        </w:rPr>
        <w:t>TLD</w:t>
      </w:r>
      <w:r w:rsidR="00567D37">
        <w:rPr>
          <w:lang w:val="fr-FR"/>
        </w:rPr>
        <w:t xml:space="preserve">.  </w:t>
      </w:r>
      <w:r w:rsidR="00567D37" w:rsidRPr="001E5043">
        <w:rPr>
          <w:lang w:val="fr-FR"/>
        </w:rPr>
        <w:t>De</w:t>
      </w:r>
      <w:r w:rsidRPr="001E5043">
        <w:rPr>
          <w:lang w:val="fr-FR"/>
        </w:rPr>
        <w:t xml:space="preserve"> précédents documents de l</w:t>
      </w:r>
      <w:r w:rsidR="001D039F">
        <w:rPr>
          <w:lang w:val="fr-FR"/>
        </w:rPr>
        <w:t>’</w:t>
      </w:r>
      <w:r w:rsidRPr="001E5043">
        <w:rPr>
          <w:lang w:val="fr-FR"/>
        </w:rPr>
        <w:t>Assemblée générale de l</w:t>
      </w:r>
      <w:r w:rsidR="001D039F">
        <w:rPr>
          <w:lang w:val="fr-FR"/>
        </w:rPr>
        <w:t>’</w:t>
      </w:r>
      <w:r w:rsidRPr="001E5043">
        <w:rPr>
          <w:lang w:val="fr-FR"/>
        </w:rPr>
        <w:t>OMPI décrivent plus en détail le processus et le contenu de ces délibérations qui se poursuivent et qui, dans l</w:t>
      </w:r>
      <w:r w:rsidR="001D039F">
        <w:rPr>
          <w:lang w:val="fr-FR"/>
        </w:rPr>
        <w:t>’</w:t>
      </w:r>
      <w:r w:rsidRPr="001E5043">
        <w:rPr>
          <w:lang w:val="fr-FR"/>
        </w:rPr>
        <w:t>écosystème de l</w:t>
      </w:r>
      <w:r w:rsidR="001D039F">
        <w:rPr>
          <w:lang w:val="fr-FR"/>
        </w:rPr>
        <w:t>’</w:t>
      </w:r>
      <w:r w:rsidRPr="001E5043">
        <w:rPr>
          <w:lang w:val="fr-FR"/>
        </w:rPr>
        <w:t>ICANN, font intervenir notamment</w:t>
      </w:r>
      <w:r w:rsidR="001D039F" w:rsidRPr="001E5043">
        <w:rPr>
          <w:lang w:val="fr-FR"/>
        </w:rPr>
        <w:t xml:space="preserve"> le</w:t>
      </w:r>
      <w:r w:rsidR="001D039F">
        <w:rPr>
          <w:lang w:val="fr-FR"/>
        </w:rPr>
        <w:t> </w:t>
      </w:r>
      <w:r w:rsidR="001D039F" w:rsidRPr="001E5043">
        <w:rPr>
          <w:lang w:val="fr-FR"/>
        </w:rPr>
        <w:t>GAC</w:t>
      </w:r>
      <w:r w:rsidRPr="001E5043">
        <w:rPr>
          <w:lang w:val="fr-FR"/>
        </w:rPr>
        <w:t>, le Conseil d</w:t>
      </w:r>
      <w:r w:rsidR="001D039F">
        <w:rPr>
          <w:lang w:val="fr-FR"/>
        </w:rPr>
        <w:t>’</w:t>
      </w:r>
      <w:r w:rsidRPr="001E5043">
        <w:rPr>
          <w:lang w:val="fr-FR"/>
        </w:rPr>
        <w:t>administration, le comité du Conseil d</w:t>
      </w:r>
      <w:r w:rsidR="001D039F">
        <w:rPr>
          <w:lang w:val="fr-FR"/>
        </w:rPr>
        <w:t>’</w:t>
      </w:r>
      <w:r w:rsidRPr="001E5043">
        <w:rPr>
          <w:lang w:val="fr-FR"/>
        </w:rPr>
        <w:t>administration chargé du programme de l</w:t>
      </w:r>
      <w:r w:rsidR="001D039F">
        <w:rPr>
          <w:lang w:val="fr-FR"/>
        </w:rPr>
        <w:t>’</w:t>
      </w:r>
      <w:r w:rsidRPr="001E5043">
        <w:rPr>
          <w:lang w:val="fr-FR"/>
        </w:rPr>
        <w:t>ICANN relatif aux nouveaux gTLD</w:t>
      </w:r>
      <w:r w:rsidR="0065462F">
        <w:rPr>
          <w:lang w:val="fr-FR"/>
        </w:rPr>
        <w:t> </w:t>
      </w:r>
      <w:r w:rsidRPr="001E5043">
        <w:rPr>
          <w:lang w:val="fr-FR"/>
        </w:rPr>
        <w:t>(NGPC) et le Conseil de la GNSO</w:t>
      </w:r>
      <w:r w:rsidRPr="001E5043">
        <w:rPr>
          <w:rStyle w:val="FootnoteReference"/>
          <w:szCs w:val="22"/>
          <w:lang w:val="fr-FR"/>
        </w:rPr>
        <w:footnoteReference w:id="81"/>
      </w:r>
      <w:r w:rsidRPr="001E5043">
        <w:rPr>
          <w:lang w:val="fr-FR"/>
        </w:rPr>
        <w:t>.</w:t>
      </w:r>
    </w:p>
    <w:p w14:paraId="6A778C4E" w14:textId="0FC6F37D" w:rsidR="00CE55B0" w:rsidRPr="0065462F" w:rsidRDefault="008E0BF9" w:rsidP="0065462F">
      <w:pPr>
        <w:pStyle w:val="ONUMFS"/>
      </w:pPr>
      <w:r w:rsidRPr="0065462F">
        <w:t>En ce qui concerne l</w:t>
      </w:r>
      <w:r w:rsidR="001D039F" w:rsidRPr="0065462F">
        <w:t>’</w:t>
      </w:r>
      <w:r w:rsidRPr="0065462F">
        <w:t>état d</w:t>
      </w:r>
      <w:r w:rsidR="001D039F" w:rsidRPr="0065462F">
        <w:t>’</w:t>
      </w:r>
      <w:r w:rsidRPr="0065462F">
        <w:t>avancement de l</w:t>
      </w:r>
      <w:r w:rsidR="001D039F" w:rsidRPr="0065462F">
        <w:t>’</w:t>
      </w:r>
      <w:r w:rsidRPr="0065462F">
        <w:t>examen de la question de la protection des noms et sigles d</w:t>
      </w:r>
      <w:r w:rsidR="001D039F" w:rsidRPr="0065462F">
        <w:t>’</w:t>
      </w:r>
      <w:r w:rsidRPr="0065462F">
        <w:t>organisations intergouvernementales dans le DNS, sur la recommandation du GAC, le Conseil d</w:t>
      </w:r>
      <w:r w:rsidR="001D039F" w:rsidRPr="0065462F">
        <w:t>’</w:t>
      </w:r>
      <w:r w:rsidRPr="0065462F">
        <w:t>administration de l</w:t>
      </w:r>
      <w:r w:rsidR="001D039F" w:rsidRPr="0065462F">
        <w:t>’</w:t>
      </w:r>
      <w:r w:rsidRPr="0065462F">
        <w:t>ICANN a provisoirement protégé les noms complets des organisations intergouvernementales aux premier et</w:t>
      </w:r>
      <w:r w:rsidR="0065462F" w:rsidRPr="0065462F">
        <w:t> </w:t>
      </w:r>
      <w:r w:rsidRPr="0065462F">
        <w:t>deuxième</w:t>
      </w:r>
      <w:r w:rsidR="0065462F" w:rsidRPr="0065462F">
        <w:t> </w:t>
      </w:r>
      <w:r w:rsidRPr="0065462F">
        <w:t>niveaux, dans deux langues, contre l</w:t>
      </w:r>
      <w:r w:rsidR="001D039F" w:rsidRPr="0065462F">
        <w:t>’</w:t>
      </w:r>
      <w:r w:rsidRPr="0065462F">
        <w:t>enregistrement par des tiers dans les nouveaux g</w:t>
      </w:r>
      <w:r w:rsidR="00567D37" w:rsidRPr="0065462F">
        <w:t>TLD.  To</w:t>
      </w:r>
      <w:r w:rsidRPr="0065462F">
        <w:t>utefois, nonobstant cette recommandation du GAC et la position des organisations intergouvernementales favorables à la protection de nature préventive, en juin 2014 le Conseil de la GNSO a voté en faveur du lancement d</w:t>
      </w:r>
      <w:r w:rsidR="001D039F" w:rsidRPr="0065462F">
        <w:t>’</w:t>
      </w:r>
      <w:r w:rsidR="0065462F">
        <w:t>un deuxième </w:t>
      </w:r>
      <w:r w:rsidRPr="0065462F">
        <w:t>processus d</w:t>
      </w:r>
      <w:r w:rsidR="001D039F" w:rsidRPr="0065462F">
        <w:t>’</w:t>
      </w:r>
      <w:r w:rsidRPr="0065462F">
        <w:t xml:space="preserve">élaboration de politique </w:t>
      </w:r>
      <w:r w:rsidRPr="0065462F">
        <w:lastRenderedPageBreak/>
        <w:t>sur l</w:t>
      </w:r>
      <w:r w:rsidR="001D039F" w:rsidRPr="0065462F">
        <w:t>’</w:t>
      </w:r>
      <w:r w:rsidRPr="0065462F">
        <w:t>opportunité de donner aux organisations intergouvernementales l</w:t>
      </w:r>
      <w:r w:rsidR="001D039F" w:rsidRPr="0065462F">
        <w:t>’</w:t>
      </w:r>
      <w:r w:rsidRPr="0065462F">
        <w:t>accès à des mécanismes défensifs de protection des droits (tels que les principes</w:t>
      </w:r>
      <w:r w:rsidR="0065462F" w:rsidRPr="0065462F">
        <w:t> </w:t>
      </w:r>
      <w:r w:rsidRPr="0065462F">
        <w:t>UDRP ou les mécanismes de suspension uniforme rapide) pour lutter contre l</w:t>
      </w:r>
      <w:r w:rsidR="001D039F" w:rsidRPr="0065462F">
        <w:t>’</w:t>
      </w:r>
      <w:r w:rsidRPr="0065462F">
        <w:t>enregistrement abusif de sigles d</w:t>
      </w:r>
      <w:r w:rsidR="001D039F" w:rsidRPr="0065462F">
        <w:t>’</w:t>
      </w:r>
      <w:r w:rsidRPr="0065462F">
        <w:t>organisations intergouvernementales ou des noms complets des organisations intergouvernementales qui ne sont pas couverts par la protection susmentionn</w:t>
      </w:r>
      <w:r w:rsidR="00567D37" w:rsidRPr="0065462F">
        <w:t>ée.  La</w:t>
      </w:r>
      <w:r w:rsidRPr="0065462F">
        <w:t xml:space="preserve"> recommandation finale du groupe de travail a suscité des inquiétudes parmi les organisations intergouvernementales et le GAC, appelant des travaux de synthèse supplémentaires sur une recommandation de fond, qui a depuis été remaniée par le Conseil de la GNSO et examinée dans le cadre de la première phase du processus d</w:t>
      </w:r>
      <w:r w:rsidR="001D039F" w:rsidRPr="0065462F">
        <w:t>’</w:t>
      </w:r>
      <w:r w:rsidRPr="0065462F">
        <w:t>élaboration de politique visé au paragraphe 34</w:t>
      </w:r>
      <w:r w:rsidRPr="0065462F">
        <w:rPr>
          <w:rStyle w:val="FootnoteReference"/>
        </w:rPr>
        <w:footnoteReference w:id="82"/>
      </w:r>
      <w:r w:rsidRPr="0065462F">
        <w:t>.  Le GAC</w:t>
      </w:r>
      <w:r w:rsidR="008B7A7D" w:rsidRPr="0065462F">
        <w:t>, pour sa part,</w:t>
      </w:r>
      <w:r w:rsidRPr="0065462F">
        <w:t xml:space="preserve"> a réaffirmé que tout mécanisme de protection des droits propre aux organisations intergouvernementales devrait tenir compte du statut de ces organisations en droit international;  le Conseil d</w:t>
      </w:r>
      <w:r w:rsidR="001D039F" w:rsidRPr="0065462F">
        <w:t>’</w:t>
      </w:r>
      <w:r w:rsidRPr="0065462F">
        <w:t>administration de l</w:t>
      </w:r>
      <w:r w:rsidR="001D039F" w:rsidRPr="0065462F">
        <w:t>’</w:t>
      </w:r>
      <w:r w:rsidRPr="0065462F">
        <w:t>ICANN, tout en prenant note de la recommandation du GAC relative à la nécessité de protéger les sigles des organisations intergouvernementales, a fait part de son intention de lever la protection de ces sigles dans les nouveaux gTLD sur la base d</w:t>
      </w:r>
      <w:r w:rsidR="001D039F" w:rsidRPr="0065462F">
        <w:t>’</w:t>
      </w:r>
      <w:r w:rsidRPr="0065462F">
        <w:t>un système visant à signaler aux organisations intergouvernementales tout enregistrement par des tiers correspondant à leur identifiant</w:t>
      </w:r>
      <w:r w:rsidRPr="0065462F">
        <w:rPr>
          <w:rStyle w:val="FootnoteReference"/>
        </w:rPr>
        <w:footnoteReference w:id="83"/>
      </w:r>
      <w:r w:rsidRPr="0065462F">
        <w:t>;  le GAC a ainsi conseillé au Conseil d</w:t>
      </w:r>
      <w:r w:rsidR="001D039F" w:rsidRPr="0065462F">
        <w:t>’</w:t>
      </w:r>
      <w:r w:rsidRPr="0065462F">
        <w:t>administration de l</w:t>
      </w:r>
      <w:r w:rsidR="001D039F" w:rsidRPr="0065462F">
        <w:t>’</w:t>
      </w:r>
      <w:r w:rsidRPr="0065462F">
        <w:t>ICANN de “maintenir le moratoire actuel sur l</w:t>
      </w:r>
      <w:r w:rsidR="001D039F" w:rsidRPr="0065462F">
        <w:t>’</w:t>
      </w:r>
      <w:r w:rsidRPr="0065462F">
        <w:t>enregistrement des acronymes d</w:t>
      </w:r>
      <w:r w:rsidR="001D039F" w:rsidRPr="0065462F">
        <w:t>’</w:t>
      </w:r>
      <w:r w:rsidRPr="0065462F">
        <w:t>OIG jusqu</w:t>
      </w:r>
      <w:r w:rsidR="001D039F" w:rsidRPr="0065462F">
        <w:t>’</w:t>
      </w:r>
      <w:r w:rsidRPr="0065462F">
        <w:t>à la conclusion de la piste de travail sur les droits curatifs des OIG actuellement en cours”</w:t>
      </w:r>
      <w:r w:rsidRPr="0065462F">
        <w:rPr>
          <w:rStyle w:val="FootnoteReference"/>
        </w:rPr>
        <w:footnoteReference w:id="84"/>
      </w:r>
      <w:r w:rsidRPr="0065462F">
        <w:t>.</w:t>
      </w:r>
      <w:r w:rsidR="00C9068B" w:rsidRPr="0065462F">
        <w:t xml:space="preserve">  </w:t>
      </w:r>
      <w:r w:rsidR="00A674EC" w:rsidRPr="0065462F">
        <w:t>Depuis lors, au cours de l</w:t>
      </w:r>
      <w:r w:rsidR="001D039F" w:rsidRPr="0065462F">
        <w:t>’</w:t>
      </w:r>
      <w:r w:rsidR="00A674EC" w:rsidRPr="0065462F">
        <w:t>année 2021, une piste de travail accélérée a été convoquée pour traiter la question de l</w:t>
      </w:r>
      <w:r w:rsidR="001D039F" w:rsidRPr="0065462F">
        <w:t>’</w:t>
      </w:r>
      <w:r w:rsidR="00A674EC" w:rsidRPr="0065462F">
        <w:t>accès</w:t>
      </w:r>
      <w:r w:rsidR="00CE55B0" w:rsidRPr="0065462F">
        <w:t xml:space="preserve"> des OIG</w:t>
      </w:r>
      <w:r w:rsidR="00A674EC" w:rsidRPr="0065462F">
        <w:t xml:space="preserve"> aux mécanismes de protection des droits curatifs tels que les principes</w:t>
      </w:r>
      <w:r w:rsidR="0065462F">
        <w:t> </w:t>
      </w:r>
      <w:r w:rsidR="00A674EC" w:rsidRPr="0065462F">
        <w:t>UDRP et</w:t>
      </w:r>
      <w:r w:rsidR="0065462F">
        <w:t> </w:t>
      </w:r>
      <w:r w:rsidR="00567D37" w:rsidRPr="0065462F">
        <w:t>URS.  Ce</w:t>
      </w:r>
      <w:r w:rsidR="00A674EC" w:rsidRPr="0065462F">
        <w:t xml:space="preserve"> travail s</w:t>
      </w:r>
      <w:r w:rsidR="001D039F" w:rsidRPr="0065462F">
        <w:t>’</w:t>
      </w:r>
      <w:r w:rsidR="00A674EC" w:rsidRPr="0065462F">
        <w:t>est conclu en mars 2022 par des propositions</w:t>
      </w:r>
      <w:r w:rsidR="00AD7FFD" w:rsidRPr="0065462F">
        <w:t xml:space="preserve"> ciblées</w:t>
      </w:r>
      <w:r w:rsidR="00A674EC" w:rsidRPr="0065462F">
        <w:t xml:space="preserve"> à l</w:t>
      </w:r>
      <w:r w:rsidR="001D039F" w:rsidRPr="0065462F">
        <w:t>’</w:t>
      </w:r>
      <w:r w:rsidR="00A674EC" w:rsidRPr="0065462F">
        <w:t>ICANN visant à adapter les principes</w:t>
      </w:r>
      <w:r w:rsidR="0065462F">
        <w:t> </w:t>
      </w:r>
      <w:r w:rsidR="00A674EC" w:rsidRPr="0065462F">
        <w:t>UDRP afin de tenir compte du statut</w:t>
      </w:r>
      <w:r w:rsidR="00CE55B0" w:rsidRPr="0065462F">
        <w:t xml:space="preserve"> des OIG</w:t>
      </w:r>
      <w:r w:rsidR="00A674EC" w:rsidRPr="0065462F">
        <w:t xml:space="preserve"> en droit international, au regard de la Convention de Paris et des privilèges et immunités reconnus</w:t>
      </w:r>
      <w:r w:rsidR="00C9068B" w:rsidRPr="0065462F">
        <w:rPr>
          <w:vertAlign w:val="superscript"/>
        </w:rPr>
        <w:footnoteReference w:id="85"/>
      </w:r>
      <w:r w:rsidR="00A674EC" w:rsidRPr="0065462F">
        <w:t>.</w:t>
      </w:r>
    </w:p>
    <w:p w14:paraId="074E6EDF" w14:textId="34A3290E" w:rsidR="008E0BF9" w:rsidRPr="001E5043" w:rsidRDefault="008E0BF9" w:rsidP="003B5CD9">
      <w:pPr>
        <w:pStyle w:val="ONUMFS"/>
        <w:rPr>
          <w:lang w:val="fr-FR"/>
        </w:rPr>
      </w:pPr>
      <w:r w:rsidRPr="001E5043">
        <w:rPr>
          <w:lang w:val="fr-FR"/>
        </w:rPr>
        <w:t>Avec d</w:t>
      </w:r>
      <w:r w:rsidR="001D039F">
        <w:rPr>
          <w:lang w:val="fr-FR"/>
        </w:rPr>
        <w:t>’</w:t>
      </w:r>
      <w:r w:rsidRPr="001E5043">
        <w:rPr>
          <w:lang w:val="fr-FR"/>
        </w:rPr>
        <w:t xml:space="preserve">autres organisations intergouvernementales, le Centre continue de suivre de près </w:t>
      </w:r>
      <w:r w:rsidR="00A674EC" w:rsidRPr="001E5043">
        <w:rPr>
          <w:lang w:val="fr-FR"/>
        </w:rPr>
        <w:t>l</w:t>
      </w:r>
      <w:r w:rsidR="001D039F">
        <w:rPr>
          <w:lang w:val="fr-FR"/>
        </w:rPr>
        <w:t>’</w:t>
      </w:r>
      <w:r w:rsidR="00A674EC" w:rsidRPr="001E5043">
        <w:rPr>
          <w:lang w:val="fr-FR"/>
        </w:rPr>
        <w:t>évolution de la mise en œuvre par l</w:t>
      </w:r>
      <w:r w:rsidR="001D039F">
        <w:rPr>
          <w:lang w:val="fr-FR"/>
        </w:rPr>
        <w:t>’</w:t>
      </w:r>
      <w:r w:rsidR="00A674EC" w:rsidRPr="001E5043">
        <w:rPr>
          <w:lang w:val="fr-FR"/>
        </w:rPr>
        <w:t xml:space="preserve">ICANN </w:t>
      </w:r>
      <w:r w:rsidRPr="001E5043">
        <w:rPr>
          <w:lang w:val="fr-FR"/>
        </w:rPr>
        <w:t>de ce dossier de longue da</w:t>
      </w:r>
      <w:r w:rsidR="00BE667C">
        <w:rPr>
          <w:lang w:val="fr-FR"/>
        </w:rPr>
        <w:t>te</w:t>
      </w:r>
      <w:r w:rsidRPr="001E5043">
        <w:rPr>
          <w:rStyle w:val="FootnoteReference"/>
          <w:szCs w:val="22"/>
          <w:lang w:val="fr-FR"/>
        </w:rPr>
        <w:footnoteReference w:id="86"/>
      </w:r>
      <w:r w:rsidRPr="001E5043">
        <w:rPr>
          <w:lang w:val="fr-FR"/>
        </w:rPr>
        <w:t>.</w:t>
      </w:r>
    </w:p>
    <w:p w14:paraId="67000F04" w14:textId="77777777" w:rsidR="008E0BF9" w:rsidRPr="001E5043" w:rsidRDefault="008E0BF9" w:rsidP="000731B7">
      <w:pPr>
        <w:pStyle w:val="Heading4"/>
        <w:keepNext/>
        <w:rPr>
          <w:lang w:val="fr-FR"/>
        </w:rPr>
      </w:pPr>
      <w:r w:rsidRPr="001E5043">
        <w:rPr>
          <w:lang w:val="fr-FR"/>
        </w:rPr>
        <w:t>Termes géographiques</w:t>
      </w:r>
    </w:p>
    <w:p w14:paraId="084CFA87" w14:textId="27066374" w:rsidR="008E0BF9" w:rsidRPr="001E5043" w:rsidRDefault="008E0BF9" w:rsidP="003B5CD9">
      <w:pPr>
        <w:pStyle w:val="ONUMFS"/>
        <w:rPr>
          <w:lang w:val="fr-FR"/>
        </w:rPr>
      </w:pPr>
      <w:r w:rsidRPr="001E5043">
        <w:rPr>
          <w:lang w:val="fr-FR"/>
        </w:rPr>
        <w:t>En ce qui concerne les noms géographiques, le GAC en particulier a exprimé des préoccupations quant à leur utilisation et leur protection dans les nouveaux gTLD</w:t>
      </w:r>
      <w:r w:rsidRPr="001E5043">
        <w:rPr>
          <w:rStyle w:val="FootnoteReference"/>
          <w:szCs w:val="22"/>
          <w:lang w:val="fr-FR"/>
        </w:rPr>
        <w:footnoteReference w:id="87"/>
      </w:r>
      <w:r w:rsidRPr="001E5043">
        <w:rPr>
          <w:lang w:val="fr-FR"/>
        </w:rPr>
        <w:t>.  En 2007, le GAC a publié les “Principes du GAC concernant les nouveaux gTLD”, qui prévoient notamment que l</w:t>
      </w:r>
      <w:r w:rsidR="001D039F">
        <w:rPr>
          <w:lang w:val="fr-FR"/>
        </w:rPr>
        <w:t>’</w:t>
      </w:r>
      <w:r w:rsidRPr="001E5043">
        <w:rPr>
          <w:lang w:val="fr-FR"/>
        </w:rPr>
        <w:t>ICANN devrait éviter d</w:t>
      </w:r>
      <w:r w:rsidR="001D039F">
        <w:rPr>
          <w:lang w:val="fr-FR"/>
        </w:rPr>
        <w:t>’</w:t>
      </w:r>
      <w:r w:rsidRPr="001E5043">
        <w:rPr>
          <w:lang w:val="fr-FR"/>
        </w:rPr>
        <w:t>attribuer tout nouveau gTLD contenant le nom d</w:t>
      </w:r>
      <w:r w:rsidR="001D039F">
        <w:rPr>
          <w:lang w:val="fr-FR"/>
        </w:rPr>
        <w:t>’</w:t>
      </w:r>
      <w:r w:rsidRPr="001E5043">
        <w:rPr>
          <w:lang w:val="fr-FR"/>
        </w:rPr>
        <w:t>un pays, d</w:t>
      </w:r>
      <w:r w:rsidR="001D039F">
        <w:rPr>
          <w:lang w:val="fr-FR"/>
        </w:rPr>
        <w:t>’</w:t>
      </w:r>
      <w:r w:rsidRPr="001E5043">
        <w:rPr>
          <w:lang w:val="fr-FR"/>
        </w:rPr>
        <w:t>un territoire ou d</w:t>
      </w:r>
      <w:r w:rsidR="001D039F">
        <w:rPr>
          <w:lang w:val="fr-FR"/>
        </w:rPr>
        <w:t>’</w:t>
      </w:r>
      <w:r w:rsidRPr="001E5043">
        <w:rPr>
          <w:lang w:val="fr-FR"/>
        </w:rPr>
        <w:t>un lieu ou la désignation d</w:t>
      </w:r>
      <w:r w:rsidR="001D039F">
        <w:rPr>
          <w:lang w:val="fr-FR"/>
        </w:rPr>
        <w:t>’</w:t>
      </w:r>
      <w:r w:rsidRPr="001E5043">
        <w:rPr>
          <w:lang w:val="fr-FR"/>
        </w:rPr>
        <w:t>une langue régionale ou d</w:t>
      </w:r>
      <w:r w:rsidR="001D039F">
        <w:rPr>
          <w:lang w:val="fr-FR"/>
        </w:rPr>
        <w:t>’</w:t>
      </w:r>
      <w:r w:rsidRPr="001E5043">
        <w:rPr>
          <w:lang w:val="fr-FR"/>
        </w:rPr>
        <w:t>une population, sauf accord des gouvernements ou autorités publiques concern</w:t>
      </w:r>
      <w:r w:rsidR="00567D37" w:rsidRPr="001E5043">
        <w:rPr>
          <w:lang w:val="fr-FR"/>
        </w:rPr>
        <w:t>és</w:t>
      </w:r>
      <w:r w:rsidR="00567D37">
        <w:rPr>
          <w:lang w:val="fr-FR"/>
        </w:rPr>
        <w:t xml:space="preserve">.  </w:t>
      </w:r>
      <w:r w:rsidR="00567D37" w:rsidRPr="001E5043">
        <w:rPr>
          <w:lang w:val="fr-FR"/>
        </w:rPr>
        <w:t>Ce</w:t>
      </w:r>
      <w:r w:rsidRPr="001E5043">
        <w:rPr>
          <w:lang w:val="fr-FR"/>
        </w:rPr>
        <w:t xml:space="preserve">s principes du GAC </w:t>
      </w:r>
      <w:r w:rsidRPr="001E5043">
        <w:rPr>
          <w:lang w:val="fr-FR"/>
        </w:rPr>
        <w:lastRenderedPageBreak/>
        <w:t>indiquent en outre que les nouveaux services d</w:t>
      </w:r>
      <w:r w:rsidR="001D039F">
        <w:rPr>
          <w:lang w:val="fr-FR"/>
        </w:rPr>
        <w:t>’</w:t>
      </w:r>
      <w:r w:rsidRPr="001E5043">
        <w:rPr>
          <w:lang w:val="fr-FR"/>
        </w:rPr>
        <w:t>enregistrement devraient adopter des procédures pour bloquer ou contester les noms ayant une signification nationale ou géographique au deuxième niveau sur demande des gouvernemen</w:t>
      </w:r>
      <w:r w:rsidR="00567D37" w:rsidRPr="001E5043">
        <w:rPr>
          <w:lang w:val="fr-FR"/>
        </w:rPr>
        <w:t>ts</w:t>
      </w:r>
      <w:r w:rsidR="00567D37">
        <w:rPr>
          <w:lang w:val="fr-FR"/>
        </w:rPr>
        <w:t xml:space="preserve">.  </w:t>
      </w:r>
      <w:r w:rsidR="00567D37" w:rsidRPr="001E5043">
        <w:rPr>
          <w:lang w:val="fr-FR"/>
        </w:rPr>
        <w:t>Po</w:t>
      </w:r>
      <w:r w:rsidRPr="001E5043">
        <w:rPr>
          <w:lang w:val="fr-FR"/>
        </w:rPr>
        <w:t>ur le premier niveau</w:t>
      </w:r>
      <w:r w:rsidRPr="001E5043">
        <w:rPr>
          <w:rStyle w:val="FootnoteReference"/>
          <w:szCs w:val="22"/>
          <w:lang w:val="fr-FR"/>
        </w:rPr>
        <w:footnoteReference w:id="88"/>
      </w:r>
      <w:r w:rsidRPr="001E5043">
        <w:rPr>
          <w:lang w:val="fr-FR"/>
        </w:rPr>
        <w:t>, le Guide de candidature de l</w:t>
      </w:r>
      <w:r w:rsidR="001D039F">
        <w:rPr>
          <w:lang w:val="fr-FR"/>
        </w:rPr>
        <w:t>’</w:t>
      </w:r>
      <w:r w:rsidRPr="001E5043">
        <w:rPr>
          <w:lang w:val="fr-FR"/>
        </w:rPr>
        <w:t>ICANN stipule que “les demandes portant sur des chaînes de caractères qui sont des noms de pays ou de territoires ne seront pas approuvées car elles ne sont pas prévues dans le programme relatif aux nouveaux gTLD pour cette série de demandes”</w:t>
      </w:r>
      <w:r w:rsidRPr="001E5043">
        <w:rPr>
          <w:rStyle w:val="FootnoteReference"/>
          <w:szCs w:val="22"/>
          <w:lang w:val="fr-FR"/>
        </w:rPr>
        <w:footnoteReference w:id="89"/>
      </w:r>
      <w:r w:rsidRPr="001E5043">
        <w:rPr>
          <w:lang w:val="fr-FR"/>
        </w:rPr>
        <w:t>.  Les chaînes de caractères présentées à l</w:t>
      </w:r>
      <w:r w:rsidR="001D039F">
        <w:rPr>
          <w:lang w:val="fr-FR"/>
        </w:rPr>
        <w:t>’</w:t>
      </w:r>
      <w:r w:rsidRPr="001E5043">
        <w:rPr>
          <w:lang w:val="fr-FR"/>
        </w:rPr>
        <w:t>enregistrement que l</w:t>
      </w:r>
      <w:r w:rsidR="001D039F">
        <w:rPr>
          <w:lang w:val="fr-FR"/>
        </w:rPr>
        <w:t>’</w:t>
      </w:r>
      <w:r w:rsidRPr="001E5043">
        <w:rPr>
          <w:lang w:val="fr-FR"/>
        </w:rPr>
        <w:t>ICANN considère comme correspondant à d</w:t>
      </w:r>
      <w:r w:rsidR="001D039F">
        <w:rPr>
          <w:lang w:val="fr-FR"/>
        </w:rPr>
        <w:t>’</w:t>
      </w:r>
      <w:r w:rsidRPr="001E5043">
        <w:rPr>
          <w:lang w:val="fr-FR"/>
        </w:rPr>
        <w:t>autres désignations géographiques, par exemple des noms de capitales, doivent être accompagnées de pièces justificatives ou d</w:t>
      </w:r>
      <w:r w:rsidR="001D039F">
        <w:rPr>
          <w:lang w:val="fr-FR"/>
        </w:rPr>
        <w:t>’</w:t>
      </w:r>
      <w:r w:rsidRPr="001E5043">
        <w:rPr>
          <w:lang w:val="fr-FR"/>
        </w:rPr>
        <w:t>une attestation de non</w:t>
      </w:r>
      <w:r w:rsidR="005723D0">
        <w:rPr>
          <w:lang w:val="fr-FR"/>
        </w:rPr>
        <w:noBreakHyphen/>
      </w:r>
      <w:r w:rsidRPr="001E5043">
        <w:rPr>
          <w:lang w:val="fr-FR"/>
        </w:rPr>
        <w:t>objection des gouvernements ou autorités publiques concernés</w:t>
      </w:r>
      <w:r w:rsidRPr="001E5043">
        <w:rPr>
          <w:rStyle w:val="FootnoteReference"/>
          <w:szCs w:val="22"/>
          <w:lang w:val="fr-FR"/>
        </w:rPr>
        <w:footnoteReference w:id="90"/>
      </w:r>
      <w:r w:rsidRPr="001E5043">
        <w:rPr>
          <w:lang w:val="fr-FR"/>
        </w:rPr>
        <w:t>.  Les membres du GAC ont exprimé d</w:t>
      </w:r>
      <w:r w:rsidR="001D039F">
        <w:rPr>
          <w:lang w:val="fr-FR"/>
        </w:rPr>
        <w:t>’</w:t>
      </w:r>
      <w:r w:rsidRPr="001E5043">
        <w:rPr>
          <w:lang w:val="fr-FR"/>
        </w:rPr>
        <w:t>autres réserves concernant un certain nombre de demandes portant sur de nouveaux gTLD pour cause de correspondance avec des termes géographiques ou d</w:t>
      </w:r>
      <w:r w:rsidR="001D039F">
        <w:rPr>
          <w:lang w:val="fr-FR"/>
        </w:rPr>
        <w:t>’</w:t>
      </w:r>
      <w:r w:rsidRPr="001E5043">
        <w:rPr>
          <w:lang w:val="fr-FR"/>
        </w:rPr>
        <w:t>autres termes “sensibles”, recommandant au Conseil d</w:t>
      </w:r>
      <w:r w:rsidR="001D039F">
        <w:rPr>
          <w:lang w:val="fr-FR"/>
        </w:rPr>
        <w:t>’</w:t>
      </w:r>
      <w:r w:rsidRPr="001E5043">
        <w:rPr>
          <w:lang w:val="fr-FR"/>
        </w:rPr>
        <w:t>administration de l</w:t>
      </w:r>
      <w:r w:rsidR="001D039F">
        <w:rPr>
          <w:lang w:val="fr-FR"/>
        </w:rPr>
        <w:t>’</w:t>
      </w:r>
      <w:r w:rsidRPr="001E5043">
        <w:rPr>
          <w:lang w:val="fr-FR"/>
        </w:rPr>
        <w:t>ICANN de ne pas aller au</w:t>
      </w:r>
      <w:r w:rsidR="005723D0">
        <w:rPr>
          <w:lang w:val="fr-FR"/>
        </w:rPr>
        <w:noBreakHyphen/>
      </w:r>
      <w:r w:rsidRPr="001E5043">
        <w:rPr>
          <w:lang w:val="fr-FR"/>
        </w:rPr>
        <w:t>delà d</w:t>
      </w:r>
      <w:r w:rsidR="001D039F">
        <w:rPr>
          <w:lang w:val="fr-FR"/>
        </w:rPr>
        <w:t>’</w:t>
      </w:r>
      <w:r w:rsidRPr="001E5043">
        <w:rPr>
          <w:lang w:val="fr-FR"/>
        </w:rPr>
        <w:t>une évaluation initiale et demandant des précisions au Conseil sur la possibilité pour les candidats de modifier les demandes portant sur de nouveaux gTLD afin de tenir compte des préoccupations particulières du GAC</w:t>
      </w:r>
      <w:r w:rsidRPr="001E5043">
        <w:rPr>
          <w:rStyle w:val="FootnoteReference"/>
          <w:szCs w:val="22"/>
          <w:lang w:val="fr-FR"/>
        </w:rPr>
        <w:footnoteReference w:id="91"/>
      </w:r>
      <w:r w:rsidRPr="001E5043">
        <w:rPr>
          <w:lang w:val="fr-FR"/>
        </w:rPr>
        <w:t>.</w:t>
      </w:r>
    </w:p>
    <w:p w14:paraId="0C33BA01" w14:textId="335BF205" w:rsidR="008E0BF9" w:rsidRPr="001E5043" w:rsidRDefault="008E0BF9" w:rsidP="003B5CD9">
      <w:pPr>
        <w:pStyle w:val="ONUMFS"/>
        <w:rPr>
          <w:lang w:val="fr-FR"/>
        </w:rPr>
      </w:pPr>
      <w:r w:rsidRPr="001E5043">
        <w:rPr>
          <w:lang w:val="fr-FR"/>
        </w:rPr>
        <w:t>En décembre 2016, l</w:t>
      </w:r>
      <w:r w:rsidR="001D039F">
        <w:rPr>
          <w:lang w:val="fr-FR"/>
        </w:rPr>
        <w:t>’</w:t>
      </w:r>
      <w:r w:rsidRPr="001E5043">
        <w:rPr>
          <w:lang w:val="fr-FR"/>
        </w:rPr>
        <w:t>ICANN a autorisé l</w:t>
      </w:r>
      <w:r w:rsidR="001D039F">
        <w:rPr>
          <w:lang w:val="fr-FR"/>
        </w:rPr>
        <w:t>’</w:t>
      </w:r>
      <w:r w:rsidRPr="001E5043">
        <w:rPr>
          <w:lang w:val="fr-FR"/>
        </w:rPr>
        <w:t>ouverture à l</w:t>
      </w:r>
      <w:r w:rsidR="001D039F">
        <w:rPr>
          <w:lang w:val="fr-FR"/>
        </w:rPr>
        <w:t>’</w:t>
      </w:r>
      <w:r w:rsidRPr="001E5043">
        <w:rPr>
          <w:lang w:val="fr-FR"/>
        </w:rPr>
        <w:t>enregistrement de tous les noms de domaine à deux caractères précédemment réservés au deuxième niveau des nouveaux gTLD sous réserve que les administrateurs des services d</w:t>
      </w:r>
      <w:r w:rsidR="001D039F">
        <w:rPr>
          <w:lang w:val="fr-FR"/>
        </w:rPr>
        <w:t>’</w:t>
      </w:r>
      <w:r w:rsidRPr="001E5043">
        <w:rPr>
          <w:lang w:val="fr-FR"/>
        </w:rPr>
        <w:t>enregistrement accordent préalablement aux gouvernements respectifs un délai de 30</w:t>
      </w:r>
      <w:r w:rsidR="001E5043">
        <w:rPr>
          <w:lang w:val="fr-FR"/>
        </w:rPr>
        <w:t> </w:t>
      </w:r>
      <w:r w:rsidRPr="001E5043">
        <w:rPr>
          <w:lang w:val="fr-FR"/>
        </w:rPr>
        <w:t>jours pour l</w:t>
      </w:r>
      <w:r w:rsidR="001D039F">
        <w:rPr>
          <w:lang w:val="fr-FR"/>
        </w:rPr>
        <w:t>’</w:t>
      </w:r>
      <w:r w:rsidRPr="001E5043">
        <w:rPr>
          <w:lang w:val="fr-FR"/>
        </w:rPr>
        <w:t>acquisition de ces noms de domaine, qu</w:t>
      </w:r>
      <w:r w:rsidR="001D039F">
        <w:rPr>
          <w:lang w:val="fr-FR"/>
        </w:rPr>
        <w:t>’</w:t>
      </w:r>
      <w:r w:rsidRPr="001E5043">
        <w:rPr>
          <w:lang w:val="fr-FR"/>
        </w:rPr>
        <w:t>ils exigent des demandeurs une déclaration selon laquelle ces derniers ne laisseront pas entendre, à tort, qu</w:t>
      </w:r>
      <w:r w:rsidR="001D039F">
        <w:rPr>
          <w:lang w:val="fr-FR"/>
        </w:rPr>
        <w:t>’</w:t>
      </w:r>
      <w:r w:rsidRPr="001E5043">
        <w:rPr>
          <w:lang w:val="fr-FR"/>
        </w:rPr>
        <w:t>il existe un lien quelconque avec le gouvernement en ce qui concerne l</w:t>
      </w:r>
      <w:r w:rsidR="001D039F">
        <w:rPr>
          <w:lang w:val="fr-FR"/>
        </w:rPr>
        <w:t>’</w:t>
      </w:r>
      <w:r w:rsidRPr="001E5043">
        <w:rPr>
          <w:lang w:val="fr-FR"/>
        </w:rPr>
        <w:t>utilisation du nom de domaine à deux caractères et qu</w:t>
      </w:r>
      <w:r w:rsidR="001D039F">
        <w:rPr>
          <w:lang w:val="fr-FR"/>
        </w:rPr>
        <w:t>’</w:t>
      </w:r>
      <w:r w:rsidRPr="001E5043">
        <w:rPr>
          <w:lang w:val="fr-FR"/>
        </w:rPr>
        <w:t>ils prévoient une procédure de dépôt de plaintes postérieure à l</w:t>
      </w:r>
      <w:r w:rsidR="001D039F">
        <w:rPr>
          <w:lang w:val="fr-FR"/>
        </w:rPr>
        <w:t>’</w:t>
      </w:r>
      <w:r w:rsidRPr="001E5043">
        <w:rPr>
          <w:lang w:val="fr-FR"/>
        </w:rPr>
        <w:t>enregistrement</w:t>
      </w:r>
      <w:r w:rsidRPr="001E5043">
        <w:rPr>
          <w:rStyle w:val="FootnoteReference"/>
          <w:szCs w:val="22"/>
          <w:lang w:val="fr-FR"/>
        </w:rPr>
        <w:footnoteReference w:id="92"/>
      </w:r>
      <w:r w:rsidRPr="001E5043">
        <w:rPr>
          <w:lang w:val="fr-FR"/>
        </w:rPr>
        <w:t>.  C</w:t>
      </w:r>
      <w:r w:rsidR="001D039F">
        <w:rPr>
          <w:lang w:val="fr-FR"/>
        </w:rPr>
        <w:t>’</w:t>
      </w:r>
      <w:r w:rsidRPr="001E5043">
        <w:rPr>
          <w:lang w:val="fr-FR"/>
        </w:rPr>
        <w:t>est ainsi que le Centre a transmis des commentaires à l</w:t>
      </w:r>
      <w:r w:rsidR="001D039F">
        <w:rPr>
          <w:lang w:val="fr-FR"/>
        </w:rPr>
        <w:t>’</w:t>
      </w:r>
      <w:r w:rsidRPr="001E5043">
        <w:rPr>
          <w:lang w:val="fr-FR"/>
        </w:rPr>
        <w:t>ICANN, faisant observer que le deuxième processus de consultations de l</w:t>
      </w:r>
      <w:r w:rsidR="001D039F">
        <w:rPr>
          <w:lang w:val="fr-FR"/>
        </w:rPr>
        <w:t>’</w:t>
      </w:r>
      <w:r w:rsidRPr="001E5043">
        <w:rPr>
          <w:lang w:val="fr-FR"/>
        </w:rPr>
        <w:t>OMPI sur les noms de domaine de l</w:t>
      </w:r>
      <w:r w:rsidR="001D039F">
        <w:rPr>
          <w:lang w:val="fr-FR"/>
        </w:rPr>
        <w:t>’</w:t>
      </w:r>
      <w:r w:rsidRPr="001E5043">
        <w:rPr>
          <w:lang w:val="fr-FR"/>
        </w:rPr>
        <w:t>Internet prévoyait la possibilité d</w:t>
      </w:r>
      <w:r w:rsidR="001D039F">
        <w:rPr>
          <w:lang w:val="fr-FR"/>
        </w:rPr>
        <w:t>’</w:t>
      </w:r>
      <w:r w:rsidRPr="001E5043">
        <w:rPr>
          <w:lang w:val="fr-FR"/>
        </w:rPr>
        <w:t>examiner des mesures permettant d</w:t>
      </w:r>
      <w:r w:rsidR="001D039F">
        <w:rPr>
          <w:lang w:val="fr-FR"/>
        </w:rPr>
        <w:t>’</w:t>
      </w:r>
      <w:r w:rsidRPr="001E5043">
        <w:rPr>
          <w:lang w:val="fr-FR"/>
        </w:rPr>
        <w:t>appliquer les principes</w:t>
      </w:r>
      <w:r w:rsidR="0065462F">
        <w:rPr>
          <w:lang w:val="fr-FR"/>
        </w:rPr>
        <w:t> </w:t>
      </w:r>
      <w:r w:rsidRPr="001E5043">
        <w:rPr>
          <w:lang w:val="fr-FR"/>
        </w:rPr>
        <w:t>UDRP aux enregistrements de troisième niveau afin d</w:t>
      </w:r>
      <w:r w:rsidR="001D039F">
        <w:rPr>
          <w:lang w:val="fr-FR"/>
        </w:rPr>
        <w:t>’</w:t>
      </w:r>
      <w:r w:rsidRPr="001E5043">
        <w:rPr>
          <w:lang w:val="fr-FR"/>
        </w:rPr>
        <w:t>atténuer le risque d</w:t>
      </w:r>
      <w:r w:rsidR="001D039F">
        <w:rPr>
          <w:lang w:val="fr-FR"/>
        </w:rPr>
        <w:t>’</w:t>
      </w:r>
      <w:r w:rsidRPr="001E5043">
        <w:rPr>
          <w:lang w:val="fr-FR"/>
        </w:rPr>
        <w:t>atteinte aux marques</w:t>
      </w:r>
      <w:r w:rsidRPr="001E5043">
        <w:rPr>
          <w:rStyle w:val="FootnoteReference"/>
          <w:szCs w:val="22"/>
          <w:lang w:val="fr-FR"/>
        </w:rPr>
        <w:footnoteReference w:id="93"/>
      </w:r>
      <w:r w:rsidRPr="001E5043">
        <w:rPr>
          <w:lang w:val="fr-FR"/>
        </w:rPr>
        <w:t>.  L</w:t>
      </w:r>
      <w:r w:rsidR="001D039F">
        <w:rPr>
          <w:lang w:val="fr-FR"/>
        </w:rPr>
        <w:t>’</w:t>
      </w:r>
      <w:r w:rsidRPr="001E5043">
        <w:rPr>
          <w:lang w:val="fr-FR"/>
        </w:rPr>
        <w:t>ICANN n</w:t>
      </w:r>
      <w:r w:rsidR="001D039F">
        <w:rPr>
          <w:lang w:val="fr-FR"/>
        </w:rPr>
        <w:t>’</w:t>
      </w:r>
      <w:r w:rsidRPr="001E5043">
        <w:rPr>
          <w:lang w:val="fr-FR"/>
        </w:rPr>
        <w:t>a pas donné suite à la communication du Cent</w:t>
      </w:r>
      <w:r w:rsidR="00567D37" w:rsidRPr="001E5043">
        <w:rPr>
          <w:lang w:val="fr-FR"/>
        </w:rPr>
        <w:t>re</w:t>
      </w:r>
      <w:r w:rsidR="00567D37">
        <w:rPr>
          <w:lang w:val="fr-FR"/>
        </w:rPr>
        <w:t xml:space="preserve">.  </w:t>
      </w:r>
      <w:r w:rsidR="00567D37" w:rsidRPr="001E5043">
        <w:rPr>
          <w:lang w:val="fr-FR"/>
        </w:rPr>
        <w:t>Le</w:t>
      </w:r>
      <w:r w:rsidRPr="001E5043">
        <w:rPr>
          <w:lang w:val="fr-FR"/>
        </w:rPr>
        <w:t>s membres du GAC ont demandé à l</w:t>
      </w:r>
      <w:r w:rsidR="001D039F">
        <w:rPr>
          <w:lang w:val="fr-FR"/>
        </w:rPr>
        <w:t>’</w:t>
      </w:r>
      <w:r w:rsidRPr="001E5043">
        <w:rPr>
          <w:lang w:val="fr-FR"/>
        </w:rPr>
        <w:t xml:space="preserve">ICANN de fournir des informations coordonnées sur les demandes et </w:t>
      </w:r>
      <w:r w:rsidR="006C6434">
        <w:rPr>
          <w:lang w:val="fr-FR"/>
        </w:rPr>
        <w:t xml:space="preserve">noms de domaines sous </w:t>
      </w:r>
      <w:r w:rsidRPr="001E5043">
        <w:rPr>
          <w:lang w:val="fr-FR"/>
        </w:rPr>
        <w:t>délégation correspondants</w:t>
      </w:r>
      <w:r w:rsidRPr="001E5043">
        <w:rPr>
          <w:rStyle w:val="FootnoteReference"/>
          <w:szCs w:val="22"/>
          <w:lang w:val="fr-FR"/>
        </w:rPr>
        <w:footnoteReference w:id="94"/>
      </w:r>
      <w:r w:rsidRPr="001E5043">
        <w:rPr>
          <w:lang w:val="fr-FR"/>
        </w:rPr>
        <w:t>.</w:t>
      </w:r>
    </w:p>
    <w:p w14:paraId="37736B3E" w14:textId="71FFF07D" w:rsidR="008E0BF9" w:rsidRPr="001E5043" w:rsidRDefault="008E0BF9" w:rsidP="00797A13">
      <w:pPr>
        <w:pStyle w:val="ONUMFS"/>
        <w:keepLines/>
        <w:rPr>
          <w:szCs w:val="24"/>
          <w:lang w:val="fr-FR"/>
        </w:rPr>
      </w:pPr>
      <w:r w:rsidRPr="001E5043">
        <w:rPr>
          <w:lang w:val="fr-FR"/>
        </w:rPr>
        <w:lastRenderedPageBreak/>
        <w:t>Sur ces questions et d</w:t>
      </w:r>
      <w:r w:rsidR="001D039F">
        <w:rPr>
          <w:lang w:val="fr-FR"/>
        </w:rPr>
        <w:t>’</w:t>
      </w:r>
      <w:r w:rsidRPr="001E5043">
        <w:rPr>
          <w:lang w:val="fr-FR"/>
        </w:rPr>
        <w:t>autres questions concernant le DNS, le Centre s</w:t>
      </w:r>
      <w:r w:rsidR="001D039F">
        <w:rPr>
          <w:lang w:val="fr-FR"/>
        </w:rPr>
        <w:t>’</w:t>
      </w:r>
      <w:r w:rsidRPr="001E5043">
        <w:rPr>
          <w:lang w:val="fr-FR"/>
        </w:rPr>
        <w:t>est attaché à informer les secteurs concernés au sein du Secrétariat, notamment pour appuyer les travaux du Comité permanent du droit des marques, des dessins et modèles industriels et des indications géographiques</w:t>
      </w:r>
      <w:r w:rsidR="0065462F">
        <w:rPr>
          <w:lang w:val="fr-FR"/>
        </w:rPr>
        <w:t> </w:t>
      </w:r>
      <w:r w:rsidRPr="001E5043">
        <w:rPr>
          <w:lang w:val="fr-FR"/>
        </w:rPr>
        <w:t>(SCT)</w:t>
      </w:r>
      <w:r w:rsidRPr="001E5043">
        <w:rPr>
          <w:rStyle w:val="FootnoteReference"/>
          <w:szCs w:val="22"/>
          <w:lang w:val="fr-FR"/>
        </w:rPr>
        <w:footnoteReference w:id="95"/>
      </w:r>
      <w:r w:rsidRPr="001E5043">
        <w:rPr>
          <w:lang w:val="fr-FR"/>
        </w:rPr>
        <w:t>.  Le Secrétariat continuera de se tenir informé de ces évolutions et d</w:t>
      </w:r>
      <w:r w:rsidR="001D039F">
        <w:rPr>
          <w:lang w:val="fr-FR"/>
        </w:rPr>
        <w:t>’</w:t>
      </w:r>
      <w:r w:rsidRPr="001E5043">
        <w:rPr>
          <w:lang w:val="fr-FR"/>
        </w:rPr>
        <w:t>y contribuer le cas échéant.</w:t>
      </w:r>
    </w:p>
    <w:p w14:paraId="61E5E9CF" w14:textId="757CAD2E" w:rsidR="008E0BF9" w:rsidRPr="00B108B7" w:rsidRDefault="008E0BF9" w:rsidP="00B108B7">
      <w:pPr>
        <w:pStyle w:val="ONUMFS"/>
        <w:ind w:left="5533"/>
        <w:rPr>
          <w:i/>
        </w:rPr>
      </w:pPr>
      <w:r w:rsidRPr="00B108B7">
        <w:rPr>
          <w:i/>
        </w:rPr>
        <w:t>L</w:t>
      </w:r>
      <w:r w:rsidR="001D039F" w:rsidRPr="00B108B7">
        <w:rPr>
          <w:i/>
        </w:rPr>
        <w:t>’</w:t>
      </w:r>
      <w:r w:rsidRPr="00B108B7">
        <w:rPr>
          <w:i/>
        </w:rPr>
        <w:t>Assemblée générale de l</w:t>
      </w:r>
      <w:r w:rsidR="001D039F" w:rsidRPr="00B108B7">
        <w:rPr>
          <w:i/>
        </w:rPr>
        <w:t>’</w:t>
      </w:r>
      <w:r w:rsidRPr="00B108B7">
        <w:rPr>
          <w:i/>
        </w:rPr>
        <w:t>OMPI est invitée à prendre note du contenu du document intitulé “Centre d</w:t>
      </w:r>
      <w:r w:rsidR="001D039F" w:rsidRPr="00B108B7">
        <w:rPr>
          <w:i/>
        </w:rPr>
        <w:t>’</w:t>
      </w:r>
      <w:r w:rsidRPr="00B108B7">
        <w:rPr>
          <w:i/>
        </w:rPr>
        <w:t>arbitrage et de médiation de l</w:t>
      </w:r>
      <w:r w:rsidR="001D039F" w:rsidRPr="00B108B7">
        <w:rPr>
          <w:i/>
        </w:rPr>
        <w:t>’</w:t>
      </w:r>
      <w:r w:rsidRPr="00B108B7">
        <w:rPr>
          <w:i/>
        </w:rPr>
        <w:t xml:space="preserve">OMPI, </w:t>
      </w:r>
      <w:r w:rsidR="001D039F" w:rsidRPr="00B108B7">
        <w:rPr>
          <w:i/>
        </w:rPr>
        <w:t>y compris</w:t>
      </w:r>
      <w:r w:rsidRPr="00B108B7">
        <w:rPr>
          <w:i/>
        </w:rPr>
        <w:t xml:space="preserve"> les noms de domaine” (document</w:t>
      </w:r>
      <w:r w:rsidR="00567D37" w:rsidRPr="00B108B7">
        <w:rPr>
          <w:i/>
        </w:rPr>
        <w:t> </w:t>
      </w:r>
      <w:r w:rsidRPr="00B108B7">
        <w:rPr>
          <w:i/>
        </w:rPr>
        <w:t>WO/GA/5</w:t>
      </w:r>
      <w:r w:rsidR="006C6434" w:rsidRPr="00B108B7">
        <w:rPr>
          <w:i/>
        </w:rPr>
        <w:t>6</w:t>
      </w:r>
      <w:r w:rsidRPr="00B108B7">
        <w:rPr>
          <w:i/>
        </w:rPr>
        <w:t>/1</w:t>
      </w:r>
      <w:r w:rsidR="006C6434" w:rsidRPr="00B108B7">
        <w:rPr>
          <w:i/>
        </w:rPr>
        <w:t>3</w:t>
      </w:r>
      <w:r w:rsidRPr="00B108B7">
        <w:rPr>
          <w:i/>
        </w:rPr>
        <w:t>).</w:t>
      </w:r>
    </w:p>
    <w:p w14:paraId="4C47A48F" w14:textId="77777777" w:rsidR="000F5E56" w:rsidRPr="001E5043" w:rsidRDefault="008E0BF9" w:rsidP="003B5CD9">
      <w:pPr>
        <w:pStyle w:val="Endofdocument-Annex"/>
        <w:rPr>
          <w:lang w:val="fr-FR"/>
        </w:rPr>
      </w:pPr>
      <w:r w:rsidRPr="001E5043">
        <w:rPr>
          <w:lang w:val="fr-FR"/>
        </w:rPr>
        <w:t>[Fin du document]</w:t>
      </w:r>
    </w:p>
    <w:sectPr w:rsidR="000F5E56" w:rsidRPr="001E5043" w:rsidSect="008E0BF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1C0A2" w14:textId="77777777" w:rsidR="005723D0" w:rsidRDefault="005723D0">
      <w:r>
        <w:separator/>
      </w:r>
    </w:p>
  </w:endnote>
  <w:endnote w:type="continuationSeparator" w:id="0">
    <w:p w14:paraId="3A3F5CD1" w14:textId="77777777" w:rsidR="005723D0" w:rsidRPr="009D30E6" w:rsidRDefault="005723D0" w:rsidP="00D45252">
      <w:pPr>
        <w:rPr>
          <w:sz w:val="17"/>
          <w:szCs w:val="17"/>
        </w:rPr>
      </w:pPr>
      <w:r w:rsidRPr="009D30E6">
        <w:rPr>
          <w:sz w:val="17"/>
          <w:szCs w:val="17"/>
        </w:rPr>
        <w:separator/>
      </w:r>
    </w:p>
    <w:p w14:paraId="2BD881E3" w14:textId="77777777" w:rsidR="005723D0" w:rsidRPr="009D30E6" w:rsidRDefault="005723D0" w:rsidP="00D45252">
      <w:pPr>
        <w:spacing w:after="60"/>
        <w:rPr>
          <w:sz w:val="17"/>
          <w:szCs w:val="17"/>
        </w:rPr>
      </w:pPr>
      <w:r w:rsidRPr="009D30E6">
        <w:rPr>
          <w:sz w:val="17"/>
          <w:szCs w:val="17"/>
        </w:rPr>
        <w:t>[Suite de la note de la page précédente]</w:t>
      </w:r>
    </w:p>
  </w:endnote>
  <w:endnote w:type="continuationNotice" w:id="1">
    <w:p w14:paraId="71DAA1B0" w14:textId="77777777" w:rsidR="005723D0" w:rsidRPr="009D30E6" w:rsidRDefault="005723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6009" w14:textId="77777777" w:rsidR="00FB7033" w:rsidRDefault="00FB7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9DFEE" w14:textId="374A4422" w:rsidR="0065462F" w:rsidRDefault="00654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AF978" w14:textId="7DCA22FF" w:rsidR="0065462F" w:rsidRDefault="0065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54B7" w14:textId="77777777" w:rsidR="005723D0" w:rsidRDefault="005723D0">
      <w:r>
        <w:separator/>
      </w:r>
    </w:p>
  </w:footnote>
  <w:footnote w:type="continuationSeparator" w:id="0">
    <w:p w14:paraId="6E157849" w14:textId="77777777" w:rsidR="005723D0" w:rsidRDefault="005723D0" w:rsidP="007461F1">
      <w:r>
        <w:separator/>
      </w:r>
    </w:p>
    <w:p w14:paraId="48B47CE2" w14:textId="77777777" w:rsidR="005723D0" w:rsidRPr="009D30E6" w:rsidRDefault="005723D0" w:rsidP="007461F1">
      <w:pPr>
        <w:spacing w:after="60"/>
        <w:rPr>
          <w:sz w:val="17"/>
          <w:szCs w:val="17"/>
        </w:rPr>
      </w:pPr>
      <w:r w:rsidRPr="009D30E6">
        <w:rPr>
          <w:sz w:val="17"/>
          <w:szCs w:val="17"/>
        </w:rPr>
        <w:t>[Suite de la note de la page précédente]</w:t>
      </w:r>
    </w:p>
  </w:footnote>
  <w:footnote w:type="continuationNotice" w:id="1">
    <w:p w14:paraId="44190046" w14:textId="77777777" w:rsidR="005723D0" w:rsidRPr="009D30E6" w:rsidRDefault="005723D0" w:rsidP="007461F1">
      <w:pPr>
        <w:spacing w:before="60"/>
        <w:jc w:val="right"/>
        <w:rPr>
          <w:sz w:val="17"/>
          <w:szCs w:val="17"/>
        </w:rPr>
      </w:pPr>
      <w:r w:rsidRPr="009D30E6">
        <w:rPr>
          <w:sz w:val="17"/>
          <w:szCs w:val="17"/>
        </w:rPr>
        <w:t>[Suite de la note page suivante]</w:t>
      </w:r>
    </w:p>
  </w:footnote>
  <w:footnote w:id="2">
    <w:p w14:paraId="00556FAD" w14:textId="7DAD591A"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8B4EF4">
        <w:t>https://www.wipo.int/about</w:t>
      </w:r>
      <w:r>
        <w:noBreakHyphen/>
      </w:r>
      <w:r w:rsidRPr="008B4EF4">
        <w:t>wipo/</w:t>
      </w:r>
      <w:r>
        <w:t>fr</w:t>
      </w:r>
      <w:r w:rsidRPr="008B4EF4">
        <w:t>/assemblies/2022/a</w:t>
      </w:r>
      <w:r>
        <w:noBreakHyphen/>
      </w:r>
      <w:r w:rsidRPr="008B4EF4">
        <w:t>63/doc_details.jsp?doc_id=572909</w:t>
      </w:r>
      <w:r w:rsidRPr="006C7091">
        <w:t>.</w:t>
      </w:r>
    </w:p>
  </w:footnote>
  <w:footnote w:id="3">
    <w:p w14:paraId="68A9E72F" w14:textId="03707940" w:rsidR="005723D0" w:rsidRPr="001D039F" w:rsidRDefault="005723D0">
      <w:pPr>
        <w:pStyle w:val="FootnoteText"/>
      </w:pPr>
      <w:r>
        <w:rPr>
          <w:rStyle w:val="FootnoteReference"/>
        </w:rPr>
        <w:footnoteRef/>
      </w:r>
      <w:r>
        <w:t xml:space="preserve"> </w:t>
      </w:r>
      <w:r>
        <w:tab/>
      </w:r>
      <w:r w:rsidRPr="005D517C">
        <w:rPr>
          <w:lang w:val="fr-FR"/>
        </w:rPr>
        <w:t xml:space="preserve">Le Centre fournit des conseils en matière de procédure (bons offices) aux parties à des litiges </w:t>
      </w:r>
      <w:r>
        <w:rPr>
          <w:lang w:val="fr-FR"/>
        </w:rPr>
        <w:t>en matière de</w:t>
      </w:r>
      <w:r w:rsidRPr="005D517C">
        <w:rPr>
          <w:lang w:val="fr-FR"/>
        </w:rPr>
        <w:t xml:space="preserve"> propriété intellectuelle </w:t>
      </w:r>
      <w:r>
        <w:rPr>
          <w:lang w:val="fr-FR"/>
        </w:rPr>
        <w:t>ou de</w:t>
      </w:r>
      <w:r w:rsidRPr="005D517C">
        <w:rPr>
          <w:lang w:val="fr-FR"/>
        </w:rPr>
        <w:t xml:space="preserve"> technologie en vue de faciliter le règlement de leur litige ou l</w:t>
      </w:r>
      <w:r>
        <w:rPr>
          <w:lang w:val="fr-FR"/>
        </w:rPr>
        <w:t>a soumission de leur litige aux</w:t>
      </w:r>
      <w:r w:rsidRPr="005D517C">
        <w:rPr>
          <w:lang w:val="fr-FR"/>
        </w:rPr>
        <w:t xml:space="preserve"> procédure</w:t>
      </w:r>
      <w:r>
        <w:rPr>
          <w:lang w:val="fr-FR"/>
        </w:rPr>
        <w:t>s</w:t>
      </w:r>
      <w:r w:rsidRPr="005D517C">
        <w:rPr>
          <w:lang w:val="fr-FR"/>
        </w:rPr>
        <w:t xml:space="preserve"> de médiation ou d</w:t>
      </w:r>
      <w:r>
        <w:rPr>
          <w:lang w:val="fr-FR"/>
        </w:rPr>
        <w:t>’</w:t>
      </w:r>
      <w:r w:rsidRPr="005D517C">
        <w:rPr>
          <w:lang w:val="fr-FR"/>
        </w:rPr>
        <w:t>arbitrage de l</w:t>
      </w:r>
      <w:r>
        <w:rPr>
          <w:lang w:val="fr-FR"/>
        </w:rPr>
        <w:t>’</w:t>
      </w:r>
      <w:r w:rsidRPr="005D517C">
        <w:rPr>
          <w:lang w:val="fr-FR"/>
        </w:rPr>
        <w:t>OMPI</w:t>
      </w:r>
      <w:r>
        <w:rPr>
          <w:lang w:val="fr-FR"/>
        </w:rPr>
        <w:t xml:space="preserve"> en tant que </w:t>
      </w:r>
      <w:r w:rsidRPr="00C84C0A">
        <w:rPr>
          <w:lang w:val="fr-FR"/>
        </w:rPr>
        <w:t>modes extrajudiciaires de règlement des litiges</w:t>
      </w:r>
      <w:r w:rsidRPr="001D039F">
        <w:t xml:space="preserve">.  </w:t>
      </w:r>
      <w:r w:rsidRPr="00140EB0">
        <w:rPr>
          <w:lang w:val="fr-FR"/>
        </w:rPr>
        <w:t>Voir</w:t>
      </w:r>
      <w:r w:rsidR="00942E7E">
        <w:rPr>
          <w:lang w:val="fr-FR"/>
        </w:rPr>
        <w:t xml:space="preserve"> </w:t>
      </w:r>
      <w:r w:rsidR="00942E7E" w:rsidRPr="00942E7E">
        <w:rPr>
          <w:lang w:val="fr-FR"/>
        </w:rPr>
        <w:t>https://www.wipo.int/amc/fr/goodoffices/index.html</w:t>
      </w:r>
      <w:r>
        <w:rPr>
          <w:lang w:val="fr-FR"/>
        </w:rPr>
        <w:t>.</w:t>
      </w:r>
    </w:p>
  </w:footnote>
  <w:footnote w:id="4">
    <w:p w14:paraId="5916DDC6" w14:textId="0C4144D5" w:rsidR="005723D0" w:rsidRPr="006C7091" w:rsidRDefault="005723D0" w:rsidP="008E0BF9">
      <w:pPr>
        <w:pStyle w:val="FootnoteText"/>
      </w:pPr>
      <w:r w:rsidRPr="006C7091">
        <w:rPr>
          <w:rStyle w:val="FootnoteReference"/>
        </w:rPr>
        <w:footnoteRef/>
      </w:r>
      <w:r w:rsidRPr="006C7091">
        <w:t xml:space="preserve"> </w:t>
      </w:r>
      <w:r w:rsidRPr="006C7091">
        <w:tab/>
        <w:t>La liste des ateliers et autres manifestations organisés par le Centre figure à l</w:t>
      </w:r>
      <w:r>
        <w:t>’</w:t>
      </w:r>
      <w:r w:rsidRPr="006C7091">
        <w:t>adresse</w:t>
      </w:r>
      <w:r w:rsidR="00942E7E">
        <w:t> </w:t>
      </w:r>
      <w:r w:rsidR="00942E7E" w:rsidRPr="00942E7E">
        <w:t>https://www.wipo.int/amc/fr/events</w:t>
      </w:r>
      <w:r w:rsidRPr="006C7091">
        <w:t>.</w:t>
      </w:r>
    </w:p>
  </w:footnote>
  <w:footnote w:id="5">
    <w:p w14:paraId="5D46EC24" w14:textId="39B52CB8" w:rsidR="005723D0" w:rsidRPr="006C7091" w:rsidRDefault="005723D0" w:rsidP="008E0BF9">
      <w:pPr>
        <w:pStyle w:val="FootnoteText"/>
      </w:pPr>
      <w:r w:rsidRPr="006C7091">
        <w:rPr>
          <w:rStyle w:val="FootnoteReference"/>
        </w:rPr>
        <w:footnoteRef/>
      </w:r>
      <w:r w:rsidRPr="006C7091">
        <w:t xml:space="preserve"> </w:t>
      </w:r>
      <w:r w:rsidRPr="006C7091">
        <w:tab/>
        <w:t xml:space="preserve">Le Centre met à disposition </w:t>
      </w:r>
      <w:r>
        <w:t xml:space="preserve">des clauses </w:t>
      </w:r>
      <w:r w:rsidRPr="001D039F">
        <w:t>et des conventions ad hoc</w:t>
      </w:r>
      <w:r w:rsidRPr="00140EB0">
        <w:t xml:space="preserve"> </w:t>
      </w:r>
      <w:r>
        <w:t xml:space="preserve">types </w:t>
      </w:r>
      <w:r w:rsidRPr="00140EB0">
        <w:rPr>
          <w:lang w:val="fr-FR"/>
        </w:rPr>
        <w:t>recommandées, ainsi qu</w:t>
      </w:r>
      <w:r>
        <w:rPr>
          <w:lang w:val="fr-FR"/>
        </w:rPr>
        <w:t>’</w:t>
      </w:r>
      <w:r w:rsidRPr="00140EB0">
        <w:rPr>
          <w:lang w:val="fr-FR"/>
        </w:rPr>
        <w:t>un</w:t>
      </w:r>
      <w:r w:rsidRPr="001D039F">
        <w:t xml:space="preserve"> </w:t>
      </w:r>
      <w:r w:rsidRPr="006C7091">
        <w:t>générateur de clauses en ligne qui permet aux parties de rédiger des clauses essentielles et des conventions ad</w:t>
      </w:r>
      <w:r>
        <w:t> </w:t>
      </w:r>
      <w:r w:rsidRPr="006C7091">
        <w:t xml:space="preserve">hoc. </w:t>
      </w:r>
      <w:r>
        <w:t xml:space="preserve"> </w:t>
      </w:r>
      <w:r w:rsidRPr="006C7091">
        <w:t xml:space="preserve">Voir </w:t>
      </w:r>
      <w:r>
        <w:t xml:space="preserve">aux adresses </w:t>
      </w:r>
      <w:r w:rsidR="00E178DE" w:rsidRPr="00E178DE">
        <w:t xml:space="preserve">https://www.wipo.int/amc/fr/clauses/index.html </w:t>
      </w:r>
      <w:r w:rsidRPr="001D039F">
        <w:t>et</w:t>
      </w:r>
      <w:r w:rsidR="00E178DE">
        <w:t xml:space="preserve"> </w:t>
      </w:r>
      <w:r w:rsidR="00E178DE" w:rsidRPr="00E178DE">
        <w:t>https://amc.wipo.int/clause-generator/</w:t>
      </w:r>
      <w:r w:rsidRPr="006C7091">
        <w:t>.</w:t>
      </w:r>
    </w:p>
  </w:footnote>
  <w:footnote w:id="6">
    <w:p w14:paraId="04DDFA8C" w14:textId="5CD6A56A" w:rsidR="005723D0" w:rsidRPr="006C7091" w:rsidRDefault="005723D0" w:rsidP="008E0BF9">
      <w:pPr>
        <w:pStyle w:val="FootnoteText"/>
      </w:pPr>
      <w:r w:rsidRPr="006C7091">
        <w:rPr>
          <w:rStyle w:val="FootnoteReference"/>
        </w:rPr>
        <w:footnoteRef/>
      </w:r>
      <w:r w:rsidRPr="006C7091">
        <w:t xml:space="preserve"> </w:t>
      </w:r>
      <w:r w:rsidRPr="006C7091">
        <w:tab/>
      </w:r>
      <w:r>
        <w:t>L</w:t>
      </w:r>
      <w:r w:rsidRPr="006C7091">
        <w:t>es</w:t>
      </w:r>
      <w:r>
        <w:t> </w:t>
      </w:r>
      <w:r w:rsidRPr="006C7091">
        <w:t>PME</w:t>
      </w:r>
      <w:r>
        <w:t>, y compris les jeunes entreprises, les créateurs et les innovateurs</w:t>
      </w:r>
      <w:r w:rsidRPr="006C7091">
        <w:t xml:space="preserve"> représentaient</w:t>
      </w:r>
      <w:r>
        <w:t xml:space="preserve"> globalement la moitié environ des parties aux </w:t>
      </w:r>
      <w:r w:rsidRPr="002650E6">
        <w:t>procédures de médiation</w:t>
      </w:r>
      <w:r>
        <w:t xml:space="preserve"> et</w:t>
      </w:r>
      <w:r w:rsidRPr="002650E6">
        <w:t xml:space="preserve"> d</w:t>
      </w:r>
      <w:r>
        <w:t>’</w:t>
      </w:r>
      <w:r w:rsidRPr="002650E6">
        <w:t>arbitrage</w:t>
      </w:r>
      <w:r>
        <w:t xml:space="preserve"> de l’OMPI</w:t>
      </w:r>
      <w:r w:rsidRPr="006C7091">
        <w:t>.</w:t>
      </w:r>
      <w:r w:rsidRPr="00211024">
        <w:rPr>
          <w:szCs w:val="18"/>
        </w:rPr>
        <w:t xml:space="preserve"> </w:t>
      </w:r>
      <w:r>
        <w:rPr>
          <w:szCs w:val="18"/>
        </w:rPr>
        <w:t xml:space="preserve"> Le Centre offre une réduction des frais d’administration et d’inscription en cas de litiges impliquant des PME.</w:t>
      </w:r>
      <w:r>
        <w:t xml:space="preserve"> </w:t>
      </w:r>
      <w:r w:rsidRPr="006C7091">
        <w:t xml:space="preserve"> Voir à l</w:t>
      </w:r>
      <w:r>
        <w:t>’</w:t>
      </w:r>
      <w:r w:rsidRPr="006C7091">
        <w:t>adresse https://www.wipo.int/amc/</w:t>
      </w:r>
      <w:r>
        <w:t>fr</w:t>
      </w:r>
      <w:r w:rsidRPr="006C7091">
        <w:t>/</w:t>
      </w:r>
      <w:r>
        <w:t>center</w:t>
      </w:r>
      <w:r w:rsidRPr="006C7091">
        <w:t>/</w:t>
      </w:r>
      <w:r>
        <w:t>specific</w:t>
      </w:r>
      <w:r>
        <w:noBreakHyphen/>
        <w:t>sectors/smes/</w:t>
      </w:r>
      <w:r w:rsidRPr="006C7091">
        <w:t>.</w:t>
      </w:r>
    </w:p>
  </w:footnote>
  <w:footnote w:id="7">
    <w:p w14:paraId="52E17BB0" w14:textId="2A57FA03" w:rsidR="005723D0" w:rsidRPr="003A3A65" w:rsidRDefault="005723D0" w:rsidP="00531B83">
      <w:pPr>
        <w:pStyle w:val="FootnoteText"/>
        <w:rPr>
          <w:szCs w:val="18"/>
        </w:rPr>
      </w:pPr>
      <w:r w:rsidRPr="003A3A65">
        <w:rPr>
          <w:rStyle w:val="FootnoteReference"/>
          <w:szCs w:val="18"/>
        </w:rPr>
        <w:footnoteRef/>
      </w:r>
      <w:r w:rsidRPr="003A3A65">
        <w:rPr>
          <w:szCs w:val="18"/>
        </w:rPr>
        <w:t xml:space="preserve"> </w:t>
      </w:r>
      <w:r w:rsidRPr="003A3A65">
        <w:rPr>
          <w:szCs w:val="18"/>
        </w:rPr>
        <w:tab/>
      </w:r>
      <w:r w:rsidRPr="007E5C9C">
        <w:rPr>
          <w:szCs w:val="18"/>
          <w:shd w:val="clear" w:color="auto" w:fill="FFFFFF" w:themeFill="background1"/>
        </w:rPr>
        <w:t>Parmi les questions juridiques traitées</w:t>
      </w:r>
      <w:r>
        <w:rPr>
          <w:szCs w:val="18"/>
          <w:shd w:val="clear" w:color="auto" w:fill="FFFFFF" w:themeFill="background1"/>
        </w:rPr>
        <w:t xml:space="preserve"> en particulier</w:t>
      </w:r>
      <w:r w:rsidRPr="007E5C9C">
        <w:rPr>
          <w:szCs w:val="18"/>
          <w:shd w:val="clear" w:color="auto" w:fill="FFFFFF" w:themeFill="background1"/>
        </w:rPr>
        <w:t>, il convient de mentionner l</w:t>
      </w:r>
      <w:r>
        <w:rPr>
          <w:szCs w:val="18"/>
          <w:shd w:val="clear" w:color="auto" w:fill="FFFFFF" w:themeFill="background1"/>
        </w:rPr>
        <w:t xml:space="preserve">es atteintes à des </w:t>
      </w:r>
      <w:r w:rsidRPr="007E5C9C">
        <w:rPr>
          <w:szCs w:val="18"/>
          <w:shd w:val="clear" w:color="auto" w:fill="FFFFFF" w:themeFill="background1"/>
        </w:rPr>
        <w:t>brevets, de</w:t>
      </w:r>
      <w:r>
        <w:rPr>
          <w:szCs w:val="18"/>
          <w:shd w:val="clear" w:color="auto" w:fill="FFFFFF" w:themeFill="background1"/>
        </w:rPr>
        <w:t>s</w:t>
      </w:r>
      <w:r w:rsidRPr="007E5C9C">
        <w:rPr>
          <w:szCs w:val="18"/>
          <w:shd w:val="clear" w:color="auto" w:fill="FFFFFF" w:themeFill="background1"/>
        </w:rPr>
        <w:t xml:space="preserve"> marques </w:t>
      </w:r>
      <w:r>
        <w:rPr>
          <w:szCs w:val="18"/>
          <w:shd w:val="clear" w:color="auto" w:fill="FFFFFF" w:themeFill="background1"/>
        </w:rPr>
        <w:t>ou</w:t>
      </w:r>
      <w:r w:rsidRPr="007E5C9C">
        <w:rPr>
          <w:szCs w:val="18"/>
          <w:shd w:val="clear" w:color="auto" w:fill="FFFFFF" w:themeFill="background1"/>
        </w:rPr>
        <w:t xml:space="preserve"> </w:t>
      </w:r>
      <w:r>
        <w:rPr>
          <w:szCs w:val="18"/>
          <w:shd w:val="clear" w:color="auto" w:fill="FFFFFF" w:themeFill="background1"/>
        </w:rPr>
        <w:t>au</w:t>
      </w:r>
      <w:r w:rsidRPr="007E5C9C">
        <w:rPr>
          <w:szCs w:val="18"/>
          <w:shd w:val="clear" w:color="auto" w:fill="FFFFFF" w:themeFill="background1"/>
        </w:rPr>
        <w:t xml:space="preserve"> droit d</w:t>
      </w:r>
      <w:r>
        <w:rPr>
          <w:szCs w:val="18"/>
          <w:shd w:val="clear" w:color="auto" w:fill="FFFFFF" w:themeFill="background1"/>
        </w:rPr>
        <w:t>’</w:t>
      </w:r>
      <w:r w:rsidRPr="007E5C9C">
        <w:rPr>
          <w:szCs w:val="18"/>
          <w:shd w:val="clear" w:color="auto" w:fill="FFFFFF" w:themeFill="background1"/>
        </w:rPr>
        <w:t>auteur, l</w:t>
      </w:r>
      <w:r>
        <w:rPr>
          <w:szCs w:val="18"/>
          <w:shd w:val="clear" w:color="auto" w:fill="FFFFFF" w:themeFill="background1"/>
        </w:rPr>
        <w:t>’</w:t>
      </w:r>
      <w:r w:rsidRPr="007E5C9C">
        <w:rPr>
          <w:szCs w:val="18"/>
          <w:shd w:val="clear" w:color="auto" w:fill="FFFFFF" w:themeFill="background1"/>
        </w:rPr>
        <w:t>épuisement des droits de brevet, la co</w:t>
      </w:r>
      <w:r>
        <w:rPr>
          <w:szCs w:val="18"/>
          <w:shd w:val="clear" w:color="auto" w:fill="FFFFFF" w:themeFill="background1"/>
        </w:rPr>
        <w:t>titularité</w:t>
      </w:r>
      <w:r w:rsidRPr="007E5C9C">
        <w:rPr>
          <w:szCs w:val="18"/>
          <w:shd w:val="clear" w:color="auto" w:fill="FFFFFF" w:themeFill="background1"/>
        </w:rPr>
        <w:t xml:space="preserve"> de brevets, les communautés de brevets, l</w:t>
      </w:r>
      <w:r>
        <w:rPr>
          <w:szCs w:val="18"/>
          <w:shd w:val="clear" w:color="auto" w:fill="FFFFFF" w:themeFill="background1"/>
        </w:rPr>
        <w:t xml:space="preserve">a concession de </w:t>
      </w:r>
      <w:r w:rsidRPr="007E5C9C">
        <w:rPr>
          <w:szCs w:val="18"/>
          <w:shd w:val="clear" w:color="auto" w:fill="FFFFFF" w:themeFill="background1"/>
        </w:rPr>
        <w:t>licence</w:t>
      </w:r>
      <w:r>
        <w:rPr>
          <w:szCs w:val="18"/>
          <w:shd w:val="clear" w:color="auto" w:fill="FFFFFF" w:themeFill="background1"/>
        </w:rPr>
        <w:t>s</w:t>
      </w:r>
      <w:r w:rsidRPr="007E5C9C">
        <w:rPr>
          <w:szCs w:val="18"/>
          <w:shd w:val="clear" w:color="auto" w:fill="FFFFFF" w:themeFill="background1"/>
        </w:rPr>
        <w:t xml:space="preserve"> de brevets </w:t>
      </w:r>
      <w:r>
        <w:rPr>
          <w:szCs w:val="18"/>
          <w:shd w:val="clear" w:color="auto" w:fill="FFFFFF" w:themeFill="background1"/>
        </w:rPr>
        <w:t>à des</w:t>
      </w:r>
      <w:r w:rsidRPr="007E5C9C">
        <w:rPr>
          <w:szCs w:val="18"/>
          <w:shd w:val="clear" w:color="auto" w:fill="FFFFFF" w:themeFill="background1"/>
        </w:rPr>
        <w:t xml:space="preserve"> conditions appropriées,</w:t>
      </w:r>
      <w:r w:rsidRPr="006D5372">
        <w:rPr>
          <w:szCs w:val="18"/>
          <w:shd w:val="clear" w:color="auto" w:fill="FFFFFF" w:themeFill="background1"/>
        </w:rPr>
        <w:t xml:space="preserve"> </w:t>
      </w:r>
      <w:r>
        <w:rPr>
          <w:szCs w:val="18"/>
          <w:shd w:val="clear" w:color="auto" w:fill="FFFFFF" w:themeFill="background1"/>
        </w:rPr>
        <w:t xml:space="preserve">y compris la </w:t>
      </w:r>
      <w:r w:rsidRPr="006D5372">
        <w:rPr>
          <w:szCs w:val="18"/>
          <w:shd w:val="clear" w:color="auto" w:fill="FFFFFF" w:themeFill="background1"/>
        </w:rPr>
        <w:t>concession de licences dans des conditions équitables, raisonnables et non discriminatoires (conditions</w:t>
      </w:r>
      <w:r>
        <w:rPr>
          <w:szCs w:val="18"/>
          <w:shd w:val="clear" w:color="auto" w:fill="FFFFFF" w:themeFill="background1"/>
        </w:rPr>
        <w:t> </w:t>
      </w:r>
      <w:r w:rsidRPr="006D5372">
        <w:rPr>
          <w:szCs w:val="18"/>
          <w:shd w:val="clear" w:color="auto" w:fill="FFFFFF" w:themeFill="background1"/>
        </w:rPr>
        <w:t>FRAND</w:t>
      </w:r>
      <w:r>
        <w:rPr>
          <w:szCs w:val="18"/>
          <w:shd w:val="clear" w:color="auto" w:fill="FFFFFF" w:themeFill="background1"/>
        </w:rPr>
        <w:t>),</w:t>
      </w:r>
      <w:r w:rsidRPr="007E5C9C">
        <w:rPr>
          <w:szCs w:val="18"/>
          <w:shd w:val="clear" w:color="auto" w:fill="FFFFFF" w:themeFill="background1"/>
        </w:rPr>
        <w:t xml:space="preserve"> la rupture de contrat,</w:t>
      </w:r>
      <w:r>
        <w:rPr>
          <w:szCs w:val="18"/>
          <w:shd w:val="clear" w:color="auto" w:fill="FFFFFF" w:themeFill="background1"/>
        </w:rPr>
        <w:t xml:space="preserve"> </w:t>
      </w:r>
      <w:r w:rsidRPr="007E5C9C">
        <w:rPr>
          <w:szCs w:val="18"/>
          <w:shd w:val="clear" w:color="auto" w:fill="FFFFFF" w:themeFill="background1"/>
        </w:rPr>
        <w:t>l</w:t>
      </w:r>
      <w:r>
        <w:rPr>
          <w:szCs w:val="18"/>
          <w:shd w:val="clear" w:color="auto" w:fill="FFFFFF" w:themeFill="background1"/>
        </w:rPr>
        <w:t>’ajustement et le</w:t>
      </w:r>
      <w:r w:rsidRPr="007E5C9C">
        <w:rPr>
          <w:szCs w:val="18"/>
          <w:shd w:val="clear" w:color="auto" w:fill="FFFFFF" w:themeFill="background1"/>
        </w:rPr>
        <w:t xml:space="preserve"> paiement de</w:t>
      </w:r>
      <w:r>
        <w:rPr>
          <w:szCs w:val="18"/>
          <w:shd w:val="clear" w:color="auto" w:fill="FFFFFF" w:themeFill="background1"/>
        </w:rPr>
        <w:t>s</w:t>
      </w:r>
      <w:r w:rsidRPr="007E5C9C">
        <w:rPr>
          <w:szCs w:val="18"/>
          <w:shd w:val="clear" w:color="auto" w:fill="FFFFFF" w:themeFill="background1"/>
        </w:rPr>
        <w:t xml:space="preserve"> redevances,</w:t>
      </w:r>
      <w:r w:rsidRPr="006D5372">
        <w:rPr>
          <w:szCs w:val="18"/>
          <w:shd w:val="clear" w:color="auto" w:fill="FFFFFF" w:themeFill="background1"/>
        </w:rPr>
        <w:t xml:space="preserve"> </w:t>
      </w:r>
      <w:r>
        <w:rPr>
          <w:szCs w:val="18"/>
          <w:shd w:val="clear" w:color="auto" w:fill="FFFFFF" w:themeFill="background1"/>
        </w:rPr>
        <w:t>les accords de coexistence de marques,</w:t>
      </w:r>
      <w:r w:rsidRPr="007E5C9C">
        <w:rPr>
          <w:szCs w:val="18"/>
          <w:shd w:val="clear" w:color="auto" w:fill="FFFFFF" w:themeFill="background1"/>
        </w:rPr>
        <w:t xml:space="preserve"> les</w:t>
      </w:r>
      <w:r>
        <w:rPr>
          <w:szCs w:val="18"/>
          <w:shd w:val="clear" w:color="auto" w:fill="FFFFFF" w:themeFill="background1"/>
        </w:rPr>
        <w:t xml:space="preserve"> conditions de licence de droit</w:t>
      </w:r>
      <w:r w:rsidRPr="007E5C9C">
        <w:rPr>
          <w:szCs w:val="18"/>
          <w:shd w:val="clear" w:color="auto" w:fill="FFFFFF" w:themeFill="background1"/>
        </w:rPr>
        <w:t xml:space="preserve"> d</w:t>
      </w:r>
      <w:r>
        <w:rPr>
          <w:szCs w:val="18"/>
          <w:shd w:val="clear" w:color="auto" w:fill="FFFFFF" w:themeFill="background1"/>
        </w:rPr>
        <w:t>’</w:t>
      </w:r>
      <w:r w:rsidRPr="007E5C9C">
        <w:rPr>
          <w:szCs w:val="18"/>
          <w:shd w:val="clear" w:color="auto" w:fill="FFFFFF" w:themeFill="background1"/>
        </w:rPr>
        <w:t xml:space="preserve">auteur, </w:t>
      </w:r>
      <w:r>
        <w:rPr>
          <w:szCs w:val="18"/>
          <w:shd w:val="clear" w:color="auto" w:fill="FFFFFF" w:themeFill="background1"/>
        </w:rPr>
        <w:t>la suppression du con</w:t>
      </w:r>
      <w:r w:rsidRPr="007E5C9C">
        <w:rPr>
          <w:szCs w:val="18"/>
          <w:shd w:val="clear" w:color="auto" w:fill="FFFFFF" w:themeFill="background1"/>
        </w:rPr>
        <w:t>tenu de plateformes en ligne</w:t>
      </w:r>
      <w:r>
        <w:rPr>
          <w:szCs w:val="18"/>
          <w:shd w:val="clear" w:color="auto" w:fill="FFFFFF" w:themeFill="background1"/>
        </w:rPr>
        <w:t xml:space="preserve"> </w:t>
      </w:r>
      <w:r w:rsidRPr="00F77804">
        <w:rPr>
          <w:szCs w:val="18"/>
          <w:shd w:val="clear" w:color="auto" w:fill="FFFFFF" w:themeFill="background1"/>
        </w:rPr>
        <w:t>ou des actions concrètes, comme le retrait d</w:t>
      </w:r>
      <w:r>
        <w:rPr>
          <w:szCs w:val="18"/>
          <w:shd w:val="clear" w:color="auto" w:fill="FFFFFF" w:themeFill="background1"/>
        </w:rPr>
        <w:t>’</w:t>
      </w:r>
      <w:r w:rsidRPr="00F77804">
        <w:rPr>
          <w:szCs w:val="18"/>
          <w:shd w:val="clear" w:color="auto" w:fill="FFFFFF" w:themeFill="background1"/>
        </w:rPr>
        <w:t>actions en justice</w:t>
      </w:r>
      <w:r>
        <w:rPr>
          <w:szCs w:val="18"/>
          <w:shd w:val="clear" w:color="auto" w:fill="FFFFFF" w:themeFill="background1"/>
        </w:rPr>
        <w:t>, les demandes de dommages et intérêts</w:t>
      </w:r>
      <w:r w:rsidRPr="00F77804">
        <w:rPr>
          <w:szCs w:val="18"/>
          <w:shd w:val="clear" w:color="auto" w:fill="FFFFFF" w:themeFill="background1"/>
        </w:rPr>
        <w:t xml:space="preserve"> ou encore </w:t>
      </w:r>
      <w:r>
        <w:rPr>
          <w:szCs w:val="18"/>
          <w:shd w:val="clear" w:color="auto" w:fill="FFFFFF" w:themeFill="background1"/>
        </w:rPr>
        <w:t>l</w:t>
      </w:r>
      <w:r w:rsidRPr="00F77804">
        <w:rPr>
          <w:szCs w:val="18"/>
          <w:shd w:val="clear" w:color="auto" w:fill="FFFFFF" w:themeFill="background1"/>
        </w:rPr>
        <w:t>es procédures d</w:t>
      </w:r>
      <w:r>
        <w:rPr>
          <w:szCs w:val="18"/>
          <w:shd w:val="clear" w:color="auto" w:fill="FFFFFF" w:themeFill="background1"/>
        </w:rPr>
        <w:t>’</w:t>
      </w:r>
      <w:r w:rsidRPr="00F77804">
        <w:rPr>
          <w:szCs w:val="18"/>
          <w:shd w:val="clear" w:color="auto" w:fill="FFFFFF" w:themeFill="background1"/>
        </w:rPr>
        <w:t>opposition à des marques en instance auprès d</w:t>
      </w:r>
      <w:r>
        <w:rPr>
          <w:szCs w:val="18"/>
          <w:shd w:val="clear" w:color="auto" w:fill="FFFFFF" w:themeFill="background1"/>
        </w:rPr>
        <w:t>es</w:t>
      </w:r>
      <w:r w:rsidRPr="00F77804">
        <w:rPr>
          <w:szCs w:val="18"/>
          <w:shd w:val="clear" w:color="auto" w:fill="FFFFFF" w:themeFill="background1"/>
        </w:rPr>
        <w:t xml:space="preserve"> office</w:t>
      </w:r>
      <w:r>
        <w:rPr>
          <w:szCs w:val="18"/>
          <w:shd w:val="clear" w:color="auto" w:fill="FFFFFF" w:themeFill="background1"/>
        </w:rPr>
        <w:t>s</w:t>
      </w:r>
      <w:r w:rsidRPr="00F77804">
        <w:rPr>
          <w:szCs w:val="18"/>
          <w:shd w:val="clear" w:color="auto" w:fill="FFFFFF" w:themeFill="background1"/>
        </w:rPr>
        <w:t xml:space="preserve"> de propriété intellectuelle</w:t>
      </w:r>
      <w:r w:rsidRPr="003A3A65">
        <w:rPr>
          <w:szCs w:val="18"/>
          <w:shd w:val="clear" w:color="auto" w:fill="FFFFFF" w:themeFill="background1"/>
        </w:rPr>
        <w:t>.</w:t>
      </w:r>
    </w:p>
  </w:footnote>
  <w:footnote w:id="8">
    <w:p w14:paraId="1F4F13EE" w14:textId="6BA6A187" w:rsidR="005723D0" w:rsidRPr="006C7091" w:rsidRDefault="005723D0" w:rsidP="00491AE4">
      <w:pPr>
        <w:pStyle w:val="FootnoteText"/>
      </w:pPr>
      <w:r w:rsidRPr="006C7091">
        <w:rPr>
          <w:rStyle w:val="FootnoteReference"/>
        </w:rPr>
        <w:footnoteRef/>
      </w:r>
      <w:r w:rsidRPr="006C7091">
        <w:t xml:space="preserve"> </w:t>
      </w:r>
      <w:r w:rsidRPr="006C7091">
        <w:tab/>
        <w:t>Le système WIPO</w:t>
      </w:r>
      <w:r>
        <w:t> </w:t>
      </w:r>
      <w:r w:rsidRPr="006C7091">
        <w:t>eADR permet la communication et le stockage en ligne des documents, ce qui rend les procédures d</w:t>
      </w:r>
      <w:r>
        <w:t>’</w:t>
      </w:r>
      <w:r w:rsidRPr="006C7091">
        <w:t xml:space="preserve">arbitrage et de médiation plus rapides et plus économiques. </w:t>
      </w:r>
      <w:r>
        <w:t xml:space="preserve"> </w:t>
      </w:r>
      <w:r w:rsidRPr="006C7091">
        <w:t xml:space="preserve">Voir </w:t>
      </w:r>
      <w:r w:rsidRPr="00921588">
        <w:t>https://www.wipo.int/amc/fr/eadr/</w:t>
      </w:r>
      <w:r w:rsidRPr="006C7091">
        <w:t>.</w:t>
      </w:r>
      <w:r>
        <w:t xml:space="preserve">  </w:t>
      </w:r>
      <w:r w:rsidRPr="006C7091">
        <w:t>Au cours de la période considérée,</w:t>
      </w:r>
      <w:r w:rsidRPr="006C6046">
        <w:t xml:space="preserve"> </w:t>
      </w:r>
      <w:r w:rsidRPr="006C7091">
        <w:t>la Commission d</w:t>
      </w:r>
      <w:r>
        <w:t>’</w:t>
      </w:r>
      <w:r w:rsidRPr="006C7091">
        <w:t>arbitrage de la Coupe de l</w:t>
      </w:r>
      <w:r>
        <w:t>’</w:t>
      </w:r>
      <w:r w:rsidRPr="006C7091">
        <w:t>America</w:t>
      </w:r>
      <w:r>
        <w:t xml:space="preserve"> a également eu recours</w:t>
      </w:r>
      <w:r w:rsidRPr="006C6046">
        <w:rPr>
          <w:szCs w:val="18"/>
        </w:rPr>
        <w:t xml:space="preserve"> </w:t>
      </w:r>
      <w:r>
        <w:rPr>
          <w:szCs w:val="18"/>
        </w:rPr>
        <w:t xml:space="preserve">au système </w:t>
      </w:r>
      <w:r w:rsidRPr="006761CE">
        <w:rPr>
          <w:szCs w:val="18"/>
        </w:rPr>
        <w:t>WIPO</w:t>
      </w:r>
      <w:r>
        <w:rPr>
          <w:szCs w:val="18"/>
        </w:rPr>
        <w:t> </w:t>
      </w:r>
      <w:r w:rsidRPr="006761CE">
        <w:rPr>
          <w:szCs w:val="18"/>
        </w:rPr>
        <w:t xml:space="preserve">eADR </w:t>
      </w:r>
      <w:r>
        <w:rPr>
          <w:szCs w:val="18"/>
        </w:rPr>
        <w:t>au cours de la</w:t>
      </w:r>
      <w:r w:rsidRPr="006761CE">
        <w:rPr>
          <w:szCs w:val="18"/>
        </w:rPr>
        <w:t xml:space="preserve"> 37</w:t>
      </w:r>
      <w:r w:rsidRPr="006C6046">
        <w:rPr>
          <w:szCs w:val="18"/>
          <w:vertAlign w:val="superscript"/>
        </w:rPr>
        <w:t>e</w:t>
      </w:r>
      <w:r>
        <w:rPr>
          <w:szCs w:val="18"/>
        </w:rPr>
        <w:t> édition</w:t>
      </w:r>
      <w:r w:rsidRPr="006761CE">
        <w:rPr>
          <w:szCs w:val="18"/>
        </w:rPr>
        <w:t xml:space="preserve"> </w:t>
      </w:r>
      <w:r w:rsidRPr="006C7091">
        <w:t>de la série de courses de voile de la Coupe de l</w:t>
      </w:r>
      <w:r>
        <w:t>’</w:t>
      </w:r>
      <w:r w:rsidRPr="006C7091">
        <w:t>America.</w:t>
      </w:r>
      <w:r>
        <w:rPr>
          <w:szCs w:val="18"/>
        </w:rPr>
        <w:t xml:space="preserve">  Voir à l’adresse h</w:t>
      </w:r>
      <w:r w:rsidRPr="003960A6">
        <w:rPr>
          <w:szCs w:val="18"/>
        </w:rPr>
        <w:t>ttps://www.wipo.int/amc/</w:t>
      </w:r>
      <w:r>
        <w:rPr>
          <w:szCs w:val="18"/>
        </w:rPr>
        <w:t>fr</w:t>
      </w:r>
      <w:r w:rsidRPr="003960A6">
        <w:rPr>
          <w:szCs w:val="18"/>
        </w:rPr>
        <w:t>/center/background.html</w:t>
      </w:r>
      <w:r>
        <w:rPr>
          <w:szCs w:val="18"/>
        </w:rPr>
        <w:t>.</w:t>
      </w:r>
    </w:p>
  </w:footnote>
  <w:footnote w:id="9">
    <w:p w14:paraId="1DBE292E" w14:textId="132A304B" w:rsidR="005723D0" w:rsidRDefault="005723D0">
      <w:pPr>
        <w:pStyle w:val="FootnoteText"/>
      </w:pPr>
      <w:r>
        <w:rPr>
          <w:rStyle w:val="FootnoteReference"/>
        </w:rPr>
        <w:footnoteRef/>
      </w:r>
      <w:r>
        <w:t xml:space="preserve"> </w:t>
      </w:r>
      <w:r>
        <w:tab/>
      </w:r>
      <w:r w:rsidRPr="009E0CB1">
        <w:t xml:space="preserve">Pour aider les parties et les intermédiaires neutres à préparer ces réunions et audiences à distance, le Centre </w:t>
      </w:r>
      <w:r>
        <w:t xml:space="preserve">a continué de tenir à jour la </w:t>
      </w:r>
      <w:r w:rsidRPr="009E0CB1">
        <w:t>liste de contrôle de l</w:t>
      </w:r>
      <w:r>
        <w:t>’</w:t>
      </w:r>
      <w:r w:rsidRPr="009E0CB1">
        <w:t>OMPI pour la conduite en ligne des procédures de médiation et d</w:t>
      </w:r>
      <w:r>
        <w:t>’</w:t>
      </w:r>
      <w:r w:rsidRPr="009E0CB1">
        <w:t>arbitrage</w:t>
      </w:r>
      <w:r>
        <w:t xml:space="preserve">.  Voir à l’adresse </w:t>
      </w:r>
      <w:r>
        <w:rPr>
          <w:szCs w:val="18"/>
        </w:rPr>
        <w:t>h</w:t>
      </w:r>
      <w:r w:rsidRPr="003A3A65">
        <w:rPr>
          <w:szCs w:val="18"/>
        </w:rPr>
        <w:t>ttps://www.wipo.int/amc/en/eadr/checklist/index.html.</w:t>
      </w:r>
    </w:p>
  </w:footnote>
  <w:footnote w:id="10">
    <w:p w14:paraId="233E80B6" w14:textId="305D9A69" w:rsidR="005723D0" w:rsidRPr="006C7091" w:rsidRDefault="005723D0" w:rsidP="008E0BF9">
      <w:pPr>
        <w:pStyle w:val="FootnoteText"/>
      </w:pPr>
      <w:r w:rsidRPr="006C7091">
        <w:rPr>
          <w:rStyle w:val="FootnoteReference"/>
        </w:rPr>
        <w:footnoteRef/>
      </w:r>
      <w:r w:rsidRPr="006C7091">
        <w:t xml:space="preserve"> </w:t>
      </w:r>
      <w:r w:rsidRPr="006C7091">
        <w:tab/>
        <w:t>Le site</w:t>
      </w:r>
      <w:r>
        <w:t> </w:t>
      </w:r>
      <w:r w:rsidRPr="006C7091">
        <w:t>Web du Centre donne une vue d</w:t>
      </w:r>
      <w:r>
        <w:t>’</w:t>
      </w:r>
      <w:r w:rsidRPr="006C7091">
        <w:t xml:space="preserve">ensemble des différents services proposés. </w:t>
      </w:r>
      <w:r>
        <w:t xml:space="preserve"> </w:t>
      </w:r>
      <w:r w:rsidRPr="006C7091">
        <w:t>Voir https://www.wipo.int/amc/fr/center/specific</w:t>
      </w:r>
      <w:r>
        <w:noBreakHyphen/>
      </w:r>
      <w:r w:rsidRPr="006C7091">
        <w:t>sectors/index.html.</w:t>
      </w:r>
    </w:p>
  </w:footnote>
  <w:footnote w:id="11">
    <w:p w14:paraId="2FDC8608" w14:textId="379FDE17" w:rsidR="005723D0" w:rsidRPr="006C7091" w:rsidRDefault="005723D0" w:rsidP="008E0BF9">
      <w:pPr>
        <w:pStyle w:val="FootnoteText"/>
      </w:pPr>
      <w:r w:rsidRPr="006C7091">
        <w:rPr>
          <w:rStyle w:val="FootnoteReference"/>
        </w:rPr>
        <w:footnoteRef/>
      </w:r>
      <w:r w:rsidRPr="006C7091">
        <w:t xml:space="preserve"> </w:t>
      </w:r>
      <w:r w:rsidRPr="006C7091">
        <w:tab/>
        <w:t>Voir https://www.wipo.int/amc/</w:t>
      </w:r>
      <w:r w:rsidR="001A1FA3">
        <w:t>en</w:t>
      </w:r>
      <w:r w:rsidRPr="006C7091">
        <w:t>/center/specific</w:t>
      </w:r>
      <w:r>
        <w:noBreakHyphen/>
      </w:r>
      <w:r w:rsidRPr="006C7091">
        <w:t>sectors/ict/frand/.</w:t>
      </w:r>
    </w:p>
  </w:footnote>
  <w:footnote w:id="12">
    <w:p w14:paraId="3A0EB86C" w14:textId="4B53A3BC" w:rsidR="005723D0" w:rsidRPr="003A3A65" w:rsidRDefault="005723D0" w:rsidP="00173CC1">
      <w:pPr>
        <w:pStyle w:val="FootnoteText"/>
        <w:rPr>
          <w:szCs w:val="18"/>
        </w:rPr>
      </w:pPr>
      <w:r w:rsidRPr="003A3A65">
        <w:rPr>
          <w:rStyle w:val="FootnoteReference"/>
          <w:szCs w:val="18"/>
        </w:rPr>
        <w:footnoteRef/>
      </w:r>
      <w:r w:rsidRPr="003A3A65">
        <w:rPr>
          <w:szCs w:val="18"/>
        </w:rPr>
        <w:t xml:space="preserve"> </w:t>
      </w:r>
      <w:r w:rsidRPr="003A3A65">
        <w:rPr>
          <w:szCs w:val="18"/>
        </w:rPr>
        <w:tab/>
      </w:r>
      <w:r>
        <w:rPr>
          <w:szCs w:val="18"/>
        </w:rPr>
        <w:t>Voir h</w:t>
      </w:r>
      <w:r w:rsidRPr="00F43068">
        <w:rPr>
          <w:szCs w:val="18"/>
        </w:rPr>
        <w:t>ttps://www.wipo.int/export/sites/www/amc/en/docs/2022/wipo_adr_options_for_frand_disputes_management_resolution.pdf</w:t>
      </w:r>
      <w:r w:rsidRPr="003A3A65">
        <w:rPr>
          <w:szCs w:val="18"/>
        </w:rPr>
        <w:t xml:space="preserve">. </w:t>
      </w:r>
      <w:r>
        <w:rPr>
          <w:szCs w:val="18"/>
        </w:rPr>
        <w:t xml:space="preserve"> </w:t>
      </w:r>
      <w:r w:rsidRPr="001130F6">
        <w:rPr>
          <w:szCs w:val="18"/>
          <w:shd w:val="clear" w:color="auto" w:fill="FFFFFF" w:themeFill="background1"/>
        </w:rPr>
        <w:t xml:space="preserve">Le document vise à aider les parties et les </w:t>
      </w:r>
      <w:r>
        <w:rPr>
          <w:szCs w:val="18"/>
          <w:shd w:val="clear" w:color="auto" w:fill="FFFFFF" w:themeFill="background1"/>
        </w:rPr>
        <w:t xml:space="preserve">intermédiaires </w:t>
      </w:r>
      <w:r w:rsidRPr="001130F6">
        <w:rPr>
          <w:szCs w:val="18"/>
          <w:shd w:val="clear" w:color="auto" w:fill="FFFFFF" w:themeFill="background1"/>
        </w:rPr>
        <w:t xml:space="preserve">neutres à mieux comprendre et à utiliser les options de règlement des litiges </w:t>
      </w:r>
      <w:r>
        <w:rPr>
          <w:szCs w:val="18"/>
          <w:shd w:val="clear" w:color="auto" w:fill="FFFFFF" w:themeFill="background1"/>
        </w:rPr>
        <w:t>existantes</w:t>
      </w:r>
      <w:r w:rsidRPr="001130F6">
        <w:rPr>
          <w:szCs w:val="18"/>
          <w:shd w:val="clear" w:color="auto" w:fill="FFFFFF" w:themeFill="background1"/>
        </w:rPr>
        <w:t xml:space="preserve"> lors de la négociation ou de la rédaction </w:t>
      </w:r>
      <w:r>
        <w:rPr>
          <w:szCs w:val="18"/>
          <w:shd w:val="clear" w:color="auto" w:fill="FFFFFF" w:themeFill="background1"/>
        </w:rPr>
        <w:t>de contrats</w:t>
      </w:r>
      <w:r w:rsidRPr="001130F6">
        <w:rPr>
          <w:szCs w:val="18"/>
          <w:shd w:val="clear" w:color="auto" w:fill="FFFFFF" w:themeFill="background1"/>
        </w:rPr>
        <w:t xml:space="preserve"> de licence</w:t>
      </w:r>
      <w:r>
        <w:rPr>
          <w:szCs w:val="18"/>
          <w:shd w:val="clear" w:color="auto" w:fill="FFFFFF" w:themeFill="background1"/>
        </w:rPr>
        <w:t> </w:t>
      </w:r>
      <w:r w:rsidRPr="001130F6">
        <w:rPr>
          <w:szCs w:val="18"/>
          <w:shd w:val="clear" w:color="auto" w:fill="FFFFFF" w:themeFill="background1"/>
        </w:rPr>
        <w:t xml:space="preserve">FRAND. </w:t>
      </w:r>
      <w:r>
        <w:rPr>
          <w:szCs w:val="18"/>
          <w:shd w:val="clear" w:color="auto" w:fill="FFFFFF" w:themeFill="background1"/>
        </w:rPr>
        <w:t xml:space="preserve"> </w:t>
      </w:r>
      <w:r w:rsidRPr="001130F6">
        <w:rPr>
          <w:szCs w:val="18"/>
          <w:shd w:val="clear" w:color="auto" w:fill="FFFFFF" w:themeFill="background1"/>
        </w:rPr>
        <w:t xml:space="preserve">Il couvre </w:t>
      </w:r>
      <w:r w:rsidRPr="00173CC1">
        <w:rPr>
          <w:szCs w:val="18"/>
          <w:shd w:val="clear" w:color="auto" w:fill="FFFFFF" w:themeFill="background1"/>
        </w:rPr>
        <w:t>les principaux éléments que les parties peuvent souhaiter prendre en considération pour façonner la procédure extrajudiciaire, notamment en cas de portefeuilles de brevets essentiels à des normes bien garnis dans le domaine des télécommunications, de l</w:t>
      </w:r>
      <w:r>
        <w:rPr>
          <w:szCs w:val="18"/>
          <w:shd w:val="clear" w:color="auto" w:fill="FFFFFF" w:themeFill="background1"/>
        </w:rPr>
        <w:t>’</w:t>
      </w:r>
      <w:r w:rsidRPr="00173CC1">
        <w:rPr>
          <w:szCs w:val="18"/>
          <w:shd w:val="clear" w:color="auto" w:fill="FFFFFF" w:themeFill="background1"/>
        </w:rPr>
        <w:t xml:space="preserve">Internet des objets et de la mobilité connectée, et pour </w:t>
      </w:r>
      <w:r>
        <w:rPr>
          <w:szCs w:val="18"/>
          <w:shd w:val="clear" w:color="auto" w:fill="FFFFFF" w:themeFill="background1"/>
        </w:rPr>
        <w:t>gérer</w:t>
      </w:r>
      <w:r w:rsidRPr="00173CC1">
        <w:rPr>
          <w:szCs w:val="18"/>
          <w:shd w:val="clear" w:color="auto" w:fill="FFFFFF" w:themeFill="background1"/>
        </w:rPr>
        <w:t xml:space="preserve"> la durée et les coûts de la procédure.</w:t>
      </w:r>
      <w:r>
        <w:rPr>
          <w:szCs w:val="18"/>
          <w:shd w:val="clear" w:color="auto" w:fill="FFFFFF" w:themeFill="background1"/>
        </w:rPr>
        <w:t xml:space="preserve">  </w:t>
      </w:r>
      <w:r w:rsidRPr="00173CC1">
        <w:rPr>
          <w:szCs w:val="18"/>
          <w:shd w:val="clear" w:color="auto" w:fill="FFFFFF" w:themeFill="background1"/>
        </w:rPr>
        <w:t>Il comprend également des conventions ad hoc types</w:t>
      </w:r>
      <w:r w:rsidRPr="003A3A65">
        <w:rPr>
          <w:szCs w:val="18"/>
          <w:shd w:val="clear" w:color="auto" w:fill="FFFFFF" w:themeFill="background1"/>
        </w:rPr>
        <w:t>.</w:t>
      </w:r>
    </w:p>
  </w:footnote>
  <w:footnote w:id="13">
    <w:p w14:paraId="63717C30" w14:textId="4B2B20A1" w:rsidR="005723D0" w:rsidRPr="006C7091" w:rsidRDefault="005723D0" w:rsidP="0083165C">
      <w:pPr>
        <w:pStyle w:val="FootnoteText"/>
      </w:pPr>
      <w:r w:rsidRPr="006C7091">
        <w:rPr>
          <w:rStyle w:val="FootnoteReference"/>
        </w:rPr>
        <w:footnoteRef/>
      </w:r>
      <w:r w:rsidRPr="006C7091">
        <w:t xml:space="preserve"> </w:t>
      </w:r>
      <w:r w:rsidRPr="006C7091">
        <w:tab/>
      </w:r>
      <w:r>
        <w:t>Au cours de la période considérée</w:t>
      </w:r>
      <w:r w:rsidRPr="00C66119">
        <w:t xml:space="preserve">, </w:t>
      </w:r>
      <w:r>
        <w:t xml:space="preserve">le </w:t>
      </w:r>
      <w:r w:rsidRPr="00C66119">
        <w:t>Cent</w:t>
      </w:r>
      <w:r>
        <w:t>re a publié</w:t>
      </w:r>
      <w:r w:rsidRPr="00C66119">
        <w:t xml:space="preserve"> </w:t>
      </w:r>
      <w:r>
        <w:t xml:space="preserve">un résumé anonymisé d’exemples de litiges dans le domaine des sciences de la vie soumis à la médiation et à l’arbitrage de l’OMPI, à l’adresse </w:t>
      </w:r>
      <w:r w:rsidRPr="006C7091">
        <w:t>https://www.wipo.int/amc/en/center/specific</w:t>
      </w:r>
      <w:r>
        <w:noBreakHyphen/>
      </w:r>
      <w:r w:rsidRPr="006C7091">
        <w:t>sectors/lifesciences/.</w:t>
      </w:r>
    </w:p>
  </w:footnote>
  <w:footnote w:id="14">
    <w:p w14:paraId="566611D6" w14:textId="194CDD96" w:rsidR="005723D0" w:rsidRPr="00656B74" w:rsidRDefault="005723D0" w:rsidP="00FF631B">
      <w:pPr>
        <w:pStyle w:val="FootnoteText"/>
      </w:pPr>
      <w:r>
        <w:rPr>
          <w:rStyle w:val="FootnoteReference"/>
        </w:rPr>
        <w:footnoteRef/>
      </w:r>
      <w:r w:rsidRPr="0083165C">
        <w:t xml:space="preserve"> </w:t>
      </w:r>
      <w:r w:rsidRPr="0083165C">
        <w:tab/>
        <w:t xml:space="preserve">Voir https://www.wipo.int/publications/fr/details.jsp?id=4639. </w:t>
      </w:r>
      <w:r>
        <w:t xml:space="preserve"> La</w:t>
      </w:r>
      <w:r w:rsidRPr="0083165C">
        <w:t xml:space="preserve"> publication </w:t>
      </w:r>
      <w:r>
        <w:t>a été présentée à l’occasion du Séminaire</w:t>
      </w:r>
      <w:r w:rsidRPr="0083165C">
        <w:t xml:space="preserve"> </w:t>
      </w:r>
      <w:r>
        <w:t xml:space="preserve">de l’OMPI sur les </w:t>
      </w:r>
      <w:r w:rsidRPr="00060FED">
        <w:t>Modes extrajudiciaire</w:t>
      </w:r>
      <w:r>
        <w:t>s de règlement</w:t>
      </w:r>
      <w:r w:rsidRPr="00060FED">
        <w:t xml:space="preserve"> des litiges proposés par l</w:t>
      </w:r>
      <w:r>
        <w:t>’</w:t>
      </w:r>
      <w:r w:rsidRPr="00060FED">
        <w:t>OMPI dans le domaine des sciences de la vie</w:t>
      </w:r>
      <w:r>
        <w:t>, tenu le</w:t>
      </w:r>
      <w:r w:rsidRPr="0083165C">
        <w:t xml:space="preserve"> 29</w:t>
      </w:r>
      <w:r>
        <w:t> novembre </w:t>
      </w:r>
      <w:r w:rsidRPr="0083165C">
        <w:t xml:space="preserve">2022, </w:t>
      </w:r>
      <w:r>
        <w:t xml:space="preserve">avec des intervenants représentant le secteur de l’industrie, des bureaux de </w:t>
      </w:r>
      <w:r w:rsidRPr="0083165C">
        <w:t>transfer</w:t>
      </w:r>
      <w:r>
        <w:t>t de technologie</w:t>
      </w:r>
      <w:r w:rsidRPr="0083165C">
        <w:t xml:space="preserve">, </w:t>
      </w:r>
      <w:r>
        <w:t xml:space="preserve">des projets de santé </w:t>
      </w:r>
      <w:r w:rsidRPr="0083165C">
        <w:t>publi</w:t>
      </w:r>
      <w:r>
        <w:t>que</w:t>
      </w:r>
      <w:r w:rsidRPr="0083165C">
        <w:t xml:space="preserve"> </w:t>
      </w:r>
      <w:r>
        <w:t>et des intermédiaires neutres de l’OMPI venus d’</w:t>
      </w:r>
      <w:r w:rsidRPr="0083165C">
        <w:t>Afri</w:t>
      </w:r>
      <w:r>
        <w:t>que</w:t>
      </w:r>
      <w:r w:rsidRPr="0083165C">
        <w:t xml:space="preserve">, </w:t>
      </w:r>
      <w:r>
        <w:t>d’Amérique du Nord, d’</w:t>
      </w:r>
      <w:r w:rsidRPr="0083165C">
        <w:t>Asi</w:t>
      </w:r>
      <w:r>
        <w:t>e et</w:t>
      </w:r>
      <w:r w:rsidRPr="0083165C">
        <w:t xml:space="preserve"> </w:t>
      </w:r>
      <w:r>
        <w:t>d’</w:t>
      </w:r>
      <w:r w:rsidRPr="0083165C">
        <w:t xml:space="preserve">Europe. </w:t>
      </w:r>
      <w:r>
        <w:t xml:space="preserve"> Voir</w:t>
      </w:r>
      <w:r w:rsidRPr="00656B74">
        <w:t xml:space="preserve"> https://webcast.wipo.int/video/OTHER_WIPO_SEMINAR_1_2022</w:t>
      </w:r>
      <w:r>
        <w:noBreakHyphen/>
      </w:r>
      <w:r w:rsidRPr="00656B74">
        <w:t>11</w:t>
      </w:r>
      <w:r>
        <w:noBreakHyphen/>
        <w:t>29_PM_117643.</w:t>
      </w:r>
    </w:p>
  </w:footnote>
  <w:footnote w:id="15">
    <w:p w14:paraId="7635B0CE" w14:textId="5850322F" w:rsidR="005723D0" w:rsidRPr="007713D2" w:rsidRDefault="005723D0" w:rsidP="0083165C">
      <w:pPr>
        <w:pStyle w:val="FootnoteText"/>
      </w:pPr>
      <w:r>
        <w:rPr>
          <w:rStyle w:val="FootnoteReference"/>
        </w:rPr>
        <w:footnoteRef/>
      </w:r>
      <w:r w:rsidRPr="00A04BC3">
        <w:t xml:space="preserve"> </w:t>
      </w:r>
      <w:r w:rsidRPr="00A04BC3">
        <w:tab/>
        <w:t>Le Centr</w:t>
      </w:r>
      <w:r>
        <w:t>e</w:t>
      </w:r>
      <w:r w:rsidRPr="00A04BC3">
        <w:t xml:space="preserve"> </w:t>
      </w:r>
      <w:r>
        <w:t>note que les parties prenantes du domaine des sciences de la vie multiplient le recours aux clauses de médiation et d’arbitrage de l’OMPI</w:t>
      </w:r>
      <w:r w:rsidRPr="00A04BC3">
        <w:t xml:space="preserve">. </w:t>
      </w:r>
      <w:r>
        <w:t xml:space="preserve"> Par exemple, les solutions de médiation et d’arbitrage de l’OMPI sont incluses dans plus de</w:t>
      </w:r>
      <w:r w:rsidRPr="00901C64">
        <w:t xml:space="preserve"> 70</w:t>
      </w:r>
      <w:r>
        <w:t> accords de concession de licences et de sous</w:t>
      </w:r>
      <w:r>
        <w:noBreakHyphen/>
        <w:t>licences conclus par</w:t>
      </w:r>
      <w:r w:rsidRPr="00901C64">
        <w:t xml:space="preserve"> </w:t>
      </w:r>
      <w:r>
        <w:t xml:space="preserve">le </w:t>
      </w:r>
      <w:r w:rsidRPr="00901C64">
        <w:t>Medicines Patent Pool</w:t>
      </w:r>
      <w:r>
        <w:t> (MPP)</w:t>
      </w:r>
      <w:r w:rsidRPr="00901C64">
        <w:t xml:space="preserve">, </w:t>
      </w:r>
      <w:r>
        <w:t>notamment des accords portant sur certains traitements</w:t>
      </w:r>
      <w:r w:rsidRPr="00901C64">
        <w:t xml:space="preserve"> </w:t>
      </w:r>
      <w:r>
        <w:t>contre la </w:t>
      </w:r>
      <w:r w:rsidRPr="00901C64">
        <w:t>COVID</w:t>
      </w:r>
      <w:r>
        <w:noBreakHyphen/>
      </w:r>
      <w:r w:rsidRPr="00901C64">
        <w:t xml:space="preserve">19. </w:t>
      </w:r>
      <w:r>
        <w:t xml:space="preserve"> Voir </w:t>
      </w:r>
      <w:r w:rsidR="001A1FA3" w:rsidRPr="001A1FA3">
        <w:t>https://medicinespatentpool.org/fr/progress-achievements/licences</w:t>
      </w:r>
      <w:r>
        <w:t>.</w:t>
      </w:r>
    </w:p>
  </w:footnote>
  <w:footnote w:id="16">
    <w:p w14:paraId="2CB713B5" w14:textId="65C07FAD" w:rsidR="005723D0" w:rsidRPr="00DA2A76" w:rsidRDefault="005723D0" w:rsidP="00DA2A76">
      <w:pPr>
        <w:pStyle w:val="FootnoteText"/>
      </w:pPr>
      <w:r>
        <w:rPr>
          <w:rStyle w:val="FootnoteReference"/>
        </w:rPr>
        <w:footnoteRef/>
      </w:r>
      <w:r w:rsidRPr="00DA2A76">
        <w:t xml:space="preserve"> </w:t>
      </w:r>
      <w:r w:rsidRPr="00DA2A76">
        <w:tab/>
        <w:t>V</w:t>
      </w:r>
      <w:r>
        <w:t>oir</w:t>
      </w:r>
      <w:r w:rsidRPr="00DA2A76">
        <w:t xml:space="preserve"> https://www.wipo.int/amc/</w:t>
      </w:r>
      <w:r>
        <w:t>fr</w:t>
      </w:r>
      <w:r w:rsidRPr="00DA2A76">
        <w:t>/center/copyrig</w:t>
      </w:r>
      <w:r>
        <w:t>ht/digitalcopyright/index.html.</w:t>
      </w:r>
    </w:p>
  </w:footnote>
  <w:footnote w:id="17">
    <w:p w14:paraId="738B630B" w14:textId="64CFF745" w:rsidR="005723D0" w:rsidRPr="00D0057E" w:rsidRDefault="005723D0" w:rsidP="00E37547">
      <w:pPr>
        <w:pStyle w:val="FootnoteText"/>
        <w:rPr>
          <w:shd w:val="clear" w:color="auto" w:fill="FFFFFF" w:themeFill="background1"/>
        </w:rPr>
      </w:pPr>
      <w:r w:rsidRPr="003A3A65">
        <w:rPr>
          <w:rStyle w:val="FootnoteReference"/>
          <w:szCs w:val="18"/>
        </w:rPr>
        <w:footnoteRef/>
      </w:r>
      <w:r w:rsidRPr="003A3A65">
        <w:rPr>
          <w:szCs w:val="18"/>
        </w:rPr>
        <w:t xml:space="preserve"> </w:t>
      </w:r>
      <w:r w:rsidRPr="003A3A65">
        <w:rPr>
          <w:szCs w:val="18"/>
        </w:rPr>
        <w:tab/>
      </w:r>
      <w:r>
        <w:rPr>
          <w:szCs w:val="18"/>
        </w:rPr>
        <w:t>Afin de répondre à cette tendance, le</w:t>
      </w:r>
      <w:r w:rsidRPr="00CA0EF6">
        <w:rPr>
          <w:shd w:val="clear" w:color="auto" w:fill="FFFFFF" w:themeFill="background1"/>
        </w:rPr>
        <w:t xml:space="preserve"> Centr</w:t>
      </w:r>
      <w:r>
        <w:rPr>
          <w:shd w:val="clear" w:color="auto" w:fill="FFFFFF" w:themeFill="background1"/>
        </w:rPr>
        <w:t>e a collaboré avec les parties prenantes concernées afin d’élaborer des pratiques recommandées</w:t>
      </w:r>
      <w:r w:rsidRPr="00744677">
        <w:rPr>
          <w:shd w:val="clear" w:color="auto" w:fill="FFFFFF" w:themeFill="background1"/>
        </w:rPr>
        <w:t xml:space="preserve"> </w:t>
      </w:r>
      <w:r>
        <w:rPr>
          <w:shd w:val="clear" w:color="auto" w:fill="FFFFFF" w:themeFill="background1"/>
        </w:rPr>
        <w:t xml:space="preserve">pour les </w:t>
      </w:r>
      <w:r w:rsidRPr="00744677">
        <w:rPr>
          <w:shd w:val="clear" w:color="auto" w:fill="FFFFFF" w:themeFill="background1"/>
        </w:rPr>
        <w:t>fournisseurs de services de partage de contenus en ligne</w:t>
      </w:r>
      <w:r>
        <w:rPr>
          <w:shd w:val="clear" w:color="auto" w:fill="FFFFFF" w:themeFill="background1"/>
        </w:rPr>
        <w:t xml:space="preserve"> en cas</w:t>
      </w:r>
      <w:r w:rsidRPr="00A110D8">
        <w:rPr>
          <w:szCs w:val="18"/>
        </w:rPr>
        <w:t xml:space="preserve"> de litige</w:t>
      </w:r>
      <w:r>
        <w:rPr>
          <w:szCs w:val="18"/>
        </w:rPr>
        <w:t>s</w:t>
      </w:r>
      <w:r w:rsidRPr="00A110D8">
        <w:rPr>
          <w:szCs w:val="18"/>
        </w:rPr>
        <w:t xml:space="preserve"> portant sur les contenus transférés par les utilisateurs</w:t>
      </w:r>
      <w:r w:rsidRPr="00CA0EF6">
        <w:rPr>
          <w:shd w:val="clear" w:color="auto" w:fill="FFFFFF" w:themeFill="background1"/>
        </w:rPr>
        <w:t xml:space="preserve">. </w:t>
      </w:r>
      <w:r>
        <w:rPr>
          <w:shd w:val="clear" w:color="auto" w:fill="FFFFFF" w:themeFill="background1"/>
        </w:rPr>
        <w:t xml:space="preserve"> Cela comprend l’</w:t>
      </w:r>
      <w:r w:rsidRPr="00A110D8">
        <w:rPr>
          <w:szCs w:val="18"/>
        </w:rPr>
        <w:t>adapt</w:t>
      </w:r>
      <w:r>
        <w:rPr>
          <w:szCs w:val="18"/>
        </w:rPr>
        <w:t>ation</w:t>
      </w:r>
      <w:r w:rsidRPr="00A110D8">
        <w:rPr>
          <w:szCs w:val="18"/>
        </w:rPr>
        <w:t xml:space="preserve"> </w:t>
      </w:r>
      <w:r>
        <w:rPr>
          <w:szCs w:val="18"/>
        </w:rPr>
        <w:t>du</w:t>
      </w:r>
      <w:r w:rsidRPr="00A110D8">
        <w:rPr>
          <w:szCs w:val="18"/>
        </w:rPr>
        <w:t xml:space="preserve"> Règlement de la procédure d</w:t>
      </w:r>
      <w:r>
        <w:rPr>
          <w:szCs w:val="18"/>
        </w:rPr>
        <w:t>’</w:t>
      </w:r>
      <w:r w:rsidRPr="00A110D8">
        <w:rPr>
          <w:szCs w:val="18"/>
        </w:rPr>
        <w:t>expertise de l</w:t>
      </w:r>
      <w:r>
        <w:rPr>
          <w:szCs w:val="18"/>
        </w:rPr>
        <w:t>’</w:t>
      </w:r>
      <w:r w:rsidRPr="00A110D8">
        <w:rPr>
          <w:szCs w:val="18"/>
        </w:rPr>
        <w:t>OMPI</w:t>
      </w:r>
      <w:r>
        <w:rPr>
          <w:szCs w:val="18"/>
        </w:rPr>
        <w:t xml:space="preserve"> pour en faire</w:t>
      </w:r>
      <w:r w:rsidRPr="00A110D8">
        <w:rPr>
          <w:szCs w:val="18"/>
        </w:rPr>
        <w:t xml:space="preserve"> une procédure</w:t>
      </w:r>
      <w:r>
        <w:rPr>
          <w:szCs w:val="18"/>
        </w:rPr>
        <w:t xml:space="preserve"> à l’échelle</w:t>
      </w:r>
      <w:r w:rsidRPr="00A110D8">
        <w:rPr>
          <w:szCs w:val="18"/>
        </w:rPr>
        <w:t xml:space="preserve"> mondiale</w:t>
      </w:r>
      <w:r>
        <w:rPr>
          <w:szCs w:val="18"/>
        </w:rPr>
        <w:t>,</w:t>
      </w:r>
      <w:r w:rsidRPr="00A110D8">
        <w:rPr>
          <w:szCs w:val="18"/>
        </w:rPr>
        <w:t xml:space="preserve"> </w:t>
      </w:r>
      <w:r>
        <w:rPr>
          <w:szCs w:val="18"/>
        </w:rPr>
        <w:t xml:space="preserve">ainsi que la mise en place </w:t>
      </w:r>
      <w:r w:rsidRPr="00744677">
        <w:rPr>
          <w:shd w:val="clear" w:color="auto" w:fill="FFFFFF" w:themeFill="background1"/>
        </w:rPr>
        <w:t>d</w:t>
      </w:r>
      <w:r>
        <w:rPr>
          <w:shd w:val="clear" w:color="auto" w:fill="FFFFFF" w:themeFill="background1"/>
        </w:rPr>
        <w:t>’</w:t>
      </w:r>
      <w:r w:rsidRPr="00744677">
        <w:rPr>
          <w:shd w:val="clear" w:color="auto" w:fill="FFFFFF" w:themeFill="background1"/>
        </w:rPr>
        <w:t>accords ad</w:t>
      </w:r>
      <w:r>
        <w:rPr>
          <w:shd w:val="clear" w:color="auto" w:fill="FFFFFF" w:themeFill="background1"/>
        </w:rPr>
        <w:t> </w:t>
      </w:r>
      <w:r w:rsidRPr="00744677">
        <w:rPr>
          <w:shd w:val="clear" w:color="auto" w:fill="FFFFFF" w:themeFill="background1"/>
        </w:rPr>
        <w:t>hoc de l</w:t>
      </w:r>
      <w:r>
        <w:rPr>
          <w:shd w:val="clear" w:color="auto" w:fill="FFFFFF" w:themeFill="background1"/>
        </w:rPr>
        <w:t>’</w:t>
      </w:r>
      <w:r w:rsidRPr="00744677">
        <w:rPr>
          <w:shd w:val="clear" w:color="auto" w:fill="FFFFFF" w:themeFill="background1"/>
        </w:rPr>
        <w:t xml:space="preserve">OMPI en matière de règlement des litiges </w:t>
      </w:r>
      <w:r>
        <w:rPr>
          <w:shd w:val="clear" w:color="auto" w:fill="FFFFFF" w:themeFill="background1"/>
        </w:rPr>
        <w:t>portant sur le droit d’auteur numérique et le transfert de contenus</w:t>
      </w:r>
      <w:r w:rsidRPr="00CA0EF6">
        <w:rPr>
          <w:shd w:val="clear" w:color="auto" w:fill="FFFFFF" w:themeFill="background1"/>
        </w:rPr>
        <w:t>.</w:t>
      </w:r>
      <w:r>
        <w:rPr>
          <w:shd w:val="clear" w:color="auto" w:fill="FFFFFF" w:themeFill="background1"/>
        </w:rPr>
        <w:t xml:space="preserve">  </w:t>
      </w:r>
      <w:r w:rsidRPr="00D0057E">
        <w:rPr>
          <w:shd w:val="clear" w:color="auto" w:fill="FFFFFF" w:themeFill="background1"/>
        </w:rPr>
        <w:t xml:space="preserve">Voir </w:t>
      </w:r>
      <w:r w:rsidR="00DF7AE6" w:rsidRPr="00DF7AE6">
        <w:rPr>
          <w:shd w:val="clear" w:color="auto" w:fill="FFFFFF" w:themeFill="background1"/>
        </w:rPr>
        <w:t>https://www.wipo.int/amc/fr/center/copyright/digitalcopyright/index.html</w:t>
      </w:r>
      <w:r w:rsidRPr="00D0057E">
        <w:rPr>
          <w:szCs w:val="18"/>
        </w:rPr>
        <w:t>.</w:t>
      </w:r>
    </w:p>
  </w:footnote>
  <w:footnote w:id="18">
    <w:p w14:paraId="45638932" w14:textId="065CBCF1" w:rsidR="005723D0" w:rsidRDefault="005723D0">
      <w:pPr>
        <w:pStyle w:val="FootnoteText"/>
      </w:pPr>
      <w:r>
        <w:rPr>
          <w:rStyle w:val="FootnoteReference"/>
        </w:rPr>
        <w:footnoteRef/>
      </w:r>
      <w:r>
        <w:t xml:space="preserve"> </w:t>
      </w:r>
      <w:r>
        <w:tab/>
        <w:t>À ce jour, le Centre travaille avec 75</w:t>
      </w:r>
      <w:r>
        <w:rPr>
          <w:spacing w:val="-2"/>
        </w:rPr>
        <w:t> </w:t>
      </w:r>
      <w:r w:rsidRPr="00921588">
        <w:rPr>
          <w:spacing w:val="-2"/>
        </w:rPr>
        <w:t>offices de propriété intellectuelle et tribunaux des pays et organisation</w:t>
      </w:r>
      <w:r>
        <w:rPr>
          <w:spacing w:val="-2"/>
        </w:rPr>
        <w:t>s</w:t>
      </w:r>
      <w:r w:rsidRPr="00921588">
        <w:rPr>
          <w:spacing w:val="-2"/>
        </w:rPr>
        <w:t xml:space="preserve"> ci</w:t>
      </w:r>
      <w:r>
        <w:rPr>
          <w:spacing w:val="-2"/>
        </w:rPr>
        <w:noBreakHyphen/>
      </w:r>
      <w:r w:rsidRPr="00921588">
        <w:rPr>
          <w:spacing w:val="-2"/>
        </w:rPr>
        <w:t>après</w:t>
      </w:r>
      <w:r>
        <w:rPr>
          <w:spacing w:val="-2"/>
        </w:rPr>
        <w:t> :</w:t>
      </w:r>
      <w:r w:rsidRPr="00921588">
        <w:rPr>
          <w:spacing w:val="-2"/>
        </w:rPr>
        <w:t xml:space="preserve"> </w:t>
      </w:r>
      <w:r w:rsidRPr="003C70B8">
        <w:rPr>
          <w:spacing w:val="-2"/>
        </w:rPr>
        <w:t>Algérie, Argentine, Australie, Bélarus, Botswana, Brésil, Bulgarie, Canada, Chili, Chine, Colombie, Costa Rica, Cuba, Égypte, El Salvador, Équateur, Espagne, États</w:t>
      </w:r>
      <w:r>
        <w:rPr>
          <w:spacing w:val="-2"/>
        </w:rPr>
        <w:noBreakHyphen/>
      </w:r>
      <w:r w:rsidRPr="003C70B8">
        <w:rPr>
          <w:spacing w:val="-2"/>
        </w:rPr>
        <w:t>Unis d</w:t>
      </w:r>
      <w:r>
        <w:rPr>
          <w:spacing w:val="-2"/>
        </w:rPr>
        <w:t>’</w:t>
      </w:r>
      <w:r w:rsidRPr="003C70B8">
        <w:rPr>
          <w:spacing w:val="-2"/>
        </w:rPr>
        <w:t xml:space="preserve">Amérique, Fédération de Russie, France, Géorgie, Grèce, Guatemala, Hongrie, Indonésie, Israël, Italie, Kazakhstan, Kenya, </w:t>
      </w:r>
      <w:r w:rsidRPr="003C70B8">
        <w:t>Kirghizistan,</w:t>
      </w:r>
      <w:r w:rsidRPr="003C70B8">
        <w:rPr>
          <w:spacing w:val="-2"/>
        </w:rPr>
        <w:t xml:space="preserve"> Lituanie, Maroc, Mexique, Nigéria, Nouvelle</w:t>
      </w:r>
      <w:r>
        <w:rPr>
          <w:spacing w:val="-2"/>
        </w:rPr>
        <w:noBreakHyphen/>
      </w:r>
      <w:r w:rsidRPr="003C70B8">
        <w:rPr>
          <w:spacing w:val="-2"/>
        </w:rPr>
        <w:t>Zélande, Paraguay, Philippines, Pologne, Qatar, République de Corée, République dominicaine, République tchèque, Roumanie, Royaume</w:t>
      </w:r>
      <w:r>
        <w:rPr>
          <w:spacing w:val="-2"/>
        </w:rPr>
        <w:noBreakHyphen/>
      </w:r>
      <w:r w:rsidRPr="003C70B8">
        <w:rPr>
          <w:spacing w:val="-2"/>
        </w:rPr>
        <w:t>Uni, Serbie, Singapour, Slovaquie, Suisse, République</w:t>
      </w:r>
      <w:r>
        <w:rPr>
          <w:spacing w:val="-2"/>
        </w:rPr>
        <w:noBreakHyphen/>
      </w:r>
      <w:r w:rsidRPr="003C70B8">
        <w:rPr>
          <w:spacing w:val="-2"/>
        </w:rPr>
        <w:t>Unie de Tanzanie, Thaïlande, Trinité</w:t>
      </w:r>
      <w:r>
        <w:rPr>
          <w:spacing w:val="-2"/>
        </w:rPr>
        <w:noBreakHyphen/>
      </w:r>
      <w:r w:rsidRPr="003C70B8">
        <w:rPr>
          <w:spacing w:val="-2"/>
        </w:rPr>
        <w:t>et</w:t>
      </w:r>
      <w:r>
        <w:rPr>
          <w:spacing w:val="-2"/>
        </w:rPr>
        <w:noBreakHyphen/>
      </w:r>
      <w:r w:rsidRPr="003C70B8">
        <w:rPr>
          <w:spacing w:val="-2"/>
        </w:rPr>
        <w:t>Tobago, Ukraine, l</w:t>
      </w:r>
      <w:r>
        <w:rPr>
          <w:spacing w:val="-2"/>
        </w:rPr>
        <w:t>’</w:t>
      </w:r>
      <w:r w:rsidRPr="003C70B8">
        <w:rPr>
          <w:spacing w:val="-2"/>
        </w:rPr>
        <w:t>Office des brevets du Conseil de coopération des États arabes du Golfe</w:t>
      </w:r>
      <w:r>
        <w:rPr>
          <w:spacing w:val="-2"/>
        </w:rPr>
        <w:t> </w:t>
      </w:r>
      <w:r w:rsidRPr="003C70B8">
        <w:rPr>
          <w:spacing w:val="-2"/>
        </w:rPr>
        <w:t>(CCG) et</w:t>
      </w:r>
      <w:r>
        <w:rPr>
          <w:spacing w:val="-2"/>
        </w:rPr>
        <w:t> </w:t>
      </w:r>
      <w:r w:rsidRPr="003C70B8">
        <w:rPr>
          <w:spacing w:val="-2"/>
        </w:rPr>
        <w:t>l</w:t>
      </w:r>
      <w:r>
        <w:rPr>
          <w:spacing w:val="-2"/>
        </w:rPr>
        <w:t>’</w:t>
      </w:r>
      <w:r w:rsidRPr="003C70B8">
        <w:rPr>
          <w:spacing w:val="-2"/>
        </w:rPr>
        <w:t>Organisation eurasienne des brevets</w:t>
      </w:r>
      <w:r>
        <w:rPr>
          <w:spacing w:val="-2"/>
        </w:rPr>
        <w:t> </w:t>
      </w:r>
      <w:r w:rsidRPr="003C70B8">
        <w:rPr>
          <w:spacing w:val="-2"/>
        </w:rPr>
        <w:t>(OEB</w:t>
      </w:r>
      <w:r>
        <w:rPr>
          <w:spacing w:val="-2"/>
        </w:rPr>
        <w:t>)</w:t>
      </w:r>
      <w:r w:rsidRPr="00921588">
        <w:rPr>
          <w:spacing w:val="-2"/>
        </w:rPr>
        <w:t>.  Voir à l</w:t>
      </w:r>
      <w:r>
        <w:rPr>
          <w:spacing w:val="-2"/>
        </w:rPr>
        <w:t>’</w:t>
      </w:r>
      <w:r w:rsidRPr="00921588">
        <w:rPr>
          <w:spacing w:val="-2"/>
        </w:rPr>
        <w:t>adresse</w:t>
      </w:r>
      <w:r w:rsidR="00DF7AE6">
        <w:rPr>
          <w:spacing w:val="-2"/>
        </w:rPr>
        <w:t> </w:t>
      </w:r>
      <w:r w:rsidR="00DF7AE6" w:rsidRPr="00DF7AE6">
        <w:rPr>
          <w:spacing w:val="-2"/>
        </w:rPr>
        <w:t>https://www.wipo.int/amc/fr/center/specific-sectors/ipoffices/index.html</w:t>
      </w:r>
      <w:r w:rsidR="00DF7AE6">
        <w:rPr>
          <w:spacing w:val="-2"/>
        </w:rPr>
        <w:t>.</w:t>
      </w:r>
    </w:p>
  </w:footnote>
  <w:footnote w:id="19">
    <w:p w14:paraId="1693101E" w14:textId="1E86EB38" w:rsidR="005723D0" w:rsidRPr="006C7091" w:rsidRDefault="005723D0" w:rsidP="008E0BF9">
      <w:pPr>
        <w:pStyle w:val="FootnoteText"/>
      </w:pPr>
      <w:r w:rsidRPr="006C7091">
        <w:rPr>
          <w:rStyle w:val="FootnoteReference"/>
        </w:rPr>
        <w:footnoteRef/>
      </w:r>
      <w:r w:rsidRPr="006C7091">
        <w:t xml:space="preserve"> </w:t>
      </w:r>
      <w:r w:rsidRPr="006C7091">
        <w:tab/>
      </w:r>
      <w:r>
        <w:t xml:space="preserve">La </w:t>
      </w:r>
      <w:r w:rsidRPr="00C8240C">
        <w:rPr>
          <w:szCs w:val="18"/>
        </w:rPr>
        <w:t>Direction nationale du Bureau du droit d</w:t>
      </w:r>
      <w:r>
        <w:rPr>
          <w:szCs w:val="18"/>
        </w:rPr>
        <w:t>’</w:t>
      </w:r>
      <w:r w:rsidRPr="00C8240C">
        <w:rPr>
          <w:szCs w:val="18"/>
        </w:rPr>
        <w:t>auteur</w:t>
      </w:r>
      <w:r>
        <w:rPr>
          <w:szCs w:val="18"/>
        </w:rPr>
        <w:t xml:space="preserve"> de l’Argentine </w:t>
      </w:r>
      <w:r w:rsidRPr="00072A2B">
        <w:rPr>
          <w:szCs w:val="18"/>
        </w:rPr>
        <w:t xml:space="preserve">(DNDA), </w:t>
      </w:r>
      <w:r>
        <w:rPr>
          <w:szCs w:val="18"/>
        </w:rPr>
        <w:t>l</w:t>
      </w:r>
      <w:r>
        <w:t>’Office de la propriété intellectuelle du Canada</w:t>
      </w:r>
      <w:r>
        <w:rPr>
          <w:szCs w:val="18"/>
        </w:rPr>
        <w:t> </w:t>
      </w:r>
      <w:r w:rsidRPr="00072A2B">
        <w:rPr>
          <w:szCs w:val="18"/>
        </w:rPr>
        <w:t>(O</w:t>
      </w:r>
      <w:r>
        <w:rPr>
          <w:szCs w:val="18"/>
        </w:rPr>
        <w:t>PIC</w:t>
      </w:r>
      <w:r w:rsidRPr="00072A2B">
        <w:rPr>
          <w:szCs w:val="18"/>
        </w:rPr>
        <w:t xml:space="preserve">), </w:t>
      </w:r>
      <w:r>
        <w:rPr>
          <w:szCs w:val="18"/>
        </w:rPr>
        <w:t>l’Institut national de la propriété industrielle du Chili </w:t>
      </w:r>
      <w:r w:rsidRPr="00072A2B">
        <w:rPr>
          <w:szCs w:val="18"/>
        </w:rPr>
        <w:t>(INAPI</w:t>
      </w:r>
      <w:r w:rsidRPr="00080A09">
        <w:rPr>
          <w:szCs w:val="18"/>
        </w:rPr>
        <w:t xml:space="preserve">), </w:t>
      </w:r>
      <w:r>
        <w:t>la Haute Cour populaire du Haïnan</w:t>
      </w:r>
      <w:r>
        <w:rPr>
          <w:szCs w:val="18"/>
        </w:rPr>
        <w:t> </w:t>
      </w:r>
      <w:r>
        <w:t xml:space="preserve">(Chine), </w:t>
      </w:r>
      <w:r>
        <w:rPr>
          <w:szCs w:val="18"/>
        </w:rPr>
        <w:t>l</w:t>
      </w:r>
      <w:r w:rsidRPr="00080A09">
        <w:rPr>
          <w:szCs w:val="18"/>
        </w:rPr>
        <w:t>e Minist</w:t>
      </w:r>
      <w:r>
        <w:rPr>
          <w:szCs w:val="18"/>
        </w:rPr>
        <w:t>ère égyptien de la justice</w:t>
      </w:r>
      <w:r w:rsidRPr="00080A09">
        <w:rPr>
          <w:szCs w:val="18"/>
        </w:rPr>
        <w:t xml:space="preserve">, </w:t>
      </w:r>
      <w:r>
        <w:rPr>
          <w:szCs w:val="18"/>
        </w:rPr>
        <w:t>l’Office des brevets du CCG,</w:t>
      </w:r>
      <w:r w:rsidRPr="00072A2B">
        <w:rPr>
          <w:szCs w:val="18"/>
        </w:rPr>
        <w:t xml:space="preserve"> </w:t>
      </w:r>
      <w:r>
        <w:rPr>
          <w:szCs w:val="18"/>
        </w:rPr>
        <w:t>l</w:t>
      </w:r>
      <w:r w:rsidRPr="00072A2B">
        <w:rPr>
          <w:szCs w:val="18"/>
        </w:rPr>
        <w:t xml:space="preserve">e </w:t>
      </w:r>
      <w:r w:rsidRPr="007F6449">
        <w:rPr>
          <w:szCs w:val="18"/>
        </w:rPr>
        <w:t>Centre national de la propriété intellectuelle de</w:t>
      </w:r>
      <w:r>
        <w:rPr>
          <w:szCs w:val="18"/>
        </w:rPr>
        <w:t xml:space="preserve"> la</w:t>
      </w:r>
      <w:r w:rsidRPr="007F6449">
        <w:rPr>
          <w:szCs w:val="18"/>
        </w:rPr>
        <w:t xml:space="preserve"> Géorgie</w:t>
      </w:r>
      <w:r>
        <w:rPr>
          <w:szCs w:val="18"/>
        </w:rPr>
        <w:t> </w:t>
      </w:r>
      <w:r w:rsidRPr="00072A2B">
        <w:rPr>
          <w:szCs w:val="18"/>
        </w:rPr>
        <w:t xml:space="preserve">(SAKPATENTI), </w:t>
      </w:r>
      <w:r w:rsidRPr="007F6449">
        <w:rPr>
          <w:szCs w:val="18"/>
        </w:rPr>
        <w:t>l</w:t>
      </w:r>
      <w:r>
        <w:rPr>
          <w:szCs w:val="18"/>
        </w:rPr>
        <w:t>e Bureau hellénique du</w:t>
      </w:r>
      <w:r w:rsidRPr="007F6449">
        <w:rPr>
          <w:szCs w:val="18"/>
        </w:rPr>
        <w:t xml:space="preserve"> droit d</w:t>
      </w:r>
      <w:r>
        <w:rPr>
          <w:szCs w:val="18"/>
        </w:rPr>
        <w:t>’</w:t>
      </w:r>
      <w:r w:rsidRPr="007F6449">
        <w:rPr>
          <w:szCs w:val="18"/>
        </w:rPr>
        <w:t>auteur</w:t>
      </w:r>
      <w:r>
        <w:rPr>
          <w:szCs w:val="18"/>
        </w:rPr>
        <w:t> </w:t>
      </w:r>
      <w:r w:rsidRPr="00072A2B">
        <w:rPr>
          <w:szCs w:val="18"/>
        </w:rPr>
        <w:t xml:space="preserve">(HCO), </w:t>
      </w:r>
      <w:r>
        <w:rPr>
          <w:szCs w:val="18"/>
        </w:rPr>
        <w:t xml:space="preserve">le </w:t>
      </w:r>
      <w:r w:rsidRPr="007F6449">
        <w:rPr>
          <w:szCs w:val="18"/>
        </w:rPr>
        <w:t>Registre des droits de propriété intellectuelle du Guatemala</w:t>
      </w:r>
      <w:r>
        <w:rPr>
          <w:szCs w:val="18"/>
        </w:rPr>
        <w:t> </w:t>
      </w:r>
      <w:r w:rsidRPr="00072A2B">
        <w:rPr>
          <w:szCs w:val="18"/>
        </w:rPr>
        <w:t xml:space="preserve">(RPI), </w:t>
      </w:r>
      <w:r>
        <w:rPr>
          <w:szCs w:val="18"/>
        </w:rPr>
        <w:t>l’</w:t>
      </w:r>
      <w:r w:rsidRPr="00B00ABE">
        <w:rPr>
          <w:szCs w:val="18"/>
        </w:rPr>
        <w:t>Office de la propriété intellectuelle de la Nouvelle</w:t>
      </w:r>
      <w:r>
        <w:rPr>
          <w:szCs w:val="18"/>
        </w:rPr>
        <w:noBreakHyphen/>
      </w:r>
      <w:r w:rsidRPr="00B00ABE">
        <w:rPr>
          <w:szCs w:val="18"/>
        </w:rPr>
        <w:t>Zélande</w:t>
      </w:r>
      <w:r>
        <w:rPr>
          <w:szCs w:val="18"/>
        </w:rPr>
        <w:t> </w:t>
      </w:r>
      <w:r w:rsidRPr="00072A2B">
        <w:rPr>
          <w:szCs w:val="18"/>
        </w:rPr>
        <w:t xml:space="preserve">(IPONZ), </w:t>
      </w:r>
      <w:r>
        <w:rPr>
          <w:szCs w:val="18"/>
        </w:rPr>
        <w:t>l’</w:t>
      </w:r>
      <w:r w:rsidRPr="00B00ABE">
        <w:rPr>
          <w:szCs w:val="18"/>
        </w:rPr>
        <w:t>Institut national pour la défense de la concurrence et la protection de la propriété intellectuelle du Pérou</w:t>
      </w:r>
      <w:r>
        <w:rPr>
          <w:szCs w:val="18"/>
        </w:rPr>
        <w:t> </w:t>
      </w:r>
      <w:r w:rsidRPr="00B00ABE">
        <w:rPr>
          <w:szCs w:val="18"/>
        </w:rPr>
        <w:t>(INDECOPI)</w:t>
      </w:r>
      <w:r w:rsidRPr="00080A09">
        <w:rPr>
          <w:szCs w:val="18"/>
        </w:rPr>
        <w:t xml:space="preserve">, </w:t>
      </w:r>
      <w:r>
        <w:rPr>
          <w:szCs w:val="18"/>
        </w:rPr>
        <w:t>l</w:t>
      </w:r>
      <w:r w:rsidRPr="00080A09">
        <w:rPr>
          <w:szCs w:val="18"/>
        </w:rPr>
        <w:t>e Minist</w:t>
      </w:r>
      <w:r>
        <w:rPr>
          <w:szCs w:val="18"/>
        </w:rPr>
        <w:t>ère</w:t>
      </w:r>
      <w:r w:rsidRPr="00080A09">
        <w:rPr>
          <w:szCs w:val="18"/>
        </w:rPr>
        <w:t xml:space="preserve"> </w:t>
      </w:r>
      <w:r>
        <w:rPr>
          <w:szCs w:val="18"/>
        </w:rPr>
        <w:t>du</w:t>
      </w:r>
      <w:r w:rsidRPr="00080A09">
        <w:rPr>
          <w:szCs w:val="18"/>
        </w:rPr>
        <w:t xml:space="preserve"> </w:t>
      </w:r>
      <w:r>
        <w:rPr>
          <w:szCs w:val="18"/>
        </w:rPr>
        <w:t>c</w:t>
      </w:r>
      <w:r w:rsidRPr="00080A09">
        <w:rPr>
          <w:szCs w:val="18"/>
        </w:rPr>
        <w:t xml:space="preserve">ommerce </w:t>
      </w:r>
      <w:r>
        <w:rPr>
          <w:szCs w:val="18"/>
        </w:rPr>
        <w:t>et de l’i</w:t>
      </w:r>
      <w:r w:rsidRPr="00080A09">
        <w:rPr>
          <w:szCs w:val="18"/>
        </w:rPr>
        <w:t>ndustr</w:t>
      </w:r>
      <w:r>
        <w:rPr>
          <w:szCs w:val="18"/>
        </w:rPr>
        <w:t>ie du</w:t>
      </w:r>
      <w:r w:rsidRPr="00080A09">
        <w:rPr>
          <w:szCs w:val="18"/>
        </w:rPr>
        <w:t xml:space="preserve"> Qatar, </w:t>
      </w:r>
      <w:r>
        <w:rPr>
          <w:szCs w:val="18"/>
        </w:rPr>
        <w:t>l’Office de la propriété industrielle de la République slovaque </w:t>
      </w:r>
      <w:r w:rsidRPr="00080A09">
        <w:rPr>
          <w:szCs w:val="18"/>
        </w:rPr>
        <w:t>(IPO SK)</w:t>
      </w:r>
      <w:r>
        <w:rPr>
          <w:szCs w:val="18"/>
        </w:rPr>
        <w:t xml:space="preserve"> et l’USPTO</w:t>
      </w:r>
      <w:r>
        <w:t>.</w:t>
      </w:r>
    </w:p>
  </w:footnote>
  <w:footnote w:id="20">
    <w:p w14:paraId="22DE1748" w14:textId="2F6E5252" w:rsidR="005723D0" w:rsidRDefault="005723D0">
      <w:pPr>
        <w:pStyle w:val="FootnoteText"/>
      </w:pPr>
      <w:r>
        <w:rPr>
          <w:rStyle w:val="FootnoteReference"/>
        </w:rPr>
        <w:footnoteRef/>
      </w:r>
      <w:r>
        <w:t xml:space="preserve"> </w:t>
      </w:r>
      <w:r>
        <w:tab/>
      </w:r>
      <w:r w:rsidRPr="006C7091">
        <w:t xml:space="preserve">Pour des exemples de manifestations organisées par le Centre en collaboration avec les offices de propriété intellectuelle, voir </w:t>
      </w:r>
      <w:r w:rsidR="00D94EC9" w:rsidRPr="00D94EC9">
        <w:t>https://www.wipo.int/amc/fr/center/specific-sectors/ipoffices/index.html</w:t>
      </w:r>
      <w:r>
        <w:t>.</w:t>
      </w:r>
    </w:p>
  </w:footnote>
  <w:footnote w:id="21">
    <w:p w14:paraId="3D2FEA77" w14:textId="3DB1EEC5" w:rsidR="005723D0" w:rsidRPr="006C7091" w:rsidRDefault="005723D0" w:rsidP="008E0BF9">
      <w:pPr>
        <w:pStyle w:val="FootnoteText"/>
      </w:pPr>
      <w:r w:rsidRPr="006C7091">
        <w:rPr>
          <w:rStyle w:val="FootnoteReference"/>
        </w:rPr>
        <w:footnoteRef/>
      </w:r>
      <w:r w:rsidRPr="006C7091">
        <w:t xml:space="preserve"> </w:t>
      </w:r>
      <w:r w:rsidRPr="006C7091">
        <w:tab/>
      </w:r>
      <w:r w:rsidRPr="00797A13">
        <w:rPr>
          <w:spacing w:val="-2"/>
        </w:rPr>
        <w:t>Par exemple, dans le cadre de sa collaboration avec l</w:t>
      </w:r>
      <w:r>
        <w:rPr>
          <w:spacing w:val="-2"/>
        </w:rPr>
        <w:t>’</w:t>
      </w:r>
      <w:r w:rsidRPr="00797A13">
        <w:rPr>
          <w:spacing w:val="-2"/>
        </w:rPr>
        <w:t>Office de la propriété intellectuelle de Singapour</w:t>
      </w:r>
      <w:r>
        <w:rPr>
          <w:spacing w:val="-2"/>
        </w:rPr>
        <w:t> </w:t>
      </w:r>
      <w:r w:rsidRPr="00797A13">
        <w:rPr>
          <w:spacing w:val="-2"/>
        </w:rPr>
        <w:t>(IPOS), le Centre a participé à l</w:t>
      </w:r>
      <w:r>
        <w:rPr>
          <w:spacing w:val="-2"/>
        </w:rPr>
        <w:t>’</w:t>
      </w:r>
      <w:r w:rsidRPr="00797A13">
        <w:rPr>
          <w:spacing w:val="-2"/>
        </w:rPr>
        <w:t>élaboration d</w:t>
      </w:r>
      <w:r>
        <w:rPr>
          <w:spacing w:val="-2"/>
        </w:rPr>
        <w:t>’</w:t>
      </w:r>
      <w:r w:rsidRPr="00797A13">
        <w:rPr>
          <w:spacing w:val="-2"/>
        </w:rPr>
        <w:t>un système de médiation pour les litiges en matière de marques et de brevets, ainsi que d</w:t>
      </w:r>
      <w:r>
        <w:rPr>
          <w:spacing w:val="-2"/>
        </w:rPr>
        <w:t>’</w:t>
      </w:r>
      <w:r w:rsidRPr="00797A13">
        <w:rPr>
          <w:spacing w:val="-2"/>
        </w:rPr>
        <w:t>une procédure d</w:t>
      </w:r>
      <w:r>
        <w:rPr>
          <w:spacing w:val="-2"/>
        </w:rPr>
        <w:t>’</w:t>
      </w:r>
      <w:r w:rsidRPr="00797A13">
        <w:rPr>
          <w:spacing w:val="-2"/>
        </w:rPr>
        <w:t>expertise pour les procédures en matière de brevets devant l</w:t>
      </w:r>
      <w:r>
        <w:rPr>
          <w:spacing w:val="-2"/>
        </w:rPr>
        <w:t>’</w:t>
      </w:r>
      <w:r w:rsidRPr="00797A13">
        <w:rPr>
          <w:spacing w:val="-2"/>
        </w:rPr>
        <w:t>IPOS, qu</w:t>
      </w:r>
      <w:r>
        <w:rPr>
          <w:spacing w:val="-2"/>
        </w:rPr>
        <w:t>’</w:t>
      </w:r>
      <w:r w:rsidRPr="00797A13">
        <w:rPr>
          <w:spacing w:val="-2"/>
        </w:rPr>
        <w:t>il instruit, et des outils d</w:t>
      </w:r>
      <w:r>
        <w:rPr>
          <w:spacing w:val="-2"/>
        </w:rPr>
        <w:t>’</w:t>
      </w:r>
      <w:r w:rsidRPr="00797A13">
        <w:rPr>
          <w:spacing w:val="-2"/>
        </w:rPr>
        <w:t>administration des litiges en ligne.  Des résumés d</w:t>
      </w:r>
      <w:r>
        <w:rPr>
          <w:spacing w:val="-2"/>
        </w:rPr>
        <w:t>’</w:t>
      </w:r>
      <w:r w:rsidRPr="00797A13">
        <w:rPr>
          <w:spacing w:val="-2"/>
        </w:rPr>
        <w:t>exemples de litiges peuvent être consultés à l</w:t>
      </w:r>
      <w:r>
        <w:rPr>
          <w:spacing w:val="-2"/>
        </w:rPr>
        <w:t>’</w:t>
      </w:r>
      <w:r w:rsidRPr="00797A13">
        <w:rPr>
          <w:spacing w:val="-2"/>
        </w:rPr>
        <w:t xml:space="preserve">adresse </w:t>
      </w:r>
      <w:r w:rsidRPr="00797A13">
        <w:rPr>
          <w:spacing w:val="-2"/>
          <w:szCs w:val="22"/>
        </w:rPr>
        <w:t>https://www.ipos.gov.sg/docs/default</w:t>
      </w:r>
      <w:r>
        <w:rPr>
          <w:spacing w:val="-2"/>
          <w:szCs w:val="22"/>
        </w:rPr>
        <w:noBreakHyphen/>
      </w:r>
      <w:r w:rsidRPr="00797A13">
        <w:rPr>
          <w:spacing w:val="-2"/>
          <w:szCs w:val="22"/>
        </w:rPr>
        <w:t>source/protecting</w:t>
      </w:r>
      <w:r>
        <w:rPr>
          <w:spacing w:val="-2"/>
          <w:szCs w:val="22"/>
        </w:rPr>
        <w:noBreakHyphen/>
      </w:r>
      <w:r w:rsidRPr="00797A13">
        <w:rPr>
          <w:spacing w:val="-2"/>
          <w:szCs w:val="22"/>
        </w:rPr>
        <w:t>your</w:t>
      </w:r>
      <w:r>
        <w:rPr>
          <w:spacing w:val="-2"/>
          <w:szCs w:val="22"/>
        </w:rPr>
        <w:noBreakHyphen/>
      </w:r>
      <w:r w:rsidRPr="00797A13">
        <w:rPr>
          <w:spacing w:val="-2"/>
          <w:szCs w:val="22"/>
        </w:rPr>
        <w:t>ideas/hearings</w:t>
      </w:r>
      <w:r>
        <w:rPr>
          <w:spacing w:val="-2"/>
          <w:szCs w:val="22"/>
        </w:rPr>
        <w:noBreakHyphen/>
      </w:r>
      <w:r w:rsidRPr="00797A13">
        <w:rPr>
          <w:spacing w:val="-2"/>
          <w:szCs w:val="22"/>
        </w:rPr>
        <w:t>mediation/mediation</w:t>
      </w:r>
      <w:r>
        <w:rPr>
          <w:spacing w:val="-2"/>
          <w:szCs w:val="22"/>
        </w:rPr>
        <w:noBreakHyphen/>
      </w:r>
      <w:r w:rsidRPr="00797A13">
        <w:rPr>
          <w:spacing w:val="-2"/>
          <w:szCs w:val="22"/>
        </w:rPr>
        <w:t>at</w:t>
      </w:r>
      <w:r>
        <w:rPr>
          <w:spacing w:val="-2"/>
          <w:szCs w:val="22"/>
        </w:rPr>
        <w:noBreakHyphen/>
      </w:r>
      <w:r w:rsidRPr="00797A13">
        <w:rPr>
          <w:spacing w:val="-2"/>
          <w:szCs w:val="22"/>
        </w:rPr>
        <w:t>ipos</w:t>
      </w:r>
      <w:r>
        <w:rPr>
          <w:spacing w:val="-2"/>
          <w:szCs w:val="22"/>
        </w:rPr>
        <w:noBreakHyphen/>
      </w:r>
      <w:r w:rsidRPr="00797A13">
        <w:rPr>
          <w:spacing w:val="-2"/>
          <w:szCs w:val="22"/>
        </w:rPr>
        <w:t xml:space="preserve">(emps).pdf. </w:t>
      </w:r>
      <w:r w:rsidRPr="00797A13">
        <w:rPr>
          <w:spacing w:val="-2"/>
        </w:rPr>
        <w:t xml:space="preserve"> Le Centre collabore également avec l</w:t>
      </w:r>
      <w:r>
        <w:rPr>
          <w:spacing w:val="-2"/>
        </w:rPr>
        <w:t>’</w:t>
      </w:r>
      <w:r w:rsidRPr="00797A13">
        <w:rPr>
          <w:spacing w:val="-2"/>
        </w:rPr>
        <w:t>Office de la propriété intellectuelle des Philippines</w:t>
      </w:r>
      <w:r>
        <w:rPr>
          <w:spacing w:val="-2"/>
        </w:rPr>
        <w:t> </w:t>
      </w:r>
      <w:r w:rsidRPr="00797A13">
        <w:rPr>
          <w:spacing w:val="-2"/>
        </w:rPr>
        <w:t>(IPOPHL) concernant l</w:t>
      </w:r>
      <w:r>
        <w:rPr>
          <w:spacing w:val="-2"/>
        </w:rPr>
        <w:t>’</w:t>
      </w:r>
      <w:r w:rsidRPr="00797A13">
        <w:rPr>
          <w:spacing w:val="-2"/>
        </w:rPr>
        <w:t xml:space="preserve">administration des procédures de médiation portant sur des droits de propriété intellectuelle aux Philippines, </w:t>
      </w:r>
      <w:r>
        <w:rPr>
          <w:spacing w:val="-2"/>
        </w:rPr>
        <w:t>y compris</w:t>
      </w:r>
      <w:r w:rsidRPr="00797A13">
        <w:rPr>
          <w:spacing w:val="-2"/>
        </w:rPr>
        <w:t xml:space="preserve"> récemment </w:t>
      </w:r>
      <w:r w:rsidRPr="00797A13">
        <w:rPr>
          <w:spacing w:val="-2"/>
          <w:szCs w:val="18"/>
        </w:rPr>
        <w:t>dans le cadre du mécanisme de médiation aux fins du règlement extrajudiciaire des litiges mis en place par l</w:t>
      </w:r>
      <w:r>
        <w:rPr>
          <w:spacing w:val="-2"/>
          <w:szCs w:val="18"/>
        </w:rPr>
        <w:t>’</w:t>
      </w:r>
      <w:r w:rsidRPr="00797A13">
        <w:rPr>
          <w:spacing w:val="-2"/>
          <w:szCs w:val="18"/>
        </w:rPr>
        <w:t>IPOPHL</w:t>
      </w:r>
      <w:r>
        <w:rPr>
          <w:spacing w:val="-2"/>
          <w:szCs w:val="18"/>
        </w:rPr>
        <w:t>,</w:t>
      </w:r>
      <w:r w:rsidRPr="00021CFD">
        <w:rPr>
          <w:szCs w:val="18"/>
        </w:rPr>
        <w:t xml:space="preserve"> </w:t>
      </w:r>
      <w:r>
        <w:rPr>
          <w:szCs w:val="18"/>
        </w:rPr>
        <w:t>et administre les litiges soumis à la médiation de l’OMPI dans le cadre de cette collaboration</w:t>
      </w:r>
      <w:r w:rsidRPr="00797A13">
        <w:rPr>
          <w:spacing w:val="-2"/>
        </w:rPr>
        <w:t>.  La Commission des audiences et recours en matière de marques</w:t>
      </w:r>
      <w:r>
        <w:rPr>
          <w:spacing w:val="-2"/>
        </w:rPr>
        <w:t> </w:t>
      </w:r>
      <w:r w:rsidRPr="00797A13">
        <w:rPr>
          <w:spacing w:val="-2"/>
        </w:rPr>
        <w:t>(TTAB) et la Commission des audiences et recours en matière de brevets</w:t>
      </w:r>
      <w:r w:rsidR="002347BC">
        <w:rPr>
          <w:spacing w:val="-2"/>
        </w:rPr>
        <w:t> </w:t>
      </w:r>
      <w:r w:rsidRPr="00797A13">
        <w:rPr>
          <w:spacing w:val="-2"/>
        </w:rPr>
        <w:t>(PTAB) de l</w:t>
      </w:r>
      <w:r>
        <w:rPr>
          <w:spacing w:val="-2"/>
        </w:rPr>
        <w:t>’</w:t>
      </w:r>
      <w:r w:rsidRPr="00797A13">
        <w:rPr>
          <w:spacing w:val="-2"/>
        </w:rPr>
        <w:t>USPTO encouragent les parties à envisager les modes extrajudiciaires pour régler les questions soulevées dans le cadre de ces procédures.  Le Centre figure sur la liste des prestataires de services de règlement des litiges.  Dans le cadre de sa collaboration avec l</w:t>
      </w:r>
      <w:r>
        <w:rPr>
          <w:spacing w:val="-2"/>
        </w:rPr>
        <w:t>’</w:t>
      </w:r>
      <w:r w:rsidRPr="00797A13">
        <w:rPr>
          <w:spacing w:val="-2"/>
        </w:rPr>
        <w:t>Office</w:t>
      </w:r>
      <w:r>
        <w:rPr>
          <w:spacing w:val="-2"/>
        </w:rPr>
        <w:t xml:space="preserve"> polonais</w:t>
      </w:r>
      <w:r w:rsidRPr="00797A13">
        <w:rPr>
          <w:spacing w:val="-2"/>
        </w:rPr>
        <w:t xml:space="preserve"> des brevets, le Centre a participé à l</w:t>
      </w:r>
      <w:r>
        <w:rPr>
          <w:spacing w:val="-2"/>
        </w:rPr>
        <w:t>’</w:t>
      </w:r>
      <w:r w:rsidRPr="00797A13">
        <w:rPr>
          <w:spacing w:val="-2"/>
        </w:rPr>
        <w:t>élaboration d</w:t>
      </w:r>
      <w:r>
        <w:rPr>
          <w:spacing w:val="-2"/>
        </w:rPr>
        <w:t>’</w:t>
      </w:r>
      <w:r w:rsidRPr="00797A13">
        <w:rPr>
          <w:spacing w:val="-2"/>
        </w:rPr>
        <w:t>une procédure de médiation de l</w:t>
      </w:r>
      <w:r>
        <w:rPr>
          <w:spacing w:val="-2"/>
        </w:rPr>
        <w:t>’</w:t>
      </w:r>
      <w:r w:rsidRPr="00797A13">
        <w:rPr>
          <w:spacing w:val="-2"/>
        </w:rPr>
        <w:t xml:space="preserve">OMPI désormais disponible pour les oppositions en matière de marques dont il était saisi.  </w:t>
      </w:r>
      <w:r>
        <w:rPr>
          <w:spacing w:val="-2"/>
        </w:rPr>
        <w:t xml:space="preserve">Plus récemment, </w:t>
      </w:r>
      <w:r>
        <w:rPr>
          <w:spacing w:val="-2"/>
          <w:szCs w:val="18"/>
        </w:rPr>
        <w:t>d</w:t>
      </w:r>
      <w:r w:rsidRPr="00797A13">
        <w:rPr>
          <w:spacing w:val="-2"/>
          <w:szCs w:val="18"/>
        </w:rPr>
        <w:t>ans le cadre de la collaboration entre le Centre et l</w:t>
      </w:r>
      <w:r>
        <w:rPr>
          <w:spacing w:val="-2"/>
          <w:szCs w:val="18"/>
        </w:rPr>
        <w:t>’</w:t>
      </w:r>
      <w:r w:rsidRPr="00797A13">
        <w:rPr>
          <w:spacing w:val="-2"/>
          <w:szCs w:val="18"/>
        </w:rPr>
        <w:t>Office marocain de la propriété industrielle et commerciale</w:t>
      </w:r>
      <w:r w:rsidR="002347BC">
        <w:rPr>
          <w:spacing w:val="-2"/>
        </w:rPr>
        <w:t> </w:t>
      </w:r>
      <w:r w:rsidRPr="00797A13">
        <w:rPr>
          <w:spacing w:val="-2"/>
          <w:szCs w:val="18"/>
        </w:rPr>
        <w:t>(OMPIC), le Centre et l</w:t>
      </w:r>
      <w:r>
        <w:rPr>
          <w:spacing w:val="-2"/>
          <w:szCs w:val="18"/>
        </w:rPr>
        <w:t>’</w:t>
      </w:r>
      <w:r w:rsidRPr="00797A13">
        <w:rPr>
          <w:spacing w:val="-2"/>
          <w:szCs w:val="18"/>
        </w:rPr>
        <w:t>OMPIC ont élaboré une procédure de médiation pour les litiges en matière de propriété</w:t>
      </w:r>
      <w:r w:rsidRPr="007B7E7E">
        <w:rPr>
          <w:szCs w:val="18"/>
        </w:rPr>
        <w:t xml:space="preserve"> intellectuelle et de technologie, coadministrée par le Centre et l</w:t>
      </w:r>
      <w:r>
        <w:rPr>
          <w:szCs w:val="18"/>
        </w:rPr>
        <w:t>’</w:t>
      </w:r>
      <w:r w:rsidRPr="007B7E7E">
        <w:rPr>
          <w:szCs w:val="18"/>
        </w:rPr>
        <w:t>OMPIC.</w:t>
      </w:r>
    </w:p>
  </w:footnote>
  <w:footnote w:id="22">
    <w:p w14:paraId="7242B1BE" w14:textId="78D39785" w:rsidR="005723D0" w:rsidRPr="006C7091" w:rsidRDefault="005723D0" w:rsidP="008E0BF9">
      <w:pPr>
        <w:pStyle w:val="FootnoteText"/>
      </w:pPr>
      <w:r w:rsidRPr="006C7091">
        <w:rPr>
          <w:rStyle w:val="FootnoteReference"/>
        </w:rPr>
        <w:footnoteRef/>
      </w:r>
      <w:r w:rsidRPr="006C7091">
        <w:t xml:space="preserve"> </w:t>
      </w:r>
      <w:r w:rsidRPr="006C7091">
        <w:tab/>
      </w:r>
      <w:r>
        <w:t xml:space="preserve">Par exemple, </w:t>
      </w:r>
      <w:r w:rsidRPr="006C7091">
        <w:t xml:space="preserve">le Centre </w:t>
      </w:r>
      <w:r>
        <w:t>a poursuivi l’élaboration d’outils d’administration des litiges en ligne tels que</w:t>
      </w:r>
      <w:r w:rsidRPr="003A7986">
        <w:rPr>
          <w:shd w:val="clear" w:color="auto" w:fill="FFFFFF" w:themeFill="background1"/>
        </w:rPr>
        <w:t xml:space="preserve"> </w:t>
      </w:r>
      <w:r>
        <w:rPr>
          <w:shd w:val="clear" w:color="auto" w:fill="FFFFFF" w:themeFill="background1"/>
        </w:rPr>
        <w:t>des outils</w:t>
      </w:r>
      <w:r w:rsidRPr="009017CB">
        <w:t xml:space="preserve"> de vidéoconférence et de suivi pour coadministrer les procédures de conciliation devant la</w:t>
      </w:r>
      <w:r>
        <w:t> DNDA</w:t>
      </w:r>
      <w:r w:rsidRPr="009017CB">
        <w:t xml:space="preserve"> de </w:t>
      </w:r>
      <w:r>
        <w:t xml:space="preserve">la </w:t>
      </w:r>
      <w:r w:rsidRPr="009017CB">
        <w:t>Colombie et l</w:t>
      </w:r>
      <w:r>
        <w:t>’</w:t>
      </w:r>
      <w:r w:rsidRPr="009017CB">
        <w:t>INDAUTOR</w:t>
      </w:r>
      <w:r>
        <w:t xml:space="preserve"> du Mexique, respectivement</w:t>
      </w:r>
      <w:r w:rsidRPr="009017CB">
        <w:t xml:space="preserve"> </w:t>
      </w:r>
      <w:r>
        <w:t>(vo</w:t>
      </w:r>
      <w:r w:rsidRPr="006C7091">
        <w:t xml:space="preserve">ir </w:t>
      </w:r>
      <w:r>
        <w:t xml:space="preserve">à l’adresse </w:t>
      </w:r>
      <w:r w:rsidRPr="00921588">
        <w:t>https://www.wipo.int/amc/en/center/specific</w:t>
      </w:r>
      <w:r>
        <w:noBreakHyphen/>
      </w:r>
      <w:r w:rsidRPr="00921588">
        <w:t>sectors/ipoffices/mexico/indautor</w:t>
      </w:r>
      <w:r>
        <w:t>)</w:t>
      </w:r>
      <w:r w:rsidRPr="006C7091">
        <w:t>.</w:t>
      </w:r>
      <w:r>
        <w:t xml:space="preserve">  L</w:t>
      </w:r>
      <w:r w:rsidRPr="003A7986">
        <w:rPr>
          <w:shd w:val="clear" w:color="auto" w:fill="FFFFFF" w:themeFill="background1"/>
        </w:rPr>
        <w:t>e Cent</w:t>
      </w:r>
      <w:r>
        <w:rPr>
          <w:shd w:val="clear" w:color="auto" w:fill="FFFFFF" w:themeFill="background1"/>
        </w:rPr>
        <w:t>re travaille actuellement avec d’autres Offices supplémentaires de propriété intellectuelle</w:t>
      </w:r>
      <w:r w:rsidRPr="003A7986">
        <w:rPr>
          <w:shd w:val="clear" w:color="auto" w:fill="FFFFFF" w:themeFill="background1"/>
        </w:rPr>
        <w:t xml:space="preserve"> </w:t>
      </w:r>
      <w:r>
        <w:rPr>
          <w:shd w:val="clear" w:color="auto" w:fill="FFFFFF" w:themeFill="background1"/>
        </w:rPr>
        <w:t>des États membres</w:t>
      </w:r>
      <w:r w:rsidRPr="003A7986">
        <w:rPr>
          <w:shd w:val="clear" w:color="auto" w:fill="FFFFFF" w:themeFill="background1"/>
        </w:rPr>
        <w:t xml:space="preserve">, </w:t>
      </w:r>
      <w:r>
        <w:rPr>
          <w:shd w:val="clear" w:color="auto" w:fill="FFFFFF" w:themeFill="background1"/>
        </w:rPr>
        <w:t>dont le Registre des droits de propriété intellectuelle du Guatemala</w:t>
      </w:r>
      <w:r w:rsidR="002347BC">
        <w:rPr>
          <w:spacing w:val="-2"/>
        </w:rPr>
        <w:t> </w:t>
      </w:r>
      <w:r w:rsidRPr="003A7986">
        <w:rPr>
          <w:shd w:val="clear" w:color="auto" w:fill="FFFFFF" w:themeFill="background1"/>
        </w:rPr>
        <w:t xml:space="preserve">(RPI), </w:t>
      </w:r>
      <w:r>
        <w:rPr>
          <w:shd w:val="clear" w:color="auto" w:fill="FFFFFF" w:themeFill="background1"/>
        </w:rPr>
        <w:t>la Direction n</w:t>
      </w:r>
      <w:r w:rsidRPr="003A7986">
        <w:rPr>
          <w:shd w:val="clear" w:color="auto" w:fill="FFFFFF" w:themeFill="background1"/>
        </w:rPr>
        <w:t>ational</w:t>
      </w:r>
      <w:r>
        <w:rPr>
          <w:shd w:val="clear" w:color="auto" w:fill="FFFFFF" w:themeFill="background1"/>
        </w:rPr>
        <w:t>e de la propriété intellectuelle du</w:t>
      </w:r>
      <w:r w:rsidRPr="003A7986">
        <w:rPr>
          <w:shd w:val="clear" w:color="auto" w:fill="FFFFFF" w:themeFill="background1"/>
        </w:rPr>
        <w:t xml:space="preserve"> Paraguay</w:t>
      </w:r>
      <w:r w:rsidR="002347BC">
        <w:rPr>
          <w:spacing w:val="-2"/>
        </w:rPr>
        <w:t> </w:t>
      </w:r>
      <w:r w:rsidRPr="003A7986">
        <w:rPr>
          <w:shd w:val="clear" w:color="auto" w:fill="FFFFFF" w:themeFill="background1"/>
        </w:rPr>
        <w:t xml:space="preserve">(DINAPI) </w:t>
      </w:r>
      <w:r>
        <w:rPr>
          <w:shd w:val="clear" w:color="auto" w:fill="FFFFFF" w:themeFill="background1"/>
        </w:rPr>
        <w:t>et</w:t>
      </w:r>
      <w:r w:rsidRPr="003A7986">
        <w:rPr>
          <w:shd w:val="clear" w:color="auto" w:fill="FFFFFF" w:themeFill="background1"/>
        </w:rPr>
        <w:t xml:space="preserve"> </w:t>
      </w:r>
      <w:r>
        <w:rPr>
          <w:shd w:val="clear" w:color="auto" w:fill="FFFFFF" w:themeFill="background1"/>
        </w:rPr>
        <w:t>la Société du droit d’auteur de la République</w:t>
      </w:r>
      <w:r>
        <w:rPr>
          <w:shd w:val="clear" w:color="auto" w:fill="FFFFFF" w:themeFill="background1"/>
        </w:rPr>
        <w:noBreakHyphen/>
        <w:t>Unie de</w:t>
      </w:r>
      <w:r w:rsidRPr="003A7986">
        <w:rPr>
          <w:shd w:val="clear" w:color="auto" w:fill="FFFFFF" w:themeFill="background1"/>
        </w:rPr>
        <w:t xml:space="preserve"> Tanzani</w:t>
      </w:r>
      <w:r>
        <w:rPr>
          <w:shd w:val="clear" w:color="auto" w:fill="FFFFFF" w:themeFill="background1"/>
        </w:rPr>
        <w:t>e</w:t>
      </w:r>
      <w:r w:rsidR="002347BC">
        <w:rPr>
          <w:spacing w:val="-2"/>
        </w:rPr>
        <w:t> </w:t>
      </w:r>
      <w:r w:rsidRPr="003A7986">
        <w:rPr>
          <w:shd w:val="clear" w:color="auto" w:fill="FFFFFF" w:themeFill="background1"/>
        </w:rPr>
        <w:t xml:space="preserve">(COSOTA) </w:t>
      </w:r>
      <w:r>
        <w:rPr>
          <w:shd w:val="clear" w:color="auto" w:fill="FFFFFF" w:themeFill="background1"/>
        </w:rPr>
        <w:t>afin de fournir des services du même type</w:t>
      </w:r>
      <w:r w:rsidRPr="003A7986">
        <w:rPr>
          <w:shd w:val="clear" w:color="auto" w:fill="FFFFFF" w:themeFill="background1"/>
        </w:rPr>
        <w:t xml:space="preserve">. </w:t>
      </w:r>
      <w:r>
        <w:rPr>
          <w:shd w:val="clear" w:color="auto" w:fill="FFFFFF" w:themeFill="background1"/>
        </w:rPr>
        <w:t xml:space="preserve"> L</w:t>
      </w:r>
      <w:r w:rsidRPr="003A7986">
        <w:rPr>
          <w:shd w:val="clear" w:color="auto" w:fill="FFFFFF" w:themeFill="background1"/>
        </w:rPr>
        <w:t>e Cent</w:t>
      </w:r>
      <w:r>
        <w:rPr>
          <w:shd w:val="clear" w:color="auto" w:fill="FFFFFF" w:themeFill="background1"/>
        </w:rPr>
        <w:t>re collabore également en vue de la</w:t>
      </w:r>
      <w:r w:rsidRPr="003A7986">
        <w:rPr>
          <w:shd w:val="clear" w:color="auto" w:fill="FFFFFF" w:themeFill="background1"/>
        </w:rPr>
        <w:t xml:space="preserve"> promotion </w:t>
      </w:r>
      <w:r>
        <w:rPr>
          <w:shd w:val="clear" w:color="auto" w:fill="FFFFFF" w:themeFill="background1"/>
        </w:rPr>
        <w:t>et de la fourniture de services de médiation avec</w:t>
      </w:r>
      <w:r w:rsidRPr="003A7986">
        <w:rPr>
          <w:shd w:val="clear" w:color="auto" w:fill="FFFFFF" w:themeFill="background1"/>
        </w:rPr>
        <w:t xml:space="preserve"> </w:t>
      </w:r>
      <w:r>
        <w:rPr>
          <w:shd w:val="clear" w:color="auto" w:fill="FFFFFF" w:themeFill="background1"/>
        </w:rPr>
        <w:t>l’</w:t>
      </w:r>
      <w:r w:rsidRPr="00556164">
        <w:rPr>
          <w:shd w:val="clear" w:color="auto" w:fill="FFFFFF" w:themeFill="background1"/>
        </w:rPr>
        <w:t>Office des sociétés et de la propriété intellectuelle du Botswana</w:t>
      </w:r>
      <w:r w:rsidR="002347BC">
        <w:rPr>
          <w:spacing w:val="-2"/>
        </w:rPr>
        <w:t> </w:t>
      </w:r>
      <w:r w:rsidRPr="003A7986">
        <w:rPr>
          <w:shd w:val="clear" w:color="auto" w:fill="FFFFFF" w:themeFill="background1"/>
        </w:rPr>
        <w:t xml:space="preserve">(CIPA), </w:t>
      </w:r>
      <w:r>
        <w:rPr>
          <w:szCs w:val="18"/>
          <w:shd w:val="clear" w:color="auto" w:fill="FFFFFF" w:themeFill="background1"/>
        </w:rPr>
        <w:t>l</w:t>
      </w:r>
      <w:r w:rsidRPr="003A7986">
        <w:rPr>
          <w:szCs w:val="18"/>
          <w:shd w:val="clear" w:color="auto" w:fill="FFFFFF" w:themeFill="background1"/>
        </w:rPr>
        <w:t>e</w:t>
      </w:r>
      <w:r>
        <w:rPr>
          <w:shd w:val="clear" w:color="auto" w:fill="FFFFFF" w:themeFill="background1"/>
        </w:rPr>
        <w:t> </w:t>
      </w:r>
      <w:r w:rsidRPr="003A7986">
        <w:rPr>
          <w:szCs w:val="18"/>
          <w:shd w:val="clear" w:color="auto" w:fill="FFFFFF" w:themeFill="background1"/>
        </w:rPr>
        <w:t xml:space="preserve">HCO, </w:t>
      </w:r>
      <w:r>
        <w:rPr>
          <w:szCs w:val="18"/>
          <w:shd w:val="clear" w:color="auto" w:fill="FFFFFF" w:themeFill="background1"/>
        </w:rPr>
        <w:t xml:space="preserve">le Conseil du droit d’auteur du </w:t>
      </w:r>
      <w:r w:rsidRPr="003A7986">
        <w:rPr>
          <w:shd w:val="clear" w:color="auto" w:fill="FFFFFF" w:themeFill="background1"/>
        </w:rPr>
        <w:t>Kenya</w:t>
      </w:r>
      <w:r w:rsidR="002347BC">
        <w:rPr>
          <w:spacing w:val="-2"/>
        </w:rPr>
        <w:t> </w:t>
      </w:r>
      <w:r w:rsidRPr="003A7986">
        <w:rPr>
          <w:shd w:val="clear" w:color="auto" w:fill="FFFFFF" w:themeFill="background1"/>
        </w:rPr>
        <w:t xml:space="preserve">(KECOBO), </w:t>
      </w:r>
      <w:r>
        <w:rPr>
          <w:shd w:val="clear" w:color="auto" w:fill="FFFFFF" w:themeFill="background1"/>
        </w:rPr>
        <w:t>la Commission nigériane du droit d’auteur</w:t>
      </w:r>
      <w:r w:rsidR="002347BC">
        <w:rPr>
          <w:spacing w:val="-2"/>
        </w:rPr>
        <w:t> </w:t>
      </w:r>
      <w:r w:rsidRPr="003A7986">
        <w:rPr>
          <w:shd w:val="clear" w:color="auto" w:fill="FFFFFF" w:themeFill="background1"/>
        </w:rPr>
        <w:t xml:space="preserve">(NCC), </w:t>
      </w:r>
      <w:r>
        <w:rPr>
          <w:shd w:val="clear" w:color="auto" w:fill="FFFFFF" w:themeFill="background1"/>
        </w:rPr>
        <w:t xml:space="preserve">le </w:t>
      </w:r>
      <w:r w:rsidRPr="003A7986">
        <w:rPr>
          <w:shd w:val="clear" w:color="auto" w:fill="FFFFFF" w:themeFill="background1"/>
        </w:rPr>
        <w:t>Minist</w:t>
      </w:r>
      <w:r>
        <w:rPr>
          <w:shd w:val="clear" w:color="auto" w:fill="FFFFFF" w:themeFill="background1"/>
        </w:rPr>
        <w:t>ère de la</w:t>
      </w:r>
      <w:r w:rsidRPr="003A7986">
        <w:rPr>
          <w:shd w:val="clear" w:color="auto" w:fill="FFFFFF" w:themeFill="background1"/>
        </w:rPr>
        <w:t xml:space="preserve"> </w:t>
      </w:r>
      <w:r>
        <w:rPr>
          <w:shd w:val="clear" w:color="auto" w:fill="FFFFFF" w:themeFill="background1"/>
        </w:rPr>
        <w:t>c</w:t>
      </w:r>
      <w:r w:rsidRPr="003A7986">
        <w:rPr>
          <w:shd w:val="clear" w:color="auto" w:fill="FFFFFF" w:themeFill="background1"/>
        </w:rPr>
        <w:t xml:space="preserve">ulture, </w:t>
      </w:r>
      <w:r>
        <w:rPr>
          <w:shd w:val="clear" w:color="auto" w:fill="FFFFFF" w:themeFill="background1"/>
        </w:rPr>
        <w:t>des s</w:t>
      </w:r>
      <w:r w:rsidRPr="003A7986">
        <w:rPr>
          <w:shd w:val="clear" w:color="auto" w:fill="FFFFFF" w:themeFill="background1"/>
        </w:rPr>
        <w:t xml:space="preserve">ports </w:t>
      </w:r>
      <w:r>
        <w:rPr>
          <w:shd w:val="clear" w:color="auto" w:fill="FFFFFF" w:themeFill="background1"/>
        </w:rPr>
        <w:t>et du t</w:t>
      </w:r>
      <w:r w:rsidRPr="003A7986">
        <w:rPr>
          <w:shd w:val="clear" w:color="auto" w:fill="FFFFFF" w:themeFill="background1"/>
        </w:rPr>
        <w:t>ourism</w:t>
      </w:r>
      <w:r>
        <w:rPr>
          <w:shd w:val="clear" w:color="auto" w:fill="FFFFFF" w:themeFill="background1"/>
        </w:rPr>
        <w:t>e de la</w:t>
      </w:r>
      <w:r w:rsidRPr="003A7986">
        <w:rPr>
          <w:shd w:val="clear" w:color="auto" w:fill="FFFFFF" w:themeFill="background1"/>
        </w:rPr>
        <w:t xml:space="preserve"> R</w:t>
      </w:r>
      <w:r>
        <w:rPr>
          <w:shd w:val="clear" w:color="auto" w:fill="FFFFFF" w:themeFill="background1"/>
        </w:rPr>
        <w:t>é</w:t>
      </w:r>
      <w:r w:rsidRPr="003A7986">
        <w:rPr>
          <w:shd w:val="clear" w:color="auto" w:fill="FFFFFF" w:themeFill="background1"/>
        </w:rPr>
        <w:t>publi</w:t>
      </w:r>
      <w:r>
        <w:rPr>
          <w:shd w:val="clear" w:color="auto" w:fill="FFFFFF" w:themeFill="background1"/>
        </w:rPr>
        <w:t>que de Corée</w:t>
      </w:r>
      <w:r w:rsidR="002347BC">
        <w:rPr>
          <w:spacing w:val="-2"/>
        </w:rPr>
        <w:t> </w:t>
      </w:r>
      <w:r w:rsidRPr="003A7986">
        <w:rPr>
          <w:shd w:val="clear" w:color="auto" w:fill="FFFFFF" w:themeFill="background1"/>
        </w:rPr>
        <w:t xml:space="preserve">(MCST), </w:t>
      </w:r>
      <w:r>
        <w:rPr>
          <w:shd w:val="clear" w:color="auto" w:fill="FFFFFF" w:themeFill="background1"/>
        </w:rPr>
        <w:t>la</w:t>
      </w:r>
      <w:r w:rsidRPr="003A7986">
        <w:rPr>
          <w:shd w:val="clear" w:color="auto" w:fill="FFFFFF" w:themeFill="background1"/>
        </w:rPr>
        <w:t xml:space="preserve"> </w:t>
      </w:r>
      <w:r w:rsidRPr="005E082C">
        <w:rPr>
          <w:shd w:val="clear" w:color="auto" w:fill="FFFFFF" w:themeFill="background1"/>
        </w:rPr>
        <w:t>Commission du droit d</w:t>
      </w:r>
      <w:r>
        <w:rPr>
          <w:shd w:val="clear" w:color="auto" w:fill="FFFFFF" w:themeFill="background1"/>
        </w:rPr>
        <w:t>’</w:t>
      </w:r>
      <w:r w:rsidRPr="005E082C">
        <w:rPr>
          <w:shd w:val="clear" w:color="auto" w:fill="FFFFFF" w:themeFill="background1"/>
        </w:rPr>
        <w:t>auteur de la République de Corée</w:t>
      </w:r>
      <w:r w:rsidR="002347BC">
        <w:rPr>
          <w:spacing w:val="-2"/>
        </w:rPr>
        <w:t> </w:t>
      </w:r>
      <w:r w:rsidRPr="003A7986">
        <w:rPr>
          <w:shd w:val="clear" w:color="auto" w:fill="FFFFFF" w:themeFill="background1"/>
        </w:rPr>
        <w:t xml:space="preserve">(KCC), </w:t>
      </w:r>
      <w:r>
        <w:rPr>
          <w:shd w:val="clear" w:color="auto" w:fill="FFFFFF" w:themeFill="background1"/>
        </w:rPr>
        <w:t>la</w:t>
      </w:r>
      <w:r w:rsidRPr="003A7986">
        <w:rPr>
          <w:shd w:val="clear" w:color="auto" w:fill="FFFFFF" w:themeFill="background1"/>
        </w:rPr>
        <w:t xml:space="preserve"> Korea Creative Content Agency</w:t>
      </w:r>
      <w:r w:rsidR="002347BC">
        <w:rPr>
          <w:spacing w:val="-2"/>
        </w:rPr>
        <w:t> </w:t>
      </w:r>
      <w:r w:rsidRPr="003A7986">
        <w:rPr>
          <w:shd w:val="clear" w:color="auto" w:fill="FFFFFF" w:themeFill="background1"/>
        </w:rPr>
        <w:t xml:space="preserve">(KOCCA), </w:t>
      </w:r>
      <w:r>
        <w:rPr>
          <w:shd w:val="clear" w:color="auto" w:fill="FFFFFF" w:themeFill="background1"/>
        </w:rPr>
        <w:t>le Bureau roumain du droit d’auteur</w:t>
      </w:r>
      <w:r w:rsidR="002347BC">
        <w:rPr>
          <w:spacing w:val="-2"/>
        </w:rPr>
        <w:t> </w:t>
      </w:r>
      <w:r w:rsidRPr="003A7986">
        <w:rPr>
          <w:shd w:val="clear" w:color="auto" w:fill="FFFFFF" w:themeFill="background1"/>
        </w:rPr>
        <w:t>(ORDA)</w:t>
      </w:r>
      <w:r>
        <w:rPr>
          <w:shd w:val="clear" w:color="auto" w:fill="FFFFFF" w:themeFill="background1"/>
        </w:rPr>
        <w:t xml:space="preserve"> et le</w:t>
      </w:r>
      <w:r w:rsidRPr="003A7986">
        <w:rPr>
          <w:shd w:val="clear" w:color="auto" w:fill="FFFFFF" w:themeFill="background1"/>
        </w:rPr>
        <w:t xml:space="preserve"> Minist</w:t>
      </w:r>
      <w:r>
        <w:rPr>
          <w:shd w:val="clear" w:color="auto" w:fill="FFFFFF" w:themeFill="background1"/>
        </w:rPr>
        <w:t>ère</w:t>
      </w:r>
      <w:r w:rsidRPr="003A7986">
        <w:rPr>
          <w:shd w:val="clear" w:color="auto" w:fill="FFFFFF" w:themeFill="background1"/>
        </w:rPr>
        <w:t xml:space="preserve"> </w:t>
      </w:r>
      <w:r>
        <w:rPr>
          <w:shd w:val="clear" w:color="auto" w:fill="FFFFFF" w:themeFill="background1"/>
        </w:rPr>
        <w:t>espagnol de la c</w:t>
      </w:r>
      <w:r w:rsidRPr="003A7986">
        <w:rPr>
          <w:shd w:val="clear" w:color="auto" w:fill="FFFFFF" w:themeFill="background1"/>
        </w:rPr>
        <w:t xml:space="preserve">ulture </w:t>
      </w:r>
      <w:r>
        <w:rPr>
          <w:shd w:val="clear" w:color="auto" w:fill="FFFFFF" w:themeFill="background1"/>
        </w:rPr>
        <w:t>et des s</w:t>
      </w:r>
      <w:r w:rsidRPr="003A7986">
        <w:rPr>
          <w:shd w:val="clear" w:color="auto" w:fill="FFFFFF" w:themeFill="background1"/>
        </w:rPr>
        <w:t>ports.</w:t>
      </w:r>
      <w:r w:rsidRPr="00567D37">
        <w:t xml:space="preserve"> </w:t>
      </w:r>
    </w:p>
  </w:footnote>
  <w:footnote w:id="23">
    <w:p w14:paraId="03A9B00D" w14:textId="4D6EE95B" w:rsidR="005723D0" w:rsidRPr="006C7091" w:rsidRDefault="005723D0" w:rsidP="008E0BF9">
      <w:pPr>
        <w:pStyle w:val="FootnoteText"/>
      </w:pPr>
      <w:r w:rsidRPr="006C7091">
        <w:rPr>
          <w:rStyle w:val="FootnoteReference"/>
        </w:rPr>
        <w:footnoteRef/>
      </w:r>
      <w:r w:rsidRPr="006C7091">
        <w:t xml:space="preserve"> </w:t>
      </w:r>
      <w:r w:rsidRPr="006C7091">
        <w:tab/>
      </w:r>
      <w:r w:rsidRPr="0056452B">
        <w:t>Par exemple, le modèle d</w:t>
      </w:r>
      <w:r>
        <w:t>’</w:t>
      </w:r>
      <w:r w:rsidR="002347BC">
        <w:t>accord de consortium </w:t>
      </w:r>
      <w:r w:rsidRPr="0056452B">
        <w:t>DESCA 2020 de l</w:t>
      </w:r>
      <w:r>
        <w:t>’</w:t>
      </w:r>
      <w:r w:rsidRPr="0056452B">
        <w:t>UE, les accords types du Guide de la propriété intellectuelle</w:t>
      </w:r>
      <w:r w:rsidR="002347BC">
        <w:t> </w:t>
      </w:r>
      <w:r w:rsidRPr="0056452B">
        <w:t>(IPAG) en Autriche, les accords types pour la coopération en matière de recherche</w:t>
      </w:r>
      <w:r>
        <w:noBreakHyphen/>
      </w:r>
      <w:r w:rsidRPr="0056452B">
        <w:t>développement en Allemagne</w:t>
      </w:r>
      <w:r w:rsidRPr="0056452B">
        <w:rPr>
          <w:szCs w:val="18"/>
          <w:shd w:val="clear" w:color="auto" w:fill="FFFFFF" w:themeFill="background1"/>
        </w:rPr>
        <w:t xml:space="preserve"> et les accords types en matière de recherche</w:t>
      </w:r>
      <w:r>
        <w:rPr>
          <w:szCs w:val="18"/>
          <w:shd w:val="clear" w:color="auto" w:fill="FFFFFF" w:themeFill="background1"/>
        </w:rPr>
        <w:noBreakHyphen/>
      </w:r>
      <w:r w:rsidRPr="0056452B">
        <w:rPr>
          <w:szCs w:val="18"/>
          <w:shd w:val="clear" w:color="auto" w:fill="FFFFFF" w:themeFill="background1"/>
        </w:rPr>
        <w:t>développement avec l</w:t>
      </w:r>
      <w:r>
        <w:rPr>
          <w:szCs w:val="18"/>
          <w:shd w:val="clear" w:color="auto" w:fill="FFFFFF" w:themeFill="background1"/>
        </w:rPr>
        <w:t>’</w:t>
      </w:r>
      <w:r w:rsidRPr="0056452B">
        <w:rPr>
          <w:szCs w:val="18"/>
          <w:shd w:val="clear" w:color="auto" w:fill="FFFFFF" w:themeFill="background1"/>
        </w:rPr>
        <w:t>Office espagnol des brevets et des marques</w:t>
      </w:r>
      <w:r w:rsidR="002347BC">
        <w:t> </w:t>
      </w:r>
      <w:r w:rsidRPr="0056452B">
        <w:rPr>
          <w:szCs w:val="18"/>
          <w:shd w:val="clear" w:color="auto" w:fill="FFFFFF" w:themeFill="background1"/>
        </w:rPr>
        <w:t xml:space="preserve">(OEPM).  Plus récemment, </w:t>
      </w:r>
      <w:r w:rsidRPr="0056452B">
        <w:rPr>
          <w:szCs w:val="18"/>
        </w:rPr>
        <w:t>l</w:t>
      </w:r>
      <w:r>
        <w:rPr>
          <w:szCs w:val="18"/>
        </w:rPr>
        <w:t>’</w:t>
      </w:r>
      <w:r w:rsidRPr="0056452B">
        <w:rPr>
          <w:szCs w:val="18"/>
        </w:rPr>
        <w:t xml:space="preserve">accord de coopération relatif au réseau balte de bureaux de transfert de technologie, </w:t>
      </w:r>
      <w:r>
        <w:rPr>
          <w:szCs w:val="18"/>
        </w:rPr>
        <w:t>conclu</w:t>
      </w:r>
      <w:r w:rsidRPr="0056452B">
        <w:rPr>
          <w:szCs w:val="18"/>
        </w:rPr>
        <w:t xml:space="preserve"> en</w:t>
      </w:r>
      <w:r>
        <w:rPr>
          <w:szCs w:val="18"/>
        </w:rPr>
        <w:t> </w:t>
      </w:r>
      <w:r w:rsidRPr="0056452B">
        <w:rPr>
          <w:szCs w:val="18"/>
        </w:rPr>
        <w:t>2022 en collaboration avec l</w:t>
      </w:r>
      <w:r>
        <w:rPr>
          <w:szCs w:val="18"/>
        </w:rPr>
        <w:t>’</w:t>
      </w:r>
      <w:r w:rsidRPr="0056452B">
        <w:rPr>
          <w:szCs w:val="18"/>
        </w:rPr>
        <w:t>OMPI, recommande de recourir à la médiation de l</w:t>
      </w:r>
      <w:r>
        <w:rPr>
          <w:szCs w:val="18"/>
        </w:rPr>
        <w:t>’</w:t>
      </w:r>
      <w:r w:rsidRPr="0056452B">
        <w:rPr>
          <w:szCs w:val="18"/>
        </w:rPr>
        <w:t>OMPI suivie, à défaut de règlement du litige, d</w:t>
      </w:r>
      <w:r>
        <w:rPr>
          <w:szCs w:val="18"/>
        </w:rPr>
        <w:t>’</w:t>
      </w:r>
      <w:r w:rsidRPr="0056452B">
        <w:rPr>
          <w:szCs w:val="18"/>
        </w:rPr>
        <w:t>une procédure judiciaire.  Par ailleurs, les accords</w:t>
      </w:r>
      <w:r>
        <w:rPr>
          <w:szCs w:val="18"/>
        </w:rPr>
        <w:noBreakHyphen/>
      </w:r>
      <w:r w:rsidRPr="0056452B">
        <w:rPr>
          <w:szCs w:val="18"/>
        </w:rPr>
        <w:t>cadres types sur la concession de licences et la recherche en matière de propriété intellectuelle, également adoptés en</w:t>
      </w:r>
      <w:r>
        <w:rPr>
          <w:szCs w:val="18"/>
        </w:rPr>
        <w:t> </w:t>
      </w:r>
      <w:r w:rsidRPr="0056452B">
        <w:rPr>
          <w:szCs w:val="18"/>
        </w:rPr>
        <w:t>2022 par l</w:t>
      </w:r>
      <w:r>
        <w:rPr>
          <w:szCs w:val="18"/>
        </w:rPr>
        <w:t>’</w:t>
      </w:r>
      <w:r w:rsidRPr="0056452B">
        <w:rPr>
          <w:szCs w:val="18"/>
        </w:rPr>
        <w:t>enseignement supérieur australien dans le cadre de la commercialisation de la recherche, recommandent de recourir à la médiation suivie, à défaut de règlement du litige, d</w:t>
      </w:r>
      <w:r>
        <w:rPr>
          <w:szCs w:val="18"/>
        </w:rPr>
        <w:t>’</w:t>
      </w:r>
      <w:r w:rsidRPr="0056452B">
        <w:rPr>
          <w:szCs w:val="18"/>
        </w:rPr>
        <w:t>une procédure judiciaire ou de l</w:t>
      </w:r>
      <w:r>
        <w:rPr>
          <w:szCs w:val="18"/>
        </w:rPr>
        <w:t>’</w:t>
      </w:r>
      <w:r w:rsidRPr="0056452B">
        <w:rPr>
          <w:szCs w:val="18"/>
        </w:rPr>
        <w:t>arbitrage de l</w:t>
      </w:r>
      <w:r>
        <w:rPr>
          <w:szCs w:val="18"/>
        </w:rPr>
        <w:t>’</w:t>
      </w:r>
      <w:r w:rsidRPr="0056452B">
        <w:rPr>
          <w:szCs w:val="18"/>
        </w:rPr>
        <w:t>OMPI</w:t>
      </w:r>
      <w:r w:rsidRPr="0056452B">
        <w:t>.</w:t>
      </w:r>
      <w:r w:rsidRPr="001D039F">
        <w:t xml:space="preserve">  </w:t>
      </w:r>
      <w:r w:rsidRPr="006C7091">
        <w:t xml:space="preserve">Pour de plus amples informations, voir </w:t>
      </w:r>
      <w:r w:rsidR="00D94EC9" w:rsidRPr="00D94EC9">
        <w:t>https://www.wipo.int/amc/fr/center/specific-sectors/rd/</w:t>
      </w:r>
      <w:r w:rsidRPr="006C7091">
        <w:t>.</w:t>
      </w:r>
    </w:p>
  </w:footnote>
  <w:footnote w:id="24">
    <w:p w14:paraId="5E0AD2DE" w14:textId="541E5883" w:rsidR="005723D0" w:rsidRPr="001D039F" w:rsidRDefault="005723D0" w:rsidP="00362FBE">
      <w:pPr>
        <w:pStyle w:val="FootnoteText"/>
        <w:rPr>
          <w:szCs w:val="18"/>
        </w:rPr>
      </w:pPr>
      <w:r>
        <w:rPr>
          <w:rStyle w:val="FootnoteReference"/>
          <w:szCs w:val="18"/>
        </w:rPr>
        <w:footnoteRef/>
      </w:r>
      <w:r w:rsidRPr="00C87641">
        <w:rPr>
          <w:szCs w:val="18"/>
        </w:rPr>
        <w:t xml:space="preserve"> </w:t>
      </w:r>
      <w:r w:rsidRPr="00C87641">
        <w:rPr>
          <w:szCs w:val="18"/>
        </w:rPr>
        <w:tab/>
        <w:t>Voir https://www.wipo.int/amc/e</w:t>
      </w:r>
      <w:r w:rsidR="002347BC">
        <w:rPr>
          <w:szCs w:val="18"/>
        </w:rPr>
        <w:t>n/clauses/national_court.html.</w:t>
      </w:r>
    </w:p>
  </w:footnote>
  <w:footnote w:id="25">
    <w:p w14:paraId="1FD3971A" w14:textId="50D51B6B" w:rsidR="005723D0" w:rsidRPr="006C7091" w:rsidRDefault="005723D0" w:rsidP="008E0BF9">
      <w:pPr>
        <w:pStyle w:val="FootnoteText"/>
      </w:pPr>
      <w:r w:rsidRPr="006C7091">
        <w:rPr>
          <w:rStyle w:val="FootnoteReference"/>
        </w:rPr>
        <w:footnoteRef/>
      </w:r>
      <w:r w:rsidRPr="006C7091">
        <w:t xml:space="preserve"> </w:t>
      </w:r>
      <w:r w:rsidRPr="006C7091">
        <w:tab/>
      </w:r>
      <w:r w:rsidRPr="008C03BF">
        <w:t>Une collaboration supplémentaire a débuté</w:t>
      </w:r>
      <w:r>
        <w:rPr>
          <w:szCs w:val="18"/>
        </w:rPr>
        <w:t xml:space="preserve"> </w:t>
      </w:r>
      <w:r w:rsidRPr="008C03BF">
        <w:t>dans le cadre d</w:t>
      </w:r>
      <w:r>
        <w:t>’</w:t>
      </w:r>
      <w:r w:rsidRPr="008C03BF">
        <w:t>un protocole d</w:t>
      </w:r>
      <w:r>
        <w:t>’</w:t>
      </w:r>
      <w:r w:rsidRPr="008C03BF">
        <w:t>accord</w:t>
      </w:r>
      <w:r>
        <w:t xml:space="preserve"> conclu</w:t>
      </w:r>
      <w:r w:rsidRPr="008C03BF">
        <w:t xml:space="preserve"> entre l</w:t>
      </w:r>
      <w:r>
        <w:t>’</w:t>
      </w:r>
      <w:r w:rsidRPr="008C03BF">
        <w:t>OMPI et la Haute Cour populaire de Shanghai</w:t>
      </w:r>
      <w:r>
        <w:t xml:space="preserve"> en 2021, ainsi qu’en vertu d’accords de coopération passés entre le Centre et la Haute Cour populaire du Fujian en décembre 2022, et la Haute Cour populaire du Haïnan en mars 2023</w:t>
      </w:r>
      <w:r w:rsidRPr="008C03BF">
        <w:t>.</w:t>
      </w:r>
    </w:p>
  </w:footnote>
  <w:footnote w:id="26">
    <w:p w14:paraId="496F3F4B" w14:textId="06A2B941" w:rsidR="005723D0" w:rsidRPr="00362FBE" w:rsidRDefault="005723D0">
      <w:pPr>
        <w:pStyle w:val="FootnoteText"/>
      </w:pPr>
      <w:r>
        <w:rPr>
          <w:rStyle w:val="FootnoteReference"/>
        </w:rPr>
        <w:footnoteRef/>
      </w:r>
      <w:r>
        <w:t xml:space="preserve"> </w:t>
      </w:r>
      <w:r>
        <w:tab/>
        <w:t xml:space="preserve">Voir </w:t>
      </w:r>
      <w:r>
        <w:rPr>
          <w:szCs w:val="18"/>
        </w:rPr>
        <w:t>un aperçu des dossiers traités, à l’adresse</w:t>
      </w:r>
      <w:r w:rsidR="002347BC">
        <w:rPr>
          <w:szCs w:val="18"/>
        </w:rPr>
        <w:t> </w:t>
      </w:r>
      <w:r>
        <w:rPr>
          <w:szCs w:val="18"/>
        </w:rPr>
        <w:t>https://www.wipo.int/amc/en/center/specific</w:t>
      </w:r>
      <w:r>
        <w:rPr>
          <w:szCs w:val="18"/>
        </w:rPr>
        <w:noBreakHyphen/>
        <w:t>sectors/national</w:t>
      </w:r>
      <w:r>
        <w:rPr>
          <w:szCs w:val="18"/>
        </w:rPr>
        <w:noBreakHyphen/>
        <w:t>courts/china/spc.html.</w:t>
      </w:r>
    </w:p>
  </w:footnote>
  <w:footnote w:id="27">
    <w:p w14:paraId="03F4E5E2" w14:textId="77B8B459" w:rsidR="005723D0" w:rsidRPr="006C7091" w:rsidRDefault="005723D0" w:rsidP="001C425A">
      <w:pPr>
        <w:pStyle w:val="FootnoteText"/>
      </w:pPr>
      <w:r w:rsidRPr="006C7091">
        <w:rPr>
          <w:rStyle w:val="FootnoteReference"/>
        </w:rPr>
        <w:footnoteRef/>
      </w:r>
      <w:r w:rsidRPr="006C7091">
        <w:t xml:space="preserve"> </w:t>
      </w:r>
      <w:r w:rsidRPr="006C7091">
        <w:tab/>
        <w:t xml:space="preserve">La </w:t>
      </w:r>
      <w:r>
        <w:t>trois</w:t>
      </w:r>
      <w:r w:rsidRPr="006C7091">
        <w:t>ième</w:t>
      </w:r>
      <w:r>
        <w:t> </w:t>
      </w:r>
      <w:r w:rsidRPr="006C7091">
        <w:t>édition du guide est disponible à l</w:t>
      </w:r>
      <w:r>
        <w:t>’</w:t>
      </w:r>
      <w:r w:rsidRPr="006C7091">
        <w:t>adresse</w:t>
      </w:r>
      <w:r w:rsidR="002347BC">
        <w:rPr>
          <w:szCs w:val="18"/>
        </w:rPr>
        <w:t> </w:t>
      </w:r>
      <w:r>
        <w:rPr>
          <w:szCs w:val="18"/>
        </w:rPr>
        <w:t>https://www.wipo.int/edocs/pubdocs/fr/wipo_pub_guide_adr.pdf</w:t>
      </w:r>
      <w:r w:rsidRPr="006C7091">
        <w:t>.</w:t>
      </w:r>
    </w:p>
  </w:footnote>
  <w:footnote w:id="28">
    <w:p w14:paraId="540DBD7D" w14:textId="6782A9C3" w:rsidR="005723D0" w:rsidRPr="006C7091" w:rsidRDefault="005723D0" w:rsidP="00427008">
      <w:pPr>
        <w:pStyle w:val="FootnoteText"/>
      </w:pPr>
      <w:r w:rsidRPr="006C7091">
        <w:rPr>
          <w:rStyle w:val="FootnoteReference"/>
        </w:rPr>
        <w:footnoteRef/>
      </w:r>
      <w:r w:rsidRPr="006C7091">
        <w:t xml:space="preserve"> </w:t>
      </w:r>
      <w:r w:rsidRPr="006C7091">
        <w:tab/>
        <w:t xml:space="preserve">WIPO ADR Highlights a dépassé les </w:t>
      </w:r>
      <w:r>
        <w:t>85</w:t>
      </w:r>
      <w:r w:rsidRPr="006C7091">
        <w:t>00</w:t>
      </w:r>
      <w:r>
        <w:t> </w:t>
      </w:r>
      <w:r w:rsidRPr="006C7091">
        <w:t>abonnés.</w:t>
      </w:r>
      <w:r>
        <w:t xml:space="preserve"> </w:t>
      </w:r>
      <w:r w:rsidRPr="006C7091">
        <w:t xml:space="preserve"> Tous les numéros du bulletin sont disponibles à l</w:t>
      </w:r>
      <w:r>
        <w:t>’</w:t>
      </w:r>
      <w:r w:rsidRPr="006C7091">
        <w:t xml:space="preserve">adresse </w:t>
      </w:r>
      <w:r w:rsidRPr="00DF2C39">
        <w:t>https://www.wipo.int/newsletters</w:t>
      </w:r>
      <w:r>
        <w:noBreakHyphen/>
      </w:r>
      <w:r w:rsidRPr="00DF2C39">
        <w:t>archive/en/adr_highlights.html</w:t>
      </w:r>
      <w:r w:rsidRPr="006C7091">
        <w:t xml:space="preserve">. </w:t>
      </w:r>
      <w:r>
        <w:t xml:space="preserve"> </w:t>
      </w:r>
    </w:p>
  </w:footnote>
  <w:footnote w:id="29">
    <w:p w14:paraId="0BAD00BF" w14:textId="1415A5C2" w:rsidR="005723D0" w:rsidRPr="00427008" w:rsidRDefault="005723D0">
      <w:pPr>
        <w:pStyle w:val="FootnoteText"/>
      </w:pPr>
      <w:r>
        <w:rPr>
          <w:rStyle w:val="FootnoteReference"/>
        </w:rPr>
        <w:footnoteRef/>
      </w:r>
      <w:r w:rsidRPr="00427008">
        <w:t xml:space="preserve"> </w:t>
      </w:r>
      <w:r w:rsidRPr="00427008">
        <w:tab/>
        <w:t>Par exemple, en</w:t>
      </w:r>
      <w:r>
        <w:t> </w:t>
      </w:r>
      <w:r w:rsidRPr="00427008">
        <w:t xml:space="preserve">2022, le Centre a </w:t>
      </w:r>
      <w:r>
        <w:t xml:space="preserve">promu les services de règlement extrajudiciaire des litiges de l’OMPI sur les applications </w:t>
      </w:r>
      <w:r w:rsidRPr="00427008">
        <w:t xml:space="preserve">WeChat </w:t>
      </w:r>
      <w:r>
        <w:t xml:space="preserve">en Chine et </w:t>
      </w:r>
      <w:r w:rsidRPr="00427008">
        <w:t>KakaoTalk</w:t>
      </w:r>
      <w:r>
        <w:t xml:space="preserve"> en République de Corée.</w:t>
      </w:r>
    </w:p>
  </w:footnote>
  <w:footnote w:id="30">
    <w:p w14:paraId="1A43C508" w14:textId="22167A77" w:rsidR="005723D0" w:rsidRPr="003A3A65" w:rsidRDefault="005723D0" w:rsidP="0032750C">
      <w:pPr>
        <w:pStyle w:val="FootnoteText"/>
        <w:rPr>
          <w:szCs w:val="18"/>
        </w:rPr>
      </w:pPr>
      <w:r w:rsidRPr="003A3A65">
        <w:rPr>
          <w:rStyle w:val="FootnoteReference"/>
          <w:szCs w:val="18"/>
        </w:rPr>
        <w:footnoteRef/>
      </w:r>
      <w:r w:rsidRPr="003A3A65">
        <w:rPr>
          <w:szCs w:val="18"/>
        </w:rPr>
        <w:t xml:space="preserve"> </w:t>
      </w:r>
      <w:r w:rsidRPr="003A3A65">
        <w:rPr>
          <w:szCs w:val="18"/>
        </w:rPr>
        <w:tab/>
      </w:r>
      <w:r>
        <w:rPr>
          <w:szCs w:val="18"/>
        </w:rPr>
        <w:t>Voir à l’adresse</w:t>
      </w:r>
      <w:r w:rsidRPr="003A3A65">
        <w:rPr>
          <w:szCs w:val="18"/>
        </w:rPr>
        <w:t xml:space="preserve"> https://www.wipo.int/amc/</w:t>
      </w:r>
      <w:r>
        <w:rPr>
          <w:szCs w:val="18"/>
        </w:rPr>
        <w:t>fr</w:t>
      </w:r>
      <w:r w:rsidRPr="003A3A65">
        <w:rPr>
          <w:szCs w:val="18"/>
        </w:rPr>
        <w:t>/center/wipoadryoung.</w:t>
      </w:r>
    </w:p>
  </w:footnote>
  <w:footnote w:id="31">
    <w:p w14:paraId="34EA8BC3" w14:textId="70158637"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7D70F6">
        <w:t>à l</w:t>
      </w:r>
      <w:r>
        <w:t>’</w:t>
      </w:r>
      <w:r w:rsidRPr="007D70F6">
        <w:t xml:space="preserve">adresse </w:t>
      </w:r>
      <w:r>
        <w:rPr>
          <w:szCs w:val="18"/>
        </w:rPr>
        <w:t>https://www.linkedin.com/showcase/wipo</w:t>
      </w:r>
      <w:r>
        <w:rPr>
          <w:szCs w:val="18"/>
        </w:rPr>
        <w:noBreakHyphen/>
        <w:t>arbitration</w:t>
      </w:r>
      <w:r>
        <w:rPr>
          <w:szCs w:val="18"/>
        </w:rPr>
        <w:noBreakHyphen/>
        <w:t>and</w:t>
      </w:r>
      <w:r>
        <w:rPr>
          <w:szCs w:val="18"/>
        </w:rPr>
        <w:noBreakHyphen/>
        <w:t>mediation</w:t>
      </w:r>
      <w:r>
        <w:rPr>
          <w:szCs w:val="18"/>
        </w:rPr>
        <w:noBreakHyphen/>
        <w:t>center/?viewAsMember=true</w:t>
      </w:r>
      <w:r w:rsidRPr="006C7091">
        <w:t>.</w:t>
      </w:r>
    </w:p>
  </w:footnote>
  <w:footnote w:id="32">
    <w:p w14:paraId="25009919" w14:textId="60D6FF04" w:rsidR="005723D0" w:rsidRPr="003A3A65" w:rsidRDefault="005723D0" w:rsidP="00B86BC6">
      <w:pPr>
        <w:pStyle w:val="FootnoteText"/>
      </w:pPr>
      <w:r w:rsidRPr="003A3A65">
        <w:rPr>
          <w:rStyle w:val="FootnoteReference"/>
        </w:rPr>
        <w:footnoteRef/>
      </w:r>
      <w:r w:rsidRPr="003A3A65">
        <w:t xml:space="preserve"> </w:t>
      </w:r>
      <w:r w:rsidRPr="003A3A65">
        <w:tab/>
      </w:r>
      <w:r w:rsidRPr="007D70F6">
        <w:t>Voir à l</w:t>
      </w:r>
      <w:r>
        <w:t>’</w:t>
      </w:r>
      <w:r w:rsidRPr="007D70F6">
        <w:t xml:space="preserve">adresse </w:t>
      </w:r>
      <w:r w:rsidRPr="003A3A65">
        <w:t>https://www.wipo.int/podcasts/en/amc.</w:t>
      </w:r>
    </w:p>
  </w:footnote>
  <w:footnote w:id="33">
    <w:p w14:paraId="22FE2515" w14:textId="5DCEF6B3" w:rsidR="005723D0" w:rsidRPr="006C7091" w:rsidRDefault="005723D0" w:rsidP="008E0BF9">
      <w:pPr>
        <w:pStyle w:val="FootnoteText"/>
      </w:pPr>
      <w:r w:rsidRPr="006C7091">
        <w:rPr>
          <w:rStyle w:val="FootnoteReference"/>
        </w:rPr>
        <w:footnoteRef/>
      </w:r>
      <w:r w:rsidRPr="006C7091">
        <w:t xml:space="preserve"> </w:t>
      </w:r>
      <w:r w:rsidRPr="006C7091">
        <w:tab/>
        <w:t xml:space="preserve">À ce jour, </w:t>
      </w:r>
      <w:r>
        <w:t>l</w:t>
      </w:r>
      <w:r w:rsidRPr="006C7091">
        <w:t xml:space="preserve">es webinaires </w:t>
      </w:r>
      <w:r>
        <w:t xml:space="preserve">du Centre </w:t>
      </w:r>
      <w:r w:rsidRPr="006C7091">
        <w:t xml:space="preserve">ont été présentés en allemand, en anglais, en chinois, </w:t>
      </w:r>
      <w:r>
        <w:t xml:space="preserve">en coréen, </w:t>
      </w:r>
      <w:r w:rsidRPr="006C7091">
        <w:t>en espagnol, en français, en italien, en japonais, en néerlandais</w:t>
      </w:r>
      <w:r>
        <w:t>,</w:t>
      </w:r>
      <w:r w:rsidRPr="006C7091">
        <w:t xml:space="preserve"> en russe</w:t>
      </w:r>
      <w:r>
        <w:t xml:space="preserve"> et en suédois</w:t>
      </w:r>
      <w:r w:rsidRPr="006C7091">
        <w:t xml:space="preserve">. </w:t>
      </w:r>
      <w:r>
        <w:t xml:space="preserve"> </w:t>
      </w:r>
      <w:r w:rsidRPr="006C7091">
        <w:t>Des informations sur les prochains webinaires (ainsi que les enregistrements des précédents webinaires) sont disponibles à l</w:t>
      </w:r>
      <w:r>
        <w:t>’</w:t>
      </w:r>
      <w:r w:rsidRPr="006C7091">
        <w:t>adresse https://www.wipo.</w:t>
      </w:r>
      <w:r>
        <w:t>int/amc/en/events/webinar.html.</w:t>
      </w:r>
    </w:p>
  </w:footnote>
  <w:footnote w:id="34">
    <w:p w14:paraId="0DB23DCB" w14:textId="3540FA93" w:rsidR="005723D0" w:rsidRPr="00215AF4" w:rsidRDefault="005723D0">
      <w:pPr>
        <w:pStyle w:val="FootnoteText"/>
      </w:pPr>
      <w:r>
        <w:rPr>
          <w:rStyle w:val="FootnoteReference"/>
        </w:rPr>
        <w:footnoteRef/>
      </w:r>
      <w:r>
        <w:t xml:space="preserve"> </w:t>
      </w:r>
      <w:r>
        <w:tab/>
      </w:r>
      <w:r>
        <w:rPr>
          <w:shd w:val="clear" w:color="auto" w:fill="FFFFFF" w:themeFill="background1"/>
        </w:rPr>
        <w:t>Voir la Septième édition du dialogue de l’OMPI</w:t>
      </w:r>
      <w:r>
        <w:rPr>
          <w:szCs w:val="22"/>
          <w:shd w:val="clear" w:color="auto" w:fill="FFFFFF" w:themeFill="background1"/>
        </w:rPr>
        <w:t xml:space="preserve"> – la propriété intellectuelle et le métavers, à l’adresse https://www.wipo.int/meetings/fr/details.jsp?meeting_id=74608.</w:t>
      </w:r>
    </w:p>
  </w:footnote>
  <w:footnote w:id="35">
    <w:p w14:paraId="0AE157AC" w14:textId="77777777" w:rsidR="005723D0" w:rsidRPr="006C7091" w:rsidRDefault="005723D0" w:rsidP="008E0BF9">
      <w:pPr>
        <w:pStyle w:val="FootnoteText"/>
      </w:pPr>
      <w:r w:rsidRPr="006C7091">
        <w:rPr>
          <w:rStyle w:val="FootnoteReference"/>
        </w:rPr>
        <w:footnoteRef/>
      </w:r>
      <w:r w:rsidRPr="006C7091">
        <w:t xml:space="preserve"> </w:t>
      </w:r>
      <w:r w:rsidRPr="006C7091">
        <w:tab/>
        <w:t>Voir https://www.wipo.int/amc/fr/mediation/pledge.html.</w:t>
      </w:r>
    </w:p>
  </w:footnote>
  <w:footnote w:id="36">
    <w:p w14:paraId="01ED0814" w14:textId="3049DEB8" w:rsidR="005723D0" w:rsidRPr="006C7091" w:rsidRDefault="005723D0" w:rsidP="008E0BF9">
      <w:pPr>
        <w:pStyle w:val="FootnoteText"/>
      </w:pPr>
      <w:r w:rsidRPr="006C7091">
        <w:rPr>
          <w:rStyle w:val="FootnoteReference"/>
        </w:rPr>
        <w:footnoteRef/>
      </w:r>
      <w:r w:rsidRPr="006C7091">
        <w:t xml:space="preserve"> </w:t>
      </w:r>
      <w:r w:rsidRPr="006C7091">
        <w:tab/>
        <w:t>La gestion des noms et adresses de l</w:t>
      </w:r>
      <w:r>
        <w:t>’</w:t>
      </w:r>
      <w:r w:rsidRPr="006C7091">
        <w:t>Internet – questions de propriété intellectuelle – rapport final concernant le premier processus de consultations de l</w:t>
      </w:r>
      <w:r>
        <w:t>’</w:t>
      </w:r>
      <w:r w:rsidRPr="006C7091">
        <w:t>OMPI sur les noms de domaine, publication de l</w:t>
      </w:r>
      <w:r>
        <w:t>’</w:t>
      </w:r>
      <w:r w:rsidRPr="006C7091">
        <w:t>OMPI n°</w:t>
      </w:r>
      <w:r>
        <w:t> </w:t>
      </w:r>
      <w:r w:rsidRPr="006C7091">
        <w:t>439, également disponible à l</w:t>
      </w:r>
      <w:r>
        <w:t>’</w:t>
      </w:r>
      <w:r w:rsidRPr="006C7091">
        <w:t>adresse</w:t>
      </w:r>
      <w:r>
        <w:t> </w:t>
      </w:r>
      <w:r w:rsidR="00FE488E" w:rsidRPr="00FE488E">
        <w:t>https://www.wipo.int/amc/fr/processes/process1/report</w:t>
      </w:r>
      <w:r w:rsidRPr="006C7091">
        <w:t>.</w:t>
      </w:r>
    </w:p>
  </w:footnote>
  <w:footnote w:id="37">
    <w:p w14:paraId="7D5B8948" w14:textId="3DBA367C" w:rsidR="005723D0" w:rsidRPr="006C7091" w:rsidRDefault="005723D0" w:rsidP="008E0BF9">
      <w:pPr>
        <w:pStyle w:val="FootnoteText"/>
      </w:pPr>
      <w:r w:rsidRPr="006C7091">
        <w:rPr>
          <w:rStyle w:val="FootnoteReference"/>
        </w:rPr>
        <w:footnoteRef/>
      </w:r>
      <w:r w:rsidRPr="006C7091">
        <w:t xml:space="preserve"> </w:t>
      </w:r>
      <w:r w:rsidRPr="006C7091">
        <w:tab/>
        <w:t>La reconnaissance des droits et l</w:t>
      </w:r>
      <w:r>
        <w:t>’</w:t>
      </w:r>
      <w:r w:rsidRPr="006C7091">
        <w:t>utilisation des noms dans le système des noms de domaine de l</w:t>
      </w:r>
      <w:r>
        <w:t>’</w:t>
      </w:r>
      <w:r w:rsidRPr="006C7091">
        <w:t>Internet – rapport concernant le deuxième</w:t>
      </w:r>
      <w:r w:rsidR="002347BC">
        <w:rPr>
          <w:szCs w:val="24"/>
          <w:lang w:val="fr-FR"/>
        </w:rPr>
        <w:t> </w:t>
      </w:r>
      <w:r w:rsidRPr="006C7091">
        <w:t>processus de consultations de l</w:t>
      </w:r>
      <w:r>
        <w:t>’</w:t>
      </w:r>
      <w:r w:rsidRPr="006C7091">
        <w:t>OMPI sur les noms de domaine de l</w:t>
      </w:r>
      <w:r>
        <w:t>’</w:t>
      </w:r>
      <w:r w:rsidRPr="006C7091">
        <w:t>Internet, publication de l</w:t>
      </w:r>
      <w:r>
        <w:t>’</w:t>
      </w:r>
      <w:r w:rsidRPr="006C7091">
        <w:t>OMPI n°</w:t>
      </w:r>
      <w:r>
        <w:t> </w:t>
      </w:r>
      <w:r w:rsidRPr="006C7091">
        <w:t>843, également disponible à l</w:t>
      </w:r>
      <w:r>
        <w:t>’</w:t>
      </w:r>
      <w:r w:rsidRPr="006C7091">
        <w:t>adresse</w:t>
      </w:r>
      <w:r>
        <w:t> </w:t>
      </w:r>
      <w:r w:rsidR="00110349" w:rsidRPr="00110349">
        <w:t>https://www.wipo.int/amc/fr/processes/process2/report</w:t>
      </w:r>
      <w:r w:rsidRPr="006C7091">
        <w:t>.</w:t>
      </w:r>
    </w:p>
  </w:footnote>
  <w:footnote w:id="38">
    <w:p w14:paraId="3BAE7AD5" w14:textId="74FACDF3" w:rsidR="005723D0" w:rsidRPr="006C7091" w:rsidRDefault="005723D0" w:rsidP="008E0BF9">
      <w:pPr>
        <w:pStyle w:val="FootnoteText"/>
      </w:pPr>
      <w:r w:rsidRPr="006C7091">
        <w:rPr>
          <w:rStyle w:val="FootnoteReference"/>
        </w:rPr>
        <w:footnoteRef/>
      </w:r>
      <w:r>
        <w:t xml:space="preserve"> </w:t>
      </w:r>
      <w:r>
        <w:tab/>
        <w:t>Les principes </w:t>
      </w:r>
      <w:r w:rsidRPr="006C7091">
        <w:t>UDRP ne préjugent pas du droit des parties de saisir un tribunal compétent, mais rares sont les litiges ayant fait l</w:t>
      </w:r>
      <w:r>
        <w:t>’</w:t>
      </w:r>
      <w:r w:rsidRPr="006C7091">
        <w:t>objet d</w:t>
      </w:r>
      <w:r>
        <w:t>’</w:t>
      </w:r>
      <w:r w:rsidRPr="006C7091">
        <w:t xml:space="preserve">un règlement au titre de ces principes qui ont également été portés devant un tribunal. </w:t>
      </w:r>
      <w:r>
        <w:t xml:space="preserve"> </w:t>
      </w:r>
      <w:r w:rsidRPr="006C7091">
        <w:t>Voir le Recueil de jurisprudence en rapport avec les principes UDRP à l</w:t>
      </w:r>
      <w:r>
        <w:t>’</w:t>
      </w:r>
      <w:r w:rsidRPr="006C7091">
        <w:t>adresse</w:t>
      </w:r>
      <w:r w:rsidR="002347BC">
        <w:rPr>
          <w:szCs w:val="24"/>
          <w:lang w:val="fr-FR"/>
        </w:rPr>
        <w:t> </w:t>
      </w:r>
      <w:r w:rsidRPr="006C7091">
        <w:t>http</w:t>
      </w:r>
      <w:r>
        <w:t>s</w:t>
      </w:r>
      <w:r w:rsidRPr="006C7091">
        <w:t>://www.wipo.int/amc/fr/domains/challenged.</w:t>
      </w:r>
    </w:p>
  </w:footnote>
  <w:footnote w:id="39">
    <w:p w14:paraId="2FAB0889" w14:textId="64251406" w:rsidR="005723D0" w:rsidRPr="006C7091" w:rsidRDefault="005723D0" w:rsidP="008E0BF9">
      <w:pPr>
        <w:pStyle w:val="FootnoteText"/>
      </w:pPr>
      <w:r w:rsidRPr="006C7091">
        <w:rPr>
          <w:rStyle w:val="FootnoteReference"/>
        </w:rPr>
        <w:footnoteRef/>
      </w:r>
      <w:r w:rsidRPr="006C7091">
        <w:t xml:space="preserve"> </w:t>
      </w:r>
      <w:r w:rsidRPr="006C7091">
        <w:tab/>
        <w:t xml:space="preserve">Le Centre publie en ligne un large éventail de statistiques actualisées pour aider les parties à un litige, les intermédiaires neutres, les conseils en marques, les détenteurs de noms de domaine enregistrés, les responsables des politiques applicables aux noms de domaine, les journalistes et les chercheurs. </w:t>
      </w:r>
      <w:r>
        <w:t xml:space="preserve"> </w:t>
      </w:r>
      <w:r w:rsidRPr="006C7091">
        <w:t>Voir http</w:t>
      </w:r>
      <w:r>
        <w:t>s</w:t>
      </w:r>
      <w:r w:rsidRPr="006C7091">
        <w:t>://www.wipo</w:t>
      </w:r>
      <w:r w:rsidR="002347BC">
        <w:t>.int/amc/en/domains/statistics.</w:t>
      </w:r>
    </w:p>
  </w:footnote>
  <w:footnote w:id="40">
    <w:p w14:paraId="4F732A5D" w14:textId="0EF06F6C" w:rsidR="005723D0" w:rsidRPr="006C7091" w:rsidRDefault="005723D0" w:rsidP="008E0BF9">
      <w:pPr>
        <w:pStyle w:val="FootnoteText"/>
      </w:pPr>
      <w:r w:rsidRPr="006C7091">
        <w:rPr>
          <w:rStyle w:val="FootnoteReference"/>
        </w:rPr>
        <w:footnoteRef/>
      </w:r>
      <w:r w:rsidRPr="006C7091">
        <w:t xml:space="preserve"> </w:t>
      </w:r>
      <w:r w:rsidRPr="006C7091">
        <w:tab/>
        <w:t>Par ordre alphabétique</w:t>
      </w:r>
      <w:r>
        <w:t> :</w:t>
      </w:r>
      <w:r w:rsidRPr="006C7091">
        <w:t xml:space="preserve"> allemand, anglais, chinois, coréen, danois, espagnol, estonien, français, hébreu, italien, japonais, néerlandais, norvégien, polonais, portugais, roumain, russe, slovaque, suédois, tchèque, turc, ukrainien et vietnamien.</w:t>
      </w:r>
    </w:p>
  </w:footnote>
  <w:footnote w:id="41">
    <w:p w14:paraId="102D0D47" w14:textId="39B505B6" w:rsidR="005723D0" w:rsidRPr="006C7091" w:rsidRDefault="005723D0" w:rsidP="008E0BF9">
      <w:pPr>
        <w:pStyle w:val="FootnoteText"/>
      </w:pPr>
      <w:r w:rsidRPr="006C7091">
        <w:rPr>
          <w:rStyle w:val="FootnoteReference"/>
        </w:rPr>
        <w:footnoteRef/>
      </w:r>
      <w:r w:rsidRPr="006C7091">
        <w:t xml:space="preserve"> </w:t>
      </w:r>
      <w:r w:rsidRPr="006C7091">
        <w:tab/>
        <w:t>Voir http</w:t>
      </w:r>
      <w:r>
        <w:t>s</w:t>
      </w:r>
      <w:r w:rsidRPr="006C7091">
        <w:t>://www.wipo.int/amc/en/domains/search/overview3.0/.</w:t>
      </w:r>
      <w:r>
        <w:t xml:space="preserve"> </w:t>
      </w:r>
      <w:r w:rsidRPr="006C7091">
        <w:t xml:space="preserve"> L</w:t>
      </w:r>
      <w:r>
        <w:t>’</w:t>
      </w:r>
      <w:r w:rsidRPr="006C7091">
        <w:t>élargissement de la portée de la version</w:t>
      </w:r>
      <w:r>
        <w:t> </w:t>
      </w:r>
      <w:r w:rsidRPr="006C7091">
        <w:t>3.0 rend compte du large éventail de litiges relatifs aux noms de domaine et de litiges administrés en vertu des principes</w:t>
      </w:r>
      <w:r>
        <w:t>.</w:t>
      </w:r>
      <w:r w:rsidRPr="006C7091">
        <w:t xml:space="preserve"> </w:t>
      </w:r>
      <w:r>
        <w:t xml:space="preserve"> </w:t>
      </w:r>
      <w:r w:rsidRPr="006C7091">
        <w:t>Cet instrument joue un rôle essentiel en ce qu</w:t>
      </w:r>
      <w:r>
        <w:t>’</w:t>
      </w:r>
      <w:r w:rsidRPr="006C7091">
        <w:t xml:space="preserve">il contribue à préserver la cohérence de la jurisprudence dans ce </w:t>
      </w:r>
      <w:r w:rsidR="002347BC">
        <w:t>domaine.</w:t>
      </w:r>
    </w:p>
  </w:footnote>
  <w:footnote w:id="42">
    <w:p w14:paraId="2B6307F4" w14:textId="7D0755B5" w:rsidR="005723D0" w:rsidRPr="006C7091" w:rsidRDefault="005723D0" w:rsidP="008E0BF9">
      <w:pPr>
        <w:pStyle w:val="FootnoteText"/>
      </w:pPr>
      <w:r w:rsidRPr="006C7091">
        <w:rPr>
          <w:rStyle w:val="FootnoteReference"/>
        </w:rPr>
        <w:footnoteRef/>
      </w:r>
      <w:r w:rsidRPr="006C7091">
        <w:t xml:space="preserve"> </w:t>
      </w:r>
      <w:r w:rsidRPr="006C7091">
        <w:tab/>
        <w:t>Voir http</w:t>
      </w:r>
      <w:r>
        <w:t>s</w:t>
      </w:r>
      <w:r w:rsidRPr="006C7091">
        <w:t>://www.wipo.int/amc/fr/domains/search/legalindex/.</w:t>
      </w:r>
    </w:p>
  </w:footnote>
  <w:footnote w:id="43">
    <w:p w14:paraId="1134E719" w14:textId="3E6F9AC6" w:rsidR="005723D0" w:rsidRPr="006C7091" w:rsidRDefault="005723D0" w:rsidP="008E0BF9">
      <w:pPr>
        <w:pStyle w:val="FootnoteText"/>
      </w:pPr>
      <w:r w:rsidRPr="006C7091">
        <w:rPr>
          <w:rStyle w:val="FootnoteReference"/>
        </w:rPr>
        <w:footnoteRef/>
      </w:r>
      <w:r w:rsidRPr="006C7091">
        <w:t xml:space="preserve"> </w:t>
      </w:r>
      <w:r w:rsidRPr="006C7091">
        <w:tab/>
        <w:t>En</w:t>
      </w:r>
      <w:r>
        <w:t> </w:t>
      </w:r>
      <w:r w:rsidRPr="006C7091">
        <w:t>2018, le Centre a publié à l</w:t>
      </w:r>
      <w:r>
        <w:t>’</w:t>
      </w:r>
      <w:r w:rsidRPr="006C7091">
        <w:t>intention des parties des recommandations informelles de l</w:t>
      </w:r>
      <w:r>
        <w:t>’</w:t>
      </w:r>
      <w:r w:rsidRPr="006C7091">
        <w:t>OMPI sur les conséquences pratiques règlement général de l</w:t>
      </w:r>
      <w:r>
        <w:t>’</w:t>
      </w:r>
      <w:r w:rsidRPr="006C7091">
        <w:t>Union européenne sur la protection des données</w:t>
      </w:r>
      <w:r w:rsidR="002347BC">
        <w:t> </w:t>
      </w:r>
      <w:r w:rsidRPr="006C7091">
        <w:t xml:space="preserve">(RGPD) sur les procédures UDRP. </w:t>
      </w:r>
      <w:r>
        <w:t xml:space="preserve"> </w:t>
      </w:r>
      <w:r w:rsidRPr="006C7091">
        <w:t>Voir les paragraphes</w:t>
      </w:r>
      <w:r>
        <w:t> </w:t>
      </w:r>
      <w:r w:rsidRPr="006C7091">
        <w:t>35 à 37 ci</w:t>
      </w:r>
      <w:r>
        <w:noBreakHyphen/>
      </w:r>
      <w:r w:rsidRPr="006C7091">
        <w:t>après.</w:t>
      </w:r>
      <w:r>
        <w:t xml:space="preserve"> </w:t>
      </w:r>
      <w:r w:rsidRPr="006C7091">
        <w:t xml:space="preserve"> Voir également le paragraphe</w:t>
      </w:r>
      <w:r>
        <w:t> </w:t>
      </w:r>
      <w:r w:rsidRPr="006C7091">
        <w:t>30 du</w:t>
      </w:r>
      <w:r w:rsidR="002347BC">
        <w:t> </w:t>
      </w:r>
      <w:r w:rsidRPr="006C7091">
        <w:t>document</w:t>
      </w:r>
      <w:r>
        <w:t> </w:t>
      </w:r>
      <w:r w:rsidRPr="006C7091">
        <w:t>WO/GA/47/14 et les paragraphes</w:t>
      </w:r>
      <w:r>
        <w:t> </w:t>
      </w:r>
      <w:r w:rsidRPr="006C7091">
        <w:t>14</w:t>
      </w:r>
      <w:r w:rsidR="002347BC">
        <w:t> </w:t>
      </w:r>
      <w:r w:rsidRPr="006C7091">
        <w:t>à</w:t>
      </w:r>
      <w:r w:rsidR="002347BC">
        <w:t> </w:t>
      </w:r>
      <w:r w:rsidRPr="006C7091">
        <w:t>16 du document</w:t>
      </w:r>
      <w:r>
        <w:t> </w:t>
      </w:r>
      <w:r w:rsidRPr="006C7091">
        <w:t>WO/GA/41/17</w:t>
      </w:r>
      <w:r>
        <w:t> </w:t>
      </w:r>
      <w:r w:rsidR="002347BC">
        <w:t>Rev.2.</w:t>
      </w:r>
    </w:p>
  </w:footnote>
  <w:footnote w:id="44">
    <w:p w14:paraId="35925A30" w14:textId="2A7CA9D5"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Pr>
          <w:szCs w:val="18"/>
        </w:rPr>
        <w:t>https://www.wipo.int/amc/en/events/workshops/2023/domainname.html</w:t>
      </w:r>
      <w:r w:rsidRPr="006C7091">
        <w:t>.</w:t>
      </w:r>
    </w:p>
  </w:footnote>
  <w:footnote w:id="45">
    <w:p w14:paraId="4A9AAE71" w14:textId="48BCAD16"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Pr>
          <w:szCs w:val="18"/>
        </w:rPr>
        <w:t>https://www.wipo.int/amc/fr/domains/cctld/</w:t>
      </w:r>
      <w:r w:rsidRPr="006C7091">
        <w:t>.</w:t>
      </w:r>
    </w:p>
  </w:footnote>
  <w:footnote w:id="46">
    <w:p w14:paraId="2B22F813" w14:textId="7DF0180D" w:rsidR="005723D0" w:rsidRPr="006C7091" w:rsidRDefault="005723D0" w:rsidP="008E0BF9">
      <w:pPr>
        <w:pStyle w:val="FootnoteText"/>
        <w:rPr>
          <w:szCs w:val="18"/>
        </w:rPr>
      </w:pPr>
      <w:r w:rsidRPr="006C7091">
        <w:rPr>
          <w:rStyle w:val="FootnoteReference"/>
          <w:szCs w:val="18"/>
        </w:rPr>
        <w:footnoteRef/>
      </w:r>
      <w:r w:rsidRPr="006C7091">
        <w:rPr>
          <w:szCs w:val="18"/>
        </w:rPr>
        <w:tab/>
        <w:t>Parmi les autres ccTLD ayant été ajoutés</w:t>
      </w:r>
      <w:r>
        <w:rPr>
          <w:szCs w:val="18"/>
        </w:rPr>
        <w:t xml:space="preserve">, </w:t>
      </w:r>
      <w:r w:rsidRPr="006C7091">
        <w:rPr>
          <w:szCs w:val="18"/>
        </w:rPr>
        <w:t>ces dernières années figurent .AI (Anguilla), .CN et .</w:t>
      </w:r>
      <w:r w:rsidRPr="006C7091">
        <w:rPr>
          <w:rFonts w:eastAsia="MS Gothic"/>
          <w:szCs w:val="18"/>
        </w:rPr>
        <w:t>中国</w:t>
      </w:r>
      <w:r w:rsidRPr="006C7091">
        <w:rPr>
          <w:szCs w:val="18"/>
        </w:rPr>
        <w:t xml:space="preserve"> (Chine), .EU (Union européenne), .GE (Géorgie), .PY (Paraguay), </w:t>
      </w:r>
      <w:r>
        <w:rPr>
          <w:color w:val="3B3B3B"/>
          <w:shd w:val="clear" w:color="auto" w:fill="FAFAFA"/>
        </w:rPr>
        <w:t>.SA et</w:t>
      </w:r>
      <w:r w:rsidRPr="00D150A2">
        <w:rPr>
          <w:szCs w:val="18"/>
        </w:rPr>
        <w:t xml:space="preserve"> السعودية. </w:t>
      </w:r>
      <w:r>
        <w:rPr>
          <w:szCs w:val="18"/>
        </w:rPr>
        <w:t xml:space="preserve"> </w:t>
      </w:r>
      <w:r w:rsidRPr="00D150A2">
        <w:rPr>
          <w:szCs w:val="18"/>
        </w:rPr>
        <w:t>(</w:t>
      </w:r>
      <w:r>
        <w:rPr>
          <w:szCs w:val="18"/>
        </w:rPr>
        <w:t>Arabie saoudite</w:t>
      </w:r>
      <w:r w:rsidRPr="00D150A2">
        <w:rPr>
          <w:szCs w:val="18"/>
        </w:rPr>
        <w:t>),</w:t>
      </w:r>
      <w:r>
        <w:rPr>
          <w:szCs w:val="18"/>
        </w:rPr>
        <w:t xml:space="preserve"> </w:t>
      </w:r>
      <w:r w:rsidRPr="006C7091">
        <w:rPr>
          <w:szCs w:val="18"/>
        </w:rPr>
        <w:t xml:space="preserve">.SE (Suède) et .UA (Ukraine); </w:t>
      </w:r>
      <w:r>
        <w:rPr>
          <w:szCs w:val="18"/>
        </w:rPr>
        <w:t xml:space="preserve"> </w:t>
      </w:r>
      <w:r w:rsidRPr="006C7091">
        <w:rPr>
          <w:szCs w:val="18"/>
        </w:rPr>
        <w:t>les services d</w:t>
      </w:r>
      <w:r>
        <w:rPr>
          <w:szCs w:val="18"/>
        </w:rPr>
        <w:t>’</w:t>
      </w:r>
      <w:r w:rsidRPr="006C7091">
        <w:rPr>
          <w:szCs w:val="18"/>
        </w:rPr>
        <w:t xml:space="preserve">enregistrement .AC, .IO et .SH ont adopté une version des principes UDRP légèrement modifiée. </w:t>
      </w:r>
      <w:r>
        <w:rPr>
          <w:szCs w:val="18"/>
        </w:rPr>
        <w:t xml:space="preserve"> </w:t>
      </w:r>
      <w:r w:rsidRPr="006C7091">
        <w:rPr>
          <w:szCs w:val="18"/>
        </w:rPr>
        <w:t>La liste complète des ccTLD qui ont désigné le Centre comme prestataire de services de règlement des litiges relatifs aux noms de domaine est disponible à l</w:t>
      </w:r>
      <w:r>
        <w:rPr>
          <w:szCs w:val="18"/>
        </w:rPr>
        <w:t>’</w:t>
      </w:r>
      <w:r w:rsidRPr="006C7091">
        <w:rPr>
          <w:szCs w:val="18"/>
        </w:rPr>
        <w:t>adresse suivante</w:t>
      </w:r>
      <w:r>
        <w:rPr>
          <w:szCs w:val="18"/>
        </w:rPr>
        <w:t> :</w:t>
      </w:r>
      <w:r w:rsidRPr="006C7091">
        <w:rPr>
          <w:szCs w:val="18"/>
        </w:rPr>
        <w:t xml:space="preserve"> </w:t>
      </w:r>
      <w:r w:rsidRPr="001A0E04">
        <w:rPr>
          <w:szCs w:val="18"/>
        </w:rPr>
        <w:t>https://www.wipo.int/amc/fr/domains/cctld/index.html</w:t>
      </w:r>
      <w:r w:rsidRPr="006C7091">
        <w:rPr>
          <w:szCs w:val="18"/>
        </w:rPr>
        <w:t>.</w:t>
      </w:r>
    </w:p>
  </w:footnote>
  <w:footnote w:id="47">
    <w:p w14:paraId="7793AE44" w14:textId="41365302" w:rsidR="005723D0" w:rsidRPr="006C7091" w:rsidRDefault="005723D0" w:rsidP="008E0BF9">
      <w:pPr>
        <w:pStyle w:val="FootnoteText"/>
      </w:pPr>
      <w:r w:rsidRPr="006C7091">
        <w:rPr>
          <w:rStyle w:val="FootnoteReference"/>
        </w:rPr>
        <w:footnoteRef/>
      </w:r>
      <w:r w:rsidRPr="006C7091">
        <w:t xml:space="preserve"> </w:t>
      </w:r>
      <w:r w:rsidRPr="006C7091">
        <w:tab/>
        <w:t>Par exemple, la page du Centre consacrée au domaine .CH (Suisse) est désormais également disponible en allemand et en italien, en sus du français, de l</w:t>
      </w:r>
      <w:r>
        <w:t>’</w:t>
      </w:r>
      <w:r w:rsidRPr="006C7091">
        <w:t>anglais et de l</w:t>
      </w:r>
      <w:r>
        <w:t>’</w:t>
      </w:r>
      <w:r w:rsidRPr="006C7091">
        <w:t>espagnol.</w:t>
      </w:r>
    </w:p>
  </w:footnote>
  <w:footnote w:id="48">
    <w:p w14:paraId="77915DD6" w14:textId="6BED17D7" w:rsidR="005723D0" w:rsidRPr="006C7091" w:rsidRDefault="005723D0" w:rsidP="008E0BF9">
      <w:pPr>
        <w:pStyle w:val="FootnoteText"/>
      </w:pPr>
      <w:r w:rsidRPr="006C7091">
        <w:rPr>
          <w:rStyle w:val="FootnoteReference"/>
        </w:rPr>
        <w:footnoteRef/>
      </w:r>
      <w:r w:rsidRPr="006C7091">
        <w:t xml:space="preserve"> </w:t>
      </w:r>
      <w:r w:rsidRPr="006C7091">
        <w:tab/>
        <w:t>Voir https://www.wipo.int/a</w:t>
      </w:r>
      <w:r w:rsidR="002347BC">
        <w:t>mc/fr/domains/cctld/index.html.</w:t>
      </w:r>
    </w:p>
  </w:footnote>
  <w:footnote w:id="49">
    <w:p w14:paraId="1EC9D3C1" w14:textId="77777777" w:rsidR="005723D0" w:rsidRPr="006C7091" w:rsidRDefault="005723D0" w:rsidP="008E0BF9">
      <w:pPr>
        <w:pStyle w:val="FootnoteText"/>
      </w:pPr>
      <w:r w:rsidRPr="006C7091">
        <w:rPr>
          <w:rStyle w:val="FootnoteReference"/>
        </w:rPr>
        <w:footnoteRef/>
      </w:r>
      <w:r w:rsidRPr="006C7091">
        <w:t xml:space="preserve"> </w:t>
      </w:r>
      <w:r w:rsidRPr="006C7091">
        <w:tab/>
        <w:t>Voir https://www.wipo.int/edocs/pubdocs/en/wipo_pub_1069.pdf.</w:t>
      </w:r>
    </w:p>
  </w:footnote>
  <w:footnote w:id="50">
    <w:p w14:paraId="3FCD5414" w14:textId="3A39BF76"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C64E8F">
        <w:t>https://www.icann.org/fr/board</w:t>
      </w:r>
      <w:r>
        <w:noBreakHyphen/>
      </w:r>
      <w:r w:rsidRPr="00C64E8F">
        <w:t>activities</w:t>
      </w:r>
      <w:r>
        <w:noBreakHyphen/>
      </w:r>
      <w:r w:rsidRPr="00C64E8F">
        <w:t>and</w:t>
      </w:r>
      <w:r>
        <w:noBreakHyphen/>
      </w:r>
      <w:r w:rsidRPr="00C64E8F">
        <w:t>meetings/materials/approved</w:t>
      </w:r>
      <w:r>
        <w:noBreakHyphen/>
      </w:r>
      <w:r w:rsidRPr="00C64E8F">
        <w:t>resolutions</w:t>
      </w:r>
      <w:r>
        <w:noBreakHyphen/>
      </w:r>
      <w:r w:rsidRPr="00C64E8F">
        <w:t>regular</w:t>
      </w:r>
      <w:r>
        <w:noBreakHyphen/>
      </w:r>
      <w:r w:rsidRPr="00C64E8F">
        <w:t>meeting</w:t>
      </w:r>
      <w:r>
        <w:noBreakHyphen/>
      </w:r>
      <w:r w:rsidRPr="00C64E8F">
        <w:t>of</w:t>
      </w:r>
      <w:r>
        <w:noBreakHyphen/>
      </w:r>
      <w:r w:rsidRPr="00C64E8F">
        <w:t>the</w:t>
      </w:r>
      <w:r>
        <w:noBreakHyphen/>
      </w:r>
      <w:r w:rsidRPr="00C64E8F">
        <w:t>icann</w:t>
      </w:r>
      <w:r>
        <w:noBreakHyphen/>
      </w:r>
      <w:r w:rsidRPr="00C64E8F">
        <w:t>board</w:t>
      </w:r>
      <w:r>
        <w:noBreakHyphen/>
      </w:r>
      <w:r w:rsidRPr="00C64E8F">
        <w:t>singapore</w:t>
      </w:r>
      <w:r>
        <w:noBreakHyphen/>
      </w:r>
      <w:r w:rsidRPr="00C64E8F">
        <w:t>20</w:t>
      </w:r>
      <w:r>
        <w:noBreakHyphen/>
      </w:r>
      <w:r w:rsidRPr="00C64E8F">
        <w:t>06</w:t>
      </w:r>
      <w:r>
        <w:noBreakHyphen/>
      </w:r>
      <w:r w:rsidRPr="00C64E8F">
        <w:t>2011</w:t>
      </w:r>
      <w:r>
        <w:noBreakHyphen/>
      </w:r>
      <w:r w:rsidRPr="00C64E8F">
        <w:t>fr</w:t>
      </w:r>
      <w:r w:rsidRPr="006C7091">
        <w:t>.</w:t>
      </w:r>
      <w:r>
        <w:t xml:space="preserve"> </w:t>
      </w:r>
      <w:r w:rsidRPr="006C7091">
        <w:t xml:space="preserve"> Pour davantage d</w:t>
      </w:r>
      <w:r>
        <w:t>’</w:t>
      </w:r>
      <w:r w:rsidRPr="006C7091">
        <w:t xml:space="preserve">informations, </w:t>
      </w:r>
      <w:r>
        <w:t>y compris</w:t>
      </w:r>
      <w:r w:rsidRPr="006C7091">
        <w:t xml:space="preserve"> des références, voir le</w:t>
      </w:r>
      <w:r w:rsidR="002438A6">
        <w:t> </w:t>
      </w:r>
      <w:r w:rsidRPr="006C7091">
        <w:t>document</w:t>
      </w:r>
      <w:r>
        <w:t> </w:t>
      </w:r>
      <w:r w:rsidRPr="006C7091">
        <w:t>WO/GA/39/10, en particulier le paragraphe</w:t>
      </w:r>
      <w:r>
        <w:t> </w:t>
      </w:r>
      <w:r w:rsidRPr="006C7091">
        <w:t>14</w:t>
      </w:r>
      <w:r>
        <w:t>.</w:t>
      </w:r>
    </w:p>
  </w:footnote>
  <w:footnote w:id="51">
    <w:p w14:paraId="431F4940" w14:textId="03D8B333" w:rsidR="005723D0" w:rsidRPr="006C7091" w:rsidRDefault="005723D0" w:rsidP="008E0BF9">
      <w:pPr>
        <w:pStyle w:val="FootnoteText"/>
      </w:pPr>
      <w:r w:rsidRPr="006C7091">
        <w:rPr>
          <w:rStyle w:val="FootnoteReference"/>
        </w:rPr>
        <w:footnoteRef/>
      </w:r>
      <w:r w:rsidRPr="006C7091">
        <w:t xml:space="preserve"> </w:t>
      </w:r>
      <w:r w:rsidRPr="006C7091">
        <w:tab/>
        <w:t>La version actuelle du “Guide de candidature” de l</w:t>
      </w:r>
      <w:r>
        <w:t>’</w:t>
      </w:r>
      <w:r w:rsidRPr="006C7091">
        <w:t>ICANN est publiée à l</w:t>
      </w:r>
      <w:r>
        <w:t>’</w:t>
      </w:r>
      <w:r w:rsidRPr="006C7091">
        <w:t>adresse</w:t>
      </w:r>
      <w:r w:rsidR="002438A6">
        <w:t> </w:t>
      </w:r>
      <w:r w:rsidRPr="006C7091">
        <w:t>http</w:t>
      </w:r>
      <w:r>
        <w:t>s</w:t>
      </w:r>
      <w:r w:rsidRPr="006C7091">
        <w:t>://newgtl</w:t>
      </w:r>
      <w:r w:rsidR="002438A6">
        <w:t>ds.icann.org/en/applicants/agb.</w:t>
      </w:r>
    </w:p>
  </w:footnote>
  <w:footnote w:id="52">
    <w:p w14:paraId="2249E8C1" w14:textId="151DAA69" w:rsidR="005723D0" w:rsidRPr="006C7091" w:rsidRDefault="005723D0" w:rsidP="008E0BF9">
      <w:pPr>
        <w:pStyle w:val="FootnoteText"/>
      </w:pPr>
      <w:r w:rsidRPr="006C7091">
        <w:rPr>
          <w:rStyle w:val="FootnoteReference"/>
        </w:rPr>
        <w:footnoteRef/>
      </w:r>
      <w:r w:rsidRPr="006C7091">
        <w:t xml:space="preserve"> </w:t>
      </w:r>
      <w:r w:rsidRPr="006C7091">
        <w:tab/>
        <w:t>La liste des nouveaux gTLD attribués figure à l</w:t>
      </w:r>
      <w:r>
        <w:t>’</w:t>
      </w:r>
      <w:r w:rsidRPr="006C7091">
        <w:t>adresse</w:t>
      </w:r>
      <w:r w:rsidR="002438A6">
        <w:t> </w:t>
      </w:r>
      <w:r w:rsidR="002438A6" w:rsidRPr="002438A6">
        <w:t>https://newgtlds.icann.org/en/program-status/delegated-strings</w:t>
      </w:r>
      <w:r w:rsidR="002438A6">
        <w:t>.</w:t>
      </w:r>
    </w:p>
  </w:footnote>
  <w:footnote w:id="53">
    <w:p w14:paraId="0872F90D" w14:textId="69D003CC" w:rsidR="005723D0" w:rsidRPr="006C7091" w:rsidRDefault="005723D0" w:rsidP="008E0BF9">
      <w:pPr>
        <w:pStyle w:val="FootnoteText"/>
      </w:pPr>
      <w:r w:rsidRPr="006C7091">
        <w:rPr>
          <w:rStyle w:val="FootnoteReference"/>
        </w:rPr>
        <w:footnoteRef/>
      </w:r>
      <w:r w:rsidRPr="006C7091">
        <w:t xml:space="preserve"> </w:t>
      </w:r>
      <w:r w:rsidRPr="006C7091">
        <w:tab/>
      </w:r>
      <w:r>
        <w:rPr>
          <w:szCs w:val="18"/>
        </w:rPr>
        <w:t>Voir la section 2.a à l’adresse </w:t>
      </w:r>
      <w:r w:rsidRPr="000B0AF1">
        <w:rPr>
          <w:szCs w:val="18"/>
        </w:rPr>
        <w:t>https://www.icann.org/fr/board</w:t>
      </w:r>
      <w:r>
        <w:rPr>
          <w:szCs w:val="18"/>
        </w:rPr>
        <w:noBreakHyphen/>
      </w:r>
      <w:r w:rsidRPr="000B0AF1">
        <w:rPr>
          <w:szCs w:val="18"/>
        </w:rPr>
        <w:t>activities</w:t>
      </w:r>
      <w:r>
        <w:rPr>
          <w:szCs w:val="18"/>
        </w:rPr>
        <w:noBreakHyphen/>
      </w:r>
      <w:r w:rsidRPr="000B0AF1">
        <w:rPr>
          <w:szCs w:val="18"/>
        </w:rPr>
        <w:t>and</w:t>
      </w:r>
      <w:r>
        <w:rPr>
          <w:szCs w:val="18"/>
        </w:rPr>
        <w:noBreakHyphen/>
      </w:r>
      <w:r w:rsidRPr="000B0AF1">
        <w:rPr>
          <w:szCs w:val="18"/>
        </w:rPr>
        <w:t>meetings/materials/approved</w:t>
      </w:r>
      <w:r>
        <w:rPr>
          <w:szCs w:val="18"/>
        </w:rPr>
        <w:noBreakHyphen/>
      </w:r>
      <w:r w:rsidRPr="000B0AF1">
        <w:rPr>
          <w:szCs w:val="18"/>
        </w:rPr>
        <w:t>resolutions</w:t>
      </w:r>
      <w:r>
        <w:rPr>
          <w:szCs w:val="18"/>
        </w:rPr>
        <w:noBreakHyphen/>
      </w:r>
      <w:r w:rsidRPr="000B0AF1">
        <w:rPr>
          <w:szCs w:val="18"/>
        </w:rPr>
        <w:t>regular</w:t>
      </w:r>
      <w:r>
        <w:rPr>
          <w:szCs w:val="18"/>
        </w:rPr>
        <w:noBreakHyphen/>
      </w:r>
      <w:r w:rsidRPr="000B0AF1">
        <w:rPr>
          <w:szCs w:val="18"/>
        </w:rPr>
        <w:t>meeting</w:t>
      </w:r>
      <w:r>
        <w:rPr>
          <w:szCs w:val="18"/>
        </w:rPr>
        <w:noBreakHyphen/>
      </w:r>
      <w:r w:rsidRPr="000B0AF1">
        <w:rPr>
          <w:szCs w:val="18"/>
        </w:rPr>
        <w:t>of</w:t>
      </w:r>
      <w:r>
        <w:rPr>
          <w:szCs w:val="18"/>
        </w:rPr>
        <w:noBreakHyphen/>
      </w:r>
      <w:r w:rsidRPr="000B0AF1">
        <w:rPr>
          <w:szCs w:val="18"/>
        </w:rPr>
        <w:t>the</w:t>
      </w:r>
      <w:r>
        <w:rPr>
          <w:szCs w:val="18"/>
        </w:rPr>
        <w:noBreakHyphen/>
      </w:r>
      <w:r w:rsidRPr="000B0AF1">
        <w:rPr>
          <w:szCs w:val="18"/>
        </w:rPr>
        <w:t>icann</w:t>
      </w:r>
      <w:r>
        <w:rPr>
          <w:szCs w:val="18"/>
        </w:rPr>
        <w:noBreakHyphen/>
      </w:r>
      <w:r w:rsidRPr="000B0AF1">
        <w:rPr>
          <w:szCs w:val="18"/>
        </w:rPr>
        <w:t>board</w:t>
      </w:r>
      <w:r>
        <w:rPr>
          <w:szCs w:val="18"/>
        </w:rPr>
        <w:noBreakHyphen/>
      </w:r>
      <w:r w:rsidRPr="000B0AF1">
        <w:rPr>
          <w:szCs w:val="18"/>
        </w:rPr>
        <w:t>16</w:t>
      </w:r>
      <w:r>
        <w:rPr>
          <w:szCs w:val="18"/>
        </w:rPr>
        <w:noBreakHyphen/>
      </w:r>
      <w:r w:rsidRPr="000B0AF1">
        <w:rPr>
          <w:szCs w:val="18"/>
        </w:rPr>
        <w:t>03</w:t>
      </w:r>
      <w:r>
        <w:rPr>
          <w:szCs w:val="18"/>
        </w:rPr>
        <w:noBreakHyphen/>
      </w:r>
      <w:r w:rsidRPr="000B0AF1">
        <w:rPr>
          <w:szCs w:val="18"/>
        </w:rPr>
        <w:t>2023</w:t>
      </w:r>
      <w:r>
        <w:rPr>
          <w:szCs w:val="18"/>
        </w:rPr>
        <w:noBreakHyphen/>
      </w:r>
      <w:r w:rsidRPr="000B0AF1">
        <w:rPr>
          <w:szCs w:val="18"/>
        </w:rPr>
        <w:t>en</w:t>
      </w:r>
      <w:r>
        <w:rPr>
          <w:szCs w:val="18"/>
        </w:rPr>
        <w:t>, ainsi qu’à l’adresse </w:t>
      </w:r>
      <w:r w:rsidRPr="000B0AF1">
        <w:rPr>
          <w:szCs w:val="18"/>
        </w:rPr>
        <w:t>https://www.icann.org/fr/announcements/details/icann</w:t>
      </w:r>
      <w:r>
        <w:rPr>
          <w:szCs w:val="18"/>
        </w:rPr>
        <w:noBreakHyphen/>
      </w:r>
      <w:r w:rsidRPr="000B0AF1">
        <w:rPr>
          <w:szCs w:val="18"/>
        </w:rPr>
        <w:t>board</w:t>
      </w:r>
      <w:r>
        <w:rPr>
          <w:szCs w:val="18"/>
        </w:rPr>
        <w:noBreakHyphen/>
      </w:r>
      <w:r w:rsidRPr="000B0AF1">
        <w:rPr>
          <w:szCs w:val="18"/>
        </w:rPr>
        <w:t>moves</w:t>
      </w:r>
      <w:r>
        <w:rPr>
          <w:szCs w:val="18"/>
        </w:rPr>
        <w:noBreakHyphen/>
      </w:r>
      <w:r w:rsidRPr="000B0AF1">
        <w:rPr>
          <w:szCs w:val="18"/>
        </w:rPr>
        <w:t>to</w:t>
      </w:r>
      <w:r>
        <w:rPr>
          <w:szCs w:val="18"/>
        </w:rPr>
        <w:noBreakHyphen/>
      </w:r>
      <w:r w:rsidRPr="000B0AF1">
        <w:rPr>
          <w:szCs w:val="18"/>
        </w:rPr>
        <w:t>begin</w:t>
      </w:r>
      <w:r>
        <w:rPr>
          <w:szCs w:val="18"/>
        </w:rPr>
        <w:noBreakHyphen/>
      </w:r>
      <w:r w:rsidRPr="000B0AF1">
        <w:rPr>
          <w:szCs w:val="18"/>
        </w:rPr>
        <w:t>preparations</w:t>
      </w:r>
      <w:r>
        <w:rPr>
          <w:szCs w:val="18"/>
        </w:rPr>
        <w:noBreakHyphen/>
      </w:r>
      <w:r w:rsidRPr="000B0AF1">
        <w:rPr>
          <w:szCs w:val="18"/>
        </w:rPr>
        <w:t>for</w:t>
      </w:r>
      <w:r>
        <w:rPr>
          <w:szCs w:val="18"/>
        </w:rPr>
        <w:noBreakHyphen/>
      </w:r>
      <w:r w:rsidRPr="000B0AF1">
        <w:rPr>
          <w:szCs w:val="18"/>
        </w:rPr>
        <w:t>the</w:t>
      </w:r>
      <w:r>
        <w:rPr>
          <w:szCs w:val="18"/>
        </w:rPr>
        <w:noBreakHyphen/>
      </w:r>
      <w:r w:rsidRPr="000B0AF1">
        <w:rPr>
          <w:szCs w:val="18"/>
        </w:rPr>
        <w:t>next</w:t>
      </w:r>
      <w:r>
        <w:rPr>
          <w:szCs w:val="18"/>
        </w:rPr>
        <w:noBreakHyphen/>
      </w:r>
      <w:r w:rsidRPr="000B0AF1">
        <w:rPr>
          <w:szCs w:val="18"/>
        </w:rPr>
        <w:t>round</w:t>
      </w:r>
      <w:r>
        <w:rPr>
          <w:szCs w:val="18"/>
        </w:rPr>
        <w:noBreakHyphen/>
      </w:r>
      <w:r w:rsidRPr="000B0AF1">
        <w:rPr>
          <w:szCs w:val="18"/>
        </w:rPr>
        <w:t>of</w:t>
      </w:r>
      <w:r>
        <w:rPr>
          <w:szCs w:val="18"/>
        </w:rPr>
        <w:noBreakHyphen/>
      </w:r>
      <w:r w:rsidRPr="000B0AF1">
        <w:rPr>
          <w:szCs w:val="18"/>
        </w:rPr>
        <w:t>new</w:t>
      </w:r>
      <w:r>
        <w:rPr>
          <w:szCs w:val="18"/>
        </w:rPr>
        <w:noBreakHyphen/>
      </w:r>
      <w:r w:rsidRPr="000B0AF1">
        <w:rPr>
          <w:szCs w:val="18"/>
        </w:rPr>
        <w:t>gtlds</w:t>
      </w:r>
      <w:r>
        <w:rPr>
          <w:szCs w:val="18"/>
        </w:rPr>
        <w:noBreakHyphen/>
      </w:r>
      <w:r w:rsidRPr="000B0AF1">
        <w:rPr>
          <w:szCs w:val="18"/>
        </w:rPr>
        <w:t>16</w:t>
      </w:r>
      <w:r>
        <w:rPr>
          <w:szCs w:val="18"/>
        </w:rPr>
        <w:noBreakHyphen/>
      </w:r>
      <w:r w:rsidRPr="000B0AF1">
        <w:rPr>
          <w:szCs w:val="18"/>
        </w:rPr>
        <w:t>03</w:t>
      </w:r>
      <w:r>
        <w:rPr>
          <w:szCs w:val="18"/>
        </w:rPr>
        <w:noBreakHyphen/>
      </w:r>
      <w:r w:rsidRPr="000B0AF1">
        <w:rPr>
          <w:szCs w:val="18"/>
        </w:rPr>
        <w:t>2023</w:t>
      </w:r>
      <w:r>
        <w:rPr>
          <w:szCs w:val="18"/>
        </w:rPr>
        <w:noBreakHyphen/>
      </w:r>
      <w:r w:rsidRPr="000B0AF1">
        <w:rPr>
          <w:szCs w:val="18"/>
        </w:rPr>
        <w:t>fr</w:t>
      </w:r>
      <w:r w:rsidRPr="006C7091">
        <w:t>.</w:t>
      </w:r>
    </w:p>
  </w:footnote>
  <w:footnote w:id="54">
    <w:p w14:paraId="3DC91F65" w14:textId="05FEAEAF" w:rsidR="005723D0" w:rsidRPr="006C7091" w:rsidRDefault="005723D0" w:rsidP="008E0BF9">
      <w:pPr>
        <w:pStyle w:val="FootnoteText"/>
      </w:pPr>
      <w:r w:rsidRPr="006C7091">
        <w:rPr>
          <w:rStyle w:val="FootnoteReference"/>
        </w:rPr>
        <w:footnoteRef/>
      </w:r>
      <w:r w:rsidRPr="006C7091">
        <w:t xml:space="preserve"> </w:t>
      </w:r>
      <w:r w:rsidRPr="006C7091">
        <w:tab/>
        <w:t>Pour davantage d</w:t>
      </w:r>
      <w:r>
        <w:t>’</w:t>
      </w:r>
      <w:r w:rsidRPr="006C7091">
        <w:t xml:space="preserve">informations, </w:t>
      </w:r>
      <w:r>
        <w:t>y compris</w:t>
      </w:r>
      <w:r w:rsidRPr="006C7091">
        <w:t xml:space="preserve"> des références, voir le document</w:t>
      </w:r>
      <w:r>
        <w:t> </w:t>
      </w:r>
      <w:r w:rsidRPr="006C7091">
        <w:t>WO/GA/39/10, en particulier les paragraphes</w:t>
      </w:r>
      <w:r>
        <w:t> </w:t>
      </w:r>
      <w:r w:rsidRPr="006C7091">
        <w:t>23 à 30.  Il y est indiqué que l</w:t>
      </w:r>
      <w:r>
        <w:t>’</w:t>
      </w:r>
      <w:r w:rsidRPr="006C7091">
        <w:t>ICANN a rejeté une proposition en faveur d</w:t>
      </w:r>
      <w:r>
        <w:t>’</w:t>
      </w:r>
      <w:r w:rsidRPr="006C7091">
        <w:t xml:space="preserve">une </w:t>
      </w:r>
      <w:r>
        <w:t>“</w:t>
      </w:r>
      <w:r w:rsidRPr="006C7091">
        <w:t>Liste des marques protégées au niveau international</w:t>
      </w:r>
      <w:r>
        <w:t>”</w:t>
      </w:r>
      <w:r w:rsidRPr="006C7091">
        <w:t>.</w:t>
      </w:r>
    </w:p>
  </w:footnote>
  <w:footnote w:id="55">
    <w:p w14:paraId="67C63DF4" w14:textId="19CFAA19" w:rsidR="005723D0" w:rsidRPr="006C7091" w:rsidRDefault="005723D0" w:rsidP="008E0BF9">
      <w:pPr>
        <w:pStyle w:val="FootnoteText"/>
      </w:pPr>
      <w:r w:rsidRPr="006C7091">
        <w:rPr>
          <w:rStyle w:val="FootnoteReference"/>
        </w:rPr>
        <w:footnoteRef/>
      </w:r>
      <w:r w:rsidRPr="006C7091">
        <w:t xml:space="preserve"> </w:t>
      </w:r>
      <w:r w:rsidRPr="006C7091">
        <w:tab/>
        <w:t>Les autres motifs d</w:t>
      </w:r>
      <w:r>
        <w:t>’</w:t>
      </w:r>
      <w:r w:rsidRPr="006C7091">
        <w:t>objection reconnus par l</w:t>
      </w:r>
      <w:r>
        <w:t>’</w:t>
      </w:r>
      <w:r w:rsidRPr="006C7091">
        <w:t>ICANN étaient</w:t>
      </w:r>
      <w:r>
        <w:t> :</w:t>
      </w:r>
      <w:r w:rsidRPr="006C7091">
        <w:t xml:space="preserve"> “objections relatives aux chaînes de caractères prêtant à confusion”, “objections à titre communautaire” et “objections limitées à titre d</w:t>
      </w:r>
      <w:r>
        <w:t>’</w:t>
      </w:r>
      <w:r w:rsidRPr="006C7091">
        <w:t xml:space="preserve">intérêt public”. </w:t>
      </w:r>
      <w:r>
        <w:t xml:space="preserve"> </w:t>
      </w:r>
      <w:r w:rsidRPr="006C7091">
        <w:t>Le Guide de candidature prévoit par ailleurs plusieurs autres procédures dont peuvent se prévaloir les gouvernements suite à l</w:t>
      </w:r>
      <w:r>
        <w:t>’</w:t>
      </w:r>
      <w:r w:rsidRPr="006C7091">
        <w:t>annonce par l</w:t>
      </w:r>
      <w:r>
        <w:t>’</w:t>
      </w:r>
      <w:r w:rsidRPr="006C7091">
        <w:t xml:space="preserve">ICANN de nouvelles demandes de gTLD. </w:t>
      </w:r>
      <w:r>
        <w:t xml:space="preserve"> </w:t>
      </w:r>
      <w:r w:rsidRPr="006C7091">
        <w:t>À cet égard, la section</w:t>
      </w:r>
      <w:r>
        <w:t> </w:t>
      </w:r>
      <w:r w:rsidRPr="006C7091">
        <w:t>1.1.2.4 prévoit l</w:t>
      </w:r>
      <w:r>
        <w:t>’</w:t>
      </w:r>
      <w:r w:rsidRPr="006C7091">
        <w:t>“Avertissement anticipé du</w:t>
      </w:r>
      <w:r>
        <w:t> </w:t>
      </w:r>
      <w:r w:rsidRPr="006C7091">
        <w:t>GAC” et la section</w:t>
      </w:r>
      <w:r>
        <w:t> </w:t>
      </w:r>
      <w:r w:rsidRPr="006C7091">
        <w:t>1.1.2.7 la “Réception d</w:t>
      </w:r>
      <w:r>
        <w:t>’</w:t>
      </w:r>
      <w:r w:rsidRPr="006C7091">
        <w:t>avis du</w:t>
      </w:r>
      <w:r>
        <w:t> </w:t>
      </w:r>
      <w:r w:rsidRPr="006C7091">
        <w:t>GAC sur les nouveaux gTLD” pour examen du Conseil d</w:t>
      </w:r>
      <w:r>
        <w:t>’</w:t>
      </w:r>
      <w:r w:rsidRPr="006C7091">
        <w:t>administration de l</w:t>
      </w:r>
      <w:r>
        <w:t>’</w:t>
      </w:r>
      <w:r w:rsidRPr="006C7091">
        <w:t>ICANN.</w:t>
      </w:r>
    </w:p>
  </w:footnote>
  <w:footnote w:id="56">
    <w:p w14:paraId="3B43B8CB" w14:textId="26C368A0" w:rsidR="005723D0" w:rsidRPr="006C7091" w:rsidRDefault="005723D0" w:rsidP="008E0BF9">
      <w:pPr>
        <w:pStyle w:val="FootnoteText"/>
      </w:pPr>
      <w:r w:rsidRPr="006C7091">
        <w:rPr>
          <w:rStyle w:val="FootnoteReference"/>
        </w:rPr>
        <w:footnoteRef/>
      </w:r>
      <w:r w:rsidRPr="006C7091">
        <w:t xml:space="preserve"> </w:t>
      </w:r>
      <w:r w:rsidRPr="006C7091">
        <w:tab/>
        <w:t>Adoptée par l</w:t>
      </w:r>
      <w:r>
        <w:t>’</w:t>
      </w:r>
      <w:r w:rsidRPr="006C7091">
        <w:t>Assemblée générale de l</w:t>
      </w:r>
      <w:r>
        <w:t>’</w:t>
      </w:r>
      <w:r w:rsidRPr="006C7091">
        <w:t>OMPI en septembre</w:t>
      </w:r>
      <w:r>
        <w:t> </w:t>
      </w:r>
      <w:r w:rsidRPr="006C7091">
        <w:t xml:space="preserve">2001; </w:t>
      </w:r>
      <w:r>
        <w:t xml:space="preserve"> </w:t>
      </w:r>
      <w:r w:rsidRPr="006C7091">
        <w:t xml:space="preserve">voir </w:t>
      </w:r>
      <w:r w:rsidRPr="000B0AF1">
        <w:t>https://www.wipo.int/edocs/pubdocs/fr/marks/845/pub845.pdf</w:t>
      </w:r>
      <w:r w:rsidRPr="006C7091">
        <w:t>.</w:t>
      </w:r>
    </w:p>
  </w:footnote>
  <w:footnote w:id="57">
    <w:p w14:paraId="301526F4" w14:textId="503EEA76" w:rsidR="005723D0" w:rsidRPr="006C7091" w:rsidRDefault="005723D0" w:rsidP="008E0BF9">
      <w:pPr>
        <w:pStyle w:val="FootnoteText"/>
      </w:pPr>
      <w:r w:rsidRPr="006C7091">
        <w:rPr>
          <w:rStyle w:val="FootnoteReference"/>
        </w:rPr>
        <w:footnoteRef/>
      </w:r>
      <w:r w:rsidRPr="006C7091">
        <w:t xml:space="preserve"> </w:t>
      </w:r>
      <w:r w:rsidRPr="006C7091">
        <w:tab/>
        <w:t>Voir la section</w:t>
      </w:r>
      <w:r>
        <w:t> </w:t>
      </w:r>
      <w:r w:rsidRPr="006C7091">
        <w:t>3.2 du Guide de candidature gTLD de l</w:t>
      </w:r>
      <w:r>
        <w:t>’</w:t>
      </w:r>
      <w:r w:rsidRPr="006C7091">
        <w:t>ICANN à l</w:t>
      </w:r>
      <w:r>
        <w:t>’</w:t>
      </w:r>
      <w:r w:rsidRPr="006C7091">
        <w:t>adresse suivante</w:t>
      </w:r>
      <w:r>
        <w:t> :</w:t>
      </w:r>
      <w:r w:rsidRPr="006C7091">
        <w:t xml:space="preserve"> </w:t>
      </w:r>
      <w:r w:rsidRPr="005E7E48">
        <w:t>https://newgtlds.icann.org/sites/default/files/objection</w:t>
      </w:r>
      <w:r>
        <w:noBreakHyphen/>
      </w:r>
      <w:r w:rsidRPr="005E7E48">
        <w:t>procedures</w:t>
      </w:r>
      <w:r>
        <w:noBreakHyphen/>
      </w:r>
      <w:r w:rsidRPr="005E7E48">
        <w:t>04jun12</w:t>
      </w:r>
      <w:r>
        <w:noBreakHyphen/>
      </w:r>
      <w:r w:rsidRPr="005E7E48">
        <w:t>en.pdf</w:t>
      </w:r>
      <w:r w:rsidRPr="006C7091">
        <w:t>.</w:t>
      </w:r>
    </w:p>
  </w:footnote>
  <w:footnote w:id="58">
    <w:p w14:paraId="36842500" w14:textId="47576391" w:rsidR="005723D0" w:rsidRPr="006C7091" w:rsidRDefault="005723D0" w:rsidP="008E0BF9">
      <w:pPr>
        <w:pStyle w:val="FootnoteText"/>
      </w:pPr>
      <w:r w:rsidRPr="006C7091">
        <w:rPr>
          <w:rStyle w:val="FootnoteReference"/>
        </w:rPr>
        <w:footnoteRef/>
      </w:r>
      <w:r w:rsidRPr="006C7091">
        <w:t xml:space="preserve"> </w:t>
      </w:r>
      <w:r w:rsidRPr="006C7091">
        <w:tab/>
        <w:t>Voir les règles de l</w:t>
      </w:r>
      <w:r>
        <w:t>’</w:t>
      </w:r>
      <w:r w:rsidRPr="006C7091">
        <w:t>OMPI concernant le règlement des litiges relatifs aux nouveaux gTLD et le barème des taxes, honoraires et frais, respectivement aux adresses suivantes</w:t>
      </w:r>
      <w:r>
        <w:t> :</w:t>
      </w:r>
      <w:r w:rsidRPr="006C7091">
        <w:t xml:space="preserve"> </w:t>
      </w:r>
      <w:r w:rsidRPr="005E7E48">
        <w:t xml:space="preserve">https://www.wipo.int/export/sites/www/amc/en/docs/wipolrorules.pdf </w:t>
      </w:r>
      <w:r w:rsidRPr="006C7091">
        <w:t xml:space="preserve">et </w:t>
      </w:r>
      <w:r w:rsidRPr="005E7E48">
        <w:t>https://www.wipo.int/amc/en/domains/lro/fees/</w:t>
      </w:r>
      <w:r w:rsidRPr="006C7091">
        <w:t xml:space="preserve">; </w:t>
      </w:r>
      <w:r>
        <w:t xml:space="preserve"> </w:t>
      </w:r>
      <w:r w:rsidRPr="006C7091">
        <w:t>voir les cas d</w:t>
      </w:r>
      <w:r>
        <w:t>’</w:t>
      </w:r>
      <w:r w:rsidRPr="006C7091">
        <w:t>objections déposés à l</w:t>
      </w:r>
      <w:r>
        <w:t>’</w:t>
      </w:r>
      <w:r w:rsidRPr="006C7091">
        <w:t>OMPI à l</w:t>
      </w:r>
      <w:r>
        <w:t>’</w:t>
      </w:r>
      <w:r w:rsidRPr="006C7091">
        <w:t>adresse suivante</w:t>
      </w:r>
      <w:r>
        <w:t> :</w:t>
      </w:r>
      <w:r w:rsidRPr="006C7091">
        <w:t xml:space="preserve"> </w:t>
      </w:r>
      <w:r w:rsidRPr="005E7E48">
        <w:t>https://www.wipo.int/amc/en/domains/lro/</w:t>
      </w:r>
      <w:r w:rsidRPr="006C7091">
        <w:t xml:space="preserve">. </w:t>
      </w:r>
      <w:r>
        <w:t xml:space="preserve"> </w:t>
      </w:r>
      <w:r w:rsidRPr="006C7091">
        <w:t>Toutes les décisions rendues par les commissions administratives de l</w:t>
      </w:r>
      <w:r>
        <w:t>’</w:t>
      </w:r>
      <w:r w:rsidRPr="006C7091">
        <w:t>OMPI sont disponibles sur le site Internet du Centre, de même que le rapport établi sur les procédures d</w:t>
      </w:r>
      <w:r>
        <w:t>’</w:t>
      </w:r>
      <w:r w:rsidRPr="006C7091">
        <w:t xml:space="preserve">objection pour atteinte aux droits. </w:t>
      </w:r>
      <w:r>
        <w:t xml:space="preserve"> </w:t>
      </w:r>
      <w:r w:rsidRPr="006C7091">
        <w:t>Le rapport de l</w:t>
      </w:r>
      <w:r>
        <w:t>’</w:t>
      </w:r>
      <w:r w:rsidRPr="006C7091">
        <w:t>OMPI sur les objections pour atteinte aux droits note qu</w:t>
      </w:r>
      <w:r>
        <w:t>’</w:t>
      </w:r>
      <w:r w:rsidRPr="006C7091">
        <w:t xml:space="preserve">une forte majorité des objections ont été déposées contre des demandes de gTLD portant sur des extensions ayant un sens descriptif ou donné par le dictionnaire. </w:t>
      </w:r>
      <w:r>
        <w:t xml:space="preserve"> </w:t>
      </w:r>
      <w:r w:rsidRPr="006C7091">
        <w:t>De nombreux groupes d</w:t>
      </w:r>
      <w:r>
        <w:t>’</w:t>
      </w:r>
      <w:r w:rsidRPr="006C7091">
        <w:t>experts sont parvenus à la conclusion que, lorsque le propriétaire d</w:t>
      </w:r>
      <w:r>
        <w:t>’</w:t>
      </w:r>
      <w:r w:rsidRPr="006C7091">
        <w:t xml:space="preserve">une marque a adopté un terme commun du dictionnaire comme nom de marque, une demande de gTLD visant uniquement à tirer avantage de ce sens commun ne violerait pas en soi les normes en matière de décisions applicables aux objections pour atteinte aux droits. </w:t>
      </w:r>
      <w:r>
        <w:t xml:space="preserve"> </w:t>
      </w:r>
      <w:r w:rsidRPr="006C7091">
        <w:t>Dans certains cas, les groupes d</w:t>
      </w:r>
      <w:r>
        <w:t>’</w:t>
      </w:r>
      <w:r w:rsidRPr="006C7091">
        <w:t>experts se sont intéressés aux enregistrements de marques obtenus en premier lieu dans le but d</w:t>
      </w:r>
      <w:r>
        <w:t>’</w:t>
      </w:r>
      <w:r w:rsidRPr="006C7091">
        <w:t>appuyer une demande de nouveau gTLD ou une objection pour atteinte aux droits, avec peu ou pas d</w:t>
      </w:r>
      <w:r>
        <w:t>’</w:t>
      </w:r>
      <w:r w:rsidRPr="006C7091">
        <w:t xml:space="preserve">usage antérieur avéré. </w:t>
      </w:r>
      <w:r>
        <w:t xml:space="preserve"> </w:t>
      </w:r>
      <w:r w:rsidRPr="006C7091">
        <w:t xml:space="preserve">Voir </w:t>
      </w:r>
      <w:r w:rsidRPr="005E7E48">
        <w:t>https://www.wipo.int/export/sites/www/amc/en/docs/lroreport.pdf</w:t>
      </w:r>
      <w:r w:rsidRPr="006C7091">
        <w:t>.</w:t>
      </w:r>
    </w:p>
  </w:footnote>
  <w:footnote w:id="59">
    <w:p w14:paraId="068C39FC" w14:textId="7ACD6444"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5E7E48">
        <w:t>https://www.wipo.int/export/sites/www/amc/en/docs/icann130309.pdf</w:t>
      </w:r>
      <w:r w:rsidRPr="006C7091">
        <w:t>.</w:t>
      </w:r>
    </w:p>
  </w:footnote>
  <w:footnote w:id="60">
    <w:p w14:paraId="4C9928E0" w14:textId="4D5BD5AE" w:rsidR="005723D0" w:rsidRPr="006C7091" w:rsidRDefault="005723D0" w:rsidP="008E0BF9">
      <w:pPr>
        <w:pStyle w:val="FootnoteText"/>
      </w:pPr>
      <w:r w:rsidRPr="006C7091">
        <w:rPr>
          <w:rStyle w:val="FootnoteReference"/>
        </w:rPr>
        <w:footnoteRef/>
      </w:r>
      <w:r w:rsidRPr="006C7091">
        <w:t xml:space="preserve"> </w:t>
      </w:r>
      <w:r w:rsidRPr="006C7091">
        <w:tab/>
        <w:t>Étant donné la convergence que l</w:t>
      </w:r>
      <w:r>
        <w:t>’</w:t>
      </w:r>
      <w:r w:rsidRPr="006C7091">
        <w:t>on perçoit entre les rôles du service d</w:t>
      </w:r>
      <w:r>
        <w:t>’</w:t>
      </w:r>
      <w:r w:rsidRPr="006C7091">
        <w:t>enregistrement, de l</w:t>
      </w:r>
      <w:r>
        <w:t>’</w:t>
      </w:r>
      <w:r w:rsidRPr="006C7091">
        <w:t>unité d</w:t>
      </w:r>
      <w:r>
        <w:t>’</w:t>
      </w:r>
      <w:r w:rsidRPr="006C7091">
        <w:t>enregistrement et du détenteur de l</w:t>
      </w:r>
      <w:r>
        <w:t>’</w:t>
      </w:r>
      <w:r w:rsidRPr="006C7091">
        <w:t>enregistrement au sein du</w:t>
      </w:r>
      <w:r>
        <w:t> </w:t>
      </w:r>
      <w:r w:rsidRPr="006C7091">
        <w:t>DNS, le Centre a également recommandé à l</w:t>
      </w:r>
      <w:r>
        <w:t>’</w:t>
      </w:r>
      <w:r w:rsidRPr="006C7091">
        <w:t>ICANN, compte tenu notamment de son expérience des principes UDRP et de la décision de l</w:t>
      </w:r>
      <w:r>
        <w:t>’</w:t>
      </w:r>
      <w:r w:rsidRPr="006C7091">
        <w:t>ICANN d</w:t>
      </w:r>
      <w:r>
        <w:t>’</w:t>
      </w:r>
      <w:r w:rsidRPr="006C7091">
        <w:t>autoriser la propriété croisée entre unités d</w:t>
      </w:r>
      <w:r>
        <w:t>’</w:t>
      </w:r>
      <w:r w:rsidRPr="006C7091">
        <w:t>enregistrement et services d</w:t>
      </w:r>
      <w:r>
        <w:t>’</w:t>
      </w:r>
      <w:r w:rsidRPr="006C7091">
        <w:t xml:space="preserve">enregistrement (voir </w:t>
      </w:r>
      <w:r w:rsidRPr="005E7E48">
        <w:t>https://www.icann.org/fr/board</w:t>
      </w:r>
      <w:r>
        <w:noBreakHyphen/>
      </w:r>
      <w:r w:rsidRPr="005E7E48">
        <w:t>activities</w:t>
      </w:r>
      <w:r>
        <w:noBreakHyphen/>
      </w:r>
      <w:r w:rsidRPr="005E7E48">
        <w:t>and</w:t>
      </w:r>
      <w:r>
        <w:noBreakHyphen/>
      </w:r>
      <w:r w:rsidRPr="005E7E48">
        <w:t>meetings/materials/approved</w:t>
      </w:r>
      <w:r>
        <w:noBreakHyphen/>
      </w:r>
      <w:r w:rsidRPr="005E7E48">
        <w:t>resolutions</w:t>
      </w:r>
      <w:r>
        <w:noBreakHyphen/>
      </w:r>
      <w:r w:rsidRPr="005E7E48">
        <w:t>icann</w:t>
      </w:r>
      <w:r>
        <w:noBreakHyphen/>
      </w:r>
      <w:r w:rsidRPr="005E7E48">
        <w:t>board</w:t>
      </w:r>
      <w:r>
        <w:noBreakHyphen/>
      </w:r>
      <w:r w:rsidRPr="005E7E48">
        <w:t>of</w:t>
      </w:r>
      <w:r>
        <w:noBreakHyphen/>
      </w:r>
      <w:r w:rsidRPr="005E7E48">
        <w:t>directors</w:t>
      </w:r>
      <w:r>
        <w:noBreakHyphen/>
      </w:r>
      <w:r w:rsidRPr="005E7E48">
        <w:t>special</w:t>
      </w:r>
      <w:r>
        <w:noBreakHyphen/>
      </w:r>
      <w:r w:rsidRPr="005E7E48">
        <w:t>meeting</w:t>
      </w:r>
      <w:r>
        <w:noBreakHyphen/>
      </w:r>
      <w:r w:rsidRPr="005E7E48">
        <w:t>05</w:t>
      </w:r>
      <w:r>
        <w:noBreakHyphen/>
      </w:r>
      <w:r w:rsidRPr="005E7E48">
        <w:t>11</w:t>
      </w:r>
      <w:r>
        <w:noBreakHyphen/>
      </w:r>
      <w:r w:rsidRPr="005E7E48">
        <w:t>2010</w:t>
      </w:r>
      <w:r>
        <w:noBreakHyphen/>
      </w:r>
      <w:r w:rsidRPr="005E7E48">
        <w:t>en</w:t>
      </w:r>
      <w:r w:rsidRPr="006C7091">
        <w:t>), d</w:t>
      </w:r>
      <w:r>
        <w:t>’</w:t>
      </w:r>
      <w:r w:rsidRPr="006C7091">
        <w:t>étudier la possibilité d</w:t>
      </w:r>
      <w:r>
        <w:t>’</w:t>
      </w:r>
      <w:r w:rsidRPr="006C7091">
        <w:t>étendre aux unités d</w:t>
      </w:r>
      <w:r>
        <w:t>’</w:t>
      </w:r>
      <w:r w:rsidRPr="006C7091">
        <w:t>enregistrement la procédure postérieure à l</w:t>
      </w:r>
      <w:r>
        <w:t>’</w:t>
      </w:r>
      <w:r w:rsidRPr="006C7091">
        <w:t>attribution à l</w:t>
      </w:r>
      <w:r>
        <w:t>’</w:t>
      </w:r>
      <w:r w:rsidRPr="006C7091">
        <w:t>intention des services d</w:t>
      </w:r>
      <w:r>
        <w:t>’</w:t>
      </w:r>
      <w:r w:rsidRPr="006C7091">
        <w:t xml:space="preserve">enregistrement (voir, notamment, </w:t>
      </w:r>
      <w:r w:rsidRPr="00170962">
        <w:t>https://www.wipo.int/export/sites/www/amc/en/docs/icann260310rap.pdf</w:t>
      </w:r>
      <w:r w:rsidRPr="006C7091">
        <w:t>).</w:t>
      </w:r>
    </w:p>
  </w:footnote>
  <w:footnote w:id="61">
    <w:p w14:paraId="2AC1F949" w14:textId="476AE9E0" w:rsidR="005723D0" w:rsidRPr="006C7091" w:rsidRDefault="005723D0" w:rsidP="008E0BF9">
      <w:pPr>
        <w:pStyle w:val="FootnoteText"/>
      </w:pPr>
      <w:r w:rsidRPr="006C7091">
        <w:rPr>
          <w:rStyle w:val="FootnoteReference"/>
        </w:rPr>
        <w:footnoteRef/>
      </w:r>
      <w:r w:rsidRPr="006C7091">
        <w:t xml:space="preserve"> </w:t>
      </w:r>
      <w:r w:rsidRPr="006C7091">
        <w:tab/>
        <w:t>À noter en particulier qu</w:t>
      </w:r>
      <w:r>
        <w:t>’</w:t>
      </w:r>
      <w:r w:rsidRPr="006C7091">
        <w:t>à la fin de</w:t>
      </w:r>
      <w:r>
        <w:t> </w:t>
      </w:r>
      <w:r w:rsidRPr="006C7091">
        <w:t>2016 un groupe de propriétaires de marques a choisi d</w:t>
      </w:r>
      <w:r>
        <w:t>’</w:t>
      </w:r>
      <w:r w:rsidRPr="006C7091">
        <w:t>engager une procédure de règlement des litiges relatifs aux engagements d</w:t>
      </w:r>
      <w:r>
        <w:t>’</w:t>
      </w:r>
      <w:r w:rsidRPr="006C7091">
        <w:t>intérêt public</w:t>
      </w:r>
      <w:r w:rsidR="002347BC">
        <w:t> </w:t>
      </w:r>
      <w:r w:rsidRPr="006C7091">
        <w:t>(PICDRP) plutôt que d</w:t>
      </w:r>
      <w:r>
        <w:t>’</w:t>
      </w:r>
      <w:r w:rsidRPr="006C7091">
        <w:t>opter pour la procédure de règlement des litiges postérieure à l</w:t>
      </w:r>
      <w:r>
        <w:t>’</w:t>
      </w:r>
      <w:r w:rsidRPr="006C7091">
        <w:t>attribution d</w:t>
      </w:r>
      <w:r>
        <w:t>’</w:t>
      </w:r>
      <w:r w:rsidRPr="006C7091">
        <w:t>un domaine de premier</w:t>
      </w:r>
      <w:r w:rsidR="002347BC">
        <w:t> </w:t>
      </w:r>
      <w:r w:rsidRPr="006C7091">
        <w:t>niveau</w:t>
      </w:r>
      <w:r w:rsidR="002347BC">
        <w:t> </w:t>
      </w:r>
      <w:r w:rsidRPr="006C7091">
        <w:t xml:space="preserve">(PDDRP). </w:t>
      </w:r>
      <w:r>
        <w:t xml:space="preserve"> </w:t>
      </w:r>
      <w:r w:rsidRPr="006C7091">
        <w:t>Compte tenu de certains intérêts plus généraux, le Centre est convenu en</w:t>
      </w:r>
      <w:r>
        <w:t> </w:t>
      </w:r>
      <w:r w:rsidRPr="006C7091">
        <w:t>2013 avec l</w:t>
      </w:r>
      <w:r>
        <w:t>’</w:t>
      </w:r>
      <w:r w:rsidRPr="006C7091">
        <w:t>ICANN de devenir prestataire de services dans le cadre de la procédure de règlement des litiges postérieure à l</w:t>
      </w:r>
      <w:r>
        <w:t>’</w:t>
      </w:r>
      <w:r w:rsidRPr="006C7091">
        <w:t xml:space="preserve">attribution en ce qui concerne les marques. </w:t>
      </w:r>
      <w:r>
        <w:t xml:space="preserve"> </w:t>
      </w:r>
      <w:r w:rsidRPr="00170962">
        <w:t>https://www.icann.org/en/system/files/files/feedback</w:t>
      </w:r>
      <w:r>
        <w:noBreakHyphen/>
      </w:r>
      <w:r w:rsidRPr="00170962">
        <w:t>picdrp</w:t>
      </w:r>
      <w:r>
        <w:noBreakHyphen/>
      </w:r>
      <w:r w:rsidRPr="00170962">
        <w:t>panel</w:t>
      </w:r>
      <w:r>
        <w:noBreakHyphen/>
      </w:r>
      <w:r w:rsidRPr="00170962">
        <w:t>report</w:t>
      </w:r>
      <w:r>
        <w:noBreakHyphen/>
      </w:r>
      <w:r w:rsidRPr="00170962">
        <w:t>14mar17</w:t>
      </w:r>
      <w:r>
        <w:noBreakHyphen/>
      </w:r>
      <w:r w:rsidRPr="00170962">
        <w:t>en.pdf</w:t>
      </w:r>
      <w:r w:rsidRPr="006C7091">
        <w:t>.</w:t>
      </w:r>
    </w:p>
  </w:footnote>
  <w:footnote w:id="62">
    <w:p w14:paraId="6E852C2D" w14:textId="19C33F62" w:rsidR="005723D0" w:rsidRPr="006C7091" w:rsidRDefault="005723D0" w:rsidP="008E0BF9">
      <w:pPr>
        <w:pStyle w:val="FootnoteText"/>
      </w:pPr>
      <w:r w:rsidRPr="006C7091">
        <w:rPr>
          <w:rStyle w:val="FootnoteReference"/>
        </w:rPr>
        <w:footnoteRef/>
      </w:r>
      <w:r w:rsidRPr="006C7091">
        <w:t xml:space="preserve"> </w:t>
      </w:r>
      <w:r w:rsidRPr="006C7091">
        <w:tab/>
        <w:t>La base de données permet l</w:t>
      </w:r>
      <w:r>
        <w:t>’</w:t>
      </w:r>
      <w:r w:rsidRPr="006C7091">
        <w:t>inclusion des marques textuelles enregistrées, des marques textuelles protégées par un règlement ou un traité ou validées par un tribunal, ainsi que des “[a]utres marques constituant un objet de propriété intellectuelle” (cette dernière catégorie n</w:t>
      </w:r>
      <w:r>
        <w:t>’</w:t>
      </w:r>
      <w:r w:rsidRPr="006C7091">
        <w:t xml:space="preserve">étant pas définie). </w:t>
      </w:r>
      <w:r>
        <w:t xml:space="preserve"> </w:t>
      </w:r>
      <w:r w:rsidRPr="006C7091">
        <w:t>En ce qui concerne les mécanismes de protection des droits fondés sur la base de données, l</w:t>
      </w:r>
      <w:r>
        <w:t>’</w:t>
      </w:r>
      <w:r w:rsidRPr="006C7091">
        <w:t>ICANN propose actuellement de limiter l</w:t>
      </w:r>
      <w:r>
        <w:t>’</w:t>
      </w:r>
      <w:r w:rsidRPr="006C7091">
        <w:t>application des services “préliminaires” (c</w:t>
      </w:r>
      <w:r>
        <w:t>’</w:t>
      </w:r>
      <w:r w:rsidRPr="006C7091">
        <w:t>est</w:t>
      </w:r>
      <w:r>
        <w:noBreakHyphen/>
      </w:r>
      <w:r w:rsidRPr="006C7091">
        <w:t>à</w:t>
      </w:r>
      <w:r>
        <w:noBreakHyphen/>
      </w:r>
      <w:r w:rsidRPr="006C7091">
        <w:t>dire, la possibilité pour un propriétaire de marque d</w:t>
      </w:r>
      <w:r>
        <w:t>’</w:t>
      </w:r>
      <w:r w:rsidRPr="006C7091">
        <w:t>enregistrer de manière préventive en tant que nom de domaine, contre paiement d</w:t>
      </w:r>
      <w:r>
        <w:t>’</w:t>
      </w:r>
      <w:r w:rsidRPr="006C7091">
        <w:t>une taxe, une chaîne de caractères correspondant exactement à sa marque) aux marques dont l</w:t>
      </w:r>
      <w:r>
        <w:t>’</w:t>
      </w:r>
      <w:r w:rsidRPr="006C7091">
        <w:t xml:space="preserve">usage actuel peut être prouvé. </w:t>
      </w:r>
      <w:r>
        <w:t xml:space="preserve"> </w:t>
      </w:r>
      <w:r w:rsidRPr="006C7091">
        <w:t>Que l</w:t>
      </w:r>
      <w:r>
        <w:t>’</w:t>
      </w:r>
      <w:r w:rsidRPr="006C7091">
        <w:t>usage actuel soit ou non prouvé, les propriétaires de marques pourraient participer à un système de “contentieux” d</w:t>
      </w:r>
      <w:r>
        <w:t>’</w:t>
      </w:r>
      <w:r w:rsidRPr="006C7091">
        <w:t>une durée limitée (permettant de notifier au demandeur d</w:t>
      </w:r>
      <w:r>
        <w:t>’</w:t>
      </w:r>
      <w:r w:rsidRPr="006C7091">
        <w:t>un nom de domaine l</w:t>
      </w:r>
      <w:r>
        <w:t>’</w:t>
      </w:r>
      <w:r w:rsidRPr="006C7091">
        <w:t>existence d</w:t>
      </w:r>
      <w:r>
        <w:t>’</w:t>
      </w:r>
      <w:r w:rsidRPr="006C7091">
        <w:t>un conflit potentiel avec un droit attaché à une marque, et d</w:t>
      </w:r>
      <w:r>
        <w:t>’</w:t>
      </w:r>
      <w:r w:rsidRPr="006C7091">
        <w:t>informer les propriétaires de marques concernés dans le cas où le demandeur procéderait tout de même à l</w:t>
      </w:r>
      <w:r>
        <w:t>’</w:t>
      </w:r>
      <w:r w:rsidRPr="006C7091">
        <w:t xml:space="preserve">enregistrement du nom de domaine). </w:t>
      </w:r>
      <w:r>
        <w:t xml:space="preserve"> </w:t>
      </w:r>
      <w:r w:rsidRPr="006C7091">
        <w:t>Comme le prescrit l</w:t>
      </w:r>
      <w:r>
        <w:t>’</w:t>
      </w:r>
      <w:r w:rsidRPr="006C7091">
        <w:t>ICANN, le système de “contentieux” est limité à une durée de 90</w:t>
      </w:r>
      <w:r>
        <w:t> </w:t>
      </w:r>
      <w:r w:rsidRPr="006C7091">
        <w:t>jours à compter de la date d</w:t>
      </w:r>
      <w:r>
        <w:t>’</w:t>
      </w:r>
      <w:r w:rsidRPr="006C7091">
        <w:t>ouverture au public de l</w:t>
      </w:r>
      <w:r>
        <w:t>’</w:t>
      </w:r>
      <w:r w:rsidRPr="006C7091">
        <w:t>enregistrement d</w:t>
      </w:r>
      <w:r>
        <w:t>’</w:t>
      </w:r>
      <w:r w:rsidRPr="006C7091">
        <w:t xml:space="preserve">un nouveau gTLD, mais les utilisateurs de la base de données peuvent choisir de recevoir des notifications indéfiniment. </w:t>
      </w:r>
      <w:r>
        <w:t xml:space="preserve"> </w:t>
      </w:r>
      <w:r w:rsidRPr="006C7091">
        <w:t>La preuve de l</w:t>
      </w:r>
      <w:r>
        <w:t>’</w:t>
      </w:r>
      <w:r w:rsidRPr="006C7091">
        <w:t>usage requise pour les services préliminaires s</w:t>
      </w:r>
      <w:r>
        <w:t>’</w:t>
      </w:r>
      <w:r w:rsidRPr="006C7091">
        <w:t>applique de la même manière à l</w:t>
      </w:r>
      <w:r>
        <w:t>’</w:t>
      </w:r>
      <w:r w:rsidRPr="006C7091">
        <w:t>invocation de marques comme motif de dépôt de plaintes en vertu du mécanisme de suspension uniforme rapide décrit dans le présent paragraphe.</w:t>
      </w:r>
    </w:p>
  </w:footnote>
  <w:footnote w:id="63">
    <w:p w14:paraId="05FC9F34" w14:textId="047E5B95"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170962">
        <w:t>https://trademark</w:t>
      </w:r>
      <w:r>
        <w:noBreakHyphen/>
      </w:r>
      <w:r w:rsidRPr="00170962">
        <w:t>clearinghouse.com/content/tmch</w:t>
      </w:r>
      <w:r>
        <w:noBreakHyphen/>
      </w:r>
      <w:r w:rsidRPr="00170962">
        <w:t>stats</w:t>
      </w:r>
      <w:r w:rsidRPr="006C7091">
        <w:t>.</w:t>
      </w:r>
    </w:p>
  </w:footnote>
  <w:footnote w:id="64">
    <w:p w14:paraId="47745440" w14:textId="7A1EE131" w:rsidR="005723D0" w:rsidRPr="006C7091" w:rsidRDefault="005723D0" w:rsidP="008E0BF9">
      <w:pPr>
        <w:pStyle w:val="FootnoteText"/>
      </w:pPr>
      <w:r w:rsidRPr="006C7091">
        <w:rPr>
          <w:rStyle w:val="FootnoteReference"/>
        </w:rPr>
        <w:footnoteRef/>
      </w:r>
      <w:r w:rsidRPr="006C7091">
        <w:t xml:space="preserve"> </w:t>
      </w:r>
      <w:r w:rsidRPr="006C7091">
        <w:tab/>
        <w:t>Le Centre a pour sa part transmis à l</w:t>
      </w:r>
      <w:r>
        <w:t>’</w:t>
      </w:r>
      <w:r w:rsidRPr="006C7091">
        <w:t>ICANN, en avril</w:t>
      </w:r>
      <w:r>
        <w:t> </w:t>
      </w:r>
      <w:r w:rsidRPr="006C7091">
        <w:t>2009, un projet concernant un “mécanisme de suspension accéléré (des noms de domaine)”, (voir</w:t>
      </w:r>
      <w:r w:rsidR="00E73255">
        <w:t> </w:t>
      </w:r>
      <w:r w:rsidRPr="00170962">
        <w:t>https://www.wipo.int/export/sites/www/amc/en/docs/icann030409.pdf</w:t>
      </w:r>
      <w:r w:rsidRPr="006C7091">
        <w:t>) et a ensuite fait des propositions en faveur d</w:t>
      </w:r>
      <w:r>
        <w:t>’</w:t>
      </w:r>
      <w:r w:rsidRPr="006C7091">
        <w:t>un mécanisme simplifié reposant sur ce modèle lors des réunions de l</w:t>
      </w:r>
      <w:r>
        <w:t>’</w:t>
      </w:r>
      <w:r w:rsidRPr="006C7091">
        <w:t>ICANN (voir</w:t>
      </w:r>
      <w:r w:rsidR="00E73255">
        <w:t> </w:t>
      </w:r>
      <w:r w:rsidRPr="00572346">
        <w:t>https://archive.icann.org/en/meetings/prague2012/node/31773.html</w:t>
      </w:r>
      <w:r w:rsidRPr="006C7091">
        <w:t xml:space="preserve"> et </w:t>
      </w:r>
      <w:r w:rsidRPr="00572346">
        <w:t>https://archive.icann.org/en/meetings/toronto2012/node/34325.html</w:t>
      </w:r>
      <w:r w:rsidRPr="006C7091">
        <w:t xml:space="preserve">). </w:t>
      </w:r>
      <w:r>
        <w:t xml:space="preserve"> </w:t>
      </w:r>
      <w:r w:rsidRPr="006C7091">
        <w:t>Ces propositions tenaient compte de la nécessité d</w:t>
      </w:r>
      <w:r>
        <w:t>’</w:t>
      </w:r>
      <w:r w:rsidRPr="006C7091">
        <w:t>établir un équilibre entre la protection des droits sur les marques reconnus par la loi, les intérêts concrets des opérateurs de services d</w:t>
      </w:r>
      <w:r>
        <w:t>’</w:t>
      </w:r>
      <w:r w:rsidRPr="006C7091">
        <w:t>enregistrement respectueux des règles qui veulent réduire autant que possible leurs frais de fonctionnement, et les attentes légitimes des détenteurs de noms de dom</w:t>
      </w:r>
      <w:r w:rsidR="002347BC">
        <w:t>aine enregistrés de bonne foi.</w:t>
      </w:r>
    </w:p>
  </w:footnote>
  <w:footnote w:id="65">
    <w:p w14:paraId="54D0E43B" w14:textId="1318F23F" w:rsidR="005723D0" w:rsidRPr="006C7091" w:rsidRDefault="005723D0" w:rsidP="008E0BF9">
      <w:pPr>
        <w:pStyle w:val="FootnoteText"/>
      </w:pPr>
      <w:r w:rsidRPr="006C7091">
        <w:rPr>
          <w:rStyle w:val="FootnoteReference"/>
        </w:rPr>
        <w:footnoteRef/>
      </w:r>
      <w:r w:rsidRPr="006C7091">
        <w:t xml:space="preserve"> </w:t>
      </w:r>
      <w:r w:rsidRPr="006C7091">
        <w:tab/>
        <w:t>Une liste détaillée de ces questions figure notamment dans la lettre du Centre adressée à l</w:t>
      </w:r>
      <w:r>
        <w:t>’</w:t>
      </w:r>
      <w:r w:rsidRPr="006C7091">
        <w:t>ICANN le 2</w:t>
      </w:r>
      <w:r>
        <w:t> </w:t>
      </w:r>
      <w:r w:rsidRPr="006C7091">
        <w:t>décembre</w:t>
      </w:r>
      <w:r>
        <w:t> </w:t>
      </w:r>
      <w:r w:rsidRPr="006C7091">
        <w:t>2010, publiée à l</w:t>
      </w:r>
      <w:r>
        <w:t>’</w:t>
      </w:r>
      <w:r w:rsidRPr="006C7091">
        <w:t>adresse</w:t>
      </w:r>
      <w:r>
        <w:t> </w:t>
      </w:r>
      <w:r w:rsidRPr="00572346">
        <w:t>https://www.wipo.int/export/sites/www/amc/en/docs/icann021210.pdf</w:t>
      </w:r>
      <w:r w:rsidR="002347BC">
        <w:t>.</w:t>
      </w:r>
    </w:p>
  </w:footnote>
  <w:footnote w:id="66">
    <w:p w14:paraId="6CD08220" w14:textId="0CD0E068" w:rsidR="005723D0" w:rsidRPr="006C7091" w:rsidRDefault="005723D0" w:rsidP="008E0BF9">
      <w:pPr>
        <w:pStyle w:val="FootnoteText"/>
      </w:pPr>
      <w:r w:rsidRPr="006C7091">
        <w:rPr>
          <w:rStyle w:val="FootnoteReference"/>
        </w:rPr>
        <w:footnoteRef/>
      </w:r>
      <w:r w:rsidRPr="006C7091">
        <w:t xml:space="preserve"> </w:t>
      </w:r>
      <w:r w:rsidRPr="006C7091">
        <w:tab/>
        <w:t>La question de l</w:t>
      </w:r>
      <w:r>
        <w:t>’</w:t>
      </w:r>
      <w:r w:rsidRPr="006C7091">
        <w:t xml:space="preserve">accréditation des prestataires suscite des craintes quant à la stabilité des mécanismes de protection des droits; </w:t>
      </w:r>
      <w:r>
        <w:t xml:space="preserve"> </w:t>
      </w:r>
      <w:r w:rsidRPr="006C7091">
        <w:t>l</w:t>
      </w:r>
      <w:r>
        <w:t>’</w:t>
      </w:r>
      <w:r w:rsidRPr="006C7091">
        <w:t>OMPI s</w:t>
      </w:r>
      <w:r>
        <w:t>’</w:t>
      </w:r>
      <w:r w:rsidRPr="006C7091">
        <w:t>était inquiétée de cette question dès 2007, dans le cadre des principes</w:t>
      </w:r>
      <w:r w:rsidR="002347BC">
        <w:t> </w:t>
      </w:r>
      <w:r w:rsidRPr="006C7091">
        <w:t>UDRP (voir</w:t>
      </w:r>
      <w:r w:rsidR="00E73255">
        <w:t> </w:t>
      </w:r>
      <w:r w:rsidRPr="00572346">
        <w:t>https://www.wipo.int/export/sites/www/amc/en/docs/icann040707.pdf</w:t>
      </w:r>
      <w:r w:rsidR="002347BC">
        <w:t>).</w:t>
      </w:r>
    </w:p>
  </w:footnote>
  <w:footnote w:id="67">
    <w:p w14:paraId="161CE589" w14:textId="775DA8E1" w:rsidR="005723D0" w:rsidRPr="006C7091" w:rsidRDefault="005723D0" w:rsidP="008E0BF9">
      <w:pPr>
        <w:pStyle w:val="FootnoteText"/>
        <w:rPr>
          <w:szCs w:val="18"/>
        </w:rPr>
      </w:pPr>
      <w:r w:rsidRPr="006C7091">
        <w:rPr>
          <w:rStyle w:val="FootnoteReference"/>
          <w:szCs w:val="18"/>
        </w:rPr>
        <w:footnoteRef/>
      </w:r>
      <w:r w:rsidRPr="006C7091">
        <w:rPr>
          <w:rStyle w:val="FootnoteReference"/>
          <w:szCs w:val="18"/>
        </w:rPr>
        <w:t xml:space="preserve"> </w:t>
      </w:r>
      <w:r w:rsidRPr="006C7091">
        <w:rPr>
          <w:szCs w:val="18"/>
        </w:rPr>
        <w:tab/>
      </w:r>
      <w:r w:rsidRPr="006C7091">
        <w:rPr>
          <w:szCs w:val="22"/>
        </w:rPr>
        <w:t>Malgré les discussions en 2011 au cours desquelles une nette majorité des participants a estimé qu</w:t>
      </w:r>
      <w:r>
        <w:rPr>
          <w:szCs w:val="22"/>
        </w:rPr>
        <w:t>’</w:t>
      </w:r>
      <w:r w:rsidRPr="006C7091">
        <w:rPr>
          <w:szCs w:val="22"/>
        </w:rPr>
        <w:t>une éventuelle révision des principes UDRP effectuée par l</w:t>
      </w:r>
      <w:r>
        <w:rPr>
          <w:szCs w:val="22"/>
        </w:rPr>
        <w:t>’</w:t>
      </w:r>
      <w:r w:rsidRPr="006C7091">
        <w:rPr>
          <w:szCs w:val="22"/>
        </w:rPr>
        <w:t>ICANN en tant qu</w:t>
      </w:r>
      <w:r>
        <w:rPr>
          <w:szCs w:val="22"/>
        </w:rPr>
        <w:t>’</w:t>
      </w:r>
      <w:r w:rsidRPr="006C7091">
        <w:rPr>
          <w:szCs w:val="22"/>
        </w:rPr>
        <w:t>organe axé sur les enregistrements ferai</w:t>
      </w:r>
      <w:r w:rsidR="00E73255">
        <w:rPr>
          <w:szCs w:val="22"/>
        </w:rPr>
        <w:t xml:space="preserve">t davantage de mal que de bien.  </w:t>
      </w:r>
      <w:r w:rsidRPr="006C7091">
        <w:rPr>
          <w:szCs w:val="22"/>
        </w:rPr>
        <w:t>Voir</w:t>
      </w:r>
      <w:r w:rsidR="00E73255">
        <w:t> </w:t>
      </w:r>
      <w:r w:rsidRPr="00572346">
        <w:rPr>
          <w:szCs w:val="18"/>
        </w:rPr>
        <w:t>https://community.icann.org/display/gnsoudrpdt/Webinar+on+the+Current+State+of+the+UDRP</w:t>
      </w:r>
      <w:r w:rsidRPr="006C7091">
        <w:rPr>
          <w:szCs w:val="18"/>
        </w:rPr>
        <w:t xml:space="preserve">; </w:t>
      </w:r>
      <w:r>
        <w:rPr>
          <w:szCs w:val="18"/>
        </w:rPr>
        <w:t xml:space="preserve"> </w:t>
      </w:r>
      <w:r w:rsidRPr="006C7091">
        <w:t>voir également de manière plus générale le paragraphe 31 du document</w:t>
      </w:r>
      <w:r>
        <w:t> </w:t>
      </w:r>
      <w:r w:rsidRPr="006C7091">
        <w:t>WO/GA/39/10.</w:t>
      </w:r>
    </w:p>
  </w:footnote>
  <w:footnote w:id="68">
    <w:p w14:paraId="6D9E7F6D" w14:textId="49024563" w:rsidR="005723D0" w:rsidRPr="006C7091" w:rsidRDefault="005723D0" w:rsidP="008E0BF9">
      <w:pPr>
        <w:pStyle w:val="FootnoteText"/>
        <w:tabs>
          <w:tab w:val="left" w:pos="567"/>
        </w:tabs>
        <w:rPr>
          <w:szCs w:val="18"/>
        </w:rPr>
      </w:pPr>
      <w:r w:rsidRPr="006C7091">
        <w:rPr>
          <w:rStyle w:val="FootnoteReference"/>
          <w:szCs w:val="18"/>
        </w:rPr>
        <w:footnoteRef/>
      </w:r>
      <w:r w:rsidRPr="006C7091">
        <w:rPr>
          <w:szCs w:val="18"/>
        </w:rPr>
        <w:t xml:space="preserve"> </w:t>
      </w:r>
      <w:r w:rsidRPr="006C7091">
        <w:rPr>
          <w:szCs w:val="18"/>
        </w:rPr>
        <w:tab/>
        <w:t xml:space="preserve">Voir </w:t>
      </w:r>
      <w:r w:rsidRPr="00572346">
        <w:rPr>
          <w:szCs w:val="18"/>
        </w:rPr>
        <w:t>https://gnso.icann.org/sites/default/files/filefield_48143/rpm</w:t>
      </w:r>
      <w:r>
        <w:rPr>
          <w:szCs w:val="18"/>
        </w:rPr>
        <w:noBreakHyphen/>
      </w:r>
      <w:r w:rsidRPr="00572346">
        <w:rPr>
          <w:szCs w:val="18"/>
        </w:rPr>
        <w:t>prelim</w:t>
      </w:r>
      <w:r>
        <w:rPr>
          <w:szCs w:val="18"/>
        </w:rPr>
        <w:noBreakHyphen/>
      </w:r>
      <w:r w:rsidRPr="00572346">
        <w:rPr>
          <w:szCs w:val="18"/>
        </w:rPr>
        <w:t>issue</w:t>
      </w:r>
      <w:r>
        <w:rPr>
          <w:szCs w:val="18"/>
        </w:rPr>
        <w:noBreakHyphen/>
      </w:r>
      <w:r w:rsidRPr="00572346">
        <w:rPr>
          <w:szCs w:val="18"/>
        </w:rPr>
        <w:t>09oct15</w:t>
      </w:r>
      <w:r>
        <w:rPr>
          <w:szCs w:val="18"/>
        </w:rPr>
        <w:noBreakHyphen/>
      </w:r>
      <w:r w:rsidRPr="00572346">
        <w:rPr>
          <w:szCs w:val="18"/>
        </w:rPr>
        <w:t>en.pdf</w:t>
      </w:r>
      <w:r w:rsidRPr="006C7091">
        <w:rPr>
          <w:szCs w:val="18"/>
        </w:rPr>
        <w:t>.</w:t>
      </w:r>
    </w:p>
  </w:footnote>
  <w:footnote w:id="69">
    <w:p w14:paraId="748B5D73" w14:textId="5FF7E57E" w:rsidR="005723D0" w:rsidRPr="006C7091" w:rsidRDefault="005723D0"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Voir https://gnso.icann.org/sites/default/files/file/field</w:t>
      </w:r>
      <w:r>
        <w:rPr>
          <w:szCs w:val="18"/>
        </w:rPr>
        <w:noBreakHyphen/>
      </w:r>
      <w:r w:rsidRPr="006C7091">
        <w:rPr>
          <w:szCs w:val="18"/>
        </w:rPr>
        <w:t>file</w:t>
      </w:r>
      <w:r>
        <w:rPr>
          <w:szCs w:val="18"/>
        </w:rPr>
        <w:noBreakHyphen/>
      </w:r>
      <w:r w:rsidRPr="006C7091">
        <w:rPr>
          <w:szCs w:val="18"/>
        </w:rPr>
        <w:t>attach/rpm</w:t>
      </w:r>
      <w:r>
        <w:rPr>
          <w:szCs w:val="18"/>
        </w:rPr>
        <w:noBreakHyphen/>
      </w:r>
      <w:r w:rsidRPr="006C7091">
        <w:rPr>
          <w:szCs w:val="18"/>
        </w:rPr>
        <w:t>phase</w:t>
      </w:r>
      <w:r>
        <w:rPr>
          <w:szCs w:val="18"/>
        </w:rPr>
        <w:noBreakHyphen/>
      </w:r>
      <w:r w:rsidRPr="006C7091">
        <w:rPr>
          <w:szCs w:val="18"/>
        </w:rPr>
        <w:t>1</w:t>
      </w:r>
      <w:r>
        <w:rPr>
          <w:szCs w:val="18"/>
        </w:rPr>
        <w:noBreakHyphen/>
      </w:r>
      <w:r w:rsidRPr="006C7091">
        <w:rPr>
          <w:szCs w:val="18"/>
        </w:rPr>
        <w:t>proposed</w:t>
      </w:r>
      <w:r>
        <w:rPr>
          <w:szCs w:val="18"/>
        </w:rPr>
        <w:noBreakHyphen/>
      </w:r>
      <w:r w:rsidRPr="006C7091">
        <w:rPr>
          <w:szCs w:val="18"/>
        </w:rPr>
        <w:t>24nov20</w:t>
      </w:r>
      <w:r>
        <w:rPr>
          <w:szCs w:val="18"/>
        </w:rPr>
        <w:noBreakHyphen/>
      </w:r>
      <w:r w:rsidRPr="006C7091">
        <w:rPr>
          <w:szCs w:val="18"/>
        </w:rPr>
        <w:t>en.pdf.</w:t>
      </w:r>
    </w:p>
  </w:footnote>
  <w:footnote w:id="70">
    <w:p w14:paraId="218CF180" w14:textId="3B1F4163" w:rsidR="005723D0" w:rsidRPr="006C7091" w:rsidRDefault="005723D0"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Voir en particulier le chapitre</w:t>
      </w:r>
      <w:r>
        <w:rPr>
          <w:szCs w:val="18"/>
        </w:rPr>
        <w:t> </w:t>
      </w:r>
      <w:r w:rsidRPr="006C7091">
        <w:rPr>
          <w:szCs w:val="18"/>
        </w:rPr>
        <w:t>I intitulé “Description and Explanation”, qui définit trois</w:t>
      </w:r>
      <w:r>
        <w:rPr>
          <w:szCs w:val="18"/>
        </w:rPr>
        <w:t> </w:t>
      </w:r>
      <w:r w:rsidRPr="006C7091">
        <w:rPr>
          <w:szCs w:val="18"/>
        </w:rPr>
        <w:t>catégories de propositions de modifications des mécanismes de protection des droits, disponible à l</w:t>
      </w:r>
      <w:r>
        <w:rPr>
          <w:szCs w:val="18"/>
        </w:rPr>
        <w:t>’</w:t>
      </w:r>
      <w:r w:rsidRPr="006C7091">
        <w:rPr>
          <w:szCs w:val="18"/>
        </w:rPr>
        <w:t>adresse suivante</w:t>
      </w:r>
      <w:r>
        <w:rPr>
          <w:szCs w:val="18"/>
        </w:rPr>
        <w:t> :</w:t>
      </w:r>
      <w:r w:rsidRPr="006C7091">
        <w:rPr>
          <w:szCs w:val="18"/>
        </w:rPr>
        <w:t xml:space="preserve"> https://www.icann.org/public</w:t>
      </w:r>
      <w:r>
        <w:rPr>
          <w:szCs w:val="18"/>
        </w:rPr>
        <w:noBreakHyphen/>
      </w:r>
      <w:r w:rsidRPr="006C7091">
        <w:rPr>
          <w:szCs w:val="18"/>
        </w:rPr>
        <w:t>comments/gnso</w:t>
      </w:r>
      <w:r>
        <w:rPr>
          <w:szCs w:val="18"/>
        </w:rPr>
        <w:noBreakHyphen/>
      </w:r>
      <w:r w:rsidRPr="006C7091">
        <w:rPr>
          <w:szCs w:val="18"/>
        </w:rPr>
        <w:t>rpm</w:t>
      </w:r>
      <w:r>
        <w:rPr>
          <w:szCs w:val="18"/>
        </w:rPr>
        <w:noBreakHyphen/>
      </w:r>
      <w:r w:rsidRPr="006C7091">
        <w:rPr>
          <w:szCs w:val="18"/>
        </w:rPr>
        <w:t>pdp</w:t>
      </w:r>
      <w:r>
        <w:rPr>
          <w:szCs w:val="18"/>
        </w:rPr>
        <w:noBreakHyphen/>
      </w:r>
      <w:r w:rsidRPr="006C7091">
        <w:rPr>
          <w:szCs w:val="18"/>
        </w:rPr>
        <w:t>phase</w:t>
      </w:r>
      <w:r>
        <w:rPr>
          <w:szCs w:val="18"/>
        </w:rPr>
        <w:noBreakHyphen/>
      </w:r>
      <w:r w:rsidRPr="006C7091">
        <w:rPr>
          <w:szCs w:val="18"/>
        </w:rPr>
        <w:t>1</w:t>
      </w:r>
      <w:r>
        <w:rPr>
          <w:szCs w:val="18"/>
        </w:rPr>
        <w:noBreakHyphen/>
      </w:r>
      <w:r w:rsidRPr="006C7091">
        <w:rPr>
          <w:szCs w:val="18"/>
        </w:rPr>
        <w:t>final</w:t>
      </w:r>
      <w:r>
        <w:rPr>
          <w:szCs w:val="18"/>
        </w:rPr>
        <w:noBreakHyphen/>
      </w:r>
      <w:r w:rsidRPr="006C7091">
        <w:rPr>
          <w:szCs w:val="18"/>
        </w:rPr>
        <w:t>recommendations</w:t>
      </w:r>
      <w:r>
        <w:rPr>
          <w:szCs w:val="18"/>
        </w:rPr>
        <w:noBreakHyphen/>
      </w:r>
      <w:r w:rsidRPr="006C7091">
        <w:rPr>
          <w:szCs w:val="18"/>
        </w:rPr>
        <w:t>2021</w:t>
      </w:r>
      <w:r>
        <w:rPr>
          <w:szCs w:val="18"/>
        </w:rPr>
        <w:noBreakHyphen/>
      </w:r>
      <w:r w:rsidRPr="006C7091">
        <w:rPr>
          <w:szCs w:val="18"/>
        </w:rPr>
        <w:t>04</w:t>
      </w:r>
      <w:r>
        <w:rPr>
          <w:szCs w:val="18"/>
        </w:rPr>
        <w:noBreakHyphen/>
      </w:r>
      <w:r w:rsidRPr="006C7091">
        <w:rPr>
          <w:szCs w:val="18"/>
        </w:rPr>
        <w:t>07</w:t>
      </w:r>
      <w:r>
        <w:rPr>
          <w:szCs w:val="18"/>
        </w:rPr>
        <w:noBreakHyphen/>
      </w:r>
      <w:r w:rsidR="0065462F">
        <w:rPr>
          <w:szCs w:val="18"/>
        </w:rPr>
        <w:t>en.</w:t>
      </w:r>
    </w:p>
  </w:footnote>
  <w:footnote w:id="71">
    <w:p w14:paraId="5347682E" w14:textId="3EC64DB5" w:rsidR="005723D0" w:rsidRPr="00572346" w:rsidRDefault="005723D0">
      <w:pPr>
        <w:pStyle w:val="FootnoteText"/>
      </w:pPr>
      <w:r>
        <w:rPr>
          <w:rStyle w:val="FootnoteReference"/>
        </w:rPr>
        <w:footnoteRef/>
      </w:r>
      <w:r>
        <w:t xml:space="preserve"> </w:t>
      </w:r>
      <w:r>
        <w:tab/>
        <w:t xml:space="preserve">Voir </w:t>
      </w:r>
      <w:r w:rsidRPr="009D2C71">
        <w:t>https://community.icann.org/display/RPMIRT</w:t>
      </w:r>
      <w:r>
        <w:t>.</w:t>
      </w:r>
    </w:p>
  </w:footnote>
  <w:footnote w:id="72">
    <w:p w14:paraId="3719848E" w14:textId="1B1D0048" w:rsidR="005723D0" w:rsidRPr="00C9068B" w:rsidRDefault="005723D0" w:rsidP="00C9068B">
      <w:pPr>
        <w:rPr>
          <w:sz w:val="18"/>
          <w:szCs w:val="18"/>
        </w:rPr>
      </w:pPr>
      <w:r w:rsidRPr="00F1685C">
        <w:rPr>
          <w:rStyle w:val="FootnoteReference"/>
          <w:sz w:val="18"/>
          <w:szCs w:val="18"/>
        </w:rPr>
        <w:footnoteRef/>
      </w:r>
      <w:r w:rsidRPr="00F1685C">
        <w:rPr>
          <w:sz w:val="18"/>
          <w:szCs w:val="18"/>
        </w:rPr>
        <w:t xml:space="preserve"> </w:t>
      </w:r>
      <w:r w:rsidRPr="006C7091">
        <w:rPr>
          <w:szCs w:val="18"/>
        </w:rPr>
        <w:tab/>
      </w:r>
      <w:r w:rsidRPr="00C9068B">
        <w:rPr>
          <w:sz w:val="18"/>
          <w:szCs w:val="18"/>
        </w:rPr>
        <w:t xml:space="preserve">Voir </w:t>
      </w:r>
      <w:r w:rsidRPr="009D2C71">
        <w:rPr>
          <w:sz w:val="18"/>
          <w:szCs w:val="18"/>
        </w:rPr>
        <w:t>https://gnso.icann.org/sites/default/files/filefield_48411/rpm</w:t>
      </w:r>
      <w:r>
        <w:rPr>
          <w:sz w:val="18"/>
          <w:szCs w:val="18"/>
        </w:rPr>
        <w:noBreakHyphen/>
      </w:r>
      <w:r w:rsidRPr="009D2C71">
        <w:rPr>
          <w:sz w:val="18"/>
          <w:szCs w:val="18"/>
        </w:rPr>
        <w:t>final</w:t>
      </w:r>
      <w:r>
        <w:rPr>
          <w:sz w:val="18"/>
          <w:szCs w:val="18"/>
        </w:rPr>
        <w:noBreakHyphen/>
      </w:r>
      <w:r w:rsidRPr="009D2C71">
        <w:rPr>
          <w:sz w:val="18"/>
          <w:szCs w:val="18"/>
        </w:rPr>
        <w:t>issue</w:t>
      </w:r>
      <w:r>
        <w:rPr>
          <w:sz w:val="18"/>
          <w:szCs w:val="18"/>
        </w:rPr>
        <w:noBreakHyphen/>
      </w:r>
      <w:r w:rsidRPr="009D2C71">
        <w:rPr>
          <w:sz w:val="18"/>
          <w:szCs w:val="18"/>
        </w:rPr>
        <w:t>11jan16</w:t>
      </w:r>
      <w:r>
        <w:rPr>
          <w:sz w:val="18"/>
          <w:szCs w:val="18"/>
        </w:rPr>
        <w:noBreakHyphen/>
      </w:r>
      <w:r w:rsidRPr="009D2C71">
        <w:rPr>
          <w:sz w:val="18"/>
          <w:szCs w:val="18"/>
        </w:rPr>
        <w:t xml:space="preserve">en.pdf </w:t>
      </w:r>
      <w:r>
        <w:rPr>
          <w:sz w:val="18"/>
          <w:szCs w:val="18"/>
        </w:rPr>
        <w:t xml:space="preserve">et, plus récemment, </w:t>
      </w:r>
      <w:r w:rsidRPr="00C9068B">
        <w:rPr>
          <w:sz w:val="18"/>
          <w:szCs w:val="18"/>
        </w:rPr>
        <w:t xml:space="preserve">un </w:t>
      </w:r>
      <w:r>
        <w:rPr>
          <w:sz w:val="18"/>
          <w:szCs w:val="18"/>
        </w:rPr>
        <w:t>“</w:t>
      </w:r>
      <w:r w:rsidRPr="00C9068B">
        <w:rPr>
          <w:sz w:val="18"/>
          <w:szCs w:val="18"/>
        </w:rPr>
        <w:t>rapport sur l</w:t>
      </w:r>
      <w:r>
        <w:rPr>
          <w:sz w:val="18"/>
          <w:szCs w:val="18"/>
        </w:rPr>
        <w:t>’</w:t>
      </w:r>
      <w:r w:rsidRPr="00C9068B">
        <w:rPr>
          <w:sz w:val="18"/>
          <w:szCs w:val="18"/>
        </w:rPr>
        <w:t>état d</w:t>
      </w:r>
      <w:r>
        <w:rPr>
          <w:sz w:val="18"/>
          <w:szCs w:val="18"/>
        </w:rPr>
        <w:t>’</w:t>
      </w:r>
      <w:r w:rsidRPr="00C9068B">
        <w:rPr>
          <w:sz w:val="18"/>
          <w:szCs w:val="18"/>
        </w:rPr>
        <w:t>avancement des politiques</w:t>
      </w:r>
      <w:r>
        <w:rPr>
          <w:sz w:val="18"/>
          <w:szCs w:val="18"/>
        </w:rPr>
        <w:t>”</w:t>
      </w:r>
      <w:r w:rsidRPr="00C9068B">
        <w:rPr>
          <w:sz w:val="18"/>
          <w:szCs w:val="18"/>
        </w:rPr>
        <w:t xml:space="preserve"> (</w:t>
      </w:r>
      <w:r w:rsidRPr="009D2C71">
        <w:rPr>
          <w:sz w:val="18"/>
          <w:szCs w:val="18"/>
        </w:rPr>
        <w:t>https://www.icann.org/fr/public</w:t>
      </w:r>
      <w:r>
        <w:rPr>
          <w:sz w:val="18"/>
          <w:szCs w:val="18"/>
        </w:rPr>
        <w:noBreakHyphen/>
      </w:r>
      <w:r w:rsidRPr="009D2C71">
        <w:rPr>
          <w:sz w:val="18"/>
          <w:szCs w:val="18"/>
        </w:rPr>
        <w:t>comment/proceeding/policy</w:t>
      </w:r>
      <w:r>
        <w:rPr>
          <w:sz w:val="18"/>
          <w:szCs w:val="18"/>
        </w:rPr>
        <w:noBreakHyphen/>
      </w:r>
      <w:r w:rsidRPr="009D2C71">
        <w:rPr>
          <w:sz w:val="18"/>
          <w:szCs w:val="18"/>
        </w:rPr>
        <w:t>status</w:t>
      </w:r>
      <w:r>
        <w:rPr>
          <w:sz w:val="18"/>
          <w:szCs w:val="18"/>
        </w:rPr>
        <w:noBreakHyphen/>
      </w:r>
      <w:r w:rsidRPr="009D2C71">
        <w:rPr>
          <w:sz w:val="18"/>
          <w:szCs w:val="18"/>
        </w:rPr>
        <w:t>report</w:t>
      </w:r>
      <w:r>
        <w:rPr>
          <w:sz w:val="18"/>
          <w:szCs w:val="18"/>
        </w:rPr>
        <w:noBreakHyphen/>
      </w:r>
      <w:r w:rsidRPr="009D2C71">
        <w:rPr>
          <w:sz w:val="18"/>
          <w:szCs w:val="18"/>
        </w:rPr>
        <w:t>uniform</w:t>
      </w:r>
      <w:r>
        <w:rPr>
          <w:sz w:val="18"/>
          <w:szCs w:val="18"/>
        </w:rPr>
        <w:noBreakHyphen/>
      </w:r>
      <w:r w:rsidRPr="009D2C71">
        <w:rPr>
          <w:sz w:val="18"/>
          <w:szCs w:val="18"/>
        </w:rPr>
        <w:t>domain</w:t>
      </w:r>
      <w:r>
        <w:rPr>
          <w:sz w:val="18"/>
          <w:szCs w:val="18"/>
        </w:rPr>
        <w:noBreakHyphen/>
      </w:r>
      <w:r w:rsidRPr="009D2C71">
        <w:rPr>
          <w:sz w:val="18"/>
          <w:szCs w:val="18"/>
        </w:rPr>
        <w:t>name</w:t>
      </w:r>
      <w:r>
        <w:rPr>
          <w:sz w:val="18"/>
          <w:szCs w:val="18"/>
        </w:rPr>
        <w:noBreakHyphen/>
      </w:r>
      <w:r w:rsidRPr="009D2C71">
        <w:rPr>
          <w:sz w:val="18"/>
          <w:szCs w:val="18"/>
        </w:rPr>
        <w:t>dispute</w:t>
      </w:r>
      <w:r>
        <w:rPr>
          <w:sz w:val="18"/>
          <w:szCs w:val="18"/>
        </w:rPr>
        <w:noBreakHyphen/>
      </w:r>
      <w:r w:rsidRPr="009D2C71">
        <w:rPr>
          <w:sz w:val="18"/>
          <w:szCs w:val="18"/>
        </w:rPr>
        <w:t>resolution</w:t>
      </w:r>
      <w:r>
        <w:rPr>
          <w:sz w:val="18"/>
          <w:szCs w:val="18"/>
        </w:rPr>
        <w:noBreakHyphen/>
      </w:r>
      <w:r w:rsidRPr="009D2C71">
        <w:rPr>
          <w:sz w:val="18"/>
          <w:szCs w:val="18"/>
        </w:rPr>
        <w:t>policy</w:t>
      </w:r>
      <w:r>
        <w:rPr>
          <w:sz w:val="18"/>
          <w:szCs w:val="18"/>
        </w:rPr>
        <w:noBreakHyphen/>
      </w:r>
      <w:r w:rsidRPr="009D2C71">
        <w:rPr>
          <w:sz w:val="18"/>
          <w:szCs w:val="18"/>
        </w:rPr>
        <w:t>udrp</w:t>
      </w:r>
      <w:r>
        <w:rPr>
          <w:sz w:val="18"/>
          <w:szCs w:val="18"/>
        </w:rPr>
        <w:noBreakHyphen/>
      </w:r>
      <w:r w:rsidRPr="009D2C71">
        <w:rPr>
          <w:sz w:val="18"/>
          <w:szCs w:val="18"/>
        </w:rPr>
        <w:t>03</w:t>
      </w:r>
      <w:r>
        <w:rPr>
          <w:sz w:val="18"/>
          <w:szCs w:val="18"/>
        </w:rPr>
        <w:noBreakHyphen/>
      </w:r>
      <w:r w:rsidRPr="009D2C71">
        <w:rPr>
          <w:sz w:val="18"/>
          <w:szCs w:val="18"/>
        </w:rPr>
        <w:t>03</w:t>
      </w:r>
      <w:r>
        <w:rPr>
          <w:sz w:val="18"/>
          <w:szCs w:val="18"/>
        </w:rPr>
        <w:noBreakHyphen/>
      </w:r>
      <w:r w:rsidRPr="009D2C71">
        <w:rPr>
          <w:sz w:val="18"/>
          <w:szCs w:val="18"/>
        </w:rPr>
        <w:t>2022</w:t>
      </w:r>
      <w:r w:rsidRPr="00C9068B">
        <w:rPr>
          <w:sz w:val="18"/>
          <w:szCs w:val="18"/>
        </w:rPr>
        <w:t>) produit par le personnel de l</w:t>
      </w:r>
      <w:r>
        <w:rPr>
          <w:sz w:val="18"/>
          <w:szCs w:val="18"/>
        </w:rPr>
        <w:t>’</w:t>
      </w:r>
      <w:r w:rsidRPr="00C9068B">
        <w:rPr>
          <w:sz w:val="18"/>
          <w:szCs w:val="18"/>
        </w:rPr>
        <w:t xml:space="preserve">ICANN et sur lequel le Centre </w:t>
      </w:r>
      <w:r>
        <w:rPr>
          <w:sz w:val="18"/>
          <w:szCs w:val="18"/>
        </w:rPr>
        <w:t xml:space="preserve">a </w:t>
      </w:r>
      <w:r w:rsidRPr="00C9068B">
        <w:rPr>
          <w:sz w:val="18"/>
          <w:szCs w:val="18"/>
        </w:rPr>
        <w:t>apport</w:t>
      </w:r>
      <w:r>
        <w:rPr>
          <w:sz w:val="18"/>
          <w:szCs w:val="18"/>
        </w:rPr>
        <w:t>é</w:t>
      </w:r>
      <w:r w:rsidRPr="00C9068B">
        <w:rPr>
          <w:sz w:val="18"/>
          <w:szCs w:val="18"/>
        </w:rPr>
        <w:t xml:space="preserve"> sa contribution</w:t>
      </w:r>
      <w:r w:rsidRPr="00D6433E">
        <w:rPr>
          <w:sz w:val="18"/>
          <w:szCs w:val="18"/>
        </w:rPr>
        <w:t>.</w:t>
      </w:r>
      <w:r>
        <w:rPr>
          <w:sz w:val="18"/>
          <w:szCs w:val="18"/>
        </w:rPr>
        <w:t xml:space="preserve">  Voir</w:t>
      </w:r>
      <w:r w:rsidR="00E73255">
        <w:t> </w:t>
      </w:r>
      <w:r w:rsidRPr="009D2C71">
        <w:rPr>
          <w:sz w:val="18"/>
          <w:szCs w:val="18"/>
        </w:rPr>
        <w:t>https://www.wipo.int/export/sites/www/amc/en/docs/icannletter190422.pdf</w:t>
      </w:r>
      <w:r>
        <w:rPr>
          <w:sz w:val="18"/>
          <w:szCs w:val="18"/>
        </w:rPr>
        <w:t>.</w:t>
      </w:r>
    </w:p>
  </w:footnote>
  <w:footnote w:id="73">
    <w:p w14:paraId="52C32EEF" w14:textId="684F89CD" w:rsidR="005723D0" w:rsidRPr="00474AFE" w:rsidRDefault="005723D0">
      <w:pPr>
        <w:pStyle w:val="FootnoteText"/>
      </w:pPr>
      <w:r>
        <w:rPr>
          <w:rStyle w:val="FootnoteReference"/>
        </w:rPr>
        <w:footnoteRef/>
      </w:r>
      <w:r w:rsidRPr="00474AFE">
        <w:t xml:space="preserve"> </w:t>
      </w:r>
      <w:r w:rsidRPr="00474AFE">
        <w:tab/>
        <w:t>Voir https://gac.icann.org/contentMigrated/icann74</w:t>
      </w:r>
      <w:r>
        <w:noBreakHyphen/>
      </w:r>
      <w:r w:rsidRPr="00474AFE">
        <w:t>gac</w:t>
      </w:r>
      <w:r>
        <w:noBreakHyphen/>
      </w:r>
      <w:r w:rsidRPr="00474AFE">
        <w:t>communique</w:t>
      </w:r>
      <w:r>
        <w:t>.</w:t>
      </w:r>
    </w:p>
  </w:footnote>
  <w:footnote w:id="74">
    <w:p w14:paraId="68FF193E" w14:textId="63B9D26E" w:rsidR="005723D0" w:rsidRPr="006C7091" w:rsidRDefault="005723D0" w:rsidP="008E0BF9">
      <w:pPr>
        <w:pStyle w:val="FootnoteText"/>
      </w:pPr>
      <w:r w:rsidRPr="006C7091">
        <w:rPr>
          <w:rStyle w:val="FootnoteReference"/>
        </w:rPr>
        <w:footnoteRef/>
      </w:r>
      <w:r w:rsidRPr="006C7091">
        <w:t xml:space="preserve"> </w:t>
      </w:r>
      <w:r w:rsidRPr="006C7091">
        <w:tab/>
        <w:t>En particulier, le nom et l</w:t>
      </w:r>
      <w:r>
        <w:t>’</w:t>
      </w:r>
      <w:r w:rsidRPr="006C7091">
        <w:t>adresse électronique du détenteur de l</w:t>
      </w:r>
      <w:r>
        <w:t>’</w:t>
      </w:r>
      <w:r w:rsidRPr="006C7091">
        <w:t xml:space="preserve">enregistrement ne sont dans la plupart des cas pas visibles. </w:t>
      </w:r>
      <w:r>
        <w:t xml:space="preserve"> </w:t>
      </w:r>
      <w:r w:rsidRPr="006C7091">
        <w:t>Toutefois, afin de faciliter les contacts avec le détenteur du nom de domaine, l</w:t>
      </w:r>
      <w:r>
        <w:t>’</w:t>
      </w:r>
      <w:r w:rsidRPr="006C7091">
        <w:t>unité d</w:t>
      </w:r>
      <w:r>
        <w:t>’</w:t>
      </w:r>
      <w:r w:rsidRPr="006C7091">
        <w:t>enregistrement doit fournir une adresse électronique ou un formulaire de contact en ligne anonymes.</w:t>
      </w:r>
    </w:p>
  </w:footnote>
  <w:footnote w:id="75">
    <w:p w14:paraId="1D7861AD" w14:textId="1A525447" w:rsidR="005723D0" w:rsidRPr="006C7091" w:rsidRDefault="005723D0"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La “Spécification temporaire [de contrat]” de l</w:t>
      </w:r>
      <w:r>
        <w:rPr>
          <w:szCs w:val="18"/>
        </w:rPr>
        <w:t>’</w:t>
      </w:r>
      <w:r w:rsidRPr="006C7091">
        <w:rPr>
          <w:szCs w:val="18"/>
        </w:rPr>
        <w:t>ICANN pour les données d</w:t>
      </w:r>
      <w:r>
        <w:rPr>
          <w:szCs w:val="18"/>
        </w:rPr>
        <w:t>’</w:t>
      </w:r>
      <w:r w:rsidRPr="006C7091">
        <w:rPr>
          <w:szCs w:val="18"/>
        </w:rPr>
        <w:t>enregistrement dans les gTLD indique expressément que les unités d</w:t>
      </w:r>
      <w:r>
        <w:rPr>
          <w:szCs w:val="18"/>
        </w:rPr>
        <w:t>’</w:t>
      </w:r>
      <w:r w:rsidRPr="006C7091">
        <w:rPr>
          <w:szCs w:val="18"/>
        </w:rPr>
        <w:t>enregistrement doivent fournir les “données d</w:t>
      </w:r>
      <w:r>
        <w:rPr>
          <w:szCs w:val="18"/>
        </w:rPr>
        <w:t>’</w:t>
      </w:r>
      <w:r w:rsidRPr="006C7091">
        <w:rPr>
          <w:szCs w:val="18"/>
        </w:rPr>
        <w:t xml:space="preserve">enregistrement” intégrales aux prestataires de services UDRP. </w:t>
      </w:r>
      <w:r>
        <w:rPr>
          <w:szCs w:val="18"/>
        </w:rPr>
        <w:t xml:space="preserve"> </w:t>
      </w:r>
      <w:r w:rsidRPr="006C7091">
        <w:rPr>
          <w:szCs w:val="18"/>
        </w:rPr>
        <w:t>Cela semble être basé sur la reconnaissance du fait que les prestataires de services UDRP satisfont aux critères d</w:t>
      </w:r>
      <w:r>
        <w:rPr>
          <w:szCs w:val="18"/>
        </w:rPr>
        <w:t>’</w:t>
      </w:r>
      <w:r w:rsidRPr="006C7091">
        <w:rPr>
          <w:szCs w:val="18"/>
        </w:rPr>
        <w:t>“intérêt légitime” visé à l</w:t>
      </w:r>
      <w:r>
        <w:rPr>
          <w:szCs w:val="18"/>
        </w:rPr>
        <w:t>’</w:t>
      </w:r>
      <w:r w:rsidRPr="006C7091">
        <w:rPr>
          <w:szCs w:val="18"/>
        </w:rPr>
        <w:t>article</w:t>
      </w:r>
      <w:r>
        <w:rPr>
          <w:szCs w:val="18"/>
        </w:rPr>
        <w:t> </w:t>
      </w:r>
      <w:r w:rsidRPr="006C7091">
        <w:rPr>
          <w:szCs w:val="18"/>
        </w:rPr>
        <w:t>6.1)f) et d</w:t>
      </w:r>
      <w:r>
        <w:rPr>
          <w:szCs w:val="18"/>
        </w:rPr>
        <w:t>’</w:t>
      </w:r>
      <w:r w:rsidRPr="006C7091">
        <w:rPr>
          <w:szCs w:val="18"/>
        </w:rPr>
        <w:t>“exécution d</w:t>
      </w:r>
      <w:r>
        <w:rPr>
          <w:szCs w:val="18"/>
        </w:rPr>
        <w:t>’</w:t>
      </w:r>
      <w:r w:rsidRPr="006C7091">
        <w:rPr>
          <w:szCs w:val="18"/>
        </w:rPr>
        <w:t>un contrat” visé à l</w:t>
      </w:r>
      <w:r>
        <w:rPr>
          <w:szCs w:val="18"/>
        </w:rPr>
        <w:t>’</w:t>
      </w:r>
      <w:r w:rsidRPr="006C7091">
        <w:rPr>
          <w:szCs w:val="18"/>
        </w:rPr>
        <w:t>article</w:t>
      </w:r>
      <w:r>
        <w:rPr>
          <w:szCs w:val="18"/>
        </w:rPr>
        <w:t> </w:t>
      </w:r>
      <w:r w:rsidRPr="006C7091">
        <w:rPr>
          <w:szCs w:val="18"/>
        </w:rPr>
        <w:t>6.1)b) du</w:t>
      </w:r>
      <w:r>
        <w:rPr>
          <w:szCs w:val="18"/>
        </w:rPr>
        <w:t> </w:t>
      </w:r>
      <w:r w:rsidRPr="006C7091">
        <w:rPr>
          <w:szCs w:val="18"/>
        </w:rPr>
        <w:t>RGPD, en foi de quoi les unités d</w:t>
      </w:r>
      <w:r>
        <w:rPr>
          <w:szCs w:val="18"/>
        </w:rPr>
        <w:t>’</w:t>
      </w:r>
      <w:r w:rsidRPr="006C7091">
        <w:rPr>
          <w:szCs w:val="18"/>
        </w:rPr>
        <w:t>enregistrement peuvent et doivent leur fournir les données de répertoire.</w:t>
      </w:r>
    </w:p>
  </w:footnote>
  <w:footnote w:id="76">
    <w:p w14:paraId="2E47F0E2" w14:textId="71BB3BB8"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415B4A">
        <w:t>https://www.icann.org/en/system/files/files/framework</w:t>
      </w:r>
      <w:r>
        <w:noBreakHyphen/>
      </w:r>
      <w:r w:rsidRPr="00415B4A">
        <w:t>elements</w:t>
      </w:r>
      <w:r>
        <w:noBreakHyphen/>
      </w:r>
      <w:r w:rsidRPr="00415B4A">
        <w:t>unified</w:t>
      </w:r>
      <w:r>
        <w:noBreakHyphen/>
      </w:r>
      <w:r w:rsidRPr="00415B4A">
        <w:t>access</w:t>
      </w:r>
      <w:r>
        <w:noBreakHyphen/>
      </w:r>
      <w:r w:rsidRPr="00415B4A">
        <w:t>model</w:t>
      </w:r>
      <w:r>
        <w:noBreakHyphen/>
      </w:r>
      <w:r w:rsidRPr="00415B4A">
        <w:t>for</w:t>
      </w:r>
      <w:r>
        <w:noBreakHyphen/>
      </w:r>
      <w:r w:rsidRPr="00415B4A">
        <w:t>discussion</w:t>
      </w:r>
      <w:r>
        <w:noBreakHyphen/>
      </w:r>
      <w:r w:rsidRPr="00415B4A">
        <w:t>18jun18</w:t>
      </w:r>
      <w:r>
        <w:noBreakHyphen/>
      </w:r>
      <w:r w:rsidRPr="00415B4A">
        <w:t>en.pdf</w:t>
      </w:r>
      <w:r w:rsidR="0065462F">
        <w:t>.</w:t>
      </w:r>
    </w:p>
  </w:footnote>
  <w:footnote w:id="77">
    <w:p w14:paraId="18F0C913" w14:textId="530EE879" w:rsidR="005723D0" w:rsidRPr="006C7091" w:rsidRDefault="005723D0" w:rsidP="008E0BF9">
      <w:pPr>
        <w:pStyle w:val="FootnoteText"/>
      </w:pPr>
      <w:r w:rsidRPr="006C7091">
        <w:rPr>
          <w:rStyle w:val="FootnoteReference"/>
        </w:rPr>
        <w:footnoteRef/>
      </w:r>
      <w:r w:rsidRPr="006C7091">
        <w:t xml:space="preserve"> </w:t>
      </w:r>
      <w:r w:rsidRPr="006C7091">
        <w:tab/>
        <w:t>Voir l</w:t>
      </w:r>
      <w:r>
        <w:t>’</w:t>
      </w:r>
      <w:r w:rsidRPr="006C7091">
        <w:t>article relatif à l</w:t>
      </w:r>
      <w:r>
        <w:t>’</w:t>
      </w:r>
      <w:r w:rsidRPr="006C7091">
        <w:t>adoption par le Conseil de la</w:t>
      </w:r>
      <w:r>
        <w:t> </w:t>
      </w:r>
      <w:r w:rsidRPr="006C7091">
        <w:t>GNSO du rapport final de l</w:t>
      </w:r>
      <w:r>
        <w:t>’</w:t>
      </w:r>
      <w:r w:rsidRPr="006C7091">
        <w:t>étape</w:t>
      </w:r>
      <w:r>
        <w:t> </w:t>
      </w:r>
      <w:r w:rsidRPr="006C7091">
        <w:t>1 établi par l</w:t>
      </w:r>
      <w:r>
        <w:t>’</w:t>
      </w:r>
      <w:r w:rsidRPr="006C7091">
        <w:t>équipe responsable du processus accéléré d</w:t>
      </w:r>
      <w:r>
        <w:t>’</w:t>
      </w:r>
      <w:r w:rsidRPr="006C7091">
        <w:t>élaboration de politiques</w:t>
      </w:r>
      <w:r w:rsidR="0065462F">
        <w:t> </w:t>
      </w:r>
      <w:r w:rsidRPr="006C7091">
        <w:t>(EPDP) sur la spécification temporaire relative aux données d</w:t>
      </w:r>
      <w:r>
        <w:t>’</w:t>
      </w:r>
      <w:r w:rsidRPr="006C7091">
        <w:t>enregistrement des gTLD, à l</w:t>
      </w:r>
      <w:r>
        <w:t>’</w:t>
      </w:r>
      <w:r w:rsidRPr="006C7091">
        <w:t>adresse suivante</w:t>
      </w:r>
      <w:r>
        <w:t> :</w:t>
      </w:r>
      <w:r w:rsidRPr="006C7091">
        <w:t xml:space="preserve"> </w:t>
      </w:r>
      <w:r w:rsidRPr="00E969E6">
        <w:t>https://www.icann.org/fr/announcements/details/gnso</w:t>
      </w:r>
      <w:r>
        <w:noBreakHyphen/>
      </w:r>
      <w:r w:rsidRPr="00E969E6">
        <w:t>council</w:t>
      </w:r>
      <w:r>
        <w:noBreakHyphen/>
      </w:r>
      <w:r w:rsidRPr="00E969E6">
        <w:t>adopts</w:t>
      </w:r>
      <w:r>
        <w:noBreakHyphen/>
      </w:r>
      <w:r w:rsidRPr="00E969E6">
        <w:t>epdp</w:t>
      </w:r>
      <w:r>
        <w:noBreakHyphen/>
      </w:r>
      <w:r w:rsidRPr="00E969E6">
        <w:t>final</w:t>
      </w:r>
      <w:r>
        <w:noBreakHyphen/>
      </w:r>
      <w:r w:rsidRPr="00E969E6">
        <w:t>report</w:t>
      </w:r>
      <w:r>
        <w:noBreakHyphen/>
      </w:r>
      <w:r w:rsidRPr="00E969E6">
        <w:t>on</w:t>
      </w:r>
      <w:r>
        <w:noBreakHyphen/>
      </w:r>
      <w:r w:rsidRPr="00E969E6">
        <w:t>the</w:t>
      </w:r>
      <w:r>
        <w:noBreakHyphen/>
      </w:r>
      <w:r w:rsidRPr="00E969E6">
        <w:t>temporary</w:t>
      </w:r>
      <w:r>
        <w:noBreakHyphen/>
      </w:r>
      <w:r w:rsidRPr="00E969E6">
        <w:t>specification</w:t>
      </w:r>
      <w:r>
        <w:noBreakHyphen/>
      </w:r>
      <w:r w:rsidRPr="00E969E6">
        <w:t>for</w:t>
      </w:r>
      <w:r>
        <w:noBreakHyphen/>
      </w:r>
      <w:r w:rsidRPr="00E969E6">
        <w:t>gtld</w:t>
      </w:r>
      <w:r>
        <w:noBreakHyphen/>
      </w:r>
      <w:r w:rsidRPr="00E969E6">
        <w:t>registration</w:t>
      </w:r>
      <w:r>
        <w:noBreakHyphen/>
      </w:r>
      <w:r w:rsidRPr="00E969E6">
        <w:t>data</w:t>
      </w:r>
      <w:r>
        <w:noBreakHyphen/>
      </w:r>
      <w:r w:rsidRPr="00E969E6">
        <w:t>4</w:t>
      </w:r>
      <w:r>
        <w:noBreakHyphen/>
      </w:r>
      <w:r w:rsidRPr="00E969E6">
        <w:t>3</w:t>
      </w:r>
      <w:r>
        <w:noBreakHyphen/>
      </w:r>
      <w:r w:rsidRPr="00E969E6">
        <w:t>2019</w:t>
      </w:r>
      <w:r>
        <w:noBreakHyphen/>
      </w:r>
      <w:r w:rsidRPr="00E969E6">
        <w:t>fr</w:t>
      </w:r>
      <w:r w:rsidRPr="006C7091">
        <w:t>, et le rapport final de l</w:t>
      </w:r>
      <w:r>
        <w:t>’</w:t>
      </w:r>
      <w:r w:rsidRPr="006C7091">
        <w:t>étape</w:t>
      </w:r>
      <w:r>
        <w:t> </w:t>
      </w:r>
      <w:r w:rsidRPr="006C7091">
        <w:t>2, à l</w:t>
      </w:r>
      <w:r>
        <w:t>’</w:t>
      </w:r>
      <w:r w:rsidRPr="006C7091">
        <w:t>adresse suivante</w:t>
      </w:r>
      <w:r>
        <w:t> :</w:t>
      </w:r>
      <w:r w:rsidRPr="006C7091">
        <w:t xml:space="preserve"> </w:t>
      </w:r>
      <w:r w:rsidRPr="00E969E6">
        <w:t>https://www.icann.org/fr/blogs/details/epdp</w:t>
      </w:r>
      <w:r>
        <w:noBreakHyphen/>
      </w:r>
      <w:r w:rsidRPr="00E969E6">
        <w:t>phase</w:t>
      </w:r>
      <w:r>
        <w:noBreakHyphen/>
      </w:r>
      <w:r w:rsidRPr="00E969E6">
        <w:t>2</w:t>
      </w:r>
      <w:r>
        <w:noBreakHyphen/>
      </w:r>
      <w:r w:rsidRPr="00E969E6">
        <w:t>team</w:t>
      </w:r>
      <w:r>
        <w:noBreakHyphen/>
      </w:r>
      <w:r w:rsidRPr="00E969E6">
        <w:t>publishes</w:t>
      </w:r>
      <w:r>
        <w:noBreakHyphen/>
      </w:r>
      <w:r w:rsidRPr="00E969E6">
        <w:t>final</w:t>
      </w:r>
      <w:r>
        <w:noBreakHyphen/>
      </w:r>
      <w:r w:rsidRPr="00E969E6">
        <w:t>report</w:t>
      </w:r>
      <w:r>
        <w:noBreakHyphen/>
      </w:r>
      <w:r w:rsidRPr="00E969E6">
        <w:t>10</w:t>
      </w:r>
      <w:r>
        <w:noBreakHyphen/>
      </w:r>
      <w:r w:rsidRPr="00E969E6">
        <w:t>8</w:t>
      </w:r>
      <w:r>
        <w:noBreakHyphen/>
      </w:r>
      <w:r w:rsidRPr="00E969E6">
        <w:t>2020</w:t>
      </w:r>
      <w:r>
        <w:noBreakHyphen/>
      </w:r>
      <w:r w:rsidRPr="00E969E6">
        <w:t>fr</w:t>
      </w:r>
      <w:r w:rsidRPr="006C7091">
        <w:t>.  Plusieurs questions précises restées sans réponse seront traitées dans le cadre d</w:t>
      </w:r>
      <w:r>
        <w:t>’</w:t>
      </w:r>
      <w:r w:rsidRPr="006C7091">
        <w:t xml:space="preserve">une </w:t>
      </w:r>
      <w:r>
        <w:t>“</w:t>
      </w:r>
      <w:r w:rsidRPr="006C7091">
        <w:t>étape</w:t>
      </w:r>
      <w:r>
        <w:t> </w:t>
      </w:r>
      <w:r w:rsidRPr="006C7091">
        <w:t>2a</w:t>
      </w:r>
      <w:r>
        <w:t>”</w:t>
      </w:r>
      <w:r w:rsidRPr="006C7091">
        <w:t>, voir par exemple</w:t>
      </w:r>
      <w:r>
        <w:t> </w:t>
      </w:r>
      <w:r w:rsidRPr="00E969E6">
        <w:t>https://www.icann.org/fr/announcements/details/call</w:t>
      </w:r>
      <w:r>
        <w:noBreakHyphen/>
      </w:r>
      <w:r w:rsidRPr="00E969E6">
        <w:t>for</w:t>
      </w:r>
      <w:r>
        <w:noBreakHyphen/>
      </w:r>
      <w:r w:rsidRPr="00E969E6">
        <w:t>expressions</w:t>
      </w:r>
      <w:r>
        <w:noBreakHyphen/>
      </w:r>
      <w:r w:rsidRPr="00E969E6">
        <w:t>of</w:t>
      </w:r>
      <w:r>
        <w:noBreakHyphen/>
      </w:r>
      <w:r w:rsidRPr="00E969E6">
        <w:t>interest</w:t>
      </w:r>
      <w:r>
        <w:noBreakHyphen/>
      </w:r>
      <w:r w:rsidRPr="00E969E6">
        <w:t>chair</w:t>
      </w:r>
      <w:r>
        <w:noBreakHyphen/>
      </w:r>
      <w:r w:rsidRPr="00E969E6">
        <w:t>of</w:t>
      </w:r>
      <w:r>
        <w:noBreakHyphen/>
      </w:r>
      <w:r w:rsidRPr="00E969E6">
        <w:t>phase</w:t>
      </w:r>
      <w:r>
        <w:noBreakHyphen/>
      </w:r>
      <w:r w:rsidRPr="00E969E6">
        <w:t>2a</w:t>
      </w:r>
      <w:r>
        <w:noBreakHyphen/>
      </w:r>
      <w:r w:rsidRPr="00E969E6">
        <w:t>gnso</w:t>
      </w:r>
      <w:r>
        <w:noBreakHyphen/>
      </w:r>
      <w:r w:rsidRPr="00E969E6">
        <w:t>epdp</w:t>
      </w:r>
      <w:r>
        <w:noBreakHyphen/>
      </w:r>
      <w:r w:rsidRPr="00E969E6">
        <w:t>on</w:t>
      </w:r>
      <w:r>
        <w:noBreakHyphen/>
      </w:r>
      <w:r w:rsidRPr="00E969E6">
        <w:t>the</w:t>
      </w:r>
      <w:r>
        <w:noBreakHyphen/>
      </w:r>
      <w:r w:rsidRPr="00E969E6">
        <w:t>temporary</w:t>
      </w:r>
      <w:r>
        <w:noBreakHyphen/>
      </w:r>
      <w:r w:rsidRPr="00E969E6">
        <w:t>specification</w:t>
      </w:r>
      <w:r>
        <w:noBreakHyphen/>
      </w:r>
      <w:r w:rsidRPr="00E969E6">
        <w:t>for</w:t>
      </w:r>
      <w:r>
        <w:noBreakHyphen/>
      </w:r>
      <w:r w:rsidRPr="00E969E6">
        <w:t>gtld</w:t>
      </w:r>
      <w:r>
        <w:noBreakHyphen/>
      </w:r>
      <w:r w:rsidRPr="00E969E6">
        <w:t>registration</w:t>
      </w:r>
      <w:r>
        <w:noBreakHyphen/>
      </w:r>
      <w:r w:rsidRPr="00E969E6">
        <w:t>data</w:t>
      </w:r>
      <w:r>
        <w:noBreakHyphen/>
      </w:r>
      <w:r w:rsidRPr="00E969E6">
        <w:t>4</w:t>
      </w:r>
      <w:r>
        <w:noBreakHyphen/>
      </w:r>
      <w:r w:rsidRPr="00E969E6">
        <w:t>11</w:t>
      </w:r>
      <w:r>
        <w:noBreakHyphen/>
      </w:r>
      <w:r w:rsidRPr="00E969E6">
        <w:t>2020</w:t>
      </w:r>
      <w:r>
        <w:noBreakHyphen/>
      </w:r>
      <w:r w:rsidRPr="00E969E6">
        <w:t>fr</w:t>
      </w:r>
      <w:r w:rsidRPr="006C7091">
        <w:t>.</w:t>
      </w:r>
    </w:p>
  </w:footnote>
  <w:footnote w:id="78">
    <w:p w14:paraId="02B7C9A5" w14:textId="108766BB" w:rsidR="005723D0" w:rsidRPr="00A7394B" w:rsidRDefault="005723D0">
      <w:pPr>
        <w:pStyle w:val="FootnoteText"/>
      </w:pPr>
      <w:r>
        <w:rPr>
          <w:rStyle w:val="FootnoteReference"/>
        </w:rPr>
        <w:footnoteRef/>
      </w:r>
      <w:r w:rsidRPr="00A7394B">
        <w:t xml:space="preserve"> </w:t>
      </w:r>
      <w:r w:rsidRPr="00A7394B">
        <w:tab/>
      </w:r>
      <w:r>
        <w:t>Voir</w:t>
      </w:r>
      <w:r w:rsidRPr="00A7394B">
        <w:t xml:space="preserve"> </w:t>
      </w:r>
      <w:r w:rsidRPr="00E969E6">
        <w:t>https://www.icann.org/fr/board</w:t>
      </w:r>
      <w:r>
        <w:noBreakHyphen/>
      </w:r>
      <w:r w:rsidRPr="00E969E6">
        <w:t>activities</w:t>
      </w:r>
      <w:r>
        <w:noBreakHyphen/>
      </w:r>
      <w:r w:rsidRPr="00E969E6">
        <w:t>and</w:t>
      </w:r>
      <w:r>
        <w:noBreakHyphen/>
      </w:r>
      <w:r w:rsidRPr="00E969E6">
        <w:t>meetings/materials/approved</w:t>
      </w:r>
      <w:r>
        <w:noBreakHyphen/>
      </w:r>
      <w:r w:rsidRPr="00E969E6">
        <w:t>resolutions</w:t>
      </w:r>
      <w:r>
        <w:noBreakHyphen/>
      </w:r>
      <w:r w:rsidRPr="00E969E6">
        <w:t>special</w:t>
      </w:r>
      <w:r>
        <w:noBreakHyphen/>
      </w:r>
      <w:r w:rsidRPr="00E969E6">
        <w:t>meeting</w:t>
      </w:r>
      <w:r>
        <w:noBreakHyphen/>
      </w:r>
      <w:r w:rsidRPr="00E969E6">
        <w:t>of</w:t>
      </w:r>
      <w:r>
        <w:noBreakHyphen/>
      </w:r>
      <w:r w:rsidRPr="00E969E6">
        <w:t>the</w:t>
      </w:r>
      <w:r>
        <w:noBreakHyphen/>
      </w:r>
      <w:r w:rsidRPr="00E969E6">
        <w:t>icann</w:t>
      </w:r>
      <w:r>
        <w:noBreakHyphen/>
      </w:r>
      <w:r w:rsidRPr="00E969E6">
        <w:t>board</w:t>
      </w:r>
      <w:r>
        <w:noBreakHyphen/>
      </w:r>
      <w:r w:rsidRPr="00E969E6">
        <w:t>27</w:t>
      </w:r>
      <w:r>
        <w:noBreakHyphen/>
      </w:r>
      <w:r w:rsidRPr="00E969E6">
        <w:t>02</w:t>
      </w:r>
      <w:r>
        <w:noBreakHyphen/>
      </w:r>
      <w:r w:rsidRPr="00E969E6">
        <w:t>2023</w:t>
      </w:r>
      <w:r>
        <w:noBreakHyphen/>
      </w:r>
      <w:r w:rsidRPr="00E969E6">
        <w:t>en</w:t>
      </w:r>
      <w:r w:rsidRPr="00A7394B">
        <w:t>.</w:t>
      </w:r>
    </w:p>
  </w:footnote>
  <w:footnote w:id="79">
    <w:p w14:paraId="685E8F81" w14:textId="0D7AD44E" w:rsidR="005723D0" w:rsidRPr="006C7091" w:rsidRDefault="005723D0" w:rsidP="008E0BF9">
      <w:pPr>
        <w:pStyle w:val="FootnoteText"/>
      </w:pPr>
      <w:r w:rsidRPr="006C7091">
        <w:rPr>
          <w:rStyle w:val="FootnoteReference"/>
        </w:rPr>
        <w:footnoteRef/>
      </w:r>
      <w:r w:rsidRPr="006C7091">
        <w:t xml:space="preserve"> </w:t>
      </w:r>
      <w:r w:rsidRPr="006C7091">
        <w:tab/>
        <w:t>Voir également le plan final de l</w:t>
      </w:r>
      <w:r>
        <w:t>’</w:t>
      </w:r>
      <w:r w:rsidRPr="006C7091">
        <w:t>ICANN pour la mise en œuvre d</w:t>
      </w:r>
      <w:r>
        <w:t>’</w:t>
      </w:r>
      <w:r w:rsidRPr="006C7091">
        <w:t>un processus accéléré d</w:t>
      </w:r>
      <w:r>
        <w:t>’</w:t>
      </w:r>
      <w:r w:rsidRPr="006C7091">
        <w:t>établissement de noms de ccTLD internationalisés publié en novembre</w:t>
      </w:r>
      <w:r>
        <w:t> </w:t>
      </w:r>
      <w:r w:rsidRPr="006C7091">
        <w:t xml:space="preserve">2009 (voir </w:t>
      </w:r>
      <w:r w:rsidRPr="00E969E6">
        <w:t>https://www.icann.org/en/system/files/files/idn</w:t>
      </w:r>
      <w:r>
        <w:noBreakHyphen/>
      </w:r>
      <w:r w:rsidRPr="00E969E6">
        <w:t>cctld</w:t>
      </w:r>
      <w:r>
        <w:noBreakHyphen/>
      </w:r>
      <w:r w:rsidRPr="00E969E6">
        <w:t>implementation</w:t>
      </w:r>
      <w:r>
        <w:noBreakHyphen/>
      </w:r>
      <w:r w:rsidRPr="00E969E6">
        <w:t>plan</w:t>
      </w:r>
      <w:r>
        <w:noBreakHyphen/>
      </w:r>
      <w:r w:rsidRPr="00E969E6">
        <w:t>16nov09</w:t>
      </w:r>
      <w:r>
        <w:noBreakHyphen/>
      </w:r>
      <w:r w:rsidRPr="00E969E6">
        <w:t>en.pdf</w:t>
      </w:r>
      <w:r w:rsidRPr="006C7091">
        <w:t xml:space="preserve">). </w:t>
      </w:r>
      <w:r>
        <w:t xml:space="preserve"> </w:t>
      </w:r>
      <w:r w:rsidRPr="006C7091">
        <w:t>Depuis lors, cette procédure a permis d</w:t>
      </w:r>
      <w:r>
        <w:t>’</w:t>
      </w:r>
      <w:r w:rsidRPr="006C7091">
        <w:t>introduire plusieurs ccTLD internationalisés associés aux codes à deux</w:t>
      </w:r>
      <w:r>
        <w:t> </w:t>
      </w:r>
      <w:r w:rsidRPr="006C7091">
        <w:t>lettres figurant dans la norme</w:t>
      </w:r>
      <w:r>
        <w:t> </w:t>
      </w:r>
      <w:r w:rsidRPr="006C7091">
        <w:t>ISO</w:t>
      </w:r>
      <w:r>
        <w:t> </w:t>
      </w:r>
      <w:r w:rsidRPr="006C7091">
        <w:t>3166</w:t>
      </w:r>
      <w:r>
        <w:noBreakHyphen/>
      </w:r>
      <w:r w:rsidRPr="006C7091">
        <w:t xml:space="preserve">1 (voir </w:t>
      </w:r>
      <w:r w:rsidR="00E103CA" w:rsidRPr="00E103CA">
        <w:t>https://www.iso.org/fr/iso-3166-country-codes.html</w:t>
      </w:r>
      <w:r w:rsidR="0065462F">
        <w:t>).</w:t>
      </w:r>
    </w:p>
  </w:footnote>
  <w:footnote w:id="80">
    <w:p w14:paraId="0EB42B26" w14:textId="3A689B12"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4C022B">
        <w:t>https://www.wipo.int/edocs/mdocs/govbody/fr/wo_ga_28/wo_ga_28_3.pdf</w:t>
      </w:r>
      <w:r w:rsidRPr="006C7091">
        <w:t>;</w:t>
      </w:r>
      <w:r>
        <w:t xml:space="preserve"> </w:t>
      </w:r>
      <w:r w:rsidRPr="006C7091">
        <w:t xml:space="preserve"> voir également les</w:t>
      </w:r>
      <w:r w:rsidR="0065462F">
        <w:t> </w:t>
      </w:r>
      <w:r w:rsidRPr="006C7091">
        <w:t>paragraphes</w:t>
      </w:r>
      <w:r>
        <w:t> </w:t>
      </w:r>
      <w:r w:rsidRPr="006C7091">
        <w:t>6 à</w:t>
      </w:r>
      <w:r w:rsidR="0065462F">
        <w:t> </w:t>
      </w:r>
      <w:r w:rsidRPr="006C7091">
        <w:t>11 du document</w:t>
      </w:r>
      <w:r>
        <w:t> </w:t>
      </w:r>
      <w:r w:rsidRPr="006C7091">
        <w:t>SCT/9/8, et le paragraphe</w:t>
      </w:r>
      <w:r>
        <w:t> </w:t>
      </w:r>
      <w:r w:rsidRPr="006C7091">
        <w:t>149 du document</w:t>
      </w:r>
      <w:r>
        <w:t> </w:t>
      </w:r>
      <w:r w:rsidRPr="006C7091">
        <w:t xml:space="preserve">SCT/9/9. </w:t>
      </w:r>
      <w:r>
        <w:t xml:space="preserve"> </w:t>
      </w:r>
      <w:r w:rsidRPr="006C7091">
        <w:t>Le Secrétariat de l</w:t>
      </w:r>
      <w:r>
        <w:t>’</w:t>
      </w:r>
      <w:r w:rsidRPr="006C7091">
        <w:t>OMPI a transmis ces recommandations à l</w:t>
      </w:r>
      <w:r>
        <w:t>’</w:t>
      </w:r>
      <w:r w:rsidRPr="006C7091">
        <w:t xml:space="preserve">ICANN. </w:t>
      </w:r>
      <w:r>
        <w:t xml:space="preserve"> </w:t>
      </w:r>
      <w:r w:rsidRPr="006C7091">
        <w:t>Voir http://www.wipo.int/amc/f</w:t>
      </w:r>
      <w:r>
        <w:t>r</w:t>
      </w:r>
      <w:r w:rsidRPr="006C7091">
        <w:t>/docs/wipo.doc.</w:t>
      </w:r>
    </w:p>
  </w:footnote>
  <w:footnote w:id="81">
    <w:p w14:paraId="30E7F7C5" w14:textId="1782FBBE"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2B3B73">
        <w:t>https://www.wipo.int/about</w:t>
      </w:r>
      <w:r>
        <w:noBreakHyphen/>
      </w:r>
      <w:r w:rsidRPr="002B3B73">
        <w:t>wipo/fr/assemblies/2021/a_62/doc_details.jsp?doc_id=507114</w:t>
      </w:r>
      <w:r w:rsidRPr="006C7091">
        <w:t>, paragraphes 44 à</w:t>
      </w:r>
      <w:r w:rsidR="0065462F">
        <w:t> </w:t>
      </w:r>
      <w:r w:rsidRPr="006C7091">
        <w:t>51.</w:t>
      </w:r>
    </w:p>
  </w:footnote>
  <w:footnote w:id="82">
    <w:p w14:paraId="4E19056D" w14:textId="51C7DDA6"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00E103CA" w:rsidRPr="00E103CA">
        <w:t>https://gnso.icann.org/en/council/resolutions/1999-2019#201905</w:t>
      </w:r>
      <w:r w:rsidRPr="006C7091">
        <w:t>.</w:t>
      </w:r>
    </w:p>
  </w:footnote>
  <w:footnote w:id="83">
    <w:p w14:paraId="30F1FDAA" w14:textId="4DED1FF1"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AD7FFD">
        <w:t>https://www.icann.org/en/system/files/correspondence/botterman</w:t>
      </w:r>
      <w:r>
        <w:noBreakHyphen/>
      </w:r>
      <w:r w:rsidRPr="00AD7FFD">
        <w:t>to</w:t>
      </w:r>
      <w:r>
        <w:noBreakHyphen/>
      </w:r>
      <w:r w:rsidRPr="00AD7FFD">
        <w:t>ismail</w:t>
      </w:r>
      <w:r>
        <w:noBreakHyphen/>
      </w:r>
      <w:r w:rsidRPr="00AD7FFD">
        <w:t>23feb21</w:t>
      </w:r>
      <w:r>
        <w:noBreakHyphen/>
      </w:r>
      <w:r w:rsidRPr="00AD7FFD">
        <w:t>en.pdf</w:t>
      </w:r>
      <w:r w:rsidRPr="006C7091">
        <w:t>.</w:t>
      </w:r>
    </w:p>
  </w:footnote>
  <w:footnote w:id="84">
    <w:p w14:paraId="4E9D3F25" w14:textId="15BF3B70"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AD7FFD">
        <w:t>https://www.icann.org/en/system/files/files/resolutions</w:t>
      </w:r>
      <w:r>
        <w:noBreakHyphen/>
      </w:r>
      <w:r w:rsidRPr="00AD7FFD">
        <w:t>abudhabi60</w:t>
      </w:r>
      <w:r>
        <w:noBreakHyphen/>
      </w:r>
      <w:r w:rsidRPr="00AD7FFD">
        <w:t>gac</w:t>
      </w:r>
      <w:r>
        <w:noBreakHyphen/>
      </w:r>
      <w:r w:rsidRPr="00AD7FFD">
        <w:t>advice</w:t>
      </w:r>
      <w:r>
        <w:noBreakHyphen/>
      </w:r>
      <w:r w:rsidRPr="00AD7FFD">
        <w:t>scorecard</w:t>
      </w:r>
      <w:r>
        <w:noBreakHyphen/>
      </w:r>
      <w:r w:rsidRPr="00AD7FFD">
        <w:t>04feb18</w:t>
      </w:r>
      <w:r>
        <w:noBreakHyphen/>
      </w:r>
      <w:r w:rsidRPr="00AD7FFD">
        <w:t xml:space="preserve">en.pdf </w:t>
      </w:r>
      <w:r w:rsidRPr="006C7091">
        <w:t xml:space="preserve">et </w:t>
      </w:r>
      <w:r w:rsidRPr="00AD7FFD">
        <w:t>https://gac.icann.org/contentMigrated/icann71</w:t>
      </w:r>
      <w:r>
        <w:noBreakHyphen/>
      </w:r>
      <w:r w:rsidRPr="00AD7FFD">
        <w:t>gac</w:t>
      </w:r>
      <w:r>
        <w:noBreakHyphen/>
      </w:r>
      <w:r w:rsidRPr="00AD7FFD">
        <w:t>communique?language_id=3</w:t>
      </w:r>
      <w:r w:rsidRPr="006C7091">
        <w:t>.</w:t>
      </w:r>
    </w:p>
  </w:footnote>
  <w:footnote w:id="85">
    <w:p w14:paraId="018C46DC" w14:textId="658B089D" w:rsidR="005723D0" w:rsidRDefault="005723D0" w:rsidP="00C9068B">
      <w:pPr>
        <w:pStyle w:val="FootnoteText"/>
      </w:pPr>
      <w:r>
        <w:rPr>
          <w:rStyle w:val="FootnoteReference"/>
        </w:rPr>
        <w:footnoteRef/>
      </w:r>
      <w:r>
        <w:t xml:space="preserve"> </w:t>
      </w:r>
      <w:r>
        <w:tab/>
        <w:t>Voir à l’adresse </w:t>
      </w:r>
      <w:r w:rsidRPr="001F3CC3">
        <w:t>https://gnso.icann.org/sites/default/files/file/field</w:t>
      </w:r>
      <w:r>
        <w:noBreakHyphen/>
      </w:r>
      <w:r w:rsidRPr="001F3CC3">
        <w:t>file</w:t>
      </w:r>
      <w:r>
        <w:noBreakHyphen/>
      </w:r>
      <w:r w:rsidRPr="001F3CC3">
        <w:t>attach/epdp</w:t>
      </w:r>
      <w:r>
        <w:noBreakHyphen/>
      </w:r>
      <w:r w:rsidRPr="001F3CC3">
        <w:t>specific</w:t>
      </w:r>
      <w:r>
        <w:noBreakHyphen/>
      </w:r>
      <w:r w:rsidRPr="001F3CC3">
        <w:t>crp</w:t>
      </w:r>
      <w:r>
        <w:noBreakHyphen/>
      </w:r>
      <w:r w:rsidRPr="001F3CC3">
        <w:t>igo</w:t>
      </w:r>
      <w:r>
        <w:noBreakHyphen/>
      </w:r>
      <w:r w:rsidRPr="001F3CC3">
        <w:t>final</w:t>
      </w:r>
      <w:r>
        <w:noBreakHyphen/>
      </w:r>
      <w:r w:rsidRPr="001F3CC3">
        <w:t>report</w:t>
      </w:r>
      <w:r>
        <w:noBreakHyphen/>
      </w:r>
      <w:r w:rsidRPr="001F3CC3">
        <w:t>02apr22</w:t>
      </w:r>
      <w:r>
        <w:noBreakHyphen/>
      </w:r>
      <w:r w:rsidRPr="001F3CC3">
        <w:t>fr.pdf</w:t>
      </w:r>
      <w:r>
        <w:t xml:space="preserve"> et https://gnso.icann.org/sites/default/files/policy/2022/draft/draft</w:t>
      </w:r>
      <w:r>
        <w:noBreakHyphen/>
        <w:t>epdp</w:t>
      </w:r>
      <w:r>
        <w:noBreakHyphen/>
        <w:t>specific</w:t>
      </w:r>
      <w:r>
        <w:noBreakHyphen/>
        <w:t>curative</w:t>
      </w:r>
      <w:r>
        <w:noBreakHyphen/>
        <w:t>rights</w:t>
      </w:r>
      <w:r>
        <w:noBreakHyphen/>
        <w:t>protections</w:t>
      </w:r>
      <w:r>
        <w:noBreakHyphen/>
        <w:t>for</w:t>
      </w:r>
      <w:r>
        <w:noBreakHyphen/>
        <w:t>igos</w:t>
      </w:r>
      <w:r>
        <w:noBreakHyphen/>
        <w:t>report</w:t>
      </w:r>
      <w:r>
        <w:noBreakHyphen/>
        <w:t>11jul22</w:t>
      </w:r>
      <w:r>
        <w:noBreakHyphen/>
        <w:t xml:space="preserve">en.pdf.  </w:t>
      </w:r>
    </w:p>
  </w:footnote>
  <w:footnote w:id="86">
    <w:p w14:paraId="7D872648" w14:textId="3D2A7A6D"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1F3CC3">
        <w:t>https://www.icann.org/resources/pages/igo</w:t>
      </w:r>
      <w:r>
        <w:noBreakHyphen/>
      </w:r>
      <w:r w:rsidRPr="001F3CC3">
        <w:t>ingo</w:t>
      </w:r>
      <w:r>
        <w:noBreakHyphen/>
      </w:r>
      <w:r w:rsidRPr="001F3CC3">
        <w:t>protection</w:t>
      </w:r>
      <w:r>
        <w:noBreakHyphen/>
      </w:r>
      <w:r w:rsidRPr="001F3CC3">
        <w:t>policy</w:t>
      </w:r>
      <w:r>
        <w:noBreakHyphen/>
      </w:r>
      <w:r w:rsidRPr="001F3CC3">
        <w:t>2018</w:t>
      </w:r>
      <w:r>
        <w:noBreakHyphen/>
      </w:r>
      <w:r w:rsidRPr="001F3CC3">
        <w:t>01</w:t>
      </w:r>
      <w:r>
        <w:noBreakHyphen/>
      </w:r>
      <w:r w:rsidRPr="001F3CC3">
        <w:t>23</w:t>
      </w:r>
      <w:r>
        <w:noBreakHyphen/>
      </w:r>
      <w:r w:rsidRPr="001F3CC3">
        <w:t>fr</w:t>
      </w:r>
      <w:r w:rsidRPr="006C7091">
        <w:t xml:space="preserve">, </w:t>
      </w:r>
      <w:r w:rsidRPr="001F3CC3">
        <w:t>https://www.icann.org/fr/board</w:t>
      </w:r>
      <w:r>
        <w:noBreakHyphen/>
      </w:r>
      <w:r w:rsidRPr="001F3CC3">
        <w:t>activities</w:t>
      </w:r>
      <w:r>
        <w:noBreakHyphen/>
      </w:r>
      <w:r w:rsidRPr="001F3CC3">
        <w:t>and</w:t>
      </w:r>
      <w:r>
        <w:noBreakHyphen/>
      </w:r>
      <w:r w:rsidRPr="001F3CC3">
        <w:t>meetings/materials/approved</w:t>
      </w:r>
      <w:r>
        <w:noBreakHyphen/>
      </w:r>
      <w:r w:rsidRPr="001F3CC3">
        <w:t>board</w:t>
      </w:r>
      <w:r>
        <w:noBreakHyphen/>
      </w:r>
      <w:r w:rsidRPr="001F3CC3">
        <w:t>resolutions</w:t>
      </w:r>
      <w:r>
        <w:noBreakHyphen/>
      </w:r>
      <w:r w:rsidRPr="001F3CC3">
        <w:t>regular</w:t>
      </w:r>
      <w:r>
        <w:noBreakHyphen/>
      </w:r>
      <w:r w:rsidRPr="001F3CC3">
        <w:t>meeting</w:t>
      </w:r>
      <w:r>
        <w:noBreakHyphen/>
      </w:r>
      <w:r w:rsidRPr="001F3CC3">
        <w:t>of</w:t>
      </w:r>
      <w:r>
        <w:noBreakHyphen/>
      </w:r>
      <w:r w:rsidRPr="001F3CC3">
        <w:t>the</w:t>
      </w:r>
      <w:r>
        <w:noBreakHyphen/>
      </w:r>
      <w:r w:rsidRPr="001F3CC3">
        <w:t>icann</w:t>
      </w:r>
      <w:r>
        <w:noBreakHyphen/>
      </w:r>
      <w:r w:rsidRPr="001F3CC3">
        <w:t>board</w:t>
      </w:r>
      <w:r>
        <w:noBreakHyphen/>
      </w:r>
      <w:r w:rsidRPr="001F3CC3">
        <w:t>04</w:t>
      </w:r>
      <w:r>
        <w:noBreakHyphen/>
      </w:r>
      <w:r w:rsidRPr="001F3CC3">
        <w:t>02</w:t>
      </w:r>
      <w:r>
        <w:noBreakHyphen/>
      </w:r>
      <w:r w:rsidRPr="001F3CC3">
        <w:t>2018</w:t>
      </w:r>
      <w:r>
        <w:noBreakHyphen/>
      </w:r>
      <w:r w:rsidRPr="001F3CC3">
        <w:t>fr#2.d</w:t>
      </w:r>
      <w:r w:rsidRPr="006C7091">
        <w:t xml:space="preserve"> et </w:t>
      </w:r>
      <w:r w:rsidRPr="001F3CC3">
        <w:t>https://www.icann.org/en/system/files/files/resolutions</w:t>
      </w:r>
      <w:r>
        <w:noBreakHyphen/>
      </w:r>
      <w:r w:rsidRPr="001F3CC3">
        <w:t>abudhabi60</w:t>
      </w:r>
      <w:r>
        <w:noBreakHyphen/>
      </w:r>
      <w:r w:rsidRPr="001F3CC3">
        <w:t>gac</w:t>
      </w:r>
      <w:r>
        <w:noBreakHyphen/>
      </w:r>
      <w:r w:rsidRPr="001F3CC3">
        <w:t>advice</w:t>
      </w:r>
      <w:r>
        <w:noBreakHyphen/>
      </w:r>
      <w:r w:rsidRPr="001F3CC3">
        <w:t>scorecard</w:t>
      </w:r>
      <w:r>
        <w:noBreakHyphen/>
      </w:r>
      <w:r w:rsidRPr="001F3CC3">
        <w:t>04feb18</w:t>
      </w:r>
      <w:r>
        <w:noBreakHyphen/>
      </w:r>
      <w:r w:rsidRPr="001F3CC3">
        <w:t>en.pdf</w:t>
      </w:r>
      <w:r w:rsidRPr="006C7091">
        <w:t xml:space="preserve">. </w:t>
      </w:r>
      <w:r>
        <w:t xml:space="preserve"> </w:t>
      </w:r>
      <w:r w:rsidRPr="006C7091">
        <w:t>En juillet</w:t>
      </w:r>
      <w:r>
        <w:t> </w:t>
      </w:r>
      <w:r w:rsidRPr="006C7091">
        <w:t>2018, le Sous</w:t>
      </w:r>
      <w:r>
        <w:noBreakHyphen/>
      </w:r>
      <w:r w:rsidRPr="006C7091">
        <w:t>Secrétaire général de l</w:t>
      </w:r>
      <w:r>
        <w:t>’</w:t>
      </w:r>
      <w:r w:rsidRPr="006C7091">
        <w:t xml:space="preserve">Organisation des </w:t>
      </w:r>
      <w:r>
        <w:t>Nations Unies</w:t>
      </w:r>
      <w:r w:rsidRPr="006C7091">
        <w:t xml:space="preserve"> chargé du Bureau des affaires juridiques, agissant au nom de plusieurs organisations intergouvernementales (dont l</w:t>
      </w:r>
      <w:r>
        <w:t>’</w:t>
      </w:r>
      <w:r w:rsidRPr="006C7091">
        <w:t>OMPI), a adressé une lettre au Conseil d</w:t>
      </w:r>
      <w:r>
        <w:t>’</w:t>
      </w:r>
      <w:r w:rsidRPr="006C7091">
        <w:t>administration de l</w:t>
      </w:r>
      <w:r>
        <w:t>’</w:t>
      </w:r>
      <w:r w:rsidRPr="006C7091">
        <w:t>ICANN dans laquelle il faisait part de ses craintes après la publication du rapport final sur le processus d</w:t>
      </w:r>
      <w:r>
        <w:t>’</w:t>
      </w:r>
      <w:r w:rsidRPr="006C7091">
        <w:t xml:space="preserve">élaboration de politiques (voir </w:t>
      </w:r>
      <w:r w:rsidRPr="001F3CC3">
        <w:t>https://www.icann.org/en/system/files/correspondence/mathias</w:t>
      </w:r>
      <w:r>
        <w:noBreakHyphen/>
      </w:r>
      <w:r w:rsidRPr="001F3CC3">
        <w:t>to</w:t>
      </w:r>
      <w:r>
        <w:noBreakHyphen/>
      </w:r>
      <w:r w:rsidRPr="001F3CC3">
        <w:t>board</w:t>
      </w:r>
      <w:r>
        <w:noBreakHyphen/>
      </w:r>
      <w:r w:rsidRPr="001F3CC3">
        <w:t>27jul18</w:t>
      </w:r>
      <w:r>
        <w:noBreakHyphen/>
      </w:r>
      <w:r w:rsidRPr="001F3CC3">
        <w:t>en.pdf</w:t>
      </w:r>
      <w:r w:rsidRPr="006C7091">
        <w:t xml:space="preserve">). </w:t>
      </w:r>
      <w:r>
        <w:t xml:space="preserve"> </w:t>
      </w:r>
      <w:r w:rsidRPr="006C7091">
        <w:t>Voir la suite des discussions lors de la réunion de novembre</w:t>
      </w:r>
      <w:r>
        <w:t> </w:t>
      </w:r>
      <w:r w:rsidRPr="006C7091">
        <w:t>2020 de l</w:t>
      </w:r>
      <w:r>
        <w:t>’</w:t>
      </w:r>
      <w:r w:rsidRPr="006C7091">
        <w:t>ICANN, à l</w:t>
      </w:r>
      <w:r>
        <w:t>’</w:t>
      </w:r>
      <w:r w:rsidRPr="006C7091">
        <w:t>adresse</w:t>
      </w:r>
      <w:r>
        <w:t> </w:t>
      </w:r>
      <w:r w:rsidRPr="006C7091">
        <w:t>https://icann66.pathable.com/meetings/1116847.</w:t>
      </w:r>
    </w:p>
  </w:footnote>
  <w:footnote w:id="87">
    <w:p w14:paraId="44D4997C" w14:textId="67F993CB"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6C6434">
        <w:t>https://archive.icann.org/en/topics/new</w:t>
      </w:r>
      <w:r>
        <w:noBreakHyphen/>
      </w:r>
      <w:r w:rsidRPr="006C6434">
        <w:t>gtlds/gac</w:t>
      </w:r>
      <w:r>
        <w:noBreakHyphen/>
      </w:r>
      <w:r w:rsidRPr="006C6434">
        <w:t>principles</w:t>
      </w:r>
      <w:r>
        <w:noBreakHyphen/>
      </w:r>
      <w:r w:rsidRPr="006C6434">
        <w:t>regarding</w:t>
      </w:r>
      <w:r>
        <w:noBreakHyphen/>
      </w:r>
      <w:r w:rsidRPr="006C6434">
        <w:t>new</w:t>
      </w:r>
      <w:r>
        <w:noBreakHyphen/>
      </w:r>
      <w:r w:rsidRPr="006C6434">
        <w:t>gtlds</w:t>
      </w:r>
      <w:r>
        <w:noBreakHyphen/>
      </w:r>
      <w:r w:rsidRPr="006C6434">
        <w:t>28mar07</w:t>
      </w:r>
      <w:r>
        <w:noBreakHyphen/>
      </w:r>
      <w:r w:rsidRPr="006C6434">
        <w:t>en.pdf</w:t>
      </w:r>
      <w:r w:rsidRPr="006C7091">
        <w:t>.</w:t>
      </w:r>
    </w:p>
  </w:footnote>
  <w:footnote w:id="88">
    <w:p w14:paraId="2B10FCB2" w14:textId="60D757CC" w:rsidR="005723D0" w:rsidRPr="006C7091" w:rsidRDefault="005723D0" w:rsidP="008E0BF9">
      <w:pPr>
        <w:pStyle w:val="FootnoteText"/>
      </w:pPr>
      <w:r w:rsidRPr="006C7091">
        <w:rPr>
          <w:rStyle w:val="FootnoteReference"/>
        </w:rPr>
        <w:footnoteRef/>
      </w:r>
      <w:r w:rsidRPr="006C7091">
        <w:t xml:space="preserve"> </w:t>
      </w:r>
      <w:r w:rsidRPr="006C7091">
        <w:tab/>
        <w:t>En ce qui concerne les enregistrements au deuxième</w:t>
      </w:r>
      <w:r w:rsidR="0065462F">
        <w:t> </w:t>
      </w:r>
      <w:r w:rsidRPr="006C7091">
        <w:t>niveau, le contrat de base de l</w:t>
      </w:r>
      <w:r>
        <w:t>’</w:t>
      </w:r>
      <w:r w:rsidRPr="006C7091">
        <w:t>ICANN avec les services d</w:t>
      </w:r>
      <w:r>
        <w:t>’</w:t>
      </w:r>
      <w:r w:rsidRPr="006C7091">
        <w:t>enregistrement contient un “Inventaire des noms réservés au deuxième niveau dans les services d</w:t>
      </w:r>
      <w:r>
        <w:t>’</w:t>
      </w:r>
      <w:r w:rsidRPr="006C7091">
        <w:t xml:space="preserve">enregistrement pour les gTLD” où figurent certains noms de pays et de territoires.  Voir </w:t>
      </w:r>
      <w:r w:rsidRPr="006C6434">
        <w:t>https://newgtlds.icann.org/sites/default/files/base</w:t>
      </w:r>
      <w:r>
        <w:noBreakHyphen/>
      </w:r>
      <w:r w:rsidRPr="006C6434">
        <w:t>agreement</w:t>
      </w:r>
      <w:r>
        <w:noBreakHyphen/>
      </w:r>
      <w:r w:rsidRPr="006C6434">
        <w:t>specs</w:t>
      </w:r>
      <w:r>
        <w:noBreakHyphen/>
      </w:r>
      <w:r w:rsidRPr="006C6434">
        <w:t>04jun12</w:t>
      </w:r>
      <w:r>
        <w:noBreakHyphen/>
      </w:r>
      <w:r w:rsidRPr="006C6434">
        <w:t>en.pdf</w:t>
      </w:r>
      <w:r w:rsidRPr="006C7091">
        <w:t>, spécification</w:t>
      </w:r>
      <w:r>
        <w:t> </w:t>
      </w:r>
      <w:r w:rsidRPr="006C7091">
        <w:t>5.</w:t>
      </w:r>
    </w:p>
  </w:footnote>
  <w:footnote w:id="89">
    <w:p w14:paraId="45BAF98D" w14:textId="7FA69D70"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6C6434">
        <w:t>https://newgtlds.icann.org/sites/default/files/evaluation</w:t>
      </w:r>
      <w:r>
        <w:noBreakHyphen/>
      </w:r>
      <w:r w:rsidRPr="006C6434">
        <w:t>procedures</w:t>
      </w:r>
      <w:r>
        <w:noBreakHyphen/>
      </w:r>
      <w:r w:rsidRPr="006C6434">
        <w:t>04jun12</w:t>
      </w:r>
      <w:r>
        <w:noBreakHyphen/>
      </w:r>
      <w:r w:rsidRPr="006C6434">
        <w:t>en.pdf</w:t>
      </w:r>
      <w:r w:rsidRPr="006C7091">
        <w:t>, à partir de la section</w:t>
      </w:r>
      <w:r>
        <w:t> </w:t>
      </w:r>
      <w:r w:rsidRPr="006C7091">
        <w:t>2.2.1.4.1 “Treatment of Country or Territory Names”.</w:t>
      </w:r>
    </w:p>
  </w:footnote>
  <w:footnote w:id="90">
    <w:p w14:paraId="31047B9A" w14:textId="0AE09037"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6C6434">
        <w:t>https://newgtlds.icann.org/sites/default/files/evaluation</w:t>
      </w:r>
      <w:r>
        <w:noBreakHyphen/>
      </w:r>
      <w:r w:rsidRPr="006C6434">
        <w:t>procedures</w:t>
      </w:r>
      <w:r>
        <w:noBreakHyphen/>
      </w:r>
      <w:r w:rsidRPr="006C6434">
        <w:t>04jun12</w:t>
      </w:r>
      <w:r>
        <w:noBreakHyphen/>
      </w:r>
      <w:r w:rsidRPr="006C6434">
        <w:t>en.pdf</w:t>
      </w:r>
      <w:r w:rsidRPr="006C7091">
        <w:t>, à partir de la section</w:t>
      </w:r>
      <w:r>
        <w:t> </w:t>
      </w:r>
      <w:r w:rsidRPr="006C7091">
        <w:t>2.2.1.4.2 “Geographic Names Requiring Government</w:t>
      </w:r>
      <w:r w:rsidR="0065462F">
        <w:t xml:space="preserve"> Support”.</w:t>
      </w:r>
    </w:p>
  </w:footnote>
  <w:footnote w:id="91">
    <w:p w14:paraId="14069392" w14:textId="5F7FA600"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6C6434">
        <w:t>https://www.icann.org/en/system/files/correspondence/gac</w:t>
      </w:r>
      <w:r>
        <w:noBreakHyphen/>
      </w:r>
      <w:r w:rsidRPr="006C6434">
        <w:t>to</w:t>
      </w:r>
      <w:r>
        <w:noBreakHyphen/>
      </w:r>
      <w:r w:rsidRPr="006C6434">
        <w:t>board</w:t>
      </w:r>
      <w:r>
        <w:noBreakHyphen/>
      </w:r>
      <w:r w:rsidRPr="006C6434">
        <w:t>27mar14</w:t>
      </w:r>
      <w:r>
        <w:noBreakHyphen/>
      </w:r>
      <w:r w:rsidRPr="006C6434">
        <w:t>en.pdf</w:t>
      </w:r>
      <w:r>
        <w:t xml:space="preserve">, rubrique “4.  </w:t>
      </w:r>
      <w:r w:rsidRPr="006C7091">
        <w:t>Specific Strings”.</w:t>
      </w:r>
      <w:r>
        <w:t xml:space="preserve"> </w:t>
      </w:r>
      <w:r w:rsidRPr="006C7091">
        <w:t xml:space="preserve"> Bien que le Conseil ait accepté la recommandation du</w:t>
      </w:r>
      <w:r>
        <w:t> </w:t>
      </w:r>
      <w:r w:rsidRPr="006C7091">
        <w:t>GAC tendant à ne pas donner suite à certaines demandes, il a sollicité des informations supplémentaires du</w:t>
      </w:r>
      <w:r>
        <w:t> </w:t>
      </w:r>
      <w:r w:rsidRPr="006C7091">
        <w:t>GAC, ainsi que des commentaires du public, sur une série de garanties complémentaires demandées par le</w:t>
      </w:r>
      <w:r>
        <w:t> </w:t>
      </w:r>
      <w:r w:rsidRPr="006C7091">
        <w:t xml:space="preserve">GAC au sujet de plusieurs catégories de demandes portant sur de nouveaux gTLD correspondant à des secteurs réglementés ou à des termes du dictionnaire. </w:t>
      </w:r>
      <w:r>
        <w:t xml:space="preserve"> </w:t>
      </w:r>
      <w:r w:rsidRPr="006C7091">
        <w:t xml:space="preserve">Voir </w:t>
      </w:r>
      <w:r w:rsidRPr="006C6434">
        <w:t>https://www.icann.org/en/system/files/correspondence/gac</w:t>
      </w:r>
      <w:r>
        <w:noBreakHyphen/>
      </w:r>
      <w:r w:rsidRPr="006C6434">
        <w:t>to</w:t>
      </w:r>
      <w:r>
        <w:noBreakHyphen/>
      </w:r>
      <w:r w:rsidRPr="006C6434">
        <w:t>board</w:t>
      </w:r>
      <w:r>
        <w:noBreakHyphen/>
      </w:r>
      <w:r w:rsidRPr="006C6434">
        <w:t>11apr13</w:t>
      </w:r>
      <w:r>
        <w:noBreakHyphen/>
      </w:r>
      <w:r w:rsidRPr="006C6434">
        <w:t>en.pdf</w:t>
      </w:r>
      <w:r w:rsidRPr="006C7091">
        <w:t>.</w:t>
      </w:r>
      <w:r>
        <w:t xml:space="preserve"> </w:t>
      </w:r>
      <w:r w:rsidRPr="006C7091">
        <w:t xml:space="preserve"> Un sous</w:t>
      </w:r>
      <w:r>
        <w:noBreakHyphen/>
      </w:r>
      <w:r w:rsidRPr="006C7091">
        <w:t>groupe du</w:t>
      </w:r>
      <w:r>
        <w:t> </w:t>
      </w:r>
      <w:r w:rsidRPr="006C7091">
        <w:t>GAC sur les noms géographiques (relevant du Groupe de travail du</w:t>
      </w:r>
      <w:r>
        <w:t> </w:t>
      </w:r>
      <w:r w:rsidRPr="006C7091">
        <w:t>GAC sur les futurs gTLD) a établi un projet de document pour la prochaine série de gTLD mettant en évidence plusieurs questions d</w:t>
      </w:r>
      <w:r>
        <w:t>’</w:t>
      </w:r>
      <w:r w:rsidRPr="006C7091">
        <w:t>intérêt général en rapport avec les noms géographiques, qui fait l</w:t>
      </w:r>
      <w:r>
        <w:t>’</w:t>
      </w:r>
      <w:r w:rsidRPr="006C7091">
        <w:t>objet de discussions supplémentaires au sein de l</w:t>
      </w:r>
      <w:r>
        <w:t>’</w:t>
      </w:r>
      <w:r w:rsidRPr="006C7091">
        <w:t xml:space="preserve">ICANN. </w:t>
      </w:r>
      <w:r>
        <w:t xml:space="preserve"> </w:t>
      </w:r>
      <w:r w:rsidRPr="006C7091">
        <w:t xml:space="preserve">Voir https://gacweb.icann.org/download/attachments/27132037/Geo%20names%20in%20new%20gTLDs%20Updated%20%20V3%20%2029%20august%202014%5B4%5D.pdf?version=1&amp;modificationDate=1411549935000&amp;api=v2. </w:t>
      </w:r>
      <w:r>
        <w:t xml:space="preserve"> </w:t>
      </w:r>
      <w:r w:rsidRPr="006C7091">
        <w:t xml:space="preserve">Voir aussi </w:t>
      </w:r>
      <w:r w:rsidRPr="003175DA">
        <w:t>https://www.icann.org/fr/board</w:t>
      </w:r>
      <w:r>
        <w:noBreakHyphen/>
      </w:r>
      <w:r w:rsidRPr="003175DA">
        <w:t>activities</w:t>
      </w:r>
      <w:r>
        <w:noBreakHyphen/>
      </w:r>
      <w:r w:rsidRPr="003175DA">
        <w:t>and</w:t>
      </w:r>
      <w:r>
        <w:noBreakHyphen/>
      </w:r>
      <w:r w:rsidRPr="003175DA">
        <w:t>meetings/materials/approved</w:t>
      </w:r>
      <w:r>
        <w:noBreakHyphen/>
      </w:r>
      <w:r w:rsidRPr="003175DA">
        <w:t>resolutions</w:t>
      </w:r>
      <w:r>
        <w:noBreakHyphen/>
      </w:r>
      <w:r w:rsidRPr="003175DA">
        <w:t>special</w:t>
      </w:r>
      <w:r>
        <w:noBreakHyphen/>
      </w:r>
      <w:r w:rsidRPr="003175DA">
        <w:t>meeting</w:t>
      </w:r>
      <w:r>
        <w:noBreakHyphen/>
      </w:r>
      <w:r w:rsidRPr="003175DA">
        <w:t>of</w:t>
      </w:r>
      <w:r>
        <w:noBreakHyphen/>
      </w:r>
      <w:r w:rsidRPr="003175DA">
        <w:t>the</w:t>
      </w:r>
      <w:r>
        <w:noBreakHyphen/>
      </w:r>
      <w:r w:rsidRPr="003175DA">
        <w:t>icann</w:t>
      </w:r>
      <w:r>
        <w:noBreakHyphen/>
      </w:r>
      <w:r w:rsidRPr="003175DA">
        <w:t>board</w:t>
      </w:r>
      <w:r>
        <w:noBreakHyphen/>
      </w:r>
      <w:r w:rsidRPr="003175DA">
        <w:t>15</w:t>
      </w:r>
      <w:r>
        <w:noBreakHyphen/>
      </w:r>
      <w:r w:rsidRPr="003175DA">
        <w:t>05</w:t>
      </w:r>
      <w:r>
        <w:noBreakHyphen/>
      </w:r>
      <w:r w:rsidRPr="003175DA">
        <w:t>2019</w:t>
      </w:r>
      <w:r>
        <w:noBreakHyphen/>
      </w:r>
      <w:r w:rsidRPr="003175DA">
        <w:t>fr#1.c</w:t>
      </w:r>
      <w:r>
        <w:t>.</w:t>
      </w:r>
    </w:p>
  </w:footnote>
  <w:footnote w:id="92">
    <w:p w14:paraId="5B580C99" w14:textId="6EE4A8FC" w:rsidR="005723D0" w:rsidRPr="006C7091" w:rsidRDefault="005723D0" w:rsidP="008E0BF9">
      <w:pPr>
        <w:pStyle w:val="FootnoteText"/>
      </w:pPr>
      <w:r w:rsidRPr="006C7091">
        <w:rPr>
          <w:rStyle w:val="FootnoteReference"/>
        </w:rPr>
        <w:footnoteRef/>
      </w:r>
      <w:r w:rsidRPr="006C7091">
        <w:t xml:space="preserve"> </w:t>
      </w:r>
      <w:r w:rsidRPr="006C7091">
        <w:tab/>
        <w:t>Sont notamment inclus les plans “visant à réduire autant que possible les risques de confusion”.</w:t>
      </w:r>
      <w:r>
        <w:t xml:space="preserve"> </w:t>
      </w:r>
      <w:r w:rsidRPr="006C7091">
        <w:t xml:space="preserve"> Voir par exemple </w:t>
      </w:r>
      <w:r w:rsidRPr="003175DA">
        <w:t>https://www.icann.org/en/system/files/files/implementation</w:t>
      </w:r>
      <w:r>
        <w:noBreakHyphen/>
      </w:r>
      <w:r w:rsidRPr="003175DA">
        <w:t>memo</w:t>
      </w:r>
      <w:r>
        <w:noBreakHyphen/>
      </w:r>
      <w:r w:rsidRPr="003175DA">
        <w:t>two</w:t>
      </w:r>
      <w:r>
        <w:noBreakHyphen/>
      </w:r>
      <w:r w:rsidRPr="003175DA">
        <w:t>character</w:t>
      </w:r>
      <w:r>
        <w:noBreakHyphen/>
      </w:r>
      <w:r w:rsidRPr="003175DA">
        <w:t>ascii</w:t>
      </w:r>
      <w:r>
        <w:noBreakHyphen/>
      </w:r>
      <w:r w:rsidRPr="003175DA">
        <w:t>labels</w:t>
      </w:r>
      <w:r>
        <w:noBreakHyphen/>
      </w:r>
      <w:r w:rsidRPr="003175DA">
        <w:t>22jan19</w:t>
      </w:r>
      <w:r>
        <w:noBreakHyphen/>
      </w:r>
      <w:r w:rsidRPr="003175DA">
        <w:t>en.pdf</w:t>
      </w:r>
      <w:r w:rsidRPr="006C7091">
        <w:t>.</w:t>
      </w:r>
    </w:p>
  </w:footnote>
  <w:footnote w:id="93">
    <w:p w14:paraId="5BE82B23" w14:textId="03C4278F" w:rsidR="005723D0" w:rsidRPr="006C7091" w:rsidRDefault="005723D0" w:rsidP="008E0BF9">
      <w:pPr>
        <w:pStyle w:val="FootnoteText"/>
      </w:pPr>
      <w:r w:rsidRPr="006C7091">
        <w:rPr>
          <w:rStyle w:val="FootnoteReference"/>
        </w:rPr>
        <w:footnoteRef/>
      </w:r>
      <w:r w:rsidRPr="006C7091">
        <w:t xml:space="preserve"> </w:t>
      </w:r>
      <w:r w:rsidRPr="006C7091">
        <w:tab/>
        <w:t xml:space="preserve">Voir </w:t>
      </w:r>
      <w:r w:rsidRPr="003175DA">
        <w:t>https://forum.icann.org/lists/comments</w:t>
      </w:r>
      <w:r>
        <w:noBreakHyphen/>
      </w:r>
      <w:r w:rsidRPr="003175DA">
        <w:t>proposed</w:t>
      </w:r>
      <w:r>
        <w:noBreakHyphen/>
      </w:r>
      <w:r w:rsidRPr="003175DA">
        <w:t>measures</w:t>
      </w:r>
      <w:r>
        <w:noBreakHyphen/>
      </w:r>
      <w:r w:rsidRPr="003175DA">
        <w:t>two</w:t>
      </w:r>
      <w:r>
        <w:noBreakHyphen/>
      </w:r>
      <w:r w:rsidRPr="003175DA">
        <w:t>char</w:t>
      </w:r>
      <w:r>
        <w:noBreakHyphen/>
      </w:r>
      <w:r w:rsidRPr="003175DA">
        <w:t>08jul16/pdfECmcS9knuk.pdf</w:t>
      </w:r>
      <w:r w:rsidR="0065462F">
        <w:t>.</w:t>
      </w:r>
    </w:p>
  </w:footnote>
  <w:footnote w:id="94">
    <w:p w14:paraId="74CBCA95" w14:textId="2D0BD0F2" w:rsidR="005723D0" w:rsidRPr="006C7091" w:rsidRDefault="005723D0" w:rsidP="008E0BF9">
      <w:pPr>
        <w:pStyle w:val="FootnoteText"/>
      </w:pPr>
      <w:r w:rsidRPr="006C7091">
        <w:rPr>
          <w:rStyle w:val="FootnoteReference"/>
        </w:rPr>
        <w:footnoteRef/>
      </w:r>
      <w:r w:rsidRPr="006C7091">
        <w:t xml:space="preserve"> </w:t>
      </w:r>
      <w:r w:rsidRPr="006C7091">
        <w:tab/>
        <w:t>Voir https://static.ptbl.co/static/attachments/16</w:t>
      </w:r>
      <w:r w:rsidR="0065462F">
        <w:t>9910/1521228229.pdf?1521228229.</w:t>
      </w:r>
    </w:p>
  </w:footnote>
  <w:footnote w:id="95">
    <w:p w14:paraId="4927B369" w14:textId="23E3354A" w:rsidR="005723D0" w:rsidRPr="006C7091" w:rsidRDefault="005723D0" w:rsidP="008E0BF9">
      <w:pPr>
        <w:pStyle w:val="FootnoteText"/>
      </w:pPr>
      <w:r w:rsidRPr="006C7091">
        <w:rPr>
          <w:rStyle w:val="FootnoteReference"/>
        </w:rPr>
        <w:footnoteRef/>
      </w:r>
      <w:r w:rsidRPr="006C7091">
        <w:t xml:space="preserve"> </w:t>
      </w:r>
      <w:r w:rsidRPr="006C7091">
        <w:tab/>
        <w:t>Voir par exemple les documents</w:t>
      </w:r>
      <w:r>
        <w:t> </w:t>
      </w:r>
      <w:r w:rsidRPr="006C7091">
        <w:t>SCT/37/4, SCT</w:t>
      </w:r>
      <w:r>
        <w:t>/</w:t>
      </w:r>
      <w:r w:rsidRPr="006C7091">
        <w:t>37/5, SCT</w:t>
      </w:r>
      <w:r>
        <w:t>/</w:t>
      </w:r>
      <w:r w:rsidRPr="006C7091">
        <w:t>38/3, SCT</w:t>
      </w:r>
      <w:r>
        <w:t>/</w:t>
      </w:r>
      <w:r w:rsidRPr="006C7091">
        <w:t>39/5, SCT</w:t>
      </w:r>
      <w:r>
        <w:t>/</w:t>
      </w:r>
      <w:r w:rsidRPr="006C7091">
        <w:t>40/4, SCT</w:t>
      </w:r>
      <w:r>
        <w:t>/</w:t>
      </w:r>
      <w:r w:rsidRPr="006C7091">
        <w:t>41/5, SCT</w:t>
      </w:r>
      <w:r>
        <w:t>/</w:t>
      </w:r>
      <w:r w:rsidRPr="006C7091">
        <w:t>42/3, SCT</w:t>
      </w:r>
      <w:r>
        <w:t>/</w:t>
      </w:r>
      <w:r w:rsidRPr="006C7091">
        <w:t>43/4</w:t>
      </w:r>
      <w:r>
        <w:t>,</w:t>
      </w:r>
      <w:r w:rsidRPr="006C7091">
        <w:t xml:space="preserve"> SCT</w:t>
      </w:r>
      <w:r>
        <w:t>/</w:t>
      </w:r>
      <w:r w:rsidRPr="006C7091">
        <w:t>44/2</w:t>
      </w:r>
      <w:r>
        <w:t xml:space="preserve"> et</w:t>
      </w:r>
      <w:r w:rsidR="00B108B7">
        <w:t> </w:t>
      </w:r>
      <w:r>
        <w:t>SCT/45/3</w:t>
      </w:r>
      <w:r w:rsidRPr="006C7091">
        <w:t xml:space="preserve">. </w:t>
      </w:r>
      <w:r>
        <w:t xml:space="preserve"> </w:t>
      </w:r>
      <w:r w:rsidRPr="006C7091">
        <w:t>Voir également la réunion</w:t>
      </w:r>
      <w:r>
        <w:t> </w:t>
      </w:r>
      <w:r w:rsidR="00B108B7">
        <w:t>SCT/IS/GEO/GE/17.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D9D8D" w14:textId="77777777" w:rsidR="00FB7033" w:rsidRDefault="00FB7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BECE" w14:textId="30DAD21F" w:rsidR="005723D0" w:rsidRDefault="005723D0" w:rsidP="00477D6B">
    <w:pPr>
      <w:jc w:val="right"/>
    </w:pPr>
    <w:bookmarkStart w:id="6" w:name="Code2"/>
    <w:r>
      <w:t>WO/GA/56/13</w:t>
    </w:r>
  </w:p>
  <w:bookmarkEnd w:id="6"/>
  <w:p w14:paraId="04D0D169" w14:textId="61B5EFFF" w:rsidR="005723D0" w:rsidRDefault="005723D0" w:rsidP="003B5CD9">
    <w:pPr>
      <w:spacing w:after="480"/>
      <w:jc w:val="right"/>
    </w:pPr>
    <w:r>
      <w:t>page </w:t>
    </w:r>
    <w:r>
      <w:fldChar w:fldCharType="begin"/>
    </w:r>
    <w:r>
      <w:instrText xml:space="preserve"> PAGE  \* MERGEFORMAT </w:instrText>
    </w:r>
    <w:r>
      <w:fldChar w:fldCharType="separate"/>
    </w:r>
    <w:r w:rsidR="00FB7033">
      <w:rPr>
        <w:noProof/>
      </w:rPr>
      <w:t>18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3039" w14:textId="77777777" w:rsidR="00FB7033" w:rsidRDefault="00FB7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80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507E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9818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0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1CCC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103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2A82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02F6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D463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DA907CE4"/>
    <w:lvl w:ilvl="0">
      <w:start w:val="1"/>
      <w:numFmt w:val="decimal"/>
      <w:lvlRestart w:val="0"/>
      <w:pStyle w:val="ONUMFS"/>
      <w:lvlText w:val="%1."/>
      <w:lvlJc w:val="left"/>
      <w:pPr>
        <w:tabs>
          <w:tab w:val="num" w:pos="567"/>
        </w:tabs>
        <w:ind w:left="0" w:firstLine="0"/>
      </w:pPr>
      <w:rPr>
        <w:rFonts w:ascii="Arial" w:hAnsi="Arial" w:cs="Arial" w:hint="default"/>
        <w:b w:val="0"/>
        <w:sz w:val="22"/>
        <w:szCs w:val="22"/>
        <w:vertAlign w:val="baseli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A2F67"/>
    <w:multiLevelType w:val="hybridMultilevel"/>
    <w:tmpl w:val="F20660BA"/>
    <w:lvl w:ilvl="0" w:tplc="23388A44">
      <w:start w:val="1"/>
      <w:numFmt w:val="upperRoman"/>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F77A2"/>
    <w:multiLevelType w:val="hybridMultilevel"/>
    <w:tmpl w:val="292E5150"/>
    <w:lvl w:ilvl="0" w:tplc="FA96D88E">
      <w:start w:val="1"/>
      <w:numFmt w:val="upperLetter"/>
      <w:pStyle w:val="Heading3"/>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40523E"/>
    <w:multiLevelType w:val="hybridMultilevel"/>
    <w:tmpl w:val="744602C2"/>
    <w:lvl w:ilvl="0" w:tplc="3662980E">
      <w:start w:val="1"/>
      <w:numFmt w:val="lowerLetter"/>
      <w:pStyle w:val="Heading4"/>
      <w:lvlText w:val="%1)"/>
      <w:lvlJc w:val="left"/>
      <w:pPr>
        <w:ind w:left="720"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77048"/>
    <w:multiLevelType w:val="hybridMultilevel"/>
    <w:tmpl w:val="1E24C54C"/>
    <w:lvl w:ilvl="0" w:tplc="6718940E">
      <w:start w:val="1"/>
      <w:numFmt w:val="lowerRoman"/>
      <w:pStyle w:val="Heading5"/>
      <w:lvlText w:val="%1)"/>
      <w:lvlJc w:val="left"/>
      <w:pPr>
        <w:ind w:left="720" w:hanging="360"/>
      </w:pPr>
      <w:rPr>
        <w:rFonts w:ascii="Arial" w:eastAsia="Arial" w:hAnsi="Arial" w:cs="Arial" w:hint="default"/>
        <w:i w:val="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8"/>
  </w:num>
  <w:num w:numId="4">
    <w:abstractNumId w:val="17"/>
  </w:num>
  <w:num w:numId="5">
    <w:abstractNumId w:val="10"/>
  </w:num>
  <w:num w:numId="6">
    <w:abstractNumId w:val="12"/>
  </w:num>
  <w:num w:numId="7">
    <w:abstractNumId w:val="13"/>
  </w:num>
  <w:num w:numId="8">
    <w:abstractNumId w:val="14"/>
  </w:num>
  <w:num w:numId="9">
    <w:abstractNumId w:val="15"/>
  </w:num>
  <w:num w:numId="10">
    <w:abstractNumId w:val="15"/>
    <w:lvlOverride w:ilvl="0">
      <w:startOverride w:val="1"/>
    </w:lvlOverride>
  </w:num>
  <w:num w:numId="11">
    <w:abstractNumId w:val="15"/>
    <w:lvlOverride w:ilvl="0">
      <w:startOverride w:val="1"/>
    </w:lvlOverride>
  </w:num>
  <w:num w:numId="12">
    <w:abstractNumId w:val="18"/>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9"/>
    <w:lvlOverride w:ilvl="0">
      <w:startOverride w:val="1"/>
    </w:lvlOverride>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F9"/>
    <w:rsid w:val="00011B7D"/>
    <w:rsid w:val="00021CFD"/>
    <w:rsid w:val="00027C5E"/>
    <w:rsid w:val="0004064B"/>
    <w:rsid w:val="00040A5C"/>
    <w:rsid w:val="00060FED"/>
    <w:rsid w:val="0006598D"/>
    <w:rsid w:val="000731B7"/>
    <w:rsid w:val="00075432"/>
    <w:rsid w:val="00076CAA"/>
    <w:rsid w:val="0009458A"/>
    <w:rsid w:val="000B0AF1"/>
    <w:rsid w:val="000D3FA5"/>
    <w:rsid w:val="000E370A"/>
    <w:rsid w:val="000E6A69"/>
    <w:rsid w:val="000F00E5"/>
    <w:rsid w:val="000F0156"/>
    <w:rsid w:val="000F5E56"/>
    <w:rsid w:val="000F68DA"/>
    <w:rsid w:val="00110349"/>
    <w:rsid w:val="001130F6"/>
    <w:rsid w:val="00133B26"/>
    <w:rsid w:val="001362EE"/>
    <w:rsid w:val="00137512"/>
    <w:rsid w:val="00140EB0"/>
    <w:rsid w:val="00147D6B"/>
    <w:rsid w:val="00170962"/>
    <w:rsid w:val="00173CC1"/>
    <w:rsid w:val="001764A8"/>
    <w:rsid w:val="001778D8"/>
    <w:rsid w:val="001812DB"/>
    <w:rsid w:val="001832A6"/>
    <w:rsid w:val="00195C6E"/>
    <w:rsid w:val="001A0E04"/>
    <w:rsid w:val="001A1FA3"/>
    <w:rsid w:val="001A2994"/>
    <w:rsid w:val="001A34FC"/>
    <w:rsid w:val="001A73D6"/>
    <w:rsid w:val="001B266A"/>
    <w:rsid w:val="001B34E6"/>
    <w:rsid w:val="001C425A"/>
    <w:rsid w:val="001C6508"/>
    <w:rsid w:val="001D039F"/>
    <w:rsid w:val="001D3D56"/>
    <w:rsid w:val="001D42E8"/>
    <w:rsid w:val="001E5043"/>
    <w:rsid w:val="001F3CC3"/>
    <w:rsid w:val="00211024"/>
    <w:rsid w:val="00215AF4"/>
    <w:rsid w:val="0022380E"/>
    <w:rsid w:val="00227658"/>
    <w:rsid w:val="002347BC"/>
    <w:rsid w:val="00240654"/>
    <w:rsid w:val="002438A6"/>
    <w:rsid w:val="00252FEC"/>
    <w:rsid w:val="002548FF"/>
    <w:rsid w:val="002634C4"/>
    <w:rsid w:val="002650E6"/>
    <w:rsid w:val="00271E12"/>
    <w:rsid w:val="002956DE"/>
    <w:rsid w:val="002977D2"/>
    <w:rsid w:val="002B3B73"/>
    <w:rsid w:val="002B3C37"/>
    <w:rsid w:val="002C51BF"/>
    <w:rsid w:val="002D4198"/>
    <w:rsid w:val="002E4D1A"/>
    <w:rsid w:val="002E4EB5"/>
    <w:rsid w:val="002F16BC"/>
    <w:rsid w:val="002F4E68"/>
    <w:rsid w:val="00301FC7"/>
    <w:rsid w:val="003175DA"/>
    <w:rsid w:val="00322C0B"/>
    <w:rsid w:val="00323BC9"/>
    <w:rsid w:val="0032750C"/>
    <w:rsid w:val="00354FC5"/>
    <w:rsid w:val="00362FBE"/>
    <w:rsid w:val="0037544C"/>
    <w:rsid w:val="00376427"/>
    <w:rsid w:val="00381798"/>
    <w:rsid w:val="003845C1"/>
    <w:rsid w:val="003A2951"/>
    <w:rsid w:val="003A67A3"/>
    <w:rsid w:val="003B5CD9"/>
    <w:rsid w:val="003C2671"/>
    <w:rsid w:val="003C70B8"/>
    <w:rsid w:val="003D442F"/>
    <w:rsid w:val="003F5BAA"/>
    <w:rsid w:val="004008A2"/>
    <w:rsid w:val="004016CD"/>
    <w:rsid w:val="004025DF"/>
    <w:rsid w:val="0040540C"/>
    <w:rsid w:val="00415B4A"/>
    <w:rsid w:val="004163D8"/>
    <w:rsid w:val="00423E3E"/>
    <w:rsid w:val="00427008"/>
    <w:rsid w:val="00427AF4"/>
    <w:rsid w:val="00444161"/>
    <w:rsid w:val="004647DA"/>
    <w:rsid w:val="00472921"/>
    <w:rsid w:val="004732FE"/>
    <w:rsid w:val="00474AFE"/>
    <w:rsid w:val="00477D6B"/>
    <w:rsid w:val="0048144B"/>
    <w:rsid w:val="00491AE4"/>
    <w:rsid w:val="004933C3"/>
    <w:rsid w:val="004A0E32"/>
    <w:rsid w:val="004C022B"/>
    <w:rsid w:val="004D6471"/>
    <w:rsid w:val="004F6542"/>
    <w:rsid w:val="00505B91"/>
    <w:rsid w:val="005104A3"/>
    <w:rsid w:val="0051455D"/>
    <w:rsid w:val="00515F36"/>
    <w:rsid w:val="00525B63"/>
    <w:rsid w:val="00525E59"/>
    <w:rsid w:val="005278C4"/>
    <w:rsid w:val="00531B83"/>
    <w:rsid w:val="00541348"/>
    <w:rsid w:val="005421DD"/>
    <w:rsid w:val="005431D9"/>
    <w:rsid w:val="00554FA5"/>
    <w:rsid w:val="00556164"/>
    <w:rsid w:val="00563191"/>
    <w:rsid w:val="0056452B"/>
    <w:rsid w:val="00567A4C"/>
    <w:rsid w:val="00567D37"/>
    <w:rsid w:val="00572346"/>
    <w:rsid w:val="005723D0"/>
    <w:rsid w:val="00574036"/>
    <w:rsid w:val="00595F07"/>
    <w:rsid w:val="005D517C"/>
    <w:rsid w:val="005D7F46"/>
    <w:rsid w:val="005E082C"/>
    <w:rsid w:val="005E6516"/>
    <w:rsid w:val="005E7E48"/>
    <w:rsid w:val="005F6B02"/>
    <w:rsid w:val="00605827"/>
    <w:rsid w:val="006071B5"/>
    <w:rsid w:val="00611BC2"/>
    <w:rsid w:val="00616671"/>
    <w:rsid w:val="006411D4"/>
    <w:rsid w:val="0065462F"/>
    <w:rsid w:val="00656B74"/>
    <w:rsid w:val="00661E3F"/>
    <w:rsid w:val="006827D7"/>
    <w:rsid w:val="006947A9"/>
    <w:rsid w:val="006B0DB5"/>
    <w:rsid w:val="006C6046"/>
    <w:rsid w:val="006C6434"/>
    <w:rsid w:val="006D0912"/>
    <w:rsid w:val="006D5372"/>
    <w:rsid w:val="006F2D13"/>
    <w:rsid w:val="00707556"/>
    <w:rsid w:val="00726F93"/>
    <w:rsid w:val="007328FC"/>
    <w:rsid w:val="00744677"/>
    <w:rsid w:val="00745E06"/>
    <w:rsid w:val="007461F1"/>
    <w:rsid w:val="007504E1"/>
    <w:rsid w:val="0076393B"/>
    <w:rsid w:val="00797A13"/>
    <w:rsid w:val="007B6B33"/>
    <w:rsid w:val="007B7E7E"/>
    <w:rsid w:val="007D6961"/>
    <w:rsid w:val="007D70F6"/>
    <w:rsid w:val="007E5C9C"/>
    <w:rsid w:val="007F07CB"/>
    <w:rsid w:val="007F6449"/>
    <w:rsid w:val="00810CEF"/>
    <w:rsid w:val="0081208D"/>
    <w:rsid w:val="00815A08"/>
    <w:rsid w:val="00817ACC"/>
    <w:rsid w:val="00820F1E"/>
    <w:rsid w:val="0083165C"/>
    <w:rsid w:val="00835155"/>
    <w:rsid w:val="00853BCC"/>
    <w:rsid w:val="00854333"/>
    <w:rsid w:val="00891FF7"/>
    <w:rsid w:val="008B2CC1"/>
    <w:rsid w:val="008B4EF4"/>
    <w:rsid w:val="008B5823"/>
    <w:rsid w:val="008B7A7D"/>
    <w:rsid w:val="008C03BF"/>
    <w:rsid w:val="008E0BF9"/>
    <w:rsid w:val="008E7930"/>
    <w:rsid w:val="008F665B"/>
    <w:rsid w:val="00900F67"/>
    <w:rsid w:val="009017CB"/>
    <w:rsid w:val="00901C64"/>
    <w:rsid w:val="0090731E"/>
    <w:rsid w:val="00921588"/>
    <w:rsid w:val="00933637"/>
    <w:rsid w:val="00942E7E"/>
    <w:rsid w:val="00966A22"/>
    <w:rsid w:val="00966D15"/>
    <w:rsid w:val="00974CD6"/>
    <w:rsid w:val="009963A8"/>
    <w:rsid w:val="009D2C71"/>
    <w:rsid w:val="009D30E6"/>
    <w:rsid w:val="009E0CB1"/>
    <w:rsid w:val="009E31FF"/>
    <w:rsid w:val="009E3F6F"/>
    <w:rsid w:val="009F499F"/>
    <w:rsid w:val="00A03230"/>
    <w:rsid w:val="00A04BC3"/>
    <w:rsid w:val="00A110D8"/>
    <w:rsid w:val="00A11D74"/>
    <w:rsid w:val="00A33E39"/>
    <w:rsid w:val="00A62C07"/>
    <w:rsid w:val="00A674EC"/>
    <w:rsid w:val="00A7394B"/>
    <w:rsid w:val="00AC0AE4"/>
    <w:rsid w:val="00AD61DB"/>
    <w:rsid w:val="00AD7FFD"/>
    <w:rsid w:val="00AF116D"/>
    <w:rsid w:val="00AF1903"/>
    <w:rsid w:val="00AF4072"/>
    <w:rsid w:val="00B00ABE"/>
    <w:rsid w:val="00B108B7"/>
    <w:rsid w:val="00B1090C"/>
    <w:rsid w:val="00B16752"/>
    <w:rsid w:val="00B31C67"/>
    <w:rsid w:val="00B35AF5"/>
    <w:rsid w:val="00B3778F"/>
    <w:rsid w:val="00B5490F"/>
    <w:rsid w:val="00B669C0"/>
    <w:rsid w:val="00B762CE"/>
    <w:rsid w:val="00B86BC6"/>
    <w:rsid w:val="00BB4DF7"/>
    <w:rsid w:val="00BE0BE0"/>
    <w:rsid w:val="00BE667C"/>
    <w:rsid w:val="00C3422A"/>
    <w:rsid w:val="00C408A5"/>
    <w:rsid w:val="00C423BD"/>
    <w:rsid w:val="00C4346A"/>
    <w:rsid w:val="00C43806"/>
    <w:rsid w:val="00C467FE"/>
    <w:rsid w:val="00C537A0"/>
    <w:rsid w:val="00C5415F"/>
    <w:rsid w:val="00C64E8F"/>
    <w:rsid w:val="00C66119"/>
    <w:rsid w:val="00C664C8"/>
    <w:rsid w:val="00C73779"/>
    <w:rsid w:val="00C748D7"/>
    <w:rsid w:val="00C8240C"/>
    <w:rsid w:val="00C84C0A"/>
    <w:rsid w:val="00C87641"/>
    <w:rsid w:val="00C9068B"/>
    <w:rsid w:val="00C925EB"/>
    <w:rsid w:val="00CA0772"/>
    <w:rsid w:val="00CA36DD"/>
    <w:rsid w:val="00CB4611"/>
    <w:rsid w:val="00CD01C0"/>
    <w:rsid w:val="00CE55B0"/>
    <w:rsid w:val="00CE6057"/>
    <w:rsid w:val="00CF0460"/>
    <w:rsid w:val="00CF685E"/>
    <w:rsid w:val="00D0057E"/>
    <w:rsid w:val="00D30DFB"/>
    <w:rsid w:val="00D415ED"/>
    <w:rsid w:val="00D43E0F"/>
    <w:rsid w:val="00D45252"/>
    <w:rsid w:val="00D567BD"/>
    <w:rsid w:val="00D71B4D"/>
    <w:rsid w:val="00D75C1E"/>
    <w:rsid w:val="00D82E08"/>
    <w:rsid w:val="00D93D55"/>
    <w:rsid w:val="00D94EC9"/>
    <w:rsid w:val="00DA2A76"/>
    <w:rsid w:val="00DB1C48"/>
    <w:rsid w:val="00DD3940"/>
    <w:rsid w:val="00DD4917"/>
    <w:rsid w:val="00DD5F8C"/>
    <w:rsid w:val="00DD6A16"/>
    <w:rsid w:val="00DF2C39"/>
    <w:rsid w:val="00DF7AE6"/>
    <w:rsid w:val="00E0091A"/>
    <w:rsid w:val="00E103CA"/>
    <w:rsid w:val="00E178DE"/>
    <w:rsid w:val="00E203AA"/>
    <w:rsid w:val="00E229F2"/>
    <w:rsid w:val="00E240A2"/>
    <w:rsid w:val="00E3024D"/>
    <w:rsid w:val="00E37547"/>
    <w:rsid w:val="00E50A8D"/>
    <w:rsid w:val="00E51BEC"/>
    <w:rsid w:val="00E5217A"/>
    <w:rsid w:val="00E527A5"/>
    <w:rsid w:val="00E633C3"/>
    <w:rsid w:val="00E670A8"/>
    <w:rsid w:val="00E73255"/>
    <w:rsid w:val="00E76456"/>
    <w:rsid w:val="00E76AF8"/>
    <w:rsid w:val="00E969E6"/>
    <w:rsid w:val="00EA47D1"/>
    <w:rsid w:val="00EA6E80"/>
    <w:rsid w:val="00EB10D4"/>
    <w:rsid w:val="00EB7B32"/>
    <w:rsid w:val="00ED7759"/>
    <w:rsid w:val="00EE71CB"/>
    <w:rsid w:val="00F00DCF"/>
    <w:rsid w:val="00F1685C"/>
    <w:rsid w:val="00F16975"/>
    <w:rsid w:val="00F2081D"/>
    <w:rsid w:val="00F66152"/>
    <w:rsid w:val="00F77804"/>
    <w:rsid w:val="00FA0CC3"/>
    <w:rsid w:val="00FA7BB2"/>
    <w:rsid w:val="00FB7033"/>
    <w:rsid w:val="00FB77E5"/>
    <w:rsid w:val="00FC1858"/>
    <w:rsid w:val="00FD7743"/>
    <w:rsid w:val="00FE488E"/>
    <w:rsid w:val="00FF4371"/>
    <w:rsid w:val="00FF63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4FB5B"/>
  <w15:docId w15:val="{648BDC1B-B742-43E3-B6DC-3D269D02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37"/>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ListParagraph"/>
    <w:next w:val="Normal"/>
    <w:qFormat/>
    <w:rsid w:val="003B5CD9"/>
    <w:pPr>
      <w:numPr>
        <w:numId w:val="8"/>
      </w:numPr>
      <w:spacing w:before="240" w:after="240"/>
      <w:ind w:left="567" w:hanging="567"/>
      <w:outlineLvl w:val="1"/>
    </w:pPr>
    <w:rPr>
      <w:caps/>
    </w:rPr>
  </w:style>
  <w:style w:type="paragraph" w:styleId="Heading3">
    <w:name w:val="heading 3"/>
    <w:basedOn w:val="ListParagraph"/>
    <w:next w:val="Normal"/>
    <w:qFormat/>
    <w:rsid w:val="003B5CD9"/>
    <w:pPr>
      <w:numPr>
        <w:numId w:val="9"/>
      </w:numPr>
      <w:spacing w:before="240" w:after="240"/>
      <w:ind w:left="1134" w:hanging="567"/>
      <w:outlineLvl w:val="2"/>
    </w:pPr>
    <w:rPr>
      <w:caps/>
      <w:lang w:val="fr-FR"/>
    </w:rPr>
  </w:style>
  <w:style w:type="paragraph" w:styleId="Heading4">
    <w:name w:val="heading 4"/>
    <w:basedOn w:val="ONUMFS"/>
    <w:next w:val="Normal"/>
    <w:qFormat/>
    <w:rsid w:val="002B3C37"/>
    <w:pPr>
      <w:numPr>
        <w:numId w:val="12"/>
      </w:numPr>
      <w:spacing w:after="240"/>
      <w:ind w:left="1134" w:hanging="567"/>
      <w:outlineLvl w:val="3"/>
    </w:pPr>
    <w:rPr>
      <w:u w:val="single"/>
    </w:rPr>
  </w:style>
  <w:style w:type="paragraph" w:styleId="Heading5">
    <w:name w:val="heading 5"/>
    <w:basedOn w:val="ListParagraph"/>
    <w:next w:val="Normal"/>
    <w:link w:val="Heading5Char"/>
    <w:unhideWhenUsed/>
    <w:qFormat/>
    <w:rsid w:val="002B3C37"/>
    <w:pPr>
      <w:numPr>
        <w:numId w:val="13"/>
      </w:numPr>
      <w:spacing w:after="240"/>
      <w:ind w:left="1701" w:hanging="567"/>
      <w:outlineLvl w:val="4"/>
    </w:pPr>
    <w:rPr>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8E0BF9"/>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8E0BF9"/>
    <w:pPr>
      <w:spacing w:before="0" w:after="600"/>
    </w:pPr>
    <w:rPr>
      <w:caps w:val="0"/>
      <w:sz w:val="28"/>
    </w:rPr>
  </w:style>
  <w:style w:type="character" w:customStyle="1" w:styleId="TitleChar">
    <w:name w:val="Title Char"/>
    <w:basedOn w:val="DefaultParagraphFont"/>
    <w:link w:val="Title"/>
    <w:rsid w:val="008E0BF9"/>
    <w:rPr>
      <w:rFonts w:ascii="Arial" w:eastAsia="SimSun" w:hAnsi="Arial" w:cs="Arial"/>
      <w:b/>
      <w:bCs/>
      <w:kern w:val="32"/>
      <w:sz w:val="28"/>
      <w:szCs w:val="32"/>
      <w:lang w:eastAsia="zh-CN"/>
    </w:rPr>
  </w:style>
  <w:style w:type="character" w:customStyle="1" w:styleId="FootnoteTextChar">
    <w:name w:val="Footnote Text Char"/>
    <w:basedOn w:val="DefaultParagraphFont"/>
    <w:link w:val="FootnoteText"/>
    <w:uiPriority w:val="99"/>
    <w:rsid w:val="008E0BF9"/>
    <w:rPr>
      <w:rFonts w:ascii="Arial" w:eastAsia="SimSun" w:hAnsi="Arial" w:cs="Arial"/>
      <w:sz w:val="18"/>
      <w:lang w:eastAsia="zh-CN"/>
    </w:rPr>
  </w:style>
  <w:style w:type="paragraph" w:customStyle="1" w:styleId="DecisionInvitingPara">
    <w:name w:val="Decision Inviting Para."/>
    <w:basedOn w:val="Normal"/>
    <w:rsid w:val="008E0BF9"/>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8E0BF9"/>
    <w:rPr>
      <w:vertAlign w:val="superscript"/>
    </w:rPr>
  </w:style>
  <w:style w:type="character" w:customStyle="1" w:styleId="ONUMEChar">
    <w:name w:val="ONUM E Char"/>
    <w:link w:val="ONUME"/>
    <w:rsid w:val="008E0BF9"/>
    <w:rPr>
      <w:rFonts w:ascii="Arial" w:eastAsia="SimSun" w:hAnsi="Arial" w:cs="Arial"/>
      <w:sz w:val="22"/>
      <w:lang w:eastAsia="zh-CN"/>
    </w:rPr>
  </w:style>
  <w:style w:type="paragraph" w:styleId="ListParagraph">
    <w:name w:val="List Paragraph"/>
    <w:basedOn w:val="Normal"/>
    <w:uiPriority w:val="34"/>
    <w:qFormat/>
    <w:rsid w:val="008E0BF9"/>
    <w:pPr>
      <w:ind w:left="720"/>
      <w:contextualSpacing/>
    </w:pPr>
    <w:rPr>
      <w:rFonts w:eastAsia="Times New Roman" w:cs="Times New Roman"/>
      <w:lang w:val="en-US" w:eastAsia="en-US"/>
    </w:rPr>
  </w:style>
  <w:style w:type="character" w:customStyle="1" w:styleId="Heading5Char">
    <w:name w:val="Heading 5 Char"/>
    <w:basedOn w:val="DefaultParagraphFont"/>
    <w:link w:val="Heading5"/>
    <w:rsid w:val="002B3C37"/>
    <w:rPr>
      <w:rFonts w:ascii="Arial" w:hAnsi="Arial"/>
      <w:sz w:val="22"/>
      <w:u w:val="single"/>
      <w:lang w:val="fr-FR" w:eastAsia="en-US"/>
    </w:rPr>
  </w:style>
  <w:style w:type="character" w:customStyle="1" w:styleId="BodyTextChar">
    <w:name w:val="Body Text Char"/>
    <w:basedOn w:val="DefaultParagraphFont"/>
    <w:link w:val="BodyText"/>
    <w:rsid w:val="002B3C37"/>
    <w:rPr>
      <w:rFonts w:ascii="Arial" w:eastAsia="SimSun" w:hAnsi="Arial" w:cs="Arial"/>
      <w:sz w:val="22"/>
      <w:lang w:eastAsia="zh-CN"/>
    </w:rPr>
  </w:style>
  <w:style w:type="character" w:customStyle="1" w:styleId="CommentTextChar">
    <w:name w:val="Comment Text Char"/>
    <w:basedOn w:val="DefaultParagraphFont"/>
    <w:link w:val="CommentText"/>
    <w:semiHidden/>
    <w:rsid w:val="002B3C37"/>
    <w:rPr>
      <w:rFonts w:ascii="Arial" w:eastAsia="SimSun" w:hAnsi="Arial" w:cs="Arial"/>
      <w:sz w:val="18"/>
      <w:lang w:eastAsia="zh-CN"/>
    </w:rPr>
  </w:style>
  <w:style w:type="character" w:styleId="Hyperlink">
    <w:name w:val="Hyperlink"/>
    <w:basedOn w:val="DefaultParagraphFont"/>
    <w:unhideWhenUsed/>
    <w:rsid w:val="005D517C"/>
    <w:rPr>
      <w:color w:val="0000FF" w:themeColor="hyperlink"/>
      <w:u w:val="single"/>
    </w:rPr>
  </w:style>
  <w:style w:type="character" w:customStyle="1" w:styleId="UnresolvedMention">
    <w:name w:val="Unresolved Mention"/>
    <w:basedOn w:val="DefaultParagraphFont"/>
    <w:uiPriority w:val="99"/>
    <w:semiHidden/>
    <w:unhideWhenUsed/>
    <w:rsid w:val="00A03230"/>
    <w:rPr>
      <w:color w:val="605E5C"/>
      <w:shd w:val="clear" w:color="auto" w:fill="E1DFDD"/>
    </w:rPr>
  </w:style>
  <w:style w:type="character" w:customStyle="1" w:styleId="markedcontent">
    <w:name w:val="markedcontent"/>
    <w:basedOn w:val="DefaultParagraphFont"/>
    <w:rsid w:val="00E6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43834">
      <w:bodyDiv w:val="1"/>
      <w:marLeft w:val="0"/>
      <w:marRight w:val="0"/>
      <w:marTop w:val="0"/>
      <w:marBottom w:val="0"/>
      <w:divBdr>
        <w:top w:val="none" w:sz="0" w:space="0" w:color="auto"/>
        <w:left w:val="none" w:sz="0" w:space="0" w:color="auto"/>
        <w:bottom w:val="none" w:sz="0" w:space="0" w:color="auto"/>
        <w:right w:val="none" w:sz="0" w:space="0" w:color="auto"/>
      </w:divBdr>
    </w:div>
    <w:div w:id="691957907">
      <w:bodyDiv w:val="1"/>
      <w:marLeft w:val="0"/>
      <w:marRight w:val="0"/>
      <w:marTop w:val="0"/>
      <w:marBottom w:val="0"/>
      <w:divBdr>
        <w:top w:val="none" w:sz="0" w:space="0" w:color="auto"/>
        <w:left w:val="none" w:sz="0" w:space="0" w:color="auto"/>
        <w:bottom w:val="none" w:sz="0" w:space="0" w:color="auto"/>
        <w:right w:val="none" w:sz="0" w:space="0" w:color="auto"/>
      </w:divBdr>
    </w:div>
    <w:div w:id="1100487278">
      <w:bodyDiv w:val="1"/>
      <w:marLeft w:val="0"/>
      <w:marRight w:val="0"/>
      <w:marTop w:val="0"/>
      <w:marBottom w:val="0"/>
      <w:divBdr>
        <w:top w:val="none" w:sz="0" w:space="0" w:color="auto"/>
        <w:left w:val="none" w:sz="0" w:space="0" w:color="auto"/>
        <w:bottom w:val="none" w:sz="0" w:space="0" w:color="auto"/>
        <w:right w:val="none" w:sz="0" w:space="0" w:color="auto"/>
      </w:divBdr>
    </w:div>
    <w:div w:id="1548175126">
      <w:bodyDiv w:val="1"/>
      <w:marLeft w:val="0"/>
      <w:marRight w:val="0"/>
      <w:marTop w:val="0"/>
      <w:marBottom w:val="0"/>
      <w:divBdr>
        <w:top w:val="none" w:sz="0" w:space="0" w:color="auto"/>
        <w:left w:val="none" w:sz="0" w:space="0" w:color="auto"/>
        <w:bottom w:val="none" w:sz="0" w:space="0" w:color="auto"/>
        <w:right w:val="none" w:sz="0" w:space="0" w:color="auto"/>
      </w:divBdr>
    </w:div>
    <w:div w:id="1610351382">
      <w:bodyDiv w:val="1"/>
      <w:marLeft w:val="0"/>
      <w:marRight w:val="0"/>
      <w:marTop w:val="0"/>
      <w:marBottom w:val="0"/>
      <w:divBdr>
        <w:top w:val="none" w:sz="0" w:space="0" w:color="auto"/>
        <w:left w:val="none" w:sz="0" w:space="0" w:color="auto"/>
        <w:bottom w:val="none" w:sz="0" w:space="0" w:color="auto"/>
        <w:right w:val="none" w:sz="0" w:space="0" w:color="auto"/>
      </w:divBdr>
    </w:div>
    <w:div w:id="195292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4E277-EF29-4E68-AF40-DAF7CF5F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18</Pages>
  <Words>6524</Words>
  <Characters>36049</Characters>
  <Application>Microsoft Office Word</Application>
  <DocSecurity>0</DocSecurity>
  <Lines>948</Lines>
  <Paragraphs>438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WO/GA/54/</vt:lpstr>
      <vt:lpstr>WO/GA/54/</vt:lpstr>
    </vt:vector>
  </TitlesOfParts>
  <Company>WIPO</Company>
  <LinksUpToDate>false</LinksUpToDate>
  <CharactersWithSpaces>42135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WO/GA/56/13</dc:title>
  <dc:creator>WIPO</dc:creator>
  <cp:keywords>FOR OFFICIAL USE ONLY</cp:keywords>
  <cp:lastModifiedBy>HÄFLIGER Patience</cp:lastModifiedBy>
  <cp:revision>59</cp:revision>
  <cp:lastPrinted>2011-05-19T12:37:00Z</cp:lastPrinted>
  <dcterms:created xsi:type="dcterms:W3CDTF">2023-04-28T14:05:00Z</dcterms:created>
  <dcterms:modified xsi:type="dcterms:W3CDTF">2023-05-04T09:50:00Z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2023-05-04T09:47:18Z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73126f8d-bcdc-442a-930a-a78cc0fab85a</vt:lpwstr>
  </property>
  <property fmtid="{D5CDD505-2E9C-101B-9397-08002B2CF9AE}" pid="13" name="MSIP_Label_20773ee6-353b-4fb9-a59d-0b94c8c67bea_ContentBits">
    <vt:lpwstr>0</vt:lpwstr>
  </property>
</Properties>
</file>