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56640" w:rsidRDefault="00DB0349" w:rsidP="00DB0349">
      <w:pPr>
        <w:spacing w:after="120"/>
        <w:jc w:val="right"/>
        <w:rPr>
          <w:lang w:val="fr-FR"/>
        </w:rPr>
      </w:pPr>
      <w:bookmarkStart w:id="0" w:name="_GoBack"/>
      <w:bookmarkEnd w:id="0"/>
      <w:r w:rsidRPr="00656640">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5664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D4D1F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656640" w:rsidRDefault="004F0849" w:rsidP="00DB0349">
      <w:pPr>
        <w:jc w:val="right"/>
        <w:rPr>
          <w:rFonts w:ascii="Arial Black" w:hAnsi="Arial Black"/>
          <w:caps/>
          <w:sz w:val="15"/>
          <w:szCs w:val="15"/>
          <w:lang w:val="fr-FR"/>
        </w:rPr>
      </w:pPr>
      <w:r w:rsidRPr="00656640">
        <w:rPr>
          <w:rFonts w:ascii="Arial Black" w:hAnsi="Arial Black"/>
          <w:caps/>
          <w:sz w:val="15"/>
          <w:szCs w:val="15"/>
          <w:lang w:val="fr-FR"/>
        </w:rPr>
        <w:t>WO/GA/56</w:t>
      </w:r>
      <w:r w:rsidR="008D402E" w:rsidRPr="00656640">
        <w:rPr>
          <w:rFonts w:ascii="Arial Black" w:hAnsi="Arial Black"/>
          <w:caps/>
          <w:sz w:val="15"/>
          <w:szCs w:val="15"/>
          <w:lang w:val="fr-FR"/>
        </w:rPr>
        <w:t>/</w:t>
      </w:r>
      <w:bookmarkStart w:id="1" w:name="Code"/>
      <w:r w:rsidR="008B6CFC" w:rsidRPr="00656640">
        <w:rPr>
          <w:rFonts w:ascii="Arial Black" w:hAnsi="Arial Black"/>
          <w:caps/>
          <w:sz w:val="15"/>
          <w:szCs w:val="15"/>
          <w:lang w:val="fr-FR"/>
        </w:rPr>
        <w:t>12</w:t>
      </w:r>
    </w:p>
    <w:bookmarkEnd w:id="1"/>
    <w:p w:rsidR="008B2CC1" w:rsidRPr="00656640" w:rsidRDefault="00DB0349" w:rsidP="00DB0349">
      <w:pPr>
        <w:jc w:val="right"/>
        <w:rPr>
          <w:rFonts w:ascii="Arial Black" w:hAnsi="Arial Black"/>
          <w:caps/>
          <w:sz w:val="15"/>
          <w:szCs w:val="15"/>
          <w:lang w:val="fr-FR"/>
        </w:rPr>
      </w:pPr>
      <w:r w:rsidRPr="00656640">
        <w:rPr>
          <w:rFonts w:ascii="Arial Black" w:hAnsi="Arial Black"/>
          <w:caps/>
          <w:sz w:val="15"/>
          <w:szCs w:val="15"/>
          <w:lang w:val="fr-FR"/>
        </w:rPr>
        <w:t>Original</w:t>
      </w:r>
      <w:r w:rsidR="00D67D2D" w:rsidRPr="00656640">
        <w:rPr>
          <w:rFonts w:ascii="Arial Black" w:hAnsi="Arial Black"/>
          <w:caps/>
          <w:sz w:val="15"/>
          <w:szCs w:val="15"/>
          <w:lang w:val="fr-FR"/>
        </w:rPr>
        <w:t> :</w:t>
      </w:r>
      <w:r w:rsidRPr="00656640">
        <w:rPr>
          <w:rFonts w:ascii="Arial Black" w:hAnsi="Arial Black"/>
          <w:caps/>
          <w:sz w:val="15"/>
          <w:szCs w:val="15"/>
          <w:lang w:val="fr-FR"/>
        </w:rPr>
        <w:t xml:space="preserve"> </w:t>
      </w:r>
      <w:bookmarkStart w:id="2" w:name="Original"/>
      <w:r w:rsidR="008B6CFC" w:rsidRPr="00656640">
        <w:rPr>
          <w:rFonts w:ascii="Arial Black" w:hAnsi="Arial Black"/>
          <w:caps/>
          <w:sz w:val="15"/>
          <w:szCs w:val="15"/>
          <w:lang w:val="fr-FR"/>
        </w:rPr>
        <w:t>anglais</w:t>
      </w:r>
    </w:p>
    <w:bookmarkEnd w:id="2"/>
    <w:p w:rsidR="008B2CC1" w:rsidRPr="00656640" w:rsidRDefault="00DB0349" w:rsidP="00DB0349">
      <w:pPr>
        <w:spacing w:after="1200"/>
        <w:jc w:val="right"/>
        <w:rPr>
          <w:rFonts w:ascii="Arial Black" w:hAnsi="Arial Black"/>
          <w:caps/>
          <w:sz w:val="15"/>
          <w:szCs w:val="15"/>
          <w:lang w:val="fr-FR"/>
        </w:rPr>
      </w:pPr>
      <w:r w:rsidRPr="00656640">
        <w:rPr>
          <w:rFonts w:ascii="Arial Black" w:hAnsi="Arial Black"/>
          <w:caps/>
          <w:sz w:val="15"/>
          <w:szCs w:val="15"/>
          <w:lang w:val="fr-FR"/>
        </w:rPr>
        <w:t>date</w:t>
      </w:r>
      <w:r w:rsidR="00D67D2D" w:rsidRPr="00656640">
        <w:rPr>
          <w:rFonts w:ascii="Arial Black" w:hAnsi="Arial Black"/>
          <w:caps/>
          <w:sz w:val="15"/>
          <w:szCs w:val="15"/>
          <w:lang w:val="fr-FR"/>
        </w:rPr>
        <w:t> :</w:t>
      </w:r>
      <w:r w:rsidRPr="00656640">
        <w:rPr>
          <w:rFonts w:ascii="Arial Black" w:hAnsi="Arial Black"/>
          <w:caps/>
          <w:sz w:val="15"/>
          <w:szCs w:val="15"/>
          <w:lang w:val="fr-FR"/>
        </w:rPr>
        <w:t xml:space="preserve"> </w:t>
      </w:r>
      <w:bookmarkStart w:id="3" w:name="Date"/>
      <w:r w:rsidR="00B018CE">
        <w:rPr>
          <w:rFonts w:ascii="Arial Black" w:hAnsi="Arial Black"/>
          <w:caps/>
          <w:sz w:val="15"/>
          <w:szCs w:val="15"/>
          <w:lang w:val="fr-FR"/>
        </w:rPr>
        <w:t>12</w:t>
      </w:r>
      <w:r w:rsidR="008B6CFC" w:rsidRPr="00656640">
        <w:rPr>
          <w:rFonts w:ascii="Arial Black" w:hAnsi="Arial Black"/>
          <w:caps/>
          <w:sz w:val="15"/>
          <w:szCs w:val="15"/>
          <w:lang w:val="fr-FR"/>
        </w:rPr>
        <w:t> </w:t>
      </w:r>
      <w:r w:rsidR="00B018CE">
        <w:rPr>
          <w:rFonts w:ascii="Arial Black" w:hAnsi="Arial Black"/>
          <w:caps/>
          <w:sz w:val="15"/>
          <w:szCs w:val="15"/>
          <w:lang w:val="fr-FR"/>
        </w:rPr>
        <w:t>avril</w:t>
      </w:r>
      <w:r w:rsidR="008B6CFC" w:rsidRPr="00656640">
        <w:rPr>
          <w:rFonts w:ascii="Arial Black" w:hAnsi="Arial Black"/>
          <w:caps/>
          <w:sz w:val="15"/>
          <w:szCs w:val="15"/>
          <w:lang w:val="fr-FR"/>
        </w:rPr>
        <w:t> 2023</w:t>
      </w:r>
    </w:p>
    <w:bookmarkEnd w:id="3"/>
    <w:p w:rsidR="00C40E15" w:rsidRPr="00656640" w:rsidRDefault="008D402E" w:rsidP="00DB0349">
      <w:pPr>
        <w:spacing w:after="600"/>
        <w:rPr>
          <w:b/>
          <w:sz w:val="28"/>
          <w:szCs w:val="28"/>
          <w:lang w:val="fr-FR"/>
        </w:rPr>
      </w:pPr>
      <w:r w:rsidRPr="00656640">
        <w:rPr>
          <w:b/>
          <w:sz w:val="28"/>
          <w:szCs w:val="28"/>
          <w:lang w:val="fr-FR"/>
        </w:rPr>
        <w:t>Assemblée générale de l</w:t>
      </w:r>
      <w:r w:rsidR="00D67D2D" w:rsidRPr="00656640">
        <w:rPr>
          <w:b/>
          <w:sz w:val="28"/>
          <w:szCs w:val="28"/>
          <w:lang w:val="fr-FR"/>
        </w:rPr>
        <w:t>’</w:t>
      </w:r>
      <w:r w:rsidRPr="00656640">
        <w:rPr>
          <w:b/>
          <w:sz w:val="28"/>
          <w:szCs w:val="28"/>
          <w:lang w:val="fr-FR"/>
        </w:rPr>
        <w:t>OMPI</w:t>
      </w:r>
    </w:p>
    <w:p w:rsidR="008B2CC1" w:rsidRPr="00656640" w:rsidRDefault="001D72BE" w:rsidP="008B2CC1">
      <w:pPr>
        <w:rPr>
          <w:b/>
          <w:sz w:val="24"/>
          <w:szCs w:val="24"/>
          <w:lang w:val="fr-FR"/>
        </w:rPr>
      </w:pPr>
      <w:r w:rsidRPr="00656640">
        <w:rPr>
          <w:b/>
          <w:sz w:val="24"/>
          <w:szCs w:val="24"/>
          <w:lang w:val="fr-FR"/>
        </w:rPr>
        <w:t>Cinquante</w:t>
      </w:r>
      <w:r w:rsidR="008862E6">
        <w:rPr>
          <w:b/>
          <w:sz w:val="24"/>
          <w:szCs w:val="24"/>
          <w:lang w:val="fr-FR"/>
        </w:rPr>
        <w:noBreakHyphen/>
      </w:r>
      <w:r w:rsidR="004F0849" w:rsidRPr="00656640">
        <w:rPr>
          <w:b/>
          <w:sz w:val="24"/>
          <w:szCs w:val="24"/>
          <w:lang w:val="fr-FR"/>
        </w:rPr>
        <w:t>six</w:t>
      </w:r>
      <w:r w:rsidR="00D67D2D" w:rsidRPr="00656640">
        <w:rPr>
          <w:b/>
          <w:sz w:val="24"/>
          <w:szCs w:val="24"/>
          <w:lang w:val="fr-FR"/>
        </w:rPr>
        <w:t>ième session</w:t>
      </w:r>
      <w:r w:rsidRPr="00656640">
        <w:rPr>
          <w:b/>
          <w:sz w:val="24"/>
          <w:szCs w:val="24"/>
          <w:lang w:val="fr-FR"/>
        </w:rPr>
        <w:t xml:space="preserve"> (</w:t>
      </w:r>
      <w:r w:rsidR="004F0849" w:rsidRPr="00656640">
        <w:rPr>
          <w:b/>
          <w:sz w:val="24"/>
          <w:szCs w:val="24"/>
          <w:lang w:val="fr-FR"/>
        </w:rPr>
        <w:t>26</w:t>
      </w:r>
      <w:r w:rsidRPr="00656640">
        <w:rPr>
          <w:b/>
          <w:sz w:val="24"/>
          <w:szCs w:val="24"/>
          <w:vertAlign w:val="superscript"/>
          <w:lang w:val="fr-FR"/>
        </w:rPr>
        <w:t>e</w:t>
      </w:r>
      <w:r w:rsidR="00800FBC">
        <w:rPr>
          <w:b/>
          <w:sz w:val="24"/>
          <w:szCs w:val="24"/>
          <w:lang w:val="fr-FR"/>
        </w:rPr>
        <w:t> </w:t>
      </w:r>
      <w:r w:rsidR="008D402E" w:rsidRPr="00656640">
        <w:rPr>
          <w:b/>
          <w:sz w:val="24"/>
          <w:szCs w:val="24"/>
          <w:lang w:val="fr-FR"/>
        </w:rPr>
        <w:t>session ordinaire)</w:t>
      </w:r>
    </w:p>
    <w:p w:rsidR="008B2CC1" w:rsidRPr="00656640" w:rsidRDefault="008D402E" w:rsidP="00DB0349">
      <w:pPr>
        <w:spacing w:after="720"/>
        <w:rPr>
          <w:b/>
          <w:sz w:val="24"/>
          <w:szCs w:val="24"/>
          <w:lang w:val="fr-FR"/>
        </w:rPr>
      </w:pPr>
      <w:r w:rsidRPr="00656640">
        <w:rPr>
          <w:b/>
          <w:sz w:val="24"/>
          <w:szCs w:val="24"/>
          <w:lang w:val="fr-FR"/>
        </w:rPr>
        <w:t xml:space="preserve">Genève, </w:t>
      </w:r>
      <w:r w:rsidR="004F0849" w:rsidRPr="00656640">
        <w:rPr>
          <w:b/>
          <w:sz w:val="24"/>
          <w:szCs w:val="24"/>
          <w:lang w:val="fr-FR"/>
        </w:rPr>
        <w:t>6</w:t>
      </w:r>
      <w:r w:rsidRPr="00656640">
        <w:rPr>
          <w:b/>
          <w:sz w:val="24"/>
          <w:szCs w:val="24"/>
          <w:lang w:val="fr-FR"/>
        </w:rPr>
        <w:t xml:space="preserve"> – </w:t>
      </w:r>
      <w:r w:rsidR="004F0849" w:rsidRPr="00656640">
        <w:rPr>
          <w:b/>
          <w:sz w:val="24"/>
          <w:szCs w:val="24"/>
          <w:lang w:val="fr-FR"/>
        </w:rPr>
        <w:t>1</w:t>
      </w:r>
      <w:r w:rsidR="00D67D2D" w:rsidRPr="00656640">
        <w:rPr>
          <w:b/>
          <w:sz w:val="24"/>
          <w:szCs w:val="24"/>
          <w:lang w:val="fr-FR"/>
        </w:rPr>
        <w:t>4 juillet 20</w:t>
      </w:r>
      <w:r w:rsidR="004F0849" w:rsidRPr="00656640">
        <w:rPr>
          <w:b/>
          <w:sz w:val="24"/>
          <w:szCs w:val="24"/>
          <w:lang w:val="fr-FR"/>
        </w:rPr>
        <w:t>23</w:t>
      </w:r>
    </w:p>
    <w:p w:rsidR="008B2CC1" w:rsidRPr="00656640" w:rsidRDefault="008B6CFC" w:rsidP="00DB0349">
      <w:pPr>
        <w:spacing w:after="360"/>
        <w:rPr>
          <w:caps/>
          <w:sz w:val="24"/>
          <w:lang w:val="fr-FR"/>
        </w:rPr>
      </w:pPr>
      <w:bookmarkStart w:id="4" w:name="TitleOfDoc"/>
      <w:r w:rsidRPr="00656640">
        <w:rPr>
          <w:caps/>
          <w:sz w:val="24"/>
          <w:lang w:val="fr-FR"/>
        </w:rPr>
        <w:t>Rapport sur le Comité consultatif sur l</w:t>
      </w:r>
      <w:r w:rsidR="00D67D2D" w:rsidRPr="00656640">
        <w:rPr>
          <w:caps/>
          <w:sz w:val="24"/>
          <w:lang w:val="fr-FR"/>
        </w:rPr>
        <w:t>’</w:t>
      </w:r>
      <w:r w:rsidR="00E926B9">
        <w:rPr>
          <w:caps/>
          <w:sz w:val="24"/>
          <w:lang w:val="fr-FR"/>
        </w:rPr>
        <w:t>application des droits </w:t>
      </w:r>
      <w:r w:rsidRPr="00656640">
        <w:rPr>
          <w:caps/>
          <w:sz w:val="24"/>
          <w:lang w:val="fr-FR"/>
        </w:rPr>
        <w:t>(ACE)</w:t>
      </w:r>
    </w:p>
    <w:p w:rsidR="00525B63" w:rsidRPr="00656640" w:rsidRDefault="008B6CFC" w:rsidP="00DB0349">
      <w:pPr>
        <w:spacing w:after="960"/>
        <w:rPr>
          <w:lang w:val="fr-FR"/>
        </w:rPr>
      </w:pPr>
      <w:bookmarkStart w:id="5" w:name="Prepared"/>
      <w:bookmarkEnd w:id="4"/>
      <w:proofErr w:type="gramStart"/>
      <w:r w:rsidRPr="00656640">
        <w:rPr>
          <w:i/>
          <w:lang w:val="fr-FR"/>
        </w:rPr>
        <w:t>établi</w:t>
      </w:r>
      <w:proofErr w:type="gramEnd"/>
      <w:r w:rsidRPr="00656640">
        <w:rPr>
          <w:i/>
          <w:lang w:val="fr-FR"/>
        </w:rPr>
        <w:t xml:space="preserve"> par le Secrétariat</w:t>
      </w:r>
    </w:p>
    <w:bookmarkEnd w:id="5"/>
    <w:p w:rsidR="008B6CFC" w:rsidRPr="00656640" w:rsidRDefault="008B6CFC" w:rsidP="008B6CFC">
      <w:pPr>
        <w:pStyle w:val="ONUMFS"/>
        <w:rPr>
          <w:lang w:val="fr-FR"/>
        </w:rPr>
      </w:pPr>
      <w:r w:rsidRPr="00656640">
        <w:rPr>
          <w:lang w:val="fr-FR"/>
        </w:rPr>
        <w:t>Au cours de la période considérée, le Comité consultatif sur l</w:t>
      </w:r>
      <w:r w:rsidR="00D67D2D" w:rsidRPr="00656640">
        <w:rPr>
          <w:lang w:val="fr-FR"/>
        </w:rPr>
        <w:t>’</w:t>
      </w:r>
      <w:r w:rsidR="00E926B9">
        <w:rPr>
          <w:lang w:val="fr-FR"/>
        </w:rPr>
        <w:t>application des droits </w:t>
      </w:r>
      <w:r w:rsidRPr="00656640">
        <w:rPr>
          <w:lang w:val="fr-FR"/>
        </w:rPr>
        <w:t>(ACE) a tenu sa quinz</w:t>
      </w:r>
      <w:r w:rsidR="00D67D2D" w:rsidRPr="00656640">
        <w:rPr>
          <w:lang w:val="fr-FR"/>
        </w:rPr>
        <w:t>ième session</w:t>
      </w:r>
      <w:r w:rsidRPr="00656640">
        <w:rPr>
          <w:lang w:val="fr-FR"/>
        </w:rPr>
        <w:t xml:space="preserve"> du 3</w:t>
      </w:r>
      <w:r w:rsidR="00D67D2D" w:rsidRPr="00656640">
        <w:rPr>
          <w:lang w:val="fr-FR"/>
        </w:rPr>
        <w:t>1 août</w:t>
      </w:r>
      <w:r w:rsidRPr="00656640">
        <w:rPr>
          <w:lang w:val="fr-FR"/>
        </w:rPr>
        <w:t xml:space="preserve"> au </w:t>
      </w:r>
      <w:r w:rsidR="00D67D2D" w:rsidRPr="00656640">
        <w:rPr>
          <w:lang w:val="fr-FR"/>
        </w:rPr>
        <w:t>2 septembre 20</w:t>
      </w:r>
      <w:r w:rsidRPr="00656640">
        <w:rPr>
          <w:lang w:val="fr-FR"/>
        </w:rPr>
        <w:t>22.  Ont pris part à cette session plus de 250</w:t>
      </w:r>
      <w:r w:rsidR="00800FBC">
        <w:rPr>
          <w:lang w:val="fr-FR"/>
        </w:rPr>
        <w:t> </w:t>
      </w:r>
      <w:r w:rsidRPr="00656640">
        <w:rPr>
          <w:lang w:val="fr-FR"/>
        </w:rPr>
        <w:t>participants de 82</w:t>
      </w:r>
      <w:r w:rsidR="00800FBC">
        <w:rPr>
          <w:lang w:val="fr-FR"/>
        </w:rPr>
        <w:t> </w:t>
      </w:r>
      <w:r w:rsidRPr="00656640">
        <w:rPr>
          <w:lang w:val="fr-FR"/>
        </w:rPr>
        <w:t>États membres, un État non membre et 24</w:t>
      </w:r>
      <w:r w:rsidR="00800FBC">
        <w:rPr>
          <w:lang w:val="fr-FR"/>
        </w:rPr>
        <w:t> </w:t>
      </w:r>
      <w:r w:rsidRPr="00656640">
        <w:rPr>
          <w:lang w:val="fr-FR"/>
        </w:rPr>
        <w:t>observateu</w:t>
      </w:r>
      <w:r w:rsidR="0013109C" w:rsidRPr="00656640">
        <w:rPr>
          <w:lang w:val="fr-FR"/>
        </w:rPr>
        <w:t xml:space="preserve">rs.  </w:t>
      </w:r>
      <w:r w:rsidRPr="00656640">
        <w:rPr>
          <w:lang w:val="fr-FR"/>
        </w:rPr>
        <w:t>À titr</w:t>
      </w:r>
      <w:r w:rsidR="00E926B9">
        <w:rPr>
          <w:lang w:val="fr-FR"/>
        </w:rPr>
        <w:t>e de mesure transitoire dans le </w:t>
      </w:r>
      <w:r w:rsidRPr="00656640">
        <w:rPr>
          <w:lang w:val="fr-FR"/>
        </w:rPr>
        <w:t xml:space="preserve">cadre du </w:t>
      </w:r>
      <w:r w:rsidRPr="00656640">
        <w:rPr>
          <w:i/>
          <w:lang w:val="fr-FR"/>
        </w:rPr>
        <w:t>Nouveau cycle d</w:t>
      </w:r>
      <w:r w:rsidR="00D67D2D" w:rsidRPr="00656640">
        <w:rPr>
          <w:i/>
          <w:lang w:val="fr-FR"/>
        </w:rPr>
        <w:t>’</w:t>
      </w:r>
      <w:r w:rsidRPr="00656640">
        <w:rPr>
          <w:i/>
          <w:lang w:val="fr-FR"/>
        </w:rPr>
        <w:t>élection des membres des bureaux des assemblées et autres organes des États membres de l</w:t>
      </w:r>
      <w:r w:rsidR="00D67D2D" w:rsidRPr="00656640">
        <w:rPr>
          <w:i/>
          <w:lang w:val="fr-FR"/>
        </w:rPr>
        <w:t>’</w:t>
      </w:r>
      <w:r w:rsidRPr="00656640">
        <w:rPr>
          <w:i/>
          <w:lang w:val="fr-FR"/>
        </w:rPr>
        <w:t>OMPI</w:t>
      </w:r>
      <w:r w:rsidRPr="00656640">
        <w:rPr>
          <w:rStyle w:val="FootnoteReference"/>
          <w:szCs w:val="22"/>
          <w:lang w:val="fr-FR"/>
        </w:rPr>
        <w:footnoteReference w:id="2"/>
      </w:r>
      <w:r w:rsidRPr="00656640">
        <w:rPr>
          <w:lang w:val="fr-FR"/>
        </w:rPr>
        <w:t>, adopté le 2</w:t>
      </w:r>
      <w:r w:rsidR="00D67D2D" w:rsidRPr="00656640">
        <w:rPr>
          <w:lang w:val="fr-FR"/>
        </w:rPr>
        <w:t>3 juillet 20</w:t>
      </w:r>
      <w:r w:rsidRPr="00656640">
        <w:rPr>
          <w:lang w:val="fr-FR"/>
        </w:rPr>
        <w:t>22</w:t>
      </w:r>
      <w:r w:rsidRPr="00656640">
        <w:rPr>
          <w:rStyle w:val="FootnoteReference"/>
          <w:lang w:val="fr-FR"/>
        </w:rPr>
        <w:footnoteReference w:id="3"/>
      </w:r>
      <w:r w:rsidRPr="00656640">
        <w:rPr>
          <w:lang w:val="fr-FR"/>
        </w:rPr>
        <w:t>, le comité a élu M.</w:t>
      </w:r>
      <w:r w:rsidR="008F4215" w:rsidRPr="00656640">
        <w:rPr>
          <w:lang w:val="fr-FR"/>
        </w:rPr>
        <w:t> </w:t>
      </w:r>
      <w:proofErr w:type="spellStart"/>
      <w:r w:rsidR="00B018CE">
        <w:rPr>
          <w:lang w:val="fr-FR"/>
        </w:rPr>
        <w:t>Irakli</w:t>
      </w:r>
      <w:proofErr w:type="spellEnd"/>
      <w:r w:rsidR="00B018CE">
        <w:rPr>
          <w:lang w:val="fr-FR"/>
        </w:rPr>
        <w:t> </w:t>
      </w:r>
      <w:proofErr w:type="spellStart"/>
      <w:r w:rsidRPr="00656640">
        <w:rPr>
          <w:lang w:val="fr-FR"/>
        </w:rPr>
        <w:t>Kasradze</w:t>
      </w:r>
      <w:proofErr w:type="spellEnd"/>
      <w:r w:rsidR="00B018CE">
        <w:rPr>
          <w:lang w:val="fr-FR"/>
        </w:rPr>
        <w:t xml:space="preserve"> (Géorgie) </w:t>
      </w:r>
      <w:r w:rsidRPr="00656640">
        <w:rPr>
          <w:lang w:val="fr-FR"/>
        </w:rPr>
        <w:t xml:space="preserve">président </w:t>
      </w:r>
      <w:r w:rsidR="00B018CE">
        <w:rPr>
          <w:lang w:val="fr-FR"/>
        </w:rPr>
        <w:t xml:space="preserve">par intérim </w:t>
      </w:r>
      <w:r w:rsidRPr="00656640">
        <w:rPr>
          <w:lang w:val="fr-FR"/>
        </w:rPr>
        <w:t>de</w:t>
      </w:r>
      <w:r w:rsidR="00B018CE">
        <w:rPr>
          <w:lang w:val="fr-FR"/>
        </w:rPr>
        <w:t xml:space="preserve"> la quinzième session, </w:t>
      </w:r>
      <w:r w:rsidRPr="00656640">
        <w:rPr>
          <w:lang w:val="fr-FR"/>
        </w:rPr>
        <w:t>et</w:t>
      </w:r>
      <w:r w:rsidR="00B018CE">
        <w:rPr>
          <w:lang w:val="fr-FR"/>
        </w:rPr>
        <w:t xml:space="preserve"> a également élu</w:t>
      </w:r>
      <w:r w:rsidR="001F2AE9">
        <w:rPr>
          <w:lang w:val="fr-FR"/>
        </w:rPr>
        <w:t xml:space="preserve"> M. </w:t>
      </w:r>
      <w:proofErr w:type="spellStart"/>
      <w:r w:rsidR="001F2AE9">
        <w:rPr>
          <w:lang w:val="fr-FR"/>
        </w:rPr>
        <w:t>Kasradze</w:t>
      </w:r>
      <w:proofErr w:type="spellEnd"/>
      <w:r w:rsidR="001F2AE9">
        <w:rPr>
          <w:lang w:val="fr-FR"/>
        </w:rPr>
        <w:t xml:space="preserve"> président et M. Al</w:t>
      </w:r>
      <w:r w:rsidR="001F2AE9">
        <w:rPr>
          <w:lang w:val="fr-FR"/>
        </w:rPr>
        <w:noBreakHyphen/>
      </w:r>
      <w:proofErr w:type="spellStart"/>
      <w:r w:rsidR="00B018CE">
        <w:rPr>
          <w:lang w:val="fr-FR"/>
        </w:rPr>
        <w:t>Debassi</w:t>
      </w:r>
      <w:proofErr w:type="spellEnd"/>
      <w:r w:rsidR="00B018CE">
        <w:rPr>
          <w:lang w:val="fr-FR"/>
        </w:rPr>
        <w:t xml:space="preserve"> et Mme </w:t>
      </w:r>
      <w:proofErr w:type="spellStart"/>
      <w:r w:rsidR="00B018CE">
        <w:rPr>
          <w:lang w:val="fr-FR"/>
        </w:rPr>
        <w:t>Lotheringen</w:t>
      </w:r>
      <w:proofErr w:type="spellEnd"/>
      <w:r w:rsidR="00B018CE">
        <w:rPr>
          <w:lang w:val="fr-FR"/>
        </w:rPr>
        <w:t xml:space="preserve"> vice</w:t>
      </w:r>
      <w:r w:rsidR="00B018CE">
        <w:rPr>
          <w:lang w:val="fr-FR"/>
        </w:rPr>
        <w:noBreakHyphen/>
        <w:t>présidents de la</w:t>
      </w:r>
      <w:r w:rsidRPr="00656640">
        <w:rPr>
          <w:lang w:val="fr-FR"/>
        </w:rPr>
        <w:t xml:space="preserve"> seiz</w:t>
      </w:r>
      <w:r w:rsidR="00D67D2D" w:rsidRPr="00656640">
        <w:rPr>
          <w:lang w:val="fr-FR"/>
        </w:rPr>
        <w:t>ième sessio</w:t>
      </w:r>
      <w:r w:rsidR="0013109C" w:rsidRPr="00656640">
        <w:rPr>
          <w:lang w:val="fr-FR"/>
        </w:rPr>
        <w:t>n.  Le</w:t>
      </w:r>
      <w:r w:rsidRPr="00656640">
        <w:rPr>
          <w:lang w:val="fr-FR"/>
        </w:rPr>
        <w:t xml:space="preserve"> comité a adopté un résumé présenté par le président, publié sous la cote WIPO/ACE/15/12</w:t>
      </w:r>
      <w:r w:rsidRPr="00656640">
        <w:rPr>
          <w:rStyle w:val="FootnoteReference"/>
          <w:szCs w:val="22"/>
          <w:lang w:val="fr-FR"/>
        </w:rPr>
        <w:footnoteReference w:id="4"/>
      </w:r>
      <w:r w:rsidRPr="00656640">
        <w:rPr>
          <w:lang w:val="fr-FR"/>
        </w:rPr>
        <w:t>.</w:t>
      </w:r>
    </w:p>
    <w:p w:rsidR="008B6CFC" w:rsidRPr="00656640" w:rsidRDefault="008B6CFC" w:rsidP="008B6CFC">
      <w:pPr>
        <w:pStyle w:val="ONUMFS"/>
        <w:rPr>
          <w:lang w:val="fr-FR"/>
        </w:rPr>
      </w:pPr>
      <w:r w:rsidRPr="00656640">
        <w:rPr>
          <w:lang w:val="fr-FR"/>
        </w:rPr>
        <w:t>Le programme de travail de la quinz</w:t>
      </w:r>
      <w:r w:rsidR="00D67D2D" w:rsidRPr="00656640">
        <w:rPr>
          <w:lang w:val="fr-FR"/>
        </w:rPr>
        <w:t>ième session</w:t>
      </w:r>
      <w:r w:rsidRPr="00656640">
        <w:rPr>
          <w:lang w:val="fr-FR"/>
        </w:rPr>
        <w:t xml:space="preserve"> portait sur les thèmes suivants</w:t>
      </w:r>
      <w:r w:rsidR="00D67D2D" w:rsidRPr="00656640">
        <w:rPr>
          <w:lang w:val="fr-FR"/>
        </w:rPr>
        <w:t> :</w:t>
      </w:r>
    </w:p>
    <w:p w:rsidR="008B6CFC" w:rsidRPr="00656640" w:rsidRDefault="008B6CFC" w:rsidP="008B6CFC">
      <w:pPr>
        <w:pStyle w:val="ONUMFS"/>
        <w:numPr>
          <w:ilvl w:val="0"/>
          <w:numId w:val="8"/>
        </w:numPr>
        <w:tabs>
          <w:tab w:val="clear" w:pos="567"/>
          <w:tab w:val="num" w:pos="1134"/>
        </w:tabs>
        <w:ind w:left="1134" w:hanging="567"/>
        <w:rPr>
          <w:rFonts w:eastAsia="Batang"/>
          <w:szCs w:val="22"/>
          <w:lang w:val="fr-FR"/>
        </w:rPr>
      </w:pPr>
      <w:proofErr w:type="gramStart"/>
      <w:r w:rsidRPr="00656640">
        <w:rPr>
          <w:lang w:val="fr-FR"/>
        </w:rPr>
        <w:t>échange</w:t>
      </w:r>
      <w:proofErr w:type="gramEnd"/>
      <w:r w:rsidRPr="00656640">
        <w:rPr>
          <w:lang w:val="fr-FR"/>
        </w:rPr>
        <w:t xml:space="preserve"> de données d</w:t>
      </w:r>
      <w:r w:rsidR="00D67D2D" w:rsidRPr="00656640">
        <w:rPr>
          <w:lang w:val="fr-FR"/>
        </w:rPr>
        <w:t>’</w:t>
      </w:r>
      <w:r w:rsidRPr="00656640">
        <w:rPr>
          <w:lang w:val="fr-FR"/>
        </w:rPr>
        <w:t xml:space="preserve">expérience nationales relatives aux activités de sensibilisation et aux campagnes stratégiques menées pour promouvoir le respect de la propriété intellectuelle auprès du grand public, notamment les jeunes, </w:t>
      </w:r>
      <w:r w:rsidRPr="00656640">
        <w:rPr>
          <w:lang w:val="fr-FR"/>
        </w:rPr>
        <w:lastRenderedPageBreak/>
        <w:t>conformément aux priorités des États membres dans le domaine éducatif, entre autres;</w:t>
      </w:r>
    </w:p>
    <w:p w:rsidR="008B6CFC" w:rsidRPr="00656640" w:rsidRDefault="008B6CFC" w:rsidP="008B6CFC">
      <w:pPr>
        <w:pStyle w:val="ONUMFS"/>
        <w:numPr>
          <w:ilvl w:val="0"/>
          <w:numId w:val="8"/>
        </w:numPr>
        <w:tabs>
          <w:tab w:val="clear" w:pos="567"/>
          <w:tab w:val="num" w:pos="1134"/>
        </w:tabs>
        <w:ind w:left="1134" w:hanging="567"/>
        <w:rPr>
          <w:rFonts w:eastAsia="Batang"/>
          <w:szCs w:val="22"/>
          <w:lang w:val="fr-FR"/>
        </w:rPr>
      </w:pPr>
      <w:proofErr w:type="gramStart"/>
      <w:r w:rsidRPr="00656640">
        <w:rPr>
          <w:lang w:val="fr-FR"/>
        </w:rPr>
        <w:t>échange</w:t>
      </w:r>
      <w:proofErr w:type="gramEnd"/>
      <w:r w:rsidRPr="00656640">
        <w:rPr>
          <w:lang w:val="fr-FR"/>
        </w:rPr>
        <w:t xml:space="preserve"> de données d</w:t>
      </w:r>
      <w:r w:rsidR="00D67D2D" w:rsidRPr="00656640">
        <w:rPr>
          <w:lang w:val="fr-FR"/>
        </w:rPr>
        <w:t>’</w:t>
      </w:r>
      <w:r w:rsidRPr="00656640">
        <w:rPr>
          <w:lang w:val="fr-FR"/>
        </w:rPr>
        <w:t>expérience nationales relatives aux mécanismes institutionnels associés aux politiques et systèmes d</w:t>
      </w:r>
      <w:r w:rsidR="00D67D2D" w:rsidRPr="00656640">
        <w:rPr>
          <w:lang w:val="fr-FR"/>
        </w:rPr>
        <w:t>’</w:t>
      </w:r>
      <w:r w:rsidRPr="00656640">
        <w:rPr>
          <w:lang w:val="fr-FR"/>
        </w:rPr>
        <w:t>application des droits de propriété intellectuelle, notamment le mécanisme permettant de régler les litiges de propriété intellectuelle d</w:t>
      </w:r>
      <w:r w:rsidR="00D67D2D" w:rsidRPr="00656640">
        <w:rPr>
          <w:lang w:val="fr-FR"/>
        </w:rPr>
        <w:t>’</w:t>
      </w:r>
      <w:r w:rsidRPr="00656640">
        <w:rPr>
          <w:lang w:val="fr-FR"/>
        </w:rPr>
        <w:t>une manière équilibrée, globale et efficace;</w:t>
      </w:r>
    </w:p>
    <w:p w:rsidR="008B6CFC" w:rsidRPr="00656640" w:rsidRDefault="008B6CFC" w:rsidP="008B6CFC">
      <w:pPr>
        <w:pStyle w:val="ONUMFS"/>
        <w:numPr>
          <w:ilvl w:val="0"/>
          <w:numId w:val="8"/>
        </w:numPr>
        <w:tabs>
          <w:tab w:val="clear" w:pos="567"/>
          <w:tab w:val="num" w:pos="1134"/>
        </w:tabs>
        <w:ind w:left="1134" w:hanging="567"/>
        <w:rPr>
          <w:rFonts w:eastAsia="Batang"/>
          <w:szCs w:val="22"/>
          <w:lang w:val="fr-FR"/>
        </w:rPr>
      </w:pPr>
      <w:proofErr w:type="gramStart"/>
      <w:r w:rsidRPr="00656640">
        <w:rPr>
          <w:lang w:val="fr-FR"/>
        </w:rPr>
        <w:t>échange</w:t>
      </w:r>
      <w:proofErr w:type="gramEnd"/>
      <w:r w:rsidRPr="00656640">
        <w:rPr>
          <w:lang w:val="fr-FR"/>
        </w:rPr>
        <w:t xml:space="preserve"> de données d</w:t>
      </w:r>
      <w:r w:rsidR="00D67D2D" w:rsidRPr="00656640">
        <w:rPr>
          <w:lang w:val="fr-FR"/>
        </w:rPr>
        <w:t>’</w:t>
      </w:r>
      <w:r w:rsidRPr="00656640">
        <w:rPr>
          <w:lang w:val="fr-FR"/>
        </w:rPr>
        <w:t>expérience nationales relatives à l</w:t>
      </w:r>
      <w:r w:rsidR="00D67D2D" w:rsidRPr="00656640">
        <w:rPr>
          <w:lang w:val="fr-FR"/>
        </w:rPr>
        <w:t>’</w:t>
      </w:r>
      <w:r w:rsidRPr="00656640">
        <w:rPr>
          <w:lang w:val="fr-FR"/>
        </w:rPr>
        <w:t>assistance fournie par l</w:t>
      </w:r>
      <w:r w:rsidR="00D67D2D" w:rsidRPr="00656640">
        <w:rPr>
          <w:lang w:val="fr-FR"/>
        </w:rPr>
        <w:t>’</w:t>
      </w:r>
      <w:r w:rsidRPr="00656640">
        <w:rPr>
          <w:lang w:val="fr-FR"/>
        </w:rPr>
        <w:t>OMPI dans le domaine législatif, notamment l</w:t>
      </w:r>
      <w:r w:rsidR="00D67D2D" w:rsidRPr="00656640">
        <w:rPr>
          <w:lang w:val="fr-FR"/>
        </w:rPr>
        <w:t>’</w:t>
      </w:r>
      <w:r w:rsidRPr="00656640">
        <w:rPr>
          <w:lang w:val="fr-FR"/>
        </w:rPr>
        <w:t>élaboration de lois nationales sur l</w:t>
      </w:r>
      <w:r w:rsidR="00D67D2D" w:rsidRPr="00656640">
        <w:rPr>
          <w:lang w:val="fr-FR"/>
        </w:rPr>
        <w:t>’</w:t>
      </w:r>
      <w:r w:rsidRPr="00656640">
        <w:rPr>
          <w:lang w:val="fr-FR"/>
        </w:rPr>
        <w:t>application des droits qui tiennent compte des éléments de flexibilité, du niveau de développement, des différences entre les traditions juridiques et de l</w:t>
      </w:r>
      <w:r w:rsidR="00D67D2D" w:rsidRPr="00656640">
        <w:rPr>
          <w:lang w:val="fr-FR"/>
        </w:rPr>
        <w:t>’</w:t>
      </w:r>
      <w:r w:rsidRPr="00656640">
        <w:rPr>
          <w:lang w:val="fr-FR"/>
        </w:rPr>
        <w:t>usage abusif des procédures d</w:t>
      </w:r>
      <w:r w:rsidR="00D67D2D" w:rsidRPr="00656640">
        <w:rPr>
          <w:lang w:val="fr-FR"/>
        </w:rPr>
        <w:t>’</w:t>
      </w:r>
      <w:r w:rsidRPr="00656640">
        <w:rPr>
          <w:lang w:val="fr-FR"/>
        </w:rPr>
        <w:t>application de la loi, compte tenu du contexte plus large de l</w:t>
      </w:r>
      <w:r w:rsidR="00D67D2D" w:rsidRPr="00656640">
        <w:rPr>
          <w:lang w:val="fr-FR"/>
        </w:rPr>
        <w:t>’</w:t>
      </w:r>
      <w:r w:rsidRPr="00656640">
        <w:rPr>
          <w:lang w:val="fr-FR"/>
        </w:rPr>
        <w:t xml:space="preserve">intérêt général et conformément aux priorités des États membres; </w:t>
      </w:r>
      <w:r w:rsidR="008F4215" w:rsidRPr="00656640">
        <w:rPr>
          <w:lang w:val="fr-FR"/>
        </w:rPr>
        <w:t xml:space="preserve"> </w:t>
      </w:r>
      <w:r w:rsidRPr="00656640">
        <w:rPr>
          <w:lang w:val="fr-FR"/>
        </w:rPr>
        <w:t>et</w:t>
      </w:r>
    </w:p>
    <w:p w:rsidR="008B6CFC" w:rsidRPr="00656640" w:rsidRDefault="008B6CFC" w:rsidP="008B6CFC">
      <w:pPr>
        <w:pStyle w:val="ONUMFS"/>
        <w:numPr>
          <w:ilvl w:val="0"/>
          <w:numId w:val="8"/>
        </w:numPr>
        <w:tabs>
          <w:tab w:val="clear" w:pos="567"/>
          <w:tab w:val="num" w:pos="1134"/>
        </w:tabs>
        <w:ind w:left="1134" w:hanging="567"/>
        <w:rPr>
          <w:lang w:val="fr-FR"/>
        </w:rPr>
      </w:pPr>
      <w:proofErr w:type="gramStart"/>
      <w:r w:rsidRPr="00656640">
        <w:rPr>
          <w:lang w:val="fr-FR"/>
        </w:rPr>
        <w:t>échange</w:t>
      </w:r>
      <w:proofErr w:type="gramEnd"/>
      <w:r w:rsidRPr="00656640">
        <w:rPr>
          <w:lang w:val="fr-FR"/>
        </w:rPr>
        <w:t xml:space="preserve"> d</w:t>
      </w:r>
      <w:r w:rsidR="00D67D2D" w:rsidRPr="00656640">
        <w:rPr>
          <w:lang w:val="fr-FR"/>
        </w:rPr>
        <w:t>’</w:t>
      </w:r>
      <w:r w:rsidRPr="00656640">
        <w:rPr>
          <w:lang w:val="fr-FR"/>
        </w:rPr>
        <w:t>exemples de réussite concernant le renforcement des capacités et l</w:t>
      </w:r>
      <w:r w:rsidR="00D67D2D" w:rsidRPr="00656640">
        <w:rPr>
          <w:lang w:val="fr-FR"/>
        </w:rPr>
        <w:t>’</w:t>
      </w:r>
      <w:r w:rsidRPr="00656640">
        <w:rPr>
          <w:lang w:val="fr-FR"/>
        </w:rPr>
        <w:t>appui de l</w:t>
      </w:r>
      <w:r w:rsidR="00D67D2D" w:rsidRPr="00656640">
        <w:rPr>
          <w:lang w:val="fr-FR"/>
        </w:rPr>
        <w:t>’</w:t>
      </w:r>
      <w:r w:rsidRPr="00656640">
        <w:rPr>
          <w:lang w:val="fr-FR"/>
        </w:rPr>
        <w:t>OMPI en faveur des activités de formation à l</w:t>
      </w:r>
      <w:r w:rsidR="00D67D2D" w:rsidRPr="00656640">
        <w:rPr>
          <w:lang w:val="fr-FR"/>
        </w:rPr>
        <w:t>’</w:t>
      </w:r>
      <w:r w:rsidRPr="00656640">
        <w:rPr>
          <w:lang w:val="fr-FR"/>
        </w:rPr>
        <w:t>échelle nationale et régionale, pour les organismes et les fonctionnaires nationaux, conformément aux recommandations pertinentes du Plan d</w:t>
      </w:r>
      <w:r w:rsidR="00D67D2D" w:rsidRPr="00656640">
        <w:rPr>
          <w:lang w:val="fr-FR"/>
        </w:rPr>
        <w:t>’</w:t>
      </w:r>
      <w:r w:rsidRPr="00656640">
        <w:rPr>
          <w:lang w:val="fr-FR"/>
        </w:rPr>
        <w:t xml:space="preserve">action </w:t>
      </w:r>
      <w:r w:rsidR="00EE7CFF">
        <w:rPr>
          <w:lang w:val="fr-FR"/>
        </w:rPr>
        <w:t xml:space="preserve">de l’OMPI </w:t>
      </w:r>
      <w:r w:rsidRPr="00656640">
        <w:rPr>
          <w:lang w:val="fr-FR"/>
        </w:rPr>
        <w:t>pour le développement et au mandat de l</w:t>
      </w:r>
      <w:r w:rsidR="00D67D2D" w:rsidRPr="00656640">
        <w:rPr>
          <w:lang w:val="fr-FR"/>
        </w:rPr>
        <w:t>’</w:t>
      </w:r>
      <w:r w:rsidRPr="00656640">
        <w:rPr>
          <w:lang w:val="fr-FR"/>
        </w:rPr>
        <w:t>ACE.</w:t>
      </w:r>
    </w:p>
    <w:p w:rsidR="008B6CFC" w:rsidRPr="00656640" w:rsidRDefault="008B6CFC" w:rsidP="008B6CFC">
      <w:pPr>
        <w:pStyle w:val="ONUMFS"/>
        <w:rPr>
          <w:lang w:val="fr-FR"/>
        </w:rPr>
      </w:pPr>
      <w:r w:rsidRPr="00656640">
        <w:rPr>
          <w:lang w:val="fr-FR"/>
        </w:rPr>
        <w:t>Le programme de travail comprenait 31</w:t>
      </w:r>
      <w:r w:rsidR="00800FBC">
        <w:rPr>
          <w:lang w:val="fr-FR"/>
        </w:rPr>
        <w:t> </w:t>
      </w:r>
      <w:r w:rsidRPr="00656640">
        <w:rPr>
          <w:lang w:val="fr-FR"/>
        </w:rPr>
        <w:t>exposés présentés par des experts et trois</w:t>
      </w:r>
      <w:r w:rsidR="008F4215" w:rsidRPr="00656640">
        <w:rPr>
          <w:lang w:val="fr-FR"/>
        </w:rPr>
        <w:t> </w:t>
      </w:r>
      <w:r w:rsidRPr="00656640">
        <w:rPr>
          <w:lang w:val="fr-FR"/>
        </w:rPr>
        <w:t>débats d</w:t>
      </w:r>
      <w:r w:rsidR="00D67D2D" w:rsidRPr="00656640">
        <w:rPr>
          <w:lang w:val="fr-FR"/>
        </w:rPr>
        <w:t>’</w:t>
      </w:r>
      <w:r w:rsidRPr="00656640">
        <w:rPr>
          <w:lang w:val="fr-FR"/>
        </w:rPr>
        <w:t>experts</w:t>
      </w:r>
      <w:r w:rsidRPr="00656640">
        <w:rPr>
          <w:rStyle w:val="FootnoteReference"/>
          <w:szCs w:val="22"/>
          <w:lang w:val="fr-FR"/>
        </w:rPr>
        <w:footnoteReference w:id="5"/>
      </w:r>
      <w:r w:rsidRPr="00656640">
        <w:rPr>
          <w:lang w:val="fr-FR"/>
        </w:rPr>
        <w:t>.</w:t>
      </w:r>
    </w:p>
    <w:p w:rsidR="00D67D2D" w:rsidRPr="00656640" w:rsidRDefault="008B6CFC" w:rsidP="008B6CFC">
      <w:pPr>
        <w:pStyle w:val="ONUMFS"/>
        <w:rPr>
          <w:lang w:val="fr-FR"/>
        </w:rPr>
      </w:pPr>
      <w:r w:rsidRPr="00656640">
        <w:rPr>
          <w:lang w:val="fr-FR"/>
        </w:rPr>
        <w:t>Au titre du point du programme de travail intitulé “Échange de données d</w:t>
      </w:r>
      <w:r w:rsidR="00D67D2D" w:rsidRPr="00656640">
        <w:rPr>
          <w:lang w:val="fr-FR"/>
        </w:rPr>
        <w:t>’</w:t>
      </w:r>
      <w:r w:rsidRPr="00656640">
        <w:rPr>
          <w:lang w:val="fr-FR"/>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huit</w:t>
      </w:r>
      <w:r w:rsidR="008F4215" w:rsidRPr="00656640">
        <w:rPr>
          <w:lang w:val="fr-FR"/>
        </w:rPr>
        <w:t> </w:t>
      </w:r>
      <w:r w:rsidRPr="00656640">
        <w:rPr>
          <w:lang w:val="fr-FR"/>
        </w:rPr>
        <w:t>États membres ont fait part de leur expérien</w:t>
      </w:r>
      <w:r w:rsidR="0013109C" w:rsidRPr="00656640">
        <w:rPr>
          <w:lang w:val="fr-FR"/>
        </w:rPr>
        <w:t>ce.  Le</w:t>
      </w:r>
      <w:r w:rsidRPr="00656640">
        <w:rPr>
          <w:lang w:val="fr-FR"/>
        </w:rPr>
        <w:t>s exposés ci</w:t>
      </w:r>
      <w:r w:rsidR="008862E6">
        <w:rPr>
          <w:lang w:val="fr-FR"/>
        </w:rPr>
        <w:noBreakHyphen/>
      </w:r>
      <w:r w:rsidRPr="00656640">
        <w:rPr>
          <w:lang w:val="fr-FR"/>
        </w:rPr>
        <w:t>après ont été présentés</w:t>
      </w:r>
      <w:r w:rsidR="00D67D2D" w:rsidRPr="00656640">
        <w:rPr>
          <w:lang w:val="fr-FR"/>
        </w:rPr>
        <w:t> :</w:t>
      </w:r>
      <w:r w:rsidRPr="00656640">
        <w:rPr>
          <w:lang w:val="fr-FR"/>
        </w:rPr>
        <w:t xml:space="preserve"> </w:t>
      </w:r>
      <w:r w:rsidR="00CC61B8" w:rsidRPr="002E1194">
        <w:rPr>
          <w:lang w:val="fr-FR"/>
        </w:rPr>
        <w:t>“Les activités récentes de sensibilisation à la lutte contre la contrefaçon au Danemark”</w:t>
      </w:r>
      <w:r w:rsidR="00CC61B8">
        <w:rPr>
          <w:lang w:val="fr-FR"/>
        </w:rPr>
        <w:t>, menées</w:t>
      </w:r>
      <w:r w:rsidR="00CC61B8" w:rsidRPr="002E1194">
        <w:rPr>
          <w:lang w:val="fr-FR"/>
        </w:rPr>
        <w:t xml:space="preserve"> par l</w:t>
      </w:r>
      <w:r w:rsidR="00CC61B8">
        <w:rPr>
          <w:lang w:val="fr-FR"/>
        </w:rPr>
        <w:t>’</w:t>
      </w:r>
      <w:r w:rsidR="00CC61B8" w:rsidRPr="002E1194">
        <w:rPr>
          <w:lang w:val="fr-FR"/>
        </w:rPr>
        <w:t xml:space="preserve">Office danois des brevets et des </w:t>
      </w:r>
      <w:proofErr w:type="gramStart"/>
      <w:r w:rsidR="00CC61B8" w:rsidRPr="002E1194">
        <w:rPr>
          <w:lang w:val="fr-FR"/>
        </w:rPr>
        <w:t>marques;  “</w:t>
      </w:r>
      <w:proofErr w:type="gramEnd"/>
      <w:r w:rsidR="00CC61B8" w:rsidRPr="002E1194">
        <w:rPr>
          <w:i/>
          <w:iCs/>
          <w:lang w:val="fr-FR"/>
        </w:rPr>
        <w:t>N</w:t>
      </w:r>
      <w:r w:rsidR="00CC61B8">
        <w:rPr>
          <w:i/>
          <w:iCs/>
          <w:lang w:val="fr-FR"/>
        </w:rPr>
        <w:t>’</w:t>
      </w:r>
      <w:r w:rsidR="00CC61B8" w:rsidRPr="002E1194">
        <w:rPr>
          <w:i/>
          <w:iCs/>
          <w:lang w:val="fr-FR"/>
        </w:rPr>
        <w:t>achetez et ne vendez pas de produits de contrefaçon, et ne demandez pas à d</w:t>
      </w:r>
      <w:r w:rsidR="00CC61B8">
        <w:rPr>
          <w:i/>
          <w:iCs/>
          <w:lang w:val="fr-FR"/>
        </w:rPr>
        <w:t>’</w:t>
      </w:r>
      <w:r w:rsidR="00CC61B8" w:rsidRPr="002E1194">
        <w:rPr>
          <w:i/>
          <w:iCs/>
          <w:lang w:val="fr-FR"/>
        </w:rPr>
        <w:t>autres de le faire pour vous!</w:t>
      </w:r>
      <w:r w:rsidR="00CC61B8" w:rsidRPr="002E1194">
        <w:rPr>
          <w:i/>
          <w:lang w:val="fr-FR"/>
        </w:rPr>
        <w:t xml:space="preserve"> </w:t>
      </w:r>
      <w:r w:rsidR="00CC61B8" w:rsidRPr="002E1194">
        <w:rPr>
          <w:i/>
          <w:iCs/>
          <w:lang w:val="fr-FR"/>
        </w:rPr>
        <w:t xml:space="preserve"> </w:t>
      </w:r>
      <w:r w:rsidR="00CC61B8" w:rsidRPr="002E1194">
        <w:rPr>
          <w:lang w:val="fr-FR"/>
        </w:rPr>
        <w:t>– Une campagne récente de lutte contre la contrefaçon au Japon”</w:t>
      </w:r>
      <w:r w:rsidR="00CC61B8">
        <w:rPr>
          <w:lang w:val="fr-FR"/>
        </w:rPr>
        <w:t>,</w:t>
      </w:r>
      <w:r w:rsidR="00CC61B8" w:rsidRPr="002E1194">
        <w:rPr>
          <w:lang w:val="fr-FR"/>
        </w:rPr>
        <w:t xml:space="preserve"> par l</w:t>
      </w:r>
      <w:r w:rsidR="00CC61B8">
        <w:rPr>
          <w:lang w:val="fr-FR"/>
        </w:rPr>
        <w:t>’</w:t>
      </w:r>
      <w:r w:rsidR="00CC61B8" w:rsidRPr="002E1194">
        <w:rPr>
          <w:lang w:val="fr-FR"/>
        </w:rPr>
        <w:t xml:space="preserve">Office des brevets du Japon (JPO);  “Les activités récentes de sensibilisation du Centre malien </w:t>
      </w:r>
      <w:r w:rsidR="00CC61B8">
        <w:rPr>
          <w:lang w:val="fr-FR"/>
        </w:rPr>
        <w:t>de</w:t>
      </w:r>
      <w:r w:rsidR="00CC61B8" w:rsidRPr="002E1194">
        <w:rPr>
          <w:lang w:val="fr-FR"/>
        </w:rPr>
        <w:t xml:space="preserve"> promotion de la propriété industrielle”</w:t>
      </w:r>
      <w:r w:rsidR="00CC61B8">
        <w:rPr>
          <w:lang w:val="fr-FR"/>
        </w:rPr>
        <w:t>,</w:t>
      </w:r>
      <w:r w:rsidR="00CC61B8" w:rsidRPr="002E1194">
        <w:rPr>
          <w:lang w:val="fr-FR"/>
        </w:rPr>
        <w:t xml:space="preserve"> par le Centre malien de promotion de la propriété industrielle (CEMAPI);  “</w:t>
      </w:r>
      <w:r w:rsidR="00CC61B8" w:rsidRPr="00565F92">
        <w:rPr>
          <w:lang w:val="fr-FR"/>
        </w:rPr>
        <w:t>Les actions menées par l</w:t>
      </w:r>
      <w:r w:rsidR="00CC61B8">
        <w:rPr>
          <w:lang w:val="fr-FR"/>
        </w:rPr>
        <w:t>’</w:t>
      </w:r>
      <w:r w:rsidR="00CC61B8" w:rsidRPr="00565F92">
        <w:rPr>
          <w:lang w:val="fr-FR"/>
        </w:rPr>
        <w:t xml:space="preserve">Institut de la propriété industrielle </w:t>
      </w:r>
      <w:r w:rsidR="00CC61B8">
        <w:rPr>
          <w:lang w:val="fr-FR"/>
        </w:rPr>
        <w:t xml:space="preserve">du Mexique </w:t>
      </w:r>
      <w:r w:rsidR="00CC61B8" w:rsidRPr="00565F92">
        <w:rPr>
          <w:lang w:val="fr-FR"/>
        </w:rPr>
        <w:t>en matière de protection et d</w:t>
      </w:r>
      <w:r w:rsidR="00CC61B8">
        <w:rPr>
          <w:lang w:val="fr-FR"/>
        </w:rPr>
        <w:t>’</w:t>
      </w:r>
      <w:r w:rsidR="00CC61B8" w:rsidRPr="00565F92">
        <w:rPr>
          <w:lang w:val="fr-FR"/>
        </w:rPr>
        <w:t>application des droits de propriété intellectuelle</w:t>
      </w:r>
      <w:r w:rsidR="00CC61B8" w:rsidRPr="002E1194">
        <w:rPr>
          <w:lang w:val="fr-FR"/>
        </w:rPr>
        <w:t>”</w:t>
      </w:r>
      <w:r w:rsidR="00CC61B8">
        <w:rPr>
          <w:lang w:val="fr-FR"/>
        </w:rPr>
        <w:t>,</w:t>
      </w:r>
      <w:r w:rsidR="00CC61B8" w:rsidRPr="002E1194">
        <w:rPr>
          <w:lang w:val="fr-FR"/>
        </w:rPr>
        <w:t xml:space="preserve"> par l</w:t>
      </w:r>
      <w:r w:rsidR="00CC61B8">
        <w:rPr>
          <w:lang w:val="fr-FR"/>
        </w:rPr>
        <w:t>’</w:t>
      </w:r>
      <w:r w:rsidR="00CC61B8" w:rsidRPr="002E1194">
        <w:rPr>
          <w:lang w:val="fr-FR"/>
        </w:rPr>
        <w:t>Institut de la propriété industrielle du Mexique (IMPI);  “Les activités récentes de sensibilisation de l</w:t>
      </w:r>
      <w:r w:rsidR="00CC61B8">
        <w:rPr>
          <w:lang w:val="fr-FR"/>
        </w:rPr>
        <w:t>’</w:t>
      </w:r>
      <w:r w:rsidR="00CC61B8" w:rsidRPr="002E1194">
        <w:rPr>
          <w:lang w:val="fr-FR"/>
        </w:rPr>
        <w:t>Agence nationale de la propriété industrielle et de la promotion de l</w:t>
      </w:r>
      <w:r w:rsidR="00CC61B8">
        <w:rPr>
          <w:lang w:val="fr-FR"/>
        </w:rPr>
        <w:t>’</w:t>
      </w:r>
      <w:r w:rsidR="00CC61B8" w:rsidRPr="002E1194">
        <w:rPr>
          <w:lang w:val="fr-FR"/>
        </w:rPr>
        <w:t>innovation du Niger”</w:t>
      </w:r>
      <w:r w:rsidR="00CC61B8">
        <w:rPr>
          <w:lang w:val="fr-FR"/>
        </w:rPr>
        <w:t>,</w:t>
      </w:r>
      <w:r w:rsidR="00CC61B8" w:rsidRPr="002E1194">
        <w:rPr>
          <w:lang w:val="fr-FR"/>
        </w:rPr>
        <w:t xml:space="preserve"> par l</w:t>
      </w:r>
      <w:r w:rsidR="00CC61B8">
        <w:rPr>
          <w:lang w:val="fr-FR"/>
        </w:rPr>
        <w:t>’</w:t>
      </w:r>
      <w:r w:rsidR="00CC61B8" w:rsidRPr="002E1194">
        <w:rPr>
          <w:lang w:val="fr-FR"/>
        </w:rPr>
        <w:t>Agence nationale de la propriété industrielle et de la promotion de l</w:t>
      </w:r>
      <w:r w:rsidR="00CC61B8">
        <w:rPr>
          <w:lang w:val="fr-FR"/>
        </w:rPr>
        <w:t>’</w:t>
      </w:r>
      <w:r w:rsidR="00CC61B8" w:rsidRPr="002E1194">
        <w:rPr>
          <w:lang w:val="fr-FR"/>
        </w:rPr>
        <w:t xml:space="preserve">innovation </w:t>
      </w:r>
      <w:r w:rsidR="00CC61B8">
        <w:rPr>
          <w:lang w:val="fr-FR"/>
        </w:rPr>
        <w:t xml:space="preserve">du Niger </w:t>
      </w:r>
      <w:r w:rsidR="00CC61B8" w:rsidRPr="002E1194">
        <w:rPr>
          <w:lang w:val="fr-FR"/>
        </w:rPr>
        <w:t>(AN2PI);  “La campagne de sensibilisation à la propriété intellectuelle 2020</w:t>
      </w:r>
      <w:r w:rsidR="008862E6">
        <w:rPr>
          <w:lang w:val="fr-FR"/>
        </w:rPr>
        <w:noBreakHyphen/>
      </w:r>
      <w:r w:rsidR="00CC61B8" w:rsidRPr="002E1194">
        <w:rPr>
          <w:lang w:val="fr-FR"/>
        </w:rPr>
        <w:t>2021 pour les élèves, les enseignants, les parents et la communauté locale à Oman”</w:t>
      </w:r>
      <w:r w:rsidR="00CC61B8">
        <w:rPr>
          <w:lang w:val="fr-FR"/>
        </w:rPr>
        <w:t>, par le</w:t>
      </w:r>
      <w:r w:rsidR="00CC61B8" w:rsidRPr="002E1194">
        <w:rPr>
          <w:lang w:val="fr-FR"/>
        </w:rPr>
        <w:t xml:space="preserve"> Ministère de l</w:t>
      </w:r>
      <w:r w:rsidR="00CC61B8">
        <w:rPr>
          <w:lang w:val="fr-FR"/>
        </w:rPr>
        <w:t>’</w:t>
      </w:r>
      <w:r w:rsidR="00CC61B8" w:rsidRPr="002E1194">
        <w:rPr>
          <w:lang w:val="fr-FR"/>
        </w:rPr>
        <w:t>éducation d</w:t>
      </w:r>
      <w:r w:rsidR="00CC61B8">
        <w:rPr>
          <w:lang w:val="fr-FR"/>
        </w:rPr>
        <w:t>’</w:t>
      </w:r>
      <w:r w:rsidR="00CC61B8" w:rsidRPr="002E1194">
        <w:rPr>
          <w:lang w:val="fr-FR"/>
        </w:rPr>
        <w:t xml:space="preserve">Oman;  “Les attitudes et la sensibilisation des consommateurs aux Philippines – Les </w:t>
      </w:r>
      <w:r w:rsidR="00CC61B8">
        <w:rPr>
          <w:lang w:val="fr-FR"/>
        </w:rPr>
        <w:t xml:space="preserve">résultats et les </w:t>
      </w:r>
      <w:r w:rsidR="00CC61B8" w:rsidRPr="002E1194">
        <w:rPr>
          <w:lang w:val="fr-FR"/>
        </w:rPr>
        <w:t>enseignements tirés de l</w:t>
      </w:r>
      <w:r w:rsidR="00CC61B8">
        <w:rPr>
          <w:lang w:val="fr-FR"/>
        </w:rPr>
        <w:t>’</w:t>
      </w:r>
      <w:r w:rsidR="00CC61B8" w:rsidRPr="002E1194">
        <w:rPr>
          <w:lang w:val="fr-FR"/>
        </w:rPr>
        <w:t>utilisation de l</w:t>
      </w:r>
      <w:r w:rsidR="00CC61B8">
        <w:rPr>
          <w:lang w:val="fr-FR"/>
        </w:rPr>
        <w:t>’</w:t>
      </w:r>
      <w:r w:rsidR="00CC61B8" w:rsidRPr="002E1194">
        <w:rPr>
          <w:lang w:val="fr-FR"/>
        </w:rPr>
        <w:t>instrument de l</w:t>
      </w:r>
      <w:r w:rsidR="00CC61B8">
        <w:rPr>
          <w:lang w:val="fr-FR"/>
        </w:rPr>
        <w:t>’</w:t>
      </w:r>
      <w:r w:rsidR="00CC61B8" w:rsidRPr="002E1194">
        <w:rPr>
          <w:lang w:val="fr-FR"/>
        </w:rPr>
        <w:t>OMPI relatif à la conduite d</w:t>
      </w:r>
      <w:r w:rsidR="00CC61B8">
        <w:rPr>
          <w:lang w:val="fr-FR"/>
        </w:rPr>
        <w:t>’</w:t>
      </w:r>
      <w:r w:rsidR="00CC61B8" w:rsidRPr="002E1194">
        <w:rPr>
          <w:lang w:val="fr-FR"/>
        </w:rPr>
        <w:t>enquêtes auprès des consommateurs”</w:t>
      </w:r>
      <w:r w:rsidR="00CC61B8">
        <w:rPr>
          <w:lang w:val="fr-FR"/>
        </w:rPr>
        <w:t>,</w:t>
      </w:r>
      <w:r w:rsidR="00CC61B8" w:rsidRPr="002E1194">
        <w:rPr>
          <w:lang w:val="fr-FR"/>
        </w:rPr>
        <w:t xml:space="preserve"> par l</w:t>
      </w:r>
      <w:r w:rsidR="00CC61B8">
        <w:rPr>
          <w:lang w:val="fr-FR"/>
        </w:rPr>
        <w:t>’</w:t>
      </w:r>
      <w:r w:rsidR="00CC61B8" w:rsidRPr="002E1194">
        <w:rPr>
          <w:lang w:val="fr-FR"/>
        </w:rPr>
        <w:t>Office de la propriété intellectuelle des Philippines (IPOPHL);  et “Les activités actuelles de sensibilisation à la propriété intellectuelle en Thaïlande”</w:t>
      </w:r>
      <w:r w:rsidR="00CC61B8">
        <w:rPr>
          <w:lang w:val="fr-FR"/>
        </w:rPr>
        <w:t>,</w:t>
      </w:r>
      <w:r w:rsidR="00CC61B8" w:rsidRPr="002E1194">
        <w:rPr>
          <w:lang w:val="fr-FR"/>
        </w:rPr>
        <w:t xml:space="preserve"> par le Département de la propriété intellectuelle, Ministère du commerce (Thaïlande)</w:t>
      </w:r>
      <w:r w:rsidR="00CC61B8">
        <w:rPr>
          <w:lang w:val="fr-FR"/>
        </w:rPr>
        <w:t>.</w:t>
      </w:r>
    </w:p>
    <w:p w:rsidR="008B6CFC" w:rsidRPr="00656640" w:rsidRDefault="008B6CFC" w:rsidP="008B6CFC">
      <w:pPr>
        <w:pStyle w:val="ONUMFS"/>
        <w:rPr>
          <w:lang w:val="fr-FR"/>
        </w:rPr>
      </w:pPr>
      <w:r w:rsidRPr="00656640">
        <w:rPr>
          <w:lang w:val="fr-FR"/>
        </w:rPr>
        <w:t xml:space="preserve">Dans le cadre du point du </w:t>
      </w:r>
      <w:r w:rsidR="00E926B9">
        <w:rPr>
          <w:lang w:val="fr-FR"/>
        </w:rPr>
        <w:t>programme de travail intitulé “</w:t>
      </w:r>
      <w:r w:rsidRPr="00656640">
        <w:rPr>
          <w:lang w:val="fr-FR"/>
        </w:rPr>
        <w:t>Échange de données d</w:t>
      </w:r>
      <w:r w:rsidR="00D67D2D" w:rsidRPr="00656640">
        <w:rPr>
          <w:lang w:val="fr-FR"/>
        </w:rPr>
        <w:t>’</w:t>
      </w:r>
      <w:r w:rsidRPr="00656640">
        <w:rPr>
          <w:lang w:val="fr-FR"/>
        </w:rPr>
        <w:t>expérience nationales relatives aux mécanismes institutionnels associés aux politiques et systèmes d</w:t>
      </w:r>
      <w:r w:rsidR="00D67D2D" w:rsidRPr="00656640">
        <w:rPr>
          <w:lang w:val="fr-FR"/>
        </w:rPr>
        <w:t>’</w:t>
      </w:r>
      <w:r w:rsidRPr="00656640">
        <w:rPr>
          <w:lang w:val="fr-FR"/>
        </w:rPr>
        <w:t>application des droits de propriété intellectuelle, notamment le mécanisme permettant de régler les litiges de propriété intellectuelle d</w:t>
      </w:r>
      <w:r w:rsidR="00D67D2D" w:rsidRPr="00656640">
        <w:rPr>
          <w:lang w:val="fr-FR"/>
        </w:rPr>
        <w:t>’</w:t>
      </w:r>
      <w:r w:rsidRPr="00656640">
        <w:rPr>
          <w:lang w:val="fr-FR"/>
        </w:rPr>
        <w:t>une manière équilibrée, globale et efficace”, les exposés ont été regroupés autour de cinq</w:t>
      </w:r>
      <w:r w:rsidR="008F4215" w:rsidRPr="00656640">
        <w:rPr>
          <w:lang w:val="fr-FR"/>
        </w:rPr>
        <w:t> </w:t>
      </w:r>
      <w:r w:rsidRPr="00656640">
        <w:rPr>
          <w:lang w:val="fr-FR"/>
        </w:rPr>
        <w:t>thèmes.</w:t>
      </w:r>
    </w:p>
    <w:p w:rsidR="008B6CFC" w:rsidRPr="00656640" w:rsidRDefault="008B6CFC" w:rsidP="00A055FD">
      <w:pPr>
        <w:pStyle w:val="ONUMFS"/>
        <w:keepLines/>
        <w:rPr>
          <w:lang w:val="fr-FR"/>
        </w:rPr>
      </w:pPr>
      <w:r w:rsidRPr="00656640">
        <w:rPr>
          <w:lang w:val="fr-FR"/>
        </w:rPr>
        <w:lastRenderedPageBreak/>
        <w:t>Sous le thème “Mécanismes institutionnels pour lutter contre les atteintes à la propriété intellectuelle commises en ligne”, une “Étude sur l</w:t>
      </w:r>
      <w:r w:rsidR="00D67D2D" w:rsidRPr="00656640">
        <w:rPr>
          <w:lang w:val="fr-FR"/>
        </w:rPr>
        <w:t>’</w:t>
      </w:r>
      <w:r w:rsidRPr="00656640">
        <w:rPr>
          <w:lang w:val="fr-FR"/>
        </w:rPr>
        <w:t>atteinte au droit d</w:t>
      </w:r>
      <w:r w:rsidR="00D67D2D" w:rsidRPr="00656640">
        <w:rPr>
          <w:lang w:val="fr-FR"/>
        </w:rPr>
        <w:t>’</w:t>
      </w:r>
      <w:r w:rsidRPr="00656640">
        <w:rPr>
          <w:lang w:val="fr-FR"/>
        </w:rPr>
        <w:t>auteur dans l</w:t>
      </w:r>
      <w:r w:rsidR="00D67D2D" w:rsidRPr="00656640">
        <w:rPr>
          <w:lang w:val="fr-FR"/>
        </w:rPr>
        <w:t>’</w:t>
      </w:r>
      <w:r w:rsidRPr="00656640">
        <w:rPr>
          <w:lang w:val="fr-FR"/>
        </w:rPr>
        <w:t>industrie des jeux vidéo” a été présentée par M.</w:t>
      </w:r>
      <w:r w:rsidR="008F4215" w:rsidRPr="00656640">
        <w:rPr>
          <w:lang w:val="fr-FR"/>
        </w:rPr>
        <w:t> </w:t>
      </w:r>
      <w:r w:rsidRPr="00656640">
        <w:rPr>
          <w:lang w:val="fr-FR"/>
        </w:rPr>
        <w:t xml:space="preserve">Gaetano </w:t>
      </w:r>
      <w:proofErr w:type="spellStart"/>
      <w:r w:rsidRPr="00656640">
        <w:rPr>
          <w:lang w:val="fr-FR"/>
        </w:rPr>
        <w:t>Dimita</w:t>
      </w:r>
      <w:proofErr w:type="spellEnd"/>
      <w:r w:rsidRPr="00656640">
        <w:rPr>
          <w:lang w:val="fr-FR"/>
        </w:rPr>
        <w:t xml:space="preserve">, maître de conférences, Centre for Commercial Law </w:t>
      </w:r>
      <w:proofErr w:type="spellStart"/>
      <w:r w:rsidRPr="00656640">
        <w:rPr>
          <w:lang w:val="fr-FR"/>
        </w:rPr>
        <w:t>Studies</w:t>
      </w:r>
      <w:proofErr w:type="spellEnd"/>
      <w:r w:rsidRPr="00656640">
        <w:rPr>
          <w:lang w:val="fr-FR"/>
        </w:rPr>
        <w:t xml:space="preserve"> de l</w:t>
      </w:r>
      <w:r w:rsidR="00D67D2D" w:rsidRPr="00656640">
        <w:rPr>
          <w:lang w:val="fr-FR"/>
        </w:rPr>
        <w:t>’</w:t>
      </w:r>
      <w:r w:rsidRPr="00656640">
        <w:rPr>
          <w:lang w:val="fr-FR"/>
        </w:rPr>
        <w:t xml:space="preserve">Université </w:t>
      </w:r>
      <w:proofErr w:type="spellStart"/>
      <w:r w:rsidRPr="00656640">
        <w:rPr>
          <w:lang w:val="fr-FR"/>
        </w:rPr>
        <w:t>Queen</w:t>
      </w:r>
      <w:proofErr w:type="spellEnd"/>
      <w:r w:rsidRPr="00656640">
        <w:rPr>
          <w:lang w:val="fr-FR"/>
        </w:rPr>
        <w:t xml:space="preserve"> Mary de Londr</w:t>
      </w:r>
      <w:r w:rsidR="0013109C" w:rsidRPr="00656640">
        <w:rPr>
          <w:lang w:val="fr-FR"/>
        </w:rPr>
        <w:t>es.  En</w:t>
      </w:r>
      <w:r w:rsidRPr="00656640">
        <w:rPr>
          <w:lang w:val="fr-FR"/>
        </w:rPr>
        <w:t xml:space="preserve"> outre, deux</w:t>
      </w:r>
      <w:r w:rsidR="008F4215" w:rsidRPr="00656640">
        <w:rPr>
          <w:lang w:val="fr-FR"/>
        </w:rPr>
        <w:t> </w:t>
      </w:r>
      <w:r w:rsidRPr="00656640">
        <w:rPr>
          <w:lang w:val="fr-FR"/>
        </w:rPr>
        <w:t>États membres ont fait part de leur expérience</w:t>
      </w:r>
      <w:r w:rsidR="00D67D2D" w:rsidRPr="00656640">
        <w:rPr>
          <w:lang w:val="fr-FR"/>
        </w:rPr>
        <w:t> :</w:t>
      </w:r>
      <w:r w:rsidRPr="00656640">
        <w:rPr>
          <w:lang w:val="fr-FR"/>
        </w:rPr>
        <w:t xml:space="preserve"> “Mesures d</w:t>
      </w:r>
      <w:r w:rsidR="00D67D2D" w:rsidRPr="00656640">
        <w:rPr>
          <w:lang w:val="fr-FR"/>
        </w:rPr>
        <w:t>’</w:t>
      </w:r>
      <w:r w:rsidRPr="00656640">
        <w:rPr>
          <w:lang w:val="fr-FR"/>
        </w:rPr>
        <w:t>application du droit d</w:t>
      </w:r>
      <w:r w:rsidR="00D67D2D" w:rsidRPr="00656640">
        <w:rPr>
          <w:lang w:val="fr-FR"/>
        </w:rPr>
        <w:t>’</w:t>
      </w:r>
      <w:r w:rsidRPr="00656640">
        <w:rPr>
          <w:lang w:val="fr-FR"/>
        </w:rPr>
        <w:t>auteur et avancées récentes en matière d</w:t>
      </w:r>
      <w:r w:rsidR="00D67D2D" w:rsidRPr="00656640">
        <w:rPr>
          <w:lang w:val="fr-FR"/>
        </w:rPr>
        <w:t>’</w:t>
      </w:r>
      <w:r w:rsidRPr="00656640">
        <w:rPr>
          <w:lang w:val="fr-FR"/>
        </w:rPr>
        <w:t>application des droits dans l</w:t>
      </w:r>
      <w:r w:rsidR="00D67D2D" w:rsidRPr="00656640">
        <w:rPr>
          <w:lang w:val="fr-FR"/>
        </w:rPr>
        <w:t>’</w:t>
      </w:r>
      <w:r w:rsidRPr="00656640">
        <w:rPr>
          <w:lang w:val="fr-FR"/>
        </w:rPr>
        <w:t>environnement numérique en République de Corée” par le Ministère de la culture, des sports et du tourisme de la République de Corée;  et “Procédure administrative applicable à la lutte contre le piratage dans l</w:t>
      </w:r>
      <w:r w:rsidR="00D67D2D" w:rsidRPr="00656640">
        <w:rPr>
          <w:lang w:val="fr-FR"/>
        </w:rPr>
        <w:t>’</w:t>
      </w:r>
      <w:r w:rsidRPr="00656640">
        <w:rPr>
          <w:lang w:val="fr-FR"/>
        </w:rPr>
        <w:t>environnement numérique et autorégulation en Espagne” par la sous</w:t>
      </w:r>
      <w:r w:rsidR="008862E6">
        <w:rPr>
          <w:lang w:val="fr-FR"/>
        </w:rPr>
        <w:noBreakHyphen/>
      </w:r>
      <w:r w:rsidRPr="00656640">
        <w:rPr>
          <w:lang w:val="fr-FR"/>
        </w:rPr>
        <w:t>direction de la propriété intellectuelle, Ministère de la culture et des sports de l</w:t>
      </w:r>
      <w:r w:rsidR="00D67D2D" w:rsidRPr="00656640">
        <w:rPr>
          <w:lang w:val="fr-FR"/>
        </w:rPr>
        <w:t>’</w:t>
      </w:r>
      <w:r w:rsidRPr="00656640">
        <w:rPr>
          <w:lang w:val="fr-FR"/>
        </w:rPr>
        <w:t>Espagne.</w:t>
      </w:r>
    </w:p>
    <w:p w:rsidR="008B6CFC" w:rsidRPr="00656640" w:rsidRDefault="008B6CFC" w:rsidP="008B6CFC">
      <w:pPr>
        <w:pStyle w:val="ONUMFS"/>
        <w:rPr>
          <w:lang w:val="fr-FR"/>
        </w:rPr>
      </w:pPr>
      <w:r w:rsidRPr="00656640">
        <w:rPr>
          <w:lang w:val="fr-FR"/>
        </w:rPr>
        <w:t>Sous le thème “Coordination de l</w:t>
      </w:r>
      <w:r w:rsidR="00D67D2D" w:rsidRPr="00656640">
        <w:rPr>
          <w:lang w:val="fr-FR"/>
        </w:rPr>
        <w:t>’</w:t>
      </w:r>
      <w:r w:rsidRPr="00656640">
        <w:rPr>
          <w:lang w:val="fr-FR"/>
        </w:rPr>
        <w:t>application des droits de propriété intellectuelle”, six</w:t>
      </w:r>
      <w:r w:rsidR="008F4215" w:rsidRPr="00656640">
        <w:rPr>
          <w:lang w:val="fr-FR"/>
        </w:rPr>
        <w:t> </w:t>
      </w:r>
      <w:r w:rsidRPr="00656640">
        <w:rPr>
          <w:lang w:val="fr-FR"/>
        </w:rPr>
        <w:t>États membres et une organisation intergouvernementale ont présenté leurs données d</w:t>
      </w:r>
      <w:r w:rsidR="00D67D2D" w:rsidRPr="00656640">
        <w:rPr>
          <w:lang w:val="fr-FR"/>
        </w:rPr>
        <w:t>’</w:t>
      </w:r>
      <w:r w:rsidRPr="00656640">
        <w:rPr>
          <w:lang w:val="fr-FR"/>
        </w:rPr>
        <w:t>expérience</w:t>
      </w:r>
      <w:r w:rsidR="00D67D2D" w:rsidRPr="00656640">
        <w:rPr>
          <w:lang w:val="fr-FR"/>
        </w:rPr>
        <w:t> :</w:t>
      </w:r>
      <w:r w:rsidRPr="00656640">
        <w:rPr>
          <w:lang w:val="fr-FR"/>
        </w:rPr>
        <w:t xml:space="preserve"> “Les efforts du Brésil en matière de lutte contre le piratage et les délits en matière de propriété intellectuelle”, par l</w:t>
      </w:r>
      <w:r w:rsidR="00D67D2D" w:rsidRPr="00656640">
        <w:rPr>
          <w:lang w:val="fr-FR"/>
        </w:rPr>
        <w:t>’</w:t>
      </w:r>
      <w:r w:rsidRPr="00656640">
        <w:rPr>
          <w:lang w:val="fr-FR"/>
        </w:rPr>
        <w:t>Agence nationale du cinéma (ANCINE);  “Rôle</w:t>
      </w:r>
      <w:r w:rsidR="00E926B9">
        <w:rPr>
          <w:lang w:val="fr-FR"/>
        </w:rPr>
        <w:t xml:space="preserve"> </w:t>
      </w:r>
      <w:r w:rsidRPr="00656640">
        <w:rPr>
          <w:lang w:val="fr-FR"/>
        </w:rPr>
        <w:t>et expérience des services douaniers du Chili concernant les mesures aux</w:t>
      </w:r>
      <w:r w:rsidR="00E926B9">
        <w:rPr>
          <w:lang w:val="fr-FR"/>
        </w:rPr>
        <w:t xml:space="preserve"> </w:t>
      </w:r>
      <w:r w:rsidRPr="00656640">
        <w:rPr>
          <w:lang w:val="fr-FR"/>
        </w:rPr>
        <w:t>frontières”, par le Service national des douanes du Chili;  “Les initiatives gouvernementales, le renforcement de la coopération et l</w:t>
      </w:r>
      <w:r w:rsidR="00D67D2D" w:rsidRPr="00656640">
        <w:rPr>
          <w:lang w:val="fr-FR"/>
        </w:rPr>
        <w:t>’</w:t>
      </w:r>
      <w:r w:rsidRPr="00656640">
        <w:rPr>
          <w:lang w:val="fr-FR"/>
        </w:rPr>
        <w:t>extension des activités de sensibilisation et d</w:t>
      </w:r>
      <w:r w:rsidR="00D67D2D" w:rsidRPr="00656640">
        <w:rPr>
          <w:lang w:val="fr-FR"/>
        </w:rPr>
        <w:t>’</w:t>
      </w:r>
      <w:r w:rsidRPr="00656640">
        <w:rPr>
          <w:lang w:val="fr-FR"/>
        </w:rPr>
        <w:t>information au Kazakhstan”, par l</w:t>
      </w:r>
      <w:r w:rsidR="00D67D2D" w:rsidRPr="00656640">
        <w:rPr>
          <w:lang w:val="fr-FR"/>
        </w:rPr>
        <w:t>’</w:t>
      </w:r>
      <w:r w:rsidRPr="00656640">
        <w:rPr>
          <w:lang w:val="fr-FR"/>
        </w:rPr>
        <w:t>Institut national de la propriété intellectuelle du Kazakhstan;  “Une enquête majeure de la nouvelle Division de la police de la technologie et des dessins et modèles de l</w:t>
      </w:r>
      <w:r w:rsidR="00D67D2D" w:rsidRPr="00656640">
        <w:rPr>
          <w:lang w:val="fr-FR"/>
        </w:rPr>
        <w:t>’</w:t>
      </w:r>
      <w:r w:rsidRPr="00656640">
        <w:rPr>
          <w:lang w:val="fr-FR"/>
        </w:rPr>
        <w:t>Office coréen de la propriété intellectuelle”, par l</w:t>
      </w:r>
      <w:r w:rsidR="00D67D2D" w:rsidRPr="00656640">
        <w:rPr>
          <w:lang w:val="fr-FR"/>
        </w:rPr>
        <w:t>’</w:t>
      </w:r>
      <w:r w:rsidRPr="00656640">
        <w:rPr>
          <w:lang w:val="fr-FR"/>
        </w:rPr>
        <w:t>Office coréen de la propriété intellectuelle (KIPO);  “Le rôle du ministère public dans l</w:t>
      </w:r>
      <w:r w:rsidR="00D67D2D" w:rsidRPr="00656640">
        <w:rPr>
          <w:lang w:val="fr-FR"/>
        </w:rPr>
        <w:t>’</w:t>
      </w:r>
      <w:r w:rsidRPr="00656640">
        <w:rPr>
          <w:lang w:val="fr-FR"/>
        </w:rPr>
        <w:t xml:space="preserve">application des droits de propriété intellectuelle en République de Corée”, par le Ministère de la justice de la République de Corée;  “Programme relatif au respect de la propriété intellectuelle en </w:t>
      </w:r>
      <w:r w:rsidR="00D67D2D" w:rsidRPr="00656640">
        <w:rPr>
          <w:lang w:val="fr-FR"/>
        </w:rPr>
        <w:t>Arabie saoudite</w:t>
      </w:r>
      <w:r w:rsidRPr="00656640">
        <w:rPr>
          <w:lang w:val="fr-FR"/>
        </w:rPr>
        <w:t xml:space="preserve"> à l</w:t>
      </w:r>
      <w:r w:rsidR="00D67D2D" w:rsidRPr="00656640">
        <w:rPr>
          <w:lang w:val="fr-FR"/>
        </w:rPr>
        <w:t>’</w:t>
      </w:r>
      <w:r w:rsidRPr="00656640">
        <w:rPr>
          <w:lang w:val="fr-FR"/>
        </w:rPr>
        <w:t>intention des fonctionnaires”, par l</w:t>
      </w:r>
      <w:r w:rsidR="00D67D2D" w:rsidRPr="00656640">
        <w:rPr>
          <w:lang w:val="fr-FR"/>
        </w:rPr>
        <w:t>’</w:t>
      </w:r>
      <w:r w:rsidRPr="00656640">
        <w:rPr>
          <w:lang w:val="fr-FR"/>
        </w:rPr>
        <w:t>Autorité saoudienne de la propriété intellectuelle (SAIP);  et “Les travaux du programme de contrôle des conteneurs ONUDC</w:t>
      </w:r>
      <w:r w:rsidR="008862E6">
        <w:rPr>
          <w:lang w:val="fr-FR"/>
        </w:rPr>
        <w:noBreakHyphen/>
      </w:r>
      <w:r w:rsidRPr="00656640">
        <w:rPr>
          <w:lang w:val="fr-FR"/>
        </w:rPr>
        <w:t xml:space="preserve">OMD sur les droits de propriété intellectuelle”, </w:t>
      </w:r>
      <w:r w:rsidR="00A055FD">
        <w:rPr>
          <w:lang w:val="fr-FR"/>
        </w:rPr>
        <w:t>par l’</w:t>
      </w:r>
      <w:r w:rsidRPr="00656640">
        <w:rPr>
          <w:lang w:val="fr-FR"/>
        </w:rPr>
        <w:t xml:space="preserve">Office des </w:t>
      </w:r>
      <w:r w:rsidR="00D67D2D" w:rsidRPr="00656640">
        <w:rPr>
          <w:lang w:val="fr-FR"/>
        </w:rPr>
        <w:t>Nations Unies</w:t>
      </w:r>
      <w:r w:rsidRPr="00656640">
        <w:rPr>
          <w:lang w:val="fr-FR"/>
        </w:rPr>
        <w:t xml:space="preserve"> contre la drogue et le crime (ONUDC).  Un débat d</w:t>
      </w:r>
      <w:r w:rsidR="00D67D2D" w:rsidRPr="00656640">
        <w:rPr>
          <w:lang w:val="fr-FR"/>
        </w:rPr>
        <w:t>’</w:t>
      </w:r>
      <w:r w:rsidRPr="00656640">
        <w:rPr>
          <w:lang w:val="fr-FR"/>
        </w:rPr>
        <w:t>experts a eu lieu, animé par M.</w:t>
      </w:r>
      <w:r w:rsidR="008F4215" w:rsidRPr="00656640">
        <w:rPr>
          <w:lang w:val="fr-FR"/>
        </w:rPr>
        <w:t> </w:t>
      </w:r>
      <w:r w:rsidRPr="00656640">
        <w:rPr>
          <w:lang w:val="fr-FR"/>
        </w:rPr>
        <w:t xml:space="preserve">Fernando Javier </w:t>
      </w:r>
      <w:proofErr w:type="spellStart"/>
      <w:r w:rsidRPr="00656640">
        <w:rPr>
          <w:lang w:val="fr-FR"/>
        </w:rPr>
        <w:t>Garcete</w:t>
      </w:r>
      <w:proofErr w:type="spellEnd"/>
      <w:r w:rsidRPr="00656640">
        <w:rPr>
          <w:lang w:val="fr-FR"/>
        </w:rPr>
        <w:t xml:space="preserve"> Sander, directeur général responsable de l</w:t>
      </w:r>
      <w:r w:rsidR="00D67D2D" w:rsidRPr="00656640">
        <w:rPr>
          <w:lang w:val="fr-FR"/>
        </w:rPr>
        <w:t>’</w:t>
      </w:r>
      <w:r w:rsidRPr="00656640">
        <w:rPr>
          <w:lang w:val="fr-FR"/>
        </w:rPr>
        <w:t>application des droits, Direction nationale de la propriété intellectuelle du Paraguay, avec une intervention de la délégation du Pakistan.</w:t>
      </w:r>
    </w:p>
    <w:p w:rsidR="008B6CFC" w:rsidRPr="00656640" w:rsidRDefault="008B6CFC" w:rsidP="008B6CFC">
      <w:pPr>
        <w:pStyle w:val="ONUMFS"/>
        <w:rPr>
          <w:lang w:val="fr-FR"/>
        </w:rPr>
      </w:pPr>
      <w:r w:rsidRPr="00656640">
        <w:rPr>
          <w:lang w:val="fr-FR"/>
        </w:rPr>
        <w:t>Sous le thème “Le rôle des intermédiaires dans l</w:t>
      </w:r>
      <w:r w:rsidR="00D67D2D" w:rsidRPr="00656640">
        <w:rPr>
          <w:lang w:val="fr-FR"/>
        </w:rPr>
        <w:t>’</w:t>
      </w:r>
      <w:r w:rsidRPr="00656640">
        <w:rPr>
          <w:lang w:val="fr-FR"/>
        </w:rPr>
        <w:t>application des droits de propriété intellectuelle (en ligne et dans le monde physique)”, une “Étude sur le rôle du système des noms de domaine et de ses administrateurs dans l</w:t>
      </w:r>
      <w:r w:rsidR="00D67D2D" w:rsidRPr="00656640">
        <w:rPr>
          <w:lang w:val="fr-FR"/>
        </w:rPr>
        <w:t>’</w:t>
      </w:r>
      <w:r w:rsidRPr="00656640">
        <w:rPr>
          <w:lang w:val="fr-FR"/>
        </w:rPr>
        <w:t>application du droit d</w:t>
      </w:r>
      <w:r w:rsidR="00D67D2D" w:rsidRPr="00656640">
        <w:rPr>
          <w:lang w:val="fr-FR"/>
        </w:rPr>
        <w:t>’</w:t>
      </w:r>
      <w:r w:rsidRPr="00656640">
        <w:rPr>
          <w:lang w:val="fr-FR"/>
        </w:rPr>
        <w:t>auteur dans l</w:t>
      </w:r>
      <w:r w:rsidR="00D67D2D" w:rsidRPr="00656640">
        <w:rPr>
          <w:lang w:val="fr-FR"/>
        </w:rPr>
        <w:t>’</w:t>
      </w:r>
      <w:r w:rsidRPr="00656640">
        <w:rPr>
          <w:lang w:val="fr-FR"/>
        </w:rPr>
        <w:t>environnement numérique” a été présentée par M.</w:t>
      </w:r>
      <w:r w:rsidR="008F4215" w:rsidRPr="00656640">
        <w:rPr>
          <w:lang w:val="fr-FR"/>
        </w:rPr>
        <w:t> </w:t>
      </w:r>
      <w:r w:rsidRPr="00656640">
        <w:rPr>
          <w:lang w:val="fr-FR"/>
        </w:rPr>
        <w:t>Dean S.</w:t>
      </w:r>
      <w:r w:rsidR="008F4215" w:rsidRPr="00656640">
        <w:rPr>
          <w:lang w:val="fr-FR"/>
        </w:rPr>
        <w:t> </w:t>
      </w:r>
      <w:r w:rsidRPr="00656640">
        <w:rPr>
          <w:lang w:val="fr-FR"/>
        </w:rPr>
        <w:t>Marks</w:t>
      </w:r>
      <w:r w:rsidR="008862E6">
        <w:rPr>
          <w:lang w:val="fr-FR"/>
        </w:rPr>
        <w:t>, avocat, directeur exécutif et </w:t>
      </w:r>
      <w:r w:rsidRPr="00656640">
        <w:rPr>
          <w:lang w:val="fr-FR"/>
        </w:rPr>
        <w:t xml:space="preserve">conseiller juridique, Coalition for Online </w:t>
      </w:r>
      <w:proofErr w:type="spellStart"/>
      <w:r w:rsidRPr="00656640">
        <w:rPr>
          <w:lang w:val="fr-FR"/>
        </w:rPr>
        <w:t>Accountability</w:t>
      </w:r>
      <w:proofErr w:type="spellEnd"/>
      <w:r w:rsidRPr="00656640">
        <w:rPr>
          <w:lang w:val="fr-FR"/>
        </w:rPr>
        <w:t xml:space="preserve"> (États</w:t>
      </w:r>
      <w:r w:rsidR="008862E6">
        <w:rPr>
          <w:lang w:val="fr-FR"/>
        </w:rPr>
        <w:noBreakHyphen/>
      </w:r>
      <w:r w:rsidRPr="00656640">
        <w:rPr>
          <w:lang w:val="fr-FR"/>
        </w:rPr>
        <w:t>Unis d</w:t>
      </w:r>
      <w:r w:rsidR="00D67D2D" w:rsidRPr="00656640">
        <w:rPr>
          <w:lang w:val="fr-FR"/>
        </w:rPr>
        <w:t>’</w:t>
      </w:r>
      <w:r w:rsidRPr="00656640">
        <w:rPr>
          <w:lang w:val="fr-FR"/>
        </w:rPr>
        <w:t>Amérique) et M.</w:t>
      </w:r>
      <w:r w:rsidR="008F4215" w:rsidRPr="00656640">
        <w:rPr>
          <w:lang w:val="fr-FR"/>
        </w:rPr>
        <w:t> </w:t>
      </w:r>
      <w:r w:rsidR="001F2AE9">
        <w:rPr>
          <w:lang w:val="fr-FR"/>
        </w:rPr>
        <w:t>Jan </w:t>
      </w:r>
      <w:r w:rsidRPr="00656640">
        <w:rPr>
          <w:lang w:val="fr-FR"/>
        </w:rPr>
        <w:t xml:space="preserve">Bernd </w:t>
      </w:r>
      <w:proofErr w:type="spellStart"/>
      <w:r w:rsidRPr="00656640">
        <w:rPr>
          <w:lang w:val="fr-FR"/>
        </w:rPr>
        <w:t>Nordemann</w:t>
      </w:r>
      <w:proofErr w:type="spellEnd"/>
      <w:r w:rsidRPr="00656640">
        <w:rPr>
          <w:lang w:val="fr-FR"/>
        </w:rPr>
        <w:t xml:space="preserve">, avocat, </w:t>
      </w:r>
      <w:proofErr w:type="spellStart"/>
      <w:r w:rsidRPr="00656640">
        <w:rPr>
          <w:lang w:val="fr-FR"/>
        </w:rPr>
        <w:t>Nordemann</w:t>
      </w:r>
      <w:proofErr w:type="spellEnd"/>
      <w:r w:rsidRPr="00656640">
        <w:rPr>
          <w:lang w:val="fr-FR"/>
        </w:rPr>
        <w:t xml:space="preserve"> C</w:t>
      </w:r>
      <w:r w:rsidR="008862E6">
        <w:rPr>
          <w:lang w:val="fr-FR"/>
        </w:rPr>
        <w:t>zychowski &amp; Partner, Berlin, et </w:t>
      </w:r>
      <w:r w:rsidRPr="00656640">
        <w:rPr>
          <w:lang w:val="fr-FR"/>
        </w:rPr>
        <w:t>professeur honoraire, Université Humboldt de Berl</w:t>
      </w:r>
      <w:r w:rsidR="0013109C" w:rsidRPr="00656640">
        <w:rPr>
          <w:lang w:val="fr-FR"/>
        </w:rPr>
        <w:t>in</w:t>
      </w:r>
      <w:r w:rsidR="00B018CE">
        <w:rPr>
          <w:lang w:val="fr-FR"/>
        </w:rPr>
        <w:t> (Allemagne)</w:t>
      </w:r>
      <w:r w:rsidR="0013109C" w:rsidRPr="00656640">
        <w:rPr>
          <w:lang w:val="fr-FR"/>
        </w:rPr>
        <w:t>.  En</w:t>
      </w:r>
      <w:r w:rsidRPr="00656640">
        <w:rPr>
          <w:lang w:val="fr-FR"/>
        </w:rPr>
        <w:t xml:space="preserve"> outre, cinq</w:t>
      </w:r>
      <w:r w:rsidR="008F4215" w:rsidRPr="00656640">
        <w:rPr>
          <w:lang w:val="fr-FR"/>
        </w:rPr>
        <w:t> </w:t>
      </w:r>
      <w:r w:rsidRPr="00656640">
        <w:rPr>
          <w:lang w:val="fr-FR"/>
        </w:rPr>
        <w:t>exposés ont été présentés</w:t>
      </w:r>
      <w:r w:rsidR="00D67D2D" w:rsidRPr="00656640">
        <w:rPr>
          <w:lang w:val="fr-FR"/>
        </w:rPr>
        <w:t> :</w:t>
      </w:r>
      <w:r w:rsidRPr="00656640">
        <w:rPr>
          <w:lang w:val="fr-FR"/>
        </w:rPr>
        <w:t xml:space="preserve"> “Le </w:t>
      </w:r>
      <w:r w:rsidR="00D67D2D" w:rsidRPr="00656640">
        <w:rPr>
          <w:lang w:val="fr-FR"/>
        </w:rPr>
        <w:t>‘</w:t>
      </w:r>
      <w:r w:rsidRPr="00656640">
        <w:rPr>
          <w:lang w:val="fr-FR"/>
        </w:rPr>
        <w:t>Real Deal</w:t>
      </w:r>
      <w:r w:rsidR="00D67D2D" w:rsidRPr="00656640">
        <w:rPr>
          <w:lang w:val="fr-FR"/>
        </w:rPr>
        <w:t>’ :</w:t>
      </w:r>
      <w:r w:rsidRPr="00656640">
        <w:rPr>
          <w:lang w:val="fr-FR"/>
        </w:rPr>
        <w:t xml:space="preserve"> une approche collaborative pour lutter contre les délits en matière de propriété intellectuelle sur les marchés au Royaume</w:t>
      </w:r>
      <w:r w:rsidR="008862E6">
        <w:rPr>
          <w:lang w:val="fr-FR"/>
        </w:rPr>
        <w:noBreakHyphen/>
      </w:r>
      <w:r w:rsidRPr="00656640">
        <w:rPr>
          <w:lang w:val="fr-FR"/>
        </w:rPr>
        <w:t>Uni”, par le groupe des marchés nationaux pour la protection de la propriété intellectuelle (Royaume</w:t>
      </w:r>
      <w:r w:rsidR="008862E6">
        <w:rPr>
          <w:lang w:val="fr-FR"/>
        </w:rPr>
        <w:noBreakHyphen/>
      </w:r>
      <w:r w:rsidRPr="00656640">
        <w:rPr>
          <w:lang w:val="fr-FR"/>
        </w:rPr>
        <w:t>Uni);  “Le point de vue d</w:t>
      </w:r>
      <w:r w:rsidR="00D67D2D" w:rsidRPr="00656640">
        <w:rPr>
          <w:lang w:val="fr-FR"/>
        </w:rPr>
        <w:t>’</w:t>
      </w:r>
      <w:r w:rsidRPr="00656640">
        <w:rPr>
          <w:lang w:val="fr-FR"/>
        </w:rPr>
        <w:t>AIM – Association des industries de marque – sur le rôle des intermédiaires en ligne dans la lutte contre la contrefaçon”, par l</w:t>
      </w:r>
      <w:r w:rsidR="00D67D2D" w:rsidRPr="00656640">
        <w:rPr>
          <w:lang w:val="fr-FR"/>
        </w:rPr>
        <w:t>’</w:t>
      </w:r>
      <w:r w:rsidRPr="00656640">
        <w:rPr>
          <w:lang w:val="fr-FR"/>
        </w:rPr>
        <w:t>AIM – l</w:t>
      </w:r>
      <w:r w:rsidR="00D67D2D" w:rsidRPr="00656640">
        <w:rPr>
          <w:lang w:val="fr-FR"/>
        </w:rPr>
        <w:t>’</w:t>
      </w:r>
      <w:r w:rsidRPr="00656640">
        <w:rPr>
          <w:lang w:val="fr-FR"/>
        </w:rPr>
        <w:t>Association des industries de marque;  “Le point de vue de l</w:t>
      </w:r>
      <w:r w:rsidR="00D67D2D" w:rsidRPr="00656640">
        <w:rPr>
          <w:lang w:val="fr-FR"/>
        </w:rPr>
        <w:t>’</w:t>
      </w:r>
      <w:r w:rsidRPr="00656640">
        <w:rPr>
          <w:lang w:val="fr-FR"/>
        </w:rPr>
        <w:t>industrie de la musique enregistrée sur le rôle des intermédiaires en ligne dans la lutte contre le piratage”, par la Fédération internationale de l</w:t>
      </w:r>
      <w:r w:rsidR="00D67D2D" w:rsidRPr="00656640">
        <w:rPr>
          <w:lang w:val="fr-FR"/>
        </w:rPr>
        <w:t>’</w:t>
      </w:r>
      <w:r w:rsidRPr="00656640">
        <w:rPr>
          <w:lang w:val="fr-FR"/>
        </w:rPr>
        <w:t>indust</w:t>
      </w:r>
      <w:r w:rsidR="008862E6">
        <w:rPr>
          <w:lang w:val="fr-FR"/>
        </w:rPr>
        <w:t>rie phonographique (IFPI);  “La </w:t>
      </w:r>
      <w:r w:rsidRPr="00656640">
        <w:rPr>
          <w:lang w:val="fr-FR"/>
        </w:rPr>
        <w:t>lutte contre le non</w:t>
      </w:r>
      <w:r w:rsidR="008862E6">
        <w:rPr>
          <w:lang w:val="fr-FR"/>
        </w:rPr>
        <w:noBreakHyphen/>
      </w:r>
      <w:r w:rsidRPr="00656640">
        <w:rPr>
          <w:lang w:val="fr-FR"/>
        </w:rPr>
        <w:t xml:space="preserve">respect des procédures douanières dans </w:t>
      </w:r>
      <w:r w:rsidR="008862E6">
        <w:rPr>
          <w:lang w:val="fr-FR"/>
        </w:rPr>
        <w:t>le secteur du transport express </w:t>
      </w:r>
      <w:r w:rsidRPr="00656640">
        <w:rPr>
          <w:lang w:val="fr-FR"/>
        </w:rPr>
        <w:t>– L</w:t>
      </w:r>
      <w:r w:rsidR="00D67D2D" w:rsidRPr="00656640">
        <w:rPr>
          <w:lang w:val="fr-FR"/>
        </w:rPr>
        <w:t>’</w:t>
      </w:r>
      <w:r w:rsidRPr="00656640">
        <w:rPr>
          <w:lang w:val="fr-FR"/>
        </w:rPr>
        <w:t>approche de DHL Express”, par DHL Express;  et “Mesures prises par MasterCard pour prévenir les atteintes à la propriété intellectuelle”, par MasterCard Internation</w:t>
      </w:r>
      <w:r w:rsidR="0013109C" w:rsidRPr="00656640">
        <w:rPr>
          <w:lang w:val="fr-FR"/>
        </w:rPr>
        <w:t>al.  Un</w:t>
      </w:r>
      <w:r w:rsidRPr="00656640">
        <w:rPr>
          <w:lang w:val="fr-FR"/>
        </w:rPr>
        <w:t xml:space="preserve"> débat d</w:t>
      </w:r>
      <w:r w:rsidR="00D67D2D" w:rsidRPr="00656640">
        <w:rPr>
          <w:lang w:val="fr-FR"/>
        </w:rPr>
        <w:t>’</w:t>
      </w:r>
      <w:r w:rsidRPr="00656640">
        <w:rPr>
          <w:lang w:val="fr-FR"/>
        </w:rPr>
        <w:t>experts a eu lieu, animé par M.</w:t>
      </w:r>
      <w:r w:rsidR="008F4215" w:rsidRPr="00656640">
        <w:rPr>
          <w:lang w:val="fr-FR"/>
        </w:rPr>
        <w:t> </w:t>
      </w:r>
      <w:r w:rsidRPr="00656640">
        <w:rPr>
          <w:lang w:val="fr-FR"/>
        </w:rPr>
        <w:t>Tim</w:t>
      </w:r>
      <w:r w:rsidR="00800FBC">
        <w:rPr>
          <w:lang w:val="fr-FR"/>
        </w:rPr>
        <w:t> </w:t>
      </w:r>
      <w:r w:rsidRPr="00656640">
        <w:rPr>
          <w:lang w:val="fr-FR"/>
        </w:rPr>
        <w:t>Werner, juriste et responsable des politiques, économie immatérielle, Direction générale du marché intérieur, de l</w:t>
      </w:r>
      <w:r w:rsidR="00D67D2D" w:rsidRPr="00656640">
        <w:rPr>
          <w:lang w:val="fr-FR"/>
        </w:rPr>
        <w:t>’</w:t>
      </w:r>
      <w:r w:rsidRPr="00656640">
        <w:rPr>
          <w:lang w:val="fr-FR"/>
        </w:rPr>
        <w:t>industrie, de l</w:t>
      </w:r>
      <w:r w:rsidR="00D67D2D" w:rsidRPr="00656640">
        <w:rPr>
          <w:lang w:val="fr-FR"/>
        </w:rPr>
        <w:t>’</w:t>
      </w:r>
      <w:r w:rsidRPr="00656640">
        <w:rPr>
          <w:lang w:val="fr-FR"/>
        </w:rPr>
        <w:t>entrepreneuriat et</w:t>
      </w:r>
      <w:r w:rsidR="00D67D2D" w:rsidRPr="00656640">
        <w:rPr>
          <w:lang w:val="fr-FR"/>
        </w:rPr>
        <w:t xml:space="preserve"> des PME</w:t>
      </w:r>
      <w:r w:rsidRPr="00656640">
        <w:rPr>
          <w:lang w:val="fr-FR"/>
        </w:rPr>
        <w:t xml:space="preserve"> (DG GROW), Commission européenne, Bruxelles.</w:t>
      </w:r>
    </w:p>
    <w:p w:rsidR="008B6CFC" w:rsidRPr="00656640" w:rsidRDefault="008B6CFC" w:rsidP="00A055FD">
      <w:pPr>
        <w:pStyle w:val="ONUMFS"/>
        <w:keepLines/>
        <w:rPr>
          <w:lang w:val="fr-FR"/>
        </w:rPr>
      </w:pPr>
      <w:r w:rsidRPr="00656640">
        <w:rPr>
          <w:lang w:val="fr-FR"/>
        </w:rPr>
        <w:lastRenderedPageBreak/>
        <w:t>Sous le thème “Nouvelles technologies et application de la propriété intellectuelle”, l</w:t>
      </w:r>
      <w:r w:rsidR="00D67D2D" w:rsidRPr="00656640">
        <w:rPr>
          <w:lang w:val="fr-FR"/>
        </w:rPr>
        <w:t>’</w:t>
      </w:r>
      <w:r w:rsidRPr="00656640">
        <w:rPr>
          <w:lang w:val="fr-FR"/>
        </w:rPr>
        <w:t>Office de l</w:t>
      </w:r>
      <w:r w:rsidR="00D67D2D" w:rsidRPr="00656640">
        <w:rPr>
          <w:lang w:val="fr-FR"/>
        </w:rPr>
        <w:t>’</w:t>
      </w:r>
      <w:r w:rsidRPr="00656640">
        <w:rPr>
          <w:lang w:val="fr-FR"/>
        </w:rPr>
        <w:t>Union européenne pour la propriété intellectuelle (EUIPO) a présenté une contribution intitulée “Nouvelles possibilités techniques en matière de protection et d</w:t>
      </w:r>
      <w:r w:rsidR="00D67D2D" w:rsidRPr="00656640">
        <w:rPr>
          <w:lang w:val="fr-FR"/>
        </w:rPr>
        <w:t>’</w:t>
      </w:r>
      <w:r w:rsidRPr="00656640">
        <w:rPr>
          <w:lang w:val="fr-FR"/>
        </w:rPr>
        <w:t xml:space="preserve">application des droits de propriété intellectuelle – mise à jour concernant la technologie de la chaîne de blocs au service de la lutte contre les produits de contrefaçon” et le </w:t>
      </w:r>
      <w:proofErr w:type="spellStart"/>
      <w:r w:rsidRPr="00656640">
        <w:rPr>
          <w:lang w:val="fr-FR"/>
        </w:rPr>
        <w:t>Tencent</w:t>
      </w:r>
      <w:proofErr w:type="spellEnd"/>
      <w:r w:rsidRPr="00656640">
        <w:rPr>
          <w:lang w:val="fr-FR"/>
        </w:rPr>
        <w:t xml:space="preserve"> Group a présenté une contribution intitulée “Faciliter la protection du droit d</w:t>
      </w:r>
      <w:r w:rsidR="00D67D2D" w:rsidRPr="00656640">
        <w:rPr>
          <w:lang w:val="fr-FR"/>
        </w:rPr>
        <w:t>’</w:t>
      </w:r>
      <w:r w:rsidRPr="00656640">
        <w:rPr>
          <w:lang w:val="fr-FR"/>
        </w:rPr>
        <w:t>auteur en Chine grâce à l</w:t>
      </w:r>
      <w:r w:rsidR="00D67D2D" w:rsidRPr="00656640">
        <w:rPr>
          <w:lang w:val="fr-FR"/>
        </w:rPr>
        <w:t>’</w:t>
      </w:r>
      <w:r w:rsidRPr="00656640">
        <w:rPr>
          <w:lang w:val="fr-FR"/>
        </w:rPr>
        <w:t>innovation technologique”.</w:t>
      </w:r>
    </w:p>
    <w:p w:rsidR="008B6CFC" w:rsidRPr="00656640" w:rsidRDefault="008B6CFC" w:rsidP="008B6CFC">
      <w:pPr>
        <w:pStyle w:val="ONUMFS"/>
        <w:rPr>
          <w:lang w:val="fr-FR"/>
        </w:rPr>
      </w:pPr>
      <w:r w:rsidRPr="00656640">
        <w:rPr>
          <w:lang w:val="fr-FR"/>
        </w:rPr>
        <w:t>Sous le thème “Règlement des litiges de propriété intellectuelle”, trois</w:t>
      </w:r>
      <w:r w:rsidR="008F4215" w:rsidRPr="00656640">
        <w:rPr>
          <w:lang w:val="fr-FR"/>
        </w:rPr>
        <w:t> </w:t>
      </w:r>
      <w:r w:rsidRPr="00656640">
        <w:rPr>
          <w:lang w:val="fr-FR"/>
        </w:rPr>
        <w:t>exposés ont été présentés sur les thèmes ci</w:t>
      </w:r>
      <w:r w:rsidR="008862E6">
        <w:rPr>
          <w:lang w:val="fr-FR"/>
        </w:rPr>
        <w:noBreakHyphen/>
      </w:r>
      <w:r w:rsidRPr="00656640">
        <w:rPr>
          <w:lang w:val="fr-FR"/>
        </w:rPr>
        <w:t>après</w:t>
      </w:r>
      <w:r w:rsidR="00D67D2D" w:rsidRPr="00656640">
        <w:rPr>
          <w:lang w:val="fr-FR"/>
        </w:rPr>
        <w:t> :</w:t>
      </w:r>
      <w:r w:rsidRPr="00656640">
        <w:rPr>
          <w:lang w:val="fr-FR"/>
        </w:rPr>
        <w:t xml:space="preserve"> “Injonctions dynamiques et autres mesures injonctives en Inde”, par Mme</w:t>
      </w:r>
      <w:r w:rsidR="008F4215" w:rsidRPr="00656640">
        <w:rPr>
          <w:lang w:val="fr-FR"/>
        </w:rPr>
        <w:t> </w:t>
      </w:r>
      <w:r w:rsidR="00A055FD">
        <w:rPr>
          <w:lang w:val="fr-FR"/>
        </w:rPr>
        <w:t>Justice </w:t>
      </w:r>
      <w:proofErr w:type="spellStart"/>
      <w:r w:rsidRPr="00656640">
        <w:rPr>
          <w:lang w:val="fr-FR"/>
        </w:rPr>
        <w:t>Prathiba</w:t>
      </w:r>
      <w:proofErr w:type="spellEnd"/>
      <w:r w:rsidRPr="00656640">
        <w:rPr>
          <w:lang w:val="fr-FR"/>
        </w:rPr>
        <w:t xml:space="preserve"> M.</w:t>
      </w:r>
      <w:r w:rsidR="008F4215" w:rsidRPr="00656640">
        <w:rPr>
          <w:lang w:val="fr-FR"/>
        </w:rPr>
        <w:t> </w:t>
      </w:r>
      <w:r w:rsidRPr="00656640">
        <w:rPr>
          <w:lang w:val="fr-FR"/>
        </w:rPr>
        <w:t>Singh, Division de la propriété intellectuelle, Haute Cour de Delhi;  “Travaux récents de l</w:t>
      </w:r>
      <w:r w:rsidR="00D67D2D" w:rsidRPr="00656640">
        <w:rPr>
          <w:lang w:val="fr-FR"/>
        </w:rPr>
        <w:t>’</w:t>
      </w:r>
      <w:r w:rsidRPr="00656640">
        <w:rPr>
          <w:lang w:val="fr-FR"/>
        </w:rPr>
        <w:t>Association internationale pour la protection de la propriété intellectuelle sur la réparation des atteintes à la propriété intellectuelle”, par l</w:t>
      </w:r>
      <w:r w:rsidR="00D67D2D" w:rsidRPr="00656640">
        <w:rPr>
          <w:lang w:val="fr-FR"/>
        </w:rPr>
        <w:t>’</w:t>
      </w:r>
      <w:r w:rsidRPr="00656640">
        <w:rPr>
          <w:lang w:val="fr-FR"/>
        </w:rPr>
        <w:t>Association internationale pour la protection de la propriété intellectuelle (AIPPI);  et “Travaux de l</w:t>
      </w:r>
      <w:r w:rsidR="00D67D2D" w:rsidRPr="00656640">
        <w:rPr>
          <w:lang w:val="fr-FR"/>
        </w:rPr>
        <w:t>’</w:t>
      </w:r>
      <w:r w:rsidRPr="00656640">
        <w:rPr>
          <w:lang w:val="fr-FR"/>
        </w:rPr>
        <w:t>Association internationale pour les marques sur l</w:t>
      </w:r>
      <w:r w:rsidR="00D67D2D" w:rsidRPr="00656640">
        <w:rPr>
          <w:lang w:val="fr-FR"/>
        </w:rPr>
        <w:t>’</w:t>
      </w:r>
      <w:r w:rsidRPr="00656640">
        <w:rPr>
          <w:lang w:val="fr-FR"/>
        </w:rPr>
        <w:t>harmonisation de la législation en matière d</w:t>
      </w:r>
      <w:r w:rsidR="00D67D2D" w:rsidRPr="00656640">
        <w:rPr>
          <w:lang w:val="fr-FR"/>
        </w:rPr>
        <w:t>’</w:t>
      </w:r>
      <w:r w:rsidRPr="00656640">
        <w:rPr>
          <w:lang w:val="fr-FR"/>
        </w:rPr>
        <w:t>injonctions provisoires”, par l</w:t>
      </w:r>
      <w:r w:rsidR="00D67D2D" w:rsidRPr="00656640">
        <w:rPr>
          <w:lang w:val="fr-FR"/>
        </w:rPr>
        <w:t>’</w:t>
      </w:r>
      <w:r w:rsidRPr="00656640">
        <w:rPr>
          <w:lang w:val="fr-FR"/>
        </w:rPr>
        <w:t xml:space="preserve">International </w:t>
      </w:r>
      <w:proofErr w:type="spellStart"/>
      <w:r w:rsidRPr="00656640">
        <w:rPr>
          <w:lang w:val="fr-FR"/>
        </w:rPr>
        <w:t>Trademark</w:t>
      </w:r>
      <w:proofErr w:type="spellEnd"/>
      <w:r w:rsidR="00800FBC">
        <w:rPr>
          <w:lang w:val="fr-FR"/>
        </w:rPr>
        <w:t> </w:t>
      </w:r>
      <w:r w:rsidRPr="00656640">
        <w:rPr>
          <w:lang w:val="fr-FR"/>
        </w:rPr>
        <w:t>Association (INTA).  Un débat d</w:t>
      </w:r>
      <w:r w:rsidR="00D67D2D" w:rsidRPr="00656640">
        <w:rPr>
          <w:lang w:val="fr-FR"/>
        </w:rPr>
        <w:t>’</w:t>
      </w:r>
      <w:r w:rsidRPr="00656640">
        <w:rPr>
          <w:lang w:val="fr-FR"/>
        </w:rPr>
        <w:t>experts a suivi, animé par M.</w:t>
      </w:r>
      <w:r w:rsidR="008F4215" w:rsidRPr="00656640">
        <w:rPr>
          <w:lang w:val="fr-FR"/>
        </w:rPr>
        <w:t> </w:t>
      </w:r>
      <w:proofErr w:type="spellStart"/>
      <w:r w:rsidR="00E926B9">
        <w:rPr>
          <w:lang w:val="fr-FR"/>
        </w:rPr>
        <w:t>Bassem</w:t>
      </w:r>
      <w:proofErr w:type="spellEnd"/>
      <w:r w:rsidR="00E926B9">
        <w:rPr>
          <w:lang w:val="fr-FR"/>
        </w:rPr>
        <w:t> </w:t>
      </w:r>
      <w:proofErr w:type="spellStart"/>
      <w:r w:rsidRPr="00656640">
        <w:rPr>
          <w:lang w:val="fr-FR"/>
        </w:rPr>
        <w:t>Awad</w:t>
      </w:r>
      <w:proofErr w:type="spellEnd"/>
      <w:r w:rsidRPr="00656640">
        <w:rPr>
          <w:lang w:val="fr-FR"/>
        </w:rPr>
        <w:t>, ancien juge à la Cour d</w:t>
      </w:r>
      <w:r w:rsidR="00D67D2D" w:rsidRPr="00656640">
        <w:rPr>
          <w:lang w:val="fr-FR"/>
        </w:rPr>
        <w:t>’</w:t>
      </w:r>
      <w:r w:rsidRPr="00656640">
        <w:rPr>
          <w:lang w:val="fr-FR"/>
        </w:rPr>
        <w:t>appel de l</w:t>
      </w:r>
      <w:r w:rsidR="00D67D2D" w:rsidRPr="00656640">
        <w:rPr>
          <w:lang w:val="fr-FR"/>
        </w:rPr>
        <w:t>’</w:t>
      </w:r>
      <w:r w:rsidRPr="00656640">
        <w:rPr>
          <w:lang w:val="fr-FR"/>
        </w:rPr>
        <w:t>Égypte et professeur, Faculté de droit, Université Western Ontario (Canada), avec des interventions des délégations des États</w:t>
      </w:r>
      <w:r w:rsidR="008862E6">
        <w:rPr>
          <w:lang w:val="fr-FR"/>
        </w:rPr>
        <w:noBreakHyphen/>
      </w:r>
      <w:r w:rsidRPr="00656640">
        <w:rPr>
          <w:lang w:val="fr-FR"/>
        </w:rPr>
        <w:t>Unis d</w:t>
      </w:r>
      <w:r w:rsidR="00D67D2D" w:rsidRPr="00656640">
        <w:rPr>
          <w:lang w:val="fr-FR"/>
        </w:rPr>
        <w:t>’</w:t>
      </w:r>
      <w:r w:rsidRPr="00656640">
        <w:rPr>
          <w:lang w:val="fr-FR"/>
        </w:rPr>
        <w:t>Amérique, du Kenya, de l</w:t>
      </w:r>
      <w:r w:rsidR="00D67D2D" w:rsidRPr="00656640">
        <w:rPr>
          <w:lang w:val="fr-FR"/>
        </w:rPr>
        <w:t>’</w:t>
      </w:r>
      <w:r w:rsidRPr="00656640">
        <w:rPr>
          <w:lang w:val="fr-FR"/>
        </w:rPr>
        <w:t>Ouzbékistan, du Pakistan et du représentant d</w:t>
      </w:r>
      <w:r w:rsidR="00D67D2D" w:rsidRPr="00656640">
        <w:rPr>
          <w:lang w:val="fr-FR"/>
        </w:rPr>
        <w:t>’</w:t>
      </w:r>
      <w:r w:rsidRPr="00656640">
        <w:rPr>
          <w:lang w:val="fr-FR"/>
        </w:rPr>
        <w:t>AIM.</w:t>
      </w:r>
    </w:p>
    <w:p w:rsidR="008B6CFC" w:rsidRPr="00656640" w:rsidRDefault="008B6CFC" w:rsidP="008B6CFC">
      <w:pPr>
        <w:pStyle w:val="ONUMFS"/>
        <w:rPr>
          <w:lang w:val="fr-FR"/>
        </w:rPr>
      </w:pPr>
      <w:r w:rsidRPr="00656640">
        <w:rPr>
          <w:lang w:val="fr-FR"/>
        </w:rPr>
        <w:t>Au titre du point du programme de travail intitulé “Échange d</w:t>
      </w:r>
      <w:r w:rsidR="00D67D2D" w:rsidRPr="00656640">
        <w:rPr>
          <w:lang w:val="fr-FR"/>
        </w:rPr>
        <w:t>’</w:t>
      </w:r>
      <w:r w:rsidRPr="00656640">
        <w:rPr>
          <w:lang w:val="fr-FR"/>
        </w:rPr>
        <w:t>exemples de réussite concernant le renforcement des capacités et l</w:t>
      </w:r>
      <w:r w:rsidR="00D67D2D" w:rsidRPr="00656640">
        <w:rPr>
          <w:lang w:val="fr-FR"/>
        </w:rPr>
        <w:t>’</w:t>
      </w:r>
      <w:r w:rsidRPr="00656640">
        <w:rPr>
          <w:lang w:val="fr-FR"/>
        </w:rPr>
        <w:t>appui de l</w:t>
      </w:r>
      <w:r w:rsidR="00D67D2D" w:rsidRPr="00656640">
        <w:rPr>
          <w:lang w:val="fr-FR"/>
        </w:rPr>
        <w:t>’</w:t>
      </w:r>
      <w:r w:rsidRPr="00656640">
        <w:rPr>
          <w:lang w:val="fr-FR"/>
        </w:rPr>
        <w:t>OMPI en faveur des activités de formation à l</w:t>
      </w:r>
      <w:r w:rsidR="00D67D2D" w:rsidRPr="00656640">
        <w:rPr>
          <w:lang w:val="fr-FR"/>
        </w:rPr>
        <w:t>’</w:t>
      </w:r>
      <w:r w:rsidRPr="00656640">
        <w:rPr>
          <w:lang w:val="fr-FR"/>
        </w:rPr>
        <w:t>échelle nationale et régionale, pour les organismes et les fonctionnaires nationaux, conformément aux recommandations pertinentes du Plan d</w:t>
      </w:r>
      <w:r w:rsidR="00D67D2D" w:rsidRPr="00656640">
        <w:rPr>
          <w:lang w:val="fr-FR"/>
        </w:rPr>
        <w:t>’</w:t>
      </w:r>
      <w:r w:rsidRPr="00656640">
        <w:rPr>
          <w:lang w:val="fr-FR"/>
        </w:rPr>
        <w:t xml:space="preserve">action </w:t>
      </w:r>
      <w:r w:rsidR="00EE7CFF">
        <w:rPr>
          <w:lang w:val="fr-FR"/>
        </w:rPr>
        <w:t xml:space="preserve">de l’OMPI </w:t>
      </w:r>
      <w:r w:rsidRPr="00656640">
        <w:rPr>
          <w:lang w:val="fr-FR"/>
        </w:rPr>
        <w:t>pour le développement et au mandat de l</w:t>
      </w:r>
      <w:r w:rsidR="00D67D2D" w:rsidRPr="00656640">
        <w:rPr>
          <w:lang w:val="fr-FR"/>
        </w:rPr>
        <w:t>’</w:t>
      </w:r>
      <w:r w:rsidRPr="00656640">
        <w:rPr>
          <w:lang w:val="fr-FR"/>
        </w:rPr>
        <w:t>ACE”, l</w:t>
      </w:r>
      <w:r w:rsidR="00D67D2D" w:rsidRPr="00656640">
        <w:rPr>
          <w:lang w:val="fr-FR"/>
        </w:rPr>
        <w:t>’</w:t>
      </w:r>
      <w:r w:rsidRPr="00656640">
        <w:rPr>
          <w:lang w:val="fr-FR"/>
        </w:rPr>
        <w:t>Albanie a fait part de son expérience avec son adaptation du manuel de formation “Poursuite des délits liés à la propriété intellectuelle de l</w:t>
      </w:r>
      <w:r w:rsidR="00D67D2D" w:rsidRPr="00656640">
        <w:rPr>
          <w:lang w:val="fr-FR"/>
        </w:rPr>
        <w:t>’</w:t>
      </w:r>
      <w:r w:rsidRPr="00656640">
        <w:rPr>
          <w:lang w:val="fr-FR"/>
        </w:rPr>
        <w:t>OMPI en vue de son utilisation en Albanie”, et M.</w:t>
      </w:r>
      <w:r w:rsidR="008F4215" w:rsidRPr="00656640">
        <w:rPr>
          <w:lang w:val="fr-FR"/>
        </w:rPr>
        <w:t> </w:t>
      </w:r>
      <w:proofErr w:type="spellStart"/>
      <w:r w:rsidRPr="00656640">
        <w:rPr>
          <w:lang w:val="fr-FR"/>
        </w:rPr>
        <w:t>Awad</w:t>
      </w:r>
      <w:proofErr w:type="spellEnd"/>
      <w:r w:rsidRPr="00656640">
        <w:rPr>
          <w:lang w:val="fr-FR"/>
        </w:rPr>
        <w:t xml:space="preserve"> a présenté le “Recueil de jurisprudence de l</w:t>
      </w:r>
      <w:r w:rsidR="00D67D2D" w:rsidRPr="00656640">
        <w:rPr>
          <w:lang w:val="fr-FR"/>
        </w:rPr>
        <w:t>’</w:t>
      </w:r>
      <w:r w:rsidRPr="00656640">
        <w:rPr>
          <w:lang w:val="fr-FR"/>
        </w:rPr>
        <w:t>OMPI sur l</w:t>
      </w:r>
      <w:r w:rsidR="00D67D2D" w:rsidRPr="00656640">
        <w:rPr>
          <w:lang w:val="fr-FR"/>
        </w:rPr>
        <w:t>’</w:t>
      </w:r>
      <w:r w:rsidRPr="00656640">
        <w:rPr>
          <w:lang w:val="fr-FR"/>
        </w:rPr>
        <w:t>application des droits de propriété intellectuelle en arabe”.</w:t>
      </w:r>
    </w:p>
    <w:p w:rsidR="00D67D2D" w:rsidRPr="00656640" w:rsidRDefault="008B6CFC" w:rsidP="008B6CFC">
      <w:pPr>
        <w:pStyle w:val="ONUMFS"/>
        <w:rPr>
          <w:lang w:val="fr-FR"/>
        </w:rPr>
      </w:pPr>
      <w:r w:rsidRPr="00656640">
        <w:rPr>
          <w:lang w:val="fr-FR"/>
        </w:rPr>
        <w:t>Le comité a pris note de l</w:t>
      </w:r>
      <w:r w:rsidR="00D67D2D" w:rsidRPr="00656640">
        <w:rPr>
          <w:lang w:val="fr-FR"/>
        </w:rPr>
        <w:t>’</w:t>
      </w:r>
      <w:r w:rsidRPr="00656640">
        <w:rPr>
          <w:lang w:val="fr-FR"/>
        </w:rPr>
        <w:t>exposé du Secrétariat sur les activités récentes de l</w:t>
      </w:r>
      <w:r w:rsidR="00D67D2D" w:rsidRPr="00656640">
        <w:rPr>
          <w:lang w:val="fr-FR"/>
        </w:rPr>
        <w:t>’</w:t>
      </w:r>
      <w:r w:rsidRPr="00656640">
        <w:rPr>
          <w:lang w:val="fr-FR"/>
        </w:rPr>
        <w:t xml:space="preserve">OMPI dans le domaine de la promotion du respect de la propriété intellectuelle, inspirées par le </w:t>
      </w:r>
      <w:r w:rsidR="00E926B9">
        <w:rPr>
          <w:lang w:val="fr-FR"/>
        </w:rPr>
        <w:t>p</w:t>
      </w:r>
      <w:r w:rsidRPr="00656640">
        <w:rPr>
          <w:lang w:val="fr-FR"/>
        </w:rPr>
        <w:t>rogramme et budget 2020</w:t>
      </w:r>
      <w:r w:rsidR="008862E6">
        <w:rPr>
          <w:lang w:val="fr-FR"/>
        </w:rPr>
        <w:noBreakHyphen/>
      </w:r>
      <w:r w:rsidRPr="00656640">
        <w:rPr>
          <w:lang w:val="fr-FR"/>
        </w:rPr>
        <w:t xml:space="preserve">2021, le </w:t>
      </w:r>
      <w:r w:rsidR="00E926B9">
        <w:rPr>
          <w:lang w:val="fr-FR"/>
        </w:rPr>
        <w:t>p</w:t>
      </w:r>
      <w:r w:rsidRPr="00656640">
        <w:rPr>
          <w:lang w:val="fr-FR"/>
        </w:rPr>
        <w:t>rogramme de travail et budget 2022</w:t>
      </w:r>
      <w:r w:rsidR="008862E6">
        <w:rPr>
          <w:lang w:val="fr-FR"/>
        </w:rPr>
        <w:noBreakHyphen/>
      </w:r>
      <w:r w:rsidRPr="00656640">
        <w:rPr>
          <w:lang w:val="fr-FR"/>
        </w:rPr>
        <w:t>2023 et la recommandation n°</w:t>
      </w:r>
      <w:r w:rsidR="008F4215" w:rsidRPr="00656640">
        <w:rPr>
          <w:lang w:val="fr-FR"/>
        </w:rPr>
        <w:t> </w:t>
      </w:r>
      <w:r w:rsidRPr="00656640">
        <w:rPr>
          <w:lang w:val="fr-FR"/>
        </w:rPr>
        <w:t>45 du Plan d</w:t>
      </w:r>
      <w:r w:rsidR="00D67D2D" w:rsidRPr="00656640">
        <w:rPr>
          <w:lang w:val="fr-FR"/>
        </w:rPr>
        <w:t>’</w:t>
      </w:r>
      <w:r w:rsidRPr="00656640">
        <w:rPr>
          <w:lang w:val="fr-FR"/>
        </w:rPr>
        <w:t xml:space="preserve">action </w:t>
      </w:r>
      <w:r w:rsidR="00EE7CFF">
        <w:rPr>
          <w:lang w:val="fr-FR"/>
        </w:rPr>
        <w:t xml:space="preserve">de l’OMPI </w:t>
      </w:r>
      <w:r w:rsidRPr="00656640">
        <w:rPr>
          <w:lang w:val="fr-FR"/>
        </w:rPr>
        <w:t>pour le développement</w:t>
      </w:r>
      <w:r w:rsidRPr="00656640">
        <w:rPr>
          <w:rStyle w:val="FootnoteReference"/>
          <w:szCs w:val="22"/>
          <w:lang w:val="fr-FR"/>
        </w:rPr>
        <w:footnoteReference w:id="6"/>
      </w:r>
      <w:r w:rsidRPr="00656640">
        <w:rPr>
          <w:lang w:val="fr-FR"/>
        </w:rPr>
        <w:t>.</w:t>
      </w:r>
    </w:p>
    <w:p w:rsidR="008B6CFC" w:rsidRPr="00656640" w:rsidRDefault="008B6CFC" w:rsidP="008B6CFC">
      <w:pPr>
        <w:pStyle w:val="ONUMFS"/>
        <w:rPr>
          <w:rFonts w:eastAsia="Times New Roman"/>
          <w:szCs w:val="22"/>
          <w:lang w:val="fr-FR"/>
        </w:rPr>
      </w:pPr>
      <w:r w:rsidRPr="00656640">
        <w:rPr>
          <w:lang w:val="fr-FR"/>
        </w:rPr>
        <w:t>En ce qui concerne les travaux futurs, le comité est convenu de poursuivre l</w:t>
      </w:r>
      <w:r w:rsidR="00D67D2D" w:rsidRPr="00656640">
        <w:rPr>
          <w:lang w:val="fr-FR"/>
        </w:rPr>
        <w:t>’</w:t>
      </w:r>
      <w:r w:rsidRPr="00656640">
        <w:rPr>
          <w:lang w:val="fr-FR"/>
        </w:rPr>
        <w:t>examen, à sa seiz</w:t>
      </w:r>
      <w:r w:rsidR="00D67D2D" w:rsidRPr="00656640">
        <w:rPr>
          <w:lang w:val="fr-FR"/>
        </w:rPr>
        <w:t>ième session</w:t>
      </w:r>
      <w:r w:rsidRPr="00656640">
        <w:rPr>
          <w:lang w:val="fr-FR"/>
        </w:rPr>
        <w:t xml:space="preserve">, du programme de travail en cours mentionné au </w:t>
      </w:r>
      <w:r w:rsidR="00D67D2D" w:rsidRPr="00656640">
        <w:rPr>
          <w:lang w:val="fr-FR"/>
        </w:rPr>
        <w:t>paragraphe 2</w:t>
      </w:r>
      <w:r w:rsidRPr="00656640">
        <w:rPr>
          <w:lang w:val="fr-FR"/>
        </w:rPr>
        <w:t xml:space="preserve"> du présent document.</w:t>
      </w:r>
    </w:p>
    <w:p w:rsidR="008B6CFC" w:rsidRPr="00656640" w:rsidRDefault="008B6CFC" w:rsidP="008B6CFC">
      <w:pPr>
        <w:pStyle w:val="ONUMFS"/>
        <w:ind w:left="5533"/>
        <w:rPr>
          <w:i/>
          <w:lang w:val="fr-FR"/>
        </w:rPr>
      </w:pPr>
      <w:r w:rsidRPr="00656640">
        <w:rPr>
          <w:i/>
          <w:lang w:val="fr-FR"/>
        </w:rPr>
        <w:t>L</w:t>
      </w:r>
      <w:r w:rsidR="00D67D2D" w:rsidRPr="00656640">
        <w:rPr>
          <w:i/>
          <w:lang w:val="fr-FR"/>
        </w:rPr>
        <w:t>’</w:t>
      </w:r>
      <w:r w:rsidRPr="00656640">
        <w:rPr>
          <w:i/>
          <w:lang w:val="fr-FR"/>
        </w:rPr>
        <w:t>Assemblée générale de l</w:t>
      </w:r>
      <w:r w:rsidR="00D67D2D" w:rsidRPr="00656640">
        <w:rPr>
          <w:i/>
          <w:lang w:val="fr-FR"/>
        </w:rPr>
        <w:t>’</w:t>
      </w:r>
      <w:r w:rsidRPr="00656640">
        <w:rPr>
          <w:i/>
          <w:lang w:val="fr-FR"/>
        </w:rPr>
        <w:t>OMPI est invitée à prendre note du “Rapport sur le Comité consultatif sur l</w:t>
      </w:r>
      <w:r w:rsidR="00D67D2D" w:rsidRPr="00656640">
        <w:rPr>
          <w:i/>
          <w:lang w:val="fr-FR"/>
        </w:rPr>
        <w:t>’</w:t>
      </w:r>
      <w:r w:rsidRPr="00656640">
        <w:rPr>
          <w:i/>
          <w:lang w:val="fr-FR"/>
        </w:rPr>
        <w:t>application des droits (ACE)” (document WO/GA/56/12).</w:t>
      </w:r>
    </w:p>
    <w:p w:rsidR="000F5E56" w:rsidRPr="00656640" w:rsidRDefault="008B6CFC" w:rsidP="008B6CFC">
      <w:pPr>
        <w:pStyle w:val="Endofdocument-Annex"/>
        <w:rPr>
          <w:lang w:val="fr-FR"/>
        </w:rPr>
      </w:pPr>
      <w:r w:rsidRPr="00656640">
        <w:rPr>
          <w:lang w:val="fr-FR"/>
        </w:rPr>
        <w:t>[Fin du document]</w:t>
      </w:r>
    </w:p>
    <w:sectPr w:rsidR="000F5E56" w:rsidRPr="00656640" w:rsidSect="008B6CF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CFC" w:rsidRDefault="008B6CFC">
      <w:r>
        <w:separator/>
      </w:r>
    </w:p>
  </w:endnote>
  <w:endnote w:type="continuationSeparator" w:id="0">
    <w:p w:rsidR="008B6CFC" w:rsidRPr="009D30E6" w:rsidRDefault="008B6CFC" w:rsidP="00D45252">
      <w:pPr>
        <w:rPr>
          <w:sz w:val="17"/>
          <w:szCs w:val="17"/>
        </w:rPr>
      </w:pPr>
      <w:r w:rsidRPr="009D30E6">
        <w:rPr>
          <w:sz w:val="17"/>
          <w:szCs w:val="17"/>
        </w:rPr>
        <w:separator/>
      </w:r>
    </w:p>
    <w:p w:rsidR="008B6CFC" w:rsidRPr="009D30E6" w:rsidRDefault="008B6CFC" w:rsidP="00D45252">
      <w:pPr>
        <w:spacing w:after="60"/>
        <w:rPr>
          <w:sz w:val="17"/>
          <w:szCs w:val="17"/>
        </w:rPr>
      </w:pPr>
      <w:r w:rsidRPr="009D30E6">
        <w:rPr>
          <w:sz w:val="17"/>
          <w:szCs w:val="17"/>
        </w:rPr>
        <w:t>[Suite de la note de la page précédente]</w:t>
      </w:r>
    </w:p>
  </w:endnote>
  <w:endnote w:type="continuationNotice" w:id="1">
    <w:p w:rsidR="008B6CFC" w:rsidRPr="009D30E6" w:rsidRDefault="008B6CF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D0" w:rsidRDefault="00732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D0" w:rsidRDefault="00732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D0" w:rsidRDefault="00732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CFC" w:rsidRDefault="008B6CFC">
      <w:r>
        <w:separator/>
      </w:r>
    </w:p>
  </w:footnote>
  <w:footnote w:type="continuationSeparator" w:id="0">
    <w:p w:rsidR="008B6CFC" w:rsidRDefault="008B6CFC" w:rsidP="007461F1">
      <w:r>
        <w:separator/>
      </w:r>
    </w:p>
    <w:p w:rsidR="008B6CFC" w:rsidRPr="009D30E6" w:rsidRDefault="008B6CFC" w:rsidP="007461F1">
      <w:pPr>
        <w:spacing w:after="60"/>
        <w:rPr>
          <w:sz w:val="17"/>
          <w:szCs w:val="17"/>
        </w:rPr>
      </w:pPr>
      <w:r w:rsidRPr="009D30E6">
        <w:rPr>
          <w:sz w:val="17"/>
          <w:szCs w:val="17"/>
        </w:rPr>
        <w:t>[Suite de la note de la page précédente]</w:t>
      </w:r>
    </w:p>
  </w:footnote>
  <w:footnote w:type="continuationNotice" w:id="1">
    <w:p w:rsidR="008B6CFC" w:rsidRPr="009D30E6" w:rsidRDefault="008B6CFC" w:rsidP="007461F1">
      <w:pPr>
        <w:spacing w:before="60"/>
        <w:jc w:val="right"/>
        <w:rPr>
          <w:sz w:val="17"/>
          <w:szCs w:val="17"/>
        </w:rPr>
      </w:pPr>
      <w:r w:rsidRPr="009D30E6">
        <w:rPr>
          <w:sz w:val="17"/>
          <w:szCs w:val="17"/>
        </w:rPr>
        <w:t>[Suite de la note page suivante]</w:t>
      </w:r>
    </w:p>
  </w:footnote>
  <w:footnote w:id="2">
    <w:p w:rsidR="008B6CFC" w:rsidRPr="00A951A2" w:rsidRDefault="008B6CFC" w:rsidP="008B6CFC">
      <w:pPr>
        <w:pStyle w:val="FootnoteText"/>
      </w:pPr>
      <w:r>
        <w:rPr>
          <w:rStyle w:val="FootnoteReference"/>
        </w:rPr>
        <w:footnoteRef/>
      </w:r>
      <w:r>
        <w:tab/>
      </w:r>
      <w:r w:rsidR="00B018CE">
        <w:t>Paragraphe 127 du d</w:t>
      </w:r>
      <w:r>
        <w:t>ocument A/63/</w:t>
      </w:r>
      <w:r w:rsidR="00B018CE">
        <w:t>10</w:t>
      </w:r>
      <w:r>
        <w:t>, disponible à l</w:t>
      </w:r>
      <w:r w:rsidR="00C91F42">
        <w:t>’</w:t>
      </w:r>
      <w:r>
        <w:t xml:space="preserve">adresse </w:t>
      </w:r>
      <w:r w:rsidR="00E926B9">
        <w:t xml:space="preserve">suivante : </w:t>
      </w:r>
      <w:hyperlink r:id="rId1" w:history="1">
        <w:r w:rsidR="00B018CE">
          <w:rPr>
            <w:rStyle w:val="Hyperlink"/>
          </w:rPr>
          <w:t>https://www.wipo.int/about-wipo/fr/assemblies/2022/a-63/doc_details.jsp?doc_id=580211</w:t>
        </w:r>
      </w:hyperlink>
      <w:r>
        <w:t>.</w:t>
      </w:r>
    </w:p>
  </w:footnote>
  <w:footnote w:id="3">
    <w:p w:rsidR="008B6CFC" w:rsidRPr="00E61A97" w:rsidRDefault="008B6CFC" w:rsidP="008B6CFC">
      <w:pPr>
        <w:pStyle w:val="FootnoteText"/>
      </w:pPr>
      <w:r>
        <w:rPr>
          <w:rStyle w:val="FootnoteReference"/>
        </w:rPr>
        <w:footnoteRef/>
      </w:r>
      <w:r>
        <w:t xml:space="preserve"> </w:t>
      </w:r>
      <w:r>
        <w:tab/>
        <w:t xml:space="preserve">Voir le </w:t>
      </w:r>
      <w:r w:rsidR="00C91F42">
        <w:t>paragraphe 1</w:t>
      </w:r>
      <w:r>
        <w:t>7 du Rapport de synthèse de la soixante</w:t>
      </w:r>
      <w:r w:rsidR="00C91F42">
        <w:t>-</w:t>
      </w:r>
      <w:r>
        <w:t>troisième série</w:t>
      </w:r>
      <w:r w:rsidR="00E926B9">
        <w:t xml:space="preserve"> de réunions des assemblées des </w:t>
      </w:r>
      <w:r>
        <w:t>États membres de l</w:t>
      </w:r>
      <w:r w:rsidR="00C91F42">
        <w:t>’</w:t>
      </w:r>
      <w:r>
        <w:t>OMPI (document A/63/9), disponible à l</w:t>
      </w:r>
      <w:r w:rsidR="00C91F42">
        <w:t>’</w:t>
      </w:r>
      <w:r>
        <w:t>adresse</w:t>
      </w:r>
      <w:r w:rsidR="00E926B9">
        <w:t xml:space="preserve"> suivante :</w:t>
      </w:r>
      <w:r>
        <w:t xml:space="preserve"> </w:t>
      </w:r>
      <w:r w:rsidR="00E926B9">
        <w:br/>
      </w:r>
      <w:hyperlink r:id="rId2" w:anchor="tab3" w:history="1">
        <w:r w:rsidR="00EA6872" w:rsidRPr="00E46248">
          <w:rPr>
            <w:rStyle w:val="Hyperlink"/>
          </w:rPr>
          <w:t>https://www.wipo.int/about-wipo/fr/assemblies/2022/a-63/#tab3</w:t>
        </w:r>
      </w:hyperlink>
      <w:r w:rsidR="008862E6">
        <w:t>.</w:t>
      </w:r>
    </w:p>
  </w:footnote>
  <w:footnote w:id="4">
    <w:p w:rsidR="008B6CFC" w:rsidRDefault="008B6CFC" w:rsidP="008B6CFC">
      <w:pPr>
        <w:pStyle w:val="FootnoteText"/>
      </w:pPr>
      <w:r>
        <w:rPr>
          <w:rStyle w:val="FootnoteReference"/>
        </w:rPr>
        <w:footnoteRef/>
      </w:r>
      <w:r>
        <w:t xml:space="preserve"> </w:t>
      </w:r>
      <w:r>
        <w:tab/>
        <w:t>Tous les documents de travail sont disponibles à l</w:t>
      </w:r>
      <w:r w:rsidR="00C91F42">
        <w:t>’</w:t>
      </w:r>
      <w:r>
        <w:t xml:space="preserve">adresse </w:t>
      </w:r>
      <w:r w:rsidR="00E926B9">
        <w:t xml:space="preserve">suivante : </w:t>
      </w:r>
      <w:hyperlink r:id="rId3" w:history="1">
        <w:r w:rsidR="00B018CE">
          <w:rPr>
            <w:rStyle w:val="Hyperlink"/>
          </w:rPr>
          <w:t>https://www.wipo.int/meetings/fr/details.jsp?meeting_id=55207</w:t>
        </w:r>
      </w:hyperlink>
      <w:r>
        <w:t>.</w:t>
      </w:r>
    </w:p>
  </w:footnote>
  <w:footnote w:id="5">
    <w:p w:rsidR="008B6CFC" w:rsidRPr="002D0506" w:rsidRDefault="008B6CFC" w:rsidP="008B6CFC">
      <w:pPr>
        <w:pStyle w:val="FootnoteText"/>
        <w:rPr>
          <w:lang w:val="es-ES"/>
        </w:rPr>
      </w:pPr>
      <w:r>
        <w:rPr>
          <w:rStyle w:val="FootnoteReference"/>
        </w:rPr>
        <w:footnoteRef/>
      </w:r>
      <w:r w:rsidR="008862E6" w:rsidRPr="002D0506">
        <w:rPr>
          <w:lang w:val="es-ES"/>
        </w:rPr>
        <w:t xml:space="preserve"> </w:t>
      </w:r>
      <w:r w:rsidR="008862E6" w:rsidRPr="002D0506">
        <w:rPr>
          <w:lang w:val="es-ES"/>
        </w:rPr>
        <w:tab/>
        <w:t>Documents WIPO/ACE/15/3 à </w:t>
      </w:r>
      <w:r w:rsidRPr="002D0506">
        <w:rPr>
          <w:lang w:val="es-ES"/>
        </w:rPr>
        <w:t>WIPO/ACE/15/11.</w:t>
      </w:r>
    </w:p>
  </w:footnote>
  <w:footnote w:id="6">
    <w:p w:rsidR="008B6CFC" w:rsidRDefault="008B6CFC" w:rsidP="008B6CFC">
      <w:pPr>
        <w:pStyle w:val="FootnoteText"/>
      </w:pPr>
      <w:r>
        <w:rPr>
          <w:rStyle w:val="FootnoteReference"/>
        </w:rPr>
        <w:footnoteRef/>
      </w:r>
      <w:r>
        <w:t xml:space="preserve"> </w:t>
      </w:r>
      <w:r>
        <w:tab/>
        <w:t>Document WIPO/ACE/15/2.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D0" w:rsidRDefault="00732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8B6CFC" w:rsidP="00477D6B">
    <w:pPr>
      <w:jc w:val="right"/>
    </w:pPr>
    <w:bookmarkStart w:id="6" w:name="Code2"/>
    <w:bookmarkEnd w:id="6"/>
    <w:r>
      <w:t>WO/GA/56/12</w:t>
    </w:r>
  </w:p>
  <w:p w:rsidR="004F4E31" w:rsidRDefault="008B6CFC" w:rsidP="008B6CFC">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2D0506">
      <w:rPr>
        <w:noProof/>
      </w:rPr>
      <w:t>4</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D0" w:rsidRDefault="00732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6F5006"/>
    <w:multiLevelType w:val="multilevel"/>
    <w:tmpl w:val="684A6422"/>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FC"/>
    <w:rsid w:val="00011B7D"/>
    <w:rsid w:val="00075432"/>
    <w:rsid w:val="00075480"/>
    <w:rsid w:val="000F5E56"/>
    <w:rsid w:val="001266E0"/>
    <w:rsid w:val="0013109C"/>
    <w:rsid w:val="001362EE"/>
    <w:rsid w:val="001832A6"/>
    <w:rsid w:val="00195C6E"/>
    <w:rsid w:val="001B266A"/>
    <w:rsid w:val="001D3D56"/>
    <w:rsid w:val="001D72BE"/>
    <w:rsid w:val="001F2AE9"/>
    <w:rsid w:val="00240654"/>
    <w:rsid w:val="002634C4"/>
    <w:rsid w:val="002D0506"/>
    <w:rsid w:val="002D4918"/>
    <w:rsid w:val="002E4D1A"/>
    <w:rsid w:val="002F16BC"/>
    <w:rsid w:val="002F1B6F"/>
    <w:rsid w:val="002F4E68"/>
    <w:rsid w:val="00315FCA"/>
    <w:rsid w:val="003845C1"/>
    <w:rsid w:val="003A1BCD"/>
    <w:rsid w:val="004008A2"/>
    <w:rsid w:val="004025DF"/>
    <w:rsid w:val="00423E3E"/>
    <w:rsid w:val="00427AF4"/>
    <w:rsid w:val="00434DA5"/>
    <w:rsid w:val="00436FD0"/>
    <w:rsid w:val="004647DA"/>
    <w:rsid w:val="00477D6B"/>
    <w:rsid w:val="004D6471"/>
    <w:rsid w:val="004F0849"/>
    <w:rsid w:val="004F4E31"/>
    <w:rsid w:val="00525B63"/>
    <w:rsid w:val="00547476"/>
    <w:rsid w:val="00561DB8"/>
    <w:rsid w:val="00567A4C"/>
    <w:rsid w:val="005E6516"/>
    <w:rsid w:val="00605827"/>
    <w:rsid w:val="0064703D"/>
    <w:rsid w:val="00656640"/>
    <w:rsid w:val="00676936"/>
    <w:rsid w:val="006B0DB5"/>
    <w:rsid w:val="006E4243"/>
    <w:rsid w:val="007326D0"/>
    <w:rsid w:val="007461F1"/>
    <w:rsid w:val="007D6961"/>
    <w:rsid w:val="007F07CB"/>
    <w:rsid w:val="00800FBC"/>
    <w:rsid w:val="00810CEF"/>
    <w:rsid w:val="0081208D"/>
    <w:rsid w:val="00842A13"/>
    <w:rsid w:val="008862E6"/>
    <w:rsid w:val="008B2CC1"/>
    <w:rsid w:val="008B6CFC"/>
    <w:rsid w:val="008D402E"/>
    <w:rsid w:val="008E7930"/>
    <w:rsid w:val="008F4215"/>
    <w:rsid w:val="0090731E"/>
    <w:rsid w:val="00966A22"/>
    <w:rsid w:val="00970AA6"/>
    <w:rsid w:val="00974CD6"/>
    <w:rsid w:val="009D30E6"/>
    <w:rsid w:val="009E3F6F"/>
    <w:rsid w:val="009F499F"/>
    <w:rsid w:val="00A055FD"/>
    <w:rsid w:val="00AC0AE4"/>
    <w:rsid w:val="00AD61DB"/>
    <w:rsid w:val="00B018CE"/>
    <w:rsid w:val="00B87BCF"/>
    <w:rsid w:val="00BA62D4"/>
    <w:rsid w:val="00C40E15"/>
    <w:rsid w:val="00C64797"/>
    <w:rsid w:val="00C664C8"/>
    <w:rsid w:val="00C76A79"/>
    <w:rsid w:val="00C91F42"/>
    <w:rsid w:val="00CA15F5"/>
    <w:rsid w:val="00CC61B8"/>
    <w:rsid w:val="00CF0460"/>
    <w:rsid w:val="00D45252"/>
    <w:rsid w:val="00D67D2D"/>
    <w:rsid w:val="00D71B4D"/>
    <w:rsid w:val="00D75C1E"/>
    <w:rsid w:val="00D93D55"/>
    <w:rsid w:val="00DB0349"/>
    <w:rsid w:val="00DD6A16"/>
    <w:rsid w:val="00E0091A"/>
    <w:rsid w:val="00E203AA"/>
    <w:rsid w:val="00E527A5"/>
    <w:rsid w:val="00E76456"/>
    <w:rsid w:val="00E926B9"/>
    <w:rsid w:val="00EA6872"/>
    <w:rsid w:val="00EE71CB"/>
    <w:rsid w:val="00EE7CFF"/>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54B9235-E107-4BD3-B942-A2942D40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B6CFC"/>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B6CFC"/>
    <w:pPr>
      <w:ind w:left="720"/>
      <w:contextualSpacing/>
    </w:pPr>
    <w:rPr>
      <w:lang w:val="fr-FR"/>
    </w:rPr>
  </w:style>
  <w:style w:type="character" w:styleId="FootnoteReference">
    <w:name w:val="footnote reference"/>
    <w:basedOn w:val="DefaultParagraphFont"/>
    <w:semiHidden/>
    <w:unhideWhenUsed/>
    <w:rsid w:val="008B6CFC"/>
    <w:rPr>
      <w:vertAlign w:val="superscript"/>
    </w:rPr>
  </w:style>
  <w:style w:type="character" w:styleId="Hyperlink">
    <w:name w:val="Hyperlink"/>
    <w:basedOn w:val="DefaultParagraphFont"/>
    <w:unhideWhenUsed/>
    <w:rsid w:val="00E926B9"/>
    <w:rPr>
      <w:color w:val="auto"/>
      <w:u w:val="none"/>
    </w:rPr>
  </w:style>
  <w:style w:type="character" w:styleId="FollowedHyperlink">
    <w:name w:val="FollowedHyperlink"/>
    <w:basedOn w:val="DefaultParagraphFont"/>
    <w:semiHidden/>
    <w:unhideWhenUsed/>
    <w:rsid w:val="00B018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etails.jsp?meeting_id=55207" TargetMode="External"/><Relationship Id="rId2" Type="http://schemas.openxmlformats.org/officeDocument/2006/relationships/hyperlink" Target="https://www.wipo.int/about-wipo/fr/assemblies/2022/a-63/" TargetMode="External"/><Relationship Id="rId1" Type="http://schemas.openxmlformats.org/officeDocument/2006/relationships/hyperlink" Target="https://www.wipo.int/about-wipo/fr/assemblies/2022/a-63/doc_details.jsp?doc_id=580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(F)</Template>
  <TotalTime>105</TotalTime>
  <Pages>4</Pages>
  <Words>1844</Words>
  <Characters>10731</Characters>
  <Application>Microsoft Office Word</Application>
  <DocSecurity>0</DocSecurity>
  <Lines>158</Lines>
  <Paragraphs>27</Paragraphs>
  <ScaleCrop>false</ScaleCrop>
  <HeadingPairs>
    <vt:vector size="2" baseType="variant">
      <vt:variant>
        <vt:lpstr>Title</vt:lpstr>
      </vt:variant>
      <vt:variant>
        <vt:i4>1</vt:i4>
      </vt:variant>
    </vt:vector>
  </HeadingPairs>
  <TitlesOfParts>
    <vt:vector size="1" baseType="lpstr">
      <vt:lpstr>WO/GA/56/12</vt:lpstr>
    </vt:vector>
  </TitlesOfParts>
  <Company>WIPO</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WO/GA/56/12</dc:title>
  <dc:subject>Sixty-Fourth Series of Meetings</dc:subject>
  <dc:creator>WIPO</dc:creator>
  <cp:keywords>PUBLIC</cp:keywords>
  <cp:lastModifiedBy>MARIN-CUDRAZ DAVI Nicoletta</cp:lastModifiedBy>
  <cp:revision>17</cp:revision>
  <cp:lastPrinted>2011-05-19T12:37:00Z</cp:lastPrinted>
  <dcterms:created xsi:type="dcterms:W3CDTF">2023-03-16T07:00:00Z</dcterms:created>
  <dcterms:modified xsi:type="dcterms:W3CDTF">2023-03-28T13:35:00Z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cf1fae20-4689-4d65-86bd-b7df29539d2c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