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CCD7B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4F08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WO/GA/56</w:t>
      </w:r>
      <w:r w:rsidR="008D402E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570562">
        <w:rPr>
          <w:rFonts w:ascii="Arial Black" w:hAnsi="Arial Black"/>
          <w:caps/>
          <w:sz w:val="15"/>
          <w:szCs w:val="15"/>
        </w:rPr>
        <w:t>11</w:t>
      </w:r>
    </w:p>
    <w:bookmarkEnd w:id="0"/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9F0415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570562"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9F0415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A46CCA">
        <w:rPr>
          <w:rFonts w:ascii="Arial Black" w:hAnsi="Arial Black"/>
          <w:caps/>
          <w:sz w:val="15"/>
          <w:szCs w:val="15"/>
        </w:rPr>
        <w:t>5 </w:t>
      </w:r>
      <w:r w:rsidR="00DB36B8">
        <w:rPr>
          <w:rFonts w:ascii="Arial Black" w:hAnsi="Arial Black"/>
          <w:caps/>
          <w:sz w:val="15"/>
          <w:szCs w:val="15"/>
        </w:rPr>
        <w:t>mai</w:t>
      </w:r>
      <w:r w:rsidR="00A46CCA">
        <w:rPr>
          <w:rFonts w:ascii="Arial Black" w:hAnsi="Arial Black"/>
          <w:caps/>
          <w:sz w:val="15"/>
          <w:szCs w:val="15"/>
        </w:rPr>
        <w:t> </w:t>
      </w:r>
      <w:r w:rsidR="00570562">
        <w:rPr>
          <w:rFonts w:ascii="Arial Black" w:hAnsi="Arial Black"/>
          <w:caps/>
          <w:sz w:val="15"/>
          <w:szCs w:val="15"/>
        </w:rPr>
        <w:t>2023</w:t>
      </w:r>
    </w:p>
    <w:bookmarkEnd w:id="2"/>
    <w:p w:rsidR="00C40E15" w:rsidRPr="00DB0349" w:rsidRDefault="008D402E" w:rsidP="00DB0349">
      <w:pPr>
        <w:spacing w:after="600"/>
        <w:rPr>
          <w:b/>
          <w:sz w:val="28"/>
          <w:szCs w:val="28"/>
        </w:rPr>
      </w:pPr>
      <w:r w:rsidRPr="008D402E">
        <w:rPr>
          <w:b/>
          <w:sz w:val="28"/>
          <w:szCs w:val="28"/>
        </w:rPr>
        <w:t>Assemblée générale de l</w:t>
      </w:r>
      <w:r w:rsidR="009F0415">
        <w:rPr>
          <w:b/>
          <w:sz w:val="28"/>
          <w:szCs w:val="28"/>
        </w:rPr>
        <w:t>’</w:t>
      </w:r>
      <w:r w:rsidRPr="008D402E">
        <w:rPr>
          <w:b/>
          <w:sz w:val="28"/>
          <w:szCs w:val="28"/>
        </w:rPr>
        <w:t>OMPI</w:t>
      </w:r>
    </w:p>
    <w:p w:rsidR="008B2CC1" w:rsidRPr="003845C1" w:rsidRDefault="001D72BE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Cinquante</w:t>
      </w:r>
      <w:r w:rsidR="004E1442">
        <w:rPr>
          <w:b/>
          <w:sz w:val="24"/>
          <w:szCs w:val="24"/>
        </w:rPr>
        <w:noBreakHyphen/>
      </w:r>
      <w:r w:rsidR="004F0849">
        <w:rPr>
          <w:b/>
          <w:sz w:val="24"/>
          <w:szCs w:val="24"/>
        </w:rPr>
        <w:t>six</w:t>
      </w:r>
      <w:r w:rsidR="009F0415">
        <w:rPr>
          <w:b/>
          <w:sz w:val="24"/>
          <w:szCs w:val="24"/>
        </w:rPr>
        <w:t>ième session</w:t>
      </w:r>
      <w:r>
        <w:rPr>
          <w:b/>
          <w:sz w:val="24"/>
          <w:szCs w:val="24"/>
        </w:rPr>
        <w:t xml:space="preserve"> (</w:t>
      </w:r>
      <w:r w:rsidR="004F0849">
        <w:rPr>
          <w:b/>
          <w:sz w:val="24"/>
          <w:szCs w:val="24"/>
        </w:rPr>
        <w:t>26</w:t>
      </w:r>
      <w:r w:rsidRPr="001D72BE">
        <w:rPr>
          <w:b/>
          <w:sz w:val="24"/>
          <w:szCs w:val="24"/>
          <w:vertAlign w:val="superscript"/>
        </w:rPr>
        <w:t>e</w:t>
      </w:r>
      <w:r w:rsidR="00A7121F">
        <w:rPr>
          <w:b/>
          <w:sz w:val="24"/>
          <w:szCs w:val="24"/>
        </w:rPr>
        <w:t> </w:t>
      </w:r>
      <w:r w:rsidR="008D402E" w:rsidRPr="008D402E">
        <w:rPr>
          <w:b/>
          <w:sz w:val="24"/>
          <w:szCs w:val="24"/>
        </w:rPr>
        <w:t>session ordinaire)</w:t>
      </w:r>
    </w:p>
    <w:p w:rsidR="008B2CC1" w:rsidRPr="003845C1" w:rsidRDefault="008D402E" w:rsidP="00DB0349">
      <w:pPr>
        <w:spacing w:after="720"/>
        <w:rPr>
          <w:b/>
          <w:sz w:val="24"/>
          <w:szCs w:val="24"/>
        </w:rPr>
      </w:pPr>
      <w:r w:rsidRPr="008D402E">
        <w:rPr>
          <w:b/>
          <w:sz w:val="24"/>
          <w:szCs w:val="24"/>
        </w:rPr>
        <w:t xml:space="preserve">Genève, </w:t>
      </w:r>
      <w:r w:rsidR="004F0849">
        <w:rPr>
          <w:b/>
          <w:sz w:val="24"/>
          <w:szCs w:val="24"/>
        </w:rPr>
        <w:t>6</w:t>
      </w:r>
      <w:r w:rsidR="00286D36">
        <w:rPr>
          <w:b/>
          <w:sz w:val="24"/>
          <w:szCs w:val="24"/>
        </w:rPr>
        <w:t> </w:t>
      </w:r>
      <w:r w:rsidRPr="008D402E">
        <w:rPr>
          <w:b/>
          <w:sz w:val="24"/>
          <w:szCs w:val="24"/>
        </w:rPr>
        <w:t>–</w:t>
      </w:r>
      <w:r w:rsidR="00286D36">
        <w:rPr>
          <w:b/>
          <w:sz w:val="24"/>
          <w:szCs w:val="24"/>
        </w:rPr>
        <w:t> </w:t>
      </w:r>
      <w:r w:rsidR="004F0849">
        <w:rPr>
          <w:b/>
          <w:sz w:val="24"/>
          <w:szCs w:val="24"/>
        </w:rPr>
        <w:t>1</w:t>
      </w:r>
      <w:r w:rsidR="00D773D0">
        <w:rPr>
          <w:b/>
          <w:sz w:val="24"/>
          <w:szCs w:val="24"/>
        </w:rPr>
        <w:t>4 juillet 20</w:t>
      </w:r>
      <w:r w:rsidR="004F0849">
        <w:rPr>
          <w:b/>
          <w:sz w:val="24"/>
          <w:szCs w:val="24"/>
        </w:rPr>
        <w:t>23</w:t>
      </w:r>
    </w:p>
    <w:p w:rsidR="008B2CC1" w:rsidRPr="00842A13" w:rsidRDefault="00570562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Rapport sur le Comité des normes de l</w:t>
      </w:r>
      <w:r w:rsidR="009F0415">
        <w:rPr>
          <w:caps/>
          <w:sz w:val="24"/>
        </w:rPr>
        <w:t>’</w:t>
      </w:r>
      <w:r>
        <w:rPr>
          <w:caps/>
          <w:sz w:val="24"/>
        </w:rPr>
        <w:t>OMPI</w:t>
      </w:r>
      <w:r w:rsidR="00286D36">
        <w:rPr>
          <w:caps/>
          <w:sz w:val="24"/>
        </w:rPr>
        <w:t> </w:t>
      </w:r>
      <w:r>
        <w:rPr>
          <w:caps/>
          <w:sz w:val="24"/>
        </w:rPr>
        <w:t>(CWS)</w:t>
      </w:r>
    </w:p>
    <w:p w:rsidR="00525B63" w:rsidRPr="00842A13" w:rsidRDefault="00570562" w:rsidP="00DB0349">
      <w:pPr>
        <w:spacing w:after="960"/>
      </w:pPr>
      <w:bookmarkStart w:id="4" w:name="Prepared"/>
      <w:bookmarkEnd w:id="3"/>
      <w:r>
        <w:rPr>
          <w:i/>
        </w:rPr>
        <w:t>Document établi par le Secrétariat</w:t>
      </w:r>
    </w:p>
    <w:bookmarkEnd w:id="4"/>
    <w:p w:rsidR="00570562" w:rsidRPr="00484B3E" w:rsidRDefault="00F26116" w:rsidP="00484B3E">
      <w:pPr>
        <w:pStyle w:val="Heading1"/>
      </w:pPr>
      <w:r w:rsidRPr="00484B3E">
        <w:t>Introduction</w:t>
      </w:r>
    </w:p>
    <w:p w:rsidR="00570562" w:rsidRPr="00574645" w:rsidRDefault="00570562" w:rsidP="00F26116">
      <w:pPr>
        <w:pStyle w:val="ONUMFS"/>
      </w:pPr>
      <w:r>
        <w:t>Au cours de la période considérée, le Comité des normes de l</w:t>
      </w:r>
      <w:r w:rsidR="009F0415">
        <w:t>’</w:t>
      </w:r>
      <w:r>
        <w:t>OMPI (ci</w:t>
      </w:r>
      <w:r w:rsidR="004E1442">
        <w:noBreakHyphen/>
      </w:r>
      <w:r>
        <w:t>après dénommé le “comité” ou “CWS”) a tenu sa dix</w:t>
      </w:r>
      <w:r w:rsidR="009F0415">
        <w:t>ième session</w:t>
      </w:r>
      <w:r>
        <w:t xml:space="preserve"> du</w:t>
      </w:r>
      <w:r w:rsidR="00F26116">
        <w:t> </w:t>
      </w:r>
      <w:r>
        <w:t>21</w:t>
      </w:r>
      <w:r w:rsidR="00F26116">
        <w:t> </w:t>
      </w:r>
      <w:r>
        <w:t>au</w:t>
      </w:r>
      <w:r w:rsidR="00F26116">
        <w:t> </w:t>
      </w:r>
      <w:r>
        <w:t>25 </w:t>
      </w:r>
      <w:r w:rsidR="00D773D0">
        <w:t>novembre 20</w:t>
      </w:r>
      <w:r>
        <w:t>22.  La session était présidée par Mme</w:t>
      </w:r>
      <w:r w:rsidR="00292BC2">
        <w:t> </w:t>
      </w:r>
      <w:r>
        <w:t>Åsa</w:t>
      </w:r>
      <w:r w:rsidR="00A7121F">
        <w:t> </w:t>
      </w:r>
      <w:r>
        <w:t>Viken</w:t>
      </w:r>
      <w:r w:rsidR="00F26116">
        <w:t> </w:t>
      </w:r>
      <w:r>
        <w:t>(Suède).</w:t>
      </w:r>
    </w:p>
    <w:p w:rsidR="00570562" w:rsidRDefault="00570562" w:rsidP="00F26116">
      <w:pPr>
        <w:pStyle w:val="ONUMFS"/>
      </w:pPr>
      <w:r>
        <w:t>Durant la session, les délégations ont poursuivi leurs échanges de vues sur l</w:t>
      </w:r>
      <w:r w:rsidR="009F0415">
        <w:t>’</w:t>
      </w:r>
      <w:r>
        <w:t>élaboration et la mise en œuvre de normes de l</w:t>
      </w:r>
      <w:r w:rsidR="009F0415">
        <w:t>’</w:t>
      </w:r>
      <w:r>
        <w:t>OMPI dans la communauté de la propriété intellectuelle et d</w:t>
      </w:r>
      <w:r w:rsidR="009F0415">
        <w:t>’</w:t>
      </w:r>
      <w:r>
        <w:t>autres questions relatives aux données et informations de propriété intellectuelle ainsi que concernant l</w:t>
      </w:r>
      <w:r w:rsidR="009F0415">
        <w:t>’</w:t>
      </w:r>
      <w:r>
        <w:t>adoption de normes de l</w:t>
      </w:r>
      <w:r w:rsidR="009F0415">
        <w:t>’</w:t>
      </w:r>
      <w:r>
        <w:t>O</w:t>
      </w:r>
      <w:r w:rsidR="00B40BB6">
        <w:t xml:space="preserve">MPI.  </w:t>
      </w:r>
      <w:r w:rsidR="00EC1D50">
        <w:t>À sa dix</w:t>
      </w:r>
      <w:r w:rsidR="009F0415">
        <w:t>ième session</w:t>
      </w:r>
      <w:r>
        <w:t xml:space="preserve">, </w:t>
      </w:r>
      <w:r w:rsidR="00EC1D50">
        <w:t xml:space="preserve">le comité a adopté ses </w:t>
      </w:r>
      <w:r>
        <w:t>questions d</w:t>
      </w:r>
      <w:r w:rsidR="009F0415">
        <w:t>’</w:t>
      </w:r>
      <w:r>
        <w:t xml:space="preserve">organisation et </w:t>
      </w:r>
      <w:r w:rsidR="00EC1D50">
        <w:t xml:space="preserve">son </w:t>
      </w:r>
      <w:r>
        <w:t>règlement intérieur particulier.</w:t>
      </w:r>
    </w:p>
    <w:p w:rsidR="00570562" w:rsidRDefault="00A2282C" w:rsidP="00F26116">
      <w:pPr>
        <w:pStyle w:val="ONUMFS"/>
      </w:pPr>
      <w:r>
        <w:t>D</w:t>
      </w:r>
      <w:r w:rsidR="00570562">
        <w:t>es délibérations ont eu lieu sur la base d</w:t>
      </w:r>
      <w:r w:rsidR="009F0415">
        <w:t>’</w:t>
      </w:r>
      <w:r w:rsidR="00570562">
        <w:t>un certain nombre de propositions, documents et exposés présentés par diverses équipes d</w:t>
      </w:r>
      <w:r w:rsidR="009F0415">
        <w:t>’</w:t>
      </w:r>
      <w:r w:rsidR="00570562">
        <w:t xml:space="preserve">experts du CWS, délégations </w:t>
      </w:r>
      <w:r>
        <w:t xml:space="preserve">ainsi que par </w:t>
      </w:r>
      <w:r w:rsidR="00570562">
        <w:t>le Secrétari</w:t>
      </w:r>
      <w:r w:rsidR="00FF0EA0">
        <w:t>at.  Le</w:t>
      </w:r>
      <w:r w:rsidR="00570562">
        <w:t>s échanges de vues et de données d</w:t>
      </w:r>
      <w:r w:rsidR="009F0415">
        <w:t>’</w:t>
      </w:r>
      <w:r w:rsidR="00570562">
        <w:t xml:space="preserve">expérience </w:t>
      </w:r>
      <w:r>
        <w:t xml:space="preserve">concernant ces différents sujets </w:t>
      </w:r>
      <w:r w:rsidR="00570562">
        <w:t>ont contribué à une meilleure compréhension de chacune de ces questio</w:t>
      </w:r>
      <w:r w:rsidR="00FF0EA0">
        <w:t>ns.  To</w:t>
      </w:r>
      <w:r w:rsidR="00570562">
        <w:t>us les documents de base et le rapport adopté de la dix</w:t>
      </w:r>
      <w:r w:rsidR="009F0415">
        <w:t>ième session</w:t>
      </w:r>
      <w:r w:rsidR="00570562">
        <w:t xml:space="preserve"> sont publiés sur le site</w:t>
      </w:r>
      <w:r w:rsidR="00292BC2">
        <w:t> </w:t>
      </w:r>
      <w:r w:rsidR="00570562">
        <w:t>Web de l</w:t>
      </w:r>
      <w:r w:rsidR="009F0415">
        <w:t>’</w:t>
      </w:r>
      <w:r w:rsidR="00570562">
        <w:t>OMPI</w:t>
      </w:r>
      <w:r w:rsidR="00570562">
        <w:rPr>
          <w:rStyle w:val="FootnoteReference"/>
        </w:rPr>
        <w:footnoteReference w:id="2"/>
      </w:r>
      <w:r w:rsidR="00570562">
        <w:t>.</w:t>
      </w:r>
    </w:p>
    <w:p w:rsidR="00570562" w:rsidRDefault="00570562" w:rsidP="00570562">
      <w:pPr>
        <w:rPr>
          <w:bCs/>
          <w:iCs/>
          <w:caps/>
          <w:szCs w:val="28"/>
        </w:rPr>
      </w:pPr>
      <w:r>
        <w:br w:type="page"/>
      </w:r>
    </w:p>
    <w:p w:rsidR="00570562" w:rsidRPr="00F26116" w:rsidRDefault="00F26116" w:rsidP="00484B3E">
      <w:pPr>
        <w:pStyle w:val="Heading1"/>
      </w:pPr>
      <w:r w:rsidRPr="00F26116">
        <w:lastRenderedPageBreak/>
        <w:t>Questions d</w:t>
      </w:r>
      <w:r w:rsidR="009F0415">
        <w:t>’</w:t>
      </w:r>
      <w:r w:rsidRPr="00F26116">
        <w:t>organisation et règlement intérieur particulier</w:t>
      </w:r>
    </w:p>
    <w:p w:rsidR="00570562" w:rsidRDefault="00570562" w:rsidP="00F26116">
      <w:pPr>
        <w:pStyle w:val="ONUMFS"/>
      </w:pPr>
      <w:r>
        <w:t>Le CWS a examiné une proposition portant sur les questions d</w:t>
      </w:r>
      <w:r w:rsidR="009F0415">
        <w:t>’</w:t>
      </w:r>
      <w:r>
        <w:t>organisation et le règlement intérieur particulier présenté par le Secrétariat, qui tenait compte des débats de la première et de la deux</w:t>
      </w:r>
      <w:r w:rsidR="009F0415">
        <w:t>ième session</w:t>
      </w:r>
      <w:r>
        <w:t xml:space="preserve"> du comité et des recommandations du rapport sur l</w:t>
      </w:r>
      <w:r w:rsidR="009F0415">
        <w:t>’</w:t>
      </w:r>
      <w:r>
        <w:t>évaluation des comités permanents de l</w:t>
      </w:r>
      <w:r w:rsidR="009F0415">
        <w:t>’</w:t>
      </w:r>
      <w:r>
        <w:t>OMPI</w:t>
      </w:r>
      <w:r w:rsidRPr="00A97078">
        <w:rPr>
          <w:rStyle w:val="FootnoteReference"/>
          <w:szCs w:val="22"/>
        </w:rPr>
        <w:footnoteReference w:id="3"/>
      </w:r>
      <w:r>
        <w:t xml:space="preserve"> établi par la Division de la supervision interne</w:t>
      </w:r>
      <w:r w:rsidR="00DB36B8">
        <w:t> </w:t>
      </w:r>
      <w:r w:rsidR="00A2282C">
        <w:t>(DSI)</w:t>
      </w:r>
      <w:r>
        <w:t xml:space="preserve"> de l</w:t>
      </w:r>
      <w:r w:rsidR="009F0415">
        <w:t>’</w:t>
      </w:r>
      <w:r>
        <w:t xml:space="preserve">OMPI (voir le </w:t>
      </w:r>
      <w:r w:rsidR="009F0415">
        <w:t>document CW</w:t>
      </w:r>
      <w:r>
        <w:t>S/10/2).  Le comité a adopté ses questions d</w:t>
      </w:r>
      <w:r w:rsidR="009F0415">
        <w:t>’</w:t>
      </w:r>
      <w:r>
        <w:t>organisation et son règlement intérieur particulier intégrant les modifications convenues durant la session, qui comprend également le mandat du CWS se présentant comme suit</w:t>
      </w:r>
      <w:r w:rsidR="009F0415">
        <w:t> :</w:t>
      </w:r>
    </w:p>
    <w:p w:rsidR="00570562" w:rsidRDefault="00570562" w:rsidP="00F26116">
      <w:pPr>
        <w:pStyle w:val="ONUMFS"/>
        <w:numPr>
          <w:ilvl w:val="0"/>
          <w:numId w:val="0"/>
        </w:numPr>
        <w:ind w:left="567"/>
      </w:pPr>
      <w:r>
        <w:t>“9.</w:t>
      </w:r>
      <w:r w:rsidR="00D773D0">
        <w:t xml:space="preserve"> </w:t>
      </w:r>
      <w:r w:rsidR="00292BC2">
        <w:t xml:space="preserve"> </w:t>
      </w:r>
      <w:r w:rsidR="00D773D0">
        <w:t>Le CWS</w:t>
      </w:r>
      <w:r>
        <w:t xml:space="preserve"> aura pour mandat de constituer un cadre pour l</w:t>
      </w:r>
      <w:r w:rsidR="009F0415">
        <w:t>’</w:t>
      </w:r>
      <w:r>
        <w:t>adoption de normes, lignes directrices, recommandations et déclarations de principe nouvelles ou révisées de l</w:t>
      </w:r>
      <w:r w:rsidR="009F0415">
        <w:t>’</w:t>
      </w:r>
      <w:r>
        <w:t>OMPI relatives aux données de propriété intellectuelle, aux questions en rapport avec le système mondial d</w:t>
      </w:r>
      <w:r w:rsidR="009F0415">
        <w:t>’</w:t>
      </w:r>
      <w:r>
        <w:t>information, à la prestation de services d</w:t>
      </w:r>
      <w:r w:rsidR="009F0415">
        <w:t>’</w:t>
      </w:r>
      <w:r>
        <w:t>information sur le système mondial, à la diffusion des données et à la documentation, qui pourront être promulguées ou transmises à l</w:t>
      </w:r>
      <w:r w:rsidR="009F0415">
        <w:t>’</w:t>
      </w:r>
      <w:r>
        <w:t>Assemblée générale de l</w:t>
      </w:r>
      <w:r w:rsidR="009F0415">
        <w:t>’</w:t>
      </w:r>
      <w:r>
        <w:t>OMPI pour examen ou approbation.”</w:t>
      </w:r>
    </w:p>
    <w:p w:rsidR="00570562" w:rsidRDefault="00570562" w:rsidP="00F26116">
      <w:pPr>
        <w:pStyle w:val="ONUMFS"/>
      </w:pPr>
      <w:r>
        <w:t>Les questions d</w:t>
      </w:r>
      <w:r w:rsidR="009F0415">
        <w:t>’</w:t>
      </w:r>
      <w:r>
        <w:t xml:space="preserve">organisation et le règlement intérieur particulier </w:t>
      </w:r>
      <w:r w:rsidR="0087073C">
        <w:t>qui viennent d</w:t>
      </w:r>
      <w:r w:rsidR="009F0415">
        <w:t>’</w:t>
      </w:r>
      <w:r w:rsidR="0087073C">
        <w:t xml:space="preserve">être </w:t>
      </w:r>
      <w:r>
        <w:t>adoptés par le CWS sont disponibles sur le site</w:t>
      </w:r>
      <w:r w:rsidR="00292BC2">
        <w:t> </w:t>
      </w:r>
      <w:r>
        <w:t>Web de l</w:t>
      </w:r>
      <w:r w:rsidR="009F0415">
        <w:t>’</w:t>
      </w:r>
      <w:r>
        <w:t>OMPI à l</w:t>
      </w:r>
      <w:r w:rsidR="009F0415">
        <w:t>’</w:t>
      </w:r>
      <w:r>
        <w:t>adresse suivante</w:t>
      </w:r>
      <w:r w:rsidR="00DB36B8" w:rsidRPr="00DB36B8">
        <w:t> </w:t>
      </w:r>
      <w:r w:rsidR="00DB36B8" w:rsidRPr="00DB36B8">
        <w:rPr>
          <w:rStyle w:val="FootnoteReference"/>
          <w:vertAlign w:val="baseline"/>
        </w:rPr>
        <w:t>:</w:t>
      </w:r>
      <w:r w:rsidR="00DB36B8" w:rsidRPr="00DB36B8">
        <w:t xml:space="preserve"> </w:t>
      </w:r>
      <w:hyperlink r:id="rId9" w:history="1">
        <w:r w:rsidR="00292BC2">
          <w:rPr>
            <w:rStyle w:val="Hyperlink"/>
          </w:rPr>
          <w:t>https:</w:t>
        </w:r>
        <w:r>
          <w:rPr>
            <w:rStyle w:val="Hyperlink"/>
          </w:rPr>
          <w:t>//www.wipo.int/cws/fr/cws</w:t>
        </w:r>
        <w:r w:rsidR="004E1442">
          <w:rPr>
            <w:rStyle w:val="Hyperlink"/>
          </w:rPr>
          <w:noBreakHyphen/>
        </w:r>
        <w:r>
          <w:rPr>
            <w:rStyle w:val="Hyperlink"/>
          </w:rPr>
          <w:t>rules</w:t>
        </w:r>
        <w:r w:rsidR="004E1442">
          <w:rPr>
            <w:rStyle w:val="Hyperlink"/>
          </w:rPr>
          <w:noBreakHyphen/>
        </w:r>
        <w:r>
          <w:rPr>
            <w:rStyle w:val="Hyperlink"/>
          </w:rPr>
          <w:t>procedure.html</w:t>
        </w:r>
      </w:hyperlink>
      <w:r>
        <w:t>.</w:t>
      </w:r>
    </w:p>
    <w:p w:rsidR="00570562" w:rsidRPr="00F26116" w:rsidRDefault="00570562" w:rsidP="00484B3E">
      <w:pPr>
        <w:pStyle w:val="Heading1"/>
      </w:pPr>
      <w:r w:rsidRPr="00F26116">
        <w:t>Programme de travail et liste des tâches</w:t>
      </w:r>
    </w:p>
    <w:p w:rsidR="00D773D0" w:rsidRDefault="00570562" w:rsidP="00F26116">
      <w:pPr>
        <w:pStyle w:val="ONUMFS"/>
      </w:pPr>
      <w:r>
        <w:t>Le comité a pris note que le rapport sur l</w:t>
      </w:r>
      <w:r w:rsidR="009F0415">
        <w:t>’</w:t>
      </w:r>
      <w:r>
        <w:t>évaluation des comités permanents mentionnait le volume de travail généré par les équipes d</w:t>
      </w:r>
      <w:r w:rsidR="009F0415">
        <w:t>’</w:t>
      </w:r>
      <w:r>
        <w:t>experts du CWS, qui entraîne des pressions à la fois sur les États membres participants et sur l</w:t>
      </w:r>
      <w:r w:rsidR="009F0415">
        <w:t>’</w:t>
      </w:r>
      <w:r>
        <w:t>équipe d</w:t>
      </w:r>
      <w:r w:rsidR="009F0415">
        <w:t>’</w:t>
      </w:r>
      <w:r>
        <w:t>appui du Secrétari</w:t>
      </w:r>
      <w:r w:rsidR="00FF0EA0">
        <w:t>at.  Le</w:t>
      </w:r>
      <w:r>
        <w:t xml:space="preserve"> rapport indique également que le CWS doit mener un examen annuel du volume de travail de ses équipes d</w:t>
      </w:r>
      <w:r w:rsidR="009F0415">
        <w:t>’</w:t>
      </w:r>
      <w:r>
        <w:t>experts afin de déterminer les priorités pour l</w:t>
      </w:r>
      <w:r w:rsidR="009F0415">
        <w:t>’</w:t>
      </w:r>
      <w:r>
        <w:t>année suivante, en accord avec les États membres, et encourager activement une plus large participation des États membres à ses équipes d</w:t>
      </w:r>
      <w:r w:rsidR="009F0415">
        <w:t>’</w:t>
      </w:r>
      <w:r>
        <w:t>experts.</w:t>
      </w:r>
    </w:p>
    <w:p w:rsidR="00570562" w:rsidRDefault="00570562" w:rsidP="00F26116">
      <w:pPr>
        <w:pStyle w:val="ONUMFS"/>
      </w:pPr>
      <w:r>
        <w:t xml:space="preserve">Le comité a examiné son programme de travail qui comprend la liste de ses tâches et a étudié la suggestion concernant la détermination des priorités que le Secrétariat a présentée dans le </w:t>
      </w:r>
      <w:r w:rsidR="009F0415">
        <w:t>document CW</w:t>
      </w:r>
      <w:r>
        <w:t>S/10/3.  À sa dix</w:t>
      </w:r>
      <w:r w:rsidR="009F0415">
        <w:t>ième session</w:t>
      </w:r>
      <w:r>
        <w:t>, le CWS est convenu de créer une nouvelle tâche, la tâche n° 65 et a révisé deux</w:t>
      </w:r>
      <w:r w:rsidR="00292BC2">
        <w:t> </w:t>
      </w:r>
      <w:r>
        <w:t>tâches</w:t>
      </w:r>
      <w:r w:rsidR="009F0415">
        <w:t> :</w:t>
      </w:r>
      <w:r>
        <w:t xml:space="preserve"> les tâches n</w:t>
      </w:r>
      <w:r>
        <w:rPr>
          <w:vertAlign w:val="superscript"/>
        </w:rPr>
        <w:t>os</w:t>
      </w:r>
      <w:r>
        <w:t> 47 et</w:t>
      </w:r>
      <w:r w:rsidR="00F26116">
        <w:t> </w:t>
      </w:r>
      <w:r>
        <w:t>64.  Le comité a pris note que son programme de travail comprenait 24 tâches et que 16 équipes d</w:t>
      </w:r>
      <w:r w:rsidR="009F0415">
        <w:t>’</w:t>
      </w:r>
      <w:r>
        <w:t>experts étaient actuellement en pla</w:t>
      </w:r>
      <w:r w:rsidR="00FF0EA0">
        <w:t>ce.  La</w:t>
      </w:r>
      <w:r>
        <w:t xml:space="preserve"> liste finale des tâches figure en annexe IV du rapport de la réunion (voir le </w:t>
      </w:r>
      <w:r w:rsidR="009F0415">
        <w:t>document CW</w:t>
      </w:r>
      <w:r>
        <w:t>S/10/22).</w:t>
      </w:r>
    </w:p>
    <w:p w:rsidR="00D773D0" w:rsidRDefault="00570562" w:rsidP="00F26116">
      <w:pPr>
        <w:pStyle w:val="ONUMFS"/>
      </w:pPr>
      <w:r>
        <w:t>Afin de déterminer les préférences des offices de propriété intellectuelle concernant la hiérarchisation des tâches, le CWS a prié le Secrétariat d</w:t>
      </w:r>
      <w:r w:rsidR="009F0415">
        <w:t>’</w:t>
      </w:r>
      <w:r>
        <w:t>établir et de présenter un questionnaire d</w:t>
      </w:r>
      <w:r w:rsidR="009F0415">
        <w:t>’</w:t>
      </w:r>
      <w:r>
        <w:t>enquête pour examen à sa onz</w:t>
      </w:r>
      <w:r w:rsidR="009F0415">
        <w:t>ième sessi</w:t>
      </w:r>
      <w:r w:rsidR="00FF0EA0">
        <w:t>on.  Le</w:t>
      </w:r>
      <w:r>
        <w:t xml:space="preserve"> comité est également convenu que des réunions trimestrielles de ses équipes d</w:t>
      </w:r>
      <w:r w:rsidR="009F0415">
        <w:t>’</w:t>
      </w:r>
      <w:r>
        <w:t>experts seraient organisées afin d</w:t>
      </w:r>
      <w:r w:rsidR="009F0415">
        <w:t>’</w:t>
      </w:r>
      <w:r>
        <w:t>examiner les progrès accomplis dans la réalisation des objectifs des tâches assigné</w:t>
      </w:r>
      <w:r w:rsidR="00FF0EA0">
        <w:t>es.  La</w:t>
      </w:r>
      <w:r>
        <w:t xml:space="preserve"> première session de la réunion d</w:t>
      </w:r>
      <w:r w:rsidR="009F0415">
        <w:t>’</w:t>
      </w:r>
      <w:r>
        <w:t>évaluation trimestrielle s</w:t>
      </w:r>
      <w:r w:rsidR="009F0415">
        <w:t>’</w:t>
      </w:r>
      <w:r>
        <w:t>est tenue en mars 2023 et 13 équipes d</w:t>
      </w:r>
      <w:r w:rsidR="009F0415">
        <w:t>’</w:t>
      </w:r>
      <w:r>
        <w:t>experts du CWS en activité ont rendu compte de leurs progrès concernant les tâches du CWS.</w:t>
      </w:r>
    </w:p>
    <w:p w:rsidR="00570562" w:rsidRPr="004738C6" w:rsidRDefault="00570562" w:rsidP="00484B3E">
      <w:pPr>
        <w:pStyle w:val="Heading1"/>
      </w:pPr>
      <w:r>
        <w:t>Élaboration de normes de l</w:t>
      </w:r>
      <w:r w:rsidR="009F0415">
        <w:t>’</w:t>
      </w:r>
      <w:r>
        <w:t>OMPI</w:t>
      </w:r>
    </w:p>
    <w:p w:rsidR="00570562" w:rsidRDefault="00570562" w:rsidP="00F26116">
      <w:pPr>
        <w:pStyle w:val="ONUMFS"/>
      </w:pPr>
      <w:r>
        <w:t>Le CWS a examiné des propositions d</w:t>
      </w:r>
      <w:r w:rsidR="009F0415">
        <w:t>’</w:t>
      </w:r>
      <w:r>
        <w:t>établissement d</w:t>
      </w:r>
      <w:r w:rsidR="009F0415">
        <w:t>’</w:t>
      </w:r>
      <w:r>
        <w:t>une nouvelle norme de l</w:t>
      </w:r>
      <w:r w:rsidR="009F0415">
        <w:t>’</w:t>
      </w:r>
      <w:r>
        <w:t>OMPI ou de révision de normes existantes pour répondre aux nouvelles demandes des offices de propriété intellectuelle, des utilisateurs et d</w:t>
      </w:r>
      <w:r w:rsidR="009F0415">
        <w:t>’</w:t>
      </w:r>
      <w:r>
        <w:t>autres parties prenant</w:t>
      </w:r>
      <w:r w:rsidR="00FF0EA0">
        <w:t>es.  Bi</w:t>
      </w:r>
      <w:r>
        <w:t xml:space="preserve">en que travaillant selon </w:t>
      </w:r>
      <w:r>
        <w:lastRenderedPageBreak/>
        <w:t>un format hybride pour la troisième</w:t>
      </w:r>
      <w:r w:rsidR="00F26116">
        <w:t> </w:t>
      </w:r>
      <w:r>
        <w:t>année consécutive, le comité a adopté une nouvelle norme de l</w:t>
      </w:r>
      <w:r w:rsidR="009F0415">
        <w:t>’</w:t>
      </w:r>
      <w:r>
        <w:t>OMPI et approuvé les révisions de quatre normes existantes.</w:t>
      </w:r>
    </w:p>
    <w:p w:rsidR="00570562" w:rsidRPr="00F26116" w:rsidRDefault="00570562" w:rsidP="00F26116">
      <w:pPr>
        <w:pStyle w:val="Heading2"/>
      </w:pPr>
      <w:r w:rsidRPr="00F26116">
        <w:t>Nouvelles normes de l</w:t>
      </w:r>
      <w:r w:rsidR="009F0415">
        <w:t>’</w:t>
      </w:r>
      <w:r w:rsidRPr="00F26116">
        <w:t>OMPI adoptées</w:t>
      </w:r>
    </w:p>
    <w:p w:rsidR="00B40BB6" w:rsidRDefault="00570562" w:rsidP="00F26116">
      <w:pPr>
        <w:pStyle w:val="ONUMFS"/>
        <w:rPr>
          <w:bCs/>
        </w:rPr>
      </w:pPr>
      <w:r>
        <w:t>Le comité a adopté une nouvelle norme</w:t>
      </w:r>
      <w:r w:rsidR="00292BC2">
        <w:t> </w:t>
      </w:r>
      <w:r>
        <w:t>ST.97 de l</w:t>
      </w:r>
      <w:r w:rsidR="009F0415">
        <w:t>’</w:t>
      </w:r>
      <w:r>
        <w:t>OMPI qui fournit des recommandations concernant la conception, la création et la mise à jour de ressources JavaScript Object Notation</w:t>
      </w:r>
      <w:r w:rsidR="00F26116">
        <w:t> </w:t>
      </w:r>
      <w:r>
        <w:t>(JSON) qui seront utilisées pour le dépôt, le traitement, l</w:t>
      </w:r>
      <w:r w:rsidR="009F0415">
        <w:t>’</w:t>
      </w:r>
      <w:r>
        <w:t>échange ou la publication de tout type de données de propriété intellectuel</w:t>
      </w:r>
      <w:r w:rsidR="00FF0EA0">
        <w:t>le.  La</w:t>
      </w:r>
      <w:r>
        <w:t xml:space="preserve"> norme ST.97 de l</w:t>
      </w:r>
      <w:r w:rsidR="009F0415">
        <w:t>’</w:t>
      </w:r>
      <w:r>
        <w:t>OMPI peut être consultée librement par le public sur le site</w:t>
      </w:r>
      <w:r w:rsidR="00292BC2">
        <w:t> </w:t>
      </w:r>
      <w:r>
        <w:t>Web de l</w:t>
      </w:r>
      <w:r w:rsidR="009F0415">
        <w:t>’</w:t>
      </w:r>
      <w:r>
        <w:t>OMPI à l</w:t>
      </w:r>
      <w:r w:rsidR="009F0415">
        <w:t>’</w:t>
      </w:r>
      <w:r>
        <w:t>adresse suivante</w:t>
      </w:r>
      <w:r w:rsidR="009F0415">
        <w:t> :</w:t>
      </w:r>
      <w:r w:rsidR="00484B3E">
        <w:t xml:space="preserve"> </w:t>
      </w:r>
      <w:hyperlink r:id="rId10" w:history="1">
        <w:r w:rsidR="00A2282C">
          <w:rPr>
            <w:rStyle w:val="Hyperlink"/>
          </w:rPr>
          <w:t>https://www.wipo.int/standards/fr/part_03_standards.html</w:t>
        </w:r>
      </w:hyperlink>
      <w:r w:rsidR="00A2282C" w:rsidRPr="00EA4114">
        <w:t>.</w:t>
      </w:r>
      <w:r w:rsidR="00484B3E">
        <w:t>.</w:t>
      </w:r>
    </w:p>
    <w:p w:rsidR="00570562" w:rsidRDefault="00570562" w:rsidP="00484B3E">
      <w:pPr>
        <w:pStyle w:val="Heading2"/>
      </w:pPr>
      <w:r>
        <w:t>Normes révisées de l</w:t>
      </w:r>
      <w:r w:rsidR="009F0415">
        <w:t>’</w:t>
      </w:r>
      <w:r>
        <w:t>OMPI</w:t>
      </w:r>
    </w:p>
    <w:p w:rsidR="00570562" w:rsidRPr="005849B7" w:rsidRDefault="00570562" w:rsidP="00F26116">
      <w:pPr>
        <w:pStyle w:val="ONUMFS"/>
      </w:pPr>
      <w:r>
        <w:t>Les révisions des trois normes suivantes de l</w:t>
      </w:r>
      <w:r w:rsidR="009F0415">
        <w:t>’</w:t>
      </w:r>
      <w:r>
        <w:t>OMPI ont été approuvées</w:t>
      </w:r>
      <w:r w:rsidR="009F0415">
        <w:t> :</w:t>
      </w:r>
    </w:p>
    <w:p w:rsidR="00570562" w:rsidRDefault="00570562" w:rsidP="00484B3E">
      <w:pPr>
        <w:pStyle w:val="ONUMFS"/>
        <w:numPr>
          <w:ilvl w:val="0"/>
          <w:numId w:val="10"/>
        </w:numPr>
        <w:ind w:left="1134" w:hanging="567"/>
      </w:pPr>
      <w:r>
        <w:t>la norme ST.3 de l</w:t>
      </w:r>
      <w:r w:rsidR="009F0415">
        <w:t>’</w:t>
      </w:r>
      <w:r>
        <w:t>OMPI (codes à deux</w:t>
      </w:r>
      <w:r w:rsidR="00292BC2">
        <w:t> </w:t>
      </w:r>
      <w:r>
        <w:t>lettres pour la représentation des États, autres entités et organisations intergouvernementales) révisée par l</w:t>
      </w:r>
      <w:r w:rsidR="009F0415">
        <w:t>’</w:t>
      </w:r>
      <w:r>
        <w:t>ajout de deux</w:t>
      </w:r>
      <w:r w:rsidR="00292BC2">
        <w:t> </w:t>
      </w:r>
      <w:r>
        <w:t>nouveaux codes</w:t>
      </w:r>
      <w:r w:rsidR="009F0415">
        <w:t> :</w:t>
      </w:r>
      <w:r>
        <w:t xml:space="preserve"> “MH” pour les Îles Marshall et “NU” pour Nioué;</w:t>
      </w:r>
    </w:p>
    <w:p w:rsidR="00570562" w:rsidRDefault="00570562" w:rsidP="00484B3E">
      <w:pPr>
        <w:pStyle w:val="ONUMFS"/>
        <w:numPr>
          <w:ilvl w:val="0"/>
          <w:numId w:val="10"/>
        </w:numPr>
        <w:ind w:left="1134" w:hanging="567"/>
      </w:pPr>
      <w:r>
        <w:t>la norme ST.26 (présentation des listages des séquences de nucléotides et d</w:t>
      </w:r>
      <w:r w:rsidR="009F0415">
        <w:t>’</w:t>
      </w:r>
      <w:r w:rsidR="00484B3E">
        <w:t>acides aminés en langage </w:t>
      </w:r>
      <w:r>
        <w:t>XML)</w:t>
      </w:r>
      <w:r w:rsidR="009F0415">
        <w:t> :</w:t>
      </w:r>
      <w:r>
        <w:t xml:space="preserve"> nouvelle version 1.6 approuvée qui comprend essentiellement des modifications d</w:t>
      </w:r>
      <w:r w:rsidR="009F0415">
        <w:t>’</w:t>
      </w:r>
      <w:r>
        <w:t>ordre rédactionnel visant à améliorer la clarté ainsi que des exemples supplémentaires et qui entrera en vigueur le</w:t>
      </w:r>
      <w:r w:rsidR="00484B3E">
        <w:t> </w:t>
      </w:r>
      <w:r w:rsidR="00D773D0">
        <w:t>1</w:t>
      </w:r>
      <w:r w:rsidR="00D773D0" w:rsidRPr="00D773D0">
        <w:rPr>
          <w:vertAlign w:val="superscript"/>
        </w:rPr>
        <w:t>er</w:t>
      </w:r>
      <w:r w:rsidR="00D773D0">
        <w:t> </w:t>
      </w:r>
      <w:r>
        <w:t>juillet 2023;  et</w:t>
      </w:r>
    </w:p>
    <w:p w:rsidR="00570562" w:rsidRDefault="00570562" w:rsidP="00484B3E">
      <w:pPr>
        <w:pStyle w:val="ONUMFS"/>
        <w:numPr>
          <w:ilvl w:val="0"/>
          <w:numId w:val="10"/>
        </w:numPr>
        <w:ind w:left="1134" w:hanging="567"/>
      </w:pPr>
      <w:r>
        <w:t>la norme ST.87 de l</w:t>
      </w:r>
      <w:r w:rsidR="009F0415">
        <w:t>’</w:t>
      </w:r>
      <w:r>
        <w:t>OMPI (échange de données sur la situation juridique des dessins et modèles industriels).</w:t>
      </w:r>
    </w:p>
    <w:p w:rsidR="00570562" w:rsidRDefault="00570562" w:rsidP="00F26116">
      <w:pPr>
        <w:pStyle w:val="ONUMFS"/>
      </w:pPr>
      <w:r>
        <w:t>Le CWS a pris note que la version 6.0 de la norme ST.96 de l</w:t>
      </w:r>
      <w:r w:rsidR="009F0415">
        <w:t>’</w:t>
      </w:r>
      <w:r>
        <w:t xml:space="preserve">OMPI </w:t>
      </w:r>
      <w:r w:rsidR="0087073C">
        <w:t>(utilisation des schémas </w:t>
      </w:r>
      <w:r w:rsidR="00EC1D50">
        <w:t xml:space="preserve">XML) </w:t>
      </w:r>
      <w:r>
        <w:t>a été approuvée par l</w:t>
      </w:r>
      <w:r w:rsidR="009F0415">
        <w:t>’</w:t>
      </w:r>
      <w:r>
        <w:t>équipe d</w:t>
      </w:r>
      <w:r w:rsidR="009F0415">
        <w:t>’</w:t>
      </w:r>
      <w:r>
        <w:t>experts chargée de la norme XML4IP et publiée en octobre 2022.  Conformément aux dispositions spéciales du CWS, l</w:t>
      </w:r>
      <w:r w:rsidR="009F0415">
        <w:t>’</w:t>
      </w:r>
      <w:r>
        <w:t>Équipe d</w:t>
      </w:r>
      <w:r w:rsidR="009F0415">
        <w:t>’</w:t>
      </w:r>
      <w:r>
        <w:t>experts chargée de la norme XML4IP est provisoirement autorisée à adopter les révisions de la norme ST.96 aux fins d</w:t>
      </w:r>
      <w:r w:rsidR="009F0415">
        <w:t>’</w:t>
      </w:r>
      <w:r>
        <w:t>accélérer le process</w:t>
      </w:r>
      <w:r w:rsidR="00FF0EA0">
        <w:t>us.  Ce</w:t>
      </w:r>
      <w:r>
        <w:t>tte version comporte notamment des outils améliorés pour la validation et le rapprochement des schémas conformes à la norme ST.96 et l</w:t>
      </w:r>
      <w:r w:rsidR="009F0415">
        <w:t>’</w:t>
      </w:r>
      <w:r>
        <w:t>inclusion de schémas destinés à couvrir les données relatives à la composition des alliages.</w:t>
      </w:r>
    </w:p>
    <w:p w:rsidR="00570562" w:rsidRDefault="00570562" w:rsidP="00484B3E">
      <w:pPr>
        <w:pStyle w:val="Heading2"/>
      </w:pPr>
      <w:r>
        <w:t>Projet d</w:t>
      </w:r>
      <w:r w:rsidR="009F0415">
        <w:t>’</w:t>
      </w:r>
      <w:r>
        <w:t>identifiant mondial et base de données internationale en vue de la normalisation des noms des déposants</w:t>
      </w:r>
    </w:p>
    <w:p w:rsidR="00D773D0" w:rsidRDefault="00570562" w:rsidP="00F26116">
      <w:pPr>
        <w:pStyle w:val="ONUMFS"/>
      </w:pPr>
      <w:r>
        <w:t>Plusieurs délégations ont fait part de leurs activités en ce qui concerne l</w:t>
      </w:r>
      <w:r w:rsidR="009F0415">
        <w:t>’</w:t>
      </w:r>
      <w:r>
        <w:t>utilisation des technologies de la chaîne de blo</w:t>
      </w:r>
      <w:r w:rsidR="00FF0EA0">
        <w:t>cs.  Le</w:t>
      </w:r>
      <w:r>
        <w:t> CWS a indiqué que le Bureau international avait récemment lancé un projet pilote sur la chaîne de blocs aux fins de la mise en place d</w:t>
      </w:r>
      <w:r w:rsidR="009F0415">
        <w:t>’</w:t>
      </w:r>
      <w:r>
        <w:t>un identifiant mondial.</w:t>
      </w:r>
    </w:p>
    <w:p w:rsidR="00D773D0" w:rsidRDefault="00570562" w:rsidP="00F26116">
      <w:pPr>
        <w:pStyle w:val="ONUMFS"/>
      </w:pPr>
      <w:r>
        <w:t>Le comité a examiné une proposition de création d</w:t>
      </w:r>
      <w:r w:rsidR="009F0415">
        <w:t>’</w:t>
      </w:r>
      <w:r>
        <w:t>une base de données internationale en vue de la normalisation des noms des déposants qui a été présentée par la délégation de l</w:t>
      </w:r>
      <w:r w:rsidR="009F0415">
        <w:t>’Arabie saoudite</w:t>
      </w:r>
      <w:r>
        <w:t xml:space="preserve"> (voir le </w:t>
      </w:r>
      <w:r w:rsidR="009F0415">
        <w:t>document CW</w:t>
      </w:r>
      <w:r>
        <w:t xml:space="preserve">S/10/10).  Plusieurs délégations ont exprimé leur intérêt </w:t>
      </w:r>
      <w:r w:rsidR="00EC1D50">
        <w:t xml:space="preserve">pour la proposition </w:t>
      </w:r>
      <w:r>
        <w:t>et ont souligné les éventuels chevauchements avec d</w:t>
      </w:r>
      <w:r w:rsidR="009F0415">
        <w:t>’</w:t>
      </w:r>
      <w:r>
        <w:t>autres tâches existantes du CWS, notamment la normalisation des noms et les cas d</w:t>
      </w:r>
      <w:r w:rsidR="009F0415">
        <w:t>’</w:t>
      </w:r>
      <w:r>
        <w:t>utilisation de la chaîne de blocs, ainsi que les travaux actuellement menés sur d</w:t>
      </w:r>
      <w:r w:rsidR="009F0415">
        <w:t>’</w:t>
      </w:r>
      <w:r>
        <w:t>autres plateformes telles que ceux des cinq offices de propriété intellectuelle (dits</w:t>
      </w:r>
      <w:r w:rsidR="00484B3E">
        <w:t> </w:t>
      </w:r>
      <w:r>
        <w:t>IP5).  Le comité a noté que la proposition mentionnait non seulement des défis techniques, mais aussi des problèmes d</w:t>
      </w:r>
      <w:r w:rsidR="009F0415">
        <w:t>’</w:t>
      </w:r>
      <w:r>
        <w:t>ordre juridique et politique, outre les intérêts et préoccupations des parties prenant</w:t>
      </w:r>
      <w:r w:rsidR="00FF0EA0">
        <w:t>es.  Co</w:t>
      </w:r>
      <w:r>
        <w:t>mpte tenu de ces divers défis, plusieurs délégations ont proposé qu</w:t>
      </w:r>
      <w:r w:rsidR="009F0415">
        <w:t>’</w:t>
      </w:r>
      <w:r>
        <w:t>une étude de faisabilité soit effectuée afin d</w:t>
      </w:r>
      <w:r w:rsidR="009F0415">
        <w:t>’</w:t>
      </w:r>
      <w:r>
        <w:t xml:space="preserve">obtenir </w:t>
      </w:r>
      <w:r>
        <w:lastRenderedPageBreak/>
        <w:t>davantage d</w:t>
      </w:r>
      <w:r w:rsidR="009F0415">
        <w:t>’</w:t>
      </w:r>
      <w:r>
        <w:t>informations avant de décider de donner suite à la proposition de création d</w:t>
      </w:r>
      <w:r w:rsidR="009F0415">
        <w:t>’</w:t>
      </w:r>
      <w:r>
        <w:t>une base de données internationale.</w:t>
      </w:r>
    </w:p>
    <w:p w:rsidR="00570562" w:rsidRPr="002654DD" w:rsidRDefault="00570562" w:rsidP="00484B3E">
      <w:pPr>
        <w:pStyle w:val="ONUMFS"/>
      </w:pPr>
      <w:r>
        <w:t>Le Bureau international a suggéré d</w:t>
      </w:r>
      <w:r w:rsidR="009F0415">
        <w:t>’</w:t>
      </w:r>
      <w:r>
        <w:t>utiliser le projet pilote d</w:t>
      </w:r>
      <w:r w:rsidR="009F0415">
        <w:t>’</w:t>
      </w:r>
      <w:r>
        <w:t>identifiant mondial comme modèle de validation pour évaluer la faisabilité et documenter les éventuels problèmes liés à la normalisation des noms au sein des différents États membres de l</w:t>
      </w:r>
      <w:r w:rsidR="009F0415">
        <w:t>’</w:t>
      </w:r>
      <w:r>
        <w:t>O</w:t>
      </w:r>
      <w:r w:rsidR="00FF0EA0">
        <w:t>MPI.  La</w:t>
      </w:r>
      <w:r>
        <w:t xml:space="preserve"> délégation de l</w:t>
      </w:r>
      <w:r w:rsidR="009F0415">
        <w:t>’Arabie saoudite</w:t>
      </w:r>
      <w:r>
        <w:t xml:space="preserve"> a approuvé la suggestion et a exprimé son intérêt pour le projet pilo</w:t>
      </w:r>
      <w:r w:rsidR="00FF0EA0">
        <w:t>te.  Le</w:t>
      </w:r>
      <w:r>
        <w:t> comité a demandé au Bureau international de collaborer au projet pilote d</w:t>
      </w:r>
      <w:r w:rsidR="009F0415">
        <w:t>’</w:t>
      </w:r>
      <w:r>
        <w:t>identifiant mondial avec certains offices intéressés et de rendre compte des résultats à la prochaine session du </w:t>
      </w:r>
      <w:r w:rsidR="00FF0EA0">
        <w:t>CWS.  Le</w:t>
      </w:r>
      <w:r>
        <w:t xml:space="preserve"> Bureau international a déjà mis en œuvre le projet pilote avec cinq organisations ou offices nationaux, régionaux et internationaux.</w:t>
      </w:r>
    </w:p>
    <w:p w:rsidR="00570562" w:rsidRDefault="00570562" w:rsidP="00484B3E">
      <w:pPr>
        <w:pStyle w:val="Heading2"/>
      </w:pPr>
      <w:r>
        <w:t>Document de travail</w:t>
      </w:r>
    </w:p>
    <w:p w:rsidR="00570562" w:rsidRPr="00EF538D" w:rsidRDefault="00570562" w:rsidP="00484B3E">
      <w:pPr>
        <w:pStyle w:val="ONUMFS"/>
      </w:pPr>
      <w:r>
        <w:t>Le CWS a examiné une proposition révisée d</w:t>
      </w:r>
      <w:r w:rsidR="009F0415">
        <w:t>’</w:t>
      </w:r>
      <w:r>
        <w:t>amélioration des métadonnées relatives aux œuvres orphelines protégées par le droit d</w:t>
      </w:r>
      <w:r w:rsidR="009F0415">
        <w:t>’</w:t>
      </w:r>
      <w:r>
        <w:t>auteur dans la norme ST.96 de l</w:t>
      </w:r>
      <w:r w:rsidR="009F0415">
        <w:t>’</w:t>
      </w:r>
      <w:r>
        <w:t>OMPI (voir le</w:t>
      </w:r>
      <w:r w:rsidR="00484B3E">
        <w:t> </w:t>
      </w:r>
      <w:r w:rsidR="009F0415">
        <w:t>document CW</w:t>
      </w:r>
      <w:r>
        <w:t>S/10/7), présentée par le Bureau internation</w:t>
      </w:r>
      <w:r w:rsidR="00FF0EA0">
        <w:t>al.  Le</w:t>
      </w:r>
      <w:r>
        <w:t> comité a également examiné des propositions concernant les prochaines étapes pour ce qui est des métadonnées relatives aux œuvres orphelines protégées par le droit d</w:t>
      </w:r>
      <w:r w:rsidR="009F0415">
        <w:t>’</w:t>
      </w:r>
      <w:r>
        <w:t xml:space="preserve">auteur (voir le </w:t>
      </w:r>
      <w:r w:rsidR="009F0415">
        <w:t>document CW</w:t>
      </w:r>
      <w:r>
        <w:t>S/10/8).  Il a décidé de mener un nouveau cycle de consultation concernant le projet de document de travail révisé figurant à l</w:t>
      </w:r>
      <w:r w:rsidR="009F0415">
        <w:t>’</w:t>
      </w:r>
      <w:r>
        <w:t xml:space="preserve">annexe du </w:t>
      </w:r>
      <w:r w:rsidR="009F0415">
        <w:t>document CW</w:t>
      </w:r>
      <w:r>
        <w:t xml:space="preserve">S/10/7, afin de solliciter les contributions des </w:t>
      </w:r>
      <w:r w:rsidR="000F63E6">
        <w:t>bureaux</w:t>
      </w:r>
      <w:r>
        <w:t xml:space="preserve"> du droit d</w:t>
      </w:r>
      <w:r w:rsidR="009F0415">
        <w:t>’</w:t>
      </w:r>
      <w:r>
        <w:t>auteur et de l</w:t>
      </w:r>
      <w:r w:rsidR="009F0415">
        <w:t>’</w:t>
      </w:r>
      <w:r>
        <w:t>industrie de la création au moyen d</w:t>
      </w:r>
      <w:r w:rsidR="009F0415">
        <w:t>’</w:t>
      </w:r>
      <w:r>
        <w:t>une circulaire invitant ses membres et observateurs à formuler leurs observations avant de donner suite à cette proposition.</w:t>
      </w:r>
    </w:p>
    <w:p w:rsidR="00570562" w:rsidRDefault="00570562" w:rsidP="00484B3E">
      <w:pPr>
        <w:pStyle w:val="Heading1"/>
      </w:pPr>
      <w:r>
        <w:t>Mise en œuvre des normes de l</w:t>
      </w:r>
      <w:r w:rsidR="009F0415">
        <w:t>’</w:t>
      </w:r>
      <w:r>
        <w:t>OMPI et pratiques des offices de propriété intellectuelle</w:t>
      </w:r>
    </w:p>
    <w:p w:rsidR="00D773D0" w:rsidRDefault="00570562" w:rsidP="00484B3E">
      <w:pPr>
        <w:pStyle w:val="ONUMFS"/>
      </w:pPr>
      <w:r>
        <w:t>Deux</w:t>
      </w:r>
      <w:r w:rsidR="00484B3E">
        <w:t> </w:t>
      </w:r>
      <w:r>
        <w:t>enquêtes ont été menées en 2022 afin de recueillir des informations sur la mise en œuvre des normes de l</w:t>
      </w:r>
      <w:r w:rsidR="009F0415">
        <w:t>’</w:t>
      </w:r>
      <w:r>
        <w:t>OMPI par les offices de propriété intellectuelle et sur les pratiques connexes de ces dernie</w:t>
      </w:r>
      <w:r w:rsidR="00FF0EA0">
        <w:t>rs.  Le</w:t>
      </w:r>
      <w:r>
        <w:t> CWS a approuvé la publication de la synthèse des résultats de l</w:t>
      </w:r>
      <w:r w:rsidR="009F0415">
        <w:t>’</w:t>
      </w:r>
      <w:r>
        <w:t>enquête sur les pratiques des offices en matière de transformation numérique et sur les modes d</w:t>
      </w:r>
      <w:r w:rsidR="009F0415">
        <w:t>’</w:t>
      </w:r>
      <w:r>
        <w:t>indication des dates, qui a été ajoutée dans la partie 7 du Manuel de l</w:t>
      </w:r>
      <w:r w:rsidR="009F0415">
        <w:t>’</w:t>
      </w:r>
      <w:r>
        <w:t>OMPI</w:t>
      </w:r>
      <w:r w:rsidRPr="00F61D9D">
        <w:rPr>
          <w:vertAlign w:val="superscript"/>
        </w:rPr>
        <w:footnoteReference w:id="4"/>
      </w:r>
      <w:r>
        <w:t>.</w:t>
      </w:r>
    </w:p>
    <w:p w:rsidR="00D773D0" w:rsidRDefault="00570562" w:rsidP="00484B3E">
      <w:pPr>
        <w:pStyle w:val="ONUMFS"/>
      </w:pPr>
      <w:r>
        <w:t>Le comité a pris note de la mise en œuvre par les offices de propriété intellectuelle de la norme ST.26 de l</w:t>
      </w:r>
      <w:r w:rsidR="009F0415">
        <w:t>’</w:t>
      </w:r>
      <w:r>
        <w:t>OMPI depuis la nouvelle date de mise en œuvre effective de la norme ST.26 de l</w:t>
      </w:r>
      <w:r w:rsidR="009F0415">
        <w:t>’</w:t>
      </w:r>
      <w:r>
        <w:t>OMPI</w:t>
      </w:r>
      <w:r w:rsidR="009F0415">
        <w:t> :</w:t>
      </w:r>
      <w:r>
        <w:t xml:space="preserve"> le</w:t>
      </w:r>
      <w:r w:rsidR="00484B3E">
        <w:t> </w:t>
      </w:r>
      <w:r w:rsidR="00D773D0">
        <w:t>1</w:t>
      </w:r>
      <w:r w:rsidR="00D773D0" w:rsidRPr="00D773D0">
        <w:rPr>
          <w:vertAlign w:val="superscript"/>
        </w:rPr>
        <w:t>er</w:t>
      </w:r>
      <w:r w:rsidR="00D773D0">
        <w:t> </w:t>
      </w:r>
      <w:r>
        <w:t>juillet 2022, qui a été approuvée par l</w:t>
      </w:r>
      <w:r w:rsidR="009F0415">
        <w:t>’</w:t>
      </w:r>
      <w:r>
        <w:t>Assemblée générale de l</w:t>
      </w:r>
      <w:r w:rsidR="009F0415">
        <w:t>’</w:t>
      </w:r>
      <w:r>
        <w:t>OMPI à sa cinquante</w:t>
      </w:r>
      <w:r w:rsidR="004E1442">
        <w:noBreakHyphen/>
      </w:r>
      <w:r>
        <w:t>quatr</w:t>
      </w:r>
      <w:r w:rsidR="009F0415">
        <w:t>ième session</w:t>
      </w:r>
      <w:r>
        <w:t xml:space="preserve"> tenue en 2021 (voir le paragraphe 183 du </w:t>
      </w:r>
      <w:r w:rsidR="009F0415">
        <w:t>document WO</w:t>
      </w:r>
      <w:r>
        <w:t>/GA/54/15)</w:t>
      </w:r>
    </w:p>
    <w:p w:rsidR="00570562" w:rsidRDefault="00570562" w:rsidP="00484B3E">
      <w:pPr>
        <w:pStyle w:val="ONUMFS"/>
      </w:pPr>
      <w:r>
        <w:t>Pour faciliter le passage de la norme ST.25 à la norme ST.26 de l</w:t>
      </w:r>
      <w:r w:rsidR="009F0415">
        <w:t>’</w:t>
      </w:r>
      <w:r>
        <w:t>OMPI, le Bureau international a mis au point la suite logicielle WIPO</w:t>
      </w:r>
      <w:r w:rsidR="00484B3E">
        <w:t> </w:t>
      </w:r>
      <w:r>
        <w:t>Sequence</w:t>
      </w:r>
      <w:r w:rsidRPr="00A97078">
        <w:rPr>
          <w:rStyle w:val="FootnoteReference"/>
        </w:rPr>
        <w:footnoteReference w:id="5"/>
      </w:r>
      <w:r>
        <w:t xml:space="preserve"> qui permet aux déposants de demandes de brevet et aux offices de propriété intellectuelle du monde entier d</w:t>
      </w:r>
      <w:r w:rsidR="009F0415">
        <w:t>’</w:t>
      </w:r>
      <w:r>
        <w:t>établir des listages de séquences et de vérifier leur conformité avec la norme</w:t>
      </w:r>
      <w:r w:rsidR="00292BC2">
        <w:t> </w:t>
      </w:r>
      <w:r>
        <w:t>ST.26 de l</w:t>
      </w:r>
      <w:r w:rsidR="009F0415">
        <w:t>’</w:t>
      </w:r>
      <w:r>
        <w:t>O</w:t>
      </w:r>
      <w:r w:rsidR="00FF0EA0">
        <w:t>MPI.  Af</w:t>
      </w:r>
      <w:r>
        <w:t>in d</w:t>
      </w:r>
      <w:r w:rsidR="009F0415">
        <w:t>’</w:t>
      </w:r>
      <w:r>
        <w:t>apporter une assistance efficace aux déposants et aux offices de propriété intellectuelle, le Bureau international a également créé un modèle d</w:t>
      </w:r>
      <w:r w:rsidR="009F0415">
        <w:t>’</w:t>
      </w:r>
      <w:r>
        <w:t>assistance à trois niveaux et la base de connaissances de WIPO</w:t>
      </w:r>
      <w:r w:rsidR="00484B3E">
        <w:t> </w:t>
      </w:r>
      <w:r>
        <w:t>Sequence et de la norme ST.26</w:t>
      </w:r>
      <w:r w:rsidRPr="00A97078">
        <w:rPr>
          <w:rStyle w:val="FootnoteReference"/>
        </w:rPr>
        <w:footnoteReference w:id="6"/>
      </w:r>
      <w:r>
        <w:t>, qui contient les questions et réponses courantes relatives à la norme ST.26 et la suite logicielle WIPO Sequence de l</w:t>
      </w:r>
      <w:r w:rsidR="009F0415">
        <w:t>’</w:t>
      </w:r>
      <w:r>
        <w:t>OMPI (voir le</w:t>
      </w:r>
      <w:r w:rsidR="00484B3E">
        <w:t> </w:t>
      </w:r>
      <w:r w:rsidR="009F0415">
        <w:t>document CW</w:t>
      </w:r>
      <w:r>
        <w:t>S/10/14).</w:t>
      </w:r>
    </w:p>
    <w:p w:rsidR="00D773D0" w:rsidRDefault="00570562" w:rsidP="00484B3E">
      <w:pPr>
        <w:pStyle w:val="ONUMFS"/>
      </w:pPr>
      <w:r>
        <w:lastRenderedPageBreak/>
        <w:t>Le</w:t>
      </w:r>
      <w:r w:rsidR="00484B3E">
        <w:t xml:space="preserve"> </w:t>
      </w:r>
      <w:r>
        <w:t>comité a pris note que les fichiers d</w:t>
      </w:r>
      <w:r w:rsidR="009F0415">
        <w:t>’</w:t>
      </w:r>
      <w:r>
        <w:t>autorité des documents de brevet au format conforme à la norme ST.37 de l</w:t>
      </w:r>
      <w:r w:rsidR="009F0415">
        <w:t>’</w:t>
      </w:r>
      <w:r>
        <w:t>OMPI fournis par 29 offices de propriété intellectuelle sont disponibles sur le portail d</w:t>
      </w:r>
      <w:r w:rsidR="009F0415">
        <w:t>’</w:t>
      </w:r>
      <w:r>
        <w:t>accès aux fichiers d</w:t>
      </w:r>
      <w:r w:rsidR="009F0415">
        <w:t>’</w:t>
      </w:r>
      <w:r>
        <w:t>autorité de l</w:t>
      </w:r>
      <w:r w:rsidR="009F0415">
        <w:t>’</w:t>
      </w:r>
      <w:r>
        <w:t>OMPI</w:t>
      </w:r>
      <w:r w:rsidRPr="00A97078">
        <w:rPr>
          <w:rStyle w:val="FootnoteReference"/>
        </w:rPr>
        <w:footnoteReference w:id="7"/>
      </w:r>
      <w:r>
        <w:t xml:space="preserve">. </w:t>
      </w:r>
      <w:r w:rsidR="00D773D0">
        <w:t xml:space="preserve"> Le CWS</w:t>
      </w:r>
      <w:r>
        <w:t xml:space="preserve"> a noté que les documents de brevet de 76</w:t>
      </w:r>
      <w:r w:rsidR="00A7121F">
        <w:t> </w:t>
      </w:r>
      <w:r>
        <w:t>offices sont accessibles dans PATENTSC</w:t>
      </w:r>
      <w:r w:rsidR="00FF0EA0">
        <w:t>OPE.  Il</w:t>
      </w:r>
      <w:r>
        <w:t xml:space="preserve"> serait souhaitable de rendre accessibles les fichiers d</w:t>
      </w:r>
      <w:r w:rsidR="009F0415">
        <w:t>’</w:t>
      </w:r>
      <w:r>
        <w:t>autorité des documents de brevet des 76</w:t>
      </w:r>
      <w:r w:rsidR="00A7121F">
        <w:t> </w:t>
      </w:r>
      <w:r>
        <w:t>offices par l</w:t>
      </w:r>
      <w:r w:rsidR="009F0415">
        <w:t>’</w:t>
      </w:r>
      <w:r>
        <w:t>intermédiaire du portail d</w:t>
      </w:r>
      <w:r w:rsidR="009F0415">
        <w:t>’</w:t>
      </w:r>
      <w:r>
        <w:t>accès aux fichiers d</w:t>
      </w:r>
      <w:r w:rsidR="009F0415">
        <w:t>’</w:t>
      </w:r>
      <w:r>
        <w:t>autori</w:t>
      </w:r>
      <w:r w:rsidR="00FF0EA0">
        <w:t>té.  Pl</w:t>
      </w:r>
      <w:r>
        <w:t>usieurs offices de propriété intellectuelle ont présenté leur mise en œuvre de la norme ST.37.  Le comité a fait remarquer que le fichier d</w:t>
      </w:r>
      <w:r w:rsidR="009F0415">
        <w:t>’</w:t>
      </w:r>
      <w:r>
        <w:t>autorité des documents de brevet était un outil précieux permettant de garantir l</w:t>
      </w:r>
      <w:r w:rsidR="009F0415">
        <w:t>’</w:t>
      </w:r>
      <w:r>
        <w:t>exhaustivité et la qualité des données ainsi que la cohérence des collections de documents de brev</w:t>
      </w:r>
      <w:r w:rsidR="00FF0EA0">
        <w:t>et.  Le</w:t>
      </w:r>
      <w:r>
        <w:t xml:space="preserve"> Bureau international a encouragé les offices n</w:t>
      </w:r>
      <w:r w:rsidR="009F0415">
        <w:t>’</w:t>
      </w:r>
      <w:r>
        <w:t>ayant pas encore adopté le fichier d</w:t>
      </w:r>
      <w:r w:rsidR="009F0415">
        <w:t>’</w:t>
      </w:r>
      <w:r>
        <w:t>autorité à envisager de se l</w:t>
      </w:r>
      <w:r w:rsidR="009F0415">
        <w:t>’</w:t>
      </w:r>
      <w:r>
        <w:t>approprier.</w:t>
      </w:r>
    </w:p>
    <w:p w:rsidR="00570562" w:rsidRPr="00116A4A" w:rsidRDefault="00570562" w:rsidP="00484B3E">
      <w:pPr>
        <w:pStyle w:val="Heading2"/>
      </w:pPr>
      <w:r>
        <w:t>Services consultatifs et d</w:t>
      </w:r>
      <w:r w:rsidR="009F0415">
        <w:t>’</w:t>
      </w:r>
      <w:r>
        <w:t>assistance technique aux fins du renforcement des capacités</w:t>
      </w:r>
    </w:p>
    <w:p w:rsidR="00D773D0" w:rsidRDefault="00570562" w:rsidP="00484B3E">
      <w:pPr>
        <w:pStyle w:val="ONUMFS"/>
      </w:pPr>
      <w:r>
        <w:t>Concernant la prestation de services consultatifs et d</w:t>
      </w:r>
      <w:r w:rsidR="009F0415">
        <w:t>’</w:t>
      </w:r>
      <w:r>
        <w:t>assistance technique aux fins du renforcement des capacités des offices de propriété intellectuelle en rapport avec les normes de l</w:t>
      </w:r>
      <w:r w:rsidR="009F0415">
        <w:t>’</w:t>
      </w:r>
      <w:r>
        <w:t xml:space="preserve">OMPI, le CWS a pris note du rapport (voir le </w:t>
      </w:r>
      <w:r w:rsidR="009F0415">
        <w:t>document CW</w:t>
      </w:r>
      <w:r>
        <w:t>S/10/20 en annexe) sur les activités menées par le Bureau international en 2021, comme l</w:t>
      </w:r>
      <w:r w:rsidR="009F0415">
        <w:t>’</w:t>
      </w:r>
      <w:r>
        <w:t>avait demandé l</w:t>
      </w:r>
      <w:r w:rsidR="009F0415">
        <w:t>’</w:t>
      </w:r>
      <w:r>
        <w:t>Assemblée générale de l</w:t>
      </w:r>
      <w:r w:rsidR="009F0415">
        <w:t>’</w:t>
      </w:r>
      <w:r>
        <w:t>OMPI à sa quarant</w:t>
      </w:r>
      <w:r w:rsidR="009F0415">
        <w:t>ième session</w:t>
      </w:r>
      <w:r>
        <w:t xml:space="preserve"> tenue en octobre 2011.</w:t>
      </w:r>
    </w:p>
    <w:p w:rsidR="00570562" w:rsidRPr="00484B3E" w:rsidRDefault="00484B3E" w:rsidP="00484B3E">
      <w:pPr>
        <w:pStyle w:val="Heading1"/>
      </w:pPr>
      <w:r w:rsidRPr="00484B3E">
        <w:t>Rapports des équipes d</w:t>
      </w:r>
      <w:r w:rsidR="009F0415">
        <w:t>’</w:t>
      </w:r>
      <w:r w:rsidRPr="00484B3E">
        <w:t>experts du CWS et autres activités</w:t>
      </w:r>
    </w:p>
    <w:p w:rsidR="00570562" w:rsidRDefault="00570562" w:rsidP="00484B3E">
      <w:pPr>
        <w:pStyle w:val="ONUMFS"/>
      </w:pPr>
      <w:r>
        <w:t>Le CWS a reçu des rapports sur l</w:t>
      </w:r>
      <w:r w:rsidR="009F0415">
        <w:t>’</w:t>
      </w:r>
      <w:r>
        <w:t>état d</w:t>
      </w:r>
      <w:r w:rsidR="009F0415">
        <w:t>’</w:t>
      </w:r>
      <w:r>
        <w:t>avancement des activités de la part de neuf</w:t>
      </w:r>
      <w:r w:rsidR="00292BC2">
        <w:t> </w:t>
      </w:r>
      <w:r>
        <w:t>équipes d</w:t>
      </w:r>
      <w:r w:rsidR="009F0415">
        <w:t>’</w:t>
      </w:r>
      <w:r>
        <w:t>experts</w:t>
      </w:r>
      <w:r w:rsidR="009F0415">
        <w:t> :</w:t>
      </w:r>
      <w:r>
        <w:t xml:space="preserve"> stratégie en matière de</w:t>
      </w:r>
      <w:r w:rsidR="00484B3E">
        <w:t> </w:t>
      </w:r>
      <w:r>
        <w:t>TIC pour les normes, XML4IP, chaîne de blocs, normalisation des noms, 3D, listage des séquences, fichier d</w:t>
      </w:r>
      <w:r w:rsidR="009F0415">
        <w:t>’</w:t>
      </w:r>
      <w:r>
        <w:t>autorité partie 7, transformation numérique et situation juridique.</w:t>
      </w:r>
    </w:p>
    <w:p w:rsidR="00570562" w:rsidRDefault="00570562" w:rsidP="00484B3E">
      <w:pPr>
        <w:pStyle w:val="ONUMFS"/>
      </w:pPr>
      <w:r>
        <w:t>Le comité a pris note que 17 offices de propriété intellectuelle ont communiqué leurs rapports techniques annuels 2021 en utilisant le format simplifié des rapports techniques annuels approuvé à la neuv</w:t>
      </w:r>
      <w:r w:rsidR="009F0415">
        <w:t>ième session</w:t>
      </w:r>
      <w:r>
        <w:t xml:space="preserve"> du CWS pour fournir des liens vers des informations sur leurs sites</w:t>
      </w:r>
      <w:r w:rsidR="00292BC2">
        <w:t> </w:t>
      </w:r>
      <w:r>
        <w:t xml:space="preserve">Web (voir le </w:t>
      </w:r>
      <w:r w:rsidR="009F0415">
        <w:t>document CW</w:t>
      </w:r>
      <w:r>
        <w:t>S/10/19).</w:t>
      </w:r>
    </w:p>
    <w:p w:rsidR="00570562" w:rsidRDefault="00570562" w:rsidP="00484B3E">
      <w:pPr>
        <w:pStyle w:val="ONUMFS"/>
      </w:pPr>
      <w:r>
        <w:t xml:space="preserve">Le comité a pris note de la mise à jour par le Bureau international du </w:t>
      </w:r>
      <w:r>
        <w:rPr>
          <w:i/>
        </w:rPr>
        <w:t>Manuel de l</w:t>
      </w:r>
      <w:r w:rsidR="009F0415">
        <w:rPr>
          <w:i/>
        </w:rPr>
        <w:t>’</w:t>
      </w:r>
      <w:r>
        <w:rPr>
          <w:i/>
        </w:rPr>
        <w:t>OMPI</w:t>
      </w:r>
      <w:r>
        <w:t xml:space="preserve"> en 2022 et de ses projets de révisions pour 2023, en particulier la sixième</w:t>
      </w:r>
      <w:r w:rsidR="00484B3E">
        <w:t> </w:t>
      </w:r>
      <w:r>
        <w:t>partie</w:t>
      </w:r>
      <w:r w:rsidR="0087073C">
        <w:t xml:space="preserve"> consacrée aux </w:t>
      </w:r>
      <w:r w:rsidR="00EC1D50">
        <w:t>r</w:t>
      </w:r>
      <w:r>
        <w:t>ecommandations sur le contenu minimum des sites</w:t>
      </w:r>
      <w:r w:rsidR="00292BC2">
        <w:t> </w:t>
      </w:r>
      <w:r>
        <w:t>Web des offices de propriété intellectuelle, et la huitième</w:t>
      </w:r>
      <w:r w:rsidR="00484B3E">
        <w:t> </w:t>
      </w:r>
      <w:r>
        <w:t>partie</w:t>
      </w:r>
      <w:r w:rsidR="00EC1D50">
        <w:t xml:space="preserve"> sur les t</w:t>
      </w:r>
      <w:r>
        <w:t>ermes et abréviatio</w:t>
      </w:r>
      <w:r w:rsidR="00FF0EA0">
        <w:t>ns.  Le</w:t>
      </w:r>
      <w:r>
        <w:t xml:space="preserve"> comité a également noté que le Bureau international prévoyait de présenter des propositions aux fins de la mise à jour des sixième</w:t>
      </w:r>
      <w:r w:rsidR="00484B3E">
        <w:t> </w:t>
      </w:r>
      <w:r>
        <w:t>et</w:t>
      </w:r>
      <w:r w:rsidR="00484B3E">
        <w:t> </w:t>
      </w:r>
      <w:r>
        <w:t>huitième</w:t>
      </w:r>
      <w:r w:rsidR="00484B3E">
        <w:t> </w:t>
      </w:r>
      <w:r>
        <w:t>parties pour examen à sa onz</w:t>
      </w:r>
      <w:r w:rsidR="009F0415">
        <w:t>ième session</w:t>
      </w:r>
      <w:r>
        <w:t>.</w:t>
      </w:r>
    </w:p>
    <w:p w:rsidR="00D773D0" w:rsidRDefault="00570562" w:rsidP="00484B3E">
      <w:pPr>
        <w:pStyle w:val="ONUMFS"/>
      </w:pPr>
      <w:r>
        <w:t>Plusieurs délégations ont fait part de leurs activités en ce qui concerne l</w:t>
      </w:r>
      <w:r w:rsidR="009F0415">
        <w:t>’</w:t>
      </w:r>
      <w:r>
        <w:t>utilisation des technologies émergent</w:t>
      </w:r>
      <w:r w:rsidR="00FF0EA0">
        <w:t>es.  To</w:t>
      </w:r>
      <w:r>
        <w:t>us les exposés sont disponibles sur la page Web de la réunion</w:t>
      </w:r>
      <w:r>
        <w:rPr>
          <w:rStyle w:val="FootnoteReference"/>
        </w:rPr>
        <w:footnoteReference w:id="8"/>
      </w:r>
      <w:r>
        <w:t>.</w:t>
      </w:r>
    </w:p>
    <w:p w:rsidR="00570562" w:rsidRPr="00484B3E" w:rsidRDefault="00570562" w:rsidP="00484B3E">
      <w:pPr>
        <w:pStyle w:val="ONUMFS"/>
        <w:ind w:left="5533"/>
        <w:rPr>
          <w:i/>
        </w:rPr>
      </w:pPr>
      <w:r w:rsidRPr="00484B3E">
        <w:rPr>
          <w:i/>
          <w:iCs/>
        </w:rPr>
        <w:t>L</w:t>
      </w:r>
      <w:r w:rsidR="009F0415">
        <w:rPr>
          <w:i/>
          <w:iCs/>
        </w:rPr>
        <w:t>’</w:t>
      </w:r>
      <w:r w:rsidRPr="00484B3E">
        <w:rPr>
          <w:i/>
          <w:iCs/>
        </w:rPr>
        <w:t>Assemblée générale de l</w:t>
      </w:r>
      <w:r w:rsidR="009F0415">
        <w:rPr>
          <w:i/>
          <w:iCs/>
        </w:rPr>
        <w:t>’</w:t>
      </w:r>
      <w:r w:rsidRPr="00484B3E">
        <w:rPr>
          <w:i/>
          <w:iCs/>
        </w:rPr>
        <w:t>OMPI est invitée à prendre note du “Rapport sur le Comité des normes de l</w:t>
      </w:r>
      <w:r w:rsidR="009F0415">
        <w:rPr>
          <w:i/>
          <w:iCs/>
        </w:rPr>
        <w:t>’</w:t>
      </w:r>
      <w:r w:rsidRPr="00484B3E">
        <w:rPr>
          <w:i/>
          <w:iCs/>
        </w:rPr>
        <w:t>OMPI” (</w:t>
      </w:r>
      <w:r w:rsidR="009F0415" w:rsidRPr="00484B3E">
        <w:rPr>
          <w:i/>
          <w:iCs/>
        </w:rPr>
        <w:t>document</w:t>
      </w:r>
      <w:r w:rsidR="009F0415">
        <w:rPr>
          <w:i/>
          <w:iCs/>
        </w:rPr>
        <w:t xml:space="preserve"> </w:t>
      </w:r>
      <w:r w:rsidR="009F0415" w:rsidRPr="00484B3E">
        <w:rPr>
          <w:i/>
          <w:iCs/>
        </w:rPr>
        <w:t>WO</w:t>
      </w:r>
      <w:r w:rsidRPr="00484B3E">
        <w:rPr>
          <w:i/>
          <w:iCs/>
        </w:rPr>
        <w:t>/GA/56/11).</w:t>
      </w:r>
    </w:p>
    <w:p w:rsidR="00570562" w:rsidRDefault="00570562" w:rsidP="00484B3E">
      <w:pPr>
        <w:pStyle w:val="Endofdocument-Annex"/>
        <w:spacing w:before="720"/>
      </w:pPr>
      <w:r>
        <w:t xml:space="preserve">[Le </w:t>
      </w:r>
      <w:r w:rsidR="009F0415">
        <w:t>document CW</w:t>
      </w:r>
      <w:r>
        <w:t>S/10/20 suit]</w:t>
      </w:r>
    </w:p>
    <w:p w:rsidR="00570562" w:rsidRDefault="00570562" w:rsidP="00570562">
      <w:pPr>
        <w:rPr>
          <w:szCs w:val="22"/>
        </w:rPr>
        <w:sectPr w:rsidR="00570562" w:rsidSect="00595DC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br w:type="page"/>
      </w:r>
    </w:p>
    <w:p w:rsidR="00484B3E" w:rsidRPr="008B2CC1" w:rsidRDefault="00484B3E" w:rsidP="00484B3E">
      <w:pPr>
        <w:spacing w:after="120"/>
        <w:jc w:val="right"/>
      </w:pPr>
      <w:r>
        <w:rPr>
          <w:noProof/>
          <w:lang w:val="en-US" w:eastAsia="en-US"/>
        </w:rPr>
        <w:lastRenderedPageBreak/>
        <w:drawing>
          <wp:inline distT="0" distB="0" distL="0" distR="0" wp14:anchorId="5F69FFE2" wp14:editId="008A7C5D">
            <wp:extent cx="2948267" cy="1332000"/>
            <wp:effectExtent l="0" t="0" r="5080" b="1905"/>
            <wp:docPr id="5" name="Picture 5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BD1A78B" wp14:editId="15155C56">
                <wp:extent cx="5935980" cy="0"/>
                <wp:effectExtent l="0" t="0" r="26670" b="19050"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B453EB" id="Straight Connector 1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" strokecolor="black [3040]">
                <w10:anchorlock/>
              </v:line>
            </w:pict>
          </mc:Fallback>
        </mc:AlternateContent>
      </w:r>
    </w:p>
    <w:p w:rsidR="00484B3E" w:rsidRPr="00DB0349" w:rsidRDefault="00484B3E" w:rsidP="00484B3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CWS/10/20</w:t>
      </w:r>
    </w:p>
    <w:p w:rsidR="00484B3E" w:rsidRPr="00DB0349" w:rsidRDefault="00484B3E" w:rsidP="00484B3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9F0415">
        <w:rPr>
          <w:rFonts w:ascii="Arial Black" w:hAnsi="Arial Black"/>
          <w:caps/>
          <w:sz w:val="15"/>
          <w:szCs w:val="15"/>
        </w:rPr>
        <w:t> :</w:t>
      </w:r>
      <w:r w:rsidR="00445519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</w:rPr>
        <w:t>anglais</w:t>
      </w:r>
    </w:p>
    <w:p w:rsidR="00484B3E" w:rsidRPr="00484B3E" w:rsidRDefault="00484B3E" w:rsidP="00484B3E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9F0415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21 septembre 2022</w:t>
      </w:r>
    </w:p>
    <w:p w:rsidR="00484B3E" w:rsidRPr="00197881" w:rsidRDefault="00484B3E" w:rsidP="00484B3E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9F0415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</w:t>
      </w:r>
      <w:r>
        <w:rPr>
          <w:b/>
          <w:sz w:val="28"/>
          <w:szCs w:val="28"/>
        </w:rPr>
        <w:t> </w:t>
      </w:r>
      <w:r w:rsidRPr="00197881">
        <w:rPr>
          <w:b/>
          <w:sz w:val="28"/>
          <w:szCs w:val="28"/>
        </w:rPr>
        <w:t>(CWS)</w:t>
      </w:r>
    </w:p>
    <w:p w:rsidR="00484B3E" w:rsidRPr="00197881" w:rsidRDefault="00484B3E" w:rsidP="00484B3E">
      <w:pPr>
        <w:rPr>
          <w:b/>
          <w:sz w:val="28"/>
          <w:szCs w:val="24"/>
        </w:rPr>
      </w:pPr>
      <w:r w:rsidRPr="00197881">
        <w:rPr>
          <w:b/>
          <w:sz w:val="24"/>
        </w:rPr>
        <w:t>Dix</w:t>
      </w:r>
      <w:r w:rsidR="009F0415">
        <w:rPr>
          <w:b/>
          <w:sz w:val="24"/>
        </w:rPr>
        <w:t>ième session</w:t>
      </w:r>
    </w:p>
    <w:p w:rsidR="00484B3E" w:rsidRPr="00197881" w:rsidRDefault="00484B3E" w:rsidP="00484B3E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 21</w:t>
      </w:r>
      <w:r>
        <w:rPr>
          <w:b/>
          <w:sz w:val="24"/>
        </w:rPr>
        <w:t> </w:t>
      </w:r>
      <w:r w:rsidRPr="00197881">
        <w:rPr>
          <w:b/>
          <w:sz w:val="24"/>
        </w:rPr>
        <w:t>–</w:t>
      </w:r>
      <w:r>
        <w:rPr>
          <w:b/>
          <w:sz w:val="24"/>
        </w:rPr>
        <w:t> </w:t>
      </w:r>
      <w:r w:rsidRPr="00197881">
        <w:rPr>
          <w:b/>
          <w:sz w:val="24"/>
        </w:rPr>
        <w:t>25</w:t>
      </w:r>
      <w:r>
        <w:rPr>
          <w:b/>
          <w:sz w:val="24"/>
        </w:rPr>
        <w:t> </w:t>
      </w:r>
      <w:r w:rsidRPr="00197881">
        <w:rPr>
          <w:b/>
          <w:sz w:val="24"/>
        </w:rPr>
        <w:t>novembre</w:t>
      </w:r>
      <w:r>
        <w:rPr>
          <w:b/>
          <w:sz w:val="24"/>
        </w:rPr>
        <w:t> </w:t>
      </w:r>
      <w:r w:rsidRPr="00197881">
        <w:rPr>
          <w:b/>
          <w:sz w:val="24"/>
        </w:rPr>
        <w:t>2022</w:t>
      </w:r>
    </w:p>
    <w:p w:rsidR="00570562" w:rsidRPr="00A415D3" w:rsidRDefault="00570562" w:rsidP="00570562">
      <w:pPr>
        <w:spacing w:after="360"/>
        <w:outlineLvl w:val="0"/>
        <w:rPr>
          <w:caps/>
          <w:sz w:val="24"/>
        </w:rPr>
      </w:pPr>
      <w:r>
        <w:rPr>
          <w:caps/>
          <w:sz w:val="24"/>
        </w:rPr>
        <w:t>Rapport présenté par le Bureau international sur la prestation de services consultatifs et d</w:t>
      </w:r>
      <w:r w:rsidR="009F0415">
        <w:rPr>
          <w:caps/>
          <w:sz w:val="24"/>
        </w:rPr>
        <w:t>’</w:t>
      </w:r>
      <w:r>
        <w:rPr>
          <w:caps/>
          <w:sz w:val="24"/>
        </w:rPr>
        <w:t>assistance technique aux fins du renforcement des capacités des offices de propriété industrielle en rapport avec le mandat</w:t>
      </w:r>
      <w:r w:rsidR="00D773D0">
        <w:rPr>
          <w:caps/>
          <w:sz w:val="24"/>
        </w:rPr>
        <w:t xml:space="preserve"> du CWS</w:t>
      </w:r>
    </w:p>
    <w:p w:rsidR="00570562" w:rsidRPr="00A415D3" w:rsidRDefault="00570562" w:rsidP="00570562">
      <w:pPr>
        <w:spacing w:after="1040"/>
        <w:rPr>
          <w:i/>
        </w:rPr>
      </w:pPr>
      <w:r>
        <w:rPr>
          <w:i/>
        </w:rPr>
        <w:t>Document établi par le Bureau international</w:t>
      </w:r>
    </w:p>
    <w:p w:rsidR="00570562" w:rsidRPr="00465536" w:rsidRDefault="00465536" w:rsidP="00465536">
      <w:pPr>
        <w:pStyle w:val="Heading1"/>
        <w:rPr>
          <w:iCs/>
          <w:szCs w:val="28"/>
        </w:rPr>
      </w:pPr>
      <w:r w:rsidRPr="00465536">
        <w:t>Introduction</w:t>
      </w:r>
    </w:p>
    <w:p w:rsidR="00D773D0" w:rsidRDefault="00570562" w:rsidP="00465536">
      <w:pPr>
        <w:pStyle w:val="ONUMFS"/>
        <w:numPr>
          <w:ilvl w:val="0"/>
          <w:numId w:val="11"/>
        </w:numPr>
      </w:pPr>
      <w:r>
        <w:t>Le présent rapport vise à mettre en œuvre la décision prise par l</w:t>
      </w:r>
      <w:r w:rsidR="009F0415">
        <w:t>’</w:t>
      </w:r>
      <w:r>
        <w:t xml:space="preserve">Assemblée générale </w:t>
      </w:r>
      <w:r w:rsidR="00D773D0">
        <w:t>en 2011</w:t>
      </w:r>
      <w:r>
        <w:t xml:space="preserve"> eu égard au mandat du Comité des normes de l</w:t>
      </w:r>
      <w:r w:rsidR="009F0415">
        <w:t>’</w:t>
      </w:r>
      <w:r>
        <w:t>OMPI</w:t>
      </w:r>
      <w:r w:rsidR="00465536">
        <w:t> </w:t>
      </w:r>
      <w:r>
        <w:t xml:space="preserve">(CWS) et à la soumission régulière de rapports écrits sur le détail des activités menées </w:t>
      </w:r>
      <w:r w:rsidR="00D773D0">
        <w:t>en 2021</w:t>
      </w:r>
      <w:r>
        <w:t xml:space="preserve"> dans le cadre desquelles le Secrétariat ou le Bureau international de l</w:t>
      </w:r>
      <w:r w:rsidR="009F0415">
        <w:t>’</w:t>
      </w:r>
      <w:r>
        <w:t>OMPI s</w:t>
      </w:r>
      <w:r w:rsidR="009F0415">
        <w:t>’</w:t>
      </w:r>
      <w:r>
        <w:t>est efforcé “de fournir des services consultatifs et d</w:t>
      </w:r>
      <w:r w:rsidR="009F0415">
        <w:t>’</w:t>
      </w:r>
      <w:r>
        <w:t>assistance technique aux fins du renforcement des capacités aux offices de propriété intellectuelle en entreprenant des projets relatifs à la diffusion de l</w:t>
      </w:r>
      <w:r w:rsidR="009F0415">
        <w:t>’</w:t>
      </w:r>
      <w:r>
        <w:t>information en matière de normes de propriété intellectuelle” (voir le paragraphe 190 du</w:t>
      </w:r>
      <w:r w:rsidR="00465536">
        <w:t> </w:t>
      </w:r>
      <w:r w:rsidR="009F0415">
        <w:t>document WO</w:t>
      </w:r>
      <w:r>
        <w:t>/GA/40/19).  La liste complète de ces activités figure dans la base de données relative à l</w:t>
      </w:r>
      <w:r w:rsidR="009F0415">
        <w:t>’</w:t>
      </w:r>
      <w:r>
        <w:t>assistance technique (</w:t>
      </w:r>
      <w:hyperlink r:id="rId17" w:history="1">
        <w:r w:rsidRPr="00465536">
          <w:rPr>
            <w:color w:val="0000FF"/>
            <w:u w:val="single"/>
          </w:rPr>
          <w:t>www.wipo.int/tad</w:t>
        </w:r>
      </w:hyperlink>
      <w:r>
        <w:t>).</w:t>
      </w:r>
    </w:p>
    <w:p w:rsidR="00570562" w:rsidRPr="00A415D3" w:rsidRDefault="00570562" w:rsidP="00465536">
      <w:pPr>
        <w:pStyle w:val="ONUMFS"/>
      </w:pPr>
      <w:r>
        <w:t>Les normes de l</w:t>
      </w:r>
      <w:r w:rsidR="009F0415">
        <w:t>’</w:t>
      </w:r>
      <w:r>
        <w:t>OMPI étant appliquées dans divers systèmes et outils de l</w:t>
      </w:r>
      <w:r w:rsidR="009F0415">
        <w:t>’</w:t>
      </w:r>
      <w:r>
        <w:t>Organisation, tels que les Solutions opérationnelles de l</w:t>
      </w:r>
      <w:r w:rsidR="009F0415">
        <w:t>’</w:t>
      </w:r>
      <w:r>
        <w:t>OMPI à l</w:t>
      </w:r>
      <w:r w:rsidR="009F0415">
        <w:t>’</w:t>
      </w:r>
      <w:r>
        <w:t>intention des offices de propriété intellectuelle ou WIPO</w:t>
      </w:r>
      <w:r w:rsidR="00465536">
        <w:t> </w:t>
      </w:r>
      <w:r>
        <w:t>Sequence, les activités indiquées ci</w:t>
      </w:r>
      <w:r w:rsidR="004E1442">
        <w:noBreakHyphen/>
      </w:r>
      <w:r>
        <w:t>après portent aussi implicitement sur la diffusion d</w:t>
      </w:r>
      <w:r w:rsidR="009F0415">
        <w:t>’</w:t>
      </w:r>
      <w:r>
        <w:t>informations pertinentes en matière de normes de propriété intellectuelle.</w:t>
      </w:r>
    </w:p>
    <w:p w:rsidR="00570562" w:rsidRPr="00465536" w:rsidRDefault="00465536" w:rsidP="00465536">
      <w:pPr>
        <w:pStyle w:val="Heading1"/>
      </w:pPr>
      <w:r w:rsidRPr="00465536">
        <w:lastRenderedPageBreak/>
        <w:t>Formation à l</w:t>
      </w:r>
      <w:r w:rsidR="009F0415">
        <w:t>’</w:t>
      </w:r>
      <w:r w:rsidRPr="00465536">
        <w:t>utilisation des normes de l</w:t>
      </w:r>
      <w:r w:rsidR="009F0415">
        <w:t>’</w:t>
      </w:r>
      <w:r w:rsidRPr="00465536">
        <w:t>OMPI et services consultatifs connexes</w:t>
      </w:r>
    </w:p>
    <w:p w:rsidR="00570562" w:rsidRPr="00A415D3" w:rsidRDefault="00D773D0" w:rsidP="00465536">
      <w:pPr>
        <w:pStyle w:val="ONUMFS"/>
      </w:pPr>
      <w:r>
        <w:t>En 2021</w:t>
      </w:r>
      <w:r w:rsidR="00570562">
        <w:t>, malgré la pandémie de COVID</w:t>
      </w:r>
      <w:r w:rsidR="004E1442">
        <w:noBreakHyphen/>
      </w:r>
      <w:r w:rsidR="00570562">
        <w:t>19, le Bureau international a fourni des services consultatifs aux offices de propriété industrielle afin d</w:t>
      </w:r>
      <w:r w:rsidR="009F0415">
        <w:t>’</w:t>
      </w:r>
      <w:r w:rsidR="00570562">
        <w:t>aider ces derniers et leurs utilisateurs à utiliser les normes de l</w:t>
      </w:r>
      <w:r w:rsidR="009F0415">
        <w:t>’</w:t>
      </w:r>
      <w:r w:rsidR="00570562">
        <w:t>OMPI, cela au moyen de courriers électroniques et lors de conférences en ligne.</w:t>
      </w:r>
    </w:p>
    <w:p w:rsidR="00570562" w:rsidRPr="00A415D3" w:rsidRDefault="00570562" w:rsidP="00465536">
      <w:pPr>
        <w:pStyle w:val="ONUMFS"/>
      </w:pPr>
      <w:r>
        <w:t>Le Secrétariat a reçu une série de demandes d</w:t>
      </w:r>
      <w:r w:rsidR="009F0415">
        <w:t>’</w:t>
      </w:r>
      <w:r>
        <w:t xml:space="preserve">assistance technique et de formation </w:t>
      </w:r>
      <w:r w:rsidR="00D773D0">
        <w:t>en 2021</w:t>
      </w:r>
      <w:r>
        <w:t>, concernant le soutien à la mise en œuvre des normes</w:t>
      </w:r>
      <w:r w:rsidR="00292BC2">
        <w:t> </w:t>
      </w:r>
      <w:r>
        <w:t>ST.26 et</w:t>
      </w:r>
      <w:r w:rsidR="00465536">
        <w:t> </w:t>
      </w:r>
      <w:r>
        <w:t>ST.96 de l</w:t>
      </w:r>
      <w:r w:rsidR="009F0415">
        <w:t>’</w:t>
      </w:r>
      <w:r>
        <w:t>O</w:t>
      </w:r>
      <w:r w:rsidR="00FF0EA0">
        <w:t>MPI.  Po</w:t>
      </w:r>
      <w:r>
        <w:t>ur aider les offices et les déposants à mettre en œuvre la norme</w:t>
      </w:r>
      <w:r w:rsidR="00292BC2">
        <w:t> </w:t>
      </w:r>
      <w:r>
        <w:t>ST.26, le Bureau international a élaboré la suite logicielle WIPO</w:t>
      </w:r>
      <w:r w:rsidR="00465536">
        <w:t> </w:t>
      </w:r>
      <w:r>
        <w:t>Sequence en étroite collaboration avec les offices de propriété intellectuelle et les groupes d</w:t>
      </w:r>
      <w:r w:rsidR="009F0415">
        <w:t>’</w:t>
      </w:r>
      <w:r>
        <w:t>utilisateurs fina</w:t>
      </w:r>
      <w:r w:rsidR="00FF0EA0">
        <w:t>ux.  On</w:t>
      </w:r>
      <w:r>
        <w:t xml:space="preserve"> trouvera de plus amples informations sur cette suite logicielle sur le site</w:t>
      </w:r>
      <w:r w:rsidR="00292BC2">
        <w:t> </w:t>
      </w:r>
      <w:r>
        <w:t>Web de l</w:t>
      </w:r>
      <w:r w:rsidR="009F0415">
        <w:t>’</w:t>
      </w:r>
      <w:r>
        <w:t>OMPI, à l</w:t>
      </w:r>
      <w:r w:rsidR="009F0415">
        <w:t>’</w:t>
      </w:r>
      <w:r>
        <w:t>adresse suivante</w:t>
      </w:r>
      <w:r w:rsidR="009F0415">
        <w:t> :</w:t>
      </w:r>
      <w:r>
        <w:t xml:space="preserve"> </w:t>
      </w:r>
      <w:hyperlink r:id="rId18" w:history="1">
        <w:r w:rsidR="00292BC2">
          <w:rPr>
            <w:color w:val="0000FF"/>
            <w:u w:val="single"/>
          </w:rPr>
          <w:t>https:</w:t>
        </w:r>
        <w:r>
          <w:rPr>
            <w:color w:val="0000FF"/>
            <w:u w:val="single"/>
          </w:rPr>
          <w:t>//www.wipo.int/standards/fr/sequence/index.html</w:t>
        </w:r>
      </w:hyperlink>
      <w:r>
        <w:t>.  En réponse à la demande de formation concernant la norme</w:t>
      </w:r>
      <w:r w:rsidR="00292BC2">
        <w:t> </w:t>
      </w:r>
      <w:r>
        <w:t>ST.26 de l</w:t>
      </w:r>
      <w:r w:rsidR="009F0415">
        <w:t>’</w:t>
      </w:r>
      <w:r>
        <w:t>OMPI et la suite logicielle WIPO</w:t>
      </w:r>
      <w:r w:rsidR="00465536">
        <w:t> </w:t>
      </w:r>
      <w:r>
        <w:t>Sequence, le Bureau international a organisé 17 séminaires de formation en ligne qui se sont tenus dans huit</w:t>
      </w:r>
      <w:r w:rsidR="00292BC2">
        <w:t> </w:t>
      </w:r>
      <w:r>
        <w:t>langues</w:t>
      </w:r>
      <w:r w:rsidR="00D773D0">
        <w:t xml:space="preserve"> du PCT</w:t>
      </w:r>
      <w:r>
        <w:t xml:space="preserve"> </w:t>
      </w:r>
      <w:r w:rsidR="00D773D0">
        <w:t>en 2021</w:t>
      </w:r>
      <w:r>
        <w:t>.  On trouvera de plus amples informations sur les formations ou les webinaires relatifs à l</w:t>
      </w:r>
      <w:r w:rsidR="009F0415">
        <w:t>’</w:t>
      </w:r>
      <w:r>
        <w:t>utilisation des normes de l</w:t>
      </w:r>
      <w:r w:rsidR="009F0415">
        <w:t>’</w:t>
      </w:r>
      <w:r>
        <w:t>OMPI sur le site</w:t>
      </w:r>
      <w:r w:rsidR="00292BC2">
        <w:t> </w:t>
      </w:r>
      <w:r>
        <w:t>Web, à l</w:t>
      </w:r>
      <w:r w:rsidR="009F0415">
        <w:t>’</w:t>
      </w:r>
      <w:r>
        <w:t>adresse suivante</w:t>
      </w:r>
      <w:r w:rsidR="009F0415">
        <w:t> :</w:t>
      </w:r>
      <w:r>
        <w:t xml:space="preserve"> </w:t>
      </w:r>
      <w:hyperlink r:id="rId19" w:history="1">
        <w:r w:rsidR="00292BC2">
          <w:rPr>
            <w:color w:val="0000FF"/>
            <w:u w:val="single"/>
          </w:rPr>
          <w:t>https:</w:t>
        </w:r>
        <w:r>
          <w:rPr>
            <w:color w:val="0000FF"/>
            <w:u w:val="single"/>
          </w:rPr>
          <w:t>//www.wipo.int/cws/fr/trainings.html</w:t>
        </w:r>
      </w:hyperlink>
      <w:r>
        <w:t>.  S</w:t>
      </w:r>
      <w:r w:rsidR="009F0415">
        <w:t>’</w:t>
      </w:r>
      <w:r>
        <w:t>agissant de la demande de formation concernant la norme</w:t>
      </w:r>
      <w:r w:rsidR="00292BC2">
        <w:t> </w:t>
      </w:r>
      <w:r>
        <w:t>ST.96 de l</w:t>
      </w:r>
      <w:r w:rsidR="009F0415">
        <w:t>’</w:t>
      </w:r>
      <w:r>
        <w:t>OMPI, le Bureau international, en collaboration avec l</w:t>
      </w:r>
      <w:r w:rsidR="009F0415">
        <w:t>’</w:t>
      </w:r>
      <w:r>
        <w:t>Équipe d</w:t>
      </w:r>
      <w:r w:rsidR="009F0415">
        <w:t>’</w:t>
      </w:r>
      <w:r>
        <w:t>experts chargée de la norme</w:t>
      </w:r>
      <w:r w:rsidR="00292BC2">
        <w:t> </w:t>
      </w:r>
      <w:r>
        <w:t xml:space="preserve">XML4IP, a proposé de créer un guide intitulé </w:t>
      </w:r>
      <w:r w:rsidR="00D773D0">
        <w:t>“D</w:t>
      </w:r>
      <w:r>
        <w:t>émarrer avec la norme</w:t>
      </w:r>
      <w:r w:rsidR="00292BC2">
        <w:t> </w:t>
      </w:r>
      <w:r>
        <w:t>ST.9</w:t>
      </w:r>
      <w:r w:rsidR="00D773D0">
        <w:t>6”</w:t>
      </w:r>
      <w:r>
        <w:t>.  Le Secrétariat continue de s</w:t>
      </w:r>
      <w:r w:rsidR="009F0415">
        <w:t>’</w:t>
      </w:r>
      <w:r>
        <w:t>engager à fournir une assistance technique et à dispenser des formations concernant les normes de l</w:t>
      </w:r>
      <w:r w:rsidR="009F0415">
        <w:t>’</w:t>
      </w:r>
      <w:r>
        <w:t>OMPI à la demande, en fonction de la disponibilité des ressources.</w:t>
      </w:r>
    </w:p>
    <w:p w:rsidR="00570562" w:rsidRPr="00A415D3" w:rsidRDefault="00465536" w:rsidP="00465536">
      <w:pPr>
        <w:pStyle w:val="Heading1"/>
        <w:rPr>
          <w:iCs/>
          <w:szCs w:val="28"/>
        </w:rPr>
      </w:pPr>
      <w:r>
        <w:t>Assistance technique aux fins du renforcement des infrastructures des institutions de propriété industrielle utilisant les normes de l</w:t>
      </w:r>
      <w:r w:rsidR="009F0415">
        <w:t>’</w:t>
      </w:r>
      <w:r>
        <w:t>OMPI</w:t>
      </w:r>
    </w:p>
    <w:p w:rsidR="00570562" w:rsidRPr="00A415D3" w:rsidRDefault="00570562" w:rsidP="00465536">
      <w:pPr>
        <w:pStyle w:val="ONUMFS"/>
      </w:pPr>
      <w:r>
        <w:t>Le programme de l</w:t>
      </w:r>
      <w:r w:rsidR="009F0415">
        <w:t>’</w:t>
      </w:r>
      <w:r>
        <w:t>OMPI de solutions opérationnelles à l</w:t>
      </w:r>
      <w:r w:rsidR="009F0415">
        <w:t>’</w:t>
      </w:r>
      <w:r>
        <w:t>intention des offices de propriété intellectuelle a pour objectif de renforcer les systèmes de traitement et les infrastructures techniques des offices de propriété industrielle nationaux et régionaux afin qu</w:t>
      </w:r>
      <w:r w:rsidR="009F0415">
        <w:t>’</w:t>
      </w:r>
      <w:r>
        <w:t>ils puissent assurer des services offrant un meilleur rapport coût/efficacité et de plus grande qualité à leurs parties prenant</w:t>
      </w:r>
      <w:r w:rsidR="00FF0EA0">
        <w:t>es.  L’a</w:t>
      </w:r>
      <w:r>
        <w:t>ssistance fournie est conforme aux recommandations du Plan d</w:t>
      </w:r>
      <w:r w:rsidR="009F0415">
        <w:t>’</w:t>
      </w:r>
      <w:r>
        <w:t>action pour le développement visant à renforcer les infrastructures institutionnelles et techniques des offices et d</w:t>
      </w:r>
      <w:r w:rsidR="009F0415">
        <w:t>’</w:t>
      </w:r>
      <w:r>
        <w:t>autres institutions de propriété industriel</w:t>
      </w:r>
      <w:r w:rsidR="00FF0EA0">
        <w:t>le.  Le</w:t>
      </w:r>
      <w:r>
        <w:t>s services comprennent notamment la fourniture de conseils techniques, l</w:t>
      </w:r>
      <w:r w:rsidR="009F0415">
        <w:t>’</w:t>
      </w:r>
      <w:r>
        <w:t>évaluation des besoins opérationnels, la définition de la portée et la planification des projets, l</w:t>
      </w:r>
      <w:r w:rsidR="009F0415">
        <w:t>’</w:t>
      </w:r>
      <w:r>
        <w:t>analyse du processus opérationnel, le développement et le déploiement continus des solutions opérationnelles spécialement adaptées à l</w:t>
      </w:r>
      <w:r w:rsidR="009F0415">
        <w:t>’</w:t>
      </w:r>
      <w:r>
        <w:t>administration des droits de propriété intellectuelle et à l</w:t>
      </w:r>
      <w:r w:rsidR="009F0415">
        <w:t>’</w:t>
      </w:r>
      <w:r>
        <w:t>échange des documents de priorité et des résultats des recherches et des examens, l</w:t>
      </w:r>
      <w:r w:rsidR="009F0415">
        <w:t>’</w:t>
      </w:r>
      <w:r>
        <w:t>établissement de bases de données sur la propriété intellectuelle, l</w:t>
      </w:r>
      <w:r w:rsidR="009F0415">
        <w:t>’</w:t>
      </w:r>
      <w:r>
        <w:t>assistance à la numérisation des dossiers de propriété intellectuelle et à la préparation des données pour la publication en ligne et l</w:t>
      </w:r>
      <w:r w:rsidR="009F0415">
        <w:t>’</w:t>
      </w:r>
      <w:r>
        <w:t>échange électronique des données, la formation et le transfert de connaissances au personnel des institutions de propriété industrielle, et l</w:t>
      </w:r>
      <w:r w:rsidR="009F0415">
        <w:t>’</w:t>
      </w:r>
      <w:r>
        <w:t>appui aux systèmes fournis par l</w:t>
      </w:r>
      <w:r w:rsidR="009F0415">
        <w:t>’</w:t>
      </w:r>
      <w:r>
        <w:t>O</w:t>
      </w:r>
      <w:r w:rsidR="00FF0EA0">
        <w:t>MPI.  Le</w:t>
      </w:r>
      <w:r>
        <w:t xml:space="preserve"> cas échéant, l</w:t>
      </w:r>
      <w:r w:rsidR="009F0415">
        <w:t>’</w:t>
      </w:r>
      <w:r>
        <w:t>assistance porte sur les normes de l</w:t>
      </w:r>
      <w:r w:rsidR="009F0415">
        <w:t>’</w:t>
      </w:r>
      <w:r>
        <w:t>OMPI sur les données et l</w:t>
      </w:r>
      <w:r w:rsidR="009F0415">
        <w:t>’</w:t>
      </w:r>
      <w:r>
        <w:t>information en matière de propriété intellectuel</w:t>
      </w:r>
      <w:r w:rsidR="00FF0EA0">
        <w:t>le.  Le</w:t>
      </w:r>
      <w:r>
        <w:t>s formations sur le terrain ou virtuelles, le parrainage et les ateliers régionaux de formation représentent une partie significative des activités et jouent un rôle essentiel dans l</w:t>
      </w:r>
      <w:r w:rsidR="009F0415">
        <w:t>’</w:t>
      </w:r>
      <w:r>
        <w:t>obtention des résultats escomptés.</w:t>
      </w:r>
    </w:p>
    <w:p w:rsidR="00A7121F" w:rsidRDefault="00570562" w:rsidP="00465536">
      <w:pPr>
        <w:pStyle w:val="ONUMFS"/>
      </w:pPr>
      <w:r>
        <w:t>À la fin de 2021, 90 offices de propriété intellectuelle de pays en développement de toutes les régions utilisaient activement les Solutions opérationnelles de l</w:t>
      </w:r>
      <w:r w:rsidR="009F0415">
        <w:t>’</w:t>
      </w:r>
      <w:r>
        <w:t>OMPI à l</w:t>
      </w:r>
      <w:r w:rsidR="009F0415">
        <w:t>’</w:t>
      </w:r>
      <w:r>
        <w:t>intention des offices de propriété intellectuelle pour l</w:t>
      </w:r>
      <w:r w:rsidR="009F0415">
        <w:t>’</w:t>
      </w:r>
      <w:r>
        <w:t>administration de leurs droits de propriété intellectuelle, dans lesquelles les normes de l</w:t>
      </w:r>
      <w:r w:rsidR="009F0415">
        <w:t>’</w:t>
      </w:r>
      <w:r>
        <w:t>OMPI sont intégré</w:t>
      </w:r>
      <w:r w:rsidR="00FF0EA0">
        <w:t>es.  Ci</w:t>
      </w:r>
      <w:r>
        <w:t>nquante</w:t>
      </w:r>
      <w:r w:rsidR="00465536">
        <w:t> </w:t>
      </w:r>
      <w:r>
        <w:t>et</w:t>
      </w:r>
      <w:r w:rsidR="00465536">
        <w:t> un </w:t>
      </w:r>
      <w:r>
        <w:t>offices de propriété intellectuelle participaient à l</w:t>
      </w:r>
      <w:r w:rsidR="009F0415">
        <w:t>’</w:t>
      </w:r>
      <w:r>
        <w:t>une des plateformes d</w:t>
      </w:r>
      <w:r w:rsidR="009F0415">
        <w:t>’</w:t>
      </w:r>
      <w:r>
        <w:t>échange en ligne proposées par l</w:t>
      </w:r>
      <w:r w:rsidR="009F0415">
        <w:t>’</w:t>
      </w:r>
      <w:r>
        <w:t xml:space="preserve">OMPI </w:t>
      </w:r>
      <w:r>
        <w:lastRenderedPageBreak/>
        <w:t>(au</w:t>
      </w:r>
      <w:r w:rsidR="00465536">
        <w:t> </w:t>
      </w:r>
      <w:r>
        <w:t>système d</w:t>
      </w:r>
      <w:r w:rsidR="009F0415">
        <w:t>’</w:t>
      </w:r>
      <w:r>
        <w:t>accès centralisé aux résultats de la recherche et de l</w:t>
      </w:r>
      <w:r w:rsidR="009F0415">
        <w:t>’</w:t>
      </w:r>
      <w:r>
        <w:t>examen et au service d</w:t>
      </w:r>
      <w:r w:rsidR="009F0415">
        <w:t>’</w:t>
      </w:r>
      <w:r>
        <w:t>accès numérique aux documents de priori</w:t>
      </w:r>
      <w:r w:rsidR="00FF0EA0">
        <w:t>té).  Un</w:t>
      </w:r>
      <w:r>
        <w:t xml:space="preserve"> élément essentiel consiste à améliorer le niveau de service des offices en les aidant à proposer davantage de services en ligne pour le dépôt des demandes et la diffusion de l</w:t>
      </w:r>
      <w:r w:rsidR="009F0415">
        <w:t>’</w:t>
      </w:r>
      <w:r>
        <w:t>information en matière de propriété intellectuel</w:t>
      </w:r>
      <w:r w:rsidR="00FF0EA0">
        <w:t>le.  On</w:t>
      </w:r>
      <w:r>
        <w:t xml:space="preserve"> trouvera davantage d</w:t>
      </w:r>
      <w:r w:rsidR="009F0415">
        <w:t>’</w:t>
      </w:r>
      <w:r>
        <w:t>informations sur le site</w:t>
      </w:r>
      <w:r w:rsidR="00292BC2">
        <w:t> </w:t>
      </w:r>
      <w:r>
        <w:t>Web du programme d</w:t>
      </w:r>
      <w:r w:rsidR="009F0415">
        <w:t>’</w:t>
      </w:r>
      <w:r>
        <w:t>assistance technique de l</w:t>
      </w:r>
      <w:r w:rsidR="009F0415">
        <w:t>’</w:t>
      </w:r>
      <w:r>
        <w:t>OMPI à l</w:t>
      </w:r>
      <w:r w:rsidR="009F0415">
        <w:t>’</w:t>
      </w:r>
      <w:r>
        <w:t>intention des offices de propriété industrielle à l</w:t>
      </w:r>
      <w:r w:rsidR="009F0415">
        <w:t>’</w:t>
      </w:r>
      <w:r>
        <w:t>adresse suivante</w:t>
      </w:r>
      <w:r w:rsidR="009F0415">
        <w:t> :</w:t>
      </w:r>
      <w:r>
        <w:t xml:space="preserve"> </w:t>
      </w:r>
      <w:hyperlink r:id="rId20" w:history="1">
        <w:r w:rsidR="00292BC2">
          <w:rPr>
            <w:color w:val="0000FF"/>
            <w:u w:val="single"/>
          </w:rPr>
          <w:t>https:</w:t>
        </w:r>
        <w:r>
          <w:rPr>
            <w:color w:val="0000FF"/>
            <w:u w:val="single"/>
          </w:rPr>
          <w:t>//www.wipo.int/global_ip/fr/activities/ip_office_business_solutions/</w:t>
        </w:r>
      </w:hyperlink>
      <w:r w:rsidR="00A7121F">
        <w:t>.</w:t>
      </w:r>
    </w:p>
    <w:p w:rsidR="00570562" w:rsidRPr="00A415D3" w:rsidRDefault="00570562" w:rsidP="00465536">
      <w:pPr>
        <w:pStyle w:val="ONUMFS"/>
        <w:rPr>
          <w:color w:val="000000"/>
        </w:rPr>
      </w:pPr>
      <w:r>
        <w:t>En outre, dans le cadre du programme de l</w:t>
      </w:r>
      <w:r w:rsidR="009F0415">
        <w:t>’</w:t>
      </w:r>
      <w:r>
        <w:t>OMPI sur les bases de données mondiales, le</w:t>
      </w:r>
      <w:r w:rsidR="00465536">
        <w:t> </w:t>
      </w:r>
      <w:r>
        <w:t>Bureau international a mené un projet en collaboration avec l</w:t>
      </w:r>
      <w:r w:rsidR="009F0415">
        <w:t>’</w:t>
      </w:r>
      <w:r>
        <w:t>Office européen des brevet</w:t>
      </w:r>
      <w:r w:rsidR="00465536">
        <w:t> </w:t>
      </w:r>
      <w:r>
        <w:t>(OEB) afin d</w:t>
      </w:r>
      <w:r w:rsidR="009F0415">
        <w:t>’</w:t>
      </w:r>
      <w:r>
        <w:t>aider les offices de propriété industrielle à produire des textes intégraux se prêtant à la recherche pour les fichiers courants de leurs publications en matière de brevets dans le format</w:t>
      </w:r>
      <w:r w:rsidR="00465536">
        <w:t> </w:t>
      </w:r>
      <w:r>
        <w:t>XML de la norme ST.36 de l</w:t>
      </w:r>
      <w:r w:rsidR="009F0415">
        <w:t>’</w:t>
      </w:r>
      <w:r>
        <w:t>OMPI avec des images TIFF intégré</w:t>
      </w:r>
      <w:r w:rsidR="00FF0EA0">
        <w:t xml:space="preserve">es.  </w:t>
      </w:r>
      <w:r w:rsidR="00FF0EA0">
        <w:rPr>
          <w:color w:val="000000"/>
        </w:rPr>
        <w:t>Le</w:t>
      </w:r>
      <w:r>
        <w:rPr>
          <w:color w:val="000000"/>
        </w:rPr>
        <w:t xml:space="preserve"> Bureau international a adapté son outil de reconnaissance optique de caractères aux besoins spécifiques de chaque office, notamment en ce qui concerne la langue, la présentation et les signe</w:t>
      </w:r>
      <w:r w:rsidR="00FF0EA0">
        <w:rPr>
          <w:color w:val="000000"/>
        </w:rPr>
        <w:t>ts.  Tr</w:t>
      </w:r>
      <w:r>
        <w:rPr>
          <w:color w:val="000000"/>
        </w:rPr>
        <w:t>ente</w:t>
      </w:r>
      <w:r w:rsidR="004E1442">
        <w:rPr>
          <w:color w:val="000000"/>
        </w:rPr>
        <w:noBreakHyphen/>
      </w:r>
      <w:r>
        <w:rPr>
          <w:color w:val="000000"/>
        </w:rPr>
        <w:t>cinq</w:t>
      </w:r>
      <w:r w:rsidR="00465536">
        <w:t> </w:t>
      </w:r>
      <w:r>
        <w:rPr>
          <w:color w:val="000000"/>
        </w:rPr>
        <w:t>offices de propriété intellectuelle ont reçu le logiciel et ont été formés à l</w:t>
      </w:r>
      <w:r w:rsidR="009F0415">
        <w:rPr>
          <w:color w:val="000000"/>
        </w:rPr>
        <w:t>’</w:t>
      </w:r>
      <w:r>
        <w:rPr>
          <w:color w:val="000000"/>
        </w:rPr>
        <w:t>utiliser ces quatre</w:t>
      </w:r>
      <w:r w:rsidR="00292BC2">
        <w:rPr>
          <w:color w:val="000000"/>
        </w:rPr>
        <w:t> </w:t>
      </w:r>
      <w:r>
        <w:rPr>
          <w:color w:val="000000"/>
        </w:rPr>
        <w:t>dernières années (à l</w:t>
      </w:r>
      <w:r w:rsidR="009F0415">
        <w:rPr>
          <w:color w:val="000000"/>
        </w:rPr>
        <w:t>’</w:t>
      </w:r>
      <w:r>
        <w:rPr>
          <w:color w:val="000000"/>
        </w:rPr>
        <w:t>exception d</w:t>
      </w:r>
      <w:r w:rsidR="009F0415">
        <w:rPr>
          <w:color w:val="000000"/>
        </w:rPr>
        <w:t>’</w:t>
      </w:r>
      <w:r>
        <w:rPr>
          <w:color w:val="000000"/>
        </w:rPr>
        <w:t>un office de propriété intellectuelle pour lequel une formation sera organisée en temps voulu) et 12 d</w:t>
      </w:r>
      <w:r w:rsidR="009F0415">
        <w:rPr>
          <w:color w:val="000000"/>
        </w:rPr>
        <w:t>’</w:t>
      </w:r>
      <w:r>
        <w:rPr>
          <w:color w:val="000000"/>
        </w:rPr>
        <w:t>entre eux l</w:t>
      </w:r>
      <w:r w:rsidR="009F0415">
        <w:rPr>
          <w:color w:val="000000"/>
        </w:rPr>
        <w:t>’</w:t>
      </w:r>
      <w:r>
        <w:rPr>
          <w:color w:val="000000"/>
        </w:rPr>
        <w:t>ont intégré à leurs servic</w:t>
      </w:r>
      <w:r w:rsidR="00FF0EA0">
        <w:rPr>
          <w:color w:val="000000"/>
        </w:rPr>
        <w:t>es.  En</w:t>
      </w:r>
      <w:r>
        <w:rPr>
          <w:color w:val="000000"/>
        </w:rPr>
        <w:t xml:space="preserve"> conséquence, les documents en texte intégral publiés sont inclus et consultables aussi bien dans la base de données</w:t>
      </w:r>
      <w:r w:rsidR="00465536">
        <w:t> </w:t>
      </w:r>
      <w:r>
        <w:rPr>
          <w:color w:val="000000"/>
        </w:rPr>
        <w:t>PATENTSCOPE de l</w:t>
      </w:r>
      <w:r w:rsidR="009F0415">
        <w:rPr>
          <w:color w:val="000000"/>
        </w:rPr>
        <w:t>’</w:t>
      </w:r>
      <w:r>
        <w:rPr>
          <w:color w:val="000000"/>
        </w:rPr>
        <w:t>OMPI que dans la base</w:t>
      </w:r>
      <w:r w:rsidR="00465536">
        <w:t> </w:t>
      </w:r>
      <w:r>
        <w:rPr>
          <w:color w:val="000000"/>
        </w:rPr>
        <w:t>Espacenet de l</w:t>
      </w:r>
      <w:r w:rsidR="009F0415">
        <w:rPr>
          <w:color w:val="000000"/>
        </w:rPr>
        <w:t>’</w:t>
      </w:r>
      <w:r w:rsidR="00FF0EA0">
        <w:rPr>
          <w:color w:val="000000"/>
        </w:rPr>
        <w:t>OEB.  En</w:t>
      </w:r>
      <w:r>
        <w:rPr>
          <w:color w:val="000000"/>
        </w:rPr>
        <w:t xml:space="preserve"> raison de la pandémie de COVID</w:t>
      </w:r>
      <w:r w:rsidR="004E1442">
        <w:rPr>
          <w:color w:val="000000"/>
        </w:rPr>
        <w:noBreakHyphen/>
      </w:r>
      <w:r>
        <w:rPr>
          <w:color w:val="000000"/>
        </w:rPr>
        <w:t>19, aucune formation individuelle n</w:t>
      </w:r>
      <w:r w:rsidR="009F0415">
        <w:rPr>
          <w:color w:val="000000"/>
        </w:rPr>
        <w:t>’</w:t>
      </w:r>
      <w:r>
        <w:rPr>
          <w:color w:val="000000"/>
        </w:rPr>
        <w:t>a pu être organis</w:t>
      </w:r>
      <w:r w:rsidR="00FF0EA0">
        <w:rPr>
          <w:color w:val="000000"/>
        </w:rPr>
        <w:t>ée.  Un</w:t>
      </w:r>
      <w:r>
        <w:rPr>
          <w:color w:val="000000"/>
        </w:rPr>
        <w:t>e formation pilote en ligne a eu lieu avec trois</w:t>
      </w:r>
      <w:r w:rsidR="00292BC2">
        <w:rPr>
          <w:color w:val="000000"/>
        </w:rPr>
        <w:t> </w:t>
      </w:r>
      <w:r>
        <w:rPr>
          <w:color w:val="000000"/>
        </w:rPr>
        <w:t>offices ayant déjà été formés dans le passé mais qui n</w:t>
      </w:r>
      <w:r w:rsidR="009F0415">
        <w:rPr>
          <w:color w:val="000000"/>
        </w:rPr>
        <w:t>’</w:t>
      </w:r>
      <w:r>
        <w:rPr>
          <w:color w:val="000000"/>
        </w:rPr>
        <w:t>avaient pas pu démarrer le projet en production par manque de ressourc</w:t>
      </w:r>
      <w:r w:rsidR="00FF0EA0">
        <w:rPr>
          <w:color w:val="000000"/>
        </w:rPr>
        <w:t>es.  La</w:t>
      </w:r>
      <w:r>
        <w:rPr>
          <w:color w:val="000000"/>
        </w:rPr>
        <w:t xml:space="preserve"> formation à l</w:t>
      </w:r>
      <w:r w:rsidR="009F0415">
        <w:rPr>
          <w:color w:val="000000"/>
        </w:rPr>
        <w:t>’</w:t>
      </w:r>
      <w:r>
        <w:rPr>
          <w:color w:val="000000"/>
        </w:rPr>
        <w:t>utilisation d</w:t>
      </w:r>
      <w:r w:rsidR="009F0415">
        <w:rPr>
          <w:color w:val="000000"/>
        </w:rPr>
        <w:t>’</w:t>
      </w:r>
      <w:r>
        <w:rPr>
          <w:color w:val="000000"/>
        </w:rPr>
        <w:t>une interface utilisateur avancée à distance avec de nombreux cas particuliers dus aux données sources a été un défi et il reste à voir si un ou plusieurs de ces offices parviendront à lancer la production par la suite.</w:t>
      </w:r>
    </w:p>
    <w:p w:rsidR="00570562" w:rsidRPr="00A415D3" w:rsidRDefault="00465536" w:rsidP="00465536">
      <w:pPr>
        <w:pStyle w:val="Heading1"/>
        <w:rPr>
          <w:iCs/>
          <w:szCs w:val="28"/>
        </w:rPr>
      </w:pPr>
      <w:r>
        <w:t>Renforcement des capacités des agents des offices de propriété industrielle et des examinateurs aux fins de l</w:t>
      </w:r>
      <w:r w:rsidR="009F0415">
        <w:t>’</w:t>
      </w:r>
      <w:r>
        <w:t>utilisation des instruments internationaux</w:t>
      </w:r>
    </w:p>
    <w:p w:rsidR="00A7121F" w:rsidRDefault="00570562" w:rsidP="00465536">
      <w:pPr>
        <w:pStyle w:val="ONUMFS"/>
      </w:pPr>
      <w:r>
        <w:t>En collaboration avec les Offices de l</w:t>
      </w:r>
      <w:r w:rsidR="009F0415">
        <w:t>’</w:t>
      </w:r>
      <w:r>
        <w:t>Équipe d</w:t>
      </w:r>
      <w:r w:rsidR="009F0415">
        <w:t>’</w:t>
      </w:r>
      <w:r>
        <w:t>experts</w:t>
      </w:r>
      <w:r w:rsidR="00D773D0">
        <w:t xml:space="preserve"> du CWS</w:t>
      </w:r>
      <w:r>
        <w:t xml:space="preserve"> chargée de la norme relative aux listages des séquences, le Bureau international a amélioré la suite WIPO</w:t>
      </w:r>
      <w:r w:rsidR="00465536">
        <w:t> </w:t>
      </w:r>
      <w:r>
        <w:t>Sequence, outil logiciel commun gratuit, ce qui permettra aux déposants de demandes de brevet du monde entier de préparer un listage des séquences de nucléotides et d</w:t>
      </w:r>
      <w:r w:rsidR="009F0415">
        <w:t>’</w:t>
      </w:r>
      <w:r>
        <w:t>acides aminés conformément à la norme ST.26 de l</w:t>
      </w:r>
      <w:r w:rsidR="009F0415">
        <w:t>’</w:t>
      </w:r>
      <w:r>
        <w:t>OMPI et aidera les offices de propriété industrielle à valider les listages de séquences afin de s</w:t>
      </w:r>
      <w:r w:rsidR="009F0415">
        <w:t>’</w:t>
      </w:r>
      <w:r>
        <w:t>assurer de leur conformité avec la norme ST.26 de l</w:t>
      </w:r>
      <w:r w:rsidR="009F0415">
        <w:t>’</w:t>
      </w:r>
      <w:r>
        <w:t>OMPI.  L</w:t>
      </w:r>
      <w:r w:rsidR="009F0415">
        <w:t>’</w:t>
      </w:r>
      <w:r w:rsidR="00465536">
        <w:t>outil WIPO </w:t>
      </w:r>
      <w:r>
        <w:t>Sequence est disponible sur site</w:t>
      </w:r>
      <w:r w:rsidR="00292BC2">
        <w:t> </w:t>
      </w:r>
      <w:r>
        <w:t>Web de l</w:t>
      </w:r>
      <w:r w:rsidR="009F0415">
        <w:t>’</w:t>
      </w:r>
      <w:r>
        <w:t>OMPI à l</w:t>
      </w:r>
      <w:r w:rsidR="009F0415">
        <w:t>’</w:t>
      </w:r>
      <w:r>
        <w:t>adresse suivante</w:t>
      </w:r>
      <w:r w:rsidR="009F0415">
        <w:t> :</w:t>
      </w:r>
      <w:r>
        <w:t xml:space="preserve"> </w:t>
      </w:r>
      <w:hyperlink r:id="rId21" w:history="1">
        <w:r w:rsidR="00292BC2">
          <w:rPr>
            <w:color w:val="0000FF"/>
            <w:u w:val="single"/>
          </w:rPr>
          <w:t>https:</w:t>
        </w:r>
        <w:r>
          <w:rPr>
            <w:color w:val="0000FF"/>
            <w:u w:val="single"/>
          </w:rPr>
          <w:t>//www.wipo.int/standards/fr/sequence/index.html</w:t>
        </w:r>
      </w:hyperlink>
      <w:r w:rsidR="00A7121F">
        <w:t>.</w:t>
      </w:r>
    </w:p>
    <w:p w:rsidR="00570562" w:rsidRPr="00A415D3" w:rsidRDefault="00570562" w:rsidP="00465536">
      <w:pPr>
        <w:pStyle w:val="ONUMFS"/>
        <w:rPr>
          <w:rFonts w:eastAsia="MS Mincho"/>
          <w:szCs w:val="22"/>
        </w:rPr>
      </w:pPr>
      <w:r>
        <w:t xml:space="preserve">À la suite de ces demandes, le Bureau international a organisé des séminaires de formation via une plateforme en ligne sur la </w:t>
      </w:r>
      <w:r>
        <w:rPr>
          <w:shd w:val="clear" w:color="auto" w:fill="FFFFFF"/>
        </w:rPr>
        <w:t>classification internationale des brevets</w:t>
      </w:r>
      <w:r w:rsidR="00465536">
        <w:t> </w:t>
      </w:r>
      <w:r>
        <w:t>(CIB) à l</w:t>
      </w:r>
      <w:r w:rsidR="009F0415">
        <w:t>’</w:t>
      </w:r>
      <w:r>
        <w:t>intention de fonctionnaires et d</w:t>
      </w:r>
      <w:r w:rsidR="009F0415">
        <w:t>’</w:t>
      </w:r>
      <w:r>
        <w:t>examinateurs du Département de la propriété industrielle, l</w:t>
      </w:r>
      <w:r w:rsidR="009F0415">
        <w:t>’</w:t>
      </w:r>
      <w:r>
        <w:t>Organisation centrale de normalisation et de contrôle de la qualité</w:t>
      </w:r>
      <w:r w:rsidR="00465536">
        <w:t> </w:t>
      </w:r>
      <w:r>
        <w:t>(COSQC), Ministère de la planification</w:t>
      </w:r>
      <w:r w:rsidR="00465536">
        <w:t> </w:t>
      </w:r>
      <w:r>
        <w:t>(Iraq), les</w:t>
      </w:r>
      <w:r w:rsidR="00465536">
        <w:t> </w:t>
      </w:r>
      <w:r>
        <w:t>5</w:t>
      </w:r>
      <w:r w:rsidR="00465536">
        <w:t> </w:t>
      </w:r>
      <w:r>
        <w:t>et</w:t>
      </w:r>
      <w:r w:rsidR="00465536">
        <w:t> </w:t>
      </w:r>
      <w:r>
        <w:t>6 </w:t>
      </w:r>
      <w:r w:rsidR="00D773D0">
        <w:t>juillet 20</w:t>
      </w:r>
      <w:r>
        <w:t>21, et de fonctionnaires et d</w:t>
      </w:r>
      <w:r w:rsidR="009F0415">
        <w:t>’</w:t>
      </w:r>
      <w:r>
        <w:t>examinateurs de la Division de la propriété industrielle, Ministère de l</w:t>
      </w:r>
      <w:r w:rsidR="009F0415">
        <w:t>’</w:t>
      </w:r>
      <w:r>
        <w:t>économie nationale</w:t>
      </w:r>
      <w:r w:rsidR="00465536">
        <w:t> </w:t>
      </w:r>
      <w:r>
        <w:t>(Palestine), les</w:t>
      </w:r>
      <w:r w:rsidR="00465536">
        <w:t> </w:t>
      </w:r>
      <w:r>
        <w:t>11</w:t>
      </w:r>
      <w:r w:rsidR="00465536">
        <w:t> </w:t>
      </w:r>
      <w:r>
        <w:t>et</w:t>
      </w:r>
      <w:r w:rsidR="00465536">
        <w:t> </w:t>
      </w:r>
      <w:r>
        <w:t>12 </w:t>
      </w:r>
      <w:r w:rsidR="00D773D0">
        <w:t>octobre 20</w:t>
      </w:r>
      <w:r>
        <w:t>21.  Le programme de formation portait notamment sur l</w:t>
      </w:r>
      <w:r w:rsidR="009F0415">
        <w:t>’</w:t>
      </w:r>
      <w:r>
        <w:t>utilisation des normes pertinentes de l</w:t>
      </w:r>
      <w:r w:rsidR="009F0415">
        <w:t>’</w:t>
      </w:r>
      <w:r>
        <w:t>OMPI.</w:t>
      </w:r>
    </w:p>
    <w:p w:rsidR="00570562" w:rsidRPr="00A415D3" w:rsidRDefault="00570562" w:rsidP="00465536">
      <w:pPr>
        <w:pStyle w:val="ONUMFS"/>
        <w:keepNext/>
        <w:rPr>
          <w:rFonts w:eastAsia="MS Mincho"/>
          <w:szCs w:val="22"/>
        </w:rPr>
      </w:pPr>
      <w:r>
        <w:t>Suite à des demandes, les cours et séminaires de formation ci</w:t>
      </w:r>
      <w:r w:rsidR="004E1442">
        <w:noBreakHyphen/>
      </w:r>
      <w:r>
        <w:t>après sur l</w:t>
      </w:r>
      <w:r w:rsidR="009F0415">
        <w:t>’</w:t>
      </w:r>
      <w:r>
        <w:t xml:space="preserve">utilisation des classifications internationales pour les marques et les dessins et modèles industriels ont été organisés de façon virtuelle </w:t>
      </w:r>
      <w:r w:rsidR="00D773D0">
        <w:t>en 2021</w:t>
      </w:r>
      <w:r>
        <w:t xml:space="preserve"> à l</w:t>
      </w:r>
      <w:r w:rsidR="009F0415">
        <w:t>’</w:t>
      </w:r>
      <w:r>
        <w:t xml:space="preserve">intention des fonctionnaires et examinateurs des offices </w:t>
      </w:r>
      <w:r>
        <w:lastRenderedPageBreak/>
        <w:t>de propriété intellectuel</w:t>
      </w:r>
      <w:r w:rsidR="00FF0EA0">
        <w:t>le.  Da</w:t>
      </w:r>
      <w:r>
        <w:t>ns le cadre des manifestations ci</w:t>
      </w:r>
      <w:r w:rsidR="004E1442">
        <w:noBreakHyphen/>
      </w:r>
      <w:r>
        <w:t>après, la pertinence des normes de l</w:t>
      </w:r>
      <w:r w:rsidR="009F0415">
        <w:t>’</w:t>
      </w:r>
      <w:r>
        <w:t>OMPI concernées a fait l</w:t>
      </w:r>
      <w:r w:rsidR="009F0415">
        <w:t>’</w:t>
      </w:r>
      <w:r>
        <w:t>objet d</w:t>
      </w:r>
      <w:r w:rsidR="009F0415">
        <w:t>’</w:t>
      </w:r>
      <w:r>
        <w:t>un exposé</w:t>
      </w:r>
      <w:r w:rsidR="009F0415">
        <w:t> :</w:t>
      </w:r>
    </w:p>
    <w:p w:rsidR="00570562" w:rsidRPr="00A415D3" w:rsidRDefault="00A7121F" w:rsidP="00DB36B8">
      <w:pPr>
        <w:numPr>
          <w:ilvl w:val="0"/>
          <w:numId w:val="8"/>
        </w:numPr>
        <w:spacing w:after="120"/>
        <w:ind w:left="1134" w:hanging="567"/>
        <w:rPr>
          <w:rFonts w:eastAsia="MS Mincho"/>
          <w:szCs w:val="22"/>
        </w:rPr>
      </w:pPr>
      <w:r>
        <w:t>f</w:t>
      </w:r>
      <w:r w:rsidR="00570562">
        <w:t>ormation sur la classification de Vienne à l</w:t>
      </w:r>
      <w:r w:rsidR="009F0415">
        <w:t>’</w:t>
      </w:r>
      <w:r w:rsidR="00570562">
        <w:t>intention des examinateurs de marques de l</w:t>
      </w:r>
      <w:r w:rsidR="009F0415">
        <w:t>’</w:t>
      </w:r>
      <w:r w:rsidR="00570562">
        <w:t>Office de la propriété intellectuelle de la République islamique d</w:t>
      </w:r>
      <w:r w:rsidR="009F0415">
        <w:t>’</w:t>
      </w:r>
      <w:r w:rsidR="00570562">
        <w:t>Iran, du</w:t>
      </w:r>
      <w:r w:rsidR="00465536">
        <w:t> </w:t>
      </w:r>
      <w:r w:rsidR="00570562">
        <w:t>6</w:t>
      </w:r>
      <w:r w:rsidR="00465536">
        <w:t> </w:t>
      </w:r>
      <w:r w:rsidR="00570562">
        <w:t>au</w:t>
      </w:r>
      <w:r w:rsidR="00465536">
        <w:t> </w:t>
      </w:r>
      <w:r w:rsidR="00570562">
        <w:t>1</w:t>
      </w:r>
      <w:r w:rsidR="00D773D0">
        <w:t>2 juillet 20</w:t>
      </w:r>
      <w:r w:rsidR="00570562">
        <w:t>21;</w:t>
      </w:r>
    </w:p>
    <w:p w:rsidR="00570562" w:rsidRPr="00A415D3" w:rsidRDefault="00A7121F" w:rsidP="00DB36B8">
      <w:pPr>
        <w:numPr>
          <w:ilvl w:val="0"/>
          <w:numId w:val="8"/>
        </w:numPr>
        <w:spacing w:after="120"/>
        <w:ind w:left="1134" w:hanging="567"/>
        <w:rPr>
          <w:rFonts w:eastAsia="MS Mincho"/>
          <w:szCs w:val="22"/>
        </w:rPr>
      </w:pPr>
      <w:r>
        <w:t>f</w:t>
      </w:r>
      <w:r w:rsidR="00570562">
        <w:t>ormation sur la classification de Vienne à l</w:t>
      </w:r>
      <w:r w:rsidR="009F0415">
        <w:t>’</w:t>
      </w:r>
      <w:r w:rsidR="00570562">
        <w:t>intention des examinateurs de marques de l</w:t>
      </w:r>
      <w:r w:rsidR="009F0415">
        <w:t>’</w:t>
      </w:r>
      <w:r w:rsidR="00570562">
        <w:t>Office de la propriété intellectuelle de la Namibie, le</w:t>
      </w:r>
      <w:r w:rsidR="00465536">
        <w:t> </w:t>
      </w:r>
      <w:r w:rsidR="00570562">
        <w:t>1</w:t>
      </w:r>
      <w:r w:rsidR="00D773D0">
        <w:t>8 août 20</w:t>
      </w:r>
      <w:r w:rsidR="00570562">
        <w:t>21;</w:t>
      </w:r>
    </w:p>
    <w:p w:rsidR="00D773D0" w:rsidRDefault="00A7121F" w:rsidP="00DB36B8">
      <w:pPr>
        <w:numPr>
          <w:ilvl w:val="0"/>
          <w:numId w:val="8"/>
        </w:numPr>
        <w:spacing w:after="120"/>
        <w:ind w:left="1134" w:hanging="567"/>
      </w:pPr>
      <w:r>
        <w:t>f</w:t>
      </w:r>
      <w:r w:rsidR="00570562">
        <w:t>ormation sur les classifications de Nice et de Vienne à l</w:t>
      </w:r>
      <w:r w:rsidR="009F0415">
        <w:t>’</w:t>
      </w:r>
      <w:r w:rsidR="00570562">
        <w:t>intention des examinateurs de marques de l</w:t>
      </w:r>
      <w:r w:rsidR="009F0415">
        <w:t>’</w:t>
      </w:r>
      <w:r w:rsidR="00570562">
        <w:t>Office kényan de la propriété intellectuelle, du</w:t>
      </w:r>
      <w:r w:rsidR="00465536">
        <w:t> </w:t>
      </w:r>
      <w:r w:rsidR="00570562">
        <w:t>20</w:t>
      </w:r>
      <w:r w:rsidR="00465536">
        <w:t> </w:t>
      </w:r>
      <w:r w:rsidR="00570562">
        <w:t>au</w:t>
      </w:r>
      <w:r w:rsidR="00465536">
        <w:t> </w:t>
      </w:r>
      <w:r w:rsidR="00570562">
        <w:t>2</w:t>
      </w:r>
      <w:r w:rsidR="00D773D0">
        <w:t>2 septembre 20</w:t>
      </w:r>
      <w:r w:rsidR="00570562">
        <w:t>21;</w:t>
      </w:r>
    </w:p>
    <w:p w:rsidR="00570562" w:rsidRPr="00A415D3" w:rsidRDefault="00A7121F" w:rsidP="00DB36B8">
      <w:pPr>
        <w:numPr>
          <w:ilvl w:val="0"/>
          <w:numId w:val="8"/>
        </w:numPr>
        <w:spacing w:after="120"/>
        <w:ind w:left="1134" w:hanging="567"/>
        <w:rPr>
          <w:rFonts w:eastAsia="MS Mincho"/>
          <w:szCs w:val="22"/>
        </w:rPr>
      </w:pPr>
      <w:r>
        <w:t>f</w:t>
      </w:r>
      <w:r w:rsidR="00570562">
        <w:t xml:space="preserve">ormation sur les classifications de Nice et de Vienne, Palestine, </w:t>
      </w:r>
      <w:r w:rsidR="00465536">
        <w:t>le </w:t>
      </w:r>
      <w:r w:rsidR="00570562">
        <w:t>1</w:t>
      </w:r>
      <w:r w:rsidR="00D773D0">
        <w:t>3 octobre 20</w:t>
      </w:r>
      <w:r w:rsidR="00570562">
        <w:t>21;</w:t>
      </w:r>
    </w:p>
    <w:p w:rsidR="00570562" w:rsidRPr="00A415D3" w:rsidRDefault="00A7121F" w:rsidP="00DB36B8">
      <w:pPr>
        <w:numPr>
          <w:ilvl w:val="0"/>
          <w:numId w:val="8"/>
        </w:numPr>
        <w:spacing w:after="120"/>
        <w:ind w:left="1134" w:hanging="567"/>
        <w:rPr>
          <w:rFonts w:eastAsia="MS Mincho"/>
          <w:szCs w:val="22"/>
        </w:rPr>
      </w:pPr>
      <w:r>
        <w:t>f</w:t>
      </w:r>
      <w:r w:rsidR="00570562">
        <w:t>ormation sur la classification de Locarno à l</w:t>
      </w:r>
      <w:r w:rsidR="009F0415">
        <w:t>’</w:t>
      </w:r>
      <w:r w:rsidR="00570562">
        <w:t>intention des examinateurs de dessins et modèles, de l</w:t>
      </w:r>
      <w:r w:rsidR="009F0415">
        <w:t>’</w:t>
      </w:r>
      <w:r w:rsidR="00570562">
        <w:t>Office de la propriété intellectuelle de l</w:t>
      </w:r>
      <w:r w:rsidR="009F0415">
        <w:t>’</w:t>
      </w:r>
      <w:r w:rsidR="00570562">
        <w:t>Indonésie, le</w:t>
      </w:r>
      <w:r w:rsidR="00465536">
        <w:t> </w:t>
      </w:r>
      <w:r w:rsidR="00570562">
        <w:t>2</w:t>
      </w:r>
      <w:r w:rsidR="00D773D0">
        <w:t>1 octobre 20</w:t>
      </w:r>
      <w:r w:rsidR="00570562">
        <w:t>21;</w:t>
      </w:r>
    </w:p>
    <w:p w:rsidR="00D773D0" w:rsidRDefault="00A7121F" w:rsidP="00DB36B8">
      <w:pPr>
        <w:numPr>
          <w:ilvl w:val="0"/>
          <w:numId w:val="8"/>
        </w:numPr>
        <w:spacing w:after="120"/>
        <w:ind w:left="1134" w:hanging="567"/>
      </w:pPr>
      <w:r>
        <w:t>f</w:t>
      </w:r>
      <w:r w:rsidR="00570562">
        <w:t>ormation sur les classifications de Locarno et de Vienne à l</w:t>
      </w:r>
      <w:r w:rsidR="009F0415">
        <w:t>’</w:t>
      </w:r>
      <w:r w:rsidR="00570562">
        <w:t>intention des examinateurs de marques et de dessins et modèles de l</w:t>
      </w:r>
      <w:r w:rsidR="009F0415">
        <w:t>’</w:t>
      </w:r>
      <w:r w:rsidR="00570562">
        <w:t>Office de la propriété intellectuelle de l</w:t>
      </w:r>
      <w:r w:rsidR="009F0415">
        <w:t>’</w:t>
      </w:r>
      <w:r w:rsidR="00570562">
        <w:t>Égypte, le</w:t>
      </w:r>
      <w:r w:rsidR="00465536">
        <w:t> </w:t>
      </w:r>
      <w:r w:rsidR="00D773D0">
        <w:t>3 novembre 20</w:t>
      </w:r>
      <w:r w:rsidR="00570562">
        <w:t xml:space="preserve">21; </w:t>
      </w:r>
      <w:r w:rsidR="00292BC2">
        <w:t xml:space="preserve"> </w:t>
      </w:r>
      <w:r w:rsidR="00570562">
        <w:t>et</w:t>
      </w:r>
    </w:p>
    <w:p w:rsidR="00570562" w:rsidRPr="00A415D3" w:rsidRDefault="00A7121F" w:rsidP="00DB36B8">
      <w:pPr>
        <w:numPr>
          <w:ilvl w:val="0"/>
          <w:numId w:val="8"/>
        </w:numPr>
        <w:spacing w:after="220"/>
        <w:ind w:left="1134" w:hanging="567"/>
        <w:rPr>
          <w:rFonts w:eastAsia="MS Mincho"/>
          <w:szCs w:val="22"/>
        </w:rPr>
      </w:pPr>
      <w:r>
        <w:t>f</w:t>
      </w:r>
      <w:r w:rsidR="00570562">
        <w:t>ormation sur la classification de Nice à l</w:t>
      </w:r>
      <w:r w:rsidR="009F0415">
        <w:t>’</w:t>
      </w:r>
      <w:r w:rsidR="00570562">
        <w:t>intention des examinateurs de marques de l</w:t>
      </w:r>
      <w:r w:rsidR="009F0415">
        <w:t>’</w:t>
      </w:r>
      <w:r w:rsidR="00570562">
        <w:t>Office de la propriété intellectuelle du Cambodge, du</w:t>
      </w:r>
      <w:r w:rsidR="00465536">
        <w:t> </w:t>
      </w:r>
      <w:r w:rsidR="00570562">
        <w:t>10</w:t>
      </w:r>
      <w:r w:rsidR="00465536">
        <w:t> </w:t>
      </w:r>
      <w:r w:rsidR="00570562">
        <w:t>au</w:t>
      </w:r>
      <w:r w:rsidR="00465536">
        <w:t> </w:t>
      </w:r>
      <w:r w:rsidR="00570562">
        <w:t>1</w:t>
      </w:r>
      <w:r w:rsidR="00D773D0">
        <w:t>2 novembre 20</w:t>
      </w:r>
      <w:r w:rsidR="00570562">
        <w:t>21.</w:t>
      </w:r>
    </w:p>
    <w:p w:rsidR="00570562" w:rsidRPr="00A415D3" w:rsidRDefault="00570562" w:rsidP="00465536">
      <w:pPr>
        <w:pStyle w:val="Heading1"/>
        <w:rPr>
          <w:iCs/>
          <w:szCs w:val="28"/>
        </w:rPr>
      </w:pPr>
      <w:r>
        <w:t>Faire mieux connaître les normes de l</w:t>
      </w:r>
      <w:r w:rsidR="009F0415">
        <w:t>’</w:t>
      </w:r>
      <w:r>
        <w:t>OMPI</w:t>
      </w:r>
    </w:p>
    <w:p w:rsidR="00570562" w:rsidRPr="00A415D3" w:rsidRDefault="00570562" w:rsidP="00465536">
      <w:pPr>
        <w:pStyle w:val="ONUMFS"/>
      </w:pPr>
      <w:r>
        <w:t>Afin de faire mieux connaître les normes de l</w:t>
      </w:r>
      <w:r w:rsidR="009F0415">
        <w:t>’</w:t>
      </w:r>
      <w:r>
        <w:t>OMPI dans les pays en développement et de faciliter la participation physique d</w:t>
      </w:r>
      <w:r w:rsidR="009F0415">
        <w:t>’</w:t>
      </w:r>
      <w:r>
        <w:t>un plus grand nombre de ces pays à l</w:t>
      </w:r>
      <w:r w:rsidR="009F0415">
        <w:t>’</w:t>
      </w:r>
      <w:r>
        <w:t>élaboration d</w:t>
      </w:r>
      <w:r w:rsidR="009F0415">
        <w:t>’</w:t>
      </w:r>
      <w:r>
        <w:t>une ou plusieurs normes de l</w:t>
      </w:r>
      <w:r w:rsidR="009F0415">
        <w:t>’</w:t>
      </w:r>
      <w:r>
        <w:t>OMPI nouvelles ou révisées, comme suite à la décision prise par l</w:t>
      </w:r>
      <w:r w:rsidR="009F0415">
        <w:t>’</w:t>
      </w:r>
      <w:r>
        <w:t xml:space="preserve">Assemblée générale en </w:t>
      </w:r>
      <w:r w:rsidR="00D773D0">
        <w:t>octobre 20</w:t>
      </w:r>
      <w:r>
        <w:t>11, la participation à la sept</w:t>
      </w:r>
      <w:r w:rsidR="009F0415">
        <w:t>ième session</w:t>
      </w:r>
      <w:r>
        <w:t xml:space="preserve"> du CWS de sept</w:t>
      </w:r>
      <w:r w:rsidR="00292BC2">
        <w:t> </w:t>
      </w:r>
      <w:r>
        <w:t>pays en développement ou parmi les moins avancés</w:t>
      </w:r>
      <w:r w:rsidR="00465536">
        <w:t> </w:t>
      </w:r>
      <w:r>
        <w:t>(PMA) a été financée par le Bureau international.</w:t>
      </w:r>
    </w:p>
    <w:p w:rsidR="00570562" w:rsidRPr="00A415D3" w:rsidRDefault="00465536" w:rsidP="00465536">
      <w:pPr>
        <w:pStyle w:val="Heading1"/>
        <w:rPr>
          <w:iCs/>
          <w:szCs w:val="28"/>
        </w:rPr>
      </w:pPr>
      <w:r>
        <w:t>Échange de données en matière de propriété intellectuelle</w:t>
      </w:r>
    </w:p>
    <w:p w:rsidR="00570562" w:rsidRPr="00A415D3" w:rsidRDefault="00570562" w:rsidP="00465536">
      <w:pPr>
        <w:pStyle w:val="ONUMFS"/>
      </w:pPr>
      <w:r>
        <w:t>Le Bureau international a collaboré avec de nombreux offices de propriété industrielle, notamment dans certains groupes de pays en développement, pour promouvoir l</w:t>
      </w:r>
      <w:r w:rsidR="009F0415">
        <w:t>’</w:t>
      </w:r>
      <w:r>
        <w:t>échange de données en matière de propriété intellectuelle en vue d</w:t>
      </w:r>
      <w:r w:rsidR="009F0415">
        <w:t>’</w:t>
      </w:r>
      <w:r>
        <w:t>améliorer l</w:t>
      </w:r>
      <w:r w:rsidR="009F0415">
        <w:t>’</w:t>
      </w:r>
      <w:r>
        <w:t>accès des utilisateurs de ces pays à l</w:t>
      </w:r>
      <w:r w:rsidR="009F0415">
        <w:t>’</w:t>
      </w:r>
      <w:r>
        <w:t>information en matière de propriété intellectuelle provenant de ces offic</w:t>
      </w:r>
      <w:r w:rsidR="00FF0EA0">
        <w:t>es.  L’é</w:t>
      </w:r>
      <w:r>
        <w:t>change de données en matière de propriété intellectuelle a été organisé conformément aux normes applicables de l</w:t>
      </w:r>
      <w:r w:rsidR="009F0415">
        <w:t>’</w:t>
      </w:r>
      <w:r>
        <w:t>O</w:t>
      </w:r>
      <w:r w:rsidR="00FF0EA0">
        <w:t>MPI.  Le</w:t>
      </w:r>
      <w:r>
        <w:t>s collections de marques des pays ci</w:t>
      </w:r>
      <w:r w:rsidR="004E1442">
        <w:noBreakHyphen/>
      </w:r>
      <w:r>
        <w:t>après ont été intégrées à la Base de données mondiale sur les marques au cours de l</w:t>
      </w:r>
      <w:r w:rsidR="009F0415">
        <w:t>’</w:t>
      </w:r>
      <w:r>
        <w:t>année</w:t>
      </w:r>
      <w:r w:rsidR="00A7121F">
        <w:t> </w:t>
      </w:r>
      <w:r>
        <w:t>2021 dans l</w:t>
      </w:r>
      <w:r w:rsidR="009F0415">
        <w:t>’</w:t>
      </w:r>
      <w:r>
        <w:t>ordre chronologique</w:t>
      </w:r>
      <w:r w:rsidR="009F0415">
        <w:t> :</w:t>
      </w:r>
      <w:r>
        <w:rPr>
          <w:color w:val="000000"/>
        </w:rPr>
        <w:t xml:space="preserve"> </w:t>
      </w:r>
      <w:r>
        <w:t xml:space="preserve">Cuba, Kirghizistan, Vanuatu et Zambie; </w:t>
      </w:r>
      <w:r w:rsidR="00292BC2">
        <w:t xml:space="preserve"> </w:t>
      </w:r>
      <w:r>
        <w:t>les collections de brevets des pays ci</w:t>
      </w:r>
      <w:r w:rsidR="004E1442">
        <w:noBreakHyphen/>
      </w:r>
      <w:r>
        <w:t>après ont été intégrées à la base de données PATENTSCOPE au cours de l</w:t>
      </w:r>
      <w:r w:rsidR="009F0415">
        <w:t>’</w:t>
      </w:r>
      <w:r>
        <w:t>année</w:t>
      </w:r>
      <w:r w:rsidR="00A7121F">
        <w:t> </w:t>
      </w:r>
      <w:r>
        <w:t>2021</w:t>
      </w:r>
      <w:r w:rsidR="009F0415">
        <w:t> :</w:t>
      </w:r>
      <w:r>
        <w:t xml:space="preserve"> Finlande, Kazakhstan, Nouvelle</w:t>
      </w:r>
      <w:r w:rsidR="004E1442">
        <w:noBreakHyphen/>
      </w:r>
      <w:r>
        <w:t>Zélande et Polog</w:t>
      </w:r>
      <w:r w:rsidR="00FF0EA0">
        <w:t>ne.  Le</w:t>
      </w:r>
      <w:r>
        <w:t>s collections de dessins et modèles industriels de Cuba, de l</w:t>
      </w:r>
      <w:r w:rsidR="009F0415">
        <w:t>’</w:t>
      </w:r>
      <w:r>
        <w:t>Indonésie, du Pérou, de Singapour et du Viet</w:t>
      </w:r>
      <w:r w:rsidR="00292BC2">
        <w:t> </w:t>
      </w:r>
      <w:r>
        <w:t>Nam ont également été ajoutées à la Base de données mondiale sur les dessins et modèles de l</w:t>
      </w:r>
      <w:r w:rsidR="009F0415">
        <w:t>’</w:t>
      </w:r>
      <w:r>
        <w:t xml:space="preserve">OMPI </w:t>
      </w:r>
      <w:r w:rsidR="00D773D0">
        <w:t>en 2021</w:t>
      </w:r>
      <w:r>
        <w:t>.</w:t>
      </w:r>
    </w:p>
    <w:p w:rsidR="00570562" w:rsidRPr="00465536" w:rsidRDefault="00D773D0" w:rsidP="00465536">
      <w:pPr>
        <w:pStyle w:val="ONUMFS"/>
        <w:ind w:left="5533"/>
        <w:rPr>
          <w:i/>
        </w:rPr>
      </w:pPr>
      <w:r w:rsidRPr="00465536">
        <w:rPr>
          <w:i/>
        </w:rPr>
        <w:t>Le CWS</w:t>
      </w:r>
      <w:r w:rsidR="00570562" w:rsidRPr="00465536">
        <w:rPr>
          <w:i/>
        </w:rPr>
        <w:t xml:space="preserve"> est invité à prendre note des activités menées par le Bureau international en 2021 en ce qui concerne la prestation de services consultatifs et d</w:t>
      </w:r>
      <w:r w:rsidR="009F0415">
        <w:rPr>
          <w:i/>
        </w:rPr>
        <w:t>’</w:t>
      </w:r>
      <w:r w:rsidR="00570562" w:rsidRPr="00465536">
        <w:rPr>
          <w:i/>
        </w:rPr>
        <w:t xml:space="preserve">assistance technique aux fins du renforcement des capacités des offices de propriété </w:t>
      </w:r>
      <w:r w:rsidR="00570562" w:rsidRPr="00465536">
        <w:rPr>
          <w:i/>
        </w:rPr>
        <w:lastRenderedPageBreak/>
        <w:t>industrielle portant sur la diffusion de l</w:t>
      </w:r>
      <w:r w:rsidR="009F0415">
        <w:rPr>
          <w:i/>
        </w:rPr>
        <w:t>’</w:t>
      </w:r>
      <w:r w:rsidR="00570562" w:rsidRPr="00465536">
        <w:rPr>
          <w:i/>
        </w:rPr>
        <w:t>information en matière de normes de propriété intellectuel</w:t>
      </w:r>
      <w:r w:rsidR="00FF0EA0" w:rsidRPr="00465536">
        <w:rPr>
          <w:i/>
        </w:rPr>
        <w:t>le</w:t>
      </w:r>
      <w:r w:rsidR="00FF0EA0">
        <w:rPr>
          <w:i/>
        </w:rPr>
        <w:t xml:space="preserve">.  </w:t>
      </w:r>
      <w:r w:rsidR="00FF0EA0" w:rsidRPr="00465536">
        <w:rPr>
          <w:i/>
        </w:rPr>
        <w:t>Le</w:t>
      </w:r>
      <w:r w:rsidR="00570562" w:rsidRPr="00465536">
        <w:rPr>
          <w:i/>
        </w:rPr>
        <w:t xml:space="preserve"> présent document servira de base au rapport qui sera présenté à l</w:t>
      </w:r>
      <w:r w:rsidR="009F0415">
        <w:rPr>
          <w:i/>
        </w:rPr>
        <w:t>’</w:t>
      </w:r>
      <w:r w:rsidR="00570562" w:rsidRPr="00465536">
        <w:rPr>
          <w:i/>
        </w:rPr>
        <w:t>Assemblée générale de l</w:t>
      </w:r>
      <w:r w:rsidR="009F0415">
        <w:rPr>
          <w:i/>
        </w:rPr>
        <w:t>’</w:t>
      </w:r>
      <w:r w:rsidR="00570562" w:rsidRPr="00465536">
        <w:rPr>
          <w:i/>
        </w:rPr>
        <w:t>OMPI à sa session de 2023, conformément à la demande formulée par cette dernière à sa quarant</w:t>
      </w:r>
      <w:r w:rsidR="009F0415">
        <w:rPr>
          <w:i/>
        </w:rPr>
        <w:t>ième session</w:t>
      </w:r>
      <w:r w:rsidR="00570562" w:rsidRPr="00465536">
        <w:rPr>
          <w:i/>
        </w:rPr>
        <w:t xml:space="preserve"> tenue en octobre 2011 (voir le paragraphe 190 du </w:t>
      </w:r>
      <w:r w:rsidR="009F0415" w:rsidRPr="00465536">
        <w:rPr>
          <w:i/>
        </w:rPr>
        <w:t>document</w:t>
      </w:r>
      <w:r w:rsidR="009F0415">
        <w:rPr>
          <w:i/>
        </w:rPr>
        <w:t xml:space="preserve"> </w:t>
      </w:r>
      <w:r w:rsidR="009F0415" w:rsidRPr="00465536">
        <w:rPr>
          <w:i/>
        </w:rPr>
        <w:t>WO</w:t>
      </w:r>
      <w:r w:rsidR="00570562" w:rsidRPr="00465536">
        <w:rPr>
          <w:i/>
        </w:rPr>
        <w:t>/GA/40/19).</w:t>
      </w:r>
    </w:p>
    <w:p w:rsidR="00570562" w:rsidRDefault="00570562" w:rsidP="00465536">
      <w:pPr>
        <w:pStyle w:val="Endofdocument-Annex"/>
        <w:spacing w:before="720"/>
      </w:pPr>
      <w:r>
        <w:t>[Fin du document]</w:t>
      </w:r>
    </w:p>
    <w:sectPr w:rsidR="00570562" w:rsidSect="00465536">
      <w:headerReference w:type="default" r:id="rId2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562" w:rsidRDefault="00570562">
      <w:r>
        <w:separator/>
      </w:r>
    </w:p>
  </w:endnote>
  <w:endnote w:type="continuationSeparator" w:id="0">
    <w:p w:rsidR="00570562" w:rsidRPr="009D30E6" w:rsidRDefault="0057056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70562" w:rsidRPr="009D30E6" w:rsidRDefault="0057056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570562" w:rsidRPr="009D30E6" w:rsidRDefault="0057056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B8" w:rsidRDefault="00DB3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62" w:rsidRDefault="005705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62" w:rsidRDefault="00570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562" w:rsidRDefault="00570562">
      <w:r>
        <w:separator/>
      </w:r>
    </w:p>
  </w:footnote>
  <w:footnote w:type="continuationSeparator" w:id="0">
    <w:p w:rsidR="00570562" w:rsidRDefault="00570562" w:rsidP="007461F1">
      <w:r>
        <w:separator/>
      </w:r>
    </w:p>
    <w:p w:rsidR="00570562" w:rsidRPr="009D30E6" w:rsidRDefault="0057056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570562" w:rsidRPr="009D30E6" w:rsidRDefault="0057056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570562" w:rsidRPr="004A135F" w:rsidRDefault="00570562" w:rsidP="00570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6116">
        <w:tab/>
      </w:r>
      <w:hyperlink r:id="rId1" w:history="1">
        <w:r>
          <w:rPr>
            <w:rStyle w:val="Hyperlink"/>
          </w:rPr>
          <w:t>https://www.wipo.int/meetings/fr/doc_details.jsp?doc_id=600591</w:t>
        </w:r>
      </w:hyperlink>
      <w:bookmarkStart w:id="5" w:name="_GoBack"/>
      <w:bookmarkEnd w:id="5"/>
      <w:r w:rsidR="00F26116" w:rsidRPr="00F26116">
        <w:rPr>
          <w:rStyle w:val="Hyperlink"/>
          <w:color w:val="auto"/>
          <w:u w:val="none"/>
        </w:rPr>
        <w:t>.</w:t>
      </w:r>
    </w:p>
  </w:footnote>
  <w:footnote w:id="3">
    <w:p w:rsidR="00570562" w:rsidRPr="00F26116" w:rsidRDefault="00570562" w:rsidP="00570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6116">
        <w:tab/>
      </w:r>
      <w:r>
        <w:t>Le rapport est publié à l</w:t>
      </w:r>
      <w:r w:rsidR="0028350C">
        <w:t>’</w:t>
      </w:r>
      <w:r>
        <w:t>adresse suivante</w:t>
      </w:r>
      <w:r w:rsidR="0028350C">
        <w:t> :</w:t>
      </w:r>
      <w:r>
        <w:t xml:space="preserve"> </w:t>
      </w:r>
      <w:hyperlink r:id="rId2" w:history="1">
        <w:r>
          <w:rPr>
            <w:rStyle w:val="Hyperlink"/>
          </w:rPr>
          <w:t>https://www.wipo.int/export/sites/www/about</w:t>
        </w:r>
        <w:r w:rsidR="0028350C">
          <w:rPr>
            <w:rStyle w:val="Hyperlink"/>
          </w:rPr>
          <w:t>-</w:t>
        </w:r>
        <w:r>
          <w:rPr>
            <w:rStyle w:val="Hyperlink"/>
          </w:rPr>
          <w:t>wipo/en/oversight/docs/iaod/evaluation/220216</w:t>
        </w:r>
        <w:r w:rsidR="0028350C">
          <w:rPr>
            <w:rStyle w:val="Hyperlink"/>
          </w:rPr>
          <w:t>-</w:t>
        </w:r>
        <w:r>
          <w:rPr>
            <w:rStyle w:val="Hyperlink"/>
          </w:rPr>
          <w:t>evaluation</w:t>
        </w:r>
        <w:r w:rsidR="0028350C">
          <w:rPr>
            <w:rStyle w:val="Hyperlink"/>
          </w:rPr>
          <w:t>-</w:t>
        </w:r>
        <w:r>
          <w:rPr>
            <w:rStyle w:val="Hyperlink"/>
          </w:rPr>
          <w:t>WIPO</w:t>
        </w:r>
        <w:r w:rsidR="0028350C">
          <w:rPr>
            <w:rStyle w:val="Hyperlink"/>
          </w:rPr>
          <w:t>-</w:t>
        </w:r>
        <w:r>
          <w:rPr>
            <w:rStyle w:val="Hyperlink"/>
          </w:rPr>
          <w:t>standing</w:t>
        </w:r>
        <w:r w:rsidR="0028350C">
          <w:rPr>
            <w:rStyle w:val="Hyperlink"/>
          </w:rPr>
          <w:t>-</w:t>
        </w:r>
        <w:r>
          <w:rPr>
            <w:rStyle w:val="Hyperlink"/>
          </w:rPr>
          <w:t>committees</w:t>
        </w:r>
        <w:r w:rsidR="0028350C">
          <w:rPr>
            <w:rStyle w:val="Hyperlink"/>
          </w:rPr>
          <w:t>-</w:t>
        </w:r>
        <w:r>
          <w:rPr>
            <w:rStyle w:val="Hyperlink"/>
          </w:rPr>
          <w:t>summary.pdf</w:t>
        </w:r>
      </w:hyperlink>
      <w:r w:rsidR="00F26116">
        <w:rPr>
          <w:rStyle w:val="Hyperlink"/>
          <w:color w:val="auto"/>
          <w:u w:val="none"/>
        </w:rPr>
        <w:t>.</w:t>
      </w:r>
    </w:p>
  </w:footnote>
  <w:footnote w:id="4">
    <w:p w:rsidR="00570562" w:rsidRPr="00484B3E" w:rsidRDefault="00570562" w:rsidP="00570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84B3E">
        <w:tab/>
      </w:r>
      <w:hyperlink r:id="rId3" w:history="1">
        <w:r>
          <w:rPr>
            <w:rStyle w:val="Hyperlink"/>
          </w:rPr>
          <w:t>https://www.wipo.int/standards/fr/part_07.html</w:t>
        </w:r>
      </w:hyperlink>
      <w:r w:rsidR="00484B3E">
        <w:rPr>
          <w:rStyle w:val="Hyperlink"/>
          <w:color w:val="auto"/>
          <w:u w:val="none"/>
        </w:rPr>
        <w:t>.</w:t>
      </w:r>
    </w:p>
  </w:footnote>
  <w:footnote w:id="5">
    <w:p w:rsidR="00570562" w:rsidRPr="00484B3E" w:rsidRDefault="00570562" w:rsidP="00570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84B3E">
        <w:tab/>
      </w:r>
      <w:hyperlink r:id="rId4" w:history="1">
        <w:r>
          <w:rPr>
            <w:rStyle w:val="Hyperlink"/>
          </w:rPr>
          <w:t>https://www.wipo.int/standards/fr/sequence/index.html</w:t>
        </w:r>
      </w:hyperlink>
      <w:r w:rsidR="00484B3E">
        <w:rPr>
          <w:rStyle w:val="Hyperlink"/>
          <w:u w:val="none"/>
        </w:rPr>
        <w:t>.</w:t>
      </w:r>
    </w:p>
  </w:footnote>
  <w:footnote w:id="6">
    <w:p w:rsidR="00570562" w:rsidRPr="00484B3E" w:rsidRDefault="00570562" w:rsidP="00570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84B3E">
        <w:tab/>
      </w:r>
      <w:hyperlink r:id="rId5" w:history="1">
        <w:r>
          <w:rPr>
            <w:rStyle w:val="Hyperlink"/>
          </w:rPr>
          <w:t>https://www3.wipo.int/confluence/display/WSSKB/Known+Issues+and+trouble</w:t>
        </w:r>
        <w:r w:rsidR="0028350C">
          <w:rPr>
            <w:rStyle w:val="Hyperlink"/>
          </w:rPr>
          <w:t>-</w:t>
        </w:r>
        <w:r>
          <w:rPr>
            <w:rStyle w:val="Hyperlink"/>
          </w:rPr>
          <w:t>shooting</w:t>
        </w:r>
      </w:hyperlink>
      <w:r w:rsidR="00484B3E">
        <w:rPr>
          <w:rStyle w:val="Hyperlink"/>
          <w:u w:val="none"/>
        </w:rPr>
        <w:t>.</w:t>
      </w:r>
    </w:p>
  </w:footnote>
  <w:footnote w:id="7">
    <w:p w:rsidR="00570562" w:rsidRPr="00484B3E" w:rsidRDefault="00570562" w:rsidP="00570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84B3E">
        <w:tab/>
      </w:r>
      <w:hyperlink r:id="rId6" w:history="1">
        <w:r w:rsidR="00292BC2">
          <w:rPr>
            <w:rStyle w:val="Hyperlink"/>
          </w:rPr>
          <w:t>https:</w:t>
        </w:r>
        <w:r>
          <w:rPr>
            <w:rStyle w:val="Hyperlink"/>
          </w:rPr>
          <w:t>//www.wipo.int/standards/fr/authority_file.html</w:t>
        </w:r>
      </w:hyperlink>
      <w:r w:rsidR="00484B3E">
        <w:rPr>
          <w:rStyle w:val="Hyperlink"/>
          <w:u w:val="none"/>
        </w:rPr>
        <w:t>.</w:t>
      </w:r>
    </w:p>
  </w:footnote>
  <w:footnote w:id="8">
    <w:p w:rsidR="00570562" w:rsidRPr="00484B3E" w:rsidRDefault="00570562" w:rsidP="00570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84B3E">
        <w:tab/>
      </w:r>
      <w:hyperlink r:id="rId7" w:history="1">
        <w:r>
          <w:rPr>
            <w:rStyle w:val="Hyperlink"/>
          </w:rPr>
          <w:t>https://www.wipo.int/meetings/fr/details.jsp?meeting_id=69689</w:t>
        </w:r>
      </w:hyperlink>
      <w:r w:rsidR="00484B3E">
        <w:rPr>
          <w:rStyle w:val="Hyperlink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B8" w:rsidRDefault="00DB3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id w:val="-932981262"/>
      <w:docPartObj>
        <w:docPartGallery w:val="Page Numbers (Top of Page)"/>
        <w:docPartUnique/>
      </w:docPartObj>
    </w:sdtPr>
    <w:sdtEndPr>
      <w:rPr>
        <w:noProof/>
        <w:szCs w:val="22"/>
        <w:highlight w:val="none"/>
      </w:rPr>
    </w:sdtEndPr>
    <w:sdtContent>
      <w:p w:rsidR="00570562" w:rsidRPr="00D34CD4" w:rsidRDefault="00570562" w:rsidP="00A22460">
        <w:pPr>
          <w:pStyle w:val="Header"/>
          <w:jc w:val="right"/>
          <w:rPr>
            <w:caps/>
            <w:szCs w:val="22"/>
          </w:rPr>
        </w:pPr>
        <w:r>
          <w:rPr>
            <w:caps/>
          </w:rPr>
          <w:t>WO/GA/56/11</w:t>
        </w:r>
      </w:p>
      <w:p w:rsidR="00570562" w:rsidRPr="00D34CD4" w:rsidRDefault="00570562" w:rsidP="00F26116">
        <w:pPr>
          <w:pStyle w:val="Header"/>
          <w:tabs>
            <w:tab w:val="left" w:pos="8360"/>
            <w:tab w:val="right" w:pos="9355"/>
          </w:tabs>
          <w:spacing w:after="480"/>
          <w:jc w:val="right"/>
          <w:rPr>
            <w:szCs w:val="22"/>
          </w:rPr>
        </w:pPr>
        <w:r>
          <w:t>page</w:t>
        </w:r>
        <w:r w:rsidR="00A7121F">
          <w:t> </w:t>
        </w:r>
        <w:r w:rsidRPr="001A34C2">
          <w:fldChar w:fldCharType="begin"/>
        </w:r>
        <w:r w:rsidRPr="00D34CD4">
          <w:instrText xml:space="preserve"> PAGE   \* MERGEFORMAT </w:instrText>
        </w:r>
        <w:r w:rsidRPr="001A34C2">
          <w:fldChar w:fldCharType="separate"/>
        </w:r>
        <w:r w:rsidR="00E95F3A">
          <w:rPr>
            <w:noProof/>
          </w:rPr>
          <w:t>2</w:t>
        </w:r>
        <w:r w:rsidRPr="001A34C2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B8" w:rsidRDefault="00DB36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465536" w:rsidP="00477D6B">
    <w:pPr>
      <w:jc w:val="right"/>
    </w:pPr>
    <w:r>
      <w:t>CWS</w:t>
    </w:r>
    <w:r w:rsidR="00570562">
      <w:t>/1</w:t>
    </w:r>
    <w:r>
      <w:t>0/20</w:t>
    </w:r>
  </w:p>
  <w:p w:rsidR="00F16975" w:rsidRDefault="00465536" w:rsidP="00465536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E95F3A">
      <w:rPr>
        <w:noProof/>
      </w:rPr>
      <w:t>5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4417E7"/>
    <w:multiLevelType w:val="hybridMultilevel"/>
    <w:tmpl w:val="775A278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B1C9C"/>
    <w:multiLevelType w:val="hybridMultilevel"/>
    <w:tmpl w:val="A394007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A358DD"/>
    <w:multiLevelType w:val="hybridMultilevel"/>
    <w:tmpl w:val="4160753A"/>
    <w:lvl w:ilvl="0" w:tplc="516037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C7ED0"/>
    <w:multiLevelType w:val="hybridMultilevel"/>
    <w:tmpl w:val="00181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62"/>
    <w:rsid w:val="00011B7D"/>
    <w:rsid w:val="000343F8"/>
    <w:rsid w:val="00075432"/>
    <w:rsid w:val="000F5E56"/>
    <w:rsid w:val="000F63E6"/>
    <w:rsid w:val="001362EE"/>
    <w:rsid w:val="001832A6"/>
    <w:rsid w:val="00195C6E"/>
    <w:rsid w:val="001B266A"/>
    <w:rsid w:val="001D3D56"/>
    <w:rsid w:val="001D72BE"/>
    <w:rsid w:val="00240654"/>
    <w:rsid w:val="002634C4"/>
    <w:rsid w:val="0028350C"/>
    <w:rsid w:val="00286D36"/>
    <w:rsid w:val="00292BC2"/>
    <w:rsid w:val="002D4918"/>
    <w:rsid w:val="002E4D1A"/>
    <w:rsid w:val="002F16BC"/>
    <w:rsid w:val="002F1B6F"/>
    <w:rsid w:val="002F4E68"/>
    <w:rsid w:val="00315FCA"/>
    <w:rsid w:val="00341FA3"/>
    <w:rsid w:val="003845C1"/>
    <w:rsid w:val="003A1BCD"/>
    <w:rsid w:val="004008A2"/>
    <w:rsid w:val="004025DF"/>
    <w:rsid w:val="00423E3E"/>
    <w:rsid w:val="00427AF4"/>
    <w:rsid w:val="00431F07"/>
    <w:rsid w:val="00445519"/>
    <w:rsid w:val="004647DA"/>
    <w:rsid w:val="00465536"/>
    <w:rsid w:val="00477D6B"/>
    <w:rsid w:val="00484B3E"/>
    <w:rsid w:val="004D6471"/>
    <w:rsid w:val="004E1442"/>
    <w:rsid w:val="004E2A4E"/>
    <w:rsid w:val="004F0849"/>
    <w:rsid w:val="004F4E31"/>
    <w:rsid w:val="00525B63"/>
    <w:rsid w:val="00547476"/>
    <w:rsid w:val="00561DB8"/>
    <w:rsid w:val="00567A4C"/>
    <w:rsid w:val="00570562"/>
    <w:rsid w:val="005E6516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42A13"/>
    <w:rsid w:val="0087073C"/>
    <w:rsid w:val="008B2CC1"/>
    <w:rsid w:val="008D402E"/>
    <w:rsid w:val="008E7930"/>
    <w:rsid w:val="0090731E"/>
    <w:rsid w:val="00966A22"/>
    <w:rsid w:val="00974CD6"/>
    <w:rsid w:val="009D30E6"/>
    <w:rsid w:val="009E3F6F"/>
    <w:rsid w:val="009F0415"/>
    <w:rsid w:val="009F499F"/>
    <w:rsid w:val="00A2282C"/>
    <w:rsid w:val="00A46CCA"/>
    <w:rsid w:val="00A7121F"/>
    <w:rsid w:val="00AC0AE4"/>
    <w:rsid w:val="00AD61DB"/>
    <w:rsid w:val="00AE4801"/>
    <w:rsid w:val="00B40BB6"/>
    <w:rsid w:val="00B87BCF"/>
    <w:rsid w:val="00BA62D4"/>
    <w:rsid w:val="00BE3F42"/>
    <w:rsid w:val="00C40E15"/>
    <w:rsid w:val="00C64797"/>
    <w:rsid w:val="00C664C8"/>
    <w:rsid w:val="00C76A79"/>
    <w:rsid w:val="00CA15F5"/>
    <w:rsid w:val="00CB5926"/>
    <w:rsid w:val="00CC200C"/>
    <w:rsid w:val="00CF0460"/>
    <w:rsid w:val="00CF5EFB"/>
    <w:rsid w:val="00D45252"/>
    <w:rsid w:val="00D71B4D"/>
    <w:rsid w:val="00D75C1E"/>
    <w:rsid w:val="00D773D0"/>
    <w:rsid w:val="00D93D55"/>
    <w:rsid w:val="00D97EAD"/>
    <w:rsid w:val="00DB0349"/>
    <w:rsid w:val="00DB36B8"/>
    <w:rsid w:val="00DD6A16"/>
    <w:rsid w:val="00DF2183"/>
    <w:rsid w:val="00E0091A"/>
    <w:rsid w:val="00E203AA"/>
    <w:rsid w:val="00E527A5"/>
    <w:rsid w:val="00E76456"/>
    <w:rsid w:val="00E95F3A"/>
    <w:rsid w:val="00EC1D50"/>
    <w:rsid w:val="00EE71CB"/>
    <w:rsid w:val="00F16975"/>
    <w:rsid w:val="00F26116"/>
    <w:rsid w:val="00F66152"/>
    <w:rsid w:val="00FF0EA0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06C9860"/>
  <w15:docId w15:val="{423112B7-7346-4524-B612-A9463D2D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Heading2"/>
    <w:next w:val="Normal"/>
    <w:qFormat/>
    <w:rsid w:val="00484B3E"/>
    <w:pPr>
      <w:outlineLvl w:val="0"/>
    </w:pPr>
    <w:rPr>
      <w:caps/>
      <w:u w:val="none"/>
    </w:rPr>
  </w:style>
  <w:style w:type="paragraph" w:styleId="Heading2">
    <w:name w:val="heading 2"/>
    <w:basedOn w:val="Heading3"/>
    <w:next w:val="Normal"/>
    <w:qFormat/>
    <w:rsid w:val="00F26116"/>
    <w:pPr>
      <w:spacing w:after="220"/>
      <w:outlineLvl w:val="1"/>
    </w:p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uiPriority w:val="99"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ONUMEChar">
    <w:name w:val="ONUM E Char"/>
    <w:link w:val="ONUME"/>
    <w:rsid w:val="00570562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570562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570562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rsid w:val="00570562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570562"/>
    <w:rPr>
      <w:vertAlign w:val="superscript"/>
    </w:rPr>
  </w:style>
  <w:style w:type="paragraph" w:customStyle="1" w:styleId="Endofdocument">
    <w:name w:val="End of document"/>
    <w:basedOn w:val="Normal"/>
    <w:rsid w:val="00570562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paragraph" w:styleId="ListParagraph">
    <w:name w:val="List Paragraph"/>
    <w:basedOn w:val="Normal"/>
    <w:uiPriority w:val="34"/>
    <w:qFormat/>
    <w:rsid w:val="00570562"/>
    <w:pPr>
      <w:ind w:left="720"/>
      <w:contextualSpacing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570562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F2611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2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282C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wipo.int/standards/fr/sequence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ipo.int/standards/fr/sequence/index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wipo.int/tad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www.wipo.int/global_ip/fr/activities/ip_office_business_solu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www.wipo.int/standards/fr/part_03_standards.html" TargetMode="External"/><Relationship Id="rId19" Type="http://schemas.openxmlformats.org/officeDocument/2006/relationships/hyperlink" Target="https://www.wipo.int/cws/fr/training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cws/fr/cws-rules-procedure.html" TargetMode="Externa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standards/fr/part_07.html" TargetMode="External"/><Relationship Id="rId7" Type="http://schemas.openxmlformats.org/officeDocument/2006/relationships/hyperlink" Target="https://www.wipo.int/meetings/fr/details.jsp?meeting_id=69689" TargetMode="External"/><Relationship Id="rId2" Type="http://schemas.openxmlformats.org/officeDocument/2006/relationships/hyperlink" Target="https://www.wipo.int/export/sites/www/about-wipo/en/oversight/docs/iaod/evaluation/220216-evaluation-WIPO-standing-committees-summary.pdf" TargetMode="External"/><Relationship Id="rId1" Type="http://schemas.openxmlformats.org/officeDocument/2006/relationships/hyperlink" Target="https://www.wipo.int/meetings/fr/doc_details.jsp?doc_id=600591" TargetMode="External"/><Relationship Id="rId6" Type="http://schemas.openxmlformats.org/officeDocument/2006/relationships/hyperlink" Target="file:///\\Wipogvafs01\DAT2\ORGLAN\AEM\POOL\(https:\www.wipo.int\standards\fr\authority_file.html" TargetMode="External"/><Relationship Id="rId5" Type="http://schemas.openxmlformats.org/officeDocument/2006/relationships/hyperlink" Target="https://www3.wipo.int/confluence/display/WSSKB/Known+Issues+and+trouble-shooting" TargetMode="External"/><Relationship Id="rId4" Type="http://schemas.openxmlformats.org/officeDocument/2006/relationships/hyperlink" Target="https://www.wipo.int/standards/fr/sequence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8775-6FB4-4C95-A699-28972E4F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56 (F)</Template>
  <TotalTime>62</TotalTime>
  <Pages>10</Pages>
  <Words>4339</Words>
  <Characters>24223</Characters>
  <Application>Microsoft Office Word</Application>
  <DocSecurity>0</DocSecurity>
  <Lines>201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WO/GA/56/</vt:lpstr>
    </vt:vector>
  </TitlesOfParts>
  <Company>WIPO</Company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WO/GA/56/11</dc:title>
  <dc:creator>WIPO</dc:creator>
  <cp:keywords>FOR OFFICIAL USE ONLY</cp:keywords>
  <cp:lastModifiedBy>HÄFLIGER Patience</cp:lastModifiedBy>
  <cp:revision>9</cp:revision>
  <cp:lastPrinted>2011-05-19T12:37:00Z</cp:lastPrinted>
  <dcterms:created xsi:type="dcterms:W3CDTF">2023-04-28T08:19:00Z</dcterms:created>
  <dcterms:modified xsi:type="dcterms:W3CDTF">2023-05-01T15:37:00Z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23a55096-d167-4937-9457-218c610e1bfe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2023-04-28T09:26:01Z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f207602f-4b03-40ca-878b-a04defcb5707</vt:lpwstr>
  </property>
  <property fmtid="{D5CDD505-2E9C-101B-9397-08002B2CF9AE}" pid="14" name="MSIP_Label_20773ee6-353b-4fb9-a59d-0b94c8c67bea_ContentBits">
    <vt:lpwstr>0</vt:lpwstr>
  </property>
</Properties>
</file>