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AD" w:rsidRPr="00946D52" w:rsidRDefault="00DB0349" w:rsidP="00DB0349">
      <w:pPr>
        <w:spacing w:after="120"/>
        <w:jc w:val="right"/>
        <w:rPr>
          <w:lang w:val="fr-FR"/>
        </w:rPr>
      </w:pPr>
      <w:r w:rsidRPr="00946D52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946D52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A8910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B92EAD" w:rsidRPr="00946D52" w:rsidRDefault="008D402E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46D52">
        <w:rPr>
          <w:rFonts w:ascii="Arial Black" w:hAnsi="Arial Black"/>
          <w:caps/>
          <w:sz w:val="15"/>
          <w:szCs w:val="15"/>
          <w:lang w:val="fr-FR"/>
        </w:rPr>
        <w:t>WO/GA/55/</w:t>
      </w:r>
      <w:bookmarkStart w:id="0" w:name="Code"/>
      <w:r w:rsidR="007A45A4" w:rsidRPr="00946D52">
        <w:rPr>
          <w:rFonts w:ascii="Arial Black" w:hAnsi="Arial Black"/>
          <w:caps/>
          <w:sz w:val="15"/>
          <w:szCs w:val="15"/>
          <w:lang w:val="fr-FR"/>
        </w:rPr>
        <w:t>7</w:t>
      </w:r>
    </w:p>
    <w:bookmarkEnd w:id="0"/>
    <w:p w:rsidR="00B92EAD" w:rsidRPr="00946D52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46D52">
        <w:rPr>
          <w:rFonts w:ascii="Arial Black" w:hAnsi="Arial Black"/>
          <w:caps/>
          <w:sz w:val="15"/>
          <w:szCs w:val="15"/>
          <w:lang w:val="fr-FR"/>
        </w:rPr>
        <w:t>Original</w:t>
      </w:r>
      <w:r w:rsidR="00771456" w:rsidRPr="00946D52">
        <w:rPr>
          <w:rFonts w:ascii="Arial Black" w:hAnsi="Arial Black"/>
          <w:caps/>
          <w:sz w:val="15"/>
          <w:szCs w:val="15"/>
          <w:lang w:val="fr-FR"/>
        </w:rPr>
        <w:t> :</w:t>
      </w:r>
      <w:r w:rsidRPr="00946D5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7A45A4" w:rsidRPr="00946D52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B92EAD" w:rsidRPr="00946D52" w:rsidRDefault="008E60D2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>
        <w:rPr>
          <w:rFonts w:ascii="Arial Black" w:hAnsi="Arial Black"/>
          <w:caps/>
          <w:sz w:val="15"/>
          <w:szCs w:val="15"/>
          <w:lang w:val="fr-FR"/>
        </w:rPr>
        <w:t>D</w:t>
      </w:r>
      <w:r w:rsidR="00DB0349" w:rsidRPr="00946D52">
        <w:rPr>
          <w:rFonts w:ascii="Arial Black" w:hAnsi="Arial Black"/>
          <w:caps/>
          <w:sz w:val="15"/>
          <w:szCs w:val="15"/>
          <w:lang w:val="fr-FR"/>
        </w:rPr>
        <w:t>ate</w:t>
      </w:r>
      <w:r w:rsidR="00771456" w:rsidRPr="00946D52">
        <w:rPr>
          <w:rFonts w:ascii="Arial Black" w:hAnsi="Arial Black"/>
          <w:caps/>
          <w:sz w:val="15"/>
          <w:szCs w:val="15"/>
          <w:lang w:val="fr-FR"/>
        </w:rPr>
        <w:t> :</w:t>
      </w:r>
      <w:r w:rsidR="00DB0349" w:rsidRPr="00946D5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7A45A4" w:rsidRPr="00946D52">
        <w:rPr>
          <w:rFonts w:ascii="Arial Black" w:hAnsi="Arial Black"/>
          <w:caps/>
          <w:sz w:val="15"/>
          <w:szCs w:val="15"/>
          <w:lang w:val="fr-FR"/>
        </w:rPr>
        <w:t>1</w:t>
      </w:r>
      <w:r w:rsidR="00771456" w:rsidRPr="00946D52">
        <w:rPr>
          <w:rFonts w:ascii="Arial Black" w:hAnsi="Arial Black"/>
          <w:caps/>
          <w:sz w:val="15"/>
          <w:szCs w:val="15"/>
          <w:lang w:val="fr-FR"/>
        </w:rPr>
        <w:t>4 avril 20</w:t>
      </w:r>
      <w:r w:rsidR="007A45A4" w:rsidRPr="00946D52">
        <w:rPr>
          <w:rFonts w:ascii="Arial Black" w:hAnsi="Arial Black"/>
          <w:caps/>
          <w:sz w:val="15"/>
          <w:szCs w:val="15"/>
          <w:lang w:val="fr-FR"/>
        </w:rPr>
        <w:t>22</w:t>
      </w:r>
    </w:p>
    <w:bookmarkEnd w:id="2"/>
    <w:p w:rsidR="00B92EAD" w:rsidRPr="00946D52" w:rsidRDefault="008D402E" w:rsidP="00DB0349">
      <w:pPr>
        <w:spacing w:after="600"/>
        <w:rPr>
          <w:b/>
          <w:sz w:val="28"/>
          <w:szCs w:val="28"/>
          <w:lang w:val="fr-FR"/>
        </w:rPr>
      </w:pPr>
      <w:r w:rsidRPr="00946D52">
        <w:rPr>
          <w:b/>
          <w:sz w:val="28"/>
          <w:szCs w:val="28"/>
          <w:lang w:val="fr-FR"/>
        </w:rPr>
        <w:t>Assemblée générale de l</w:t>
      </w:r>
      <w:r w:rsidR="00771456" w:rsidRPr="00946D52">
        <w:rPr>
          <w:b/>
          <w:sz w:val="28"/>
          <w:szCs w:val="28"/>
          <w:lang w:val="fr-FR"/>
        </w:rPr>
        <w:t>’</w:t>
      </w:r>
      <w:r w:rsidRPr="00946D52">
        <w:rPr>
          <w:b/>
          <w:sz w:val="28"/>
          <w:szCs w:val="28"/>
          <w:lang w:val="fr-FR"/>
        </w:rPr>
        <w:t>OMPI</w:t>
      </w:r>
    </w:p>
    <w:p w:rsidR="00B92EAD" w:rsidRPr="00946D52" w:rsidRDefault="001D72BE" w:rsidP="008B2CC1">
      <w:pPr>
        <w:rPr>
          <w:b/>
          <w:sz w:val="24"/>
          <w:szCs w:val="24"/>
          <w:lang w:val="fr-FR"/>
        </w:rPr>
      </w:pPr>
      <w:r w:rsidRPr="00946D52">
        <w:rPr>
          <w:b/>
          <w:sz w:val="24"/>
          <w:szCs w:val="24"/>
          <w:lang w:val="fr-FR"/>
        </w:rPr>
        <w:t>Cinquante</w:t>
      </w:r>
      <w:r w:rsidR="00E905A9">
        <w:rPr>
          <w:b/>
          <w:sz w:val="24"/>
          <w:szCs w:val="24"/>
          <w:lang w:val="fr-FR"/>
        </w:rPr>
        <w:noBreakHyphen/>
      </w:r>
      <w:r w:rsidRPr="00946D52">
        <w:rPr>
          <w:b/>
          <w:sz w:val="24"/>
          <w:szCs w:val="24"/>
          <w:lang w:val="fr-FR"/>
        </w:rPr>
        <w:t>cinqu</w:t>
      </w:r>
      <w:r w:rsidR="00771456" w:rsidRPr="00946D52">
        <w:rPr>
          <w:b/>
          <w:sz w:val="24"/>
          <w:szCs w:val="24"/>
          <w:lang w:val="fr-FR"/>
        </w:rPr>
        <w:t>ième session</w:t>
      </w:r>
      <w:r w:rsidRPr="00946D52">
        <w:rPr>
          <w:b/>
          <w:sz w:val="24"/>
          <w:szCs w:val="24"/>
          <w:lang w:val="fr-FR"/>
        </w:rPr>
        <w:t xml:space="preserve"> (30</w:t>
      </w:r>
      <w:r w:rsidRPr="00946D52">
        <w:rPr>
          <w:b/>
          <w:sz w:val="24"/>
          <w:szCs w:val="24"/>
          <w:vertAlign w:val="superscript"/>
          <w:lang w:val="fr-FR"/>
        </w:rPr>
        <w:t>e</w:t>
      </w:r>
      <w:r w:rsidR="009B077E" w:rsidRPr="00946D52">
        <w:rPr>
          <w:b/>
          <w:sz w:val="24"/>
          <w:szCs w:val="24"/>
          <w:lang w:val="fr-FR"/>
        </w:rPr>
        <w:t> </w:t>
      </w:r>
      <w:r w:rsidR="008D402E" w:rsidRPr="00946D52">
        <w:rPr>
          <w:b/>
          <w:sz w:val="24"/>
          <w:szCs w:val="24"/>
          <w:lang w:val="fr-FR"/>
        </w:rPr>
        <w:t>session extraordinaire)</w:t>
      </w:r>
    </w:p>
    <w:p w:rsidR="00B92EAD" w:rsidRPr="00946D52" w:rsidRDefault="00034AF2" w:rsidP="00DB0349">
      <w:pPr>
        <w:spacing w:after="72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14</w:t>
      </w:r>
      <w:bookmarkStart w:id="3" w:name="_GoBack"/>
      <w:bookmarkEnd w:id="3"/>
      <w:r w:rsidR="008D402E" w:rsidRPr="00946D52">
        <w:rPr>
          <w:b/>
          <w:sz w:val="24"/>
          <w:szCs w:val="24"/>
          <w:lang w:val="fr-FR"/>
        </w:rPr>
        <w:t xml:space="preserve"> – 2</w:t>
      </w:r>
      <w:r w:rsidR="00771456" w:rsidRPr="00946D52">
        <w:rPr>
          <w:b/>
          <w:sz w:val="24"/>
          <w:szCs w:val="24"/>
          <w:lang w:val="fr-FR"/>
        </w:rPr>
        <w:t>2 juillet 20</w:t>
      </w:r>
      <w:r w:rsidR="008D402E" w:rsidRPr="00946D52">
        <w:rPr>
          <w:b/>
          <w:sz w:val="24"/>
          <w:szCs w:val="24"/>
          <w:lang w:val="fr-FR"/>
        </w:rPr>
        <w:t>22</w:t>
      </w:r>
    </w:p>
    <w:p w:rsidR="00771456" w:rsidRPr="00946D52" w:rsidRDefault="00AF0696" w:rsidP="00AF0696">
      <w:pPr>
        <w:spacing w:after="360"/>
        <w:rPr>
          <w:caps/>
          <w:sz w:val="24"/>
          <w:lang w:val="fr-FR"/>
        </w:rPr>
      </w:pPr>
      <w:bookmarkStart w:id="4" w:name="TitleOfDoc"/>
      <w:r w:rsidRPr="00946D52">
        <w:rPr>
          <w:caps/>
          <w:sz w:val="24"/>
          <w:lang w:val="fr-FR"/>
        </w:rPr>
        <w:t>Rapport sur le Comité des normes de l</w:t>
      </w:r>
      <w:r w:rsidR="00771456" w:rsidRPr="00946D52">
        <w:rPr>
          <w:caps/>
          <w:sz w:val="24"/>
          <w:lang w:val="fr-FR"/>
        </w:rPr>
        <w:t>’</w:t>
      </w:r>
      <w:r w:rsidR="00110EB5">
        <w:rPr>
          <w:caps/>
          <w:sz w:val="24"/>
          <w:lang w:val="fr-FR"/>
        </w:rPr>
        <w:t>OMPI </w:t>
      </w:r>
      <w:r w:rsidRPr="00946D52">
        <w:rPr>
          <w:caps/>
          <w:sz w:val="24"/>
          <w:lang w:val="fr-FR"/>
        </w:rPr>
        <w:t>(CWS)</w:t>
      </w:r>
    </w:p>
    <w:p w:rsidR="00771456" w:rsidRPr="00946D52" w:rsidRDefault="00AF0696" w:rsidP="00AF0696">
      <w:pPr>
        <w:spacing w:after="960"/>
        <w:rPr>
          <w:i/>
          <w:lang w:val="fr-FR"/>
        </w:rPr>
      </w:pPr>
      <w:bookmarkStart w:id="5" w:name="Prepared"/>
      <w:bookmarkEnd w:id="4"/>
      <w:proofErr w:type="gramStart"/>
      <w:r w:rsidRPr="00946D52">
        <w:rPr>
          <w:i/>
          <w:lang w:val="fr-FR"/>
        </w:rPr>
        <w:t>établi</w:t>
      </w:r>
      <w:proofErr w:type="gramEnd"/>
      <w:r w:rsidRPr="00946D52">
        <w:rPr>
          <w:i/>
          <w:lang w:val="fr-FR"/>
        </w:rPr>
        <w:t xml:space="preserve"> par le Secrétariat</w:t>
      </w:r>
    </w:p>
    <w:bookmarkEnd w:id="5"/>
    <w:p w:rsidR="00B92EAD" w:rsidRPr="00E905A9" w:rsidRDefault="007A45A4" w:rsidP="00E905A9">
      <w:pPr>
        <w:pStyle w:val="Heading2"/>
      </w:pPr>
      <w:r w:rsidRPr="00E905A9">
        <w:t>Introduction</w:t>
      </w:r>
    </w:p>
    <w:p w:rsidR="00B92EAD" w:rsidRPr="00946D52" w:rsidRDefault="00AF0696" w:rsidP="00917A14">
      <w:pPr>
        <w:pStyle w:val="ONUMFS"/>
        <w:rPr>
          <w:lang w:val="fr-FR"/>
        </w:rPr>
      </w:pPr>
      <w:r w:rsidRPr="00946D52">
        <w:rPr>
          <w:lang w:val="fr-FR"/>
        </w:rPr>
        <w:t>Au cours de la période considérée, le Comité des normes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(ci</w:t>
      </w:r>
      <w:r w:rsidR="00E905A9">
        <w:rPr>
          <w:lang w:val="fr-FR"/>
        </w:rPr>
        <w:noBreakHyphen/>
      </w:r>
      <w:r w:rsidRPr="00946D52">
        <w:rPr>
          <w:lang w:val="fr-FR"/>
        </w:rPr>
        <w:t xml:space="preserve">après dénommé </w:t>
      </w:r>
      <w:r w:rsidR="00697B18" w:rsidRPr="00946D52">
        <w:rPr>
          <w:lang w:val="fr-FR"/>
        </w:rPr>
        <w:t xml:space="preserve">le </w:t>
      </w:r>
      <w:r w:rsidRPr="00946D52">
        <w:rPr>
          <w:lang w:val="fr-FR"/>
        </w:rPr>
        <w:t>“comité” ou “CWS”) a tenu sa neuv</w:t>
      </w:r>
      <w:r w:rsidR="00771456" w:rsidRPr="00946D52">
        <w:rPr>
          <w:lang w:val="fr-FR"/>
        </w:rPr>
        <w:t>ième session</w:t>
      </w:r>
      <w:r w:rsidRPr="00946D52">
        <w:rPr>
          <w:lang w:val="fr-FR"/>
        </w:rPr>
        <w:t xml:space="preserve"> du</w:t>
      </w:r>
      <w:r w:rsidR="00771456" w:rsidRPr="00946D52">
        <w:rPr>
          <w:lang w:val="fr-FR"/>
        </w:rPr>
        <w:t xml:space="preserve"> 1</w:t>
      </w:r>
      <w:r w:rsidR="00771456" w:rsidRPr="00946D52">
        <w:rPr>
          <w:vertAlign w:val="superscript"/>
          <w:lang w:val="fr-FR"/>
        </w:rPr>
        <w:t>er</w:t>
      </w:r>
      <w:r w:rsidR="00771456" w:rsidRPr="00946D52">
        <w:rPr>
          <w:lang w:val="fr-FR"/>
        </w:rPr>
        <w:t> </w:t>
      </w:r>
      <w:r w:rsidRPr="00946D52">
        <w:rPr>
          <w:lang w:val="fr-FR"/>
        </w:rPr>
        <w:t xml:space="preserve">au </w:t>
      </w:r>
      <w:r w:rsidR="00771456" w:rsidRPr="00946D52">
        <w:rPr>
          <w:lang w:val="fr-FR"/>
        </w:rPr>
        <w:t>5 novembre 20</w:t>
      </w:r>
      <w:r w:rsidRPr="00946D52">
        <w:rPr>
          <w:lang w:val="fr-FR"/>
        </w:rPr>
        <w:t xml:space="preserve">21. </w:t>
      </w:r>
      <w:r w:rsidR="00050246" w:rsidRPr="00946D52">
        <w:rPr>
          <w:lang w:val="fr-FR"/>
        </w:rPr>
        <w:t xml:space="preserve"> </w:t>
      </w:r>
      <w:r w:rsidRPr="00946D52">
        <w:rPr>
          <w:lang w:val="fr-FR"/>
        </w:rPr>
        <w:t>La session était présidée par Mme</w:t>
      </w:r>
      <w:r w:rsidR="00050246" w:rsidRPr="00946D52">
        <w:rPr>
          <w:lang w:val="fr-FR"/>
        </w:rPr>
        <w:t> </w:t>
      </w:r>
      <w:proofErr w:type="spellStart"/>
      <w:r w:rsidRPr="00946D52">
        <w:rPr>
          <w:lang w:val="fr-FR"/>
        </w:rPr>
        <w:t>Åsa</w:t>
      </w:r>
      <w:proofErr w:type="spellEnd"/>
      <w:r w:rsidR="009B077E" w:rsidRPr="00946D52">
        <w:rPr>
          <w:lang w:val="fr-FR"/>
        </w:rPr>
        <w:t> </w:t>
      </w:r>
      <w:proofErr w:type="spellStart"/>
      <w:r w:rsidRPr="00946D52">
        <w:rPr>
          <w:lang w:val="fr-FR"/>
        </w:rPr>
        <w:t>Viken</w:t>
      </w:r>
      <w:proofErr w:type="spellEnd"/>
      <w:r w:rsidRPr="00946D52">
        <w:rPr>
          <w:lang w:val="fr-FR"/>
        </w:rPr>
        <w:t xml:space="preserve"> (Suède).</w:t>
      </w:r>
    </w:p>
    <w:p w:rsidR="00771456" w:rsidRPr="00946D52" w:rsidRDefault="00AF0696" w:rsidP="00917A14">
      <w:pPr>
        <w:pStyle w:val="ONUMFS"/>
        <w:rPr>
          <w:lang w:val="fr-FR"/>
        </w:rPr>
      </w:pPr>
      <w:r w:rsidRPr="00946D52">
        <w:rPr>
          <w:lang w:val="fr-FR"/>
        </w:rPr>
        <w:t>Durant la session, les délégations ont poursuivi leurs échanges de vues sur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élaboration de normes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OMPI, la mise en œuvre de ces normes dans la communauté de la propriété intellectuelle et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autres questions relatives aux données de propriété intellectuel</w:t>
      </w:r>
      <w:r w:rsidR="00117320" w:rsidRPr="00946D52">
        <w:rPr>
          <w:lang w:val="fr-FR"/>
        </w:rPr>
        <w:t>le.  Le</w:t>
      </w:r>
      <w:r w:rsidR="00771456" w:rsidRPr="00946D52">
        <w:rPr>
          <w:lang w:val="fr-FR"/>
        </w:rPr>
        <w:t> CWS</w:t>
      </w:r>
      <w:r w:rsidRPr="00946D52">
        <w:rPr>
          <w:lang w:val="fr-FR"/>
        </w:rPr>
        <w:t xml:space="preserve"> a étudié la possibilité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utiliser de nouvelles technologies comme la chaîne de blocs dans le cadre de ses travaux et de ses projets.</w:t>
      </w:r>
    </w:p>
    <w:p w:rsidR="00B92EAD" w:rsidRPr="00946D52" w:rsidRDefault="00AF0696" w:rsidP="00917A14">
      <w:pPr>
        <w:pStyle w:val="ONUMFS"/>
        <w:rPr>
          <w:lang w:val="fr-FR"/>
        </w:rPr>
      </w:pPr>
      <w:r w:rsidRPr="00946D52">
        <w:rPr>
          <w:lang w:val="fr-FR"/>
        </w:rPr>
        <w:t>Le rapport adopté de la neuv</w:t>
      </w:r>
      <w:r w:rsidR="00771456" w:rsidRPr="00946D52">
        <w:rPr>
          <w:lang w:val="fr-FR"/>
        </w:rPr>
        <w:t>ième session</w:t>
      </w:r>
      <w:r w:rsidRPr="00946D52">
        <w:rPr>
          <w:lang w:val="fr-FR"/>
        </w:rPr>
        <w:t xml:space="preserve"> est publié sur le site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Web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</w:t>
      </w:r>
      <w:r w:rsidRPr="00946D52">
        <w:rPr>
          <w:rStyle w:val="FootnoteReference"/>
          <w:lang w:val="fr-FR"/>
        </w:rPr>
        <w:footnoteReference w:id="2"/>
      </w:r>
      <w:r w:rsidRPr="00946D52">
        <w:rPr>
          <w:lang w:val="fr-FR"/>
        </w:rPr>
        <w:t>.</w:t>
      </w:r>
    </w:p>
    <w:p w:rsidR="00B92EAD" w:rsidRPr="00946D52" w:rsidRDefault="00AF0696" w:rsidP="00E905A9">
      <w:pPr>
        <w:pStyle w:val="Heading2"/>
      </w:pPr>
      <w:r w:rsidRPr="00946D52">
        <w:t>Élaboration de normes de l</w:t>
      </w:r>
      <w:r w:rsidR="00771456" w:rsidRPr="00946D52">
        <w:t>’</w:t>
      </w:r>
      <w:r w:rsidRPr="00946D52">
        <w:t>OMPI</w:t>
      </w:r>
    </w:p>
    <w:p w:rsidR="00B92EAD" w:rsidRPr="00946D52" w:rsidRDefault="00AF0696" w:rsidP="00917A14">
      <w:pPr>
        <w:pStyle w:val="ONUMFS"/>
        <w:rPr>
          <w:lang w:val="fr-FR"/>
        </w:rPr>
      </w:pPr>
      <w:r w:rsidRPr="00946D52">
        <w:rPr>
          <w:lang w:val="fr-FR"/>
        </w:rPr>
        <w:t>Le CWS a examiné des propositions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établissement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une nouvelle norme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ou de révision de normes existantes pour répondre aux nouvelles demandes des offices de propriété intellectuelle, des utilisateurs et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autres parties prenant</w:t>
      </w:r>
      <w:r w:rsidR="00117320" w:rsidRPr="00946D52">
        <w:rPr>
          <w:lang w:val="fr-FR"/>
        </w:rPr>
        <w:t>es.  Bi</w:t>
      </w:r>
      <w:r w:rsidR="000069E0" w:rsidRPr="00946D52">
        <w:rPr>
          <w:lang w:val="fr-FR"/>
        </w:rPr>
        <w:t>en que travaillant selon un format hybride pour la deuxième année consécutive, le comité a adopté une nouvelle norme de l</w:t>
      </w:r>
      <w:r w:rsidR="00771456" w:rsidRPr="00946D52">
        <w:rPr>
          <w:lang w:val="fr-FR"/>
        </w:rPr>
        <w:t>’</w:t>
      </w:r>
      <w:r w:rsidR="000069E0" w:rsidRPr="00946D52">
        <w:rPr>
          <w:lang w:val="fr-FR"/>
        </w:rPr>
        <w:t>OMPI et approuvé les révisions de quatre</w:t>
      </w:r>
      <w:r w:rsidR="00050246" w:rsidRPr="00946D52">
        <w:rPr>
          <w:lang w:val="fr-FR"/>
        </w:rPr>
        <w:t> </w:t>
      </w:r>
      <w:r w:rsidR="000069E0" w:rsidRPr="00946D52">
        <w:rPr>
          <w:lang w:val="fr-FR"/>
        </w:rPr>
        <w:t>normes existantes.</w:t>
      </w:r>
    </w:p>
    <w:p w:rsidR="00B92EAD" w:rsidRPr="00E905A9" w:rsidRDefault="000069E0" w:rsidP="00E905A9">
      <w:pPr>
        <w:pStyle w:val="Heading3"/>
      </w:pPr>
      <w:r w:rsidRPr="00E905A9">
        <w:lastRenderedPageBreak/>
        <w:t>Nouvelles normes de l</w:t>
      </w:r>
      <w:r w:rsidR="00771456" w:rsidRPr="00E905A9">
        <w:t>’</w:t>
      </w:r>
      <w:r w:rsidRPr="00E905A9">
        <w:t>OMPI adoptées</w:t>
      </w:r>
    </w:p>
    <w:p w:rsidR="00B92EAD" w:rsidRPr="00946D52" w:rsidRDefault="000069E0" w:rsidP="00917A14">
      <w:pPr>
        <w:pStyle w:val="ONUMFS"/>
        <w:rPr>
          <w:lang w:val="fr-FR"/>
        </w:rPr>
      </w:pPr>
      <w:r w:rsidRPr="00946D52">
        <w:rPr>
          <w:lang w:val="fr-FR"/>
        </w:rPr>
        <w:t>Le CWS a adopté la nouvelle norme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 xml:space="preserve">ST.91 relative aux modèles et images </w:t>
      </w:r>
      <w:r w:rsidR="00AF38DA">
        <w:t xml:space="preserve">tridimensionnels </w:t>
      </w:r>
      <w:r w:rsidRPr="00946D52">
        <w:rPr>
          <w:lang w:val="fr-FR"/>
        </w:rPr>
        <w:t>(3D) numériqu</w:t>
      </w:r>
      <w:r w:rsidR="00117320" w:rsidRPr="00946D52">
        <w:rPr>
          <w:lang w:val="fr-FR"/>
        </w:rPr>
        <w:t>es.  La</w:t>
      </w:r>
      <w:r w:rsidRPr="00946D52">
        <w:rPr>
          <w:lang w:val="fr-FR"/>
        </w:rPr>
        <w:t xml:space="preserve"> nouvelle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ST.91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contient des recommandations à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intention des offices de propriété intellectuelle et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autres organismes pour la gestion, le stockage, le traitement,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échange ou la diffusion de données de propriété intellectuelle contenant des objets numériques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3</w:t>
      </w:r>
      <w:r w:rsidR="009B077E" w:rsidRPr="00946D52">
        <w:rPr>
          <w:lang w:val="fr-FR"/>
        </w:rPr>
        <w:t>D</w:t>
      </w:r>
      <w:r w:rsidRPr="00946D52">
        <w:rPr>
          <w:lang w:val="fr-FR"/>
        </w:rPr>
        <w:t>.</w:t>
      </w:r>
      <w:r w:rsidR="007A45A4" w:rsidRPr="00946D52">
        <w:rPr>
          <w:lang w:val="fr-FR"/>
        </w:rPr>
        <w:t xml:space="preserve">  </w:t>
      </w:r>
      <w:r w:rsidR="00625896" w:rsidRPr="00946D52">
        <w:rPr>
          <w:lang w:val="fr-FR"/>
        </w:rPr>
        <w:t>Elle vise à contribuer à l</w:t>
      </w:r>
      <w:r w:rsidR="00771456" w:rsidRPr="00946D52">
        <w:rPr>
          <w:lang w:val="fr-FR"/>
        </w:rPr>
        <w:t>’</w:t>
      </w:r>
      <w:r w:rsidR="00625896" w:rsidRPr="00946D52">
        <w:rPr>
          <w:lang w:val="fr-FR"/>
        </w:rPr>
        <w:t>établissement de formats 3D communs afin de faciliter les dépôts auprès de plusieurs offices de propriété intellectuelle, de réduire le temps de traitement, de faciliter l</w:t>
      </w:r>
      <w:r w:rsidR="00771456" w:rsidRPr="00946D52">
        <w:rPr>
          <w:lang w:val="fr-FR"/>
        </w:rPr>
        <w:t>’</w:t>
      </w:r>
      <w:r w:rsidR="00625896" w:rsidRPr="00946D52">
        <w:rPr>
          <w:lang w:val="fr-FR"/>
        </w:rPr>
        <w:t>échange de données entre les offices de propriété intellectuelle, d</w:t>
      </w:r>
      <w:r w:rsidR="00771456" w:rsidRPr="00946D52">
        <w:rPr>
          <w:lang w:val="fr-FR"/>
        </w:rPr>
        <w:t>’</w:t>
      </w:r>
      <w:r w:rsidR="00625896" w:rsidRPr="00946D52">
        <w:rPr>
          <w:lang w:val="fr-FR"/>
        </w:rPr>
        <w:t xml:space="preserve">harmoniser les exigences en matière de dépôt et de définir des </w:t>
      </w:r>
      <w:r w:rsidR="00436ECA" w:rsidRPr="00946D52">
        <w:rPr>
          <w:lang w:val="fr-FR"/>
        </w:rPr>
        <w:t>principes directeurs</w:t>
      </w:r>
      <w:r w:rsidR="00625896" w:rsidRPr="00946D52">
        <w:rPr>
          <w:lang w:val="fr-FR"/>
        </w:rPr>
        <w:t xml:space="preserve"> pour la publication de données de propriété intellectuelle avec des objets numériques 3</w:t>
      </w:r>
      <w:r w:rsidR="009B077E" w:rsidRPr="00946D52">
        <w:rPr>
          <w:lang w:val="fr-FR"/>
        </w:rPr>
        <w:t>D</w:t>
      </w:r>
      <w:r w:rsidR="00625896" w:rsidRPr="00946D52">
        <w:rPr>
          <w:lang w:val="fr-FR"/>
        </w:rPr>
        <w:t>.</w:t>
      </w:r>
      <w:r w:rsidR="007A45A4" w:rsidRPr="00946D52">
        <w:rPr>
          <w:lang w:val="fr-FR"/>
        </w:rPr>
        <w:t xml:space="preserve">  </w:t>
      </w:r>
      <w:r w:rsidR="00625896" w:rsidRPr="00946D52">
        <w:rPr>
          <w:lang w:val="fr-FR"/>
        </w:rPr>
        <w:t>La norme</w:t>
      </w:r>
      <w:r w:rsidR="00050246" w:rsidRPr="00946D52">
        <w:rPr>
          <w:lang w:val="fr-FR"/>
        </w:rPr>
        <w:t> </w:t>
      </w:r>
      <w:r w:rsidR="00625896" w:rsidRPr="00946D52">
        <w:rPr>
          <w:lang w:val="fr-FR"/>
        </w:rPr>
        <w:t>ST.91 de l</w:t>
      </w:r>
      <w:r w:rsidR="00771456" w:rsidRPr="00946D52">
        <w:rPr>
          <w:lang w:val="fr-FR"/>
        </w:rPr>
        <w:t>’</w:t>
      </w:r>
      <w:r w:rsidR="00625896" w:rsidRPr="00946D52">
        <w:rPr>
          <w:lang w:val="fr-FR"/>
        </w:rPr>
        <w:t>OMPI peut être consultée librement par le public sur le site</w:t>
      </w:r>
      <w:r w:rsidR="00050246" w:rsidRPr="00946D52">
        <w:rPr>
          <w:lang w:val="fr-FR"/>
        </w:rPr>
        <w:t> </w:t>
      </w:r>
      <w:r w:rsidR="00625896" w:rsidRPr="00946D52">
        <w:rPr>
          <w:lang w:val="fr-FR"/>
        </w:rPr>
        <w:t>Web de l</w:t>
      </w:r>
      <w:r w:rsidR="00771456" w:rsidRPr="00946D52">
        <w:rPr>
          <w:lang w:val="fr-FR"/>
        </w:rPr>
        <w:t>’</w:t>
      </w:r>
      <w:r w:rsidR="00625896" w:rsidRPr="00946D52">
        <w:rPr>
          <w:lang w:val="fr-FR"/>
        </w:rPr>
        <w:t>OMPI</w:t>
      </w:r>
      <w:r w:rsidR="00625896" w:rsidRPr="00946D52">
        <w:rPr>
          <w:rStyle w:val="FootnoteReference"/>
          <w:lang w:val="fr-FR"/>
        </w:rPr>
        <w:footnoteReference w:id="3"/>
      </w:r>
      <w:r w:rsidR="00625896" w:rsidRPr="00946D52">
        <w:rPr>
          <w:lang w:val="fr-FR"/>
        </w:rPr>
        <w:t>.</w:t>
      </w:r>
    </w:p>
    <w:p w:rsidR="00B92EAD" w:rsidRPr="00946D52" w:rsidRDefault="00625896" w:rsidP="00E905A9">
      <w:pPr>
        <w:pStyle w:val="Heading3"/>
      </w:pPr>
      <w:r w:rsidRPr="00946D52">
        <w:t>Normes révisées de l</w:t>
      </w:r>
      <w:r w:rsidR="00771456" w:rsidRPr="00946D52">
        <w:t>’</w:t>
      </w:r>
      <w:r w:rsidRPr="00946D52">
        <w:t>OMPI</w:t>
      </w:r>
    </w:p>
    <w:p w:rsidR="00B92EAD" w:rsidRPr="00946D52" w:rsidRDefault="00321AFD" w:rsidP="00917A14">
      <w:pPr>
        <w:pStyle w:val="ONUMFS"/>
        <w:rPr>
          <w:lang w:val="fr-FR"/>
        </w:rPr>
      </w:pPr>
      <w:r w:rsidRPr="00946D52">
        <w:rPr>
          <w:lang w:val="fr-FR"/>
        </w:rPr>
        <w:t>Les révisions des quatre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normes suivantes ont été approuvées</w:t>
      </w:r>
      <w:r w:rsidR="00771456" w:rsidRPr="00946D52">
        <w:rPr>
          <w:lang w:val="fr-FR"/>
        </w:rPr>
        <w:t> :</w:t>
      </w:r>
    </w:p>
    <w:p w:rsidR="00B92EAD" w:rsidRPr="00946D52" w:rsidRDefault="0002693D" w:rsidP="00E905A9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proofErr w:type="gramStart"/>
      <w:r>
        <w:rPr>
          <w:lang w:val="fr-FR"/>
        </w:rPr>
        <w:t>n</w:t>
      </w:r>
      <w:r w:rsidR="00321AFD" w:rsidRPr="00946D52">
        <w:rPr>
          <w:lang w:val="fr-FR"/>
        </w:rPr>
        <w:t>orme</w:t>
      </w:r>
      <w:proofErr w:type="gramEnd"/>
      <w:r w:rsidR="009B077E" w:rsidRPr="00946D52">
        <w:rPr>
          <w:lang w:val="fr-FR"/>
        </w:rPr>
        <w:t> </w:t>
      </w:r>
      <w:r w:rsidR="00321AFD" w:rsidRPr="00946D52">
        <w:rPr>
          <w:lang w:val="fr-FR"/>
        </w:rPr>
        <w:t>ST.26 de l</w:t>
      </w:r>
      <w:r w:rsidR="00771456" w:rsidRPr="00946D52">
        <w:rPr>
          <w:lang w:val="fr-FR"/>
        </w:rPr>
        <w:t>’</w:t>
      </w:r>
      <w:r w:rsidR="00321AFD" w:rsidRPr="00946D52">
        <w:rPr>
          <w:lang w:val="fr-FR"/>
        </w:rPr>
        <w:t>OMPI</w:t>
      </w:r>
      <w:r w:rsidR="00771456" w:rsidRPr="00946D52">
        <w:rPr>
          <w:lang w:val="fr-FR"/>
        </w:rPr>
        <w:t> :</w:t>
      </w:r>
      <w:r w:rsidR="00321AFD" w:rsidRPr="00946D52">
        <w:rPr>
          <w:lang w:val="fr-FR"/>
        </w:rPr>
        <w:t xml:space="preserve"> </w:t>
      </w:r>
      <w:r>
        <w:rPr>
          <w:lang w:val="fr-FR"/>
        </w:rPr>
        <w:t>p</w:t>
      </w:r>
      <w:r w:rsidR="00321AFD" w:rsidRPr="00946D52">
        <w:rPr>
          <w:lang w:val="fr-FR"/>
        </w:rPr>
        <w:t>résentation des listages des séquences de nucléotides et d</w:t>
      </w:r>
      <w:r w:rsidR="00771456" w:rsidRPr="00946D52">
        <w:rPr>
          <w:lang w:val="fr-FR"/>
        </w:rPr>
        <w:t>’</w:t>
      </w:r>
      <w:r w:rsidR="00321AFD" w:rsidRPr="00946D52">
        <w:rPr>
          <w:lang w:val="fr-FR"/>
        </w:rPr>
        <w:t>acides aminés en langage XML;</w:t>
      </w:r>
    </w:p>
    <w:p w:rsidR="00771456" w:rsidRPr="00946D52" w:rsidRDefault="0002693D" w:rsidP="00E905A9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proofErr w:type="gramStart"/>
      <w:r>
        <w:rPr>
          <w:lang w:val="fr-FR"/>
        </w:rPr>
        <w:t>n</w:t>
      </w:r>
      <w:r w:rsidR="00321AFD" w:rsidRPr="00946D52">
        <w:rPr>
          <w:lang w:val="fr-FR"/>
        </w:rPr>
        <w:t>orme</w:t>
      </w:r>
      <w:proofErr w:type="gramEnd"/>
      <w:r w:rsidR="009B077E" w:rsidRPr="00946D52">
        <w:rPr>
          <w:lang w:val="fr-FR"/>
        </w:rPr>
        <w:t> </w:t>
      </w:r>
      <w:r w:rsidR="00321AFD" w:rsidRPr="00946D52">
        <w:rPr>
          <w:lang w:val="fr-FR"/>
        </w:rPr>
        <w:t>ST.27 de l</w:t>
      </w:r>
      <w:r w:rsidR="00771456" w:rsidRPr="00946D52">
        <w:rPr>
          <w:lang w:val="fr-FR"/>
        </w:rPr>
        <w:t>’</w:t>
      </w:r>
      <w:r w:rsidR="00321AFD" w:rsidRPr="00946D52">
        <w:rPr>
          <w:lang w:val="fr-FR"/>
        </w:rPr>
        <w:t>OMPI</w:t>
      </w:r>
      <w:r w:rsidR="00771456" w:rsidRPr="00946D52">
        <w:rPr>
          <w:lang w:val="fr-FR"/>
        </w:rPr>
        <w:t> :</w:t>
      </w:r>
      <w:r w:rsidR="00321AFD" w:rsidRPr="00946D52">
        <w:rPr>
          <w:lang w:val="fr-FR"/>
        </w:rPr>
        <w:t xml:space="preserve"> </w:t>
      </w:r>
      <w:r>
        <w:rPr>
          <w:lang w:val="fr-FR"/>
        </w:rPr>
        <w:t>é</w:t>
      </w:r>
      <w:r w:rsidR="00321AFD" w:rsidRPr="00946D52">
        <w:rPr>
          <w:lang w:val="fr-FR"/>
        </w:rPr>
        <w:t>change de données sur la situation juridique des brevets;</w:t>
      </w:r>
    </w:p>
    <w:p w:rsidR="00B92EAD" w:rsidRPr="00946D52" w:rsidRDefault="0002693D" w:rsidP="00E905A9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proofErr w:type="gramStart"/>
      <w:r>
        <w:rPr>
          <w:lang w:val="fr-FR"/>
        </w:rPr>
        <w:t>n</w:t>
      </w:r>
      <w:r w:rsidR="00321AFD" w:rsidRPr="00946D52">
        <w:rPr>
          <w:lang w:val="fr-FR"/>
        </w:rPr>
        <w:t>orme</w:t>
      </w:r>
      <w:proofErr w:type="gramEnd"/>
      <w:r w:rsidR="009B077E" w:rsidRPr="00946D52">
        <w:rPr>
          <w:lang w:val="fr-FR"/>
        </w:rPr>
        <w:t> </w:t>
      </w:r>
      <w:r w:rsidR="00321AFD" w:rsidRPr="00946D52">
        <w:rPr>
          <w:lang w:val="fr-FR"/>
        </w:rPr>
        <w:t>ST.37 de l</w:t>
      </w:r>
      <w:r w:rsidR="00771456" w:rsidRPr="00946D52">
        <w:rPr>
          <w:lang w:val="fr-FR"/>
        </w:rPr>
        <w:t>’</w:t>
      </w:r>
      <w:r w:rsidR="00321AFD" w:rsidRPr="00946D52">
        <w:rPr>
          <w:lang w:val="fr-FR"/>
        </w:rPr>
        <w:t>OMPI</w:t>
      </w:r>
      <w:r w:rsidR="00771456" w:rsidRPr="00946D52">
        <w:rPr>
          <w:lang w:val="fr-FR"/>
        </w:rPr>
        <w:t> :</w:t>
      </w:r>
      <w:r>
        <w:rPr>
          <w:lang w:val="fr-FR"/>
        </w:rPr>
        <w:t xml:space="preserve"> f</w:t>
      </w:r>
      <w:r w:rsidR="00321AFD" w:rsidRPr="00946D52">
        <w:rPr>
          <w:lang w:val="fr-FR"/>
        </w:rPr>
        <w:t>ichier d</w:t>
      </w:r>
      <w:r w:rsidR="00771456" w:rsidRPr="00946D52">
        <w:rPr>
          <w:lang w:val="fr-FR"/>
        </w:rPr>
        <w:t>’</w:t>
      </w:r>
      <w:r w:rsidR="00321AFD" w:rsidRPr="00946D52">
        <w:rPr>
          <w:lang w:val="fr-FR"/>
        </w:rPr>
        <w:t>autorité des documents de brevet publiés;  et</w:t>
      </w:r>
    </w:p>
    <w:p w:rsidR="00B92EAD" w:rsidRPr="00946D52" w:rsidRDefault="0002693D" w:rsidP="00E905A9">
      <w:pPr>
        <w:pStyle w:val="ONUMFS"/>
        <w:numPr>
          <w:ilvl w:val="0"/>
          <w:numId w:val="11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proofErr w:type="gramStart"/>
      <w:r>
        <w:rPr>
          <w:lang w:val="fr-FR"/>
        </w:rPr>
        <w:t>n</w:t>
      </w:r>
      <w:r w:rsidR="00321AFD" w:rsidRPr="00946D52">
        <w:rPr>
          <w:lang w:val="fr-FR"/>
        </w:rPr>
        <w:t>orme</w:t>
      </w:r>
      <w:proofErr w:type="gramEnd"/>
      <w:r w:rsidR="009B077E" w:rsidRPr="00946D52">
        <w:rPr>
          <w:lang w:val="fr-FR"/>
        </w:rPr>
        <w:t> </w:t>
      </w:r>
      <w:r w:rsidR="00321AFD" w:rsidRPr="00946D52">
        <w:rPr>
          <w:lang w:val="fr-FR"/>
        </w:rPr>
        <w:t>ST.88 de l</w:t>
      </w:r>
      <w:r w:rsidR="00771456" w:rsidRPr="00946D52">
        <w:rPr>
          <w:lang w:val="fr-FR"/>
        </w:rPr>
        <w:t>’</w:t>
      </w:r>
      <w:r w:rsidR="00321AFD" w:rsidRPr="00946D52">
        <w:rPr>
          <w:lang w:val="fr-FR"/>
        </w:rPr>
        <w:t>OMPI</w:t>
      </w:r>
      <w:r w:rsidR="00771456" w:rsidRPr="00946D52">
        <w:rPr>
          <w:lang w:val="fr-FR"/>
        </w:rPr>
        <w:t> :</w:t>
      </w:r>
      <w:r w:rsidR="00321AFD" w:rsidRPr="00946D52">
        <w:rPr>
          <w:lang w:val="fr-FR"/>
        </w:rPr>
        <w:t xml:space="preserve"> </w:t>
      </w:r>
      <w:r>
        <w:rPr>
          <w:lang w:val="fr-FR"/>
        </w:rPr>
        <w:t>r</w:t>
      </w:r>
      <w:r w:rsidR="00321AFD" w:rsidRPr="00946D52">
        <w:rPr>
          <w:lang w:val="fr-FR"/>
        </w:rPr>
        <w:t>eprésentations sous forme électronique des dessins et modèles industriels.</w:t>
      </w:r>
    </w:p>
    <w:p w:rsidR="00B92EAD" w:rsidRPr="00946D52" w:rsidRDefault="00321AFD" w:rsidP="00917A14">
      <w:pPr>
        <w:pStyle w:val="ONUMFS"/>
        <w:rPr>
          <w:lang w:val="fr-FR"/>
        </w:rPr>
      </w:pPr>
      <w:r w:rsidRPr="00946D52">
        <w:rPr>
          <w:lang w:val="fr-FR"/>
        </w:rPr>
        <w:t>Le CWS a noté que la version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5.0 de la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ST.96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a été approuvée par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Équipe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experts chargée de la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 xml:space="preserve">XML4IP et publiée en </w:t>
      </w:r>
      <w:r w:rsidR="00771456" w:rsidRPr="00946D52">
        <w:rPr>
          <w:lang w:val="fr-FR"/>
        </w:rPr>
        <w:t>octobre 20</w:t>
      </w:r>
      <w:r w:rsidRPr="00946D52">
        <w:rPr>
          <w:lang w:val="fr-FR"/>
        </w:rPr>
        <w:t>21, conformément aux dispositions spéciales</w:t>
      </w:r>
      <w:r w:rsidR="00771456" w:rsidRPr="00946D52">
        <w:rPr>
          <w:lang w:val="fr-FR"/>
        </w:rPr>
        <w:t xml:space="preserve"> du CWS</w:t>
      </w:r>
      <w:r w:rsidRPr="00946D52">
        <w:rPr>
          <w:lang w:val="fr-FR"/>
        </w:rPr>
        <w:t xml:space="preserve"> selon lesquelles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Équipe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experts chargée de la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XML4IP était provisoirement autorisée à approuver les révisions de la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ST.96 afin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accélérer le process</w:t>
      </w:r>
      <w:r w:rsidR="00117320" w:rsidRPr="00946D52">
        <w:rPr>
          <w:lang w:val="fr-FR"/>
        </w:rPr>
        <w:t>us.  Ce</w:t>
      </w:r>
      <w:r w:rsidRPr="00946D52">
        <w:rPr>
          <w:lang w:val="fr-FR"/>
        </w:rPr>
        <w:t>tte version comporte notamment des outils améliorés pour la validation et le rapprochement des schémas conformes à la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ST.96.</w:t>
      </w:r>
    </w:p>
    <w:p w:rsidR="00771456" w:rsidRPr="00946D52" w:rsidRDefault="00321AFD" w:rsidP="00E905A9">
      <w:pPr>
        <w:pStyle w:val="Heading3"/>
      </w:pPr>
      <w:r w:rsidRPr="00946D52">
        <w:t>Documents de travail</w:t>
      </w:r>
    </w:p>
    <w:p w:rsidR="00B92EAD" w:rsidRPr="00946D52" w:rsidRDefault="00F02571" w:rsidP="00917A14">
      <w:pPr>
        <w:pStyle w:val="ONUMFS"/>
        <w:rPr>
          <w:lang w:val="fr-FR"/>
        </w:rPr>
      </w:pPr>
      <w:r w:rsidRPr="00946D52">
        <w:rPr>
          <w:lang w:val="fr-FR"/>
        </w:rPr>
        <w:t>Le CWS a examiné les deux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projets de documents ci</w:t>
      </w:r>
      <w:r w:rsidR="00E905A9">
        <w:rPr>
          <w:lang w:val="fr-FR"/>
        </w:rPr>
        <w:noBreakHyphen/>
      </w:r>
      <w:r w:rsidRPr="00946D52">
        <w:rPr>
          <w:lang w:val="fr-FR"/>
        </w:rPr>
        <w:t>après, soumis par le Bureau international</w:t>
      </w:r>
      <w:r w:rsidR="00771456" w:rsidRPr="00946D52">
        <w:rPr>
          <w:lang w:val="fr-FR"/>
        </w:rPr>
        <w:t> :</w:t>
      </w:r>
    </w:p>
    <w:p w:rsidR="00B92EAD" w:rsidRPr="00946D52" w:rsidRDefault="00F02571" w:rsidP="00E905A9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946D52">
        <w:rPr>
          <w:lang w:val="fr-FR"/>
        </w:rPr>
        <w:t>Propositions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 xml:space="preserve">amélioration des métadonnées relatives aux œuvres orphelines </w:t>
      </w:r>
      <w:r w:rsidR="00436ECA" w:rsidRPr="00946D52">
        <w:rPr>
          <w:lang w:val="fr-FR"/>
        </w:rPr>
        <w:t xml:space="preserve">protégées par le droit d’auteur </w:t>
      </w:r>
      <w:r w:rsidRPr="00946D52">
        <w:rPr>
          <w:lang w:val="fr-FR"/>
        </w:rPr>
        <w:t>dans la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ST.96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(voir le document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CWS/9/4</w:t>
      </w:r>
      <w:proofErr w:type="gramStart"/>
      <w:r w:rsidRPr="00946D52">
        <w:rPr>
          <w:lang w:val="fr-FR"/>
        </w:rPr>
        <w:t>);  et</w:t>
      </w:r>
      <w:proofErr w:type="gramEnd"/>
    </w:p>
    <w:p w:rsidR="00B92EAD" w:rsidRPr="00946D52" w:rsidRDefault="00F02571" w:rsidP="00E905A9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946D52">
        <w:rPr>
          <w:lang w:val="fr-FR"/>
        </w:rPr>
        <w:t>Rapport sur le livre blanc sur la chaîne de blocs pour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 xml:space="preserve">écosystème de </w:t>
      </w:r>
      <w:r w:rsidR="00436ECA" w:rsidRPr="00946D52">
        <w:rPr>
          <w:lang w:val="fr-FR"/>
        </w:rPr>
        <w:t xml:space="preserve">la </w:t>
      </w:r>
      <w:r w:rsidRPr="00946D52">
        <w:rPr>
          <w:lang w:val="fr-FR"/>
        </w:rPr>
        <w:t>propriété intellectuelle (voir le document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CWS/9/8).</w:t>
      </w:r>
    </w:p>
    <w:p w:rsidR="00771456" w:rsidRPr="00946D52" w:rsidRDefault="00436ECA" w:rsidP="00917A14">
      <w:pPr>
        <w:pStyle w:val="ONUMFS"/>
        <w:rPr>
          <w:lang w:val="fr-FR"/>
        </w:rPr>
      </w:pPr>
      <w:r w:rsidRPr="00946D52">
        <w:rPr>
          <w:lang w:val="fr-FR"/>
        </w:rPr>
        <w:t xml:space="preserve">S’agissant de </w:t>
      </w:r>
      <w:r w:rsidR="00432431" w:rsidRPr="00946D52">
        <w:rPr>
          <w:lang w:val="fr-FR"/>
        </w:rPr>
        <w:t>la gestion des métadonnées relatives aux œuvres orphelines protégées par le droit d</w:t>
      </w:r>
      <w:r w:rsidR="00771456" w:rsidRPr="00946D52">
        <w:rPr>
          <w:lang w:val="fr-FR"/>
        </w:rPr>
        <w:t>’</w:t>
      </w:r>
      <w:r w:rsidR="00432431" w:rsidRPr="00946D52">
        <w:rPr>
          <w:lang w:val="fr-FR"/>
        </w:rPr>
        <w:t>auteur,</w:t>
      </w:r>
      <w:r w:rsidR="00771456" w:rsidRPr="00946D52">
        <w:rPr>
          <w:lang w:val="fr-FR"/>
        </w:rPr>
        <w:t xml:space="preserve"> le CWS</w:t>
      </w:r>
      <w:r w:rsidR="00432431" w:rsidRPr="00946D52">
        <w:rPr>
          <w:lang w:val="fr-FR"/>
        </w:rPr>
        <w:t xml:space="preserve"> a noté que le projet de document comprend des propositions de normalisation </w:t>
      </w:r>
      <w:r w:rsidRPr="00946D52">
        <w:rPr>
          <w:lang w:val="fr-FR"/>
        </w:rPr>
        <w:t>concernant</w:t>
      </w:r>
      <w:r w:rsidR="00432431" w:rsidRPr="00946D52">
        <w:rPr>
          <w:lang w:val="fr-FR"/>
        </w:rPr>
        <w:t xml:space="preserve"> les rôles des titulaires de droits et les catégories d</w:t>
      </w:r>
      <w:r w:rsidR="00771456" w:rsidRPr="00946D52">
        <w:rPr>
          <w:lang w:val="fr-FR"/>
        </w:rPr>
        <w:t>’</w:t>
      </w:r>
      <w:r w:rsidR="00432431" w:rsidRPr="00946D52">
        <w:rPr>
          <w:lang w:val="fr-FR"/>
        </w:rPr>
        <w:t xml:space="preserve">œuvres créatives et invité ses membres, </w:t>
      </w:r>
      <w:r w:rsidR="00771456" w:rsidRPr="00946D52">
        <w:rPr>
          <w:lang w:val="fr-FR"/>
        </w:rPr>
        <w:t>y compris</w:t>
      </w:r>
      <w:r w:rsidR="00432431" w:rsidRPr="00946D52">
        <w:rPr>
          <w:lang w:val="fr-FR"/>
        </w:rPr>
        <w:t xml:space="preserve"> les bureaux du droit d</w:t>
      </w:r>
      <w:r w:rsidR="00771456" w:rsidRPr="00946D52">
        <w:rPr>
          <w:lang w:val="fr-FR"/>
        </w:rPr>
        <w:t>’</w:t>
      </w:r>
      <w:r w:rsidR="00432431" w:rsidRPr="00946D52">
        <w:rPr>
          <w:lang w:val="fr-FR"/>
        </w:rPr>
        <w:t>auteur, à formuler des commentaires supplémentaires sur ces propositio</w:t>
      </w:r>
      <w:r w:rsidR="00117320" w:rsidRPr="00946D52">
        <w:rPr>
          <w:lang w:val="fr-FR"/>
        </w:rPr>
        <w:t xml:space="preserve">ns.  </w:t>
      </w:r>
      <w:r w:rsidRPr="00946D52">
        <w:rPr>
          <w:lang w:val="fr-FR"/>
        </w:rPr>
        <w:t xml:space="preserve">S’agissant du </w:t>
      </w:r>
      <w:r w:rsidR="00E90393" w:rsidRPr="00946D52">
        <w:rPr>
          <w:lang w:val="fr-FR"/>
        </w:rPr>
        <w:t>Livre blanc sur la chaîne de blocs,</w:t>
      </w:r>
      <w:r w:rsidR="00771456" w:rsidRPr="00946D52">
        <w:rPr>
          <w:lang w:val="fr-FR"/>
        </w:rPr>
        <w:t xml:space="preserve"> le CWS</w:t>
      </w:r>
      <w:r w:rsidR="00E90393" w:rsidRPr="00946D52">
        <w:rPr>
          <w:lang w:val="fr-FR"/>
        </w:rPr>
        <w:t xml:space="preserve"> a pris note du contenu du document et invité les offices de propriété intellectuelle à </w:t>
      </w:r>
      <w:r w:rsidRPr="00946D52">
        <w:rPr>
          <w:lang w:val="fr-FR"/>
        </w:rPr>
        <w:t>prendre en considération</w:t>
      </w:r>
      <w:r w:rsidR="00E90393" w:rsidRPr="00946D52">
        <w:rPr>
          <w:lang w:val="fr-FR"/>
        </w:rPr>
        <w:t xml:space="preserve"> </w:t>
      </w:r>
      <w:r w:rsidRPr="00946D52">
        <w:rPr>
          <w:lang w:val="fr-FR"/>
        </w:rPr>
        <w:t>l</w:t>
      </w:r>
      <w:r w:rsidR="00E90393" w:rsidRPr="00946D52">
        <w:rPr>
          <w:lang w:val="fr-FR"/>
        </w:rPr>
        <w:t>es informations contenues dans le livre blanc lors de l</w:t>
      </w:r>
      <w:r w:rsidR="00771456" w:rsidRPr="00946D52">
        <w:rPr>
          <w:lang w:val="fr-FR"/>
        </w:rPr>
        <w:t>’</w:t>
      </w:r>
      <w:r w:rsidR="00E90393" w:rsidRPr="00946D52">
        <w:rPr>
          <w:lang w:val="fr-FR"/>
        </w:rPr>
        <w:t xml:space="preserve">élaboration de leurs </w:t>
      </w:r>
      <w:r w:rsidR="00E90393" w:rsidRPr="00946D52">
        <w:rPr>
          <w:lang w:val="fr-FR"/>
        </w:rPr>
        <w:lastRenderedPageBreak/>
        <w:t>stratégies et pratiques en matière de chaîne de blo</w:t>
      </w:r>
      <w:r w:rsidR="00117320" w:rsidRPr="00946D52">
        <w:rPr>
          <w:lang w:val="fr-FR"/>
        </w:rPr>
        <w:t>cs.  Le</w:t>
      </w:r>
      <w:r w:rsidR="00771456" w:rsidRPr="00946D52">
        <w:rPr>
          <w:lang w:val="fr-FR"/>
        </w:rPr>
        <w:t> CWS</w:t>
      </w:r>
      <w:r w:rsidR="00C31108" w:rsidRPr="00946D52">
        <w:rPr>
          <w:lang w:val="fr-FR"/>
        </w:rPr>
        <w:t xml:space="preserve"> a également noté que le Bureau international publierait le livre blanc sur le site</w:t>
      </w:r>
      <w:r w:rsidR="00050246" w:rsidRPr="00946D52">
        <w:rPr>
          <w:lang w:val="fr-FR"/>
        </w:rPr>
        <w:t> </w:t>
      </w:r>
      <w:r w:rsidR="00C31108" w:rsidRPr="00946D52">
        <w:rPr>
          <w:lang w:val="fr-FR"/>
        </w:rPr>
        <w:t>Web de l</w:t>
      </w:r>
      <w:r w:rsidR="00771456" w:rsidRPr="00946D52">
        <w:rPr>
          <w:lang w:val="fr-FR"/>
        </w:rPr>
        <w:t>’</w:t>
      </w:r>
      <w:r w:rsidR="00C31108" w:rsidRPr="00946D52">
        <w:rPr>
          <w:lang w:val="fr-FR"/>
        </w:rPr>
        <w:t>OMPI, qui est désormais accessible à l</w:t>
      </w:r>
      <w:r w:rsidR="00771456" w:rsidRPr="00946D52">
        <w:rPr>
          <w:lang w:val="fr-FR"/>
        </w:rPr>
        <w:t>’</w:t>
      </w:r>
      <w:r w:rsidR="00C31108" w:rsidRPr="00946D52">
        <w:rPr>
          <w:lang w:val="fr-FR"/>
        </w:rPr>
        <w:t xml:space="preserve">adresse </w:t>
      </w:r>
      <w:hyperlink r:id="rId8" w:history="1">
        <w:r w:rsidRPr="00E905A9">
          <w:rPr>
            <w:rStyle w:val="Hyperlink"/>
          </w:rPr>
          <w:t>https://www.wipo.int/cws/fr/blockchain</w:t>
        </w:r>
        <w:r w:rsidR="00E905A9" w:rsidRPr="00E905A9">
          <w:rPr>
            <w:rStyle w:val="Hyperlink"/>
          </w:rPr>
          <w:noBreakHyphen/>
        </w:r>
        <w:r w:rsidRPr="00E905A9">
          <w:rPr>
            <w:rStyle w:val="Hyperlink"/>
          </w:rPr>
          <w:t>and</w:t>
        </w:r>
        <w:r w:rsidR="00E905A9" w:rsidRPr="00E905A9">
          <w:rPr>
            <w:rStyle w:val="Hyperlink"/>
          </w:rPr>
          <w:noBreakHyphen/>
        </w:r>
        <w:r w:rsidRPr="00E905A9">
          <w:rPr>
            <w:rStyle w:val="Hyperlink"/>
          </w:rPr>
          <w:t>ip.html</w:t>
        </w:r>
      </w:hyperlink>
      <w:r w:rsidR="00C31108" w:rsidRPr="00946D52">
        <w:rPr>
          <w:lang w:val="fr-FR"/>
        </w:rPr>
        <w:t>.</w:t>
      </w:r>
    </w:p>
    <w:p w:rsidR="00B92EAD" w:rsidRPr="00946D52" w:rsidRDefault="00C31108" w:rsidP="00E905A9">
      <w:pPr>
        <w:pStyle w:val="Heading2"/>
      </w:pPr>
      <w:r w:rsidRPr="00946D52">
        <w:t>Mise en œuvre des normes de l</w:t>
      </w:r>
      <w:r w:rsidR="00771456" w:rsidRPr="00946D52">
        <w:t>’</w:t>
      </w:r>
      <w:r w:rsidRPr="00946D52">
        <w:t>OMPI et pratiques des offices de propriété intellectuelle</w:t>
      </w:r>
    </w:p>
    <w:p w:rsidR="00771456" w:rsidRPr="00946D52" w:rsidRDefault="00B11AE1" w:rsidP="00917A14">
      <w:pPr>
        <w:pStyle w:val="ONUMFS"/>
        <w:rPr>
          <w:lang w:val="fr-FR"/>
        </w:rPr>
      </w:pPr>
      <w:r w:rsidRPr="00946D52">
        <w:rPr>
          <w:lang w:val="fr-FR"/>
        </w:rPr>
        <w:t xml:space="preserve">Trois enquêtes ont été menées </w:t>
      </w:r>
      <w:r w:rsidR="00771456" w:rsidRPr="00946D52">
        <w:rPr>
          <w:lang w:val="fr-FR"/>
        </w:rPr>
        <w:t>en 2021</w:t>
      </w:r>
      <w:r w:rsidRPr="00946D52">
        <w:rPr>
          <w:lang w:val="fr-FR"/>
        </w:rPr>
        <w:t xml:space="preserve"> </w:t>
      </w:r>
      <w:r w:rsidR="00436ECA" w:rsidRPr="00946D52">
        <w:rPr>
          <w:lang w:val="fr-FR"/>
        </w:rPr>
        <w:t>afin de</w:t>
      </w:r>
      <w:r w:rsidRPr="00946D52">
        <w:rPr>
          <w:lang w:val="fr-FR"/>
        </w:rPr>
        <w:t xml:space="preserve"> recueillir des informations sur la mise en œuvre des normes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par les offices de propriété intellectuelle et les pratiques connexes des offices de propriété intellectuel</w:t>
      </w:r>
      <w:r w:rsidR="00117320" w:rsidRPr="00946D52">
        <w:rPr>
          <w:lang w:val="fr-FR"/>
        </w:rPr>
        <w:t>le.  Le</w:t>
      </w:r>
      <w:r w:rsidR="00771456" w:rsidRPr="00946D52">
        <w:rPr>
          <w:lang w:val="fr-FR"/>
        </w:rPr>
        <w:t> CWS</w:t>
      </w:r>
      <w:r w:rsidRPr="00946D52">
        <w:rPr>
          <w:lang w:val="fr-FR"/>
        </w:rPr>
        <w:t xml:space="preserve"> a approuvé la publication </w:t>
      </w:r>
      <w:r w:rsidR="00436ECA" w:rsidRPr="00946D52">
        <w:rPr>
          <w:lang w:val="fr-FR"/>
        </w:rPr>
        <w:t xml:space="preserve">sur le site Web de l’OMPI </w:t>
      </w:r>
      <w:r w:rsidRPr="00946D52">
        <w:rPr>
          <w:lang w:val="fr-FR"/>
        </w:rPr>
        <w:t>de la synthèse des résultats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enquête sur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accès à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information en matière de brevets accessible au public, partie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2, qui a été ajoutée dans la partie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7 du Manuel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</w:t>
      </w:r>
      <w:r w:rsidRPr="00946D52">
        <w:rPr>
          <w:rStyle w:val="FootnoteReference"/>
          <w:lang w:val="fr-FR"/>
        </w:rPr>
        <w:footnoteReference w:id="4"/>
      </w:r>
      <w:r w:rsidRPr="00946D52">
        <w:rPr>
          <w:lang w:val="fr-FR"/>
        </w:rPr>
        <w:t>.</w:t>
      </w:r>
      <w:r w:rsidR="007A45A4" w:rsidRPr="00946D52">
        <w:rPr>
          <w:lang w:val="fr-FR"/>
        </w:rPr>
        <w:t xml:space="preserve"> </w:t>
      </w:r>
      <w:r w:rsidR="00771456" w:rsidRPr="00946D52">
        <w:rPr>
          <w:lang w:val="fr-FR"/>
        </w:rPr>
        <w:t xml:space="preserve"> </w:t>
      </w:r>
      <w:r w:rsidR="00436ECA" w:rsidRPr="00946D52">
        <w:rPr>
          <w:lang w:val="fr-FR"/>
        </w:rPr>
        <w:t xml:space="preserve">Il </w:t>
      </w:r>
      <w:r w:rsidR="00765848" w:rsidRPr="00946D52">
        <w:rPr>
          <w:lang w:val="fr-FR"/>
        </w:rPr>
        <w:t>a également pris note des résultats de l</w:t>
      </w:r>
      <w:r w:rsidR="00771456" w:rsidRPr="00946D52">
        <w:rPr>
          <w:lang w:val="fr-FR"/>
        </w:rPr>
        <w:t>’</w:t>
      </w:r>
      <w:r w:rsidR="00765848" w:rsidRPr="00946D52">
        <w:rPr>
          <w:lang w:val="fr-FR"/>
        </w:rPr>
        <w:t>enquête sur l</w:t>
      </w:r>
      <w:r w:rsidR="00771456" w:rsidRPr="00946D52">
        <w:rPr>
          <w:lang w:val="fr-FR"/>
        </w:rPr>
        <w:t>’</w:t>
      </w:r>
      <w:r w:rsidR="00765848" w:rsidRPr="00946D52">
        <w:rPr>
          <w:lang w:val="fr-FR"/>
        </w:rPr>
        <w:t>ordre de priorité des 40</w:t>
      </w:r>
      <w:r w:rsidR="009B077E" w:rsidRPr="00946D52">
        <w:rPr>
          <w:lang w:val="fr-FR"/>
        </w:rPr>
        <w:t> </w:t>
      </w:r>
      <w:r w:rsidR="00765848" w:rsidRPr="00946D52">
        <w:rPr>
          <w:lang w:val="fr-FR"/>
        </w:rPr>
        <w:t>recommandations relatives à la stratégie en matière de TIC et a invité l</w:t>
      </w:r>
      <w:r w:rsidR="00771456" w:rsidRPr="00946D52">
        <w:rPr>
          <w:lang w:val="fr-FR"/>
        </w:rPr>
        <w:t>’</w:t>
      </w:r>
      <w:r w:rsidR="00765848" w:rsidRPr="00946D52">
        <w:rPr>
          <w:lang w:val="fr-FR"/>
        </w:rPr>
        <w:t>Équipe d</w:t>
      </w:r>
      <w:r w:rsidR="00771456" w:rsidRPr="00946D52">
        <w:rPr>
          <w:lang w:val="fr-FR"/>
        </w:rPr>
        <w:t>’</w:t>
      </w:r>
      <w:r w:rsidR="00765848" w:rsidRPr="00946D52">
        <w:rPr>
          <w:lang w:val="fr-FR"/>
        </w:rPr>
        <w:t xml:space="preserve">experts </w:t>
      </w:r>
      <w:r w:rsidR="00436ECA" w:rsidRPr="00946D52">
        <w:rPr>
          <w:lang w:val="fr-FR"/>
        </w:rPr>
        <w:t>chargée des normes relatives aux technologies de l</w:t>
      </w:r>
      <w:r w:rsidR="00946D52" w:rsidRPr="00946D52">
        <w:rPr>
          <w:lang w:val="fr-FR"/>
        </w:rPr>
        <w:t>’</w:t>
      </w:r>
      <w:r w:rsidR="00436ECA" w:rsidRPr="00946D52">
        <w:rPr>
          <w:lang w:val="fr-FR"/>
        </w:rPr>
        <w:t xml:space="preserve">information et de la communication </w:t>
      </w:r>
      <w:r w:rsidR="00765848" w:rsidRPr="00946D52">
        <w:rPr>
          <w:lang w:val="fr-FR"/>
        </w:rPr>
        <w:t>à tenir compte des résultats lorsqu</w:t>
      </w:r>
      <w:r w:rsidR="00771456" w:rsidRPr="00946D52">
        <w:rPr>
          <w:lang w:val="fr-FR"/>
        </w:rPr>
        <w:t>’</w:t>
      </w:r>
      <w:r w:rsidR="00765848" w:rsidRPr="00946D52">
        <w:rPr>
          <w:lang w:val="fr-FR"/>
        </w:rPr>
        <w:t>elle établira la feuille de route stratégique pour les offices.</w:t>
      </w:r>
    </w:p>
    <w:p w:rsidR="00771456" w:rsidRPr="00946D52" w:rsidRDefault="00680D1E" w:rsidP="00917A14">
      <w:pPr>
        <w:pStyle w:val="ONUMFS"/>
        <w:rPr>
          <w:szCs w:val="22"/>
          <w:lang w:val="fr-FR"/>
        </w:rPr>
      </w:pPr>
      <w:r w:rsidRPr="00946D52">
        <w:rPr>
          <w:lang w:val="fr-FR"/>
        </w:rPr>
        <w:t>Le CWS a pris note de la mise en œuvre de la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ST.61 par les offices de propriété intellectuelle, telle que décrite dans le document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 xml:space="preserve">CWS/9/10.  </w:t>
      </w:r>
      <w:r w:rsidR="008E356E" w:rsidRPr="00946D52">
        <w:rPr>
          <w:lang w:val="fr-FR"/>
        </w:rPr>
        <w:t>Des plans de mise en œuvre ont été fournis par 14 </w:t>
      </w:r>
      <w:r w:rsidRPr="00946D52">
        <w:rPr>
          <w:lang w:val="fr-FR"/>
        </w:rPr>
        <w:t>offices et des tables de correspondan</w:t>
      </w:r>
      <w:r w:rsidR="00117320" w:rsidRPr="00946D52">
        <w:rPr>
          <w:lang w:val="fr-FR"/>
        </w:rPr>
        <w:t>ce</w:t>
      </w:r>
      <w:r w:rsidR="0002693D">
        <w:rPr>
          <w:lang w:val="fr-FR"/>
        </w:rPr>
        <w:t xml:space="preserve"> par </w:t>
      </w:r>
      <w:r w:rsidR="008E356E" w:rsidRPr="00946D52">
        <w:rPr>
          <w:lang w:val="fr-FR"/>
        </w:rPr>
        <w:t>11</w:t>
      </w:r>
      <w:r w:rsidR="00117320" w:rsidRPr="00946D52">
        <w:rPr>
          <w:lang w:val="fr-FR"/>
        </w:rPr>
        <w:t>.  Tr</w:t>
      </w:r>
      <w:r w:rsidRPr="00946D52">
        <w:rPr>
          <w:lang w:val="fr-FR"/>
        </w:rPr>
        <w:t>ois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offices de propriété intellectuelle prévoient de commencer la mise en œuvre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 xml:space="preserve">ici à 2023, </w:t>
      </w:r>
      <w:r w:rsidR="008E356E" w:rsidRPr="00946D52">
        <w:rPr>
          <w:lang w:val="fr-FR"/>
        </w:rPr>
        <w:t>mais</w:t>
      </w:r>
      <w:r w:rsidRPr="00946D52">
        <w:rPr>
          <w:lang w:val="fr-FR"/>
        </w:rPr>
        <w:t xml:space="preserve"> le calendrier des autres offices est incerta</w:t>
      </w:r>
      <w:r w:rsidR="00117320" w:rsidRPr="00946D52">
        <w:rPr>
          <w:lang w:val="fr-FR"/>
        </w:rPr>
        <w:t>in.  La</w:t>
      </w:r>
      <w:r w:rsidRPr="00946D52">
        <w:rPr>
          <w:lang w:val="fr-FR"/>
        </w:rPr>
        <w:t xml:space="preserve"> table de correspondance est publiée dans la partie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7 du Manuel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</w:t>
      </w:r>
      <w:r w:rsidR="00117320" w:rsidRPr="00946D52">
        <w:rPr>
          <w:lang w:val="fr-FR"/>
        </w:rPr>
        <w:t>MPI.  Le</w:t>
      </w:r>
      <w:r w:rsidR="00771456" w:rsidRPr="00946D52">
        <w:rPr>
          <w:lang w:val="fr-FR"/>
        </w:rPr>
        <w:t> CWS</w:t>
      </w:r>
      <w:r w:rsidRPr="00946D52">
        <w:rPr>
          <w:lang w:val="fr-FR"/>
        </w:rPr>
        <w:t xml:space="preserve"> a approuvé un nouveau questionnaire pour une enquête sur les pratiques des offices de propriété intellectuelle en matière de transformation numérique qui sera menée </w:t>
      </w:r>
      <w:r w:rsidR="00771456" w:rsidRPr="00946D52">
        <w:rPr>
          <w:lang w:val="fr-FR"/>
        </w:rPr>
        <w:t>en 2022</w:t>
      </w:r>
      <w:r w:rsidRPr="00946D52">
        <w:rPr>
          <w:lang w:val="fr-FR"/>
        </w:rPr>
        <w:t>.</w:t>
      </w:r>
    </w:p>
    <w:p w:rsidR="00771456" w:rsidRPr="00946D52" w:rsidRDefault="008E356E" w:rsidP="00917A14">
      <w:pPr>
        <w:pStyle w:val="ONUMFS"/>
        <w:rPr>
          <w:lang w:val="fr-FR"/>
        </w:rPr>
      </w:pPr>
      <w:r w:rsidRPr="00946D52">
        <w:rPr>
          <w:lang w:val="fr-FR"/>
        </w:rPr>
        <w:t>À sa cinquante</w:t>
      </w:r>
      <w:r w:rsidR="00E905A9">
        <w:rPr>
          <w:lang w:val="fr-FR"/>
        </w:rPr>
        <w:noBreakHyphen/>
      </w:r>
      <w:r w:rsidRPr="00946D52">
        <w:rPr>
          <w:lang w:val="fr-FR"/>
        </w:rPr>
        <w:t>quatrième session tenue en 2021, l</w:t>
      </w:r>
      <w:r w:rsidR="00771456" w:rsidRPr="00946D52">
        <w:rPr>
          <w:lang w:val="fr-FR"/>
        </w:rPr>
        <w:t>’</w:t>
      </w:r>
      <w:r w:rsidR="00255A40" w:rsidRPr="00946D52">
        <w:rPr>
          <w:lang w:val="fr-FR"/>
        </w:rPr>
        <w:t>Assemblée générale de l</w:t>
      </w:r>
      <w:r w:rsidR="00771456" w:rsidRPr="00946D52">
        <w:rPr>
          <w:lang w:val="fr-FR"/>
        </w:rPr>
        <w:t>’</w:t>
      </w:r>
      <w:r w:rsidR="00255A40" w:rsidRPr="00946D52">
        <w:rPr>
          <w:lang w:val="fr-FR"/>
        </w:rPr>
        <w:t>OMPI a pris note du document</w:t>
      </w:r>
      <w:r w:rsidR="009B077E" w:rsidRPr="00946D52">
        <w:rPr>
          <w:lang w:val="fr-FR"/>
        </w:rPr>
        <w:t> </w:t>
      </w:r>
      <w:r w:rsidR="00255A40" w:rsidRPr="00946D52">
        <w:rPr>
          <w:lang w:val="fr-FR"/>
        </w:rPr>
        <w:t>WO/GA/54/14 “Questions concernant la date de mise en œuvre</w:t>
      </w:r>
      <w:r w:rsidR="005E0524" w:rsidRPr="00946D52">
        <w:rPr>
          <w:lang w:val="fr-FR"/>
        </w:rPr>
        <w:t xml:space="preserve"> effective</w:t>
      </w:r>
      <w:r w:rsidR="00255A40" w:rsidRPr="00946D52">
        <w:rPr>
          <w:lang w:val="fr-FR"/>
        </w:rPr>
        <w:t xml:space="preserve"> de la norme</w:t>
      </w:r>
      <w:r w:rsidR="00050246" w:rsidRPr="00946D52">
        <w:rPr>
          <w:lang w:val="fr-FR"/>
        </w:rPr>
        <w:t> </w:t>
      </w:r>
      <w:r w:rsidR="00255A40" w:rsidRPr="00946D52">
        <w:rPr>
          <w:lang w:val="fr-FR"/>
        </w:rPr>
        <w:t>ST.26 de l</w:t>
      </w:r>
      <w:r w:rsidR="00771456" w:rsidRPr="00946D52">
        <w:rPr>
          <w:lang w:val="fr-FR"/>
        </w:rPr>
        <w:t>’</w:t>
      </w:r>
      <w:r w:rsidR="00255A40" w:rsidRPr="00946D52">
        <w:rPr>
          <w:lang w:val="fr-FR"/>
        </w:rPr>
        <w:t>OMPI” et approuvé la nouvelle date de mise en œuvre effective de la norme</w:t>
      </w:r>
      <w:r w:rsidR="00050246" w:rsidRPr="00946D52">
        <w:rPr>
          <w:lang w:val="fr-FR"/>
        </w:rPr>
        <w:t> </w:t>
      </w:r>
      <w:r w:rsidR="00255A40" w:rsidRPr="00946D52">
        <w:rPr>
          <w:lang w:val="fr-FR"/>
        </w:rPr>
        <w:t>ST.26 de l</w:t>
      </w:r>
      <w:r w:rsidR="00771456" w:rsidRPr="00946D52">
        <w:rPr>
          <w:lang w:val="fr-FR"/>
        </w:rPr>
        <w:t>’</w:t>
      </w:r>
      <w:r w:rsidR="00255A40" w:rsidRPr="00946D52">
        <w:rPr>
          <w:lang w:val="fr-FR"/>
        </w:rPr>
        <w:t xml:space="preserve">OMPI aux niveaux national, régional et international, </w:t>
      </w:r>
      <w:r w:rsidR="00771456" w:rsidRPr="00946D52">
        <w:rPr>
          <w:lang w:val="fr-FR"/>
        </w:rPr>
        <w:t>à savoir</w:t>
      </w:r>
      <w:r w:rsidR="00255A40" w:rsidRPr="00946D52">
        <w:rPr>
          <w:lang w:val="fr-FR"/>
        </w:rPr>
        <w:t xml:space="preserve"> le</w:t>
      </w:r>
      <w:r w:rsidR="00771456" w:rsidRPr="00946D52">
        <w:rPr>
          <w:lang w:val="fr-FR"/>
        </w:rPr>
        <w:t xml:space="preserve"> 1</w:t>
      </w:r>
      <w:r w:rsidR="00771456" w:rsidRPr="00946D52">
        <w:rPr>
          <w:vertAlign w:val="superscript"/>
          <w:lang w:val="fr-FR"/>
        </w:rPr>
        <w:t>er</w:t>
      </w:r>
      <w:r w:rsidR="00771456" w:rsidRPr="00946D52">
        <w:rPr>
          <w:lang w:val="fr-FR"/>
        </w:rPr>
        <w:t> juillet 20</w:t>
      </w:r>
      <w:r w:rsidR="00255A40" w:rsidRPr="00946D52">
        <w:rPr>
          <w:lang w:val="fr-FR"/>
        </w:rPr>
        <w:t xml:space="preserve">22 (voir le </w:t>
      </w:r>
      <w:r w:rsidR="00771456" w:rsidRPr="00946D52">
        <w:rPr>
          <w:lang w:val="fr-FR"/>
        </w:rPr>
        <w:t>paragraphe 1</w:t>
      </w:r>
      <w:r w:rsidR="00255A40" w:rsidRPr="00946D52">
        <w:rPr>
          <w:lang w:val="fr-FR"/>
        </w:rPr>
        <w:t>83 du document</w:t>
      </w:r>
      <w:r w:rsidR="009B077E" w:rsidRPr="00946D52">
        <w:rPr>
          <w:lang w:val="fr-FR"/>
        </w:rPr>
        <w:t> </w:t>
      </w:r>
      <w:r w:rsidR="00255A40" w:rsidRPr="00946D52">
        <w:rPr>
          <w:lang w:val="fr-FR"/>
        </w:rPr>
        <w:t>WO/GA/54/15).</w:t>
      </w:r>
      <w:r w:rsidR="007A45A4" w:rsidRPr="00946D52">
        <w:rPr>
          <w:lang w:val="fr-FR"/>
        </w:rPr>
        <w:t xml:space="preserve">  </w:t>
      </w:r>
      <w:r w:rsidR="00DC7EED" w:rsidRPr="00946D52">
        <w:rPr>
          <w:lang w:val="fr-FR"/>
        </w:rPr>
        <w:t>Pour faciliter le passage de la norme</w:t>
      </w:r>
      <w:r w:rsidR="00050246" w:rsidRPr="00946D52">
        <w:rPr>
          <w:lang w:val="fr-FR"/>
        </w:rPr>
        <w:t> </w:t>
      </w:r>
      <w:r w:rsidR="00DC7EED" w:rsidRPr="00946D52">
        <w:rPr>
          <w:lang w:val="fr-FR"/>
        </w:rPr>
        <w:t>ST.25 à la norme</w:t>
      </w:r>
      <w:r w:rsidR="00050246" w:rsidRPr="00946D52">
        <w:rPr>
          <w:lang w:val="fr-FR"/>
        </w:rPr>
        <w:t> </w:t>
      </w:r>
      <w:r w:rsidR="00DC7EED" w:rsidRPr="00946D52">
        <w:rPr>
          <w:lang w:val="fr-FR"/>
        </w:rPr>
        <w:t>ST.26 de l</w:t>
      </w:r>
      <w:r w:rsidR="00771456" w:rsidRPr="00946D52">
        <w:rPr>
          <w:lang w:val="fr-FR"/>
        </w:rPr>
        <w:t>’</w:t>
      </w:r>
      <w:r w:rsidR="00DC7EED" w:rsidRPr="00946D52">
        <w:rPr>
          <w:lang w:val="fr-FR"/>
        </w:rPr>
        <w:t xml:space="preserve">OMPI, le Bureau international a mis au point </w:t>
      </w:r>
      <w:r w:rsidR="005E0524" w:rsidRPr="00946D52">
        <w:rPr>
          <w:lang w:val="fr-FR"/>
        </w:rPr>
        <w:t xml:space="preserve">la suite </w:t>
      </w:r>
      <w:r w:rsidR="00DC7EED" w:rsidRPr="00946D52">
        <w:rPr>
          <w:lang w:val="fr-FR"/>
        </w:rPr>
        <w:t>logiciel</w:t>
      </w:r>
      <w:r w:rsidR="005E0524" w:rsidRPr="00946D52">
        <w:rPr>
          <w:lang w:val="fr-FR"/>
        </w:rPr>
        <w:t xml:space="preserve">le WIPO </w:t>
      </w:r>
      <w:proofErr w:type="spellStart"/>
      <w:r w:rsidR="005E0524" w:rsidRPr="00946D52">
        <w:rPr>
          <w:lang w:val="fr-FR"/>
        </w:rPr>
        <w:t>Sequence</w:t>
      </w:r>
      <w:proofErr w:type="spellEnd"/>
      <w:r w:rsidR="00DC7EED" w:rsidRPr="00946D52">
        <w:rPr>
          <w:lang w:val="fr-FR"/>
        </w:rPr>
        <w:t xml:space="preserve"> qui permet aux déposants de demandes de brevet et aux offices de propriété intellectuelle du monde entier d</w:t>
      </w:r>
      <w:r w:rsidR="00771456" w:rsidRPr="00946D52">
        <w:rPr>
          <w:lang w:val="fr-FR"/>
        </w:rPr>
        <w:t>’</w:t>
      </w:r>
      <w:r w:rsidR="00DC7EED" w:rsidRPr="00946D52">
        <w:rPr>
          <w:lang w:val="fr-FR"/>
        </w:rPr>
        <w:t>établir des listages de séquences et de vérifier leur conformité avec la norme</w:t>
      </w:r>
      <w:r w:rsidR="00050246" w:rsidRPr="00946D52">
        <w:rPr>
          <w:lang w:val="fr-FR"/>
        </w:rPr>
        <w:t> </w:t>
      </w:r>
      <w:r w:rsidR="00DC7EED" w:rsidRPr="00946D52">
        <w:rPr>
          <w:lang w:val="fr-FR"/>
        </w:rPr>
        <w:t xml:space="preserve">ST.26 de </w:t>
      </w:r>
      <w:proofErr w:type="gramStart"/>
      <w:r w:rsidR="00DC7EED" w:rsidRPr="00946D52">
        <w:rPr>
          <w:lang w:val="fr-FR"/>
        </w:rPr>
        <w:t>l</w:t>
      </w:r>
      <w:r w:rsidR="00771456" w:rsidRPr="00946D52">
        <w:rPr>
          <w:lang w:val="fr-FR"/>
        </w:rPr>
        <w:t>’</w:t>
      </w:r>
      <w:r w:rsidR="00DC7EED" w:rsidRPr="00946D52">
        <w:rPr>
          <w:lang w:val="fr-FR"/>
        </w:rPr>
        <w:t>OMPI;  la</w:t>
      </w:r>
      <w:proofErr w:type="gramEnd"/>
      <w:r w:rsidR="00DC7EED" w:rsidRPr="00946D52">
        <w:rPr>
          <w:lang w:val="fr-FR"/>
        </w:rPr>
        <w:t xml:space="preserve"> prochaine version officielle de cet outil devrait être publiée en </w:t>
      </w:r>
      <w:r w:rsidR="00771456" w:rsidRPr="00946D52">
        <w:rPr>
          <w:lang w:val="fr-FR"/>
        </w:rPr>
        <w:t>avril 20</w:t>
      </w:r>
      <w:r w:rsidR="00DC7EED" w:rsidRPr="00946D52">
        <w:rPr>
          <w:lang w:val="fr-FR"/>
        </w:rPr>
        <w:t>22.</w:t>
      </w:r>
      <w:r w:rsidR="007A45A4" w:rsidRPr="00946D52">
        <w:rPr>
          <w:lang w:val="fr-FR"/>
        </w:rPr>
        <w:t xml:space="preserve">  </w:t>
      </w:r>
      <w:r w:rsidR="003B0C01" w:rsidRPr="00946D52">
        <w:rPr>
          <w:lang w:val="fr-FR"/>
        </w:rPr>
        <w:t>Le Bureau international a organisé une série de webinaires sur la norme</w:t>
      </w:r>
      <w:r w:rsidR="00050246" w:rsidRPr="00946D52">
        <w:rPr>
          <w:lang w:val="fr-FR"/>
        </w:rPr>
        <w:t> </w:t>
      </w:r>
      <w:r w:rsidR="003B0C01" w:rsidRPr="00946D52">
        <w:rPr>
          <w:lang w:val="fr-FR"/>
        </w:rPr>
        <w:t>ST.26 de l</w:t>
      </w:r>
      <w:r w:rsidR="00771456" w:rsidRPr="00946D52">
        <w:rPr>
          <w:lang w:val="fr-FR"/>
        </w:rPr>
        <w:t>’</w:t>
      </w:r>
      <w:r w:rsidR="003B0C01" w:rsidRPr="00946D52">
        <w:rPr>
          <w:lang w:val="fr-FR"/>
        </w:rPr>
        <w:t xml:space="preserve">OMPI et la suite logicielle WIPO </w:t>
      </w:r>
      <w:proofErr w:type="spellStart"/>
      <w:r w:rsidR="003B0C01" w:rsidRPr="00946D52">
        <w:rPr>
          <w:lang w:val="fr-FR"/>
        </w:rPr>
        <w:t>Sequence</w:t>
      </w:r>
      <w:proofErr w:type="spellEnd"/>
      <w:r w:rsidR="003B0C01" w:rsidRPr="00946D52">
        <w:rPr>
          <w:lang w:val="fr-FR"/>
        </w:rPr>
        <w:t xml:space="preserve"> dans différentes langu</w:t>
      </w:r>
      <w:r w:rsidR="00117320" w:rsidRPr="00946D52">
        <w:rPr>
          <w:lang w:val="fr-FR"/>
        </w:rPr>
        <w:t>es.  Le</w:t>
      </w:r>
      <w:r w:rsidR="003B0C01" w:rsidRPr="00946D52">
        <w:rPr>
          <w:lang w:val="fr-FR"/>
        </w:rPr>
        <w:t>s vidéos enregistrées des webinaires, les diapositives et autres supports de formation sont disponibles sur le site</w:t>
      </w:r>
      <w:r w:rsidR="00050246" w:rsidRPr="00946D52">
        <w:rPr>
          <w:lang w:val="fr-FR"/>
        </w:rPr>
        <w:t> </w:t>
      </w:r>
      <w:r w:rsidR="003B0C01" w:rsidRPr="00946D52">
        <w:rPr>
          <w:lang w:val="fr-FR"/>
        </w:rPr>
        <w:t>Web de l</w:t>
      </w:r>
      <w:r w:rsidR="00771456" w:rsidRPr="00946D52">
        <w:rPr>
          <w:lang w:val="fr-FR"/>
        </w:rPr>
        <w:t>’</w:t>
      </w:r>
      <w:r w:rsidR="003B0C01" w:rsidRPr="00946D52">
        <w:rPr>
          <w:lang w:val="fr-FR"/>
        </w:rPr>
        <w:t>OMPI</w:t>
      </w:r>
      <w:r w:rsidR="003B0C01" w:rsidRPr="00946D52">
        <w:rPr>
          <w:rStyle w:val="FootnoteReference"/>
          <w:lang w:val="fr-FR"/>
        </w:rPr>
        <w:footnoteReference w:id="5"/>
      </w:r>
      <w:r w:rsidR="003B0C01" w:rsidRPr="00946D52">
        <w:rPr>
          <w:lang w:val="fr-FR"/>
        </w:rPr>
        <w:t>.</w:t>
      </w:r>
      <w:r w:rsidR="007A45A4" w:rsidRPr="00946D52">
        <w:rPr>
          <w:lang w:val="fr-FR"/>
        </w:rPr>
        <w:t xml:space="preserve">  </w:t>
      </w:r>
      <w:r w:rsidR="003B0C01" w:rsidRPr="00946D52">
        <w:rPr>
          <w:lang w:val="fr-FR"/>
        </w:rPr>
        <w:t xml:space="preserve">En outre, les questions fréquemment posées (FAQ) sur la mise en </w:t>
      </w:r>
      <w:r w:rsidR="00C87D29" w:rsidRPr="00946D52">
        <w:rPr>
          <w:lang w:val="fr-FR"/>
        </w:rPr>
        <w:t xml:space="preserve">œuvre </w:t>
      </w:r>
      <w:r w:rsidR="003B0C01" w:rsidRPr="00946D52">
        <w:rPr>
          <w:lang w:val="fr-FR"/>
        </w:rPr>
        <w:t>de la norme</w:t>
      </w:r>
      <w:r w:rsidR="00050246" w:rsidRPr="00946D52">
        <w:rPr>
          <w:lang w:val="fr-FR"/>
        </w:rPr>
        <w:t> </w:t>
      </w:r>
      <w:r w:rsidR="003B0C01" w:rsidRPr="00946D52">
        <w:rPr>
          <w:lang w:val="fr-FR"/>
        </w:rPr>
        <w:t>ST.26 ont été publiées sur le site</w:t>
      </w:r>
      <w:r w:rsidR="00050246" w:rsidRPr="00946D52">
        <w:rPr>
          <w:lang w:val="fr-FR"/>
        </w:rPr>
        <w:t> </w:t>
      </w:r>
      <w:r w:rsidR="003B0C01" w:rsidRPr="00946D52">
        <w:rPr>
          <w:lang w:val="fr-FR"/>
        </w:rPr>
        <w:t>Web de l</w:t>
      </w:r>
      <w:r w:rsidR="00771456" w:rsidRPr="00946D52">
        <w:rPr>
          <w:lang w:val="fr-FR"/>
        </w:rPr>
        <w:t>’</w:t>
      </w:r>
      <w:r w:rsidR="003B0C01" w:rsidRPr="00946D52">
        <w:rPr>
          <w:lang w:val="fr-FR"/>
        </w:rPr>
        <w:t>OMPI dans les 10</w:t>
      </w:r>
      <w:r w:rsidR="009B077E" w:rsidRPr="00946D52">
        <w:rPr>
          <w:lang w:val="fr-FR"/>
        </w:rPr>
        <w:t> </w:t>
      </w:r>
      <w:r w:rsidR="003B0C01" w:rsidRPr="00946D52">
        <w:rPr>
          <w:lang w:val="fr-FR"/>
        </w:rPr>
        <w:t>langues</w:t>
      </w:r>
      <w:r w:rsidR="00771456" w:rsidRPr="00946D52">
        <w:rPr>
          <w:lang w:val="fr-FR"/>
        </w:rPr>
        <w:t xml:space="preserve"> du PCT</w:t>
      </w:r>
      <w:r w:rsidR="003B0C01" w:rsidRPr="00946D52">
        <w:rPr>
          <w:lang w:val="fr-FR"/>
        </w:rPr>
        <w:t>.</w:t>
      </w:r>
    </w:p>
    <w:p w:rsidR="00B92EAD" w:rsidRPr="00946D52" w:rsidRDefault="003B0C01" w:rsidP="00E905A9">
      <w:pPr>
        <w:pStyle w:val="Heading3"/>
      </w:pPr>
      <w:r w:rsidRPr="00946D52">
        <w:t>Services consultatifs et d</w:t>
      </w:r>
      <w:r w:rsidR="00771456" w:rsidRPr="00946D52">
        <w:t>’</w:t>
      </w:r>
      <w:r w:rsidRPr="00946D52">
        <w:t>assistance technique aux fins du renforcement des capacités</w:t>
      </w:r>
    </w:p>
    <w:p w:rsidR="00B92EAD" w:rsidRPr="00946D52" w:rsidRDefault="003B0C01" w:rsidP="00917A14">
      <w:pPr>
        <w:pStyle w:val="ONUMFS"/>
        <w:rPr>
          <w:lang w:val="fr-FR"/>
        </w:rPr>
      </w:pPr>
      <w:r w:rsidRPr="00946D52">
        <w:rPr>
          <w:lang w:val="fr-FR"/>
        </w:rPr>
        <w:t>Concernant la prestation de services consultatifs et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assistance technique aux fins du renforcement des capacités des offices de propriété intellectuelle en rapport avec les normes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OMPI,</w:t>
      </w:r>
      <w:r w:rsidR="00771456" w:rsidRPr="00946D52">
        <w:rPr>
          <w:lang w:val="fr-FR"/>
        </w:rPr>
        <w:t xml:space="preserve"> le CWS</w:t>
      </w:r>
      <w:r w:rsidRPr="00946D52">
        <w:rPr>
          <w:lang w:val="fr-FR"/>
        </w:rPr>
        <w:t xml:space="preserve"> a pris note du rapport (voir le document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 xml:space="preserve">CWS/9/22 en annexe) sur les activités menées par le Bureau international </w:t>
      </w:r>
      <w:r w:rsidR="00771456" w:rsidRPr="00946D52">
        <w:rPr>
          <w:lang w:val="fr-FR"/>
        </w:rPr>
        <w:t>en 2020</w:t>
      </w:r>
      <w:r w:rsidRPr="00946D52">
        <w:rPr>
          <w:lang w:val="fr-FR"/>
        </w:rPr>
        <w:t>, comme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avait demandé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Assemblée générale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à sa quarant</w:t>
      </w:r>
      <w:r w:rsidR="00771456" w:rsidRPr="00946D52">
        <w:rPr>
          <w:lang w:val="fr-FR"/>
        </w:rPr>
        <w:t>ième session</w:t>
      </w:r>
      <w:r w:rsidRPr="00946D52">
        <w:rPr>
          <w:lang w:val="fr-FR"/>
        </w:rPr>
        <w:t xml:space="preserve"> tenue en </w:t>
      </w:r>
      <w:r w:rsidR="00771456" w:rsidRPr="00946D52">
        <w:rPr>
          <w:lang w:val="fr-FR"/>
        </w:rPr>
        <w:t>octobre 20</w:t>
      </w:r>
      <w:r w:rsidRPr="00946D52">
        <w:rPr>
          <w:lang w:val="fr-FR"/>
        </w:rPr>
        <w:t>11.</w:t>
      </w:r>
      <w:r w:rsidR="007A45A4" w:rsidRPr="00946D52">
        <w:rPr>
          <w:lang w:val="fr-FR"/>
        </w:rPr>
        <w:t xml:space="preserve"> </w:t>
      </w:r>
      <w:r w:rsidR="00050246" w:rsidRPr="00946D52">
        <w:rPr>
          <w:lang w:val="fr-FR"/>
        </w:rPr>
        <w:t xml:space="preserve"> </w:t>
      </w:r>
    </w:p>
    <w:p w:rsidR="00B92EAD" w:rsidRPr="00946D52" w:rsidRDefault="003B0C01" w:rsidP="00E905A9">
      <w:pPr>
        <w:pStyle w:val="Heading2"/>
      </w:pPr>
      <w:r w:rsidRPr="00946D52">
        <w:lastRenderedPageBreak/>
        <w:t>Programme de travail et autres activités en cours</w:t>
      </w:r>
    </w:p>
    <w:p w:rsidR="00771456" w:rsidRPr="00946D52" w:rsidRDefault="003B0C01" w:rsidP="00E905A9">
      <w:pPr>
        <w:pStyle w:val="Heading3"/>
      </w:pPr>
      <w:r w:rsidRPr="00946D52">
        <w:t>Tâches</w:t>
      </w:r>
      <w:r w:rsidR="00771456" w:rsidRPr="00946D52">
        <w:t xml:space="preserve"> du CWS</w:t>
      </w:r>
    </w:p>
    <w:p w:rsidR="00771456" w:rsidRPr="00946D52" w:rsidRDefault="003B0C01" w:rsidP="00917A14">
      <w:pPr>
        <w:pStyle w:val="ONUMFS"/>
        <w:rPr>
          <w:lang w:val="fr-FR"/>
        </w:rPr>
      </w:pPr>
      <w:r w:rsidRPr="00946D52">
        <w:rPr>
          <w:lang w:val="fr-FR"/>
        </w:rPr>
        <w:t>Vingt</w:t>
      </w:r>
      <w:r w:rsidR="00E905A9">
        <w:rPr>
          <w:lang w:val="fr-FR"/>
        </w:rPr>
        <w:noBreakHyphen/>
      </w:r>
      <w:r w:rsidRPr="00946D52">
        <w:rPr>
          <w:lang w:val="fr-FR"/>
        </w:rPr>
        <w:t>cinq tâches et 17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équipes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experts sont actuellement en place dans le cadre du comi</w:t>
      </w:r>
      <w:r w:rsidR="00117320" w:rsidRPr="00946D52">
        <w:rPr>
          <w:lang w:val="fr-FR"/>
        </w:rPr>
        <w:t>té.  Le</w:t>
      </w:r>
      <w:r w:rsidRPr="00946D52">
        <w:rPr>
          <w:lang w:val="fr-FR"/>
        </w:rPr>
        <w:t xml:space="preserve"> programme de travail</w:t>
      </w:r>
      <w:r w:rsidR="00771456" w:rsidRPr="00946D52">
        <w:rPr>
          <w:lang w:val="fr-FR"/>
        </w:rPr>
        <w:t xml:space="preserve"> du CWS</w:t>
      </w:r>
      <w:r w:rsidRPr="00946D52">
        <w:rPr>
          <w:lang w:val="fr-FR"/>
        </w:rPr>
        <w:t xml:space="preserve"> a été modifié comme suit</w:t>
      </w:r>
      <w:r w:rsidR="00771456" w:rsidRPr="00946D52">
        <w:rPr>
          <w:lang w:val="fr-FR"/>
        </w:rPr>
        <w:t> :</w:t>
      </w:r>
    </w:p>
    <w:p w:rsidR="00B92EAD" w:rsidRPr="00946D52" w:rsidRDefault="00BE24D3" w:rsidP="00E905A9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>
        <w:rPr>
          <w:lang w:val="fr-FR"/>
        </w:rPr>
        <w:t>d</w:t>
      </w:r>
      <w:r w:rsidR="003B0C01" w:rsidRPr="00946D52">
        <w:rPr>
          <w:lang w:val="fr-FR"/>
        </w:rPr>
        <w:t>eux</w:t>
      </w:r>
      <w:proofErr w:type="gramEnd"/>
      <w:r w:rsidR="003B0C01" w:rsidRPr="00946D52">
        <w:rPr>
          <w:lang w:val="fr-FR"/>
        </w:rPr>
        <w:t xml:space="preserve"> tâches ont été abandonnées car elles sont considérées comme achevées</w:t>
      </w:r>
      <w:r w:rsidR="00771456" w:rsidRPr="00946D52">
        <w:rPr>
          <w:lang w:val="fr-FR"/>
        </w:rPr>
        <w:t> :</w:t>
      </w:r>
      <w:r w:rsidR="003B0C01" w:rsidRPr="00946D52">
        <w:rPr>
          <w:lang w:val="fr-FR"/>
        </w:rPr>
        <w:t xml:space="preserve"> la tâche n°</w:t>
      </w:r>
      <w:r w:rsidR="00050246" w:rsidRPr="00946D52">
        <w:rPr>
          <w:lang w:val="fr-FR"/>
        </w:rPr>
        <w:t> </w:t>
      </w:r>
      <w:r w:rsidR="003B0C01" w:rsidRPr="00946D52">
        <w:rPr>
          <w:lang w:val="fr-FR"/>
        </w:rPr>
        <w:t>23 (surveiller les informations relatives à l</w:t>
      </w:r>
      <w:r w:rsidR="00771456" w:rsidRPr="00946D52">
        <w:rPr>
          <w:lang w:val="fr-FR"/>
        </w:rPr>
        <w:t>’</w:t>
      </w:r>
      <w:r w:rsidR="003B0C01" w:rsidRPr="00946D52">
        <w:rPr>
          <w:lang w:val="fr-FR"/>
        </w:rPr>
        <w:t>entrée dans la phase nationale/régionale des demandes PCT, obsolète car les données sont désormais disponibles dans PATENTSCOPE) et la tâche n°</w:t>
      </w:r>
      <w:r w:rsidR="00050246" w:rsidRPr="00946D52">
        <w:rPr>
          <w:lang w:val="fr-FR"/>
        </w:rPr>
        <w:t> </w:t>
      </w:r>
      <w:r w:rsidR="003B0C01" w:rsidRPr="00946D52">
        <w:rPr>
          <w:lang w:val="fr-FR"/>
        </w:rPr>
        <w:t>53 (révisions et mises à jour de la norme</w:t>
      </w:r>
      <w:r w:rsidR="00050246" w:rsidRPr="00946D52">
        <w:rPr>
          <w:lang w:val="fr-FR"/>
        </w:rPr>
        <w:t> </w:t>
      </w:r>
      <w:r w:rsidR="003B0C01" w:rsidRPr="00946D52">
        <w:rPr>
          <w:lang w:val="fr-FR"/>
        </w:rPr>
        <w:t>ST.37 de l</w:t>
      </w:r>
      <w:r w:rsidR="00771456" w:rsidRPr="00946D52">
        <w:rPr>
          <w:lang w:val="fr-FR"/>
        </w:rPr>
        <w:t>’</w:t>
      </w:r>
      <w:r w:rsidR="003B0C01" w:rsidRPr="00946D52">
        <w:rPr>
          <w:lang w:val="fr-FR"/>
        </w:rPr>
        <w:t>OMPI, désormais couverte par la tâche n°</w:t>
      </w:r>
      <w:r w:rsidR="00050246" w:rsidRPr="00946D52">
        <w:rPr>
          <w:lang w:val="fr-FR"/>
        </w:rPr>
        <w:t> </w:t>
      </w:r>
      <w:r>
        <w:rPr>
          <w:lang w:val="fr-FR"/>
        </w:rPr>
        <w:t>33 selon les besoins);  et</w:t>
      </w:r>
    </w:p>
    <w:p w:rsidR="00771456" w:rsidRPr="00946D52" w:rsidRDefault="00BE24D3" w:rsidP="00E905A9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>
        <w:rPr>
          <w:lang w:val="fr-FR"/>
        </w:rPr>
        <w:t>l</w:t>
      </w:r>
      <w:r w:rsidR="003B0C01" w:rsidRPr="00946D52">
        <w:rPr>
          <w:lang w:val="fr-FR"/>
        </w:rPr>
        <w:t>e</w:t>
      </w:r>
      <w:proofErr w:type="gramEnd"/>
      <w:r w:rsidR="003B0C01" w:rsidRPr="00946D52">
        <w:rPr>
          <w:lang w:val="fr-FR"/>
        </w:rPr>
        <w:t xml:space="preserve"> mandat de deux</w:t>
      </w:r>
      <w:r w:rsidR="00050246" w:rsidRPr="00946D52">
        <w:rPr>
          <w:lang w:val="fr-FR"/>
        </w:rPr>
        <w:t> </w:t>
      </w:r>
      <w:r w:rsidR="003B0C01" w:rsidRPr="00946D52">
        <w:rPr>
          <w:lang w:val="fr-FR"/>
        </w:rPr>
        <w:t>tâches a été révisé pour tenir compte des travaux qui ont été achev</w:t>
      </w:r>
      <w:r w:rsidR="00117320" w:rsidRPr="00946D52">
        <w:rPr>
          <w:lang w:val="fr-FR"/>
        </w:rPr>
        <w:t>és.  Le</w:t>
      </w:r>
      <w:r w:rsidR="003B0C01" w:rsidRPr="00946D52">
        <w:rPr>
          <w:lang w:val="fr-FR"/>
        </w:rPr>
        <w:t>s nouvelles descriptions convenues se présentent ainsi</w:t>
      </w:r>
      <w:r w:rsidR="00771456" w:rsidRPr="00946D52">
        <w:rPr>
          <w:lang w:val="fr-FR"/>
        </w:rPr>
        <w:t> :</w:t>
      </w:r>
    </w:p>
    <w:p w:rsidR="00B92EAD" w:rsidRPr="00946D52" w:rsidRDefault="003B0C01" w:rsidP="00E905A9">
      <w:pPr>
        <w:pStyle w:val="ONUMFS"/>
        <w:numPr>
          <w:ilvl w:val="0"/>
          <w:numId w:val="14"/>
        </w:numPr>
        <w:tabs>
          <w:tab w:val="clear" w:pos="567"/>
          <w:tab w:val="num" w:pos="1701"/>
        </w:tabs>
        <w:ind w:left="1701" w:hanging="567"/>
        <w:rPr>
          <w:lang w:val="fr-FR"/>
        </w:rPr>
      </w:pPr>
      <w:r w:rsidRPr="00946D52">
        <w:rPr>
          <w:lang w:val="fr-FR"/>
        </w:rPr>
        <w:t>Tâche n</w:t>
      </w:r>
      <w:r w:rsidR="00117320" w:rsidRPr="00946D52">
        <w:rPr>
          <w:lang w:val="fr-FR"/>
        </w:rPr>
        <w:t>° </w:t>
      </w:r>
      <w:r w:rsidRPr="00946D52">
        <w:rPr>
          <w:lang w:val="fr-FR"/>
        </w:rPr>
        <w:t>52</w:t>
      </w:r>
      <w:r w:rsidR="00771456" w:rsidRPr="00946D52">
        <w:rPr>
          <w:lang w:val="fr-FR"/>
        </w:rPr>
        <w:t> :</w:t>
      </w:r>
      <w:r w:rsidRPr="00946D52">
        <w:rPr>
          <w:lang w:val="fr-FR"/>
        </w:rPr>
        <w:t xml:space="preserve"> </w:t>
      </w:r>
      <w:r w:rsidR="00BE24D3">
        <w:rPr>
          <w:lang w:val="fr-FR"/>
        </w:rPr>
        <w:t>é</w:t>
      </w:r>
      <w:r w:rsidRPr="00946D52">
        <w:rPr>
          <w:lang w:val="fr-FR"/>
        </w:rPr>
        <w:t>tablir des recommandations concernant des systèmes destinés à assurer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accès à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information en matière de brevets accessible au public des offices de propriété industrielle.</w:t>
      </w:r>
    </w:p>
    <w:p w:rsidR="00B92EAD" w:rsidRPr="00946D52" w:rsidRDefault="00BB676B" w:rsidP="00E905A9">
      <w:pPr>
        <w:pStyle w:val="ONUMFS"/>
        <w:numPr>
          <w:ilvl w:val="0"/>
          <w:numId w:val="14"/>
        </w:numPr>
        <w:tabs>
          <w:tab w:val="clear" w:pos="567"/>
          <w:tab w:val="num" w:pos="1701"/>
        </w:tabs>
        <w:ind w:left="1701" w:hanging="567"/>
        <w:rPr>
          <w:lang w:val="fr-FR"/>
        </w:rPr>
      </w:pPr>
      <w:r w:rsidRPr="00946D52">
        <w:rPr>
          <w:lang w:val="fr-FR"/>
        </w:rPr>
        <w:t>Tâche n</w:t>
      </w:r>
      <w:r w:rsidR="00117320" w:rsidRPr="00946D52">
        <w:rPr>
          <w:lang w:val="fr-FR"/>
        </w:rPr>
        <w:t>° </w:t>
      </w:r>
      <w:r w:rsidRPr="00946D52">
        <w:rPr>
          <w:lang w:val="fr-FR"/>
        </w:rPr>
        <w:t>61</w:t>
      </w:r>
      <w:r w:rsidR="00771456" w:rsidRPr="00946D52">
        <w:rPr>
          <w:lang w:val="fr-FR"/>
        </w:rPr>
        <w:t> :</w:t>
      </w:r>
      <w:r w:rsidRPr="00946D52">
        <w:rPr>
          <w:lang w:val="fr-FR"/>
        </w:rPr>
        <w:t xml:space="preserve"> </w:t>
      </w:r>
      <w:r w:rsidR="00BE24D3">
        <w:rPr>
          <w:lang w:val="fr-FR"/>
        </w:rPr>
        <w:t>p</w:t>
      </w:r>
      <w:r w:rsidRPr="00946D52">
        <w:rPr>
          <w:lang w:val="fr-FR"/>
        </w:rPr>
        <w:t>rocéder aux révisions et mises à jour nécessaires de la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ST.91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 xml:space="preserve">OMPI, </w:t>
      </w:r>
      <w:r w:rsidR="00771456" w:rsidRPr="00946D52">
        <w:rPr>
          <w:lang w:val="fr-FR"/>
        </w:rPr>
        <w:t>y compris</w:t>
      </w:r>
      <w:r w:rsidRPr="00946D52">
        <w:rPr>
          <w:lang w:val="fr-FR"/>
        </w:rPr>
        <w:t xml:space="preserve"> des méthodes de recherche de modèles et d</w:t>
      </w:r>
      <w:r w:rsidR="00771456" w:rsidRPr="00946D52">
        <w:rPr>
          <w:lang w:val="fr-FR"/>
        </w:rPr>
        <w:t>’</w:t>
      </w:r>
      <w:r w:rsidR="00BE24D3">
        <w:rPr>
          <w:lang w:val="fr-FR"/>
        </w:rPr>
        <w:t>images tridimensionnels </w:t>
      </w:r>
      <w:r w:rsidRPr="00946D52">
        <w:rPr>
          <w:lang w:val="fr-FR"/>
        </w:rPr>
        <w:t>(3D).</w:t>
      </w:r>
    </w:p>
    <w:p w:rsidR="00771456" w:rsidRPr="00946D52" w:rsidRDefault="00BB676B" w:rsidP="00917A14">
      <w:pPr>
        <w:pStyle w:val="ONUMFS"/>
        <w:rPr>
          <w:lang w:val="fr-FR"/>
        </w:rPr>
      </w:pPr>
      <w:r w:rsidRPr="00946D52">
        <w:rPr>
          <w:lang w:val="fr-FR"/>
        </w:rPr>
        <w:t>Le CWS est également convenu de poursuivre ses travaux sur les huit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tâches suivantes</w:t>
      </w:r>
      <w:r w:rsidR="00771456" w:rsidRPr="00946D52">
        <w:rPr>
          <w:lang w:val="fr-FR"/>
        </w:rPr>
        <w:t> :</w:t>
      </w:r>
    </w:p>
    <w:p w:rsidR="00B92EAD" w:rsidRPr="00946D52" w:rsidRDefault="00BB676B" w:rsidP="009314D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946D52">
        <w:rPr>
          <w:lang w:val="fr-FR"/>
        </w:rPr>
        <w:t>Tâche n°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24</w:t>
      </w:r>
      <w:r w:rsidR="00771456" w:rsidRPr="00946D52">
        <w:rPr>
          <w:lang w:val="fr-FR"/>
        </w:rPr>
        <w:t> :</w:t>
      </w:r>
      <w:r w:rsidR="00050246" w:rsidRPr="00946D52">
        <w:rPr>
          <w:lang w:val="fr-FR"/>
        </w:rPr>
        <w:t xml:space="preserve"> </w:t>
      </w:r>
      <w:r w:rsidR="00BE24D3">
        <w:rPr>
          <w:lang w:val="fr-FR"/>
        </w:rPr>
        <w:t>r</w:t>
      </w:r>
      <w:r w:rsidRPr="00946D52">
        <w:rPr>
          <w:lang w:val="fr-FR"/>
        </w:rPr>
        <w:t>ecueillir et publier les rapports techniques annuels (ATR/PI, ATR/TM, ATR/ID) sur les activités des membres</w:t>
      </w:r>
      <w:r w:rsidR="00771456" w:rsidRPr="00946D52">
        <w:rPr>
          <w:lang w:val="fr-FR"/>
        </w:rPr>
        <w:t xml:space="preserve"> du CWS</w:t>
      </w:r>
      <w:r w:rsidRPr="00946D52">
        <w:rPr>
          <w:lang w:val="fr-FR"/>
        </w:rPr>
        <w:t xml:space="preserve"> dans le domaine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information en matière de brevets, de marques et de dessins et modèles industriels.</w:t>
      </w:r>
    </w:p>
    <w:p w:rsidR="00B92EAD" w:rsidRPr="00946D52" w:rsidRDefault="00BB676B" w:rsidP="009314D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946D52">
        <w:rPr>
          <w:lang w:val="fr-FR"/>
        </w:rPr>
        <w:t>Tâche n°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44</w:t>
      </w:r>
      <w:r w:rsidR="00771456" w:rsidRPr="00946D52">
        <w:rPr>
          <w:lang w:val="fr-FR"/>
        </w:rPr>
        <w:t> :</w:t>
      </w:r>
      <w:r w:rsidRPr="00946D52">
        <w:rPr>
          <w:lang w:val="fr-FR"/>
        </w:rPr>
        <w:t xml:space="preserve"> </w:t>
      </w:r>
      <w:r w:rsidR="00BE24D3">
        <w:rPr>
          <w:lang w:val="fr-FR"/>
        </w:rPr>
        <w:t>f</w:t>
      </w:r>
      <w:r w:rsidRPr="00946D52">
        <w:rPr>
          <w:lang w:val="fr-FR"/>
        </w:rPr>
        <w:t>ournir un appui au Bureau international en communiquant les besoins et le retour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information des utilisateurs sur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outil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édition et de validation de la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ST.</w:t>
      </w:r>
      <w:proofErr w:type="gramStart"/>
      <w:r w:rsidRPr="00946D52">
        <w:rPr>
          <w:lang w:val="fr-FR"/>
        </w:rPr>
        <w:t>26;  fournir</w:t>
      </w:r>
      <w:proofErr w:type="gramEnd"/>
      <w:r w:rsidRPr="00946D52">
        <w:rPr>
          <w:lang w:val="fr-FR"/>
        </w:rPr>
        <w:t xml:space="preserve"> un appui au Bureau international pour les révisions à apporter en conséquence aux Instructions administratives</w:t>
      </w:r>
      <w:r w:rsidR="00771456" w:rsidRPr="00946D52">
        <w:rPr>
          <w:lang w:val="fr-FR"/>
        </w:rPr>
        <w:t xml:space="preserve"> du PCT</w:t>
      </w:r>
      <w:r w:rsidRPr="00946D52">
        <w:rPr>
          <w:lang w:val="fr-FR"/>
        </w:rPr>
        <w:t>;  et préparer les révisions à apporter à la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ST.26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OMPI.</w:t>
      </w:r>
    </w:p>
    <w:p w:rsidR="00B92EAD" w:rsidRPr="00946D52" w:rsidRDefault="00C87D29" w:rsidP="009314D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946D52">
        <w:rPr>
          <w:lang w:val="fr-FR"/>
        </w:rPr>
        <w:t>Tâch</w:t>
      </w:r>
      <w:r w:rsidR="00BB676B" w:rsidRPr="00946D52">
        <w:rPr>
          <w:lang w:val="fr-FR"/>
        </w:rPr>
        <w:t>e n°</w:t>
      </w:r>
      <w:r w:rsidR="00050246" w:rsidRPr="00946D52">
        <w:rPr>
          <w:lang w:val="fr-FR"/>
        </w:rPr>
        <w:t> </w:t>
      </w:r>
      <w:r w:rsidR="00BB676B" w:rsidRPr="00946D52">
        <w:rPr>
          <w:lang w:val="fr-FR"/>
        </w:rPr>
        <w:t>55</w:t>
      </w:r>
      <w:r w:rsidR="00771456" w:rsidRPr="00946D52">
        <w:rPr>
          <w:lang w:val="fr-FR"/>
        </w:rPr>
        <w:t> :</w:t>
      </w:r>
      <w:r w:rsidR="00BB676B" w:rsidRPr="00946D52">
        <w:rPr>
          <w:lang w:val="fr-FR"/>
        </w:rPr>
        <w:t xml:space="preserve"> </w:t>
      </w:r>
      <w:r w:rsidR="00BE24D3">
        <w:rPr>
          <w:lang w:val="fr-FR"/>
        </w:rPr>
        <w:t>e</w:t>
      </w:r>
      <w:r w:rsidR="00BB676B" w:rsidRPr="00946D52">
        <w:rPr>
          <w:lang w:val="fr-FR"/>
        </w:rPr>
        <w:t>nvisager l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élaboration d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une norme de l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OMPI visant à aider les offices de propriété industrielle à améliorer la “qualité à la source” des noms des déposants, établir une proposition visant la poursuite des travaux relatifs à la normalisation des noms des déposants dans les documents de propriété industrielle, et la présenter pour examen par</w:t>
      </w:r>
      <w:r w:rsidR="00771456" w:rsidRPr="00946D52">
        <w:rPr>
          <w:lang w:val="fr-FR"/>
        </w:rPr>
        <w:t xml:space="preserve"> le CWS</w:t>
      </w:r>
      <w:r w:rsidR="00BB676B" w:rsidRPr="00946D52">
        <w:rPr>
          <w:lang w:val="fr-FR"/>
        </w:rPr>
        <w:t>.</w:t>
      </w:r>
    </w:p>
    <w:p w:rsidR="00B92EAD" w:rsidRPr="00946D52" w:rsidRDefault="00BB676B" w:rsidP="009314D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946D52">
        <w:rPr>
          <w:lang w:val="fr-FR"/>
        </w:rPr>
        <w:t>Tâche n°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58</w:t>
      </w:r>
      <w:r w:rsidR="00771456" w:rsidRPr="00946D52">
        <w:rPr>
          <w:lang w:val="fr-FR"/>
        </w:rPr>
        <w:t> :</w:t>
      </w:r>
      <w:r w:rsidRPr="00946D52">
        <w:rPr>
          <w:lang w:val="fr-FR"/>
        </w:rPr>
        <w:t xml:space="preserve"> </w:t>
      </w:r>
      <w:r w:rsidR="00BE24D3">
        <w:rPr>
          <w:lang w:val="fr-FR"/>
        </w:rPr>
        <w:t>é</w:t>
      </w:r>
      <w:r w:rsidRPr="00946D52">
        <w:rPr>
          <w:lang w:val="fr-FR"/>
        </w:rPr>
        <w:t>laborer, en accomplissant les tâches ci</w:t>
      </w:r>
      <w:r w:rsidR="00E905A9">
        <w:rPr>
          <w:lang w:val="fr-FR"/>
        </w:rPr>
        <w:noBreakHyphen/>
      </w:r>
      <w:r w:rsidRPr="00946D52">
        <w:rPr>
          <w:lang w:val="fr-FR"/>
        </w:rPr>
        <w:t>après, une proposition de feuille de route pour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élaboration et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amélioration futures des normes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 xml:space="preserve">OMPI, </w:t>
      </w:r>
      <w:r w:rsidR="00771456" w:rsidRPr="00946D52">
        <w:rPr>
          <w:lang w:val="fr-FR"/>
        </w:rPr>
        <w:t>y compris</w:t>
      </w:r>
      <w:r w:rsidRPr="00946D52">
        <w:rPr>
          <w:lang w:val="fr-FR"/>
        </w:rPr>
        <w:t xml:space="preserve"> des recommandations de politique générale, afin de permettre aux offices de propriété industrielle et aux autres parties intéressées de produire, de partager et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utiliser les données</w:t>
      </w:r>
      <w:r w:rsidR="00771456" w:rsidRPr="00946D52">
        <w:rPr>
          <w:lang w:val="fr-FR"/>
        </w:rPr>
        <w:t> :</w:t>
      </w:r>
    </w:p>
    <w:p w:rsidR="00B92EAD" w:rsidRPr="00946D52" w:rsidRDefault="00BB676B" w:rsidP="009314D2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946D52">
        <w:rPr>
          <w:lang w:val="fr-FR"/>
        </w:rPr>
        <w:t>i.</w:t>
      </w:r>
      <w:r w:rsidRPr="00946D52">
        <w:rPr>
          <w:lang w:val="fr-FR"/>
        </w:rPr>
        <w:tab/>
        <w:t>examiner les recommandations du groupe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1 figurant dans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annexe du document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CWS/6/3, en collaboration avec les autres équipes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experts concernées</w:t>
      </w:r>
      <w:r w:rsidR="00771456" w:rsidRPr="00946D52">
        <w:rPr>
          <w:lang w:val="fr-FR"/>
        </w:rPr>
        <w:t xml:space="preserve"> du CWS</w:t>
      </w:r>
      <w:r w:rsidRPr="00946D52">
        <w:rPr>
          <w:lang w:val="fr-FR"/>
        </w:rPr>
        <w:t>;</w:t>
      </w:r>
    </w:p>
    <w:p w:rsidR="00B92EAD" w:rsidRPr="00946D52" w:rsidRDefault="00BB676B" w:rsidP="009314D2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946D52">
        <w:rPr>
          <w:lang w:val="fr-FR"/>
        </w:rPr>
        <w:t>ii.</w:t>
      </w:r>
      <w:r w:rsidRPr="00946D52">
        <w:rPr>
          <w:lang w:val="fr-FR"/>
        </w:rPr>
        <w:tab/>
        <w:t>examiner les recommandations du groupe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2 et du groupe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3 figurant à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annexe du document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CWS/6/3;</w:t>
      </w:r>
    </w:p>
    <w:p w:rsidR="00B92EAD" w:rsidRPr="00946D52" w:rsidRDefault="00BB676B" w:rsidP="009314D2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946D52">
        <w:rPr>
          <w:lang w:val="fr-FR"/>
        </w:rPr>
        <w:lastRenderedPageBreak/>
        <w:t>iii.</w:t>
      </w:r>
      <w:r w:rsidRPr="00946D52">
        <w:rPr>
          <w:lang w:val="fr-FR"/>
        </w:rPr>
        <w:tab/>
        <w:t xml:space="preserve">établir un ordre de priorité dans les recommandations et suggérer un </w:t>
      </w:r>
      <w:proofErr w:type="gramStart"/>
      <w:r w:rsidRPr="00946D52">
        <w:rPr>
          <w:lang w:val="fr-FR"/>
        </w:rPr>
        <w:t>calendrier</w:t>
      </w:r>
      <w:r w:rsidR="00DC0E40" w:rsidRPr="00946D52">
        <w:rPr>
          <w:lang w:val="fr-FR"/>
        </w:rPr>
        <w:t xml:space="preserve">; </w:t>
      </w:r>
      <w:r w:rsidRPr="00946D52">
        <w:rPr>
          <w:lang w:val="fr-FR"/>
        </w:rPr>
        <w:t xml:space="preserve"> et</w:t>
      </w:r>
      <w:proofErr w:type="gramEnd"/>
    </w:p>
    <w:p w:rsidR="00B92EAD" w:rsidRPr="00946D52" w:rsidRDefault="00BB676B" w:rsidP="009314D2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946D52">
        <w:rPr>
          <w:lang w:val="fr-FR"/>
        </w:rPr>
        <w:t>iv.</w:t>
      </w:r>
      <w:r w:rsidRPr="00946D52">
        <w:rPr>
          <w:lang w:val="fr-FR"/>
        </w:rPr>
        <w:tab/>
        <w:t>étudier les conséquences des technologies de rupture sur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administration de la propriété intellectuelle et les données de propriété intellectuelle au vu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harmonisation et de la collaborati</w:t>
      </w:r>
      <w:r w:rsidR="00117320" w:rsidRPr="00946D52">
        <w:rPr>
          <w:lang w:val="fr-FR"/>
        </w:rPr>
        <w:t>on.  Re</w:t>
      </w:r>
      <w:r w:rsidRPr="00946D52">
        <w:rPr>
          <w:lang w:val="fr-FR"/>
        </w:rPr>
        <w:t xml:space="preserve">cueillir des informations sur les exigences des offices de propriété industrielle et des </w:t>
      </w:r>
      <w:proofErr w:type="gramStart"/>
      <w:r w:rsidRPr="00946D52">
        <w:rPr>
          <w:lang w:val="fr-FR"/>
        </w:rPr>
        <w:t>clients;  et</w:t>
      </w:r>
      <w:proofErr w:type="gramEnd"/>
      <w:r w:rsidRPr="00946D52">
        <w:rPr>
          <w:lang w:val="fr-FR"/>
        </w:rPr>
        <w:t xml:space="preserve"> élaborer des recommandations en matière de représentations visuelles sous forme électronique pour les dessins et modèles.”</w:t>
      </w:r>
    </w:p>
    <w:p w:rsidR="00B92EAD" w:rsidRPr="00946D52" w:rsidRDefault="00117320" w:rsidP="009314D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946D52">
        <w:rPr>
          <w:lang w:val="fr-FR"/>
        </w:rPr>
        <w:t>Tâch</w:t>
      </w:r>
      <w:r w:rsidR="00BB676B" w:rsidRPr="00946D52">
        <w:rPr>
          <w:lang w:val="fr-FR"/>
        </w:rPr>
        <w:t>e n°</w:t>
      </w:r>
      <w:r w:rsidR="00050246" w:rsidRPr="00946D52">
        <w:rPr>
          <w:lang w:val="fr-FR"/>
        </w:rPr>
        <w:t> </w:t>
      </w:r>
      <w:r w:rsidR="00BB676B" w:rsidRPr="00946D52">
        <w:rPr>
          <w:lang w:val="fr-FR"/>
        </w:rPr>
        <w:t>59</w:t>
      </w:r>
      <w:r w:rsidR="00771456" w:rsidRPr="00946D52">
        <w:rPr>
          <w:lang w:val="fr-FR"/>
        </w:rPr>
        <w:t> :</w:t>
      </w:r>
      <w:r w:rsidR="00BB676B" w:rsidRPr="00946D52">
        <w:rPr>
          <w:lang w:val="fr-FR"/>
        </w:rPr>
        <w:t xml:space="preserve"> </w:t>
      </w:r>
      <w:r w:rsidR="00BE24D3">
        <w:rPr>
          <w:lang w:val="fr-FR"/>
        </w:rPr>
        <w:t>é</w:t>
      </w:r>
      <w:r w:rsidR="00BB676B" w:rsidRPr="00946D52">
        <w:rPr>
          <w:lang w:val="fr-FR"/>
        </w:rPr>
        <w:t>tudier la possibilité d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utiliser les chaînes de bloc dans les procédures d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octroi de la protection des droits de propriété intellectuelle, de traitement de l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information en matière de propriété intellectuelle et leur utilisation;</w:t>
      </w:r>
    </w:p>
    <w:p w:rsidR="00B92EAD" w:rsidRPr="00946D52" w:rsidRDefault="00BE24D3" w:rsidP="009314D2">
      <w:pPr>
        <w:pStyle w:val="ONUMFS"/>
        <w:numPr>
          <w:ilvl w:val="0"/>
          <w:numId w:val="0"/>
        </w:numPr>
        <w:ind w:left="1134"/>
        <w:rPr>
          <w:lang w:val="fr-FR"/>
        </w:rPr>
      </w:pPr>
      <w:proofErr w:type="gramStart"/>
      <w:r>
        <w:rPr>
          <w:lang w:val="fr-FR"/>
        </w:rPr>
        <w:t>r</w:t>
      </w:r>
      <w:r w:rsidR="00BB676B" w:rsidRPr="00946D52">
        <w:rPr>
          <w:lang w:val="fr-FR"/>
        </w:rPr>
        <w:t>ecueillir</w:t>
      </w:r>
      <w:proofErr w:type="gramEnd"/>
      <w:r w:rsidR="00BB676B" w:rsidRPr="00946D52">
        <w:rPr>
          <w:lang w:val="fr-FR"/>
        </w:rPr>
        <w:t xml:space="preserve"> des informations sur les progrès accomplis par les offices de propriété intellectuelle dans l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utilisation de la chaîne de blocs et l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expérience acquise en la matière, évaluer les normes applicables à la chaîne de blocs en vigueur dans le secteur privé et examiner le bien</w:t>
      </w:r>
      <w:r w:rsidR="00E905A9">
        <w:rPr>
          <w:lang w:val="fr-FR"/>
        </w:rPr>
        <w:noBreakHyphen/>
      </w:r>
      <w:r w:rsidR="00BB676B" w:rsidRPr="00946D52">
        <w:rPr>
          <w:lang w:val="fr-FR"/>
        </w:rPr>
        <w:t>fondé et l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applicabilité aux offices de propriété intellectuelle;</w:t>
      </w:r>
    </w:p>
    <w:p w:rsidR="00B92EAD" w:rsidRPr="00946D52" w:rsidRDefault="00BE24D3" w:rsidP="009314D2">
      <w:pPr>
        <w:pStyle w:val="ONUMFS"/>
        <w:numPr>
          <w:ilvl w:val="0"/>
          <w:numId w:val="0"/>
        </w:numPr>
        <w:ind w:left="1134"/>
        <w:rPr>
          <w:lang w:val="fr-FR"/>
        </w:rPr>
      </w:pPr>
      <w:proofErr w:type="gramStart"/>
      <w:r>
        <w:rPr>
          <w:lang w:val="fr-FR"/>
        </w:rPr>
        <w:t>é</w:t>
      </w:r>
      <w:r w:rsidR="00BB676B" w:rsidRPr="00946D52">
        <w:rPr>
          <w:lang w:val="fr-FR"/>
        </w:rPr>
        <w:t>laborer</w:t>
      </w:r>
      <w:proofErr w:type="gramEnd"/>
      <w:r w:rsidR="00BB676B" w:rsidRPr="00946D52">
        <w:rPr>
          <w:lang w:val="fr-FR"/>
        </w:rPr>
        <w:t xml:space="preserve"> des modèles de référence concernant l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 xml:space="preserve">utilisation de la chaîne de blocs dans le domaine de la propriété intellectuelle, </w:t>
      </w:r>
      <w:r w:rsidR="00771456" w:rsidRPr="00946D52">
        <w:rPr>
          <w:lang w:val="fr-FR"/>
        </w:rPr>
        <w:t>y compris</w:t>
      </w:r>
      <w:r w:rsidR="00BB676B" w:rsidRPr="00946D52">
        <w:rPr>
          <w:lang w:val="fr-FR"/>
        </w:rPr>
        <w:t xml:space="preserve"> des principes directeurs, des pratiques communes et l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utilisation de la terminologie à l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 xml:space="preserve">appui de la collaboration, des projets conjoints et de la validation; </w:t>
      </w:r>
      <w:r w:rsidR="00050246" w:rsidRPr="00946D52">
        <w:rPr>
          <w:lang w:val="fr-FR"/>
        </w:rPr>
        <w:t xml:space="preserve"> </w:t>
      </w:r>
      <w:r w:rsidR="00BB676B" w:rsidRPr="00946D52">
        <w:rPr>
          <w:lang w:val="fr-FR"/>
        </w:rPr>
        <w:t>et</w:t>
      </w:r>
    </w:p>
    <w:p w:rsidR="00B92EAD" w:rsidRPr="00946D52" w:rsidRDefault="00BE24D3" w:rsidP="009314D2">
      <w:pPr>
        <w:pStyle w:val="ONUMFS"/>
        <w:numPr>
          <w:ilvl w:val="0"/>
          <w:numId w:val="0"/>
        </w:numPr>
        <w:ind w:left="1134"/>
        <w:rPr>
          <w:lang w:val="fr-FR"/>
        </w:rPr>
      </w:pPr>
      <w:proofErr w:type="gramStart"/>
      <w:r>
        <w:rPr>
          <w:lang w:val="fr-FR"/>
        </w:rPr>
        <w:t>é</w:t>
      </w:r>
      <w:r w:rsidR="00BB676B" w:rsidRPr="00946D52">
        <w:rPr>
          <w:lang w:val="fr-FR"/>
        </w:rPr>
        <w:t>tablir</w:t>
      </w:r>
      <w:proofErr w:type="gramEnd"/>
      <w:r w:rsidR="00BB676B" w:rsidRPr="00946D52">
        <w:rPr>
          <w:lang w:val="fr-FR"/>
        </w:rPr>
        <w:t xml:space="preserve"> une proposition de norme de l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OMPI visant à favoriser l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application potentielle de la chaîne de blocs dans l</w:t>
      </w:r>
      <w:r w:rsidR="00771456" w:rsidRPr="00946D52">
        <w:rPr>
          <w:lang w:val="fr-FR"/>
        </w:rPr>
        <w:t>’</w:t>
      </w:r>
      <w:r w:rsidR="00BB676B" w:rsidRPr="00946D52">
        <w:rPr>
          <w:lang w:val="fr-FR"/>
        </w:rPr>
        <w:t>écosystème de la propriété intellectuelle.</w:t>
      </w:r>
    </w:p>
    <w:p w:rsidR="00B92EAD" w:rsidRPr="00946D52" w:rsidRDefault="00BB676B" w:rsidP="009314D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946D52">
        <w:rPr>
          <w:lang w:val="fr-FR"/>
        </w:rPr>
        <w:t>Tâche n°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60</w:t>
      </w:r>
      <w:r w:rsidR="00771456" w:rsidRPr="00946D52">
        <w:rPr>
          <w:lang w:val="fr-FR"/>
        </w:rPr>
        <w:t> :</w:t>
      </w:r>
      <w:r w:rsidRPr="00946D52">
        <w:rPr>
          <w:lang w:val="fr-FR"/>
        </w:rPr>
        <w:t xml:space="preserve"> </w:t>
      </w:r>
      <w:r w:rsidR="00BE24D3">
        <w:rPr>
          <w:lang w:val="fr-FR"/>
        </w:rPr>
        <w:t>é</w:t>
      </w:r>
      <w:r w:rsidRPr="00946D52">
        <w:rPr>
          <w:lang w:val="fr-FR"/>
        </w:rPr>
        <w:t>tablir une proposition relative à la numérotation des codes INID concernant les marques verbales et les marques figuratives</w:t>
      </w:r>
      <w:r w:rsidR="00B97087" w:rsidRPr="00946D52">
        <w:rPr>
          <w:lang w:val="fr-FR"/>
        </w:rPr>
        <w:t>,</w:t>
      </w:r>
      <w:r w:rsidRPr="00946D52">
        <w:rPr>
          <w:lang w:val="fr-FR"/>
        </w:rPr>
        <w:t xml:space="preserve"> sur la division du code INID (551) et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éventuelle création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un code INID pour les marques combinées.</w:t>
      </w:r>
    </w:p>
    <w:p w:rsidR="00B92EAD" w:rsidRPr="00946D52" w:rsidRDefault="00BB676B" w:rsidP="009314D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946D52">
        <w:rPr>
          <w:lang w:val="fr-FR"/>
        </w:rPr>
        <w:t>Tâche n°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63</w:t>
      </w:r>
      <w:r w:rsidR="00771456" w:rsidRPr="00946D52">
        <w:rPr>
          <w:lang w:val="fr-FR"/>
        </w:rPr>
        <w:t> :</w:t>
      </w:r>
      <w:r w:rsidRPr="00946D52">
        <w:rPr>
          <w:lang w:val="fr-FR"/>
        </w:rPr>
        <w:t xml:space="preserve"> </w:t>
      </w:r>
      <w:r w:rsidR="00BE24D3">
        <w:rPr>
          <w:lang w:val="fr-FR"/>
        </w:rPr>
        <w:t>é</w:t>
      </w:r>
      <w:r w:rsidRPr="00946D52">
        <w:rPr>
          <w:lang w:val="fr-FR"/>
        </w:rPr>
        <w:t>laborer une ou des représentations visuelles des données XML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aux fins de la publication électronique.</w:t>
      </w:r>
    </w:p>
    <w:p w:rsidR="00B92EAD" w:rsidRPr="00946D52" w:rsidRDefault="00BB676B" w:rsidP="009314D2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946D52">
        <w:rPr>
          <w:lang w:val="fr-FR"/>
        </w:rPr>
        <w:t>Tâche n°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64</w:t>
      </w:r>
      <w:r w:rsidR="00771456" w:rsidRPr="00946D52">
        <w:rPr>
          <w:lang w:val="fr-FR"/>
        </w:rPr>
        <w:t> :</w:t>
      </w:r>
      <w:r w:rsidRPr="00946D52">
        <w:rPr>
          <w:lang w:val="fr-FR"/>
        </w:rPr>
        <w:t xml:space="preserve"> </w:t>
      </w:r>
      <w:r w:rsidR="00BE24D3">
        <w:rPr>
          <w:lang w:val="fr-FR"/>
        </w:rPr>
        <w:t>p</w:t>
      </w:r>
      <w:r w:rsidRPr="00946D52">
        <w:rPr>
          <w:lang w:val="fr-FR"/>
        </w:rPr>
        <w:t>réparer une proposition de recommandations concernant les ressources JavaScript Object Notation (JSON) compatibles avec la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ST.96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pour le dépôt, le traitement, la publication et/ou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échange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informations sur la propriété intellectuelle.</w:t>
      </w:r>
    </w:p>
    <w:p w:rsidR="00B92EAD" w:rsidRPr="00946D52" w:rsidRDefault="00BB676B" w:rsidP="009314D2">
      <w:pPr>
        <w:pStyle w:val="Heading3"/>
      </w:pPr>
      <w:r w:rsidRPr="00946D52">
        <w:t>Équipe</w:t>
      </w:r>
      <w:r w:rsidR="00B97087" w:rsidRPr="00946D52">
        <w:t>s</w:t>
      </w:r>
      <w:r w:rsidRPr="00946D52">
        <w:t xml:space="preserve"> d</w:t>
      </w:r>
      <w:r w:rsidR="00771456" w:rsidRPr="00946D52">
        <w:t>’</w:t>
      </w:r>
      <w:r w:rsidRPr="00946D52">
        <w:t>experts et autres activités</w:t>
      </w:r>
    </w:p>
    <w:p w:rsidR="00B92EAD" w:rsidRPr="00946D52" w:rsidRDefault="0039212A" w:rsidP="00917A14">
      <w:pPr>
        <w:pStyle w:val="ONUMFS"/>
        <w:rPr>
          <w:lang w:val="fr-FR"/>
        </w:rPr>
      </w:pPr>
      <w:r w:rsidRPr="00946D52">
        <w:rPr>
          <w:lang w:val="fr-FR"/>
        </w:rPr>
        <w:t>Le CWS a reçu des rapports sur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état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avancement des activités de la part de 13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équipes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experts</w:t>
      </w:r>
      <w:r w:rsidR="00771456" w:rsidRPr="00946D52">
        <w:rPr>
          <w:lang w:val="fr-FR"/>
        </w:rPr>
        <w:t> :</w:t>
      </w:r>
      <w:r w:rsidRPr="00946D52">
        <w:rPr>
          <w:lang w:val="fr-FR"/>
        </w:rPr>
        <w:t xml:space="preserve"> stratégie en matière de TIC pour les normes, XML4IP, chaîne de blocs, normalisation des noms, 3D, listage des séquences, fichier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 xml:space="preserve">autorité, </w:t>
      </w:r>
      <w:r w:rsidR="00B97087" w:rsidRPr="00946D52">
        <w:rPr>
          <w:lang w:val="fr-FR"/>
        </w:rPr>
        <w:t xml:space="preserve">partie 7, </w:t>
      </w:r>
      <w:r w:rsidRPr="00946D52">
        <w:rPr>
          <w:lang w:val="fr-FR"/>
        </w:rPr>
        <w:t>transformation numérique, situation juridique, représentation des dessins et modèles, API et normalisation des marques.</w:t>
      </w:r>
    </w:p>
    <w:p w:rsidR="00B92EAD" w:rsidRPr="00946D52" w:rsidRDefault="0039212A" w:rsidP="00917A14">
      <w:pPr>
        <w:pStyle w:val="ONUMFS"/>
        <w:rPr>
          <w:lang w:val="fr-FR"/>
        </w:rPr>
      </w:pPr>
      <w:r w:rsidRPr="00946D52">
        <w:rPr>
          <w:lang w:val="fr-FR"/>
        </w:rPr>
        <w:t xml:space="preserve">Le </w:t>
      </w:r>
      <w:r w:rsidR="00050246" w:rsidRPr="00946D52">
        <w:rPr>
          <w:lang w:val="fr-FR"/>
        </w:rPr>
        <w:t>comité</w:t>
      </w:r>
      <w:r w:rsidRPr="00946D52">
        <w:rPr>
          <w:lang w:val="fr-FR"/>
        </w:rPr>
        <w:t xml:space="preserve"> a demandé</w:t>
      </w:r>
      <w:r w:rsidR="00771456" w:rsidRPr="00946D52">
        <w:rPr>
          <w:lang w:val="fr-FR"/>
        </w:rPr>
        <w:t> :</w:t>
      </w:r>
    </w:p>
    <w:p w:rsidR="00771456" w:rsidRPr="00946D52" w:rsidRDefault="0039212A" w:rsidP="009314D2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946D52">
        <w:rPr>
          <w:lang w:val="fr-FR"/>
        </w:rPr>
        <w:t>que</w:t>
      </w:r>
      <w:proofErr w:type="gramEnd"/>
      <w:r w:rsidRPr="00946D52">
        <w:rPr>
          <w:lang w:val="fr-FR"/>
        </w:rPr>
        <w:t xml:space="preserve"> les membres</w:t>
      </w:r>
      <w:r w:rsidR="00771456" w:rsidRPr="00946D52">
        <w:rPr>
          <w:lang w:val="fr-FR"/>
        </w:rPr>
        <w:t xml:space="preserve"> du CWS</w:t>
      </w:r>
      <w:r w:rsidRPr="00946D52">
        <w:rPr>
          <w:lang w:val="fr-FR"/>
        </w:rPr>
        <w:t xml:space="preserve"> formulent des observations sur le projet de document concernant les métadonnées relatives aux œuvres orphelines </w:t>
      </w:r>
      <w:r w:rsidR="00B97087" w:rsidRPr="00946D52">
        <w:rPr>
          <w:lang w:val="fr-FR"/>
        </w:rPr>
        <w:t xml:space="preserve">protégées par le droit d’auteur </w:t>
      </w:r>
      <w:r w:rsidRPr="00946D52">
        <w:rPr>
          <w:lang w:val="fr-FR"/>
        </w:rPr>
        <w:t>qui figure dans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annexe du document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CWS/9/4, et se mettent en contact avec leur bureau du droit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auteur pour obtenir des commentaires;</w:t>
      </w:r>
    </w:p>
    <w:p w:rsidR="00B92EAD" w:rsidRPr="00946D52" w:rsidRDefault="0039212A" w:rsidP="009314D2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946D52">
        <w:rPr>
          <w:lang w:val="fr-FR"/>
        </w:rPr>
        <w:lastRenderedPageBreak/>
        <w:t>que</w:t>
      </w:r>
      <w:proofErr w:type="gramEnd"/>
      <w:r w:rsidRPr="00946D52">
        <w:rPr>
          <w:lang w:val="fr-FR"/>
        </w:rPr>
        <w:t xml:space="preserve"> le Secrétariat mène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enquête sur les pratiques en matière de transformation numérique en publiant une circulaire à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intention des offices de propriété intellectuelle;</w:t>
      </w:r>
    </w:p>
    <w:p w:rsidR="00B92EAD" w:rsidRPr="00946D52" w:rsidRDefault="00F21F1B" w:rsidP="009314D2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946D52">
        <w:rPr>
          <w:lang w:val="fr-FR"/>
        </w:rPr>
        <w:t>que</w:t>
      </w:r>
      <w:proofErr w:type="gramEnd"/>
      <w:r w:rsidRPr="00946D52">
        <w:rPr>
          <w:lang w:val="fr-FR"/>
        </w:rPr>
        <w:t xml:space="preserve"> le Secrétariat simplifie la procédure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établissement des rapports techniques annuels en collectant des liens vers des informations sur les sites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Web des offices de propriété industrielle au lieu de recueillir du texte, et qu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il réexamine cette nouvelle pratique après trois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ans;</w:t>
      </w:r>
    </w:p>
    <w:p w:rsidR="00B92EAD" w:rsidRPr="00946D52" w:rsidRDefault="0067627A" w:rsidP="009314D2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946D52">
        <w:rPr>
          <w:lang w:val="fr-FR"/>
        </w:rPr>
        <w:t>que</w:t>
      </w:r>
      <w:proofErr w:type="gramEnd"/>
      <w:r w:rsidRPr="00946D52">
        <w:rPr>
          <w:lang w:val="fr-FR"/>
        </w:rPr>
        <w:t xml:space="preserve">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Équipe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experts chargée de la partie</w:t>
      </w:r>
      <w:r w:rsidR="009B077E" w:rsidRPr="00946D52">
        <w:rPr>
          <w:lang w:val="fr-FR"/>
        </w:rPr>
        <w:t> </w:t>
      </w:r>
      <w:r w:rsidRPr="00946D52">
        <w:rPr>
          <w:lang w:val="fr-FR"/>
        </w:rPr>
        <w:t>7 effectue les mises à jour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 xml:space="preserve">enquête prévues dans son programme de travail révisé, </w:t>
      </w:r>
      <w:r w:rsidR="00771456" w:rsidRPr="00946D52">
        <w:rPr>
          <w:lang w:val="fr-FR"/>
        </w:rPr>
        <w:t>y compris</w:t>
      </w:r>
      <w:r w:rsidRPr="00946D52">
        <w:rPr>
          <w:lang w:val="fr-FR"/>
        </w:rPr>
        <w:t xml:space="preserve"> une mise à jour </w:t>
      </w:r>
      <w:r w:rsidR="00771456" w:rsidRPr="00946D52">
        <w:rPr>
          <w:lang w:val="fr-FR"/>
        </w:rPr>
        <w:t>en 2022</w:t>
      </w:r>
      <w:r w:rsidRPr="00946D52">
        <w:rPr>
          <w:lang w:val="fr-FR"/>
        </w:rPr>
        <w:t xml:space="preserve"> sur la manière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indiquer les dates;</w:t>
      </w:r>
    </w:p>
    <w:p w:rsidR="00B92EAD" w:rsidRPr="00946D52" w:rsidRDefault="0067627A" w:rsidP="009314D2">
      <w:pPr>
        <w:pStyle w:val="ONUMFS"/>
        <w:numPr>
          <w:ilvl w:val="1"/>
          <w:numId w:val="6"/>
        </w:numPr>
        <w:rPr>
          <w:rStyle w:val="MeetingReportChar"/>
          <w:lang w:val="fr-FR"/>
        </w:rPr>
      </w:pPr>
      <w:proofErr w:type="gramStart"/>
      <w:r w:rsidRPr="00946D52">
        <w:rPr>
          <w:rStyle w:val="MeetingReportChar"/>
          <w:lang w:val="fr-FR"/>
        </w:rPr>
        <w:t>que</w:t>
      </w:r>
      <w:proofErr w:type="gramEnd"/>
      <w:r w:rsidRPr="00946D52">
        <w:rPr>
          <w:rStyle w:val="MeetingReportChar"/>
          <w:lang w:val="fr-FR"/>
        </w:rPr>
        <w:t xml:space="preserve"> l</w:t>
      </w:r>
      <w:r w:rsidR="00771456" w:rsidRPr="00946D52">
        <w:rPr>
          <w:rStyle w:val="MeetingReportChar"/>
          <w:lang w:val="fr-FR"/>
        </w:rPr>
        <w:t>’</w:t>
      </w:r>
      <w:r w:rsidRPr="00946D52">
        <w:rPr>
          <w:rStyle w:val="MeetingReportChar"/>
          <w:lang w:val="fr-FR"/>
        </w:rPr>
        <w:t>Équipe d</w:t>
      </w:r>
      <w:r w:rsidR="00771456" w:rsidRPr="00946D52">
        <w:rPr>
          <w:rStyle w:val="MeetingReportChar"/>
          <w:lang w:val="fr-FR"/>
        </w:rPr>
        <w:t>’</w:t>
      </w:r>
      <w:r w:rsidRPr="00946D52">
        <w:rPr>
          <w:rStyle w:val="MeetingReportChar"/>
          <w:lang w:val="fr-FR"/>
        </w:rPr>
        <w:t xml:space="preserve">experts </w:t>
      </w:r>
      <w:r w:rsidR="001C1B59" w:rsidRPr="001C1B59">
        <w:rPr>
          <w:rStyle w:val="MeetingReportChar"/>
          <w:lang w:val="fr-FR"/>
        </w:rPr>
        <w:t xml:space="preserve">chargée de la norme XML4IP </w:t>
      </w:r>
      <w:r w:rsidRPr="00946D52">
        <w:rPr>
          <w:rStyle w:val="MeetingReportChar"/>
          <w:lang w:val="fr-FR"/>
        </w:rPr>
        <w:t>présente une proposition finale concernant une norme sur la spécification JSON à la prochaine session</w:t>
      </w:r>
      <w:r w:rsidR="00771456" w:rsidRPr="00946D52">
        <w:rPr>
          <w:rStyle w:val="MeetingReportChar"/>
          <w:lang w:val="fr-FR"/>
        </w:rPr>
        <w:t xml:space="preserve"> du CWS</w:t>
      </w:r>
      <w:r w:rsidRPr="00946D52">
        <w:rPr>
          <w:rStyle w:val="MeetingReportChar"/>
          <w:lang w:val="fr-FR"/>
        </w:rPr>
        <w:t>;</w:t>
      </w:r>
    </w:p>
    <w:p w:rsidR="00B92EAD" w:rsidRPr="00946D52" w:rsidRDefault="0067627A" w:rsidP="009314D2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946D52">
        <w:rPr>
          <w:lang w:val="fr-FR"/>
        </w:rPr>
        <w:t>que</w:t>
      </w:r>
      <w:proofErr w:type="gramEnd"/>
      <w:r w:rsidRPr="00946D52">
        <w:rPr>
          <w:lang w:val="fr-FR"/>
        </w:rPr>
        <w:t xml:space="preserve">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Équipe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experts chargée de la situation juridique examine comment adapter les “indicateurs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événements” de la norme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ST.27 et les “indicateurs de procédure” dans le cas des normes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ST.61 et ST.87, dans le but de soumettre une proposition pour examen par</w:t>
      </w:r>
      <w:r w:rsidR="00771456" w:rsidRPr="00946D52">
        <w:rPr>
          <w:lang w:val="fr-FR"/>
        </w:rPr>
        <w:t xml:space="preserve"> le CWS</w:t>
      </w:r>
      <w:r w:rsidRPr="00946D52">
        <w:rPr>
          <w:lang w:val="fr-FR"/>
        </w:rPr>
        <w:t xml:space="preserve"> à sa dix</w:t>
      </w:r>
      <w:r w:rsidR="00771456" w:rsidRPr="00946D52">
        <w:rPr>
          <w:lang w:val="fr-FR"/>
        </w:rPr>
        <w:t>ième session</w:t>
      </w:r>
      <w:r w:rsidRPr="00946D52">
        <w:rPr>
          <w:lang w:val="fr-FR"/>
        </w:rPr>
        <w:t>;</w:t>
      </w:r>
    </w:p>
    <w:p w:rsidR="00B92EAD" w:rsidRPr="00946D52" w:rsidRDefault="0067627A" w:rsidP="009314D2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946D52">
        <w:rPr>
          <w:lang w:val="fr-FR"/>
        </w:rPr>
        <w:t>que</w:t>
      </w:r>
      <w:proofErr w:type="gramEnd"/>
      <w:r w:rsidRPr="00946D52">
        <w:rPr>
          <w:lang w:val="fr-FR"/>
        </w:rPr>
        <w:t xml:space="preserve">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Équipe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experts chargée de la normalisation des noms établisse des propositions de recommandations sur la qualité des données relatives aux déposants pour appuyer la normalisation des noms à la prochaine session</w:t>
      </w:r>
      <w:r w:rsidR="00771456" w:rsidRPr="00946D52">
        <w:rPr>
          <w:lang w:val="fr-FR"/>
        </w:rPr>
        <w:t xml:space="preserve"> du CWS</w:t>
      </w:r>
      <w:r w:rsidRPr="00946D52">
        <w:rPr>
          <w:lang w:val="fr-FR"/>
        </w:rPr>
        <w:t>;  et</w:t>
      </w:r>
    </w:p>
    <w:p w:rsidR="00771456" w:rsidRPr="00946D52" w:rsidRDefault="0067627A" w:rsidP="009314D2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946D52">
        <w:rPr>
          <w:lang w:val="fr-FR"/>
        </w:rPr>
        <w:t>que</w:t>
      </w:r>
      <w:proofErr w:type="gramEnd"/>
      <w:r w:rsidRPr="00946D52">
        <w:rPr>
          <w:lang w:val="fr-FR"/>
        </w:rPr>
        <w:t xml:space="preserve"> le Secrétariat diffuse une circulaire invitant les offices de propriété intellectuelle à mettre à jour les informations de leurs fichiers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 xml:space="preserve">autorité en </w:t>
      </w:r>
      <w:r w:rsidR="00771456" w:rsidRPr="00946D52">
        <w:rPr>
          <w:lang w:val="fr-FR"/>
        </w:rPr>
        <w:t>mars 20</w:t>
      </w:r>
      <w:r w:rsidRPr="00946D52">
        <w:rPr>
          <w:lang w:val="fr-FR"/>
        </w:rPr>
        <w:t>22.</w:t>
      </w:r>
    </w:p>
    <w:p w:rsidR="00B92EAD" w:rsidRPr="00946D52" w:rsidRDefault="007A45A4" w:rsidP="009314D2">
      <w:pPr>
        <w:pStyle w:val="Heading2"/>
      </w:pPr>
      <w:r w:rsidRPr="00946D52">
        <w:t>Conclusions</w:t>
      </w:r>
    </w:p>
    <w:p w:rsidR="00B92EAD" w:rsidRPr="00946D52" w:rsidRDefault="006C260C" w:rsidP="00917A14">
      <w:pPr>
        <w:pStyle w:val="ONUMFS"/>
        <w:rPr>
          <w:lang w:val="fr-FR"/>
        </w:rPr>
      </w:pPr>
      <w:r w:rsidRPr="00946D52">
        <w:rPr>
          <w:lang w:val="fr-FR"/>
        </w:rPr>
        <w:t>La neuv</w:t>
      </w:r>
      <w:r w:rsidR="00771456" w:rsidRPr="00946D52">
        <w:rPr>
          <w:lang w:val="fr-FR"/>
        </w:rPr>
        <w:t>ième session</w:t>
      </w:r>
      <w:r w:rsidRPr="00946D52">
        <w:rPr>
          <w:lang w:val="fr-FR"/>
        </w:rPr>
        <w:t xml:space="preserve"> a accompli des progrès significatifs en adoptant et révisant cinq</w:t>
      </w:r>
      <w:r w:rsidR="00050246" w:rsidRPr="00946D52">
        <w:rPr>
          <w:lang w:val="fr-FR"/>
        </w:rPr>
        <w:t> </w:t>
      </w:r>
      <w:r w:rsidRPr="00946D52">
        <w:rPr>
          <w:lang w:val="fr-FR"/>
        </w:rPr>
        <w:t>normes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contribuant à la diffusion de données de propriété intellectuelle de manière harmonisée et en intensifiant les efforts du Secrétariat concernant la sensibilisation aux normes et la fourniture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une assistance technique aux offices de propriété intellectuelle à la demande et en fonction des ressources disponibl</w:t>
      </w:r>
      <w:r w:rsidR="00117320" w:rsidRPr="00946D52">
        <w:rPr>
          <w:lang w:val="fr-FR"/>
        </w:rPr>
        <w:t>es.  La</w:t>
      </w:r>
      <w:r w:rsidR="00A01F32" w:rsidRPr="00946D52">
        <w:rPr>
          <w:lang w:val="fr-FR"/>
        </w:rPr>
        <w:t xml:space="preserve"> session a également permis d</w:t>
      </w:r>
      <w:r w:rsidR="00771456" w:rsidRPr="00946D52">
        <w:rPr>
          <w:lang w:val="fr-FR"/>
        </w:rPr>
        <w:t>’</w:t>
      </w:r>
      <w:r w:rsidR="00A01F32" w:rsidRPr="00946D52">
        <w:rPr>
          <w:lang w:val="fr-FR"/>
        </w:rPr>
        <w:t>examiner les perturbations et les implications potentielles causées par les nouvelles technologies numériques.</w:t>
      </w:r>
    </w:p>
    <w:p w:rsidR="00B92EAD" w:rsidRPr="009314D2" w:rsidRDefault="00A01F32" w:rsidP="009314D2">
      <w:pPr>
        <w:pStyle w:val="ONUMFS"/>
        <w:ind w:left="5533"/>
        <w:rPr>
          <w:i/>
        </w:rPr>
      </w:pPr>
      <w:r w:rsidRPr="009314D2">
        <w:rPr>
          <w:i/>
        </w:rPr>
        <w:t>L</w:t>
      </w:r>
      <w:r w:rsidR="00771456" w:rsidRPr="009314D2">
        <w:rPr>
          <w:i/>
        </w:rPr>
        <w:t>’</w:t>
      </w:r>
      <w:r w:rsidRPr="009314D2">
        <w:rPr>
          <w:i/>
        </w:rPr>
        <w:t>Assemblée générale de l</w:t>
      </w:r>
      <w:r w:rsidR="00771456" w:rsidRPr="009314D2">
        <w:rPr>
          <w:i/>
        </w:rPr>
        <w:t>’</w:t>
      </w:r>
      <w:r w:rsidRPr="009314D2">
        <w:rPr>
          <w:i/>
        </w:rPr>
        <w:t>OMPI est invitée à prendre note du “Rapport sur le Comité des normes de l</w:t>
      </w:r>
      <w:r w:rsidR="00771456" w:rsidRPr="009314D2">
        <w:rPr>
          <w:i/>
        </w:rPr>
        <w:t>’</w:t>
      </w:r>
      <w:r w:rsidRPr="009314D2">
        <w:rPr>
          <w:i/>
        </w:rPr>
        <w:t>OMPI” (document</w:t>
      </w:r>
      <w:r w:rsidR="009B077E" w:rsidRPr="009314D2">
        <w:rPr>
          <w:i/>
        </w:rPr>
        <w:t> </w:t>
      </w:r>
      <w:r w:rsidRPr="009314D2">
        <w:rPr>
          <w:i/>
        </w:rPr>
        <w:t>WO/GA/55/7).</w:t>
      </w:r>
    </w:p>
    <w:p w:rsidR="00B92EAD" w:rsidRPr="00946D52" w:rsidRDefault="00A01F32" w:rsidP="009314D2">
      <w:pPr>
        <w:pStyle w:val="Endofdocument-Annex"/>
      </w:pPr>
      <w:r w:rsidRPr="00946D52">
        <w:t>[Le document</w:t>
      </w:r>
      <w:r w:rsidR="009B077E" w:rsidRPr="00946D52">
        <w:t> </w:t>
      </w:r>
      <w:r w:rsidRPr="00946D52">
        <w:t>CWS/9/22 suit]</w:t>
      </w:r>
    </w:p>
    <w:p w:rsidR="007A45A4" w:rsidRPr="00946D52" w:rsidRDefault="007A45A4" w:rsidP="007A45A4">
      <w:pPr>
        <w:pStyle w:val="Endofdocument"/>
        <w:ind w:left="0"/>
        <w:rPr>
          <w:szCs w:val="22"/>
          <w:lang w:val="fr-FR"/>
        </w:rPr>
        <w:sectPr w:rsidR="007A45A4" w:rsidRPr="00946D52" w:rsidSect="00711A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3B7834" w:rsidRPr="00946D52" w:rsidRDefault="003B7834" w:rsidP="003B7834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946D52">
        <w:rPr>
          <w:noProof/>
          <w:lang w:val="en-US" w:eastAsia="en-US"/>
        </w:rPr>
        <w:lastRenderedPageBreak/>
        <w:drawing>
          <wp:inline distT="0" distB="0" distL="0" distR="0" wp14:anchorId="2EB335D6" wp14:editId="2C25198D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834" w:rsidRPr="00946D52" w:rsidRDefault="003B7834" w:rsidP="003B7834">
      <w:pPr>
        <w:jc w:val="right"/>
        <w:rPr>
          <w:rFonts w:ascii="Arial Black" w:hAnsi="Arial Black"/>
          <w:caps/>
          <w:sz w:val="15"/>
          <w:lang w:val="fr-FR"/>
        </w:rPr>
      </w:pPr>
      <w:r w:rsidRPr="00946D52">
        <w:rPr>
          <w:rFonts w:ascii="Arial Black" w:hAnsi="Arial Black"/>
          <w:caps/>
          <w:sz w:val="15"/>
          <w:lang w:val="fr-FR"/>
        </w:rPr>
        <w:t>CWS/9/22</w:t>
      </w:r>
    </w:p>
    <w:p w:rsidR="003B7834" w:rsidRPr="00946D52" w:rsidRDefault="003B7834" w:rsidP="003B7834">
      <w:pPr>
        <w:jc w:val="right"/>
        <w:rPr>
          <w:lang w:val="fr-FR"/>
        </w:rPr>
      </w:pPr>
      <w:r w:rsidRPr="00946D52">
        <w:rPr>
          <w:rFonts w:ascii="Arial Black" w:hAnsi="Arial Black"/>
          <w:caps/>
          <w:sz w:val="15"/>
          <w:lang w:val="fr-FR"/>
        </w:rPr>
        <w:t>ORIGINAL</w:t>
      </w:r>
      <w:r w:rsidR="00771456" w:rsidRPr="00946D52">
        <w:rPr>
          <w:rFonts w:ascii="Arial Black" w:hAnsi="Arial Black"/>
          <w:caps/>
          <w:sz w:val="15"/>
          <w:lang w:val="fr-FR"/>
        </w:rPr>
        <w:t> :</w:t>
      </w:r>
      <w:r w:rsidRPr="00946D52">
        <w:rPr>
          <w:rFonts w:ascii="Arial Black" w:hAnsi="Arial Black"/>
          <w:caps/>
          <w:sz w:val="15"/>
          <w:lang w:val="fr-FR"/>
        </w:rPr>
        <w:t xml:space="preserve"> anglais</w:t>
      </w:r>
    </w:p>
    <w:p w:rsidR="003B7834" w:rsidRPr="00946D52" w:rsidRDefault="003B7834" w:rsidP="003B7834">
      <w:pPr>
        <w:spacing w:after="1200"/>
        <w:jc w:val="right"/>
        <w:rPr>
          <w:lang w:val="fr-FR"/>
        </w:rPr>
      </w:pPr>
      <w:r w:rsidRPr="00946D52">
        <w:rPr>
          <w:rFonts w:ascii="Arial Black" w:hAnsi="Arial Black"/>
          <w:caps/>
          <w:sz w:val="15"/>
          <w:lang w:val="fr-FR"/>
        </w:rPr>
        <w:t>DATE</w:t>
      </w:r>
      <w:r w:rsidR="00771456" w:rsidRPr="00946D52">
        <w:rPr>
          <w:rFonts w:ascii="Arial Black" w:hAnsi="Arial Black"/>
          <w:caps/>
          <w:sz w:val="15"/>
          <w:lang w:val="fr-FR"/>
        </w:rPr>
        <w:t> :</w:t>
      </w:r>
      <w:r w:rsidRPr="00946D52">
        <w:rPr>
          <w:rFonts w:ascii="Arial Black" w:hAnsi="Arial Black"/>
          <w:caps/>
          <w:sz w:val="15"/>
          <w:lang w:val="fr-FR"/>
        </w:rPr>
        <w:t xml:space="preserve"> 6 septembre 2021</w:t>
      </w:r>
    </w:p>
    <w:p w:rsidR="003B7834" w:rsidRPr="00946D52" w:rsidRDefault="003B7834" w:rsidP="003B7834">
      <w:pPr>
        <w:pStyle w:val="Title"/>
        <w:rPr>
          <w:caps w:val="0"/>
          <w:lang w:val="fr-FR"/>
        </w:rPr>
      </w:pPr>
      <w:r w:rsidRPr="00946D52">
        <w:rPr>
          <w:caps w:val="0"/>
          <w:lang w:val="fr-FR"/>
        </w:rPr>
        <w:t>Comité des normes de l</w:t>
      </w:r>
      <w:r w:rsidR="00771456" w:rsidRPr="00946D52">
        <w:rPr>
          <w:caps w:val="0"/>
          <w:lang w:val="fr-FR"/>
        </w:rPr>
        <w:t>’</w:t>
      </w:r>
      <w:r w:rsidRPr="00946D52">
        <w:rPr>
          <w:caps w:val="0"/>
          <w:lang w:val="fr-FR"/>
        </w:rPr>
        <w:t>OMPI (CWS)</w:t>
      </w:r>
    </w:p>
    <w:p w:rsidR="003B7834" w:rsidRPr="00946D52" w:rsidRDefault="003B7834" w:rsidP="003B7834">
      <w:pPr>
        <w:outlineLvl w:val="1"/>
        <w:rPr>
          <w:b/>
          <w:sz w:val="28"/>
          <w:szCs w:val="28"/>
          <w:lang w:val="fr-FR"/>
        </w:rPr>
      </w:pPr>
      <w:r w:rsidRPr="00946D52">
        <w:rPr>
          <w:b/>
          <w:sz w:val="24"/>
          <w:lang w:val="fr-FR"/>
        </w:rPr>
        <w:t>Neuv</w:t>
      </w:r>
      <w:r w:rsidR="00771456" w:rsidRPr="00946D52">
        <w:rPr>
          <w:b/>
          <w:sz w:val="24"/>
          <w:lang w:val="fr-FR"/>
        </w:rPr>
        <w:t>ième session</w:t>
      </w:r>
    </w:p>
    <w:p w:rsidR="003B7834" w:rsidRPr="00946D52" w:rsidRDefault="003B7834" w:rsidP="003B7834">
      <w:pPr>
        <w:spacing w:after="720"/>
        <w:outlineLvl w:val="1"/>
        <w:rPr>
          <w:b/>
          <w:sz w:val="24"/>
          <w:szCs w:val="24"/>
          <w:lang w:val="fr-FR"/>
        </w:rPr>
      </w:pPr>
      <w:r w:rsidRPr="00946D52">
        <w:rPr>
          <w:b/>
          <w:sz w:val="24"/>
          <w:szCs w:val="24"/>
          <w:lang w:val="fr-FR"/>
        </w:rPr>
        <w:t>Genève,</w:t>
      </w:r>
      <w:r w:rsidR="00771456" w:rsidRPr="00946D52">
        <w:rPr>
          <w:b/>
          <w:sz w:val="24"/>
          <w:szCs w:val="24"/>
          <w:lang w:val="fr-FR"/>
        </w:rPr>
        <w:t xml:space="preserve"> 1</w:t>
      </w:r>
      <w:r w:rsidR="00771456" w:rsidRPr="00946D52">
        <w:rPr>
          <w:b/>
          <w:sz w:val="24"/>
          <w:szCs w:val="24"/>
          <w:vertAlign w:val="superscript"/>
          <w:lang w:val="fr-FR"/>
        </w:rPr>
        <w:t>er</w:t>
      </w:r>
      <w:r w:rsidR="00771456" w:rsidRPr="00946D52">
        <w:rPr>
          <w:b/>
          <w:sz w:val="24"/>
          <w:szCs w:val="24"/>
          <w:lang w:val="fr-FR"/>
        </w:rPr>
        <w:t> </w:t>
      </w:r>
      <w:r w:rsidRPr="00946D52">
        <w:rPr>
          <w:b/>
          <w:sz w:val="24"/>
          <w:szCs w:val="24"/>
          <w:lang w:val="fr-FR"/>
        </w:rPr>
        <w:t>– 5 novembre 2021</w:t>
      </w:r>
    </w:p>
    <w:p w:rsidR="003B7834" w:rsidRPr="00946D52" w:rsidRDefault="003B7834" w:rsidP="003B7834">
      <w:pPr>
        <w:spacing w:after="360"/>
        <w:rPr>
          <w:caps/>
          <w:sz w:val="24"/>
          <w:lang w:val="fr-FR"/>
        </w:rPr>
      </w:pPr>
      <w:r w:rsidRPr="00946D52">
        <w:rPr>
          <w:caps/>
          <w:sz w:val="24"/>
          <w:lang w:val="fr-FR"/>
        </w:rPr>
        <w:t>Rapport présenté par le Bureau international sur la prestation de services consultatifs et d</w:t>
      </w:r>
      <w:r w:rsidR="00771456" w:rsidRPr="00946D52">
        <w:rPr>
          <w:caps/>
          <w:sz w:val="24"/>
          <w:lang w:val="fr-FR"/>
        </w:rPr>
        <w:t>’</w:t>
      </w:r>
      <w:r w:rsidRPr="00946D52">
        <w:rPr>
          <w:caps/>
          <w:sz w:val="24"/>
          <w:lang w:val="fr-FR"/>
        </w:rPr>
        <w:t>assistance technique aux fins du renforcement des capacités des offices de propriété industrielle en rapport avec le mandat du CWS</w:t>
      </w:r>
    </w:p>
    <w:p w:rsidR="003B7834" w:rsidRPr="00946D52" w:rsidRDefault="003B7834" w:rsidP="003B7834">
      <w:pPr>
        <w:spacing w:after="1040"/>
        <w:rPr>
          <w:i/>
          <w:lang w:val="fr-FR"/>
        </w:rPr>
      </w:pPr>
      <w:r w:rsidRPr="00946D52">
        <w:rPr>
          <w:i/>
          <w:lang w:val="fr-FR"/>
        </w:rPr>
        <w:t>Document établi par le Bureau international</w:t>
      </w:r>
    </w:p>
    <w:p w:rsidR="003B7834" w:rsidRPr="00946D52" w:rsidRDefault="003B7834" w:rsidP="00E905A9">
      <w:pPr>
        <w:pStyle w:val="Heading2"/>
      </w:pPr>
      <w:r w:rsidRPr="00946D52">
        <w:t>Introduction</w:t>
      </w:r>
    </w:p>
    <w:p w:rsidR="003B7834" w:rsidRPr="009314D2" w:rsidRDefault="003B7834" w:rsidP="009314D2">
      <w:pPr>
        <w:pStyle w:val="ONUMFS"/>
        <w:numPr>
          <w:ilvl w:val="0"/>
          <w:numId w:val="20"/>
        </w:numPr>
        <w:rPr>
          <w:lang w:val="fr-FR"/>
        </w:rPr>
      </w:pPr>
      <w:r w:rsidRPr="009314D2">
        <w:rPr>
          <w:lang w:val="fr-FR" w:eastAsia="en-US"/>
        </w:rPr>
        <w:t>Le présent rapport vise à mettre en œuvre la décision prise par l</w:t>
      </w:r>
      <w:r w:rsidR="00771456" w:rsidRPr="009314D2">
        <w:rPr>
          <w:lang w:val="fr-FR" w:eastAsia="en-US"/>
        </w:rPr>
        <w:t>’</w:t>
      </w:r>
      <w:r w:rsidRPr="009314D2">
        <w:rPr>
          <w:lang w:val="fr-FR" w:eastAsia="en-US"/>
        </w:rPr>
        <w:t>Assemblée générale en 2011 eu égard au mandat du Comité des normes de l</w:t>
      </w:r>
      <w:r w:rsidR="00771456" w:rsidRPr="009314D2">
        <w:rPr>
          <w:lang w:val="fr-FR" w:eastAsia="en-US"/>
        </w:rPr>
        <w:t>’</w:t>
      </w:r>
      <w:r w:rsidRPr="009314D2">
        <w:rPr>
          <w:lang w:val="fr-FR" w:eastAsia="en-US"/>
        </w:rPr>
        <w:t>OMPI (CWS) et à la soumission régulière de rapports écrits sur le détail des activités menées en 2020 dans le cadre desquelles le Secrétariat ou le Bureau international de l</w:t>
      </w:r>
      <w:r w:rsidR="00771456" w:rsidRPr="009314D2">
        <w:rPr>
          <w:lang w:val="fr-FR" w:eastAsia="en-US"/>
        </w:rPr>
        <w:t>’</w:t>
      </w:r>
      <w:r w:rsidRPr="009314D2">
        <w:rPr>
          <w:lang w:val="fr-FR" w:eastAsia="en-US"/>
        </w:rPr>
        <w:t>OMPI s</w:t>
      </w:r>
      <w:r w:rsidR="00771456" w:rsidRPr="009314D2">
        <w:rPr>
          <w:lang w:val="fr-FR" w:eastAsia="en-US"/>
        </w:rPr>
        <w:t>’</w:t>
      </w:r>
      <w:r w:rsidRPr="009314D2">
        <w:rPr>
          <w:lang w:val="fr-FR" w:eastAsia="en-US"/>
        </w:rPr>
        <w:t>est efforcé “de fournir des services consultatifs et d</w:t>
      </w:r>
      <w:r w:rsidR="00771456" w:rsidRPr="009314D2">
        <w:rPr>
          <w:lang w:val="fr-FR" w:eastAsia="en-US"/>
        </w:rPr>
        <w:t>’</w:t>
      </w:r>
      <w:r w:rsidRPr="009314D2">
        <w:rPr>
          <w:lang w:val="fr-FR" w:eastAsia="en-US"/>
        </w:rPr>
        <w:t>assistance technique aux fins du renforcement des capacités aux offices de propriété intellectuelle en entreprenant des projets relatifs à la diffusion de l</w:t>
      </w:r>
      <w:r w:rsidR="00771456" w:rsidRPr="009314D2">
        <w:rPr>
          <w:lang w:val="fr-FR" w:eastAsia="en-US"/>
        </w:rPr>
        <w:t>’</w:t>
      </w:r>
      <w:r w:rsidRPr="009314D2">
        <w:rPr>
          <w:lang w:val="fr-FR" w:eastAsia="en-US"/>
        </w:rPr>
        <w:t xml:space="preserve">information en matière de normes de propriété intellectuelle” (voir le paragraphe 190 du </w:t>
      </w:r>
      <w:r w:rsidR="00771456" w:rsidRPr="009314D2">
        <w:rPr>
          <w:lang w:val="fr-FR" w:eastAsia="en-US"/>
        </w:rPr>
        <w:t>document</w:t>
      </w:r>
      <w:r w:rsidR="009B077E" w:rsidRPr="009314D2">
        <w:rPr>
          <w:lang w:val="fr-FR" w:eastAsia="en-US"/>
        </w:rPr>
        <w:t> </w:t>
      </w:r>
      <w:r w:rsidR="00771456" w:rsidRPr="009314D2">
        <w:rPr>
          <w:lang w:val="fr-FR" w:eastAsia="en-US"/>
        </w:rPr>
        <w:t>WO</w:t>
      </w:r>
      <w:r w:rsidRPr="009314D2">
        <w:rPr>
          <w:lang w:val="fr-FR" w:eastAsia="en-US"/>
        </w:rPr>
        <w:t>/GA/40/19).</w:t>
      </w:r>
      <w:r w:rsidRPr="009314D2">
        <w:rPr>
          <w:lang w:val="fr-FR"/>
        </w:rPr>
        <w:t xml:space="preserve">  </w:t>
      </w:r>
      <w:r w:rsidRPr="009314D2">
        <w:rPr>
          <w:lang w:val="fr-FR" w:eastAsia="en-US"/>
        </w:rPr>
        <w:t>La liste complète de ces activités figure dans la base de données relative à l</w:t>
      </w:r>
      <w:r w:rsidR="00771456" w:rsidRPr="009314D2">
        <w:rPr>
          <w:lang w:val="fr-FR" w:eastAsia="en-US"/>
        </w:rPr>
        <w:t>’</w:t>
      </w:r>
      <w:r w:rsidRPr="009314D2">
        <w:rPr>
          <w:lang w:val="fr-FR" w:eastAsia="en-US"/>
        </w:rPr>
        <w:t>assistance technique (</w:t>
      </w:r>
      <w:hyperlink r:id="rId16" w:history="1">
        <w:r w:rsidR="00050246" w:rsidRPr="009314D2">
          <w:rPr>
            <w:rStyle w:val="Hyperlink"/>
            <w:lang w:val="fr-FR"/>
          </w:rPr>
          <w:t>https:</w:t>
        </w:r>
        <w:r w:rsidRPr="009314D2">
          <w:rPr>
            <w:rStyle w:val="Hyperlink"/>
            <w:lang w:val="fr-FR"/>
          </w:rPr>
          <w:t>//www.wipo.int/tad/fr/index.jsp</w:t>
        </w:r>
      </w:hyperlink>
      <w:r w:rsidRPr="009314D2">
        <w:rPr>
          <w:lang w:val="fr-FR" w:eastAsia="en-US"/>
        </w:rPr>
        <w:t>).</w:t>
      </w:r>
    </w:p>
    <w:p w:rsidR="003B7834" w:rsidRPr="00946D52" w:rsidRDefault="003B7834" w:rsidP="003B7834">
      <w:pPr>
        <w:pStyle w:val="ONUMFS"/>
        <w:rPr>
          <w:lang w:val="fr-FR" w:eastAsia="en-US"/>
        </w:rPr>
      </w:pPr>
      <w:r w:rsidRPr="00946D52">
        <w:rPr>
          <w:lang w:val="fr-FR" w:eastAsia="en-US"/>
        </w:rPr>
        <w:t>Les normes de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OMPI étant appliquées dans divers systèmes et outils de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Organisation, tels que les solutions opérationnelles de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 xml:space="preserve">OMPI ou WIPO </w:t>
      </w:r>
      <w:proofErr w:type="spellStart"/>
      <w:r w:rsidRPr="00946D52">
        <w:rPr>
          <w:lang w:val="fr-FR" w:eastAsia="en-US"/>
        </w:rPr>
        <w:t>Sequence</w:t>
      </w:r>
      <w:proofErr w:type="spellEnd"/>
      <w:r w:rsidRPr="00946D52">
        <w:rPr>
          <w:lang w:val="fr-FR" w:eastAsia="en-US"/>
        </w:rPr>
        <w:t>, les activités indiquées ci</w:t>
      </w:r>
      <w:r w:rsidR="00E905A9">
        <w:rPr>
          <w:lang w:val="fr-FR" w:eastAsia="en-US"/>
        </w:rPr>
        <w:noBreakHyphen/>
      </w:r>
      <w:r w:rsidRPr="00946D52">
        <w:rPr>
          <w:lang w:val="fr-FR" w:eastAsia="en-US"/>
        </w:rPr>
        <w:t>après portent aussi implicitement sur la diffusion d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informations pertinentes en matière de normes de propriété intellectuelle.</w:t>
      </w:r>
    </w:p>
    <w:p w:rsidR="003B7834" w:rsidRPr="00946D52" w:rsidRDefault="003B7834" w:rsidP="00E905A9">
      <w:pPr>
        <w:pStyle w:val="Heading2"/>
      </w:pPr>
      <w:r w:rsidRPr="00946D52">
        <w:t>Formation à l</w:t>
      </w:r>
      <w:r w:rsidR="00771456" w:rsidRPr="00946D52">
        <w:t>’</w:t>
      </w:r>
      <w:r w:rsidRPr="00946D52">
        <w:t>utilisation des normes de l</w:t>
      </w:r>
      <w:r w:rsidR="00771456" w:rsidRPr="00946D52">
        <w:t>’</w:t>
      </w:r>
      <w:r w:rsidRPr="00946D52">
        <w:t>OMPI et services consultatifs connexes</w:t>
      </w:r>
    </w:p>
    <w:p w:rsidR="003B7834" w:rsidRPr="00946D52" w:rsidRDefault="003B7834" w:rsidP="003B7834">
      <w:pPr>
        <w:pStyle w:val="ONUMFS"/>
        <w:rPr>
          <w:lang w:val="fr-FR"/>
        </w:rPr>
      </w:pPr>
      <w:r w:rsidRPr="00946D52">
        <w:rPr>
          <w:lang w:val="fr-FR"/>
        </w:rPr>
        <w:t>En 2020, malgré la pandémie de COVID</w:t>
      </w:r>
      <w:r w:rsidR="00E905A9">
        <w:rPr>
          <w:lang w:val="fr-FR"/>
        </w:rPr>
        <w:noBreakHyphen/>
      </w:r>
      <w:r w:rsidRPr="00946D52">
        <w:rPr>
          <w:lang w:val="fr-FR"/>
        </w:rPr>
        <w:t>19, le Bureau international a fourni des services consultatifs aux offices de propriété industrielle afin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 xml:space="preserve">aider ces derniers et leurs utilisateurs à </w:t>
      </w:r>
      <w:r w:rsidRPr="00946D52">
        <w:rPr>
          <w:lang w:val="fr-FR"/>
        </w:rPr>
        <w:lastRenderedPageBreak/>
        <w:t>utiliser les normes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OMPI, cela au moyen de courriers électroniques et lors de conférences en ligne.</w:t>
      </w:r>
    </w:p>
    <w:p w:rsidR="003B7834" w:rsidRPr="00946D52" w:rsidRDefault="003B7834" w:rsidP="003B7834">
      <w:pPr>
        <w:pStyle w:val="ONUMFS"/>
        <w:rPr>
          <w:lang w:val="fr-FR"/>
        </w:rPr>
      </w:pPr>
      <w:r w:rsidRPr="00946D52">
        <w:rPr>
          <w:lang w:val="fr-FR"/>
        </w:rPr>
        <w:t>Le Secrétariat n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 pas reçu de demande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assistance technique et de formation en présentiel en 2020 concernant les normes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depuis la huit</w:t>
      </w:r>
      <w:r w:rsidR="00771456" w:rsidRPr="00946D52">
        <w:rPr>
          <w:lang w:val="fr-FR"/>
        </w:rPr>
        <w:t>ième session</w:t>
      </w:r>
      <w:r w:rsidRPr="00946D52">
        <w:rPr>
          <w:lang w:val="fr-FR"/>
        </w:rPr>
        <w:t xml:space="preserve"> du CWS tenue en 2020.  Le Secrétariat fournira une assistance technique et dispensera des formations concernant les normes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à la demande et en fonction de la disponibilité des ressources et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évolution de la pandémie.</w:t>
      </w:r>
    </w:p>
    <w:p w:rsidR="003B7834" w:rsidRPr="00946D52" w:rsidRDefault="003B7834" w:rsidP="00E905A9">
      <w:pPr>
        <w:pStyle w:val="Heading2"/>
      </w:pPr>
      <w:r w:rsidRPr="00946D52">
        <w:t>Assistance technique aux fins du renforcement des infrastructures des institutions de propriété industrielle utilisant les normes de l</w:t>
      </w:r>
      <w:r w:rsidR="00771456" w:rsidRPr="00946D52">
        <w:t>’</w:t>
      </w:r>
      <w:r w:rsidRPr="00946D52">
        <w:t>OMPI</w:t>
      </w:r>
    </w:p>
    <w:p w:rsidR="003B7834" w:rsidRPr="00946D52" w:rsidRDefault="003B7834" w:rsidP="003B7834">
      <w:pPr>
        <w:pStyle w:val="ONUMFS"/>
        <w:rPr>
          <w:lang w:val="fr-FR" w:eastAsia="ja-JP"/>
        </w:rPr>
      </w:pPr>
      <w:r w:rsidRPr="00946D52">
        <w:rPr>
          <w:rFonts w:eastAsia="MS Mincho"/>
          <w:szCs w:val="22"/>
          <w:lang w:val="fr-FR" w:eastAsia="ja-JP"/>
        </w:rPr>
        <w:t>Le programme de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OMPI de solutions opérationnelles à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intention des offices de propriété intellectuelle a pour objectif de renforcer les systèmes de traitement et les infrastructures techniques des offices de propriété industrielle nationaux et régionaux afin qu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ils puissent assurer des services offrant un meilleur rapport coût/efficacité et de plus grande qualité à leurs parties prenant</w:t>
      </w:r>
      <w:r w:rsidR="00117320" w:rsidRPr="00946D52">
        <w:rPr>
          <w:rFonts w:eastAsia="MS Mincho"/>
          <w:szCs w:val="22"/>
          <w:lang w:val="fr-FR" w:eastAsia="ja-JP"/>
        </w:rPr>
        <w:t xml:space="preserve">es.  </w:t>
      </w:r>
      <w:r w:rsidR="00117320" w:rsidRPr="00946D52">
        <w:rPr>
          <w:lang w:val="fr-FR" w:eastAsia="ja-JP"/>
        </w:rPr>
        <w:t>L’a</w:t>
      </w:r>
      <w:r w:rsidRPr="00946D52">
        <w:rPr>
          <w:lang w:val="fr-FR" w:eastAsia="ja-JP"/>
        </w:rPr>
        <w:t>ssistance fournie est conforme aux recommandations du Plan d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action pour le développement visant à renforcer les infrastructures institutionnelles et techniques des offices et d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autres institutions de propriété industriel</w:t>
      </w:r>
      <w:r w:rsidR="00117320" w:rsidRPr="00946D52">
        <w:rPr>
          <w:lang w:val="fr-FR" w:eastAsia="ja-JP"/>
        </w:rPr>
        <w:t>le.  Le</w:t>
      </w:r>
      <w:r w:rsidRPr="00946D52">
        <w:rPr>
          <w:lang w:val="fr-FR" w:eastAsia="ja-JP"/>
        </w:rPr>
        <w:t>s services comprennent notamment la fourniture de conseils techniques,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évaluation des besoins opérationnels, la définition de la portée et la planification des projets,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analyse du processus opérationnel, le développement et le déploiement continus des solutions opérationnelles spécialement adaptées à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administration des droits de propriété intellectuelle et à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échange des documents de priorité et des résultats des recherches et des examens,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établissement de bases de données sur la propriété intellectuelle,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assistance à la numérisation des dossiers de propriété intellectuelle et à la préparation des données pour la publication en ligne et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échange électronique des données, la formation et le transfert de connaissances au personnel des institutions de propriété industrielle, et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appui aux systèmes fournis par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O</w:t>
      </w:r>
      <w:r w:rsidR="00117320" w:rsidRPr="00946D52">
        <w:rPr>
          <w:lang w:val="fr-FR" w:eastAsia="ja-JP"/>
        </w:rPr>
        <w:t xml:space="preserve">MPI.  </w:t>
      </w:r>
      <w:r w:rsidR="00117320" w:rsidRPr="00946D52">
        <w:rPr>
          <w:rFonts w:eastAsia="MS Mincho"/>
          <w:szCs w:val="22"/>
          <w:lang w:val="fr-FR" w:eastAsia="ja-JP"/>
        </w:rPr>
        <w:t>Le</w:t>
      </w:r>
      <w:r w:rsidRPr="00946D52">
        <w:rPr>
          <w:rFonts w:eastAsia="MS Mincho"/>
          <w:szCs w:val="22"/>
          <w:lang w:val="fr-FR" w:eastAsia="ja-JP"/>
        </w:rPr>
        <w:t xml:space="preserve"> cas échéant,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assistance porte sur les normes de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OMPI sur les données et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information en matière de propriété intellectuel</w:t>
      </w:r>
      <w:r w:rsidR="00117320" w:rsidRPr="00946D52">
        <w:rPr>
          <w:rFonts w:eastAsia="MS Mincho"/>
          <w:szCs w:val="22"/>
          <w:lang w:val="fr-FR" w:eastAsia="ja-JP"/>
        </w:rPr>
        <w:t>le.  Le</w:t>
      </w:r>
      <w:r w:rsidRPr="00946D52">
        <w:rPr>
          <w:rFonts w:eastAsia="MS Mincho"/>
          <w:szCs w:val="22"/>
          <w:lang w:val="fr-FR" w:eastAsia="ja-JP"/>
        </w:rPr>
        <w:t>s formations sur le terrain ou virtuelles, le parrainage et les ateliers régionaux de formation représentent une partie significative des activités et jouent un rôle essentiel dans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obtention des résultats escomptés</w:t>
      </w:r>
      <w:r w:rsidRPr="00946D52">
        <w:rPr>
          <w:lang w:val="fr-FR" w:eastAsia="ja-JP"/>
        </w:rPr>
        <w:t>.</w:t>
      </w:r>
    </w:p>
    <w:p w:rsidR="003B7834" w:rsidRPr="00946D52" w:rsidRDefault="003B7834" w:rsidP="003B7834">
      <w:pPr>
        <w:pStyle w:val="ONUMFS"/>
        <w:rPr>
          <w:lang w:val="fr-FR"/>
        </w:rPr>
      </w:pPr>
      <w:r w:rsidRPr="00946D52">
        <w:rPr>
          <w:lang w:val="fr-FR" w:eastAsia="ja-JP"/>
        </w:rPr>
        <w:t>À la fin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année 2020, 90 offices de pays en développement du monde entier utilisaient activement les solutions opérationnelles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Organisation, qui intègrent les normes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OMPI, pour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administration de leurs droits de propriété intellectuel</w:t>
      </w:r>
      <w:r w:rsidR="00117320" w:rsidRPr="00946D52">
        <w:rPr>
          <w:lang w:val="fr-FR" w:eastAsia="ja-JP"/>
        </w:rPr>
        <w:t>le.  Ci</w:t>
      </w:r>
      <w:r w:rsidRPr="00946D52">
        <w:rPr>
          <w:lang w:val="fr-FR" w:eastAsia="ja-JP"/>
        </w:rPr>
        <w:t>nquante et un offices de propriété intellectuelle participaient à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une des plateformes d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échange en ligne proposées par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OMPI (au système d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accès centralisé aux résultats de la recherche et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examen et au service d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accès numérique aux documents de priori</w:t>
      </w:r>
      <w:r w:rsidR="00117320" w:rsidRPr="00946D52">
        <w:rPr>
          <w:lang w:val="fr-FR" w:eastAsia="ja-JP"/>
        </w:rPr>
        <w:t>té).  Un</w:t>
      </w:r>
      <w:r w:rsidRPr="00946D52">
        <w:rPr>
          <w:lang w:val="fr-FR" w:eastAsia="ja-JP"/>
        </w:rPr>
        <w:t xml:space="preserve"> élément essentiel consiste à améliorer le niveau de service des offices en les aidant à proposer davantage de services en ligne pour le dépôt des demandes et la diffusion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information en matière de propriété intellectuel</w:t>
      </w:r>
      <w:r w:rsidR="00117320" w:rsidRPr="00946D52">
        <w:rPr>
          <w:lang w:val="fr-FR" w:eastAsia="ja-JP"/>
        </w:rPr>
        <w:t>le.  On</w:t>
      </w:r>
      <w:r w:rsidRPr="00946D52">
        <w:rPr>
          <w:lang w:val="fr-FR" w:eastAsia="ja-JP"/>
        </w:rPr>
        <w:t xml:space="preserve"> trouvera davantage d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informations sur le site Web du programme d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assistance technique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OMPI à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intention des offices de propriété industrielle à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adresse</w:t>
      </w:r>
      <w:r w:rsidR="00771456" w:rsidRPr="00946D52">
        <w:rPr>
          <w:lang w:val="fr-FR" w:eastAsia="ja-JP"/>
        </w:rPr>
        <w:t> :</w:t>
      </w:r>
      <w:r w:rsidRPr="00946D52">
        <w:rPr>
          <w:lang w:val="fr-FR" w:eastAsia="ja-JP"/>
        </w:rPr>
        <w:t xml:space="preserve"> </w:t>
      </w:r>
      <w:hyperlink r:id="rId17" w:history="1">
        <w:r w:rsidR="00050246" w:rsidRPr="009314D2">
          <w:rPr>
            <w:rStyle w:val="Hyperlink"/>
          </w:rPr>
          <w:t>https:</w:t>
        </w:r>
        <w:r w:rsidRPr="009314D2">
          <w:rPr>
            <w:rStyle w:val="Hyperlink"/>
          </w:rPr>
          <w:t>//www.wipo.int/global_ip/fr/activities/ip_office_business_solutions/</w:t>
        </w:r>
      </w:hyperlink>
      <w:r w:rsidRPr="00946D52">
        <w:rPr>
          <w:lang w:val="fr-FR"/>
        </w:rPr>
        <w:t>.</w:t>
      </w:r>
    </w:p>
    <w:p w:rsidR="003B7834" w:rsidRPr="00946D52" w:rsidRDefault="003B7834" w:rsidP="003B7834">
      <w:pPr>
        <w:pStyle w:val="ONUMFS"/>
        <w:rPr>
          <w:lang w:val="fr-FR" w:eastAsia="ja-JP"/>
        </w:rPr>
      </w:pPr>
      <w:r w:rsidRPr="00946D52">
        <w:rPr>
          <w:lang w:val="fr-FR"/>
        </w:rPr>
        <w:t>En outre, dans le cadre du programme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sur les bases de données mondiales, le Bureau international a mené un projet en collaboration avec l</w:t>
      </w:r>
      <w:r w:rsidR="00771456" w:rsidRPr="00946D52">
        <w:rPr>
          <w:lang w:val="fr-FR"/>
        </w:rPr>
        <w:t>’</w:t>
      </w:r>
      <w:r w:rsidR="00BE24D3">
        <w:rPr>
          <w:lang w:val="fr-FR"/>
        </w:rPr>
        <w:t>Office européen des brevets </w:t>
      </w:r>
      <w:r w:rsidRPr="00946D52">
        <w:rPr>
          <w:lang w:val="fr-FR"/>
        </w:rPr>
        <w:t>(OEB) afin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aider les offices de propriété industrielle à produire des textes intégraux se prêtant à la recherche pour les fichiers courants de leurs publications en matière de brevets dans le format XML de la norme ST.36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OMPI avec des images TIFF intégré</w:t>
      </w:r>
      <w:r w:rsidR="00117320" w:rsidRPr="00946D52">
        <w:rPr>
          <w:lang w:val="fr-FR"/>
        </w:rPr>
        <w:t>es.  Le</w:t>
      </w:r>
      <w:r w:rsidRPr="00946D52">
        <w:rPr>
          <w:lang w:val="fr-FR"/>
        </w:rPr>
        <w:t xml:space="preserve"> Bureau international a adapté son outil de reconnaissance optique de caractères aux besoins spécifiques de chaque office, notamment en ce qui concerne la langue, la présentation et les signe</w:t>
      </w:r>
      <w:r w:rsidR="00117320" w:rsidRPr="00946D52">
        <w:rPr>
          <w:lang w:val="fr-FR"/>
        </w:rPr>
        <w:t>ts.  Tr</w:t>
      </w:r>
      <w:r w:rsidRPr="00946D52">
        <w:rPr>
          <w:lang w:val="fr-FR"/>
        </w:rPr>
        <w:t>ente</w:t>
      </w:r>
      <w:r w:rsidR="00E905A9">
        <w:rPr>
          <w:lang w:val="fr-FR"/>
        </w:rPr>
        <w:noBreakHyphen/>
      </w:r>
      <w:r w:rsidRPr="00946D52">
        <w:rPr>
          <w:lang w:val="fr-FR"/>
        </w:rPr>
        <w:t>cinq offices de propriété intellectuelle ont reçu le logiciel et ont été formés à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utiliser ces quatre dernières années (à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exception du Panama pour lequel une formation sera organisée en temps voulu) et 12 d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entre eux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ont intégré à leurs servic</w:t>
      </w:r>
      <w:r w:rsidR="00117320" w:rsidRPr="00946D52">
        <w:rPr>
          <w:lang w:val="fr-FR"/>
        </w:rPr>
        <w:t>es.  En</w:t>
      </w:r>
      <w:r w:rsidRPr="00946D52">
        <w:rPr>
          <w:lang w:val="fr-FR"/>
        </w:rPr>
        <w:t xml:space="preserve"> conséquence, les </w:t>
      </w:r>
      <w:r w:rsidRPr="00946D52">
        <w:rPr>
          <w:lang w:val="fr-FR"/>
        </w:rPr>
        <w:lastRenderedPageBreak/>
        <w:t>documents en texte intégral publiés sont inclus et consultables aussi bien dans la base de données PATENTSCOPE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 xml:space="preserve">OMPI que dans la base </w:t>
      </w:r>
      <w:proofErr w:type="spellStart"/>
      <w:r w:rsidRPr="00946D52">
        <w:rPr>
          <w:lang w:val="fr-FR"/>
        </w:rPr>
        <w:t>Espacenet</w:t>
      </w:r>
      <w:proofErr w:type="spellEnd"/>
      <w:r w:rsidRPr="00946D52">
        <w:rPr>
          <w:lang w:val="fr-FR"/>
        </w:rPr>
        <w:t xml:space="preserve"> de l</w:t>
      </w:r>
      <w:r w:rsidR="00771456" w:rsidRPr="00946D52">
        <w:rPr>
          <w:lang w:val="fr-FR"/>
        </w:rPr>
        <w:t>’</w:t>
      </w:r>
      <w:r w:rsidRPr="00946D52">
        <w:rPr>
          <w:lang w:val="fr-FR"/>
        </w:rPr>
        <w:t>OEB.</w:t>
      </w:r>
    </w:p>
    <w:p w:rsidR="003B7834" w:rsidRPr="00946D52" w:rsidRDefault="003B7834" w:rsidP="00E905A9">
      <w:pPr>
        <w:pStyle w:val="Heading2"/>
      </w:pPr>
      <w:r w:rsidRPr="00946D52">
        <w:t>Renforcement des capacités des agents des offices de propriété industrielle et des examinateurs aux fins de l</w:t>
      </w:r>
      <w:r w:rsidR="00771456" w:rsidRPr="00946D52">
        <w:t>’</w:t>
      </w:r>
      <w:r w:rsidRPr="00946D52">
        <w:t>utilisation des instruments internationaux</w:t>
      </w:r>
    </w:p>
    <w:p w:rsidR="003B7834" w:rsidRPr="00946D52" w:rsidRDefault="003B7834" w:rsidP="003B7834">
      <w:pPr>
        <w:pStyle w:val="ONUMFS"/>
        <w:rPr>
          <w:lang w:val="fr-FR"/>
        </w:rPr>
      </w:pPr>
      <w:r w:rsidRPr="00946D52">
        <w:rPr>
          <w:lang w:val="fr-FR" w:eastAsia="ja-JP"/>
        </w:rPr>
        <w:t>En collaboration avec les Offices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Équipe d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 xml:space="preserve">experts du CWS chargée de la norme relative aux listages des séquences, le Bureau international a amélioré la suite WIPO </w:t>
      </w:r>
      <w:proofErr w:type="spellStart"/>
      <w:r w:rsidRPr="00946D52">
        <w:rPr>
          <w:lang w:val="fr-FR" w:eastAsia="ja-JP"/>
        </w:rPr>
        <w:t>Sequence</w:t>
      </w:r>
      <w:proofErr w:type="spellEnd"/>
      <w:r w:rsidRPr="00946D52">
        <w:rPr>
          <w:lang w:val="fr-FR" w:eastAsia="ja-JP"/>
        </w:rPr>
        <w:t>, outil logiciel commun gratuit, ce qui permettra aux déposants de demandes de brevet du monde entier de préparer un listage des séquences de nucléotides et d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acides aminés conformément à la norme ST.26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OMPI et aidera les offices de propriété industrielle à valider les listages de séquences afin de s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assurer de leur conformité avec la norme ST.26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O</w:t>
      </w:r>
      <w:r w:rsidR="00117320" w:rsidRPr="00946D52">
        <w:rPr>
          <w:lang w:val="fr-FR" w:eastAsia="ja-JP"/>
        </w:rPr>
        <w:t>MPI.  La</w:t>
      </w:r>
      <w:r w:rsidRPr="00946D52">
        <w:rPr>
          <w:lang w:val="fr-FR" w:eastAsia="ja-JP"/>
        </w:rPr>
        <w:t xml:space="preserve"> version bêta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 xml:space="preserve">outil WIPO </w:t>
      </w:r>
      <w:proofErr w:type="spellStart"/>
      <w:r w:rsidRPr="00946D52">
        <w:rPr>
          <w:lang w:val="fr-FR" w:eastAsia="ja-JP"/>
        </w:rPr>
        <w:t>Sequence</w:t>
      </w:r>
      <w:proofErr w:type="spellEnd"/>
      <w:r w:rsidRPr="00946D52">
        <w:rPr>
          <w:lang w:val="fr-FR" w:eastAsia="ja-JP"/>
        </w:rPr>
        <w:t xml:space="preserve"> est disponible sur le site Web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OMPI à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 xml:space="preserve">adresse </w:t>
      </w:r>
      <w:hyperlink r:id="rId18" w:history="1">
        <w:r w:rsidR="00050246" w:rsidRPr="009314D2">
          <w:rPr>
            <w:rStyle w:val="Hyperlink"/>
          </w:rPr>
          <w:t>https:</w:t>
        </w:r>
        <w:r w:rsidRPr="009314D2">
          <w:rPr>
            <w:rStyle w:val="Hyperlink"/>
          </w:rPr>
          <w:t>//www.wipo.int/standards/fr/sequence/index.html</w:t>
        </w:r>
      </w:hyperlink>
      <w:r w:rsidRPr="00946D52">
        <w:rPr>
          <w:lang w:val="fr-FR" w:eastAsia="ja-JP"/>
        </w:rPr>
        <w:t>.</w:t>
      </w:r>
    </w:p>
    <w:p w:rsidR="003B7834" w:rsidRPr="00946D52" w:rsidRDefault="003B7834" w:rsidP="003B7834">
      <w:pPr>
        <w:pStyle w:val="ONUMFS"/>
        <w:rPr>
          <w:rFonts w:eastAsia="MS Mincho"/>
          <w:szCs w:val="22"/>
          <w:lang w:val="fr-FR" w:eastAsia="ja-JP"/>
        </w:rPr>
      </w:pPr>
      <w:r w:rsidRPr="00946D52">
        <w:rPr>
          <w:rFonts w:eastAsia="MS Mincho"/>
          <w:szCs w:val="22"/>
          <w:lang w:val="fr-FR" w:eastAsia="ja-JP"/>
        </w:rPr>
        <w:t>Suite à une demande, le Bureau international a organisé, par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intermédiaire d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une plateforme en ligne, un séminaire de formation sur la classification internationale des brevets (CIB) à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intention des fonctionnaires et des examinateurs du Service chargé de la promotion de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industrie et de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investissement, Département de la propriété intellectuelle, Ministère du commerce et de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industrie d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Oman, les 15 et 16 septembre 2020.</w:t>
      </w:r>
      <w:r w:rsidRPr="00946D52">
        <w:rPr>
          <w:lang w:val="fr-FR"/>
        </w:rPr>
        <w:t xml:space="preserve">  </w:t>
      </w:r>
      <w:r w:rsidRPr="00946D52">
        <w:rPr>
          <w:rFonts w:eastAsia="MS Mincho"/>
          <w:szCs w:val="22"/>
          <w:lang w:val="fr-FR" w:eastAsia="ja-JP"/>
        </w:rPr>
        <w:t>Le programme de formation portait notamment sur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utilisation des normes pertinentes de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OMPI.</w:t>
      </w:r>
    </w:p>
    <w:p w:rsidR="003B7834" w:rsidRPr="00946D52" w:rsidRDefault="003B7834" w:rsidP="003B7834">
      <w:pPr>
        <w:pStyle w:val="ONUMFS"/>
        <w:rPr>
          <w:rFonts w:eastAsia="MS Mincho"/>
          <w:szCs w:val="22"/>
          <w:lang w:val="fr-FR" w:eastAsia="ja-JP"/>
        </w:rPr>
      </w:pPr>
      <w:r w:rsidRPr="00946D52">
        <w:rPr>
          <w:rFonts w:eastAsia="MS Mincho"/>
          <w:szCs w:val="22"/>
          <w:lang w:val="fr-FR" w:eastAsia="ja-JP"/>
        </w:rPr>
        <w:t>Suite à des demandes, les cours et séminaires de formation ci</w:t>
      </w:r>
      <w:r w:rsidR="00E905A9">
        <w:rPr>
          <w:rFonts w:eastAsia="MS Mincho"/>
          <w:szCs w:val="22"/>
          <w:lang w:val="fr-FR" w:eastAsia="ja-JP"/>
        </w:rPr>
        <w:noBreakHyphen/>
      </w:r>
      <w:r w:rsidRPr="00946D52">
        <w:rPr>
          <w:rFonts w:eastAsia="MS Mincho"/>
          <w:szCs w:val="22"/>
          <w:lang w:val="fr-FR" w:eastAsia="ja-JP"/>
        </w:rPr>
        <w:t>après sur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utilisation des classifications internationales pour les marques et les dessins et modèles industriels ont été organisés de façon virtuelle en 2020 à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intention des fonctionnaires et examinateurs des offices de propriété intellectuel</w:t>
      </w:r>
      <w:r w:rsidR="00117320" w:rsidRPr="00946D52">
        <w:rPr>
          <w:rFonts w:eastAsia="MS Mincho"/>
          <w:szCs w:val="22"/>
          <w:lang w:val="fr-FR" w:eastAsia="ja-JP"/>
        </w:rPr>
        <w:t>le.  Da</w:t>
      </w:r>
      <w:r w:rsidRPr="00946D52">
        <w:rPr>
          <w:rFonts w:eastAsia="MS Mincho"/>
          <w:szCs w:val="22"/>
          <w:lang w:val="fr-FR" w:eastAsia="ja-JP"/>
        </w:rPr>
        <w:t>ns le cadre des manifestations ci</w:t>
      </w:r>
      <w:r w:rsidR="00E905A9">
        <w:rPr>
          <w:rFonts w:eastAsia="MS Mincho"/>
          <w:szCs w:val="22"/>
          <w:lang w:val="fr-FR" w:eastAsia="ja-JP"/>
        </w:rPr>
        <w:noBreakHyphen/>
      </w:r>
      <w:r w:rsidRPr="00946D52">
        <w:rPr>
          <w:rFonts w:eastAsia="MS Mincho"/>
          <w:szCs w:val="22"/>
          <w:lang w:val="fr-FR" w:eastAsia="ja-JP"/>
        </w:rPr>
        <w:t>après, la pertinence des normes de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OMPI concernées a fait l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objet d</w:t>
      </w:r>
      <w:r w:rsidR="00771456" w:rsidRPr="00946D52">
        <w:rPr>
          <w:rFonts w:eastAsia="MS Mincho"/>
          <w:szCs w:val="22"/>
          <w:lang w:val="fr-FR" w:eastAsia="ja-JP"/>
        </w:rPr>
        <w:t>’</w:t>
      </w:r>
      <w:r w:rsidRPr="00946D52">
        <w:rPr>
          <w:rFonts w:eastAsia="MS Mincho"/>
          <w:szCs w:val="22"/>
          <w:lang w:val="fr-FR" w:eastAsia="ja-JP"/>
        </w:rPr>
        <w:t>un exposé</w:t>
      </w:r>
      <w:r w:rsidR="00771456" w:rsidRPr="00946D52">
        <w:rPr>
          <w:rFonts w:eastAsia="MS Mincho"/>
          <w:szCs w:val="22"/>
          <w:lang w:val="fr-FR" w:eastAsia="ja-JP"/>
        </w:rPr>
        <w:t> :</w:t>
      </w:r>
    </w:p>
    <w:p w:rsidR="003B7834" w:rsidRPr="00946D52" w:rsidRDefault="003B7834" w:rsidP="003B7834">
      <w:pPr>
        <w:pStyle w:val="Bulletedlistlevel2"/>
        <w:tabs>
          <w:tab w:val="clear" w:pos="567"/>
          <w:tab w:val="left" w:pos="1134"/>
        </w:tabs>
        <w:ind w:left="1134" w:hanging="567"/>
        <w:rPr>
          <w:lang w:val="fr-FR" w:eastAsia="ja-JP"/>
        </w:rPr>
      </w:pPr>
      <w:r w:rsidRPr="00946D52">
        <w:rPr>
          <w:lang w:val="fr-FR" w:eastAsia="ja-JP"/>
        </w:rPr>
        <w:t>Formation sur la classification de Nice à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intention des examinateurs de marques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Office de la propriété intellectuelle du Bahreïn, du 24 au 27 février 2020;</w:t>
      </w:r>
    </w:p>
    <w:p w:rsidR="003B7834" w:rsidRPr="00946D52" w:rsidRDefault="003B7834" w:rsidP="003B7834">
      <w:pPr>
        <w:pStyle w:val="Bulletedlistlevel2"/>
        <w:tabs>
          <w:tab w:val="clear" w:pos="567"/>
          <w:tab w:val="left" w:pos="1134"/>
        </w:tabs>
        <w:ind w:left="1134" w:hanging="567"/>
        <w:rPr>
          <w:lang w:val="fr-FR" w:eastAsia="ja-JP"/>
        </w:rPr>
      </w:pPr>
      <w:r w:rsidRPr="00946D52">
        <w:rPr>
          <w:lang w:val="fr-FR" w:eastAsia="ja-JP"/>
        </w:rPr>
        <w:t>Formation sur les classifications de Nice, de Locarno et de Vienne à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intention des examinateurs de marques et de dessins et modèles industriels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Office de la propriété intellectuelle de l</w:t>
      </w:r>
      <w:r w:rsidR="00771456" w:rsidRPr="00946D52">
        <w:rPr>
          <w:lang w:val="fr-FR" w:eastAsia="ja-JP"/>
        </w:rPr>
        <w:t>’Arabie saoudite</w:t>
      </w:r>
      <w:r w:rsidRPr="00946D52">
        <w:rPr>
          <w:lang w:val="fr-FR" w:eastAsia="ja-JP"/>
        </w:rPr>
        <w:t>, du 20 au 23 juillet 2020;</w:t>
      </w:r>
    </w:p>
    <w:p w:rsidR="003B7834" w:rsidRPr="00946D52" w:rsidRDefault="003B7834" w:rsidP="003B7834">
      <w:pPr>
        <w:pStyle w:val="Bulletedlistlevel2"/>
        <w:tabs>
          <w:tab w:val="clear" w:pos="567"/>
          <w:tab w:val="left" w:pos="1134"/>
        </w:tabs>
        <w:ind w:left="1134" w:hanging="567"/>
        <w:rPr>
          <w:lang w:val="fr-FR" w:eastAsia="ja-JP"/>
        </w:rPr>
      </w:pPr>
      <w:r w:rsidRPr="00946D52">
        <w:rPr>
          <w:lang w:val="fr-FR" w:eastAsia="ja-JP"/>
        </w:rPr>
        <w:t>Formation sur les classifications de Nice et de Vienne à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intention des examinateurs de marques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Office de la propriété intellectuelle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Indonésie, du 16 au 18 novembre </w:t>
      </w:r>
      <w:proofErr w:type="gramStart"/>
      <w:r w:rsidRPr="00946D52">
        <w:rPr>
          <w:lang w:val="fr-FR" w:eastAsia="ja-JP"/>
        </w:rPr>
        <w:t>2020;  et</w:t>
      </w:r>
      <w:proofErr w:type="gramEnd"/>
    </w:p>
    <w:p w:rsidR="003B7834" w:rsidRPr="00946D52" w:rsidRDefault="003B7834" w:rsidP="003B7834">
      <w:pPr>
        <w:pStyle w:val="Bulletedlistlevel2"/>
        <w:tabs>
          <w:tab w:val="clear" w:pos="567"/>
          <w:tab w:val="left" w:pos="1134"/>
        </w:tabs>
        <w:spacing w:after="220"/>
        <w:ind w:left="1134" w:hanging="567"/>
        <w:rPr>
          <w:lang w:val="fr-FR" w:eastAsia="ja-JP"/>
        </w:rPr>
      </w:pPr>
      <w:r w:rsidRPr="00946D52">
        <w:rPr>
          <w:lang w:val="fr-FR" w:eastAsia="ja-JP"/>
        </w:rPr>
        <w:t>Formation sur la classification de Nice à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intention des examinateurs de marques de l</w:t>
      </w:r>
      <w:r w:rsidR="00771456" w:rsidRPr="00946D52">
        <w:rPr>
          <w:lang w:val="fr-FR" w:eastAsia="ja-JP"/>
        </w:rPr>
        <w:t>’</w:t>
      </w:r>
      <w:r w:rsidRPr="00946D52">
        <w:rPr>
          <w:lang w:val="fr-FR" w:eastAsia="ja-JP"/>
        </w:rPr>
        <w:t>Office de la propriété intellectuelle de la Malaisie, du 8 au 10 décembre 2020.</w:t>
      </w:r>
    </w:p>
    <w:p w:rsidR="003B7834" w:rsidRPr="00946D52" w:rsidRDefault="003B7834" w:rsidP="00E905A9">
      <w:pPr>
        <w:pStyle w:val="Heading2"/>
      </w:pPr>
      <w:r w:rsidRPr="00946D52">
        <w:t>Faire mieux connaître les normes de l</w:t>
      </w:r>
      <w:r w:rsidR="00771456" w:rsidRPr="00946D52">
        <w:t>’</w:t>
      </w:r>
      <w:r w:rsidRPr="00946D52">
        <w:t>OMPI</w:t>
      </w:r>
    </w:p>
    <w:p w:rsidR="003B7834" w:rsidRPr="00946D52" w:rsidRDefault="003B7834" w:rsidP="003B7834">
      <w:pPr>
        <w:pStyle w:val="ONUMFS"/>
        <w:rPr>
          <w:lang w:val="fr-FR" w:eastAsia="en-US"/>
        </w:rPr>
      </w:pPr>
      <w:r w:rsidRPr="00946D52">
        <w:rPr>
          <w:lang w:val="fr-FR" w:eastAsia="en-US"/>
        </w:rPr>
        <w:t>Afin de faire mieux connaître les normes de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OMPI dans les pays en développement et de faciliter la participation physique d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un plus grand nombre de ces pays à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élaboration d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une ou plusieurs normes de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OMPI nouvelles ou révisées, comme suite à la décision prise par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Assemblée générale en octobre 2011, la participation à la sept</w:t>
      </w:r>
      <w:r w:rsidR="00771456" w:rsidRPr="00946D52">
        <w:rPr>
          <w:lang w:val="fr-FR" w:eastAsia="en-US"/>
        </w:rPr>
        <w:t>ième session</w:t>
      </w:r>
      <w:r w:rsidRPr="00946D52">
        <w:rPr>
          <w:lang w:val="fr-FR" w:eastAsia="en-US"/>
        </w:rPr>
        <w:t xml:space="preserve"> du CWS de sept pays en développement ou parmi les moins avancés (PMA) a été financée par le Bureau international.</w:t>
      </w:r>
    </w:p>
    <w:p w:rsidR="003B7834" w:rsidRPr="00946D52" w:rsidRDefault="003B7834" w:rsidP="00E905A9">
      <w:pPr>
        <w:pStyle w:val="Heading2"/>
      </w:pPr>
      <w:r w:rsidRPr="00946D52">
        <w:t>Échange de données en matière de propriété intellectuelle</w:t>
      </w:r>
    </w:p>
    <w:p w:rsidR="003B7834" w:rsidRPr="00946D52" w:rsidRDefault="003B7834" w:rsidP="003B7834">
      <w:pPr>
        <w:pStyle w:val="ONUMFS"/>
        <w:rPr>
          <w:lang w:val="fr-FR" w:eastAsia="en-US"/>
        </w:rPr>
      </w:pPr>
      <w:r w:rsidRPr="00946D52">
        <w:rPr>
          <w:lang w:val="fr-FR" w:eastAsia="en-US"/>
        </w:rPr>
        <w:t>Le Bureau international a collaboré avec de nombreux offices de propriété industrielle, notamment dans certains groupes de pays en développement, pour promouvoir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échange de données en matière de propriété intellectuelle en vue d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améliorer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accès des utilisateurs de ces pays à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information en matière de propriété intellectuelle provenant de ces offic</w:t>
      </w:r>
      <w:r w:rsidR="00117320" w:rsidRPr="00946D52">
        <w:rPr>
          <w:lang w:val="fr-FR" w:eastAsia="en-US"/>
        </w:rPr>
        <w:t>es.  L’é</w:t>
      </w:r>
      <w:r w:rsidRPr="00946D52">
        <w:rPr>
          <w:lang w:val="fr-FR" w:eastAsia="en-US"/>
        </w:rPr>
        <w:t xml:space="preserve">change </w:t>
      </w:r>
      <w:r w:rsidRPr="00946D52">
        <w:rPr>
          <w:lang w:val="fr-FR" w:eastAsia="en-US"/>
        </w:rPr>
        <w:lastRenderedPageBreak/>
        <w:t>de données en matière de propriété intellectuelle a été organisé conformément aux normes applicables de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O</w:t>
      </w:r>
      <w:r w:rsidR="00117320" w:rsidRPr="00946D52">
        <w:rPr>
          <w:lang w:val="fr-FR" w:eastAsia="en-US"/>
        </w:rPr>
        <w:t>MPI.  Le</w:t>
      </w:r>
      <w:r w:rsidRPr="00946D52">
        <w:rPr>
          <w:lang w:val="fr-FR" w:eastAsia="en-US"/>
        </w:rPr>
        <w:t>s collections de marques des pays ci</w:t>
      </w:r>
      <w:r w:rsidR="00E905A9">
        <w:rPr>
          <w:lang w:val="fr-FR" w:eastAsia="en-US"/>
        </w:rPr>
        <w:noBreakHyphen/>
      </w:r>
      <w:r w:rsidRPr="00946D52">
        <w:rPr>
          <w:lang w:val="fr-FR" w:eastAsia="en-US"/>
        </w:rPr>
        <w:t>après ont été intégrées à la Base de données mondiale sur les marques au cours de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année 2020 dans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ordre chronologique</w:t>
      </w:r>
      <w:r w:rsidR="00771456" w:rsidRPr="00946D52">
        <w:rPr>
          <w:lang w:val="fr-FR" w:eastAsia="en-US"/>
        </w:rPr>
        <w:t> :</w:t>
      </w:r>
      <w:r w:rsidRPr="00946D52">
        <w:rPr>
          <w:lang w:val="fr-FR" w:eastAsia="en-US"/>
        </w:rPr>
        <w:t xml:space="preserve"> Bhoutan, Kazakhstan, Serbie, Ukraine, Albanie, Saint</w:t>
      </w:r>
      <w:r w:rsidR="00E905A9">
        <w:rPr>
          <w:lang w:val="fr-FR" w:eastAsia="en-US"/>
        </w:rPr>
        <w:noBreakHyphen/>
      </w:r>
      <w:r w:rsidRPr="00946D52">
        <w:rPr>
          <w:lang w:val="fr-FR" w:eastAsia="en-US"/>
        </w:rPr>
        <w:t xml:space="preserve">Marin et </w:t>
      </w:r>
      <w:proofErr w:type="gramStart"/>
      <w:r w:rsidRPr="00946D52">
        <w:rPr>
          <w:lang w:val="fr-FR" w:eastAsia="en-US"/>
        </w:rPr>
        <w:t>Inde;  les</w:t>
      </w:r>
      <w:proofErr w:type="gramEnd"/>
      <w:r w:rsidRPr="00946D52">
        <w:rPr>
          <w:lang w:val="fr-FR" w:eastAsia="en-US"/>
        </w:rPr>
        <w:t xml:space="preserve"> collections de brevets des pays ci</w:t>
      </w:r>
      <w:r w:rsidR="00E905A9">
        <w:rPr>
          <w:lang w:val="fr-FR" w:eastAsia="en-US"/>
        </w:rPr>
        <w:noBreakHyphen/>
      </w:r>
      <w:r w:rsidRPr="00946D52">
        <w:rPr>
          <w:lang w:val="fr-FR" w:eastAsia="en-US"/>
        </w:rPr>
        <w:t>après ont été intégrées dans la base de données PATENTSCOPE au cours de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année 2020</w:t>
      </w:r>
      <w:r w:rsidR="00771456" w:rsidRPr="00946D52">
        <w:rPr>
          <w:lang w:val="fr-FR" w:eastAsia="en-US"/>
        </w:rPr>
        <w:t> :</w:t>
      </w:r>
      <w:r w:rsidRPr="00946D52">
        <w:rPr>
          <w:lang w:val="fr-FR" w:eastAsia="en-US"/>
        </w:rPr>
        <w:t xml:space="preserve"> République tchèque, ancienne Tchécoslovaquie, Pays</w:t>
      </w:r>
      <w:r w:rsidR="00E905A9">
        <w:rPr>
          <w:lang w:val="fr-FR" w:eastAsia="en-US"/>
        </w:rPr>
        <w:noBreakHyphen/>
      </w:r>
      <w:r w:rsidRPr="00946D52">
        <w:rPr>
          <w:lang w:val="fr-FR" w:eastAsia="en-US"/>
        </w:rPr>
        <w:t>Bas, Serbie, Slovaquie et Suè</w:t>
      </w:r>
      <w:r w:rsidR="00117320" w:rsidRPr="00946D52">
        <w:rPr>
          <w:lang w:val="fr-FR" w:eastAsia="en-US"/>
        </w:rPr>
        <w:t>de.  Le</w:t>
      </w:r>
      <w:r w:rsidRPr="00946D52">
        <w:rPr>
          <w:lang w:val="fr-FR" w:eastAsia="en-US"/>
        </w:rPr>
        <w:t>s collections de dessins et modèles industriels de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Albanie,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Inde, la République de Corée, la Suisse, la Thaïlande et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Ukraine ont également été ajoutées à la Base de données mondiale sur les dessins et modèles de l</w:t>
      </w:r>
      <w:r w:rsidR="00771456" w:rsidRPr="00946D52">
        <w:rPr>
          <w:lang w:val="fr-FR" w:eastAsia="en-US"/>
        </w:rPr>
        <w:t>’</w:t>
      </w:r>
      <w:r w:rsidRPr="00946D52">
        <w:rPr>
          <w:lang w:val="fr-FR" w:eastAsia="en-US"/>
        </w:rPr>
        <w:t>OMPI en 2020.</w:t>
      </w:r>
    </w:p>
    <w:p w:rsidR="003B7834" w:rsidRPr="00946D52" w:rsidRDefault="003B7834" w:rsidP="003B7834">
      <w:pPr>
        <w:pStyle w:val="ONUMFS"/>
        <w:ind w:left="5533"/>
        <w:rPr>
          <w:i/>
          <w:lang w:val="fr-FR"/>
        </w:rPr>
      </w:pPr>
      <w:r w:rsidRPr="00946D52">
        <w:rPr>
          <w:i/>
          <w:lang w:val="fr-FR"/>
        </w:rPr>
        <w:t>Le CWS est invité à prendre note des activités menées par le Bureau international en 2020 en ce qui concerne la prestation de services consultatifs et d</w:t>
      </w:r>
      <w:r w:rsidR="00771456" w:rsidRPr="00946D52">
        <w:rPr>
          <w:i/>
          <w:lang w:val="fr-FR"/>
        </w:rPr>
        <w:t>’</w:t>
      </w:r>
      <w:r w:rsidRPr="00946D52">
        <w:rPr>
          <w:i/>
          <w:lang w:val="fr-FR"/>
        </w:rPr>
        <w:t>assistance technique aux fins du renforcement des capacités des offices de propriété industrielle portant sur la diffusion de l</w:t>
      </w:r>
      <w:r w:rsidR="00771456" w:rsidRPr="00946D52">
        <w:rPr>
          <w:i/>
          <w:lang w:val="fr-FR"/>
        </w:rPr>
        <w:t>’</w:t>
      </w:r>
      <w:r w:rsidRPr="00946D52">
        <w:rPr>
          <w:i/>
          <w:lang w:val="fr-FR"/>
        </w:rPr>
        <w:t>information en matière de normes de propriété intellectuel</w:t>
      </w:r>
      <w:r w:rsidR="00117320" w:rsidRPr="00946D52">
        <w:rPr>
          <w:i/>
          <w:lang w:val="fr-FR"/>
        </w:rPr>
        <w:t>le.  Le</w:t>
      </w:r>
      <w:r w:rsidRPr="00946D52">
        <w:rPr>
          <w:i/>
          <w:lang w:val="fr-FR"/>
        </w:rPr>
        <w:t xml:space="preserve"> présent document servira de base au rapport qui sera présenté à l</w:t>
      </w:r>
      <w:r w:rsidR="00771456" w:rsidRPr="00946D52">
        <w:rPr>
          <w:i/>
          <w:lang w:val="fr-FR"/>
        </w:rPr>
        <w:t>’</w:t>
      </w:r>
      <w:r w:rsidRPr="00946D52">
        <w:rPr>
          <w:i/>
          <w:lang w:val="fr-FR"/>
        </w:rPr>
        <w:t>Assemblée générale de l</w:t>
      </w:r>
      <w:r w:rsidR="00771456" w:rsidRPr="00946D52">
        <w:rPr>
          <w:i/>
          <w:lang w:val="fr-FR"/>
        </w:rPr>
        <w:t>’</w:t>
      </w:r>
      <w:r w:rsidRPr="00946D52">
        <w:rPr>
          <w:i/>
          <w:lang w:val="fr-FR"/>
        </w:rPr>
        <w:t>OMPI à sa session de 2022, conformément à la demande formulée par cette dernière à sa quarant</w:t>
      </w:r>
      <w:r w:rsidR="00771456" w:rsidRPr="00946D52">
        <w:rPr>
          <w:i/>
          <w:lang w:val="fr-FR"/>
        </w:rPr>
        <w:t>ième session</w:t>
      </w:r>
      <w:r w:rsidRPr="00946D52">
        <w:rPr>
          <w:i/>
          <w:lang w:val="fr-FR"/>
        </w:rPr>
        <w:t xml:space="preserve"> tenue en octobre 2011 (voir le paragraphe 190 du </w:t>
      </w:r>
      <w:r w:rsidR="00771456" w:rsidRPr="00946D52">
        <w:rPr>
          <w:i/>
          <w:lang w:val="fr-FR"/>
        </w:rPr>
        <w:t>document</w:t>
      </w:r>
      <w:r w:rsidR="009B077E" w:rsidRPr="00946D52">
        <w:rPr>
          <w:i/>
          <w:lang w:val="fr-FR"/>
        </w:rPr>
        <w:t> </w:t>
      </w:r>
      <w:r w:rsidR="00771456" w:rsidRPr="00946D52">
        <w:rPr>
          <w:i/>
          <w:lang w:val="fr-FR"/>
        </w:rPr>
        <w:t>WO</w:t>
      </w:r>
      <w:r w:rsidRPr="00946D52">
        <w:rPr>
          <w:i/>
          <w:lang w:val="fr-FR"/>
        </w:rPr>
        <w:t>/GA/40/19).</w:t>
      </w:r>
    </w:p>
    <w:p w:rsidR="000F5E56" w:rsidRPr="00946D52" w:rsidRDefault="003B7834" w:rsidP="009314D2">
      <w:pPr>
        <w:pStyle w:val="Endofdocument-Annex"/>
        <w:rPr>
          <w:lang w:val="fr-FR"/>
        </w:rPr>
      </w:pPr>
      <w:r w:rsidRPr="009314D2">
        <w:t>[Fin du document]</w:t>
      </w:r>
    </w:p>
    <w:sectPr w:rsidR="000F5E56" w:rsidRPr="00946D52" w:rsidSect="009314D2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A4" w:rsidRDefault="007A45A4">
      <w:r>
        <w:separator/>
      </w:r>
    </w:p>
  </w:endnote>
  <w:endnote w:type="continuationSeparator" w:id="0">
    <w:p w:rsidR="007A45A4" w:rsidRPr="009D30E6" w:rsidRDefault="007A45A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A45A4" w:rsidRPr="009D30E6" w:rsidRDefault="007A45A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A45A4" w:rsidRPr="009D30E6" w:rsidRDefault="007A45A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6D" w:rsidRDefault="00C04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6D" w:rsidRDefault="00C040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6D" w:rsidRDefault="00C04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A4" w:rsidRDefault="007A45A4">
      <w:r>
        <w:separator/>
      </w:r>
    </w:p>
  </w:footnote>
  <w:footnote w:type="continuationSeparator" w:id="0">
    <w:p w:rsidR="007A45A4" w:rsidRDefault="007A45A4" w:rsidP="007461F1">
      <w:r>
        <w:separator/>
      </w:r>
    </w:p>
    <w:p w:rsidR="007A45A4" w:rsidRPr="009D30E6" w:rsidRDefault="007A45A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A45A4" w:rsidRPr="009D30E6" w:rsidRDefault="007A45A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AF0696" w:rsidRPr="00946D52" w:rsidRDefault="00AF0696" w:rsidP="00AF0696">
      <w:pPr>
        <w:pStyle w:val="FootnoteText"/>
      </w:pPr>
      <w:r w:rsidRPr="00946D52">
        <w:rPr>
          <w:rStyle w:val="FootnoteReference"/>
        </w:rPr>
        <w:footnoteRef/>
      </w:r>
      <w:r w:rsidRPr="00946D52">
        <w:t xml:space="preserve"> </w:t>
      </w:r>
      <w:r w:rsidR="00C87D29" w:rsidRPr="00946D52">
        <w:tab/>
      </w:r>
      <w:hyperlink r:id="rId1" w:history="1">
        <w:r w:rsidRPr="00E905A9">
          <w:rPr>
            <w:rStyle w:val="Hyperlink"/>
          </w:rPr>
          <w:t>https://www.wipo.int/meetings/fr/doc_details.jsp?doc_id=558197</w:t>
        </w:r>
      </w:hyperlink>
      <w:r w:rsidR="00E905A9" w:rsidRPr="00E905A9">
        <w:rPr>
          <w:rStyle w:val="Hyperlink"/>
          <w:color w:val="auto"/>
          <w:u w:val="none"/>
        </w:rPr>
        <w:t>.</w:t>
      </w:r>
    </w:p>
  </w:footnote>
  <w:footnote w:id="3">
    <w:p w:rsidR="00625896" w:rsidRPr="00946D52" w:rsidRDefault="00625896">
      <w:pPr>
        <w:pStyle w:val="FootnoteText"/>
      </w:pPr>
      <w:r w:rsidRPr="00946D52">
        <w:rPr>
          <w:rStyle w:val="FootnoteReference"/>
        </w:rPr>
        <w:footnoteRef/>
      </w:r>
      <w:r w:rsidRPr="00946D52">
        <w:t xml:space="preserve"> </w:t>
      </w:r>
      <w:r w:rsidR="00C87D29" w:rsidRPr="00946D52">
        <w:tab/>
      </w:r>
      <w:hyperlink r:id="rId2" w:history="1">
        <w:r w:rsidR="00436ECA" w:rsidRPr="00E905A9">
          <w:rPr>
            <w:rStyle w:val="Hyperlink"/>
          </w:rPr>
          <w:t>https://www.wipo.int/standards/fr/part_03_standards.html</w:t>
        </w:r>
      </w:hyperlink>
      <w:r w:rsidR="00E905A9" w:rsidRPr="00E905A9">
        <w:rPr>
          <w:rStyle w:val="Hyperlink"/>
          <w:color w:val="auto"/>
          <w:u w:val="none"/>
        </w:rPr>
        <w:t>.</w:t>
      </w:r>
    </w:p>
  </w:footnote>
  <w:footnote w:id="4">
    <w:p w:rsidR="00B11AE1" w:rsidRPr="00946D52" w:rsidRDefault="00B11AE1">
      <w:pPr>
        <w:pStyle w:val="FootnoteText"/>
      </w:pPr>
      <w:r w:rsidRPr="00946D52">
        <w:rPr>
          <w:rStyle w:val="FootnoteReference"/>
        </w:rPr>
        <w:footnoteRef/>
      </w:r>
      <w:r w:rsidRPr="00946D52">
        <w:t xml:space="preserve"> </w:t>
      </w:r>
      <w:r w:rsidR="00C87D29" w:rsidRPr="00946D52">
        <w:tab/>
      </w:r>
      <w:hyperlink r:id="rId3" w:history="1">
        <w:r w:rsidR="005E0524" w:rsidRPr="00E905A9">
          <w:rPr>
            <w:rStyle w:val="Hyperlink"/>
          </w:rPr>
          <w:t>https://www.wipo.int/standards/fr/part_07.html</w:t>
        </w:r>
      </w:hyperlink>
      <w:r w:rsidR="00E905A9" w:rsidRPr="00E905A9">
        <w:rPr>
          <w:rStyle w:val="Hyperlink"/>
          <w:color w:val="auto"/>
          <w:u w:val="none"/>
        </w:rPr>
        <w:t>.</w:t>
      </w:r>
    </w:p>
  </w:footnote>
  <w:footnote w:id="5">
    <w:p w:rsidR="003B0C01" w:rsidRPr="00946D52" w:rsidRDefault="003B0C01">
      <w:pPr>
        <w:pStyle w:val="FootnoteText"/>
      </w:pPr>
      <w:r w:rsidRPr="00946D52">
        <w:rPr>
          <w:rStyle w:val="FootnoteReference"/>
        </w:rPr>
        <w:footnoteRef/>
      </w:r>
      <w:r w:rsidRPr="00946D52">
        <w:t xml:space="preserve"> </w:t>
      </w:r>
      <w:r w:rsidR="00C87D29" w:rsidRPr="00946D52">
        <w:tab/>
      </w:r>
      <w:hyperlink r:id="rId4" w:history="1">
        <w:r w:rsidR="005E0524" w:rsidRPr="00E905A9">
          <w:rPr>
            <w:rStyle w:val="Hyperlink"/>
          </w:rPr>
          <w:t>https://www.wipo.int/cws/fr/trainings.html</w:t>
        </w:r>
      </w:hyperlink>
      <w:r w:rsidR="00E905A9" w:rsidRPr="00E905A9">
        <w:rPr>
          <w:rStyle w:val="Hyperlink"/>
          <w:color w:val="auto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6D" w:rsidRDefault="00C04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08986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45A4" w:rsidRDefault="007A45A4">
        <w:pPr>
          <w:pStyle w:val="Header"/>
          <w:jc w:val="right"/>
        </w:pPr>
        <w:r>
          <w:t>W</w:t>
        </w:r>
        <w:r w:rsidR="009314D2">
          <w:t>O</w:t>
        </w:r>
        <w:r>
          <w:t>/</w:t>
        </w:r>
        <w:r w:rsidR="009314D2">
          <w:t>GA/55</w:t>
        </w:r>
        <w:r>
          <w:t>/</w:t>
        </w:r>
        <w:r w:rsidR="009314D2">
          <w:t>7</w:t>
        </w:r>
      </w:p>
      <w:p w:rsidR="007A45A4" w:rsidRDefault="009314D2" w:rsidP="009314D2">
        <w:pPr>
          <w:pStyle w:val="Header"/>
          <w:spacing w:after="480"/>
          <w:jc w:val="right"/>
        </w:pPr>
        <w:r>
          <w:t>p</w:t>
        </w:r>
        <w:r w:rsidR="007A45A4">
          <w:t>age</w:t>
        </w:r>
        <w:r>
          <w:t> </w:t>
        </w:r>
        <w:r w:rsidR="007A45A4">
          <w:fldChar w:fldCharType="begin"/>
        </w:r>
        <w:r w:rsidR="007A45A4">
          <w:instrText xml:space="preserve"> PAGE   \* MERGEFORMAT </w:instrText>
        </w:r>
        <w:r w:rsidR="007A45A4">
          <w:fldChar w:fldCharType="separate"/>
        </w:r>
        <w:r w:rsidR="00034AF2">
          <w:rPr>
            <w:noProof/>
          </w:rPr>
          <w:t>6</w:t>
        </w:r>
        <w:r w:rsidR="007A45A4"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06D" w:rsidRDefault="00C040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771456" w:rsidP="00477D6B">
    <w:pPr>
      <w:jc w:val="right"/>
      <w:rPr>
        <w:caps/>
      </w:rPr>
    </w:pPr>
    <w:bookmarkStart w:id="6" w:name="Code2"/>
    <w:bookmarkEnd w:id="6"/>
    <w:r>
      <w:rPr>
        <w:caps/>
      </w:rPr>
      <w:t>CWS/9/22</w:t>
    </w:r>
  </w:p>
  <w:p w:rsidR="00574036" w:rsidRDefault="00F16975" w:rsidP="008D50AE">
    <w:pPr>
      <w:spacing w:after="480"/>
      <w:jc w:val="right"/>
    </w:pPr>
    <w:r>
      <w:t>page</w:t>
    </w:r>
    <w:r w:rsidR="0077145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034AF2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C3926D9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E92D6D"/>
    <w:multiLevelType w:val="multilevel"/>
    <w:tmpl w:val="C99285C6"/>
    <w:lvl w:ilvl="0">
      <w:numFmt w:val="bullet"/>
      <w:pStyle w:val="Bulletedlistlevel2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30A310E"/>
    <w:multiLevelType w:val="hybridMultilevel"/>
    <w:tmpl w:val="63FC2A0C"/>
    <w:lvl w:ilvl="0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9B1C9C"/>
    <w:multiLevelType w:val="hybridMultilevel"/>
    <w:tmpl w:val="A394007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A358DD"/>
    <w:multiLevelType w:val="hybridMultilevel"/>
    <w:tmpl w:val="4160753A"/>
    <w:lvl w:ilvl="0" w:tplc="516037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9F62F09"/>
    <w:multiLevelType w:val="multilevel"/>
    <w:tmpl w:val="4F8E952E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D65D6E"/>
    <w:multiLevelType w:val="multilevel"/>
    <w:tmpl w:val="FC1EB8DC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5DE4479E"/>
    <w:multiLevelType w:val="multilevel"/>
    <w:tmpl w:val="6A469696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629360C6"/>
    <w:multiLevelType w:val="multilevel"/>
    <w:tmpl w:val="BD482A12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64346F67"/>
    <w:multiLevelType w:val="multilevel"/>
    <w:tmpl w:val="2E641BBC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11"/>
  </w:num>
  <w:num w:numId="15">
    <w:abstractNumId w:val="1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7A45A4"/>
    <w:rsid w:val="000069E0"/>
    <w:rsid w:val="00011B7D"/>
    <w:rsid w:val="0002693D"/>
    <w:rsid w:val="00034AF2"/>
    <w:rsid w:val="00050246"/>
    <w:rsid w:val="00075432"/>
    <w:rsid w:val="000C47F7"/>
    <w:rsid w:val="000F5E56"/>
    <w:rsid w:val="00110EB5"/>
    <w:rsid w:val="00117320"/>
    <w:rsid w:val="001362EE"/>
    <w:rsid w:val="001832A6"/>
    <w:rsid w:val="00195C6E"/>
    <w:rsid w:val="001B266A"/>
    <w:rsid w:val="001C1B59"/>
    <w:rsid w:val="001D3D56"/>
    <w:rsid w:val="001D72BE"/>
    <w:rsid w:val="00240654"/>
    <w:rsid w:val="00255A40"/>
    <w:rsid w:val="002634C4"/>
    <w:rsid w:val="002D4918"/>
    <w:rsid w:val="002E4D1A"/>
    <w:rsid w:val="002F16BC"/>
    <w:rsid w:val="002F1B6F"/>
    <w:rsid w:val="002F4E68"/>
    <w:rsid w:val="00315FCA"/>
    <w:rsid w:val="00321AFD"/>
    <w:rsid w:val="003403F5"/>
    <w:rsid w:val="003845C1"/>
    <w:rsid w:val="0039212A"/>
    <w:rsid w:val="003A1BCD"/>
    <w:rsid w:val="003B0C01"/>
    <w:rsid w:val="003B7834"/>
    <w:rsid w:val="004008A2"/>
    <w:rsid w:val="004025DF"/>
    <w:rsid w:val="00423E3E"/>
    <w:rsid w:val="00427AF4"/>
    <w:rsid w:val="00432431"/>
    <w:rsid w:val="00436ECA"/>
    <w:rsid w:val="004647DA"/>
    <w:rsid w:val="00477D6B"/>
    <w:rsid w:val="004D6471"/>
    <w:rsid w:val="004F4E31"/>
    <w:rsid w:val="00525B63"/>
    <w:rsid w:val="00547476"/>
    <w:rsid w:val="00561DB8"/>
    <w:rsid w:val="00567A4C"/>
    <w:rsid w:val="005E0524"/>
    <w:rsid w:val="005E6516"/>
    <w:rsid w:val="00605827"/>
    <w:rsid w:val="00625896"/>
    <w:rsid w:val="00654D98"/>
    <w:rsid w:val="0067627A"/>
    <w:rsid w:val="00676936"/>
    <w:rsid w:val="00680D1E"/>
    <w:rsid w:val="00697B18"/>
    <w:rsid w:val="006B0DB5"/>
    <w:rsid w:val="006C260C"/>
    <w:rsid w:val="006E4243"/>
    <w:rsid w:val="007461F1"/>
    <w:rsid w:val="00765848"/>
    <w:rsid w:val="00771456"/>
    <w:rsid w:val="007A45A4"/>
    <w:rsid w:val="007D6961"/>
    <w:rsid w:val="007F07CB"/>
    <w:rsid w:val="00810CEF"/>
    <w:rsid w:val="0081208D"/>
    <w:rsid w:val="0083250F"/>
    <w:rsid w:val="00842A13"/>
    <w:rsid w:val="008B2CC1"/>
    <w:rsid w:val="008D402E"/>
    <w:rsid w:val="008E356E"/>
    <w:rsid w:val="008E5500"/>
    <w:rsid w:val="008E60D2"/>
    <w:rsid w:val="008E7930"/>
    <w:rsid w:val="0090731E"/>
    <w:rsid w:val="00917A14"/>
    <w:rsid w:val="009314D2"/>
    <w:rsid w:val="00946D52"/>
    <w:rsid w:val="00966A22"/>
    <w:rsid w:val="00974CD6"/>
    <w:rsid w:val="009B077E"/>
    <w:rsid w:val="009D30E6"/>
    <w:rsid w:val="009E3F6F"/>
    <w:rsid w:val="009F499F"/>
    <w:rsid w:val="00A01F32"/>
    <w:rsid w:val="00A51E38"/>
    <w:rsid w:val="00AC0AE4"/>
    <w:rsid w:val="00AD61DB"/>
    <w:rsid w:val="00AF0696"/>
    <w:rsid w:val="00AF38DA"/>
    <w:rsid w:val="00B11AE1"/>
    <w:rsid w:val="00B87BCF"/>
    <w:rsid w:val="00B92EAD"/>
    <w:rsid w:val="00B97087"/>
    <w:rsid w:val="00BA62D4"/>
    <w:rsid w:val="00BB676B"/>
    <w:rsid w:val="00BE24D3"/>
    <w:rsid w:val="00C0406D"/>
    <w:rsid w:val="00C31108"/>
    <w:rsid w:val="00C40E15"/>
    <w:rsid w:val="00C664C8"/>
    <w:rsid w:val="00C76A79"/>
    <w:rsid w:val="00C87D29"/>
    <w:rsid w:val="00CA15F5"/>
    <w:rsid w:val="00CF0460"/>
    <w:rsid w:val="00D45252"/>
    <w:rsid w:val="00D71B4D"/>
    <w:rsid w:val="00D75C1E"/>
    <w:rsid w:val="00D93D55"/>
    <w:rsid w:val="00DB0349"/>
    <w:rsid w:val="00DC0E40"/>
    <w:rsid w:val="00DC7EED"/>
    <w:rsid w:val="00DD6A16"/>
    <w:rsid w:val="00E0091A"/>
    <w:rsid w:val="00E203AA"/>
    <w:rsid w:val="00E360ED"/>
    <w:rsid w:val="00E454F7"/>
    <w:rsid w:val="00E527A5"/>
    <w:rsid w:val="00E76456"/>
    <w:rsid w:val="00E90393"/>
    <w:rsid w:val="00E905A9"/>
    <w:rsid w:val="00EB0AC6"/>
    <w:rsid w:val="00EE71CB"/>
    <w:rsid w:val="00F02571"/>
    <w:rsid w:val="00F13605"/>
    <w:rsid w:val="00F16975"/>
    <w:rsid w:val="00F21F1B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BEBE13F"/>
  <w15:docId w15:val="{4910CB3A-B63A-49E6-B7C8-EE004131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905A9"/>
    <w:pPr>
      <w:keepNext/>
      <w:spacing w:before="240" w:after="24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E905A9"/>
    <w:pPr>
      <w:keepNext/>
      <w:spacing w:before="240" w:after="240"/>
      <w:outlineLvl w:val="2"/>
    </w:pPr>
    <w:rPr>
      <w:bCs/>
      <w:szCs w:val="26"/>
      <w:u w:val="single"/>
      <w:lang w:val="fr-FR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uiPriority w:val="99"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9314D2"/>
    <w:pPr>
      <w:spacing w:before="720"/>
      <w:ind w:left="5534"/>
    </w:pPr>
    <w:rPr>
      <w:lang w:val="en-US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ONUMEChar">
    <w:name w:val="ONUM E Char"/>
    <w:link w:val="ONUME"/>
    <w:rsid w:val="007A45A4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7A45A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7A45A4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A45A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rsid w:val="007A45A4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7A45A4"/>
    <w:rPr>
      <w:vertAlign w:val="superscript"/>
    </w:rPr>
  </w:style>
  <w:style w:type="paragraph" w:customStyle="1" w:styleId="Endofdocument">
    <w:name w:val="End of document"/>
    <w:basedOn w:val="Normal"/>
    <w:rsid w:val="007A45A4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7A45A4"/>
    <w:pPr>
      <w:ind w:left="720"/>
      <w:contextualSpacing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A45A4"/>
    <w:rPr>
      <w:rFonts w:ascii="Arial" w:eastAsia="SimSun" w:hAnsi="Arial" w:cs="Arial"/>
      <w:sz w:val="22"/>
      <w:lang w:eastAsia="zh-CN"/>
    </w:rPr>
  </w:style>
  <w:style w:type="paragraph" w:customStyle="1" w:styleId="MeetingReport">
    <w:name w:val="Meeting Report"/>
    <w:basedOn w:val="ONUME"/>
    <w:link w:val="MeetingReportChar"/>
    <w:qFormat/>
    <w:rsid w:val="007A45A4"/>
    <w:pPr>
      <w:numPr>
        <w:numId w:val="0"/>
      </w:numPr>
      <w:tabs>
        <w:tab w:val="num" w:pos="567"/>
      </w:tabs>
    </w:pPr>
    <w:rPr>
      <w:lang w:val="en-US"/>
    </w:rPr>
  </w:style>
  <w:style w:type="character" w:customStyle="1" w:styleId="MeetingReportChar">
    <w:name w:val="Meeting Report Char"/>
    <w:basedOn w:val="ONUMEChar"/>
    <w:link w:val="MeetingReport"/>
    <w:rsid w:val="007A45A4"/>
    <w:rPr>
      <w:rFonts w:ascii="Arial" w:eastAsia="SimSun" w:hAnsi="Arial" w:cs="Arial"/>
      <w:sz w:val="22"/>
      <w:lang w:val="en-US" w:eastAsia="zh-CN"/>
    </w:rPr>
  </w:style>
  <w:style w:type="paragraph" w:styleId="Title">
    <w:name w:val="Title"/>
    <w:basedOn w:val="Heading1"/>
    <w:next w:val="Normal"/>
    <w:link w:val="TitleChar"/>
    <w:qFormat/>
    <w:rsid w:val="003B7834"/>
    <w:pPr>
      <w:spacing w:before="0" w:after="480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B7834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eastAsia="zh-CN"/>
    </w:rPr>
  </w:style>
  <w:style w:type="paragraph" w:customStyle="1" w:styleId="Bulletedlistlevel2">
    <w:name w:val="Bulleted list level 2"/>
    <w:basedOn w:val="Normal"/>
    <w:rsid w:val="003B7834"/>
    <w:pPr>
      <w:numPr>
        <w:numId w:val="10"/>
      </w:numPr>
    </w:pPr>
  </w:style>
  <w:style w:type="character" w:styleId="FollowedHyperlink">
    <w:name w:val="FollowedHyperlink"/>
    <w:basedOn w:val="DefaultParagraphFont"/>
    <w:semiHidden/>
    <w:unhideWhenUsed/>
    <w:rsid w:val="00697B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ws/fr/blockchain-and-ip.html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wipo.int/standards/fr/sequence/index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www.wipo.int/global_ip/fr/activities/ip_office_business_soluti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po.int/tad/fr/index.js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standards/fr/part_07.html" TargetMode="External"/><Relationship Id="rId2" Type="http://schemas.openxmlformats.org/officeDocument/2006/relationships/hyperlink" Target="https://www.wipo.int/standards/fr/part_03_standards.html" TargetMode="External"/><Relationship Id="rId1" Type="http://schemas.openxmlformats.org/officeDocument/2006/relationships/hyperlink" Target="https://www.wipo.int/meetings/fr/doc_details.jsp?doc_id=558197" TargetMode="External"/><Relationship Id="rId4" Type="http://schemas.openxmlformats.org/officeDocument/2006/relationships/hyperlink" Target="https://www.wipo.int/cws/fr/training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55 (F)</Template>
  <TotalTime>1</TotalTime>
  <Pages>10</Pages>
  <Words>4209</Words>
  <Characters>23185</Characters>
  <Application>Microsoft Office Word</Application>
  <DocSecurity>0</DocSecurity>
  <Lines>381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WO/GA/55/7</vt:lpstr>
    </vt:vector>
  </TitlesOfParts>
  <Company>WIPO</Company>
  <LinksUpToDate>false</LinksUpToDate>
  <CharactersWithSpaces>27363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WO/GA/55/7</dc:title>
  <dc:subject>Sixty-Third Series of Meetings</dc:subject>
  <dc:creator>WIPO</dc:creator>
  <cp:keywords>PUBLIC</cp:keywords>
  <cp:lastModifiedBy>HÄFLIGER Patience</cp:lastModifiedBy>
  <cp:revision>7</cp:revision>
  <cp:lastPrinted>2011-05-19T12:37:00Z</cp:lastPrinted>
  <dcterms:created xsi:type="dcterms:W3CDTF">2022-04-06T13:51:00Z</dcterms:created>
  <dcterms:modified xsi:type="dcterms:W3CDTF">2022-04-25T09:41:00Z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