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E5043" w:rsidRDefault="0040540C" w:rsidP="003B5CD9">
      <w:pPr>
        <w:spacing w:before="360" w:after="240"/>
        <w:jc w:val="right"/>
        <w:rPr>
          <w:lang w:val="fr-FR"/>
        </w:rPr>
      </w:pPr>
      <w:bookmarkStart w:id="0" w:name="_GoBack"/>
      <w:bookmarkEnd w:id="0"/>
      <w:r w:rsidRPr="001E5043">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1E5043" w:rsidRDefault="0037544C" w:rsidP="003B5CD9">
      <w:pPr>
        <w:pBdr>
          <w:top w:val="single" w:sz="4" w:space="16" w:color="auto"/>
        </w:pBdr>
        <w:spacing w:before="240"/>
        <w:jc w:val="right"/>
        <w:rPr>
          <w:rFonts w:ascii="Arial Black" w:hAnsi="Arial Black"/>
          <w:caps/>
          <w:sz w:val="15"/>
          <w:lang w:val="fr-FR"/>
        </w:rPr>
      </w:pPr>
      <w:r w:rsidRPr="001E5043">
        <w:rPr>
          <w:rFonts w:ascii="Arial Black" w:hAnsi="Arial Black"/>
          <w:caps/>
          <w:sz w:val="15"/>
          <w:lang w:val="fr-FR"/>
        </w:rPr>
        <w:t>WO/GA/5</w:t>
      </w:r>
      <w:r w:rsidR="00A33E39" w:rsidRPr="001E5043">
        <w:rPr>
          <w:rFonts w:ascii="Arial Black" w:hAnsi="Arial Black"/>
          <w:caps/>
          <w:sz w:val="15"/>
          <w:lang w:val="fr-FR"/>
        </w:rPr>
        <w:t>5</w:t>
      </w:r>
      <w:r w:rsidRPr="001E5043">
        <w:rPr>
          <w:rFonts w:ascii="Arial Black" w:hAnsi="Arial Black"/>
          <w:caps/>
          <w:sz w:val="15"/>
          <w:lang w:val="fr-FR"/>
        </w:rPr>
        <w:t>/</w:t>
      </w:r>
      <w:bookmarkStart w:id="1" w:name="Code"/>
      <w:bookmarkEnd w:id="1"/>
      <w:r w:rsidR="008E0BF9" w:rsidRPr="001E5043">
        <w:rPr>
          <w:rFonts w:ascii="Arial Black" w:hAnsi="Arial Black"/>
          <w:caps/>
          <w:sz w:val="15"/>
          <w:lang w:val="fr-FR"/>
        </w:rPr>
        <w:t>1</w:t>
      </w:r>
      <w:r w:rsidR="00A33E39" w:rsidRPr="001E5043">
        <w:rPr>
          <w:rFonts w:ascii="Arial Black" w:hAnsi="Arial Black"/>
          <w:caps/>
          <w:sz w:val="15"/>
          <w:lang w:val="fr-FR"/>
        </w:rPr>
        <w:t>0</w:t>
      </w:r>
    </w:p>
    <w:p w:rsidR="008B2CC1" w:rsidRPr="001E5043" w:rsidRDefault="00B1090C" w:rsidP="003B5CD9">
      <w:pPr>
        <w:jc w:val="right"/>
        <w:rPr>
          <w:lang w:val="fr-FR"/>
        </w:rPr>
      </w:pPr>
      <w:r w:rsidRPr="001E5043">
        <w:rPr>
          <w:rFonts w:ascii="Arial Black" w:hAnsi="Arial Black"/>
          <w:caps/>
          <w:sz w:val="15"/>
          <w:lang w:val="fr-FR"/>
        </w:rPr>
        <w:t>ORIGINAL</w:t>
      </w:r>
      <w:r w:rsidR="00CE55B0" w:rsidRPr="001E5043">
        <w:rPr>
          <w:rFonts w:ascii="Arial Black" w:hAnsi="Arial Black"/>
          <w:caps/>
          <w:sz w:val="15"/>
          <w:lang w:val="fr-FR"/>
        </w:rPr>
        <w:t> :</w:t>
      </w:r>
      <w:r w:rsidR="002956DE" w:rsidRPr="001E5043">
        <w:rPr>
          <w:rFonts w:ascii="Arial Black" w:hAnsi="Arial Black"/>
          <w:caps/>
          <w:sz w:val="15"/>
          <w:lang w:val="fr-FR"/>
        </w:rPr>
        <w:t xml:space="preserve"> </w:t>
      </w:r>
      <w:bookmarkStart w:id="2" w:name="Original"/>
      <w:r w:rsidR="008E0BF9" w:rsidRPr="001E5043">
        <w:rPr>
          <w:rFonts w:ascii="Arial Black" w:hAnsi="Arial Black"/>
          <w:caps/>
          <w:sz w:val="15"/>
          <w:lang w:val="fr-FR"/>
        </w:rPr>
        <w:t>anglais</w:t>
      </w:r>
    </w:p>
    <w:bookmarkEnd w:id="2"/>
    <w:p w:rsidR="008B2CC1" w:rsidRPr="001E5043" w:rsidRDefault="00B1090C" w:rsidP="003B5CD9">
      <w:pPr>
        <w:spacing w:after="1200"/>
        <w:jc w:val="right"/>
        <w:rPr>
          <w:lang w:val="fr-FR"/>
        </w:rPr>
      </w:pPr>
      <w:r w:rsidRPr="001E5043">
        <w:rPr>
          <w:rFonts w:ascii="Arial Black" w:hAnsi="Arial Black"/>
          <w:caps/>
          <w:sz w:val="15"/>
          <w:lang w:val="fr-FR"/>
        </w:rPr>
        <w:t>DATE</w:t>
      </w:r>
      <w:r w:rsidR="00CE55B0" w:rsidRPr="001E5043">
        <w:rPr>
          <w:rFonts w:ascii="Arial Black" w:hAnsi="Arial Black"/>
          <w:caps/>
          <w:sz w:val="15"/>
          <w:lang w:val="fr-FR"/>
        </w:rPr>
        <w:t> :</w:t>
      </w:r>
      <w:r w:rsidR="002956DE" w:rsidRPr="001E5043">
        <w:rPr>
          <w:rFonts w:ascii="Arial Black" w:hAnsi="Arial Black"/>
          <w:caps/>
          <w:sz w:val="15"/>
          <w:lang w:val="fr-FR"/>
        </w:rPr>
        <w:t xml:space="preserve"> </w:t>
      </w:r>
      <w:bookmarkStart w:id="3" w:name="Date"/>
      <w:r w:rsidR="00A33E39" w:rsidRPr="001E5043">
        <w:rPr>
          <w:rFonts w:ascii="Arial Black" w:hAnsi="Arial Black"/>
          <w:caps/>
          <w:sz w:val="15"/>
          <w:lang w:val="fr-FR"/>
        </w:rPr>
        <w:t>1</w:t>
      </w:r>
      <w:r w:rsidR="008E0BF9" w:rsidRPr="001E5043">
        <w:rPr>
          <w:rFonts w:ascii="Arial Black" w:hAnsi="Arial Black"/>
          <w:caps/>
          <w:sz w:val="15"/>
          <w:lang w:val="fr-FR"/>
        </w:rPr>
        <w:t>3 </w:t>
      </w:r>
      <w:r w:rsidR="00A33E39" w:rsidRPr="001E5043">
        <w:rPr>
          <w:rFonts w:ascii="Arial Black" w:hAnsi="Arial Black"/>
          <w:caps/>
          <w:sz w:val="15"/>
          <w:lang w:val="fr-FR"/>
        </w:rPr>
        <w:t>mai</w:t>
      </w:r>
      <w:r w:rsidR="008E0BF9" w:rsidRPr="001E5043">
        <w:rPr>
          <w:rFonts w:ascii="Arial Black" w:hAnsi="Arial Black"/>
          <w:caps/>
          <w:sz w:val="15"/>
          <w:lang w:val="fr-FR"/>
        </w:rPr>
        <w:t> 202</w:t>
      </w:r>
      <w:r w:rsidR="00A33E39" w:rsidRPr="001E5043">
        <w:rPr>
          <w:rFonts w:ascii="Arial Black" w:hAnsi="Arial Black"/>
          <w:caps/>
          <w:sz w:val="15"/>
          <w:lang w:val="fr-FR"/>
        </w:rPr>
        <w:t>2</w:t>
      </w:r>
    </w:p>
    <w:bookmarkEnd w:id="3"/>
    <w:p w:rsidR="003845C1" w:rsidRPr="001E5043" w:rsidRDefault="006947A9" w:rsidP="003B5CD9">
      <w:pPr>
        <w:pStyle w:val="Title"/>
        <w:rPr>
          <w:lang w:val="fr-FR"/>
        </w:rPr>
      </w:pPr>
      <w:r w:rsidRPr="001E5043">
        <w:rPr>
          <w:lang w:val="fr-FR"/>
        </w:rPr>
        <w:t>Assemblée générale de l</w:t>
      </w:r>
      <w:r w:rsidR="00CE55B0" w:rsidRPr="001E5043">
        <w:rPr>
          <w:caps/>
          <w:lang w:val="fr-FR"/>
        </w:rPr>
        <w:t>’</w:t>
      </w:r>
      <w:r w:rsidRPr="001E5043">
        <w:rPr>
          <w:lang w:val="fr-FR"/>
        </w:rPr>
        <w:t>OMPI</w:t>
      </w:r>
    </w:p>
    <w:p w:rsidR="008B2CC1" w:rsidRPr="001E5043" w:rsidRDefault="004016CD" w:rsidP="003B5CD9">
      <w:pPr>
        <w:spacing w:after="720"/>
        <w:outlineLvl w:val="1"/>
        <w:rPr>
          <w:b/>
          <w:sz w:val="24"/>
          <w:szCs w:val="24"/>
          <w:lang w:val="fr-FR"/>
        </w:rPr>
      </w:pPr>
      <w:r w:rsidRPr="001E5043">
        <w:rPr>
          <w:b/>
          <w:bCs/>
          <w:iCs/>
          <w:sz w:val="24"/>
          <w:lang w:val="fr-FR"/>
        </w:rPr>
        <w:t>Cinquante</w:t>
      </w:r>
      <w:r w:rsidR="00921588">
        <w:rPr>
          <w:b/>
          <w:bCs/>
          <w:iCs/>
          <w:sz w:val="24"/>
          <w:lang w:val="fr-FR"/>
        </w:rPr>
        <w:noBreakHyphen/>
      </w:r>
      <w:r w:rsidR="00A33E39" w:rsidRPr="001E5043">
        <w:rPr>
          <w:b/>
          <w:bCs/>
          <w:iCs/>
          <w:sz w:val="24"/>
          <w:lang w:val="fr-FR"/>
        </w:rPr>
        <w:t>cinqu</w:t>
      </w:r>
      <w:r w:rsidR="00CE55B0" w:rsidRPr="001E5043">
        <w:rPr>
          <w:b/>
          <w:bCs/>
          <w:iCs/>
          <w:sz w:val="24"/>
          <w:lang w:val="fr-FR"/>
        </w:rPr>
        <w:t>ième session</w:t>
      </w:r>
      <w:r w:rsidRPr="001E5043">
        <w:rPr>
          <w:b/>
          <w:bCs/>
          <w:iCs/>
          <w:sz w:val="24"/>
          <w:lang w:val="fr-FR"/>
        </w:rPr>
        <w:t xml:space="preserve"> (</w:t>
      </w:r>
      <w:r w:rsidR="00A33E39" w:rsidRPr="001E5043">
        <w:rPr>
          <w:b/>
          <w:bCs/>
          <w:iCs/>
          <w:sz w:val="24"/>
          <w:lang w:val="fr-FR"/>
        </w:rPr>
        <w:t>30</w:t>
      </w:r>
      <w:r w:rsidRPr="001E5043">
        <w:rPr>
          <w:b/>
          <w:bCs/>
          <w:iCs/>
          <w:sz w:val="24"/>
          <w:vertAlign w:val="superscript"/>
          <w:lang w:val="fr-FR"/>
        </w:rPr>
        <w:t>e</w:t>
      </w:r>
      <w:r w:rsidR="001E5043">
        <w:rPr>
          <w:b/>
          <w:bCs/>
          <w:iCs/>
          <w:sz w:val="24"/>
          <w:lang w:val="fr-FR"/>
        </w:rPr>
        <w:t> </w:t>
      </w:r>
      <w:r w:rsidRPr="001E5043">
        <w:rPr>
          <w:b/>
          <w:bCs/>
          <w:iCs/>
          <w:sz w:val="24"/>
          <w:lang w:val="fr-FR"/>
        </w:rPr>
        <w:t>session ordinaire</w:t>
      </w:r>
      <w:r w:rsidR="00D30DFB" w:rsidRPr="001E5043">
        <w:rPr>
          <w:b/>
          <w:sz w:val="24"/>
          <w:szCs w:val="24"/>
          <w:lang w:val="fr-FR"/>
        </w:rPr>
        <w:t>)</w:t>
      </w:r>
      <w:r w:rsidR="00D30DFB" w:rsidRPr="001E5043">
        <w:rPr>
          <w:b/>
          <w:sz w:val="24"/>
          <w:szCs w:val="24"/>
          <w:lang w:val="fr-FR"/>
        </w:rPr>
        <w:br/>
      </w:r>
      <w:r w:rsidRPr="001E5043">
        <w:rPr>
          <w:b/>
          <w:sz w:val="24"/>
          <w:lang w:val="fr-FR"/>
        </w:rPr>
        <w:t xml:space="preserve">Genève, </w:t>
      </w:r>
      <w:r w:rsidR="00A33E39" w:rsidRPr="001E5043">
        <w:rPr>
          <w:b/>
          <w:sz w:val="24"/>
          <w:lang w:val="fr-FR"/>
        </w:rPr>
        <w:t>1</w:t>
      </w:r>
      <w:r w:rsidRPr="001E5043">
        <w:rPr>
          <w:b/>
          <w:sz w:val="24"/>
          <w:szCs w:val="24"/>
          <w:lang w:val="fr-FR"/>
        </w:rPr>
        <w:t xml:space="preserve">4 – </w:t>
      </w:r>
      <w:r w:rsidR="00A33E39" w:rsidRPr="001E5043">
        <w:rPr>
          <w:b/>
          <w:sz w:val="24"/>
          <w:szCs w:val="24"/>
          <w:lang w:val="fr-FR"/>
        </w:rPr>
        <w:t>22 juillet </w:t>
      </w:r>
      <w:r w:rsidRPr="001E5043">
        <w:rPr>
          <w:b/>
          <w:sz w:val="24"/>
          <w:szCs w:val="24"/>
          <w:lang w:val="fr-FR"/>
        </w:rPr>
        <w:t>202</w:t>
      </w:r>
      <w:r w:rsidR="00A33E39" w:rsidRPr="001E5043">
        <w:rPr>
          <w:b/>
          <w:sz w:val="24"/>
          <w:szCs w:val="24"/>
          <w:lang w:val="fr-FR"/>
        </w:rPr>
        <w:t>2</w:t>
      </w:r>
    </w:p>
    <w:p w:rsidR="008B2CC1" w:rsidRPr="001E5043" w:rsidRDefault="008E0BF9" w:rsidP="003B5CD9">
      <w:pPr>
        <w:spacing w:after="360"/>
        <w:rPr>
          <w:caps/>
          <w:sz w:val="24"/>
          <w:lang w:val="fr-FR"/>
        </w:rPr>
      </w:pPr>
      <w:bookmarkStart w:id="4" w:name="TitleOfDoc"/>
      <w:r w:rsidRPr="001E5043">
        <w:rPr>
          <w:caps/>
          <w:sz w:val="24"/>
          <w:lang w:val="fr-FR"/>
        </w:rPr>
        <w:t>Centre d</w:t>
      </w:r>
      <w:r w:rsidR="00CE55B0" w:rsidRPr="001E5043">
        <w:rPr>
          <w:caps/>
          <w:sz w:val="24"/>
          <w:lang w:val="fr-FR"/>
        </w:rPr>
        <w:t>’</w:t>
      </w:r>
      <w:r w:rsidRPr="001E5043">
        <w:rPr>
          <w:caps/>
          <w:sz w:val="24"/>
          <w:lang w:val="fr-FR"/>
        </w:rPr>
        <w:t>arbitrage et de médiation de l</w:t>
      </w:r>
      <w:r w:rsidR="00CE55B0" w:rsidRPr="001E5043">
        <w:rPr>
          <w:caps/>
          <w:sz w:val="24"/>
          <w:lang w:val="fr-FR"/>
        </w:rPr>
        <w:t>’</w:t>
      </w:r>
      <w:r w:rsidRPr="001E5043">
        <w:rPr>
          <w:caps/>
          <w:sz w:val="24"/>
          <w:lang w:val="fr-FR"/>
        </w:rPr>
        <w:t xml:space="preserve">OMPI, </w:t>
      </w:r>
      <w:r w:rsidR="00CE55B0" w:rsidRPr="001E5043">
        <w:rPr>
          <w:caps/>
          <w:sz w:val="24"/>
          <w:lang w:val="fr-FR"/>
        </w:rPr>
        <w:t>y compris</w:t>
      </w:r>
      <w:r w:rsidRPr="001E5043">
        <w:rPr>
          <w:caps/>
          <w:sz w:val="24"/>
          <w:lang w:val="fr-FR"/>
        </w:rPr>
        <w:t xml:space="preserve"> les noms de domaine</w:t>
      </w:r>
    </w:p>
    <w:p w:rsidR="008B2CC1" w:rsidRPr="001E5043" w:rsidRDefault="008E0BF9" w:rsidP="003B5CD9">
      <w:pPr>
        <w:spacing w:after="960"/>
        <w:rPr>
          <w:i/>
          <w:lang w:val="fr-FR"/>
        </w:rPr>
      </w:pPr>
      <w:bookmarkStart w:id="5" w:name="Prepared"/>
      <w:bookmarkEnd w:id="4"/>
      <w:r w:rsidRPr="001E5043">
        <w:rPr>
          <w:i/>
          <w:lang w:val="fr-FR"/>
        </w:rPr>
        <w:t>Document établi par le Secrétariat</w:t>
      </w:r>
    </w:p>
    <w:bookmarkEnd w:id="5"/>
    <w:p w:rsidR="008E0BF9" w:rsidRPr="001E5043" w:rsidRDefault="008E0BF9" w:rsidP="003B5CD9">
      <w:pPr>
        <w:pStyle w:val="ONUMFS"/>
        <w:rPr>
          <w:lang w:val="fr-FR"/>
        </w:rPr>
      </w:pPr>
      <w:r w:rsidRPr="001E5043">
        <w:rPr>
          <w:snapToGrid w:val="0"/>
          <w:lang w:val="fr-FR"/>
        </w:rPr>
        <w:t>Le Centre d</w:t>
      </w:r>
      <w:r w:rsidR="00CE55B0" w:rsidRPr="001E5043">
        <w:rPr>
          <w:snapToGrid w:val="0"/>
          <w:lang w:val="fr-FR"/>
        </w:rPr>
        <w:t>’</w:t>
      </w:r>
      <w:r w:rsidRPr="001E5043">
        <w:rPr>
          <w:snapToGrid w:val="0"/>
          <w:lang w:val="fr-FR"/>
        </w:rPr>
        <w:t>arbitrage et de médiation de l</w:t>
      </w:r>
      <w:r w:rsidR="00CE55B0" w:rsidRPr="001E5043">
        <w:rPr>
          <w:snapToGrid w:val="0"/>
          <w:lang w:val="fr-FR"/>
        </w:rPr>
        <w:t>’</w:t>
      </w:r>
      <w:r w:rsidRPr="001E5043">
        <w:rPr>
          <w:snapToGrid w:val="0"/>
          <w:lang w:val="fr-FR"/>
        </w:rPr>
        <w:t>OMPI (ci</w:t>
      </w:r>
      <w:r w:rsidR="00921588">
        <w:rPr>
          <w:snapToGrid w:val="0"/>
          <w:lang w:val="fr-FR"/>
        </w:rPr>
        <w:noBreakHyphen/>
      </w:r>
      <w:r w:rsidRPr="001E5043">
        <w:rPr>
          <w:snapToGrid w:val="0"/>
          <w:lang w:val="fr-FR"/>
        </w:rPr>
        <w:t>après dénommé “Centre”) fait partie du Secteur des écosystèmes de propriété intellectuelle et d</w:t>
      </w:r>
      <w:r w:rsidR="00CE55B0" w:rsidRPr="001E5043">
        <w:rPr>
          <w:snapToGrid w:val="0"/>
          <w:lang w:val="fr-FR"/>
        </w:rPr>
        <w:t>’</w:t>
      </w:r>
      <w:r w:rsidRPr="001E5043">
        <w:rPr>
          <w:snapToGrid w:val="0"/>
          <w:lang w:val="fr-FR"/>
        </w:rPr>
        <w:t>innovati</w:t>
      </w:r>
      <w:r w:rsidR="001E5043" w:rsidRPr="001E5043">
        <w:rPr>
          <w:snapToGrid w:val="0"/>
          <w:lang w:val="fr-FR"/>
        </w:rPr>
        <w:t>on.  En</w:t>
      </w:r>
      <w:r w:rsidRPr="001E5043">
        <w:rPr>
          <w:snapToGrid w:val="0"/>
          <w:lang w:val="fr-FR"/>
        </w:rPr>
        <w:t xml:space="preserve"> coordination avec d</w:t>
      </w:r>
      <w:r w:rsidR="00CE55B0" w:rsidRPr="001E5043">
        <w:rPr>
          <w:snapToGrid w:val="0"/>
          <w:lang w:val="fr-FR"/>
        </w:rPr>
        <w:t>’</w:t>
      </w:r>
      <w:r w:rsidRPr="001E5043">
        <w:rPr>
          <w:snapToGrid w:val="0"/>
          <w:lang w:val="fr-FR"/>
        </w:rPr>
        <w:t>autres secteurs de l</w:t>
      </w:r>
      <w:r w:rsidR="00CE55B0" w:rsidRPr="001E5043">
        <w:rPr>
          <w:snapToGrid w:val="0"/>
          <w:lang w:val="fr-FR"/>
        </w:rPr>
        <w:t>’</w:t>
      </w:r>
      <w:r w:rsidRPr="001E5043">
        <w:rPr>
          <w:snapToGrid w:val="0"/>
          <w:lang w:val="fr-FR"/>
        </w:rPr>
        <w:t>OMPI, le Secteur des écosystèmes de propriété intellectuelle et d</w:t>
      </w:r>
      <w:r w:rsidR="00CE55B0" w:rsidRPr="001E5043">
        <w:rPr>
          <w:snapToGrid w:val="0"/>
          <w:lang w:val="fr-FR"/>
        </w:rPr>
        <w:t>’</w:t>
      </w:r>
      <w:r w:rsidRPr="001E5043">
        <w:rPr>
          <w:snapToGrid w:val="0"/>
          <w:lang w:val="fr-FR"/>
        </w:rPr>
        <w:t>innovation est chargé d</w:t>
      </w:r>
      <w:r w:rsidR="00CE55B0" w:rsidRPr="001E5043">
        <w:rPr>
          <w:snapToGrid w:val="0"/>
          <w:lang w:val="fr-FR"/>
        </w:rPr>
        <w:t>’</w:t>
      </w:r>
      <w:r w:rsidRPr="001E5043">
        <w:rPr>
          <w:snapToGrid w:val="0"/>
          <w:lang w:val="fr-FR"/>
        </w:rPr>
        <w:t>aider les États membres à élaborer leurs écosystèmes de propriété intellectuelle et d</w:t>
      </w:r>
      <w:r w:rsidR="00CE55B0" w:rsidRPr="001E5043">
        <w:rPr>
          <w:snapToGrid w:val="0"/>
          <w:lang w:val="fr-FR"/>
        </w:rPr>
        <w:t>’</w:t>
      </w:r>
      <w:r w:rsidRPr="001E5043">
        <w:rPr>
          <w:snapToGrid w:val="0"/>
          <w:lang w:val="fr-FR"/>
        </w:rPr>
        <w:t>innovation afin de stimuler la croissance des entreprises et la croissance économiq</w:t>
      </w:r>
      <w:r w:rsidR="001E5043" w:rsidRPr="001E5043">
        <w:rPr>
          <w:snapToGrid w:val="0"/>
          <w:lang w:val="fr-FR"/>
        </w:rPr>
        <w:t>ue.  En</w:t>
      </w:r>
      <w:r w:rsidRPr="001E5043">
        <w:rPr>
          <w:snapToGrid w:val="0"/>
          <w:lang w:val="fr-FR"/>
        </w:rPr>
        <w:t>tre autres activités, il apporte un appui aux entreprises aux fins de la commercialisation de la propriété intellectuelle et de son utilisation au service du développement des entreprises.</w:t>
      </w:r>
    </w:p>
    <w:p w:rsidR="008E0BF9" w:rsidRPr="001E5043" w:rsidRDefault="008E0BF9" w:rsidP="003B5CD9">
      <w:pPr>
        <w:pStyle w:val="ONUMFS"/>
        <w:rPr>
          <w:snapToGrid w:val="0"/>
          <w:lang w:val="fr-FR"/>
        </w:rPr>
      </w:pPr>
      <w:r w:rsidRPr="001E5043">
        <w:rPr>
          <w:snapToGrid w:val="0"/>
          <w:lang w:val="fr-FR"/>
        </w:rPr>
        <w:t>Dans ce cadre, le présent document fait le point sur les activités du Centre en tant que prestataire international de services extrajudiciaires rapides et économiques de règlement des litiges de propriété intellectuelle, proposant à la fois des services d</w:t>
      </w:r>
      <w:r w:rsidR="00CE55B0" w:rsidRPr="001E5043">
        <w:rPr>
          <w:snapToGrid w:val="0"/>
          <w:lang w:val="fr-FR"/>
        </w:rPr>
        <w:t>’</w:t>
      </w:r>
      <w:r w:rsidRPr="001E5043">
        <w:rPr>
          <w:snapToGrid w:val="0"/>
          <w:lang w:val="fr-FR"/>
        </w:rPr>
        <w:t>administration de litiges et des services d</w:t>
      </w:r>
      <w:r w:rsidR="00CE55B0" w:rsidRPr="001E5043">
        <w:rPr>
          <w:snapToGrid w:val="0"/>
          <w:lang w:val="fr-FR"/>
        </w:rPr>
        <w:t>’</w:t>
      </w:r>
      <w:r w:rsidRPr="001E5043">
        <w:rPr>
          <w:snapToGrid w:val="0"/>
          <w:lang w:val="fr-FR"/>
        </w:rPr>
        <w:t>expertise juridique et d</w:t>
      </w:r>
      <w:r w:rsidR="00CE55B0" w:rsidRPr="001E5043">
        <w:rPr>
          <w:snapToGrid w:val="0"/>
          <w:lang w:val="fr-FR"/>
        </w:rPr>
        <w:t>’</w:t>
      </w:r>
      <w:r w:rsidRPr="001E5043">
        <w:rPr>
          <w:snapToGrid w:val="0"/>
          <w:lang w:val="fr-FR"/>
        </w:rPr>
        <w:t>organisation en matière de modes extrajudiciaires de règlement des litiges.</w:t>
      </w:r>
    </w:p>
    <w:p w:rsidR="008E0BF9" w:rsidRPr="00921588" w:rsidRDefault="008E0BF9" w:rsidP="003B5CD9">
      <w:pPr>
        <w:pStyle w:val="ONUMFS"/>
        <w:rPr>
          <w:bCs/>
          <w:iCs/>
          <w:caps/>
          <w:szCs w:val="28"/>
          <w:lang w:val="fr-FR"/>
        </w:rPr>
      </w:pPr>
      <w:r w:rsidRPr="001E5043">
        <w:rPr>
          <w:rStyle w:val="ONUMEChar"/>
          <w:szCs w:val="22"/>
          <w:lang w:val="fr-FR"/>
        </w:rPr>
        <w:t>Il contient également des informations actualisées sur les activités de l</w:t>
      </w:r>
      <w:r w:rsidR="00CE55B0" w:rsidRPr="001E5043">
        <w:rPr>
          <w:rStyle w:val="ONUMEChar"/>
          <w:szCs w:val="22"/>
          <w:lang w:val="fr-FR"/>
        </w:rPr>
        <w:t>’</w:t>
      </w:r>
      <w:r w:rsidRPr="001E5043">
        <w:rPr>
          <w:rStyle w:val="ONUMEChar"/>
          <w:szCs w:val="22"/>
          <w:lang w:val="fr-FR"/>
        </w:rPr>
        <w:t>OMPI relatives aux noms de domaine dont il a précédemment été rendu compte dans le document WO/GA/5</w:t>
      </w:r>
      <w:r w:rsidR="00A33E39" w:rsidRPr="001E5043">
        <w:rPr>
          <w:rStyle w:val="ONUMEChar"/>
          <w:szCs w:val="22"/>
          <w:lang w:val="fr-FR"/>
        </w:rPr>
        <w:t>4</w:t>
      </w:r>
      <w:r w:rsidRPr="001E5043">
        <w:rPr>
          <w:rStyle w:val="ONUMEChar"/>
          <w:szCs w:val="22"/>
          <w:lang w:val="fr-FR"/>
        </w:rPr>
        <w:t>/</w:t>
      </w:r>
      <w:r w:rsidR="00A33E39" w:rsidRPr="001E5043">
        <w:rPr>
          <w:rStyle w:val="ONUMEChar"/>
          <w:szCs w:val="22"/>
          <w:lang w:val="fr-FR"/>
        </w:rPr>
        <w:t>13</w:t>
      </w:r>
      <w:r w:rsidRPr="001E5043">
        <w:rPr>
          <w:rStyle w:val="FootnoteReference"/>
          <w:szCs w:val="22"/>
          <w:lang w:val="fr-FR"/>
        </w:rPr>
        <w:footnoteReference w:id="2"/>
      </w:r>
      <w:r w:rsidRPr="001E5043">
        <w:rPr>
          <w:rStyle w:val="ONUMEChar"/>
          <w:szCs w:val="22"/>
          <w:lang w:val="fr-FR"/>
        </w:rPr>
        <w:t>.  Il traite des litiges relatifs aux noms de domaine administrés par le Centre en vertu des différents principes directeurs et des aspects connexes du système des noms de domaine de l</w:t>
      </w:r>
      <w:r w:rsidR="00CE55B0" w:rsidRPr="001E5043">
        <w:rPr>
          <w:rStyle w:val="ONUMEChar"/>
          <w:szCs w:val="22"/>
          <w:lang w:val="fr-FR"/>
        </w:rPr>
        <w:t>’</w:t>
      </w:r>
      <w:r w:rsidRPr="001E5043">
        <w:rPr>
          <w:rStyle w:val="ONUMEChar"/>
          <w:szCs w:val="22"/>
          <w:lang w:val="fr-FR"/>
        </w:rPr>
        <w:t xml:space="preserve">Internet (DNS), ainsi que de certains faits de politique générale, en particulier les mécanismes </w:t>
      </w:r>
      <w:r w:rsidRPr="001E5043">
        <w:rPr>
          <w:rStyle w:val="ONUMEChar"/>
          <w:szCs w:val="22"/>
          <w:lang w:val="fr-FR"/>
        </w:rPr>
        <w:lastRenderedPageBreak/>
        <w:t>de protection des droits pour l</w:t>
      </w:r>
      <w:r w:rsidR="00CE55B0" w:rsidRPr="001E5043">
        <w:rPr>
          <w:rStyle w:val="ONUMEChar"/>
          <w:szCs w:val="22"/>
          <w:lang w:val="fr-FR"/>
        </w:rPr>
        <w:t>’</w:t>
      </w:r>
      <w:r w:rsidRPr="001E5043">
        <w:rPr>
          <w:rStyle w:val="ONUMEChar"/>
          <w:szCs w:val="22"/>
          <w:lang w:val="fr-FR"/>
        </w:rPr>
        <w:t>introduction de nouveaux domaines génériques de premier niveau (</w:t>
      </w:r>
      <w:proofErr w:type="spellStart"/>
      <w:r w:rsidRPr="001E5043">
        <w:rPr>
          <w:rStyle w:val="ONUMEChar"/>
          <w:szCs w:val="22"/>
          <w:lang w:val="fr-FR"/>
        </w:rPr>
        <w:t>gTLD</w:t>
      </w:r>
      <w:proofErr w:type="spellEnd"/>
      <w:r w:rsidRPr="001E5043">
        <w:rPr>
          <w:rStyle w:val="ONUMEChar"/>
          <w:szCs w:val="22"/>
          <w:lang w:val="fr-FR"/>
        </w:rPr>
        <w:t>), l</w:t>
      </w:r>
      <w:r w:rsidR="00CE55B0" w:rsidRPr="001E5043">
        <w:rPr>
          <w:rStyle w:val="ONUMEChar"/>
          <w:szCs w:val="22"/>
          <w:lang w:val="fr-FR"/>
        </w:rPr>
        <w:t>’</w:t>
      </w:r>
      <w:r w:rsidRPr="001E5043">
        <w:rPr>
          <w:rStyle w:val="ONUMEChar"/>
          <w:szCs w:val="22"/>
          <w:lang w:val="fr-FR"/>
        </w:rPr>
        <w:t xml:space="preserve">émergence des noms de domaine internationalisés dans les </w:t>
      </w:r>
      <w:proofErr w:type="spellStart"/>
      <w:r w:rsidRPr="001E5043">
        <w:rPr>
          <w:rStyle w:val="ONUMEChar"/>
          <w:szCs w:val="22"/>
          <w:lang w:val="fr-FR"/>
        </w:rPr>
        <w:t>gTLD</w:t>
      </w:r>
      <w:proofErr w:type="spellEnd"/>
      <w:r w:rsidRPr="001E5043">
        <w:rPr>
          <w:rStyle w:val="ONUMEChar"/>
          <w:szCs w:val="22"/>
          <w:lang w:val="fr-FR"/>
        </w:rPr>
        <w:t>, la révision des Principes directeurs concernant le règlement uniforme des litiges relatifs aux noms de domaine (principes UDRP) que l</w:t>
      </w:r>
      <w:r w:rsidR="00CE55B0" w:rsidRPr="001E5043">
        <w:rPr>
          <w:rStyle w:val="ONUMEChar"/>
          <w:szCs w:val="22"/>
          <w:lang w:val="fr-FR"/>
        </w:rPr>
        <w:t>’</w:t>
      </w:r>
      <w:r w:rsidRPr="001E5043">
        <w:rPr>
          <w:rStyle w:val="ONUMEChar"/>
          <w:szCs w:val="22"/>
          <w:lang w:val="fr-FR"/>
        </w:rPr>
        <w:t xml:space="preserve">Internet Corporation for </w:t>
      </w:r>
      <w:proofErr w:type="spellStart"/>
      <w:r w:rsidRPr="001E5043">
        <w:rPr>
          <w:rStyle w:val="ONUMEChar"/>
          <w:szCs w:val="22"/>
          <w:lang w:val="fr-FR"/>
        </w:rPr>
        <w:t>Assigned</w:t>
      </w:r>
      <w:proofErr w:type="spellEnd"/>
      <w:r w:rsidRPr="001E5043">
        <w:rPr>
          <w:rStyle w:val="ONUMEChar"/>
          <w:szCs w:val="22"/>
          <w:lang w:val="fr-FR"/>
        </w:rPr>
        <w:t xml:space="preserve"> </w:t>
      </w:r>
      <w:proofErr w:type="spellStart"/>
      <w:r w:rsidRPr="001E5043">
        <w:rPr>
          <w:rStyle w:val="ONUMEChar"/>
          <w:szCs w:val="22"/>
          <w:lang w:val="fr-FR"/>
        </w:rPr>
        <w:t>Names</w:t>
      </w:r>
      <w:proofErr w:type="spellEnd"/>
      <w:r w:rsidRPr="001E5043">
        <w:rPr>
          <w:rStyle w:val="ONUMEChar"/>
          <w:szCs w:val="22"/>
          <w:lang w:val="fr-FR"/>
        </w:rPr>
        <w:t xml:space="preserve"> and </w:t>
      </w:r>
      <w:proofErr w:type="spellStart"/>
      <w:r w:rsidRPr="001E5043">
        <w:rPr>
          <w:rStyle w:val="ONUMEChar"/>
          <w:szCs w:val="22"/>
          <w:lang w:val="fr-FR"/>
        </w:rPr>
        <w:t>Numbers</w:t>
      </w:r>
      <w:proofErr w:type="spellEnd"/>
      <w:r w:rsidRPr="001E5043">
        <w:rPr>
          <w:rStyle w:val="ONUMEChar"/>
          <w:szCs w:val="22"/>
          <w:lang w:val="fr-FR"/>
        </w:rPr>
        <w:t xml:space="preserve"> (ICANN) prévoit de mener et d</w:t>
      </w:r>
      <w:r w:rsidR="00CE55B0" w:rsidRPr="001E5043">
        <w:rPr>
          <w:rStyle w:val="ONUMEChar"/>
          <w:szCs w:val="22"/>
          <w:lang w:val="fr-FR"/>
        </w:rPr>
        <w:t>’</w:t>
      </w:r>
      <w:r w:rsidRPr="001E5043">
        <w:rPr>
          <w:rStyle w:val="ONUMEChar"/>
          <w:szCs w:val="22"/>
          <w:lang w:val="fr-FR"/>
        </w:rPr>
        <w:t>autres mécanismes de protection des droits, et la suite donnée aux recommandations faites par les États membres de l</w:t>
      </w:r>
      <w:r w:rsidR="00CE55B0" w:rsidRPr="001E5043">
        <w:rPr>
          <w:rStyle w:val="ONUMEChar"/>
          <w:szCs w:val="22"/>
          <w:lang w:val="fr-FR"/>
        </w:rPr>
        <w:t>’</w:t>
      </w:r>
      <w:r w:rsidRPr="001E5043">
        <w:rPr>
          <w:rStyle w:val="ONUMEChar"/>
          <w:szCs w:val="22"/>
          <w:lang w:val="fr-FR"/>
        </w:rPr>
        <w:t>OMPI dans le contexte du deuxième processus de consultations de l</w:t>
      </w:r>
      <w:r w:rsidR="00CE55B0" w:rsidRPr="001E5043">
        <w:rPr>
          <w:rStyle w:val="ONUMEChar"/>
          <w:szCs w:val="22"/>
          <w:lang w:val="fr-FR"/>
        </w:rPr>
        <w:t>’</w:t>
      </w:r>
      <w:r w:rsidRPr="001E5043">
        <w:rPr>
          <w:rStyle w:val="ONUMEChar"/>
          <w:szCs w:val="22"/>
          <w:lang w:val="fr-FR"/>
        </w:rPr>
        <w:t>OMPI sur les noms de domaine de l</w:t>
      </w:r>
      <w:r w:rsidR="00CE55B0" w:rsidRPr="001E5043">
        <w:rPr>
          <w:rStyle w:val="ONUMEChar"/>
          <w:szCs w:val="22"/>
          <w:lang w:val="fr-FR"/>
        </w:rPr>
        <w:t>’</w:t>
      </w:r>
      <w:r w:rsidRPr="001E5043">
        <w:rPr>
          <w:rStyle w:val="ONUMEChar"/>
          <w:szCs w:val="22"/>
          <w:lang w:val="fr-FR"/>
        </w:rPr>
        <w:t>Internet.</w:t>
      </w:r>
    </w:p>
    <w:p w:rsidR="008E0BF9" w:rsidRPr="001E5043" w:rsidRDefault="003B5CD9" w:rsidP="003B5CD9">
      <w:pPr>
        <w:pStyle w:val="Heading2"/>
        <w:rPr>
          <w:lang w:val="fr-FR"/>
        </w:rPr>
      </w:pPr>
      <w:r w:rsidRPr="001E5043">
        <w:rPr>
          <w:lang w:val="fr-FR"/>
        </w:rPr>
        <w:t>Arbitrage et médiation des litiges de propriété intellectuelle</w:t>
      </w:r>
    </w:p>
    <w:p w:rsidR="008E0BF9" w:rsidRPr="001E5043" w:rsidRDefault="003B5CD9" w:rsidP="003B5CD9">
      <w:pPr>
        <w:pStyle w:val="Heading3"/>
      </w:pPr>
      <w:r w:rsidRPr="001E5043">
        <w:t>Administration des procédures</w:t>
      </w:r>
    </w:p>
    <w:p w:rsidR="008E0BF9" w:rsidRPr="001E5043" w:rsidRDefault="008E0BF9" w:rsidP="006827D7">
      <w:pPr>
        <w:pStyle w:val="ONUMFS"/>
        <w:rPr>
          <w:lang w:val="fr-FR"/>
        </w:rPr>
      </w:pPr>
      <w:r w:rsidRPr="001E5043">
        <w:rPr>
          <w:lang w:val="fr-FR"/>
        </w:rPr>
        <w:t>Les procédures d</w:t>
      </w:r>
      <w:r w:rsidR="00CE55B0" w:rsidRPr="001E5043">
        <w:rPr>
          <w:lang w:val="fr-FR"/>
        </w:rPr>
        <w:t>’</w:t>
      </w:r>
      <w:r w:rsidRPr="001E5043">
        <w:rPr>
          <w:lang w:val="fr-FR"/>
        </w:rPr>
        <w:t xml:space="preserve">arbitrage et de médiation proposées par le Centre visent à répondre aux besoins des parties en matière de rapidité et de rentabilité dans le règlement des litiges relatifs à </w:t>
      </w:r>
      <w:r w:rsidR="00A33E39" w:rsidRPr="001E5043">
        <w:rPr>
          <w:lang w:val="fr-FR"/>
        </w:rPr>
        <w:t>la propriété intellectuelle et à la technolog</w:t>
      </w:r>
      <w:r w:rsidR="001E5043" w:rsidRPr="001E5043">
        <w:rPr>
          <w:lang w:val="fr-FR"/>
        </w:rPr>
        <w:t>ie.  Le</w:t>
      </w:r>
      <w:r w:rsidRPr="001E5043">
        <w:rPr>
          <w:lang w:val="fr-FR"/>
        </w:rPr>
        <w:t xml:space="preserve"> Centre est chargé de l</w:t>
      </w:r>
      <w:r w:rsidR="00CE55B0" w:rsidRPr="001E5043">
        <w:rPr>
          <w:lang w:val="fr-FR"/>
        </w:rPr>
        <w:t>’</w:t>
      </w:r>
      <w:r w:rsidRPr="001E5043">
        <w:rPr>
          <w:lang w:val="fr-FR"/>
        </w:rPr>
        <w:t xml:space="preserve">administration des litiges dans le cadre de ces procédures, ce qui passe par </w:t>
      </w:r>
      <w:r w:rsidR="006827D7" w:rsidRPr="001E5043">
        <w:rPr>
          <w:lang w:val="fr-FR"/>
        </w:rPr>
        <w:t>des conseils en matière de procédure</w:t>
      </w:r>
      <w:r w:rsidR="006827D7" w:rsidRPr="001E5043">
        <w:rPr>
          <w:rStyle w:val="FootnoteReference"/>
          <w:lang w:val="fr-FR"/>
        </w:rPr>
        <w:footnoteReference w:id="3"/>
      </w:r>
      <w:r w:rsidR="006827D7" w:rsidRPr="001E5043">
        <w:rPr>
          <w:lang w:val="fr-FR"/>
        </w:rPr>
        <w:t xml:space="preserve">, </w:t>
      </w:r>
      <w:r w:rsidRPr="001E5043">
        <w:rPr>
          <w:lang w:val="fr-FR"/>
        </w:rPr>
        <w:t>la formation</w:t>
      </w:r>
      <w:r w:rsidRPr="001E5043">
        <w:rPr>
          <w:rStyle w:val="FootnoteReference"/>
          <w:lang w:val="fr-FR"/>
        </w:rPr>
        <w:footnoteReference w:id="4"/>
      </w:r>
      <w:r w:rsidRPr="001E5043">
        <w:rPr>
          <w:lang w:val="fr-FR"/>
        </w:rPr>
        <w:t>, la désignation de médiateurs et d</w:t>
      </w:r>
      <w:r w:rsidR="00CE55B0" w:rsidRPr="001E5043">
        <w:rPr>
          <w:lang w:val="fr-FR"/>
        </w:rPr>
        <w:t>’</w:t>
      </w:r>
      <w:r w:rsidRPr="001E5043">
        <w:rPr>
          <w:lang w:val="fr-FR"/>
        </w:rPr>
        <w:t>arbitres qualifiés et le maintien d</w:t>
      </w:r>
      <w:r w:rsidR="00CE55B0" w:rsidRPr="001E5043">
        <w:rPr>
          <w:lang w:val="fr-FR"/>
        </w:rPr>
        <w:t>’</w:t>
      </w:r>
      <w:r w:rsidRPr="001E5043">
        <w:rPr>
          <w:lang w:val="fr-FR"/>
        </w:rPr>
        <w:t>une infrastructure moderne de règlement des litig</w:t>
      </w:r>
      <w:r w:rsidR="001E5043" w:rsidRPr="001E5043">
        <w:rPr>
          <w:lang w:val="fr-FR"/>
        </w:rPr>
        <w:t>es.  Le</w:t>
      </w:r>
      <w:r w:rsidRPr="001E5043">
        <w:rPr>
          <w:lang w:val="fr-FR"/>
        </w:rPr>
        <w:t>s litiges sont soumis au Centre sur la base de clauses compromissoires</w:t>
      </w:r>
      <w:r w:rsidR="00531B83" w:rsidRPr="001E5043">
        <w:rPr>
          <w:lang w:val="fr-FR"/>
        </w:rPr>
        <w:t xml:space="preserve"> ou</w:t>
      </w:r>
      <w:r w:rsidRPr="001E5043">
        <w:rPr>
          <w:lang w:val="fr-FR"/>
        </w:rPr>
        <w:t xml:space="preserve">, </w:t>
      </w:r>
      <w:r w:rsidR="00531B83" w:rsidRPr="001E5043">
        <w:rPr>
          <w:lang w:val="fr-FR"/>
        </w:rPr>
        <w:t>de plus en plus,</w:t>
      </w:r>
      <w:r w:rsidRPr="001E5043">
        <w:rPr>
          <w:lang w:val="fr-FR"/>
        </w:rPr>
        <w:t xml:space="preserve"> de conventions ad hoc </w:t>
      </w:r>
      <w:proofErr w:type="spellStart"/>
      <w:r w:rsidRPr="001E5043">
        <w:rPr>
          <w:lang w:val="fr-FR"/>
        </w:rPr>
        <w:t>postlitige</w:t>
      </w:r>
      <w:proofErr w:type="spellEnd"/>
      <w:r w:rsidRPr="001E5043">
        <w:rPr>
          <w:lang w:val="fr-FR"/>
        </w:rPr>
        <w:t xml:space="preserve"> (</w:t>
      </w:r>
      <w:r w:rsidR="00CE55B0" w:rsidRPr="001E5043">
        <w:rPr>
          <w:lang w:val="fr-FR"/>
        </w:rPr>
        <w:t>y compris</w:t>
      </w:r>
      <w:r w:rsidRPr="001E5043">
        <w:rPr>
          <w:lang w:val="fr-FR"/>
        </w:rPr>
        <w:t xml:space="preserve"> le renvoi par les tribunaux), ou de demandes unilatérales en vertu de l</w:t>
      </w:r>
      <w:r w:rsidR="00CE55B0" w:rsidRPr="001E5043">
        <w:rPr>
          <w:lang w:val="fr-FR"/>
        </w:rPr>
        <w:t>’</w:t>
      </w:r>
      <w:r w:rsidRPr="001E5043">
        <w:rPr>
          <w:lang w:val="fr-FR"/>
        </w:rPr>
        <w:t>article 4 du Règlement de médiation de l</w:t>
      </w:r>
      <w:r w:rsidR="00CE55B0" w:rsidRPr="001E5043">
        <w:rPr>
          <w:lang w:val="fr-FR"/>
        </w:rPr>
        <w:t>’</w:t>
      </w:r>
      <w:r w:rsidRPr="001E5043">
        <w:rPr>
          <w:lang w:val="fr-FR"/>
        </w:rPr>
        <w:t>OMPI</w:t>
      </w:r>
      <w:r w:rsidRPr="001E5043">
        <w:rPr>
          <w:rStyle w:val="FootnoteReference"/>
          <w:lang w:val="fr-FR"/>
        </w:rPr>
        <w:footnoteReference w:id="5"/>
      </w:r>
      <w:r w:rsidRPr="001E5043">
        <w:rPr>
          <w:lang w:val="fr-FR"/>
        </w:rPr>
        <w:t>.</w:t>
      </w:r>
    </w:p>
    <w:p w:rsidR="008E0BF9" w:rsidRPr="001E5043" w:rsidRDefault="008E0BF9" w:rsidP="007E5C9C">
      <w:pPr>
        <w:pStyle w:val="ONUMFS"/>
        <w:rPr>
          <w:shd w:val="clear" w:color="auto" w:fill="FFFFFF" w:themeFill="background1"/>
          <w:lang w:val="fr-FR"/>
        </w:rPr>
      </w:pPr>
      <w:r w:rsidRPr="001E5043">
        <w:rPr>
          <w:lang w:val="fr-FR"/>
        </w:rPr>
        <w:t xml:space="preserve">Au cours de la période considérée, </w:t>
      </w:r>
      <w:r w:rsidR="00531B83" w:rsidRPr="001E5043">
        <w:rPr>
          <w:lang w:val="fr-FR"/>
        </w:rPr>
        <w:t>plusieurs</w:t>
      </w:r>
      <w:r w:rsidRPr="001E5043">
        <w:rPr>
          <w:lang w:val="fr-FR"/>
        </w:rPr>
        <w:t xml:space="preserve"> grandes entreprises (</w:t>
      </w:r>
      <w:r w:rsidR="00CE55B0" w:rsidRPr="001E5043">
        <w:rPr>
          <w:lang w:val="fr-FR"/>
        </w:rPr>
        <w:t>y compris</w:t>
      </w:r>
      <w:r w:rsidRPr="001E5043">
        <w:rPr>
          <w:lang w:val="fr-FR"/>
        </w:rPr>
        <w:t xml:space="preserve"> </w:t>
      </w:r>
      <w:r w:rsidR="00531B83" w:rsidRPr="001E5043">
        <w:rPr>
          <w:lang w:val="fr-FR"/>
        </w:rPr>
        <w:t xml:space="preserve">sur </w:t>
      </w:r>
      <w:r w:rsidRPr="001E5043">
        <w:rPr>
          <w:lang w:val="fr-FR"/>
        </w:rPr>
        <w:t>des plateformes des secteurs de la biotechnologique et de l</w:t>
      </w:r>
      <w:r w:rsidR="00CE55B0" w:rsidRPr="001E5043">
        <w:rPr>
          <w:lang w:val="fr-FR"/>
        </w:rPr>
        <w:t>’</w:t>
      </w:r>
      <w:r w:rsidRPr="001E5043">
        <w:rPr>
          <w:lang w:val="fr-FR"/>
        </w:rPr>
        <w:t>industrie pharmaceutique et des plateformes en ligne), petites et moyennes entreprises (PME)</w:t>
      </w:r>
      <w:r w:rsidRPr="001E5043">
        <w:rPr>
          <w:rStyle w:val="FootnoteReference"/>
          <w:lang w:val="fr-FR"/>
        </w:rPr>
        <w:footnoteReference w:id="6"/>
      </w:r>
      <w:r w:rsidRPr="001E5043">
        <w:rPr>
          <w:lang w:val="fr-FR"/>
        </w:rPr>
        <w:t xml:space="preserve">, universités et instituts de recherche, </w:t>
      </w:r>
      <w:r w:rsidR="00531B83" w:rsidRPr="001E5043">
        <w:rPr>
          <w:lang w:val="fr-FR"/>
        </w:rPr>
        <w:t xml:space="preserve">organisations de gestion collective, </w:t>
      </w:r>
      <w:r w:rsidRPr="001E5043">
        <w:rPr>
          <w:lang w:val="fr-FR"/>
        </w:rPr>
        <w:t xml:space="preserve">ainsi que des particuliers, provenant de </w:t>
      </w:r>
      <w:r w:rsidR="00531B83" w:rsidRPr="001E5043">
        <w:rPr>
          <w:lang w:val="fr-FR"/>
        </w:rPr>
        <w:t>39 </w:t>
      </w:r>
      <w:r w:rsidRPr="001E5043">
        <w:rPr>
          <w:lang w:val="fr-FR"/>
        </w:rPr>
        <w:t xml:space="preserve">pays, ont eu recours aux procédures </w:t>
      </w:r>
      <w:r w:rsidR="00531B83" w:rsidRPr="001E5043">
        <w:rPr>
          <w:lang w:val="fr-FR"/>
        </w:rPr>
        <w:t>de médiation et d</w:t>
      </w:r>
      <w:r w:rsidR="00CE55B0" w:rsidRPr="001E5043">
        <w:rPr>
          <w:lang w:val="fr-FR"/>
        </w:rPr>
        <w:t>’</w:t>
      </w:r>
      <w:r w:rsidR="00531B83" w:rsidRPr="001E5043">
        <w:rPr>
          <w:lang w:val="fr-FR"/>
        </w:rPr>
        <w:t xml:space="preserve">arbitrage </w:t>
      </w:r>
      <w:r w:rsidRPr="001E5043">
        <w:rPr>
          <w:lang w:val="fr-FR"/>
        </w:rPr>
        <w:t>proposées par le Cent</w:t>
      </w:r>
      <w:r w:rsidR="001E5043" w:rsidRPr="001E5043">
        <w:rPr>
          <w:lang w:val="fr-FR"/>
        </w:rPr>
        <w:t>re.  Le</w:t>
      </w:r>
      <w:r w:rsidRPr="001E5043">
        <w:rPr>
          <w:lang w:val="fr-FR"/>
        </w:rPr>
        <w:t xml:space="preserve"> Centre a observé une augmentation de </w:t>
      </w:r>
      <w:r w:rsidR="00531B83" w:rsidRPr="001E5043">
        <w:rPr>
          <w:lang w:val="fr-FR"/>
        </w:rPr>
        <w:t>4</w:t>
      </w:r>
      <w:r w:rsidRPr="001E5043">
        <w:rPr>
          <w:lang w:val="fr-FR"/>
        </w:rPr>
        <w:t>4% du nombre de procédures de médiation et d</w:t>
      </w:r>
      <w:r w:rsidR="00CE55B0" w:rsidRPr="001E5043">
        <w:rPr>
          <w:lang w:val="fr-FR"/>
        </w:rPr>
        <w:t>’</w:t>
      </w:r>
      <w:r w:rsidRPr="001E5043">
        <w:rPr>
          <w:lang w:val="fr-FR"/>
        </w:rPr>
        <w:t>arbitrage en 202</w:t>
      </w:r>
      <w:r w:rsidR="00531B83" w:rsidRPr="001E5043">
        <w:rPr>
          <w:lang w:val="fr-FR"/>
        </w:rPr>
        <w:t>1</w:t>
      </w:r>
      <w:r w:rsidRPr="001E5043">
        <w:rPr>
          <w:lang w:val="fr-FR"/>
        </w:rPr>
        <w:t xml:space="preserve">, et une nouvelle augmentation au premier </w:t>
      </w:r>
      <w:r w:rsidR="00531B83" w:rsidRPr="001E5043">
        <w:rPr>
          <w:lang w:val="fr-FR"/>
        </w:rPr>
        <w:t>tri</w:t>
      </w:r>
      <w:r w:rsidRPr="001E5043">
        <w:rPr>
          <w:lang w:val="fr-FR"/>
        </w:rPr>
        <w:t>mestre de 202</w:t>
      </w:r>
      <w:r w:rsidR="00531B83" w:rsidRPr="001E5043">
        <w:rPr>
          <w:lang w:val="fr-FR"/>
        </w:rPr>
        <w:t>2</w:t>
      </w:r>
      <w:r w:rsidRPr="001E5043">
        <w:rPr>
          <w:lang w:val="fr-FR"/>
        </w:rPr>
        <w:t xml:space="preserve">.  </w:t>
      </w:r>
      <w:r w:rsidRPr="001E5043">
        <w:rPr>
          <w:shd w:val="clear" w:color="auto" w:fill="FFFFFF" w:themeFill="background1"/>
          <w:lang w:val="fr-FR"/>
        </w:rPr>
        <w:t>Les litiges administrés dans le cadre des règlements de médiation, d</w:t>
      </w:r>
      <w:r w:rsidR="00CE55B0" w:rsidRPr="001E5043">
        <w:rPr>
          <w:shd w:val="clear" w:color="auto" w:fill="FFFFFF" w:themeFill="background1"/>
          <w:lang w:val="fr-FR"/>
        </w:rPr>
        <w:t>’</w:t>
      </w:r>
      <w:r w:rsidRPr="001E5043">
        <w:rPr>
          <w:shd w:val="clear" w:color="auto" w:fill="FFFFFF" w:themeFill="background1"/>
          <w:lang w:val="fr-FR"/>
        </w:rPr>
        <w:t>arbitrage et d</w:t>
      </w:r>
      <w:r w:rsidR="00CE55B0" w:rsidRPr="001E5043">
        <w:rPr>
          <w:shd w:val="clear" w:color="auto" w:fill="FFFFFF" w:themeFill="background1"/>
          <w:lang w:val="fr-FR"/>
        </w:rPr>
        <w:t>’</w:t>
      </w:r>
      <w:r w:rsidRPr="001E5043">
        <w:rPr>
          <w:shd w:val="clear" w:color="auto" w:fill="FFFFFF" w:themeFill="background1"/>
          <w:lang w:val="fr-FR"/>
        </w:rPr>
        <w:t>arbitrage accéléré de l</w:t>
      </w:r>
      <w:r w:rsidR="00CE55B0" w:rsidRPr="001E5043">
        <w:rPr>
          <w:shd w:val="clear" w:color="auto" w:fill="FFFFFF" w:themeFill="background1"/>
          <w:lang w:val="fr-FR"/>
        </w:rPr>
        <w:t>’</w:t>
      </w:r>
      <w:r w:rsidRPr="001E5043">
        <w:rPr>
          <w:shd w:val="clear" w:color="auto" w:fill="FFFFFF" w:themeFill="background1"/>
          <w:lang w:val="fr-FR"/>
        </w:rPr>
        <w:t>OMPI (ci</w:t>
      </w:r>
      <w:r w:rsidR="00921588">
        <w:rPr>
          <w:shd w:val="clear" w:color="auto" w:fill="FFFFFF" w:themeFill="background1"/>
          <w:lang w:val="fr-FR"/>
        </w:rPr>
        <w:noBreakHyphen/>
      </w:r>
      <w:r w:rsidRPr="001E5043">
        <w:rPr>
          <w:shd w:val="clear" w:color="auto" w:fill="FFFFFF" w:themeFill="background1"/>
          <w:lang w:val="fr-FR"/>
        </w:rPr>
        <w:t>après dénommés “règlements de l</w:t>
      </w:r>
      <w:r w:rsidR="00CE55B0" w:rsidRPr="001E5043">
        <w:rPr>
          <w:shd w:val="clear" w:color="auto" w:fill="FFFFFF" w:themeFill="background1"/>
          <w:lang w:val="fr-FR"/>
        </w:rPr>
        <w:t>’</w:t>
      </w:r>
      <w:r w:rsidRPr="001E5043">
        <w:rPr>
          <w:shd w:val="clear" w:color="auto" w:fill="FFFFFF" w:themeFill="background1"/>
          <w:lang w:val="fr-FR"/>
        </w:rPr>
        <w:t>OMPI”) ont notamment porté sur des contrats de recherche</w:t>
      </w:r>
      <w:r w:rsidR="00921588">
        <w:rPr>
          <w:shd w:val="clear" w:color="auto" w:fill="FFFFFF" w:themeFill="background1"/>
          <w:lang w:val="fr-FR"/>
        </w:rPr>
        <w:noBreakHyphen/>
      </w:r>
      <w:r w:rsidRPr="001E5043">
        <w:rPr>
          <w:shd w:val="clear" w:color="auto" w:fill="FFFFFF" w:themeFill="background1"/>
          <w:lang w:val="fr-FR"/>
        </w:rPr>
        <w:t>développement, notamment des accords de consortium, des licences de brevet, de marque et de droit d</w:t>
      </w:r>
      <w:r w:rsidR="00CE55B0" w:rsidRPr="001E5043">
        <w:rPr>
          <w:shd w:val="clear" w:color="auto" w:fill="FFFFFF" w:themeFill="background1"/>
          <w:lang w:val="fr-FR"/>
        </w:rPr>
        <w:t>’</w:t>
      </w:r>
      <w:r w:rsidRPr="001E5043">
        <w:rPr>
          <w:shd w:val="clear" w:color="auto" w:fill="FFFFFF" w:themeFill="background1"/>
          <w:lang w:val="fr-FR"/>
        </w:rPr>
        <w:t>auteur, la gestion collective du droit d</w:t>
      </w:r>
      <w:r w:rsidR="00CE55B0" w:rsidRPr="001E5043">
        <w:rPr>
          <w:shd w:val="clear" w:color="auto" w:fill="FFFFFF" w:themeFill="background1"/>
          <w:lang w:val="fr-FR"/>
        </w:rPr>
        <w:t>’</w:t>
      </w:r>
      <w:r w:rsidRPr="001E5043">
        <w:rPr>
          <w:shd w:val="clear" w:color="auto" w:fill="FFFFFF" w:themeFill="background1"/>
          <w:lang w:val="fr-FR"/>
        </w:rPr>
        <w:t>auteur, la conception de logiciels et les licences de logiciels</w:t>
      </w:r>
      <w:r w:rsidR="00531B83" w:rsidRPr="001E5043">
        <w:rPr>
          <w:shd w:val="clear" w:color="auto" w:fill="FFFFFF" w:themeFill="background1"/>
          <w:lang w:val="fr-FR"/>
        </w:rPr>
        <w:t xml:space="preserve"> et des accords entre actionnaires</w:t>
      </w:r>
      <w:r w:rsidR="00531B83" w:rsidRPr="001E5043">
        <w:rPr>
          <w:shd w:val="clear" w:color="auto" w:fill="FFFFFF" w:themeFill="background1"/>
          <w:vertAlign w:val="superscript"/>
          <w:lang w:val="fr-FR"/>
        </w:rPr>
        <w:footnoteReference w:id="7"/>
      </w:r>
      <w:r w:rsidR="00531B83" w:rsidRPr="001E5043">
        <w:rPr>
          <w:shd w:val="clear" w:color="auto" w:fill="FFFFFF" w:themeFill="background1"/>
          <w:lang w:val="fr-FR"/>
        </w:rPr>
        <w:t xml:space="preserve">.  </w:t>
      </w:r>
      <w:r w:rsidR="00CE55B0" w:rsidRPr="001E5043">
        <w:rPr>
          <w:shd w:val="clear" w:color="auto" w:fill="FFFFFF" w:themeFill="background1"/>
          <w:lang w:val="fr-FR"/>
        </w:rPr>
        <w:t>E</w:t>
      </w:r>
      <w:r w:rsidR="00CE55B0" w:rsidRPr="001E5043">
        <w:rPr>
          <w:lang w:val="fr-FR"/>
        </w:rPr>
        <w:t>n</w:t>
      </w:r>
      <w:r w:rsidR="00CE55B0" w:rsidRPr="001E5043">
        <w:rPr>
          <w:shd w:val="clear" w:color="auto" w:fill="FFFFFF" w:themeFill="background1"/>
          <w:lang w:val="fr-FR"/>
        </w:rPr>
        <w:t> </w:t>
      </w:r>
      <w:r w:rsidR="00CE55B0" w:rsidRPr="001E5043">
        <w:rPr>
          <w:lang w:val="fr-FR"/>
        </w:rPr>
        <w:t>2021</w:t>
      </w:r>
      <w:r w:rsidR="00531B83" w:rsidRPr="001E5043">
        <w:rPr>
          <w:lang w:val="fr-FR"/>
        </w:rPr>
        <w:t xml:space="preserve">, </w:t>
      </w:r>
      <w:r w:rsidR="007E5C9C" w:rsidRPr="001E5043">
        <w:rPr>
          <w:lang w:val="fr-FR"/>
        </w:rPr>
        <w:t>le taux de règlement dans les procédures de médiation administrées par l</w:t>
      </w:r>
      <w:r w:rsidR="00CE55B0" w:rsidRPr="001E5043">
        <w:rPr>
          <w:lang w:val="fr-FR"/>
        </w:rPr>
        <w:t>’</w:t>
      </w:r>
      <w:r w:rsidR="007E5C9C" w:rsidRPr="001E5043">
        <w:rPr>
          <w:lang w:val="fr-FR"/>
        </w:rPr>
        <w:t>OMPI s</w:t>
      </w:r>
      <w:r w:rsidR="00CE55B0" w:rsidRPr="001E5043">
        <w:rPr>
          <w:lang w:val="fr-FR"/>
        </w:rPr>
        <w:t>’</w:t>
      </w:r>
      <w:r w:rsidR="007E5C9C" w:rsidRPr="001E5043">
        <w:rPr>
          <w:lang w:val="fr-FR"/>
        </w:rPr>
        <w:t>élevait à 75%</w:t>
      </w:r>
      <w:r w:rsidR="00531B83" w:rsidRPr="001E5043">
        <w:rPr>
          <w:lang w:val="fr-FR"/>
        </w:rPr>
        <w:t xml:space="preserve">, </w:t>
      </w:r>
      <w:r w:rsidR="007E5C9C" w:rsidRPr="001E5043">
        <w:rPr>
          <w:lang w:val="fr-FR"/>
        </w:rPr>
        <w:t>contre 70%</w:t>
      </w:r>
      <w:r w:rsidR="00531B83" w:rsidRPr="001E5043">
        <w:rPr>
          <w:lang w:val="fr-FR"/>
        </w:rPr>
        <w:t xml:space="preserve"> </w:t>
      </w:r>
      <w:r w:rsidR="007E5C9C" w:rsidRPr="001E5043">
        <w:rPr>
          <w:lang w:val="fr-FR"/>
        </w:rPr>
        <w:t>pour l</w:t>
      </w:r>
      <w:r w:rsidR="00CE55B0" w:rsidRPr="001E5043">
        <w:rPr>
          <w:lang w:val="fr-FR"/>
        </w:rPr>
        <w:t>’</w:t>
      </w:r>
      <w:r w:rsidR="007E5C9C" w:rsidRPr="001E5043">
        <w:rPr>
          <w:lang w:val="fr-FR"/>
        </w:rPr>
        <w:t>ensemble des années</w:t>
      </w:r>
      <w:r w:rsidR="00531B83" w:rsidRPr="001E5043">
        <w:rPr>
          <w:lang w:val="fr-FR"/>
        </w:rPr>
        <w:t>.</w:t>
      </w:r>
    </w:p>
    <w:p w:rsidR="00CE55B0" w:rsidRPr="001E5043" w:rsidRDefault="008E0BF9" w:rsidP="003B5CD9">
      <w:pPr>
        <w:pStyle w:val="ONUMFS"/>
        <w:rPr>
          <w:lang w:val="fr-FR"/>
        </w:rPr>
      </w:pPr>
      <w:r w:rsidRPr="001E5043">
        <w:rPr>
          <w:lang w:val="fr-FR"/>
        </w:rPr>
        <w:lastRenderedPageBreak/>
        <w:t xml:space="preserve">Le Centre a continué de prendre des initiatives pour faciliter </w:t>
      </w:r>
      <w:r w:rsidR="00F77804" w:rsidRPr="001E5043">
        <w:rPr>
          <w:lang w:val="fr-FR"/>
        </w:rPr>
        <w:t>l</w:t>
      </w:r>
      <w:r w:rsidR="00CE55B0" w:rsidRPr="001E5043">
        <w:rPr>
          <w:lang w:val="fr-FR"/>
        </w:rPr>
        <w:t>’</w:t>
      </w:r>
      <w:r w:rsidR="00F77804" w:rsidRPr="001E5043">
        <w:rPr>
          <w:lang w:val="fr-FR"/>
        </w:rPr>
        <w:t>application des</w:t>
      </w:r>
      <w:r w:rsidRPr="001E5043">
        <w:rPr>
          <w:lang w:val="fr-FR"/>
        </w:rPr>
        <w:t xml:space="preserve"> procédures </w:t>
      </w:r>
      <w:r w:rsidRPr="001E5043">
        <w:rPr>
          <w:bCs/>
          <w:lang w:val="fr-FR"/>
        </w:rPr>
        <w:t>extrajudiciaires de règlement des litiges</w:t>
      </w:r>
      <w:r w:rsidRPr="001E5043">
        <w:rPr>
          <w:lang w:val="fr-FR"/>
        </w:rPr>
        <w:t xml:space="preserve"> de l</w:t>
      </w:r>
      <w:r w:rsidR="00CE55B0" w:rsidRPr="001E5043">
        <w:rPr>
          <w:lang w:val="fr-FR"/>
        </w:rPr>
        <w:t>’</w:t>
      </w:r>
      <w:r w:rsidRPr="001E5043">
        <w:rPr>
          <w:lang w:val="fr-FR"/>
        </w:rPr>
        <w:t>O</w:t>
      </w:r>
      <w:r w:rsidR="001E5043" w:rsidRPr="001E5043">
        <w:rPr>
          <w:lang w:val="fr-FR"/>
        </w:rPr>
        <w:t>MPI.  Il</w:t>
      </w:r>
      <w:r w:rsidRPr="001E5043">
        <w:rPr>
          <w:lang w:val="fr-FR"/>
        </w:rPr>
        <w:t xml:space="preserve"> a amélioré le système électronique d</w:t>
      </w:r>
      <w:r w:rsidR="00CE55B0" w:rsidRPr="001E5043">
        <w:rPr>
          <w:lang w:val="fr-FR"/>
        </w:rPr>
        <w:t>’</w:t>
      </w:r>
      <w:r w:rsidRPr="001E5043">
        <w:rPr>
          <w:lang w:val="fr-FR"/>
        </w:rPr>
        <w:t>administration des litiges de l</w:t>
      </w:r>
      <w:r w:rsidR="00CE55B0" w:rsidRPr="001E5043">
        <w:rPr>
          <w:lang w:val="fr-FR"/>
        </w:rPr>
        <w:t>’</w:t>
      </w:r>
      <w:r w:rsidRPr="001E5043">
        <w:rPr>
          <w:lang w:val="fr-FR"/>
        </w:rPr>
        <w:t xml:space="preserve">OMPI (WIPO </w:t>
      </w:r>
      <w:proofErr w:type="spellStart"/>
      <w:r w:rsidRPr="001E5043">
        <w:rPr>
          <w:lang w:val="fr-FR"/>
        </w:rPr>
        <w:t>eADR</w:t>
      </w:r>
      <w:proofErr w:type="spellEnd"/>
      <w:r w:rsidRPr="001E5043">
        <w:rPr>
          <w:lang w:val="fr-FR"/>
        </w:rPr>
        <w:t>)</w:t>
      </w:r>
      <w:r w:rsidRPr="001E5043">
        <w:rPr>
          <w:rStyle w:val="FootnoteReference"/>
          <w:lang w:val="fr-FR"/>
        </w:rPr>
        <w:footnoteReference w:id="8"/>
      </w:r>
      <w:r w:rsidRPr="001E5043">
        <w:rPr>
          <w:lang w:val="fr-FR"/>
        </w:rPr>
        <w:t>, auquel de nombreuses parties ont recours pour accroître l</w:t>
      </w:r>
      <w:r w:rsidR="00CE55B0" w:rsidRPr="001E5043">
        <w:rPr>
          <w:lang w:val="fr-FR"/>
        </w:rPr>
        <w:t>’</w:t>
      </w:r>
      <w:r w:rsidRPr="001E5043">
        <w:rPr>
          <w:lang w:val="fr-FR"/>
        </w:rPr>
        <w:t>efficacité de leurs procédures d</w:t>
      </w:r>
      <w:r w:rsidR="00CE55B0" w:rsidRPr="001E5043">
        <w:rPr>
          <w:lang w:val="fr-FR"/>
        </w:rPr>
        <w:t>’</w:t>
      </w:r>
      <w:r w:rsidRPr="001E5043">
        <w:rPr>
          <w:lang w:val="fr-FR"/>
        </w:rPr>
        <w:t>arbitra</w:t>
      </w:r>
      <w:r w:rsidR="001E5043" w:rsidRPr="001E5043">
        <w:rPr>
          <w:lang w:val="fr-FR"/>
        </w:rPr>
        <w:t>ge.  En</w:t>
      </w:r>
      <w:r w:rsidRPr="001E5043">
        <w:rPr>
          <w:lang w:val="fr-FR"/>
        </w:rPr>
        <w:t xml:space="preserve"> outre, </w:t>
      </w:r>
      <w:r w:rsidR="00F77804" w:rsidRPr="001E5043">
        <w:rPr>
          <w:lang w:val="fr-FR"/>
        </w:rPr>
        <w:t xml:space="preserve">compte tenu de la </w:t>
      </w:r>
      <w:r w:rsidR="002C51BF" w:rsidRPr="001E5043">
        <w:rPr>
          <w:lang w:val="fr-FR"/>
        </w:rPr>
        <w:t xml:space="preserve">récente crise </w:t>
      </w:r>
      <w:r w:rsidR="00F77804" w:rsidRPr="001E5043">
        <w:rPr>
          <w:lang w:val="fr-FR"/>
        </w:rPr>
        <w:t>sanitaire mondial</w:t>
      </w:r>
      <w:r w:rsidR="002C51BF" w:rsidRPr="001E5043">
        <w:rPr>
          <w:lang w:val="fr-FR"/>
        </w:rPr>
        <w:t>e</w:t>
      </w:r>
      <w:r w:rsidRPr="001E5043">
        <w:rPr>
          <w:lang w:val="fr-FR"/>
        </w:rPr>
        <w:t xml:space="preserve">, la </w:t>
      </w:r>
      <w:r w:rsidR="002C51BF" w:rsidRPr="001E5043">
        <w:rPr>
          <w:lang w:val="fr-FR"/>
        </w:rPr>
        <w:t>plupart</w:t>
      </w:r>
      <w:r w:rsidRPr="001E5043">
        <w:rPr>
          <w:lang w:val="fr-FR"/>
        </w:rPr>
        <w:t xml:space="preserve"> des réunions de médiation et des audiences d</w:t>
      </w:r>
      <w:r w:rsidR="00CE55B0" w:rsidRPr="001E5043">
        <w:rPr>
          <w:lang w:val="fr-FR"/>
        </w:rPr>
        <w:t>’</w:t>
      </w:r>
      <w:r w:rsidRPr="001E5043">
        <w:rPr>
          <w:lang w:val="fr-FR"/>
        </w:rPr>
        <w:t>arbitrage ont été menées à distance en utilisant les installations hébergées par l</w:t>
      </w:r>
      <w:r w:rsidR="00CE55B0" w:rsidRPr="001E5043">
        <w:rPr>
          <w:lang w:val="fr-FR"/>
        </w:rPr>
        <w:t>’</w:t>
      </w:r>
      <w:r w:rsidRPr="001E5043">
        <w:rPr>
          <w:lang w:val="fr-FR"/>
        </w:rPr>
        <w:t>OMPI</w:t>
      </w:r>
      <w:r w:rsidR="00ED7759" w:rsidRPr="001E5043">
        <w:rPr>
          <w:rStyle w:val="FootnoteReference"/>
          <w:lang w:val="fr-FR"/>
        </w:rPr>
        <w:footnoteReference w:id="9"/>
      </w:r>
      <w:r w:rsidRPr="001E5043">
        <w:rPr>
          <w:lang w:val="fr-FR"/>
        </w:rPr>
        <w:t>.</w:t>
      </w:r>
    </w:p>
    <w:p w:rsidR="00CE55B0" w:rsidRPr="00921588" w:rsidRDefault="008E0BF9" w:rsidP="00ED7759">
      <w:pPr>
        <w:pStyle w:val="ONUMFS"/>
        <w:rPr>
          <w:spacing w:val="-2"/>
          <w:lang w:val="fr-FR"/>
        </w:rPr>
      </w:pPr>
      <w:r w:rsidRPr="00921588">
        <w:rPr>
          <w:spacing w:val="-2"/>
          <w:lang w:val="fr-FR"/>
        </w:rPr>
        <w:t>Le Centre fournit aussi des services sur mesure de règlement extrajudiciaire des litiges dans des secteurs particuliers</w:t>
      </w:r>
      <w:r w:rsidRPr="00921588">
        <w:rPr>
          <w:rStyle w:val="FootnoteReference"/>
          <w:spacing w:val="-2"/>
          <w:szCs w:val="22"/>
          <w:lang w:val="fr-FR"/>
        </w:rPr>
        <w:footnoteReference w:id="10"/>
      </w:r>
      <w:r w:rsidRPr="00921588">
        <w:rPr>
          <w:spacing w:val="-2"/>
          <w:lang w:val="fr-FR"/>
        </w:rPr>
        <w:t>.  L</w:t>
      </w:r>
      <w:r w:rsidR="00CE55B0" w:rsidRPr="00921588">
        <w:rPr>
          <w:spacing w:val="-2"/>
          <w:lang w:val="fr-FR"/>
        </w:rPr>
        <w:t>’</w:t>
      </w:r>
      <w:r w:rsidRPr="00921588">
        <w:rPr>
          <w:spacing w:val="-2"/>
          <w:lang w:val="fr-FR"/>
        </w:rPr>
        <w:t>un des services proposés concerne les litiges portant sur la concession de licences à des conditions équitables, raisonnables et non discriminatoires (conditions FRAND) pour les brevets essentiels à des normes</w:t>
      </w:r>
      <w:r w:rsidRPr="00921588">
        <w:rPr>
          <w:rStyle w:val="FootnoteReference"/>
          <w:spacing w:val="-2"/>
          <w:szCs w:val="22"/>
          <w:lang w:val="fr-FR"/>
        </w:rPr>
        <w:footnoteReference w:id="11"/>
      </w:r>
      <w:r w:rsidRPr="00921588">
        <w:rPr>
          <w:spacing w:val="-2"/>
          <w:lang w:val="fr-FR"/>
        </w:rPr>
        <w:t>.  Compte tenu de l</w:t>
      </w:r>
      <w:r w:rsidR="00CE55B0" w:rsidRPr="00921588">
        <w:rPr>
          <w:spacing w:val="-2"/>
          <w:lang w:val="fr-FR"/>
        </w:rPr>
        <w:t>’</w:t>
      </w:r>
      <w:r w:rsidRPr="00921588">
        <w:rPr>
          <w:spacing w:val="-2"/>
          <w:lang w:val="fr-FR"/>
        </w:rPr>
        <w:t xml:space="preserve">augmentation du nombre de litiges </w:t>
      </w:r>
      <w:r w:rsidR="002C51BF" w:rsidRPr="00921588">
        <w:rPr>
          <w:spacing w:val="-2"/>
          <w:lang w:val="fr-FR"/>
        </w:rPr>
        <w:t xml:space="preserve">impliquant la concession de licences </w:t>
      </w:r>
      <w:r w:rsidRPr="00921588">
        <w:rPr>
          <w:spacing w:val="-2"/>
          <w:lang w:val="fr-FR"/>
        </w:rPr>
        <w:t xml:space="preserve">FRAND, notamment de litiges en instance devant les tribunaux, le Centre a </w:t>
      </w:r>
      <w:r w:rsidR="002C51BF" w:rsidRPr="00921588">
        <w:rPr>
          <w:spacing w:val="-2"/>
          <w:lang w:val="fr-FR"/>
        </w:rPr>
        <w:t>mis à disposition</w:t>
      </w:r>
      <w:r w:rsidRPr="00921588">
        <w:rPr>
          <w:spacing w:val="-2"/>
          <w:lang w:val="fr-FR"/>
        </w:rPr>
        <w:t xml:space="preserve"> les Orientations en matière de règlement extrajudiciaire des litiges impliquant la concession de licences dans des conditions équitables, raisonnables et non discriminatoire</w:t>
      </w:r>
      <w:r w:rsidR="002C51BF" w:rsidRPr="00921588">
        <w:rPr>
          <w:spacing w:val="-2"/>
          <w:lang w:val="fr-FR"/>
        </w:rPr>
        <w:t xml:space="preserve">s </w:t>
      </w:r>
      <w:r w:rsidR="00ED7759" w:rsidRPr="00921588">
        <w:rPr>
          <w:spacing w:val="-2"/>
          <w:lang w:val="fr-FR"/>
        </w:rPr>
        <w:t xml:space="preserve">et a récemment publié un résumé </w:t>
      </w:r>
      <w:proofErr w:type="spellStart"/>
      <w:r w:rsidR="00ED7759" w:rsidRPr="00921588">
        <w:rPr>
          <w:spacing w:val="-2"/>
          <w:lang w:val="fr-FR"/>
        </w:rPr>
        <w:t>anonymisé</w:t>
      </w:r>
      <w:proofErr w:type="spellEnd"/>
      <w:r w:rsidR="00ED7759" w:rsidRPr="00921588">
        <w:rPr>
          <w:spacing w:val="-2"/>
          <w:lang w:val="fr-FR"/>
        </w:rPr>
        <w:t xml:space="preserve"> d</w:t>
      </w:r>
      <w:r w:rsidR="00CE55B0" w:rsidRPr="00921588">
        <w:rPr>
          <w:spacing w:val="-2"/>
          <w:lang w:val="fr-FR"/>
        </w:rPr>
        <w:t>’</w:t>
      </w:r>
      <w:r w:rsidR="00ED7759" w:rsidRPr="00921588">
        <w:rPr>
          <w:spacing w:val="-2"/>
          <w:lang w:val="fr-FR"/>
        </w:rPr>
        <w:t>exemples de litiges impliquant la concession de licences FRAND soumis à l</w:t>
      </w:r>
      <w:r w:rsidR="00CE55B0" w:rsidRPr="00921588">
        <w:rPr>
          <w:spacing w:val="-2"/>
          <w:lang w:val="fr-FR"/>
        </w:rPr>
        <w:t>’</w:t>
      </w:r>
      <w:r w:rsidR="00ED7759" w:rsidRPr="00921588">
        <w:rPr>
          <w:spacing w:val="-2"/>
          <w:lang w:val="fr-FR"/>
        </w:rPr>
        <w:t>OMPI</w:t>
      </w:r>
      <w:r w:rsidR="002C51BF" w:rsidRPr="00921588">
        <w:rPr>
          <w:spacing w:val="-2"/>
          <w:vertAlign w:val="superscript"/>
          <w:lang w:val="fr-FR"/>
        </w:rPr>
        <w:footnoteReference w:id="12"/>
      </w:r>
      <w:r w:rsidRPr="00921588">
        <w:rPr>
          <w:spacing w:val="-2"/>
          <w:lang w:val="fr-FR"/>
        </w:rPr>
        <w:t>.</w:t>
      </w:r>
    </w:p>
    <w:p w:rsidR="008E0BF9" w:rsidRPr="001E5043" w:rsidRDefault="00B762CE" w:rsidP="003B5CD9">
      <w:pPr>
        <w:pStyle w:val="ONUMFS"/>
        <w:rPr>
          <w:lang w:val="fr-FR"/>
        </w:rPr>
      </w:pPr>
      <w:r w:rsidRPr="001E5043">
        <w:rPr>
          <w:lang w:val="fr-FR"/>
        </w:rPr>
        <w:t>Quinze pour cent des procédures de médiation ou d</w:t>
      </w:r>
      <w:r w:rsidR="00CE55B0" w:rsidRPr="001E5043">
        <w:rPr>
          <w:lang w:val="fr-FR"/>
        </w:rPr>
        <w:t>’</w:t>
      </w:r>
      <w:r w:rsidRPr="001E5043">
        <w:rPr>
          <w:lang w:val="fr-FR"/>
        </w:rPr>
        <w:t>arbitrage introduites auprès du Centre concernent le secteur des sciences de la v</w:t>
      </w:r>
      <w:r w:rsidR="001E5043" w:rsidRPr="001E5043">
        <w:rPr>
          <w:lang w:val="fr-FR"/>
        </w:rPr>
        <w:t>ie.  Au</w:t>
      </w:r>
      <w:r w:rsidRPr="001E5043">
        <w:rPr>
          <w:lang w:val="fr-FR"/>
        </w:rPr>
        <w:t xml:space="preserve"> cours de la période considérée, dans le cadre des services et mesures d</w:t>
      </w:r>
      <w:r w:rsidR="00CE55B0" w:rsidRPr="001E5043">
        <w:rPr>
          <w:lang w:val="fr-FR"/>
        </w:rPr>
        <w:t>’</w:t>
      </w:r>
      <w:r w:rsidRPr="001E5043">
        <w:rPr>
          <w:lang w:val="fr-FR"/>
        </w:rPr>
        <w:t>appui de l</w:t>
      </w:r>
      <w:r w:rsidR="00CE55B0" w:rsidRPr="001E5043">
        <w:rPr>
          <w:lang w:val="fr-FR"/>
        </w:rPr>
        <w:t>’</w:t>
      </w:r>
      <w:r w:rsidRPr="001E5043">
        <w:rPr>
          <w:lang w:val="fr-FR"/>
        </w:rPr>
        <w:t>OMPI en rapport avec la COVID</w:t>
      </w:r>
      <w:r w:rsidR="00921588">
        <w:rPr>
          <w:lang w:val="fr-FR"/>
        </w:rPr>
        <w:noBreakHyphen/>
      </w:r>
      <w:r w:rsidRPr="001E5043">
        <w:rPr>
          <w:lang w:val="fr-FR"/>
        </w:rPr>
        <w:t>19, le Centre a élaboré et lancé de nouvelles options de règlement extrajudiciaire des litiges afin de faciliter la négociation des contrats et la gestion des litiges dans le domaine des sciences de la vie</w:t>
      </w:r>
      <w:r w:rsidR="008E0BF9" w:rsidRPr="001E5043">
        <w:rPr>
          <w:rStyle w:val="FootnoteReference"/>
          <w:lang w:val="fr-FR"/>
        </w:rPr>
        <w:footnoteReference w:id="13"/>
      </w:r>
      <w:r w:rsidR="008E0BF9" w:rsidRPr="001E5043">
        <w:rPr>
          <w:lang w:val="fr-FR"/>
        </w:rPr>
        <w:t>.</w:t>
      </w:r>
    </w:p>
    <w:p w:rsidR="00CE55B0" w:rsidRPr="001E5043" w:rsidRDefault="00E37547" w:rsidP="00E37547">
      <w:pPr>
        <w:pStyle w:val="ONUMFS"/>
        <w:rPr>
          <w:lang w:val="fr-FR"/>
        </w:rPr>
      </w:pPr>
      <w:r w:rsidRPr="001E5043">
        <w:rPr>
          <w:lang w:val="fr-FR"/>
        </w:rPr>
        <w:t>Compte tenu de l</w:t>
      </w:r>
      <w:r w:rsidR="00CE55B0" w:rsidRPr="001E5043">
        <w:rPr>
          <w:lang w:val="fr-FR"/>
        </w:rPr>
        <w:t>’</w:t>
      </w:r>
      <w:r w:rsidRPr="001E5043">
        <w:rPr>
          <w:lang w:val="fr-FR"/>
        </w:rPr>
        <w:t>augmentation du nombre de litiges relatifs au droit d</w:t>
      </w:r>
      <w:r w:rsidR="00CE55B0" w:rsidRPr="001E5043">
        <w:rPr>
          <w:lang w:val="fr-FR"/>
        </w:rPr>
        <w:t>’</w:t>
      </w:r>
      <w:r w:rsidRPr="001E5043">
        <w:rPr>
          <w:lang w:val="fr-FR"/>
        </w:rPr>
        <w:t>auteur dans l</w:t>
      </w:r>
      <w:r w:rsidR="00CE55B0" w:rsidRPr="001E5043">
        <w:rPr>
          <w:lang w:val="fr-FR"/>
        </w:rPr>
        <w:t>’</w:t>
      </w:r>
      <w:r w:rsidRPr="001E5043">
        <w:rPr>
          <w:lang w:val="fr-FR"/>
        </w:rPr>
        <w:t>environnement numérique</w:t>
      </w:r>
      <w:r w:rsidR="00CB4611">
        <w:rPr>
          <w:lang w:val="fr-FR"/>
        </w:rPr>
        <w:t xml:space="preserve"> (24% des procédures de médiation ou d’arbitrage)</w:t>
      </w:r>
      <w:r w:rsidRPr="001E5043">
        <w:rPr>
          <w:lang w:val="fr-FR"/>
        </w:rPr>
        <w:t>, le Centre, en collaboration avec le Ministère de la culture, des sports et du tourisme de la République de Corée (MCST), a mené une enquête sur le recours aux mécanismes extrajudiciaires de règlement des litiges entre entreprises relatifs au droit d</w:t>
      </w:r>
      <w:r w:rsidR="00CE55B0" w:rsidRPr="001E5043">
        <w:rPr>
          <w:lang w:val="fr-FR"/>
        </w:rPr>
        <w:t>’</w:t>
      </w:r>
      <w:r w:rsidRPr="001E5043">
        <w:rPr>
          <w:lang w:val="fr-FR"/>
        </w:rPr>
        <w:t xml:space="preserve">auteur et au contenu numérique, à laquelle plus </w:t>
      </w:r>
      <w:r w:rsidR="00CE55B0" w:rsidRPr="001E5043">
        <w:rPr>
          <w:lang w:val="fr-FR"/>
        </w:rPr>
        <w:t>de 1000</w:t>
      </w:r>
      <w:r w:rsidRPr="001E5043">
        <w:rPr>
          <w:lang w:val="fr-FR"/>
        </w:rPr>
        <w:t> participants ont répon</w:t>
      </w:r>
      <w:r w:rsidR="001E5043" w:rsidRPr="001E5043">
        <w:rPr>
          <w:lang w:val="fr-FR"/>
        </w:rPr>
        <w:t xml:space="preserve">du.  </w:t>
      </w:r>
      <w:r w:rsidR="001E5043" w:rsidRPr="001E5043">
        <w:rPr>
          <w:szCs w:val="22"/>
          <w:lang w:val="fr-FR"/>
        </w:rPr>
        <w:t>Le</w:t>
      </w:r>
      <w:r w:rsidRPr="001E5043">
        <w:rPr>
          <w:szCs w:val="22"/>
          <w:lang w:val="fr-FR"/>
        </w:rPr>
        <w:t xml:space="preserve"> rapport sur les résultats de l</w:t>
      </w:r>
      <w:r w:rsidR="00CE55B0" w:rsidRPr="001E5043">
        <w:rPr>
          <w:szCs w:val="22"/>
          <w:lang w:val="fr-FR"/>
        </w:rPr>
        <w:t>’</w:t>
      </w:r>
      <w:r w:rsidRPr="001E5043">
        <w:rPr>
          <w:szCs w:val="22"/>
          <w:lang w:val="fr-FR"/>
        </w:rPr>
        <w:t xml:space="preserve">enquête publié par le Centre donne un aperçu des types de litiges rencontrés dans les différents secteurs au niveau international, </w:t>
      </w:r>
      <w:r w:rsidR="00CE55B0" w:rsidRPr="001E5043">
        <w:rPr>
          <w:szCs w:val="22"/>
          <w:lang w:val="fr-FR"/>
        </w:rPr>
        <w:t>y compris</w:t>
      </w:r>
      <w:r w:rsidRPr="001E5043">
        <w:rPr>
          <w:szCs w:val="22"/>
          <w:lang w:val="fr-FR"/>
        </w:rPr>
        <w:t xml:space="preserve"> en ce qui concerne le recours à la médiation et à l</w:t>
      </w:r>
      <w:r w:rsidR="00CE55B0" w:rsidRPr="001E5043">
        <w:rPr>
          <w:szCs w:val="22"/>
          <w:lang w:val="fr-FR"/>
        </w:rPr>
        <w:t>’</w:t>
      </w:r>
      <w:r w:rsidRPr="001E5043">
        <w:rPr>
          <w:szCs w:val="22"/>
          <w:lang w:val="fr-FR"/>
        </w:rPr>
        <w:t>arbitrage plutôt qu</w:t>
      </w:r>
      <w:r w:rsidR="00CE55B0" w:rsidRPr="001E5043">
        <w:rPr>
          <w:szCs w:val="22"/>
          <w:lang w:val="fr-FR"/>
        </w:rPr>
        <w:t>’</w:t>
      </w:r>
      <w:r w:rsidRPr="001E5043">
        <w:rPr>
          <w:szCs w:val="22"/>
          <w:lang w:val="fr-FR"/>
        </w:rPr>
        <w:t>aux procédures devant les tribunaux pour régler ces litiges</w:t>
      </w:r>
      <w:r w:rsidRPr="001E5043">
        <w:rPr>
          <w:vertAlign w:val="superscript"/>
          <w:lang w:val="fr-FR"/>
        </w:rPr>
        <w:footnoteReference w:id="14"/>
      </w:r>
      <w:r w:rsidRPr="001E5043">
        <w:rPr>
          <w:szCs w:val="22"/>
          <w:lang w:val="fr-FR"/>
        </w:rPr>
        <w:t xml:space="preserve">. </w:t>
      </w:r>
      <w:r w:rsidRPr="001E5043">
        <w:rPr>
          <w:lang w:val="fr-FR"/>
        </w:rPr>
        <w:t xml:space="preserve"> </w:t>
      </w:r>
      <w:r w:rsidR="005278C4" w:rsidRPr="001E5043">
        <w:rPr>
          <w:lang w:val="fr-FR"/>
        </w:rPr>
        <w:t>L</w:t>
      </w:r>
      <w:r w:rsidR="00CE55B0" w:rsidRPr="001E5043">
        <w:rPr>
          <w:lang w:val="fr-FR"/>
        </w:rPr>
        <w:t>’</w:t>
      </w:r>
      <w:r w:rsidR="005278C4" w:rsidRPr="001E5043">
        <w:rPr>
          <w:lang w:val="fr-FR"/>
        </w:rPr>
        <w:t xml:space="preserve">enquête et le rapport </w:t>
      </w:r>
      <w:r w:rsidR="005278C4" w:rsidRPr="001E5043">
        <w:rPr>
          <w:lang w:val="fr-FR"/>
        </w:rPr>
        <w:lastRenderedPageBreak/>
        <w:t>ont contribué à l</w:t>
      </w:r>
      <w:r w:rsidR="00CE55B0" w:rsidRPr="001E5043">
        <w:rPr>
          <w:lang w:val="fr-FR"/>
        </w:rPr>
        <w:t>’</w:t>
      </w:r>
      <w:r w:rsidR="005278C4" w:rsidRPr="001E5043">
        <w:rPr>
          <w:lang w:val="fr-FR"/>
        </w:rPr>
        <w:t>élaboration de pratiques recommandées de règlement extrajudiciaire des litiges relatifs au droit d</w:t>
      </w:r>
      <w:r w:rsidR="00CE55B0" w:rsidRPr="001E5043">
        <w:rPr>
          <w:lang w:val="fr-FR"/>
        </w:rPr>
        <w:t>’</w:t>
      </w:r>
      <w:r w:rsidR="005278C4" w:rsidRPr="001E5043">
        <w:rPr>
          <w:lang w:val="fr-FR"/>
        </w:rPr>
        <w:t>auteur et aux contenus numériques, en tenant compte de la législation pertinente et des pratiques contractuelles existantes</w:t>
      </w:r>
      <w:r w:rsidRPr="001E5043">
        <w:rPr>
          <w:vertAlign w:val="superscript"/>
          <w:lang w:val="fr-FR"/>
        </w:rPr>
        <w:footnoteReference w:id="15"/>
      </w:r>
      <w:r w:rsidR="005278C4" w:rsidRPr="001E5043">
        <w:rPr>
          <w:lang w:val="fr-FR"/>
        </w:rPr>
        <w:t>.</w:t>
      </w:r>
    </w:p>
    <w:p w:rsidR="008E0BF9" w:rsidRPr="001E5043" w:rsidRDefault="003B5CD9" w:rsidP="003B5CD9">
      <w:pPr>
        <w:pStyle w:val="Heading3"/>
      </w:pPr>
      <w:r w:rsidRPr="001E5043">
        <w:t>Collaboration avec les offices de propriété intellectuelle</w:t>
      </w:r>
    </w:p>
    <w:p w:rsidR="008E0BF9" w:rsidRPr="001E5043" w:rsidRDefault="008E0BF9" w:rsidP="00E229F2">
      <w:pPr>
        <w:pStyle w:val="ONUMFS"/>
        <w:rPr>
          <w:lang w:val="fr-FR"/>
        </w:rPr>
      </w:pPr>
      <w:r w:rsidRPr="001E5043">
        <w:rPr>
          <w:lang w:val="fr-FR"/>
        </w:rPr>
        <w:t>Un autre domaine d</w:t>
      </w:r>
      <w:r w:rsidR="00CE55B0" w:rsidRPr="001E5043">
        <w:rPr>
          <w:lang w:val="fr-FR"/>
        </w:rPr>
        <w:t>’</w:t>
      </w:r>
      <w:r w:rsidRPr="001E5043">
        <w:rPr>
          <w:lang w:val="fr-FR"/>
        </w:rPr>
        <w:t>activité essentiel du Centre est la collaboration avec des offices de propriété intellectuelle et bureaux du droit d</w:t>
      </w:r>
      <w:r w:rsidR="00CE55B0" w:rsidRPr="001E5043">
        <w:rPr>
          <w:lang w:val="fr-FR"/>
        </w:rPr>
        <w:t>’</w:t>
      </w:r>
      <w:r w:rsidRPr="001E5043">
        <w:rPr>
          <w:lang w:val="fr-FR"/>
        </w:rPr>
        <w:t>auteur et des tribunaux</w:t>
      </w:r>
      <w:r w:rsidR="005278C4" w:rsidRPr="001E5043">
        <w:rPr>
          <w:rStyle w:val="FootnoteReference"/>
          <w:lang w:val="fr-FR"/>
        </w:rPr>
        <w:footnoteReference w:id="16"/>
      </w:r>
      <w:r w:rsidRPr="001E5043">
        <w:rPr>
          <w:lang w:val="fr-FR"/>
        </w:rPr>
        <w:t>.  Depuis les assemblées de 202</w:t>
      </w:r>
      <w:r w:rsidR="00A110D8" w:rsidRPr="001E5043">
        <w:rPr>
          <w:lang w:val="fr-FR"/>
        </w:rPr>
        <w:t>1</w:t>
      </w:r>
      <w:r w:rsidRPr="001E5043">
        <w:rPr>
          <w:lang w:val="fr-FR"/>
        </w:rPr>
        <w:t xml:space="preserve">, le Centre a établi </w:t>
      </w:r>
      <w:r w:rsidR="00B31C67" w:rsidRPr="001E5043">
        <w:rPr>
          <w:lang w:val="fr-FR"/>
        </w:rPr>
        <w:t xml:space="preserve">de </w:t>
      </w:r>
      <w:r w:rsidRPr="001E5043">
        <w:rPr>
          <w:lang w:val="fr-FR"/>
        </w:rPr>
        <w:t xml:space="preserve">nouvelles collaborations avec </w:t>
      </w:r>
      <w:r w:rsidR="00B31C67" w:rsidRPr="001E5043">
        <w:rPr>
          <w:lang w:val="fr-FR"/>
        </w:rPr>
        <w:t>quatre administrations</w:t>
      </w:r>
      <w:r w:rsidRPr="001E5043">
        <w:rPr>
          <w:lang w:val="fr-FR"/>
        </w:rPr>
        <w:t xml:space="preserve"> chargées de la propriété intellectuelle dans </w:t>
      </w:r>
      <w:r w:rsidR="00A110D8" w:rsidRPr="001E5043">
        <w:rPr>
          <w:lang w:val="fr-FR"/>
        </w:rPr>
        <w:t xml:space="preserve">des </w:t>
      </w:r>
      <w:r w:rsidRPr="001E5043">
        <w:rPr>
          <w:lang w:val="fr-FR"/>
        </w:rPr>
        <w:t>États membres</w:t>
      </w:r>
      <w:r w:rsidRPr="001E5043">
        <w:rPr>
          <w:rStyle w:val="FootnoteReference"/>
          <w:lang w:val="fr-FR"/>
        </w:rPr>
        <w:footnoteReference w:id="17"/>
      </w:r>
      <w:r w:rsidRPr="001E5043">
        <w:rPr>
          <w:lang w:val="fr-FR"/>
        </w:rPr>
        <w:t>.  L</w:t>
      </w:r>
      <w:r w:rsidR="00CE55B0" w:rsidRPr="001E5043">
        <w:rPr>
          <w:lang w:val="fr-FR"/>
        </w:rPr>
        <w:t>’</w:t>
      </w:r>
      <w:r w:rsidRPr="001E5043">
        <w:rPr>
          <w:lang w:val="fr-FR"/>
        </w:rPr>
        <w:t>objectif de ces collaboration</w:t>
      </w:r>
      <w:r w:rsidR="00B31C67" w:rsidRPr="001E5043">
        <w:rPr>
          <w:lang w:val="fr-FR"/>
        </w:rPr>
        <w:t>s</w:t>
      </w:r>
      <w:r w:rsidRPr="001E5043">
        <w:rPr>
          <w:lang w:val="fr-FR"/>
        </w:rPr>
        <w:t xml:space="preserve"> est de promouvoir et d</w:t>
      </w:r>
      <w:r w:rsidR="00CE55B0" w:rsidRPr="001E5043">
        <w:rPr>
          <w:lang w:val="fr-FR"/>
        </w:rPr>
        <w:t>’</w:t>
      </w:r>
      <w:r w:rsidRPr="001E5043">
        <w:rPr>
          <w:lang w:val="fr-FR"/>
        </w:rPr>
        <w:t xml:space="preserve">aider à mettre en place des procédures extrajudiciaires </w:t>
      </w:r>
      <w:r w:rsidR="00E229F2" w:rsidRPr="001E5043">
        <w:rPr>
          <w:lang w:val="fr-FR"/>
        </w:rPr>
        <w:t xml:space="preserve">rapides et économiques </w:t>
      </w:r>
      <w:r w:rsidRPr="001E5043">
        <w:rPr>
          <w:lang w:val="fr-FR"/>
        </w:rPr>
        <w:t>de règlement des litiges de propriété intellectuelle et de technologie en dehors des tribunaux et autres organes juridictionne</w:t>
      </w:r>
      <w:r w:rsidR="001E5043" w:rsidRPr="001E5043">
        <w:rPr>
          <w:lang w:val="fr-FR"/>
        </w:rPr>
        <w:t>ls.  Du</w:t>
      </w:r>
      <w:r w:rsidRPr="001E5043">
        <w:rPr>
          <w:lang w:val="fr-FR"/>
        </w:rPr>
        <w:t>rant la période considérée, ces co</w:t>
      </w:r>
      <w:r w:rsidR="00E229F2" w:rsidRPr="001E5043">
        <w:rPr>
          <w:lang w:val="fr-FR"/>
        </w:rPr>
        <w:t xml:space="preserve">llaborations </w:t>
      </w:r>
      <w:r w:rsidRPr="001E5043">
        <w:rPr>
          <w:lang w:val="fr-FR"/>
        </w:rPr>
        <w:t>ont consisté en l</w:t>
      </w:r>
      <w:r w:rsidR="00CE55B0" w:rsidRPr="001E5043">
        <w:rPr>
          <w:lang w:val="fr-FR"/>
        </w:rPr>
        <w:t>’</w:t>
      </w:r>
      <w:r w:rsidRPr="001E5043">
        <w:rPr>
          <w:lang w:val="fr-FR"/>
        </w:rPr>
        <w:t>élaboration de supports d</w:t>
      </w:r>
      <w:r w:rsidR="00CE55B0" w:rsidRPr="001E5043">
        <w:rPr>
          <w:lang w:val="fr-FR"/>
        </w:rPr>
        <w:t>’</w:t>
      </w:r>
      <w:r w:rsidRPr="001E5043">
        <w:rPr>
          <w:lang w:val="fr-FR"/>
        </w:rPr>
        <w:t xml:space="preserve">information par pays pour les parties intéressées concernant ces procédures, </w:t>
      </w:r>
      <w:r w:rsidR="00CE55B0" w:rsidRPr="001E5043">
        <w:rPr>
          <w:lang w:val="fr-FR"/>
        </w:rPr>
        <w:t>y compris</w:t>
      </w:r>
      <w:r w:rsidRPr="001E5043">
        <w:rPr>
          <w:lang w:val="fr-FR"/>
        </w:rPr>
        <w:t xml:space="preserve"> l</w:t>
      </w:r>
      <w:r w:rsidR="00CE55B0" w:rsidRPr="001E5043">
        <w:rPr>
          <w:lang w:val="fr-FR"/>
        </w:rPr>
        <w:t>’</w:t>
      </w:r>
      <w:r w:rsidRPr="001E5043">
        <w:rPr>
          <w:lang w:val="fr-FR"/>
        </w:rPr>
        <w:t>administration des litiges en ligne</w:t>
      </w:r>
      <w:r w:rsidR="00E229F2" w:rsidRPr="001E5043">
        <w:rPr>
          <w:lang w:val="fr-FR"/>
        </w:rPr>
        <w:t xml:space="preserve"> et</w:t>
      </w:r>
      <w:r w:rsidRPr="001E5043">
        <w:rPr>
          <w:lang w:val="fr-FR"/>
        </w:rPr>
        <w:t xml:space="preserve"> des activités de formation et des manifestations conjointes </w:t>
      </w:r>
      <w:r w:rsidR="00E229F2" w:rsidRPr="001E5043">
        <w:rPr>
          <w:lang w:val="fr-FR"/>
        </w:rPr>
        <w:t>à l</w:t>
      </w:r>
      <w:r w:rsidR="00CE55B0" w:rsidRPr="001E5043">
        <w:rPr>
          <w:lang w:val="fr-FR"/>
        </w:rPr>
        <w:t>’</w:t>
      </w:r>
      <w:r w:rsidR="00E229F2" w:rsidRPr="001E5043">
        <w:rPr>
          <w:lang w:val="fr-FR"/>
        </w:rPr>
        <w:t>intention de</w:t>
      </w:r>
      <w:r w:rsidRPr="001E5043">
        <w:rPr>
          <w:lang w:val="fr-FR"/>
        </w:rPr>
        <w:t>s parties prenantes</w:t>
      </w:r>
      <w:r w:rsidR="00E229F2" w:rsidRPr="001E5043">
        <w:rPr>
          <w:rStyle w:val="FootnoteReference"/>
          <w:lang w:val="fr-FR"/>
        </w:rPr>
        <w:footnoteReference w:id="18"/>
      </w:r>
      <w:r w:rsidRPr="001E5043">
        <w:rPr>
          <w:lang w:val="fr-FR"/>
        </w:rPr>
        <w:t>.</w:t>
      </w:r>
    </w:p>
    <w:p w:rsidR="008E0BF9" w:rsidRPr="00797A13" w:rsidRDefault="008E0BF9" w:rsidP="003B5CD9">
      <w:pPr>
        <w:pStyle w:val="ONUMFS"/>
        <w:rPr>
          <w:spacing w:val="-2"/>
          <w:lang w:val="fr-FR"/>
        </w:rPr>
      </w:pPr>
      <w:r w:rsidRPr="00797A13">
        <w:rPr>
          <w:spacing w:val="-2"/>
          <w:lang w:val="fr-FR"/>
        </w:rPr>
        <w:t>Certains offices de propriété intellectuelle ont mis au point des procédures extrajudiciaires de règlement des litiges ou encouragent les parties à y recouri</w:t>
      </w:r>
      <w:r w:rsidR="00E229F2" w:rsidRPr="00797A13">
        <w:rPr>
          <w:spacing w:val="-2"/>
          <w:lang w:val="fr-FR"/>
        </w:rPr>
        <w:t>r</w:t>
      </w:r>
      <w:r w:rsidRPr="00797A13">
        <w:rPr>
          <w:spacing w:val="-2"/>
          <w:lang w:val="fr-FR"/>
        </w:rPr>
        <w:t xml:space="preserve"> dans le contexte des procédures en instance devant eux, notamment d</w:t>
      </w:r>
      <w:r w:rsidR="00CE55B0" w:rsidRPr="00797A13">
        <w:rPr>
          <w:spacing w:val="-2"/>
          <w:lang w:val="fr-FR"/>
        </w:rPr>
        <w:t>’</w:t>
      </w:r>
      <w:r w:rsidRPr="00797A13">
        <w:rPr>
          <w:spacing w:val="-2"/>
          <w:lang w:val="fr-FR"/>
        </w:rPr>
        <w:t>opposition à des marques ou à des breve</w:t>
      </w:r>
      <w:r w:rsidR="001E5043" w:rsidRPr="00797A13">
        <w:rPr>
          <w:spacing w:val="-2"/>
          <w:lang w:val="fr-FR"/>
        </w:rPr>
        <w:t>ts.  Le</w:t>
      </w:r>
      <w:r w:rsidRPr="00797A13">
        <w:rPr>
          <w:spacing w:val="-2"/>
          <w:lang w:val="fr-FR"/>
        </w:rPr>
        <w:t xml:space="preserve"> Centre a travaillé avec les offices pour élaborer des procédures de médiation à cet égard</w:t>
      </w:r>
      <w:r w:rsidR="00E229F2" w:rsidRPr="00797A13">
        <w:rPr>
          <w:spacing w:val="-2"/>
          <w:lang w:val="fr-FR"/>
        </w:rPr>
        <w:t xml:space="preserve"> et </w:t>
      </w:r>
      <w:r w:rsidRPr="00797A13">
        <w:rPr>
          <w:spacing w:val="-2"/>
          <w:lang w:val="fr-FR"/>
        </w:rPr>
        <w:t>a collaboré avec les offices de propriété intellectuelle aux fins de l</w:t>
      </w:r>
      <w:r w:rsidR="00CE55B0" w:rsidRPr="00797A13">
        <w:rPr>
          <w:spacing w:val="-2"/>
          <w:lang w:val="fr-FR"/>
        </w:rPr>
        <w:t>’</w:t>
      </w:r>
      <w:r w:rsidRPr="00797A13">
        <w:rPr>
          <w:spacing w:val="-2"/>
          <w:lang w:val="fr-FR"/>
        </w:rPr>
        <w:t xml:space="preserve">administration des litiges soumis par les parties en vertu de ces </w:t>
      </w:r>
      <w:r w:rsidR="00E229F2" w:rsidRPr="00797A13">
        <w:rPr>
          <w:spacing w:val="-2"/>
          <w:lang w:val="fr-FR"/>
        </w:rPr>
        <w:t>procédur</w:t>
      </w:r>
      <w:r w:rsidRPr="00797A13">
        <w:rPr>
          <w:spacing w:val="-2"/>
          <w:lang w:val="fr-FR"/>
        </w:rPr>
        <w:t>es</w:t>
      </w:r>
      <w:r w:rsidRPr="00797A13">
        <w:rPr>
          <w:rStyle w:val="FootnoteReference"/>
          <w:spacing w:val="-2"/>
          <w:szCs w:val="22"/>
          <w:lang w:val="fr-FR"/>
        </w:rPr>
        <w:footnoteReference w:id="19"/>
      </w:r>
      <w:r w:rsidRPr="00797A13">
        <w:rPr>
          <w:spacing w:val="-2"/>
          <w:lang w:val="fr-FR"/>
        </w:rPr>
        <w:t>.  Dans le domaine du droit d</w:t>
      </w:r>
      <w:r w:rsidR="00CE55B0" w:rsidRPr="00797A13">
        <w:rPr>
          <w:spacing w:val="-2"/>
          <w:lang w:val="fr-FR"/>
        </w:rPr>
        <w:t>’</w:t>
      </w:r>
      <w:r w:rsidRPr="00797A13">
        <w:rPr>
          <w:spacing w:val="-2"/>
          <w:lang w:val="fr-FR"/>
        </w:rPr>
        <w:t xml:space="preserve">auteur, certains offices </w:t>
      </w:r>
      <w:r w:rsidRPr="00797A13">
        <w:rPr>
          <w:spacing w:val="-2"/>
          <w:lang w:val="fr-FR"/>
        </w:rPr>
        <w:lastRenderedPageBreak/>
        <w:t xml:space="preserve">administrent les procédures extrajudiciaires de règlement des litiges et désignent le Centre comme institution </w:t>
      </w:r>
      <w:r w:rsidR="00CE6057" w:rsidRPr="00797A13">
        <w:rPr>
          <w:spacing w:val="-2"/>
          <w:lang w:val="fr-FR"/>
        </w:rPr>
        <w:t>chargée d</w:t>
      </w:r>
      <w:r w:rsidR="00CE55B0" w:rsidRPr="00797A13">
        <w:rPr>
          <w:spacing w:val="-2"/>
          <w:lang w:val="fr-FR"/>
        </w:rPr>
        <w:t>’</w:t>
      </w:r>
      <w:r w:rsidR="00CE6057" w:rsidRPr="00797A13">
        <w:rPr>
          <w:spacing w:val="-2"/>
          <w:lang w:val="fr-FR"/>
        </w:rPr>
        <w:t xml:space="preserve">administrer ou de </w:t>
      </w:r>
      <w:proofErr w:type="spellStart"/>
      <w:r w:rsidR="00CE6057" w:rsidRPr="00797A13">
        <w:rPr>
          <w:spacing w:val="-2"/>
          <w:lang w:val="fr-FR"/>
        </w:rPr>
        <w:t>coadministrer</w:t>
      </w:r>
      <w:proofErr w:type="spellEnd"/>
      <w:r w:rsidRPr="00797A13">
        <w:rPr>
          <w:spacing w:val="-2"/>
          <w:lang w:val="fr-FR"/>
        </w:rPr>
        <w:t xml:space="preserve"> des litiges</w:t>
      </w:r>
      <w:r w:rsidR="00CE6057" w:rsidRPr="00797A13">
        <w:rPr>
          <w:spacing w:val="-2"/>
          <w:lang w:val="fr-FR"/>
        </w:rPr>
        <w:t xml:space="preserve"> impliquant des organisations de gestion collective ou d</w:t>
      </w:r>
      <w:r w:rsidR="00CE55B0" w:rsidRPr="00797A13">
        <w:rPr>
          <w:spacing w:val="-2"/>
          <w:lang w:val="fr-FR"/>
        </w:rPr>
        <w:t>’</w:t>
      </w:r>
      <w:r w:rsidR="00CE6057" w:rsidRPr="00797A13">
        <w:rPr>
          <w:spacing w:val="-2"/>
          <w:lang w:val="fr-FR"/>
        </w:rPr>
        <w:t xml:space="preserve">autres titulaires </w:t>
      </w:r>
      <w:r w:rsidR="009017CB" w:rsidRPr="00797A13">
        <w:rPr>
          <w:spacing w:val="-2"/>
          <w:lang w:val="fr-FR"/>
        </w:rPr>
        <w:t>du droit d</w:t>
      </w:r>
      <w:r w:rsidR="00CE55B0" w:rsidRPr="00797A13">
        <w:rPr>
          <w:spacing w:val="-2"/>
          <w:lang w:val="fr-FR"/>
        </w:rPr>
        <w:t>’</w:t>
      </w:r>
      <w:r w:rsidR="009017CB" w:rsidRPr="00797A13">
        <w:rPr>
          <w:spacing w:val="-2"/>
          <w:lang w:val="fr-FR"/>
        </w:rPr>
        <w:t>auteur et des utilisateurs</w:t>
      </w:r>
      <w:r w:rsidRPr="00797A13">
        <w:rPr>
          <w:rStyle w:val="FootnoteReference"/>
          <w:spacing w:val="-2"/>
          <w:szCs w:val="22"/>
          <w:lang w:val="fr-FR"/>
        </w:rPr>
        <w:footnoteReference w:id="20"/>
      </w:r>
      <w:r w:rsidRPr="00797A13">
        <w:rPr>
          <w:spacing w:val="-2"/>
          <w:lang w:val="fr-FR"/>
        </w:rPr>
        <w:t>.</w:t>
      </w:r>
    </w:p>
    <w:p w:rsidR="008E0BF9" w:rsidRPr="001E5043" w:rsidRDefault="008E0BF9" w:rsidP="003B5CD9">
      <w:pPr>
        <w:pStyle w:val="ONUMFS"/>
        <w:rPr>
          <w:lang w:val="fr-FR"/>
        </w:rPr>
      </w:pPr>
      <w:r w:rsidRPr="001E5043">
        <w:rPr>
          <w:lang w:val="fr-FR"/>
        </w:rPr>
        <w:t>En outre, en collaboration avec des offices de propriété intellectuelle, le Centre a établi des contrats types de recherche</w:t>
      </w:r>
      <w:r w:rsidR="00921588">
        <w:rPr>
          <w:lang w:val="fr-FR"/>
        </w:rPr>
        <w:noBreakHyphen/>
      </w:r>
      <w:r w:rsidRPr="001E5043">
        <w:rPr>
          <w:lang w:val="fr-FR"/>
        </w:rPr>
        <w:t xml:space="preserve">développement, dont les dispositions en matière de règlement des litiges comprennent </w:t>
      </w:r>
      <w:r w:rsidR="009017CB" w:rsidRPr="001E5043">
        <w:rPr>
          <w:lang w:val="fr-FR"/>
        </w:rPr>
        <w:t xml:space="preserve">des options de </w:t>
      </w:r>
      <w:r w:rsidRPr="001E5043">
        <w:rPr>
          <w:lang w:val="fr-FR"/>
        </w:rPr>
        <w:t>médiation de l</w:t>
      </w:r>
      <w:r w:rsidR="00CE55B0" w:rsidRPr="001E5043">
        <w:rPr>
          <w:lang w:val="fr-FR"/>
        </w:rPr>
        <w:t>’</w:t>
      </w:r>
      <w:r w:rsidRPr="001E5043">
        <w:rPr>
          <w:lang w:val="fr-FR"/>
        </w:rPr>
        <w:t>OMPI suivie de services d</w:t>
      </w:r>
      <w:r w:rsidR="00CE55B0" w:rsidRPr="001E5043">
        <w:rPr>
          <w:lang w:val="fr-FR"/>
        </w:rPr>
        <w:t>’</w:t>
      </w:r>
      <w:r w:rsidRPr="001E5043">
        <w:rPr>
          <w:lang w:val="fr-FR"/>
        </w:rPr>
        <w:t>arbitrage accéléré de l</w:t>
      </w:r>
      <w:r w:rsidR="00CE55B0" w:rsidRPr="001E5043">
        <w:rPr>
          <w:lang w:val="fr-FR"/>
        </w:rPr>
        <w:t>’</w:t>
      </w:r>
      <w:r w:rsidRPr="001E5043">
        <w:rPr>
          <w:lang w:val="fr-FR"/>
        </w:rPr>
        <w:t>OMPI</w:t>
      </w:r>
      <w:r w:rsidRPr="001E5043">
        <w:rPr>
          <w:rStyle w:val="FootnoteReference"/>
          <w:szCs w:val="22"/>
          <w:lang w:val="fr-FR"/>
        </w:rPr>
        <w:footnoteReference w:id="21"/>
      </w:r>
      <w:r w:rsidRPr="001E5043">
        <w:rPr>
          <w:lang w:val="fr-FR"/>
        </w:rPr>
        <w:t>.</w:t>
      </w:r>
    </w:p>
    <w:p w:rsidR="008E0BF9" w:rsidRPr="001E5043" w:rsidRDefault="008E0BF9" w:rsidP="003B5CD9">
      <w:pPr>
        <w:pStyle w:val="ONUMFS"/>
        <w:rPr>
          <w:lang w:val="fr-FR"/>
        </w:rPr>
      </w:pPr>
      <w:r w:rsidRPr="001E5043">
        <w:rPr>
          <w:lang w:val="fr-FR"/>
        </w:rPr>
        <w:t>Le Centre collabore également avec un nombre croissant de tribunaux pour faciliter le renvoi à la médiation auprès de l</w:t>
      </w:r>
      <w:r w:rsidR="00CE55B0" w:rsidRPr="001E5043">
        <w:rPr>
          <w:lang w:val="fr-FR"/>
        </w:rPr>
        <w:t>’</w:t>
      </w:r>
      <w:r w:rsidRPr="001E5043">
        <w:rPr>
          <w:lang w:val="fr-FR"/>
        </w:rPr>
        <w:t>OMPI des litiges dans le cadre desquels les parties souhaitent étudier les possibilités de règlement amiable</w:t>
      </w:r>
      <w:r w:rsidRPr="001E5043">
        <w:rPr>
          <w:rStyle w:val="FootnoteReference"/>
          <w:szCs w:val="22"/>
          <w:lang w:val="fr-FR"/>
        </w:rPr>
        <w:footnoteReference w:id="22"/>
      </w:r>
      <w:r w:rsidRPr="001E5043">
        <w:rPr>
          <w:lang w:val="fr-FR"/>
        </w:rPr>
        <w:t>.</w:t>
      </w:r>
    </w:p>
    <w:p w:rsidR="008E0BF9" w:rsidRPr="001E5043" w:rsidRDefault="008E0BF9" w:rsidP="003B5CD9">
      <w:pPr>
        <w:pStyle w:val="ONUMFS"/>
        <w:rPr>
          <w:lang w:val="fr-FR"/>
        </w:rPr>
      </w:pPr>
      <w:r w:rsidRPr="001E5043">
        <w:rPr>
          <w:lang w:val="fr-FR"/>
        </w:rPr>
        <w:t xml:space="preserve">Reflet de cette expérience croissante, </w:t>
      </w:r>
      <w:r w:rsidR="009017CB" w:rsidRPr="001E5043">
        <w:rPr>
          <w:lang w:val="fr-FR"/>
        </w:rPr>
        <w:t xml:space="preserve">le Centre a publié une </w:t>
      </w:r>
      <w:r w:rsidRPr="001E5043">
        <w:rPr>
          <w:lang w:val="fr-FR"/>
        </w:rPr>
        <w:t>version actualisée du Guide de l</w:t>
      </w:r>
      <w:r w:rsidR="00CE55B0" w:rsidRPr="001E5043">
        <w:rPr>
          <w:lang w:val="fr-FR"/>
        </w:rPr>
        <w:t>’</w:t>
      </w:r>
      <w:r w:rsidRPr="001E5043">
        <w:rPr>
          <w:lang w:val="fr-FR"/>
        </w:rPr>
        <w:t>OMPI sur les modes extrajudiciaires de règlement des litiges à destination des offices de propriété intellectuelle et des tribuna</w:t>
      </w:r>
      <w:r w:rsidR="001E5043" w:rsidRPr="001E5043">
        <w:rPr>
          <w:lang w:val="fr-FR"/>
        </w:rPr>
        <w:t>ux.  Ce</w:t>
      </w:r>
      <w:r w:rsidR="009017CB" w:rsidRPr="001E5043">
        <w:rPr>
          <w:lang w:val="fr-FR"/>
        </w:rPr>
        <w:t>tte troisième édition</w:t>
      </w:r>
      <w:r w:rsidRPr="001E5043">
        <w:rPr>
          <w:lang w:val="fr-FR"/>
        </w:rPr>
        <w:t xml:space="preserve"> donne un aperçu du règlement extrajudiciaire des litiges de propriété intellectuelle et offre aux offices et aux tribunaux intéressés des solutions pour intégrer ces méthodes dans leurs procédures</w:t>
      </w:r>
      <w:r w:rsidRPr="001E5043">
        <w:rPr>
          <w:rStyle w:val="FootnoteReference"/>
          <w:szCs w:val="22"/>
          <w:lang w:val="fr-FR"/>
        </w:rPr>
        <w:footnoteReference w:id="23"/>
      </w:r>
      <w:r w:rsidRPr="001E5043">
        <w:rPr>
          <w:lang w:val="fr-FR"/>
        </w:rPr>
        <w:t>.  Le guide passe également en revue les collaborations du Centre et donne des exemples de documents types.</w:t>
      </w:r>
    </w:p>
    <w:p w:rsidR="008E0BF9" w:rsidRPr="001E5043" w:rsidRDefault="003B5CD9" w:rsidP="003B5CD9">
      <w:pPr>
        <w:pStyle w:val="Heading3"/>
      </w:pPr>
      <w:r w:rsidRPr="001E5043">
        <w:t>Sources d</w:t>
      </w:r>
      <w:r w:rsidR="00CE55B0" w:rsidRPr="001E5043">
        <w:t>’</w:t>
      </w:r>
      <w:r w:rsidRPr="001E5043">
        <w:t>information sur le règlement extrajudiciaire des litiges</w:t>
      </w:r>
    </w:p>
    <w:p w:rsidR="00CE55B0" w:rsidRPr="001E5043" w:rsidRDefault="008E0BF9" w:rsidP="003B5CD9">
      <w:pPr>
        <w:pStyle w:val="ONUMFS"/>
        <w:rPr>
          <w:szCs w:val="22"/>
          <w:lang w:val="fr-FR"/>
        </w:rPr>
      </w:pPr>
      <w:r w:rsidRPr="001E5043">
        <w:rPr>
          <w:lang w:val="fr-FR"/>
        </w:rPr>
        <w:t>Au cours de la période considérée, pour répondre à la demande croissante de ressources et de formations en ligne sur le règlement extrajudiciaire des litiges, le Centre a continué d</w:t>
      </w:r>
      <w:r w:rsidR="00CE55B0" w:rsidRPr="001E5043">
        <w:rPr>
          <w:lang w:val="fr-FR"/>
        </w:rPr>
        <w:t>’</w:t>
      </w:r>
      <w:r w:rsidRPr="001E5043">
        <w:rPr>
          <w:lang w:val="fr-FR"/>
        </w:rPr>
        <w:t>utiliser les canaux de diffusion existants, tels que son bulletin d</w:t>
      </w:r>
      <w:r w:rsidR="00CE55B0" w:rsidRPr="001E5043">
        <w:rPr>
          <w:lang w:val="fr-FR"/>
        </w:rPr>
        <w:t>’</w:t>
      </w:r>
      <w:r w:rsidRPr="001E5043">
        <w:rPr>
          <w:lang w:val="fr-FR"/>
        </w:rPr>
        <w:t xml:space="preserve">information trimestriel WIPO ADR </w:t>
      </w:r>
      <w:proofErr w:type="spellStart"/>
      <w:r w:rsidRPr="001E5043">
        <w:rPr>
          <w:lang w:val="fr-FR"/>
        </w:rPr>
        <w:t>Highlights</w:t>
      </w:r>
      <w:proofErr w:type="spellEnd"/>
      <w:r w:rsidRPr="001E5043">
        <w:rPr>
          <w:rStyle w:val="FootnoteReference"/>
          <w:szCs w:val="22"/>
          <w:lang w:val="fr-FR"/>
        </w:rPr>
        <w:footnoteReference w:id="24"/>
      </w:r>
      <w:r w:rsidRPr="001E5043">
        <w:rPr>
          <w:lang w:val="fr-FR"/>
        </w:rPr>
        <w:t xml:space="preserve"> </w:t>
      </w:r>
      <w:r w:rsidR="0032750C" w:rsidRPr="001E5043">
        <w:rPr>
          <w:lang w:val="fr-FR"/>
        </w:rPr>
        <w:t xml:space="preserve">et </w:t>
      </w:r>
      <w:r w:rsidR="0032750C" w:rsidRPr="001E5043">
        <w:rPr>
          <w:szCs w:val="22"/>
          <w:lang w:val="fr-FR"/>
        </w:rPr>
        <w:t xml:space="preserve">la </w:t>
      </w:r>
      <w:r w:rsidR="00CE55B0" w:rsidRPr="001E5043">
        <w:rPr>
          <w:szCs w:val="22"/>
          <w:lang w:val="fr-FR"/>
        </w:rPr>
        <w:t>page L</w:t>
      </w:r>
      <w:r w:rsidR="0032750C" w:rsidRPr="001E5043">
        <w:rPr>
          <w:szCs w:val="22"/>
          <w:lang w:val="fr-FR"/>
        </w:rPr>
        <w:t xml:space="preserve">inkedIn du Centre, </w:t>
      </w:r>
      <w:r w:rsidRPr="001E5043">
        <w:rPr>
          <w:lang w:val="fr-FR"/>
        </w:rPr>
        <w:t>tout en développant ou en ouvrant de</w:t>
      </w:r>
      <w:r w:rsidR="0032750C" w:rsidRPr="001E5043">
        <w:rPr>
          <w:lang w:val="fr-FR"/>
        </w:rPr>
        <w:t>s</w:t>
      </w:r>
      <w:r w:rsidRPr="001E5043">
        <w:rPr>
          <w:lang w:val="fr-FR"/>
        </w:rPr>
        <w:t xml:space="preserve"> médias sociaux et autres pour les utilisateurs existants ou potentiels des services de règlement extrajudiciaire des litiges de l</w:t>
      </w:r>
      <w:r w:rsidR="00CE55B0" w:rsidRPr="001E5043">
        <w:rPr>
          <w:lang w:val="fr-FR"/>
        </w:rPr>
        <w:t>’</w:t>
      </w:r>
      <w:r w:rsidRPr="001E5043">
        <w:rPr>
          <w:lang w:val="fr-FR"/>
        </w:rPr>
        <w:t>O</w:t>
      </w:r>
      <w:r w:rsidR="001E5043" w:rsidRPr="001E5043">
        <w:rPr>
          <w:lang w:val="fr-FR"/>
        </w:rPr>
        <w:t>MPI.  Pa</w:t>
      </w:r>
      <w:r w:rsidR="0032750C" w:rsidRPr="001E5043">
        <w:rPr>
          <w:lang w:val="fr-FR"/>
        </w:rPr>
        <w:t xml:space="preserve">r exemple, lancée </w:t>
      </w:r>
      <w:r w:rsidR="00CE55B0" w:rsidRPr="001E5043">
        <w:rPr>
          <w:lang w:val="fr-FR"/>
        </w:rPr>
        <w:t>en </w:t>
      </w:r>
      <w:r w:rsidR="00CE55B0" w:rsidRPr="001E5043">
        <w:rPr>
          <w:szCs w:val="22"/>
          <w:lang w:val="fr-FR"/>
        </w:rPr>
        <w:t>2021</w:t>
      </w:r>
      <w:r w:rsidR="0032750C" w:rsidRPr="001E5043">
        <w:rPr>
          <w:szCs w:val="22"/>
          <w:lang w:val="fr-FR"/>
        </w:rPr>
        <w:t>, WIPO ADR Young est une plateforme de mise en réseau et de formation destinée aux jeunes cadres des communautés de la propriété intellectuelle et du règlement des litig</w:t>
      </w:r>
      <w:r w:rsidR="001E5043" w:rsidRPr="001E5043">
        <w:rPr>
          <w:szCs w:val="22"/>
          <w:lang w:val="fr-FR"/>
        </w:rPr>
        <w:t xml:space="preserve">es.  À </w:t>
      </w:r>
      <w:r w:rsidR="0032750C" w:rsidRPr="001E5043">
        <w:rPr>
          <w:szCs w:val="22"/>
          <w:lang w:val="fr-FR"/>
        </w:rPr>
        <w:t>ce jour, elle a attiré plus de 650 membres de quelque 80 pays</w:t>
      </w:r>
      <w:r w:rsidR="0032750C" w:rsidRPr="001E5043">
        <w:rPr>
          <w:szCs w:val="22"/>
          <w:vertAlign w:val="superscript"/>
          <w:lang w:val="fr-FR"/>
        </w:rPr>
        <w:footnoteReference w:id="25"/>
      </w:r>
      <w:r w:rsidR="0032750C" w:rsidRPr="001E5043">
        <w:rPr>
          <w:szCs w:val="22"/>
          <w:lang w:val="fr-FR"/>
        </w:rPr>
        <w:t>.</w:t>
      </w:r>
    </w:p>
    <w:p w:rsidR="00CE55B0" w:rsidRPr="001E5043" w:rsidRDefault="008E0BF9" w:rsidP="003B5CD9">
      <w:pPr>
        <w:pStyle w:val="ONUMFS"/>
        <w:rPr>
          <w:bCs/>
          <w:szCs w:val="22"/>
          <w:lang w:val="fr-FR"/>
        </w:rPr>
      </w:pPr>
      <w:r w:rsidRPr="001E5043">
        <w:rPr>
          <w:lang w:val="fr-FR"/>
        </w:rPr>
        <w:lastRenderedPageBreak/>
        <w:t>La page LinkedIn du Centre sert de plateforme à la communauté de la propriété intellectuelle, de la technologie et du règlement extrajudiciaire des litiges pour se tenir au courant des faits nouveaux, des événements et des publications de l</w:t>
      </w:r>
      <w:r w:rsidR="00CE55B0" w:rsidRPr="001E5043">
        <w:rPr>
          <w:lang w:val="fr-FR"/>
        </w:rPr>
        <w:t>’</w:t>
      </w:r>
      <w:r w:rsidRPr="001E5043">
        <w:rPr>
          <w:lang w:val="fr-FR"/>
        </w:rPr>
        <w:t xml:space="preserve">OMPI dans le domaine du règlement extrajudiciaire des litiges;  avec plus </w:t>
      </w:r>
      <w:r w:rsidR="00CE55B0" w:rsidRPr="001E5043">
        <w:rPr>
          <w:lang w:val="fr-FR"/>
        </w:rPr>
        <w:t>de 3000</w:t>
      </w:r>
      <w:r w:rsidR="0032750C" w:rsidRPr="001E5043">
        <w:rPr>
          <w:lang w:val="fr-FR"/>
        </w:rPr>
        <w:t> nouveaux</w:t>
      </w:r>
      <w:r w:rsidRPr="001E5043">
        <w:rPr>
          <w:lang w:val="fr-FR"/>
        </w:rPr>
        <w:t xml:space="preserve"> abonnés</w:t>
      </w:r>
      <w:r w:rsidR="0032750C" w:rsidRPr="001E5043">
        <w:rPr>
          <w:lang w:val="fr-FR"/>
        </w:rPr>
        <w:t xml:space="preserve"> depuis les dernières assemblées</w:t>
      </w:r>
      <w:r w:rsidRPr="001E5043">
        <w:rPr>
          <w:lang w:val="fr-FR"/>
        </w:rPr>
        <w:t xml:space="preserve">, </w:t>
      </w:r>
      <w:r w:rsidR="00B86BC6" w:rsidRPr="001E5043">
        <w:rPr>
          <w:lang w:val="fr-FR"/>
        </w:rPr>
        <w:t xml:space="preserve">plus de 11 000 personnes sont abonnées à </w:t>
      </w:r>
      <w:r w:rsidRPr="001E5043">
        <w:rPr>
          <w:lang w:val="fr-FR"/>
        </w:rPr>
        <w:t>cette ressource active en ce qui concerne le règlement extrajudiciaire des litiges de propriété intellectuelle</w:t>
      </w:r>
      <w:r w:rsidRPr="001E5043">
        <w:rPr>
          <w:rStyle w:val="FootnoteReference"/>
          <w:szCs w:val="22"/>
          <w:lang w:val="fr-FR"/>
        </w:rPr>
        <w:footnoteReference w:id="26"/>
      </w:r>
      <w:r w:rsidRPr="001E5043">
        <w:rPr>
          <w:lang w:val="fr-FR"/>
        </w:rPr>
        <w:t>.</w:t>
      </w:r>
      <w:r w:rsidR="00B86BC6" w:rsidRPr="001E5043">
        <w:rPr>
          <w:lang w:val="fr-FR"/>
        </w:rPr>
        <w:t xml:space="preserve">  Par ailleurs, en décembre 2021, </w:t>
      </w:r>
      <w:r w:rsidR="00B86BC6" w:rsidRPr="001E5043">
        <w:rPr>
          <w:bCs/>
          <w:szCs w:val="22"/>
          <w:lang w:val="fr-FR"/>
        </w:rPr>
        <w:t xml:space="preserve">le Centre a lancé un programme audio de vulgarisation intitulé </w:t>
      </w:r>
      <w:r w:rsidR="00B86BC6" w:rsidRPr="001E5043">
        <w:rPr>
          <w:bCs/>
          <w:i/>
          <w:szCs w:val="22"/>
          <w:lang w:val="fr-FR"/>
        </w:rPr>
        <w:t>WIPOD</w:t>
      </w:r>
      <w:r w:rsidR="00CE55B0" w:rsidRPr="001E5043">
        <w:rPr>
          <w:bCs/>
          <w:i/>
          <w:szCs w:val="22"/>
          <w:lang w:val="fr-FR"/>
        </w:rPr>
        <w:t xml:space="preserve"> – </w:t>
      </w:r>
      <w:r w:rsidR="00B86BC6" w:rsidRPr="001E5043">
        <w:rPr>
          <w:bCs/>
          <w:i/>
          <w:szCs w:val="22"/>
          <w:lang w:val="fr-FR"/>
        </w:rPr>
        <w:t xml:space="preserve">Arbitration and </w:t>
      </w:r>
      <w:proofErr w:type="spellStart"/>
      <w:r w:rsidR="00B86BC6" w:rsidRPr="001E5043">
        <w:rPr>
          <w:bCs/>
          <w:i/>
          <w:szCs w:val="22"/>
          <w:lang w:val="fr-FR"/>
        </w:rPr>
        <w:t>Mediation</w:t>
      </w:r>
      <w:proofErr w:type="spellEnd"/>
      <w:r w:rsidR="00B86BC6" w:rsidRPr="001E5043">
        <w:rPr>
          <w:bCs/>
          <w:i/>
          <w:szCs w:val="22"/>
          <w:lang w:val="fr-FR"/>
        </w:rPr>
        <w:t xml:space="preserve"> </w:t>
      </w:r>
      <w:proofErr w:type="spellStart"/>
      <w:r w:rsidR="00B86BC6" w:rsidRPr="001E5043">
        <w:rPr>
          <w:bCs/>
          <w:i/>
          <w:szCs w:val="22"/>
          <w:lang w:val="fr-FR"/>
        </w:rPr>
        <w:t>Matters</w:t>
      </w:r>
      <w:proofErr w:type="spellEnd"/>
      <w:r w:rsidR="00B86BC6" w:rsidRPr="001E5043">
        <w:rPr>
          <w:bCs/>
          <w:szCs w:val="22"/>
          <w:lang w:val="fr-FR"/>
        </w:rPr>
        <w:t xml:space="preserve"> contenant des entretiens avec des spécialistes de la propriété intellectuelle et des mécanismes extrajudiciaires de règlement des litiges</w:t>
      </w:r>
      <w:r w:rsidR="00B86BC6" w:rsidRPr="001E5043">
        <w:rPr>
          <w:bCs/>
          <w:szCs w:val="22"/>
          <w:vertAlign w:val="superscript"/>
          <w:lang w:val="fr-FR"/>
        </w:rPr>
        <w:footnoteReference w:id="27"/>
      </w:r>
      <w:r w:rsidR="00B86BC6" w:rsidRPr="001E5043">
        <w:rPr>
          <w:bCs/>
          <w:szCs w:val="22"/>
          <w:lang w:val="fr-FR"/>
        </w:rPr>
        <w:t>.</w:t>
      </w:r>
    </w:p>
    <w:p w:rsidR="008E0BF9" w:rsidRPr="001E5043" w:rsidRDefault="008E0BF9" w:rsidP="00027C5E">
      <w:pPr>
        <w:pStyle w:val="ONUMFS"/>
        <w:rPr>
          <w:lang w:val="fr-FR"/>
        </w:rPr>
      </w:pPr>
      <w:r w:rsidRPr="001E5043">
        <w:rPr>
          <w:lang w:val="fr-FR"/>
        </w:rPr>
        <w:t xml:space="preserve">Le Centre </w:t>
      </w:r>
      <w:r w:rsidR="007D70F6" w:rsidRPr="001E5043">
        <w:rPr>
          <w:lang w:val="fr-FR"/>
        </w:rPr>
        <w:t>continue d</w:t>
      </w:r>
      <w:r w:rsidR="00CE55B0" w:rsidRPr="001E5043">
        <w:rPr>
          <w:lang w:val="fr-FR"/>
        </w:rPr>
        <w:t>’</w:t>
      </w:r>
      <w:r w:rsidR="007D70F6" w:rsidRPr="001E5043">
        <w:rPr>
          <w:lang w:val="fr-FR"/>
        </w:rPr>
        <w:t>organiser</w:t>
      </w:r>
      <w:r w:rsidRPr="001E5043">
        <w:rPr>
          <w:lang w:val="fr-FR"/>
        </w:rPr>
        <w:t xml:space="preserve"> </w:t>
      </w:r>
      <w:r w:rsidR="007D70F6" w:rsidRPr="001E5043">
        <w:rPr>
          <w:lang w:val="fr-FR"/>
        </w:rPr>
        <w:t xml:space="preserve">et de participer à </w:t>
      </w:r>
      <w:r w:rsidRPr="001E5043">
        <w:rPr>
          <w:lang w:val="fr-FR"/>
        </w:rPr>
        <w:t>des webinaires</w:t>
      </w:r>
      <w:r w:rsidR="007D70F6" w:rsidRPr="001E5043">
        <w:rPr>
          <w:lang w:val="fr-FR"/>
        </w:rPr>
        <w:t xml:space="preserve"> et des ateliers en ligne sur la médiation et l</w:t>
      </w:r>
      <w:r w:rsidR="00CE55B0" w:rsidRPr="001E5043">
        <w:rPr>
          <w:lang w:val="fr-FR"/>
        </w:rPr>
        <w:t>’</w:t>
      </w:r>
      <w:r w:rsidR="007D70F6" w:rsidRPr="001E5043">
        <w:rPr>
          <w:lang w:val="fr-FR"/>
        </w:rPr>
        <w:t>arbitrage de litiges de propriété intellectuelle</w:t>
      </w:r>
      <w:r w:rsidRPr="001E5043">
        <w:rPr>
          <w:lang w:val="fr-FR"/>
        </w:rPr>
        <w:t>, qu</w:t>
      </w:r>
      <w:r w:rsidR="007D70F6" w:rsidRPr="001E5043">
        <w:rPr>
          <w:lang w:val="fr-FR"/>
        </w:rPr>
        <w:t xml:space="preserve">i sont mis </w:t>
      </w:r>
      <w:r w:rsidRPr="001E5043">
        <w:rPr>
          <w:lang w:val="fr-FR"/>
        </w:rPr>
        <w:t>à la disposition des parties prenantes avec du contenu adapté à leurs centres d</w:t>
      </w:r>
      <w:r w:rsidR="00CE55B0" w:rsidRPr="001E5043">
        <w:rPr>
          <w:lang w:val="fr-FR"/>
        </w:rPr>
        <w:t>’</w:t>
      </w:r>
      <w:r w:rsidRPr="001E5043">
        <w:rPr>
          <w:lang w:val="fr-FR"/>
        </w:rPr>
        <w:t>intérêt dans un large éventail de langues</w:t>
      </w:r>
      <w:r w:rsidRPr="001E5043">
        <w:rPr>
          <w:rStyle w:val="FootnoteReference"/>
          <w:szCs w:val="22"/>
          <w:lang w:val="fr-FR"/>
        </w:rPr>
        <w:footnoteReference w:id="28"/>
      </w:r>
      <w:r w:rsidRPr="001E5043">
        <w:rPr>
          <w:lang w:val="fr-FR"/>
        </w:rPr>
        <w:t>.  Depuis les assemblées de 202</w:t>
      </w:r>
      <w:r w:rsidR="007D70F6" w:rsidRPr="001E5043">
        <w:rPr>
          <w:lang w:val="fr-FR"/>
        </w:rPr>
        <w:t>1</w:t>
      </w:r>
      <w:r w:rsidRPr="001E5043">
        <w:rPr>
          <w:lang w:val="fr-FR"/>
        </w:rPr>
        <w:t xml:space="preserve">, le Centre a organisé ou </w:t>
      </w:r>
      <w:r w:rsidR="007D70F6" w:rsidRPr="001E5043">
        <w:rPr>
          <w:lang w:val="fr-FR"/>
        </w:rPr>
        <w:t>a participé à</w:t>
      </w:r>
      <w:r w:rsidRPr="001E5043">
        <w:rPr>
          <w:lang w:val="fr-FR"/>
        </w:rPr>
        <w:t xml:space="preserve"> plus de </w:t>
      </w:r>
      <w:r w:rsidR="007D70F6" w:rsidRPr="001E5043">
        <w:rPr>
          <w:lang w:val="fr-FR"/>
        </w:rPr>
        <w:t>50 </w:t>
      </w:r>
      <w:r w:rsidRPr="001E5043">
        <w:rPr>
          <w:lang w:val="fr-FR"/>
        </w:rPr>
        <w:t xml:space="preserve">webinaires, auxquels plus </w:t>
      </w:r>
      <w:r w:rsidR="00CE55B0" w:rsidRPr="001E5043">
        <w:rPr>
          <w:lang w:val="fr-FR"/>
        </w:rPr>
        <w:t>de 8000</w:t>
      </w:r>
      <w:r w:rsidR="00027C5E" w:rsidRPr="001E5043">
        <w:rPr>
          <w:lang w:val="fr-FR"/>
        </w:rPr>
        <w:t> </w:t>
      </w:r>
      <w:r w:rsidRPr="001E5043">
        <w:rPr>
          <w:lang w:val="fr-FR"/>
        </w:rPr>
        <w:t>participants provenant de 1</w:t>
      </w:r>
      <w:r w:rsidR="00027C5E" w:rsidRPr="001E5043">
        <w:rPr>
          <w:lang w:val="fr-FR"/>
        </w:rPr>
        <w:t>37 </w:t>
      </w:r>
      <w:r w:rsidRPr="001E5043">
        <w:rPr>
          <w:lang w:val="fr-FR"/>
        </w:rPr>
        <w:t>pays se sont inscrits.</w:t>
      </w:r>
    </w:p>
    <w:p w:rsidR="008E0BF9" w:rsidRPr="001E5043" w:rsidRDefault="008E0BF9" w:rsidP="003B5CD9">
      <w:pPr>
        <w:pStyle w:val="ONUMFS"/>
        <w:rPr>
          <w:lang w:val="fr-FR"/>
        </w:rPr>
      </w:pPr>
      <w:r w:rsidRPr="001E5043">
        <w:rPr>
          <w:lang w:val="fr-FR"/>
        </w:rPr>
        <w:t>Dans le cadre de l</w:t>
      </w:r>
      <w:r w:rsidR="00CE55B0" w:rsidRPr="001E5043">
        <w:rPr>
          <w:lang w:val="fr-FR"/>
        </w:rPr>
        <w:t>’</w:t>
      </w:r>
      <w:r w:rsidRPr="001E5043">
        <w:rPr>
          <w:lang w:val="fr-FR"/>
        </w:rPr>
        <w:t>engagement de l</w:t>
      </w:r>
      <w:r w:rsidR="00CE55B0" w:rsidRPr="001E5043">
        <w:rPr>
          <w:lang w:val="fr-FR"/>
        </w:rPr>
        <w:t>’</w:t>
      </w:r>
      <w:r w:rsidRPr="001E5043">
        <w:rPr>
          <w:lang w:val="fr-FR"/>
        </w:rPr>
        <w:t xml:space="preserve">OMPI en faveur de la médiation dans les litiges de propriété intellectuelle et de technologie, les signataires et entités collaboratrices conviennent de promouvoir la médiation comme </w:t>
      </w:r>
      <w:r w:rsidR="007D70F6" w:rsidRPr="001E5043">
        <w:rPr>
          <w:lang w:val="fr-FR"/>
        </w:rPr>
        <w:t>solution de remplacement des</w:t>
      </w:r>
      <w:r w:rsidRPr="001E5043">
        <w:rPr>
          <w:lang w:val="fr-FR"/>
        </w:rPr>
        <w:t xml:space="preserve"> procédures devant les tribunaux pour réduire l</w:t>
      </w:r>
      <w:r w:rsidR="00CE55B0" w:rsidRPr="001E5043">
        <w:rPr>
          <w:lang w:val="fr-FR"/>
        </w:rPr>
        <w:t>’</w:t>
      </w:r>
      <w:r w:rsidRPr="001E5043">
        <w:rPr>
          <w:lang w:val="fr-FR"/>
        </w:rPr>
        <w:t>incidence des litiges sur l</w:t>
      </w:r>
      <w:r w:rsidR="00CE55B0" w:rsidRPr="001E5043">
        <w:rPr>
          <w:lang w:val="fr-FR"/>
        </w:rPr>
        <w:t>’</w:t>
      </w:r>
      <w:r w:rsidRPr="001E5043">
        <w:rPr>
          <w:lang w:val="fr-FR"/>
        </w:rPr>
        <w:t>innovation et la créativi</w:t>
      </w:r>
      <w:r w:rsidR="001E5043" w:rsidRPr="001E5043">
        <w:rPr>
          <w:lang w:val="fr-FR"/>
        </w:rPr>
        <w:t>té.  Le</w:t>
      </w:r>
      <w:r w:rsidRPr="001E5043">
        <w:rPr>
          <w:lang w:val="fr-FR"/>
        </w:rPr>
        <w:t xml:space="preserve"> nombre de participants dépasse désormais les </w:t>
      </w:r>
      <w:r w:rsidR="00027C5E" w:rsidRPr="001E5043">
        <w:rPr>
          <w:lang w:val="fr-FR"/>
        </w:rPr>
        <w:t>72</w:t>
      </w:r>
      <w:r w:rsidRPr="001E5043">
        <w:rPr>
          <w:lang w:val="fr-FR"/>
        </w:rPr>
        <w:t>0, avec plus de 20</w:t>
      </w:r>
      <w:r w:rsidR="00027C5E" w:rsidRPr="001E5043">
        <w:rPr>
          <w:lang w:val="fr-FR"/>
        </w:rPr>
        <w:t> </w:t>
      </w:r>
      <w:r w:rsidRPr="001E5043">
        <w:rPr>
          <w:lang w:val="fr-FR"/>
        </w:rPr>
        <w:t>offices de propriété intellectuelle d</w:t>
      </w:r>
      <w:r w:rsidR="00CE55B0" w:rsidRPr="001E5043">
        <w:rPr>
          <w:lang w:val="fr-FR"/>
        </w:rPr>
        <w:t>’</w:t>
      </w:r>
      <w:r w:rsidRPr="001E5043">
        <w:rPr>
          <w:lang w:val="fr-FR"/>
        </w:rPr>
        <w:t>États membres et 10</w:t>
      </w:r>
      <w:r w:rsidR="00027C5E" w:rsidRPr="001E5043">
        <w:rPr>
          <w:lang w:val="fr-FR"/>
        </w:rPr>
        <w:t> </w:t>
      </w:r>
      <w:r w:rsidRPr="001E5043">
        <w:rPr>
          <w:lang w:val="fr-FR"/>
        </w:rPr>
        <w:t>associations professionnelles œuvrant dans le domaine de la propriété intellectuelle ou du règlement extrajudiciaire des litiges</w:t>
      </w:r>
      <w:r w:rsidRPr="001E5043">
        <w:rPr>
          <w:rStyle w:val="FootnoteReference"/>
          <w:szCs w:val="22"/>
          <w:lang w:val="fr-FR"/>
        </w:rPr>
        <w:footnoteReference w:id="29"/>
      </w:r>
      <w:r w:rsidRPr="001E5043">
        <w:rPr>
          <w:lang w:val="fr-FR"/>
        </w:rPr>
        <w:t>.</w:t>
      </w:r>
    </w:p>
    <w:p w:rsidR="008E0BF9" w:rsidRPr="001E5043" w:rsidRDefault="008E0BF9" w:rsidP="003B5CD9">
      <w:pPr>
        <w:pStyle w:val="Heading2"/>
        <w:rPr>
          <w:lang w:val="fr-FR"/>
        </w:rPr>
      </w:pPr>
      <w:r w:rsidRPr="001E5043">
        <w:rPr>
          <w:lang w:val="fr-FR"/>
        </w:rPr>
        <w:t>Administration des litiges relatifs aux noms de domaine</w:t>
      </w:r>
    </w:p>
    <w:p w:rsidR="008E0BF9" w:rsidRPr="001E5043" w:rsidRDefault="003B5CD9" w:rsidP="003B5CD9">
      <w:pPr>
        <w:pStyle w:val="Heading3"/>
        <w:numPr>
          <w:ilvl w:val="0"/>
          <w:numId w:val="10"/>
        </w:numPr>
        <w:ind w:left="1134" w:hanging="567"/>
      </w:pPr>
      <w:r w:rsidRPr="001E5043">
        <w:t>Principes UDRP</w:t>
      </w:r>
    </w:p>
    <w:p w:rsidR="008E0BF9" w:rsidRPr="001E5043" w:rsidRDefault="008E0BF9" w:rsidP="003B5CD9">
      <w:pPr>
        <w:pStyle w:val="ONUMFS"/>
        <w:rPr>
          <w:szCs w:val="24"/>
          <w:lang w:val="fr-FR"/>
        </w:rPr>
      </w:pPr>
      <w:r w:rsidRPr="001E5043">
        <w:rPr>
          <w:szCs w:val="24"/>
          <w:lang w:val="fr-FR"/>
        </w:rPr>
        <w:t>Le système de noms de domaine (DNS) soulève sur le plan de la protection de la propriété intellectuelle des défis qui, compte tenu de la nature planétaire de l</w:t>
      </w:r>
      <w:r w:rsidR="00CE55B0" w:rsidRPr="001E5043">
        <w:rPr>
          <w:szCs w:val="24"/>
          <w:lang w:val="fr-FR"/>
        </w:rPr>
        <w:t>’</w:t>
      </w:r>
      <w:r w:rsidRPr="001E5043">
        <w:rPr>
          <w:szCs w:val="24"/>
          <w:lang w:val="fr-FR"/>
        </w:rPr>
        <w:t>Internet, appellent une action internationale.  L</w:t>
      </w:r>
      <w:r w:rsidR="00CE55B0" w:rsidRPr="001E5043">
        <w:rPr>
          <w:szCs w:val="24"/>
          <w:lang w:val="fr-FR"/>
        </w:rPr>
        <w:t>’</w:t>
      </w:r>
      <w:r w:rsidRPr="001E5043">
        <w:rPr>
          <w:szCs w:val="24"/>
          <w:lang w:val="fr-FR"/>
        </w:rPr>
        <w:t>OMPI répond à ces défis depuis 1998, en élaborant des solutions, notamment dans le cadre des premier</w:t>
      </w:r>
      <w:r w:rsidRPr="001E5043">
        <w:rPr>
          <w:rStyle w:val="FootnoteReference"/>
          <w:szCs w:val="24"/>
          <w:lang w:val="fr-FR"/>
        </w:rPr>
        <w:footnoteReference w:id="30"/>
      </w:r>
      <w:r w:rsidRPr="001E5043">
        <w:rPr>
          <w:szCs w:val="24"/>
          <w:lang w:val="fr-FR"/>
        </w:rPr>
        <w:t xml:space="preserve"> et deuxième</w:t>
      </w:r>
      <w:r w:rsidRPr="001E5043">
        <w:rPr>
          <w:rStyle w:val="FootnoteReference"/>
          <w:szCs w:val="24"/>
          <w:lang w:val="fr-FR"/>
        </w:rPr>
        <w:footnoteReference w:id="31"/>
      </w:r>
      <w:r w:rsidRPr="001E5043">
        <w:rPr>
          <w:szCs w:val="24"/>
          <w:lang w:val="fr-FR"/>
        </w:rPr>
        <w:t xml:space="preserve"> processus de consultations de l</w:t>
      </w:r>
      <w:r w:rsidR="00CE55B0" w:rsidRPr="001E5043">
        <w:rPr>
          <w:szCs w:val="24"/>
          <w:lang w:val="fr-FR"/>
        </w:rPr>
        <w:t>’</w:t>
      </w:r>
      <w:r w:rsidRPr="001E5043">
        <w:rPr>
          <w:szCs w:val="24"/>
          <w:lang w:val="fr-FR"/>
        </w:rPr>
        <w:t>OMPI sur les noms de domaine de l</w:t>
      </w:r>
      <w:r w:rsidR="00CE55B0" w:rsidRPr="001E5043">
        <w:rPr>
          <w:szCs w:val="24"/>
          <w:lang w:val="fr-FR"/>
        </w:rPr>
        <w:t>’</w:t>
      </w:r>
      <w:r w:rsidRPr="001E5043">
        <w:rPr>
          <w:szCs w:val="24"/>
          <w:lang w:val="fr-FR"/>
        </w:rPr>
        <w:t>Intern</w:t>
      </w:r>
      <w:r w:rsidR="001E5043" w:rsidRPr="001E5043">
        <w:rPr>
          <w:szCs w:val="24"/>
          <w:lang w:val="fr-FR"/>
        </w:rPr>
        <w:t>et.  Pa</w:t>
      </w:r>
      <w:r w:rsidRPr="001E5043">
        <w:rPr>
          <w:szCs w:val="24"/>
          <w:lang w:val="fr-FR"/>
        </w:rPr>
        <w:t>r l</w:t>
      </w:r>
      <w:r w:rsidR="00CE55B0" w:rsidRPr="001E5043">
        <w:rPr>
          <w:szCs w:val="24"/>
          <w:lang w:val="fr-FR"/>
        </w:rPr>
        <w:t>’</w:t>
      </w:r>
      <w:r w:rsidRPr="001E5043">
        <w:rPr>
          <w:szCs w:val="24"/>
          <w:lang w:val="fr-FR"/>
        </w:rPr>
        <w:t>intermédiaire du Centre, l</w:t>
      </w:r>
      <w:r w:rsidR="00CE55B0" w:rsidRPr="001E5043">
        <w:rPr>
          <w:szCs w:val="24"/>
          <w:lang w:val="fr-FR"/>
        </w:rPr>
        <w:t>’</w:t>
      </w:r>
      <w:r w:rsidRPr="001E5043">
        <w:rPr>
          <w:szCs w:val="24"/>
          <w:lang w:val="fr-FR"/>
        </w:rPr>
        <w:t>OMPI met à la disposition des propriétaires de marques des mécanismes internationaux efficaces contre l</w:t>
      </w:r>
      <w:r w:rsidR="00CE55B0" w:rsidRPr="001E5043">
        <w:rPr>
          <w:szCs w:val="24"/>
          <w:lang w:val="fr-FR"/>
        </w:rPr>
        <w:t>’</w:t>
      </w:r>
      <w:r w:rsidRPr="001E5043">
        <w:rPr>
          <w:szCs w:val="24"/>
          <w:lang w:val="fr-FR"/>
        </w:rPr>
        <w:t>enregistrement et l</w:t>
      </w:r>
      <w:r w:rsidR="00CE55B0" w:rsidRPr="001E5043">
        <w:rPr>
          <w:szCs w:val="24"/>
          <w:lang w:val="fr-FR"/>
        </w:rPr>
        <w:t>’</w:t>
      </w:r>
      <w:r w:rsidRPr="001E5043">
        <w:rPr>
          <w:szCs w:val="24"/>
          <w:lang w:val="fr-FR"/>
        </w:rPr>
        <w:t>utilisation de mauvaise foi de noms de domaine correspondant à leurs marqu</w:t>
      </w:r>
      <w:r w:rsidR="001E5043" w:rsidRPr="001E5043">
        <w:rPr>
          <w:szCs w:val="24"/>
          <w:lang w:val="fr-FR"/>
        </w:rPr>
        <w:t>es.  Le</w:t>
      </w:r>
      <w:r w:rsidRPr="001E5043">
        <w:rPr>
          <w:szCs w:val="24"/>
          <w:lang w:val="fr-FR"/>
        </w:rPr>
        <w:t xml:space="preserve"> principal mécanisme administré par le Centre, </w:t>
      </w:r>
      <w:r w:rsidR="00CE55B0" w:rsidRPr="001E5043">
        <w:rPr>
          <w:szCs w:val="24"/>
          <w:lang w:val="fr-FR"/>
        </w:rPr>
        <w:t>à savoir</w:t>
      </w:r>
      <w:r w:rsidRPr="001E5043">
        <w:rPr>
          <w:szCs w:val="24"/>
          <w:lang w:val="fr-FR"/>
        </w:rPr>
        <w:t xml:space="preserve"> les principes UDRP, a été adopté par l</w:t>
      </w:r>
      <w:r w:rsidR="00CE55B0" w:rsidRPr="001E5043">
        <w:rPr>
          <w:szCs w:val="24"/>
          <w:lang w:val="fr-FR"/>
        </w:rPr>
        <w:t>’</w:t>
      </w:r>
      <w:r w:rsidRPr="001E5043">
        <w:rPr>
          <w:szCs w:val="24"/>
          <w:lang w:val="fr-FR"/>
        </w:rPr>
        <w:t>ICANN sur la base des recommandations faites par l</w:t>
      </w:r>
      <w:r w:rsidR="00CE55B0" w:rsidRPr="001E5043">
        <w:rPr>
          <w:szCs w:val="24"/>
          <w:lang w:val="fr-FR"/>
        </w:rPr>
        <w:t>’</w:t>
      </w:r>
      <w:r w:rsidRPr="001E5043">
        <w:rPr>
          <w:szCs w:val="24"/>
          <w:lang w:val="fr-FR"/>
        </w:rPr>
        <w:t>OMPI à l</w:t>
      </w:r>
      <w:r w:rsidR="00CE55B0" w:rsidRPr="001E5043">
        <w:rPr>
          <w:szCs w:val="24"/>
          <w:lang w:val="fr-FR"/>
        </w:rPr>
        <w:t>’</w:t>
      </w:r>
      <w:r w:rsidRPr="001E5043">
        <w:rPr>
          <w:szCs w:val="24"/>
          <w:lang w:val="fr-FR"/>
        </w:rPr>
        <w:t>issue du premier processus de consultations sur les noms de domaine de l</w:t>
      </w:r>
      <w:r w:rsidR="00CE55B0" w:rsidRPr="001E5043">
        <w:rPr>
          <w:szCs w:val="24"/>
          <w:lang w:val="fr-FR"/>
        </w:rPr>
        <w:t>’</w:t>
      </w:r>
      <w:r w:rsidRPr="001E5043">
        <w:rPr>
          <w:szCs w:val="24"/>
          <w:lang w:val="fr-FR"/>
        </w:rPr>
        <w:t>Internet.</w:t>
      </w:r>
    </w:p>
    <w:p w:rsidR="008E0BF9" w:rsidRPr="001E5043" w:rsidRDefault="008E0BF9" w:rsidP="003B5CD9">
      <w:pPr>
        <w:pStyle w:val="ONUMFS"/>
        <w:rPr>
          <w:szCs w:val="24"/>
          <w:lang w:val="fr-FR"/>
        </w:rPr>
      </w:pPr>
      <w:r w:rsidRPr="001E5043">
        <w:rPr>
          <w:szCs w:val="24"/>
          <w:lang w:val="fr-FR"/>
        </w:rPr>
        <w:t xml:space="preserve">Compte tenu du </w:t>
      </w:r>
      <w:proofErr w:type="gramStart"/>
      <w:r w:rsidRPr="001E5043">
        <w:rPr>
          <w:szCs w:val="24"/>
          <w:lang w:val="fr-FR"/>
        </w:rPr>
        <w:t>nombre croissant de personnes</w:t>
      </w:r>
      <w:proofErr w:type="gramEnd"/>
      <w:r w:rsidRPr="001E5043">
        <w:rPr>
          <w:szCs w:val="24"/>
          <w:lang w:val="fr-FR"/>
        </w:rPr>
        <w:t xml:space="preserve"> passant davantage de temps en ligne durant la pandémie, les auteurs d</w:t>
      </w:r>
      <w:r w:rsidR="00CE55B0" w:rsidRPr="001E5043">
        <w:rPr>
          <w:szCs w:val="24"/>
          <w:lang w:val="fr-FR"/>
        </w:rPr>
        <w:t>’</w:t>
      </w:r>
      <w:r w:rsidRPr="001E5043">
        <w:rPr>
          <w:szCs w:val="24"/>
          <w:lang w:val="fr-FR"/>
        </w:rPr>
        <w:t>atteintes trouvent un environnement qui leur est de plus en plus favorab</w:t>
      </w:r>
      <w:r w:rsidR="001E5043" w:rsidRPr="001E5043">
        <w:rPr>
          <w:szCs w:val="24"/>
          <w:lang w:val="fr-FR"/>
        </w:rPr>
        <w:t>le.  Le</w:t>
      </w:r>
      <w:r w:rsidRPr="001E5043">
        <w:rPr>
          <w:szCs w:val="24"/>
          <w:lang w:val="fr-FR"/>
        </w:rPr>
        <w:t xml:space="preserve">s propriétaires de marques augmentent la protection de leurs marques sur </w:t>
      </w:r>
      <w:r w:rsidRPr="001E5043">
        <w:rPr>
          <w:szCs w:val="24"/>
          <w:lang w:val="fr-FR"/>
        </w:rPr>
        <w:lastRenderedPageBreak/>
        <w:t>Internet à mesure qu</w:t>
      </w:r>
      <w:r w:rsidR="00CE55B0" w:rsidRPr="001E5043">
        <w:rPr>
          <w:szCs w:val="24"/>
          <w:lang w:val="fr-FR"/>
        </w:rPr>
        <w:t>’</w:t>
      </w:r>
      <w:r w:rsidRPr="001E5043">
        <w:rPr>
          <w:szCs w:val="24"/>
          <w:lang w:val="fr-FR"/>
        </w:rPr>
        <w:t>ils intensifient la vente de leurs produits et services en lig</w:t>
      </w:r>
      <w:r w:rsidR="001E5043" w:rsidRPr="001E5043">
        <w:rPr>
          <w:szCs w:val="24"/>
          <w:lang w:val="fr-FR"/>
        </w:rPr>
        <w:t>ne.  S’a</w:t>
      </w:r>
      <w:r w:rsidRPr="001E5043">
        <w:rPr>
          <w:szCs w:val="24"/>
          <w:lang w:val="fr-FR"/>
        </w:rPr>
        <w:t>ppliquant exclusivement aux cas manifestes de mauvaise foi, les principes UDRP sont très appréciés</w:t>
      </w:r>
      <w:r w:rsidRPr="001E5043">
        <w:rPr>
          <w:rStyle w:val="FootnoteReference"/>
          <w:szCs w:val="24"/>
          <w:lang w:val="fr-FR"/>
        </w:rPr>
        <w:footnoteReference w:id="32"/>
      </w:r>
      <w:r w:rsidRPr="001E5043">
        <w:rPr>
          <w:szCs w:val="24"/>
          <w:lang w:val="fr-FR"/>
        </w:rPr>
        <w:t>.  Depuis décembre 1999, le Centre a administré plus de 5</w:t>
      </w:r>
      <w:r w:rsidR="00EA6E80" w:rsidRPr="001E5043">
        <w:rPr>
          <w:szCs w:val="24"/>
          <w:lang w:val="fr-FR"/>
        </w:rPr>
        <w:t>7</w:t>
      </w:r>
      <w:r w:rsidRPr="001E5043">
        <w:rPr>
          <w:szCs w:val="24"/>
          <w:lang w:val="fr-FR"/>
        </w:rPr>
        <w:t> 000</w:t>
      </w:r>
      <w:r w:rsidR="00EA6E80" w:rsidRPr="001E5043">
        <w:rPr>
          <w:szCs w:val="24"/>
          <w:lang w:val="fr-FR"/>
        </w:rPr>
        <w:t> </w:t>
      </w:r>
      <w:r w:rsidRPr="001E5043">
        <w:rPr>
          <w:szCs w:val="24"/>
          <w:lang w:val="fr-FR"/>
        </w:rPr>
        <w:t>litiges sur la base des principes UDRP</w:t>
      </w:r>
      <w:r w:rsidRPr="001E5043">
        <w:rPr>
          <w:rStyle w:val="FootnoteReference"/>
          <w:szCs w:val="24"/>
          <w:lang w:val="fr-FR"/>
        </w:rPr>
        <w:footnoteReference w:id="33"/>
      </w:r>
      <w:r w:rsidRPr="001E5043">
        <w:rPr>
          <w:szCs w:val="24"/>
          <w:lang w:val="fr-FR"/>
        </w:rPr>
        <w:t>.  Le Centre a reçu en 202</w:t>
      </w:r>
      <w:r w:rsidR="00EA6E80" w:rsidRPr="001E5043">
        <w:rPr>
          <w:szCs w:val="24"/>
          <w:lang w:val="fr-FR"/>
        </w:rPr>
        <w:t>1</w:t>
      </w:r>
      <w:r w:rsidRPr="001E5043">
        <w:rPr>
          <w:szCs w:val="24"/>
          <w:lang w:val="fr-FR"/>
        </w:rPr>
        <w:t xml:space="preserve"> le nombre record de </w:t>
      </w:r>
      <w:r w:rsidR="00EA6E80" w:rsidRPr="001E5043">
        <w:rPr>
          <w:szCs w:val="24"/>
          <w:lang w:val="fr-FR"/>
        </w:rPr>
        <w:t>5128 </w:t>
      </w:r>
      <w:r w:rsidRPr="001E5043">
        <w:rPr>
          <w:szCs w:val="24"/>
          <w:lang w:val="fr-FR"/>
        </w:rPr>
        <w:t>plaintes déposées en vertu des principes UDRP par des titulaires de droits en réaction à la prolifération des sites Web destinés à la vente de contrefaçons, au hameçonnage ou à d</w:t>
      </w:r>
      <w:r w:rsidR="00CE55B0" w:rsidRPr="001E5043">
        <w:rPr>
          <w:szCs w:val="24"/>
          <w:lang w:val="fr-FR"/>
        </w:rPr>
        <w:t>’</w:t>
      </w:r>
      <w:r w:rsidRPr="001E5043">
        <w:rPr>
          <w:szCs w:val="24"/>
          <w:lang w:val="fr-FR"/>
        </w:rPr>
        <w:t>autres activités frauduleuses, ainsi qu</w:t>
      </w:r>
      <w:r w:rsidR="00CE55B0" w:rsidRPr="001E5043">
        <w:rPr>
          <w:szCs w:val="24"/>
          <w:lang w:val="fr-FR"/>
        </w:rPr>
        <w:t>’</w:t>
      </w:r>
      <w:r w:rsidRPr="001E5043">
        <w:rPr>
          <w:szCs w:val="24"/>
          <w:lang w:val="fr-FR"/>
        </w:rPr>
        <w:t>à toutes sortes atteintes aux marques en lig</w:t>
      </w:r>
      <w:r w:rsidR="001E5043" w:rsidRPr="001E5043">
        <w:rPr>
          <w:szCs w:val="24"/>
          <w:lang w:val="fr-FR"/>
        </w:rPr>
        <w:t>ne.  En</w:t>
      </w:r>
      <w:r w:rsidRPr="001E5043">
        <w:rPr>
          <w:szCs w:val="24"/>
          <w:lang w:val="fr-FR"/>
        </w:rPr>
        <w:t xml:space="preserve"> </w:t>
      </w:r>
      <w:r w:rsidR="00EA6E80" w:rsidRPr="001E5043">
        <w:rPr>
          <w:szCs w:val="24"/>
          <w:lang w:val="fr-FR"/>
        </w:rPr>
        <w:t>novembre</w:t>
      </w:r>
      <w:r w:rsidRPr="001E5043">
        <w:rPr>
          <w:szCs w:val="24"/>
          <w:lang w:val="fr-FR"/>
        </w:rPr>
        <w:t> 202</w:t>
      </w:r>
      <w:r w:rsidR="00EA6E80" w:rsidRPr="001E5043">
        <w:rPr>
          <w:szCs w:val="24"/>
          <w:lang w:val="fr-FR"/>
        </w:rPr>
        <w:t>1</w:t>
      </w:r>
      <w:r w:rsidRPr="001E5043">
        <w:rPr>
          <w:szCs w:val="24"/>
          <w:lang w:val="fr-FR"/>
        </w:rPr>
        <w:t>, le nombre total de litiges relatifs à des noms de domaine soumis à l</w:t>
      </w:r>
      <w:r w:rsidR="00CE55B0" w:rsidRPr="001E5043">
        <w:rPr>
          <w:szCs w:val="24"/>
          <w:lang w:val="fr-FR"/>
        </w:rPr>
        <w:t>’</w:t>
      </w:r>
      <w:r w:rsidRPr="001E5043">
        <w:rPr>
          <w:szCs w:val="24"/>
          <w:lang w:val="fr-FR"/>
        </w:rPr>
        <w:t xml:space="preserve">OMPI en vertu des principes UDRP dépassait les </w:t>
      </w:r>
      <w:r w:rsidR="00EA6E80" w:rsidRPr="001E5043">
        <w:rPr>
          <w:szCs w:val="24"/>
          <w:lang w:val="fr-FR"/>
        </w:rPr>
        <w:t>100</w:t>
      </w:r>
      <w:r w:rsidRPr="001E5043">
        <w:rPr>
          <w:szCs w:val="24"/>
          <w:lang w:val="fr-FR"/>
        </w:rPr>
        <w:t> 000.  Les principaux secteurs d</w:t>
      </w:r>
      <w:r w:rsidR="00CE55B0" w:rsidRPr="001E5043">
        <w:rPr>
          <w:szCs w:val="24"/>
          <w:lang w:val="fr-FR"/>
        </w:rPr>
        <w:t>’</w:t>
      </w:r>
      <w:r w:rsidRPr="001E5043">
        <w:rPr>
          <w:szCs w:val="24"/>
          <w:lang w:val="fr-FR"/>
        </w:rPr>
        <w:t>activité des requérants, notamment la banque et la finance, l</w:t>
      </w:r>
      <w:r w:rsidR="00CE55B0" w:rsidRPr="001E5043">
        <w:rPr>
          <w:szCs w:val="24"/>
          <w:lang w:val="fr-FR"/>
        </w:rPr>
        <w:t>’</w:t>
      </w:r>
      <w:r w:rsidRPr="001E5043">
        <w:rPr>
          <w:szCs w:val="24"/>
          <w:lang w:val="fr-FR"/>
        </w:rPr>
        <w:t>Internet et les technologies de l</w:t>
      </w:r>
      <w:r w:rsidR="00CE55B0" w:rsidRPr="001E5043">
        <w:rPr>
          <w:szCs w:val="24"/>
          <w:lang w:val="fr-FR"/>
        </w:rPr>
        <w:t>’</w:t>
      </w:r>
      <w:r w:rsidRPr="001E5043">
        <w:rPr>
          <w:szCs w:val="24"/>
          <w:lang w:val="fr-FR"/>
        </w:rPr>
        <w:t xml:space="preserve">information, </w:t>
      </w:r>
      <w:r w:rsidR="00EA6E80" w:rsidRPr="001E5043">
        <w:rPr>
          <w:szCs w:val="24"/>
          <w:lang w:val="fr-FR"/>
        </w:rPr>
        <w:t xml:space="preserve">la biotechnologie et les produits pharmaceutiques, </w:t>
      </w:r>
      <w:r w:rsidRPr="001E5043">
        <w:rPr>
          <w:szCs w:val="24"/>
          <w:lang w:val="fr-FR"/>
        </w:rPr>
        <w:t xml:space="preserve">le commerce de détail, la mode et </w:t>
      </w:r>
      <w:r w:rsidR="00EA6E80" w:rsidRPr="001E5043">
        <w:rPr>
          <w:szCs w:val="24"/>
          <w:lang w:val="fr-FR"/>
        </w:rPr>
        <w:t>les produits alimentaires, les boissons et les restaurants</w:t>
      </w:r>
      <w:r w:rsidRPr="001E5043">
        <w:rPr>
          <w:szCs w:val="24"/>
          <w:lang w:val="fr-FR"/>
        </w:rPr>
        <w:t>, témoignent également de l</w:t>
      </w:r>
      <w:r w:rsidR="00CE55B0" w:rsidRPr="001E5043">
        <w:rPr>
          <w:szCs w:val="24"/>
          <w:lang w:val="fr-FR"/>
        </w:rPr>
        <w:t>’</w:t>
      </w:r>
      <w:r w:rsidRPr="001E5043">
        <w:rPr>
          <w:szCs w:val="24"/>
          <w:lang w:val="fr-FR"/>
        </w:rPr>
        <w:t>ampleur des risques pour les consommateurs.</w:t>
      </w:r>
    </w:p>
    <w:p w:rsidR="008E0BF9" w:rsidRPr="001E5043" w:rsidRDefault="008E0BF9" w:rsidP="003B5CD9">
      <w:pPr>
        <w:pStyle w:val="ONUMFS"/>
        <w:rPr>
          <w:szCs w:val="24"/>
          <w:lang w:val="fr-FR"/>
        </w:rPr>
      </w:pPr>
      <w:r w:rsidRPr="001E5043">
        <w:rPr>
          <w:szCs w:val="24"/>
          <w:lang w:val="fr-FR"/>
        </w:rPr>
        <w:t xml:space="preserve">Le </w:t>
      </w:r>
      <w:proofErr w:type="spellStart"/>
      <w:r w:rsidRPr="001E5043">
        <w:rPr>
          <w:szCs w:val="24"/>
          <w:lang w:val="fr-FR"/>
        </w:rPr>
        <w:t>cybersquattage</w:t>
      </w:r>
      <w:proofErr w:type="spellEnd"/>
      <w:r w:rsidRPr="001E5043">
        <w:rPr>
          <w:szCs w:val="24"/>
          <w:lang w:val="fr-FR"/>
        </w:rPr>
        <w:t>, c</w:t>
      </w:r>
      <w:r w:rsidR="00CE55B0" w:rsidRPr="001E5043">
        <w:rPr>
          <w:szCs w:val="24"/>
          <w:lang w:val="fr-FR"/>
        </w:rPr>
        <w:t>’</w:t>
      </w:r>
      <w:r w:rsidRPr="001E5043">
        <w:rPr>
          <w:szCs w:val="24"/>
          <w:lang w:val="fr-FR"/>
        </w:rPr>
        <w:t>est</w:t>
      </w:r>
      <w:r w:rsidR="00921588">
        <w:rPr>
          <w:szCs w:val="24"/>
          <w:lang w:val="fr-FR"/>
        </w:rPr>
        <w:noBreakHyphen/>
      </w:r>
      <w:r w:rsidRPr="001E5043">
        <w:rPr>
          <w:szCs w:val="24"/>
          <w:lang w:val="fr-FR"/>
        </w:rPr>
        <w:t>à</w:t>
      </w:r>
      <w:r w:rsidR="00921588">
        <w:rPr>
          <w:szCs w:val="24"/>
          <w:lang w:val="fr-FR"/>
        </w:rPr>
        <w:noBreakHyphen/>
      </w:r>
      <w:r w:rsidRPr="001E5043">
        <w:rPr>
          <w:szCs w:val="24"/>
          <w:lang w:val="fr-FR"/>
        </w:rPr>
        <w:t>dire l</w:t>
      </w:r>
      <w:r w:rsidR="00CE55B0" w:rsidRPr="001E5043">
        <w:rPr>
          <w:szCs w:val="24"/>
          <w:lang w:val="fr-FR"/>
        </w:rPr>
        <w:t>’</w:t>
      </w:r>
      <w:r w:rsidRPr="001E5043">
        <w:rPr>
          <w:szCs w:val="24"/>
          <w:lang w:val="fr-FR"/>
        </w:rPr>
        <w:t>incorporation abusive d</w:t>
      </w:r>
      <w:r w:rsidR="00CE55B0" w:rsidRPr="001E5043">
        <w:rPr>
          <w:szCs w:val="24"/>
          <w:lang w:val="fr-FR"/>
        </w:rPr>
        <w:t>’</w:t>
      </w:r>
      <w:r w:rsidRPr="001E5043">
        <w:rPr>
          <w:szCs w:val="24"/>
          <w:lang w:val="fr-FR"/>
        </w:rPr>
        <w:t>une marque dans un nom de domaine, est un problème mondi</w:t>
      </w:r>
      <w:r w:rsidR="001E5043" w:rsidRPr="001E5043">
        <w:rPr>
          <w:szCs w:val="24"/>
          <w:lang w:val="fr-FR"/>
        </w:rPr>
        <w:t>al.  Le</w:t>
      </w:r>
      <w:r w:rsidRPr="001E5043">
        <w:rPr>
          <w:szCs w:val="24"/>
          <w:lang w:val="fr-FR"/>
        </w:rPr>
        <w:t>s parties nommément désignées dans les procédures administrées par l</w:t>
      </w:r>
      <w:r w:rsidR="00CE55B0" w:rsidRPr="001E5043">
        <w:rPr>
          <w:szCs w:val="24"/>
          <w:lang w:val="fr-FR"/>
        </w:rPr>
        <w:t>’</w:t>
      </w:r>
      <w:r w:rsidRPr="001E5043">
        <w:rPr>
          <w:szCs w:val="24"/>
          <w:lang w:val="fr-FR"/>
        </w:rPr>
        <w:t>OMPI en 202</w:t>
      </w:r>
      <w:r w:rsidR="00EA6E80" w:rsidRPr="001E5043">
        <w:rPr>
          <w:szCs w:val="24"/>
          <w:lang w:val="fr-FR"/>
        </w:rPr>
        <w:t>1</w:t>
      </w:r>
      <w:r w:rsidRPr="001E5043">
        <w:rPr>
          <w:szCs w:val="24"/>
          <w:lang w:val="fr-FR"/>
        </w:rPr>
        <w:t xml:space="preserve"> représentaient 1</w:t>
      </w:r>
      <w:r w:rsidR="00EA6E80" w:rsidRPr="001E5043">
        <w:rPr>
          <w:szCs w:val="24"/>
          <w:lang w:val="fr-FR"/>
        </w:rPr>
        <w:t>3</w:t>
      </w:r>
      <w:r w:rsidRPr="001E5043">
        <w:rPr>
          <w:szCs w:val="24"/>
          <w:lang w:val="fr-FR"/>
        </w:rPr>
        <w:t>2</w:t>
      </w:r>
      <w:r w:rsidR="00EA6E80" w:rsidRPr="001E5043">
        <w:rPr>
          <w:szCs w:val="24"/>
          <w:lang w:val="fr-FR"/>
        </w:rPr>
        <w:t> </w:t>
      </w:r>
      <w:r w:rsidRPr="001E5043">
        <w:rPr>
          <w:szCs w:val="24"/>
          <w:lang w:val="fr-FR"/>
        </w:rPr>
        <w:t>pays, pour un total de 18</w:t>
      </w:r>
      <w:r w:rsidR="00EA6E80" w:rsidRPr="001E5043">
        <w:rPr>
          <w:szCs w:val="24"/>
          <w:lang w:val="fr-FR"/>
        </w:rPr>
        <w:t>3 p</w:t>
      </w:r>
      <w:r w:rsidRPr="001E5043">
        <w:rPr>
          <w:szCs w:val="24"/>
          <w:lang w:val="fr-FR"/>
        </w:rPr>
        <w:t>ays depuis la création de ce mécanis</w:t>
      </w:r>
      <w:r w:rsidR="001E5043" w:rsidRPr="001E5043">
        <w:rPr>
          <w:szCs w:val="24"/>
          <w:lang w:val="fr-FR"/>
        </w:rPr>
        <w:t>me.  En</w:t>
      </w:r>
      <w:r w:rsidRPr="001E5043">
        <w:rPr>
          <w:szCs w:val="24"/>
          <w:lang w:val="fr-FR"/>
        </w:rPr>
        <w:t xml:space="preserve"> fonction de la langue du contrat d</w:t>
      </w:r>
      <w:r w:rsidR="00CE55B0" w:rsidRPr="001E5043">
        <w:rPr>
          <w:szCs w:val="24"/>
          <w:lang w:val="fr-FR"/>
        </w:rPr>
        <w:t>’</w:t>
      </w:r>
      <w:r w:rsidRPr="001E5043">
        <w:rPr>
          <w:szCs w:val="24"/>
          <w:lang w:val="fr-FR"/>
        </w:rPr>
        <w:t>enregistrement relatif au nom de domaine en cause, l</w:t>
      </w:r>
      <w:r w:rsidR="00CE55B0" w:rsidRPr="001E5043">
        <w:rPr>
          <w:szCs w:val="24"/>
          <w:lang w:val="fr-FR"/>
        </w:rPr>
        <w:t>’</w:t>
      </w:r>
      <w:r w:rsidRPr="001E5043">
        <w:rPr>
          <w:szCs w:val="24"/>
          <w:lang w:val="fr-FR"/>
        </w:rPr>
        <w:t>OMPI a conduit jusqu</w:t>
      </w:r>
      <w:r w:rsidR="00CE55B0" w:rsidRPr="001E5043">
        <w:rPr>
          <w:szCs w:val="24"/>
          <w:lang w:val="fr-FR"/>
        </w:rPr>
        <w:t>’</w:t>
      </w:r>
      <w:r w:rsidRPr="001E5043">
        <w:rPr>
          <w:szCs w:val="24"/>
          <w:lang w:val="fr-FR"/>
        </w:rPr>
        <w:t>ici des procédures en vertu des principes UDRP dans 23</w:t>
      </w:r>
      <w:r w:rsidR="001E5043">
        <w:rPr>
          <w:szCs w:val="24"/>
          <w:lang w:val="fr-FR"/>
        </w:rPr>
        <w:t> </w:t>
      </w:r>
      <w:r w:rsidRPr="001E5043">
        <w:rPr>
          <w:szCs w:val="24"/>
          <w:lang w:val="fr-FR"/>
        </w:rPr>
        <w:t>langues</w:t>
      </w:r>
      <w:r w:rsidRPr="001E5043">
        <w:rPr>
          <w:rStyle w:val="FootnoteReference"/>
          <w:szCs w:val="24"/>
          <w:lang w:val="fr-FR"/>
        </w:rPr>
        <w:footnoteReference w:id="34"/>
      </w:r>
      <w:r w:rsidRPr="001E5043">
        <w:rPr>
          <w:szCs w:val="24"/>
          <w:lang w:val="fr-FR"/>
        </w:rPr>
        <w:t>.</w:t>
      </w:r>
    </w:p>
    <w:p w:rsidR="008E0BF9" w:rsidRPr="001E5043" w:rsidRDefault="008E0BF9" w:rsidP="003B5CD9">
      <w:pPr>
        <w:pStyle w:val="ONUMFS"/>
        <w:rPr>
          <w:szCs w:val="24"/>
          <w:lang w:val="fr-FR"/>
        </w:rPr>
      </w:pPr>
      <w:r w:rsidRPr="001E5043">
        <w:rPr>
          <w:szCs w:val="24"/>
          <w:lang w:val="fr-FR"/>
        </w:rPr>
        <w:t>Toutes les décisions rendues par les commissions administratives de l</w:t>
      </w:r>
      <w:r w:rsidR="00CE55B0" w:rsidRPr="001E5043">
        <w:rPr>
          <w:szCs w:val="24"/>
          <w:lang w:val="fr-FR"/>
        </w:rPr>
        <w:t>’</w:t>
      </w:r>
      <w:r w:rsidRPr="001E5043">
        <w:rPr>
          <w:szCs w:val="24"/>
          <w:lang w:val="fr-FR"/>
        </w:rPr>
        <w:t>OMPI sont publiées sur le site Web du Cent</w:t>
      </w:r>
      <w:r w:rsidR="001E5043" w:rsidRPr="001E5043">
        <w:rPr>
          <w:szCs w:val="24"/>
          <w:lang w:val="fr-FR"/>
        </w:rPr>
        <w:t>re.  La</w:t>
      </w:r>
      <w:r w:rsidRPr="001E5043">
        <w:rPr>
          <w:szCs w:val="24"/>
          <w:lang w:val="fr-FR"/>
        </w:rPr>
        <w:t xml:space="preserve"> “Synthèse des avis des commissions administratives de l</w:t>
      </w:r>
      <w:r w:rsidR="00CE55B0" w:rsidRPr="001E5043">
        <w:rPr>
          <w:szCs w:val="24"/>
          <w:lang w:val="fr-FR"/>
        </w:rPr>
        <w:t>’</w:t>
      </w:r>
      <w:r w:rsidRPr="001E5043">
        <w:rPr>
          <w:szCs w:val="24"/>
          <w:lang w:val="fr-FR"/>
        </w:rPr>
        <w:t>OMPI sur certaines questions relatives aux principes UDRP” publiée en ligne par le Centre et accessible gratuitement reste une synthèse essentielle de la jurisprudence en ce qui concerne les tendances des décisions rendues sur certaines questions importantes consultée dans le monde entier qui couvre plus d</w:t>
      </w:r>
      <w:r w:rsidR="00CE55B0" w:rsidRPr="001E5043">
        <w:rPr>
          <w:szCs w:val="24"/>
          <w:lang w:val="fr-FR"/>
        </w:rPr>
        <w:t>’</w:t>
      </w:r>
      <w:r w:rsidRPr="001E5043">
        <w:rPr>
          <w:szCs w:val="24"/>
          <w:lang w:val="fr-FR"/>
        </w:rPr>
        <w:t>une centaine de thèmes et qui recense près d</w:t>
      </w:r>
      <w:r w:rsidR="00CE55B0" w:rsidRPr="001E5043">
        <w:rPr>
          <w:szCs w:val="24"/>
          <w:lang w:val="fr-FR"/>
        </w:rPr>
        <w:t>’</w:t>
      </w:r>
      <w:r w:rsidRPr="001E5043">
        <w:rPr>
          <w:szCs w:val="24"/>
          <w:lang w:val="fr-FR"/>
        </w:rPr>
        <w:t>un millier de décisions rendues par plus de 265</w:t>
      </w:r>
      <w:r w:rsidR="001E5043">
        <w:rPr>
          <w:szCs w:val="24"/>
          <w:lang w:val="fr-FR"/>
        </w:rPr>
        <w:t> </w:t>
      </w:r>
      <w:r w:rsidRPr="001E5043">
        <w:rPr>
          <w:szCs w:val="24"/>
          <w:lang w:val="fr-FR"/>
        </w:rPr>
        <w:t>experts de l</w:t>
      </w:r>
      <w:r w:rsidR="00CE55B0" w:rsidRPr="001E5043">
        <w:rPr>
          <w:szCs w:val="24"/>
          <w:lang w:val="fr-FR"/>
        </w:rPr>
        <w:t>’</w:t>
      </w:r>
      <w:r w:rsidRPr="001E5043">
        <w:rPr>
          <w:szCs w:val="24"/>
          <w:lang w:val="fr-FR"/>
        </w:rPr>
        <w:t>OMPI</w:t>
      </w:r>
      <w:r w:rsidRPr="001E5043">
        <w:rPr>
          <w:rStyle w:val="FootnoteReference"/>
          <w:szCs w:val="24"/>
          <w:lang w:val="fr-FR"/>
        </w:rPr>
        <w:footnoteReference w:id="35"/>
      </w:r>
      <w:r w:rsidRPr="001E5043">
        <w:rPr>
          <w:szCs w:val="24"/>
          <w:lang w:val="fr-FR"/>
        </w:rPr>
        <w:t>.  Pour faciliter l</w:t>
      </w:r>
      <w:r w:rsidR="00CE55B0" w:rsidRPr="001E5043">
        <w:rPr>
          <w:szCs w:val="24"/>
          <w:lang w:val="fr-FR"/>
        </w:rPr>
        <w:t>’</w:t>
      </w:r>
      <w:r w:rsidRPr="001E5043">
        <w:rPr>
          <w:szCs w:val="24"/>
          <w:lang w:val="fr-FR"/>
        </w:rPr>
        <w:t>accès thématique à ces décisions, le Centre met aussi à disposition un index juridique des décisions rendues en vertu des principes UDRP qui permet d</w:t>
      </w:r>
      <w:r w:rsidR="00CE55B0" w:rsidRPr="001E5043">
        <w:rPr>
          <w:szCs w:val="24"/>
          <w:lang w:val="fr-FR"/>
        </w:rPr>
        <w:t>’</w:t>
      </w:r>
      <w:r w:rsidRPr="001E5043">
        <w:rPr>
          <w:szCs w:val="24"/>
          <w:lang w:val="fr-FR"/>
        </w:rPr>
        <w:t>effectuer des recherches en ligne</w:t>
      </w:r>
      <w:r w:rsidRPr="001E5043">
        <w:rPr>
          <w:rStyle w:val="FootnoteReference"/>
          <w:szCs w:val="24"/>
          <w:lang w:val="fr-FR"/>
        </w:rPr>
        <w:footnoteReference w:id="36"/>
      </w:r>
      <w:r w:rsidRPr="001E5043">
        <w:rPr>
          <w:szCs w:val="24"/>
          <w:lang w:val="fr-FR"/>
        </w:rPr>
        <w:t>.</w:t>
      </w:r>
    </w:p>
    <w:p w:rsidR="008E0BF9" w:rsidRPr="001E5043" w:rsidRDefault="008E0BF9" w:rsidP="003B5CD9">
      <w:pPr>
        <w:pStyle w:val="ONUMFS"/>
        <w:rPr>
          <w:szCs w:val="24"/>
          <w:lang w:val="fr-FR"/>
        </w:rPr>
      </w:pPr>
      <w:r w:rsidRPr="001E5043">
        <w:rPr>
          <w:szCs w:val="24"/>
          <w:lang w:val="fr-FR"/>
        </w:rPr>
        <w:t>Conscient du rôle moteur joué par l</w:t>
      </w:r>
      <w:r w:rsidR="00CE55B0" w:rsidRPr="001E5043">
        <w:rPr>
          <w:szCs w:val="24"/>
          <w:lang w:val="fr-FR"/>
        </w:rPr>
        <w:t>’</w:t>
      </w:r>
      <w:r w:rsidRPr="001E5043">
        <w:rPr>
          <w:szCs w:val="24"/>
          <w:lang w:val="fr-FR"/>
        </w:rPr>
        <w:t>OMPI e</w:t>
      </w:r>
      <w:r w:rsidR="00921588">
        <w:rPr>
          <w:szCs w:val="24"/>
          <w:lang w:val="fr-FR"/>
        </w:rPr>
        <w:t>n ce qui concerne les principes </w:t>
      </w:r>
      <w:r w:rsidRPr="001E5043">
        <w:rPr>
          <w:szCs w:val="24"/>
          <w:lang w:val="fr-FR"/>
        </w:rPr>
        <w:t>UDRP, le Centre se tient activement informé des évolutions à l</w:t>
      </w:r>
      <w:r w:rsidR="00CE55B0" w:rsidRPr="001E5043">
        <w:rPr>
          <w:szCs w:val="24"/>
          <w:lang w:val="fr-FR"/>
        </w:rPr>
        <w:t>’</w:t>
      </w:r>
      <w:r w:rsidRPr="001E5043">
        <w:rPr>
          <w:szCs w:val="24"/>
          <w:lang w:val="fr-FR"/>
        </w:rPr>
        <w:t>œuvre dans le DNS afin d</w:t>
      </w:r>
      <w:r w:rsidR="00CE55B0" w:rsidRPr="001E5043">
        <w:rPr>
          <w:szCs w:val="24"/>
          <w:lang w:val="fr-FR"/>
        </w:rPr>
        <w:t>’</w:t>
      </w:r>
      <w:r w:rsidRPr="001E5043">
        <w:rPr>
          <w:szCs w:val="24"/>
          <w:lang w:val="fr-FR"/>
        </w:rPr>
        <w:t>ajuster ses ressources et ses pratiques</w:t>
      </w:r>
      <w:r w:rsidRPr="001E5043">
        <w:rPr>
          <w:rStyle w:val="FootnoteReference"/>
          <w:szCs w:val="24"/>
          <w:lang w:val="fr-FR"/>
        </w:rPr>
        <w:footnoteReference w:id="37"/>
      </w:r>
      <w:r w:rsidRPr="001E5043">
        <w:rPr>
          <w:szCs w:val="24"/>
          <w:lang w:val="fr-FR"/>
        </w:rPr>
        <w:t>.  Il organise des ateliers sur le règlement des litiges relatifs aux noms de domaine pour informer les parties intéressées</w:t>
      </w:r>
      <w:r w:rsidRPr="001E5043">
        <w:rPr>
          <w:rStyle w:val="FootnoteReference"/>
          <w:szCs w:val="24"/>
          <w:lang w:val="fr-FR"/>
        </w:rPr>
        <w:footnoteReference w:id="38"/>
      </w:r>
      <w:r w:rsidRPr="001E5043">
        <w:rPr>
          <w:szCs w:val="24"/>
          <w:lang w:val="fr-FR"/>
        </w:rPr>
        <w:t>, ainsi que d</w:t>
      </w:r>
      <w:r w:rsidR="00CE55B0" w:rsidRPr="001E5043">
        <w:rPr>
          <w:szCs w:val="24"/>
          <w:lang w:val="fr-FR"/>
        </w:rPr>
        <w:t>’</w:t>
      </w:r>
      <w:r w:rsidRPr="001E5043">
        <w:rPr>
          <w:szCs w:val="24"/>
          <w:lang w:val="fr-FR"/>
        </w:rPr>
        <w:t>importantes réunions à l</w:t>
      </w:r>
      <w:r w:rsidR="00CE55B0" w:rsidRPr="001E5043">
        <w:rPr>
          <w:szCs w:val="24"/>
          <w:lang w:val="fr-FR"/>
        </w:rPr>
        <w:t>’</w:t>
      </w:r>
      <w:r w:rsidRPr="001E5043">
        <w:rPr>
          <w:szCs w:val="24"/>
          <w:lang w:val="fr-FR"/>
        </w:rPr>
        <w:t>intention de ses experts des noms de domaine.</w:t>
      </w:r>
    </w:p>
    <w:p w:rsidR="008E0BF9" w:rsidRPr="001E5043" w:rsidRDefault="002B3C37" w:rsidP="002B3C37">
      <w:pPr>
        <w:pStyle w:val="Heading3"/>
      </w:pPr>
      <w:r w:rsidRPr="001E5043">
        <w:lastRenderedPageBreak/>
        <w:t>Domaines de premier niveau qui sont des codes de pays (ccTLD)</w:t>
      </w:r>
    </w:p>
    <w:p w:rsidR="008E0BF9" w:rsidRPr="001E5043" w:rsidRDefault="008E0BF9" w:rsidP="003B5CD9">
      <w:pPr>
        <w:pStyle w:val="ONUMFS"/>
        <w:rPr>
          <w:lang w:val="fr-FR"/>
        </w:rPr>
      </w:pPr>
      <w:r w:rsidRPr="001E5043">
        <w:rPr>
          <w:lang w:val="fr-FR"/>
        </w:rPr>
        <w:t>L</w:t>
      </w:r>
      <w:r w:rsidR="00CE55B0" w:rsidRPr="001E5043">
        <w:rPr>
          <w:lang w:val="fr-FR"/>
        </w:rPr>
        <w:t>’</w:t>
      </w:r>
      <w:r w:rsidRPr="001E5043">
        <w:rPr>
          <w:lang w:val="fr-FR"/>
        </w:rPr>
        <w:t xml:space="preserve">application obligatoire des principes UDRP est limitée aux noms de domaine enregistrés dans les </w:t>
      </w:r>
      <w:proofErr w:type="spellStart"/>
      <w:r w:rsidRPr="001E5043">
        <w:rPr>
          <w:lang w:val="fr-FR"/>
        </w:rPr>
        <w:t>gTLD</w:t>
      </w:r>
      <w:proofErr w:type="spellEnd"/>
      <w:r w:rsidRPr="001E5043">
        <w:rPr>
          <w:lang w:val="fr-FR"/>
        </w:rPr>
        <w:t xml:space="preserve"> traditionnels, tels que .com, mais le Centre aide également de nombreux services d</w:t>
      </w:r>
      <w:r w:rsidR="00CE55B0" w:rsidRPr="001E5043">
        <w:rPr>
          <w:lang w:val="fr-FR"/>
        </w:rPr>
        <w:t>’</w:t>
      </w:r>
      <w:r w:rsidRPr="001E5043">
        <w:rPr>
          <w:lang w:val="fr-FR"/>
        </w:rPr>
        <w:t xml:space="preserve">enregistrement de </w:t>
      </w:r>
      <w:proofErr w:type="spellStart"/>
      <w:r w:rsidRPr="001E5043">
        <w:rPr>
          <w:lang w:val="fr-FR"/>
        </w:rPr>
        <w:t>ccTLD</w:t>
      </w:r>
      <w:proofErr w:type="spellEnd"/>
      <w:r w:rsidRPr="001E5043">
        <w:rPr>
          <w:lang w:val="fr-FR"/>
        </w:rPr>
        <w:t xml:space="preserve"> à établir des conditions d</w:t>
      </w:r>
      <w:r w:rsidR="00CE55B0" w:rsidRPr="001E5043">
        <w:rPr>
          <w:lang w:val="fr-FR"/>
        </w:rPr>
        <w:t>’</w:t>
      </w:r>
      <w:r w:rsidRPr="001E5043">
        <w:rPr>
          <w:lang w:val="fr-FR"/>
        </w:rPr>
        <w:t>enregistrement et des procédures de règlement des litiges conformes aux pratiques recommandées en matière de gestion des services d</w:t>
      </w:r>
      <w:r w:rsidR="00CE55B0" w:rsidRPr="001E5043">
        <w:rPr>
          <w:lang w:val="fr-FR"/>
        </w:rPr>
        <w:t>’</w:t>
      </w:r>
      <w:r w:rsidRPr="001E5043">
        <w:rPr>
          <w:lang w:val="fr-FR"/>
        </w:rPr>
        <w:t>enregistrement et de protection de la propriété intellectuelle</w:t>
      </w:r>
      <w:r w:rsidRPr="001E5043">
        <w:rPr>
          <w:rStyle w:val="FootnoteReference"/>
          <w:lang w:val="fr-FR"/>
        </w:rPr>
        <w:footnoteReference w:id="39"/>
      </w:r>
      <w:r w:rsidRPr="001E5043">
        <w:rPr>
          <w:lang w:val="fr-FR"/>
        </w:rPr>
        <w:t>.  Certains services d</w:t>
      </w:r>
      <w:r w:rsidR="00CE55B0" w:rsidRPr="001E5043">
        <w:rPr>
          <w:lang w:val="fr-FR"/>
        </w:rPr>
        <w:t>’</w:t>
      </w:r>
      <w:r w:rsidRPr="001E5043">
        <w:rPr>
          <w:lang w:val="fr-FR"/>
        </w:rPr>
        <w:t xml:space="preserve">enregistrement dans les </w:t>
      </w:r>
      <w:proofErr w:type="spellStart"/>
      <w:r w:rsidRPr="001E5043">
        <w:rPr>
          <w:lang w:val="fr-FR"/>
        </w:rPr>
        <w:t>ccTLD</w:t>
      </w:r>
      <w:proofErr w:type="spellEnd"/>
      <w:r w:rsidRPr="001E5043">
        <w:rPr>
          <w:lang w:val="fr-FR"/>
        </w:rPr>
        <w:t xml:space="preserve"> adoptent directement les principes UDRP, tandis que d</w:t>
      </w:r>
      <w:r w:rsidR="00CE55B0" w:rsidRPr="001E5043">
        <w:rPr>
          <w:lang w:val="fr-FR"/>
        </w:rPr>
        <w:t>’</w:t>
      </w:r>
      <w:r w:rsidRPr="001E5043">
        <w:rPr>
          <w:lang w:val="fr-FR"/>
        </w:rPr>
        <w:t xml:space="preserve">autres ont adopté des procédures fondées sur les principes UDRP qui tiennent compte de la situation et des besoins particuliers des différents </w:t>
      </w:r>
      <w:proofErr w:type="spellStart"/>
      <w:r w:rsidRPr="001E5043">
        <w:rPr>
          <w:lang w:val="fr-FR"/>
        </w:rPr>
        <w:t>cc</w:t>
      </w:r>
      <w:r w:rsidR="001E5043" w:rsidRPr="001E5043">
        <w:rPr>
          <w:lang w:val="fr-FR"/>
        </w:rPr>
        <w:t>TLD</w:t>
      </w:r>
      <w:proofErr w:type="spellEnd"/>
      <w:r w:rsidR="001E5043" w:rsidRPr="001E5043">
        <w:rPr>
          <w:lang w:val="fr-FR"/>
        </w:rPr>
        <w:t>.  Le</w:t>
      </w:r>
      <w:r w:rsidRPr="001E5043">
        <w:rPr>
          <w:lang w:val="fr-FR"/>
        </w:rPr>
        <w:t xml:space="preserve"> Centre fournit des services de règlement des litiges relatifs aux noms de domaine à plus de </w:t>
      </w:r>
      <w:r w:rsidR="00C423BD" w:rsidRPr="001E5043">
        <w:rPr>
          <w:lang w:val="fr-FR"/>
        </w:rPr>
        <w:t>80 </w:t>
      </w:r>
      <w:r w:rsidRPr="001E5043">
        <w:rPr>
          <w:lang w:val="fr-FR"/>
        </w:rPr>
        <w:t>services d</w:t>
      </w:r>
      <w:r w:rsidR="00CE55B0" w:rsidRPr="001E5043">
        <w:rPr>
          <w:lang w:val="fr-FR"/>
        </w:rPr>
        <w:t>’</w:t>
      </w:r>
      <w:r w:rsidRPr="001E5043">
        <w:rPr>
          <w:lang w:val="fr-FR"/>
        </w:rPr>
        <w:t xml:space="preserve">enregistrement dans les </w:t>
      </w:r>
      <w:proofErr w:type="spellStart"/>
      <w:r w:rsidRPr="001E5043">
        <w:rPr>
          <w:lang w:val="fr-FR"/>
        </w:rPr>
        <w:t>ccTLD</w:t>
      </w:r>
      <w:proofErr w:type="spellEnd"/>
      <w:r w:rsidRPr="001E5043">
        <w:rPr>
          <w:lang w:val="fr-FR"/>
        </w:rPr>
        <w:t xml:space="preserve">, dont les domaines </w:t>
      </w:r>
      <w:r w:rsidR="00C423BD" w:rsidRPr="001E5043">
        <w:rPr>
          <w:lang w:val="fr-FR"/>
        </w:rPr>
        <w:t xml:space="preserve">.BH et </w:t>
      </w:r>
      <w:proofErr w:type="spellStart"/>
      <w:r w:rsidR="00C423BD" w:rsidRPr="001E5043">
        <w:rPr>
          <w:lang w:val="fr-FR"/>
        </w:rPr>
        <w:t>البحرين</w:t>
      </w:r>
      <w:proofErr w:type="spellEnd"/>
      <w:r w:rsidR="00C423BD" w:rsidRPr="001E5043">
        <w:rPr>
          <w:lang w:val="fr-FR"/>
        </w:rPr>
        <w:t>. (Bahreïn) et .SN (Sénégal) ajoutés depuis les dernières assemblées</w:t>
      </w:r>
      <w:r w:rsidRPr="001E5043">
        <w:rPr>
          <w:vertAlign w:val="superscript"/>
          <w:lang w:val="fr-FR"/>
        </w:rPr>
        <w:footnoteReference w:id="40"/>
      </w:r>
      <w:r w:rsidRPr="001E5043">
        <w:rPr>
          <w:lang w:val="fr-FR"/>
        </w:rPr>
        <w:t>.</w:t>
      </w:r>
    </w:p>
    <w:p w:rsidR="008E0BF9" w:rsidRPr="001E5043" w:rsidRDefault="008E0BF9" w:rsidP="003B5CD9">
      <w:pPr>
        <w:pStyle w:val="ONUMFS"/>
        <w:rPr>
          <w:lang w:val="fr-FR"/>
        </w:rPr>
      </w:pPr>
      <w:r w:rsidRPr="001E5043">
        <w:rPr>
          <w:lang w:val="fr-FR"/>
        </w:rPr>
        <w:t xml:space="preserve">Pour tous les </w:t>
      </w:r>
      <w:proofErr w:type="spellStart"/>
      <w:r w:rsidRPr="001E5043">
        <w:rPr>
          <w:lang w:val="fr-FR"/>
        </w:rPr>
        <w:t>ccTLD</w:t>
      </w:r>
      <w:proofErr w:type="spellEnd"/>
      <w:r w:rsidRPr="001E5043">
        <w:rPr>
          <w:lang w:val="fr-FR"/>
        </w:rPr>
        <w:t xml:space="preserve"> concernés, le Centre offre de très nombreuses ressources en ligne à l</w:t>
      </w:r>
      <w:r w:rsidR="00CE55B0" w:rsidRPr="001E5043">
        <w:rPr>
          <w:lang w:val="fr-FR"/>
        </w:rPr>
        <w:t>’</w:t>
      </w:r>
      <w:r w:rsidRPr="001E5043">
        <w:rPr>
          <w:lang w:val="fr-FR"/>
        </w:rPr>
        <w:t>intention des parties, s</w:t>
      </w:r>
      <w:r w:rsidR="00CE55B0" w:rsidRPr="001E5043">
        <w:rPr>
          <w:lang w:val="fr-FR"/>
        </w:rPr>
        <w:t>’</w:t>
      </w:r>
      <w:r w:rsidRPr="001E5043">
        <w:rPr>
          <w:lang w:val="fr-FR"/>
        </w:rPr>
        <w:t>agissant notamment des critères à remplir pour prétendre à un enregistrement, des caractères pris en charge, de communications types et de renseignements multilingues sur le dépôt des demandes</w:t>
      </w:r>
      <w:r w:rsidRPr="001E5043">
        <w:rPr>
          <w:rStyle w:val="FootnoteReference"/>
          <w:lang w:val="fr-FR"/>
        </w:rPr>
        <w:footnoteReference w:id="41"/>
      </w:r>
      <w:r w:rsidRPr="001E5043">
        <w:rPr>
          <w:lang w:val="fr-FR"/>
        </w:rPr>
        <w:t xml:space="preserve">, ainsi que de résumés des différences à prendre en considération entre les politiques relatives aux </w:t>
      </w:r>
      <w:proofErr w:type="spellStart"/>
      <w:r w:rsidRPr="001E5043">
        <w:rPr>
          <w:lang w:val="fr-FR"/>
        </w:rPr>
        <w:t>ccTLD</w:t>
      </w:r>
      <w:proofErr w:type="spellEnd"/>
      <w:r w:rsidRPr="001E5043">
        <w:rPr>
          <w:lang w:val="fr-FR"/>
        </w:rPr>
        <w:t xml:space="preserve"> inspirées des principes UDRP et les principes UDRP proprement dits</w:t>
      </w:r>
      <w:r w:rsidRPr="001E5043">
        <w:rPr>
          <w:rStyle w:val="FootnoteReference"/>
          <w:lang w:val="fr-FR"/>
        </w:rPr>
        <w:footnoteReference w:id="42"/>
      </w:r>
      <w:r w:rsidRPr="001E5043">
        <w:rPr>
          <w:lang w:val="fr-FR"/>
        </w:rPr>
        <w:t>.  Ces informations sont résumées dans le “Guide des services de l</w:t>
      </w:r>
      <w:r w:rsidR="00CE55B0" w:rsidRPr="001E5043">
        <w:rPr>
          <w:lang w:val="fr-FR"/>
        </w:rPr>
        <w:t>’</w:t>
      </w:r>
      <w:r w:rsidRPr="001E5043">
        <w:rPr>
          <w:lang w:val="fr-FR"/>
        </w:rPr>
        <w:t>OMPI relatifs aux services d</w:t>
      </w:r>
      <w:r w:rsidR="00CE55B0" w:rsidRPr="001E5043">
        <w:rPr>
          <w:lang w:val="fr-FR"/>
        </w:rPr>
        <w:t>’</w:t>
      </w:r>
      <w:r w:rsidRPr="001E5043">
        <w:rPr>
          <w:lang w:val="fr-FR"/>
        </w:rPr>
        <w:t>enregistrement dans les domaines de premier niveau qui sont des codes de pays”</w:t>
      </w:r>
      <w:r w:rsidRPr="001E5043">
        <w:rPr>
          <w:rStyle w:val="FootnoteReference"/>
          <w:lang w:val="fr-FR"/>
        </w:rPr>
        <w:footnoteReference w:id="43"/>
      </w:r>
      <w:r w:rsidRPr="001E5043">
        <w:rPr>
          <w:lang w:val="fr-FR"/>
        </w:rPr>
        <w:t>.</w:t>
      </w:r>
    </w:p>
    <w:p w:rsidR="008E0BF9" w:rsidRPr="001E5043" w:rsidRDefault="002B3C37" w:rsidP="002B3C37">
      <w:pPr>
        <w:pStyle w:val="Heading2"/>
        <w:rPr>
          <w:lang w:val="fr-FR"/>
        </w:rPr>
      </w:pPr>
      <w:r w:rsidRPr="001E5043">
        <w:rPr>
          <w:lang w:val="fr-FR"/>
        </w:rPr>
        <w:t>Faits nouveaux dans le DNS</w:t>
      </w:r>
    </w:p>
    <w:p w:rsidR="008E0BF9" w:rsidRPr="001E5043" w:rsidRDefault="008E0BF9" w:rsidP="003B5CD9">
      <w:pPr>
        <w:pStyle w:val="ONUMFS"/>
        <w:rPr>
          <w:lang w:val="fr-FR"/>
        </w:rPr>
      </w:pPr>
      <w:r w:rsidRPr="001E5043">
        <w:rPr>
          <w:lang w:val="fr-FR"/>
        </w:rPr>
        <w:t>Plusieurs initiatives de politique générale de l</w:t>
      </w:r>
      <w:r w:rsidR="00CE55B0" w:rsidRPr="001E5043">
        <w:rPr>
          <w:lang w:val="fr-FR"/>
        </w:rPr>
        <w:t>’</w:t>
      </w:r>
      <w:r w:rsidRPr="001E5043">
        <w:rPr>
          <w:lang w:val="fr-FR"/>
        </w:rPr>
        <w:t>ICANN créent non seulement des opportunités mais également des difficultés pour les titulaires de droits de propriété intellectuelle et les utilisateu</w:t>
      </w:r>
      <w:r w:rsidR="001E5043" w:rsidRPr="001E5043">
        <w:rPr>
          <w:lang w:val="fr-FR"/>
        </w:rPr>
        <w:t>rs.  La</w:t>
      </w:r>
      <w:r w:rsidRPr="001E5043">
        <w:rPr>
          <w:lang w:val="fr-FR"/>
        </w:rPr>
        <w:t xml:space="preserve"> première concerne l</w:t>
      </w:r>
      <w:r w:rsidR="00CE55B0" w:rsidRPr="001E5043">
        <w:rPr>
          <w:lang w:val="fr-FR"/>
        </w:rPr>
        <w:t>’</w:t>
      </w:r>
      <w:r w:rsidRPr="001E5043">
        <w:rPr>
          <w:lang w:val="fr-FR"/>
        </w:rPr>
        <w:t xml:space="preserve">introduction en masse de nouveaux </w:t>
      </w:r>
      <w:proofErr w:type="spellStart"/>
      <w:r w:rsidRPr="001E5043">
        <w:rPr>
          <w:lang w:val="fr-FR"/>
        </w:rPr>
        <w:t>gTLD</w:t>
      </w:r>
      <w:proofErr w:type="spellEnd"/>
      <w:r w:rsidRPr="001E5043">
        <w:rPr>
          <w:lang w:val="fr-FR"/>
        </w:rPr>
        <w:t xml:space="preserve"> par l</w:t>
      </w:r>
      <w:r w:rsidR="00CE55B0" w:rsidRPr="001E5043">
        <w:rPr>
          <w:lang w:val="fr-FR"/>
        </w:rPr>
        <w:t>’</w:t>
      </w:r>
      <w:r w:rsidRPr="001E5043">
        <w:rPr>
          <w:lang w:val="fr-FR"/>
        </w:rPr>
        <w:t>IC</w:t>
      </w:r>
      <w:r w:rsidR="001E5043" w:rsidRPr="001E5043">
        <w:rPr>
          <w:lang w:val="fr-FR"/>
        </w:rPr>
        <w:t>ANN.  Ce</w:t>
      </w:r>
      <w:r w:rsidRPr="001E5043">
        <w:rPr>
          <w:lang w:val="fr-FR"/>
        </w:rPr>
        <w:t xml:space="preserve">s nouveaux domaines génériques de premier niveau peuvent être de nature “ouverte” (similaires à .com), ou plus spécifique ou restrictive, par </w:t>
      </w:r>
      <w:proofErr w:type="gramStart"/>
      <w:r w:rsidRPr="001E5043">
        <w:rPr>
          <w:lang w:val="fr-FR"/>
        </w:rPr>
        <w:t>exemple .</w:t>
      </w:r>
      <w:proofErr w:type="gramEnd"/>
      <w:r w:rsidRPr="001E5043">
        <w:rPr>
          <w:lang w:val="fr-FR"/>
        </w:rPr>
        <w:t>[marque], .[ville], .[collectivité], .[culture], .[industrie] ou .[langue].  Un facteur important de cette croissance du DNS a été l</w:t>
      </w:r>
      <w:r w:rsidR="00CE55B0" w:rsidRPr="001E5043">
        <w:rPr>
          <w:lang w:val="fr-FR"/>
        </w:rPr>
        <w:t>’</w:t>
      </w:r>
      <w:r w:rsidRPr="001E5043">
        <w:rPr>
          <w:lang w:val="fr-FR"/>
        </w:rPr>
        <w:t>introduction de noms de domaine internationalisés au premier niveau, qui a permis d</w:t>
      </w:r>
      <w:r w:rsidR="00CE55B0" w:rsidRPr="001E5043">
        <w:rPr>
          <w:lang w:val="fr-FR"/>
        </w:rPr>
        <w:t>’</w:t>
      </w:r>
      <w:r w:rsidRPr="001E5043">
        <w:rPr>
          <w:lang w:val="fr-FR"/>
        </w:rPr>
        <w:t>étendre la couverture linguistique du </w:t>
      </w:r>
      <w:r w:rsidR="001E5043" w:rsidRPr="001E5043">
        <w:rPr>
          <w:lang w:val="fr-FR"/>
        </w:rPr>
        <w:t>DNS.  En</w:t>
      </w:r>
      <w:r w:rsidRPr="001E5043">
        <w:rPr>
          <w:lang w:val="fr-FR"/>
        </w:rPr>
        <w:t xml:space="preserve"> outre, l</w:t>
      </w:r>
      <w:r w:rsidR="00CE55B0" w:rsidRPr="001E5043">
        <w:rPr>
          <w:lang w:val="fr-FR"/>
        </w:rPr>
        <w:t>’</w:t>
      </w:r>
      <w:r w:rsidRPr="001E5043">
        <w:rPr>
          <w:lang w:val="fr-FR"/>
        </w:rPr>
        <w:t>expansion du DNS envisagée par l</w:t>
      </w:r>
      <w:r w:rsidR="00CE55B0" w:rsidRPr="001E5043">
        <w:rPr>
          <w:lang w:val="fr-FR"/>
        </w:rPr>
        <w:t>’</w:t>
      </w:r>
      <w:r w:rsidRPr="001E5043">
        <w:rPr>
          <w:lang w:val="fr-FR"/>
        </w:rPr>
        <w:t>ICANN soulève des questions de protection des droits en rapport avec le deuxième processus de consultations de l</w:t>
      </w:r>
      <w:r w:rsidR="00CE55B0" w:rsidRPr="001E5043">
        <w:rPr>
          <w:lang w:val="fr-FR"/>
        </w:rPr>
        <w:t>’</w:t>
      </w:r>
      <w:r w:rsidRPr="001E5043">
        <w:rPr>
          <w:lang w:val="fr-FR"/>
        </w:rPr>
        <w:t>OMPI sur les noms de domaine de l</w:t>
      </w:r>
      <w:r w:rsidR="00CE55B0" w:rsidRPr="001E5043">
        <w:rPr>
          <w:lang w:val="fr-FR"/>
        </w:rPr>
        <w:t>’</w:t>
      </w:r>
      <w:r w:rsidRPr="001E5043">
        <w:rPr>
          <w:lang w:val="fr-FR"/>
        </w:rPr>
        <w:t>Internet.</w:t>
      </w:r>
    </w:p>
    <w:p w:rsidR="008E0BF9" w:rsidRPr="001E5043" w:rsidRDefault="002B3C37" w:rsidP="002B3C37">
      <w:pPr>
        <w:pStyle w:val="Heading3"/>
        <w:keepNext/>
        <w:numPr>
          <w:ilvl w:val="0"/>
          <w:numId w:val="11"/>
        </w:numPr>
        <w:ind w:left="1134" w:hanging="567"/>
      </w:pPr>
      <w:r w:rsidRPr="001E5043">
        <w:t>Nouveaux gTLD</w:t>
      </w:r>
    </w:p>
    <w:p w:rsidR="008E0BF9" w:rsidRPr="001E5043" w:rsidRDefault="008E0BF9" w:rsidP="003B5CD9">
      <w:pPr>
        <w:pStyle w:val="ONUMFS"/>
        <w:rPr>
          <w:lang w:val="fr-FR"/>
        </w:rPr>
      </w:pPr>
      <w:r w:rsidRPr="001E5043">
        <w:rPr>
          <w:lang w:val="fr-FR"/>
        </w:rPr>
        <w:t>La mise en œuvre du programme de l</w:t>
      </w:r>
      <w:r w:rsidR="00CE55B0" w:rsidRPr="001E5043">
        <w:rPr>
          <w:lang w:val="fr-FR"/>
        </w:rPr>
        <w:t>’</w:t>
      </w:r>
      <w:r w:rsidRPr="001E5043">
        <w:rPr>
          <w:lang w:val="fr-FR"/>
        </w:rPr>
        <w:t xml:space="preserve">ICANN relatif aux nouveaux </w:t>
      </w:r>
      <w:proofErr w:type="spellStart"/>
      <w:r w:rsidRPr="001E5043">
        <w:rPr>
          <w:lang w:val="fr-FR"/>
        </w:rPr>
        <w:t>gTLD</w:t>
      </w:r>
      <w:proofErr w:type="spellEnd"/>
      <w:r w:rsidRPr="001E5043">
        <w:rPr>
          <w:lang w:val="fr-FR"/>
        </w:rPr>
        <w:t xml:space="preserve"> officiellement approuvée en juin 2011</w:t>
      </w:r>
      <w:r w:rsidRPr="001E5043">
        <w:rPr>
          <w:rStyle w:val="FootnoteReference"/>
          <w:szCs w:val="22"/>
          <w:lang w:val="fr-FR"/>
        </w:rPr>
        <w:footnoteReference w:id="44"/>
      </w:r>
      <w:r w:rsidRPr="001E5043">
        <w:rPr>
          <w:lang w:val="fr-FR"/>
        </w:rPr>
        <w:t xml:space="preserve"> est détaillée dans le </w:t>
      </w:r>
      <w:r w:rsidR="00C423BD" w:rsidRPr="001E5043">
        <w:rPr>
          <w:lang w:val="fr-FR"/>
        </w:rPr>
        <w:t>g</w:t>
      </w:r>
      <w:r w:rsidRPr="001E5043">
        <w:rPr>
          <w:lang w:val="fr-FR"/>
        </w:rPr>
        <w:t>uide de candidature de l</w:t>
      </w:r>
      <w:r w:rsidR="00CE55B0" w:rsidRPr="001E5043">
        <w:rPr>
          <w:lang w:val="fr-FR"/>
        </w:rPr>
        <w:t>’</w:t>
      </w:r>
      <w:r w:rsidRPr="001E5043">
        <w:rPr>
          <w:lang w:val="fr-FR"/>
        </w:rPr>
        <w:t>ICANN</w:t>
      </w:r>
      <w:r w:rsidRPr="001E5043">
        <w:rPr>
          <w:rStyle w:val="FootnoteReference"/>
          <w:szCs w:val="22"/>
          <w:lang w:val="fr-FR"/>
        </w:rPr>
        <w:footnoteReference w:id="45"/>
      </w:r>
      <w:r w:rsidRPr="001E5043">
        <w:rPr>
          <w:lang w:val="fr-FR"/>
        </w:rPr>
        <w:t>, qui a fait l</w:t>
      </w:r>
      <w:r w:rsidR="00CE55B0" w:rsidRPr="001E5043">
        <w:rPr>
          <w:lang w:val="fr-FR"/>
        </w:rPr>
        <w:t>’</w:t>
      </w:r>
      <w:r w:rsidRPr="001E5043">
        <w:rPr>
          <w:lang w:val="fr-FR"/>
        </w:rPr>
        <w:t>objet de nombreuses révisio</w:t>
      </w:r>
      <w:r w:rsidR="001E5043" w:rsidRPr="001E5043">
        <w:rPr>
          <w:lang w:val="fr-FR"/>
        </w:rPr>
        <w:t>ns.  La</w:t>
      </w:r>
      <w:r w:rsidRPr="001E5043">
        <w:rPr>
          <w:lang w:val="fr-FR"/>
        </w:rPr>
        <w:t xml:space="preserve"> délégation de la première série de </w:t>
      </w:r>
      <w:proofErr w:type="spellStart"/>
      <w:r w:rsidRPr="001E5043">
        <w:rPr>
          <w:lang w:val="fr-FR"/>
        </w:rPr>
        <w:t>gTLD</w:t>
      </w:r>
      <w:proofErr w:type="spellEnd"/>
      <w:r w:rsidRPr="001E5043">
        <w:rPr>
          <w:lang w:val="fr-FR"/>
        </w:rPr>
        <w:t xml:space="preserve"> dans la zone </w:t>
      </w:r>
      <w:r w:rsidRPr="001E5043">
        <w:rPr>
          <w:lang w:val="fr-FR"/>
        </w:rPr>
        <w:lastRenderedPageBreak/>
        <w:t>racine de l</w:t>
      </w:r>
      <w:r w:rsidR="00CE55B0" w:rsidRPr="001E5043">
        <w:rPr>
          <w:lang w:val="fr-FR"/>
        </w:rPr>
        <w:t>’</w:t>
      </w:r>
      <w:r w:rsidRPr="001E5043">
        <w:rPr>
          <w:lang w:val="fr-FR"/>
        </w:rPr>
        <w:t>Internet a eu lieu en octobre 2013, pratiquement l</w:t>
      </w:r>
      <w:r w:rsidR="00CE55B0" w:rsidRPr="001E5043">
        <w:rPr>
          <w:lang w:val="fr-FR"/>
        </w:rPr>
        <w:t>’</w:t>
      </w:r>
      <w:r w:rsidRPr="001E5043">
        <w:rPr>
          <w:lang w:val="fr-FR"/>
        </w:rPr>
        <w:t xml:space="preserve">ensemble des 1200 </w:t>
      </w:r>
      <w:proofErr w:type="spellStart"/>
      <w:r w:rsidRPr="001E5043">
        <w:rPr>
          <w:lang w:val="fr-FR"/>
        </w:rPr>
        <w:t>gTLD</w:t>
      </w:r>
      <w:proofErr w:type="spellEnd"/>
      <w:r w:rsidRPr="001E5043">
        <w:rPr>
          <w:lang w:val="fr-FR"/>
        </w:rPr>
        <w:t xml:space="preserve"> ayant été attribués en juin 2019</w:t>
      </w:r>
      <w:r w:rsidRPr="001E5043">
        <w:rPr>
          <w:rStyle w:val="FootnoteReference"/>
          <w:szCs w:val="22"/>
          <w:lang w:val="fr-FR"/>
        </w:rPr>
        <w:footnoteReference w:id="46"/>
      </w:r>
      <w:r w:rsidRPr="001E5043">
        <w:rPr>
          <w:lang w:val="fr-FR"/>
        </w:rPr>
        <w:t xml:space="preserve">.  </w:t>
      </w:r>
      <w:r w:rsidRPr="001E5043">
        <w:rPr>
          <w:shd w:val="clear" w:color="auto" w:fill="FFFFFF" w:themeFill="background1"/>
          <w:lang w:val="fr-FR"/>
        </w:rPr>
        <w:t>Ses travaux de politique générale sur ce sujet étant en grande partie achevés, l</w:t>
      </w:r>
      <w:r w:rsidR="00CE55B0" w:rsidRPr="001E5043">
        <w:rPr>
          <w:shd w:val="clear" w:color="auto" w:fill="FFFFFF" w:themeFill="background1"/>
          <w:lang w:val="fr-FR"/>
        </w:rPr>
        <w:t>’</w:t>
      </w:r>
      <w:r w:rsidRPr="001E5043">
        <w:rPr>
          <w:shd w:val="clear" w:color="auto" w:fill="FFFFFF" w:themeFill="background1"/>
          <w:lang w:val="fr-FR"/>
        </w:rPr>
        <w:t xml:space="preserve">ICANN prévoit une nouvelle série de “nouveaux </w:t>
      </w:r>
      <w:proofErr w:type="spellStart"/>
      <w:r w:rsidRPr="001E5043">
        <w:rPr>
          <w:shd w:val="clear" w:color="auto" w:fill="FFFFFF" w:themeFill="background1"/>
          <w:lang w:val="fr-FR"/>
        </w:rPr>
        <w:t>gTLD</w:t>
      </w:r>
      <w:proofErr w:type="spellEnd"/>
      <w:r w:rsidRPr="001E5043">
        <w:rPr>
          <w:shd w:val="clear" w:color="auto" w:fill="FFFFFF" w:themeFill="background1"/>
          <w:lang w:val="fr-FR"/>
        </w:rPr>
        <w:t>” ces prochaines années</w:t>
      </w:r>
      <w:r w:rsidRPr="001E5043">
        <w:rPr>
          <w:rStyle w:val="FootnoteReference"/>
          <w:szCs w:val="22"/>
          <w:shd w:val="clear" w:color="auto" w:fill="FFFFFF" w:themeFill="background1"/>
          <w:lang w:val="fr-FR"/>
        </w:rPr>
        <w:footnoteReference w:id="47"/>
      </w:r>
      <w:r w:rsidRPr="001E5043">
        <w:rPr>
          <w:shd w:val="clear" w:color="auto" w:fill="FFFFFF" w:themeFill="background1"/>
          <w:lang w:val="fr-FR"/>
        </w:rPr>
        <w:t>.</w:t>
      </w:r>
    </w:p>
    <w:p w:rsidR="008E0BF9" w:rsidRPr="001E5043" w:rsidRDefault="008E0BF9" w:rsidP="003B5CD9">
      <w:pPr>
        <w:pStyle w:val="ONUMFS"/>
        <w:rPr>
          <w:lang w:val="fr-FR"/>
        </w:rPr>
      </w:pPr>
      <w:r w:rsidRPr="001E5043">
        <w:rPr>
          <w:lang w:val="fr-FR"/>
        </w:rPr>
        <w:t>Le Centre reste déterminé à travailler avec les parties prenantes pour tenter de préserver l</w:t>
      </w:r>
      <w:r w:rsidR="00CE55B0" w:rsidRPr="001E5043">
        <w:rPr>
          <w:lang w:val="fr-FR"/>
        </w:rPr>
        <w:t>’</w:t>
      </w:r>
      <w:r w:rsidRPr="001E5043">
        <w:rPr>
          <w:lang w:val="fr-FR"/>
        </w:rPr>
        <w:t xml:space="preserve">observation des principes généraux de la protection de la propriété intellectuelle dans les nouveaux </w:t>
      </w:r>
      <w:proofErr w:type="spellStart"/>
      <w:r w:rsidRPr="001E5043">
        <w:rPr>
          <w:lang w:val="fr-FR"/>
        </w:rPr>
        <w:t>g</w:t>
      </w:r>
      <w:r w:rsidR="001E5043" w:rsidRPr="001E5043">
        <w:rPr>
          <w:lang w:val="fr-FR"/>
        </w:rPr>
        <w:t>TLD</w:t>
      </w:r>
      <w:proofErr w:type="spellEnd"/>
      <w:r w:rsidR="001E5043" w:rsidRPr="001E5043">
        <w:rPr>
          <w:lang w:val="fr-FR"/>
        </w:rPr>
        <w:t>.  Ce</w:t>
      </w:r>
      <w:r w:rsidRPr="001E5043">
        <w:rPr>
          <w:lang w:val="fr-FR"/>
        </w:rPr>
        <w:t>rtains mécanismes de protection des droits ont émergé d</w:t>
      </w:r>
      <w:r w:rsidR="00CE55B0" w:rsidRPr="001E5043">
        <w:rPr>
          <w:lang w:val="fr-FR"/>
        </w:rPr>
        <w:t>’</w:t>
      </w:r>
      <w:r w:rsidRPr="001E5043">
        <w:rPr>
          <w:lang w:val="fr-FR"/>
        </w:rPr>
        <w:t>une série de comités et processus de l</w:t>
      </w:r>
      <w:r w:rsidR="00CE55B0" w:rsidRPr="001E5043">
        <w:rPr>
          <w:lang w:val="fr-FR"/>
        </w:rPr>
        <w:t>’</w:t>
      </w:r>
      <w:r w:rsidRPr="001E5043">
        <w:rPr>
          <w:lang w:val="fr-FR"/>
        </w:rPr>
        <w:t xml:space="preserve">ICANN relatifs aux nouveaux </w:t>
      </w:r>
      <w:proofErr w:type="spellStart"/>
      <w:r w:rsidRPr="001E5043">
        <w:rPr>
          <w:lang w:val="fr-FR"/>
        </w:rPr>
        <w:t>gTLD</w:t>
      </w:r>
      <w:proofErr w:type="spellEnd"/>
      <w:r w:rsidRPr="001E5043">
        <w:rPr>
          <w:rStyle w:val="FootnoteReference"/>
          <w:szCs w:val="22"/>
          <w:lang w:val="fr-FR"/>
        </w:rPr>
        <w:footnoteReference w:id="48"/>
      </w:r>
      <w:r w:rsidRPr="001E5043">
        <w:rPr>
          <w:lang w:val="fr-FR"/>
        </w:rPr>
        <w:t>.  On trouvera ci</w:t>
      </w:r>
      <w:r w:rsidR="00921588">
        <w:rPr>
          <w:lang w:val="fr-FR"/>
        </w:rPr>
        <w:noBreakHyphen/>
      </w:r>
      <w:r w:rsidRPr="001E5043">
        <w:rPr>
          <w:lang w:val="fr-FR"/>
        </w:rPr>
        <w:t>après une description générale des mécanismes de protection des droits de l</w:t>
      </w:r>
      <w:r w:rsidR="00CE55B0" w:rsidRPr="001E5043">
        <w:rPr>
          <w:lang w:val="fr-FR"/>
        </w:rPr>
        <w:t>’</w:t>
      </w:r>
      <w:r w:rsidRPr="001E5043">
        <w:rPr>
          <w:lang w:val="fr-FR"/>
        </w:rPr>
        <w:t xml:space="preserve">ICANN, pour </w:t>
      </w:r>
      <w:proofErr w:type="gramStart"/>
      <w:r w:rsidRPr="001E5043">
        <w:rPr>
          <w:lang w:val="fr-FR"/>
        </w:rPr>
        <w:t>les premier et deuxième niveaux</w:t>
      </w:r>
      <w:proofErr w:type="gramEnd"/>
      <w:r w:rsidRPr="001E5043">
        <w:rPr>
          <w:lang w:val="fr-FR"/>
        </w:rPr>
        <w:t xml:space="preserve"> respectivement.</w:t>
      </w:r>
    </w:p>
    <w:p w:rsidR="008E0BF9" w:rsidRPr="001E5043" w:rsidRDefault="008E0BF9" w:rsidP="002B3C37">
      <w:pPr>
        <w:pStyle w:val="Heading4"/>
        <w:rPr>
          <w:lang w:val="fr-FR"/>
        </w:rPr>
      </w:pPr>
      <w:r w:rsidRPr="001E5043">
        <w:rPr>
          <w:lang w:val="fr-FR"/>
        </w:rPr>
        <w:t>Mécanismes de protection des droits de premier niveau</w:t>
      </w:r>
    </w:p>
    <w:p w:rsidR="008E0BF9" w:rsidRPr="001E5043" w:rsidRDefault="008E0BF9" w:rsidP="002B3C37">
      <w:pPr>
        <w:pStyle w:val="Heading5"/>
      </w:pPr>
      <w:r w:rsidRPr="001E5043">
        <w:t>Procédure de règlement des litiges préalable à l</w:t>
      </w:r>
      <w:r w:rsidR="00CE55B0" w:rsidRPr="001E5043">
        <w:t>’</w:t>
      </w:r>
      <w:r w:rsidRPr="001E5043">
        <w:t>attribution d</w:t>
      </w:r>
      <w:r w:rsidR="00CE55B0" w:rsidRPr="001E5043">
        <w:t>’</w:t>
      </w:r>
      <w:r w:rsidRPr="001E5043">
        <w:t>un domaine de premier niveau</w:t>
      </w:r>
    </w:p>
    <w:p w:rsidR="008E0BF9" w:rsidRPr="00921588" w:rsidRDefault="008E0BF9" w:rsidP="00F1685C">
      <w:pPr>
        <w:pStyle w:val="ONUMFS"/>
        <w:rPr>
          <w:lang w:val="fr-FR"/>
        </w:rPr>
      </w:pPr>
      <w:r w:rsidRPr="00921588">
        <w:rPr>
          <w:lang w:val="fr-FR"/>
        </w:rPr>
        <w:t>Ce mécanisme permettait aux propriétaires de marques d</w:t>
      </w:r>
      <w:r w:rsidR="00CE55B0" w:rsidRPr="00921588">
        <w:rPr>
          <w:lang w:val="fr-FR"/>
        </w:rPr>
        <w:t>’</w:t>
      </w:r>
      <w:r w:rsidRPr="00921588">
        <w:rPr>
          <w:lang w:val="fr-FR"/>
        </w:rPr>
        <w:t xml:space="preserve">opposer aux demandes de nouveaux </w:t>
      </w:r>
      <w:proofErr w:type="spellStart"/>
      <w:r w:rsidRPr="00921588">
        <w:rPr>
          <w:lang w:val="fr-FR"/>
        </w:rPr>
        <w:t>gTLD</w:t>
      </w:r>
      <w:proofErr w:type="spellEnd"/>
      <w:r w:rsidRPr="00921588">
        <w:rPr>
          <w:lang w:val="fr-FR"/>
        </w:rPr>
        <w:t xml:space="preserve"> au premier niveau des objections pour atteinte aux droits lorsque certains critères matériels étaient réunis</w:t>
      </w:r>
      <w:r w:rsidRPr="001E5043">
        <w:rPr>
          <w:rStyle w:val="FootnoteReference"/>
          <w:szCs w:val="22"/>
          <w:lang w:val="fr-FR"/>
        </w:rPr>
        <w:footnoteReference w:id="49"/>
      </w:r>
      <w:r w:rsidRPr="00921588">
        <w:rPr>
          <w:lang w:val="fr-FR"/>
        </w:rPr>
        <w:t>.  Le Centre a apporté à l</w:t>
      </w:r>
      <w:r w:rsidR="00CE55B0" w:rsidRPr="00921588">
        <w:rPr>
          <w:lang w:val="fr-FR"/>
        </w:rPr>
        <w:t>’</w:t>
      </w:r>
      <w:r w:rsidRPr="00921588">
        <w:rPr>
          <w:lang w:val="fr-FR"/>
        </w:rPr>
        <w:t>ICANN une assistance pour l</w:t>
      </w:r>
      <w:r w:rsidR="00CE55B0" w:rsidRPr="00921588">
        <w:rPr>
          <w:lang w:val="fr-FR"/>
        </w:rPr>
        <w:t>’</w:t>
      </w:r>
      <w:r w:rsidRPr="00921588">
        <w:rPr>
          <w:lang w:val="fr-FR"/>
        </w:rPr>
        <w:t>élaboration de ces critères sur la base de la “Recommandation commune de l</w:t>
      </w:r>
      <w:r w:rsidR="00CE55B0" w:rsidRPr="00921588">
        <w:rPr>
          <w:lang w:val="fr-FR"/>
        </w:rPr>
        <w:t>’</w:t>
      </w:r>
      <w:r w:rsidRPr="00921588">
        <w:rPr>
          <w:lang w:val="fr-FR"/>
        </w:rPr>
        <w:t>OMPI concernant la protection des marques, et autres droits de propriété industrielle relatifs à des signes, sur l</w:t>
      </w:r>
      <w:r w:rsidR="00CE55B0" w:rsidRPr="00921588">
        <w:rPr>
          <w:lang w:val="fr-FR"/>
        </w:rPr>
        <w:t>’</w:t>
      </w:r>
      <w:r w:rsidRPr="00921588">
        <w:rPr>
          <w:lang w:val="fr-FR"/>
        </w:rPr>
        <w:t>Internet”</w:t>
      </w:r>
      <w:r w:rsidRPr="001E5043">
        <w:rPr>
          <w:rStyle w:val="FootnoteReference"/>
          <w:szCs w:val="22"/>
          <w:lang w:val="fr-FR"/>
        </w:rPr>
        <w:footnoteReference w:id="50"/>
      </w:r>
      <w:r w:rsidRPr="00921588">
        <w:rPr>
          <w:lang w:val="fr-FR"/>
        </w:rPr>
        <w:t>.  Désigné par l</w:t>
      </w:r>
      <w:r w:rsidR="00CE55B0" w:rsidRPr="00921588">
        <w:rPr>
          <w:lang w:val="fr-FR"/>
        </w:rPr>
        <w:t>’</w:t>
      </w:r>
      <w:r w:rsidRPr="00921588">
        <w:rPr>
          <w:lang w:val="fr-FR"/>
        </w:rPr>
        <w:t>ICANN comme prestataire exclusif de services de règlement des litiges relatifs aux objections pour atteinte aux droits</w:t>
      </w:r>
      <w:r w:rsidRPr="001E5043">
        <w:rPr>
          <w:rStyle w:val="FootnoteReference"/>
          <w:szCs w:val="22"/>
          <w:lang w:val="fr-FR"/>
        </w:rPr>
        <w:footnoteReference w:id="51"/>
      </w:r>
      <w:r w:rsidRPr="00921588">
        <w:rPr>
          <w:lang w:val="fr-FR"/>
        </w:rPr>
        <w:t>, le Centre a instruit à ce titre 69</w:t>
      </w:r>
      <w:r w:rsidR="001E5043" w:rsidRPr="00921588">
        <w:rPr>
          <w:lang w:val="fr-FR"/>
        </w:rPr>
        <w:t> </w:t>
      </w:r>
      <w:r w:rsidRPr="00921588">
        <w:rPr>
          <w:lang w:val="fr-FR"/>
        </w:rPr>
        <w:t>plaintes en bonne et due forme en 2013</w:t>
      </w:r>
      <w:r w:rsidRPr="001E5043">
        <w:rPr>
          <w:rStyle w:val="FootnoteReference"/>
          <w:szCs w:val="22"/>
          <w:lang w:val="fr-FR"/>
        </w:rPr>
        <w:footnoteReference w:id="52"/>
      </w:r>
      <w:r w:rsidRPr="00921588">
        <w:rPr>
          <w:lang w:val="fr-FR"/>
        </w:rPr>
        <w:t>.</w:t>
      </w:r>
    </w:p>
    <w:p w:rsidR="008E0BF9" w:rsidRPr="001E5043" w:rsidRDefault="008E0BF9" w:rsidP="002B3C37">
      <w:pPr>
        <w:pStyle w:val="Heading5"/>
        <w:rPr>
          <w:i/>
        </w:rPr>
      </w:pPr>
      <w:r w:rsidRPr="001E5043">
        <w:lastRenderedPageBreak/>
        <w:t>Procédure de règlement des litiges postérieure à l</w:t>
      </w:r>
      <w:r w:rsidR="00CE55B0" w:rsidRPr="001E5043">
        <w:t>’</w:t>
      </w:r>
      <w:r w:rsidRPr="001E5043">
        <w:t>attribution d</w:t>
      </w:r>
      <w:r w:rsidR="00CE55B0" w:rsidRPr="001E5043">
        <w:t>’</w:t>
      </w:r>
      <w:r w:rsidRPr="001E5043">
        <w:t>un domaine de premier niveau</w:t>
      </w:r>
    </w:p>
    <w:p w:rsidR="008E0BF9" w:rsidRPr="001E5043" w:rsidRDefault="008E0BF9" w:rsidP="003B5CD9">
      <w:pPr>
        <w:pStyle w:val="ONUMFS"/>
        <w:rPr>
          <w:lang w:val="fr-FR"/>
        </w:rPr>
      </w:pPr>
      <w:r w:rsidRPr="001E5043">
        <w:rPr>
          <w:lang w:val="fr-FR"/>
        </w:rPr>
        <w:t>Début</w:t>
      </w:r>
      <w:r w:rsidR="001E5043">
        <w:rPr>
          <w:lang w:val="fr-FR"/>
        </w:rPr>
        <w:t> </w:t>
      </w:r>
      <w:r w:rsidRPr="001E5043">
        <w:rPr>
          <w:lang w:val="fr-FR"/>
        </w:rPr>
        <w:t>2009, le Centre a communiqué à l</w:t>
      </w:r>
      <w:r w:rsidR="00CE55B0" w:rsidRPr="001E5043">
        <w:rPr>
          <w:lang w:val="fr-FR"/>
        </w:rPr>
        <w:t>’</w:t>
      </w:r>
      <w:r w:rsidRPr="001E5043">
        <w:rPr>
          <w:lang w:val="fr-FR"/>
        </w:rPr>
        <w:t>ICANN une proposition concrète en faveur d</w:t>
      </w:r>
      <w:r w:rsidR="00CE55B0" w:rsidRPr="001E5043">
        <w:rPr>
          <w:lang w:val="fr-FR"/>
        </w:rPr>
        <w:t>’</w:t>
      </w:r>
      <w:r w:rsidRPr="001E5043">
        <w:rPr>
          <w:lang w:val="fr-FR"/>
        </w:rPr>
        <w:t>une option administrative permanente qui permettrait le dépôt d</w:t>
      </w:r>
      <w:r w:rsidR="00CE55B0" w:rsidRPr="001E5043">
        <w:rPr>
          <w:lang w:val="fr-FR"/>
        </w:rPr>
        <w:t>’</w:t>
      </w:r>
      <w:r w:rsidRPr="001E5043">
        <w:rPr>
          <w:lang w:val="fr-FR"/>
        </w:rPr>
        <w:t>une plainte contre l</w:t>
      </w:r>
      <w:r w:rsidR="00CE55B0" w:rsidRPr="001E5043">
        <w:rPr>
          <w:lang w:val="fr-FR"/>
        </w:rPr>
        <w:t>’</w:t>
      </w:r>
      <w:r w:rsidRPr="001E5043">
        <w:rPr>
          <w:lang w:val="fr-FR"/>
        </w:rPr>
        <w:t>administrateur d</w:t>
      </w:r>
      <w:r w:rsidR="00CE55B0" w:rsidRPr="001E5043">
        <w:rPr>
          <w:lang w:val="fr-FR"/>
        </w:rPr>
        <w:t>’</w:t>
      </w:r>
      <w:r w:rsidRPr="001E5043">
        <w:rPr>
          <w:lang w:val="fr-FR"/>
        </w:rPr>
        <w:t>un service d</w:t>
      </w:r>
      <w:r w:rsidR="00CE55B0" w:rsidRPr="001E5043">
        <w:rPr>
          <w:lang w:val="fr-FR"/>
        </w:rPr>
        <w:t>’</w:t>
      </w:r>
      <w:r w:rsidRPr="001E5043">
        <w:rPr>
          <w:lang w:val="fr-FR"/>
        </w:rPr>
        <w:t xml:space="preserve">enregistrement pour un </w:t>
      </w:r>
      <w:proofErr w:type="spellStart"/>
      <w:r w:rsidRPr="001E5043">
        <w:rPr>
          <w:lang w:val="fr-FR"/>
        </w:rPr>
        <w:t>gTLD</w:t>
      </w:r>
      <w:proofErr w:type="spellEnd"/>
      <w:r w:rsidRPr="001E5043">
        <w:rPr>
          <w:lang w:val="fr-FR"/>
        </w:rPr>
        <w:t xml:space="preserve"> nouvellement approuvé dont le mode de fonctionnement ou l</w:t>
      </w:r>
      <w:r w:rsidR="00CE55B0" w:rsidRPr="001E5043">
        <w:rPr>
          <w:lang w:val="fr-FR"/>
        </w:rPr>
        <w:t>’</w:t>
      </w:r>
      <w:r w:rsidRPr="001E5043">
        <w:rPr>
          <w:lang w:val="fr-FR"/>
        </w:rPr>
        <w:t>utilisation de son service porterait atteinte ou contribuerait matériellement à porter atteinte à une marque</w:t>
      </w:r>
      <w:r w:rsidRPr="001E5043">
        <w:rPr>
          <w:rStyle w:val="FootnoteReference"/>
          <w:szCs w:val="22"/>
          <w:lang w:val="fr-FR"/>
        </w:rPr>
        <w:footnoteReference w:id="53"/>
      </w:r>
      <w:r w:rsidRPr="001E5043">
        <w:rPr>
          <w:lang w:val="fr-FR"/>
        </w:rPr>
        <w:t>.  L</w:t>
      </w:r>
      <w:r w:rsidR="00CE55B0" w:rsidRPr="001E5043">
        <w:rPr>
          <w:lang w:val="fr-FR"/>
        </w:rPr>
        <w:t>’</w:t>
      </w:r>
      <w:r w:rsidRPr="001E5043">
        <w:rPr>
          <w:lang w:val="fr-FR"/>
        </w:rPr>
        <w:t>intention était de procurer une forme d</w:t>
      </w:r>
      <w:r w:rsidR="00CE55B0" w:rsidRPr="001E5043">
        <w:rPr>
          <w:lang w:val="fr-FR"/>
        </w:rPr>
        <w:t>’</w:t>
      </w:r>
      <w:r w:rsidRPr="001E5043">
        <w:rPr>
          <w:lang w:val="fr-FR"/>
        </w:rPr>
        <w:t>assistance normalisée à l</w:t>
      </w:r>
      <w:r w:rsidR="00CE55B0" w:rsidRPr="001E5043">
        <w:rPr>
          <w:lang w:val="fr-FR"/>
        </w:rPr>
        <w:t>’</w:t>
      </w:r>
      <w:r w:rsidRPr="001E5043">
        <w:rPr>
          <w:lang w:val="fr-FR"/>
        </w:rPr>
        <w:t>ICANN pour lui permettre de s</w:t>
      </w:r>
      <w:r w:rsidR="00CE55B0" w:rsidRPr="001E5043">
        <w:rPr>
          <w:lang w:val="fr-FR"/>
        </w:rPr>
        <w:t>’</w:t>
      </w:r>
      <w:r w:rsidRPr="001E5043">
        <w:rPr>
          <w:lang w:val="fr-FR"/>
        </w:rPr>
        <w:t>acquitter de ses responsabilités en matière de supervision, en prévoyant une voie de règlement administrative pouvant se substituer à l</w:t>
      </w:r>
      <w:r w:rsidR="00CE55B0" w:rsidRPr="001E5043">
        <w:rPr>
          <w:lang w:val="fr-FR"/>
        </w:rPr>
        <w:t>’</w:t>
      </w:r>
      <w:r w:rsidRPr="001E5043">
        <w:rPr>
          <w:lang w:val="fr-FR"/>
        </w:rPr>
        <w:t>action en justice et en encourageant les acteurs concernés à se comporter de manière responsable, le tout assorti de clauses d</w:t>
      </w:r>
      <w:r w:rsidR="00CE55B0" w:rsidRPr="001E5043">
        <w:rPr>
          <w:lang w:val="fr-FR"/>
        </w:rPr>
        <w:t>’</w:t>
      </w:r>
      <w:r w:rsidRPr="001E5043">
        <w:rPr>
          <w:lang w:val="fr-FR"/>
        </w:rPr>
        <w:t>exonération de responsabilité</w:t>
      </w:r>
      <w:r w:rsidRPr="001E5043">
        <w:rPr>
          <w:rStyle w:val="FootnoteReference"/>
          <w:szCs w:val="22"/>
          <w:lang w:val="fr-FR"/>
        </w:rPr>
        <w:footnoteReference w:id="54"/>
      </w:r>
      <w:r w:rsidRPr="001E5043">
        <w:rPr>
          <w:lang w:val="fr-FR"/>
        </w:rPr>
        <w:t>.</w:t>
      </w:r>
    </w:p>
    <w:p w:rsidR="008E0BF9" w:rsidRPr="001E5043" w:rsidRDefault="008E0BF9" w:rsidP="003B5CD9">
      <w:pPr>
        <w:pStyle w:val="ONUMFS"/>
        <w:rPr>
          <w:lang w:val="fr-FR"/>
        </w:rPr>
      </w:pPr>
      <w:r w:rsidRPr="001E5043">
        <w:rPr>
          <w:lang w:val="fr-FR"/>
        </w:rPr>
        <w:t>À la suite de différentes procédures de l</w:t>
      </w:r>
      <w:r w:rsidR="00CE55B0" w:rsidRPr="001E5043">
        <w:rPr>
          <w:lang w:val="fr-FR"/>
        </w:rPr>
        <w:t>’</w:t>
      </w:r>
      <w:r w:rsidRPr="001E5043">
        <w:rPr>
          <w:lang w:val="fr-FR"/>
        </w:rPr>
        <w:t>ICANN, notamment les consultations avec les administrateurs de services d</w:t>
      </w:r>
      <w:r w:rsidR="00CE55B0" w:rsidRPr="001E5043">
        <w:rPr>
          <w:lang w:val="fr-FR"/>
        </w:rPr>
        <w:t>’</w:t>
      </w:r>
      <w:r w:rsidRPr="001E5043">
        <w:rPr>
          <w:lang w:val="fr-FR"/>
        </w:rPr>
        <w:t>enregistrement, l</w:t>
      </w:r>
      <w:r w:rsidR="00CE55B0" w:rsidRPr="001E5043">
        <w:rPr>
          <w:lang w:val="fr-FR"/>
        </w:rPr>
        <w:t>’</w:t>
      </w:r>
      <w:r w:rsidRPr="001E5043">
        <w:rPr>
          <w:lang w:val="fr-FR"/>
        </w:rPr>
        <w:t>efficacité de la procédure de règlement des litiges postérieure à l</w:t>
      </w:r>
      <w:r w:rsidR="00CE55B0" w:rsidRPr="001E5043">
        <w:rPr>
          <w:lang w:val="fr-FR"/>
        </w:rPr>
        <w:t>’</w:t>
      </w:r>
      <w:r w:rsidRPr="001E5043">
        <w:rPr>
          <w:lang w:val="fr-FR"/>
        </w:rPr>
        <w:t>attribution reste incertaine, compte tenu en particulier de la superposition de différentes couches procédurales et des problèmes concernant le champ d</w:t>
      </w:r>
      <w:r w:rsidR="00CE55B0" w:rsidRPr="001E5043">
        <w:rPr>
          <w:lang w:val="fr-FR"/>
        </w:rPr>
        <w:t>’</w:t>
      </w:r>
      <w:r w:rsidRPr="001E5043">
        <w:rPr>
          <w:lang w:val="fr-FR"/>
        </w:rPr>
        <w:t>application de ce mécanisme, tels que l</w:t>
      </w:r>
      <w:r w:rsidR="00CE55B0" w:rsidRPr="001E5043">
        <w:rPr>
          <w:lang w:val="fr-FR"/>
        </w:rPr>
        <w:t>’</w:t>
      </w:r>
      <w:r w:rsidRPr="001E5043">
        <w:rPr>
          <w:lang w:val="fr-FR"/>
        </w:rPr>
        <w:t>exclusion de la notion juridique d</w:t>
      </w:r>
      <w:r w:rsidR="00CE55B0" w:rsidRPr="001E5043">
        <w:rPr>
          <w:lang w:val="fr-FR"/>
        </w:rPr>
        <w:t>’</w:t>
      </w:r>
      <w:r w:rsidRPr="001E5043">
        <w:rPr>
          <w:lang w:val="fr-FR"/>
        </w:rPr>
        <w:t>“aveuglement volontaire” des critères applicables</w:t>
      </w:r>
      <w:r w:rsidRPr="001E5043">
        <w:rPr>
          <w:rStyle w:val="FootnoteReference"/>
          <w:szCs w:val="22"/>
          <w:lang w:val="fr-FR"/>
        </w:rPr>
        <w:footnoteReference w:id="55"/>
      </w:r>
      <w:r w:rsidRPr="001E5043">
        <w:rPr>
          <w:lang w:val="fr-FR"/>
        </w:rPr>
        <w:t>.</w:t>
      </w:r>
    </w:p>
    <w:p w:rsidR="008E0BF9" w:rsidRPr="001E5043" w:rsidRDefault="008E0BF9" w:rsidP="002B3C37">
      <w:pPr>
        <w:pStyle w:val="Heading4"/>
        <w:rPr>
          <w:lang w:val="fr-FR"/>
        </w:rPr>
      </w:pPr>
      <w:r w:rsidRPr="001E5043">
        <w:rPr>
          <w:lang w:val="fr-FR"/>
        </w:rPr>
        <w:t>Mécanismes de protection des droits au deuxième niveau</w:t>
      </w:r>
    </w:p>
    <w:p w:rsidR="008E0BF9" w:rsidRPr="001E5043" w:rsidRDefault="008E0BF9" w:rsidP="002B3C37">
      <w:pPr>
        <w:pStyle w:val="Heading5"/>
        <w:numPr>
          <w:ilvl w:val="0"/>
          <w:numId w:val="23"/>
        </w:numPr>
        <w:ind w:left="1701" w:hanging="567"/>
        <w:rPr>
          <w:i/>
        </w:rPr>
      </w:pPr>
      <w:r w:rsidRPr="001E5043">
        <w:t>Base de données centrale sur les marques</w:t>
      </w:r>
    </w:p>
    <w:p w:rsidR="008E0BF9" w:rsidRPr="001E5043" w:rsidRDefault="008E0BF9" w:rsidP="003B5CD9">
      <w:pPr>
        <w:pStyle w:val="ONUMFS"/>
        <w:rPr>
          <w:lang w:val="fr-FR"/>
        </w:rPr>
      </w:pPr>
      <w:r w:rsidRPr="001E5043">
        <w:rPr>
          <w:lang w:val="fr-FR"/>
        </w:rPr>
        <w:t>Le programme de l</w:t>
      </w:r>
      <w:r w:rsidR="00CE55B0" w:rsidRPr="001E5043">
        <w:rPr>
          <w:lang w:val="fr-FR"/>
        </w:rPr>
        <w:t>’</w:t>
      </w:r>
      <w:r w:rsidRPr="001E5043">
        <w:rPr>
          <w:lang w:val="fr-FR"/>
        </w:rPr>
        <w:t xml:space="preserve">ICANN relatif aux nouveaux </w:t>
      </w:r>
      <w:proofErr w:type="spellStart"/>
      <w:r w:rsidRPr="001E5043">
        <w:rPr>
          <w:lang w:val="fr-FR"/>
        </w:rPr>
        <w:t>gTLD</w:t>
      </w:r>
      <w:proofErr w:type="spellEnd"/>
      <w:r w:rsidRPr="001E5043">
        <w:rPr>
          <w:lang w:val="fr-FR"/>
        </w:rPr>
        <w:t xml:space="preserve"> prévoit l</w:t>
      </w:r>
      <w:r w:rsidR="00CE55B0" w:rsidRPr="001E5043">
        <w:rPr>
          <w:lang w:val="fr-FR"/>
        </w:rPr>
        <w:t>’</w:t>
      </w:r>
      <w:r w:rsidRPr="001E5043">
        <w:rPr>
          <w:lang w:val="fr-FR"/>
        </w:rPr>
        <w:t>établissement d</w:t>
      </w:r>
      <w:r w:rsidR="00CE55B0" w:rsidRPr="001E5043">
        <w:rPr>
          <w:lang w:val="fr-FR"/>
        </w:rPr>
        <w:t>’</w:t>
      </w:r>
      <w:r w:rsidRPr="001E5043">
        <w:rPr>
          <w:lang w:val="fr-FR"/>
        </w:rPr>
        <w:t xml:space="preserve">une base de données centrale sur les marques pouvant être invoquée en vertu des mécanismes de protection des droits relatifs aux nouveaux </w:t>
      </w:r>
      <w:proofErr w:type="spellStart"/>
      <w:r w:rsidRPr="001E5043">
        <w:rPr>
          <w:lang w:val="fr-FR"/>
        </w:rPr>
        <w:t>gTLD</w:t>
      </w:r>
      <w:proofErr w:type="spellEnd"/>
      <w:r w:rsidRPr="001E5043">
        <w:rPr>
          <w:rStyle w:val="FootnoteReference"/>
          <w:lang w:val="fr-FR"/>
        </w:rPr>
        <w:footnoteReference w:id="56"/>
      </w:r>
      <w:r w:rsidRPr="001E5043">
        <w:rPr>
          <w:lang w:val="fr-FR"/>
        </w:rPr>
        <w:t>.  Le Centre a fait valoir que toute base de données centrale devrait éviter d</w:t>
      </w:r>
      <w:r w:rsidR="00CE55B0" w:rsidRPr="001E5043">
        <w:rPr>
          <w:lang w:val="fr-FR"/>
        </w:rPr>
        <w:t>’</w:t>
      </w:r>
      <w:r w:rsidRPr="001E5043">
        <w:rPr>
          <w:lang w:val="fr-FR"/>
        </w:rPr>
        <w:t xml:space="preserve">alourdir la charge de travail des titulaires de droits en matière de traitement des enregistrements de marques légitimement obtenus dans le cadre des </w:t>
      </w:r>
      <w:r w:rsidRPr="001E5043">
        <w:rPr>
          <w:lang w:val="fr-FR"/>
        </w:rPr>
        <w:lastRenderedPageBreak/>
        <w:t>systèmes d</w:t>
      </w:r>
      <w:r w:rsidR="00CE55B0" w:rsidRPr="001E5043">
        <w:rPr>
          <w:lang w:val="fr-FR"/>
        </w:rPr>
        <w:t>’</w:t>
      </w:r>
      <w:r w:rsidRPr="001E5043">
        <w:rPr>
          <w:lang w:val="fr-FR"/>
        </w:rPr>
        <w:t>examen et d</w:t>
      </w:r>
      <w:r w:rsidR="00CE55B0" w:rsidRPr="001E5043">
        <w:rPr>
          <w:lang w:val="fr-FR"/>
        </w:rPr>
        <w:t>’</w:t>
      </w:r>
      <w:r w:rsidRPr="001E5043">
        <w:rPr>
          <w:lang w:val="fr-FR"/>
        </w:rPr>
        <w:t>enregistrement appliqués dans de nombreux ressorts juridiques et qu</w:t>
      </w:r>
      <w:r w:rsidR="00CE55B0" w:rsidRPr="001E5043">
        <w:rPr>
          <w:lang w:val="fr-FR"/>
        </w:rPr>
        <w:t>’</w:t>
      </w:r>
      <w:r w:rsidRPr="001E5043">
        <w:rPr>
          <w:lang w:val="fr-FR"/>
        </w:rPr>
        <w:t>il conviendrait, le cas échéant, d</w:t>
      </w:r>
      <w:r w:rsidR="00CE55B0" w:rsidRPr="001E5043">
        <w:rPr>
          <w:lang w:val="fr-FR"/>
        </w:rPr>
        <w:t>’</w:t>
      </w:r>
      <w:r w:rsidRPr="001E5043">
        <w:rPr>
          <w:lang w:val="fr-FR"/>
        </w:rPr>
        <w:t>envisager des mesures pratiques pour recenser toute invocation inappropriée de droits dans certains context</w:t>
      </w:r>
      <w:r w:rsidR="001E5043" w:rsidRPr="001E5043">
        <w:rPr>
          <w:lang w:val="fr-FR"/>
        </w:rPr>
        <w:t>es.  La</w:t>
      </w:r>
      <w:r w:rsidRPr="001E5043">
        <w:rPr>
          <w:lang w:val="fr-FR"/>
        </w:rPr>
        <w:t xml:space="preserve"> base de données centrale sur les marques compt</w:t>
      </w:r>
      <w:r w:rsidR="00C423BD" w:rsidRPr="001E5043">
        <w:rPr>
          <w:lang w:val="fr-FR"/>
        </w:rPr>
        <w:t>e</w:t>
      </w:r>
      <w:r w:rsidRPr="001E5043">
        <w:rPr>
          <w:lang w:val="fr-FR"/>
        </w:rPr>
        <w:t xml:space="preserve"> quelque 4</w:t>
      </w:r>
      <w:r w:rsidR="00C423BD" w:rsidRPr="001E5043">
        <w:rPr>
          <w:lang w:val="fr-FR"/>
        </w:rPr>
        <w:t>7</w:t>
      </w:r>
      <w:r w:rsidRPr="001E5043">
        <w:rPr>
          <w:lang w:val="fr-FR"/>
        </w:rPr>
        <w:t> </w:t>
      </w:r>
      <w:r w:rsidR="00C423BD" w:rsidRPr="001E5043">
        <w:rPr>
          <w:lang w:val="fr-FR"/>
        </w:rPr>
        <w:t>0</w:t>
      </w:r>
      <w:r w:rsidRPr="001E5043">
        <w:rPr>
          <w:lang w:val="fr-FR"/>
        </w:rPr>
        <w:t>00</w:t>
      </w:r>
      <w:r w:rsidR="00C423BD" w:rsidRPr="001E5043">
        <w:rPr>
          <w:lang w:val="fr-FR"/>
        </w:rPr>
        <w:t> </w:t>
      </w:r>
      <w:r w:rsidRPr="001E5043">
        <w:rPr>
          <w:lang w:val="fr-FR"/>
        </w:rPr>
        <w:t>entrées</w:t>
      </w:r>
      <w:r w:rsidRPr="001E5043">
        <w:rPr>
          <w:rStyle w:val="FootnoteReference"/>
          <w:lang w:val="fr-FR"/>
        </w:rPr>
        <w:footnoteReference w:id="57"/>
      </w:r>
      <w:r w:rsidRPr="001E5043">
        <w:rPr>
          <w:lang w:val="fr-FR"/>
        </w:rPr>
        <w:t>.</w:t>
      </w:r>
    </w:p>
    <w:p w:rsidR="008E0BF9" w:rsidRPr="001E5043" w:rsidRDefault="008E0BF9" w:rsidP="002B3C37">
      <w:pPr>
        <w:pStyle w:val="Heading5"/>
        <w:rPr>
          <w:i/>
        </w:rPr>
      </w:pPr>
      <w:r w:rsidRPr="001E5043">
        <w:t>Système de suspension uniforme rapide</w:t>
      </w:r>
    </w:p>
    <w:p w:rsidR="008E0BF9" w:rsidRPr="001E5043" w:rsidRDefault="008E0BF9" w:rsidP="003B5CD9">
      <w:pPr>
        <w:pStyle w:val="ONUMFS"/>
        <w:rPr>
          <w:lang w:val="fr-FR"/>
        </w:rPr>
      </w:pPr>
      <w:r w:rsidRPr="001E5043">
        <w:rPr>
          <w:lang w:val="fr-FR"/>
        </w:rPr>
        <w:t>Les principes UDRP resteront un instrument défensif pour certains litiges qui appellent le transfert du nom de domaine contesté au propriétaire de la marque, et l</w:t>
      </w:r>
      <w:r w:rsidR="00CE55B0" w:rsidRPr="001E5043">
        <w:rPr>
          <w:lang w:val="fr-FR"/>
        </w:rPr>
        <w:t>’</w:t>
      </w:r>
      <w:r w:rsidRPr="001E5043">
        <w:rPr>
          <w:lang w:val="fr-FR"/>
        </w:rPr>
        <w:t>ICANN a mis en place un mécanisme “allégé” de protection des droits de deuxième niveau dans certains cas</w:t>
      </w:r>
      <w:r w:rsidRPr="001E5043">
        <w:rPr>
          <w:rStyle w:val="FootnoteReference"/>
          <w:lang w:val="fr-FR"/>
        </w:rPr>
        <w:footnoteReference w:id="58"/>
      </w:r>
      <w:r w:rsidRPr="001E5043">
        <w:rPr>
          <w:lang w:val="fr-FR"/>
        </w:rPr>
        <w:t>.  Issu d</w:t>
      </w:r>
      <w:r w:rsidR="00CE55B0" w:rsidRPr="001E5043">
        <w:rPr>
          <w:lang w:val="fr-FR"/>
        </w:rPr>
        <w:t>’</w:t>
      </w:r>
      <w:r w:rsidRPr="001E5043">
        <w:rPr>
          <w:lang w:val="fr-FR"/>
        </w:rPr>
        <w:t>une série de procédures et de comités de l</w:t>
      </w:r>
      <w:r w:rsidR="00CE55B0" w:rsidRPr="001E5043">
        <w:rPr>
          <w:lang w:val="fr-FR"/>
        </w:rPr>
        <w:t>’</w:t>
      </w:r>
      <w:r w:rsidRPr="001E5043">
        <w:rPr>
          <w:lang w:val="fr-FR"/>
        </w:rPr>
        <w:t>ICANN, le système de suspension uniforme rapide continue de soulever des questions, concernant en particulier son lien avec les principes UDRP</w:t>
      </w:r>
      <w:r w:rsidRPr="001E5043">
        <w:rPr>
          <w:rStyle w:val="FootnoteReference"/>
          <w:lang w:val="fr-FR"/>
        </w:rPr>
        <w:footnoteReference w:id="59"/>
      </w:r>
      <w:r w:rsidRPr="001E5043">
        <w:rPr>
          <w:lang w:val="fr-FR"/>
        </w:rPr>
        <w:t>.  L</w:t>
      </w:r>
      <w:r w:rsidR="00CE55B0" w:rsidRPr="001E5043">
        <w:rPr>
          <w:lang w:val="fr-FR"/>
        </w:rPr>
        <w:t>’</w:t>
      </w:r>
      <w:r w:rsidRPr="001E5043">
        <w:rPr>
          <w:lang w:val="fr-FR"/>
        </w:rPr>
        <w:t>ICANN a adressé aux prestataires potentiels de services de suspension uniforme rapide un appel d</w:t>
      </w:r>
      <w:r w:rsidR="00CE55B0" w:rsidRPr="001E5043">
        <w:rPr>
          <w:lang w:val="fr-FR"/>
        </w:rPr>
        <w:t>’</w:t>
      </w:r>
      <w:r w:rsidRPr="001E5043">
        <w:rPr>
          <w:lang w:val="fr-FR"/>
        </w:rPr>
        <w:t>offres auquel, à l</w:t>
      </w:r>
      <w:r w:rsidR="00CE55B0" w:rsidRPr="001E5043">
        <w:rPr>
          <w:lang w:val="fr-FR"/>
        </w:rPr>
        <w:t>’</w:t>
      </w:r>
      <w:r w:rsidRPr="001E5043">
        <w:rPr>
          <w:lang w:val="fr-FR"/>
        </w:rPr>
        <w:t>issue d</w:t>
      </w:r>
      <w:r w:rsidR="00CE55B0" w:rsidRPr="001E5043">
        <w:rPr>
          <w:lang w:val="fr-FR"/>
        </w:rPr>
        <w:t>’</w:t>
      </w:r>
      <w:r w:rsidRPr="001E5043">
        <w:rPr>
          <w:lang w:val="fr-FR"/>
        </w:rPr>
        <w:t>un examen approfondi du modèle de suspension uniforme rapide de l</w:t>
      </w:r>
      <w:r w:rsidR="00CE55B0" w:rsidRPr="001E5043">
        <w:rPr>
          <w:lang w:val="fr-FR"/>
        </w:rPr>
        <w:t>’</w:t>
      </w:r>
      <w:r w:rsidRPr="001E5043">
        <w:rPr>
          <w:lang w:val="fr-FR"/>
        </w:rPr>
        <w:t>ICANN et des ressources nécessaires, le Centre n</w:t>
      </w:r>
      <w:r w:rsidR="00CE55B0" w:rsidRPr="001E5043">
        <w:rPr>
          <w:lang w:val="fr-FR"/>
        </w:rPr>
        <w:t>’</w:t>
      </w:r>
      <w:r w:rsidRPr="001E5043">
        <w:rPr>
          <w:lang w:val="fr-FR"/>
        </w:rPr>
        <w:t>a pas été en mesure de participer</w:t>
      </w:r>
      <w:r w:rsidRPr="001E5043">
        <w:rPr>
          <w:rStyle w:val="FootnoteReference"/>
          <w:lang w:val="fr-FR"/>
        </w:rPr>
        <w:footnoteReference w:id="60"/>
      </w:r>
      <w:r w:rsidRPr="001E5043">
        <w:rPr>
          <w:lang w:val="fr-FR"/>
        </w:rPr>
        <w:t>.  Le Centre continue de suivre l</w:t>
      </w:r>
      <w:r w:rsidR="00CE55B0" w:rsidRPr="001E5043">
        <w:rPr>
          <w:lang w:val="fr-FR"/>
        </w:rPr>
        <w:t>’</w:t>
      </w:r>
      <w:r w:rsidRPr="001E5043">
        <w:rPr>
          <w:lang w:val="fr-FR"/>
        </w:rPr>
        <w:t>évolution de la situation.</w:t>
      </w:r>
    </w:p>
    <w:p w:rsidR="008E0BF9" w:rsidRPr="001E5043" w:rsidRDefault="002B3C37" w:rsidP="002B3C37">
      <w:pPr>
        <w:pStyle w:val="Heading3"/>
      </w:pPr>
      <w:r w:rsidRPr="001E5043">
        <w:t>Plans de l</w:t>
      </w:r>
      <w:r w:rsidR="00CE55B0" w:rsidRPr="001E5043">
        <w:t>’</w:t>
      </w:r>
      <w:r w:rsidRPr="001E5043">
        <w:t>ICANN en vue d</w:t>
      </w:r>
      <w:r w:rsidR="00CE55B0" w:rsidRPr="001E5043">
        <w:t>’</w:t>
      </w:r>
      <w:r w:rsidRPr="001E5043">
        <w:t>une révision des principes UDRP établis à l</w:t>
      </w:r>
      <w:r w:rsidR="00CE55B0" w:rsidRPr="001E5043">
        <w:t>’</w:t>
      </w:r>
      <w:r w:rsidRPr="001E5043">
        <w:t>initiative de l</w:t>
      </w:r>
      <w:r w:rsidR="00CE55B0" w:rsidRPr="001E5043">
        <w:t>’</w:t>
      </w:r>
      <w:r w:rsidRPr="001E5043">
        <w:t>OMPI et autres mécanismes de protection des droits</w:t>
      </w:r>
    </w:p>
    <w:p w:rsidR="008E0BF9" w:rsidRPr="001E5043" w:rsidRDefault="008E0BF9" w:rsidP="003B5CD9">
      <w:pPr>
        <w:pStyle w:val="ONUMFS"/>
        <w:rPr>
          <w:lang w:val="fr-FR"/>
        </w:rPr>
      </w:pPr>
      <w:r w:rsidRPr="001E5043">
        <w:rPr>
          <w:lang w:val="fr-FR"/>
        </w:rPr>
        <w:t>Adaptés à l</w:t>
      </w:r>
      <w:r w:rsidR="00CE55B0" w:rsidRPr="001E5043">
        <w:rPr>
          <w:lang w:val="fr-FR"/>
        </w:rPr>
        <w:t>’</w:t>
      </w:r>
      <w:r w:rsidRPr="001E5043">
        <w:rPr>
          <w:lang w:val="fr-FR"/>
        </w:rPr>
        <w:t>évolution dynamique du DNS, les principes UDRP offrent aux propriétaires de marques, aux détenteurs de noms de domaine et aux administrateurs de services d</w:t>
      </w:r>
      <w:r w:rsidR="00CE55B0" w:rsidRPr="001E5043">
        <w:rPr>
          <w:lang w:val="fr-FR"/>
        </w:rPr>
        <w:t>’</w:t>
      </w:r>
      <w:r w:rsidRPr="001E5043">
        <w:rPr>
          <w:lang w:val="fr-FR"/>
        </w:rPr>
        <w:t>enregistrement une solution remplaçant très avantageusement l</w:t>
      </w:r>
      <w:r w:rsidR="00CE55B0" w:rsidRPr="001E5043">
        <w:rPr>
          <w:lang w:val="fr-FR"/>
        </w:rPr>
        <w:t>’</w:t>
      </w:r>
      <w:r w:rsidRPr="001E5043">
        <w:rPr>
          <w:lang w:val="fr-FR"/>
        </w:rPr>
        <w:t>action judiciaire.  L</w:t>
      </w:r>
      <w:r w:rsidR="00CE55B0" w:rsidRPr="001E5043">
        <w:rPr>
          <w:lang w:val="fr-FR"/>
        </w:rPr>
        <w:t>’</w:t>
      </w:r>
      <w:r w:rsidRPr="001E5043">
        <w:rPr>
          <w:lang w:val="fr-FR"/>
        </w:rPr>
        <w:t>Organisation de soutien en matière de noms de domaine génériques de l</w:t>
      </w:r>
      <w:r w:rsidR="00CE55B0" w:rsidRPr="001E5043">
        <w:rPr>
          <w:lang w:val="fr-FR"/>
        </w:rPr>
        <w:t>’</w:t>
      </w:r>
      <w:r w:rsidRPr="001E5043">
        <w:rPr>
          <w:lang w:val="fr-FR"/>
        </w:rPr>
        <w:t xml:space="preserve">Internet (GNSO) a pris la décision de procéder à la révision des principes UDRP après le lancement de nouveaux </w:t>
      </w:r>
      <w:proofErr w:type="spellStart"/>
      <w:r w:rsidRPr="001E5043">
        <w:rPr>
          <w:lang w:val="fr-FR"/>
        </w:rPr>
        <w:t>gTLD</w:t>
      </w:r>
      <w:proofErr w:type="spellEnd"/>
      <w:r w:rsidRPr="001E5043">
        <w:rPr>
          <w:vertAlign w:val="superscript"/>
          <w:lang w:val="fr-FR"/>
        </w:rPr>
        <w:footnoteReference w:id="61"/>
      </w:r>
      <w:r w:rsidRPr="001E5043">
        <w:rPr>
          <w:lang w:val="fr-FR"/>
        </w:rPr>
        <w:t>.  Le rapport préliminaire de l</w:t>
      </w:r>
      <w:r w:rsidR="00CE55B0" w:rsidRPr="001E5043">
        <w:rPr>
          <w:lang w:val="fr-FR"/>
        </w:rPr>
        <w:t>’</w:t>
      </w:r>
      <w:r w:rsidRPr="001E5043">
        <w:rPr>
          <w:lang w:val="fr-FR"/>
        </w:rPr>
        <w:t>ICANN publié en 2015 présente une série de questions complexes relatives au fond et à la procédure</w:t>
      </w:r>
      <w:r w:rsidRPr="001E5043">
        <w:rPr>
          <w:vertAlign w:val="superscript"/>
          <w:lang w:val="fr-FR"/>
        </w:rPr>
        <w:footnoteReference w:id="62"/>
      </w:r>
      <w:r w:rsidRPr="001E5043">
        <w:rPr>
          <w:lang w:val="fr-FR"/>
        </w:rPr>
        <w:t>.  Le Centre a formulé des observations soulignant le succès de longue date des principes UDRP et les risques liés à toute tentative de révision des principes UDRP par l</w:t>
      </w:r>
      <w:r w:rsidR="00CE55B0" w:rsidRPr="001E5043">
        <w:rPr>
          <w:lang w:val="fr-FR"/>
        </w:rPr>
        <w:t>’</w:t>
      </w:r>
      <w:r w:rsidRPr="001E5043">
        <w:rPr>
          <w:lang w:val="fr-FR"/>
        </w:rPr>
        <w:t>IC</w:t>
      </w:r>
      <w:r w:rsidR="001E5043" w:rsidRPr="001E5043">
        <w:rPr>
          <w:lang w:val="fr-FR"/>
        </w:rPr>
        <w:t>ANN.  Ap</w:t>
      </w:r>
      <w:r w:rsidRPr="001E5043">
        <w:rPr>
          <w:lang w:val="fr-FR"/>
        </w:rPr>
        <w:t>rès l</w:t>
      </w:r>
      <w:r w:rsidR="00CE55B0" w:rsidRPr="001E5043">
        <w:rPr>
          <w:lang w:val="fr-FR"/>
        </w:rPr>
        <w:t>’</w:t>
      </w:r>
      <w:r w:rsidRPr="001E5043">
        <w:rPr>
          <w:lang w:val="fr-FR"/>
        </w:rPr>
        <w:t>ouverture d</w:t>
      </w:r>
      <w:r w:rsidR="00CE55B0" w:rsidRPr="001E5043">
        <w:rPr>
          <w:lang w:val="fr-FR"/>
        </w:rPr>
        <w:t>’</w:t>
      </w:r>
      <w:r w:rsidRPr="001E5043">
        <w:rPr>
          <w:lang w:val="fr-FR"/>
        </w:rPr>
        <w:t>un débat public, l</w:t>
      </w:r>
      <w:r w:rsidR="00CE55B0" w:rsidRPr="001E5043">
        <w:rPr>
          <w:lang w:val="fr-FR"/>
        </w:rPr>
        <w:t>’</w:t>
      </w:r>
      <w:r w:rsidRPr="001E5043">
        <w:rPr>
          <w:lang w:val="fr-FR"/>
        </w:rPr>
        <w:t>ICANN a publié son rapport final sur cette question en janvier 2016, recommandant que la GNSO lance un processus d</w:t>
      </w:r>
      <w:r w:rsidR="00CE55B0" w:rsidRPr="001E5043">
        <w:rPr>
          <w:lang w:val="fr-FR"/>
        </w:rPr>
        <w:t>’</w:t>
      </w:r>
      <w:r w:rsidRPr="001E5043">
        <w:rPr>
          <w:lang w:val="fr-FR"/>
        </w:rPr>
        <w:t>élaboration de politique afin d</w:t>
      </w:r>
      <w:r w:rsidR="00CE55B0" w:rsidRPr="001E5043">
        <w:rPr>
          <w:lang w:val="fr-FR"/>
        </w:rPr>
        <w:t>’</w:t>
      </w:r>
      <w:r w:rsidRPr="001E5043">
        <w:rPr>
          <w:lang w:val="fr-FR"/>
        </w:rPr>
        <w:t>examiner tous les mécanismes de protection des droits en deux phas</w:t>
      </w:r>
      <w:r w:rsidR="001E5043" w:rsidRPr="001E5043">
        <w:rPr>
          <w:lang w:val="fr-FR"/>
        </w:rPr>
        <w:t>es.  La</w:t>
      </w:r>
      <w:r w:rsidRPr="001E5043">
        <w:rPr>
          <w:lang w:val="fr-FR"/>
        </w:rPr>
        <w:t xml:space="preserve"> phase initiale, qui est désormais achevée, a donné lieu à la publication d</w:t>
      </w:r>
      <w:r w:rsidR="00CE55B0" w:rsidRPr="001E5043">
        <w:rPr>
          <w:lang w:val="fr-FR"/>
        </w:rPr>
        <w:t>’</w:t>
      </w:r>
      <w:r w:rsidRPr="001E5043">
        <w:rPr>
          <w:lang w:val="fr-FR"/>
        </w:rPr>
        <w:t>un rapport final</w:t>
      </w:r>
      <w:r w:rsidRPr="001E5043">
        <w:rPr>
          <w:rStyle w:val="FootnoteReference"/>
          <w:szCs w:val="22"/>
          <w:lang w:val="fr-FR"/>
        </w:rPr>
        <w:footnoteReference w:id="63"/>
      </w:r>
      <w:r w:rsidRPr="001E5043">
        <w:rPr>
          <w:lang w:val="fr-FR"/>
        </w:rPr>
        <w:t xml:space="preserve"> axé sur les mécanismes de protection des droits établis pour le programme relatif aux nouveaux </w:t>
      </w:r>
      <w:proofErr w:type="spellStart"/>
      <w:r w:rsidRPr="001E5043">
        <w:rPr>
          <w:lang w:val="fr-FR"/>
        </w:rPr>
        <w:t>gTLD</w:t>
      </w:r>
      <w:proofErr w:type="spellEnd"/>
      <w:r w:rsidRPr="001E5043">
        <w:rPr>
          <w:lang w:val="fr-FR"/>
        </w:rPr>
        <w:t>, notamment la base de données centrale sur les marques (</w:t>
      </w:r>
      <w:r w:rsidR="00CE55B0" w:rsidRPr="001E5043">
        <w:rPr>
          <w:lang w:val="fr-FR"/>
        </w:rPr>
        <w:t>y compris</w:t>
      </w:r>
      <w:r w:rsidRPr="001E5043">
        <w:rPr>
          <w:lang w:val="fr-FR"/>
        </w:rPr>
        <w:t xml:space="preserve"> les services “préliminaires” et le système de “contentieux”) et le système de </w:t>
      </w:r>
      <w:r w:rsidRPr="001E5043">
        <w:rPr>
          <w:lang w:val="fr-FR"/>
        </w:rPr>
        <w:lastRenderedPageBreak/>
        <w:t>suspension uniforme rapide, et contenant des propositions de modifications mineures de ces mécanismes</w:t>
      </w:r>
      <w:r w:rsidRPr="001E5043">
        <w:rPr>
          <w:rStyle w:val="FootnoteReference"/>
          <w:szCs w:val="22"/>
          <w:lang w:val="fr-FR"/>
        </w:rPr>
        <w:footnoteReference w:id="64"/>
      </w:r>
      <w:r w:rsidRPr="001E5043">
        <w:rPr>
          <w:lang w:val="fr-FR"/>
        </w:rPr>
        <w:t>, tandis que la deuxième phase prévue portera sur les principes UDRP</w:t>
      </w:r>
      <w:r w:rsidRPr="001E5043">
        <w:rPr>
          <w:vertAlign w:val="superscript"/>
          <w:lang w:val="fr-FR"/>
        </w:rPr>
        <w:footnoteReference w:id="65"/>
      </w:r>
      <w:r w:rsidRPr="001E5043">
        <w:rPr>
          <w:lang w:val="fr-FR"/>
        </w:rPr>
        <w:t>.  Cette dernière phase constitue un sujet de préoccupation particulièrement important et le Centre continue de se tenir activement informé des intentions des parties prenantes de l</w:t>
      </w:r>
      <w:r w:rsidR="00CE55B0" w:rsidRPr="001E5043">
        <w:rPr>
          <w:lang w:val="fr-FR"/>
        </w:rPr>
        <w:t>’</w:t>
      </w:r>
      <w:r w:rsidRPr="001E5043">
        <w:rPr>
          <w:lang w:val="fr-FR"/>
        </w:rPr>
        <w:t>ICANN concernant les principes UDRP et les mécanismes de protection des droits attachés aux marques en génér</w:t>
      </w:r>
      <w:r w:rsidR="001E5043" w:rsidRPr="001E5043">
        <w:rPr>
          <w:lang w:val="fr-FR"/>
        </w:rPr>
        <w:t xml:space="preserve">al.  À </w:t>
      </w:r>
      <w:r w:rsidRPr="001E5043">
        <w:rPr>
          <w:lang w:val="fr-FR"/>
        </w:rPr>
        <w:t>cet égard, le Centre reste en relation avec les principaux acteurs du domaine, tels que l</w:t>
      </w:r>
      <w:r w:rsidR="00CE55B0" w:rsidRPr="001E5043">
        <w:rPr>
          <w:lang w:val="fr-FR"/>
        </w:rPr>
        <w:t>’</w:t>
      </w:r>
      <w:r w:rsidRPr="001E5043">
        <w:rPr>
          <w:lang w:val="fr-FR"/>
        </w:rPr>
        <w:t>ECTA, l</w:t>
      </w:r>
      <w:r w:rsidR="00CE55B0" w:rsidRPr="001E5043">
        <w:rPr>
          <w:lang w:val="fr-FR"/>
        </w:rPr>
        <w:t>’</w:t>
      </w:r>
      <w:r w:rsidR="00C423BD" w:rsidRPr="001E5043">
        <w:rPr>
          <w:lang w:val="fr-FR"/>
        </w:rPr>
        <w:t>INTA</w:t>
      </w:r>
      <w:r w:rsidRPr="001E5043">
        <w:rPr>
          <w:lang w:val="fr-FR"/>
        </w:rPr>
        <w:t xml:space="preserve"> et MARQUES.</w:t>
      </w:r>
    </w:p>
    <w:p w:rsidR="008E0BF9" w:rsidRPr="001E5043" w:rsidRDefault="002B3C37" w:rsidP="002B3C37">
      <w:pPr>
        <w:pStyle w:val="Heading3"/>
      </w:pPr>
      <w:r w:rsidRPr="001E5043">
        <w:t>RGPD et répertoire WHOIS</w:t>
      </w:r>
    </w:p>
    <w:p w:rsidR="008E0BF9" w:rsidRPr="001E5043" w:rsidRDefault="008E0BF9" w:rsidP="003B5CD9">
      <w:pPr>
        <w:pStyle w:val="ONUMFS"/>
        <w:rPr>
          <w:lang w:val="fr-FR"/>
        </w:rPr>
      </w:pPr>
      <w:r w:rsidRPr="001E5043">
        <w:rPr>
          <w:lang w:val="fr-FR"/>
        </w:rPr>
        <w:t>Le règlement général de l</w:t>
      </w:r>
      <w:r w:rsidR="00CE55B0" w:rsidRPr="001E5043">
        <w:rPr>
          <w:lang w:val="fr-FR"/>
        </w:rPr>
        <w:t>’</w:t>
      </w:r>
      <w:r w:rsidRPr="001E5043">
        <w:rPr>
          <w:lang w:val="fr-FR"/>
        </w:rPr>
        <w:t>Union européenne sur la protection des données (RGPD) est entré en vigueur le 25 mai 2018.  Comme l</w:t>
      </w:r>
      <w:r w:rsidR="00CE55B0" w:rsidRPr="001E5043">
        <w:rPr>
          <w:lang w:val="fr-FR"/>
        </w:rPr>
        <w:t>’</w:t>
      </w:r>
      <w:r w:rsidRPr="001E5043">
        <w:rPr>
          <w:lang w:val="fr-FR"/>
        </w:rPr>
        <w:t>a déclaré la Commission européenne, l</w:t>
      </w:r>
      <w:r w:rsidR="00CE55B0" w:rsidRPr="001E5043">
        <w:rPr>
          <w:lang w:val="fr-FR"/>
        </w:rPr>
        <w:t>’</w:t>
      </w:r>
      <w:r w:rsidRPr="001E5043">
        <w:rPr>
          <w:lang w:val="fr-FR"/>
        </w:rPr>
        <w:t>objectif ultime du RGPD est de répondre aux préoccupations en matière de respect de la vie privée et de confidentialité des données compte tenu des intérêts légitimes des tiers, notamment en matière contractuelle et contentieuse.</w:t>
      </w:r>
    </w:p>
    <w:p w:rsidR="008E0BF9" w:rsidRPr="001E5043" w:rsidRDefault="008E0BF9" w:rsidP="003B5CD9">
      <w:pPr>
        <w:pStyle w:val="ONUMFS"/>
        <w:rPr>
          <w:lang w:val="fr-FR"/>
        </w:rPr>
      </w:pPr>
      <w:r w:rsidRPr="001E5043">
        <w:rPr>
          <w:lang w:val="fr-FR"/>
        </w:rPr>
        <w:t>À compter du 25 mai 2018, les données figurant dans les répertoires WHOIS publics ne mentionnent plus les coordonnées complètes du détenteur du nom de domai</w:t>
      </w:r>
      <w:r w:rsidR="001E5043" w:rsidRPr="001E5043">
        <w:rPr>
          <w:lang w:val="fr-FR"/>
        </w:rPr>
        <w:t>ne.  El</w:t>
      </w:r>
      <w:r w:rsidRPr="001E5043">
        <w:rPr>
          <w:lang w:val="fr-FR"/>
        </w:rPr>
        <w:t>les se limitent normalement à “l</w:t>
      </w:r>
      <w:r w:rsidR="00CE55B0" w:rsidRPr="001E5043">
        <w:rPr>
          <w:lang w:val="fr-FR"/>
        </w:rPr>
        <w:t>’</w:t>
      </w:r>
      <w:r w:rsidRPr="001E5043">
        <w:rPr>
          <w:lang w:val="fr-FR"/>
        </w:rPr>
        <w:t>organisme d</w:t>
      </w:r>
      <w:r w:rsidR="00CE55B0" w:rsidRPr="001E5043">
        <w:rPr>
          <w:lang w:val="fr-FR"/>
        </w:rPr>
        <w:t>’</w:t>
      </w:r>
      <w:r w:rsidRPr="001E5043">
        <w:rPr>
          <w:lang w:val="fr-FR"/>
        </w:rPr>
        <w:t>enregistrement” et au pays</w:t>
      </w:r>
      <w:r w:rsidRPr="001E5043">
        <w:rPr>
          <w:rStyle w:val="FootnoteReference"/>
          <w:szCs w:val="22"/>
          <w:lang w:val="fr-FR"/>
        </w:rPr>
        <w:footnoteReference w:id="66"/>
      </w:r>
      <w:r w:rsidRPr="001E5043">
        <w:rPr>
          <w:lang w:val="fr-FR"/>
        </w:rPr>
        <w:t>.  En dépit de ces limitations publiques, lorsqu</w:t>
      </w:r>
      <w:r w:rsidR="00CE55B0" w:rsidRPr="001E5043">
        <w:rPr>
          <w:lang w:val="fr-FR"/>
        </w:rPr>
        <w:t>’</w:t>
      </w:r>
      <w:r w:rsidRPr="001E5043">
        <w:rPr>
          <w:lang w:val="fr-FR"/>
        </w:rPr>
        <w:t>un prestataire de services UDRP reçoit une plainte, les unités d</w:t>
      </w:r>
      <w:r w:rsidR="00CE55B0" w:rsidRPr="001E5043">
        <w:rPr>
          <w:lang w:val="fr-FR"/>
        </w:rPr>
        <w:t>’</w:t>
      </w:r>
      <w:r w:rsidRPr="001E5043">
        <w:rPr>
          <w:lang w:val="fr-FR"/>
        </w:rPr>
        <w:t>enregistrement respectant les principes de l</w:t>
      </w:r>
      <w:r w:rsidR="00CE55B0" w:rsidRPr="001E5043">
        <w:rPr>
          <w:lang w:val="fr-FR"/>
        </w:rPr>
        <w:t>’</w:t>
      </w:r>
      <w:r w:rsidRPr="001E5043">
        <w:rPr>
          <w:lang w:val="fr-FR"/>
        </w:rPr>
        <w:t>ICANN transmettent généralement les coordonnées du répertoire sur demande de ce prestataire (tout en “verrouillant” parallèlement l</w:t>
      </w:r>
      <w:r w:rsidR="00CE55B0" w:rsidRPr="001E5043">
        <w:rPr>
          <w:lang w:val="fr-FR"/>
        </w:rPr>
        <w:t>’</w:t>
      </w:r>
      <w:r w:rsidRPr="001E5043">
        <w:rPr>
          <w:lang w:val="fr-FR"/>
        </w:rPr>
        <w:t>enregistrement du nom de domaine et les coordonnées de l</w:t>
      </w:r>
      <w:r w:rsidR="00CE55B0" w:rsidRPr="001E5043">
        <w:rPr>
          <w:lang w:val="fr-FR"/>
        </w:rPr>
        <w:t>’</w:t>
      </w:r>
      <w:r w:rsidRPr="001E5043">
        <w:rPr>
          <w:lang w:val="fr-FR"/>
        </w:rPr>
        <w:t>unité d</w:t>
      </w:r>
      <w:r w:rsidR="00CE55B0" w:rsidRPr="001E5043">
        <w:rPr>
          <w:lang w:val="fr-FR"/>
        </w:rPr>
        <w:t>’</w:t>
      </w:r>
      <w:r w:rsidRPr="001E5043">
        <w:rPr>
          <w:lang w:val="fr-FR"/>
        </w:rPr>
        <w:t>enregistrement), conformément aux garanties d</w:t>
      </w:r>
      <w:r w:rsidR="00CE55B0" w:rsidRPr="001E5043">
        <w:rPr>
          <w:lang w:val="fr-FR"/>
        </w:rPr>
        <w:t>’</w:t>
      </w:r>
      <w:r w:rsidRPr="001E5043">
        <w:rPr>
          <w:lang w:val="fr-FR"/>
        </w:rPr>
        <w:t>une procédure régulière énoncées dans les règlements UDRP</w:t>
      </w:r>
      <w:r w:rsidRPr="001E5043">
        <w:rPr>
          <w:rStyle w:val="FootnoteReference"/>
          <w:szCs w:val="22"/>
          <w:lang w:val="fr-FR"/>
        </w:rPr>
        <w:footnoteReference w:id="67"/>
      </w:r>
      <w:r w:rsidRPr="001E5043">
        <w:rPr>
          <w:lang w:val="fr-FR"/>
        </w:rPr>
        <w:t>.</w:t>
      </w:r>
    </w:p>
    <w:p w:rsidR="008E0BF9" w:rsidRPr="001E5043" w:rsidRDefault="008E0BF9" w:rsidP="00F1685C">
      <w:pPr>
        <w:pStyle w:val="ONUMFS"/>
        <w:keepNext/>
        <w:rPr>
          <w:lang w:val="fr-FR"/>
        </w:rPr>
      </w:pPr>
      <w:r w:rsidRPr="001E5043">
        <w:rPr>
          <w:lang w:val="fr-FR"/>
        </w:rPr>
        <w:t>Le Centre continue de suivre de près les incidences sur les procédures UDRP de la réglementation sur la protection des donné</w:t>
      </w:r>
      <w:r w:rsidR="001E5043" w:rsidRPr="001E5043">
        <w:rPr>
          <w:lang w:val="fr-FR"/>
        </w:rPr>
        <w:t>es.  Ou</w:t>
      </w:r>
      <w:r w:rsidRPr="001E5043">
        <w:rPr>
          <w:lang w:val="fr-FR"/>
        </w:rPr>
        <w:t>tre les fonctions du Centre en rapport avec les principes UDRP, pour répondre aux préoccupations plus larges en matière d</w:t>
      </w:r>
      <w:r w:rsidR="00CE55B0" w:rsidRPr="001E5043">
        <w:rPr>
          <w:lang w:val="fr-FR"/>
        </w:rPr>
        <w:t>’</w:t>
      </w:r>
      <w:r w:rsidRPr="001E5043">
        <w:rPr>
          <w:lang w:val="fr-FR"/>
        </w:rPr>
        <w:t>application des droits de propriété intellectuelle suscitées par la réglementation sur la protection de la vie privée, des discussions étendues sont en cours avec les parties prenantes sur un éventuel modèle d</w:t>
      </w:r>
      <w:r w:rsidR="00CE55B0" w:rsidRPr="001E5043">
        <w:rPr>
          <w:lang w:val="fr-FR"/>
        </w:rPr>
        <w:t>’</w:t>
      </w:r>
      <w:r w:rsidRPr="001E5043">
        <w:rPr>
          <w:lang w:val="fr-FR"/>
        </w:rPr>
        <w:t xml:space="preserve">“accréditation et accès” au répertoire, </w:t>
      </w:r>
      <w:r w:rsidR="00CE55B0" w:rsidRPr="001E5043">
        <w:rPr>
          <w:lang w:val="fr-FR"/>
        </w:rPr>
        <w:t>y compris</w:t>
      </w:r>
      <w:r w:rsidRPr="001E5043">
        <w:rPr>
          <w:lang w:val="fr-FR"/>
        </w:rPr>
        <w:t xml:space="preserve"> un rôle potentiel de certification des droits des propriétaires d</w:t>
      </w:r>
      <w:r w:rsidR="00CE55B0" w:rsidRPr="001E5043">
        <w:rPr>
          <w:lang w:val="fr-FR"/>
        </w:rPr>
        <w:t>’</w:t>
      </w:r>
      <w:r w:rsidRPr="001E5043">
        <w:rPr>
          <w:lang w:val="fr-FR"/>
        </w:rPr>
        <w:t>actifs de propriété intellectuelle pour l</w:t>
      </w:r>
      <w:r w:rsidR="00CE55B0" w:rsidRPr="001E5043">
        <w:rPr>
          <w:lang w:val="fr-FR"/>
        </w:rPr>
        <w:t>’</w:t>
      </w:r>
      <w:r w:rsidRPr="001E5043">
        <w:rPr>
          <w:lang w:val="fr-FR"/>
        </w:rPr>
        <w:t>OMPI</w:t>
      </w:r>
      <w:r w:rsidRPr="001E5043">
        <w:rPr>
          <w:rStyle w:val="FootnoteReference"/>
          <w:szCs w:val="22"/>
          <w:lang w:val="fr-FR"/>
        </w:rPr>
        <w:footnoteReference w:id="68"/>
      </w:r>
      <w:r w:rsidRPr="001E5043">
        <w:rPr>
          <w:lang w:val="fr-FR"/>
        </w:rPr>
        <w:t>.  Le débat au sein de l</w:t>
      </w:r>
      <w:r w:rsidR="00CE55B0" w:rsidRPr="001E5043">
        <w:rPr>
          <w:lang w:val="fr-FR"/>
        </w:rPr>
        <w:t>’</w:t>
      </w:r>
      <w:r w:rsidRPr="001E5043">
        <w:rPr>
          <w:lang w:val="fr-FR"/>
        </w:rPr>
        <w:t>ICANN se poursuit sur les spécificités de ce qu</w:t>
      </w:r>
      <w:r w:rsidR="00CE55B0" w:rsidRPr="001E5043">
        <w:rPr>
          <w:lang w:val="fr-FR"/>
        </w:rPr>
        <w:t>’</w:t>
      </w:r>
      <w:r w:rsidRPr="001E5043">
        <w:rPr>
          <w:lang w:val="fr-FR"/>
        </w:rPr>
        <w:t>il a aussi été convenu d</w:t>
      </w:r>
      <w:r w:rsidR="00CE55B0" w:rsidRPr="001E5043">
        <w:rPr>
          <w:lang w:val="fr-FR"/>
        </w:rPr>
        <w:t>’</w:t>
      </w:r>
      <w:r w:rsidRPr="001E5043">
        <w:rPr>
          <w:lang w:val="fr-FR"/>
        </w:rPr>
        <w:t>appeler un système normalisé d</w:t>
      </w:r>
      <w:r w:rsidR="00CE55B0" w:rsidRPr="001E5043">
        <w:rPr>
          <w:lang w:val="fr-FR"/>
        </w:rPr>
        <w:t>’</w:t>
      </w:r>
      <w:r w:rsidRPr="001E5043">
        <w:rPr>
          <w:lang w:val="fr-FR"/>
        </w:rPr>
        <w:t>accès et de divulgation (SSAD) des données d</w:t>
      </w:r>
      <w:r w:rsidR="00CE55B0" w:rsidRPr="001E5043">
        <w:rPr>
          <w:lang w:val="fr-FR"/>
        </w:rPr>
        <w:t>’</w:t>
      </w:r>
      <w:r w:rsidRPr="001E5043">
        <w:rPr>
          <w:lang w:val="fr-FR"/>
        </w:rPr>
        <w:t xml:space="preserve">enregistrement non publiques </w:t>
      </w:r>
      <w:r w:rsidRPr="001E5043">
        <w:rPr>
          <w:lang w:val="fr-FR"/>
        </w:rPr>
        <w:lastRenderedPageBreak/>
        <w:t xml:space="preserve">concernant les </w:t>
      </w:r>
      <w:proofErr w:type="spellStart"/>
      <w:r w:rsidRPr="001E5043">
        <w:rPr>
          <w:lang w:val="fr-FR"/>
        </w:rPr>
        <w:t>gTLD</w:t>
      </w:r>
      <w:proofErr w:type="spellEnd"/>
      <w:r w:rsidRPr="001E5043">
        <w:rPr>
          <w:lang w:val="fr-FR"/>
        </w:rPr>
        <w:t>, notamment à un niveau stratégique dans le cadre du processus accéléré d</w:t>
      </w:r>
      <w:r w:rsidR="00CE55B0" w:rsidRPr="001E5043">
        <w:rPr>
          <w:lang w:val="fr-FR"/>
        </w:rPr>
        <w:t>’</w:t>
      </w:r>
      <w:r w:rsidRPr="001E5043">
        <w:rPr>
          <w:lang w:val="fr-FR"/>
        </w:rPr>
        <w:t>élaboration des politiques (EPDP) de l</w:t>
      </w:r>
      <w:r w:rsidR="00CE55B0" w:rsidRPr="001E5043">
        <w:rPr>
          <w:lang w:val="fr-FR"/>
        </w:rPr>
        <w:t>’</w:t>
      </w:r>
      <w:r w:rsidRPr="001E5043">
        <w:rPr>
          <w:lang w:val="fr-FR"/>
        </w:rPr>
        <w:t>ICANN</w:t>
      </w:r>
      <w:r w:rsidRPr="001E5043">
        <w:rPr>
          <w:rStyle w:val="FootnoteReference"/>
          <w:szCs w:val="22"/>
          <w:lang w:val="fr-FR"/>
        </w:rPr>
        <w:footnoteReference w:id="69"/>
      </w:r>
      <w:r w:rsidRPr="001E5043">
        <w:rPr>
          <w:lang w:val="fr-FR"/>
        </w:rPr>
        <w:t>.</w:t>
      </w:r>
    </w:p>
    <w:p w:rsidR="008E0BF9" w:rsidRPr="001E5043" w:rsidRDefault="002B3C37" w:rsidP="002B3C37">
      <w:pPr>
        <w:pStyle w:val="Heading3"/>
      </w:pPr>
      <w:r w:rsidRPr="001E5043">
        <w:t>Noms de domaines internationalisés</w:t>
      </w:r>
    </w:p>
    <w:p w:rsidR="008E0BF9" w:rsidRPr="001E5043" w:rsidRDefault="008E0BF9" w:rsidP="003B5CD9">
      <w:pPr>
        <w:pStyle w:val="ONUMFS"/>
        <w:rPr>
          <w:lang w:val="fr-FR"/>
        </w:rPr>
      </w:pPr>
      <w:r w:rsidRPr="001E5043">
        <w:rPr>
          <w:lang w:val="fr-FR"/>
        </w:rPr>
        <w:t>Ainsi qu</w:t>
      </w:r>
      <w:r w:rsidR="00CE55B0" w:rsidRPr="001E5043">
        <w:rPr>
          <w:lang w:val="fr-FR"/>
        </w:rPr>
        <w:t>’</w:t>
      </w:r>
      <w:r w:rsidRPr="001E5043">
        <w:rPr>
          <w:lang w:val="fr-FR"/>
        </w:rPr>
        <w:t>il est indiqué au paragraphe 26, l</w:t>
      </w:r>
      <w:r w:rsidR="00CE55B0" w:rsidRPr="001E5043">
        <w:rPr>
          <w:lang w:val="fr-FR"/>
        </w:rPr>
        <w:t>’</w:t>
      </w:r>
      <w:r w:rsidRPr="001E5043">
        <w:rPr>
          <w:lang w:val="fr-FR"/>
        </w:rPr>
        <w:t>introduction de noms de domaine internationalisés (en caractères non latins) dans les domaines de premier niveau constitue une autre évolution importante du DNS</w:t>
      </w:r>
      <w:r w:rsidRPr="001E5043">
        <w:rPr>
          <w:rStyle w:val="FootnoteReference"/>
          <w:szCs w:val="22"/>
          <w:lang w:val="fr-FR"/>
        </w:rPr>
        <w:footnoteReference w:id="70"/>
      </w:r>
      <w:r w:rsidRPr="001E5043">
        <w:rPr>
          <w:lang w:val="fr-FR"/>
        </w:rPr>
        <w:t xml:space="preserve">.  Ces domaines étaient nombreux parmi les premiers </w:t>
      </w:r>
      <w:proofErr w:type="spellStart"/>
      <w:r w:rsidRPr="001E5043">
        <w:rPr>
          <w:lang w:val="fr-FR"/>
        </w:rPr>
        <w:t>gTLD</w:t>
      </w:r>
      <w:proofErr w:type="spellEnd"/>
      <w:r w:rsidRPr="001E5043">
        <w:rPr>
          <w:lang w:val="fr-FR"/>
        </w:rPr>
        <w:t xml:space="preserve"> dont l</w:t>
      </w:r>
      <w:r w:rsidR="00CE55B0" w:rsidRPr="001E5043">
        <w:rPr>
          <w:lang w:val="fr-FR"/>
        </w:rPr>
        <w:t>’</w:t>
      </w:r>
      <w:r w:rsidRPr="001E5043">
        <w:rPr>
          <w:lang w:val="fr-FR"/>
        </w:rPr>
        <w:t>attribution dans la zone racine du DNS a été annoncée par l</w:t>
      </w:r>
      <w:r w:rsidR="00CE55B0" w:rsidRPr="001E5043">
        <w:rPr>
          <w:lang w:val="fr-FR"/>
        </w:rPr>
        <w:t>’</w:t>
      </w:r>
      <w:r w:rsidRPr="001E5043">
        <w:rPr>
          <w:lang w:val="fr-FR"/>
        </w:rPr>
        <w:t>ICANN.</w:t>
      </w:r>
    </w:p>
    <w:p w:rsidR="008E0BF9" w:rsidRPr="001E5043" w:rsidRDefault="002B3C37" w:rsidP="002B3C37">
      <w:pPr>
        <w:pStyle w:val="Heading3"/>
      </w:pPr>
      <w:r w:rsidRPr="001E5043">
        <w:t>Autres désignations</w:t>
      </w:r>
    </w:p>
    <w:p w:rsidR="008E0BF9" w:rsidRPr="001E5043" w:rsidRDefault="008E0BF9" w:rsidP="003B5CD9">
      <w:pPr>
        <w:pStyle w:val="ONUMFS"/>
        <w:rPr>
          <w:lang w:val="fr-FR"/>
        </w:rPr>
      </w:pPr>
      <w:r w:rsidRPr="001E5043">
        <w:rPr>
          <w:lang w:val="fr-FR"/>
        </w:rPr>
        <w:t>Outre les évolutions susmentionnées et en relation avec celles</w:t>
      </w:r>
      <w:r w:rsidR="00921588">
        <w:rPr>
          <w:lang w:val="fr-FR"/>
        </w:rPr>
        <w:noBreakHyphen/>
      </w:r>
      <w:r w:rsidRPr="001E5043">
        <w:rPr>
          <w:lang w:val="fr-FR"/>
        </w:rPr>
        <w:t>ci, d</w:t>
      </w:r>
      <w:r w:rsidR="00CE55B0" w:rsidRPr="001E5043">
        <w:rPr>
          <w:lang w:val="fr-FR"/>
        </w:rPr>
        <w:t>’</w:t>
      </w:r>
      <w:r w:rsidRPr="001E5043">
        <w:rPr>
          <w:lang w:val="fr-FR"/>
        </w:rPr>
        <w:t>autres activités déployées par l</w:t>
      </w:r>
      <w:r w:rsidR="00CE55B0" w:rsidRPr="001E5043">
        <w:rPr>
          <w:lang w:val="fr-FR"/>
        </w:rPr>
        <w:t>’</w:t>
      </w:r>
      <w:r w:rsidRPr="001E5043">
        <w:rPr>
          <w:lang w:val="fr-FR"/>
        </w:rPr>
        <w:t>ICANN touchent à la protection de désignations autres que les marques.</w:t>
      </w:r>
    </w:p>
    <w:p w:rsidR="008E0BF9" w:rsidRPr="001E5043" w:rsidRDefault="008E0BF9" w:rsidP="00F1685C">
      <w:pPr>
        <w:pStyle w:val="Heading4"/>
        <w:numPr>
          <w:ilvl w:val="0"/>
          <w:numId w:val="24"/>
        </w:numPr>
        <w:ind w:left="1701" w:hanging="567"/>
        <w:rPr>
          <w:lang w:val="fr-FR"/>
        </w:rPr>
      </w:pPr>
      <w:r w:rsidRPr="001E5043">
        <w:rPr>
          <w:lang w:val="fr-FR"/>
        </w:rPr>
        <w:t>Organisations intergouvernementales</w:t>
      </w:r>
    </w:p>
    <w:p w:rsidR="008E0BF9" w:rsidRPr="001E5043" w:rsidRDefault="008E0BF9" w:rsidP="003B5CD9">
      <w:pPr>
        <w:pStyle w:val="ONUMFS"/>
        <w:rPr>
          <w:lang w:val="fr-FR"/>
        </w:rPr>
      </w:pPr>
      <w:r w:rsidRPr="001E5043">
        <w:rPr>
          <w:lang w:val="fr-FR"/>
        </w:rPr>
        <w:t>Il est rappelé que le premier processus de consultations de l</w:t>
      </w:r>
      <w:r w:rsidR="00CE55B0" w:rsidRPr="001E5043">
        <w:rPr>
          <w:lang w:val="fr-FR"/>
        </w:rPr>
        <w:t>’</w:t>
      </w:r>
      <w:r w:rsidRPr="001E5043">
        <w:rPr>
          <w:lang w:val="fr-FR"/>
        </w:rPr>
        <w:t>OMPI sur les noms de domaine de l</w:t>
      </w:r>
      <w:r w:rsidR="00CE55B0" w:rsidRPr="001E5043">
        <w:rPr>
          <w:lang w:val="fr-FR"/>
        </w:rPr>
        <w:t>’</w:t>
      </w:r>
      <w:r w:rsidRPr="001E5043">
        <w:rPr>
          <w:lang w:val="fr-FR"/>
        </w:rPr>
        <w:t>Internet traitait du lien entre les noms de domaine et les marqu</w:t>
      </w:r>
      <w:r w:rsidR="001E5043" w:rsidRPr="001E5043">
        <w:rPr>
          <w:lang w:val="fr-FR"/>
        </w:rPr>
        <w:t>es.  Le</w:t>
      </w:r>
      <w:r w:rsidRPr="001E5043">
        <w:rPr>
          <w:lang w:val="fr-FR"/>
        </w:rPr>
        <w:t xml:space="preserve"> second traitait du lien entre les noms de domaine et d</w:t>
      </w:r>
      <w:r w:rsidR="00CE55B0" w:rsidRPr="001E5043">
        <w:rPr>
          <w:lang w:val="fr-FR"/>
        </w:rPr>
        <w:t>’</w:t>
      </w:r>
      <w:r w:rsidRPr="001E5043">
        <w:rPr>
          <w:lang w:val="fr-FR"/>
        </w:rPr>
        <w:t>autres types de désignations, dont les noms de pays et les noms et sigles d</w:t>
      </w:r>
      <w:r w:rsidR="00CE55B0" w:rsidRPr="001E5043">
        <w:rPr>
          <w:lang w:val="fr-FR"/>
        </w:rPr>
        <w:t>’</w:t>
      </w:r>
      <w:r w:rsidRPr="001E5043">
        <w:rPr>
          <w:lang w:val="fr-FR"/>
        </w:rPr>
        <w:t>organisations intergouvernemental</w:t>
      </w:r>
      <w:r w:rsidR="001E5043" w:rsidRPr="001E5043">
        <w:rPr>
          <w:lang w:val="fr-FR"/>
        </w:rPr>
        <w:t>es.  En</w:t>
      </w:r>
      <w:r w:rsidRPr="001E5043">
        <w:rPr>
          <w:lang w:val="fr-FR"/>
        </w:rPr>
        <w:t> 2002, l</w:t>
      </w:r>
      <w:r w:rsidR="00CE55B0" w:rsidRPr="001E5043">
        <w:rPr>
          <w:lang w:val="fr-FR"/>
        </w:rPr>
        <w:t>’</w:t>
      </w:r>
      <w:r w:rsidRPr="001E5043">
        <w:rPr>
          <w:lang w:val="fr-FR"/>
        </w:rPr>
        <w:t>Assemblée générale de l</w:t>
      </w:r>
      <w:r w:rsidR="00CE55B0" w:rsidRPr="001E5043">
        <w:rPr>
          <w:lang w:val="fr-FR"/>
        </w:rPr>
        <w:t>’</w:t>
      </w:r>
      <w:r w:rsidRPr="001E5043">
        <w:rPr>
          <w:lang w:val="fr-FR"/>
        </w:rPr>
        <w:t>OMPI a recommandé de modifier les principes UDRP afin de protéger les noms de pays et les noms et sigles d</w:t>
      </w:r>
      <w:r w:rsidR="00CE55B0" w:rsidRPr="001E5043">
        <w:rPr>
          <w:lang w:val="fr-FR"/>
        </w:rPr>
        <w:t>’</w:t>
      </w:r>
      <w:r w:rsidRPr="001E5043">
        <w:rPr>
          <w:lang w:val="fr-FR"/>
        </w:rPr>
        <w:t>organisations intergouvernementales</w:t>
      </w:r>
      <w:r w:rsidRPr="001E5043">
        <w:rPr>
          <w:rStyle w:val="FootnoteReference"/>
          <w:szCs w:val="22"/>
          <w:lang w:val="fr-FR"/>
        </w:rPr>
        <w:footnoteReference w:id="71"/>
      </w:r>
      <w:r w:rsidRPr="001E5043">
        <w:rPr>
          <w:lang w:val="fr-FR"/>
        </w:rPr>
        <w:t>.</w:t>
      </w:r>
    </w:p>
    <w:p w:rsidR="008E0BF9" w:rsidRPr="001E5043" w:rsidRDefault="008E0BF9" w:rsidP="003B5CD9">
      <w:pPr>
        <w:pStyle w:val="ONUMFS"/>
        <w:rPr>
          <w:lang w:val="fr-FR"/>
        </w:rPr>
      </w:pPr>
      <w:r w:rsidRPr="001E5043">
        <w:rPr>
          <w:lang w:val="fr-FR"/>
        </w:rPr>
        <w:t>Ces recommandations ont fait l</w:t>
      </w:r>
      <w:r w:rsidR="00CE55B0" w:rsidRPr="001E5043">
        <w:rPr>
          <w:lang w:val="fr-FR"/>
        </w:rPr>
        <w:t>’</w:t>
      </w:r>
      <w:r w:rsidRPr="001E5043">
        <w:rPr>
          <w:lang w:val="fr-FR"/>
        </w:rPr>
        <w:t>objet de délibérations longues et complexes au sein du cadre d</w:t>
      </w:r>
      <w:r w:rsidR="00CE55B0" w:rsidRPr="001E5043">
        <w:rPr>
          <w:lang w:val="fr-FR"/>
        </w:rPr>
        <w:t>’</w:t>
      </w:r>
      <w:r w:rsidRPr="001E5043">
        <w:rPr>
          <w:lang w:val="fr-FR"/>
        </w:rPr>
        <w:t>élaboration des politiques à plusieurs niveaux de l</w:t>
      </w:r>
      <w:r w:rsidR="00CE55B0" w:rsidRPr="001E5043">
        <w:rPr>
          <w:lang w:val="fr-FR"/>
        </w:rPr>
        <w:t>’</w:t>
      </w:r>
      <w:r w:rsidRPr="001E5043">
        <w:rPr>
          <w:lang w:val="fr-FR"/>
        </w:rPr>
        <w:t xml:space="preserve">ICANN, notamment en ce qui concerne les conditions relatives aux demandes de nouveaux </w:t>
      </w:r>
      <w:proofErr w:type="spellStart"/>
      <w:r w:rsidRPr="001E5043">
        <w:rPr>
          <w:lang w:val="fr-FR"/>
        </w:rPr>
        <w:t>g</w:t>
      </w:r>
      <w:r w:rsidR="001E5043" w:rsidRPr="001E5043">
        <w:rPr>
          <w:lang w:val="fr-FR"/>
        </w:rPr>
        <w:t>TLD</w:t>
      </w:r>
      <w:proofErr w:type="spellEnd"/>
      <w:r w:rsidR="001E5043" w:rsidRPr="001E5043">
        <w:rPr>
          <w:lang w:val="fr-FR"/>
        </w:rPr>
        <w:t>.  De</w:t>
      </w:r>
      <w:r w:rsidRPr="001E5043">
        <w:rPr>
          <w:lang w:val="fr-FR"/>
        </w:rPr>
        <w:t xml:space="preserve"> précédents documents de l</w:t>
      </w:r>
      <w:r w:rsidR="00CE55B0" w:rsidRPr="001E5043">
        <w:rPr>
          <w:lang w:val="fr-FR"/>
        </w:rPr>
        <w:t>’</w:t>
      </w:r>
      <w:r w:rsidRPr="001E5043">
        <w:rPr>
          <w:lang w:val="fr-FR"/>
        </w:rPr>
        <w:t>Assemblée générale de l</w:t>
      </w:r>
      <w:r w:rsidR="00CE55B0" w:rsidRPr="001E5043">
        <w:rPr>
          <w:lang w:val="fr-FR"/>
        </w:rPr>
        <w:t>’</w:t>
      </w:r>
      <w:r w:rsidRPr="001E5043">
        <w:rPr>
          <w:lang w:val="fr-FR"/>
        </w:rPr>
        <w:t>OMPI décrivent plus en détail le processus et le contenu de ces délibérations qui se poursuivent et qui, dans l</w:t>
      </w:r>
      <w:r w:rsidR="00CE55B0" w:rsidRPr="001E5043">
        <w:rPr>
          <w:lang w:val="fr-FR"/>
        </w:rPr>
        <w:t>’</w:t>
      </w:r>
      <w:r w:rsidRPr="001E5043">
        <w:rPr>
          <w:lang w:val="fr-FR"/>
        </w:rPr>
        <w:t>écosystème de l</w:t>
      </w:r>
      <w:r w:rsidR="00CE55B0" w:rsidRPr="001E5043">
        <w:rPr>
          <w:lang w:val="fr-FR"/>
        </w:rPr>
        <w:t>’</w:t>
      </w:r>
      <w:r w:rsidRPr="001E5043">
        <w:rPr>
          <w:lang w:val="fr-FR"/>
        </w:rPr>
        <w:t>ICANN, font intervenir notamment le Comité consultatif gouvernemental (GAC), le Conseil d</w:t>
      </w:r>
      <w:r w:rsidR="00CE55B0" w:rsidRPr="001E5043">
        <w:rPr>
          <w:lang w:val="fr-FR"/>
        </w:rPr>
        <w:t>’</w:t>
      </w:r>
      <w:r w:rsidRPr="001E5043">
        <w:rPr>
          <w:lang w:val="fr-FR"/>
        </w:rPr>
        <w:t>administration, le comité du Conseil d</w:t>
      </w:r>
      <w:r w:rsidR="00CE55B0" w:rsidRPr="001E5043">
        <w:rPr>
          <w:lang w:val="fr-FR"/>
        </w:rPr>
        <w:t>’</w:t>
      </w:r>
      <w:r w:rsidRPr="001E5043">
        <w:rPr>
          <w:lang w:val="fr-FR"/>
        </w:rPr>
        <w:t>administration chargé du programme de l</w:t>
      </w:r>
      <w:r w:rsidR="00CE55B0" w:rsidRPr="001E5043">
        <w:rPr>
          <w:lang w:val="fr-FR"/>
        </w:rPr>
        <w:t>’</w:t>
      </w:r>
      <w:r w:rsidRPr="001E5043">
        <w:rPr>
          <w:lang w:val="fr-FR"/>
        </w:rPr>
        <w:t xml:space="preserve">ICANN relatif aux nouveaux </w:t>
      </w:r>
      <w:proofErr w:type="spellStart"/>
      <w:r w:rsidRPr="001E5043">
        <w:rPr>
          <w:lang w:val="fr-FR"/>
        </w:rPr>
        <w:t>gTLD</w:t>
      </w:r>
      <w:proofErr w:type="spellEnd"/>
      <w:r w:rsidRPr="001E5043">
        <w:rPr>
          <w:lang w:val="fr-FR"/>
        </w:rPr>
        <w:t xml:space="preserve"> (NGPC) et le Conseil de la GNSO</w:t>
      </w:r>
      <w:r w:rsidRPr="001E5043">
        <w:rPr>
          <w:rStyle w:val="FootnoteReference"/>
          <w:szCs w:val="22"/>
          <w:lang w:val="fr-FR"/>
        </w:rPr>
        <w:footnoteReference w:id="72"/>
      </w:r>
      <w:r w:rsidRPr="001E5043">
        <w:rPr>
          <w:lang w:val="fr-FR"/>
        </w:rPr>
        <w:t>.</w:t>
      </w:r>
    </w:p>
    <w:p w:rsidR="00CE55B0" w:rsidRPr="001E5043" w:rsidRDefault="008E0BF9" w:rsidP="003B5CD9">
      <w:pPr>
        <w:pStyle w:val="ONUMFS"/>
        <w:rPr>
          <w:szCs w:val="22"/>
          <w:lang w:val="fr-FR"/>
        </w:rPr>
      </w:pPr>
      <w:r w:rsidRPr="001E5043">
        <w:rPr>
          <w:lang w:val="fr-FR"/>
        </w:rPr>
        <w:t>En ce qui concerne l</w:t>
      </w:r>
      <w:r w:rsidR="00CE55B0" w:rsidRPr="001E5043">
        <w:rPr>
          <w:lang w:val="fr-FR"/>
        </w:rPr>
        <w:t>’</w:t>
      </w:r>
      <w:r w:rsidRPr="001E5043">
        <w:rPr>
          <w:lang w:val="fr-FR"/>
        </w:rPr>
        <w:t>état d</w:t>
      </w:r>
      <w:r w:rsidR="00CE55B0" w:rsidRPr="001E5043">
        <w:rPr>
          <w:lang w:val="fr-FR"/>
        </w:rPr>
        <w:t>’</w:t>
      </w:r>
      <w:r w:rsidRPr="001E5043">
        <w:rPr>
          <w:lang w:val="fr-FR"/>
        </w:rPr>
        <w:t>avancement de l</w:t>
      </w:r>
      <w:r w:rsidR="00CE55B0" w:rsidRPr="001E5043">
        <w:rPr>
          <w:lang w:val="fr-FR"/>
        </w:rPr>
        <w:t>’</w:t>
      </w:r>
      <w:r w:rsidRPr="001E5043">
        <w:rPr>
          <w:lang w:val="fr-FR"/>
        </w:rPr>
        <w:t>examen de la question de la protection des noms et sigles d</w:t>
      </w:r>
      <w:r w:rsidR="00CE55B0" w:rsidRPr="001E5043">
        <w:rPr>
          <w:lang w:val="fr-FR"/>
        </w:rPr>
        <w:t>’</w:t>
      </w:r>
      <w:r w:rsidRPr="001E5043">
        <w:rPr>
          <w:lang w:val="fr-FR"/>
        </w:rPr>
        <w:t>organisations intergouvernementales dans le DNS, sur la recommandation du GAC, le Conseil d</w:t>
      </w:r>
      <w:r w:rsidR="00CE55B0" w:rsidRPr="001E5043">
        <w:rPr>
          <w:lang w:val="fr-FR"/>
        </w:rPr>
        <w:t>’</w:t>
      </w:r>
      <w:r w:rsidRPr="001E5043">
        <w:rPr>
          <w:lang w:val="fr-FR"/>
        </w:rPr>
        <w:t>administration de l</w:t>
      </w:r>
      <w:r w:rsidR="00CE55B0" w:rsidRPr="001E5043">
        <w:rPr>
          <w:lang w:val="fr-FR"/>
        </w:rPr>
        <w:t>’</w:t>
      </w:r>
      <w:r w:rsidRPr="001E5043">
        <w:rPr>
          <w:lang w:val="fr-FR"/>
        </w:rPr>
        <w:t>ICANN a provisoirement protégé les noms complets des organisations intergouvernementales aux premier et deuxième niveaux, dans deux langues, contre l</w:t>
      </w:r>
      <w:r w:rsidR="00CE55B0" w:rsidRPr="001E5043">
        <w:rPr>
          <w:lang w:val="fr-FR"/>
        </w:rPr>
        <w:t>’</w:t>
      </w:r>
      <w:r w:rsidRPr="001E5043">
        <w:rPr>
          <w:lang w:val="fr-FR"/>
        </w:rPr>
        <w:t xml:space="preserve">enregistrement par des tiers dans les nouveaux </w:t>
      </w:r>
      <w:proofErr w:type="spellStart"/>
      <w:r w:rsidRPr="001E5043">
        <w:rPr>
          <w:lang w:val="fr-FR"/>
        </w:rPr>
        <w:t>g</w:t>
      </w:r>
      <w:r w:rsidR="001E5043" w:rsidRPr="001E5043">
        <w:rPr>
          <w:lang w:val="fr-FR"/>
        </w:rPr>
        <w:t>TLD</w:t>
      </w:r>
      <w:proofErr w:type="spellEnd"/>
      <w:r w:rsidR="001E5043" w:rsidRPr="001E5043">
        <w:rPr>
          <w:lang w:val="fr-FR"/>
        </w:rPr>
        <w:t>.  To</w:t>
      </w:r>
      <w:r w:rsidRPr="001E5043">
        <w:rPr>
          <w:lang w:val="fr-FR"/>
        </w:rPr>
        <w:t xml:space="preserve">utefois, </w:t>
      </w:r>
      <w:r w:rsidRPr="001E5043">
        <w:rPr>
          <w:lang w:val="fr-FR"/>
        </w:rPr>
        <w:lastRenderedPageBreak/>
        <w:t>nonobstant cette recommandation du GAC et la position des organisations intergouvernementales favorables à la protection de nature préventive, en juin 2014 le Conseil de la GNSO a voté en faveur du lancement d</w:t>
      </w:r>
      <w:r w:rsidR="00CE55B0" w:rsidRPr="001E5043">
        <w:rPr>
          <w:lang w:val="fr-FR"/>
        </w:rPr>
        <w:t>’</w:t>
      </w:r>
      <w:r w:rsidRPr="001E5043">
        <w:rPr>
          <w:lang w:val="fr-FR"/>
        </w:rPr>
        <w:t>un deuxième processus d</w:t>
      </w:r>
      <w:r w:rsidR="00CE55B0" w:rsidRPr="001E5043">
        <w:rPr>
          <w:lang w:val="fr-FR"/>
        </w:rPr>
        <w:t>’</w:t>
      </w:r>
      <w:r w:rsidRPr="001E5043">
        <w:rPr>
          <w:lang w:val="fr-FR"/>
        </w:rPr>
        <w:t>élaboration de politique sur l</w:t>
      </w:r>
      <w:r w:rsidR="00CE55B0" w:rsidRPr="001E5043">
        <w:rPr>
          <w:lang w:val="fr-FR"/>
        </w:rPr>
        <w:t>’</w:t>
      </w:r>
      <w:r w:rsidRPr="001E5043">
        <w:rPr>
          <w:lang w:val="fr-FR"/>
        </w:rPr>
        <w:t>opportunité de donner aux organisations intergouvernementales l</w:t>
      </w:r>
      <w:r w:rsidR="00CE55B0" w:rsidRPr="001E5043">
        <w:rPr>
          <w:lang w:val="fr-FR"/>
        </w:rPr>
        <w:t>’</w:t>
      </w:r>
      <w:r w:rsidRPr="001E5043">
        <w:rPr>
          <w:lang w:val="fr-FR"/>
        </w:rPr>
        <w:t>accès à des mécanismes défensifs de protection des droits (tels que les principes UDRP ou les mécanismes de suspension uniforme rapide) pour lutter contre l</w:t>
      </w:r>
      <w:r w:rsidR="00CE55B0" w:rsidRPr="001E5043">
        <w:rPr>
          <w:lang w:val="fr-FR"/>
        </w:rPr>
        <w:t>’</w:t>
      </w:r>
      <w:r w:rsidRPr="001E5043">
        <w:rPr>
          <w:lang w:val="fr-FR"/>
        </w:rPr>
        <w:t>enregistrement abusif de sigles d</w:t>
      </w:r>
      <w:r w:rsidR="00CE55B0" w:rsidRPr="001E5043">
        <w:rPr>
          <w:lang w:val="fr-FR"/>
        </w:rPr>
        <w:t>’</w:t>
      </w:r>
      <w:r w:rsidRPr="001E5043">
        <w:rPr>
          <w:lang w:val="fr-FR"/>
        </w:rPr>
        <w:t>organisations intergouvernementales ou des noms complets des organisations intergouvernementales qui ne sont pas couverts par la protection susmentionn</w:t>
      </w:r>
      <w:r w:rsidR="001E5043" w:rsidRPr="001E5043">
        <w:rPr>
          <w:lang w:val="fr-FR"/>
        </w:rPr>
        <w:t>ée.  La</w:t>
      </w:r>
      <w:r w:rsidRPr="001E5043">
        <w:rPr>
          <w:lang w:val="fr-FR"/>
        </w:rPr>
        <w:t xml:space="preserve"> recommandation finale du groupe de travail a suscité des inquiétudes parmi les organisations intergouvernementales et le GAC, appelant des travaux de synthèse supplémentaires sur une recommandation de fond, qui a depuis été </w:t>
      </w:r>
      <w:r w:rsidRPr="001E5043">
        <w:rPr>
          <w:bCs/>
          <w:lang w:val="fr-FR"/>
        </w:rPr>
        <w:t>remaniée</w:t>
      </w:r>
      <w:r w:rsidRPr="001E5043">
        <w:rPr>
          <w:lang w:val="fr-FR"/>
        </w:rPr>
        <w:t xml:space="preserve"> par le Conseil de la GNSO et examinée dans le cadre de la première phase du processus d</w:t>
      </w:r>
      <w:r w:rsidR="00CE55B0" w:rsidRPr="001E5043">
        <w:rPr>
          <w:lang w:val="fr-FR"/>
        </w:rPr>
        <w:t>’</w:t>
      </w:r>
      <w:r w:rsidRPr="001E5043">
        <w:rPr>
          <w:lang w:val="fr-FR"/>
        </w:rPr>
        <w:t>élaboration de politique visé au paragraphe 34</w:t>
      </w:r>
      <w:r w:rsidRPr="001E5043">
        <w:rPr>
          <w:rStyle w:val="FootnoteReference"/>
          <w:szCs w:val="22"/>
          <w:lang w:val="fr-FR"/>
        </w:rPr>
        <w:footnoteReference w:id="73"/>
      </w:r>
      <w:r w:rsidRPr="001E5043">
        <w:rPr>
          <w:lang w:val="fr-FR"/>
        </w:rPr>
        <w:t xml:space="preserve">.  Le GAC a réaffirmé que tout mécanisme de protection des droits propre aux organisations </w:t>
      </w:r>
      <w:r w:rsidRPr="001E5043">
        <w:rPr>
          <w:color w:val="000000"/>
          <w:lang w:val="fr-FR"/>
        </w:rPr>
        <w:t>intergouvernementales devrait s</w:t>
      </w:r>
      <w:r w:rsidR="00CE55B0" w:rsidRPr="001E5043">
        <w:rPr>
          <w:color w:val="000000"/>
          <w:lang w:val="fr-FR"/>
        </w:rPr>
        <w:t>’</w:t>
      </w:r>
      <w:r w:rsidRPr="001E5043">
        <w:rPr>
          <w:color w:val="000000"/>
          <w:lang w:val="fr-FR"/>
        </w:rPr>
        <w:t>inspirer des principes UDRP existants, tout en se distinguant de ces derniers, et tenir compte du statut de ces organisations en droit international;  pour sa part, le Conseil d</w:t>
      </w:r>
      <w:r w:rsidR="00CE55B0" w:rsidRPr="001E5043">
        <w:rPr>
          <w:color w:val="000000"/>
          <w:lang w:val="fr-FR"/>
        </w:rPr>
        <w:t>’</w:t>
      </w:r>
      <w:r w:rsidRPr="001E5043">
        <w:rPr>
          <w:color w:val="000000"/>
          <w:lang w:val="fr-FR"/>
        </w:rPr>
        <w:t>administration de l</w:t>
      </w:r>
      <w:r w:rsidR="00CE55B0" w:rsidRPr="001E5043">
        <w:rPr>
          <w:color w:val="000000"/>
          <w:lang w:val="fr-FR"/>
        </w:rPr>
        <w:t>’</w:t>
      </w:r>
      <w:r w:rsidRPr="001E5043">
        <w:rPr>
          <w:color w:val="000000"/>
          <w:lang w:val="fr-FR"/>
        </w:rPr>
        <w:t xml:space="preserve">ICANN, tout en prenant note de la recommandation du GAC relative à la nécessité de protéger les sigles des organisations intergouvernementales, a fait part de son intention de lever la protection de ces sigles dans les nouveaux </w:t>
      </w:r>
      <w:proofErr w:type="spellStart"/>
      <w:r w:rsidRPr="001E5043">
        <w:rPr>
          <w:color w:val="000000"/>
          <w:lang w:val="fr-FR"/>
        </w:rPr>
        <w:t>gTLD</w:t>
      </w:r>
      <w:proofErr w:type="spellEnd"/>
      <w:r w:rsidRPr="001E5043">
        <w:rPr>
          <w:color w:val="000000"/>
          <w:lang w:val="fr-FR"/>
        </w:rPr>
        <w:t xml:space="preserve"> sur la base d</w:t>
      </w:r>
      <w:r w:rsidR="00CE55B0" w:rsidRPr="001E5043">
        <w:rPr>
          <w:color w:val="000000"/>
          <w:lang w:val="fr-FR"/>
        </w:rPr>
        <w:t>’</w:t>
      </w:r>
      <w:r w:rsidRPr="001E5043">
        <w:rPr>
          <w:color w:val="000000"/>
          <w:lang w:val="fr-FR"/>
        </w:rPr>
        <w:t>un système visant à signaler aux organisations intergouvernementales tout enregistrement par des tiers correspondant à leur identifiant</w:t>
      </w:r>
      <w:r w:rsidRPr="001E5043">
        <w:rPr>
          <w:rStyle w:val="FootnoteReference"/>
          <w:color w:val="000000"/>
          <w:szCs w:val="22"/>
          <w:lang w:val="fr-FR"/>
        </w:rPr>
        <w:footnoteReference w:id="74"/>
      </w:r>
      <w:r w:rsidRPr="001E5043">
        <w:rPr>
          <w:color w:val="000000"/>
          <w:lang w:val="fr-FR"/>
        </w:rPr>
        <w:t>;  le GAC a ainsi conseillé au Conseil d</w:t>
      </w:r>
      <w:r w:rsidR="00CE55B0" w:rsidRPr="001E5043">
        <w:rPr>
          <w:color w:val="000000"/>
          <w:lang w:val="fr-FR"/>
        </w:rPr>
        <w:t>’</w:t>
      </w:r>
      <w:r w:rsidRPr="001E5043">
        <w:rPr>
          <w:color w:val="000000"/>
          <w:lang w:val="fr-FR"/>
        </w:rPr>
        <w:t>administration de l</w:t>
      </w:r>
      <w:r w:rsidR="00CE55B0" w:rsidRPr="001E5043">
        <w:rPr>
          <w:color w:val="000000"/>
          <w:lang w:val="fr-FR"/>
        </w:rPr>
        <w:t>’</w:t>
      </w:r>
      <w:r w:rsidRPr="001E5043">
        <w:rPr>
          <w:color w:val="000000"/>
          <w:lang w:val="fr-FR"/>
        </w:rPr>
        <w:t>ICANN de “maintenir le moratoire actuel sur l</w:t>
      </w:r>
      <w:r w:rsidR="00CE55B0" w:rsidRPr="001E5043">
        <w:rPr>
          <w:color w:val="000000"/>
          <w:lang w:val="fr-FR"/>
        </w:rPr>
        <w:t>’</w:t>
      </w:r>
      <w:r w:rsidRPr="001E5043">
        <w:rPr>
          <w:color w:val="000000"/>
          <w:lang w:val="fr-FR"/>
        </w:rPr>
        <w:t>enregistrement des acronymes d</w:t>
      </w:r>
      <w:r w:rsidR="00CE55B0" w:rsidRPr="001E5043">
        <w:rPr>
          <w:color w:val="000000"/>
          <w:lang w:val="fr-FR"/>
        </w:rPr>
        <w:t>’</w:t>
      </w:r>
      <w:r w:rsidRPr="001E5043">
        <w:rPr>
          <w:color w:val="000000"/>
          <w:lang w:val="fr-FR"/>
        </w:rPr>
        <w:t>OIG jusqu</w:t>
      </w:r>
      <w:r w:rsidR="00CE55B0" w:rsidRPr="001E5043">
        <w:rPr>
          <w:color w:val="000000"/>
          <w:lang w:val="fr-FR"/>
        </w:rPr>
        <w:t>’</w:t>
      </w:r>
      <w:r w:rsidRPr="001E5043">
        <w:rPr>
          <w:color w:val="000000"/>
          <w:lang w:val="fr-FR"/>
        </w:rPr>
        <w:t>à la conclusion de la piste de travail sur les droits curatifs des OIG actuellement en cours”</w:t>
      </w:r>
      <w:r w:rsidRPr="001E5043">
        <w:rPr>
          <w:rStyle w:val="FootnoteReference"/>
          <w:color w:val="000000"/>
          <w:szCs w:val="22"/>
          <w:lang w:val="fr-FR"/>
        </w:rPr>
        <w:footnoteReference w:id="75"/>
      </w:r>
      <w:r w:rsidRPr="001E5043">
        <w:rPr>
          <w:color w:val="000000"/>
          <w:lang w:val="fr-FR"/>
        </w:rPr>
        <w:t>.</w:t>
      </w:r>
      <w:r w:rsidR="00C9068B" w:rsidRPr="001E5043">
        <w:rPr>
          <w:color w:val="000000"/>
          <w:lang w:val="fr-FR"/>
        </w:rPr>
        <w:t xml:space="preserve">  </w:t>
      </w:r>
      <w:r w:rsidR="00A674EC" w:rsidRPr="001E5043">
        <w:rPr>
          <w:szCs w:val="22"/>
          <w:lang w:val="fr-FR"/>
        </w:rPr>
        <w:t>Depuis lors, au cours de l</w:t>
      </w:r>
      <w:r w:rsidR="00CE55B0" w:rsidRPr="001E5043">
        <w:rPr>
          <w:szCs w:val="22"/>
          <w:lang w:val="fr-FR"/>
        </w:rPr>
        <w:t>’</w:t>
      </w:r>
      <w:r w:rsidR="00A674EC" w:rsidRPr="001E5043">
        <w:rPr>
          <w:szCs w:val="22"/>
          <w:lang w:val="fr-FR"/>
        </w:rPr>
        <w:t>année 2021, une piste de travail accélérée a été convoquée pour traiter la question de l</w:t>
      </w:r>
      <w:r w:rsidR="00CE55B0" w:rsidRPr="001E5043">
        <w:rPr>
          <w:szCs w:val="22"/>
          <w:lang w:val="fr-FR"/>
        </w:rPr>
        <w:t>’</w:t>
      </w:r>
      <w:r w:rsidR="00A674EC" w:rsidRPr="001E5043">
        <w:rPr>
          <w:szCs w:val="22"/>
          <w:lang w:val="fr-FR"/>
        </w:rPr>
        <w:t>accès</w:t>
      </w:r>
      <w:r w:rsidR="00CE55B0" w:rsidRPr="001E5043">
        <w:rPr>
          <w:szCs w:val="22"/>
          <w:lang w:val="fr-FR"/>
        </w:rPr>
        <w:t xml:space="preserve"> des OIG</w:t>
      </w:r>
      <w:r w:rsidR="00A674EC" w:rsidRPr="001E5043">
        <w:rPr>
          <w:szCs w:val="22"/>
          <w:lang w:val="fr-FR"/>
        </w:rPr>
        <w:t xml:space="preserve"> aux mécanismes de protection des droits curatifs tels que les principes UDRP et </w:t>
      </w:r>
      <w:r w:rsidR="001E5043" w:rsidRPr="001E5043">
        <w:rPr>
          <w:szCs w:val="22"/>
          <w:lang w:val="fr-FR"/>
        </w:rPr>
        <w:t>URS.  Ce</w:t>
      </w:r>
      <w:r w:rsidR="00A674EC" w:rsidRPr="001E5043">
        <w:rPr>
          <w:szCs w:val="22"/>
          <w:lang w:val="fr-FR"/>
        </w:rPr>
        <w:t xml:space="preserve"> travail s</w:t>
      </w:r>
      <w:r w:rsidR="00CE55B0" w:rsidRPr="001E5043">
        <w:rPr>
          <w:szCs w:val="22"/>
          <w:lang w:val="fr-FR"/>
        </w:rPr>
        <w:t>’</w:t>
      </w:r>
      <w:r w:rsidR="00A674EC" w:rsidRPr="001E5043">
        <w:rPr>
          <w:szCs w:val="22"/>
          <w:lang w:val="fr-FR"/>
        </w:rPr>
        <w:t>est conclu en mars 2022 par des propositions à l</w:t>
      </w:r>
      <w:r w:rsidR="00CE55B0" w:rsidRPr="001E5043">
        <w:rPr>
          <w:szCs w:val="22"/>
          <w:lang w:val="fr-FR"/>
        </w:rPr>
        <w:t>’</w:t>
      </w:r>
      <w:r w:rsidR="00A674EC" w:rsidRPr="001E5043">
        <w:rPr>
          <w:szCs w:val="22"/>
          <w:lang w:val="fr-FR"/>
        </w:rPr>
        <w:t>ICANN visant à adapter les principes UDRP afin de tenir compte du statut</w:t>
      </w:r>
      <w:r w:rsidR="00CE55B0" w:rsidRPr="001E5043">
        <w:rPr>
          <w:szCs w:val="22"/>
          <w:lang w:val="fr-FR"/>
        </w:rPr>
        <w:t xml:space="preserve"> des OIG</w:t>
      </w:r>
      <w:r w:rsidR="00A674EC" w:rsidRPr="001E5043">
        <w:rPr>
          <w:szCs w:val="22"/>
          <w:lang w:val="fr-FR"/>
        </w:rPr>
        <w:t xml:space="preserve"> en droit international, au regard de la Convention de Paris et des privilèges et immunités reconnus</w:t>
      </w:r>
      <w:r w:rsidR="00C9068B" w:rsidRPr="001E5043">
        <w:rPr>
          <w:szCs w:val="22"/>
          <w:vertAlign w:val="superscript"/>
          <w:lang w:val="fr-FR"/>
        </w:rPr>
        <w:footnoteReference w:id="76"/>
      </w:r>
      <w:r w:rsidR="00A674EC" w:rsidRPr="001E5043">
        <w:rPr>
          <w:szCs w:val="22"/>
          <w:lang w:val="fr-FR"/>
        </w:rPr>
        <w:t>.</w:t>
      </w:r>
    </w:p>
    <w:p w:rsidR="008E0BF9" w:rsidRPr="001E5043" w:rsidRDefault="008E0BF9" w:rsidP="003B5CD9">
      <w:pPr>
        <w:pStyle w:val="ONUMFS"/>
        <w:rPr>
          <w:lang w:val="fr-FR"/>
        </w:rPr>
      </w:pPr>
      <w:r w:rsidRPr="001E5043">
        <w:rPr>
          <w:lang w:val="fr-FR"/>
        </w:rPr>
        <w:t>Avec d</w:t>
      </w:r>
      <w:r w:rsidR="00CE55B0" w:rsidRPr="001E5043">
        <w:rPr>
          <w:lang w:val="fr-FR"/>
        </w:rPr>
        <w:t>’</w:t>
      </w:r>
      <w:r w:rsidRPr="001E5043">
        <w:rPr>
          <w:lang w:val="fr-FR"/>
        </w:rPr>
        <w:t xml:space="preserve">autres organisations intergouvernementales, le Centre continue de suivre de près </w:t>
      </w:r>
      <w:r w:rsidR="00A674EC" w:rsidRPr="001E5043">
        <w:rPr>
          <w:lang w:val="fr-FR"/>
        </w:rPr>
        <w:t>l</w:t>
      </w:r>
      <w:r w:rsidR="00CE55B0" w:rsidRPr="001E5043">
        <w:rPr>
          <w:lang w:val="fr-FR"/>
        </w:rPr>
        <w:t>’</w:t>
      </w:r>
      <w:r w:rsidR="00A674EC" w:rsidRPr="001E5043">
        <w:rPr>
          <w:lang w:val="fr-FR"/>
        </w:rPr>
        <w:t>évolution de la mise en œuvre par l</w:t>
      </w:r>
      <w:r w:rsidR="00CE55B0" w:rsidRPr="001E5043">
        <w:rPr>
          <w:lang w:val="fr-FR"/>
        </w:rPr>
        <w:t>’</w:t>
      </w:r>
      <w:r w:rsidR="00A674EC" w:rsidRPr="001E5043">
        <w:rPr>
          <w:lang w:val="fr-FR"/>
        </w:rPr>
        <w:t xml:space="preserve">ICANN </w:t>
      </w:r>
      <w:r w:rsidRPr="001E5043">
        <w:rPr>
          <w:lang w:val="fr-FR"/>
        </w:rPr>
        <w:t>de ce dossier de longue da</w:t>
      </w:r>
      <w:r w:rsidR="00BE667C">
        <w:rPr>
          <w:lang w:val="fr-FR"/>
        </w:rPr>
        <w:t>te</w:t>
      </w:r>
      <w:r w:rsidRPr="001E5043">
        <w:rPr>
          <w:rStyle w:val="FootnoteReference"/>
          <w:szCs w:val="22"/>
          <w:lang w:val="fr-FR"/>
        </w:rPr>
        <w:footnoteReference w:id="77"/>
      </w:r>
      <w:r w:rsidRPr="001E5043">
        <w:rPr>
          <w:lang w:val="fr-FR"/>
        </w:rPr>
        <w:t>.</w:t>
      </w:r>
    </w:p>
    <w:p w:rsidR="008E0BF9" w:rsidRPr="001E5043" w:rsidRDefault="008E0BF9" w:rsidP="000731B7">
      <w:pPr>
        <w:pStyle w:val="Heading4"/>
        <w:keepNext/>
        <w:rPr>
          <w:lang w:val="fr-FR"/>
        </w:rPr>
      </w:pPr>
      <w:r w:rsidRPr="001E5043">
        <w:rPr>
          <w:lang w:val="fr-FR"/>
        </w:rPr>
        <w:t>Termes géographiques</w:t>
      </w:r>
    </w:p>
    <w:p w:rsidR="008E0BF9" w:rsidRPr="001E5043" w:rsidRDefault="008E0BF9" w:rsidP="003B5CD9">
      <w:pPr>
        <w:pStyle w:val="ONUMFS"/>
        <w:rPr>
          <w:lang w:val="fr-FR"/>
        </w:rPr>
      </w:pPr>
      <w:r w:rsidRPr="001E5043">
        <w:rPr>
          <w:lang w:val="fr-FR"/>
        </w:rPr>
        <w:t xml:space="preserve">En ce qui concerne les noms géographiques, le GAC en particulier a exprimé des préoccupations quant à leur utilisation et leur protection dans les nouveaux </w:t>
      </w:r>
      <w:proofErr w:type="spellStart"/>
      <w:r w:rsidRPr="001E5043">
        <w:rPr>
          <w:lang w:val="fr-FR"/>
        </w:rPr>
        <w:t>gTLD</w:t>
      </w:r>
      <w:proofErr w:type="spellEnd"/>
      <w:r w:rsidRPr="001E5043">
        <w:rPr>
          <w:rStyle w:val="FootnoteReference"/>
          <w:szCs w:val="22"/>
          <w:lang w:val="fr-FR"/>
        </w:rPr>
        <w:footnoteReference w:id="78"/>
      </w:r>
      <w:r w:rsidRPr="001E5043">
        <w:rPr>
          <w:lang w:val="fr-FR"/>
        </w:rPr>
        <w:t xml:space="preserve">.  En 2007, le GAC a publié les “Principes du GAC concernant les nouveaux </w:t>
      </w:r>
      <w:proofErr w:type="spellStart"/>
      <w:r w:rsidRPr="001E5043">
        <w:rPr>
          <w:lang w:val="fr-FR"/>
        </w:rPr>
        <w:t>gTLD</w:t>
      </w:r>
      <w:proofErr w:type="spellEnd"/>
      <w:r w:rsidRPr="001E5043">
        <w:rPr>
          <w:lang w:val="fr-FR"/>
        </w:rPr>
        <w:t>”, qui prévoient notamment que l</w:t>
      </w:r>
      <w:r w:rsidR="00CE55B0" w:rsidRPr="001E5043">
        <w:rPr>
          <w:lang w:val="fr-FR"/>
        </w:rPr>
        <w:t>’</w:t>
      </w:r>
      <w:r w:rsidRPr="001E5043">
        <w:rPr>
          <w:lang w:val="fr-FR"/>
        </w:rPr>
        <w:t>ICANN devrait éviter d</w:t>
      </w:r>
      <w:r w:rsidR="00CE55B0" w:rsidRPr="001E5043">
        <w:rPr>
          <w:lang w:val="fr-FR"/>
        </w:rPr>
        <w:t>’</w:t>
      </w:r>
      <w:r w:rsidRPr="001E5043">
        <w:rPr>
          <w:lang w:val="fr-FR"/>
        </w:rPr>
        <w:t xml:space="preserve">attribuer tout nouveau </w:t>
      </w:r>
      <w:proofErr w:type="spellStart"/>
      <w:r w:rsidRPr="001E5043">
        <w:rPr>
          <w:lang w:val="fr-FR"/>
        </w:rPr>
        <w:t>gTLD</w:t>
      </w:r>
      <w:proofErr w:type="spellEnd"/>
      <w:r w:rsidRPr="001E5043">
        <w:rPr>
          <w:lang w:val="fr-FR"/>
        </w:rPr>
        <w:t xml:space="preserve"> contenant le nom d</w:t>
      </w:r>
      <w:r w:rsidR="00CE55B0" w:rsidRPr="001E5043">
        <w:rPr>
          <w:lang w:val="fr-FR"/>
        </w:rPr>
        <w:t>’</w:t>
      </w:r>
      <w:r w:rsidRPr="001E5043">
        <w:rPr>
          <w:lang w:val="fr-FR"/>
        </w:rPr>
        <w:t>un pays, d</w:t>
      </w:r>
      <w:r w:rsidR="00CE55B0" w:rsidRPr="001E5043">
        <w:rPr>
          <w:lang w:val="fr-FR"/>
        </w:rPr>
        <w:t>’</w:t>
      </w:r>
      <w:r w:rsidRPr="001E5043">
        <w:rPr>
          <w:lang w:val="fr-FR"/>
        </w:rPr>
        <w:t>un territoire ou d</w:t>
      </w:r>
      <w:r w:rsidR="00CE55B0" w:rsidRPr="001E5043">
        <w:rPr>
          <w:lang w:val="fr-FR"/>
        </w:rPr>
        <w:t>’</w:t>
      </w:r>
      <w:r w:rsidRPr="001E5043">
        <w:rPr>
          <w:lang w:val="fr-FR"/>
        </w:rPr>
        <w:t xml:space="preserve">un lieu </w:t>
      </w:r>
      <w:proofErr w:type="spellStart"/>
      <w:r w:rsidRPr="001E5043">
        <w:rPr>
          <w:lang w:val="fr-FR"/>
        </w:rPr>
        <w:t>ou</w:t>
      </w:r>
      <w:proofErr w:type="spellEnd"/>
      <w:r w:rsidRPr="001E5043">
        <w:rPr>
          <w:lang w:val="fr-FR"/>
        </w:rPr>
        <w:t xml:space="preserve"> la désignation d</w:t>
      </w:r>
      <w:r w:rsidR="00CE55B0" w:rsidRPr="001E5043">
        <w:rPr>
          <w:lang w:val="fr-FR"/>
        </w:rPr>
        <w:t>’</w:t>
      </w:r>
      <w:r w:rsidRPr="001E5043">
        <w:rPr>
          <w:lang w:val="fr-FR"/>
        </w:rPr>
        <w:t>une langue régionale ou d</w:t>
      </w:r>
      <w:r w:rsidR="00CE55B0" w:rsidRPr="001E5043">
        <w:rPr>
          <w:lang w:val="fr-FR"/>
        </w:rPr>
        <w:t>’</w:t>
      </w:r>
      <w:r w:rsidRPr="001E5043">
        <w:rPr>
          <w:lang w:val="fr-FR"/>
        </w:rPr>
        <w:t>une population, sauf accord des gouvernements ou autorités publiques concern</w:t>
      </w:r>
      <w:r w:rsidR="001E5043" w:rsidRPr="001E5043">
        <w:rPr>
          <w:lang w:val="fr-FR"/>
        </w:rPr>
        <w:t>és.  Ce</w:t>
      </w:r>
      <w:r w:rsidRPr="001E5043">
        <w:rPr>
          <w:lang w:val="fr-FR"/>
        </w:rPr>
        <w:t>s principes du GAC indiquent en outre que les nouveaux services d</w:t>
      </w:r>
      <w:r w:rsidR="00CE55B0" w:rsidRPr="001E5043">
        <w:rPr>
          <w:lang w:val="fr-FR"/>
        </w:rPr>
        <w:t>’</w:t>
      </w:r>
      <w:r w:rsidRPr="001E5043">
        <w:rPr>
          <w:lang w:val="fr-FR"/>
        </w:rPr>
        <w:t xml:space="preserve">enregistrement devraient adopter des </w:t>
      </w:r>
      <w:r w:rsidRPr="001E5043">
        <w:rPr>
          <w:lang w:val="fr-FR"/>
        </w:rPr>
        <w:lastRenderedPageBreak/>
        <w:t>procédures pour bloquer ou contester les noms ayant une signification nationale ou géographique au deuxième niveau sur demande des gouvernemen</w:t>
      </w:r>
      <w:r w:rsidR="001E5043" w:rsidRPr="001E5043">
        <w:rPr>
          <w:lang w:val="fr-FR"/>
        </w:rPr>
        <w:t>ts.  Po</w:t>
      </w:r>
      <w:r w:rsidRPr="001E5043">
        <w:rPr>
          <w:lang w:val="fr-FR"/>
        </w:rPr>
        <w:t>ur le premier niveau</w:t>
      </w:r>
      <w:r w:rsidRPr="001E5043">
        <w:rPr>
          <w:rStyle w:val="FootnoteReference"/>
          <w:szCs w:val="22"/>
          <w:lang w:val="fr-FR"/>
        </w:rPr>
        <w:footnoteReference w:id="79"/>
      </w:r>
      <w:r w:rsidRPr="001E5043">
        <w:rPr>
          <w:lang w:val="fr-FR"/>
        </w:rPr>
        <w:t>, le Guide de candidature de l</w:t>
      </w:r>
      <w:r w:rsidR="00CE55B0" w:rsidRPr="001E5043">
        <w:rPr>
          <w:lang w:val="fr-FR"/>
        </w:rPr>
        <w:t>’</w:t>
      </w:r>
      <w:r w:rsidRPr="001E5043">
        <w:rPr>
          <w:lang w:val="fr-FR"/>
        </w:rPr>
        <w:t xml:space="preserve">ICANN stipule que “les demandes portant sur des chaînes de caractères qui sont des noms de pays ou de territoires ne seront pas approuvées car elles ne sont pas prévues dans le programme relatif aux nouveaux </w:t>
      </w:r>
      <w:proofErr w:type="spellStart"/>
      <w:r w:rsidRPr="001E5043">
        <w:rPr>
          <w:lang w:val="fr-FR"/>
        </w:rPr>
        <w:t>gTLD</w:t>
      </w:r>
      <w:proofErr w:type="spellEnd"/>
      <w:r w:rsidRPr="001E5043">
        <w:rPr>
          <w:lang w:val="fr-FR"/>
        </w:rPr>
        <w:t xml:space="preserve"> pour cette série de demandes”</w:t>
      </w:r>
      <w:r w:rsidRPr="001E5043">
        <w:rPr>
          <w:rStyle w:val="FootnoteReference"/>
          <w:szCs w:val="22"/>
          <w:lang w:val="fr-FR"/>
        </w:rPr>
        <w:footnoteReference w:id="80"/>
      </w:r>
      <w:r w:rsidRPr="001E5043">
        <w:rPr>
          <w:lang w:val="fr-FR"/>
        </w:rPr>
        <w:t>.  Les chaînes de caractères présentées à l</w:t>
      </w:r>
      <w:r w:rsidR="00CE55B0" w:rsidRPr="001E5043">
        <w:rPr>
          <w:lang w:val="fr-FR"/>
        </w:rPr>
        <w:t>’</w:t>
      </w:r>
      <w:r w:rsidRPr="001E5043">
        <w:rPr>
          <w:lang w:val="fr-FR"/>
        </w:rPr>
        <w:t>enregistrement que l</w:t>
      </w:r>
      <w:r w:rsidR="00CE55B0" w:rsidRPr="001E5043">
        <w:rPr>
          <w:lang w:val="fr-FR"/>
        </w:rPr>
        <w:t>’</w:t>
      </w:r>
      <w:r w:rsidRPr="001E5043">
        <w:rPr>
          <w:lang w:val="fr-FR"/>
        </w:rPr>
        <w:t>ICANN considère comme correspondant à d</w:t>
      </w:r>
      <w:r w:rsidR="00CE55B0" w:rsidRPr="001E5043">
        <w:rPr>
          <w:lang w:val="fr-FR"/>
        </w:rPr>
        <w:t>’</w:t>
      </w:r>
      <w:r w:rsidRPr="001E5043">
        <w:rPr>
          <w:lang w:val="fr-FR"/>
        </w:rPr>
        <w:t>autres désignations géographiques, par exemple des noms de capitales, doivent être accompagnées de pièces justificatives ou d</w:t>
      </w:r>
      <w:r w:rsidR="00CE55B0" w:rsidRPr="001E5043">
        <w:rPr>
          <w:lang w:val="fr-FR"/>
        </w:rPr>
        <w:t>’</w:t>
      </w:r>
      <w:r w:rsidRPr="001E5043">
        <w:rPr>
          <w:lang w:val="fr-FR"/>
        </w:rPr>
        <w:t>une attestation de non</w:t>
      </w:r>
      <w:r w:rsidR="00921588">
        <w:rPr>
          <w:lang w:val="fr-FR"/>
        </w:rPr>
        <w:noBreakHyphen/>
      </w:r>
      <w:r w:rsidRPr="001E5043">
        <w:rPr>
          <w:lang w:val="fr-FR"/>
        </w:rPr>
        <w:t>objection des gouvernements ou autorités publiques concernés</w:t>
      </w:r>
      <w:r w:rsidRPr="001E5043">
        <w:rPr>
          <w:rStyle w:val="FootnoteReference"/>
          <w:szCs w:val="22"/>
          <w:lang w:val="fr-FR"/>
        </w:rPr>
        <w:footnoteReference w:id="81"/>
      </w:r>
      <w:r w:rsidRPr="001E5043">
        <w:rPr>
          <w:lang w:val="fr-FR"/>
        </w:rPr>
        <w:t>.  Les membres du GAC ont exprimé d</w:t>
      </w:r>
      <w:r w:rsidR="00CE55B0" w:rsidRPr="001E5043">
        <w:rPr>
          <w:lang w:val="fr-FR"/>
        </w:rPr>
        <w:t>’</w:t>
      </w:r>
      <w:r w:rsidRPr="001E5043">
        <w:rPr>
          <w:lang w:val="fr-FR"/>
        </w:rPr>
        <w:t xml:space="preserve">autres réserves concernant un certain nombre de demandes portant sur de nouveaux </w:t>
      </w:r>
      <w:proofErr w:type="spellStart"/>
      <w:r w:rsidRPr="001E5043">
        <w:rPr>
          <w:lang w:val="fr-FR"/>
        </w:rPr>
        <w:t>gTLD</w:t>
      </w:r>
      <w:proofErr w:type="spellEnd"/>
      <w:r w:rsidRPr="001E5043">
        <w:rPr>
          <w:lang w:val="fr-FR"/>
        </w:rPr>
        <w:t xml:space="preserve"> pour cause de correspondance avec des termes géographiques ou d</w:t>
      </w:r>
      <w:r w:rsidR="00CE55B0" w:rsidRPr="001E5043">
        <w:rPr>
          <w:lang w:val="fr-FR"/>
        </w:rPr>
        <w:t>’</w:t>
      </w:r>
      <w:r w:rsidRPr="001E5043">
        <w:rPr>
          <w:lang w:val="fr-FR"/>
        </w:rPr>
        <w:t>autres termes “sensibles”, recommandant au Conseil d</w:t>
      </w:r>
      <w:r w:rsidR="00CE55B0" w:rsidRPr="001E5043">
        <w:rPr>
          <w:lang w:val="fr-FR"/>
        </w:rPr>
        <w:t>’</w:t>
      </w:r>
      <w:r w:rsidRPr="001E5043">
        <w:rPr>
          <w:lang w:val="fr-FR"/>
        </w:rPr>
        <w:t>administration de l</w:t>
      </w:r>
      <w:r w:rsidR="00CE55B0" w:rsidRPr="001E5043">
        <w:rPr>
          <w:lang w:val="fr-FR"/>
        </w:rPr>
        <w:t>’</w:t>
      </w:r>
      <w:r w:rsidRPr="001E5043">
        <w:rPr>
          <w:lang w:val="fr-FR"/>
        </w:rPr>
        <w:t>ICANN de ne pas aller au</w:t>
      </w:r>
      <w:r w:rsidR="00921588">
        <w:rPr>
          <w:lang w:val="fr-FR"/>
        </w:rPr>
        <w:noBreakHyphen/>
      </w:r>
      <w:r w:rsidRPr="001E5043">
        <w:rPr>
          <w:lang w:val="fr-FR"/>
        </w:rPr>
        <w:t>delà d</w:t>
      </w:r>
      <w:r w:rsidR="00CE55B0" w:rsidRPr="001E5043">
        <w:rPr>
          <w:lang w:val="fr-FR"/>
        </w:rPr>
        <w:t>’</w:t>
      </w:r>
      <w:r w:rsidRPr="001E5043">
        <w:rPr>
          <w:lang w:val="fr-FR"/>
        </w:rPr>
        <w:t xml:space="preserve">une évaluation initiale et demandant des précisions au Conseil sur la possibilité pour les candidats de modifier les demandes portant sur de nouveaux </w:t>
      </w:r>
      <w:proofErr w:type="spellStart"/>
      <w:r w:rsidRPr="001E5043">
        <w:rPr>
          <w:lang w:val="fr-FR"/>
        </w:rPr>
        <w:t>gTLD</w:t>
      </w:r>
      <w:proofErr w:type="spellEnd"/>
      <w:r w:rsidRPr="001E5043">
        <w:rPr>
          <w:lang w:val="fr-FR"/>
        </w:rPr>
        <w:t xml:space="preserve"> afin de tenir compte des préoccupations particulières du GAC</w:t>
      </w:r>
      <w:r w:rsidRPr="001E5043">
        <w:rPr>
          <w:rStyle w:val="FootnoteReference"/>
          <w:szCs w:val="22"/>
          <w:lang w:val="fr-FR"/>
        </w:rPr>
        <w:footnoteReference w:id="82"/>
      </w:r>
      <w:r w:rsidRPr="001E5043">
        <w:rPr>
          <w:lang w:val="fr-FR"/>
        </w:rPr>
        <w:t>.</w:t>
      </w:r>
    </w:p>
    <w:p w:rsidR="008E0BF9" w:rsidRPr="001E5043" w:rsidRDefault="008E0BF9" w:rsidP="003B5CD9">
      <w:pPr>
        <w:pStyle w:val="ONUMFS"/>
        <w:rPr>
          <w:lang w:val="fr-FR"/>
        </w:rPr>
      </w:pPr>
      <w:r w:rsidRPr="001E5043">
        <w:rPr>
          <w:lang w:val="fr-FR"/>
        </w:rPr>
        <w:t>En décembre 2016, l</w:t>
      </w:r>
      <w:r w:rsidR="00CE55B0" w:rsidRPr="001E5043">
        <w:rPr>
          <w:lang w:val="fr-FR"/>
        </w:rPr>
        <w:t>’</w:t>
      </w:r>
      <w:r w:rsidRPr="001E5043">
        <w:rPr>
          <w:lang w:val="fr-FR"/>
        </w:rPr>
        <w:t>ICANN a autorisé l</w:t>
      </w:r>
      <w:r w:rsidR="00CE55B0" w:rsidRPr="001E5043">
        <w:rPr>
          <w:lang w:val="fr-FR"/>
        </w:rPr>
        <w:t>’</w:t>
      </w:r>
      <w:r w:rsidRPr="001E5043">
        <w:rPr>
          <w:lang w:val="fr-FR"/>
        </w:rPr>
        <w:t>ouverture à l</w:t>
      </w:r>
      <w:r w:rsidR="00CE55B0" w:rsidRPr="001E5043">
        <w:rPr>
          <w:lang w:val="fr-FR"/>
        </w:rPr>
        <w:t>’</w:t>
      </w:r>
      <w:r w:rsidRPr="001E5043">
        <w:rPr>
          <w:lang w:val="fr-FR"/>
        </w:rPr>
        <w:t xml:space="preserve">enregistrement de tous les noms de domaine à deux caractères précédemment réservés au deuxième niveau des nouveaux </w:t>
      </w:r>
      <w:proofErr w:type="spellStart"/>
      <w:r w:rsidRPr="001E5043">
        <w:rPr>
          <w:lang w:val="fr-FR"/>
        </w:rPr>
        <w:t>gTLD</w:t>
      </w:r>
      <w:proofErr w:type="spellEnd"/>
      <w:r w:rsidRPr="001E5043">
        <w:rPr>
          <w:lang w:val="fr-FR"/>
        </w:rPr>
        <w:t xml:space="preserve"> sous réserve que les administrateurs des services d</w:t>
      </w:r>
      <w:r w:rsidR="00CE55B0" w:rsidRPr="001E5043">
        <w:rPr>
          <w:lang w:val="fr-FR"/>
        </w:rPr>
        <w:t>’</w:t>
      </w:r>
      <w:r w:rsidRPr="001E5043">
        <w:rPr>
          <w:lang w:val="fr-FR"/>
        </w:rPr>
        <w:t>enregistrement accordent préalablement aux gouvernements respectifs un délai de 30</w:t>
      </w:r>
      <w:r w:rsidR="001E5043">
        <w:rPr>
          <w:lang w:val="fr-FR"/>
        </w:rPr>
        <w:t> </w:t>
      </w:r>
      <w:r w:rsidRPr="001E5043">
        <w:rPr>
          <w:lang w:val="fr-FR"/>
        </w:rPr>
        <w:t>jours pour l</w:t>
      </w:r>
      <w:r w:rsidR="00CE55B0" w:rsidRPr="001E5043">
        <w:rPr>
          <w:lang w:val="fr-FR"/>
        </w:rPr>
        <w:t>’</w:t>
      </w:r>
      <w:r w:rsidRPr="001E5043">
        <w:rPr>
          <w:lang w:val="fr-FR"/>
        </w:rPr>
        <w:t>acquisition de ces noms de domaine, qu</w:t>
      </w:r>
      <w:r w:rsidR="00CE55B0" w:rsidRPr="001E5043">
        <w:rPr>
          <w:lang w:val="fr-FR"/>
        </w:rPr>
        <w:t>’</w:t>
      </w:r>
      <w:r w:rsidRPr="001E5043">
        <w:rPr>
          <w:lang w:val="fr-FR"/>
        </w:rPr>
        <w:t>ils exigent des demandeurs une déclaration selon laquelle ces derniers ne laisseront pas entendre, à tort, qu</w:t>
      </w:r>
      <w:r w:rsidR="00CE55B0" w:rsidRPr="001E5043">
        <w:rPr>
          <w:lang w:val="fr-FR"/>
        </w:rPr>
        <w:t>’</w:t>
      </w:r>
      <w:r w:rsidRPr="001E5043">
        <w:rPr>
          <w:lang w:val="fr-FR"/>
        </w:rPr>
        <w:t>il existe un lien quelconque avec le gouvernement en ce qui concerne l</w:t>
      </w:r>
      <w:r w:rsidR="00CE55B0" w:rsidRPr="001E5043">
        <w:rPr>
          <w:lang w:val="fr-FR"/>
        </w:rPr>
        <w:t>’</w:t>
      </w:r>
      <w:r w:rsidRPr="001E5043">
        <w:rPr>
          <w:lang w:val="fr-FR"/>
        </w:rPr>
        <w:t>utilisation du nom de domaine à deux caractères et qu</w:t>
      </w:r>
      <w:r w:rsidR="00CE55B0" w:rsidRPr="001E5043">
        <w:rPr>
          <w:lang w:val="fr-FR"/>
        </w:rPr>
        <w:t>’</w:t>
      </w:r>
      <w:r w:rsidRPr="001E5043">
        <w:rPr>
          <w:lang w:val="fr-FR"/>
        </w:rPr>
        <w:t>ils prévoient une procédure de dépôt de plaintes postérieure à l</w:t>
      </w:r>
      <w:r w:rsidR="00CE55B0" w:rsidRPr="001E5043">
        <w:rPr>
          <w:lang w:val="fr-FR"/>
        </w:rPr>
        <w:t>’</w:t>
      </w:r>
      <w:r w:rsidRPr="001E5043">
        <w:rPr>
          <w:lang w:val="fr-FR"/>
        </w:rPr>
        <w:t>enregistrement</w:t>
      </w:r>
      <w:r w:rsidRPr="001E5043">
        <w:rPr>
          <w:rStyle w:val="FootnoteReference"/>
          <w:szCs w:val="22"/>
          <w:lang w:val="fr-FR"/>
        </w:rPr>
        <w:footnoteReference w:id="83"/>
      </w:r>
      <w:r w:rsidRPr="001E5043">
        <w:rPr>
          <w:lang w:val="fr-FR"/>
        </w:rPr>
        <w:t>.  C</w:t>
      </w:r>
      <w:r w:rsidR="00CE55B0" w:rsidRPr="001E5043">
        <w:rPr>
          <w:lang w:val="fr-FR"/>
        </w:rPr>
        <w:t>’</w:t>
      </w:r>
      <w:r w:rsidRPr="001E5043">
        <w:rPr>
          <w:lang w:val="fr-FR"/>
        </w:rPr>
        <w:t>est ainsi que le Centre a transmis des commentaires à l</w:t>
      </w:r>
      <w:r w:rsidR="00CE55B0" w:rsidRPr="001E5043">
        <w:rPr>
          <w:lang w:val="fr-FR"/>
        </w:rPr>
        <w:t>’</w:t>
      </w:r>
      <w:r w:rsidRPr="001E5043">
        <w:rPr>
          <w:lang w:val="fr-FR"/>
        </w:rPr>
        <w:t>ICANN, faisant observer que le deuxième processus de consultations de l</w:t>
      </w:r>
      <w:r w:rsidR="00CE55B0" w:rsidRPr="001E5043">
        <w:rPr>
          <w:lang w:val="fr-FR"/>
        </w:rPr>
        <w:t>’</w:t>
      </w:r>
      <w:r w:rsidRPr="001E5043">
        <w:rPr>
          <w:lang w:val="fr-FR"/>
        </w:rPr>
        <w:t>OMPI sur les noms de domaine de l</w:t>
      </w:r>
      <w:r w:rsidR="00CE55B0" w:rsidRPr="001E5043">
        <w:rPr>
          <w:lang w:val="fr-FR"/>
        </w:rPr>
        <w:t>’</w:t>
      </w:r>
      <w:r w:rsidRPr="001E5043">
        <w:rPr>
          <w:lang w:val="fr-FR"/>
        </w:rPr>
        <w:t>Internet prévoyait la possibilité d</w:t>
      </w:r>
      <w:r w:rsidR="00CE55B0" w:rsidRPr="001E5043">
        <w:rPr>
          <w:lang w:val="fr-FR"/>
        </w:rPr>
        <w:t>’</w:t>
      </w:r>
      <w:r w:rsidRPr="001E5043">
        <w:rPr>
          <w:lang w:val="fr-FR"/>
        </w:rPr>
        <w:t>examiner des mesures permettant d</w:t>
      </w:r>
      <w:r w:rsidR="00CE55B0" w:rsidRPr="001E5043">
        <w:rPr>
          <w:lang w:val="fr-FR"/>
        </w:rPr>
        <w:t>’</w:t>
      </w:r>
      <w:r w:rsidRPr="001E5043">
        <w:rPr>
          <w:lang w:val="fr-FR"/>
        </w:rPr>
        <w:t>appliquer les principes UDRP aux enregistrements de troisième niveau afin d</w:t>
      </w:r>
      <w:r w:rsidR="00CE55B0" w:rsidRPr="001E5043">
        <w:rPr>
          <w:lang w:val="fr-FR"/>
        </w:rPr>
        <w:t>’</w:t>
      </w:r>
      <w:r w:rsidRPr="001E5043">
        <w:rPr>
          <w:lang w:val="fr-FR"/>
        </w:rPr>
        <w:t>atténuer le risque d</w:t>
      </w:r>
      <w:r w:rsidR="00CE55B0" w:rsidRPr="001E5043">
        <w:rPr>
          <w:lang w:val="fr-FR"/>
        </w:rPr>
        <w:t>’</w:t>
      </w:r>
      <w:r w:rsidRPr="001E5043">
        <w:rPr>
          <w:lang w:val="fr-FR"/>
        </w:rPr>
        <w:t>atteinte aux marques</w:t>
      </w:r>
      <w:r w:rsidRPr="001E5043">
        <w:rPr>
          <w:rStyle w:val="FootnoteReference"/>
          <w:szCs w:val="22"/>
          <w:lang w:val="fr-FR"/>
        </w:rPr>
        <w:footnoteReference w:id="84"/>
      </w:r>
      <w:r w:rsidRPr="001E5043">
        <w:rPr>
          <w:lang w:val="fr-FR"/>
        </w:rPr>
        <w:t>.  L</w:t>
      </w:r>
      <w:r w:rsidR="00CE55B0" w:rsidRPr="001E5043">
        <w:rPr>
          <w:lang w:val="fr-FR"/>
        </w:rPr>
        <w:t>’</w:t>
      </w:r>
      <w:r w:rsidRPr="001E5043">
        <w:rPr>
          <w:lang w:val="fr-FR"/>
        </w:rPr>
        <w:t>ICANN n</w:t>
      </w:r>
      <w:r w:rsidR="00CE55B0" w:rsidRPr="001E5043">
        <w:rPr>
          <w:lang w:val="fr-FR"/>
        </w:rPr>
        <w:t>’</w:t>
      </w:r>
      <w:r w:rsidRPr="001E5043">
        <w:rPr>
          <w:lang w:val="fr-FR"/>
        </w:rPr>
        <w:t>a pas donné suite à la communication du Cent</w:t>
      </w:r>
      <w:r w:rsidR="001E5043" w:rsidRPr="001E5043">
        <w:rPr>
          <w:lang w:val="fr-FR"/>
        </w:rPr>
        <w:t>re.  Le</w:t>
      </w:r>
      <w:r w:rsidRPr="001E5043">
        <w:rPr>
          <w:lang w:val="fr-FR"/>
        </w:rPr>
        <w:t>s membres du GAC ont demandé à l</w:t>
      </w:r>
      <w:r w:rsidR="00CE55B0" w:rsidRPr="001E5043">
        <w:rPr>
          <w:lang w:val="fr-FR"/>
        </w:rPr>
        <w:t>’</w:t>
      </w:r>
      <w:r w:rsidRPr="001E5043">
        <w:rPr>
          <w:lang w:val="fr-FR"/>
        </w:rPr>
        <w:t>ICANN de fournir des informations coordonnées sur les demandes et délégations correspondantes</w:t>
      </w:r>
      <w:r w:rsidRPr="001E5043">
        <w:rPr>
          <w:rStyle w:val="FootnoteReference"/>
          <w:szCs w:val="22"/>
          <w:lang w:val="fr-FR"/>
        </w:rPr>
        <w:footnoteReference w:id="85"/>
      </w:r>
      <w:r w:rsidRPr="001E5043">
        <w:rPr>
          <w:lang w:val="fr-FR"/>
        </w:rPr>
        <w:t>.</w:t>
      </w:r>
    </w:p>
    <w:p w:rsidR="008E0BF9" w:rsidRPr="001E5043" w:rsidRDefault="008E0BF9" w:rsidP="00797A13">
      <w:pPr>
        <w:pStyle w:val="ONUMFS"/>
        <w:keepLines/>
        <w:rPr>
          <w:szCs w:val="24"/>
          <w:lang w:val="fr-FR"/>
        </w:rPr>
      </w:pPr>
      <w:r w:rsidRPr="001E5043">
        <w:rPr>
          <w:lang w:val="fr-FR"/>
        </w:rPr>
        <w:lastRenderedPageBreak/>
        <w:t>Sur ces questions et d</w:t>
      </w:r>
      <w:r w:rsidR="00CE55B0" w:rsidRPr="001E5043">
        <w:rPr>
          <w:lang w:val="fr-FR"/>
        </w:rPr>
        <w:t>’</w:t>
      </w:r>
      <w:r w:rsidRPr="001E5043">
        <w:rPr>
          <w:lang w:val="fr-FR"/>
        </w:rPr>
        <w:t>autres questions concernant le DNS, le Centre s</w:t>
      </w:r>
      <w:r w:rsidR="00CE55B0" w:rsidRPr="001E5043">
        <w:rPr>
          <w:lang w:val="fr-FR"/>
        </w:rPr>
        <w:t>’</w:t>
      </w:r>
      <w:r w:rsidRPr="001E5043">
        <w:rPr>
          <w:lang w:val="fr-FR"/>
        </w:rPr>
        <w:t>est attaché à informer les secteurs concernés au sein du Secrétariat, notamment pour appuyer les travaux du Comité permanent du droit des marques, des dessins et modèles industriels et des indications géographiques (SCT)</w:t>
      </w:r>
      <w:r w:rsidRPr="001E5043">
        <w:rPr>
          <w:rStyle w:val="FootnoteReference"/>
          <w:szCs w:val="22"/>
          <w:lang w:val="fr-FR"/>
        </w:rPr>
        <w:footnoteReference w:id="86"/>
      </w:r>
      <w:r w:rsidRPr="001E5043">
        <w:rPr>
          <w:lang w:val="fr-FR"/>
        </w:rPr>
        <w:t>.  Le Secrétariat continuera de se tenir informé de ces évolutions et d</w:t>
      </w:r>
      <w:r w:rsidR="00CE55B0" w:rsidRPr="001E5043">
        <w:rPr>
          <w:lang w:val="fr-FR"/>
        </w:rPr>
        <w:t>’</w:t>
      </w:r>
      <w:r w:rsidRPr="001E5043">
        <w:rPr>
          <w:lang w:val="fr-FR"/>
        </w:rPr>
        <w:t>y contribuer le cas échéant.</w:t>
      </w:r>
    </w:p>
    <w:p w:rsidR="008E0BF9" w:rsidRPr="001E5043" w:rsidRDefault="008E0BF9" w:rsidP="002B3C37">
      <w:pPr>
        <w:pStyle w:val="ONUMFS"/>
        <w:ind w:left="5533"/>
        <w:rPr>
          <w:i/>
          <w:lang w:val="fr-FR"/>
        </w:rPr>
      </w:pPr>
      <w:r w:rsidRPr="001E5043">
        <w:rPr>
          <w:i/>
          <w:lang w:val="fr-FR"/>
        </w:rPr>
        <w:t>L</w:t>
      </w:r>
      <w:r w:rsidR="00CE55B0" w:rsidRPr="001E5043">
        <w:rPr>
          <w:i/>
          <w:lang w:val="fr-FR"/>
        </w:rPr>
        <w:t>’</w:t>
      </w:r>
      <w:r w:rsidRPr="001E5043">
        <w:rPr>
          <w:i/>
          <w:lang w:val="fr-FR"/>
        </w:rPr>
        <w:t>Assemblée générale de l</w:t>
      </w:r>
      <w:r w:rsidR="00CE55B0" w:rsidRPr="001E5043">
        <w:rPr>
          <w:i/>
          <w:lang w:val="fr-FR"/>
        </w:rPr>
        <w:t>’</w:t>
      </w:r>
      <w:r w:rsidRPr="001E5043">
        <w:rPr>
          <w:i/>
          <w:lang w:val="fr-FR"/>
        </w:rPr>
        <w:t>OMPI est invitée à prendre note du contenu du document intitulé “Centre d</w:t>
      </w:r>
      <w:r w:rsidR="00CE55B0" w:rsidRPr="001E5043">
        <w:rPr>
          <w:i/>
          <w:lang w:val="fr-FR"/>
        </w:rPr>
        <w:t>’</w:t>
      </w:r>
      <w:r w:rsidRPr="001E5043">
        <w:rPr>
          <w:i/>
          <w:lang w:val="fr-FR"/>
        </w:rPr>
        <w:t>arbitrage et de médiation de l</w:t>
      </w:r>
      <w:r w:rsidR="00CE55B0" w:rsidRPr="001E5043">
        <w:rPr>
          <w:i/>
          <w:lang w:val="fr-FR"/>
        </w:rPr>
        <w:t>’</w:t>
      </w:r>
      <w:r w:rsidRPr="001E5043">
        <w:rPr>
          <w:i/>
          <w:lang w:val="fr-FR"/>
        </w:rPr>
        <w:t xml:space="preserve">OMPI, </w:t>
      </w:r>
      <w:r w:rsidR="00CE55B0" w:rsidRPr="001E5043">
        <w:rPr>
          <w:i/>
          <w:lang w:val="fr-FR"/>
        </w:rPr>
        <w:t>y compris</w:t>
      </w:r>
      <w:r w:rsidRPr="001E5043">
        <w:rPr>
          <w:i/>
          <w:lang w:val="fr-FR"/>
        </w:rPr>
        <w:t xml:space="preserve"> les noms de domaine” (document WO/GA/5</w:t>
      </w:r>
      <w:r w:rsidR="00A674EC" w:rsidRPr="001E5043">
        <w:rPr>
          <w:i/>
          <w:lang w:val="fr-FR"/>
        </w:rPr>
        <w:t>5</w:t>
      </w:r>
      <w:r w:rsidRPr="001E5043">
        <w:rPr>
          <w:i/>
          <w:lang w:val="fr-FR"/>
        </w:rPr>
        <w:t>/1</w:t>
      </w:r>
      <w:r w:rsidR="00A674EC" w:rsidRPr="001E5043">
        <w:rPr>
          <w:i/>
          <w:lang w:val="fr-FR"/>
        </w:rPr>
        <w:t>0</w:t>
      </w:r>
      <w:r w:rsidRPr="001E5043">
        <w:rPr>
          <w:i/>
          <w:lang w:val="fr-FR"/>
        </w:rPr>
        <w:t>).</w:t>
      </w:r>
    </w:p>
    <w:p w:rsidR="000F5E56" w:rsidRPr="001E5043" w:rsidRDefault="008E0BF9" w:rsidP="003B5CD9">
      <w:pPr>
        <w:pStyle w:val="Endofdocument-Annex"/>
        <w:rPr>
          <w:lang w:val="fr-FR"/>
        </w:rPr>
      </w:pPr>
      <w:r w:rsidRPr="001E5043">
        <w:rPr>
          <w:lang w:val="fr-FR"/>
        </w:rPr>
        <w:t>[Fin du document]</w:t>
      </w:r>
    </w:p>
    <w:sectPr w:rsidR="000F5E56" w:rsidRPr="001E5043" w:rsidSect="008E0BF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3BD" w:rsidRDefault="00C423BD">
      <w:r>
        <w:separator/>
      </w:r>
    </w:p>
  </w:endnote>
  <w:endnote w:type="continuationSeparator" w:id="0">
    <w:p w:rsidR="00C423BD" w:rsidRPr="009D30E6" w:rsidRDefault="00C423BD" w:rsidP="00D45252">
      <w:pPr>
        <w:rPr>
          <w:sz w:val="17"/>
          <w:szCs w:val="17"/>
        </w:rPr>
      </w:pPr>
      <w:r w:rsidRPr="009D30E6">
        <w:rPr>
          <w:sz w:val="17"/>
          <w:szCs w:val="17"/>
        </w:rPr>
        <w:separator/>
      </w:r>
    </w:p>
    <w:p w:rsidR="00C423BD" w:rsidRPr="009D30E6" w:rsidRDefault="00C423BD" w:rsidP="00D45252">
      <w:pPr>
        <w:spacing w:after="60"/>
        <w:rPr>
          <w:sz w:val="17"/>
          <w:szCs w:val="17"/>
        </w:rPr>
      </w:pPr>
      <w:r w:rsidRPr="009D30E6">
        <w:rPr>
          <w:sz w:val="17"/>
          <w:szCs w:val="17"/>
        </w:rPr>
        <w:t>[Suite de la note de la page précédente]</w:t>
      </w:r>
    </w:p>
  </w:endnote>
  <w:endnote w:type="continuationNotice" w:id="1">
    <w:p w:rsidR="00C423BD" w:rsidRPr="009D30E6" w:rsidRDefault="00C423B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F0" w:rsidRDefault="00CF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F0" w:rsidRDefault="00CF1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F0" w:rsidRDefault="00CF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3BD" w:rsidRDefault="00C423BD">
      <w:r>
        <w:separator/>
      </w:r>
    </w:p>
  </w:footnote>
  <w:footnote w:type="continuationSeparator" w:id="0">
    <w:p w:rsidR="00C423BD" w:rsidRDefault="00C423BD" w:rsidP="007461F1">
      <w:r>
        <w:separator/>
      </w:r>
    </w:p>
    <w:p w:rsidR="00C423BD" w:rsidRPr="009D30E6" w:rsidRDefault="00C423BD" w:rsidP="007461F1">
      <w:pPr>
        <w:spacing w:after="60"/>
        <w:rPr>
          <w:sz w:val="17"/>
          <w:szCs w:val="17"/>
        </w:rPr>
      </w:pPr>
      <w:r w:rsidRPr="009D30E6">
        <w:rPr>
          <w:sz w:val="17"/>
          <w:szCs w:val="17"/>
        </w:rPr>
        <w:t>[Suite de la note de la page précédente]</w:t>
      </w:r>
    </w:p>
  </w:footnote>
  <w:footnote w:type="continuationNotice" w:id="1">
    <w:p w:rsidR="00C423BD" w:rsidRPr="009D30E6" w:rsidRDefault="00C423BD" w:rsidP="007461F1">
      <w:pPr>
        <w:spacing w:before="60"/>
        <w:jc w:val="right"/>
        <w:rPr>
          <w:sz w:val="17"/>
          <w:szCs w:val="17"/>
        </w:rPr>
      </w:pPr>
      <w:r w:rsidRPr="009D30E6">
        <w:rPr>
          <w:sz w:val="17"/>
          <w:szCs w:val="17"/>
        </w:rPr>
        <w:t>[Suite de la note page suivante]</w:t>
      </w:r>
    </w:p>
  </w:footnote>
  <w:footnote w:id="2">
    <w:p w:rsidR="00C423BD" w:rsidRPr="006C7091" w:rsidRDefault="00C423BD" w:rsidP="008E0BF9">
      <w:pPr>
        <w:pStyle w:val="FootnoteText"/>
      </w:pPr>
      <w:r w:rsidRPr="006C7091">
        <w:rPr>
          <w:rStyle w:val="FootnoteReference"/>
        </w:rPr>
        <w:footnoteRef/>
      </w:r>
      <w:r w:rsidRPr="006C7091">
        <w:t xml:space="preserve"> </w:t>
      </w:r>
      <w:r w:rsidRPr="006C7091">
        <w:tab/>
        <w:t>Voir https://www.wipo.int/</w:t>
      </w:r>
      <w:r>
        <w:t>about</w:t>
      </w:r>
      <w:r w:rsidR="00921588">
        <w:noBreakHyphen/>
      </w:r>
      <w:proofErr w:type="gramStart"/>
      <w:r>
        <w:t>wipo</w:t>
      </w:r>
      <w:r w:rsidRPr="006C7091">
        <w:t>/fr/</w:t>
      </w:r>
      <w:r>
        <w:t>assemblies/2021/a_62/</w:t>
      </w:r>
      <w:r w:rsidRPr="006C7091">
        <w:t>doc_details.jsp?doc</w:t>
      </w:r>
      <w:proofErr w:type="gramEnd"/>
      <w:r w:rsidRPr="006C7091">
        <w:t>_id=5</w:t>
      </w:r>
      <w:r>
        <w:t>4</w:t>
      </w:r>
      <w:r w:rsidRPr="006C7091">
        <w:t>7</w:t>
      </w:r>
      <w:r>
        <w:t>756</w:t>
      </w:r>
      <w:r w:rsidRPr="006C7091">
        <w:t>.</w:t>
      </w:r>
    </w:p>
  </w:footnote>
  <w:footnote w:id="3">
    <w:p w:rsidR="00C423BD" w:rsidRPr="006A7ECF" w:rsidRDefault="00C423BD">
      <w:pPr>
        <w:pStyle w:val="FootnoteText"/>
      </w:pPr>
      <w:r>
        <w:rPr>
          <w:rStyle w:val="FootnoteReference"/>
        </w:rPr>
        <w:footnoteRef/>
      </w:r>
      <w:r>
        <w:t xml:space="preserve"> </w:t>
      </w:r>
      <w:r>
        <w:tab/>
      </w:r>
      <w:r w:rsidRPr="005D517C">
        <w:rPr>
          <w:lang w:val="fr-FR"/>
        </w:rPr>
        <w:t xml:space="preserve">Le Centre fournit des conseils en matière de procédure (bons offices) aux parties à des litiges </w:t>
      </w:r>
      <w:r>
        <w:rPr>
          <w:lang w:val="fr-FR"/>
        </w:rPr>
        <w:t>en matière de</w:t>
      </w:r>
      <w:r w:rsidRPr="005D517C">
        <w:rPr>
          <w:lang w:val="fr-FR"/>
        </w:rPr>
        <w:t xml:space="preserve"> propriété intellectuelle </w:t>
      </w:r>
      <w:r>
        <w:rPr>
          <w:lang w:val="fr-FR"/>
        </w:rPr>
        <w:t>ou de</w:t>
      </w:r>
      <w:r w:rsidRPr="005D517C">
        <w:rPr>
          <w:lang w:val="fr-FR"/>
        </w:rPr>
        <w:t xml:space="preserve"> technologie en vue de faciliter le règlement de leur litige ou l</w:t>
      </w:r>
      <w:r>
        <w:rPr>
          <w:lang w:val="fr-FR"/>
        </w:rPr>
        <w:t>a soumission de leur litige aux</w:t>
      </w:r>
      <w:r w:rsidRPr="005D517C">
        <w:rPr>
          <w:lang w:val="fr-FR"/>
        </w:rPr>
        <w:t xml:space="preserve"> procédure</w:t>
      </w:r>
      <w:r>
        <w:rPr>
          <w:lang w:val="fr-FR"/>
        </w:rPr>
        <w:t>s</w:t>
      </w:r>
      <w:r w:rsidRPr="005D517C">
        <w:rPr>
          <w:lang w:val="fr-FR"/>
        </w:rPr>
        <w:t xml:space="preserve"> de médiation ou d</w:t>
      </w:r>
      <w:r w:rsidR="005104A3">
        <w:rPr>
          <w:lang w:val="fr-FR"/>
        </w:rPr>
        <w:t>’</w:t>
      </w:r>
      <w:r w:rsidRPr="005D517C">
        <w:rPr>
          <w:lang w:val="fr-FR"/>
        </w:rPr>
        <w:t>arbitrage de l</w:t>
      </w:r>
      <w:r w:rsidR="005104A3">
        <w:rPr>
          <w:lang w:val="fr-FR"/>
        </w:rPr>
        <w:t>’</w:t>
      </w:r>
      <w:r w:rsidRPr="005D517C">
        <w:rPr>
          <w:lang w:val="fr-FR"/>
        </w:rPr>
        <w:t>OMPI</w:t>
      </w:r>
      <w:r>
        <w:rPr>
          <w:lang w:val="fr-FR"/>
        </w:rPr>
        <w:t xml:space="preserve"> en tant que </w:t>
      </w:r>
      <w:r w:rsidRPr="00C84C0A">
        <w:rPr>
          <w:lang w:val="fr-FR"/>
        </w:rPr>
        <w:t>modes extrajudiciaires de règlement des litiges</w:t>
      </w:r>
      <w:r w:rsidRPr="006A7ECF">
        <w:t xml:space="preserve">.  </w:t>
      </w:r>
      <w:r w:rsidRPr="00140EB0">
        <w:rPr>
          <w:lang w:val="fr-FR"/>
        </w:rPr>
        <w:t>Voir à l</w:t>
      </w:r>
      <w:r w:rsidR="005104A3">
        <w:rPr>
          <w:lang w:val="fr-FR"/>
        </w:rPr>
        <w:t>’</w:t>
      </w:r>
      <w:r w:rsidRPr="00140EB0">
        <w:rPr>
          <w:lang w:val="fr-FR"/>
        </w:rPr>
        <w:t>adresse</w:t>
      </w:r>
      <w:r w:rsidRPr="006A7ECF">
        <w:t xml:space="preserve"> https://www.wipo.int/amc/fr/goodoffices/.</w:t>
      </w:r>
    </w:p>
  </w:footnote>
  <w:footnote w:id="4">
    <w:p w:rsidR="00C423BD" w:rsidRPr="006C7091" w:rsidRDefault="00C423BD" w:rsidP="008E0BF9">
      <w:pPr>
        <w:pStyle w:val="FootnoteText"/>
      </w:pPr>
      <w:r w:rsidRPr="006C7091">
        <w:rPr>
          <w:rStyle w:val="FootnoteReference"/>
        </w:rPr>
        <w:footnoteRef/>
      </w:r>
      <w:r w:rsidRPr="006C7091">
        <w:t xml:space="preserve"> </w:t>
      </w:r>
      <w:r w:rsidRPr="006C7091">
        <w:tab/>
        <w:t>La liste des ateliers et autres manifestations organisés par le Centre figure à l</w:t>
      </w:r>
      <w:r w:rsidR="005104A3">
        <w:t>’</w:t>
      </w:r>
      <w:r w:rsidRPr="006C7091">
        <w:t>adresse http://www.wipo.int/amc/fr/events.</w:t>
      </w:r>
    </w:p>
  </w:footnote>
  <w:footnote w:id="5">
    <w:p w:rsidR="00C423BD" w:rsidRPr="006C7091" w:rsidRDefault="00C423BD" w:rsidP="008E0BF9">
      <w:pPr>
        <w:pStyle w:val="FootnoteText"/>
      </w:pPr>
      <w:r w:rsidRPr="006C7091">
        <w:rPr>
          <w:rStyle w:val="FootnoteReference"/>
        </w:rPr>
        <w:footnoteRef/>
      </w:r>
      <w:r w:rsidRPr="006C7091">
        <w:t xml:space="preserve"> </w:t>
      </w:r>
      <w:r w:rsidRPr="006C7091">
        <w:tab/>
        <w:t xml:space="preserve">Le Centre met à disposition </w:t>
      </w:r>
      <w:r>
        <w:t xml:space="preserve">des clauses </w:t>
      </w:r>
      <w:r w:rsidRPr="006A7ECF">
        <w:t>et des conventions ad hoc</w:t>
      </w:r>
      <w:r w:rsidRPr="00140EB0">
        <w:t xml:space="preserve"> </w:t>
      </w:r>
      <w:r>
        <w:t xml:space="preserve">types </w:t>
      </w:r>
      <w:r w:rsidRPr="00140EB0">
        <w:rPr>
          <w:lang w:val="fr-FR"/>
        </w:rPr>
        <w:t>recommandées, ainsi qu</w:t>
      </w:r>
      <w:r w:rsidR="005104A3">
        <w:rPr>
          <w:lang w:val="fr-FR"/>
        </w:rPr>
        <w:t>’</w:t>
      </w:r>
      <w:r w:rsidRPr="00140EB0">
        <w:rPr>
          <w:lang w:val="fr-FR"/>
        </w:rPr>
        <w:t>un</w:t>
      </w:r>
      <w:r w:rsidRPr="006A7ECF">
        <w:t xml:space="preserve"> </w:t>
      </w:r>
      <w:r w:rsidRPr="006C7091">
        <w:t>générateur de clauses en ligne qui permet aux parties de rédiger des clauses essentielles et des conventions ad</w:t>
      </w:r>
      <w:r>
        <w:t> </w:t>
      </w:r>
      <w:r w:rsidRPr="006C7091">
        <w:t xml:space="preserve">hoc. </w:t>
      </w:r>
      <w:r>
        <w:t xml:space="preserve"> </w:t>
      </w:r>
      <w:r w:rsidRPr="006C7091">
        <w:t xml:space="preserve">Voir </w:t>
      </w:r>
      <w:r>
        <w:t xml:space="preserve">aux adresses </w:t>
      </w:r>
      <w:r w:rsidRPr="006A7ECF">
        <w:t xml:space="preserve">https://www.wipo.int/amc/fr/clauses/index.html et </w:t>
      </w:r>
      <w:r w:rsidRPr="006C7091">
        <w:t>https://amc.wipo.int/clause</w:t>
      </w:r>
      <w:r w:rsidR="00921588">
        <w:noBreakHyphen/>
      </w:r>
      <w:r w:rsidRPr="006C7091">
        <w:t>generator/.</w:t>
      </w:r>
    </w:p>
  </w:footnote>
  <w:footnote w:id="6">
    <w:p w:rsidR="00C423BD" w:rsidRPr="006C7091" w:rsidRDefault="00C423BD" w:rsidP="008E0BF9">
      <w:pPr>
        <w:pStyle w:val="FootnoteText"/>
      </w:pPr>
      <w:r w:rsidRPr="006C7091">
        <w:rPr>
          <w:rStyle w:val="FootnoteReference"/>
        </w:rPr>
        <w:footnoteRef/>
      </w:r>
      <w:r w:rsidRPr="006C7091">
        <w:t xml:space="preserve"> </w:t>
      </w:r>
      <w:r w:rsidRPr="006C7091">
        <w:tab/>
      </w:r>
      <w:r>
        <w:t>L</w:t>
      </w:r>
      <w:r w:rsidRPr="006C7091">
        <w:t>es</w:t>
      </w:r>
      <w:r>
        <w:t> </w:t>
      </w:r>
      <w:r w:rsidRPr="006C7091">
        <w:t>PME</w:t>
      </w:r>
      <w:r>
        <w:t xml:space="preserve">, </w:t>
      </w:r>
      <w:r w:rsidR="005104A3">
        <w:t>y compris</w:t>
      </w:r>
      <w:r>
        <w:t xml:space="preserve"> les jeunes entreprises, les créateurs et les innovateurs</w:t>
      </w:r>
      <w:r w:rsidRPr="006C7091">
        <w:t xml:space="preserve"> représentaient</w:t>
      </w:r>
      <w:r>
        <w:t xml:space="preserve"> globalement la moitié environ des parties aux </w:t>
      </w:r>
      <w:r w:rsidRPr="002650E6">
        <w:t>procédures de médiation</w:t>
      </w:r>
      <w:r>
        <w:t xml:space="preserve"> et</w:t>
      </w:r>
      <w:r w:rsidRPr="002650E6">
        <w:t xml:space="preserve"> d</w:t>
      </w:r>
      <w:r w:rsidR="005104A3">
        <w:t>’</w:t>
      </w:r>
      <w:r w:rsidRPr="002650E6">
        <w:t>arbitrage</w:t>
      </w:r>
      <w:r>
        <w:t xml:space="preserve"> de l</w:t>
      </w:r>
      <w:r w:rsidR="005104A3">
        <w:t>’</w:t>
      </w:r>
      <w:r>
        <w:t>OMPI</w:t>
      </w:r>
      <w:r w:rsidRPr="006C7091">
        <w:t>.</w:t>
      </w:r>
      <w:r>
        <w:t xml:space="preserve"> </w:t>
      </w:r>
      <w:r w:rsidRPr="006C7091">
        <w:t xml:space="preserve"> Voir à l</w:t>
      </w:r>
      <w:r w:rsidR="005104A3">
        <w:t>’</w:t>
      </w:r>
      <w:r w:rsidRPr="006C7091">
        <w:t>adresse https://www.wipo.int/amc/</w:t>
      </w:r>
      <w:r>
        <w:t>fr</w:t>
      </w:r>
      <w:r w:rsidRPr="006C7091">
        <w:t>/</w:t>
      </w:r>
      <w:r>
        <w:t>center</w:t>
      </w:r>
      <w:r w:rsidRPr="006C7091">
        <w:t>/</w:t>
      </w:r>
      <w:r>
        <w:t>specific</w:t>
      </w:r>
      <w:r w:rsidR="00921588">
        <w:noBreakHyphen/>
      </w:r>
      <w:r>
        <w:t>sectors/smes/</w:t>
      </w:r>
      <w:r w:rsidRPr="006C7091">
        <w:t>.</w:t>
      </w:r>
    </w:p>
  </w:footnote>
  <w:footnote w:id="7">
    <w:p w:rsidR="00C423BD" w:rsidRPr="003A3A65" w:rsidRDefault="00C423BD" w:rsidP="00531B83">
      <w:pPr>
        <w:pStyle w:val="FootnoteText"/>
        <w:rPr>
          <w:szCs w:val="18"/>
        </w:rPr>
      </w:pPr>
      <w:r w:rsidRPr="003A3A65">
        <w:rPr>
          <w:rStyle w:val="FootnoteReference"/>
          <w:szCs w:val="18"/>
        </w:rPr>
        <w:footnoteRef/>
      </w:r>
      <w:r w:rsidRPr="003A3A65">
        <w:rPr>
          <w:szCs w:val="18"/>
        </w:rPr>
        <w:t xml:space="preserve"> </w:t>
      </w:r>
      <w:r w:rsidRPr="003A3A65">
        <w:rPr>
          <w:szCs w:val="18"/>
        </w:rPr>
        <w:tab/>
      </w:r>
      <w:r w:rsidRPr="007E5C9C">
        <w:rPr>
          <w:szCs w:val="18"/>
          <w:shd w:val="clear" w:color="auto" w:fill="FFFFFF" w:themeFill="background1"/>
        </w:rPr>
        <w:t>Parmi les questions juridiques traitées, il convient de mentionner l</w:t>
      </w:r>
      <w:r>
        <w:rPr>
          <w:szCs w:val="18"/>
          <w:shd w:val="clear" w:color="auto" w:fill="FFFFFF" w:themeFill="background1"/>
        </w:rPr>
        <w:t xml:space="preserve">es atteintes à des </w:t>
      </w:r>
      <w:r w:rsidRPr="007E5C9C">
        <w:rPr>
          <w:szCs w:val="18"/>
          <w:shd w:val="clear" w:color="auto" w:fill="FFFFFF" w:themeFill="background1"/>
        </w:rPr>
        <w:t>brevets, de</w:t>
      </w:r>
      <w:r>
        <w:rPr>
          <w:szCs w:val="18"/>
          <w:shd w:val="clear" w:color="auto" w:fill="FFFFFF" w:themeFill="background1"/>
        </w:rPr>
        <w:t>s</w:t>
      </w:r>
      <w:r w:rsidRPr="007E5C9C">
        <w:rPr>
          <w:szCs w:val="18"/>
          <w:shd w:val="clear" w:color="auto" w:fill="FFFFFF" w:themeFill="background1"/>
        </w:rPr>
        <w:t xml:space="preserve"> marques </w:t>
      </w:r>
      <w:r>
        <w:rPr>
          <w:szCs w:val="18"/>
          <w:shd w:val="clear" w:color="auto" w:fill="FFFFFF" w:themeFill="background1"/>
        </w:rPr>
        <w:t>ou</w:t>
      </w:r>
      <w:r w:rsidRPr="007E5C9C">
        <w:rPr>
          <w:szCs w:val="18"/>
          <w:shd w:val="clear" w:color="auto" w:fill="FFFFFF" w:themeFill="background1"/>
        </w:rPr>
        <w:t xml:space="preserve"> </w:t>
      </w:r>
      <w:r>
        <w:rPr>
          <w:szCs w:val="18"/>
          <w:shd w:val="clear" w:color="auto" w:fill="FFFFFF" w:themeFill="background1"/>
        </w:rPr>
        <w:t>au</w:t>
      </w:r>
      <w:r w:rsidRPr="007E5C9C">
        <w:rPr>
          <w:szCs w:val="18"/>
          <w:shd w:val="clear" w:color="auto" w:fill="FFFFFF" w:themeFill="background1"/>
        </w:rPr>
        <w:t xml:space="preserve"> droit d</w:t>
      </w:r>
      <w:r w:rsidR="005104A3">
        <w:rPr>
          <w:szCs w:val="18"/>
          <w:shd w:val="clear" w:color="auto" w:fill="FFFFFF" w:themeFill="background1"/>
        </w:rPr>
        <w:t>’</w:t>
      </w:r>
      <w:r w:rsidRPr="007E5C9C">
        <w:rPr>
          <w:szCs w:val="18"/>
          <w:shd w:val="clear" w:color="auto" w:fill="FFFFFF" w:themeFill="background1"/>
        </w:rPr>
        <w:t>auteur, l</w:t>
      </w:r>
      <w:r w:rsidR="005104A3">
        <w:rPr>
          <w:szCs w:val="18"/>
          <w:shd w:val="clear" w:color="auto" w:fill="FFFFFF" w:themeFill="background1"/>
        </w:rPr>
        <w:t>’</w:t>
      </w:r>
      <w:r w:rsidRPr="007E5C9C">
        <w:rPr>
          <w:szCs w:val="18"/>
          <w:shd w:val="clear" w:color="auto" w:fill="FFFFFF" w:themeFill="background1"/>
        </w:rPr>
        <w:t xml:space="preserve">épuisement des droits de brevet, la </w:t>
      </w:r>
      <w:proofErr w:type="spellStart"/>
      <w:r w:rsidRPr="007E5C9C">
        <w:rPr>
          <w:szCs w:val="18"/>
          <w:shd w:val="clear" w:color="auto" w:fill="FFFFFF" w:themeFill="background1"/>
        </w:rPr>
        <w:t>co</w:t>
      </w:r>
      <w:r>
        <w:rPr>
          <w:szCs w:val="18"/>
          <w:shd w:val="clear" w:color="auto" w:fill="FFFFFF" w:themeFill="background1"/>
        </w:rPr>
        <w:t>titularité</w:t>
      </w:r>
      <w:proofErr w:type="spellEnd"/>
      <w:r w:rsidRPr="007E5C9C">
        <w:rPr>
          <w:szCs w:val="18"/>
          <w:shd w:val="clear" w:color="auto" w:fill="FFFFFF" w:themeFill="background1"/>
        </w:rPr>
        <w:t xml:space="preserve"> de brevets, les communautés de brevets, l</w:t>
      </w:r>
      <w:r>
        <w:rPr>
          <w:szCs w:val="18"/>
          <w:shd w:val="clear" w:color="auto" w:fill="FFFFFF" w:themeFill="background1"/>
        </w:rPr>
        <w:t xml:space="preserve">a concession de </w:t>
      </w:r>
      <w:r w:rsidRPr="007E5C9C">
        <w:rPr>
          <w:szCs w:val="18"/>
          <w:shd w:val="clear" w:color="auto" w:fill="FFFFFF" w:themeFill="background1"/>
        </w:rPr>
        <w:t>licence</w:t>
      </w:r>
      <w:r>
        <w:rPr>
          <w:szCs w:val="18"/>
          <w:shd w:val="clear" w:color="auto" w:fill="FFFFFF" w:themeFill="background1"/>
        </w:rPr>
        <w:t>s</w:t>
      </w:r>
      <w:r w:rsidRPr="007E5C9C">
        <w:rPr>
          <w:szCs w:val="18"/>
          <w:shd w:val="clear" w:color="auto" w:fill="FFFFFF" w:themeFill="background1"/>
        </w:rPr>
        <w:t xml:space="preserve"> de brevets </w:t>
      </w:r>
      <w:r>
        <w:rPr>
          <w:szCs w:val="18"/>
          <w:shd w:val="clear" w:color="auto" w:fill="FFFFFF" w:themeFill="background1"/>
        </w:rPr>
        <w:t>à des</w:t>
      </w:r>
      <w:r w:rsidRPr="007E5C9C">
        <w:rPr>
          <w:szCs w:val="18"/>
          <w:shd w:val="clear" w:color="auto" w:fill="FFFFFF" w:themeFill="background1"/>
        </w:rPr>
        <w:t xml:space="preserve"> conditions appropriées, la rupture de contrat, le paiement de redevances, les</w:t>
      </w:r>
      <w:r>
        <w:rPr>
          <w:szCs w:val="18"/>
          <w:shd w:val="clear" w:color="auto" w:fill="FFFFFF" w:themeFill="background1"/>
        </w:rPr>
        <w:t xml:space="preserve"> conditions de licence de droit</w:t>
      </w:r>
      <w:r w:rsidRPr="007E5C9C">
        <w:rPr>
          <w:szCs w:val="18"/>
          <w:shd w:val="clear" w:color="auto" w:fill="FFFFFF" w:themeFill="background1"/>
        </w:rPr>
        <w:t xml:space="preserve"> d</w:t>
      </w:r>
      <w:r w:rsidR="005104A3">
        <w:rPr>
          <w:szCs w:val="18"/>
          <w:shd w:val="clear" w:color="auto" w:fill="FFFFFF" w:themeFill="background1"/>
        </w:rPr>
        <w:t>’</w:t>
      </w:r>
      <w:r w:rsidRPr="007E5C9C">
        <w:rPr>
          <w:szCs w:val="18"/>
          <w:shd w:val="clear" w:color="auto" w:fill="FFFFFF" w:themeFill="background1"/>
        </w:rPr>
        <w:t xml:space="preserve">auteur, la réintégration dans un consortium de </w:t>
      </w:r>
      <w:r>
        <w:rPr>
          <w:szCs w:val="18"/>
          <w:shd w:val="clear" w:color="auto" w:fill="FFFFFF" w:themeFill="background1"/>
        </w:rPr>
        <w:t>recherche</w:t>
      </w:r>
      <w:r w:rsidR="00921588">
        <w:rPr>
          <w:szCs w:val="18"/>
          <w:shd w:val="clear" w:color="auto" w:fill="FFFFFF" w:themeFill="background1"/>
        </w:rPr>
        <w:noBreakHyphen/>
      </w:r>
      <w:r>
        <w:rPr>
          <w:szCs w:val="18"/>
          <w:shd w:val="clear" w:color="auto" w:fill="FFFFFF" w:themeFill="background1"/>
        </w:rPr>
        <w:t>développement</w:t>
      </w:r>
      <w:r w:rsidRPr="007E5C9C">
        <w:rPr>
          <w:szCs w:val="18"/>
          <w:shd w:val="clear" w:color="auto" w:fill="FFFFFF" w:themeFill="background1"/>
        </w:rPr>
        <w:t xml:space="preserve">, </w:t>
      </w:r>
      <w:r>
        <w:rPr>
          <w:szCs w:val="18"/>
          <w:shd w:val="clear" w:color="auto" w:fill="FFFFFF" w:themeFill="background1"/>
        </w:rPr>
        <w:t>la suppression du con</w:t>
      </w:r>
      <w:r w:rsidRPr="007E5C9C">
        <w:rPr>
          <w:szCs w:val="18"/>
          <w:shd w:val="clear" w:color="auto" w:fill="FFFFFF" w:themeFill="background1"/>
        </w:rPr>
        <w:t>tenu de plateformes en ligne</w:t>
      </w:r>
      <w:r>
        <w:rPr>
          <w:szCs w:val="18"/>
          <w:shd w:val="clear" w:color="auto" w:fill="FFFFFF" w:themeFill="background1"/>
        </w:rPr>
        <w:t xml:space="preserve"> </w:t>
      </w:r>
      <w:r w:rsidRPr="00F77804">
        <w:rPr>
          <w:szCs w:val="18"/>
          <w:shd w:val="clear" w:color="auto" w:fill="FFFFFF" w:themeFill="background1"/>
        </w:rPr>
        <w:t>ou des actions concrètes, comme le retrait d</w:t>
      </w:r>
      <w:r w:rsidR="005104A3">
        <w:rPr>
          <w:szCs w:val="18"/>
          <w:shd w:val="clear" w:color="auto" w:fill="FFFFFF" w:themeFill="background1"/>
        </w:rPr>
        <w:t>’</w:t>
      </w:r>
      <w:r w:rsidRPr="00F77804">
        <w:rPr>
          <w:szCs w:val="18"/>
          <w:shd w:val="clear" w:color="auto" w:fill="FFFFFF" w:themeFill="background1"/>
        </w:rPr>
        <w:t>actions en justice ou encore des procédures d</w:t>
      </w:r>
      <w:r w:rsidR="005104A3">
        <w:rPr>
          <w:szCs w:val="18"/>
          <w:shd w:val="clear" w:color="auto" w:fill="FFFFFF" w:themeFill="background1"/>
        </w:rPr>
        <w:t>’</w:t>
      </w:r>
      <w:r w:rsidRPr="00F77804">
        <w:rPr>
          <w:szCs w:val="18"/>
          <w:shd w:val="clear" w:color="auto" w:fill="FFFFFF" w:themeFill="background1"/>
        </w:rPr>
        <w:t>opposition à des marques en instance auprès d</w:t>
      </w:r>
      <w:r w:rsidR="005104A3">
        <w:rPr>
          <w:szCs w:val="18"/>
          <w:shd w:val="clear" w:color="auto" w:fill="FFFFFF" w:themeFill="background1"/>
        </w:rPr>
        <w:t>’</w:t>
      </w:r>
      <w:r w:rsidRPr="00F77804">
        <w:rPr>
          <w:szCs w:val="18"/>
          <w:shd w:val="clear" w:color="auto" w:fill="FFFFFF" w:themeFill="background1"/>
        </w:rPr>
        <w:t>un office de propriété intellectuelle</w:t>
      </w:r>
      <w:r w:rsidRPr="003A3A65">
        <w:rPr>
          <w:szCs w:val="18"/>
          <w:shd w:val="clear" w:color="auto" w:fill="FFFFFF" w:themeFill="background1"/>
        </w:rPr>
        <w:t>.</w:t>
      </w:r>
    </w:p>
  </w:footnote>
  <w:footnote w:id="8">
    <w:p w:rsidR="00C423BD" w:rsidRPr="006C7091" w:rsidRDefault="00C423BD" w:rsidP="008E0BF9">
      <w:pPr>
        <w:pStyle w:val="FootnoteText"/>
      </w:pPr>
      <w:r w:rsidRPr="006C7091">
        <w:rPr>
          <w:rStyle w:val="FootnoteReference"/>
        </w:rPr>
        <w:footnoteRef/>
      </w:r>
      <w:r w:rsidRPr="006C7091">
        <w:t xml:space="preserve"> </w:t>
      </w:r>
      <w:r w:rsidRPr="006C7091">
        <w:tab/>
        <w:t>Le système WIPO</w:t>
      </w:r>
      <w:r w:rsidR="001E5043">
        <w:t> </w:t>
      </w:r>
      <w:proofErr w:type="spellStart"/>
      <w:r w:rsidRPr="006C7091">
        <w:t>eADR</w:t>
      </w:r>
      <w:proofErr w:type="spellEnd"/>
      <w:r w:rsidRPr="006C7091">
        <w:t xml:space="preserve"> permet la communication et le stockage en ligne des documents, ce qui rend les procédures d</w:t>
      </w:r>
      <w:r w:rsidR="005104A3">
        <w:t>’</w:t>
      </w:r>
      <w:r w:rsidRPr="006C7091">
        <w:t xml:space="preserve">arbitrage et de médiation plus rapides et plus économiques. </w:t>
      </w:r>
      <w:r>
        <w:t xml:space="preserve"> </w:t>
      </w:r>
      <w:r w:rsidRPr="006C7091">
        <w:t xml:space="preserve">Voir </w:t>
      </w:r>
      <w:r w:rsidRPr="00921588">
        <w:t>https://www.wipo.int/amc/fr/eadr/</w:t>
      </w:r>
      <w:r w:rsidRPr="006C7091">
        <w:t>.</w:t>
      </w:r>
      <w:r>
        <w:t xml:space="preserve">  </w:t>
      </w:r>
      <w:r w:rsidRPr="006C7091">
        <w:t>Au cours de la période considérée, la Commission d</w:t>
      </w:r>
      <w:r w:rsidR="005104A3">
        <w:t>’</w:t>
      </w:r>
      <w:r w:rsidRPr="006C7091">
        <w:t>arbitrage de la Coupe de l</w:t>
      </w:r>
      <w:r w:rsidR="005104A3">
        <w:t>’</w:t>
      </w:r>
      <w:proofErr w:type="spellStart"/>
      <w:r w:rsidRPr="006C7091">
        <w:t>America</w:t>
      </w:r>
      <w:proofErr w:type="spellEnd"/>
      <w:r w:rsidRPr="006C7091">
        <w:t xml:space="preserve"> a conclu ses procédures d</w:t>
      </w:r>
      <w:r w:rsidR="005104A3">
        <w:t>’</w:t>
      </w:r>
      <w:r w:rsidRPr="006C7091">
        <w:t xml:space="preserve">arbitrage et de médiation </w:t>
      </w:r>
      <w:r w:rsidR="00966D15">
        <w:t xml:space="preserve">de 19 litiges </w:t>
      </w:r>
      <w:r w:rsidRPr="006C7091">
        <w:t>découlant de la 36</w:t>
      </w:r>
      <w:r w:rsidRPr="009E0CB1">
        <w:rPr>
          <w:vertAlign w:val="superscript"/>
        </w:rPr>
        <w:t>e</w:t>
      </w:r>
      <w:r w:rsidR="000E370A">
        <w:t> </w:t>
      </w:r>
      <w:r w:rsidRPr="006C7091">
        <w:t>édition de la série de courses de voile de la Coupe de l</w:t>
      </w:r>
      <w:r w:rsidR="005104A3">
        <w:t>’</w:t>
      </w:r>
      <w:proofErr w:type="spellStart"/>
      <w:r w:rsidRPr="006C7091">
        <w:t>America</w:t>
      </w:r>
      <w:proofErr w:type="spellEnd"/>
      <w:r w:rsidRPr="006C7091">
        <w:t xml:space="preserve">, en utilisant une version personnalisée du système </w:t>
      </w:r>
      <w:proofErr w:type="spellStart"/>
      <w:r w:rsidRPr="006C7091">
        <w:t>eADR</w:t>
      </w:r>
      <w:proofErr w:type="spellEnd"/>
      <w:r w:rsidRPr="006C7091">
        <w:t xml:space="preserve"> fournie par le Centre.</w:t>
      </w:r>
      <w:r>
        <w:rPr>
          <w:szCs w:val="18"/>
        </w:rPr>
        <w:t xml:space="preserve">  Voir à l</w:t>
      </w:r>
      <w:r w:rsidR="005104A3">
        <w:rPr>
          <w:szCs w:val="18"/>
        </w:rPr>
        <w:t>’</w:t>
      </w:r>
      <w:r>
        <w:rPr>
          <w:szCs w:val="18"/>
        </w:rPr>
        <w:t>adresse h</w:t>
      </w:r>
      <w:r w:rsidRPr="003960A6">
        <w:rPr>
          <w:szCs w:val="18"/>
        </w:rPr>
        <w:t>ttps://www.wipo.int/amc/</w:t>
      </w:r>
      <w:r>
        <w:rPr>
          <w:szCs w:val="18"/>
        </w:rPr>
        <w:t>fr</w:t>
      </w:r>
      <w:r w:rsidRPr="003960A6">
        <w:rPr>
          <w:szCs w:val="18"/>
        </w:rPr>
        <w:t>/center/background.html</w:t>
      </w:r>
      <w:r>
        <w:rPr>
          <w:szCs w:val="18"/>
        </w:rPr>
        <w:t>.</w:t>
      </w:r>
    </w:p>
  </w:footnote>
  <w:footnote w:id="9">
    <w:p w:rsidR="00C423BD" w:rsidRDefault="00C423BD">
      <w:pPr>
        <w:pStyle w:val="FootnoteText"/>
      </w:pPr>
      <w:r>
        <w:rPr>
          <w:rStyle w:val="FootnoteReference"/>
        </w:rPr>
        <w:footnoteRef/>
      </w:r>
      <w:r>
        <w:t xml:space="preserve"> </w:t>
      </w:r>
      <w:r>
        <w:tab/>
      </w:r>
      <w:r w:rsidRPr="009E0CB1">
        <w:t>Pour aider les parties et les intermédiaires neutres à préparer ces réunions et audiences à distance, le Centre a établi une liste de contrôle de l</w:t>
      </w:r>
      <w:r w:rsidR="005104A3">
        <w:t>’</w:t>
      </w:r>
      <w:r w:rsidRPr="009E0CB1">
        <w:t>OMPI pour la conduite en ligne des procédures de médiation et d</w:t>
      </w:r>
      <w:r w:rsidR="005104A3">
        <w:t>’</w:t>
      </w:r>
      <w:r w:rsidRPr="009E0CB1">
        <w:t>arbitrage</w:t>
      </w:r>
      <w:r>
        <w:t>.  Voir à l</w:t>
      </w:r>
      <w:r w:rsidR="005104A3">
        <w:t>’</w:t>
      </w:r>
      <w:r>
        <w:t xml:space="preserve">adresse </w:t>
      </w:r>
      <w:r>
        <w:rPr>
          <w:szCs w:val="18"/>
        </w:rPr>
        <w:t>h</w:t>
      </w:r>
      <w:r w:rsidRPr="003A3A65">
        <w:rPr>
          <w:szCs w:val="18"/>
        </w:rPr>
        <w:t>ttps://www.wipo.int/amc/en/eadr/checklist/index.html.</w:t>
      </w:r>
    </w:p>
  </w:footnote>
  <w:footnote w:id="10">
    <w:p w:rsidR="00C423BD" w:rsidRPr="006C7091" w:rsidRDefault="00C423BD" w:rsidP="008E0BF9">
      <w:pPr>
        <w:pStyle w:val="FootnoteText"/>
      </w:pPr>
      <w:r w:rsidRPr="006C7091">
        <w:rPr>
          <w:rStyle w:val="FootnoteReference"/>
        </w:rPr>
        <w:footnoteRef/>
      </w:r>
      <w:r w:rsidRPr="006C7091">
        <w:t xml:space="preserve"> </w:t>
      </w:r>
      <w:r w:rsidRPr="006C7091">
        <w:tab/>
        <w:t>Le site</w:t>
      </w:r>
      <w:r>
        <w:t> </w:t>
      </w:r>
      <w:r w:rsidRPr="006C7091">
        <w:t>Web du Centre donne une vue d</w:t>
      </w:r>
      <w:r w:rsidR="005104A3">
        <w:t>’</w:t>
      </w:r>
      <w:r w:rsidRPr="006C7091">
        <w:t xml:space="preserve">ensemble des différents services proposés. </w:t>
      </w:r>
      <w:r>
        <w:t xml:space="preserve"> </w:t>
      </w:r>
      <w:r w:rsidRPr="006C7091">
        <w:t>Voir https://www.wipo.int/amc/fr/center/specific</w:t>
      </w:r>
      <w:r w:rsidR="00921588">
        <w:noBreakHyphen/>
      </w:r>
      <w:r w:rsidRPr="006C7091">
        <w:t>sectors/index.html.</w:t>
      </w:r>
    </w:p>
  </w:footnote>
  <w:footnote w:id="11">
    <w:p w:rsidR="00C423BD" w:rsidRPr="006C7091" w:rsidRDefault="00C423BD" w:rsidP="008E0BF9">
      <w:pPr>
        <w:pStyle w:val="FootnoteText"/>
      </w:pPr>
      <w:r w:rsidRPr="006C7091">
        <w:rPr>
          <w:rStyle w:val="FootnoteReference"/>
        </w:rPr>
        <w:footnoteRef/>
      </w:r>
      <w:r w:rsidRPr="006C7091">
        <w:t xml:space="preserve"> </w:t>
      </w:r>
      <w:r w:rsidRPr="006C7091">
        <w:tab/>
        <w:t>Voir https://www.wipo.int/amc/fr/center/specific</w:t>
      </w:r>
      <w:r w:rsidR="00921588">
        <w:noBreakHyphen/>
      </w:r>
      <w:r w:rsidRPr="006C7091">
        <w:t>sectors/ict/frand/.</w:t>
      </w:r>
    </w:p>
  </w:footnote>
  <w:footnote w:id="12">
    <w:p w:rsidR="00C423BD" w:rsidRPr="003A3A65" w:rsidRDefault="00C423BD" w:rsidP="00173CC1">
      <w:pPr>
        <w:pStyle w:val="FootnoteText"/>
        <w:rPr>
          <w:szCs w:val="18"/>
        </w:rPr>
      </w:pPr>
      <w:r w:rsidRPr="003A3A65">
        <w:rPr>
          <w:rStyle w:val="FootnoteReference"/>
          <w:szCs w:val="18"/>
        </w:rPr>
        <w:footnoteRef/>
      </w:r>
      <w:r w:rsidRPr="003A3A65">
        <w:rPr>
          <w:szCs w:val="18"/>
        </w:rPr>
        <w:t xml:space="preserve"> </w:t>
      </w:r>
      <w:r w:rsidRPr="003A3A65">
        <w:rPr>
          <w:szCs w:val="18"/>
        </w:rPr>
        <w:tab/>
      </w:r>
      <w:r>
        <w:rPr>
          <w:szCs w:val="18"/>
        </w:rPr>
        <w:t xml:space="preserve">Voir aux adresses </w:t>
      </w:r>
      <w:r w:rsidRPr="00B32D3D">
        <w:rPr>
          <w:szCs w:val="18"/>
        </w:rPr>
        <w:t>https://www.wipo.int/amc/en/center/specific</w:t>
      </w:r>
      <w:r w:rsidR="00921588">
        <w:rPr>
          <w:szCs w:val="18"/>
        </w:rPr>
        <w:noBreakHyphen/>
      </w:r>
      <w:r w:rsidRPr="00B32D3D">
        <w:rPr>
          <w:szCs w:val="18"/>
        </w:rPr>
        <w:t>sectors/ict/frand/</w:t>
      </w:r>
      <w:r w:rsidRPr="003A3A65">
        <w:rPr>
          <w:szCs w:val="18"/>
        </w:rPr>
        <w:t xml:space="preserve"> </w:t>
      </w:r>
      <w:r>
        <w:rPr>
          <w:szCs w:val="18"/>
        </w:rPr>
        <w:t>et</w:t>
      </w:r>
      <w:r w:rsidRPr="003A3A65">
        <w:rPr>
          <w:szCs w:val="18"/>
        </w:rPr>
        <w:t xml:space="preserve"> https://www.wipo.int/export/sites/www/amc/en/docs/wipofrandadrguidance.pdf. </w:t>
      </w:r>
      <w:r>
        <w:rPr>
          <w:szCs w:val="18"/>
        </w:rPr>
        <w:t xml:space="preserve"> L</w:t>
      </w:r>
      <w:r w:rsidRPr="001130F6">
        <w:rPr>
          <w:szCs w:val="18"/>
          <w:shd w:val="clear" w:color="auto" w:fill="FFFFFF" w:themeFill="background1"/>
        </w:rPr>
        <w:t xml:space="preserve">e Centre a élaboré les </w:t>
      </w:r>
      <w:r w:rsidRPr="00ED7759">
        <w:rPr>
          <w:lang w:val="fr-FR"/>
        </w:rPr>
        <w:t>Orientations en matière de règlement extrajudiciaire des litiges impliquant la concession de licences dans des conditions équitables, raisonnables et non discriminatoires</w:t>
      </w:r>
      <w:r>
        <w:rPr>
          <w:lang w:val="fr-FR"/>
        </w:rPr>
        <w:t xml:space="preserve"> publiées </w:t>
      </w:r>
      <w:r w:rsidRPr="001130F6">
        <w:rPr>
          <w:szCs w:val="18"/>
          <w:shd w:val="clear" w:color="auto" w:fill="FFFFFF" w:themeFill="background1"/>
        </w:rPr>
        <w:t xml:space="preserve">pour la première fois </w:t>
      </w:r>
      <w:r w:rsidR="005104A3" w:rsidRPr="001130F6">
        <w:rPr>
          <w:szCs w:val="18"/>
          <w:shd w:val="clear" w:color="auto" w:fill="FFFFFF" w:themeFill="background1"/>
        </w:rPr>
        <w:t>en</w:t>
      </w:r>
      <w:r w:rsidR="005104A3">
        <w:rPr>
          <w:szCs w:val="18"/>
          <w:shd w:val="clear" w:color="auto" w:fill="FFFFFF" w:themeFill="background1"/>
        </w:rPr>
        <w:t> </w:t>
      </w:r>
      <w:r w:rsidR="005104A3" w:rsidRPr="001130F6">
        <w:rPr>
          <w:szCs w:val="18"/>
          <w:shd w:val="clear" w:color="auto" w:fill="FFFFFF" w:themeFill="background1"/>
        </w:rPr>
        <w:t>2017</w:t>
      </w:r>
      <w:r w:rsidRPr="001130F6">
        <w:rPr>
          <w:szCs w:val="18"/>
          <w:shd w:val="clear" w:color="auto" w:fill="FFFFFF" w:themeFill="background1"/>
        </w:rPr>
        <w:t xml:space="preserve"> et mis à jour </w:t>
      </w:r>
      <w:r w:rsidR="005104A3" w:rsidRPr="001130F6">
        <w:rPr>
          <w:szCs w:val="18"/>
          <w:shd w:val="clear" w:color="auto" w:fill="FFFFFF" w:themeFill="background1"/>
        </w:rPr>
        <w:t>en</w:t>
      </w:r>
      <w:r w:rsidR="005104A3">
        <w:rPr>
          <w:szCs w:val="18"/>
          <w:shd w:val="clear" w:color="auto" w:fill="FFFFFF" w:themeFill="background1"/>
        </w:rPr>
        <w:t> </w:t>
      </w:r>
      <w:r w:rsidR="005104A3" w:rsidRPr="001130F6">
        <w:rPr>
          <w:szCs w:val="18"/>
          <w:shd w:val="clear" w:color="auto" w:fill="FFFFFF" w:themeFill="background1"/>
        </w:rPr>
        <w:t>2021</w:t>
      </w:r>
      <w:r>
        <w:rPr>
          <w:szCs w:val="18"/>
          <w:shd w:val="clear" w:color="auto" w:fill="FFFFFF" w:themeFill="background1"/>
        </w:rPr>
        <w:t xml:space="preserve">, </w:t>
      </w:r>
      <w:r w:rsidRPr="001130F6">
        <w:rPr>
          <w:szCs w:val="18"/>
          <w:shd w:val="clear" w:color="auto" w:fill="FFFFFF" w:themeFill="background1"/>
        </w:rPr>
        <w:t>en collaboration avec des parties prenantes du secteur des télécommunications et des experts de l</w:t>
      </w:r>
      <w:r w:rsidR="005104A3">
        <w:rPr>
          <w:szCs w:val="18"/>
          <w:shd w:val="clear" w:color="auto" w:fill="FFFFFF" w:themeFill="background1"/>
        </w:rPr>
        <w:t>’</w:t>
      </w:r>
      <w:r w:rsidRPr="001130F6">
        <w:rPr>
          <w:szCs w:val="18"/>
          <w:shd w:val="clear" w:color="auto" w:fill="FFFFFF" w:themeFill="background1"/>
        </w:rPr>
        <w:t>arbitrage en matière de</w:t>
      </w:r>
      <w:r>
        <w:rPr>
          <w:szCs w:val="18"/>
          <w:shd w:val="clear" w:color="auto" w:fill="FFFFFF" w:themeFill="background1"/>
        </w:rPr>
        <w:t xml:space="preserve"> brevets</w:t>
      </w:r>
      <w:r w:rsidRPr="001130F6">
        <w:rPr>
          <w:szCs w:val="18"/>
          <w:shd w:val="clear" w:color="auto" w:fill="FFFFFF" w:themeFill="background1"/>
        </w:rPr>
        <w:t>.</w:t>
      </w:r>
      <w:r>
        <w:rPr>
          <w:szCs w:val="18"/>
          <w:shd w:val="clear" w:color="auto" w:fill="FFFFFF" w:themeFill="background1"/>
        </w:rPr>
        <w:t xml:space="preserve"> </w:t>
      </w:r>
      <w:r w:rsidRPr="001130F6">
        <w:rPr>
          <w:szCs w:val="18"/>
          <w:shd w:val="clear" w:color="auto" w:fill="FFFFFF" w:themeFill="background1"/>
        </w:rPr>
        <w:t xml:space="preserve"> Le document vise à aider les parties et les </w:t>
      </w:r>
      <w:r>
        <w:rPr>
          <w:szCs w:val="18"/>
          <w:shd w:val="clear" w:color="auto" w:fill="FFFFFF" w:themeFill="background1"/>
        </w:rPr>
        <w:t xml:space="preserve">intermédiaires </w:t>
      </w:r>
      <w:r w:rsidRPr="001130F6">
        <w:rPr>
          <w:szCs w:val="18"/>
          <w:shd w:val="clear" w:color="auto" w:fill="FFFFFF" w:themeFill="background1"/>
        </w:rPr>
        <w:t xml:space="preserve">neutres à mieux comprendre et à utiliser les options de règlement des litiges </w:t>
      </w:r>
      <w:r>
        <w:rPr>
          <w:szCs w:val="18"/>
          <w:shd w:val="clear" w:color="auto" w:fill="FFFFFF" w:themeFill="background1"/>
        </w:rPr>
        <w:t>existantes</w:t>
      </w:r>
      <w:r w:rsidRPr="001130F6">
        <w:rPr>
          <w:szCs w:val="18"/>
          <w:shd w:val="clear" w:color="auto" w:fill="FFFFFF" w:themeFill="background1"/>
        </w:rPr>
        <w:t xml:space="preserve"> lors de la négociation ou de la rédaction </w:t>
      </w:r>
      <w:r>
        <w:rPr>
          <w:szCs w:val="18"/>
          <w:shd w:val="clear" w:color="auto" w:fill="FFFFFF" w:themeFill="background1"/>
        </w:rPr>
        <w:t>de contrats</w:t>
      </w:r>
      <w:r w:rsidRPr="001130F6">
        <w:rPr>
          <w:szCs w:val="18"/>
          <w:shd w:val="clear" w:color="auto" w:fill="FFFFFF" w:themeFill="background1"/>
        </w:rPr>
        <w:t xml:space="preserve"> de licence FRAND. </w:t>
      </w:r>
      <w:r>
        <w:rPr>
          <w:szCs w:val="18"/>
          <w:shd w:val="clear" w:color="auto" w:fill="FFFFFF" w:themeFill="background1"/>
        </w:rPr>
        <w:t xml:space="preserve"> </w:t>
      </w:r>
      <w:r w:rsidRPr="001130F6">
        <w:rPr>
          <w:szCs w:val="18"/>
          <w:shd w:val="clear" w:color="auto" w:fill="FFFFFF" w:themeFill="background1"/>
        </w:rPr>
        <w:t xml:space="preserve">Il couvre </w:t>
      </w:r>
      <w:r w:rsidRPr="00173CC1">
        <w:rPr>
          <w:szCs w:val="18"/>
          <w:shd w:val="clear" w:color="auto" w:fill="FFFFFF" w:themeFill="background1"/>
        </w:rPr>
        <w:t>les principaux éléments que les parties peuvent souhaiter prendre en considération pour façonner la procédure extrajudiciaire, notamment en cas de portefeuilles de brevets essentiels à des normes bien garnis dans le domaine des télécommunications, de l</w:t>
      </w:r>
      <w:r w:rsidR="005104A3">
        <w:rPr>
          <w:szCs w:val="18"/>
          <w:shd w:val="clear" w:color="auto" w:fill="FFFFFF" w:themeFill="background1"/>
        </w:rPr>
        <w:t>’</w:t>
      </w:r>
      <w:r w:rsidRPr="00173CC1">
        <w:rPr>
          <w:szCs w:val="18"/>
          <w:shd w:val="clear" w:color="auto" w:fill="FFFFFF" w:themeFill="background1"/>
        </w:rPr>
        <w:t xml:space="preserve">Internet des objets et de la mobilité connectée, et pour </w:t>
      </w:r>
      <w:r>
        <w:rPr>
          <w:szCs w:val="18"/>
          <w:shd w:val="clear" w:color="auto" w:fill="FFFFFF" w:themeFill="background1"/>
        </w:rPr>
        <w:t>gérer</w:t>
      </w:r>
      <w:r w:rsidRPr="00173CC1">
        <w:rPr>
          <w:szCs w:val="18"/>
          <w:shd w:val="clear" w:color="auto" w:fill="FFFFFF" w:themeFill="background1"/>
        </w:rPr>
        <w:t xml:space="preserve"> la durée et les coûts de la procédure.</w:t>
      </w:r>
      <w:r>
        <w:rPr>
          <w:szCs w:val="18"/>
          <w:shd w:val="clear" w:color="auto" w:fill="FFFFFF" w:themeFill="background1"/>
        </w:rPr>
        <w:t xml:space="preserve">  </w:t>
      </w:r>
      <w:r w:rsidRPr="00173CC1">
        <w:rPr>
          <w:szCs w:val="18"/>
          <w:shd w:val="clear" w:color="auto" w:fill="FFFFFF" w:themeFill="background1"/>
        </w:rPr>
        <w:t>Il comprend également des conventions ad hoc types visant à aider les parties à soumettre les litiges FRAND à une médiation ou un arbitrage de l</w:t>
      </w:r>
      <w:r w:rsidR="005104A3">
        <w:rPr>
          <w:szCs w:val="18"/>
          <w:shd w:val="clear" w:color="auto" w:fill="FFFFFF" w:themeFill="background1"/>
        </w:rPr>
        <w:t>’</w:t>
      </w:r>
      <w:r w:rsidRPr="00173CC1">
        <w:rPr>
          <w:szCs w:val="18"/>
          <w:shd w:val="clear" w:color="auto" w:fill="FFFFFF" w:themeFill="background1"/>
        </w:rPr>
        <w:t>OMPI</w:t>
      </w:r>
      <w:r w:rsidRPr="003A3A65">
        <w:rPr>
          <w:szCs w:val="18"/>
          <w:shd w:val="clear" w:color="auto" w:fill="FFFFFF" w:themeFill="background1"/>
        </w:rPr>
        <w:t>.</w:t>
      </w:r>
      <w:r w:rsidRPr="001E5043">
        <w:rPr>
          <w:shd w:val="clear" w:color="auto" w:fill="FFFFFF" w:themeFill="background1"/>
        </w:rPr>
        <w:t xml:space="preserve">  </w:t>
      </w:r>
    </w:p>
  </w:footnote>
  <w:footnote w:id="13">
    <w:p w:rsidR="00C423BD" w:rsidRPr="006C7091" w:rsidRDefault="00C423BD" w:rsidP="008E0BF9">
      <w:pPr>
        <w:pStyle w:val="FootnoteText"/>
      </w:pPr>
      <w:r w:rsidRPr="006C7091">
        <w:rPr>
          <w:rStyle w:val="FootnoteReference"/>
        </w:rPr>
        <w:footnoteRef/>
      </w:r>
      <w:r w:rsidRPr="006C7091">
        <w:t xml:space="preserve"> </w:t>
      </w:r>
      <w:r w:rsidRPr="006C7091">
        <w:tab/>
        <w:t xml:space="preserve">Voir </w:t>
      </w:r>
      <w:r>
        <w:t>à l</w:t>
      </w:r>
      <w:r w:rsidR="005104A3">
        <w:t>’</w:t>
      </w:r>
      <w:r>
        <w:t xml:space="preserve">adresse </w:t>
      </w:r>
      <w:r w:rsidRPr="006C7091">
        <w:t>https://www.wipo.int/amc/en/center/specific</w:t>
      </w:r>
      <w:r w:rsidR="00921588">
        <w:noBreakHyphen/>
      </w:r>
      <w:r w:rsidRPr="006C7091">
        <w:t>sectors/lifesciences/.</w:t>
      </w:r>
    </w:p>
  </w:footnote>
  <w:footnote w:id="14">
    <w:p w:rsidR="00C423BD" w:rsidRPr="003A3A65" w:rsidRDefault="00C423BD" w:rsidP="00E37547">
      <w:pPr>
        <w:pStyle w:val="FootnoteText"/>
      </w:pPr>
      <w:r w:rsidRPr="003A3A65">
        <w:rPr>
          <w:rStyle w:val="FootnoteReference"/>
        </w:rPr>
        <w:footnoteRef/>
      </w:r>
      <w:r w:rsidRPr="003A3A65">
        <w:t xml:space="preserve"> </w:t>
      </w:r>
      <w:r w:rsidRPr="003A3A65">
        <w:tab/>
      </w:r>
      <w:r>
        <w:t>Voir à l</w:t>
      </w:r>
      <w:r w:rsidR="005104A3">
        <w:t>’</w:t>
      </w:r>
      <w:r>
        <w:t xml:space="preserve">adresse </w:t>
      </w:r>
      <w:r w:rsidRPr="003A3A65">
        <w:t>https://www.wipo.int/publications/</w:t>
      </w:r>
      <w:r>
        <w:t>fr</w:t>
      </w:r>
      <w:r w:rsidRPr="003A3A65">
        <w:t>/details.jsp?id=4558.</w:t>
      </w:r>
    </w:p>
  </w:footnote>
  <w:footnote w:id="15">
    <w:p w:rsidR="00C423BD" w:rsidRPr="003A3A65" w:rsidRDefault="00C423BD" w:rsidP="00E37547">
      <w:pPr>
        <w:pStyle w:val="FootnoteText"/>
        <w:rPr>
          <w:szCs w:val="18"/>
        </w:rPr>
      </w:pPr>
      <w:r w:rsidRPr="003A3A65">
        <w:rPr>
          <w:rStyle w:val="FootnoteReference"/>
          <w:szCs w:val="18"/>
        </w:rPr>
        <w:footnoteRef/>
      </w:r>
      <w:r w:rsidRPr="003A3A65">
        <w:rPr>
          <w:szCs w:val="18"/>
        </w:rPr>
        <w:t xml:space="preserve"> </w:t>
      </w:r>
      <w:r w:rsidRPr="003A3A65">
        <w:rPr>
          <w:szCs w:val="18"/>
        </w:rPr>
        <w:tab/>
      </w:r>
      <w:r>
        <w:rPr>
          <w:szCs w:val="18"/>
        </w:rPr>
        <w:t>Voir à l</w:t>
      </w:r>
      <w:r w:rsidR="005104A3">
        <w:rPr>
          <w:szCs w:val="18"/>
        </w:rPr>
        <w:t>’</w:t>
      </w:r>
      <w:r>
        <w:rPr>
          <w:szCs w:val="18"/>
        </w:rPr>
        <w:t xml:space="preserve">adresse </w:t>
      </w:r>
      <w:r w:rsidRPr="003A3A65">
        <w:rPr>
          <w:szCs w:val="18"/>
        </w:rPr>
        <w:t xml:space="preserve">https://www.wipo.int/amc/en/center/copyright/digitalcopyright. </w:t>
      </w:r>
      <w:r>
        <w:rPr>
          <w:szCs w:val="18"/>
        </w:rPr>
        <w:t xml:space="preserve"> </w:t>
      </w:r>
      <w:r w:rsidRPr="00A110D8">
        <w:rPr>
          <w:szCs w:val="18"/>
        </w:rPr>
        <w:t>Le Centre, en collaboration avec les parties prenantes concernées, a adapté le Règlement de la procédure d</w:t>
      </w:r>
      <w:r w:rsidR="005104A3">
        <w:rPr>
          <w:szCs w:val="18"/>
        </w:rPr>
        <w:t>’</w:t>
      </w:r>
      <w:r w:rsidRPr="00A110D8">
        <w:rPr>
          <w:szCs w:val="18"/>
        </w:rPr>
        <w:t>expertise de l</w:t>
      </w:r>
      <w:r w:rsidR="005104A3">
        <w:rPr>
          <w:szCs w:val="18"/>
        </w:rPr>
        <w:t>’</w:t>
      </w:r>
      <w:r w:rsidRPr="00A110D8">
        <w:rPr>
          <w:szCs w:val="18"/>
        </w:rPr>
        <w:t>OMPI pour en faire une procédure mondiale tenant compte des meilleures pratiques internationales en matière de règlement des litiges portant sur les contenus transférés par les utilisateurs</w:t>
      </w:r>
      <w:r w:rsidRPr="003A3A65">
        <w:rPr>
          <w:szCs w:val="18"/>
        </w:rPr>
        <w:t xml:space="preserve">. </w:t>
      </w:r>
      <w:r>
        <w:rPr>
          <w:szCs w:val="18"/>
        </w:rPr>
        <w:t xml:space="preserve"> </w:t>
      </w:r>
      <w:r w:rsidRPr="00A110D8">
        <w:rPr>
          <w:szCs w:val="18"/>
        </w:rPr>
        <w:t>Les parties peuvent également bénéficier des accords ad</w:t>
      </w:r>
      <w:r>
        <w:rPr>
          <w:szCs w:val="18"/>
        </w:rPr>
        <w:t> </w:t>
      </w:r>
      <w:r w:rsidRPr="00A110D8">
        <w:rPr>
          <w:szCs w:val="18"/>
        </w:rPr>
        <w:t>hoc de l</w:t>
      </w:r>
      <w:r w:rsidR="005104A3">
        <w:rPr>
          <w:szCs w:val="18"/>
        </w:rPr>
        <w:t>’</w:t>
      </w:r>
      <w:r w:rsidRPr="00A110D8">
        <w:rPr>
          <w:szCs w:val="18"/>
        </w:rPr>
        <w:t>OMPI en matière de règlement des litiges</w:t>
      </w:r>
      <w:r w:rsidRPr="003A3A65">
        <w:rPr>
          <w:szCs w:val="18"/>
        </w:rPr>
        <w:t>.</w:t>
      </w:r>
    </w:p>
  </w:footnote>
  <w:footnote w:id="16">
    <w:p w:rsidR="00C423BD" w:rsidRDefault="00C423BD">
      <w:pPr>
        <w:pStyle w:val="FootnoteText"/>
      </w:pPr>
      <w:r>
        <w:rPr>
          <w:rStyle w:val="FootnoteReference"/>
        </w:rPr>
        <w:footnoteRef/>
      </w:r>
      <w:r>
        <w:t xml:space="preserve"> </w:t>
      </w:r>
      <w:r>
        <w:tab/>
      </w:r>
      <w:r w:rsidRPr="00921588">
        <w:rPr>
          <w:spacing w:val="-2"/>
        </w:rPr>
        <w:t>Il s</w:t>
      </w:r>
      <w:r w:rsidR="005104A3" w:rsidRPr="00921588">
        <w:rPr>
          <w:spacing w:val="-2"/>
        </w:rPr>
        <w:t>’</w:t>
      </w:r>
      <w:r w:rsidRPr="00921588">
        <w:rPr>
          <w:spacing w:val="-2"/>
        </w:rPr>
        <w:t>agit des offices de propriété intellectuelle et des tribunaux des pays et de l</w:t>
      </w:r>
      <w:r w:rsidR="005104A3" w:rsidRPr="00921588">
        <w:rPr>
          <w:spacing w:val="-2"/>
        </w:rPr>
        <w:t>’</w:t>
      </w:r>
      <w:r w:rsidRPr="00921588">
        <w:rPr>
          <w:spacing w:val="-2"/>
        </w:rPr>
        <w:t>organisation ci</w:t>
      </w:r>
      <w:r w:rsidR="00921588" w:rsidRPr="00921588">
        <w:rPr>
          <w:spacing w:val="-2"/>
        </w:rPr>
        <w:noBreakHyphen/>
      </w:r>
      <w:r w:rsidRPr="00921588">
        <w:rPr>
          <w:spacing w:val="-2"/>
        </w:rPr>
        <w:t>après</w:t>
      </w:r>
      <w:r w:rsidR="005104A3" w:rsidRPr="00921588">
        <w:rPr>
          <w:spacing w:val="-2"/>
        </w:rPr>
        <w:t> :</w:t>
      </w:r>
      <w:r w:rsidRPr="00921588">
        <w:rPr>
          <w:spacing w:val="-2"/>
        </w:rPr>
        <w:t xml:space="preserve"> Algérie, Argentine, Australie, </w:t>
      </w:r>
      <w:proofErr w:type="spellStart"/>
      <w:r w:rsidRPr="00921588">
        <w:rPr>
          <w:spacing w:val="-2"/>
        </w:rPr>
        <w:t>Bélarus</w:t>
      </w:r>
      <w:proofErr w:type="spellEnd"/>
      <w:r w:rsidRPr="00921588">
        <w:rPr>
          <w:spacing w:val="-2"/>
        </w:rPr>
        <w:t>, Brésil, Chili, Chine, Colombie, Costa Rica, Cuba, El Salvador, Équateur, Espagne, États</w:t>
      </w:r>
      <w:r w:rsidR="00921588" w:rsidRPr="00921588">
        <w:rPr>
          <w:spacing w:val="-2"/>
        </w:rPr>
        <w:noBreakHyphen/>
      </w:r>
      <w:r w:rsidRPr="00921588">
        <w:rPr>
          <w:spacing w:val="-2"/>
        </w:rPr>
        <w:t>Unis d</w:t>
      </w:r>
      <w:r w:rsidR="005104A3" w:rsidRPr="00921588">
        <w:rPr>
          <w:spacing w:val="-2"/>
        </w:rPr>
        <w:t>’</w:t>
      </w:r>
      <w:r w:rsidRPr="00921588">
        <w:rPr>
          <w:spacing w:val="-2"/>
        </w:rPr>
        <w:t>Amérique, Fédération de Russie, Hongrie, Indonésie, Israël, Italie, Kazakhstan, Kenya, Lituanie, Maroc, Mexique, Nigéria, Paraguay, Philippines, Pologne, République de Corée, République dominicaine, République kirghize, République tchèque, Roumanie, Royaume</w:t>
      </w:r>
      <w:r w:rsidR="00921588" w:rsidRPr="00921588">
        <w:rPr>
          <w:spacing w:val="-2"/>
        </w:rPr>
        <w:noBreakHyphen/>
      </w:r>
      <w:r w:rsidRPr="00921588">
        <w:rPr>
          <w:spacing w:val="-2"/>
        </w:rPr>
        <w:t>Uni, Serbie, Singapour, Suisse, Tanzanie, Trinité</w:t>
      </w:r>
      <w:r w:rsidR="00921588" w:rsidRPr="00921588">
        <w:rPr>
          <w:spacing w:val="-2"/>
        </w:rPr>
        <w:noBreakHyphen/>
      </w:r>
      <w:r w:rsidRPr="00921588">
        <w:rPr>
          <w:spacing w:val="-2"/>
        </w:rPr>
        <w:t>et</w:t>
      </w:r>
      <w:r w:rsidR="00921588" w:rsidRPr="00921588">
        <w:rPr>
          <w:spacing w:val="-2"/>
        </w:rPr>
        <w:noBreakHyphen/>
      </w:r>
      <w:r w:rsidRPr="00921588">
        <w:rPr>
          <w:spacing w:val="-2"/>
        </w:rPr>
        <w:t>Tobago, Ukraine et Organisation eurasienne des brevets.  Voir à l</w:t>
      </w:r>
      <w:r w:rsidR="005104A3" w:rsidRPr="00921588">
        <w:rPr>
          <w:spacing w:val="-2"/>
        </w:rPr>
        <w:t>’</w:t>
      </w:r>
      <w:r w:rsidRPr="00921588">
        <w:rPr>
          <w:spacing w:val="-2"/>
        </w:rPr>
        <w:t xml:space="preserve">adresse </w:t>
      </w:r>
      <w:r w:rsidRPr="00921588">
        <w:rPr>
          <w:spacing w:val="-2"/>
          <w:szCs w:val="18"/>
        </w:rPr>
        <w:t>http://www.wipo.int/amc/fr/center/specific</w:t>
      </w:r>
      <w:r w:rsidR="00921588" w:rsidRPr="00921588">
        <w:rPr>
          <w:spacing w:val="-2"/>
          <w:szCs w:val="18"/>
        </w:rPr>
        <w:noBreakHyphen/>
      </w:r>
      <w:r w:rsidRPr="00921588">
        <w:rPr>
          <w:spacing w:val="-2"/>
          <w:szCs w:val="18"/>
        </w:rPr>
        <w:t>sectors/ipoffices/</w:t>
      </w:r>
      <w:r w:rsidRPr="00921588">
        <w:rPr>
          <w:spacing w:val="-2"/>
          <w:szCs w:val="18"/>
          <w:shd w:val="clear" w:color="auto" w:fill="FFFFFF" w:themeFill="background1"/>
        </w:rPr>
        <w:t>.</w:t>
      </w:r>
    </w:p>
  </w:footnote>
  <w:footnote w:id="17">
    <w:p w:rsidR="00C423BD" w:rsidRPr="006C7091" w:rsidRDefault="00C423BD" w:rsidP="008E0BF9">
      <w:pPr>
        <w:pStyle w:val="FootnoteText"/>
      </w:pPr>
      <w:r w:rsidRPr="006C7091">
        <w:rPr>
          <w:rStyle w:val="FootnoteReference"/>
        </w:rPr>
        <w:footnoteRef/>
      </w:r>
      <w:r w:rsidRPr="006C7091">
        <w:t xml:space="preserve"> </w:t>
      </w:r>
      <w:r w:rsidRPr="006C7091">
        <w:tab/>
      </w:r>
      <w:r>
        <w:rPr>
          <w:szCs w:val="18"/>
        </w:rPr>
        <w:t>L</w:t>
      </w:r>
      <w:r w:rsidR="005104A3">
        <w:rPr>
          <w:szCs w:val="18"/>
        </w:rPr>
        <w:t>’</w:t>
      </w:r>
      <w:r w:rsidRPr="00B31C67">
        <w:rPr>
          <w:szCs w:val="18"/>
        </w:rPr>
        <w:t xml:space="preserve">Office des sociétés et de la propriété intellectuelle </w:t>
      </w:r>
      <w:r>
        <w:rPr>
          <w:szCs w:val="18"/>
        </w:rPr>
        <w:t>du Botswana</w:t>
      </w:r>
      <w:r w:rsidRPr="003A3A65">
        <w:rPr>
          <w:szCs w:val="18"/>
        </w:rPr>
        <w:t xml:space="preserve">, </w:t>
      </w:r>
      <w:r w:rsidRPr="00B31C67">
        <w:rPr>
          <w:szCs w:val="18"/>
        </w:rPr>
        <w:t>l</w:t>
      </w:r>
      <w:r w:rsidR="005104A3">
        <w:rPr>
          <w:szCs w:val="18"/>
        </w:rPr>
        <w:t>’</w:t>
      </w:r>
      <w:r w:rsidRPr="00B31C67">
        <w:rPr>
          <w:szCs w:val="18"/>
        </w:rPr>
        <w:t>Office des brevets de la République de Bulgarie</w:t>
      </w:r>
      <w:r w:rsidRPr="003A3A65">
        <w:rPr>
          <w:szCs w:val="18"/>
        </w:rPr>
        <w:t xml:space="preserve">, </w:t>
      </w:r>
      <w:r w:rsidRPr="00B31C67">
        <w:rPr>
          <w:szCs w:val="18"/>
        </w:rPr>
        <w:t>le Service d</w:t>
      </w:r>
      <w:r w:rsidR="005104A3">
        <w:rPr>
          <w:szCs w:val="18"/>
        </w:rPr>
        <w:t>’</w:t>
      </w:r>
      <w:r w:rsidRPr="00B31C67">
        <w:rPr>
          <w:szCs w:val="18"/>
        </w:rPr>
        <w:t>enregistrement des brevets et des dessins et modèles du Nigéria</w:t>
      </w:r>
      <w:r>
        <w:rPr>
          <w:szCs w:val="18"/>
        </w:rPr>
        <w:t xml:space="preserve"> et </w:t>
      </w:r>
      <w:r w:rsidRPr="00B31C67">
        <w:rPr>
          <w:szCs w:val="18"/>
        </w:rPr>
        <w:t>le Service d</w:t>
      </w:r>
      <w:r w:rsidR="005104A3">
        <w:rPr>
          <w:szCs w:val="18"/>
        </w:rPr>
        <w:t>’</w:t>
      </w:r>
      <w:r w:rsidRPr="00B31C67">
        <w:rPr>
          <w:szCs w:val="18"/>
        </w:rPr>
        <w:t>enregistrement des marques</w:t>
      </w:r>
      <w:r>
        <w:rPr>
          <w:szCs w:val="18"/>
        </w:rPr>
        <w:t xml:space="preserve"> du </w:t>
      </w:r>
      <w:r w:rsidRPr="003A3A65">
        <w:rPr>
          <w:szCs w:val="18"/>
        </w:rPr>
        <w:t>Nig</w:t>
      </w:r>
      <w:r>
        <w:rPr>
          <w:szCs w:val="18"/>
        </w:rPr>
        <w:t>é</w:t>
      </w:r>
      <w:r w:rsidRPr="003A3A65">
        <w:rPr>
          <w:szCs w:val="18"/>
        </w:rPr>
        <w:t>ria</w:t>
      </w:r>
      <w:r w:rsidRPr="006C7091">
        <w:t xml:space="preserve">. </w:t>
      </w:r>
      <w:r>
        <w:t xml:space="preserve"> </w:t>
      </w:r>
    </w:p>
  </w:footnote>
  <w:footnote w:id="18">
    <w:p w:rsidR="00C423BD" w:rsidRDefault="00C423BD">
      <w:pPr>
        <w:pStyle w:val="FootnoteText"/>
      </w:pPr>
      <w:r>
        <w:rPr>
          <w:rStyle w:val="FootnoteReference"/>
        </w:rPr>
        <w:footnoteRef/>
      </w:r>
      <w:r>
        <w:t xml:space="preserve"> </w:t>
      </w:r>
      <w:r>
        <w:tab/>
      </w:r>
      <w:r w:rsidRPr="006C7091">
        <w:t>Pour des exemples de manifestations organisées par le Centre en collaboration avec les offices de propriété intellectuelle, voir https://www.wipo.int/amc/fr/center/specific</w:t>
      </w:r>
      <w:r w:rsidR="00921588">
        <w:noBreakHyphen/>
      </w:r>
      <w:r w:rsidRPr="006C7091">
        <w:t xml:space="preserve">sectors/ipoffices/index.html. </w:t>
      </w:r>
      <w:r>
        <w:t xml:space="preserve"> </w:t>
      </w:r>
      <w:r w:rsidRPr="006C7091">
        <w:t>Les modes extrajudiciaires de règlement des litiges sont également inclus dans les programmes de séminaires itinérants de l</w:t>
      </w:r>
      <w:r w:rsidR="005104A3">
        <w:t>’</w:t>
      </w:r>
      <w:r w:rsidRPr="006C7091">
        <w:t>OMPI, dans les webinaires de l</w:t>
      </w:r>
      <w:r w:rsidR="005104A3">
        <w:t>’</w:t>
      </w:r>
      <w:r w:rsidRPr="006C7091">
        <w:t>OMPI et dans les réunions de consultation organisés en collaboration avec les offices.  Voir https://www.wipo.int/dcea/fr/roving_seminars/index.html</w:t>
      </w:r>
      <w:r>
        <w:t>.</w:t>
      </w:r>
    </w:p>
  </w:footnote>
  <w:footnote w:id="19">
    <w:p w:rsidR="00C423BD" w:rsidRPr="006C7091" w:rsidRDefault="00C423BD" w:rsidP="008E0BF9">
      <w:pPr>
        <w:pStyle w:val="FootnoteText"/>
      </w:pPr>
      <w:r w:rsidRPr="006C7091">
        <w:rPr>
          <w:rStyle w:val="FootnoteReference"/>
        </w:rPr>
        <w:footnoteRef/>
      </w:r>
      <w:r w:rsidRPr="006C7091">
        <w:t xml:space="preserve"> </w:t>
      </w:r>
      <w:r w:rsidRPr="006C7091">
        <w:tab/>
      </w:r>
      <w:r w:rsidRPr="00797A13">
        <w:rPr>
          <w:spacing w:val="-2"/>
        </w:rPr>
        <w:t>Par exemple, dans le cadre de sa collaboration avec l</w:t>
      </w:r>
      <w:r w:rsidR="005104A3" w:rsidRPr="00797A13">
        <w:rPr>
          <w:spacing w:val="-2"/>
        </w:rPr>
        <w:t>’</w:t>
      </w:r>
      <w:r w:rsidRPr="00797A13">
        <w:rPr>
          <w:spacing w:val="-2"/>
        </w:rPr>
        <w:t>Office de la propriété intellectuelle de Singapour (IPOS), le Centre a participé à l</w:t>
      </w:r>
      <w:r w:rsidR="005104A3" w:rsidRPr="00797A13">
        <w:rPr>
          <w:spacing w:val="-2"/>
        </w:rPr>
        <w:t>’</w:t>
      </w:r>
      <w:r w:rsidRPr="00797A13">
        <w:rPr>
          <w:spacing w:val="-2"/>
        </w:rPr>
        <w:t>élaboration d</w:t>
      </w:r>
      <w:r w:rsidR="005104A3" w:rsidRPr="00797A13">
        <w:rPr>
          <w:spacing w:val="-2"/>
        </w:rPr>
        <w:t>’</w:t>
      </w:r>
      <w:r w:rsidRPr="00797A13">
        <w:rPr>
          <w:spacing w:val="-2"/>
        </w:rPr>
        <w:t>un système de médiation pour les litiges en matière de marques et de brevets, ainsi que d</w:t>
      </w:r>
      <w:r w:rsidR="005104A3" w:rsidRPr="00797A13">
        <w:rPr>
          <w:spacing w:val="-2"/>
        </w:rPr>
        <w:t>’</w:t>
      </w:r>
      <w:r w:rsidRPr="00797A13">
        <w:rPr>
          <w:spacing w:val="-2"/>
        </w:rPr>
        <w:t>une procédure d</w:t>
      </w:r>
      <w:r w:rsidR="005104A3" w:rsidRPr="00797A13">
        <w:rPr>
          <w:spacing w:val="-2"/>
        </w:rPr>
        <w:t>’</w:t>
      </w:r>
      <w:r w:rsidRPr="00797A13">
        <w:rPr>
          <w:spacing w:val="-2"/>
        </w:rPr>
        <w:t>expertise pour les procédures en matière de brevets devant l</w:t>
      </w:r>
      <w:r w:rsidR="005104A3" w:rsidRPr="00797A13">
        <w:rPr>
          <w:spacing w:val="-2"/>
        </w:rPr>
        <w:t>’</w:t>
      </w:r>
      <w:r w:rsidRPr="00797A13">
        <w:rPr>
          <w:spacing w:val="-2"/>
        </w:rPr>
        <w:t>IPOS, qu</w:t>
      </w:r>
      <w:r w:rsidR="005104A3" w:rsidRPr="00797A13">
        <w:rPr>
          <w:spacing w:val="-2"/>
        </w:rPr>
        <w:t>’</w:t>
      </w:r>
      <w:r w:rsidRPr="00797A13">
        <w:rPr>
          <w:spacing w:val="-2"/>
        </w:rPr>
        <w:t>il instruit, et des outils d</w:t>
      </w:r>
      <w:r w:rsidR="005104A3" w:rsidRPr="00797A13">
        <w:rPr>
          <w:spacing w:val="-2"/>
        </w:rPr>
        <w:t>’</w:t>
      </w:r>
      <w:r w:rsidRPr="00797A13">
        <w:rPr>
          <w:spacing w:val="-2"/>
        </w:rPr>
        <w:t>administration des litiges en ligne.  Des résumés d</w:t>
      </w:r>
      <w:r w:rsidR="005104A3" w:rsidRPr="00797A13">
        <w:rPr>
          <w:spacing w:val="-2"/>
        </w:rPr>
        <w:t>’</w:t>
      </w:r>
      <w:r w:rsidRPr="00797A13">
        <w:rPr>
          <w:spacing w:val="-2"/>
        </w:rPr>
        <w:t>exemples de litiges peuvent être consultés à l</w:t>
      </w:r>
      <w:r w:rsidR="005104A3" w:rsidRPr="00797A13">
        <w:rPr>
          <w:spacing w:val="-2"/>
        </w:rPr>
        <w:t>’</w:t>
      </w:r>
      <w:r w:rsidRPr="00797A13">
        <w:rPr>
          <w:spacing w:val="-2"/>
        </w:rPr>
        <w:t xml:space="preserve">adresse </w:t>
      </w:r>
      <w:r w:rsidRPr="00797A13">
        <w:rPr>
          <w:spacing w:val="-2"/>
          <w:szCs w:val="22"/>
        </w:rPr>
        <w:t>https://www.ipos.gov.sg/docs/default</w:t>
      </w:r>
      <w:r w:rsidR="00921588" w:rsidRPr="00797A13">
        <w:rPr>
          <w:spacing w:val="-2"/>
          <w:szCs w:val="22"/>
        </w:rPr>
        <w:t>-</w:t>
      </w:r>
      <w:r w:rsidRPr="00797A13">
        <w:rPr>
          <w:spacing w:val="-2"/>
          <w:szCs w:val="22"/>
        </w:rPr>
        <w:t>source/protecting</w:t>
      </w:r>
      <w:r w:rsidR="00921588" w:rsidRPr="00797A13">
        <w:rPr>
          <w:spacing w:val="-2"/>
          <w:szCs w:val="22"/>
        </w:rPr>
        <w:t>-</w:t>
      </w:r>
      <w:r w:rsidRPr="00797A13">
        <w:rPr>
          <w:spacing w:val="-2"/>
          <w:szCs w:val="22"/>
        </w:rPr>
        <w:t>your</w:t>
      </w:r>
      <w:r w:rsidR="00921588" w:rsidRPr="00797A13">
        <w:rPr>
          <w:spacing w:val="-2"/>
          <w:szCs w:val="22"/>
        </w:rPr>
        <w:t>-</w:t>
      </w:r>
      <w:r w:rsidRPr="00797A13">
        <w:rPr>
          <w:spacing w:val="-2"/>
          <w:szCs w:val="22"/>
        </w:rPr>
        <w:t>ideas/hearings</w:t>
      </w:r>
      <w:r w:rsidR="00921588" w:rsidRPr="00797A13">
        <w:rPr>
          <w:spacing w:val="-2"/>
          <w:szCs w:val="22"/>
        </w:rPr>
        <w:t>-</w:t>
      </w:r>
      <w:r w:rsidRPr="00797A13">
        <w:rPr>
          <w:spacing w:val="-2"/>
          <w:szCs w:val="22"/>
        </w:rPr>
        <w:t>mediation/mediation</w:t>
      </w:r>
      <w:r w:rsidR="00921588" w:rsidRPr="00797A13">
        <w:rPr>
          <w:spacing w:val="-2"/>
          <w:szCs w:val="22"/>
        </w:rPr>
        <w:t>-</w:t>
      </w:r>
      <w:r w:rsidRPr="00797A13">
        <w:rPr>
          <w:spacing w:val="-2"/>
          <w:szCs w:val="22"/>
        </w:rPr>
        <w:t>at</w:t>
      </w:r>
      <w:r w:rsidR="00921588" w:rsidRPr="00797A13">
        <w:rPr>
          <w:spacing w:val="-2"/>
          <w:szCs w:val="22"/>
        </w:rPr>
        <w:t>-</w:t>
      </w:r>
      <w:r w:rsidRPr="00797A13">
        <w:rPr>
          <w:spacing w:val="-2"/>
          <w:szCs w:val="22"/>
        </w:rPr>
        <w:t>ipos</w:t>
      </w:r>
      <w:r w:rsidR="00921588" w:rsidRPr="00797A13">
        <w:rPr>
          <w:spacing w:val="-2"/>
          <w:szCs w:val="22"/>
        </w:rPr>
        <w:noBreakHyphen/>
      </w:r>
      <w:r w:rsidRPr="00797A13">
        <w:rPr>
          <w:spacing w:val="-2"/>
          <w:szCs w:val="22"/>
        </w:rPr>
        <w:t xml:space="preserve">(emps).pdf. </w:t>
      </w:r>
      <w:r w:rsidRPr="00797A13">
        <w:rPr>
          <w:spacing w:val="-2"/>
        </w:rPr>
        <w:t xml:space="preserve"> Le Centre collabore également avec l</w:t>
      </w:r>
      <w:r w:rsidR="005104A3" w:rsidRPr="00797A13">
        <w:rPr>
          <w:spacing w:val="-2"/>
        </w:rPr>
        <w:t>’</w:t>
      </w:r>
      <w:r w:rsidRPr="00797A13">
        <w:rPr>
          <w:spacing w:val="-2"/>
        </w:rPr>
        <w:t>Office de la propriété intellectuelle des Philippines (IPOPHL) concernant l</w:t>
      </w:r>
      <w:r w:rsidR="005104A3" w:rsidRPr="00797A13">
        <w:rPr>
          <w:spacing w:val="-2"/>
        </w:rPr>
        <w:t>’</w:t>
      </w:r>
      <w:r w:rsidRPr="00797A13">
        <w:rPr>
          <w:spacing w:val="-2"/>
        </w:rPr>
        <w:t xml:space="preserve">administration des procédures de médiation portant sur des droits de propriété intellectuelle aux Philippines, </w:t>
      </w:r>
      <w:r w:rsidR="005104A3" w:rsidRPr="00797A13">
        <w:rPr>
          <w:spacing w:val="-2"/>
        </w:rPr>
        <w:t>y compris</w:t>
      </w:r>
      <w:r w:rsidRPr="00797A13">
        <w:rPr>
          <w:spacing w:val="-2"/>
        </w:rPr>
        <w:t xml:space="preserve"> récemment </w:t>
      </w:r>
      <w:r w:rsidRPr="00797A13">
        <w:rPr>
          <w:spacing w:val="-2"/>
          <w:szCs w:val="18"/>
        </w:rPr>
        <w:t>dans le cadre du mécanisme de médiation aux fins du règlement extrajudiciaire des litiges mis en place par l</w:t>
      </w:r>
      <w:r w:rsidR="005104A3" w:rsidRPr="00797A13">
        <w:rPr>
          <w:spacing w:val="-2"/>
          <w:szCs w:val="18"/>
        </w:rPr>
        <w:t>’</w:t>
      </w:r>
      <w:r w:rsidRPr="00797A13">
        <w:rPr>
          <w:spacing w:val="-2"/>
          <w:szCs w:val="18"/>
        </w:rPr>
        <w:t>IPOPHL</w:t>
      </w:r>
      <w:r w:rsidRPr="00797A13">
        <w:rPr>
          <w:spacing w:val="-2"/>
        </w:rPr>
        <w:t>.  La Commission des audiences et recours en matière de marques (TTAB) et la Commission des audiences et recours en matière de brevets (PTAB) de l</w:t>
      </w:r>
      <w:r w:rsidR="005104A3" w:rsidRPr="00797A13">
        <w:rPr>
          <w:spacing w:val="-2"/>
        </w:rPr>
        <w:t>’</w:t>
      </w:r>
      <w:r w:rsidRPr="00797A13">
        <w:rPr>
          <w:spacing w:val="-2"/>
        </w:rPr>
        <w:t>Office des brevets et des marques des États</w:t>
      </w:r>
      <w:r w:rsidR="00921588" w:rsidRPr="00797A13">
        <w:rPr>
          <w:spacing w:val="-2"/>
        </w:rPr>
        <w:noBreakHyphen/>
      </w:r>
      <w:r w:rsidRPr="00797A13">
        <w:rPr>
          <w:spacing w:val="-2"/>
        </w:rPr>
        <w:t>Unis d</w:t>
      </w:r>
      <w:r w:rsidR="005104A3" w:rsidRPr="00797A13">
        <w:rPr>
          <w:spacing w:val="-2"/>
        </w:rPr>
        <w:t>’</w:t>
      </w:r>
      <w:r w:rsidRPr="00797A13">
        <w:rPr>
          <w:spacing w:val="-2"/>
        </w:rPr>
        <w:t>Amérique (USPTO) encouragent les parties à envisager les modes extrajudiciaires pour régler les questions soulevées dans le cadre de ces procédures.  Le Centre figure sur la liste des prestataires de services de règlement des litiges.  Dans le cadre de sa collaboration avec l</w:t>
      </w:r>
      <w:r w:rsidR="005104A3" w:rsidRPr="00797A13">
        <w:rPr>
          <w:spacing w:val="-2"/>
        </w:rPr>
        <w:t>’</w:t>
      </w:r>
      <w:r w:rsidRPr="00797A13">
        <w:rPr>
          <w:spacing w:val="-2"/>
        </w:rPr>
        <w:t>Office des brevets de la République de Pologne, le Centre a participé à l</w:t>
      </w:r>
      <w:r w:rsidR="005104A3" w:rsidRPr="00797A13">
        <w:rPr>
          <w:spacing w:val="-2"/>
        </w:rPr>
        <w:t>’</w:t>
      </w:r>
      <w:r w:rsidRPr="00797A13">
        <w:rPr>
          <w:spacing w:val="-2"/>
        </w:rPr>
        <w:t>élaboration d</w:t>
      </w:r>
      <w:r w:rsidR="005104A3" w:rsidRPr="00797A13">
        <w:rPr>
          <w:spacing w:val="-2"/>
        </w:rPr>
        <w:t>’</w:t>
      </w:r>
      <w:r w:rsidRPr="00797A13">
        <w:rPr>
          <w:spacing w:val="-2"/>
        </w:rPr>
        <w:t>une procédure de médiation de l</w:t>
      </w:r>
      <w:r w:rsidR="005104A3" w:rsidRPr="00797A13">
        <w:rPr>
          <w:spacing w:val="-2"/>
        </w:rPr>
        <w:t>’</w:t>
      </w:r>
      <w:r w:rsidRPr="00797A13">
        <w:rPr>
          <w:spacing w:val="-2"/>
        </w:rPr>
        <w:t xml:space="preserve">OMPI désormais disponible pour les oppositions en matière de marques dont il était saisi.  </w:t>
      </w:r>
      <w:r w:rsidRPr="00797A13">
        <w:rPr>
          <w:spacing w:val="-2"/>
          <w:szCs w:val="18"/>
        </w:rPr>
        <w:t>Dans le cadre de la collaboration entre le Centre et l</w:t>
      </w:r>
      <w:r w:rsidR="005104A3" w:rsidRPr="00797A13">
        <w:rPr>
          <w:spacing w:val="-2"/>
          <w:szCs w:val="18"/>
        </w:rPr>
        <w:t>’</w:t>
      </w:r>
      <w:r w:rsidRPr="00797A13">
        <w:rPr>
          <w:spacing w:val="-2"/>
          <w:szCs w:val="18"/>
        </w:rPr>
        <w:t>Office marocain de la propriété industrielle et commerciale (OMPIC), le Centre et l</w:t>
      </w:r>
      <w:r w:rsidR="005104A3" w:rsidRPr="00797A13">
        <w:rPr>
          <w:spacing w:val="-2"/>
          <w:szCs w:val="18"/>
        </w:rPr>
        <w:t>’</w:t>
      </w:r>
      <w:r w:rsidRPr="00797A13">
        <w:rPr>
          <w:spacing w:val="-2"/>
          <w:szCs w:val="18"/>
        </w:rPr>
        <w:t>OMPIC ont récemment élaboré une procédure de médiation pour les litiges en matière de propriété</w:t>
      </w:r>
      <w:r w:rsidRPr="007B7E7E">
        <w:rPr>
          <w:szCs w:val="18"/>
        </w:rPr>
        <w:t xml:space="preserve"> intellectuelle et de technologie, </w:t>
      </w:r>
      <w:proofErr w:type="spellStart"/>
      <w:r w:rsidRPr="007B7E7E">
        <w:rPr>
          <w:szCs w:val="18"/>
        </w:rPr>
        <w:t>coadministrée</w:t>
      </w:r>
      <w:proofErr w:type="spellEnd"/>
      <w:r w:rsidRPr="007B7E7E">
        <w:rPr>
          <w:szCs w:val="18"/>
        </w:rPr>
        <w:t xml:space="preserve"> par le Centre et l</w:t>
      </w:r>
      <w:r w:rsidR="005104A3">
        <w:rPr>
          <w:szCs w:val="18"/>
        </w:rPr>
        <w:t>’</w:t>
      </w:r>
      <w:r w:rsidRPr="007B7E7E">
        <w:rPr>
          <w:szCs w:val="18"/>
        </w:rPr>
        <w:t>OMPIC.</w:t>
      </w:r>
    </w:p>
  </w:footnote>
  <w:footnote w:id="20">
    <w:p w:rsidR="00C423BD" w:rsidRPr="006C7091" w:rsidRDefault="00C423BD" w:rsidP="008E0BF9">
      <w:pPr>
        <w:pStyle w:val="FootnoteText"/>
      </w:pPr>
      <w:r w:rsidRPr="006C7091">
        <w:rPr>
          <w:rStyle w:val="FootnoteReference"/>
        </w:rPr>
        <w:footnoteRef/>
      </w:r>
      <w:r w:rsidRPr="006C7091">
        <w:t xml:space="preserve"> </w:t>
      </w:r>
      <w:r w:rsidRPr="006C7091">
        <w:tab/>
        <w:t>Cela concerne notamment la collaboration entre le Centre et la Commission du droit d</w:t>
      </w:r>
      <w:r w:rsidR="005104A3">
        <w:t>’</w:t>
      </w:r>
      <w:r w:rsidRPr="006C7091">
        <w:t xml:space="preserve">auteur de la République de Corée (KCC) et la </w:t>
      </w:r>
      <w:proofErr w:type="spellStart"/>
      <w:r w:rsidRPr="006C7091">
        <w:t>Korea</w:t>
      </w:r>
      <w:proofErr w:type="spellEnd"/>
      <w:r w:rsidRPr="006C7091">
        <w:t xml:space="preserve"> </w:t>
      </w:r>
      <w:proofErr w:type="spellStart"/>
      <w:r w:rsidRPr="006C7091">
        <w:t>Creative</w:t>
      </w:r>
      <w:proofErr w:type="spellEnd"/>
      <w:r w:rsidRPr="006C7091">
        <w:t xml:space="preserve"> Content Agency (KOCCA). </w:t>
      </w:r>
      <w:r>
        <w:t xml:space="preserve"> </w:t>
      </w:r>
      <w:r w:rsidRPr="009017CB">
        <w:t xml:space="preserve">Le centre fournit également des services de vidéoconférence et des outils de suivi pour </w:t>
      </w:r>
      <w:proofErr w:type="spellStart"/>
      <w:r w:rsidRPr="009017CB">
        <w:t>coadministrer</w:t>
      </w:r>
      <w:proofErr w:type="spellEnd"/>
      <w:r w:rsidRPr="009017CB">
        <w:t xml:space="preserve"> les procédures de conciliation devant la Direction nationale du droit d</w:t>
      </w:r>
      <w:r w:rsidR="005104A3">
        <w:t>’</w:t>
      </w:r>
      <w:r w:rsidRPr="009017CB">
        <w:t xml:space="preserve">auteur de </w:t>
      </w:r>
      <w:r>
        <w:t xml:space="preserve">la </w:t>
      </w:r>
      <w:r w:rsidRPr="009017CB">
        <w:t>Colombie et l</w:t>
      </w:r>
      <w:r w:rsidR="005104A3">
        <w:t>’</w:t>
      </w:r>
      <w:r w:rsidRPr="009017CB">
        <w:t>Institut national du droit d</w:t>
      </w:r>
      <w:r w:rsidR="005104A3">
        <w:t>’</w:t>
      </w:r>
      <w:r w:rsidRPr="009017CB">
        <w:t xml:space="preserve">auteur du Mexique (INDAUTOR) </w:t>
      </w:r>
      <w:r>
        <w:t>(vo</w:t>
      </w:r>
      <w:r w:rsidRPr="006C7091">
        <w:t xml:space="preserve">ir </w:t>
      </w:r>
      <w:r>
        <w:t>à l</w:t>
      </w:r>
      <w:r w:rsidR="005104A3">
        <w:t>’</w:t>
      </w:r>
      <w:r>
        <w:t xml:space="preserve">adresse </w:t>
      </w:r>
      <w:r w:rsidRPr="00921588">
        <w:t>https://www.wipo.int/amc/en/center/specific</w:t>
      </w:r>
      <w:r w:rsidR="00921588" w:rsidRPr="00921588">
        <w:noBreakHyphen/>
      </w:r>
      <w:r w:rsidRPr="00921588">
        <w:t>sectors/ipoffices/mexico/indautor</w:t>
      </w:r>
      <w:r>
        <w:t>)</w:t>
      </w:r>
      <w:r w:rsidRPr="006C7091">
        <w:t>.</w:t>
      </w:r>
    </w:p>
  </w:footnote>
  <w:footnote w:id="21">
    <w:p w:rsidR="00C423BD" w:rsidRPr="006C7091" w:rsidRDefault="00C423BD" w:rsidP="008E0BF9">
      <w:pPr>
        <w:pStyle w:val="FootnoteText"/>
      </w:pPr>
      <w:r w:rsidRPr="006C7091">
        <w:rPr>
          <w:rStyle w:val="FootnoteReference"/>
        </w:rPr>
        <w:footnoteRef/>
      </w:r>
      <w:r w:rsidRPr="006C7091">
        <w:t xml:space="preserve"> </w:t>
      </w:r>
      <w:r w:rsidRPr="006C7091">
        <w:tab/>
        <w:t>Le Centre a par exemple établi des contrats types avec l</w:t>
      </w:r>
      <w:r w:rsidR="005104A3">
        <w:t>’</w:t>
      </w:r>
      <w:r w:rsidRPr="006C7091">
        <w:t xml:space="preserve">Office espagnol des brevets et des marques (OEPM). </w:t>
      </w:r>
      <w:r>
        <w:t xml:space="preserve"> </w:t>
      </w:r>
      <w:r w:rsidRPr="006C7091">
        <w:t>Parmi les autres contrats types de recherche</w:t>
      </w:r>
      <w:r w:rsidR="00921588">
        <w:noBreakHyphen/>
      </w:r>
      <w:r w:rsidRPr="006C7091">
        <w:t>développement qui recommandent une médiation suivie d</w:t>
      </w:r>
      <w:r w:rsidR="005104A3">
        <w:t>’</w:t>
      </w:r>
      <w:r w:rsidRPr="006C7091">
        <w:t>un arbitrage [accéléré] de l</w:t>
      </w:r>
      <w:r w:rsidR="005104A3">
        <w:t>’</w:t>
      </w:r>
      <w:r w:rsidRPr="006C7091">
        <w:t>OMPI figurent le modèle d</w:t>
      </w:r>
      <w:r w:rsidR="005104A3">
        <w:t>’</w:t>
      </w:r>
      <w:r w:rsidRPr="006C7091">
        <w:t>accord de consortium DESCA</w:t>
      </w:r>
      <w:r w:rsidR="001E5043">
        <w:t> </w:t>
      </w:r>
      <w:r w:rsidRPr="006C7091">
        <w:t>2020 de l</w:t>
      </w:r>
      <w:r w:rsidR="005104A3">
        <w:t>’</w:t>
      </w:r>
      <w:r w:rsidRPr="006C7091">
        <w:t>UE, les accords types du Guide la propriété intellectuelle (IPAG) en Autriche et les accords types pour la coopération en matière de recherche</w:t>
      </w:r>
      <w:r w:rsidR="00921588">
        <w:noBreakHyphen/>
      </w:r>
      <w:r w:rsidRPr="006C7091">
        <w:t xml:space="preserve">développement en Allemagne. </w:t>
      </w:r>
      <w:r>
        <w:t xml:space="preserve"> </w:t>
      </w:r>
      <w:r w:rsidRPr="006C7091">
        <w:t>Pour de plus amples informations, voir http://www.wipo.int/amc/fr/center/specific</w:t>
      </w:r>
      <w:r w:rsidR="00921588">
        <w:noBreakHyphen/>
      </w:r>
      <w:r w:rsidRPr="006C7091">
        <w:t>sectors/rd/.</w:t>
      </w:r>
    </w:p>
  </w:footnote>
  <w:footnote w:id="22">
    <w:p w:rsidR="00C423BD" w:rsidRPr="006C7091" w:rsidRDefault="00C423BD" w:rsidP="008E0BF9">
      <w:pPr>
        <w:pStyle w:val="FootnoteText"/>
      </w:pPr>
      <w:r w:rsidRPr="006C7091">
        <w:rPr>
          <w:rStyle w:val="FootnoteReference"/>
        </w:rPr>
        <w:footnoteRef/>
      </w:r>
      <w:r w:rsidRPr="006C7091">
        <w:t xml:space="preserve"> </w:t>
      </w:r>
      <w:r w:rsidRPr="006C7091">
        <w:tab/>
      </w:r>
      <w:r w:rsidRPr="00DD3940">
        <w:t>Voir https://www.wipo.int/amc/en/clauses/national_court.html.  Par exemple, dans le cadre de la collaboration entre la Cour populaire suprême de Chine et l</w:t>
      </w:r>
      <w:r w:rsidR="005104A3" w:rsidRPr="00DD3940">
        <w:t>’</w:t>
      </w:r>
      <w:r w:rsidRPr="00DD3940">
        <w:t>OMPI, la Cour et le Centre, en coordination avec le Bureau de l</w:t>
      </w:r>
      <w:r w:rsidR="005104A3" w:rsidRPr="00DD3940">
        <w:t>’</w:t>
      </w:r>
      <w:r w:rsidRPr="00DD3940">
        <w:t xml:space="preserve">OMPI en Chine, œuvrent de concert dans le domaine de la médiation pour favoriser le règlement de litiges internationaux de propriété intellectuelle et de technologie en Chine.  Au cours de la période considérée, </w:t>
      </w:r>
      <w:r w:rsidR="008C03BF">
        <w:t xml:space="preserve">un certain nombre de </w:t>
      </w:r>
      <w:r w:rsidRPr="00DD3940">
        <w:t xml:space="preserve">litiges internationaux de propriété intellectuelle en instance devant les tribunaux de Shanghai </w:t>
      </w:r>
      <w:r w:rsidR="008C03BF">
        <w:t>ont ainsi été soumises à la médiation de l’OMPI</w:t>
      </w:r>
      <w:r w:rsidR="008C03BF" w:rsidRPr="00DD3940">
        <w:t xml:space="preserve"> </w:t>
      </w:r>
      <w:r w:rsidRPr="00DD3940">
        <w:t>(voir https://www.wipo.int/amc/en/center/specific</w:t>
      </w:r>
      <w:r w:rsidR="00921588" w:rsidRPr="00DD3940">
        <w:noBreakHyphen/>
      </w:r>
      <w:r w:rsidRPr="00DD3940">
        <w:t>sectors/national</w:t>
      </w:r>
      <w:r w:rsidR="00921588" w:rsidRPr="00DD3940">
        <w:noBreakHyphen/>
      </w:r>
      <w:r w:rsidR="008C03BF">
        <w:t>courts/china/spc.html)</w:t>
      </w:r>
      <w:r w:rsidRPr="00DD3940">
        <w:t>.</w:t>
      </w:r>
      <w:r w:rsidRPr="006C7091">
        <w:t xml:space="preserve">  </w:t>
      </w:r>
      <w:r w:rsidR="008C03BF" w:rsidRPr="008C03BF">
        <w:t>Une collaboration supplémentaire a débuté dans le cadre d'un récent protocole d'accord entre l'OMPI et la Haute Cour populaire de Shanghai.</w:t>
      </w:r>
    </w:p>
  </w:footnote>
  <w:footnote w:id="23">
    <w:p w:rsidR="00C423BD" w:rsidRPr="006C7091" w:rsidRDefault="00C423BD" w:rsidP="008E0BF9">
      <w:pPr>
        <w:pStyle w:val="FootnoteText"/>
      </w:pPr>
      <w:r w:rsidRPr="006C7091">
        <w:rPr>
          <w:rStyle w:val="FootnoteReference"/>
        </w:rPr>
        <w:footnoteRef/>
      </w:r>
      <w:r w:rsidRPr="006C7091">
        <w:t xml:space="preserve"> </w:t>
      </w:r>
      <w:r w:rsidRPr="006C7091">
        <w:tab/>
        <w:t xml:space="preserve">La </w:t>
      </w:r>
      <w:r>
        <w:t>trois</w:t>
      </w:r>
      <w:r w:rsidRPr="006C7091">
        <w:t>ième</w:t>
      </w:r>
      <w:r>
        <w:t> </w:t>
      </w:r>
      <w:r w:rsidRPr="006C7091">
        <w:t>édition du guide est disponible à l</w:t>
      </w:r>
      <w:r w:rsidR="005104A3">
        <w:t>’</w:t>
      </w:r>
      <w:r w:rsidRPr="006C7091">
        <w:t>adresse suivante</w:t>
      </w:r>
      <w:r w:rsidR="005104A3">
        <w:t> :</w:t>
      </w:r>
      <w:r w:rsidRPr="006C7091">
        <w:t xml:space="preserve"> www.wipo.int/edocs/pubdocs/fr/wipo_pub_guide_adr.pdf.</w:t>
      </w:r>
    </w:p>
  </w:footnote>
  <w:footnote w:id="24">
    <w:p w:rsidR="00C423BD" w:rsidRPr="006C7091" w:rsidRDefault="00C423BD" w:rsidP="008E0BF9">
      <w:pPr>
        <w:pStyle w:val="FootnoteText"/>
      </w:pPr>
      <w:r w:rsidRPr="006C7091">
        <w:rPr>
          <w:rStyle w:val="FootnoteReference"/>
        </w:rPr>
        <w:footnoteRef/>
      </w:r>
      <w:r w:rsidRPr="006C7091">
        <w:t xml:space="preserve"> </w:t>
      </w:r>
      <w:r w:rsidRPr="006C7091">
        <w:tab/>
        <w:t xml:space="preserve">Durant la période considérée, WIPO ADR </w:t>
      </w:r>
      <w:proofErr w:type="spellStart"/>
      <w:r w:rsidRPr="006C7091">
        <w:t>Highlights</w:t>
      </w:r>
      <w:proofErr w:type="spellEnd"/>
      <w:r w:rsidRPr="006C7091">
        <w:t xml:space="preserve"> a dépassé les </w:t>
      </w:r>
      <w:r w:rsidR="00FC1858">
        <w:t>82</w:t>
      </w:r>
      <w:r w:rsidRPr="006C7091">
        <w:t>00</w:t>
      </w:r>
      <w:r w:rsidR="001E5043">
        <w:t> </w:t>
      </w:r>
      <w:r w:rsidRPr="006C7091">
        <w:t>abonnés.</w:t>
      </w:r>
      <w:r>
        <w:t xml:space="preserve"> </w:t>
      </w:r>
      <w:r w:rsidRPr="006C7091">
        <w:t xml:space="preserve"> Tous les numéros du bulletin sont disponibles à l</w:t>
      </w:r>
      <w:r w:rsidR="005104A3">
        <w:t>’</w:t>
      </w:r>
      <w:r w:rsidRPr="006C7091">
        <w:t>adresse https://www.wipo.int/newsletters</w:t>
      </w:r>
      <w:r w:rsidR="00921588">
        <w:noBreakHyphen/>
      </w:r>
      <w:r w:rsidRPr="006C7091">
        <w:t xml:space="preserve">archive/en/adr_highlights.html. </w:t>
      </w:r>
      <w:r>
        <w:t xml:space="preserve"> </w:t>
      </w:r>
    </w:p>
  </w:footnote>
  <w:footnote w:id="25">
    <w:p w:rsidR="00C423BD" w:rsidRPr="003A3A65" w:rsidRDefault="00C423BD" w:rsidP="0032750C">
      <w:pPr>
        <w:pStyle w:val="FootnoteText"/>
        <w:rPr>
          <w:szCs w:val="18"/>
        </w:rPr>
      </w:pPr>
      <w:r w:rsidRPr="003A3A65">
        <w:rPr>
          <w:rStyle w:val="FootnoteReference"/>
          <w:szCs w:val="18"/>
        </w:rPr>
        <w:footnoteRef/>
      </w:r>
      <w:r w:rsidRPr="003A3A65">
        <w:rPr>
          <w:szCs w:val="18"/>
        </w:rPr>
        <w:t xml:space="preserve"> </w:t>
      </w:r>
      <w:r w:rsidRPr="003A3A65">
        <w:rPr>
          <w:szCs w:val="18"/>
        </w:rPr>
        <w:tab/>
      </w:r>
      <w:r>
        <w:rPr>
          <w:szCs w:val="18"/>
        </w:rPr>
        <w:t>Voir à l</w:t>
      </w:r>
      <w:r w:rsidR="005104A3">
        <w:rPr>
          <w:szCs w:val="18"/>
        </w:rPr>
        <w:t>’</w:t>
      </w:r>
      <w:r>
        <w:rPr>
          <w:szCs w:val="18"/>
        </w:rPr>
        <w:t>adresse</w:t>
      </w:r>
      <w:r w:rsidRPr="003A3A65">
        <w:rPr>
          <w:szCs w:val="18"/>
        </w:rPr>
        <w:t xml:space="preserve"> https://www.wipo.int/amc/</w:t>
      </w:r>
      <w:r>
        <w:rPr>
          <w:szCs w:val="18"/>
        </w:rPr>
        <w:t>fr</w:t>
      </w:r>
      <w:r w:rsidRPr="003A3A65">
        <w:rPr>
          <w:szCs w:val="18"/>
        </w:rPr>
        <w:t>/center/wipoadryoung.</w:t>
      </w:r>
    </w:p>
  </w:footnote>
  <w:footnote w:id="26">
    <w:p w:rsidR="00C423BD" w:rsidRPr="006C7091" w:rsidRDefault="00C423BD" w:rsidP="008E0BF9">
      <w:pPr>
        <w:pStyle w:val="FootnoteText"/>
      </w:pPr>
      <w:r w:rsidRPr="006C7091">
        <w:rPr>
          <w:rStyle w:val="FootnoteReference"/>
        </w:rPr>
        <w:footnoteRef/>
      </w:r>
      <w:r w:rsidRPr="006C7091">
        <w:t xml:space="preserve"> </w:t>
      </w:r>
      <w:r w:rsidRPr="006C7091">
        <w:tab/>
        <w:t xml:space="preserve">Voir </w:t>
      </w:r>
      <w:r w:rsidRPr="007D70F6">
        <w:t>à l</w:t>
      </w:r>
      <w:r w:rsidR="005104A3">
        <w:t>’</w:t>
      </w:r>
      <w:r w:rsidRPr="007D70F6">
        <w:t xml:space="preserve">adresse </w:t>
      </w:r>
      <w:r w:rsidRPr="006C7091">
        <w:t>https://www.linkedin.com/showcase/wipo</w:t>
      </w:r>
      <w:r w:rsidR="00921588">
        <w:noBreakHyphen/>
      </w:r>
      <w:r w:rsidRPr="006C7091">
        <w:t>arbitration</w:t>
      </w:r>
      <w:r w:rsidR="00921588">
        <w:noBreakHyphen/>
      </w:r>
      <w:r w:rsidRPr="006C7091">
        <w:t>and</w:t>
      </w:r>
      <w:r w:rsidR="00921588">
        <w:noBreakHyphen/>
      </w:r>
      <w:r w:rsidRPr="006C7091">
        <w:t>mediation</w:t>
      </w:r>
      <w:r w:rsidR="00921588">
        <w:noBreakHyphen/>
      </w:r>
      <w:r w:rsidRPr="006C7091">
        <w:t>center</w:t>
      </w:r>
      <w:proofErr w:type="gramStart"/>
      <w:r w:rsidRPr="006C7091">
        <w:t>/?viewAsMember</w:t>
      </w:r>
      <w:proofErr w:type="gramEnd"/>
      <w:r w:rsidRPr="006C7091">
        <w:t>=true.</w:t>
      </w:r>
    </w:p>
  </w:footnote>
  <w:footnote w:id="27">
    <w:p w:rsidR="00C423BD" w:rsidRPr="003A3A65" w:rsidRDefault="00C423BD" w:rsidP="00B86BC6">
      <w:pPr>
        <w:pStyle w:val="FootnoteText"/>
      </w:pPr>
      <w:r w:rsidRPr="003A3A65">
        <w:rPr>
          <w:rStyle w:val="FootnoteReference"/>
        </w:rPr>
        <w:footnoteRef/>
      </w:r>
      <w:r w:rsidRPr="003A3A65">
        <w:t xml:space="preserve"> </w:t>
      </w:r>
      <w:r w:rsidRPr="003A3A65">
        <w:tab/>
      </w:r>
      <w:r w:rsidRPr="007D70F6">
        <w:t>Voir à l</w:t>
      </w:r>
      <w:r w:rsidR="005104A3">
        <w:t>’</w:t>
      </w:r>
      <w:r w:rsidRPr="007D70F6">
        <w:t xml:space="preserve">adresse </w:t>
      </w:r>
      <w:r w:rsidRPr="003A3A65">
        <w:t>https://www.wipo.int/podcasts/en/amc.</w:t>
      </w:r>
    </w:p>
  </w:footnote>
  <w:footnote w:id="28">
    <w:p w:rsidR="00C423BD" w:rsidRPr="006C7091" w:rsidRDefault="00C423BD" w:rsidP="008E0BF9">
      <w:pPr>
        <w:pStyle w:val="FootnoteText"/>
      </w:pPr>
      <w:r w:rsidRPr="006C7091">
        <w:rPr>
          <w:rStyle w:val="FootnoteReference"/>
        </w:rPr>
        <w:footnoteRef/>
      </w:r>
      <w:r w:rsidRPr="006C7091">
        <w:t xml:space="preserve"> </w:t>
      </w:r>
      <w:r w:rsidRPr="006C7091">
        <w:tab/>
        <w:t xml:space="preserve">À ce jour, des webinaires ont été présentés en allemand, en anglais, en chinois, </w:t>
      </w:r>
      <w:r>
        <w:t xml:space="preserve">en coréen, </w:t>
      </w:r>
      <w:r w:rsidRPr="006C7091">
        <w:t>en espagnol, en français, en italien, en japonais, en néerlandais</w:t>
      </w:r>
      <w:r>
        <w:t>,</w:t>
      </w:r>
      <w:r w:rsidRPr="006C7091">
        <w:t xml:space="preserve"> en russe</w:t>
      </w:r>
      <w:r>
        <w:t xml:space="preserve"> et en suédois</w:t>
      </w:r>
      <w:r w:rsidRPr="006C7091">
        <w:t xml:space="preserve">. </w:t>
      </w:r>
      <w:r>
        <w:t xml:space="preserve"> </w:t>
      </w:r>
      <w:r w:rsidRPr="006C7091">
        <w:t>Des informations sur les prochains webinaires (ainsi que les enregistrements des précédents webinaires) sont disponibles à l</w:t>
      </w:r>
      <w:r w:rsidR="005104A3">
        <w:t>’</w:t>
      </w:r>
      <w:r w:rsidRPr="006C7091">
        <w:t>adresse https://www.wipo.</w:t>
      </w:r>
      <w:r>
        <w:t>int/amc/en/events/webinar.html.</w:t>
      </w:r>
    </w:p>
  </w:footnote>
  <w:footnote w:id="29">
    <w:p w:rsidR="00C423BD" w:rsidRPr="006C7091" w:rsidRDefault="00C423BD" w:rsidP="008E0BF9">
      <w:pPr>
        <w:pStyle w:val="FootnoteText"/>
      </w:pPr>
      <w:r w:rsidRPr="006C7091">
        <w:rPr>
          <w:rStyle w:val="FootnoteReference"/>
        </w:rPr>
        <w:footnoteRef/>
      </w:r>
      <w:r w:rsidRPr="006C7091">
        <w:t xml:space="preserve"> </w:t>
      </w:r>
      <w:r w:rsidRPr="006C7091">
        <w:tab/>
        <w:t>Voir https://www.wipo.int/amc/fr/mediation/pledge.html.</w:t>
      </w:r>
    </w:p>
  </w:footnote>
  <w:footnote w:id="30">
    <w:p w:rsidR="00C423BD" w:rsidRPr="006C7091" w:rsidRDefault="00C423BD" w:rsidP="008E0BF9">
      <w:pPr>
        <w:pStyle w:val="FootnoteText"/>
      </w:pPr>
      <w:r w:rsidRPr="006C7091">
        <w:rPr>
          <w:rStyle w:val="FootnoteReference"/>
        </w:rPr>
        <w:footnoteRef/>
      </w:r>
      <w:r w:rsidRPr="006C7091">
        <w:t xml:space="preserve"> </w:t>
      </w:r>
      <w:r w:rsidRPr="006C7091">
        <w:tab/>
        <w:t>La gestion des noms et adresses de l</w:t>
      </w:r>
      <w:r w:rsidR="005104A3">
        <w:t>’</w:t>
      </w:r>
      <w:r w:rsidRPr="006C7091">
        <w:t>Internet – questions de propriété intellectuelle – rapport final concernant le premier processus de consultations de l</w:t>
      </w:r>
      <w:r w:rsidR="005104A3">
        <w:t>’</w:t>
      </w:r>
      <w:r w:rsidRPr="006C7091">
        <w:t>OMPI sur les noms de domaine, publication de l</w:t>
      </w:r>
      <w:r w:rsidR="005104A3">
        <w:t>’</w:t>
      </w:r>
      <w:r w:rsidRPr="006C7091">
        <w:t>OMPI n°</w:t>
      </w:r>
      <w:r>
        <w:t> </w:t>
      </w:r>
      <w:r w:rsidRPr="006C7091">
        <w:t>439, également disponible à l</w:t>
      </w:r>
      <w:r w:rsidR="005104A3">
        <w:t>’</w:t>
      </w:r>
      <w:r w:rsidRPr="006C7091">
        <w:t>adresse http://www.wipo.int/amc/fr/processes/process1/report.</w:t>
      </w:r>
    </w:p>
  </w:footnote>
  <w:footnote w:id="31">
    <w:p w:rsidR="00C423BD" w:rsidRPr="006C7091" w:rsidRDefault="00C423BD" w:rsidP="008E0BF9">
      <w:pPr>
        <w:pStyle w:val="FootnoteText"/>
      </w:pPr>
      <w:r w:rsidRPr="006C7091">
        <w:rPr>
          <w:rStyle w:val="FootnoteReference"/>
        </w:rPr>
        <w:footnoteRef/>
      </w:r>
      <w:r w:rsidRPr="006C7091">
        <w:t xml:space="preserve"> </w:t>
      </w:r>
      <w:r w:rsidRPr="006C7091">
        <w:tab/>
        <w:t>La reconnaissance des droits et l</w:t>
      </w:r>
      <w:r w:rsidR="005104A3">
        <w:t>’</w:t>
      </w:r>
      <w:r w:rsidRPr="006C7091">
        <w:t>utilisation des noms dans le système des noms de domaine de l</w:t>
      </w:r>
      <w:r w:rsidR="005104A3">
        <w:t>’</w:t>
      </w:r>
      <w:r w:rsidRPr="006C7091">
        <w:t>Internet – rapport concernant le deuxième processus de consultations de l</w:t>
      </w:r>
      <w:r w:rsidR="005104A3">
        <w:t>’</w:t>
      </w:r>
      <w:r w:rsidRPr="006C7091">
        <w:t>OMPI sur les noms de domaine de l</w:t>
      </w:r>
      <w:r w:rsidR="005104A3">
        <w:t>’</w:t>
      </w:r>
      <w:r w:rsidRPr="006C7091">
        <w:t>Internet, publication de l</w:t>
      </w:r>
      <w:r w:rsidR="005104A3">
        <w:t>’</w:t>
      </w:r>
      <w:r w:rsidRPr="006C7091">
        <w:t>OMPI n°</w:t>
      </w:r>
      <w:r>
        <w:t> </w:t>
      </w:r>
      <w:r w:rsidRPr="006C7091">
        <w:t>843, également disponible à l</w:t>
      </w:r>
      <w:r w:rsidR="005104A3">
        <w:t>’</w:t>
      </w:r>
      <w:r w:rsidRPr="006C7091">
        <w:t>adresse http://www.wipo.int/amc/fr/processes/process2/report.</w:t>
      </w:r>
    </w:p>
  </w:footnote>
  <w:footnote w:id="32">
    <w:p w:rsidR="00C423BD" w:rsidRPr="006C7091" w:rsidRDefault="00C423BD" w:rsidP="008E0BF9">
      <w:pPr>
        <w:pStyle w:val="FootnoteText"/>
      </w:pPr>
      <w:r w:rsidRPr="006C7091">
        <w:rPr>
          <w:rStyle w:val="FootnoteReference"/>
        </w:rPr>
        <w:footnoteRef/>
      </w:r>
      <w:r w:rsidR="00921588">
        <w:t xml:space="preserve"> </w:t>
      </w:r>
      <w:r w:rsidR="00921588">
        <w:tab/>
        <w:t>Les principes </w:t>
      </w:r>
      <w:r w:rsidRPr="006C7091">
        <w:t>UDRP ne préjugent pas du droit des parties de saisir un tribunal compétent, mais rares sont les litiges ayant fait l</w:t>
      </w:r>
      <w:r w:rsidR="005104A3">
        <w:t>’</w:t>
      </w:r>
      <w:r w:rsidRPr="006C7091">
        <w:t>objet d</w:t>
      </w:r>
      <w:r w:rsidR="005104A3">
        <w:t>’</w:t>
      </w:r>
      <w:r w:rsidRPr="006C7091">
        <w:t xml:space="preserve">un règlement au titre de ces principes qui ont également été portés devant un tribunal. </w:t>
      </w:r>
      <w:r>
        <w:t xml:space="preserve"> </w:t>
      </w:r>
      <w:r w:rsidRPr="006C7091">
        <w:t>Voir le Recueil de jurisprudence en rapport avec les principes UDRP à l</w:t>
      </w:r>
      <w:r w:rsidR="005104A3">
        <w:t>’</w:t>
      </w:r>
      <w:r w:rsidRPr="006C7091">
        <w:t>adresse suivante</w:t>
      </w:r>
      <w:r w:rsidR="005104A3">
        <w:t> :</w:t>
      </w:r>
      <w:r w:rsidRPr="006C7091">
        <w:t xml:space="preserve"> http://www.wipo.int/amc/fr/domains/challenged.</w:t>
      </w:r>
    </w:p>
  </w:footnote>
  <w:footnote w:id="33">
    <w:p w:rsidR="00C423BD" w:rsidRPr="006C7091" w:rsidRDefault="00C423BD" w:rsidP="008E0BF9">
      <w:pPr>
        <w:pStyle w:val="FootnoteText"/>
      </w:pPr>
      <w:r w:rsidRPr="006C7091">
        <w:rPr>
          <w:rStyle w:val="FootnoteReference"/>
        </w:rPr>
        <w:footnoteRef/>
      </w:r>
      <w:r w:rsidRPr="006C7091">
        <w:t xml:space="preserve"> </w:t>
      </w:r>
      <w:r w:rsidRPr="006C7091">
        <w:tab/>
        <w:t xml:space="preserve">Le Centre publie en ligne un large éventail de statistiques actualisées pour aider les parties à un litige, les intermédiaires neutres, les conseils en marques, les détenteurs de noms de domaine enregistrés, les responsables des politiques applicables aux noms de domaine, les journalistes et les chercheurs. </w:t>
      </w:r>
      <w:r>
        <w:t xml:space="preserve"> </w:t>
      </w:r>
      <w:r w:rsidRPr="006C7091">
        <w:t xml:space="preserve">Voir http://www.wipo.int/amc/en/domains/statistics. </w:t>
      </w:r>
      <w:r>
        <w:t xml:space="preserve"> </w:t>
      </w:r>
    </w:p>
  </w:footnote>
  <w:footnote w:id="34">
    <w:p w:rsidR="00C423BD" w:rsidRPr="006C7091" w:rsidRDefault="00C423BD" w:rsidP="008E0BF9">
      <w:pPr>
        <w:pStyle w:val="FootnoteText"/>
      </w:pPr>
      <w:r w:rsidRPr="006C7091">
        <w:rPr>
          <w:rStyle w:val="FootnoteReference"/>
        </w:rPr>
        <w:footnoteRef/>
      </w:r>
      <w:r w:rsidRPr="006C7091">
        <w:t xml:space="preserve"> </w:t>
      </w:r>
      <w:r w:rsidRPr="006C7091">
        <w:tab/>
        <w:t>Par ordre alphabétique</w:t>
      </w:r>
      <w:r w:rsidR="005104A3">
        <w:t> :</w:t>
      </w:r>
      <w:r w:rsidRPr="006C7091">
        <w:t xml:space="preserve"> allemand, anglais, chinois, coréen, danois, espagnol, estonien, français, hébreu, italien, japonais, néerlandais, norvégien, polonais, portugais, roumain, russe, slovaque, suédois, tchèque, turc, ukrainien et vietnamien.</w:t>
      </w:r>
    </w:p>
  </w:footnote>
  <w:footnote w:id="35">
    <w:p w:rsidR="00C423BD" w:rsidRPr="006C7091" w:rsidRDefault="00C423BD" w:rsidP="008E0BF9">
      <w:pPr>
        <w:pStyle w:val="FootnoteText"/>
      </w:pPr>
      <w:r w:rsidRPr="006C7091">
        <w:rPr>
          <w:rStyle w:val="FootnoteReference"/>
        </w:rPr>
        <w:footnoteRef/>
      </w:r>
      <w:r w:rsidRPr="006C7091">
        <w:t xml:space="preserve"> </w:t>
      </w:r>
      <w:r w:rsidRPr="006C7091">
        <w:tab/>
        <w:t>Voir http://www.wipo.int/amc/en/domains/search/overview3.0/.</w:t>
      </w:r>
      <w:r>
        <w:t xml:space="preserve"> </w:t>
      </w:r>
      <w:r w:rsidRPr="006C7091">
        <w:t xml:space="preserve"> L</w:t>
      </w:r>
      <w:r w:rsidR="005104A3">
        <w:t>’</w:t>
      </w:r>
      <w:r w:rsidRPr="006C7091">
        <w:t>élargissement de la portée de la version</w:t>
      </w:r>
      <w:r w:rsidR="001E5043">
        <w:t> </w:t>
      </w:r>
      <w:r w:rsidRPr="006C7091">
        <w:t>3.0 rend compte du large éventail de litiges relatifs aux noms de domaine et de litiges administrés en vertu des principes</w:t>
      </w:r>
      <w:r>
        <w:t>.</w:t>
      </w:r>
      <w:r w:rsidRPr="006C7091">
        <w:t xml:space="preserve"> </w:t>
      </w:r>
      <w:r>
        <w:t xml:space="preserve"> </w:t>
      </w:r>
      <w:r w:rsidRPr="006C7091">
        <w:t>Cet instrument joue un rôle essentiel en ce qu</w:t>
      </w:r>
      <w:r w:rsidR="005104A3">
        <w:t>’</w:t>
      </w:r>
      <w:r w:rsidRPr="006C7091">
        <w:t xml:space="preserve">il contribue à préserver la cohérence de la jurisprudence dans ce domaine.  </w:t>
      </w:r>
    </w:p>
  </w:footnote>
  <w:footnote w:id="36">
    <w:p w:rsidR="00C423BD" w:rsidRPr="006C7091" w:rsidRDefault="00C423BD" w:rsidP="008E0BF9">
      <w:pPr>
        <w:pStyle w:val="FootnoteText"/>
      </w:pPr>
      <w:r w:rsidRPr="006C7091">
        <w:rPr>
          <w:rStyle w:val="FootnoteReference"/>
        </w:rPr>
        <w:footnoteRef/>
      </w:r>
      <w:r w:rsidRPr="006C7091">
        <w:t xml:space="preserve"> </w:t>
      </w:r>
      <w:r w:rsidRPr="006C7091">
        <w:tab/>
        <w:t>Voir http://www.wipo.int/amc/fr/domains/search/legalindex/.</w:t>
      </w:r>
    </w:p>
  </w:footnote>
  <w:footnote w:id="37">
    <w:p w:rsidR="00C423BD" w:rsidRPr="006C7091" w:rsidRDefault="00C423BD" w:rsidP="008E0BF9">
      <w:pPr>
        <w:pStyle w:val="FootnoteText"/>
      </w:pPr>
      <w:r w:rsidRPr="006C7091">
        <w:rPr>
          <w:rStyle w:val="FootnoteReference"/>
        </w:rPr>
        <w:footnoteRef/>
      </w:r>
      <w:r w:rsidRPr="006C7091">
        <w:t xml:space="preserve"> </w:t>
      </w:r>
      <w:r w:rsidRPr="006C7091">
        <w:tab/>
        <w:t>En</w:t>
      </w:r>
      <w:r>
        <w:t> </w:t>
      </w:r>
      <w:r w:rsidRPr="006C7091">
        <w:t>2018, le Centre a publié à l</w:t>
      </w:r>
      <w:r w:rsidR="005104A3">
        <w:t>’</w:t>
      </w:r>
      <w:r w:rsidRPr="006C7091">
        <w:t>intention des parties des recommandations informelles de l</w:t>
      </w:r>
      <w:r w:rsidR="005104A3">
        <w:t>’</w:t>
      </w:r>
      <w:r w:rsidRPr="006C7091">
        <w:t>OMPI sur les conséquences pratiques règlement général de l</w:t>
      </w:r>
      <w:r w:rsidR="005104A3">
        <w:t>’</w:t>
      </w:r>
      <w:r w:rsidRPr="006C7091">
        <w:t xml:space="preserve">Union européenne sur la protection des données (RGPD) sur les procédures UDRP. </w:t>
      </w:r>
      <w:r>
        <w:t xml:space="preserve"> </w:t>
      </w:r>
      <w:r w:rsidRPr="006C7091">
        <w:t>Voir les paragraphes</w:t>
      </w:r>
      <w:r>
        <w:t> </w:t>
      </w:r>
      <w:r w:rsidRPr="006C7091">
        <w:t>35 à 37 ci</w:t>
      </w:r>
      <w:r w:rsidR="00921588">
        <w:noBreakHyphen/>
      </w:r>
      <w:r w:rsidRPr="006C7091">
        <w:t>après.</w:t>
      </w:r>
      <w:r>
        <w:t xml:space="preserve"> </w:t>
      </w:r>
      <w:r w:rsidRPr="006C7091">
        <w:t xml:space="preserve"> Voir également le paragraphe</w:t>
      </w:r>
      <w:r>
        <w:t> </w:t>
      </w:r>
      <w:r w:rsidRPr="006C7091">
        <w:t>30 du document WO/GA/47/14 et les paragraphes</w:t>
      </w:r>
      <w:r>
        <w:t> </w:t>
      </w:r>
      <w:r w:rsidRPr="006C7091">
        <w:t>14 à 16 du document WO/GA/41/17</w:t>
      </w:r>
      <w:r>
        <w:t> </w:t>
      </w:r>
      <w:r w:rsidRPr="006C7091">
        <w:t xml:space="preserve">Rev.2.  </w:t>
      </w:r>
    </w:p>
  </w:footnote>
  <w:footnote w:id="38">
    <w:p w:rsidR="00C423BD" w:rsidRPr="006C7091" w:rsidRDefault="00C423BD" w:rsidP="008E0BF9">
      <w:pPr>
        <w:pStyle w:val="FootnoteText"/>
      </w:pPr>
      <w:r w:rsidRPr="006C7091">
        <w:rPr>
          <w:rStyle w:val="FootnoteReference"/>
        </w:rPr>
        <w:footnoteRef/>
      </w:r>
      <w:r w:rsidRPr="006C7091">
        <w:t xml:space="preserve"> </w:t>
      </w:r>
      <w:r w:rsidRPr="006C7091">
        <w:tab/>
        <w:t>Voir la note</w:t>
      </w:r>
      <w:r w:rsidR="001E5043">
        <w:t> </w:t>
      </w:r>
      <w:r w:rsidRPr="006C7091">
        <w:t>2 ci</w:t>
      </w:r>
      <w:r w:rsidR="00921588">
        <w:noBreakHyphen/>
      </w:r>
      <w:r w:rsidRPr="006C7091">
        <w:t>dessus.</w:t>
      </w:r>
    </w:p>
  </w:footnote>
  <w:footnote w:id="39">
    <w:p w:rsidR="00C423BD" w:rsidRPr="006C7091" w:rsidRDefault="00C423BD" w:rsidP="008E0BF9">
      <w:pPr>
        <w:pStyle w:val="FootnoteText"/>
      </w:pPr>
      <w:r w:rsidRPr="006C7091">
        <w:rPr>
          <w:rStyle w:val="FootnoteReference"/>
        </w:rPr>
        <w:footnoteRef/>
      </w:r>
      <w:r w:rsidRPr="006C7091">
        <w:t xml:space="preserve"> </w:t>
      </w:r>
      <w:r w:rsidRPr="006C7091">
        <w:tab/>
        <w:t>Voir http://www.wipo.int/amc/en/new/eu.html.</w:t>
      </w:r>
    </w:p>
  </w:footnote>
  <w:footnote w:id="40">
    <w:p w:rsidR="00C423BD" w:rsidRPr="006C7091" w:rsidRDefault="00C423BD" w:rsidP="008E0BF9">
      <w:pPr>
        <w:pStyle w:val="FootnoteText"/>
        <w:rPr>
          <w:szCs w:val="18"/>
        </w:rPr>
      </w:pPr>
      <w:r w:rsidRPr="006C7091">
        <w:rPr>
          <w:rStyle w:val="FootnoteReference"/>
          <w:szCs w:val="18"/>
        </w:rPr>
        <w:footnoteRef/>
      </w:r>
      <w:r w:rsidRPr="006C7091">
        <w:rPr>
          <w:szCs w:val="18"/>
        </w:rPr>
        <w:tab/>
        <w:t xml:space="preserve">Parmi les autres </w:t>
      </w:r>
      <w:proofErr w:type="spellStart"/>
      <w:r w:rsidRPr="006C7091">
        <w:rPr>
          <w:szCs w:val="18"/>
        </w:rPr>
        <w:t>ccTLD</w:t>
      </w:r>
      <w:proofErr w:type="spellEnd"/>
      <w:r w:rsidRPr="006C7091">
        <w:rPr>
          <w:szCs w:val="18"/>
        </w:rPr>
        <w:t xml:space="preserve"> ayant été ajoutés ces cinq</w:t>
      </w:r>
      <w:r>
        <w:rPr>
          <w:szCs w:val="18"/>
        </w:rPr>
        <w:t> </w:t>
      </w:r>
      <w:r w:rsidRPr="006C7091">
        <w:rPr>
          <w:szCs w:val="18"/>
        </w:rPr>
        <w:t xml:space="preserve">dernières années figurent .AI (Anguilla), .CN </w:t>
      </w:r>
      <w:proofErr w:type="gramStart"/>
      <w:r w:rsidRPr="006C7091">
        <w:rPr>
          <w:szCs w:val="18"/>
        </w:rPr>
        <w:t>et .</w:t>
      </w:r>
      <w:r w:rsidRPr="006C7091">
        <w:rPr>
          <w:rFonts w:eastAsia="MS Gothic"/>
          <w:szCs w:val="18"/>
        </w:rPr>
        <w:t>中国</w:t>
      </w:r>
      <w:proofErr w:type="gramEnd"/>
      <w:r w:rsidRPr="006C7091">
        <w:rPr>
          <w:szCs w:val="18"/>
        </w:rPr>
        <w:t xml:space="preserve"> (Chine), .EU (Union européenne), .GE (Géorgie), .PY (Paraguay), </w:t>
      </w:r>
      <w:r>
        <w:rPr>
          <w:color w:val="3B3B3B"/>
          <w:shd w:val="clear" w:color="auto" w:fill="FAFAFA"/>
        </w:rPr>
        <w:t>.SA et</w:t>
      </w:r>
      <w:r w:rsidRPr="00D150A2">
        <w:rPr>
          <w:szCs w:val="18"/>
        </w:rPr>
        <w:t xml:space="preserve"> </w:t>
      </w:r>
      <w:proofErr w:type="spellStart"/>
      <w:r w:rsidRPr="00D150A2">
        <w:rPr>
          <w:szCs w:val="18"/>
        </w:rPr>
        <w:t>السعودية</w:t>
      </w:r>
      <w:proofErr w:type="spellEnd"/>
      <w:r w:rsidRPr="00D150A2">
        <w:rPr>
          <w:szCs w:val="18"/>
        </w:rPr>
        <w:t>. (</w:t>
      </w:r>
      <w:r w:rsidR="005104A3">
        <w:rPr>
          <w:szCs w:val="18"/>
        </w:rPr>
        <w:t>Arabie saoudite</w:t>
      </w:r>
      <w:r w:rsidRPr="00D150A2">
        <w:rPr>
          <w:szCs w:val="18"/>
        </w:rPr>
        <w:t>),</w:t>
      </w:r>
      <w:r>
        <w:rPr>
          <w:szCs w:val="18"/>
        </w:rPr>
        <w:t xml:space="preserve"> </w:t>
      </w:r>
      <w:r w:rsidRPr="006C7091">
        <w:rPr>
          <w:szCs w:val="18"/>
        </w:rPr>
        <w:t>.SE (Suède) et .UA (Ukraine</w:t>
      </w:r>
      <w:proofErr w:type="gramStart"/>
      <w:r w:rsidRPr="006C7091">
        <w:rPr>
          <w:szCs w:val="18"/>
        </w:rPr>
        <w:t xml:space="preserve">); </w:t>
      </w:r>
      <w:r>
        <w:rPr>
          <w:szCs w:val="18"/>
        </w:rPr>
        <w:t xml:space="preserve"> </w:t>
      </w:r>
      <w:r w:rsidRPr="006C7091">
        <w:rPr>
          <w:szCs w:val="18"/>
        </w:rPr>
        <w:t>les</w:t>
      </w:r>
      <w:proofErr w:type="gramEnd"/>
      <w:r w:rsidRPr="006C7091">
        <w:rPr>
          <w:szCs w:val="18"/>
        </w:rPr>
        <w:t xml:space="preserve"> services d</w:t>
      </w:r>
      <w:r w:rsidR="005104A3">
        <w:rPr>
          <w:szCs w:val="18"/>
        </w:rPr>
        <w:t>’</w:t>
      </w:r>
      <w:r w:rsidRPr="006C7091">
        <w:rPr>
          <w:szCs w:val="18"/>
        </w:rPr>
        <w:t xml:space="preserve">enregistrement .AC, .IO et .SH ont adopté une version des principes UDRP légèrement modifiée. </w:t>
      </w:r>
      <w:r>
        <w:rPr>
          <w:szCs w:val="18"/>
        </w:rPr>
        <w:t xml:space="preserve"> </w:t>
      </w:r>
      <w:r w:rsidRPr="006C7091">
        <w:rPr>
          <w:szCs w:val="18"/>
        </w:rPr>
        <w:t xml:space="preserve">La liste complète des </w:t>
      </w:r>
      <w:proofErr w:type="spellStart"/>
      <w:r w:rsidRPr="006C7091">
        <w:rPr>
          <w:szCs w:val="18"/>
        </w:rPr>
        <w:t>ccTLD</w:t>
      </w:r>
      <w:proofErr w:type="spellEnd"/>
      <w:r w:rsidRPr="006C7091">
        <w:rPr>
          <w:szCs w:val="18"/>
        </w:rPr>
        <w:t xml:space="preserve"> qui ont désigné le Centre comme prestataire de services de règlement des litiges relatifs aux noms de domaine est disponible à l</w:t>
      </w:r>
      <w:r w:rsidR="005104A3">
        <w:rPr>
          <w:szCs w:val="18"/>
        </w:rPr>
        <w:t>’</w:t>
      </w:r>
      <w:r w:rsidRPr="006C7091">
        <w:rPr>
          <w:szCs w:val="18"/>
        </w:rPr>
        <w:t>adresse suivante</w:t>
      </w:r>
      <w:r w:rsidR="005104A3">
        <w:rPr>
          <w:szCs w:val="18"/>
        </w:rPr>
        <w:t> :</w:t>
      </w:r>
      <w:r w:rsidRPr="006C7091">
        <w:rPr>
          <w:szCs w:val="18"/>
        </w:rPr>
        <w:t xml:space="preserve"> http://www.wipo.int/amc/fr/domains/cctld.</w:t>
      </w:r>
    </w:p>
  </w:footnote>
  <w:footnote w:id="41">
    <w:p w:rsidR="00C423BD" w:rsidRPr="006C7091" w:rsidRDefault="00C423BD" w:rsidP="008E0BF9">
      <w:pPr>
        <w:pStyle w:val="FootnoteText"/>
      </w:pPr>
      <w:r w:rsidRPr="006C7091">
        <w:rPr>
          <w:rStyle w:val="FootnoteReference"/>
        </w:rPr>
        <w:footnoteRef/>
      </w:r>
      <w:r w:rsidRPr="006C7091">
        <w:t xml:space="preserve"> </w:t>
      </w:r>
      <w:r w:rsidRPr="006C7091">
        <w:tab/>
        <w:t>Par exemple, la page du Centre consacrée au domaine .CH (Suisse) est désormais également disponible en allemand et en italien, en sus du français, de l</w:t>
      </w:r>
      <w:r w:rsidR="005104A3">
        <w:t>’</w:t>
      </w:r>
      <w:r w:rsidRPr="006C7091">
        <w:t>anglais et de l</w:t>
      </w:r>
      <w:r w:rsidR="005104A3">
        <w:t>’</w:t>
      </w:r>
      <w:r w:rsidRPr="006C7091">
        <w:t>espagnol.</w:t>
      </w:r>
    </w:p>
  </w:footnote>
  <w:footnote w:id="42">
    <w:p w:rsidR="00C423BD" w:rsidRPr="006C7091" w:rsidRDefault="00C423BD" w:rsidP="008E0BF9">
      <w:pPr>
        <w:pStyle w:val="FootnoteText"/>
      </w:pPr>
      <w:r w:rsidRPr="006C7091">
        <w:rPr>
          <w:rStyle w:val="FootnoteReference"/>
        </w:rPr>
        <w:footnoteRef/>
      </w:r>
      <w:r w:rsidRPr="006C7091">
        <w:t xml:space="preserve"> </w:t>
      </w:r>
      <w:r w:rsidRPr="006C7091">
        <w:tab/>
        <w:t xml:space="preserve">Voir https://www.wipo.int/amc/fr/domains/cctld/index.html. </w:t>
      </w:r>
      <w:r>
        <w:t xml:space="preserve"> </w:t>
      </w:r>
    </w:p>
  </w:footnote>
  <w:footnote w:id="43">
    <w:p w:rsidR="00C423BD" w:rsidRPr="006C7091" w:rsidRDefault="00C423BD" w:rsidP="008E0BF9">
      <w:pPr>
        <w:pStyle w:val="FootnoteText"/>
      </w:pPr>
      <w:r w:rsidRPr="006C7091">
        <w:rPr>
          <w:rStyle w:val="FootnoteReference"/>
        </w:rPr>
        <w:footnoteRef/>
      </w:r>
      <w:r w:rsidRPr="006C7091">
        <w:t xml:space="preserve"> </w:t>
      </w:r>
      <w:r w:rsidRPr="006C7091">
        <w:tab/>
        <w:t>Voir https://www.wipo.int/edocs/pubdocs/en/wipo_pub_1069.pdf.</w:t>
      </w:r>
    </w:p>
  </w:footnote>
  <w:footnote w:id="44">
    <w:p w:rsidR="00C423BD" w:rsidRPr="006C7091" w:rsidRDefault="00C423BD" w:rsidP="008E0BF9">
      <w:pPr>
        <w:pStyle w:val="FootnoteText"/>
      </w:pPr>
      <w:r w:rsidRPr="006C7091">
        <w:rPr>
          <w:rStyle w:val="FootnoteReference"/>
        </w:rPr>
        <w:footnoteRef/>
      </w:r>
      <w:r w:rsidRPr="006C7091">
        <w:t xml:space="preserve"> </w:t>
      </w:r>
      <w:r w:rsidRPr="006C7091">
        <w:tab/>
        <w:t>Voir http://www.icann.org/fr/minutes/resolutions</w:t>
      </w:r>
      <w:r w:rsidR="00921588">
        <w:noBreakHyphen/>
      </w:r>
      <w:r w:rsidRPr="006C7091">
        <w:t>20jun11</w:t>
      </w:r>
      <w:r w:rsidR="00921588">
        <w:noBreakHyphen/>
      </w:r>
      <w:r w:rsidRPr="006C7091">
        <w:t>fr.htm.</w:t>
      </w:r>
      <w:r>
        <w:t xml:space="preserve"> </w:t>
      </w:r>
      <w:r w:rsidRPr="006C7091">
        <w:t xml:space="preserve"> Pour davantage d</w:t>
      </w:r>
      <w:r w:rsidR="005104A3">
        <w:t>’</w:t>
      </w:r>
      <w:r w:rsidRPr="006C7091">
        <w:t xml:space="preserve">informations, </w:t>
      </w:r>
      <w:r w:rsidR="005104A3">
        <w:t>y compris</w:t>
      </w:r>
      <w:r w:rsidRPr="006C7091">
        <w:t xml:space="preserve"> des références, voir le document WO/GA/39/10, en particulier le paragraphe</w:t>
      </w:r>
      <w:r>
        <w:t> </w:t>
      </w:r>
      <w:r w:rsidRPr="006C7091">
        <w:t>14</w:t>
      </w:r>
      <w:r>
        <w:t>.</w:t>
      </w:r>
    </w:p>
  </w:footnote>
  <w:footnote w:id="45">
    <w:p w:rsidR="00C423BD" w:rsidRPr="006C7091" w:rsidRDefault="00C423BD" w:rsidP="008E0BF9">
      <w:pPr>
        <w:pStyle w:val="FootnoteText"/>
      </w:pPr>
      <w:r w:rsidRPr="006C7091">
        <w:rPr>
          <w:rStyle w:val="FootnoteReference"/>
        </w:rPr>
        <w:footnoteRef/>
      </w:r>
      <w:r w:rsidRPr="006C7091">
        <w:t xml:space="preserve"> </w:t>
      </w:r>
      <w:r w:rsidRPr="006C7091">
        <w:tab/>
        <w:t>La version actuelle du “Guide de candidature” de l</w:t>
      </w:r>
      <w:r w:rsidR="005104A3">
        <w:t>’</w:t>
      </w:r>
      <w:r w:rsidRPr="006C7091">
        <w:t>ICANN est publiée à l</w:t>
      </w:r>
      <w:r w:rsidR="005104A3">
        <w:t>’</w:t>
      </w:r>
      <w:r w:rsidRPr="006C7091">
        <w:t xml:space="preserve">adresse http://newgtlds.icann.org/en/applicants/agb. </w:t>
      </w:r>
      <w:r>
        <w:t xml:space="preserve"> </w:t>
      </w:r>
    </w:p>
  </w:footnote>
  <w:footnote w:id="46">
    <w:p w:rsidR="00C423BD" w:rsidRPr="006C7091" w:rsidRDefault="00C423BD" w:rsidP="008E0BF9">
      <w:pPr>
        <w:pStyle w:val="FootnoteText"/>
      </w:pPr>
      <w:r w:rsidRPr="006C7091">
        <w:rPr>
          <w:rStyle w:val="FootnoteReference"/>
        </w:rPr>
        <w:footnoteRef/>
      </w:r>
      <w:r w:rsidRPr="006C7091">
        <w:t xml:space="preserve"> </w:t>
      </w:r>
      <w:r w:rsidRPr="006C7091">
        <w:tab/>
        <w:t xml:space="preserve">La liste des nouveaux </w:t>
      </w:r>
      <w:proofErr w:type="spellStart"/>
      <w:r w:rsidRPr="006C7091">
        <w:t>gTLD</w:t>
      </w:r>
      <w:proofErr w:type="spellEnd"/>
      <w:r w:rsidRPr="006C7091">
        <w:t xml:space="preserve"> attribués figure à l</w:t>
      </w:r>
      <w:r w:rsidR="005104A3">
        <w:t>’</w:t>
      </w:r>
      <w:r w:rsidRPr="006C7091">
        <w:t>adresse http://newgtlds.icann.org/en/program</w:t>
      </w:r>
      <w:r w:rsidR="00921588">
        <w:noBreakHyphen/>
      </w:r>
      <w:r w:rsidRPr="006C7091">
        <w:t>status/delegated</w:t>
      </w:r>
      <w:r w:rsidR="00921588">
        <w:noBreakHyphen/>
      </w:r>
      <w:r w:rsidRPr="006C7091">
        <w:t xml:space="preserve">strings.  </w:t>
      </w:r>
    </w:p>
  </w:footnote>
  <w:footnote w:id="47">
    <w:p w:rsidR="00C423BD" w:rsidRPr="006C7091" w:rsidRDefault="00C423BD" w:rsidP="008E0BF9">
      <w:pPr>
        <w:pStyle w:val="FootnoteText"/>
      </w:pPr>
      <w:r w:rsidRPr="006C7091">
        <w:rPr>
          <w:rStyle w:val="FootnoteReference"/>
        </w:rPr>
        <w:footnoteRef/>
      </w:r>
      <w:r w:rsidRPr="006C7091">
        <w:t xml:space="preserve"> </w:t>
      </w:r>
      <w:r w:rsidRPr="006C7091">
        <w:tab/>
        <w:t>Voir https://gnso.icann.org/sites/default/files/file/field</w:t>
      </w:r>
      <w:r w:rsidR="00921588">
        <w:noBreakHyphen/>
      </w:r>
      <w:r w:rsidRPr="006C7091">
        <w:t>file</w:t>
      </w:r>
      <w:r w:rsidR="00921588">
        <w:noBreakHyphen/>
      </w:r>
      <w:r w:rsidRPr="006C7091">
        <w:t>attach/final</w:t>
      </w:r>
      <w:r w:rsidR="00921588">
        <w:noBreakHyphen/>
      </w:r>
      <w:r w:rsidRPr="006C7091">
        <w:t>report</w:t>
      </w:r>
      <w:r w:rsidR="00921588">
        <w:noBreakHyphen/>
      </w:r>
      <w:r w:rsidRPr="006C7091">
        <w:t>newgtld</w:t>
      </w:r>
      <w:r w:rsidR="00921588">
        <w:noBreakHyphen/>
      </w:r>
      <w:r w:rsidRPr="006C7091">
        <w:t>subsequent</w:t>
      </w:r>
      <w:r w:rsidR="00921588">
        <w:noBreakHyphen/>
      </w:r>
      <w:r w:rsidRPr="006C7091">
        <w:t>procedures</w:t>
      </w:r>
      <w:r w:rsidR="00921588">
        <w:noBreakHyphen/>
      </w:r>
      <w:r w:rsidRPr="006C7091">
        <w:t>pdp</w:t>
      </w:r>
      <w:r w:rsidR="00921588">
        <w:noBreakHyphen/>
      </w:r>
      <w:r w:rsidRPr="006C7091">
        <w:t>02feb21</w:t>
      </w:r>
      <w:r w:rsidR="00921588">
        <w:noBreakHyphen/>
      </w:r>
      <w:r w:rsidRPr="006C7091">
        <w:t>en.pdf.</w:t>
      </w:r>
    </w:p>
  </w:footnote>
  <w:footnote w:id="48">
    <w:p w:rsidR="00C423BD" w:rsidRPr="006C7091" w:rsidRDefault="00C423BD" w:rsidP="008E0BF9">
      <w:pPr>
        <w:pStyle w:val="FootnoteText"/>
      </w:pPr>
      <w:r w:rsidRPr="006C7091">
        <w:rPr>
          <w:rStyle w:val="FootnoteReference"/>
        </w:rPr>
        <w:footnoteRef/>
      </w:r>
      <w:r w:rsidRPr="006C7091">
        <w:t xml:space="preserve"> </w:t>
      </w:r>
      <w:r w:rsidRPr="006C7091">
        <w:tab/>
        <w:t>Pour davantage d</w:t>
      </w:r>
      <w:r w:rsidR="005104A3">
        <w:t>’</w:t>
      </w:r>
      <w:r w:rsidRPr="006C7091">
        <w:t xml:space="preserve">informations, </w:t>
      </w:r>
      <w:r w:rsidR="005104A3">
        <w:t>y compris</w:t>
      </w:r>
      <w:r w:rsidRPr="006C7091">
        <w:t xml:space="preserve"> des références, voir le document WO/GA/39/10, en particulier les paragraphes</w:t>
      </w:r>
      <w:r>
        <w:t> </w:t>
      </w:r>
      <w:r w:rsidRPr="006C7091">
        <w:t>23 à 30.  Il y est indiqué que l</w:t>
      </w:r>
      <w:r w:rsidR="005104A3">
        <w:t>’</w:t>
      </w:r>
      <w:r w:rsidRPr="006C7091">
        <w:t>ICANN a rejeté une proposition en faveur d</w:t>
      </w:r>
      <w:r w:rsidR="005104A3">
        <w:t>’</w:t>
      </w:r>
      <w:r w:rsidRPr="006C7091">
        <w:t xml:space="preserve">une </w:t>
      </w:r>
      <w:r>
        <w:t>“</w:t>
      </w:r>
      <w:r w:rsidRPr="006C7091">
        <w:t>Liste des marques protégées au niveau international</w:t>
      </w:r>
      <w:r>
        <w:t>”</w:t>
      </w:r>
      <w:r w:rsidRPr="006C7091">
        <w:t>.</w:t>
      </w:r>
    </w:p>
  </w:footnote>
  <w:footnote w:id="49">
    <w:p w:rsidR="00C423BD" w:rsidRPr="006C7091" w:rsidRDefault="00C423BD" w:rsidP="008E0BF9">
      <w:pPr>
        <w:pStyle w:val="FootnoteText"/>
      </w:pPr>
      <w:r w:rsidRPr="006C7091">
        <w:rPr>
          <w:rStyle w:val="FootnoteReference"/>
        </w:rPr>
        <w:footnoteRef/>
      </w:r>
      <w:r w:rsidRPr="006C7091">
        <w:t xml:space="preserve"> </w:t>
      </w:r>
      <w:r w:rsidRPr="006C7091">
        <w:tab/>
        <w:t>Les autres motifs d</w:t>
      </w:r>
      <w:r w:rsidR="005104A3">
        <w:t>’</w:t>
      </w:r>
      <w:r w:rsidRPr="006C7091">
        <w:t>objection reconnus par l</w:t>
      </w:r>
      <w:r w:rsidR="005104A3">
        <w:t>’</w:t>
      </w:r>
      <w:r w:rsidRPr="006C7091">
        <w:t>ICANN étaient</w:t>
      </w:r>
      <w:r w:rsidR="005104A3">
        <w:t> :</w:t>
      </w:r>
      <w:r w:rsidRPr="006C7091">
        <w:t xml:space="preserve"> “objections relatives aux chaînes de caractères prêtant à confusion”, “objections à titre communautaire” et “objections limitées à titre d</w:t>
      </w:r>
      <w:r w:rsidR="005104A3">
        <w:t>’</w:t>
      </w:r>
      <w:r w:rsidRPr="006C7091">
        <w:t xml:space="preserve">intérêt public”. </w:t>
      </w:r>
      <w:r>
        <w:t xml:space="preserve"> </w:t>
      </w:r>
      <w:r w:rsidRPr="006C7091">
        <w:t>Le Guide de candidature prévoit par ailleurs plusieurs autres procédures dont peuvent se prévaloir les gouvernements suite à l</w:t>
      </w:r>
      <w:r w:rsidR="005104A3">
        <w:t>’</w:t>
      </w:r>
      <w:r w:rsidRPr="006C7091">
        <w:t>annonce par l</w:t>
      </w:r>
      <w:r w:rsidR="005104A3">
        <w:t>’</w:t>
      </w:r>
      <w:r w:rsidRPr="006C7091">
        <w:t xml:space="preserve">ICANN de nouvelles demandes de </w:t>
      </w:r>
      <w:proofErr w:type="spellStart"/>
      <w:r w:rsidRPr="006C7091">
        <w:t>gTLD</w:t>
      </w:r>
      <w:proofErr w:type="spellEnd"/>
      <w:r w:rsidRPr="006C7091">
        <w:t xml:space="preserve">. </w:t>
      </w:r>
      <w:r>
        <w:t xml:space="preserve"> </w:t>
      </w:r>
      <w:r w:rsidRPr="006C7091">
        <w:t>À cet égard, la section</w:t>
      </w:r>
      <w:r>
        <w:t> </w:t>
      </w:r>
      <w:r w:rsidRPr="006C7091">
        <w:t>1.1.2.4 prévoit l</w:t>
      </w:r>
      <w:r w:rsidR="005104A3">
        <w:t>’</w:t>
      </w:r>
      <w:r w:rsidRPr="006C7091">
        <w:t>“Avertissement anticipé du</w:t>
      </w:r>
      <w:r>
        <w:t> </w:t>
      </w:r>
      <w:r w:rsidRPr="006C7091">
        <w:t>GAC” et la section</w:t>
      </w:r>
      <w:r>
        <w:t> </w:t>
      </w:r>
      <w:r w:rsidRPr="006C7091">
        <w:t>1.1.2.7 la “Réception d</w:t>
      </w:r>
      <w:r w:rsidR="005104A3">
        <w:t>’</w:t>
      </w:r>
      <w:r w:rsidRPr="006C7091">
        <w:t>avis du</w:t>
      </w:r>
      <w:r>
        <w:t> </w:t>
      </w:r>
      <w:r w:rsidRPr="006C7091">
        <w:t xml:space="preserve">GAC sur les nouveaux </w:t>
      </w:r>
      <w:proofErr w:type="spellStart"/>
      <w:r w:rsidRPr="006C7091">
        <w:t>gTLD</w:t>
      </w:r>
      <w:proofErr w:type="spellEnd"/>
      <w:r w:rsidRPr="006C7091">
        <w:t>” pour examen du Conseil d</w:t>
      </w:r>
      <w:r w:rsidR="005104A3">
        <w:t>’</w:t>
      </w:r>
      <w:r w:rsidRPr="006C7091">
        <w:t>administration de l</w:t>
      </w:r>
      <w:r w:rsidR="005104A3">
        <w:t>’</w:t>
      </w:r>
      <w:r w:rsidRPr="006C7091">
        <w:t>ICANN.</w:t>
      </w:r>
    </w:p>
  </w:footnote>
  <w:footnote w:id="50">
    <w:p w:rsidR="00C423BD" w:rsidRPr="006C7091" w:rsidRDefault="00C423BD" w:rsidP="008E0BF9">
      <w:pPr>
        <w:pStyle w:val="FootnoteText"/>
      </w:pPr>
      <w:r w:rsidRPr="006C7091">
        <w:rPr>
          <w:rStyle w:val="FootnoteReference"/>
        </w:rPr>
        <w:footnoteRef/>
      </w:r>
      <w:r w:rsidRPr="006C7091">
        <w:t xml:space="preserve"> </w:t>
      </w:r>
      <w:r w:rsidRPr="006C7091">
        <w:tab/>
        <w:t>Adoptée par l</w:t>
      </w:r>
      <w:r w:rsidR="005104A3">
        <w:t>’</w:t>
      </w:r>
      <w:r w:rsidRPr="006C7091">
        <w:t>Assemblée générale de l</w:t>
      </w:r>
      <w:r w:rsidR="005104A3">
        <w:t>’</w:t>
      </w:r>
      <w:r w:rsidRPr="006C7091">
        <w:t>OMPI en septembre</w:t>
      </w:r>
      <w:r>
        <w:t> </w:t>
      </w:r>
      <w:proofErr w:type="gramStart"/>
      <w:r w:rsidRPr="006C7091">
        <w:t xml:space="preserve">2001; </w:t>
      </w:r>
      <w:r>
        <w:t xml:space="preserve"> </w:t>
      </w:r>
      <w:r w:rsidRPr="006C7091">
        <w:t>voir</w:t>
      </w:r>
      <w:proofErr w:type="gramEnd"/>
      <w:r w:rsidRPr="006C7091">
        <w:t xml:space="preserve"> http://www.wipo.int/edocs/pubdocs/en/marks/845/pub845.pdf.</w:t>
      </w:r>
    </w:p>
  </w:footnote>
  <w:footnote w:id="51">
    <w:p w:rsidR="00C423BD" w:rsidRPr="006C7091" w:rsidRDefault="00C423BD" w:rsidP="008E0BF9">
      <w:pPr>
        <w:pStyle w:val="FootnoteText"/>
      </w:pPr>
      <w:r w:rsidRPr="006C7091">
        <w:rPr>
          <w:rStyle w:val="FootnoteReference"/>
        </w:rPr>
        <w:footnoteRef/>
      </w:r>
      <w:r w:rsidRPr="006C7091">
        <w:t xml:space="preserve"> </w:t>
      </w:r>
      <w:r w:rsidRPr="006C7091">
        <w:tab/>
        <w:t>Voir la section</w:t>
      </w:r>
      <w:r>
        <w:t> </w:t>
      </w:r>
      <w:r w:rsidRPr="006C7091">
        <w:t xml:space="preserve">3.2 du Guide de candidature </w:t>
      </w:r>
      <w:proofErr w:type="spellStart"/>
      <w:r w:rsidRPr="006C7091">
        <w:t>gTLD</w:t>
      </w:r>
      <w:proofErr w:type="spellEnd"/>
      <w:r w:rsidRPr="006C7091">
        <w:t xml:space="preserve"> de l</w:t>
      </w:r>
      <w:r w:rsidR="005104A3">
        <w:t>’</w:t>
      </w:r>
      <w:r w:rsidRPr="006C7091">
        <w:t>ICANN à l</w:t>
      </w:r>
      <w:r w:rsidR="005104A3">
        <w:t>’</w:t>
      </w:r>
      <w:r w:rsidRPr="006C7091">
        <w:t>adresse suivante</w:t>
      </w:r>
      <w:r w:rsidR="005104A3">
        <w:t> :</w:t>
      </w:r>
      <w:r w:rsidRPr="006C7091">
        <w:t xml:space="preserve"> http://newgtlds.icann.org/en/applicants/agb/objection</w:t>
      </w:r>
      <w:r w:rsidR="00921588">
        <w:noBreakHyphen/>
      </w:r>
      <w:r w:rsidRPr="006C7091">
        <w:t>procedures</w:t>
      </w:r>
      <w:r w:rsidR="00921588">
        <w:noBreakHyphen/>
      </w:r>
      <w:r w:rsidRPr="006C7091">
        <w:t>04jun12</w:t>
      </w:r>
      <w:r w:rsidR="00921588">
        <w:noBreakHyphen/>
      </w:r>
      <w:r w:rsidRPr="006C7091">
        <w:t>en.pdf.</w:t>
      </w:r>
    </w:p>
  </w:footnote>
  <w:footnote w:id="52">
    <w:p w:rsidR="00C423BD" w:rsidRPr="006C7091" w:rsidRDefault="00C423BD" w:rsidP="008E0BF9">
      <w:pPr>
        <w:pStyle w:val="FootnoteText"/>
      </w:pPr>
      <w:r w:rsidRPr="006C7091">
        <w:rPr>
          <w:rStyle w:val="FootnoteReference"/>
        </w:rPr>
        <w:footnoteRef/>
      </w:r>
      <w:r w:rsidRPr="006C7091">
        <w:t xml:space="preserve"> </w:t>
      </w:r>
      <w:r w:rsidRPr="006C7091">
        <w:tab/>
        <w:t>Voir les règles de l</w:t>
      </w:r>
      <w:r w:rsidR="005104A3">
        <w:t>’</w:t>
      </w:r>
      <w:r w:rsidRPr="006C7091">
        <w:t xml:space="preserve">OMPI concernant le règlement des litiges relatifs aux nouveaux </w:t>
      </w:r>
      <w:proofErr w:type="spellStart"/>
      <w:r w:rsidRPr="006C7091">
        <w:t>gTLD</w:t>
      </w:r>
      <w:proofErr w:type="spellEnd"/>
      <w:r w:rsidRPr="006C7091">
        <w:t xml:space="preserve"> et le barème des taxes, honoraires et frais, respectivement aux adresses suivantes</w:t>
      </w:r>
      <w:r w:rsidR="005104A3">
        <w:t> :</w:t>
      </w:r>
      <w:r w:rsidRPr="006C7091">
        <w:t xml:space="preserve"> http://www.wipo.int/amc/en/docs/wipolrorules.pdf et </w:t>
      </w:r>
      <w:proofErr w:type="gramStart"/>
      <w:r w:rsidRPr="006C7091">
        <w:t xml:space="preserve">http://www.wipo.int/amc/en/domains/lro/fees/; </w:t>
      </w:r>
      <w:r>
        <w:t xml:space="preserve"> </w:t>
      </w:r>
      <w:r w:rsidRPr="006C7091">
        <w:t>voir</w:t>
      </w:r>
      <w:proofErr w:type="gramEnd"/>
      <w:r w:rsidRPr="006C7091">
        <w:t xml:space="preserve"> les cas d</w:t>
      </w:r>
      <w:r w:rsidR="005104A3">
        <w:t>’</w:t>
      </w:r>
      <w:r w:rsidRPr="006C7091">
        <w:t>objections déposés à l</w:t>
      </w:r>
      <w:r w:rsidR="005104A3">
        <w:t>’</w:t>
      </w:r>
      <w:r w:rsidRPr="006C7091">
        <w:t>OMPI à l</w:t>
      </w:r>
      <w:r w:rsidR="005104A3">
        <w:t>’</w:t>
      </w:r>
      <w:r w:rsidRPr="006C7091">
        <w:t>adresse suivante</w:t>
      </w:r>
      <w:r w:rsidR="005104A3">
        <w:t> :</w:t>
      </w:r>
      <w:r w:rsidRPr="006C7091">
        <w:t xml:space="preserve"> http://www.wipo.int/amc/en/domains/lro/cases/. </w:t>
      </w:r>
      <w:r>
        <w:t xml:space="preserve"> </w:t>
      </w:r>
      <w:r w:rsidRPr="006C7091">
        <w:t>Toutes les décisions rendues par les commissions administratives de l</w:t>
      </w:r>
      <w:r w:rsidR="005104A3">
        <w:t>’</w:t>
      </w:r>
      <w:r w:rsidRPr="006C7091">
        <w:t>OMPI sont disponibles sur le site Internet du Centre, de même que le rapport établi sur les procédures d</w:t>
      </w:r>
      <w:r w:rsidR="005104A3">
        <w:t>’</w:t>
      </w:r>
      <w:r w:rsidRPr="006C7091">
        <w:t xml:space="preserve">objection pour atteinte aux droits. </w:t>
      </w:r>
      <w:r>
        <w:t xml:space="preserve"> </w:t>
      </w:r>
      <w:r w:rsidRPr="006C7091">
        <w:t>Le rapport de l</w:t>
      </w:r>
      <w:r w:rsidR="005104A3">
        <w:t>’</w:t>
      </w:r>
      <w:r w:rsidRPr="006C7091">
        <w:t>OMPI sur les objections pour atteinte aux droits note qu</w:t>
      </w:r>
      <w:r w:rsidR="005104A3">
        <w:t>’</w:t>
      </w:r>
      <w:r w:rsidRPr="006C7091">
        <w:t xml:space="preserve">une forte majorité des objections ont été déposées contre des demandes de </w:t>
      </w:r>
      <w:proofErr w:type="spellStart"/>
      <w:r w:rsidRPr="006C7091">
        <w:t>gTLD</w:t>
      </w:r>
      <w:proofErr w:type="spellEnd"/>
      <w:r w:rsidRPr="006C7091">
        <w:t xml:space="preserve"> portant sur des extensions ayant un sens descriptif ou donné par le dictionnaire. </w:t>
      </w:r>
      <w:r>
        <w:t xml:space="preserve"> </w:t>
      </w:r>
      <w:r w:rsidRPr="006C7091">
        <w:t>De nombreux groupes d</w:t>
      </w:r>
      <w:r w:rsidR="005104A3">
        <w:t>’</w:t>
      </w:r>
      <w:r w:rsidRPr="006C7091">
        <w:t>experts sont parvenus à la conclusion que, lorsque le propriétaire d</w:t>
      </w:r>
      <w:r w:rsidR="005104A3">
        <w:t>’</w:t>
      </w:r>
      <w:r w:rsidRPr="006C7091">
        <w:t xml:space="preserve">une marque a adopté un terme commun du dictionnaire comme nom de marque, une demande de </w:t>
      </w:r>
      <w:proofErr w:type="spellStart"/>
      <w:r w:rsidRPr="006C7091">
        <w:t>gTLD</w:t>
      </w:r>
      <w:proofErr w:type="spellEnd"/>
      <w:r w:rsidRPr="006C7091">
        <w:t xml:space="preserve"> visant uniquement à tirer avantage de ce sens commun ne violerait pas en soi les normes en matière de décisions applicables aux objections pour atteinte aux droits. </w:t>
      </w:r>
      <w:r>
        <w:t xml:space="preserve"> </w:t>
      </w:r>
      <w:r w:rsidRPr="006C7091">
        <w:t>Dans certains cas, les groupes d</w:t>
      </w:r>
      <w:r w:rsidR="005104A3">
        <w:t>’</w:t>
      </w:r>
      <w:r w:rsidRPr="006C7091">
        <w:t>experts se sont intéressés aux enregistrements de marques obtenus en premier lieu dans le but d</w:t>
      </w:r>
      <w:r w:rsidR="005104A3">
        <w:t>’</w:t>
      </w:r>
      <w:r w:rsidRPr="006C7091">
        <w:t xml:space="preserve">appuyer une demande de nouveau </w:t>
      </w:r>
      <w:proofErr w:type="spellStart"/>
      <w:r w:rsidRPr="006C7091">
        <w:t>gTLD</w:t>
      </w:r>
      <w:proofErr w:type="spellEnd"/>
      <w:r w:rsidRPr="006C7091">
        <w:t xml:space="preserve"> ou une objection pour atteinte aux droits, avec peu ou pas d</w:t>
      </w:r>
      <w:r w:rsidR="005104A3">
        <w:t>’</w:t>
      </w:r>
      <w:r w:rsidRPr="006C7091">
        <w:t xml:space="preserve">usage antérieur avéré. </w:t>
      </w:r>
      <w:r>
        <w:t xml:space="preserve"> </w:t>
      </w:r>
      <w:r w:rsidRPr="006C7091">
        <w:t>Voir http://www.wipo.int/amc/en/docs/lroreport.pdf.</w:t>
      </w:r>
    </w:p>
  </w:footnote>
  <w:footnote w:id="53">
    <w:p w:rsidR="00C423BD" w:rsidRPr="006C7091" w:rsidRDefault="00C423BD" w:rsidP="008E0BF9">
      <w:pPr>
        <w:pStyle w:val="FootnoteText"/>
      </w:pPr>
      <w:r w:rsidRPr="006C7091">
        <w:rPr>
          <w:rStyle w:val="FootnoteReference"/>
        </w:rPr>
        <w:footnoteRef/>
      </w:r>
      <w:r w:rsidRPr="006C7091">
        <w:t xml:space="preserve"> </w:t>
      </w:r>
      <w:r w:rsidRPr="006C7091">
        <w:tab/>
        <w:t>Voir http://www.wipo.int/amc/en/docs/icann130309.pdf.</w:t>
      </w:r>
    </w:p>
  </w:footnote>
  <w:footnote w:id="54">
    <w:p w:rsidR="00C423BD" w:rsidRPr="006C7091" w:rsidRDefault="00C423BD" w:rsidP="008E0BF9">
      <w:pPr>
        <w:pStyle w:val="FootnoteText"/>
      </w:pPr>
      <w:r w:rsidRPr="006C7091">
        <w:rPr>
          <w:rStyle w:val="FootnoteReference"/>
        </w:rPr>
        <w:footnoteRef/>
      </w:r>
      <w:r w:rsidRPr="006C7091">
        <w:t xml:space="preserve"> </w:t>
      </w:r>
      <w:r w:rsidRPr="006C7091">
        <w:tab/>
        <w:t>Étant donné la convergence que l</w:t>
      </w:r>
      <w:r w:rsidR="005104A3">
        <w:t>’</w:t>
      </w:r>
      <w:r w:rsidRPr="006C7091">
        <w:t>on perçoit entre les rôles du service d</w:t>
      </w:r>
      <w:r w:rsidR="005104A3">
        <w:t>’</w:t>
      </w:r>
      <w:r w:rsidRPr="006C7091">
        <w:t>enregistrement, de l</w:t>
      </w:r>
      <w:r w:rsidR="005104A3">
        <w:t>’</w:t>
      </w:r>
      <w:r w:rsidRPr="006C7091">
        <w:t>unité d</w:t>
      </w:r>
      <w:r w:rsidR="005104A3">
        <w:t>’</w:t>
      </w:r>
      <w:r w:rsidRPr="006C7091">
        <w:t>enregistrement et du détenteur de l</w:t>
      </w:r>
      <w:r w:rsidR="005104A3">
        <w:t>’</w:t>
      </w:r>
      <w:r w:rsidRPr="006C7091">
        <w:t>enregistrement au sein du</w:t>
      </w:r>
      <w:r>
        <w:t> </w:t>
      </w:r>
      <w:r w:rsidRPr="006C7091">
        <w:t>DNS, le Centre a également recommandé à l</w:t>
      </w:r>
      <w:r w:rsidR="005104A3">
        <w:t>’</w:t>
      </w:r>
      <w:r w:rsidRPr="006C7091">
        <w:t>ICANN, compte tenu notamment de son expérience des principes UDRP et de la décision de l</w:t>
      </w:r>
      <w:r w:rsidR="005104A3">
        <w:t>’</w:t>
      </w:r>
      <w:r w:rsidRPr="006C7091">
        <w:t>ICANN d</w:t>
      </w:r>
      <w:r w:rsidR="005104A3">
        <w:t>’</w:t>
      </w:r>
      <w:r w:rsidRPr="006C7091">
        <w:t>autoriser la propriété croisée entre unités d</w:t>
      </w:r>
      <w:r w:rsidR="005104A3">
        <w:t>’</w:t>
      </w:r>
      <w:r w:rsidRPr="006C7091">
        <w:t>enregistrement et services d</w:t>
      </w:r>
      <w:r w:rsidR="005104A3">
        <w:t>’</w:t>
      </w:r>
      <w:r w:rsidRPr="006C7091">
        <w:t>enregistrement (voir http://www.icann.org/en/minutes/resolutions</w:t>
      </w:r>
      <w:r w:rsidR="00921588">
        <w:noBreakHyphen/>
      </w:r>
      <w:r w:rsidRPr="006C7091">
        <w:t>05nov10</w:t>
      </w:r>
      <w:r w:rsidR="00921588">
        <w:noBreakHyphen/>
      </w:r>
      <w:r w:rsidRPr="006C7091">
        <w:t>en.htm), d</w:t>
      </w:r>
      <w:r w:rsidR="005104A3">
        <w:t>’</w:t>
      </w:r>
      <w:r w:rsidRPr="006C7091">
        <w:t>étudier la possibilité d</w:t>
      </w:r>
      <w:r w:rsidR="005104A3">
        <w:t>’</w:t>
      </w:r>
      <w:r w:rsidRPr="006C7091">
        <w:t>étendre aux unités d</w:t>
      </w:r>
      <w:r w:rsidR="005104A3">
        <w:t>’</w:t>
      </w:r>
      <w:r w:rsidRPr="006C7091">
        <w:t>enregistrement la procédure postérieure à l</w:t>
      </w:r>
      <w:r w:rsidR="005104A3">
        <w:t>’</w:t>
      </w:r>
      <w:r w:rsidRPr="006C7091">
        <w:t>attribution à l</w:t>
      </w:r>
      <w:r w:rsidR="005104A3">
        <w:t>’</w:t>
      </w:r>
      <w:r w:rsidRPr="006C7091">
        <w:t>intention des services d</w:t>
      </w:r>
      <w:r w:rsidR="005104A3">
        <w:t>’</w:t>
      </w:r>
      <w:r w:rsidRPr="006C7091">
        <w:t>enregistrement (voir, notamment, http://www.wipo.int/amc/en/docs/icann260310rap.pdf).</w:t>
      </w:r>
    </w:p>
  </w:footnote>
  <w:footnote w:id="55">
    <w:p w:rsidR="00C423BD" w:rsidRPr="006C7091" w:rsidRDefault="00C423BD" w:rsidP="008E0BF9">
      <w:pPr>
        <w:pStyle w:val="FootnoteText"/>
      </w:pPr>
      <w:r w:rsidRPr="006C7091">
        <w:rPr>
          <w:rStyle w:val="FootnoteReference"/>
        </w:rPr>
        <w:footnoteRef/>
      </w:r>
      <w:r w:rsidRPr="006C7091">
        <w:t xml:space="preserve"> </w:t>
      </w:r>
      <w:r w:rsidRPr="006C7091">
        <w:tab/>
        <w:t>À noter en particulier qu</w:t>
      </w:r>
      <w:r w:rsidR="005104A3">
        <w:t>’</w:t>
      </w:r>
      <w:r w:rsidRPr="006C7091">
        <w:t>à la fin de</w:t>
      </w:r>
      <w:r>
        <w:t> </w:t>
      </w:r>
      <w:r w:rsidRPr="006C7091">
        <w:t>2016 un groupe de propriétaires de marques a choisi d</w:t>
      </w:r>
      <w:r w:rsidR="005104A3">
        <w:t>’</w:t>
      </w:r>
      <w:r w:rsidRPr="006C7091">
        <w:t>engager une procédure de règlement des litiges relatifs aux engagements d</w:t>
      </w:r>
      <w:r w:rsidR="005104A3">
        <w:t>’</w:t>
      </w:r>
      <w:r w:rsidRPr="006C7091">
        <w:t>intérêt public (PICDRP) plutôt que d</w:t>
      </w:r>
      <w:r w:rsidR="005104A3">
        <w:t>’</w:t>
      </w:r>
      <w:r w:rsidRPr="006C7091">
        <w:t>opter pour la procédure de règlement des litiges postérieure à l</w:t>
      </w:r>
      <w:r w:rsidR="005104A3">
        <w:t>’</w:t>
      </w:r>
      <w:r w:rsidRPr="006C7091">
        <w:t>attribution d</w:t>
      </w:r>
      <w:r w:rsidR="005104A3">
        <w:t>’</w:t>
      </w:r>
      <w:r w:rsidRPr="006C7091">
        <w:t xml:space="preserve">un domaine de premier niveau (PDDRP). </w:t>
      </w:r>
      <w:r>
        <w:t xml:space="preserve"> </w:t>
      </w:r>
      <w:r w:rsidRPr="006C7091">
        <w:t>Compte tenu de certains intérêts plus généraux, le Centre est convenu en</w:t>
      </w:r>
      <w:r>
        <w:t> </w:t>
      </w:r>
      <w:r w:rsidRPr="006C7091">
        <w:t>2013 avec l</w:t>
      </w:r>
      <w:r w:rsidR="005104A3">
        <w:t>’</w:t>
      </w:r>
      <w:r w:rsidRPr="006C7091">
        <w:t>ICANN de devenir prestataire de services dans le cadre de la procédure de règlement des litiges postérieure à l</w:t>
      </w:r>
      <w:r w:rsidR="005104A3">
        <w:t>’</w:t>
      </w:r>
      <w:r w:rsidRPr="006C7091">
        <w:t xml:space="preserve">attribution en ce qui concerne les marques. </w:t>
      </w:r>
      <w:r>
        <w:t xml:space="preserve"> </w:t>
      </w:r>
      <w:r w:rsidRPr="006C7091">
        <w:t>https://www.icann.org/en/system/files/files/feedback</w:t>
      </w:r>
      <w:r w:rsidR="00921588">
        <w:noBreakHyphen/>
      </w:r>
      <w:r w:rsidRPr="006C7091">
        <w:t>picdrp</w:t>
      </w:r>
      <w:r w:rsidR="00921588">
        <w:noBreakHyphen/>
      </w:r>
      <w:r w:rsidRPr="006C7091">
        <w:t>panel</w:t>
      </w:r>
      <w:r w:rsidR="00921588">
        <w:noBreakHyphen/>
      </w:r>
      <w:r w:rsidRPr="006C7091">
        <w:t>report</w:t>
      </w:r>
      <w:r w:rsidR="00921588">
        <w:noBreakHyphen/>
      </w:r>
      <w:r w:rsidRPr="006C7091">
        <w:t>14mar17</w:t>
      </w:r>
      <w:r w:rsidR="00921588">
        <w:noBreakHyphen/>
      </w:r>
      <w:r w:rsidRPr="006C7091">
        <w:t>en.pdf.</w:t>
      </w:r>
    </w:p>
  </w:footnote>
  <w:footnote w:id="56">
    <w:p w:rsidR="00C423BD" w:rsidRPr="006C7091" w:rsidRDefault="00C423BD" w:rsidP="008E0BF9">
      <w:pPr>
        <w:pStyle w:val="FootnoteText"/>
      </w:pPr>
      <w:r w:rsidRPr="006C7091">
        <w:rPr>
          <w:rStyle w:val="FootnoteReference"/>
        </w:rPr>
        <w:footnoteRef/>
      </w:r>
      <w:r w:rsidRPr="006C7091">
        <w:t xml:space="preserve"> </w:t>
      </w:r>
      <w:r w:rsidRPr="006C7091">
        <w:tab/>
        <w:t>La base de données permet l</w:t>
      </w:r>
      <w:r w:rsidR="005104A3">
        <w:t>’</w:t>
      </w:r>
      <w:r w:rsidRPr="006C7091">
        <w:t>inclusion des marques textuelles enregistrées, des marques textuelles protégées par un règlement ou un traité ou validées par un tribunal, ainsi que des “[a]</w:t>
      </w:r>
      <w:proofErr w:type="spellStart"/>
      <w:r w:rsidRPr="006C7091">
        <w:t>utres</w:t>
      </w:r>
      <w:proofErr w:type="spellEnd"/>
      <w:r w:rsidRPr="006C7091">
        <w:t xml:space="preserve"> marques constituant un objet de propriété intellectuelle” (cette dernière catégorie n</w:t>
      </w:r>
      <w:r w:rsidR="005104A3">
        <w:t>’</w:t>
      </w:r>
      <w:r w:rsidRPr="006C7091">
        <w:t xml:space="preserve">étant pas définie). </w:t>
      </w:r>
      <w:r>
        <w:t xml:space="preserve"> </w:t>
      </w:r>
      <w:r w:rsidRPr="006C7091">
        <w:t>En ce qui concerne les mécanismes de protection des droits fondés sur la base de données, l</w:t>
      </w:r>
      <w:r w:rsidR="005104A3">
        <w:t>’</w:t>
      </w:r>
      <w:r w:rsidRPr="006C7091">
        <w:t>ICANN propose actuellement de limiter l</w:t>
      </w:r>
      <w:r w:rsidR="005104A3">
        <w:t>’</w:t>
      </w:r>
      <w:r w:rsidRPr="006C7091">
        <w:t>application des services “préliminaires” (c</w:t>
      </w:r>
      <w:r w:rsidR="005104A3">
        <w:t>’</w:t>
      </w:r>
      <w:r w:rsidRPr="006C7091">
        <w:t>est</w:t>
      </w:r>
      <w:r w:rsidR="00921588">
        <w:noBreakHyphen/>
      </w:r>
      <w:r w:rsidRPr="006C7091">
        <w:t>à</w:t>
      </w:r>
      <w:r w:rsidR="00921588">
        <w:noBreakHyphen/>
      </w:r>
      <w:r w:rsidRPr="006C7091">
        <w:t>dire, la possibilité pour un propriétaire de marque d</w:t>
      </w:r>
      <w:r w:rsidR="005104A3">
        <w:t>’</w:t>
      </w:r>
      <w:r w:rsidRPr="006C7091">
        <w:t>enregistrer de manière préventive en tant que nom de domaine, contre paiement d</w:t>
      </w:r>
      <w:r w:rsidR="005104A3">
        <w:t>’</w:t>
      </w:r>
      <w:r w:rsidRPr="006C7091">
        <w:t>une taxe, une chaîne de caractères correspondant exactement à sa marque) aux marques dont l</w:t>
      </w:r>
      <w:r w:rsidR="005104A3">
        <w:t>’</w:t>
      </w:r>
      <w:r w:rsidRPr="006C7091">
        <w:t xml:space="preserve">usage actuel peut être prouvé. </w:t>
      </w:r>
      <w:r>
        <w:t xml:space="preserve"> </w:t>
      </w:r>
      <w:r w:rsidRPr="006C7091">
        <w:t>Que l</w:t>
      </w:r>
      <w:r w:rsidR="005104A3">
        <w:t>’</w:t>
      </w:r>
      <w:r w:rsidRPr="006C7091">
        <w:t>usage actuel soit ou non prouvé, les propriétaires de marques pourraient participer à un système de “contentieux” d</w:t>
      </w:r>
      <w:r w:rsidR="005104A3">
        <w:t>’</w:t>
      </w:r>
      <w:r w:rsidRPr="006C7091">
        <w:t>une durée limitée (permettant de notifier au demandeur d</w:t>
      </w:r>
      <w:r w:rsidR="005104A3">
        <w:t>’</w:t>
      </w:r>
      <w:r w:rsidRPr="006C7091">
        <w:t>un nom de domaine l</w:t>
      </w:r>
      <w:r w:rsidR="005104A3">
        <w:t>’</w:t>
      </w:r>
      <w:r w:rsidRPr="006C7091">
        <w:t>existence d</w:t>
      </w:r>
      <w:r w:rsidR="005104A3">
        <w:t>’</w:t>
      </w:r>
      <w:r w:rsidRPr="006C7091">
        <w:t>un conflit potentiel avec un droit attaché à une marque, et d</w:t>
      </w:r>
      <w:r w:rsidR="005104A3">
        <w:t>’</w:t>
      </w:r>
      <w:r w:rsidRPr="006C7091">
        <w:t>informer les propriétaires de marques concernés dans le cas où le demandeur procéderait tout de même à l</w:t>
      </w:r>
      <w:r w:rsidR="005104A3">
        <w:t>’</w:t>
      </w:r>
      <w:r w:rsidRPr="006C7091">
        <w:t xml:space="preserve">enregistrement du nom de domaine). </w:t>
      </w:r>
      <w:r>
        <w:t xml:space="preserve"> </w:t>
      </w:r>
      <w:r w:rsidRPr="006C7091">
        <w:t>Comme le prescrit l</w:t>
      </w:r>
      <w:r w:rsidR="005104A3">
        <w:t>’</w:t>
      </w:r>
      <w:r w:rsidRPr="006C7091">
        <w:t>ICANN, le système de “contentieux” est limité à une durée de 90</w:t>
      </w:r>
      <w:r w:rsidR="001E5043">
        <w:t> </w:t>
      </w:r>
      <w:r w:rsidRPr="006C7091">
        <w:t>jours à compter de la date d</w:t>
      </w:r>
      <w:r w:rsidR="005104A3">
        <w:t>’</w:t>
      </w:r>
      <w:r w:rsidRPr="006C7091">
        <w:t>ouverture au public de l</w:t>
      </w:r>
      <w:r w:rsidR="005104A3">
        <w:t>’</w:t>
      </w:r>
      <w:r w:rsidRPr="006C7091">
        <w:t>enregistrement d</w:t>
      </w:r>
      <w:r w:rsidR="005104A3">
        <w:t>’</w:t>
      </w:r>
      <w:r w:rsidRPr="006C7091">
        <w:t xml:space="preserve">un nouveau </w:t>
      </w:r>
      <w:proofErr w:type="spellStart"/>
      <w:r w:rsidRPr="006C7091">
        <w:t>gTLD</w:t>
      </w:r>
      <w:proofErr w:type="spellEnd"/>
      <w:r w:rsidRPr="006C7091">
        <w:t xml:space="preserve">, mais les utilisateurs de la base de données peuvent choisir de recevoir des notifications indéfiniment. </w:t>
      </w:r>
      <w:r>
        <w:t xml:space="preserve"> </w:t>
      </w:r>
      <w:r w:rsidRPr="006C7091">
        <w:t>La preuve de l</w:t>
      </w:r>
      <w:r w:rsidR="005104A3">
        <w:t>’</w:t>
      </w:r>
      <w:r w:rsidRPr="006C7091">
        <w:t>usage requise pour les services préliminaires s</w:t>
      </w:r>
      <w:r w:rsidR="005104A3">
        <w:t>’</w:t>
      </w:r>
      <w:r w:rsidRPr="006C7091">
        <w:t>applique de la même manière à l</w:t>
      </w:r>
      <w:r w:rsidR="005104A3">
        <w:t>’</w:t>
      </w:r>
      <w:r w:rsidRPr="006C7091">
        <w:t>invocation de marques comme motif de dépôt de plaintes en vertu du mécanisme de suspension uniforme rapide décrit dans le présent paragraphe.</w:t>
      </w:r>
    </w:p>
  </w:footnote>
  <w:footnote w:id="57">
    <w:p w:rsidR="00C423BD" w:rsidRPr="006C7091" w:rsidRDefault="00C423BD" w:rsidP="008E0BF9">
      <w:pPr>
        <w:pStyle w:val="FootnoteText"/>
      </w:pPr>
      <w:r w:rsidRPr="006C7091">
        <w:rPr>
          <w:rStyle w:val="FootnoteReference"/>
        </w:rPr>
        <w:footnoteRef/>
      </w:r>
      <w:r w:rsidRPr="006C7091">
        <w:t xml:space="preserve"> </w:t>
      </w:r>
      <w:r w:rsidRPr="006C7091">
        <w:tab/>
        <w:t>Voir http://trademark</w:t>
      </w:r>
      <w:r w:rsidR="00921588">
        <w:noBreakHyphen/>
      </w:r>
      <w:r w:rsidRPr="006C7091">
        <w:t>clearinghouse.com/content/tmch</w:t>
      </w:r>
      <w:r w:rsidR="00921588">
        <w:noBreakHyphen/>
      </w:r>
      <w:r w:rsidRPr="006C7091">
        <w:t>stats.</w:t>
      </w:r>
    </w:p>
  </w:footnote>
  <w:footnote w:id="58">
    <w:p w:rsidR="00C423BD" w:rsidRPr="006C7091" w:rsidRDefault="00C423BD" w:rsidP="008E0BF9">
      <w:pPr>
        <w:pStyle w:val="FootnoteText"/>
      </w:pPr>
      <w:r w:rsidRPr="006C7091">
        <w:rPr>
          <w:rStyle w:val="FootnoteReference"/>
        </w:rPr>
        <w:footnoteRef/>
      </w:r>
      <w:r w:rsidRPr="006C7091">
        <w:t xml:space="preserve"> </w:t>
      </w:r>
      <w:r w:rsidRPr="006C7091">
        <w:tab/>
        <w:t>Le Centre a pour sa part transmis à l</w:t>
      </w:r>
      <w:r w:rsidR="005104A3">
        <w:t>’</w:t>
      </w:r>
      <w:r w:rsidRPr="006C7091">
        <w:t>ICANN, en avril</w:t>
      </w:r>
      <w:r>
        <w:t> </w:t>
      </w:r>
      <w:r w:rsidRPr="006C7091">
        <w:t>2009, un projet concernant un “mécanisme de suspension accéléré (des noms de domaine)”, (voir http://www.wipo.int/amc/en/docs/icann030409.pdf) et a ensuite fait des propositions en faveur d</w:t>
      </w:r>
      <w:r w:rsidR="005104A3">
        <w:t>’</w:t>
      </w:r>
      <w:r w:rsidRPr="006C7091">
        <w:t>un mécanisme simplifié reposant sur ce modèle lors des réunions de l</w:t>
      </w:r>
      <w:r w:rsidR="005104A3">
        <w:t>’</w:t>
      </w:r>
      <w:r w:rsidRPr="006C7091">
        <w:t xml:space="preserve">ICANN (voir http://prague44.icann.org/node/31773 et http://toronto45.icann.org/node/34325). </w:t>
      </w:r>
      <w:r>
        <w:t xml:space="preserve"> </w:t>
      </w:r>
      <w:r w:rsidRPr="006C7091">
        <w:t>Ces propositions tenaient compte de la nécessité d</w:t>
      </w:r>
      <w:r w:rsidR="005104A3">
        <w:t>’</w:t>
      </w:r>
      <w:r w:rsidRPr="006C7091">
        <w:t>établir un équilibre entre la protection des droits sur les marques reconnus par la loi, les intérêts concrets des opérateurs de services d</w:t>
      </w:r>
      <w:r w:rsidR="005104A3">
        <w:t>’</w:t>
      </w:r>
      <w:r w:rsidRPr="006C7091">
        <w:t xml:space="preserve">enregistrement respectueux des règles qui veulent réduire autant que possible leurs frais de fonctionnement, et les attentes légitimes des détenteurs de noms de domaine enregistrés de bonne foi.  </w:t>
      </w:r>
    </w:p>
  </w:footnote>
  <w:footnote w:id="59">
    <w:p w:rsidR="00C423BD" w:rsidRPr="006C7091" w:rsidRDefault="00C423BD" w:rsidP="008E0BF9">
      <w:pPr>
        <w:pStyle w:val="FootnoteText"/>
      </w:pPr>
      <w:r w:rsidRPr="006C7091">
        <w:rPr>
          <w:rStyle w:val="FootnoteReference"/>
        </w:rPr>
        <w:footnoteRef/>
      </w:r>
      <w:r w:rsidRPr="006C7091">
        <w:t xml:space="preserve"> </w:t>
      </w:r>
      <w:r w:rsidRPr="006C7091">
        <w:tab/>
        <w:t>Une liste détaillée de ces questions figure notamment dans la lettre du Centre adressée à l</w:t>
      </w:r>
      <w:r w:rsidR="005104A3">
        <w:t>’</w:t>
      </w:r>
      <w:r w:rsidRPr="006C7091">
        <w:t>ICANN le 2</w:t>
      </w:r>
      <w:r>
        <w:t> </w:t>
      </w:r>
      <w:r w:rsidRPr="006C7091">
        <w:t>décembre</w:t>
      </w:r>
      <w:r>
        <w:t> </w:t>
      </w:r>
      <w:r w:rsidRPr="006C7091">
        <w:t>2010, publiée à l</w:t>
      </w:r>
      <w:r w:rsidR="005104A3">
        <w:t>’</w:t>
      </w:r>
      <w:r w:rsidRPr="006C7091">
        <w:t xml:space="preserve">adresse http://www.wipo.int/amc/en/docs/icann021210.pdf.  </w:t>
      </w:r>
    </w:p>
  </w:footnote>
  <w:footnote w:id="60">
    <w:p w:rsidR="00C423BD" w:rsidRPr="006C7091" w:rsidRDefault="00C423BD" w:rsidP="008E0BF9">
      <w:pPr>
        <w:pStyle w:val="FootnoteText"/>
      </w:pPr>
      <w:r w:rsidRPr="006C7091">
        <w:rPr>
          <w:rStyle w:val="FootnoteReference"/>
        </w:rPr>
        <w:footnoteRef/>
      </w:r>
      <w:r w:rsidRPr="006C7091">
        <w:t xml:space="preserve"> </w:t>
      </w:r>
      <w:r w:rsidRPr="006C7091">
        <w:tab/>
        <w:t>La question de l</w:t>
      </w:r>
      <w:r w:rsidR="005104A3">
        <w:t>’</w:t>
      </w:r>
      <w:r w:rsidRPr="006C7091">
        <w:t xml:space="preserve">accréditation des prestataires suscite des craintes quant à la stabilité des mécanismes de protection des </w:t>
      </w:r>
      <w:proofErr w:type="gramStart"/>
      <w:r w:rsidRPr="006C7091">
        <w:t xml:space="preserve">droits; </w:t>
      </w:r>
      <w:r>
        <w:t xml:space="preserve"> </w:t>
      </w:r>
      <w:r w:rsidRPr="006C7091">
        <w:t>l</w:t>
      </w:r>
      <w:r w:rsidR="005104A3">
        <w:t>’</w:t>
      </w:r>
      <w:r w:rsidRPr="006C7091">
        <w:t>OMPI</w:t>
      </w:r>
      <w:proofErr w:type="gramEnd"/>
      <w:r w:rsidRPr="006C7091">
        <w:t xml:space="preserve"> s</w:t>
      </w:r>
      <w:r w:rsidR="005104A3">
        <w:t>’</w:t>
      </w:r>
      <w:r w:rsidRPr="006C7091">
        <w:t xml:space="preserve">était inquiétée de cette question dès 2007, dans le cadre des principes UDRP (voir http://www.wipo.int/amc/en/docs/icann040707.pdf).  </w:t>
      </w:r>
    </w:p>
  </w:footnote>
  <w:footnote w:id="61">
    <w:p w:rsidR="00C423BD" w:rsidRPr="006C7091" w:rsidRDefault="00C423BD" w:rsidP="008E0BF9">
      <w:pPr>
        <w:pStyle w:val="FootnoteText"/>
        <w:rPr>
          <w:szCs w:val="18"/>
        </w:rPr>
      </w:pPr>
      <w:r w:rsidRPr="006C7091">
        <w:rPr>
          <w:rStyle w:val="FootnoteReference"/>
          <w:szCs w:val="18"/>
        </w:rPr>
        <w:footnoteRef/>
      </w:r>
      <w:r w:rsidRPr="006C7091">
        <w:rPr>
          <w:rStyle w:val="FootnoteReference"/>
          <w:szCs w:val="18"/>
        </w:rPr>
        <w:t xml:space="preserve"> </w:t>
      </w:r>
      <w:r w:rsidRPr="006C7091">
        <w:rPr>
          <w:szCs w:val="18"/>
        </w:rPr>
        <w:tab/>
      </w:r>
      <w:r w:rsidRPr="006C7091">
        <w:rPr>
          <w:szCs w:val="22"/>
        </w:rPr>
        <w:t>Malgré les discussions en 2011 au cours desquelles une nette majorité des participants a estimé qu</w:t>
      </w:r>
      <w:r w:rsidR="005104A3">
        <w:rPr>
          <w:szCs w:val="22"/>
        </w:rPr>
        <w:t>’</w:t>
      </w:r>
      <w:r w:rsidRPr="006C7091">
        <w:rPr>
          <w:szCs w:val="22"/>
        </w:rPr>
        <w:t>une éventuelle révision des principes UDRP effectuée par l</w:t>
      </w:r>
      <w:r w:rsidR="005104A3">
        <w:rPr>
          <w:szCs w:val="22"/>
        </w:rPr>
        <w:t>’</w:t>
      </w:r>
      <w:r w:rsidRPr="006C7091">
        <w:rPr>
          <w:szCs w:val="22"/>
        </w:rPr>
        <w:t>ICANN en tant qu</w:t>
      </w:r>
      <w:r w:rsidR="005104A3">
        <w:rPr>
          <w:szCs w:val="22"/>
        </w:rPr>
        <w:t>’</w:t>
      </w:r>
      <w:r w:rsidRPr="006C7091">
        <w:rPr>
          <w:szCs w:val="22"/>
        </w:rPr>
        <w:t xml:space="preserve">organe axé sur les enregistrements ferait davantage de mal que de bien. </w:t>
      </w:r>
      <w:r>
        <w:rPr>
          <w:szCs w:val="22"/>
        </w:rPr>
        <w:t xml:space="preserve"> </w:t>
      </w:r>
      <w:r w:rsidRPr="006C7091">
        <w:rPr>
          <w:szCs w:val="22"/>
        </w:rPr>
        <w:t>Voir</w:t>
      </w:r>
      <w:r w:rsidRPr="006C7091">
        <w:rPr>
          <w:szCs w:val="18"/>
        </w:rPr>
        <w:t xml:space="preserve"> </w:t>
      </w:r>
      <w:proofErr w:type="gramStart"/>
      <w:r w:rsidRPr="006C7091">
        <w:rPr>
          <w:szCs w:val="18"/>
        </w:rPr>
        <w:t xml:space="preserve">https://community.icann.org/display/gnsoudrpdt/Webinar+on+the+Current+State+of+the+UDRP; </w:t>
      </w:r>
      <w:r>
        <w:rPr>
          <w:szCs w:val="18"/>
        </w:rPr>
        <w:t xml:space="preserve"> </w:t>
      </w:r>
      <w:proofErr w:type="spellStart"/>
      <w:r w:rsidRPr="006C7091">
        <w:t>voir</w:t>
      </w:r>
      <w:proofErr w:type="spellEnd"/>
      <w:proofErr w:type="gramEnd"/>
      <w:r w:rsidRPr="006C7091">
        <w:t xml:space="preserve"> également de manière plus générale le paragraphe 31 du document</w:t>
      </w:r>
      <w:r>
        <w:t xml:space="preserve"> </w:t>
      </w:r>
      <w:r w:rsidRPr="006C7091">
        <w:t>WO/GA/39/10.</w:t>
      </w:r>
    </w:p>
  </w:footnote>
  <w:footnote w:id="62">
    <w:p w:rsidR="00C423BD" w:rsidRPr="006C7091" w:rsidRDefault="00C423BD" w:rsidP="008E0BF9">
      <w:pPr>
        <w:pStyle w:val="FootnoteText"/>
        <w:tabs>
          <w:tab w:val="left" w:pos="567"/>
        </w:tabs>
        <w:rPr>
          <w:szCs w:val="18"/>
        </w:rPr>
      </w:pPr>
      <w:r w:rsidRPr="006C7091">
        <w:rPr>
          <w:rStyle w:val="FootnoteReference"/>
          <w:szCs w:val="18"/>
        </w:rPr>
        <w:footnoteRef/>
      </w:r>
      <w:r w:rsidRPr="006C7091">
        <w:rPr>
          <w:szCs w:val="18"/>
        </w:rPr>
        <w:t xml:space="preserve"> </w:t>
      </w:r>
      <w:r w:rsidRPr="006C7091">
        <w:rPr>
          <w:szCs w:val="18"/>
        </w:rPr>
        <w:tab/>
        <w:t>Voir http://gnso.icann.org/en/issues/new</w:t>
      </w:r>
      <w:r w:rsidR="00921588">
        <w:rPr>
          <w:szCs w:val="18"/>
        </w:rPr>
        <w:noBreakHyphen/>
      </w:r>
      <w:r w:rsidRPr="006C7091">
        <w:rPr>
          <w:szCs w:val="18"/>
        </w:rPr>
        <w:t>gtlds/rpm</w:t>
      </w:r>
      <w:r w:rsidR="00921588">
        <w:rPr>
          <w:szCs w:val="18"/>
        </w:rPr>
        <w:noBreakHyphen/>
      </w:r>
      <w:r w:rsidRPr="006C7091">
        <w:rPr>
          <w:szCs w:val="18"/>
        </w:rPr>
        <w:t>prelim</w:t>
      </w:r>
      <w:r w:rsidR="00921588">
        <w:rPr>
          <w:szCs w:val="18"/>
        </w:rPr>
        <w:noBreakHyphen/>
      </w:r>
      <w:r w:rsidRPr="006C7091">
        <w:rPr>
          <w:szCs w:val="18"/>
        </w:rPr>
        <w:t>issue</w:t>
      </w:r>
      <w:r w:rsidR="00921588">
        <w:rPr>
          <w:szCs w:val="18"/>
        </w:rPr>
        <w:noBreakHyphen/>
      </w:r>
      <w:r w:rsidRPr="006C7091">
        <w:rPr>
          <w:szCs w:val="18"/>
        </w:rPr>
        <w:t>09oct15</w:t>
      </w:r>
      <w:r w:rsidR="00921588">
        <w:rPr>
          <w:szCs w:val="18"/>
        </w:rPr>
        <w:noBreakHyphen/>
      </w:r>
      <w:r w:rsidRPr="006C7091">
        <w:rPr>
          <w:szCs w:val="18"/>
        </w:rPr>
        <w:t>en.pdf.</w:t>
      </w:r>
    </w:p>
  </w:footnote>
  <w:footnote w:id="63">
    <w:p w:rsidR="00C423BD" w:rsidRPr="006C7091" w:rsidRDefault="00C423BD"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Voir https://gnso.icann.org/sites/default/files/file/field</w:t>
      </w:r>
      <w:r w:rsidR="00921588">
        <w:rPr>
          <w:szCs w:val="18"/>
        </w:rPr>
        <w:noBreakHyphen/>
      </w:r>
      <w:r w:rsidRPr="006C7091">
        <w:rPr>
          <w:szCs w:val="18"/>
        </w:rPr>
        <w:t>file</w:t>
      </w:r>
      <w:r w:rsidR="00921588">
        <w:rPr>
          <w:szCs w:val="18"/>
        </w:rPr>
        <w:noBreakHyphen/>
      </w:r>
      <w:r w:rsidRPr="006C7091">
        <w:rPr>
          <w:szCs w:val="18"/>
        </w:rPr>
        <w:t>attach/rpm</w:t>
      </w:r>
      <w:r w:rsidR="00921588">
        <w:rPr>
          <w:szCs w:val="18"/>
        </w:rPr>
        <w:noBreakHyphen/>
      </w:r>
      <w:r w:rsidRPr="006C7091">
        <w:rPr>
          <w:szCs w:val="18"/>
        </w:rPr>
        <w:t>phase</w:t>
      </w:r>
      <w:r w:rsidR="00921588">
        <w:rPr>
          <w:szCs w:val="18"/>
        </w:rPr>
        <w:noBreakHyphen/>
      </w:r>
      <w:r w:rsidRPr="006C7091">
        <w:rPr>
          <w:szCs w:val="18"/>
        </w:rPr>
        <w:t>1</w:t>
      </w:r>
      <w:r w:rsidR="00921588">
        <w:rPr>
          <w:szCs w:val="18"/>
        </w:rPr>
        <w:noBreakHyphen/>
      </w:r>
      <w:r w:rsidRPr="006C7091">
        <w:rPr>
          <w:szCs w:val="18"/>
        </w:rPr>
        <w:t>proposed</w:t>
      </w:r>
      <w:r w:rsidR="00921588">
        <w:rPr>
          <w:szCs w:val="18"/>
        </w:rPr>
        <w:noBreakHyphen/>
      </w:r>
      <w:r w:rsidRPr="006C7091">
        <w:rPr>
          <w:szCs w:val="18"/>
        </w:rPr>
        <w:t>24nov20</w:t>
      </w:r>
      <w:r w:rsidR="00921588">
        <w:rPr>
          <w:szCs w:val="18"/>
        </w:rPr>
        <w:noBreakHyphen/>
      </w:r>
      <w:r w:rsidRPr="006C7091">
        <w:rPr>
          <w:szCs w:val="18"/>
        </w:rPr>
        <w:t>en.pdf.</w:t>
      </w:r>
    </w:p>
  </w:footnote>
  <w:footnote w:id="64">
    <w:p w:rsidR="00C423BD" w:rsidRPr="006C7091" w:rsidRDefault="00C423BD"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Voir en particulier le chapitre</w:t>
      </w:r>
      <w:r>
        <w:rPr>
          <w:szCs w:val="18"/>
        </w:rPr>
        <w:t> </w:t>
      </w:r>
      <w:r w:rsidRPr="006C7091">
        <w:rPr>
          <w:szCs w:val="18"/>
        </w:rPr>
        <w:t xml:space="preserve">I intitulé “Description and </w:t>
      </w:r>
      <w:proofErr w:type="spellStart"/>
      <w:r w:rsidRPr="006C7091">
        <w:rPr>
          <w:szCs w:val="18"/>
        </w:rPr>
        <w:t>Explanation</w:t>
      </w:r>
      <w:proofErr w:type="spellEnd"/>
      <w:r w:rsidRPr="006C7091">
        <w:rPr>
          <w:szCs w:val="18"/>
        </w:rPr>
        <w:t>”, qui définit trois</w:t>
      </w:r>
      <w:r>
        <w:rPr>
          <w:szCs w:val="18"/>
        </w:rPr>
        <w:t> </w:t>
      </w:r>
      <w:r w:rsidRPr="006C7091">
        <w:rPr>
          <w:szCs w:val="18"/>
        </w:rPr>
        <w:t>catégories de propositions de modifications des mécanismes de protection des droits, disponible à l</w:t>
      </w:r>
      <w:r w:rsidR="005104A3">
        <w:rPr>
          <w:szCs w:val="18"/>
        </w:rPr>
        <w:t>’</w:t>
      </w:r>
      <w:r w:rsidRPr="006C7091">
        <w:rPr>
          <w:szCs w:val="18"/>
        </w:rPr>
        <w:t>adresse suivante</w:t>
      </w:r>
      <w:r w:rsidR="005104A3">
        <w:rPr>
          <w:szCs w:val="18"/>
        </w:rPr>
        <w:t> :</w:t>
      </w:r>
      <w:r w:rsidRPr="006C7091">
        <w:rPr>
          <w:szCs w:val="18"/>
        </w:rPr>
        <w:t xml:space="preserve"> https://www.icann.org/public</w:t>
      </w:r>
      <w:r w:rsidR="00921588">
        <w:rPr>
          <w:szCs w:val="18"/>
        </w:rPr>
        <w:noBreakHyphen/>
      </w:r>
      <w:r w:rsidRPr="006C7091">
        <w:rPr>
          <w:szCs w:val="18"/>
        </w:rPr>
        <w:t>comments/gnso</w:t>
      </w:r>
      <w:r w:rsidR="00921588">
        <w:rPr>
          <w:szCs w:val="18"/>
        </w:rPr>
        <w:noBreakHyphen/>
      </w:r>
      <w:r w:rsidRPr="006C7091">
        <w:rPr>
          <w:szCs w:val="18"/>
        </w:rPr>
        <w:t>rpm</w:t>
      </w:r>
      <w:r w:rsidR="00921588">
        <w:rPr>
          <w:szCs w:val="18"/>
        </w:rPr>
        <w:noBreakHyphen/>
      </w:r>
      <w:r w:rsidRPr="006C7091">
        <w:rPr>
          <w:szCs w:val="18"/>
        </w:rPr>
        <w:t>pdp</w:t>
      </w:r>
      <w:r w:rsidR="00921588">
        <w:rPr>
          <w:szCs w:val="18"/>
        </w:rPr>
        <w:noBreakHyphen/>
      </w:r>
      <w:r w:rsidRPr="006C7091">
        <w:rPr>
          <w:szCs w:val="18"/>
        </w:rPr>
        <w:t>phase</w:t>
      </w:r>
      <w:r w:rsidR="00921588">
        <w:rPr>
          <w:szCs w:val="18"/>
        </w:rPr>
        <w:noBreakHyphen/>
      </w:r>
      <w:r w:rsidRPr="006C7091">
        <w:rPr>
          <w:szCs w:val="18"/>
        </w:rPr>
        <w:t>1</w:t>
      </w:r>
      <w:r w:rsidR="00921588">
        <w:rPr>
          <w:szCs w:val="18"/>
        </w:rPr>
        <w:noBreakHyphen/>
      </w:r>
      <w:r w:rsidRPr="006C7091">
        <w:rPr>
          <w:szCs w:val="18"/>
        </w:rPr>
        <w:t>final</w:t>
      </w:r>
      <w:r w:rsidR="00921588">
        <w:rPr>
          <w:szCs w:val="18"/>
        </w:rPr>
        <w:noBreakHyphen/>
      </w:r>
      <w:r w:rsidRPr="006C7091">
        <w:rPr>
          <w:szCs w:val="18"/>
        </w:rPr>
        <w:t>recommendations</w:t>
      </w:r>
      <w:r w:rsidR="00921588">
        <w:rPr>
          <w:szCs w:val="18"/>
        </w:rPr>
        <w:noBreakHyphen/>
      </w:r>
      <w:r w:rsidRPr="006C7091">
        <w:rPr>
          <w:szCs w:val="18"/>
        </w:rPr>
        <w:t>2021</w:t>
      </w:r>
      <w:r w:rsidR="00921588">
        <w:rPr>
          <w:szCs w:val="18"/>
        </w:rPr>
        <w:noBreakHyphen/>
      </w:r>
      <w:r w:rsidRPr="006C7091">
        <w:rPr>
          <w:szCs w:val="18"/>
        </w:rPr>
        <w:t>04</w:t>
      </w:r>
      <w:r w:rsidR="00921588">
        <w:rPr>
          <w:szCs w:val="18"/>
        </w:rPr>
        <w:noBreakHyphen/>
      </w:r>
      <w:r w:rsidRPr="006C7091">
        <w:rPr>
          <w:szCs w:val="18"/>
        </w:rPr>
        <w:t>07</w:t>
      </w:r>
      <w:r w:rsidR="00921588">
        <w:rPr>
          <w:szCs w:val="18"/>
        </w:rPr>
        <w:noBreakHyphen/>
      </w:r>
      <w:r w:rsidRPr="006C7091">
        <w:rPr>
          <w:szCs w:val="18"/>
        </w:rPr>
        <w:t xml:space="preserve">en. </w:t>
      </w:r>
      <w:r>
        <w:rPr>
          <w:szCs w:val="18"/>
        </w:rPr>
        <w:t xml:space="preserve"> </w:t>
      </w:r>
    </w:p>
  </w:footnote>
  <w:footnote w:id="65">
    <w:p w:rsidR="00C9068B" w:rsidRPr="00C9068B" w:rsidRDefault="00C423BD" w:rsidP="00C9068B">
      <w:pPr>
        <w:rPr>
          <w:sz w:val="18"/>
          <w:szCs w:val="18"/>
        </w:rPr>
      </w:pPr>
      <w:r w:rsidRPr="00F1685C">
        <w:rPr>
          <w:rStyle w:val="FootnoteReference"/>
          <w:sz w:val="18"/>
          <w:szCs w:val="18"/>
        </w:rPr>
        <w:footnoteRef/>
      </w:r>
      <w:r w:rsidRPr="00F1685C">
        <w:rPr>
          <w:sz w:val="18"/>
          <w:szCs w:val="18"/>
        </w:rPr>
        <w:t xml:space="preserve"> </w:t>
      </w:r>
      <w:r w:rsidRPr="006C7091">
        <w:rPr>
          <w:szCs w:val="18"/>
        </w:rPr>
        <w:tab/>
      </w:r>
      <w:r w:rsidRPr="00C9068B">
        <w:rPr>
          <w:sz w:val="18"/>
          <w:szCs w:val="18"/>
        </w:rPr>
        <w:t xml:space="preserve">Voir </w:t>
      </w:r>
      <w:r w:rsidRPr="00F1685C">
        <w:rPr>
          <w:sz w:val="18"/>
          <w:szCs w:val="18"/>
        </w:rPr>
        <w:t>https://gnso.icann.org/en/issues/new</w:t>
      </w:r>
      <w:r w:rsidR="00921588" w:rsidRPr="00F1685C">
        <w:rPr>
          <w:sz w:val="18"/>
          <w:szCs w:val="18"/>
        </w:rPr>
        <w:noBreakHyphen/>
      </w:r>
      <w:r w:rsidRPr="00F1685C">
        <w:rPr>
          <w:sz w:val="18"/>
          <w:szCs w:val="18"/>
        </w:rPr>
        <w:t>gtlds/rpm</w:t>
      </w:r>
      <w:r w:rsidR="00921588" w:rsidRPr="00F1685C">
        <w:rPr>
          <w:sz w:val="18"/>
          <w:szCs w:val="18"/>
        </w:rPr>
        <w:noBreakHyphen/>
      </w:r>
      <w:r w:rsidRPr="00F1685C">
        <w:rPr>
          <w:sz w:val="18"/>
          <w:szCs w:val="18"/>
        </w:rPr>
        <w:t>final</w:t>
      </w:r>
      <w:r w:rsidR="00921588" w:rsidRPr="00F1685C">
        <w:rPr>
          <w:sz w:val="18"/>
          <w:szCs w:val="18"/>
        </w:rPr>
        <w:noBreakHyphen/>
      </w:r>
      <w:r w:rsidRPr="00F1685C">
        <w:rPr>
          <w:sz w:val="18"/>
          <w:szCs w:val="18"/>
        </w:rPr>
        <w:t>issue</w:t>
      </w:r>
      <w:r w:rsidR="00921588" w:rsidRPr="00F1685C">
        <w:rPr>
          <w:sz w:val="18"/>
          <w:szCs w:val="18"/>
        </w:rPr>
        <w:noBreakHyphen/>
      </w:r>
      <w:r w:rsidRPr="00F1685C">
        <w:rPr>
          <w:sz w:val="18"/>
          <w:szCs w:val="18"/>
        </w:rPr>
        <w:t>11jan16</w:t>
      </w:r>
      <w:r w:rsidR="00921588" w:rsidRPr="00F1685C">
        <w:rPr>
          <w:sz w:val="18"/>
          <w:szCs w:val="18"/>
        </w:rPr>
        <w:noBreakHyphen/>
      </w:r>
      <w:r w:rsidRPr="00F1685C">
        <w:rPr>
          <w:sz w:val="18"/>
          <w:szCs w:val="18"/>
        </w:rPr>
        <w:t>en.pdf</w:t>
      </w:r>
      <w:r w:rsidR="00C9068B" w:rsidRPr="00C9068B">
        <w:rPr>
          <w:sz w:val="18"/>
          <w:szCs w:val="18"/>
        </w:rPr>
        <w:t xml:space="preserve"> </w:t>
      </w:r>
      <w:r w:rsidR="00C9068B">
        <w:rPr>
          <w:sz w:val="18"/>
          <w:szCs w:val="18"/>
        </w:rPr>
        <w:t xml:space="preserve">et, plus récemment, </w:t>
      </w:r>
      <w:r w:rsidR="00C9068B" w:rsidRPr="00C9068B">
        <w:rPr>
          <w:sz w:val="18"/>
          <w:szCs w:val="18"/>
        </w:rPr>
        <w:t xml:space="preserve">un </w:t>
      </w:r>
      <w:r w:rsidR="00C9068B">
        <w:rPr>
          <w:sz w:val="18"/>
          <w:szCs w:val="18"/>
        </w:rPr>
        <w:t>“</w:t>
      </w:r>
      <w:r w:rsidR="00C9068B" w:rsidRPr="00C9068B">
        <w:rPr>
          <w:sz w:val="18"/>
          <w:szCs w:val="18"/>
        </w:rPr>
        <w:t>rapport sur l</w:t>
      </w:r>
      <w:r w:rsidR="005104A3">
        <w:rPr>
          <w:sz w:val="18"/>
          <w:szCs w:val="18"/>
        </w:rPr>
        <w:t>’</w:t>
      </w:r>
      <w:r w:rsidR="00C9068B" w:rsidRPr="00C9068B">
        <w:rPr>
          <w:sz w:val="18"/>
          <w:szCs w:val="18"/>
        </w:rPr>
        <w:t>état d</w:t>
      </w:r>
      <w:r w:rsidR="005104A3">
        <w:rPr>
          <w:sz w:val="18"/>
          <w:szCs w:val="18"/>
        </w:rPr>
        <w:t>’</w:t>
      </w:r>
      <w:r w:rsidR="00C9068B" w:rsidRPr="00C9068B">
        <w:rPr>
          <w:sz w:val="18"/>
          <w:szCs w:val="18"/>
        </w:rPr>
        <w:t>avancement des politiques</w:t>
      </w:r>
      <w:r w:rsidR="00C9068B">
        <w:rPr>
          <w:sz w:val="18"/>
          <w:szCs w:val="18"/>
        </w:rPr>
        <w:t>”</w:t>
      </w:r>
      <w:r w:rsidR="00C9068B" w:rsidRPr="00C9068B">
        <w:rPr>
          <w:sz w:val="18"/>
          <w:szCs w:val="18"/>
        </w:rPr>
        <w:t xml:space="preserve"> (https://www.icann.org/en/public</w:t>
      </w:r>
      <w:r w:rsidR="00921588">
        <w:rPr>
          <w:sz w:val="18"/>
          <w:szCs w:val="18"/>
        </w:rPr>
        <w:noBreakHyphen/>
      </w:r>
      <w:r w:rsidR="00C9068B" w:rsidRPr="00C9068B">
        <w:rPr>
          <w:sz w:val="18"/>
          <w:szCs w:val="18"/>
        </w:rPr>
        <w:t>comment/proceeding/policy</w:t>
      </w:r>
      <w:r w:rsidR="00921588">
        <w:rPr>
          <w:sz w:val="18"/>
          <w:szCs w:val="18"/>
        </w:rPr>
        <w:noBreakHyphen/>
      </w:r>
      <w:r w:rsidR="00C9068B" w:rsidRPr="00C9068B">
        <w:rPr>
          <w:sz w:val="18"/>
          <w:szCs w:val="18"/>
        </w:rPr>
        <w:t>status</w:t>
      </w:r>
      <w:r w:rsidR="00921588">
        <w:rPr>
          <w:sz w:val="18"/>
          <w:szCs w:val="18"/>
        </w:rPr>
        <w:noBreakHyphen/>
      </w:r>
      <w:r w:rsidR="00C9068B" w:rsidRPr="00C9068B">
        <w:rPr>
          <w:sz w:val="18"/>
          <w:szCs w:val="18"/>
        </w:rPr>
        <w:t>report</w:t>
      </w:r>
      <w:r w:rsidR="00921588">
        <w:rPr>
          <w:sz w:val="18"/>
          <w:szCs w:val="18"/>
        </w:rPr>
        <w:noBreakHyphen/>
      </w:r>
      <w:r w:rsidR="00C9068B" w:rsidRPr="00C9068B">
        <w:rPr>
          <w:sz w:val="18"/>
          <w:szCs w:val="18"/>
        </w:rPr>
        <w:t>uniform</w:t>
      </w:r>
      <w:r w:rsidR="00921588">
        <w:rPr>
          <w:sz w:val="18"/>
          <w:szCs w:val="18"/>
        </w:rPr>
        <w:noBreakHyphen/>
      </w:r>
      <w:r w:rsidR="00C9068B" w:rsidRPr="00C9068B">
        <w:rPr>
          <w:sz w:val="18"/>
          <w:szCs w:val="18"/>
        </w:rPr>
        <w:t>domain</w:t>
      </w:r>
      <w:r w:rsidR="00921588">
        <w:rPr>
          <w:sz w:val="18"/>
          <w:szCs w:val="18"/>
        </w:rPr>
        <w:noBreakHyphen/>
      </w:r>
      <w:r w:rsidR="00C9068B" w:rsidRPr="00C9068B">
        <w:rPr>
          <w:sz w:val="18"/>
          <w:szCs w:val="18"/>
        </w:rPr>
        <w:t>name</w:t>
      </w:r>
      <w:r w:rsidR="00921588">
        <w:rPr>
          <w:sz w:val="18"/>
          <w:szCs w:val="18"/>
        </w:rPr>
        <w:noBreakHyphen/>
      </w:r>
      <w:r w:rsidR="00C9068B" w:rsidRPr="00C9068B">
        <w:rPr>
          <w:sz w:val="18"/>
          <w:szCs w:val="18"/>
        </w:rPr>
        <w:t>dispute</w:t>
      </w:r>
      <w:r w:rsidR="00921588">
        <w:rPr>
          <w:sz w:val="18"/>
          <w:szCs w:val="18"/>
        </w:rPr>
        <w:noBreakHyphen/>
      </w:r>
      <w:r w:rsidR="00C9068B" w:rsidRPr="00C9068B">
        <w:rPr>
          <w:sz w:val="18"/>
          <w:szCs w:val="18"/>
        </w:rPr>
        <w:t>resolution</w:t>
      </w:r>
      <w:r w:rsidR="00921588">
        <w:rPr>
          <w:sz w:val="18"/>
          <w:szCs w:val="18"/>
        </w:rPr>
        <w:noBreakHyphen/>
      </w:r>
      <w:r w:rsidR="00C9068B" w:rsidRPr="00C9068B">
        <w:rPr>
          <w:sz w:val="18"/>
          <w:szCs w:val="18"/>
        </w:rPr>
        <w:t>policy</w:t>
      </w:r>
      <w:r w:rsidR="00921588">
        <w:rPr>
          <w:sz w:val="18"/>
          <w:szCs w:val="18"/>
        </w:rPr>
        <w:noBreakHyphen/>
      </w:r>
      <w:r w:rsidR="00C9068B" w:rsidRPr="00C9068B">
        <w:rPr>
          <w:sz w:val="18"/>
          <w:szCs w:val="18"/>
        </w:rPr>
        <w:t>udrp</w:t>
      </w:r>
      <w:r w:rsidR="00921588">
        <w:rPr>
          <w:sz w:val="18"/>
          <w:szCs w:val="18"/>
        </w:rPr>
        <w:noBreakHyphen/>
      </w:r>
      <w:r w:rsidR="00C9068B" w:rsidRPr="00C9068B">
        <w:rPr>
          <w:sz w:val="18"/>
          <w:szCs w:val="18"/>
        </w:rPr>
        <w:t>03</w:t>
      </w:r>
      <w:r w:rsidR="00921588">
        <w:rPr>
          <w:sz w:val="18"/>
          <w:szCs w:val="18"/>
        </w:rPr>
        <w:noBreakHyphen/>
      </w:r>
      <w:r w:rsidR="00C9068B" w:rsidRPr="00C9068B">
        <w:rPr>
          <w:sz w:val="18"/>
          <w:szCs w:val="18"/>
        </w:rPr>
        <w:t>03</w:t>
      </w:r>
      <w:r w:rsidR="00921588">
        <w:rPr>
          <w:sz w:val="18"/>
          <w:szCs w:val="18"/>
        </w:rPr>
        <w:noBreakHyphen/>
      </w:r>
      <w:r w:rsidR="00C9068B" w:rsidRPr="00C9068B">
        <w:rPr>
          <w:sz w:val="18"/>
          <w:szCs w:val="18"/>
        </w:rPr>
        <w:t>2022) produit par le personnel de l</w:t>
      </w:r>
      <w:r w:rsidR="005104A3">
        <w:rPr>
          <w:sz w:val="18"/>
          <w:szCs w:val="18"/>
        </w:rPr>
        <w:t>’</w:t>
      </w:r>
      <w:r w:rsidR="00C9068B" w:rsidRPr="00C9068B">
        <w:rPr>
          <w:sz w:val="18"/>
          <w:szCs w:val="18"/>
        </w:rPr>
        <w:t>ICANN et sur lequel le Centre apporte sa contribution</w:t>
      </w:r>
      <w:r w:rsidR="00C9068B" w:rsidRPr="00D6433E">
        <w:rPr>
          <w:sz w:val="18"/>
          <w:szCs w:val="18"/>
        </w:rPr>
        <w:t>.</w:t>
      </w:r>
      <w:r w:rsidRPr="001E5043">
        <w:rPr>
          <w:sz w:val="18"/>
        </w:rPr>
        <w:t xml:space="preserve"> </w:t>
      </w:r>
      <w:r w:rsidR="00C9068B" w:rsidRPr="001E5043">
        <w:rPr>
          <w:sz w:val="18"/>
        </w:rPr>
        <w:t xml:space="preserve"> </w:t>
      </w:r>
    </w:p>
  </w:footnote>
  <w:footnote w:id="66">
    <w:p w:rsidR="00C423BD" w:rsidRPr="006C7091" w:rsidRDefault="00C423BD" w:rsidP="008E0BF9">
      <w:pPr>
        <w:pStyle w:val="FootnoteText"/>
      </w:pPr>
      <w:r w:rsidRPr="006C7091">
        <w:rPr>
          <w:rStyle w:val="FootnoteReference"/>
        </w:rPr>
        <w:footnoteRef/>
      </w:r>
      <w:r w:rsidRPr="006C7091">
        <w:t xml:space="preserve"> </w:t>
      </w:r>
      <w:r w:rsidRPr="006C7091">
        <w:tab/>
        <w:t>En particulier, le nom et l</w:t>
      </w:r>
      <w:r w:rsidR="005104A3">
        <w:t>’</w:t>
      </w:r>
      <w:r w:rsidRPr="006C7091">
        <w:t>adresse électronique du détenteur de l</w:t>
      </w:r>
      <w:r w:rsidR="005104A3">
        <w:t>’</w:t>
      </w:r>
      <w:r w:rsidRPr="006C7091">
        <w:t xml:space="preserve">enregistrement ne sont dans la plupart des cas pas visibles. </w:t>
      </w:r>
      <w:r>
        <w:t xml:space="preserve"> </w:t>
      </w:r>
      <w:r w:rsidRPr="006C7091">
        <w:t>Toutefois, afin de faciliter les contacts avec le détenteur du nom de domaine, l</w:t>
      </w:r>
      <w:r w:rsidR="005104A3">
        <w:t>’</w:t>
      </w:r>
      <w:r w:rsidRPr="006C7091">
        <w:t>unité d</w:t>
      </w:r>
      <w:r w:rsidR="005104A3">
        <w:t>’</w:t>
      </w:r>
      <w:r w:rsidRPr="006C7091">
        <w:t>enregistrement doit fournir une adresse électronique ou un formulaire de contact en ligne anonymes.</w:t>
      </w:r>
    </w:p>
  </w:footnote>
  <w:footnote w:id="67">
    <w:p w:rsidR="00C423BD" w:rsidRPr="006C7091" w:rsidRDefault="00C423BD"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La “Spécification temporaire [de contrat]” de l</w:t>
      </w:r>
      <w:r w:rsidR="005104A3">
        <w:rPr>
          <w:szCs w:val="18"/>
        </w:rPr>
        <w:t>’</w:t>
      </w:r>
      <w:r w:rsidRPr="006C7091">
        <w:rPr>
          <w:szCs w:val="18"/>
        </w:rPr>
        <w:t>ICANN pour les données d</w:t>
      </w:r>
      <w:r w:rsidR="005104A3">
        <w:rPr>
          <w:szCs w:val="18"/>
        </w:rPr>
        <w:t>’</w:t>
      </w:r>
      <w:r w:rsidRPr="006C7091">
        <w:rPr>
          <w:szCs w:val="18"/>
        </w:rPr>
        <w:t xml:space="preserve">enregistrement dans les </w:t>
      </w:r>
      <w:proofErr w:type="spellStart"/>
      <w:r w:rsidRPr="006C7091">
        <w:rPr>
          <w:szCs w:val="18"/>
        </w:rPr>
        <w:t>gTLD</w:t>
      </w:r>
      <w:proofErr w:type="spellEnd"/>
      <w:r w:rsidRPr="006C7091">
        <w:rPr>
          <w:szCs w:val="18"/>
        </w:rPr>
        <w:t xml:space="preserve"> indique expressément que les unités d</w:t>
      </w:r>
      <w:r w:rsidR="005104A3">
        <w:rPr>
          <w:szCs w:val="18"/>
        </w:rPr>
        <w:t>’</w:t>
      </w:r>
      <w:r w:rsidRPr="006C7091">
        <w:rPr>
          <w:szCs w:val="18"/>
        </w:rPr>
        <w:t>enregistrement doivent fournir les “données d</w:t>
      </w:r>
      <w:r w:rsidR="005104A3">
        <w:rPr>
          <w:szCs w:val="18"/>
        </w:rPr>
        <w:t>’</w:t>
      </w:r>
      <w:r w:rsidRPr="006C7091">
        <w:rPr>
          <w:szCs w:val="18"/>
        </w:rPr>
        <w:t xml:space="preserve">enregistrement” intégrales aux prestataires de services UDRP. </w:t>
      </w:r>
      <w:r>
        <w:rPr>
          <w:szCs w:val="18"/>
        </w:rPr>
        <w:t xml:space="preserve"> </w:t>
      </w:r>
      <w:r w:rsidRPr="006C7091">
        <w:rPr>
          <w:szCs w:val="18"/>
        </w:rPr>
        <w:t>Cela semble être basé sur la reconnaissance du fait que les prestataires de services UDRP satisfont aux critères d</w:t>
      </w:r>
      <w:r w:rsidR="005104A3">
        <w:rPr>
          <w:szCs w:val="18"/>
        </w:rPr>
        <w:t>’</w:t>
      </w:r>
      <w:r w:rsidRPr="006C7091">
        <w:rPr>
          <w:szCs w:val="18"/>
        </w:rPr>
        <w:t>“intérêt légitime” visé à l</w:t>
      </w:r>
      <w:r w:rsidR="005104A3">
        <w:rPr>
          <w:szCs w:val="18"/>
        </w:rPr>
        <w:t>’</w:t>
      </w:r>
      <w:r w:rsidRPr="006C7091">
        <w:rPr>
          <w:szCs w:val="18"/>
        </w:rPr>
        <w:t>article</w:t>
      </w:r>
      <w:r>
        <w:rPr>
          <w:szCs w:val="18"/>
        </w:rPr>
        <w:t> </w:t>
      </w:r>
      <w:proofErr w:type="gramStart"/>
      <w:r w:rsidRPr="006C7091">
        <w:rPr>
          <w:szCs w:val="18"/>
        </w:rPr>
        <w:t>6.1)f</w:t>
      </w:r>
      <w:proofErr w:type="gramEnd"/>
      <w:r w:rsidRPr="006C7091">
        <w:rPr>
          <w:szCs w:val="18"/>
        </w:rPr>
        <w:t>) et d</w:t>
      </w:r>
      <w:r w:rsidR="005104A3">
        <w:rPr>
          <w:szCs w:val="18"/>
        </w:rPr>
        <w:t>’</w:t>
      </w:r>
      <w:r w:rsidRPr="006C7091">
        <w:rPr>
          <w:szCs w:val="18"/>
        </w:rPr>
        <w:t>“exécution d</w:t>
      </w:r>
      <w:r w:rsidR="005104A3">
        <w:rPr>
          <w:szCs w:val="18"/>
        </w:rPr>
        <w:t>’</w:t>
      </w:r>
      <w:r w:rsidRPr="006C7091">
        <w:rPr>
          <w:szCs w:val="18"/>
        </w:rPr>
        <w:t>un contrat” visé à l</w:t>
      </w:r>
      <w:r w:rsidR="005104A3">
        <w:rPr>
          <w:szCs w:val="18"/>
        </w:rPr>
        <w:t>’</w:t>
      </w:r>
      <w:r w:rsidRPr="006C7091">
        <w:rPr>
          <w:szCs w:val="18"/>
        </w:rPr>
        <w:t>article</w:t>
      </w:r>
      <w:r>
        <w:rPr>
          <w:szCs w:val="18"/>
        </w:rPr>
        <w:t> </w:t>
      </w:r>
      <w:r w:rsidRPr="006C7091">
        <w:rPr>
          <w:szCs w:val="18"/>
        </w:rPr>
        <w:t>6.1)b) du</w:t>
      </w:r>
      <w:r>
        <w:rPr>
          <w:szCs w:val="18"/>
        </w:rPr>
        <w:t> </w:t>
      </w:r>
      <w:r w:rsidRPr="006C7091">
        <w:rPr>
          <w:szCs w:val="18"/>
        </w:rPr>
        <w:t>RGPD, en foi de quoi les unités d</w:t>
      </w:r>
      <w:r w:rsidR="005104A3">
        <w:rPr>
          <w:szCs w:val="18"/>
        </w:rPr>
        <w:t>’</w:t>
      </w:r>
      <w:r w:rsidRPr="006C7091">
        <w:rPr>
          <w:szCs w:val="18"/>
        </w:rPr>
        <w:t>enregistrement peuvent et doivent leur fournir les données de répertoire.</w:t>
      </w:r>
    </w:p>
  </w:footnote>
  <w:footnote w:id="68">
    <w:p w:rsidR="00C423BD" w:rsidRPr="006C7091" w:rsidRDefault="00C423BD" w:rsidP="008E0BF9">
      <w:pPr>
        <w:pStyle w:val="FootnoteText"/>
      </w:pPr>
      <w:r w:rsidRPr="006C7091">
        <w:rPr>
          <w:rStyle w:val="FootnoteReference"/>
        </w:rPr>
        <w:footnoteRef/>
      </w:r>
      <w:r w:rsidRPr="006C7091">
        <w:t xml:space="preserve"> </w:t>
      </w:r>
      <w:r w:rsidRPr="006C7091">
        <w:tab/>
        <w:t>Voir https://www.icann.org/en/system/files/files/framework</w:t>
      </w:r>
      <w:r w:rsidR="00921588">
        <w:noBreakHyphen/>
      </w:r>
      <w:r w:rsidRPr="006C7091">
        <w:t>elements</w:t>
      </w:r>
      <w:r w:rsidR="00921588">
        <w:noBreakHyphen/>
      </w:r>
      <w:r w:rsidRPr="006C7091">
        <w:t>unified</w:t>
      </w:r>
      <w:r w:rsidR="00921588">
        <w:noBreakHyphen/>
      </w:r>
      <w:r w:rsidRPr="006C7091">
        <w:t>access</w:t>
      </w:r>
      <w:r w:rsidR="00921588">
        <w:noBreakHyphen/>
      </w:r>
      <w:r w:rsidRPr="006C7091">
        <w:t>model</w:t>
      </w:r>
      <w:r w:rsidR="00921588">
        <w:noBreakHyphen/>
      </w:r>
      <w:r w:rsidRPr="006C7091">
        <w:t>for</w:t>
      </w:r>
      <w:r w:rsidR="00921588">
        <w:noBreakHyphen/>
      </w:r>
      <w:r w:rsidRPr="006C7091">
        <w:t>discussion</w:t>
      </w:r>
      <w:r w:rsidR="00921588">
        <w:noBreakHyphen/>
      </w:r>
      <w:r w:rsidRPr="006C7091">
        <w:t>18jun18</w:t>
      </w:r>
      <w:r w:rsidR="00921588">
        <w:noBreakHyphen/>
      </w:r>
      <w:r w:rsidRPr="006C7091">
        <w:t xml:space="preserve">en.pdf. </w:t>
      </w:r>
      <w:r>
        <w:t xml:space="preserve"> </w:t>
      </w:r>
    </w:p>
  </w:footnote>
  <w:footnote w:id="69">
    <w:p w:rsidR="00C423BD" w:rsidRPr="006C7091" w:rsidRDefault="00C423BD" w:rsidP="008E0BF9">
      <w:pPr>
        <w:pStyle w:val="FootnoteText"/>
      </w:pPr>
      <w:r w:rsidRPr="006C7091">
        <w:rPr>
          <w:rStyle w:val="FootnoteReference"/>
        </w:rPr>
        <w:footnoteRef/>
      </w:r>
      <w:r w:rsidRPr="006C7091">
        <w:t xml:space="preserve"> </w:t>
      </w:r>
      <w:r w:rsidRPr="006C7091">
        <w:tab/>
        <w:t>Voir l</w:t>
      </w:r>
      <w:r w:rsidR="005104A3">
        <w:t>’</w:t>
      </w:r>
      <w:r w:rsidRPr="006C7091">
        <w:t>article relatif à l</w:t>
      </w:r>
      <w:r w:rsidR="005104A3">
        <w:t>’</w:t>
      </w:r>
      <w:r w:rsidRPr="006C7091">
        <w:t>adoption par le Conseil de la</w:t>
      </w:r>
      <w:r>
        <w:t> </w:t>
      </w:r>
      <w:r w:rsidRPr="006C7091">
        <w:t>GNSO du rapport final de l</w:t>
      </w:r>
      <w:r w:rsidR="005104A3">
        <w:t>’</w:t>
      </w:r>
      <w:r w:rsidRPr="006C7091">
        <w:t>étape</w:t>
      </w:r>
      <w:r w:rsidR="001E5043">
        <w:t> </w:t>
      </w:r>
      <w:r w:rsidRPr="006C7091">
        <w:t>1 établi par l</w:t>
      </w:r>
      <w:r w:rsidR="005104A3">
        <w:t>’</w:t>
      </w:r>
      <w:r w:rsidRPr="006C7091">
        <w:t>équipe responsable du processus accéléré d</w:t>
      </w:r>
      <w:r w:rsidR="005104A3">
        <w:t>’</w:t>
      </w:r>
      <w:r w:rsidRPr="006C7091">
        <w:t>élaboration de politiques (EPDP) sur la spécification temporaire relative aux données d</w:t>
      </w:r>
      <w:r w:rsidR="005104A3">
        <w:t>’</w:t>
      </w:r>
      <w:r w:rsidRPr="006C7091">
        <w:t xml:space="preserve">enregistrement des </w:t>
      </w:r>
      <w:proofErr w:type="spellStart"/>
      <w:r w:rsidRPr="006C7091">
        <w:t>gTLD</w:t>
      </w:r>
      <w:proofErr w:type="spellEnd"/>
      <w:r w:rsidRPr="006C7091">
        <w:t>, à l</w:t>
      </w:r>
      <w:r w:rsidR="005104A3">
        <w:t>’</w:t>
      </w:r>
      <w:r w:rsidRPr="006C7091">
        <w:t>adresse suivante</w:t>
      </w:r>
      <w:r w:rsidR="005104A3">
        <w:t> :</w:t>
      </w:r>
      <w:r w:rsidRPr="006C7091">
        <w:t xml:space="preserve"> https://www.icann.org/fr/announcements/details/gnso</w:t>
      </w:r>
      <w:r w:rsidR="00921588">
        <w:noBreakHyphen/>
      </w:r>
      <w:r w:rsidRPr="006C7091">
        <w:t>council</w:t>
      </w:r>
      <w:r w:rsidR="00921588">
        <w:noBreakHyphen/>
      </w:r>
      <w:r w:rsidRPr="006C7091">
        <w:t>adopts</w:t>
      </w:r>
      <w:r w:rsidR="00921588">
        <w:noBreakHyphen/>
      </w:r>
      <w:r w:rsidRPr="006C7091">
        <w:t>epdp</w:t>
      </w:r>
      <w:r w:rsidR="00921588">
        <w:noBreakHyphen/>
      </w:r>
      <w:r w:rsidRPr="006C7091">
        <w:t>final</w:t>
      </w:r>
      <w:r w:rsidR="00921588">
        <w:noBreakHyphen/>
      </w:r>
      <w:r w:rsidRPr="006C7091">
        <w:t>report</w:t>
      </w:r>
      <w:r w:rsidR="00921588">
        <w:noBreakHyphen/>
      </w:r>
      <w:r w:rsidRPr="006C7091">
        <w:t>on</w:t>
      </w:r>
      <w:r w:rsidR="00921588">
        <w:noBreakHyphen/>
      </w:r>
      <w:r w:rsidRPr="006C7091">
        <w:t>the</w:t>
      </w:r>
      <w:r w:rsidR="00921588">
        <w:noBreakHyphen/>
      </w:r>
      <w:r w:rsidRPr="006C7091">
        <w:t>temporary</w:t>
      </w:r>
      <w:r w:rsidR="00921588">
        <w:noBreakHyphen/>
      </w:r>
      <w:r w:rsidRPr="006C7091">
        <w:t>specification</w:t>
      </w:r>
      <w:r w:rsidR="00921588">
        <w:noBreakHyphen/>
      </w:r>
      <w:r w:rsidRPr="006C7091">
        <w:t>for</w:t>
      </w:r>
      <w:r w:rsidR="00921588">
        <w:noBreakHyphen/>
      </w:r>
      <w:r w:rsidRPr="006C7091">
        <w:t>gtld</w:t>
      </w:r>
      <w:r w:rsidR="00921588">
        <w:noBreakHyphen/>
      </w:r>
      <w:r w:rsidRPr="006C7091">
        <w:t>registration</w:t>
      </w:r>
      <w:r w:rsidR="00921588">
        <w:noBreakHyphen/>
      </w:r>
      <w:r w:rsidRPr="006C7091">
        <w:t>data</w:t>
      </w:r>
      <w:r w:rsidR="00921588">
        <w:noBreakHyphen/>
      </w:r>
      <w:r w:rsidRPr="006C7091">
        <w:t>4</w:t>
      </w:r>
      <w:r w:rsidR="00921588">
        <w:noBreakHyphen/>
      </w:r>
      <w:r w:rsidRPr="006C7091">
        <w:t>3</w:t>
      </w:r>
      <w:r w:rsidR="00921588">
        <w:noBreakHyphen/>
      </w:r>
      <w:r w:rsidRPr="006C7091">
        <w:t>2019</w:t>
      </w:r>
      <w:r w:rsidR="00921588">
        <w:noBreakHyphen/>
      </w:r>
      <w:r w:rsidRPr="006C7091">
        <w:t>fr, et le rapport final de l</w:t>
      </w:r>
      <w:r w:rsidR="005104A3">
        <w:t>’</w:t>
      </w:r>
      <w:r w:rsidRPr="006C7091">
        <w:t>étape</w:t>
      </w:r>
      <w:r w:rsidR="001E5043">
        <w:t> </w:t>
      </w:r>
      <w:r w:rsidRPr="006C7091">
        <w:t>2, à l</w:t>
      </w:r>
      <w:r w:rsidR="005104A3">
        <w:t>’</w:t>
      </w:r>
      <w:r w:rsidRPr="006C7091">
        <w:t>adresse suivante</w:t>
      </w:r>
      <w:r w:rsidR="005104A3">
        <w:t> :</w:t>
      </w:r>
      <w:r w:rsidRPr="006C7091">
        <w:t xml:space="preserve"> https://www.icann.org/fr/blogs/details/epdp</w:t>
      </w:r>
      <w:r w:rsidR="00921588">
        <w:noBreakHyphen/>
      </w:r>
      <w:r w:rsidRPr="006C7091">
        <w:t>phase</w:t>
      </w:r>
      <w:r w:rsidR="00921588">
        <w:noBreakHyphen/>
      </w:r>
      <w:r w:rsidRPr="006C7091">
        <w:t>2</w:t>
      </w:r>
      <w:r w:rsidR="00921588">
        <w:noBreakHyphen/>
      </w:r>
      <w:r w:rsidRPr="006C7091">
        <w:t>team</w:t>
      </w:r>
      <w:r w:rsidR="00921588">
        <w:noBreakHyphen/>
      </w:r>
      <w:r w:rsidRPr="006C7091">
        <w:t>publishes</w:t>
      </w:r>
      <w:r w:rsidR="00921588">
        <w:noBreakHyphen/>
      </w:r>
      <w:r w:rsidRPr="006C7091">
        <w:t>final</w:t>
      </w:r>
      <w:r w:rsidR="00921588">
        <w:noBreakHyphen/>
      </w:r>
      <w:r w:rsidRPr="006C7091">
        <w:t>report</w:t>
      </w:r>
      <w:r w:rsidR="00921588">
        <w:noBreakHyphen/>
      </w:r>
      <w:r w:rsidRPr="006C7091">
        <w:t>10</w:t>
      </w:r>
      <w:r w:rsidR="00921588">
        <w:noBreakHyphen/>
      </w:r>
      <w:r w:rsidRPr="006C7091">
        <w:t>8</w:t>
      </w:r>
      <w:r w:rsidR="00921588">
        <w:noBreakHyphen/>
      </w:r>
      <w:r w:rsidRPr="006C7091">
        <w:t>2020</w:t>
      </w:r>
      <w:r w:rsidR="00921588">
        <w:noBreakHyphen/>
      </w:r>
      <w:r w:rsidRPr="006C7091">
        <w:t>fr.  Plusieurs questions précises restées sans réponse seront traitées dans le cadre d</w:t>
      </w:r>
      <w:r w:rsidR="005104A3">
        <w:t>’</w:t>
      </w:r>
      <w:r w:rsidRPr="006C7091">
        <w:t xml:space="preserve">une </w:t>
      </w:r>
      <w:r>
        <w:t>“</w:t>
      </w:r>
      <w:r w:rsidRPr="006C7091">
        <w:t>étape 2a</w:t>
      </w:r>
      <w:r>
        <w:t>”</w:t>
      </w:r>
      <w:r w:rsidRPr="006C7091">
        <w:t>, voir par exemple https://www.icann.org/fr/announcements/details/call</w:t>
      </w:r>
      <w:r w:rsidR="00921588">
        <w:noBreakHyphen/>
      </w:r>
      <w:r w:rsidRPr="006C7091">
        <w:t>for</w:t>
      </w:r>
      <w:r w:rsidR="00921588">
        <w:noBreakHyphen/>
      </w:r>
      <w:r w:rsidRPr="006C7091">
        <w:t>expressions</w:t>
      </w:r>
      <w:r w:rsidR="00921588">
        <w:noBreakHyphen/>
      </w:r>
      <w:r w:rsidRPr="006C7091">
        <w:t>of</w:t>
      </w:r>
      <w:r w:rsidR="00921588">
        <w:noBreakHyphen/>
      </w:r>
      <w:r w:rsidRPr="006C7091">
        <w:t>interest</w:t>
      </w:r>
      <w:r w:rsidR="00921588">
        <w:noBreakHyphen/>
      </w:r>
      <w:r w:rsidRPr="006C7091">
        <w:t>chair</w:t>
      </w:r>
      <w:r w:rsidR="00921588">
        <w:noBreakHyphen/>
      </w:r>
      <w:r w:rsidRPr="006C7091">
        <w:t>of</w:t>
      </w:r>
      <w:r w:rsidR="00921588">
        <w:noBreakHyphen/>
      </w:r>
      <w:r w:rsidRPr="006C7091">
        <w:t>phase</w:t>
      </w:r>
      <w:r w:rsidR="00921588">
        <w:noBreakHyphen/>
      </w:r>
      <w:r w:rsidRPr="006C7091">
        <w:t>2a</w:t>
      </w:r>
      <w:r w:rsidR="00921588">
        <w:noBreakHyphen/>
      </w:r>
      <w:r w:rsidRPr="006C7091">
        <w:t>gnso</w:t>
      </w:r>
      <w:r w:rsidR="00921588">
        <w:noBreakHyphen/>
      </w:r>
      <w:r w:rsidRPr="006C7091">
        <w:t>epdp</w:t>
      </w:r>
      <w:r w:rsidR="00921588">
        <w:noBreakHyphen/>
      </w:r>
      <w:r w:rsidRPr="006C7091">
        <w:t>on</w:t>
      </w:r>
      <w:r w:rsidR="00921588">
        <w:noBreakHyphen/>
      </w:r>
      <w:r w:rsidRPr="006C7091">
        <w:t>the</w:t>
      </w:r>
      <w:r w:rsidR="00921588">
        <w:noBreakHyphen/>
      </w:r>
      <w:r w:rsidRPr="006C7091">
        <w:t>temporary</w:t>
      </w:r>
      <w:r w:rsidR="00921588">
        <w:noBreakHyphen/>
      </w:r>
      <w:r w:rsidRPr="006C7091">
        <w:t>specification</w:t>
      </w:r>
      <w:r w:rsidR="00921588">
        <w:noBreakHyphen/>
      </w:r>
      <w:r w:rsidRPr="006C7091">
        <w:t>for</w:t>
      </w:r>
      <w:r w:rsidR="00921588">
        <w:noBreakHyphen/>
      </w:r>
      <w:r w:rsidRPr="006C7091">
        <w:t>gtld</w:t>
      </w:r>
      <w:r w:rsidR="00921588">
        <w:noBreakHyphen/>
      </w:r>
      <w:r w:rsidRPr="006C7091">
        <w:t>registration</w:t>
      </w:r>
      <w:r w:rsidR="00921588">
        <w:noBreakHyphen/>
      </w:r>
      <w:r w:rsidRPr="006C7091">
        <w:t>data</w:t>
      </w:r>
      <w:r w:rsidR="00921588">
        <w:noBreakHyphen/>
      </w:r>
      <w:r w:rsidRPr="006C7091">
        <w:t>4</w:t>
      </w:r>
      <w:r w:rsidR="00921588">
        <w:noBreakHyphen/>
      </w:r>
      <w:r w:rsidRPr="006C7091">
        <w:t>11</w:t>
      </w:r>
      <w:r w:rsidR="00921588">
        <w:noBreakHyphen/>
      </w:r>
      <w:r w:rsidRPr="006C7091">
        <w:t>2020</w:t>
      </w:r>
      <w:r w:rsidR="00921588">
        <w:noBreakHyphen/>
      </w:r>
      <w:r w:rsidRPr="006C7091">
        <w:t>fr.</w:t>
      </w:r>
    </w:p>
  </w:footnote>
  <w:footnote w:id="70">
    <w:p w:rsidR="00C423BD" w:rsidRPr="006C7091" w:rsidRDefault="00C423BD" w:rsidP="008E0BF9">
      <w:pPr>
        <w:pStyle w:val="FootnoteText"/>
      </w:pPr>
      <w:r w:rsidRPr="006C7091">
        <w:rPr>
          <w:rStyle w:val="FootnoteReference"/>
        </w:rPr>
        <w:footnoteRef/>
      </w:r>
      <w:r w:rsidRPr="006C7091">
        <w:t xml:space="preserve"> </w:t>
      </w:r>
      <w:r w:rsidRPr="006C7091">
        <w:tab/>
        <w:t>Voir également le plan final de l</w:t>
      </w:r>
      <w:r w:rsidR="005104A3">
        <w:t>’</w:t>
      </w:r>
      <w:r w:rsidRPr="006C7091">
        <w:t>ICANN pour la mise en œuvre d</w:t>
      </w:r>
      <w:r w:rsidR="005104A3">
        <w:t>’</w:t>
      </w:r>
      <w:r w:rsidRPr="006C7091">
        <w:t>un processus accéléré d</w:t>
      </w:r>
      <w:r w:rsidR="005104A3">
        <w:t>’</w:t>
      </w:r>
      <w:r w:rsidRPr="006C7091">
        <w:t xml:space="preserve">établissement de noms de </w:t>
      </w:r>
      <w:proofErr w:type="spellStart"/>
      <w:r w:rsidRPr="006C7091">
        <w:t>ccTLD</w:t>
      </w:r>
      <w:proofErr w:type="spellEnd"/>
      <w:r w:rsidRPr="006C7091">
        <w:t xml:space="preserve"> internationalisés publié en novembre</w:t>
      </w:r>
      <w:r>
        <w:t> </w:t>
      </w:r>
      <w:r w:rsidRPr="006C7091">
        <w:t>2009 (voir http://www.icann.org/en/topics/idn/fast</w:t>
      </w:r>
      <w:r w:rsidR="00921588">
        <w:noBreakHyphen/>
      </w:r>
      <w:r w:rsidRPr="006C7091">
        <w:t>track/idncctld</w:t>
      </w:r>
      <w:r w:rsidR="00921588">
        <w:noBreakHyphen/>
      </w:r>
      <w:r w:rsidRPr="006C7091">
        <w:t>implementation</w:t>
      </w:r>
      <w:r w:rsidR="00921588">
        <w:noBreakHyphen/>
      </w:r>
      <w:r w:rsidRPr="006C7091">
        <w:t>plan</w:t>
      </w:r>
      <w:r w:rsidR="00921588">
        <w:noBreakHyphen/>
      </w:r>
      <w:r w:rsidRPr="006C7091">
        <w:t>16nov09</w:t>
      </w:r>
      <w:r w:rsidR="00921588">
        <w:noBreakHyphen/>
      </w:r>
      <w:r w:rsidRPr="006C7091">
        <w:t xml:space="preserve">en.pdf). </w:t>
      </w:r>
      <w:r>
        <w:t xml:space="preserve"> </w:t>
      </w:r>
      <w:r w:rsidRPr="006C7091">
        <w:t>Depuis lors, cette procédure a permis d</w:t>
      </w:r>
      <w:r w:rsidR="005104A3">
        <w:t>’</w:t>
      </w:r>
      <w:r w:rsidRPr="006C7091">
        <w:t xml:space="preserve">introduire plusieurs </w:t>
      </w:r>
      <w:proofErr w:type="spellStart"/>
      <w:r w:rsidRPr="006C7091">
        <w:t>ccTLD</w:t>
      </w:r>
      <w:proofErr w:type="spellEnd"/>
      <w:r w:rsidRPr="006C7091">
        <w:t xml:space="preserve"> internationalisés associés aux codes à deux</w:t>
      </w:r>
      <w:r>
        <w:t> </w:t>
      </w:r>
      <w:r w:rsidRPr="006C7091">
        <w:t>lettres figurant dans la norme</w:t>
      </w:r>
      <w:r>
        <w:t> </w:t>
      </w:r>
      <w:r w:rsidRPr="006C7091">
        <w:t>ISO</w:t>
      </w:r>
      <w:r w:rsidR="001E5043">
        <w:t> </w:t>
      </w:r>
      <w:r w:rsidRPr="006C7091">
        <w:t>3166</w:t>
      </w:r>
      <w:r w:rsidR="00921588">
        <w:noBreakHyphen/>
      </w:r>
      <w:r w:rsidRPr="006C7091">
        <w:t xml:space="preserve">1 (voir http://www.iso.org/iso/english_country_names_and_code_elements).  </w:t>
      </w:r>
    </w:p>
  </w:footnote>
  <w:footnote w:id="71">
    <w:p w:rsidR="00C423BD" w:rsidRPr="006C7091" w:rsidRDefault="00C423BD" w:rsidP="008E0BF9">
      <w:pPr>
        <w:pStyle w:val="FootnoteText"/>
      </w:pPr>
      <w:r w:rsidRPr="006C7091">
        <w:rPr>
          <w:rStyle w:val="FootnoteReference"/>
        </w:rPr>
        <w:footnoteRef/>
      </w:r>
      <w:r w:rsidRPr="006C7091">
        <w:t xml:space="preserve"> </w:t>
      </w:r>
      <w:r w:rsidRPr="006C7091">
        <w:tab/>
        <w:t xml:space="preserve">Voir </w:t>
      </w:r>
      <w:proofErr w:type="gramStart"/>
      <w:r w:rsidRPr="006C7091">
        <w:t>http://www.wipo.int/edocs/mdocs/govbody/fr/wo_ga_28/wo_ga_28_3.pdf;</w:t>
      </w:r>
      <w:r>
        <w:t xml:space="preserve"> </w:t>
      </w:r>
      <w:r w:rsidRPr="006C7091">
        <w:t xml:space="preserve"> </w:t>
      </w:r>
      <w:proofErr w:type="spellStart"/>
      <w:r w:rsidRPr="006C7091">
        <w:t>voir</w:t>
      </w:r>
      <w:proofErr w:type="spellEnd"/>
      <w:proofErr w:type="gramEnd"/>
      <w:r w:rsidRPr="006C7091">
        <w:t xml:space="preserve"> également les paragraphes</w:t>
      </w:r>
      <w:r>
        <w:t> </w:t>
      </w:r>
      <w:r w:rsidRPr="006C7091">
        <w:t>6 à 11 du document SCT/9/8, et le paragraphe</w:t>
      </w:r>
      <w:r>
        <w:t> </w:t>
      </w:r>
      <w:r w:rsidRPr="006C7091">
        <w:t xml:space="preserve">149 du document SCT/9/9. </w:t>
      </w:r>
      <w:r>
        <w:t xml:space="preserve"> </w:t>
      </w:r>
      <w:r w:rsidRPr="006C7091">
        <w:t>Le Secrétariat de l</w:t>
      </w:r>
      <w:r w:rsidR="005104A3">
        <w:t>’</w:t>
      </w:r>
      <w:r w:rsidRPr="006C7091">
        <w:t>OMPI a transmis ces recommandations à l</w:t>
      </w:r>
      <w:r w:rsidR="005104A3">
        <w:t>’</w:t>
      </w:r>
      <w:r w:rsidRPr="006C7091">
        <w:t xml:space="preserve">ICANN. </w:t>
      </w:r>
      <w:r>
        <w:t xml:space="preserve"> </w:t>
      </w:r>
      <w:r w:rsidRPr="006C7091">
        <w:t>Voir http://www.wipo.int/amc/fr/docs/wipo.doc.</w:t>
      </w:r>
    </w:p>
  </w:footnote>
  <w:footnote w:id="72">
    <w:p w:rsidR="00C423BD" w:rsidRPr="006C7091" w:rsidRDefault="00C423BD" w:rsidP="008E0BF9">
      <w:pPr>
        <w:pStyle w:val="FootnoteText"/>
      </w:pPr>
      <w:r w:rsidRPr="006C7091">
        <w:rPr>
          <w:rStyle w:val="FootnoteReference"/>
        </w:rPr>
        <w:footnoteRef/>
      </w:r>
      <w:r w:rsidRPr="006C7091">
        <w:t xml:space="preserve"> </w:t>
      </w:r>
      <w:r w:rsidRPr="006C7091">
        <w:tab/>
        <w:t>Voir https://www.wipo.int/about</w:t>
      </w:r>
      <w:r w:rsidR="00921588">
        <w:noBreakHyphen/>
      </w:r>
      <w:proofErr w:type="gramStart"/>
      <w:r w:rsidRPr="006C7091">
        <w:t>wipo/fr/assemblies/2021/a_62/doc_details.jsp?doc</w:t>
      </w:r>
      <w:proofErr w:type="gramEnd"/>
      <w:r w:rsidRPr="006C7091">
        <w:t>_id=507114, paragraphes 44 à 51.</w:t>
      </w:r>
    </w:p>
  </w:footnote>
  <w:footnote w:id="73">
    <w:p w:rsidR="00C423BD" w:rsidRPr="006C7091" w:rsidRDefault="00C423BD" w:rsidP="008E0BF9">
      <w:pPr>
        <w:pStyle w:val="FootnoteText"/>
      </w:pPr>
      <w:r w:rsidRPr="006C7091">
        <w:rPr>
          <w:rStyle w:val="FootnoteReference"/>
        </w:rPr>
        <w:footnoteRef/>
      </w:r>
      <w:r w:rsidRPr="006C7091">
        <w:t xml:space="preserve"> </w:t>
      </w:r>
      <w:r w:rsidRPr="006C7091">
        <w:tab/>
        <w:t>Voir https://gnso.icann.org/en/council/resolutions#201905.</w:t>
      </w:r>
    </w:p>
  </w:footnote>
  <w:footnote w:id="74">
    <w:p w:rsidR="00C423BD" w:rsidRPr="006C7091" w:rsidRDefault="00C423BD" w:rsidP="008E0BF9">
      <w:pPr>
        <w:pStyle w:val="FootnoteText"/>
      </w:pPr>
      <w:r w:rsidRPr="006C7091">
        <w:rPr>
          <w:rStyle w:val="FootnoteReference"/>
        </w:rPr>
        <w:footnoteRef/>
      </w:r>
      <w:r w:rsidRPr="006C7091">
        <w:t xml:space="preserve"> </w:t>
      </w:r>
      <w:r w:rsidRPr="006C7091">
        <w:tab/>
        <w:t>Voir https://www.icann.org/en/system/files/correspondence/botterman</w:t>
      </w:r>
      <w:r w:rsidR="00921588">
        <w:noBreakHyphen/>
      </w:r>
      <w:r w:rsidRPr="006C7091">
        <w:t>to</w:t>
      </w:r>
      <w:r w:rsidR="00921588">
        <w:noBreakHyphen/>
      </w:r>
      <w:r w:rsidRPr="006C7091">
        <w:t>ismail</w:t>
      </w:r>
      <w:r w:rsidR="00921588">
        <w:noBreakHyphen/>
      </w:r>
      <w:r w:rsidRPr="006C7091">
        <w:t>23feb21</w:t>
      </w:r>
      <w:r w:rsidR="00921588">
        <w:noBreakHyphen/>
      </w:r>
      <w:r w:rsidRPr="006C7091">
        <w:t>en.pdf.</w:t>
      </w:r>
    </w:p>
  </w:footnote>
  <w:footnote w:id="75">
    <w:p w:rsidR="00C423BD" w:rsidRPr="006C7091" w:rsidRDefault="00C423BD" w:rsidP="008E0BF9">
      <w:pPr>
        <w:pStyle w:val="FootnoteText"/>
      </w:pPr>
      <w:r w:rsidRPr="006C7091">
        <w:rPr>
          <w:rStyle w:val="FootnoteReference"/>
        </w:rPr>
        <w:footnoteRef/>
      </w:r>
      <w:r w:rsidRPr="006C7091">
        <w:t xml:space="preserve"> </w:t>
      </w:r>
      <w:r w:rsidRPr="006C7091">
        <w:tab/>
        <w:t>Voir https://www.icann.org/en/system/files/files/resolutions</w:t>
      </w:r>
      <w:r w:rsidR="00921588">
        <w:noBreakHyphen/>
      </w:r>
      <w:r w:rsidRPr="006C7091">
        <w:t>abudhabi60</w:t>
      </w:r>
      <w:r w:rsidR="00921588">
        <w:noBreakHyphen/>
      </w:r>
      <w:r w:rsidRPr="006C7091">
        <w:t>gac</w:t>
      </w:r>
      <w:r w:rsidR="00921588">
        <w:noBreakHyphen/>
      </w:r>
      <w:r w:rsidRPr="006C7091">
        <w:t>advice</w:t>
      </w:r>
      <w:r w:rsidR="00921588">
        <w:noBreakHyphen/>
      </w:r>
      <w:r w:rsidRPr="006C7091">
        <w:t>scorecard</w:t>
      </w:r>
      <w:r w:rsidR="00921588">
        <w:noBreakHyphen/>
      </w:r>
      <w:r w:rsidRPr="006C7091">
        <w:t>04feb18</w:t>
      </w:r>
      <w:r w:rsidR="00921588">
        <w:noBreakHyphen/>
      </w:r>
      <w:r w:rsidRPr="006C7091">
        <w:t>en.pdf et https://gac.icann.org/contentMigrated/icann71</w:t>
      </w:r>
      <w:r w:rsidR="00921588">
        <w:noBreakHyphen/>
      </w:r>
      <w:r w:rsidRPr="006C7091">
        <w:t>gac</w:t>
      </w:r>
      <w:r w:rsidR="00921588">
        <w:noBreakHyphen/>
      </w:r>
      <w:proofErr w:type="gramStart"/>
      <w:r w:rsidRPr="006C7091">
        <w:t>communique?language</w:t>
      </w:r>
      <w:proofErr w:type="gramEnd"/>
      <w:r w:rsidRPr="006C7091">
        <w:t>_id=3.</w:t>
      </w:r>
    </w:p>
  </w:footnote>
  <w:footnote w:id="76">
    <w:p w:rsidR="00C9068B" w:rsidRDefault="00C9068B" w:rsidP="00C9068B">
      <w:pPr>
        <w:pStyle w:val="FootnoteText"/>
      </w:pPr>
      <w:r>
        <w:rPr>
          <w:rStyle w:val="FootnoteReference"/>
        </w:rPr>
        <w:footnoteRef/>
      </w:r>
      <w:r>
        <w:t xml:space="preserve"> </w:t>
      </w:r>
      <w:r>
        <w:tab/>
      </w:r>
      <w:r w:rsidR="00A674EC">
        <w:t>Voir à l</w:t>
      </w:r>
      <w:r w:rsidR="005104A3">
        <w:t>’</w:t>
      </w:r>
      <w:r w:rsidR="00A674EC">
        <w:t xml:space="preserve">adresse </w:t>
      </w:r>
      <w:r w:rsidRPr="009317BD">
        <w:t>gnso.icann.org/sites/default/files/file/field</w:t>
      </w:r>
      <w:r w:rsidR="00921588">
        <w:noBreakHyphen/>
      </w:r>
      <w:r w:rsidRPr="009317BD">
        <w:t>file</w:t>
      </w:r>
      <w:r w:rsidR="00921588">
        <w:noBreakHyphen/>
      </w:r>
      <w:r w:rsidRPr="009317BD">
        <w:t>attach/epdp</w:t>
      </w:r>
      <w:r w:rsidR="00921588">
        <w:noBreakHyphen/>
      </w:r>
      <w:r w:rsidRPr="009317BD">
        <w:t>specific</w:t>
      </w:r>
      <w:r w:rsidR="00921588">
        <w:noBreakHyphen/>
      </w:r>
      <w:r w:rsidRPr="009317BD">
        <w:t>crp</w:t>
      </w:r>
      <w:r w:rsidR="00921588">
        <w:noBreakHyphen/>
      </w:r>
      <w:r w:rsidRPr="009317BD">
        <w:t>igo</w:t>
      </w:r>
      <w:r w:rsidR="00921588">
        <w:noBreakHyphen/>
      </w:r>
      <w:r w:rsidRPr="009317BD">
        <w:t>final</w:t>
      </w:r>
      <w:r w:rsidR="00921588">
        <w:noBreakHyphen/>
      </w:r>
      <w:r w:rsidRPr="009317BD">
        <w:t>report</w:t>
      </w:r>
      <w:r w:rsidR="00921588">
        <w:noBreakHyphen/>
      </w:r>
      <w:r w:rsidRPr="009317BD">
        <w:t>02apr22</w:t>
      </w:r>
      <w:r w:rsidR="00921588">
        <w:noBreakHyphen/>
      </w:r>
      <w:r w:rsidRPr="009317BD">
        <w:t>en.pdf</w:t>
      </w:r>
      <w:r>
        <w:t xml:space="preserve">. </w:t>
      </w:r>
      <w:r w:rsidR="00900F67">
        <w:t xml:space="preserve"> </w:t>
      </w:r>
    </w:p>
  </w:footnote>
  <w:footnote w:id="77">
    <w:p w:rsidR="00C423BD" w:rsidRPr="006C7091" w:rsidRDefault="00C423BD" w:rsidP="008E0BF9">
      <w:pPr>
        <w:pStyle w:val="FootnoteText"/>
      </w:pPr>
      <w:r w:rsidRPr="006C7091">
        <w:rPr>
          <w:rStyle w:val="FootnoteReference"/>
        </w:rPr>
        <w:footnoteRef/>
      </w:r>
      <w:r w:rsidRPr="006C7091">
        <w:t xml:space="preserve"> </w:t>
      </w:r>
      <w:r w:rsidRPr="006C7091">
        <w:tab/>
        <w:t>Voir www.icann.org/resources/pages/igo</w:t>
      </w:r>
      <w:r w:rsidR="00921588">
        <w:noBreakHyphen/>
      </w:r>
      <w:r w:rsidRPr="006C7091">
        <w:t>ingo</w:t>
      </w:r>
      <w:r w:rsidR="00921588">
        <w:noBreakHyphen/>
      </w:r>
      <w:r w:rsidRPr="006C7091">
        <w:t>protection</w:t>
      </w:r>
      <w:r w:rsidR="00921588">
        <w:noBreakHyphen/>
      </w:r>
      <w:r w:rsidRPr="006C7091">
        <w:t>policy</w:t>
      </w:r>
      <w:r w:rsidR="00921588">
        <w:noBreakHyphen/>
      </w:r>
      <w:r w:rsidRPr="006C7091">
        <w:t>2018</w:t>
      </w:r>
      <w:r w:rsidR="00921588">
        <w:noBreakHyphen/>
      </w:r>
      <w:r w:rsidRPr="006C7091">
        <w:t>01</w:t>
      </w:r>
      <w:r w:rsidR="00921588">
        <w:noBreakHyphen/>
      </w:r>
      <w:r w:rsidRPr="006C7091">
        <w:t>16</w:t>
      </w:r>
      <w:r w:rsidR="00921588">
        <w:noBreakHyphen/>
      </w:r>
      <w:r w:rsidRPr="006C7091">
        <w:t>en, www.icann.org/resources/board</w:t>
      </w:r>
      <w:r w:rsidR="00921588">
        <w:noBreakHyphen/>
      </w:r>
      <w:r w:rsidRPr="006C7091">
        <w:t>material/resolutions</w:t>
      </w:r>
      <w:r w:rsidR="00921588">
        <w:noBreakHyphen/>
      </w:r>
      <w:r w:rsidRPr="006C7091">
        <w:t>2018</w:t>
      </w:r>
      <w:r w:rsidR="00921588">
        <w:noBreakHyphen/>
      </w:r>
      <w:r w:rsidRPr="006C7091">
        <w:t>02</w:t>
      </w:r>
      <w:r w:rsidR="00921588">
        <w:noBreakHyphen/>
      </w:r>
      <w:r w:rsidRPr="006C7091">
        <w:t>04</w:t>
      </w:r>
      <w:r w:rsidR="00921588">
        <w:noBreakHyphen/>
      </w:r>
      <w:r w:rsidRPr="006C7091">
        <w:t>en#</w:t>
      </w:r>
      <w:proofErr w:type="gramStart"/>
      <w:r w:rsidRPr="006C7091">
        <w:t>2.d</w:t>
      </w:r>
      <w:proofErr w:type="gramEnd"/>
      <w:r w:rsidRPr="006C7091">
        <w:t xml:space="preserve"> et www.icann.org/en/system/files/files/resolutions</w:t>
      </w:r>
      <w:r w:rsidR="00921588">
        <w:noBreakHyphen/>
      </w:r>
      <w:r w:rsidRPr="006C7091">
        <w:t>abudhabi60</w:t>
      </w:r>
      <w:r w:rsidR="00921588">
        <w:noBreakHyphen/>
      </w:r>
      <w:r w:rsidRPr="006C7091">
        <w:t>gac</w:t>
      </w:r>
      <w:r w:rsidR="00921588">
        <w:noBreakHyphen/>
      </w:r>
      <w:r w:rsidRPr="006C7091">
        <w:t>advice</w:t>
      </w:r>
      <w:r w:rsidR="00921588">
        <w:noBreakHyphen/>
      </w:r>
      <w:r w:rsidRPr="006C7091">
        <w:t>scorecard</w:t>
      </w:r>
      <w:r w:rsidR="00921588">
        <w:noBreakHyphen/>
      </w:r>
      <w:r w:rsidRPr="006C7091">
        <w:t>04feb18</w:t>
      </w:r>
      <w:r w:rsidR="00921588">
        <w:noBreakHyphen/>
      </w:r>
      <w:r w:rsidRPr="006C7091">
        <w:t xml:space="preserve">en.pdf. </w:t>
      </w:r>
      <w:r>
        <w:t xml:space="preserve"> </w:t>
      </w:r>
      <w:r w:rsidRPr="006C7091">
        <w:t>En juillet</w:t>
      </w:r>
      <w:r>
        <w:t> </w:t>
      </w:r>
      <w:r w:rsidRPr="006C7091">
        <w:t>2018, le Sous</w:t>
      </w:r>
      <w:r w:rsidR="00921588">
        <w:noBreakHyphen/>
      </w:r>
      <w:r w:rsidRPr="006C7091">
        <w:t>Secrétaire général de l</w:t>
      </w:r>
      <w:r w:rsidR="005104A3">
        <w:t>’</w:t>
      </w:r>
      <w:r w:rsidRPr="006C7091">
        <w:t xml:space="preserve">Organisation des </w:t>
      </w:r>
      <w:r w:rsidR="005104A3">
        <w:t>Nations Unies</w:t>
      </w:r>
      <w:r w:rsidRPr="006C7091">
        <w:t xml:space="preserve"> chargé du Bureau des affaires juridiques, agissant au nom de plusieurs organisations intergouvernementales (dont l</w:t>
      </w:r>
      <w:r w:rsidR="005104A3">
        <w:t>’</w:t>
      </w:r>
      <w:r w:rsidRPr="006C7091">
        <w:t>OMPI), a adressé une lettre au Conseil d</w:t>
      </w:r>
      <w:r w:rsidR="005104A3">
        <w:t>’</w:t>
      </w:r>
      <w:r w:rsidRPr="006C7091">
        <w:t>administration de l</w:t>
      </w:r>
      <w:r w:rsidR="005104A3">
        <w:t>’</w:t>
      </w:r>
      <w:r w:rsidRPr="006C7091">
        <w:t>ICANN dans laquelle il faisait part de ses craintes après la publication du rapport final sur le processus d</w:t>
      </w:r>
      <w:r w:rsidR="005104A3">
        <w:t>’</w:t>
      </w:r>
      <w:r w:rsidRPr="006C7091">
        <w:t>élaboration de politiques (voir www.icann.org/en/system/files/correspondence/mathias</w:t>
      </w:r>
      <w:r w:rsidR="00921588">
        <w:noBreakHyphen/>
      </w:r>
      <w:r w:rsidRPr="006C7091">
        <w:t>to</w:t>
      </w:r>
      <w:r w:rsidR="00921588">
        <w:noBreakHyphen/>
      </w:r>
      <w:r w:rsidRPr="006C7091">
        <w:t>board</w:t>
      </w:r>
      <w:r w:rsidR="00921588">
        <w:noBreakHyphen/>
      </w:r>
      <w:r w:rsidRPr="006C7091">
        <w:t>27jul18</w:t>
      </w:r>
      <w:r w:rsidR="00921588">
        <w:noBreakHyphen/>
      </w:r>
      <w:r w:rsidRPr="006C7091">
        <w:t xml:space="preserve">en.pdf). </w:t>
      </w:r>
      <w:r>
        <w:t xml:space="preserve"> </w:t>
      </w:r>
      <w:r w:rsidRPr="006C7091">
        <w:t>Voir la suite des discussions lors de la réunion de novembre</w:t>
      </w:r>
      <w:r>
        <w:t> </w:t>
      </w:r>
      <w:r w:rsidRPr="006C7091">
        <w:t>2020 de l</w:t>
      </w:r>
      <w:r w:rsidR="005104A3">
        <w:t>’</w:t>
      </w:r>
      <w:r w:rsidRPr="006C7091">
        <w:t>ICANN, à l</w:t>
      </w:r>
      <w:r w:rsidR="005104A3">
        <w:t>’</w:t>
      </w:r>
      <w:r w:rsidRPr="006C7091">
        <w:t>adresse https://icann66.pathable.com/meetings/1116847.</w:t>
      </w:r>
    </w:p>
  </w:footnote>
  <w:footnote w:id="78">
    <w:p w:rsidR="00C423BD" w:rsidRPr="006C7091" w:rsidRDefault="00C423BD" w:rsidP="008E0BF9">
      <w:pPr>
        <w:pStyle w:val="FootnoteText"/>
      </w:pPr>
      <w:r w:rsidRPr="006C7091">
        <w:rPr>
          <w:rStyle w:val="FootnoteReference"/>
        </w:rPr>
        <w:footnoteRef/>
      </w:r>
      <w:r w:rsidRPr="006C7091">
        <w:t xml:space="preserve"> </w:t>
      </w:r>
      <w:r w:rsidRPr="006C7091">
        <w:tab/>
        <w:t>Voir https://archive.icann.org/en/topics/new</w:t>
      </w:r>
      <w:r w:rsidR="00921588">
        <w:noBreakHyphen/>
      </w:r>
      <w:r w:rsidRPr="006C7091">
        <w:t>gtlds/gac</w:t>
      </w:r>
      <w:r w:rsidR="00921588">
        <w:noBreakHyphen/>
      </w:r>
      <w:r w:rsidRPr="006C7091">
        <w:t>principles</w:t>
      </w:r>
      <w:r w:rsidR="00921588">
        <w:noBreakHyphen/>
      </w:r>
      <w:r w:rsidRPr="006C7091">
        <w:t>regarding</w:t>
      </w:r>
      <w:r w:rsidR="00921588">
        <w:noBreakHyphen/>
      </w:r>
      <w:r w:rsidRPr="006C7091">
        <w:t>new</w:t>
      </w:r>
      <w:r w:rsidR="00921588">
        <w:noBreakHyphen/>
      </w:r>
      <w:r w:rsidRPr="006C7091">
        <w:t>gtlds</w:t>
      </w:r>
      <w:r w:rsidR="00921588">
        <w:noBreakHyphen/>
      </w:r>
      <w:r w:rsidRPr="006C7091">
        <w:t>28mar07</w:t>
      </w:r>
      <w:r w:rsidR="00921588">
        <w:noBreakHyphen/>
      </w:r>
      <w:r w:rsidRPr="006C7091">
        <w:t>en.pdf.</w:t>
      </w:r>
    </w:p>
  </w:footnote>
  <w:footnote w:id="79">
    <w:p w:rsidR="00C423BD" w:rsidRPr="006C7091" w:rsidRDefault="00C423BD" w:rsidP="008E0BF9">
      <w:pPr>
        <w:pStyle w:val="FootnoteText"/>
      </w:pPr>
      <w:r w:rsidRPr="006C7091">
        <w:rPr>
          <w:rStyle w:val="FootnoteReference"/>
        </w:rPr>
        <w:footnoteRef/>
      </w:r>
      <w:r w:rsidRPr="006C7091">
        <w:t xml:space="preserve"> </w:t>
      </w:r>
      <w:r w:rsidRPr="006C7091">
        <w:tab/>
        <w:t>En ce qui concerne les enregistrements au deuxième niveau, le contrat de base de l</w:t>
      </w:r>
      <w:r w:rsidR="005104A3">
        <w:t>’</w:t>
      </w:r>
      <w:r w:rsidRPr="006C7091">
        <w:t>ICANN avec les services d</w:t>
      </w:r>
      <w:r w:rsidR="005104A3">
        <w:t>’</w:t>
      </w:r>
      <w:r w:rsidRPr="006C7091">
        <w:t>enregistrement contient un “Inventaire des noms réservés au deuxième niveau dans les services d</w:t>
      </w:r>
      <w:r w:rsidR="005104A3">
        <w:t>’</w:t>
      </w:r>
      <w:r w:rsidRPr="006C7091">
        <w:t xml:space="preserve">enregistrement pour les </w:t>
      </w:r>
      <w:proofErr w:type="spellStart"/>
      <w:r w:rsidRPr="006C7091">
        <w:t>gTLD</w:t>
      </w:r>
      <w:proofErr w:type="spellEnd"/>
      <w:r w:rsidRPr="006C7091">
        <w:t>” où figurent certains noms de pays et de territoires.  Voir http://newgtlds.icann.org/en/applicants/agb/base</w:t>
      </w:r>
      <w:r w:rsidR="00921588">
        <w:noBreakHyphen/>
      </w:r>
      <w:r w:rsidRPr="006C7091">
        <w:t>arrangement</w:t>
      </w:r>
      <w:r w:rsidR="00921588">
        <w:noBreakHyphen/>
      </w:r>
      <w:r w:rsidRPr="006C7091">
        <w:t>specs</w:t>
      </w:r>
      <w:r w:rsidR="00921588">
        <w:noBreakHyphen/>
      </w:r>
      <w:r w:rsidRPr="006C7091">
        <w:t>04jun12</w:t>
      </w:r>
      <w:r w:rsidR="00921588">
        <w:noBreakHyphen/>
      </w:r>
      <w:r w:rsidRPr="006C7091">
        <w:t>en.pdf, spécification</w:t>
      </w:r>
      <w:r w:rsidR="001E5043">
        <w:t> </w:t>
      </w:r>
      <w:r w:rsidRPr="006C7091">
        <w:t>5.</w:t>
      </w:r>
    </w:p>
  </w:footnote>
  <w:footnote w:id="80">
    <w:p w:rsidR="00C423BD" w:rsidRPr="006C7091" w:rsidRDefault="00C423BD" w:rsidP="008E0BF9">
      <w:pPr>
        <w:pStyle w:val="FootnoteText"/>
      </w:pPr>
      <w:r w:rsidRPr="006C7091">
        <w:rPr>
          <w:rStyle w:val="FootnoteReference"/>
        </w:rPr>
        <w:footnoteRef/>
      </w:r>
      <w:r w:rsidRPr="006C7091">
        <w:t xml:space="preserve"> </w:t>
      </w:r>
      <w:r w:rsidRPr="006C7091">
        <w:tab/>
        <w:t>Voir http://newgtlds.icann.org/en/applicants/agb/evaluation</w:t>
      </w:r>
      <w:r w:rsidR="00921588">
        <w:noBreakHyphen/>
      </w:r>
      <w:r w:rsidRPr="006C7091">
        <w:t>procedures</w:t>
      </w:r>
      <w:r w:rsidR="00921588">
        <w:noBreakHyphen/>
      </w:r>
      <w:r w:rsidRPr="006C7091">
        <w:t>04jun12</w:t>
      </w:r>
      <w:r w:rsidR="00921588">
        <w:noBreakHyphen/>
      </w:r>
      <w:r w:rsidRPr="006C7091">
        <w:t>en.pdf, à partir de la section</w:t>
      </w:r>
      <w:r>
        <w:t> </w:t>
      </w:r>
      <w:r w:rsidRPr="006C7091">
        <w:t>2.2.1.4.1 “</w:t>
      </w:r>
      <w:proofErr w:type="spellStart"/>
      <w:r w:rsidRPr="006C7091">
        <w:t>Treatment</w:t>
      </w:r>
      <w:proofErr w:type="spellEnd"/>
      <w:r w:rsidRPr="006C7091">
        <w:t xml:space="preserve"> of Country or </w:t>
      </w:r>
      <w:proofErr w:type="spellStart"/>
      <w:r w:rsidRPr="006C7091">
        <w:t>Territory</w:t>
      </w:r>
      <w:proofErr w:type="spellEnd"/>
      <w:r w:rsidRPr="006C7091">
        <w:t xml:space="preserve"> </w:t>
      </w:r>
      <w:proofErr w:type="spellStart"/>
      <w:r w:rsidRPr="006C7091">
        <w:t>Names</w:t>
      </w:r>
      <w:proofErr w:type="spellEnd"/>
      <w:r w:rsidRPr="006C7091">
        <w:t>”.</w:t>
      </w:r>
    </w:p>
  </w:footnote>
  <w:footnote w:id="81">
    <w:p w:rsidR="00C423BD" w:rsidRPr="006C7091" w:rsidRDefault="00C423BD" w:rsidP="008E0BF9">
      <w:pPr>
        <w:pStyle w:val="FootnoteText"/>
      </w:pPr>
      <w:r w:rsidRPr="006C7091">
        <w:rPr>
          <w:rStyle w:val="FootnoteReference"/>
        </w:rPr>
        <w:footnoteRef/>
      </w:r>
      <w:r w:rsidRPr="006C7091">
        <w:t xml:space="preserve"> </w:t>
      </w:r>
      <w:r w:rsidRPr="006C7091">
        <w:tab/>
        <w:t>Voir http://newgtlds.icann.org/en/applicants/agb/evaluation</w:t>
      </w:r>
      <w:r w:rsidR="00921588">
        <w:noBreakHyphen/>
      </w:r>
      <w:r w:rsidRPr="006C7091">
        <w:t>procedures</w:t>
      </w:r>
      <w:r w:rsidR="00921588">
        <w:noBreakHyphen/>
      </w:r>
      <w:r w:rsidRPr="006C7091">
        <w:t>04jun12</w:t>
      </w:r>
      <w:r w:rsidR="00921588">
        <w:noBreakHyphen/>
      </w:r>
      <w:r w:rsidRPr="006C7091">
        <w:t>en.pdf, à partir de la section</w:t>
      </w:r>
      <w:r>
        <w:t> </w:t>
      </w:r>
      <w:r w:rsidRPr="006C7091">
        <w:t xml:space="preserve">2.2.1.4.2 “Geographic </w:t>
      </w:r>
      <w:proofErr w:type="spellStart"/>
      <w:r w:rsidRPr="006C7091">
        <w:t>Names</w:t>
      </w:r>
      <w:proofErr w:type="spellEnd"/>
      <w:r w:rsidRPr="006C7091">
        <w:t xml:space="preserve"> </w:t>
      </w:r>
      <w:proofErr w:type="spellStart"/>
      <w:r w:rsidRPr="006C7091">
        <w:t>Requiring</w:t>
      </w:r>
      <w:proofErr w:type="spellEnd"/>
      <w:r w:rsidRPr="006C7091">
        <w:t xml:space="preserve"> </w:t>
      </w:r>
      <w:proofErr w:type="spellStart"/>
      <w:r w:rsidRPr="006C7091">
        <w:t>Government</w:t>
      </w:r>
      <w:proofErr w:type="spellEnd"/>
      <w:r w:rsidRPr="006C7091">
        <w:t xml:space="preserve"> Support”. </w:t>
      </w:r>
      <w:r>
        <w:t xml:space="preserve"> </w:t>
      </w:r>
    </w:p>
  </w:footnote>
  <w:footnote w:id="82">
    <w:p w:rsidR="00C423BD" w:rsidRPr="006C7091" w:rsidRDefault="00C423BD" w:rsidP="008E0BF9">
      <w:pPr>
        <w:pStyle w:val="FootnoteText"/>
      </w:pPr>
      <w:r w:rsidRPr="006C7091">
        <w:rPr>
          <w:rStyle w:val="FootnoteReference"/>
        </w:rPr>
        <w:footnoteRef/>
      </w:r>
      <w:r w:rsidRPr="006C7091">
        <w:t xml:space="preserve"> </w:t>
      </w:r>
      <w:r w:rsidRPr="006C7091">
        <w:tab/>
        <w:t>Voir https://www.icann.org/en/system/files/correspondence/gac</w:t>
      </w:r>
      <w:r w:rsidR="00921588">
        <w:noBreakHyphen/>
      </w:r>
      <w:r w:rsidRPr="006C7091">
        <w:t>to</w:t>
      </w:r>
      <w:r w:rsidR="00921588">
        <w:noBreakHyphen/>
      </w:r>
      <w:r w:rsidRPr="006C7091">
        <w:t>board</w:t>
      </w:r>
      <w:r w:rsidR="00921588">
        <w:noBreakHyphen/>
      </w:r>
      <w:r w:rsidRPr="006C7091">
        <w:t>27mar14</w:t>
      </w:r>
      <w:r w:rsidR="00921588">
        <w:noBreakHyphen/>
      </w:r>
      <w:r>
        <w:t>en.pdf, rubrique</w:t>
      </w:r>
      <w:r w:rsidR="001E5043">
        <w:t> </w:t>
      </w:r>
      <w:r>
        <w:t>“4. </w:t>
      </w:r>
      <w:proofErr w:type="spellStart"/>
      <w:r w:rsidRPr="006C7091">
        <w:t>Specific</w:t>
      </w:r>
      <w:proofErr w:type="spellEnd"/>
      <w:r w:rsidRPr="006C7091">
        <w:t xml:space="preserve"> Strings”.</w:t>
      </w:r>
      <w:r>
        <w:t xml:space="preserve"> </w:t>
      </w:r>
      <w:r w:rsidRPr="006C7091">
        <w:t xml:space="preserve"> Bien que le Conseil ait accepté la recommandation du</w:t>
      </w:r>
      <w:r>
        <w:t> </w:t>
      </w:r>
      <w:r w:rsidRPr="006C7091">
        <w:t>GAC tendant à ne pas donner suite à certaines demandes, il a sollicité des informations supplémentaires du</w:t>
      </w:r>
      <w:r>
        <w:t> </w:t>
      </w:r>
      <w:r w:rsidRPr="006C7091">
        <w:t>GAC, ainsi que des commentaires du public, sur une série de garanties complémentaires demandées par le</w:t>
      </w:r>
      <w:r>
        <w:t> </w:t>
      </w:r>
      <w:r w:rsidRPr="006C7091">
        <w:t xml:space="preserve">GAC au sujet de plusieurs catégories de demandes portant sur de nouveaux </w:t>
      </w:r>
      <w:proofErr w:type="spellStart"/>
      <w:r w:rsidRPr="006C7091">
        <w:t>gTLD</w:t>
      </w:r>
      <w:proofErr w:type="spellEnd"/>
      <w:r w:rsidRPr="006C7091">
        <w:t xml:space="preserve"> correspondant à des secteurs réglementés ou à des termes du dictionnaire. </w:t>
      </w:r>
      <w:r>
        <w:t xml:space="preserve"> </w:t>
      </w:r>
      <w:r w:rsidRPr="006C7091">
        <w:t>Voir https://www.icann.org/en/system/files/correspondence/gac</w:t>
      </w:r>
      <w:r w:rsidR="00921588">
        <w:noBreakHyphen/>
      </w:r>
      <w:r w:rsidRPr="006C7091">
        <w:t>to</w:t>
      </w:r>
      <w:r w:rsidR="00921588">
        <w:noBreakHyphen/>
      </w:r>
      <w:r w:rsidRPr="006C7091">
        <w:t>board</w:t>
      </w:r>
      <w:r w:rsidR="00921588">
        <w:noBreakHyphen/>
      </w:r>
      <w:r w:rsidRPr="006C7091">
        <w:t>11apr13</w:t>
      </w:r>
      <w:r w:rsidR="00921588">
        <w:noBreakHyphen/>
      </w:r>
      <w:r w:rsidRPr="006C7091">
        <w:t>en.pdf.</w:t>
      </w:r>
      <w:r>
        <w:t xml:space="preserve"> </w:t>
      </w:r>
      <w:r w:rsidRPr="006C7091">
        <w:t xml:space="preserve"> Un sous</w:t>
      </w:r>
      <w:r w:rsidR="00921588">
        <w:noBreakHyphen/>
      </w:r>
      <w:r w:rsidRPr="006C7091">
        <w:t>groupe du</w:t>
      </w:r>
      <w:r>
        <w:t> </w:t>
      </w:r>
      <w:r w:rsidRPr="006C7091">
        <w:t>GAC sur les noms géographiques (relevant du Groupe de travail du</w:t>
      </w:r>
      <w:r>
        <w:t> </w:t>
      </w:r>
      <w:r w:rsidRPr="006C7091">
        <w:t xml:space="preserve">GAC sur les futurs </w:t>
      </w:r>
      <w:proofErr w:type="spellStart"/>
      <w:r w:rsidRPr="006C7091">
        <w:t>gTLD</w:t>
      </w:r>
      <w:proofErr w:type="spellEnd"/>
      <w:r w:rsidRPr="006C7091">
        <w:t xml:space="preserve">) a établi un projet de document pour la prochaine série de </w:t>
      </w:r>
      <w:proofErr w:type="spellStart"/>
      <w:r w:rsidRPr="006C7091">
        <w:t>gTLD</w:t>
      </w:r>
      <w:proofErr w:type="spellEnd"/>
      <w:r w:rsidRPr="006C7091">
        <w:t xml:space="preserve"> mettant en évidence plusieurs questions d</w:t>
      </w:r>
      <w:r w:rsidR="005104A3">
        <w:t>’</w:t>
      </w:r>
      <w:r w:rsidRPr="006C7091">
        <w:t>intérêt général en rapport avec les noms géographiques, qui fait l</w:t>
      </w:r>
      <w:r w:rsidR="005104A3">
        <w:t>’</w:t>
      </w:r>
      <w:r w:rsidRPr="006C7091">
        <w:t>objet de discussions supplémentaires au sein de l</w:t>
      </w:r>
      <w:r w:rsidR="005104A3">
        <w:t>’</w:t>
      </w:r>
      <w:r w:rsidRPr="006C7091">
        <w:t xml:space="preserve">ICANN. </w:t>
      </w:r>
      <w:r>
        <w:t xml:space="preserve"> </w:t>
      </w:r>
      <w:r w:rsidRPr="006C7091">
        <w:t xml:space="preserve">Voir https://gacweb.icann.org/download/attachments/27132037/Geo%20names%20in%20new%20gTLDs%20Updated%20%20V3%20%2029%20august%202014%5B4%5D.pdf?version=1&amp;modificationDate=1411549935000&amp;api=v2. </w:t>
      </w:r>
      <w:r>
        <w:t xml:space="preserve"> </w:t>
      </w:r>
      <w:r w:rsidRPr="006C7091">
        <w:t>Voir aussi https://www.icann.org/resources/board</w:t>
      </w:r>
      <w:r w:rsidR="00921588">
        <w:noBreakHyphen/>
      </w:r>
      <w:r w:rsidRPr="006C7091">
        <w:t>material/resolutions</w:t>
      </w:r>
      <w:r w:rsidR="00921588">
        <w:noBreakHyphen/>
      </w:r>
      <w:r w:rsidRPr="006C7091">
        <w:t>2019</w:t>
      </w:r>
      <w:r w:rsidR="00921588">
        <w:noBreakHyphen/>
      </w:r>
      <w:r w:rsidRPr="006C7091">
        <w:t>05</w:t>
      </w:r>
      <w:r w:rsidR="00921588">
        <w:noBreakHyphen/>
      </w:r>
      <w:r w:rsidRPr="006C7091">
        <w:t>15</w:t>
      </w:r>
      <w:r w:rsidR="00921588">
        <w:noBreakHyphen/>
      </w:r>
      <w:r w:rsidRPr="006C7091">
        <w:t>en#</w:t>
      </w:r>
      <w:proofErr w:type="gramStart"/>
      <w:r w:rsidRPr="006C7091">
        <w:t>1.</w:t>
      </w:r>
      <w:r>
        <w:t>c.</w:t>
      </w:r>
      <w:proofErr w:type="gramEnd"/>
    </w:p>
  </w:footnote>
  <w:footnote w:id="83">
    <w:p w:rsidR="00C423BD" w:rsidRPr="006C7091" w:rsidRDefault="00C423BD" w:rsidP="008E0BF9">
      <w:pPr>
        <w:pStyle w:val="FootnoteText"/>
      </w:pPr>
      <w:r w:rsidRPr="006C7091">
        <w:rPr>
          <w:rStyle w:val="FootnoteReference"/>
        </w:rPr>
        <w:footnoteRef/>
      </w:r>
      <w:r w:rsidRPr="006C7091">
        <w:t xml:space="preserve"> </w:t>
      </w:r>
      <w:r w:rsidRPr="006C7091">
        <w:tab/>
        <w:t>Sont notamment inclus les plans “visant à réduire autant que possible les risques de confusion”.</w:t>
      </w:r>
      <w:r>
        <w:t xml:space="preserve"> </w:t>
      </w:r>
      <w:r w:rsidRPr="006C7091">
        <w:t xml:space="preserve"> Voir par exemple https://www.icann.org/en/system/files/files/implementation</w:t>
      </w:r>
      <w:r w:rsidR="00921588">
        <w:noBreakHyphen/>
      </w:r>
      <w:r w:rsidRPr="006C7091">
        <w:t>memo</w:t>
      </w:r>
      <w:r w:rsidR="00921588">
        <w:noBreakHyphen/>
      </w:r>
      <w:r w:rsidRPr="006C7091">
        <w:t>two</w:t>
      </w:r>
      <w:r w:rsidR="00921588">
        <w:noBreakHyphen/>
      </w:r>
      <w:r w:rsidRPr="006C7091">
        <w:t>character</w:t>
      </w:r>
      <w:r w:rsidR="00921588">
        <w:noBreakHyphen/>
      </w:r>
      <w:r w:rsidRPr="006C7091">
        <w:t>ascii</w:t>
      </w:r>
      <w:r w:rsidR="00921588">
        <w:noBreakHyphen/>
      </w:r>
      <w:r w:rsidRPr="006C7091">
        <w:t>labels</w:t>
      </w:r>
      <w:r w:rsidR="00921588">
        <w:noBreakHyphen/>
      </w:r>
      <w:r w:rsidRPr="006C7091">
        <w:t>22jan19</w:t>
      </w:r>
      <w:r w:rsidR="00921588">
        <w:noBreakHyphen/>
      </w:r>
      <w:r w:rsidRPr="006C7091">
        <w:t>en.pdf.</w:t>
      </w:r>
    </w:p>
  </w:footnote>
  <w:footnote w:id="84">
    <w:p w:rsidR="00C423BD" w:rsidRPr="006C7091" w:rsidRDefault="00C423BD" w:rsidP="008E0BF9">
      <w:pPr>
        <w:pStyle w:val="FootnoteText"/>
      </w:pPr>
      <w:r w:rsidRPr="006C7091">
        <w:rPr>
          <w:rStyle w:val="FootnoteReference"/>
        </w:rPr>
        <w:footnoteRef/>
      </w:r>
      <w:r w:rsidRPr="006C7091">
        <w:t xml:space="preserve"> </w:t>
      </w:r>
      <w:r w:rsidRPr="006C7091">
        <w:tab/>
        <w:t>Voir https://forum.icann.org/lists/comments</w:t>
      </w:r>
      <w:r w:rsidR="00921588">
        <w:noBreakHyphen/>
      </w:r>
      <w:r w:rsidRPr="006C7091">
        <w:t>proposed</w:t>
      </w:r>
      <w:r w:rsidR="00921588">
        <w:noBreakHyphen/>
      </w:r>
      <w:r w:rsidRPr="006C7091">
        <w:t>measures</w:t>
      </w:r>
      <w:r w:rsidR="00921588">
        <w:noBreakHyphen/>
      </w:r>
      <w:r w:rsidRPr="006C7091">
        <w:t>two</w:t>
      </w:r>
      <w:r w:rsidR="00921588">
        <w:noBreakHyphen/>
      </w:r>
      <w:r w:rsidRPr="006C7091">
        <w:t>char</w:t>
      </w:r>
      <w:r w:rsidR="00921588">
        <w:noBreakHyphen/>
      </w:r>
      <w:r w:rsidRPr="006C7091">
        <w:t xml:space="preserve">08jul16/pdfECmcS9knuk.pdf. </w:t>
      </w:r>
      <w:r>
        <w:t xml:space="preserve"> </w:t>
      </w:r>
    </w:p>
  </w:footnote>
  <w:footnote w:id="85">
    <w:p w:rsidR="00C423BD" w:rsidRPr="006C7091" w:rsidRDefault="00C423BD" w:rsidP="008E0BF9">
      <w:pPr>
        <w:pStyle w:val="FootnoteText"/>
      </w:pPr>
      <w:r w:rsidRPr="006C7091">
        <w:rPr>
          <w:rStyle w:val="FootnoteReference"/>
        </w:rPr>
        <w:footnoteRef/>
      </w:r>
      <w:r w:rsidRPr="006C7091">
        <w:t xml:space="preserve"> </w:t>
      </w:r>
      <w:r w:rsidRPr="006C7091">
        <w:tab/>
        <w:t xml:space="preserve">Voir https://static.ptbl.co/static/attachments/169910/1521228229.pdf?1521228229. </w:t>
      </w:r>
      <w:r>
        <w:t xml:space="preserve"> </w:t>
      </w:r>
    </w:p>
  </w:footnote>
  <w:footnote w:id="86">
    <w:p w:rsidR="00C423BD" w:rsidRPr="006C7091" w:rsidRDefault="00C423BD" w:rsidP="008E0BF9">
      <w:pPr>
        <w:pStyle w:val="FootnoteText"/>
      </w:pPr>
      <w:r w:rsidRPr="006C7091">
        <w:rPr>
          <w:rStyle w:val="FootnoteReference"/>
        </w:rPr>
        <w:footnoteRef/>
      </w:r>
      <w:r w:rsidRPr="006C7091">
        <w:t xml:space="preserve"> </w:t>
      </w:r>
      <w:r w:rsidRPr="006C7091">
        <w:tab/>
        <w:t>Voir par exemple les documents SCT/37/4, SCT</w:t>
      </w:r>
      <w:r w:rsidR="00CE55B0">
        <w:t>/</w:t>
      </w:r>
      <w:r w:rsidRPr="006C7091">
        <w:t>37/5, SCT</w:t>
      </w:r>
      <w:r w:rsidR="00CE55B0">
        <w:t>/</w:t>
      </w:r>
      <w:r w:rsidRPr="006C7091">
        <w:t>38/3, SCT</w:t>
      </w:r>
      <w:r w:rsidR="00CE55B0">
        <w:t>/</w:t>
      </w:r>
      <w:r w:rsidRPr="006C7091">
        <w:t>39/5, SCT</w:t>
      </w:r>
      <w:r w:rsidR="00CE55B0">
        <w:t>/</w:t>
      </w:r>
      <w:r w:rsidRPr="006C7091">
        <w:t>40/4, SCT</w:t>
      </w:r>
      <w:r w:rsidR="00CE55B0">
        <w:t>/</w:t>
      </w:r>
      <w:r w:rsidRPr="006C7091">
        <w:t>41/5, SCT</w:t>
      </w:r>
      <w:r w:rsidR="00CE55B0">
        <w:t>/</w:t>
      </w:r>
      <w:r w:rsidRPr="006C7091">
        <w:t>42/3, SCT</w:t>
      </w:r>
      <w:r w:rsidR="00CE55B0">
        <w:t>/</w:t>
      </w:r>
      <w:r w:rsidRPr="006C7091">
        <w:t>43/4</w:t>
      </w:r>
      <w:r w:rsidR="00CF685E">
        <w:t>,</w:t>
      </w:r>
      <w:r w:rsidRPr="006C7091">
        <w:t xml:space="preserve"> SCT</w:t>
      </w:r>
      <w:r w:rsidR="00CE55B0">
        <w:t>/</w:t>
      </w:r>
      <w:r w:rsidRPr="006C7091">
        <w:t>44/2</w:t>
      </w:r>
      <w:r w:rsidR="00CF685E">
        <w:t xml:space="preserve"> et SCT/45/3</w:t>
      </w:r>
      <w:r w:rsidRPr="006C7091">
        <w:t xml:space="preserve">. </w:t>
      </w:r>
      <w:r>
        <w:t xml:space="preserve"> </w:t>
      </w:r>
      <w:r w:rsidRPr="006C7091">
        <w:t xml:space="preserve">Voir également la réunion SCT/IS/GEO/GE/17.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F0" w:rsidRDefault="00CF1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3BD" w:rsidRDefault="00C423BD" w:rsidP="00477D6B">
    <w:pPr>
      <w:jc w:val="right"/>
    </w:pPr>
    <w:bookmarkStart w:id="6" w:name="Code2"/>
    <w:r>
      <w:t>WO/GA/55/10</w:t>
    </w:r>
  </w:p>
  <w:bookmarkEnd w:id="6"/>
  <w:p w:rsidR="00C423BD" w:rsidRDefault="00C423BD" w:rsidP="003B5CD9">
    <w:pPr>
      <w:spacing w:after="480"/>
      <w:jc w:val="right"/>
    </w:pPr>
    <w:r>
      <w:t>page </w:t>
    </w:r>
    <w:r>
      <w:fldChar w:fldCharType="begin"/>
    </w:r>
    <w:r>
      <w:instrText xml:space="preserve"> PAGE  \* MERGEFORMAT </w:instrText>
    </w:r>
    <w:r>
      <w:fldChar w:fldCharType="separate"/>
    </w:r>
    <w:r w:rsidR="006A7ECF">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F0" w:rsidRDefault="00CF1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3CE1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CA05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F68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860C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EA4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5A17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CAD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C299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308F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5787D2A"/>
    <w:lvl w:ilvl="0">
      <w:start w:val="1"/>
      <w:numFmt w:val="decimal"/>
      <w:lvlRestart w:val="0"/>
      <w:pStyle w:val="ONUMFS"/>
      <w:lvlText w:val="%1."/>
      <w:lvlJc w:val="left"/>
      <w:pPr>
        <w:tabs>
          <w:tab w:val="num" w:pos="567"/>
        </w:tabs>
        <w:ind w:left="0" w:firstLine="0"/>
      </w:pPr>
      <w:rPr>
        <w:rFonts w:hint="default"/>
        <w:b w:val="0"/>
        <w:vertAlign w:val="baseli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A2F67"/>
    <w:multiLevelType w:val="hybridMultilevel"/>
    <w:tmpl w:val="F20660BA"/>
    <w:lvl w:ilvl="0" w:tplc="23388A44">
      <w:start w:val="1"/>
      <w:numFmt w:val="upperRoman"/>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F77A2"/>
    <w:multiLevelType w:val="hybridMultilevel"/>
    <w:tmpl w:val="292E5150"/>
    <w:lvl w:ilvl="0" w:tplc="FA96D88E">
      <w:start w:val="1"/>
      <w:numFmt w:val="upperLetter"/>
      <w:pStyle w:val="Heading3"/>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40523E"/>
    <w:multiLevelType w:val="hybridMultilevel"/>
    <w:tmpl w:val="744602C2"/>
    <w:lvl w:ilvl="0" w:tplc="3662980E">
      <w:start w:val="1"/>
      <w:numFmt w:val="lowerLetter"/>
      <w:pStyle w:val="Heading4"/>
      <w:lvlText w:val="%1)"/>
      <w:lvlJc w:val="left"/>
      <w:pPr>
        <w:ind w:left="720"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77048"/>
    <w:multiLevelType w:val="hybridMultilevel"/>
    <w:tmpl w:val="1E24C54C"/>
    <w:lvl w:ilvl="0" w:tplc="6718940E">
      <w:start w:val="1"/>
      <w:numFmt w:val="lowerRoman"/>
      <w:pStyle w:val="Heading5"/>
      <w:lvlText w:val="%1)"/>
      <w:lvlJc w:val="left"/>
      <w:pPr>
        <w:ind w:left="720" w:hanging="360"/>
      </w:pPr>
      <w:rPr>
        <w:rFonts w:ascii="Arial" w:eastAsia="Arial" w:hAnsi="Arial" w:cs="Arial" w:hint="default"/>
        <w:i w:val="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8"/>
  </w:num>
  <w:num w:numId="4">
    <w:abstractNumId w:val="17"/>
  </w:num>
  <w:num w:numId="5">
    <w:abstractNumId w:val="10"/>
  </w:num>
  <w:num w:numId="6">
    <w:abstractNumId w:val="12"/>
  </w:num>
  <w:num w:numId="7">
    <w:abstractNumId w:val="13"/>
  </w:num>
  <w:num w:numId="8">
    <w:abstractNumId w:val="14"/>
  </w:num>
  <w:num w:numId="9">
    <w:abstractNumId w:val="15"/>
  </w:num>
  <w:num w:numId="10">
    <w:abstractNumId w:val="15"/>
    <w:lvlOverride w:ilvl="0">
      <w:startOverride w:val="1"/>
    </w:lvlOverride>
  </w:num>
  <w:num w:numId="11">
    <w:abstractNumId w:val="15"/>
    <w:lvlOverride w:ilvl="0">
      <w:startOverride w:val="1"/>
    </w:lvlOverride>
  </w:num>
  <w:num w:numId="12">
    <w:abstractNumId w:val="18"/>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9"/>
    <w:lvlOverride w:ilvl="0">
      <w:startOverride w:val="1"/>
    </w:lvlOverride>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F9"/>
    <w:rsid w:val="00011B7D"/>
    <w:rsid w:val="00027C5E"/>
    <w:rsid w:val="0006598D"/>
    <w:rsid w:val="000731B7"/>
    <w:rsid w:val="00075432"/>
    <w:rsid w:val="00076CAA"/>
    <w:rsid w:val="0009458A"/>
    <w:rsid w:val="000D3FA5"/>
    <w:rsid w:val="000E370A"/>
    <w:rsid w:val="000F5E56"/>
    <w:rsid w:val="001130F6"/>
    <w:rsid w:val="00133B26"/>
    <w:rsid w:val="001362EE"/>
    <w:rsid w:val="00140EB0"/>
    <w:rsid w:val="00173CC1"/>
    <w:rsid w:val="001832A6"/>
    <w:rsid w:val="00195C6E"/>
    <w:rsid w:val="001A2994"/>
    <w:rsid w:val="001A73D6"/>
    <w:rsid w:val="001B266A"/>
    <w:rsid w:val="001C6508"/>
    <w:rsid w:val="001D3D56"/>
    <w:rsid w:val="001D42E8"/>
    <w:rsid w:val="001E5043"/>
    <w:rsid w:val="00227658"/>
    <w:rsid w:val="00240654"/>
    <w:rsid w:val="00252FEC"/>
    <w:rsid w:val="002634C4"/>
    <w:rsid w:val="002650E6"/>
    <w:rsid w:val="002948EB"/>
    <w:rsid w:val="002956DE"/>
    <w:rsid w:val="002B3C37"/>
    <w:rsid w:val="002C51BF"/>
    <w:rsid w:val="002E4D1A"/>
    <w:rsid w:val="002E4EB5"/>
    <w:rsid w:val="002F16BC"/>
    <w:rsid w:val="002F4E68"/>
    <w:rsid w:val="00322C0B"/>
    <w:rsid w:val="0032750C"/>
    <w:rsid w:val="0037544C"/>
    <w:rsid w:val="00381798"/>
    <w:rsid w:val="003845C1"/>
    <w:rsid w:val="003A67A3"/>
    <w:rsid w:val="003B5CD9"/>
    <w:rsid w:val="004008A2"/>
    <w:rsid w:val="004016CD"/>
    <w:rsid w:val="004025DF"/>
    <w:rsid w:val="0040540C"/>
    <w:rsid w:val="00423E3E"/>
    <w:rsid w:val="00427AF4"/>
    <w:rsid w:val="004647DA"/>
    <w:rsid w:val="004732FE"/>
    <w:rsid w:val="00477D6B"/>
    <w:rsid w:val="0048144B"/>
    <w:rsid w:val="004D6471"/>
    <w:rsid w:val="004F6542"/>
    <w:rsid w:val="005104A3"/>
    <w:rsid w:val="0051455D"/>
    <w:rsid w:val="00525B63"/>
    <w:rsid w:val="00525E59"/>
    <w:rsid w:val="005278C4"/>
    <w:rsid w:val="00531B83"/>
    <w:rsid w:val="00541348"/>
    <w:rsid w:val="005421DD"/>
    <w:rsid w:val="00554FA5"/>
    <w:rsid w:val="00567A4C"/>
    <w:rsid w:val="00574036"/>
    <w:rsid w:val="00595F07"/>
    <w:rsid w:val="005D517C"/>
    <w:rsid w:val="005E6516"/>
    <w:rsid w:val="00605827"/>
    <w:rsid w:val="006071B5"/>
    <w:rsid w:val="00611BC2"/>
    <w:rsid w:val="00616671"/>
    <w:rsid w:val="006827D7"/>
    <w:rsid w:val="006947A9"/>
    <w:rsid w:val="006A7ECF"/>
    <w:rsid w:val="006B0DB5"/>
    <w:rsid w:val="007461F1"/>
    <w:rsid w:val="00797A13"/>
    <w:rsid w:val="007B7E7E"/>
    <w:rsid w:val="007D6961"/>
    <w:rsid w:val="007D70F6"/>
    <w:rsid w:val="007E5C9C"/>
    <w:rsid w:val="007F07CB"/>
    <w:rsid w:val="00810CEF"/>
    <w:rsid w:val="0081208D"/>
    <w:rsid w:val="008B2CC1"/>
    <w:rsid w:val="008B5823"/>
    <w:rsid w:val="008C03BF"/>
    <w:rsid w:val="008E0BF9"/>
    <w:rsid w:val="008E7930"/>
    <w:rsid w:val="00900F67"/>
    <w:rsid w:val="009017CB"/>
    <w:rsid w:val="0090731E"/>
    <w:rsid w:val="00921588"/>
    <w:rsid w:val="00966A22"/>
    <w:rsid w:val="00966D15"/>
    <w:rsid w:val="00974CD6"/>
    <w:rsid w:val="009D30E6"/>
    <w:rsid w:val="009E0CB1"/>
    <w:rsid w:val="009E31FF"/>
    <w:rsid w:val="009E3F6F"/>
    <w:rsid w:val="009F499F"/>
    <w:rsid w:val="00A110D8"/>
    <w:rsid w:val="00A11D74"/>
    <w:rsid w:val="00A33E39"/>
    <w:rsid w:val="00A674EC"/>
    <w:rsid w:val="00AC0AE4"/>
    <w:rsid w:val="00AD61DB"/>
    <w:rsid w:val="00AF116D"/>
    <w:rsid w:val="00AF4072"/>
    <w:rsid w:val="00B1090C"/>
    <w:rsid w:val="00B16752"/>
    <w:rsid w:val="00B31C67"/>
    <w:rsid w:val="00B35AF5"/>
    <w:rsid w:val="00B3778F"/>
    <w:rsid w:val="00B5490F"/>
    <w:rsid w:val="00B762CE"/>
    <w:rsid w:val="00B86BC6"/>
    <w:rsid w:val="00BE0BE0"/>
    <w:rsid w:val="00BE2258"/>
    <w:rsid w:val="00BE667C"/>
    <w:rsid w:val="00C423BD"/>
    <w:rsid w:val="00C537A0"/>
    <w:rsid w:val="00C664C8"/>
    <w:rsid w:val="00C748D7"/>
    <w:rsid w:val="00C84C0A"/>
    <w:rsid w:val="00C9068B"/>
    <w:rsid w:val="00CA0772"/>
    <w:rsid w:val="00CB4611"/>
    <w:rsid w:val="00CE55B0"/>
    <w:rsid w:val="00CE6057"/>
    <w:rsid w:val="00CF0460"/>
    <w:rsid w:val="00CF17F0"/>
    <w:rsid w:val="00CF685E"/>
    <w:rsid w:val="00D30DFB"/>
    <w:rsid w:val="00D43E0F"/>
    <w:rsid w:val="00D45252"/>
    <w:rsid w:val="00D71B4D"/>
    <w:rsid w:val="00D75C1E"/>
    <w:rsid w:val="00D93D55"/>
    <w:rsid w:val="00DB1C48"/>
    <w:rsid w:val="00DD3940"/>
    <w:rsid w:val="00DD4917"/>
    <w:rsid w:val="00DD6A16"/>
    <w:rsid w:val="00E0091A"/>
    <w:rsid w:val="00E203AA"/>
    <w:rsid w:val="00E229F2"/>
    <w:rsid w:val="00E37547"/>
    <w:rsid w:val="00E5217A"/>
    <w:rsid w:val="00E527A5"/>
    <w:rsid w:val="00E76456"/>
    <w:rsid w:val="00EA47D1"/>
    <w:rsid w:val="00EA6E80"/>
    <w:rsid w:val="00ED7759"/>
    <w:rsid w:val="00EE71CB"/>
    <w:rsid w:val="00F1685C"/>
    <w:rsid w:val="00F16975"/>
    <w:rsid w:val="00F66152"/>
    <w:rsid w:val="00F77804"/>
    <w:rsid w:val="00FA7BB2"/>
    <w:rsid w:val="00FB77E5"/>
    <w:rsid w:val="00FC1858"/>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48BDC1B-B742-43E3-B6DC-3D269D02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37"/>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ListParagraph"/>
    <w:next w:val="Normal"/>
    <w:qFormat/>
    <w:rsid w:val="003B5CD9"/>
    <w:pPr>
      <w:numPr>
        <w:numId w:val="8"/>
      </w:numPr>
      <w:spacing w:before="240" w:after="240"/>
      <w:ind w:left="567" w:hanging="567"/>
      <w:outlineLvl w:val="1"/>
    </w:pPr>
    <w:rPr>
      <w:caps/>
    </w:rPr>
  </w:style>
  <w:style w:type="paragraph" w:styleId="Heading3">
    <w:name w:val="heading 3"/>
    <w:basedOn w:val="ListParagraph"/>
    <w:next w:val="Normal"/>
    <w:qFormat/>
    <w:rsid w:val="003B5CD9"/>
    <w:pPr>
      <w:numPr>
        <w:numId w:val="9"/>
      </w:numPr>
      <w:spacing w:before="240" w:after="240"/>
      <w:ind w:left="1134" w:hanging="567"/>
      <w:outlineLvl w:val="2"/>
    </w:pPr>
    <w:rPr>
      <w:caps/>
      <w:lang w:val="fr-FR"/>
    </w:rPr>
  </w:style>
  <w:style w:type="paragraph" w:styleId="Heading4">
    <w:name w:val="heading 4"/>
    <w:basedOn w:val="ONUMFS"/>
    <w:next w:val="Normal"/>
    <w:qFormat/>
    <w:rsid w:val="002B3C37"/>
    <w:pPr>
      <w:numPr>
        <w:numId w:val="12"/>
      </w:numPr>
      <w:spacing w:after="240"/>
      <w:ind w:left="1134" w:hanging="567"/>
      <w:outlineLvl w:val="3"/>
    </w:pPr>
    <w:rPr>
      <w:u w:val="single"/>
    </w:rPr>
  </w:style>
  <w:style w:type="paragraph" w:styleId="Heading5">
    <w:name w:val="heading 5"/>
    <w:basedOn w:val="ListParagraph"/>
    <w:next w:val="Normal"/>
    <w:link w:val="Heading5Char"/>
    <w:unhideWhenUsed/>
    <w:qFormat/>
    <w:rsid w:val="002B3C37"/>
    <w:pPr>
      <w:numPr>
        <w:numId w:val="13"/>
      </w:numPr>
      <w:spacing w:after="240"/>
      <w:ind w:left="1701" w:hanging="567"/>
      <w:outlineLvl w:val="4"/>
    </w:pPr>
    <w:rPr>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8E0BF9"/>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8E0BF9"/>
    <w:pPr>
      <w:spacing w:before="0" w:after="600"/>
    </w:pPr>
    <w:rPr>
      <w:caps w:val="0"/>
      <w:sz w:val="28"/>
    </w:rPr>
  </w:style>
  <w:style w:type="character" w:customStyle="1" w:styleId="TitleChar">
    <w:name w:val="Title Char"/>
    <w:basedOn w:val="DefaultParagraphFont"/>
    <w:link w:val="Title"/>
    <w:rsid w:val="008E0BF9"/>
    <w:rPr>
      <w:rFonts w:ascii="Arial" w:eastAsia="SimSun" w:hAnsi="Arial" w:cs="Arial"/>
      <w:b/>
      <w:bCs/>
      <w:kern w:val="32"/>
      <w:sz w:val="28"/>
      <w:szCs w:val="32"/>
      <w:lang w:eastAsia="zh-CN"/>
    </w:rPr>
  </w:style>
  <w:style w:type="character" w:customStyle="1" w:styleId="FootnoteTextChar">
    <w:name w:val="Footnote Text Char"/>
    <w:basedOn w:val="DefaultParagraphFont"/>
    <w:link w:val="FootnoteText"/>
    <w:uiPriority w:val="99"/>
    <w:rsid w:val="008E0BF9"/>
    <w:rPr>
      <w:rFonts w:ascii="Arial" w:eastAsia="SimSun" w:hAnsi="Arial" w:cs="Arial"/>
      <w:sz w:val="18"/>
      <w:lang w:eastAsia="zh-CN"/>
    </w:rPr>
  </w:style>
  <w:style w:type="paragraph" w:customStyle="1" w:styleId="DecisionInvitingPara">
    <w:name w:val="Decision Inviting Para."/>
    <w:basedOn w:val="Normal"/>
    <w:rsid w:val="008E0BF9"/>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8E0BF9"/>
    <w:rPr>
      <w:vertAlign w:val="superscript"/>
    </w:rPr>
  </w:style>
  <w:style w:type="character" w:customStyle="1" w:styleId="ONUMEChar">
    <w:name w:val="ONUM E Char"/>
    <w:link w:val="ONUME"/>
    <w:rsid w:val="008E0BF9"/>
    <w:rPr>
      <w:rFonts w:ascii="Arial" w:eastAsia="SimSun" w:hAnsi="Arial" w:cs="Arial"/>
      <w:sz w:val="22"/>
      <w:lang w:eastAsia="zh-CN"/>
    </w:rPr>
  </w:style>
  <w:style w:type="paragraph" w:styleId="ListParagraph">
    <w:name w:val="List Paragraph"/>
    <w:basedOn w:val="Normal"/>
    <w:uiPriority w:val="34"/>
    <w:qFormat/>
    <w:rsid w:val="008E0BF9"/>
    <w:pPr>
      <w:ind w:left="720"/>
      <w:contextualSpacing/>
    </w:pPr>
    <w:rPr>
      <w:rFonts w:eastAsia="Times New Roman" w:cs="Times New Roman"/>
      <w:lang w:val="en-US" w:eastAsia="en-US"/>
    </w:rPr>
  </w:style>
  <w:style w:type="character" w:customStyle="1" w:styleId="Heading5Char">
    <w:name w:val="Heading 5 Char"/>
    <w:basedOn w:val="DefaultParagraphFont"/>
    <w:link w:val="Heading5"/>
    <w:rsid w:val="002B3C37"/>
    <w:rPr>
      <w:rFonts w:ascii="Arial" w:hAnsi="Arial"/>
      <w:sz w:val="22"/>
      <w:u w:val="single"/>
      <w:lang w:val="fr-FR" w:eastAsia="en-US"/>
    </w:rPr>
  </w:style>
  <w:style w:type="character" w:customStyle="1" w:styleId="BodyTextChar">
    <w:name w:val="Body Text Char"/>
    <w:basedOn w:val="DefaultParagraphFont"/>
    <w:link w:val="BodyText"/>
    <w:rsid w:val="002B3C37"/>
    <w:rPr>
      <w:rFonts w:ascii="Arial" w:eastAsia="SimSun" w:hAnsi="Arial" w:cs="Arial"/>
      <w:sz w:val="22"/>
      <w:lang w:eastAsia="zh-CN"/>
    </w:rPr>
  </w:style>
  <w:style w:type="character" w:customStyle="1" w:styleId="CommentTextChar">
    <w:name w:val="Comment Text Char"/>
    <w:basedOn w:val="DefaultParagraphFont"/>
    <w:link w:val="CommentText"/>
    <w:semiHidden/>
    <w:rsid w:val="002B3C37"/>
    <w:rPr>
      <w:rFonts w:ascii="Arial" w:eastAsia="SimSun" w:hAnsi="Arial" w:cs="Arial"/>
      <w:sz w:val="18"/>
      <w:lang w:eastAsia="zh-CN"/>
    </w:rPr>
  </w:style>
  <w:style w:type="character" w:styleId="Hyperlink">
    <w:name w:val="Hyperlink"/>
    <w:basedOn w:val="DefaultParagraphFont"/>
    <w:unhideWhenUsed/>
    <w:rsid w:val="005D51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012-50D7-4541-B502-5AD1CA4D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5682</Words>
  <Characters>31751</Characters>
  <Application>Microsoft Office Word</Application>
  <DocSecurity>0</DocSecurity>
  <Lines>454</Lines>
  <Paragraphs>76</Paragraphs>
  <ScaleCrop>false</ScaleCrop>
  <HeadingPairs>
    <vt:vector size="2" baseType="variant">
      <vt:variant>
        <vt:lpstr>Title</vt:lpstr>
      </vt:variant>
      <vt:variant>
        <vt:i4>1</vt:i4>
      </vt:variant>
    </vt:vector>
  </HeadingPairs>
  <TitlesOfParts>
    <vt:vector size="1" baseType="lpstr">
      <vt:lpstr>WO/GA/55/10</vt:lpstr>
    </vt:vector>
  </TitlesOfParts>
  <Company>WIPO</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WO/GA/55/10</dc:title>
  <dc:subject>Sixty-Third Series of Meetings</dc:subject>
  <dc:creator>WIPO</dc:creator>
  <cp:keywords>PUBLIC</cp:keywords>
  <cp:lastModifiedBy>MARIN-CUDRAZ DAVI Nicoletta</cp:lastModifiedBy>
  <cp:revision>5</cp:revision>
  <cp:lastPrinted>2011-05-19T12:37:00Z</cp:lastPrinted>
  <dcterms:created xsi:type="dcterms:W3CDTF">2022-05-02T12:38:00Z</dcterms:created>
  <dcterms:modified xsi:type="dcterms:W3CDTF">2022-05-10T12:32:00Z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