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79575" w14:textId="77777777" w:rsidR="00316C7D" w:rsidRPr="00E415DB" w:rsidRDefault="00A610EF" w:rsidP="00A610EF">
      <w:pPr>
        <w:spacing w:before="360" w:after="240"/>
        <w:jc w:val="right"/>
      </w:pPr>
      <w:r w:rsidRPr="00E415DB">
        <w:rPr>
          <w:noProof/>
          <w:lang w:eastAsia="en-US"/>
        </w:rPr>
        <w:drawing>
          <wp:inline distT="0" distB="0" distL="0" distR="0" wp14:anchorId="56DD0912" wp14:editId="78B1E5F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F703C" w14:textId="77777777" w:rsidR="00316C7D" w:rsidRPr="00E415DB" w:rsidRDefault="00A610EF" w:rsidP="00A610EF">
      <w:pPr>
        <w:pBdr>
          <w:top w:val="single" w:sz="4" w:space="16" w:color="auto"/>
        </w:pBdr>
        <w:spacing w:before="240"/>
        <w:jc w:val="right"/>
        <w:rPr>
          <w:rFonts w:ascii="Arial Black" w:hAnsi="Arial Black"/>
          <w:caps/>
          <w:sz w:val="15"/>
          <w:lang w:val="fr-CH"/>
        </w:rPr>
      </w:pPr>
      <w:r w:rsidRPr="00E415DB">
        <w:rPr>
          <w:rFonts w:ascii="Arial Black" w:hAnsi="Arial Black"/>
          <w:caps/>
          <w:sz w:val="15"/>
          <w:lang w:val="fr-CH"/>
        </w:rPr>
        <w:t>WO/GA/54/</w:t>
      </w:r>
      <w:bookmarkStart w:id="0" w:name="Code"/>
      <w:bookmarkEnd w:id="0"/>
      <w:r w:rsidRPr="00E415DB">
        <w:rPr>
          <w:rFonts w:ascii="Arial Black" w:hAnsi="Arial Black"/>
          <w:caps/>
          <w:sz w:val="15"/>
          <w:lang w:val="fr-CH"/>
        </w:rPr>
        <w:t>14</w:t>
      </w:r>
    </w:p>
    <w:p w14:paraId="3795E980" w14:textId="466A096F" w:rsidR="00316C7D" w:rsidRPr="00E415DB" w:rsidRDefault="00A610EF" w:rsidP="00A610EF">
      <w:pPr>
        <w:jc w:val="right"/>
        <w:rPr>
          <w:lang w:val="fr-CH"/>
        </w:rPr>
      </w:pPr>
      <w:bookmarkStart w:id="1" w:name="_GoBack"/>
      <w:bookmarkEnd w:id="1"/>
      <w:r w:rsidRPr="00E415DB">
        <w:rPr>
          <w:rFonts w:ascii="Arial Black" w:hAnsi="Arial Black"/>
          <w:caps/>
          <w:sz w:val="15"/>
          <w:lang w:val="fr-CH"/>
        </w:rPr>
        <w:t>ORIGINAL</w:t>
      </w:r>
      <w:r w:rsidR="00A34A57">
        <w:rPr>
          <w:rFonts w:ascii="Arial Black" w:hAnsi="Arial Black"/>
          <w:caps/>
          <w:sz w:val="15"/>
          <w:lang w:val="fr-CH"/>
        </w:rPr>
        <w:t> :</w:t>
      </w:r>
      <w:r w:rsidRPr="00E415DB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Original"/>
      <w:r w:rsidRPr="00E415DB">
        <w:rPr>
          <w:rFonts w:ascii="Arial Black" w:hAnsi="Arial Black"/>
          <w:caps/>
          <w:sz w:val="15"/>
          <w:lang w:val="fr-CH"/>
        </w:rPr>
        <w:t>anglais</w:t>
      </w:r>
    </w:p>
    <w:bookmarkEnd w:id="2"/>
    <w:p w14:paraId="5DBA2A64" w14:textId="1B6558F8" w:rsidR="00316C7D" w:rsidRPr="00E415DB" w:rsidRDefault="00A610EF" w:rsidP="00A610EF">
      <w:pPr>
        <w:spacing w:after="1200"/>
        <w:jc w:val="right"/>
        <w:rPr>
          <w:lang w:val="fr-CH"/>
        </w:rPr>
      </w:pPr>
      <w:r w:rsidRPr="00E415DB">
        <w:rPr>
          <w:rFonts w:ascii="Arial Black" w:hAnsi="Arial Black"/>
          <w:caps/>
          <w:sz w:val="15"/>
          <w:lang w:val="fr-CH"/>
        </w:rPr>
        <w:t>DATE</w:t>
      </w:r>
      <w:r w:rsidR="00A34A57">
        <w:rPr>
          <w:rFonts w:ascii="Arial Black" w:hAnsi="Arial Black"/>
          <w:caps/>
          <w:sz w:val="15"/>
          <w:lang w:val="fr-CH"/>
        </w:rPr>
        <w:t> :</w:t>
      </w:r>
      <w:r w:rsidRPr="00E415DB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Date"/>
      <w:r w:rsidRPr="006A46F0">
        <w:rPr>
          <w:rFonts w:ascii="Arial Black" w:hAnsi="Arial Black"/>
          <w:caps/>
          <w:sz w:val="15"/>
          <w:lang w:val="fr-CH"/>
        </w:rPr>
        <w:t>23</w:t>
      </w:r>
      <w:r w:rsidR="00E415DB" w:rsidRPr="006A46F0">
        <w:rPr>
          <w:rFonts w:ascii="Arial Black" w:hAnsi="Arial Black"/>
          <w:caps/>
          <w:sz w:val="15"/>
          <w:lang w:val="fr-CH"/>
        </w:rPr>
        <w:t> </w:t>
      </w:r>
      <w:r w:rsidRPr="006A46F0">
        <w:rPr>
          <w:rFonts w:ascii="Arial Black" w:hAnsi="Arial Black"/>
          <w:caps/>
          <w:sz w:val="15"/>
          <w:lang w:val="fr-CH"/>
        </w:rPr>
        <w:t>a</w:t>
      </w:r>
      <w:r w:rsidRPr="00E415DB">
        <w:rPr>
          <w:rFonts w:ascii="Arial Black" w:hAnsi="Arial Black"/>
          <w:caps/>
          <w:sz w:val="15"/>
          <w:lang w:val="fr-CH"/>
        </w:rPr>
        <w:t>oût</w:t>
      </w:r>
      <w:r w:rsidR="00E415DB" w:rsidRPr="00E415DB">
        <w:rPr>
          <w:rFonts w:ascii="Arial Black" w:hAnsi="Arial Black"/>
          <w:caps/>
          <w:sz w:val="15"/>
          <w:lang w:val="fr-CH"/>
        </w:rPr>
        <w:t> </w:t>
      </w:r>
      <w:r w:rsidRPr="00E415DB">
        <w:rPr>
          <w:rFonts w:ascii="Arial Black" w:hAnsi="Arial Black"/>
          <w:caps/>
          <w:sz w:val="15"/>
          <w:lang w:val="fr-CH"/>
        </w:rPr>
        <w:t>2021</w:t>
      </w:r>
    </w:p>
    <w:bookmarkEnd w:id="3"/>
    <w:p w14:paraId="762F03A0" w14:textId="14B0A3F7" w:rsidR="00316C7D" w:rsidRPr="00E415DB" w:rsidRDefault="00A610EF" w:rsidP="00A610EF">
      <w:pPr>
        <w:pStyle w:val="Heading1"/>
        <w:rPr>
          <w:lang w:val="fr-CH"/>
        </w:rPr>
      </w:pPr>
      <w:r w:rsidRPr="00E415DB">
        <w:rPr>
          <w:lang w:val="fr-CH"/>
        </w:rPr>
        <w:t>Assemblée générale de l</w:t>
      </w:r>
      <w:r w:rsidR="00A34A57">
        <w:rPr>
          <w:caps/>
          <w:lang w:val="fr-CH"/>
        </w:rPr>
        <w:t>’</w:t>
      </w:r>
      <w:r w:rsidRPr="00E415DB">
        <w:rPr>
          <w:lang w:val="fr-CH"/>
        </w:rPr>
        <w:t>OMPI</w:t>
      </w:r>
    </w:p>
    <w:p w14:paraId="2DEAA18C" w14:textId="364138C3" w:rsidR="00316C7D" w:rsidRPr="00E415DB" w:rsidRDefault="00A610EF" w:rsidP="00A610EF">
      <w:pPr>
        <w:spacing w:after="720"/>
        <w:outlineLvl w:val="1"/>
        <w:rPr>
          <w:b/>
          <w:sz w:val="24"/>
          <w:szCs w:val="24"/>
          <w:lang w:val="fr-CH"/>
        </w:rPr>
      </w:pPr>
      <w:r w:rsidRPr="00E415DB">
        <w:rPr>
          <w:b/>
          <w:bCs/>
          <w:iCs/>
          <w:sz w:val="24"/>
          <w:lang w:val="fr-CH"/>
        </w:rPr>
        <w:t>Cinquante</w:t>
      </w:r>
      <w:r w:rsidR="005D3B26">
        <w:rPr>
          <w:b/>
          <w:bCs/>
          <w:iCs/>
          <w:sz w:val="24"/>
          <w:lang w:val="fr-CH"/>
        </w:rPr>
        <w:noBreakHyphen/>
      </w:r>
      <w:r w:rsidRPr="00E415DB">
        <w:rPr>
          <w:b/>
          <w:bCs/>
          <w:iCs/>
          <w:sz w:val="24"/>
          <w:lang w:val="fr-CH"/>
        </w:rPr>
        <w:t>quatr</w:t>
      </w:r>
      <w:r w:rsidR="00A34A57">
        <w:rPr>
          <w:b/>
          <w:bCs/>
          <w:iCs/>
          <w:sz w:val="24"/>
          <w:lang w:val="fr-CH"/>
        </w:rPr>
        <w:t>ième session</w:t>
      </w:r>
      <w:r w:rsidRPr="00E415DB">
        <w:rPr>
          <w:b/>
          <w:bCs/>
          <w:iCs/>
          <w:sz w:val="24"/>
          <w:lang w:val="fr-CH"/>
        </w:rPr>
        <w:t xml:space="preserve"> (25</w:t>
      </w:r>
      <w:r w:rsidRPr="00E415DB">
        <w:rPr>
          <w:b/>
          <w:bCs/>
          <w:iCs/>
          <w:sz w:val="24"/>
          <w:vertAlign w:val="superscript"/>
          <w:lang w:val="fr-CH"/>
        </w:rPr>
        <w:t>e</w:t>
      </w:r>
      <w:r w:rsidR="00E415DB" w:rsidRPr="00E415DB">
        <w:rPr>
          <w:b/>
          <w:bCs/>
          <w:iCs/>
          <w:sz w:val="24"/>
          <w:lang w:val="fr-CH"/>
        </w:rPr>
        <w:t> </w:t>
      </w:r>
      <w:r w:rsidRPr="00E415DB">
        <w:rPr>
          <w:b/>
          <w:bCs/>
          <w:iCs/>
          <w:sz w:val="24"/>
          <w:lang w:val="fr-CH"/>
        </w:rPr>
        <w:t>session ordinaire</w:t>
      </w:r>
      <w:r w:rsidRPr="00E415DB">
        <w:rPr>
          <w:b/>
          <w:sz w:val="24"/>
          <w:szCs w:val="24"/>
          <w:lang w:val="fr-CH"/>
        </w:rPr>
        <w:t>)</w:t>
      </w:r>
      <w:r w:rsidRPr="00E415DB">
        <w:rPr>
          <w:b/>
          <w:sz w:val="24"/>
          <w:szCs w:val="24"/>
          <w:lang w:val="fr-CH"/>
        </w:rPr>
        <w:br/>
      </w:r>
      <w:r w:rsidRPr="00E415DB">
        <w:rPr>
          <w:b/>
          <w:sz w:val="24"/>
          <w:lang w:val="fr-CH"/>
        </w:rPr>
        <w:t xml:space="preserve">Genève, </w:t>
      </w:r>
      <w:r w:rsidRPr="00E415DB">
        <w:rPr>
          <w:b/>
          <w:sz w:val="24"/>
          <w:szCs w:val="24"/>
          <w:lang w:val="fr-CH"/>
        </w:rPr>
        <w:t>4 – 8</w:t>
      </w:r>
      <w:r w:rsidR="00E415DB" w:rsidRPr="00E415DB">
        <w:rPr>
          <w:b/>
          <w:sz w:val="24"/>
          <w:szCs w:val="24"/>
          <w:lang w:val="fr-CH"/>
        </w:rPr>
        <w:t> </w:t>
      </w:r>
      <w:r w:rsidRPr="00E415DB">
        <w:rPr>
          <w:b/>
          <w:sz w:val="24"/>
          <w:szCs w:val="24"/>
          <w:lang w:val="fr-CH"/>
        </w:rPr>
        <w:t>octobre</w:t>
      </w:r>
      <w:r w:rsidR="00E415DB" w:rsidRPr="00E415DB">
        <w:rPr>
          <w:b/>
          <w:sz w:val="24"/>
          <w:szCs w:val="24"/>
          <w:lang w:val="fr-CH"/>
        </w:rPr>
        <w:t> </w:t>
      </w:r>
      <w:r w:rsidRPr="00E415DB">
        <w:rPr>
          <w:b/>
          <w:sz w:val="24"/>
          <w:szCs w:val="24"/>
          <w:lang w:val="fr-CH"/>
        </w:rPr>
        <w:t>2021</w:t>
      </w:r>
    </w:p>
    <w:p w14:paraId="600ABCB1" w14:textId="247CF496" w:rsidR="00316C7D" w:rsidRPr="00E415DB" w:rsidRDefault="00A610EF" w:rsidP="00A610EF">
      <w:pPr>
        <w:spacing w:after="360"/>
        <w:rPr>
          <w:caps/>
          <w:sz w:val="24"/>
          <w:lang w:val="fr-CH"/>
        </w:rPr>
      </w:pPr>
      <w:r w:rsidRPr="00E415DB">
        <w:rPr>
          <w:caps/>
          <w:sz w:val="24"/>
          <w:lang w:val="fr-CH"/>
        </w:rPr>
        <w:t>Questions concernant la date de mise en œuvre effective de la norme</w:t>
      </w:r>
      <w:r w:rsidR="00E415DB" w:rsidRPr="00E415DB">
        <w:rPr>
          <w:caps/>
          <w:sz w:val="24"/>
          <w:lang w:val="fr-CH"/>
        </w:rPr>
        <w:t> </w:t>
      </w:r>
      <w:r w:rsidRPr="00E415DB">
        <w:rPr>
          <w:caps/>
          <w:sz w:val="24"/>
          <w:lang w:val="fr-CH"/>
        </w:rPr>
        <w:t>ST.26 de l</w:t>
      </w:r>
      <w:r w:rsidR="00A34A57">
        <w:rPr>
          <w:caps/>
          <w:sz w:val="24"/>
          <w:lang w:val="fr-CH"/>
        </w:rPr>
        <w:t>’</w:t>
      </w:r>
      <w:r w:rsidRPr="00E415DB">
        <w:rPr>
          <w:caps/>
          <w:sz w:val="24"/>
          <w:lang w:val="fr-CH"/>
        </w:rPr>
        <w:t>OMPI</w:t>
      </w:r>
    </w:p>
    <w:p w14:paraId="6A890ADC" w14:textId="77777777" w:rsidR="00316C7D" w:rsidRPr="00E415DB" w:rsidRDefault="00A610EF" w:rsidP="00A610EF">
      <w:pPr>
        <w:spacing w:after="960"/>
        <w:rPr>
          <w:i/>
          <w:lang w:val="fr-CH"/>
        </w:rPr>
      </w:pPr>
      <w:bookmarkStart w:id="4" w:name="Prepared"/>
      <w:bookmarkEnd w:id="4"/>
      <w:r w:rsidRPr="00E415DB">
        <w:rPr>
          <w:i/>
          <w:lang w:val="fr-CH"/>
        </w:rPr>
        <w:t>Document établi par le Secrétariat</w:t>
      </w:r>
    </w:p>
    <w:p w14:paraId="1250D4AD" w14:textId="77777777" w:rsidR="00316C7D" w:rsidRPr="00E415DB" w:rsidRDefault="00595DCF" w:rsidP="00B1750B">
      <w:pPr>
        <w:pStyle w:val="Heading2"/>
        <w:rPr>
          <w:lang w:val="fr-CH"/>
        </w:rPr>
      </w:pPr>
      <w:r w:rsidRPr="00E415DB">
        <w:rPr>
          <w:lang w:val="fr-CH"/>
        </w:rPr>
        <w:t>Introduction</w:t>
      </w:r>
    </w:p>
    <w:p w14:paraId="1A4D5830" w14:textId="1FE0E226" w:rsidR="003D0A01" w:rsidRPr="00DD1462" w:rsidRDefault="00A610EF" w:rsidP="00DD1462">
      <w:pPr>
        <w:pStyle w:val="ONUMFS"/>
        <w:rPr>
          <w:lang w:val="fr-FR"/>
        </w:rPr>
      </w:pPr>
      <w:r w:rsidRPr="00DD1462">
        <w:rPr>
          <w:lang w:val="fr-FR"/>
        </w:rPr>
        <w:t>Le Comité des normes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OMPI (CWS), à la reprise de sa quatr</w:t>
      </w:r>
      <w:r w:rsidR="00A34A57" w:rsidRPr="00DD1462">
        <w:rPr>
          <w:lang w:val="fr-FR"/>
        </w:rPr>
        <w:t>ième session</w:t>
      </w:r>
      <w:r w:rsidRPr="00DD1462">
        <w:rPr>
          <w:lang w:val="fr-FR"/>
        </w:rPr>
        <w:t xml:space="preserve"> en mars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2016, a adopté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ST.26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OMPI intitulée </w:t>
      </w:r>
      <w:r w:rsidR="00E415DB" w:rsidRPr="00DD1462">
        <w:rPr>
          <w:lang w:val="fr-FR"/>
        </w:rPr>
        <w:t>“</w:t>
      </w:r>
      <w:r w:rsidRPr="00DD1462">
        <w:rPr>
          <w:lang w:val="fr-FR"/>
        </w:rPr>
        <w:t>Recommandation de norme relative à la présentation des listages des séquences de nucléotides et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acides aminés en langage XML (</w:t>
      </w:r>
      <w:proofErr w:type="spellStart"/>
      <w:r w:rsidRPr="00DD1462">
        <w:rPr>
          <w:lang w:val="fr-FR"/>
        </w:rPr>
        <w:t>eXtensible</w:t>
      </w:r>
      <w:proofErr w:type="spellEnd"/>
      <w:r w:rsidRPr="00DD1462">
        <w:rPr>
          <w:lang w:val="fr-FR"/>
        </w:rPr>
        <w:t xml:space="preserve"> </w:t>
      </w:r>
      <w:proofErr w:type="spellStart"/>
      <w:r w:rsidRPr="00DD1462">
        <w:rPr>
          <w:lang w:val="fr-FR"/>
        </w:rPr>
        <w:t>Markup</w:t>
      </w:r>
      <w:proofErr w:type="spellEnd"/>
      <w:r w:rsidRPr="00DD1462">
        <w:rPr>
          <w:lang w:val="fr-FR"/>
        </w:rPr>
        <w:t xml:space="preserve"> </w:t>
      </w:r>
      <w:proofErr w:type="spellStart"/>
      <w:r w:rsidRPr="00DD1462">
        <w:rPr>
          <w:lang w:val="fr-FR"/>
        </w:rPr>
        <w:t>Language</w:t>
      </w:r>
      <w:proofErr w:type="spellEnd"/>
      <w:r w:rsidRPr="00DD1462">
        <w:rPr>
          <w:lang w:val="fr-FR"/>
        </w:rPr>
        <w:t>)</w:t>
      </w:r>
      <w:r w:rsidR="00E415DB" w:rsidRPr="00DD1462">
        <w:rPr>
          <w:lang w:val="fr-FR"/>
        </w:rPr>
        <w:t>”</w:t>
      </w:r>
      <w:r w:rsidRPr="00DD1462">
        <w:rPr>
          <w:lang w:val="fr-FR"/>
        </w:rPr>
        <w:t>.</w:t>
      </w:r>
    </w:p>
    <w:p w14:paraId="525A9BFC" w14:textId="038AB811" w:rsidR="003D0A01" w:rsidRPr="00DD1462" w:rsidRDefault="00A610EF" w:rsidP="00DD1462">
      <w:pPr>
        <w:pStyle w:val="ONUMFS"/>
        <w:rPr>
          <w:lang w:val="fr-FR"/>
        </w:rPr>
      </w:pPr>
      <w:r w:rsidRPr="00DD1462">
        <w:rPr>
          <w:lang w:val="fr-FR"/>
        </w:rPr>
        <w:t>Afin de faciliter la mise en œuvre de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ST.26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OMPI, le Bureau international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OMPI, en étroite collaboration avec les offices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Équipe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experts</w:t>
      </w:r>
      <w:r w:rsidR="003D0A01" w:rsidRPr="00DD1462">
        <w:rPr>
          <w:lang w:val="fr-FR"/>
        </w:rPr>
        <w:t xml:space="preserve"> du CWS</w:t>
      </w:r>
      <w:r w:rsidRPr="00DD1462">
        <w:rPr>
          <w:lang w:val="fr-FR"/>
        </w:rPr>
        <w:t xml:space="preserve"> chargée de la norme relative aux listages des séquences, a mis au point la suite logicielle WIPO </w:t>
      </w:r>
      <w:proofErr w:type="spellStart"/>
      <w:r w:rsidRPr="00DD1462">
        <w:rPr>
          <w:lang w:val="fr-FR"/>
        </w:rPr>
        <w:t>Sequence</w:t>
      </w:r>
      <w:proofErr w:type="spellEnd"/>
      <w:r w:rsidR="00E415DB" w:rsidRPr="00DD1462">
        <w:rPr>
          <w:lang w:val="fr-FR"/>
        </w:rPr>
        <w:t>, qui inclut</w:t>
      </w:r>
      <w:r w:rsidRPr="00DD1462">
        <w:rPr>
          <w:lang w:val="fr-FR"/>
        </w:rPr>
        <w:t xml:space="preserve"> un outil bureautique </w:t>
      </w:r>
      <w:r w:rsidR="00E415DB" w:rsidRPr="00DD1462">
        <w:rPr>
          <w:lang w:val="fr-FR"/>
        </w:rPr>
        <w:t xml:space="preserve">permettant </w:t>
      </w:r>
      <w:r w:rsidRPr="00DD1462">
        <w:rPr>
          <w:lang w:val="fr-FR"/>
        </w:rPr>
        <w:t>aux déposants de demandes de brevet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établir des listages des séquences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acides aminés et de nucléotides conformément à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ST.26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OMPI</w:t>
      </w:r>
      <w:r w:rsidR="00C14893" w:rsidRPr="00DD1462">
        <w:rPr>
          <w:lang w:val="fr-FR"/>
        </w:rPr>
        <w:t>, ainsi qu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un service Web </w:t>
      </w:r>
      <w:r w:rsidR="00C14893" w:rsidRPr="00DD1462">
        <w:rPr>
          <w:lang w:val="fr-FR"/>
        </w:rPr>
        <w:t xml:space="preserve">(WIPO </w:t>
      </w:r>
      <w:proofErr w:type="spellStart"/>
      <w:r w:rsidR="00C14893" w:rsidRPr="00DD1462">
        <w:rPr>
          <w:lang w:val="fr-FR"/>
        </w:rPr>
        <w:t>Sequence</w:t>
      </w:r>
      <w:proofErr w:type="spellEnd"/>
      <w:r w:rsidR="00C14893" w:rsidRPr="00DD1462">
        <w:rPr>
          <w:lang w:val="fr-FR"/>
        </w:rPr>
        <w:t xml:space="preserve"> </w:t>
      </w:r>
      <w:proofErr w:type="spellStart"/>
      <w:r w:rsidR="00C14893" w:rsidRPr="00DD1462">
        <w:rPr>
          <w:lang w:val="fr-FR"/>
        </w:rPr>
        <w:t>Validator</w:t>
      </w:r>
      <w:proofErr w:type="spellEnd"/>
      <w:r w:rsidR="00C14893" w:rsidRPr="00DD1462">
        <w:rPr>
          <w:lang w:val="fr-FR"/>
        </w:rPr>
        <w:t xml:space="preserve">) </w:t>
      </w:r>
      <w:r w:rsidRPr="00DD1462">
        <w:rPr>
          <w:lang w:val="fr-FR"/>
        </w:rPr>
        <w:t>destiné à aider les offices à vérifier que les listages des séquences déposés sont également conformes à la norme.</w:t>
      </w:r>
    </w:p>
    <w:p w14:paraId="2EC42EE8" w14:textId="2DE096DD" w:rsidR="00316C7D" w:rsidRPr="00DD1462" w:rsidRDefault="00A610EF" w:rsidP="00DD1462">
      <w:pPr>
        <w:pStyle w:val="ONUMFS"/>
        <w:rPr>
          <w:lang w:val="fr-FR"/>
        </w:rPr>
      </w:pPr>
      <w:r w:rsidRPr="00DD1462">
        <w:rPr>
          <w:lang w:val="fr-FR"/>
        </w:rPr>
        <w:t>À sa cinqu</w:t>
      </w:r>
      <w:r w:rsidR="00A34A57" w:rsidRPr="00DD1462">
        <w:rPr>
          <w:lang w:val="fr-FR"/>
        </w:rPr>
        <w:t>ième session</w:t>
      </w:r>
      <w:r w:rsidRPr="00DD1462">
        <w:rPr>
          <w:lang w:val="fr-FR"/>
        </w:rPr>
        <w:t xml:space="preserve"> tenue </w:t>
      </w:r>
      <w:r w:rsidR="003D0A01" w:rsidRPr="00DD1462">
        <w:rPr>
          <w:lang w:val="fr-FR"/>
        </w:rPr>
        <w:t>en 2017</w:t>
      </w:r>
      <w:r w:rsidRPr="00DD1462">
        <w:rPr>
          <w:lang w:val="fr-FR"/>
        </w:rPr>
        <w:t xml:space="preserve">, les États membres sont parvenus à un accord sur la mise en </w:t>
      </w:r>
      <w:r w:rsidR="00E415DB" w:rsidRPr="00DD1462">
        <w:rPr>
          <w:lang w:val="fr-FR"/>
        </w:rPr>
        <w:t>œ</w:t>
      </w:r>
      <w:r w:rsidRPr="00DD1462">
        <w:rPr>
          <w:lang w:val="fr-FR"/>
        </w:rPr>
        <w:t>uvre simultanée de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ST.26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OMPI aux niveaux national, régional et international le</w:t>
      </w:r>
      <w:r w:rsidR="00A34A57" w:rsidRPr="00DD1462">
        <w:rPr>
          <w:lang w:val="fr-FR"/>
        </w:rPr>
        <w:t xml:space="preserve"> 1</w:t>
      </w:r>
      <w:r w:rsidR="00A34A57" w:rsidRPr="004B085B">
        <w:rPr>
          <w:vertAlign w:val="superscript"/>
          <w:lang w:val="fr-FR"/>
        </w:rPr>
        <w:t>er</w:t>
      </w:r>
      <w:r w:rsidR="00A34A57" w:rsidRPr="00DD1462">
        <w:rPr>
          <w:lang w:val="fr-FR"/>
        </w:rPr>
        <w:t> </w:t>
      </w:r>
      <w:r w:rsidRPr="00DD1462">
        <w:rPr>
          <w:lang w:val="fr-FR"/>
        </w:rPr>
        <w:t>janvier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2022 (ci</w:t>
      </w:r>
      <w:r w:rsidR="005D3B26">
        <w:rPr>
          <w:lang w:val="fr-FR"/>
        </w:rPr>
        <w:noBreakHyphen/>
      </w:r>
      <w:r w:rsidRPr="00DD1462">
        <w:rPr>
          <w:lang w:val="fr-FR"/>
        </w:rPr>
        <w:t>après dénommée la date du big</w:t>
      </w:r>
      <w:r w:rsidR="005D3B26">
        <w:rPr>
          <w:lang w:val="fr-FR"/>
        </w:rPr>
        <w:noBreakHyphen/>
      </w:r>
      <w:r w:rsidRPr="00DD1462">
        <w:rPr>
          <w:lang w:val="fr-FR"/>
        </w:rPr>
        <w:t>bang, voir les paragraphes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42 à 44 du document CWS/5/22).</w:t>
      </w:r>
    </w:p>
    <w:p w14:paraId="4AC349BB" w14:textId="4BE4A734" w:rsidR="003D0A01" w:rsidRPr="00DD1462" w:rsidRDefault="00A610EF" w:rsidP="00DD1462">
      <w:pPr>
        <w:pStyle w:val="ONUMFS"/>
        <w:rPr>
          <w:lang w:val="fr-FR"/>
        </w:rPr>
      </w:pPr>
      <w:r w:rsidRPr="00DD1462">
        <w:rPr>
          <w:lang w:val="fr-FR"/>
        </w:rPr>
        <w:t>En raison du manque de temps pour mettre en œuvre le règlement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exécution modifié</w:t>
      </w:r>
      <w:r w:rsidR="003D0A01" w:rsidRPr="00DD1462">
        <w:rPr>
          <w:lang w:val="fr-FR"/>
        </w:rPr>
        <w:t xml:space="preserve"> du PCT</w:t>
      </w:r>
      <w:r w:rsidRPr="00DD1462">
        <w:rPr>
          <w:lang w:val="fr-FR"/>
        </w:rPr>
        <w:t xml:space="preserve"> avant la mise en œuvre de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ST.26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OMPI, qui devrait être adoptée </w:t>
      </w:r>
      <w:r w:rsidR="00E415DB" w:rsidRPr="00DD1462">
        <w:rPr>
          <w:lang w:val="fr-FR"/>
        </w:rPr>
        <w:t>par</w:t>
      </w:r>
      <w:r w:rsidRPr="00DD1462">
        <w:rPr>
          <w:lang w:val="fr-FR"/>
        </w:rPr>
        <w:t xml:space="preserve"> </w:t>
      </w:r>
      <w:r w:rsidRPr="00DD1462">
        <w:rPr>
          <w:lang w:val="fr-FR"/>
        </w:rPr>
        <w:lastRenderedPageBreak/>
        <w:t>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assemblée</w:t>
      </w:r>
      <w:r w:rsidR="003D0A01" w:rsidRPr="00DD1462">
        <w:rPr>
          <w:lang w:val="fr-FR"/>
        </w:rPr>
        <w:t xml:space="preserve"> du PCT</w:t>
      </w:r>
      <w:r w:rsidRPr="00DD1462">
        <w:rPr>
          <w:lang w:val="fr-FR"/>
        </w:rPr>
        <w:t xml:space="preserve"> en octobre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2021, certains offices ont indiqué au Bureau international qu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ils auraient des difficultés à effectuer les préparatifs nécessaires avant le</w:t>
      </w:r>
      <w:r w:rsidR="00A34A57" w:rsidRPr="00DD1462">
        <w:rPr>
          <w:lang w:val="fr-FR"/>
        </w:rPr>
        <w:t xml:space="preserve"> 1</w:t>
      </w:r>
      <w:r w:rsidR="00A34A57" w:rsidRPr="004B085B">
        <w:rPr>
          <w:vertAlign w:val="superscript"/>
          <w:lang w:val="fr-FR"/>
        </w:rPr>
        <w:t>er</w:t>
      </w:r>
      <w:r w:rsidR="00A34A57" w:rsidRPr="00DD1462">
        <w:rPr>
          <w:lang w:val="fr-FR"/>
        </w:rPr>
        <w:t> </w:t>
      </w:r>
      <w:r w:rsidRPr="00DD1462">
        <w:rPr>
          <w:lang w:val="fr-FR"/>
        </w:rPr>
        <w:t>janvier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 xml:space="preserve">2022, soit pour </w:t>
      </w:r>
      <w:r w:rsidR="00E415DB" w:rsidRPr="00DD1462">
        <w:rPr>
          <w:lang w:val="fr-FR"/>
        </w:rPr>
        <w:t>valider</w:t>
      </w:r>
      <w:r w:rsidRPr="00DD1462">
        <w:rPr>
          <w:lang w:val="fr-FR"/>
        </w:rPr>
        <w:t xml:space="preserve"> les modifications du règlement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exécution</w:t>
      </w:r>
      <w:r w:rsidR="003D0A01" w:rsidRPr="00DD1462">
        <w:rPr>
          <w:lang w:val="fr-FR"/>
        </w:rPr>
        <w:t xml:space="preserve"> du PCT</w:t>
      </w:r>
      <w:r w:rsidRPr="00DD1462">
        <w:rPr>
          <w:lang w:val="fr-FR"/>
        </w:rPr>
        <w:t>, soit pour modifier leur propre réglementation afin de mettre en œuvre des procédures nationales fondées sur les procédures</w:t>
      </w:r>
      <w:r w:rsidR="003D0A01" w:rsidRPr="00DD1462">
        <w:rPr>
          <w:lang w:val="fr-FR"/>
        </w:rPr>
        <w:t xml:space="preserve"> du PCT</w:t>
      </w:r>
      <w:r w:rsidRPr="00DD1462">
        <w:rPr>
          <w:lang w:val="fr-FR"/>
        </w:rPr>
        <w:t xml:space="preserve"> énoncées dans l</w:t>
      </w:r>
      <w:r w:rsidR="00E415DB" w:rsidRPr="00DD1462">
        <w:rPr>
          <w:lang w:val="fr-FR"/>
        </w:rPr>
        <w:t>e règlement d</w:t>
      </w:r>
      <w:r w:rsidR="00A34A57" w:rsidRPr="00DD1462">
        <w:rPr>
          <w:lang w:val="fr-FR"/>
        </w:rPr>
        <w:t>’</w:t>
      </w:r>
      <w:r w:rsidR="00E415DB" w:rsidRPr="00DD1462">
        <w:rPr>
          <w:lang w:val="fr-FR"/>
        </w:rPr>
        <w:t>exécution et les I</w:t>
      </w:r>
      <w:r w:rsidRPr="00DD1462">
        <w:rPr>
          <w:lang w:val="fr-FR"/>
        </w:rPr>
        <w:t>nstructions administratives.</w:t>
      </w:r>
    </w:p>
    <w:p w14:paraId="38883094" w14:textId="07306EC6" w:rsidR="00316C7D" w:rsidRPr="00DD1462" w:rsidRDefault="00A610EF" w:rsidP="00DD1462">
      <w:pPr>
        <w:pStyle w:val="ONUMFS"/>
        <w:rPr>
          <w:lang w:val="fr-FR"/>
        </w:rPr>
      </w:pPr>
      <w:r w:rsidRPr="00DD1462">
        <w:rPr>
          <w:lang w:val="fr-FR"/>
        </w:rPr>
        <w:t>Compte tenu de ce qui précède,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Équipe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experts</w:t>
      </w:r>
      <w:r w:rsidR="003D0A01" w:rsidRPr="00DD1462">
        <w:rPr>
          <w:lang w:val="fr-FR"/>
        </w:rPr>
        <w:t xml:space="preserve"> du CWS</w:t>
      </w:r>
      <w:r w:rsidRPr="00DD1462">
        <w:rPr>
          <w:lang w:val="fr-FR"/>
        </w:rPr>
        <w:t xml:space="preserve"> chargée de la norme relative aux listages des séquences a accepté la proposition tendant à reporter la date du big</w:t>
      </w:r>
      <w:r w:rsidR="005D3B26">
        <w:rPr>
          <w:lang w:val="fr-FR"/>
        </w:rPr>
        <w:noBreakHyphen/>
      </w:r>
      <w:r w:rsidRPr="00DD1462">
        <w:rPr>
          <w:lang w:val="fr-FR"/>
        </w:rPr>
        <w:t>bang au</w:t>
      </w:r>
      <w:r w:rsidR="00A34A57" w:rsidRPr="00DD1462">
        <w:rPr>
          <w:lang w:val="fr-FR"/>
        </w:rPr>
        <w:t xml:space="preserve"> 1</w:t>
      </w:r>
      <w:r w:rsidR="00A34A57" w:rsidRPr="004B085B">
        <w:rPr>
          <w:vertAlign w:val="superscript"/>
          <w:lang w:val="fr-FR"/>
        </w:rPr>
        <w:t>er</w:t>
      </w:r>
      <w:r w:rsidR="00A34A57" w:rsidRPr="00DD1462">
        <w:rPr>
          <w:lang w:val="fr-FR"/>
        </w:rPr>
        <w:t> </w:t>
      </w:r>
      <w:r w:rsidRPr="00DD1462">
        <w:rPr>
          <w:lang w:val="fr-FR"/>
        </w:rPr>
        <w:t>juillet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2022.</w:t>
      </w:r>
      <w:r w:rsidR="00E14F34" w:rsidRPr="00DD1462">
        <w:rPr>
          <w:lang w:val="fr-FR"/>
        </w:rPr>
        <w:t xml:space="preserve">  </w:t>
      </w:r>
      <w:r w:rsidRPr="00DD1462">
        <w:rPr>
          <w:lang w:val="fr-FR"/>
        </w:rPr>
        <w:t>Par conséquent, il est proposé que les modifications du règlement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exécution</w:t>
      </w:r>
      <w:r w:rsidR="003D0A01" w:rsidRPr="00DD1462">
        <w:rPr>
          <w:lang w:val="fr-FR"/>
        </w:rPr>
        <w:t xml:space="preserve"> du PCT</w:t>
      </w:r>
      <w:r w:rsidRPr="00DD1462">
        <w:rPr>
          <w:lang w:val="fr-FR"/>
        </w:rPr>
        <w:t xml:space="preserve"> entrent en vigueur le</w:t>
      </w:r>
      <w:r w:rsidR="00A34A57" w:rsidRPr="00DD1462">
        <w:rPr>
          <w:lang w:val="fr-FR"/>
        </w:rPr>
        <w:t xml:space="preserve"> 1</w:t>
      </w:r>
      <w:r w:rsidR="00A34A57" w:rsidRPr="004B085B">
        <w:rPr>
          <w:vertAlign w:val="superscript"/>
          <w:lang w:val="fr-FR"/>
        </w:rPr>
        <w:t>er</w:t>
      </w:r>
      <w:r w:rsidR="00A34A57" w:rsidRPr="00DD1462">
        <w:rPr>
          <w:lang w:val="fr-FR"/>
        </w:rPr>
        <w:t> </w:t>
      </w:r>
      <w:r w:rsidRPr="00DD1462">
        <w:rPr>
          <w:lang w:val="fr-FR"/>
        </w:rPr>
        <w:t>juillet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2022, et non le</w:t>
      </w:r>
      <w:r w:rsidR="00A34A57" w:rsidRPr="00DD1462">
        <w:rPr>
          <w:lang w:val="fr-FR"/>
        </w:rPr>
        <w:t xml:space="preserve"> 1</w:t>
      </w:r>
      <w:r w:rsidR="00A34A57" w:rsidRPr="004B085B">
        <w:rPr>
          <w:vertAlign w:val="superscript"/>
          <w:lang w:val="fr-FR"/>
        </w:rPr>
        <w:t>er</w:t>
      </w:r>
      <w:r w:rsidR="00A34A57" w:rsidRPr="00DD1462">
        <w:rPr>
          <w:lang w:val="fr-FR"/>
        </w:rPr>
        <w:t> </w:t>
      </w:r>
      <w:r w:rsidRPr="00DD1462">
        <w:rPr>
          <w:lang w:val="fr-FR"/>
        </w:rPr>
        <w:t>janvier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2022 comme recommandé précédemment, et que les États membres modifient leurs dispositions pour une entrée en vigueur de leurs législations nationales et leurs systèmes informatiques à la même date.</w:t>
      </w:r>
    </w:p>
    <w:p w14:paraId="31AD2BA8" w14:textId="1B2CC3BA" w:rsidR="003D0A01" w:rsidRPr="00DD1462" w:rsidRDefault="00902831" w:rsidP="00DD1462">
      <w:pPr>
        <w:pStyle w:val="ONUMFS"/>
        <w:rPr>
          <w:lang w:val="fr-FR"/>
        </w:rPr>
      </w:pPr>
      <w:r w:rsidRPr="00DD1462">
        <w:rPr>
          <w:lang w:val="fr-FR"/>
        </w:rPr>
        <w:t xml:space="preserve">Afin de </w:t>
      </w:r>
      <w:r w:rsidR="00E415DB" w:rsidRPr="00DD1462">
        <w:rPr>
          <w:lang w:val="fr-FR"/>
        </w:rPr>
        <w:t>connaître le point de vue</w:t>
      </w:r>
      <w:r w:rsidRPr="00DD1462">
        <w:rPr>
          <w:lang w:val="fr-FR"/>
        </w:rPr>
        <w:t xml:space="preserve"> des offices des brevets concernant </w:t>
      </w:r>
      <w:r w:rsidR="00C14893" w:rsidRPr="00DD1462">
        <w:rPr>
          <w:lang w:val="fr-FR"/>
        </w:rPr>
        <w:t>cette</w:t>
      </w:r>
      <w:r w:rsidRPr="00DD1462">
        <w:rPr>
          <w:lang w:val="fr-FR"/>
        </w:rPr>
        <w:t xml:space="preserve"> proposition, le Bureau international a publié la circulaire </w:t>
      </w:r>
      <w:hyperlink r:id="rId9" w:history="1">
        <w:r w:rsidRPr="005D3B26">
          <w:rPr>
            <w:rStyle w:val="Hyperlink"/>
            <w:lang w:val="fr-CH"/>
          </w:rPr>
          <w:t>C.</w:t>
        </w:r>
        <w:r w:rsidR="00E415DB" w:rsidRPr="005D3B26">
          <w:rPr>
            <w:rStyle w:val="Hyperlink"/>
            <w:lang w:val="fr-CH"/>
          </w:rPr>
          <w:t> </w:t>
        </w:r>
        <w:r w:rsidRPr="005D3B26">
          <w:rPr>
            <w:rStyle w:val="Hyperlink"/>
            <w:lang w:val="fr-CH"/>
          </w:rPr>
          <w:t>PCT</w:t>
        </w:r>
        <w:r w:rsidR="00E415DB" w:rsidRPr="005D3B26">
          <w:rPr>
            <w:rStyle w:val="Hyperlink"/>
            <w:lang w:val="fr-CH"/>
          </w:rPr>
          <w:t> </w:t>
        </w:r>
        <w:r w:rsidRPr="005D3B26">
          <w:rPr>
            <w:rStyle w:val="Hyperlink"/>
            <w:lang w:val="fr-CH"/>
          </w:rPr>
          <w:t>1626/C. CWS. 150</w:t>
        </w:r>
      </w:hyperlink>
      <w:r w:rsidRPr="00DD1462">
        <w:rPr>
          <w:lang w:val="fr-FR"/>
        </w:rPr>
        <w:t>, qui invite les offices à se prononcer sur la recommandation tendant à reporter au</w:t>
      </w:r>
      <w:r w:rsidR="00A34A57" w:rsidRPr="00DD1462">
        <w:rPr>
          <w:lang w:val="fr-FR"/>
        </w:rPr>
        <w:t xml:space="preserve"> 1</w:t>
      </w:r>
      <w:r w:rsidR="00A34A57" w:rsidRPr="004B085B">
        <w:rPr>
          <w:vertAlign w:val="superscript"/>
          <w:lang w:val="fr-FR"/>
        </w:rPr>
        <w:t>er</w:t>
      </w:r>
      <w:r w:rsidR="00A34A57" w:rsidRPr="00DD1462">
        <w:rPr>
          <w:lang w:val="fr-FR"/>
        </w:rPr>
        <w:t> </w:t>
      </w:r>
      <w:r w:rsidRPr="00DD1462">
        <w:rPr>
          <w:lang w:val="fr-FR"/>
        </w:rPr>
        <w:t>juillet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2022 la date de mise en œuvre de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ST.26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OMPI à tous les niveaux.</w:t>
      </w:r>
    </w:p>
    <w:p w14:paraId="1DA1D13E" w14:textId="09DBDF78" w:rsidR="00316C7D" w:rsidRPr="00E415DB" w:rsidRDefault="00DD1462" w:rsidP="00DD1462">
      <w:pPr>
        <w:pStyle w:val="Heading2"/>
        <w:rPr>
          <w:lang w:val="fr-CH"/>
        </w:rPr>
      </w:pPr>
      <w:r>
        <w:rPr>
          <w:lang w:val="fr-CH"/>
        </w:rPr>
        <w:t>R</w:t>
      </w:r>
      <w:r w:rsidRPr="00E415DB">
        <w:rPr>
          <w:lang w:val="fr-CH"/>
        </w:rPr>
        <w:t>ésumé des réponses à la circulaire</w:t>
      </w:r>
    </w:p>
    <w:p w14:paraId="626E15C5" w14:textId="40B6E6A3" w:rsidR="00316C7D" w:rsidRPr="00DD1462" w:rsidRDefault="00902831" w:rsidP="00DD1462">
      <w:pPr>
        <w:pStyle w:val="ONUMFS"/>
        <w:rPr>
          <w:lang w:val="fr-FR"/>
        </w:rPr>
      </w:pPr>
      <w:r w:rsidRPr="00DD1462">
        <w:rPr>
          <w:lang w:val="fr-FR"/>
        </w:rPr>
        <w:t>Le Bureau international a reçu des réponses à la circulaire susmentionnée de la part des offices de 29</w:t>
      </w:r>
      <w:r w:rsidR="00E415DB" w:rsidRPr="00DD1462">
        <w:rPr>
          <w:lang w:val="fr-FR"/>
        </w:rPr>
        <w:t> </w:t>
      </w:r>
      <w:r w:rsidR="00CC386F" w:rsidRPr="00DD1462">
        <w:rPr>
          <w:lang w:val="fr-FR"/>
        </w:rPr>
        <w:t>É</w:t>
      </w:r>
      <w:r w:rsidRPr="00DD1462">
        <w:rPr>
          <w:lang w:val="fr-FR"/>
        </w:rPr>
        <w:t xml:space="preserve">tats membres et </w:t>
      </w:r>
      <w:r w:rsidR="00CC386F" w:rsidRPr="00DD1462">
        <w:rPr>
          <w:lang w:val="fr-FR"/>
        </w:rPr>
        <w:t xml:space="preserve">des </w:t>
      </w:r>
      <w:r w:rsidRPr="00DD1462">
        <w:rPr>
          <w:lang w:val="fr-FR"/>
        </w:rPr>
        <w:t>offices régionaux suivants</w:t>
      </w:r>
      <w:r w:rsidR="00A34A57" w:rsidRPr="00DD1462">
        <w:rPr>
          <w:lang w:val="fr-FR"/>
        </w:rPr>
        <w:t> :</w:t>
      </w:r>
      <w:r w:rsidRPr="00DD1462">
        <w:rPr>
          <w:lang w:val="fr-FR"/>
        </w:rPr>
        <w:t xml:space="preserve"> </w:t>
      </w:r>
      <w:r w:rsidR="00CC386F" w:rsidRPr="00DD1462">
        <w:rPr>
          <w:lang w:val="fr-FR"/>
        </w:rPr>
        <w:t>Allemagne, Autriche, Brésil, Bulgarie, Canada, Chili, Chine, Croatie, Danemark, États</w:t>
      </w:r>
      <w:r w:rsidR="005D3B26">
        <w:rPr>
          <w:lang w:val="fr-FR"/>
        </w:rPr>
        <w:noBreakHyphen/>
      </w:r>
      <w:r w:rsidR="00CC386F" w:rsidRPr="00DD1462">
        <w:rPr>
          <w:lang w:val="fr-FR"/>
        </w:rPr>
        <w:t>Unis d</w:t>
      </w:r>
      <w:r w:rsidR="00A34A57" w:rsidRPr="00DD1462">
        <w:rPr>
          <w:lang w:val="fr-FR"/>
        </w:rPr>
        <w:t>’</w:t>
      </w:r>
      <w:r w:rsidR="00CC386F" w:rsidRPr="00DD1462">
        <w:rPr>
          <w:lang w:val="fr-FR"/>
        </w:rPr>
        <w:t>Amérique, Fédération de Russie, Hongrie, Israël, Japon, Kirghizistan, Lituanie, Mexique, Norvège, Nouvelle</w:t>
      </w:r>
      <w:r w:rsidR="005D3B26">
        <w:rPr>
          <w:lang w:val="fr-FR"/>
        </w:rPr>
        <w:noBreakHyphen/>
      </w:r>
      <w:r w:rsidR="00CC386F" w:rsidRPr="00DD1462">
        <w:rPr>
          <w:lang w:val="fr-FR"/>
        </w:rPr>
        <w:t>Zélande, Pérou, Portugal, République de Corée, Royaume</w:t>
      </w:r>
      <w:r w:rsidR="005D3B26">
        <w:rPr>
          <w:lang w:val="fr-FR"/>
        </w:rPr>
        <w:noBreakHyphen/>
      </w:r>
      <w:r w:rsidR="00CC386F" w:rsidRPr="00DD1462">
        <w:rPr>
          <w:lang w:val="fr-FR"/>
        </w:rPr>
        <w:t>Uni, Singapour, Slovaquie, Suède, Ukraine, Office eurasien des brevets (OEAB) et Office européen des brevets (OEB)</w:t>
      </w:r>
      <w:r w:rsidRPr="00DD1462">
        <w:rPr>
          <w:lang w:val="fr-FR"/>
        </w:rPr>
        <w:t>.</w:t>
      </w:r>
    </w:p>
    <w:p w14:paraId="003EFCC8" w14:textId="2C25A1FE" w:rsidR="00316C7D" w:rsidRPr="00DD1462" w:rsidRDefault="00902831" w:rsidP="00DD1462">
      <w:pPr>
        <w:pStyle w:val="ONUMFS"/>
        <w:rPr>
          <w:lang w:val="fr-FR"/>
        </w:rPr>
      </w:pPr>
      <w:r w:rsidRPr="00DD1462">
        <w:rPr>
          <w:lang w:val="fr-FR"/>
        </w:rPr>
        <w:t>Toutes les réponses appuient la recommandation tendant à</w:t>
      </w:r>
      <w:r w:rsidR="00CC386F" w:rsidRPr="00DD1462">
        <w:rPr>
          <w:lang w:val="fr-FR"/>
        </w:rPr>
        <w:t xml:space="preserve"> </w:t>
      </w:r>
      <w:r w:rsidRPr="00DD1462">
        <w:rPr>
          <w:lang w:val="fr-FR"/>
        </w:rPr>
        <w:t xml:space="preserve">reporter </w:t>
      </w:r>
      <w:r w:rsidR="00CC386F" w:rsidRPr="00DD1462">
        <w:rPr>
          <w:lang w:val="fr-FR"/>
        </w:rPr>
        <w:t>au</w:t>
      </w:r>
      <w:r w:rsidR="00A34A57" w:rsidRPr="00DD1462">
        <w:rPr>
          <w:lang w:val="fr-FR"/>
        </w:rPr>
        <w:t xml:space="preserve"> 1</w:t>
      </w:r>
      <w:r w:rsidR="00A34A57" w:rsidRPr="004B085B">
        <w:rPr>
          <w:vertAlign w:val="superscript"/>
          <w:lang w:val="fr-FR"/>
        </w:rPr>
        <w:t>er</w:t>
      </w:r>
      <w:r w:rsidR="00A34A57" w:rsidRPr="00DD1462">
        <w:rPr>
          <w:lang w:val="fr-FR"/>
        </w:rPr>
        <w:t> </w:t>
      </w:r>
      <w:r w:rsidR="00CC386F" w:rsidRPr="00DD1462">
        <w:rPr>
          <w:lang w:val="fr-FR"/>
        </w:rPr>
        <w:t>juillet</w:t>
      </w:r>
      <w:r w:rsidR="00E415DB" w:rsidRPr="00DD1462">
        <w:rPr>
          <w:lang w:val="fr-FR"/>
        </w:rPr>
        <w:t> </w:t>
      </w:r>
      <w:r w:rsidR="00CC386F" w:rsidRPr="00DD1462">
        <w:rPr>
          <w:lang w:val="fr-FR"/>
        </w:rPr>
        <w:t xml:space="preserve">2022 </w:t>
      </w:r>
      <w:r w:rsidRPr="00DD1462">
        <w:rPr>
          <w:lang w:val="fr-FR"/>
        </w:rPr>
        <w:t>la date de mise en œuvre de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ST.26 de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OMPI aux niveaux national, régional et internation</w:t>
      </w:r>
      <w:r w:rsidR="00694D85" w:rsidRPr="00DD1462">
        <w:rPr>
          <w:lang w:val="fr-FR"/>
        </w:rPr>
        <w:t>al.  Ce</w:t>
      </w:r>
      <w:r w:rsidRPr="00DD1462">
        <w:rPr>
          <w:lang w:val="fr-FR"/>
        </w:rPr>
        <w:t>rtains offices ont indiqué être prêts à mettre en œuvre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 xml:space="preserve">ST.26 à la date de mise en œuvre initialement convenue, mais ils appuient le report de cette date car ils estiment que le plus important est </w:t>
      </w:r>
      <w:r w:rsidR="00CC386F" w:rsidRPr="00DD1462">
        <w:rPr>
          <w:lang w:val="fr-FR"/>
        </w:rPr>
        <w:t>d</w:t>
      </w:r>
      <w:r w:rsidR="00A34A57" w:rsidRPr="00DD1462">
        <w:rPr>
          <w:lang w:val="fr-FR"/>
        </w:rPr>
        <w:t>’</w:t>
      </w:r>
      <w:r w:rsidR="00CC386F" w:rsidRPr="00DD1462">
        <w:rPr>
          <w:lang w:val="fr-FR"/>
        </w:rPr>
        <w:t xml:space="preserve">assurer </w:t>
      </w:r>
      <w:r w:rsidRPr="00DD1462">
        <w:rPr>
          <w:lang w:val="fr-FR"/>
        </w:rPr>
        <w:t>un passage coordonné et simultané de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ST.25 à la norme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ST.26 à la date convenue</w:t>
      </w:r>
      <w:r w:rsidR="00CC386F" w:rsidRPr="00DD1462">
        <w:rPr>
          <w:lang w:val="fr-FR"/>
        </w:rPr>
        <w:t>, afin d</w:t>
      </w:r>
      <w:r w:rsidR="00A34A57" w:rsidRPr="00DD1462">
        <w:rPr>
          <w:lang w:val="fr-FR"/>
        </w:rPr>
        <w:t>’</w:t>
      </w:r>
      <w:r w:rsidR="00CC386F" w:rsidRPr="00DD1462">
        <w:rPr>
          <w:lang w:val="fr-FR"/>
        </w:rPr>
        <w:t>éviter d</w:t>
      </w:r>
      <w:r w:rsidR="00A34A57" w:rsidRPr="00DD1462">
        <w:rPr>
          <w:lang w:val="fr-FR"/>
        </w:rPr>
        <w:t>’</w:t>
      </w:r>
      <w:r w:rsidR="00CC386F" w:rsidRPr="00DD1462">
        <w:rPr>
          <w:lang w:val="fr-FR"/>
        </w:rPr>
        <w:t xml:space="preserve">induire les déposants en erreur avec des prescriptions en matière de dépôt </w:t>
      </w:r>
      <w:r w:rsidR="00C14893" w:rsidRPr="00DD1462">
        <w:rPr>
          <w:lang w:val="fr-FR"/>
        </w:rPr>
        <w:t xml:space="preserve">qui seraient </w:t>
      </w:r>
      <w:r w:rsidR="00CC386F" w:rsidRPr="00DD1462">
        <w:rPr>
          <w:lang w:val="fr-FR"/>
        </w:rPr>
        <w:t>différentes selon les o</w:t>
      </w:r>
      <w:r w:rsidR="00466BD7" w:rsidRPr="00DD1462">
        <w:rPr>
          <w:lang w:val="fr-FR"/>
        </w:rPr>
        <w:t xml:space="preserve">ffices </w:t>
      </w:r>
      <w:r w:rsidR="002015EB" w:rsidRPr="00DD1462">
        <w:rPr>
          <w:lang w:val="fr-FR"/>
        </w:rPr>
        <w:t>et de</w:t>
      </w:r>
      <w:r w:rsidR="00466BD7" w:rsidRPr="00DD1462">
        <w:rPr>
          <w:lang w:val="fr-FR"/>
        </w:rPr>
        <w:t xml:space="preserve"> limit</w:t>
      </w:r>
      <w:r w:rsidR="002015EB" w:rsidRPr="00DD1462">
        <w:rPr>
          <w:lang w:val="fr-FR"/>
        </w:rPr>
        <w:t>er le traitement en parallèle de listages des séquences établis conformément à la norme</w:t>
      </w:r>
      <w:r w:rsidR="00E415DB" w:rsidRPr="00DD1462">
        <w:rPr>
          <w:lang w:val="fr-FR"/>
        </w:rPr>
        <w:t> </w:t>
      </w:r>
      <w:r w:rsidR="002015EB" w:rsidRPr="00DD1462">
        <w:rPr>
          <w:lang w:val="fr-FR"/>
        </w:rPr>
        <w:t>ST.25 et de listages des séquences établis conformément à la norme</w:t>
      </w:r>
      <w:r w:rsidR="00E415DB" w:rsidRPr="00DD1462">
        <w:rPr>
          <w:lang w:val="fr-FR"/>
        </w:rPr>
        <w:t> </w:t>
      </w:r>
      <w:r w:rsidR="002015EB" w:rsidRPr="00DD1462">
        <w:rPr>
          <w:lang w:val="fr-FR"/>
        </w:rPr>
        <w:t>ST.26</w:t>
      </w:r>
      <w:r w:rsidR="00C14893" w:rsidRPr="00DD1462">
        <w:rPr>
          <w:lang w:val="fr-FR"/>
        </w:rPr>
        <w:t>.</w:t>
      </w:r>
    </w:p>
    <w:p w14:paraId="01F3E08D" w14:textId="46E2E83C" w:rsidR="00316C7D" w:rsidRPr="00DD1462" w:rsidRDefault="002015EB" w:rsidP="00DD1462">
      <w:pPr>
        <w:pStyle w:val="ONUMFS"/>
        <w:rPr>
          <w:lang w:val="fr-FR"/>
        </w:rPr>
      </w:pPr>
      <w:r w:rsidRPr="00DD1462">
        <w:rPr>
          <w:lang w:val="fr-FR"/>
        </w:rPr>
        <w:t>Certains offices ont également déclaré que le report</w:t>
      </w:r>
      <w:r w:rsidR="00C14893" w:rsidRPr="00DD1462">
        <w:rPr>
          <w:lang w:val="fr-FR"/>
        </w:rPr>
        <w:t xml:space="preserve"> de la date </w:t>
      </w:r>
      <w:r w:rsidRPr="00DD1462">
        <w:rPr>
          <w:lang w:val="fr-FR"/>
        </w:rPr>
        <w:t xml:space="preserve">permettrait à tous les offices de continuer de donner leur avis sur la suite logicielle WIPO </w:t>
      </w:r>
      <w:proofErr w:type="spellStart"/>
      <w:r w:rsidRPr="00DD1462">
        <w:rPr>
          <w:lang w:val="fr-FR"/>
        </w:rPr>
        <w:t>Sequence</w:t>
      </w:r>
      <w:proofErr w:type="spellEnd"/>
      <w:r w:rsidRPr="00DD1462">
        <w:rPr>
          <w:lang w:val="fr-FR"/>
        </w:rPr>
        <w:t>, afin de s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assurer qu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elle offre toutes les fonctionnalités nécessaires aux déposants et aux offices, et </w:t>
      </w:r>
      <w:r w:rsidR="00C14893" w:rsidRPr="00DD1462">
        <w:rPr>
          <w:lang w:val="fr-FR"/>
        </w:rPr>
        <w:t xml:space="preserve">laisserait davantage de temps </w:t>
      </w:r>
      <w:r w:rsidRPr="00DD1462">
        <w:rPr>
          <w:lang w:val="fr-FR"/>
        </w:rPr>
        <w:t xml:space="preserve">aux offices et aux utilisateurs </w:t>
      </w:r>
      <w:r w:rsidR="00C14893" w:rsidRPr="00DD1462">
        <w:rPr>
          <w:lang w:val="fr-FR"/>
        </w:rPr>
        <w:t>pour mieux connaître le logiciel</w:t>
      </w:r>
      <w:r w:rsidRPr="00DD1462">
        <w:rPr>
          <w:lang w:val="fr-FR"/>
        </w:rPr>
        <w:t>.</w:t>
      </w:r>
    </w:p>
    <w:p w14:paraId="0992C4F7" w14:textId="467FA226" w:rsidR="003D0A01" w:rsidRPr="00DD1462" w:rsidRDefault="002015EB" w:rsidP="00DD1462">
      <w:pPr>
        <w:pStyle w:val="ONUMFS"/>
        <w:rPr>
          <w:lang w:val="fr-FR"/>
        </w:rPr>
      </w:pPr>
      <w:r w:rsidRPr="00DD1462">
        <w:rPr>
          <w:lang w:val="fr-FR"/>
        </w:rPr>
        <w:t>Un office a suggéré qu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une </w:t>
      </w:r>
      <w:r w:rsidR="00C14893" w:rsidRPr="00DD1462">
        <w:rPr>
          <w:lang w:val="fr-FR"/>
        </w:rPr>
        <w:t xml:space="preserve">formation de </w:t>
      </w:r>
      <w:r w:rsidRPr="00DD1462">
        <w:rPr>
          <w:lang w:val="fr-FR"/>
        </w:rPr>
        <w:t xml:space="preserve">remise à niveau soit proposée par le Bureau international </w:t>
      </w:r>
      <w:r w:rsidR="00316C7D" w:rsidRPr="00DD1462">
        <w:rPr>
          <w:lang w:val="fr-FR"/>
        </w:rPr>
        <w:t xml:space="preserve">aux parties prenantes </w:t>
      </w:r>
      <w:r w:rsidRPr="00DD1462">
        <w:rPr>
          <w:lang w:val="fr-FR"/>
        </w:rPr>
        <w:t>à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approche de la nouvelle date de mise en œuv</w:t>
      </w:r>
      <w:r w:rsidR="00694D85" w:rsidRPr="00DD1462">
        <w:rPr>
          <w:lang w:val="fr-FR"/>
        </w:rPr>
        <w:t>re.  La</w:t>
      </w:r>
      <w:r w:rsidRPr="00DD1462">
        <w:rPr>
          <w:lang w:val="fr-FR"/>
        </w:rPr>
        <w:t xml:space="preserve"> planification anticipée de la formation originale (en anglais), combinée à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acceptation de ce délai de six</w:t>
      </w:r>
      <w:r w:rsidR="005D6FA5" w:rsidRPr="00DD1462">
        <w:rPr>
          <w:lang w:val="fr-FR"/>
        </w:rPr>
        <w:t> </w:t>
      </w:r>
      <w:r w:rsidRPr="00DD1462">
        <w:rPr>
          <w:lang w:val="fr-FR"/>
        </w:rPr>
        <w:t xml:space="preserve">mois, </w:t>
      </w:r>
      <w:r w:rsidR="00C14893" w:rsidRPr="00DD1462">
        <w:rPr>
          <w:lang w:val="fr-FR"/>
        </w:rPr>
        <w:t>pourrait conduire certains utilisateurs à demander une formation supplémentai</w:t>
      </w:r>
      <w:r w:rsidR="00694D85" w:rsidRPr="00DD1462">
        <w:rPr>
          <w:lang w:val="fr-FR"/>
        </w:rPr>
        <w:t>re.  Co</w:t>
      </w:r>
      <w:r w:rsidRPr="00DD1462">
        <w:rPr>
          <w:lang w:val="fr-FR"/>
        </w:rPr>
        <w:t>mpte tenu de cette suggestion et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autres demandes, le Bureau international </w:t>
      </w:r>
      <w:r w:rsidR="00316C7D" w:rsidRPr="00DD1462">
        <w:rPr>
          <w:lang w:val="fr-FR"/>
        </w:rPr>
        <w:t>envisage de</w:t>
      </w:r>
      <w:r w:rsidRPr="00DD1462">
        <w:rPr>
          <w:lang w:val="fr-FR"/>
        </w:rPr>
        <w:t xml:space="preserve"> proposer la formation demandée avant la nouvelle date de mise en œuvre propos</w:t>
      </w:r>
      <w:r w:rsidR="00694D85" w:rsidRPr="00DD1462">
        <w:rPr>
          <w:lang w:val="fr-FR"/>
        </w:rPr>
        <w:t>ée.  Ce</w:t>
      </w:r>
      <w:r w:rsidRPr="00DD1462">
        <w:rPr>
          <w:lang w:val="fr-FR"/>
        </w:rPr>
        <w:t>t office a également demandé que des informations supplémentaires soient ajoutées au guide à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intention des utilisateurs et au manuel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utilisation de la suite logicielle WIPO </w:t>
      </w:r>
      <w:proofErr w:type="spellStart"/>
      <w:r w:rsidRPr="00DD1462">
        <w:rPr>
          <w:lang w:val="fr-FR"/>
        </w:rPr>
        <w:t>Sequen</w:t>
      </w:r>
      <w:r w:rsidR="00694D85" w:rsidRPr="00DD1462">
        <w:rPr>
          <w:lang w:val="fr-FR"/>
        </w:rPr>
        <w:t>ce</w:t>
      </w:r>
      <w:proofErr w:type="spellEnd"/>
      <w:r w:rsidR="00694D85" w:rsidRPr="00DD1462">
        <w:rPr>
          <w:lang w:val="fr-FR"/>
        </w:rPr>
        <w:t>.  Le</w:t>
      </w:r>
      <w:r w:rsidR="00316C7D" w:rsidRPr="00DD1462">
        <w:rPr>
          <w:lang w:val="fr-FR"/>
        </w:rPr>
        <w:t xml:space="preserve"> Bureau international attend des observations </w:t>
      </w:r>
      <w:r w:rsidR="00C14893" w:rsidRPr="00DD1462">
        <w:rPr>
          <w:lang w:val="fr-FR"/>
        </w:rPr>
        <w:t>quant aux</w:t>
      </w:r>
      <w:r w:rsidR="00316C7D" w:rsidRPr="00DD1462">
        <w:rPr>
          <w:lang w:val="fr-FR"/>
        </w:rPr>
        <w:t xml:space="preserve"> informations supplémentaires à ajouter à ces manuels.</w:t>
      </w:r>
    </w:p>
    <w:p w14:paraId="67A79001" w14:textId="5138C19A" w:rsidR="00316C7D" w:rsidRPr="00DD1462" w:rsidRDefault="00316C7D" w:rsidP="00DD1462">
      <w:pPr>
        <w:pStyle w:val="ONUMFS"/>
        <w:rPr>
          <w:lang w:val="fr-FR"/>
        </w:rPr>
      </w:pPr>
      <w:r w:rsidRPr="00DD1462">
        <w:rPr>
          <w:lang w:val="fr-FR"/>
        </w:rPr>
        <w:t>Un autre office a demandé qu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il soit confirmé que la date du passage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une norme à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autre ne reviendrait pas à la date initialement convenue </w:t>
      </w:r>
      <w:r w:rsidR="00C14893" w:rsidRPr="00DD1462">
        <w:rPr>
          <w:lang w:val="fr-FR"/>
        </w:rPr>
        <w:t>après</w:t>
      </w:r>
      <w:r w:rsidRPr="00DD1462">
        <w:rPr>
          <w:lang w:val="fr-FR"/>
        </w:rPr>
        <w:t xml:space="preserve"> </w:t>
      </w:r>
      <w:r w:rsidR="00C14893" w:rsidRPr="00DD1462">
        <w:rPr>
          <w:lang w:val="fr-FR"/>
        </w:rPr>
        <w:t xml:space="preserve">que </w:t>
      </w:r>
      <w:r w:rsidRPr="00DD1462">
        <w:rPr>
          <w:lang w:val="fr-FR"/>
        </w:rPr>
        <w:t>les États membres</w:t>
      </w:r>
      <w:r w:rsidR="00C14893" w:rsidRPr="00DD1462">
        <w:rPr>
          <w:lang w:val="fr-FR"/>
        </w:rPr>
        <w:t xml:space="preserve"> sont parvenus à un acco</w:t>
      </w:r>
      <w:r w:rsidR="00694D85" w:rsidRPr="00DD1462">
        <w:rPr>
          <w:lang w:val="fr-FR"/>
        </w:rPr>
        <w:t>rd.  Ce</w:t>
      </w:r>
      <w:r w:rsidRPr="00DD1462">
        <w:rPr>
          <w:lang w:val="fr-FR"/>
        </w:rPr>
        <w:t>t office a également déclaré que l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 xml:space="preserve">OMPI (et les États membres) </w:t>
      </w:r>
      <w:r w:rsidRPr="00DD1462">
        <w:rPr>
          <w:lang w:val="fr-FR"/>
        </w:rPr>
        <w:lastRenderedPageBreak/>
        <w:t>reconnaiss</w:t>
      </w:r>
      <w:r w:rsidR="00C14893" w:rsidRPr="00DD1462">
        <w:rPr>
          <w:lang w:val="fr-FR"/>
        </w:rPr>
        <w:t>ai</w:t>
      </w:r>
      <w:r w:rsidRPr="00DD1462">
        <w:rPr>
          <w:lang w:val="fr-FR"/>
        </w:rPr>
        <w:t xml:space="preserve">t </w:t>
      </w:r>
      <w:r w:rsidR="00D0161D" w:rsidRPr="00DD1462">
        <w:rPr>
          <w:lang w:val="fr-FR"/>
        </w:rPr>
        <w:t xml:space="preserve">que pour une </w:t>
      </w:r>
      <w:r w:rsidRPr="00DD1462">
        <w:rPr>
          <w:lang w:val="fr-FR"/>
        </w:rPr>
        <w:t>administration chargée de la recherche internationale selon</w:t>
      </w:r>
      <w:r w:rsidR="003D0A01" w:rsidRPr="00DD1462">
        <w:rPr>
          <w:lang w:val="fr-FR"/>
        </w:rPr>
        <w:t xml:space="preserve"> le PCT</w:t>
      </w:r>
      <w:r w:rsidRPr="00DD1462">
        <w:rPr>
          <w:lang w:val="fr-FR"/>
        </w:rPr>
        <w:t>, il n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y a</w:t>
      </w:r>
      <w:r w:rsidR="00C14893" w:rsidRPr="00DD1462">
        <w:rPr>
          <w:lang w:val="fr-FR"/>
        </w:rPr>
        <w:t>vait</w:t>
      </w:r>
      <w:r w:rsidRPr="00DD1462">
        <w:rPr>
          <w:lang w:val="fr-FR"/>
        </w:rPr>
        <w:t xml:space="preserve"> pas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autre choix que d</w:t>
      </w:r>
      <w:r w:rsidR="00A34A57" w:rsidRPr="00DD1462">
        <w:rPr>
          <w:lang w:val="fr-FR"/>
        </w:rPr>
        <w:t>’</w:t>
      </w:r>
      <w:r w:rsidRPr="00DD1462">
        <w:rPr>
          <w:lang w:val="fr-FR"/>
        </w:rPr>
        <w:t>utiliser un formulaire ISA/202</w:t>
      </w:r>
      <w:r w:rsidR="00E415DB" w:rsidRPr="00DD1462">
        <w:rPr>
          <w:lang w:val="fr-FR"/>
        </w:rPr>
        <w:t> </w:t>
      </w:r>
      <w:r w:rsidRPr="00DD1462">
        <w:rPr>
          <w:lang w:val="fr-FR"/>
        </w:rPr>
        <w:t>révi</w:t>
      </w:r>
      <w:r w:rsidR="00694D85" w:rsidRPr="00DD1462">
        <w:rPr>
          <w:lang w:val="fr-FR"/>
        </w:rPr>
        <w:t>sé.  Ce</w:t>
      </w:r>
      <w:r w:rsidR="00E415DB" w:rsidRPr="00DD1462">
        <w:rPr>
          <w:lang w:val="fr-FR"/>
        </w:rPr>
        <w:t xml:space="preserve"> formulaire sera utilisé à partir du</w:t>
      </w:r>
      <w:r w:rsidR="00A34A57" w:rsidRPr="00DD1462">
        <w:rPr>
          <w:lang w:val="fr-FR"/>
        </w:rPr>
        <w:t xml:space="preserve"> 1</w:t>
      </w:r>
      <w:r w:rsidR="00A34A57" w:rsidRPr="004B085B">
        <w:rPr>
          <w:vertAlign w:val="superscript"/>
          <w:lang w:val="fr-FR"/>
        </w:rPr>
        <w:t>er</w:t>
      </w:r>
      <w:r w:rsidR="00A34A57" w:rsidRPr="00DD1462">
        <w:rPr>
          <w:lang w:val="fr-FR"/>
        </w:rPr>
        <w:t> </w:t>
      </w:r>
      <w:r w:rsidR="00E415DB" w:rsidRPr="00DD1462">
        <w:rPr>
          <w:lang w:val="fr-FR"/>
        </w:rPr>
        <w:t>janvier 2022, que le passage d</w:t>
      </w:r>
      <w:r w:rsidR="00A34A57" w:rsidRPr="00DD1462">
        <w:rPr>
          <w:lang w:val="fr-FR"/>
        </w:rPr>
        <w:t>’</w:t>
      </w:r>
      <w:r w:rsidR="00E415DB" w:rsidRPr="00DD1462">
        <w:rPr>
          <w:lang w:val="fr-FR"/>
        </w:rPr>
        <w:t>une norme à l</w:t>
      </w:r>
      <w:r w:rsidR="00A34A57" w:rsidRPr="00DD1462">
        <w:rPr>
          <w:lang w:val="fr-FR"/>
        </w:rPr>
        <w:t>’</w:t>
      </w:r>
      <w:r w:rsidR="00E415DB" w:rsidRPr="00DD1462">
        <w:rPr>
          <w:lang w:val="fr-FR"/>
        </w:rPr>
        <w:t>autre soit reporté ou non, avant même sa promulgation officielle, en raison de restrictions dans les mises à jour de son système informatique.</w:t>
      </w:r>
    </w:p>
    <w:p w14:paraId="6576E382" w14:textId="3D01F3B1" w:rsidR="00316C7D" w:rsidRPr="00E415DB" w:rsidRDefault="00E415DB" w:rsidP="00E415DB">
      <w:pPr>
        <w:pStyle w:val="Heading2"/>
      </w:pPr>
      <w:r w:rsidRPr="00E415DB">
        <w:t>Proposition</w:t>
      </w:r>
    </w:p>
    <w:p w14:paraId="64422FFA" w14:textId="2AF7D324" w:rsidR="003D0A01" w:rsidRDefault="00E415DB" w:rsidP="00DD1462">
      <w:pPr>
        <w:pStyle w:val="ONUMFS"/>
        <w:rPr>
          <w:lang w:val="fr-CH"/>
        </w:rPr>
      </w:pPr>
      <w:r w:rsidRPr="00E415DB">
        <w:rPr>
          <w:lang w:val="fr-CH"/>
        </w:rPr>
        <w:t>Compte tenu de toutes les réponses positives à la circulaire mentionnée plus haut, il est proposé que la date de mise en œuvre effective de la norme ST.26 de l</w:t>
      </w:r>
      <w:r w:rsidR="00A34A57">
        <w:rPr>
          <w:lang w:val="fr-CH"/>
        </w:rPr>
        <w:t>’</w:t>
      </w:r>
      <w:r w:rsidRPr="00E415DB">
        <w:rPr>
          <w:lang w:val="fr-CH"/>
        </w:rPr>
        <w:t>OMPI aux niveaux national, régional et international soit reportée du</w:t>
      </w:r>
      <w:r w:rsidR="00A34A57">
        <w:rPr>
          <w:lang w:val="fr-CH"/>
        </w:rPr>
        <w:t xml:space="preserve"> 1</w:t>
      </w:r>
      <w:r w:rsidR="00A34A57" w:rsidRPr="00A34A57">
        <w:rPr>
          <w:vertAlign w:val="superscript"/>
          <w:lang w:val="fr-CH"/>
        </w:rPr>
        <w:t>er</w:t>
      </w:r>
      <w:r w:rsidR="00A34A57">
        <w:rPr>
          <w:lang w:val="fr-CH"/>
        </w:rPr>
        <w:t> </w:t>
      </w:r>
      <w:r w:rsidRPr="00E415DB">
        <w:rPr>
          <w:lang w:val="fr-CH"/>
        </w:rPr>
        <w:t>janvier 2022 au</w:t>
      </w:r>
      <w:r w:rsidR="00A34A57">
        <w:rPr>
          <w:lang w:val="fr-CH"/>
        </w:rPr>
        <w:t xml:space="preserve"> 1</w:t>
      </w:r>
      <w:r w:rsidR="00A34A57" w:rsidRPr="00A34A57">
        <w:rPr>
          <w:vertAlign w:val="superscript"/>
          <w:lang w:val="fr-CH"/>
        </w:rPr>
        <w:t>er</w:t>
      </w:r>
      <w:r w:rsidR="00A34A57">
        <w:rPr>
          <w:lang w:val="fr-CH"/>
        </w:rPr>
        <w:t> </w:t>
      </w:r>
      <w:r w:rsidRPr="00E415DB">
        <w:rPr>
          <w:lang w:val="fr-CH"/>
        </w:rPr>
        <w:t>juillet 2022.</w:t>
      </w:r>
    </w:p>
    <w:p w14:paraId="2C36B099" w14:textId="51C4003B" w:rsidR="00316C7D" w:rsidRPr="00DD1462" w:rsidRDefault="00E415DB" w:rsidP="00DD1462">
      <w:pPr>
        <w:pStyle w:val="ONUMFS"/>
        <w:ind w:left="5533"/>
        <w:rPr>
          <w:i/>
          <w:lang w:val="fr-CH"/>
        </w:rPr>
      </w:pPr>
      <w:r w:rsidRPr="00DD1462">
        <w:rPr>
          <w:i/>
          <w:lang w:val="fr-CH"/>
        </w:rPr>
        <w:t>L</w:t>
      </w:r>
      <w:r w:rsidR="00A34A57" w:rsidRPr="00DD1462">
        <w:rPr>
          <w:i/>
          <w:lang w:val="fr-CH"/>
        </w:rPr>
        <w:t>’</w:t>
      </w:r>
      <w:r w:rsidRPr="00DD1462">
        <w:rPr>
          <w:i/>
          <w:lang w:val="fr-CH"/>
        </w:rPr>
        <w:t>Assemblée générale de l</w:t>
      </w:r>
      <w:r w:rsidR="00A34A57" w:rsidRPr="00DD1462">
        <w:rPr>
          <w:i/>
          <w:lang w:val="fr-CH"/>
        </w:rPr>
        <w:t>’</w:t>
      </w:r>
      <w:r w:rsidRPr="00DD1462">
        <w:rPr>
          <w:i/>
          <w:lang w:val="fr-CH"/>
        </w:rPr>
        <w:t>OMPI est invitée à prendre note du contenu du présent document et à examiner et approuver la nouvelle date de mise en œuvre effective de la norme ST.26 de l</w:t>
      </w:r>
      <w:r w:rsidR="00A34A57" w:rsidRPr="00DD1462">
        <w:rPr>
          <w:i/>
          <w:lang w:val="fr-CH"/>
        </w:rPr>
        <w:t>’</w:t>
      </w:r>
      <w:r w:rsidRPr="00DD1462">
        <w:rPr>
          <w:i/>
          <w:lang w:val="fr-CH"/>
        </w:rPr>
        <w:t xml:space="preserve">OMPI aux niveaux national, régional et international proposée au paragraphe 12, </w:t>
      </w:r>
      <w:r w:rsidR="00A34A57" w:rsidRPr="00DD1462">
        <w:rPr>
          <w:i/>
          <w:lang w:val="fr-CH"/>
        </w:rPr>
        <w:t>à savoir</w:t>
      </w:r>
      <w:r w:rsidRPr="00DD1462">
        <w:rPr>
          <w:i/>
          <w:lang w:val="fr-CH"/>
        </w:rPr>
        <w:t xml:space="preserve"> le</w:t>
      </w:r>
      <w:r w:rsidR="00A34A57" w:rsidRPr="00DD1462">
        <w:rPr>
          <w:i/>
          <w:lang w:val="fr-CH"/>
        </w:rPr>
        <w:t xml:space="preserve"> 1</w:t>
      </w:r>
      <w:r w:rsidR="00A34A57" w:rsidRPr="00DD1462">
        <w:rPr>
          <w:i/>
          <w:vertAlign w:val="superscript"/>
          <w:lang w:val="fr-CH"/>
        </w:rPr>
        <w:t>er</w:t>
      </w:r>
      <w:r w:rsidR="00A34A57" w:rsidRPr="00DD1462">
        <w:rPr>
          <w:i/>
          <w:lang w:val="fr-CH"/>
        </w:rPr>
        <w:t> </w:t>
      </w:r>
      <w:r w:rsidRPr="00DD1462">
        <w:rPr>
          <w:i/>
          <w:lang w:val="fr-CH"/>
        </w:rPr>
        <w:t>juillet 2022.</w:t>
      </w:r>
    </w:p>
    <w:p w14:paraId="452EE160" w14:textId="4ADEE6FC" w:rsidR="000F31A6" w:rsidRDefault="00E415DB" w:rsidP="00DD1462">
      <w:pPr>
        <w:pStyle w:val="Endofdocument-Annex"/>
      </w:pPr>
      <w:r w:rsidRPr="00DD1462">
        <w:t>[Fin du document]</w:t>
      </w:r>
    </w:p>
    <w:sectPr w:rsidR="000F31A6" w:rsidSect="000F31A6">
      <w:headerReference w:type="even" r:id="rId10"/>
      <w:headerReference w:type="default" r:id="rId11"/>
      <w:footerReference w:type="even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7589" w14:textId="77777777" w:rsidR="00566137" w:rsidRDefault="00566137">
      <w:r>
        <w:separator/>
      </w:r>
    </w:p>
  </w:endnote>
  <w:endnote w:type="continuationSeparator" w:id="0">
    <w:p w14:paraId="7A9B71E3" w14:textId="77777777" w:rsidR="00566137" w:rsidRDefault="00566137" w:rsidP="003B38C1">
      <w:r>
        <w:separator/>
      </w:r>
    </w:p>
    <w:p w14:paraId="386D10B2" w14:textId="77777777" w:rsidR="00566137" w:rsidRPr="003B38C1" w:rsidRDefault="005661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8A0A4D" w14:textId="77777777" w:rsidR="00566137" w:rsidRPr="003B38C1" w:rsidRDefault="005661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12107" w14:textId="77777777" w:rsidR="004A437F" w:rsidRDefault="006A46F0" w:rsidP="004A437F">
    <w:pPr>
      <w:pStyle w:val="Footer"/>
    </w:pPr>
  </w:p>
  <w:p w14:paraId="435CCB68" w14:textId="77777777" w:rsidR="004A437F" w:rsidRDefault="006A46F0" w:rsidP="004A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CF507" w14:textId="77777777" w:rsidR="00566137" w:rsidRDefault="00566137">
      <w:r>
        <w:separator/>
      </w:r>
    </w:p>
  </w:footnote>
  <w:footnote w:type="continuationSeparator" w:id="0">
    <w:p w14:paraId="045795B8" w14:textId="77777777" w:rsidR="00566137" w:rsidRDefault="00566137" w:rsidP="008B60B2">
      <w:r>
        <w:separator/>
      </w:r>
    </w:p>
    <w:p w14:paraId="2F1760CD" w14:textId="77777777" w:rsidR="00566137" w:rsidRPr="00ED77FB" w:rsidRDefault="005661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BC39C5" w14:textId="77777777" w:rsidR="00566137" w:rsidRPr="00ED77FB" w:rsidRDefault="005661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D6D9" w14:textId="77777777" w:rsidR="004A437F" w:rsidRDefault="00B138FC" w:rsidP="004A437F">
    <w:pPr>
      <w:jc w:val="right"/>
    </w:pPr>
    <w:r>
      <w:t>CWS/8/22</w:t>
    </w:r>
  </w:p>
  <w:p w14:paraId="1D8D2C2F" w14:textId="77777777" w:rsidR="004A437F" w:rsidRDefault="00B138FC" w:rsidP="00DE5A7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BE4C963" w14:textId="77777777" w:rsidR="004A437F" w:rsidRDefault="006A46F0" w:rsidP="00DE5A7B">
    <w:pPr>
      <w:jc w:val="right"/>
    </w:pPr>
  </w:p>
  <w:p w14:paraId="230EAB4A" w14:textId="77777777" w:rsidR="004A437F" w:rsidRDefault="006A46F0">
    <w:pPr>
      <w:jc w:val="right"/>
    </w:pPr>
  </w:p>
  <w:p w14:paraId="04CE04F0" w14:textId="77777777" w:rsidR="004A437F" w:rsidRDefault="006A4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E9E0" w14:textId="6F293A46" w:rsidR="00EC4E49" w:rsidRDefault="007270AE" w:rsidP="0032490F">
    <w:pPr>
      <w:jc w:val="right"/>
    </w:pPr>
    <w:r w:rsidRPr="007270AE">
      <w:t>WO/GA/54/14</w:t>
    </w:r>
  </w:p>
  <w:p w14:paraId="3109F517" w14:textId="24F4A7B3" w:rsidR="00EC4E49" w:rsidRDefault="00EC4E49" w:rsidP="00DD1462">
    <w:pPr>
      <w:spacing w:after="480"/>
      <w:jc w:val="right"/>
    </w:pPr>
    <w:proofErr w:type="gramStart"/>
    <w:r>
      <w:t>page</w:t>
    </w:r>
    <w:proofErr w:type="gramEnd"/>
    <w:r w:rsidR="00E415D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A46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5pt;height:12.5pt" o:bullet="t">
        <v:imagedata r:id="rId1" o:title="artBD1D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CD29E3"/>
    <w:multiLevelType w:val="multilevel"/>
    <w:tmpl w:val="4FE2E1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0F16EA"/>
    <w:multiLevelType w:val="hybridMultilevel"/>
    <w:tmpl w:val="8B083C6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611703"/>
    <w:multiLevelType w:val="hybridMultilevel"/>
    <w:tmpl w:val="0BE25FF0"/>
    <w:lvl w:ilvl="0" w:tplc="FCDC1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CB3F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64F5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7826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AE6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50E8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5882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678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633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A310E"/>
    <w:multiLevelType w:val="hybridMultilevel"/>
    <w:tmpl w:val="63FC2A0C"/>
    <w:lvl w:ilvl="0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D7453"/>
    <w:multiLevelType w:val="multilevel"/>
    <w:tmpl w:val="ABF6923E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40B17C40"/>
    <w:multiLevelType w:val="hybridMultilevel"/>
    <w:tmpl w:val="4E9C0C98"/>
    <w:lvl w:ilvl="0" w:tplc="719275B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A358DD"/>
    <w:multiLevelType w:val="hybridMultilevel"/>
    <w:tmpl w:val="4160753A"/>
    <w:lvl w:ilvl="0" w:tplc="5160370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7571063"/>
    <w:multiLevelType w:val="multilevel"/>
    <w:tmpl w:val="AE684E9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9264D"/>
    <w:multiLevelType w:val="multilevel"/>
    <w:tmpl w:val="2F0652E8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7" w15:restartNumberingAfterBreak="0">
    <w:nsid w:val="73031953"/>
    <w:multiLevelType w:val="hybridMultilevel"/>
    <w:tmpl w:val="89DAE26A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13"/>
  </w:num>
  <w:num w:numId="10">
    <w:abstractNumId w:val="2"/>
  </w:num>
  <w:num w:numId="11">
    <w:abstractNumId w:val="17"/>
  </w:num>
  <w:num w:numId="12">
    <w:abstractNumId w:val="7"/>
  </w:num>
  <w:num w:numId="13">
    <w:abstractNumId w:val="5"/>
  </w:num>
  <w:num w:numId="14">
    <w:abstractNumId w:val="16"/>
  </w:num>
  <w:num w:numId="15">
    <w:abstractNumId w:val="10"/>
  </w:num>
  <w:num w:numId="16">
    <w:abstractNumId w:val="9"/>
  </w:num>
  <w:num w:numId="17">
    <w:abstractNumId w:val="8"/>
  </w:num>
  <w:num w:numId="1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CH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595DCF"/>
    <w:rsid w:val="00003A86"/>
    <w:rsid w:val="000206C8"/>
    <w:rsid w:val="00036FFD"/>
    <w:rsid w:val="00043CAA"/>
    <w:rsid w:val="00054698"/>
    <w:rsid w:val="00057309"/>
    <w:rsid w:val="00074B8A"/>
    <w:rsid w:val="00075432"/>
    <w:rsid w:val="0007595F"/>
    <w:rsid w:val="000765C4"/>
    <w:rsid w:val="000873F7"/>
    <w:rsid w:val="000968ED"/>
    <w:rsid w:val="000C117A"/>
    <w:rsid w:val="000E6FDE"/>
    <w:rsid w:val="000F31A6"/>
    <w:rsid w:val="000F5E56"/>
    <w:rsid w:val="00100020"/>
    <w:rsid w:val="0010331B"/>
    <w:rsid w:val="001103A0"/>
    <w:rsid w:val="00130EA5"/>
    <w:rsid w:val="001362EE"/>
    <w:rsid w:val="001530BD"/>
    <w:rsid w:val="00155A1A"/>
    <w:rsid w:val="00156693"/>
    <w:rsid w:val="001647D5"/>
    <w:rsid w:val="001670C9"/>
    <w:rsid w:val="001832A6"/>
    <w:rsid w:val="00193DD0"/>
    <w:rsid w:val="001968D9"/>
    <w:rsid w:val="001B2962"/>
    <w:rsid w:val="001C3A53"/>
    <w:rsid w:val="001E1E0B"/>
    <w:rsid w:val="001E4E00"/>
    <w:rsid w:val="001F1E1C"/>
    <w:rsid w:val="002015EB"/>
    <w:rsid w:val="00203BA1"/>
    <w:rsid w:val="002051FE"/>
    <w:rsid w:val="002101B8"/>
    <w:rsid w:val="0021217E"/>
    <w:rsid w:val="002125B5"/>
    <w:rsid w:val="00214A27"/>
    <w:rsid w:val="00231BB0"/>
    <w:rsid w:val="0025401F"/>
    <w:rsid w:val="00256318"/>
    <w:rsid w:val="002634C4"/>
    <w:rsid w:val="00270CA1"/>
    <w:rsid w:val="00276FA2"/>
    <w:rsid w:val="00282ECF"/>
    <w:rsid w:val="002928D3"/>
    <w:rsid w:val="002A3B46"/>
    <w:rsid w:val="002A7EBC"/>
    <w:rsid w:val="002E3F4B"/>
    <w:rsid w:val="002F1FE6"/>
    <w:rsid w:val="002F4E68"/>
    <w:rsid w:val="00300A87"/>
    <w:rsid w:val="00312F7F"/>
    <w:rsid w:val="003162BF"/>
    <w:rsid w:val="00316C7D"/>
    <w:rsid w:val="003178BA"/>
    <w:rsid w:val="0034707D"/>
    <w:rsid w:val="00350AE2"/>
    <w:rsid w:val="00361450"/>
    <w:rsid w:val="003666DE"/>
    <w:rsid w:val="003673CF"/>
    <w:rsid w:val="003845C1"/>
    <w:rsid w:val="00386706"/>
    <w:rsid w:val="00387B39"/>
    <w:rsid w:val="003A5EFD"/>
    <w:rsid w:val="003A63CD"/>
    <w:rsid w:val="003A6F89"/>
    <w:rsid w:val="003B38C1"/>
    <w:rsid w:val="003D0A01"/>
    <w:rsid w:val="003D2030"/>
    <w:rsid w:val="003D57B0"/>
    <w:rsid w:val="003D64F1"/>
    <w:rsid w:val="003F6114"/>
    <w:rsid w:val="00412556"/>
    <w:rsid w:val="00423E3E"/>
    <w:rsid w:val="00427AF4"/>
    <w:rsid w:val="00445CE7"/>
    <w:rsid w:val="00455CCA"/>
    <w:rsid w:val="004647DA"/>
    <w:rsid w:val="00466BD7"/>
    <w:rsid w:val="00474062"/>
    <w:rsid w:val="00477D6B"/>
    <w:rsid w:val="004923BE"/>
    <w:rsid w:val="004B085B"/>
    <w:rsid w:val="004B19E1"/>
    <w:rsid w:val="004B35F9"/>
    <w:rsid w:val="004B7BE8"/>
    <w:rsid w:val="004D061E"/>
    <w:rsid w:val="004D52F7"/>
    <w:rsid w:val="004F01A3"/>
    <w:rsid w:val="004F55A5"/>
    <w:rsid w:val="005019FF"/>
    <w:rsid w:val="00522E69"/>
    <w:rsid w:val="00523A4D"/>
    <w:rsid w:val="00527EB2"/>
    <w:rsid w:val="0053057A"/>
    <w:rsid w:val="00537C1F"/>
    <w:rsid w:val="00554072"/>
    <w:rsid w:val="00560A29"/>
    <w:rsid w:val="00566137"/>
    <w:rsid w:val="00595DCF"/>
    <w:rsid w:val="005C29E3"/>
    <w:rsid w:val="005C6649"/>
    <w:rsid w:val="005D3B26"/>
    <w:rsid w:val="005D6FA5"/>
    <w:rsid w:val="005E3125"/>
    <w:rsid w:val="005F2EC3"/>
    <w:rsid w:val="00602E1F"/>
    <w:rsid w:val="00605827"/>
    <w:rsid w:val="00612CD9"/>
    <w:rsid w:val="0062306D"/>
    <w:rsid w:val="00637D83"/>
    <w:rsid w:val="00646050"/>
    <w:rsid w:val="00650216"/>
    <w:rsid w:val="006713CA"/>
    <w:rsid w:val="00676C5C"/>
    <w:rsid w:val="00677F48"/>
    <w:rsid w:val="00681EB9"/>
    <w:rsid w:val="0068201D"/>
    <w:rsid w:val="00692CAB"/>
    <w:rsid w:val="00692EE0"/>
    <w:rsid w:val="006936FB"/>
    <w:rsid w:val="00694D85"/>
    <w:rsid w:val="006A00F1"/>
    <w:rsid w:val="006A46F0"/>
    <w:rsid w:val="006B748F"/>
    <w:rsid w:val="006D173A"/>
    <w:rsid w:val="006D6194"/>
    <w:rsid w:val="006D6B32"/>
    <w:rsid w:val="006E4F5F"/>
    <w:rsid w:val="006F5C3F"/>
    <w:rsid w:val="00711AE2"/>
    <w:rsid w:val="00715E85"/>
    <w:rsid w:val="00716427"/>
    <w:rsid w:val="007270AE"/>
    <w:rsid w:val="007507A1"/>
    <w:rsid w:val="00763E38"/>
    <w:rsid w:val="007726C9"/>
    <w:rsid w:val="00781721"/>
    <w:rsid w:val="00781C69"/>
    <w:rsid w:val="007C7409"/>
    <w:rsid w:val="007D1613"/>
    <w:rsid w:val="007E445E"/>
    <w:rsid w:val="007E4C0E"/>
    <w:rsid w:val="007F52E5"/>
    <w:rsid w:val="00825CFA"/>
    <w:rsid w:val="00830996"/>
    <w:rsid w:val="00836DAA"/>
    <w:rsid w:val="00842A1B"/>
    <w:rsid w:val="00860454"/>
    <w:rsid w:val="00860537"/>
    <w:rsid w:val="00875AEE"/>
    <w:rsid w:val="00876638"/>
    <w:rsid w:val="00877718"/>
    <w:rsid w:val="008831C6"/>
    <w:rsid w:val="008979B7"/>
    <w:rsid w:val="008A134B"/>
    <w:rsid w:val="008B2CC1"/>
    <w:rsid w:val="008B60B2"/>
    <w:rsid w:val="008C1111"/>
    <w:rsid w:val="00902831"/>
    <w:rsid w:val="00905AED"/>
    <w:rsid w:val="009061DF"/>
    <w:rsid w:val="0090731E"/>
    <w:rsid w:val="00916EE2"/>
    <w:rsid w:val="00924086"/>
    <w:rsid w:val="00952CCB"/>
    <w:rsid w:val="00965BF1"/>
    <w:rsid w:val="00966A22"/>
    <w:rsid w:val="0096722F"/>
    <w:rsid w:val="00980843"/>
    <w:rsid w:val="00980B76"/>
    <w:rsid w:val="009877BC"/>
    <w:rsid w:val="00987D8C"/>
    <w:rsid w:val="00992551"/>
    <w:rsid w:val="00994E1F"/>
    <w:rsid w:val="009B6777"/>
    <w:rsid w:val="009C07B2"/>
    <w:rsid w:val="009C127D"/>
    <w:rsid w:val="009E2791"/>
    <w:rsid w:val="009E3F6F"/>
    <w:rsid w:val="009F3221"/>
    <w:rsid w:val="009F499F"/>
    <w:rsid w:val="009F7DB0"/>
    <w:rsid w:val="00A000C5"/>
    <w:rsid w:val="00A05DF3"/>
    <w:rsid w:val="00A2745F"/>
    <w:rsid w:val="00A34A57"/>
    <w:rsid w:val="00A36407"/>
    <w:rsid w:val="00A37342"/>
    <w:rsid w:val="00A41419"/>
    <w:rsid w:val="00A42DAF"/>
    <w:rsid w:val="00A45BD8"/>
    <w:rsid w:val="00A508CC"/>
    <w:rsid w:val="00A55CA4"/>
    <w:rsid w:val="00A610EF"/>
    <w:rsid w:val="00A802ED"/>
    <w:rsid w:val="00A869B7"/>
    <w:rsid w:val="00AA0EA9"/>
    <w:rsid w:val="00AA2DD4"/>
    <w:rsid w:val="00AA57E6"/>
    <w:rsid w:val="00AC205C"/>
    <w:rsid w:val="00AE251F"/>
    <w:rsid w:val="00AE4360"/>
    <w:rsid w:val="00AF0A6B"/>
    <w:rsid w:val="00B0044B"/>
    <w:rsid w:val="00B05A69"/>
    <w:rsid w:val="00B07887"/>
    <w:rsid w:val="00B138FC"/>
    <w:rsid w:val="00B1750B"/>
    <w:rsid w:val="00B414C9"/>
    <w:rsid w:val="00B54C98"/>
    <w:rsid w:val="00B61109"/>
    <w:rsid w:val="00B63C0B"/>
    <w:rsid w:val="00B66BE8"/>
    <w:rsid w:val="00B71A4E"/>
    <w:rsid w:val="00B71E89"/>
    <w:rsid w:val="00B73B3B"/>
    <w:rsid w:val="00B9734B"/>
    <w:rsid w:val="00BA0A0A"/>
    <w:rsid w:val="00BA30E2"/>
    <w:rsid w:val="00BA40E5"/>
    <w:rsid w:val="00BC017D"/>
    <w:rsid w:val="00BC323D"/>
    <w:rsid w:val="00BD7085"/>
    <w:rsid w:val="00BF6B53"/>
    <w:rsid w:val="00C11BFE"/>
    <w:rsid w:val="00C145C7"/>
    <w:rsid w:val="00C14893"/>
    <w:rsid w:val="00C2443A"/>
    <w:rsid w:val="00C32AC9"/>
    <w:rsid w:val="00C361C9"/>
    <w:rsid w:val="00C5068F"/>
    <w:rsid w:val="00C51D25"/>
    <w:rsid w:val="00C526FB"/>
    <w:rsid w:val="00C765FA"/>
    <w:rsid w:val="00C86D74"/>
    <w:rsid w:val="00C96DCF"/>
    <w:rsid w:val="00CA4B89"/>
    <w:rsid w:val="00CB2D9D"/>
    <w:rsid w:val="00CC386F"/>
    <w:rsid w:val="00CD04F1"/>
    <w:rsid w:val="00CD7F59"/>
    <w:rsid w:val="00CF3127"/>
    <w:rsid w:val="00D0161D"/>
    <w:rsid w:val="00D13862"/>
    <w:rsid w:val="00D23139"/>
    <w:rsid w:val="00D24BED"/>
    <w:rsid w:val="00D25A3B"/>
    <w:rsid w:val="00D34CD4"/>
    <w:rsid w:val="00D44A0B"/>
    <w:rsid w:val="00D45252"/>
    <w:rsid w:val="00D55AAE"/>
    <w:rsid w:val="00D66E37"/>
    <w:rsid w:val="00D67C0D"/>
    <w:rsid w:val="00D71B4D"/>
    <w:rsid w:val="00D810CD"/>
    <w:rsid w:val="00D93D55"/>
    <w:rsid w:val="00DA6B4B"/>
    <w:rsid w:val="00DB1D38"/>
    <w:rsid w:val="00DC0E7C"/>
    <w:rsid w:val="00DD1462"/>
    <w:rsid w:val="00DD3E55"/>
    <w:rsid w:val="00DE137D"/>
    <w:rsid w:val="00DF023A"/>
    <w:rsid w:val="00DF383E"/>
    <w:rsid w:val="00E00A66"/>
    <w:rsid w:val="00E06F1F"/>
    <w:rsid w:val="00E13F3B"/>
    <w:rsid w:val="00E14F34"/>
    <w:rsid w:val="00E15015"/>
    <w:rsid w:val="00E20E2F"/>
    <w:rsid w:val="00E25010"/>
    <w:rsid w:val="00E335FE"/>
    <w:rsid w:val="00E415DB"/>
    <w:rsid w:val="00E46CE2"/>
    <w:rsid w:val="00E5566B"/>
    <w:rsid w:val="00E70722"/>
    <w:rsid w:val="00E729A3"/>
    <w:rsid w:val="00E85557"/>
    <w:rsid w:val="00E95270"/>
    <w:rsid w:val="00EA7D6E"/>
    <w:rsid w:val="00EB2210"/>
    <w:rsid w:val="00EC3DCD"/>
    <w:rsid w:val="00EC4325"/>
    <w:rsid w:val="00EC446E"/>
    <w:rsid w:val="00EC4E49"/>
    <w:rsid w:val="00ED03BE"/>
    <w:rsid w:val="00ED77FB"/>
    <w:rsid w:val="00EE45FA"/>
    <w:rsid w:val="00EE6BB6"/>
    <w:rsid w:val="00EF6055"/>
    <w:rsid w:val="00F02DAD"/>
    <w:rsid w:val="00F33538"/>
    <w:rsid w:val="00F55ED7"/>
    <w:rsid w:val="00F561E6"/>
    <w:rsid w:val="00F646BF"/>
    <w:rsid w:val="00F66152"/>
    <w:rsid w:val="00F66F3E"/>
    <w:rsid w:val="00F670BD"/>
    <w:rsid w:val="00F77475"/>
    <w:rsid w:val="00F9212D"/>
    <w:rsid w:val="00F967F0"/>
    <w:rsid w:val="00FA41DE"/>
    <w:rsid w:val="00FD53CC"/>
    <w:rsid w:val="00FD62A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929A2"/>
  <w15:docId w15:val="{1172C5BE-DB1D-43B2-85F3-ED8923B5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B19E1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B1750B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autoRedefine/>
    <w:qFormat/>
    <w:rsid w:val="00E729A3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595DCF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595DC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95DCF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95DCF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95DC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595DCF"/>
    <w:rPr>
      <w:vertAlign w:val="superscript"/>
    </w:rPr>
  </w:style>
  <w:style w:type="paragraph" w:customStyle="1" w:styleId="Endofdocument">
    <w:name w:val="End of document"/>
    <w:basedOn w:val="Normal"/>
    <w:rsid w:val="00595DCF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34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4C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4CD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4CD4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cPara">
    <w:name w:val="Dec Para"/>
    <w:basedOn w:val="Normal"/>
    <w:qFormat/>
    <w:rsid w:val="00DB1D38"/>
    <w:pPr>
      <w:tabs>
        <w:tab w:val="left" w:pos="576"/>
        <w:tab w:val="left" w:pos="1315"/>
      </w:tabs>
      <w:spacing w:after="220"/>
      <w:ind w:left="720"/>
    </w:pPr>
  </w:style>
  <w:style w:type="paragraph" w:customStyle="1" w:styleId="ParaNum">
    <w:name w:val="Para Num"/>
    <w:basedOn w:val="ONUME"/>
    <w:qFormat/>
    <w:rsid w:val="00DB1D38"/>
    <w:pPr>
      <w:numPr>
        <w:numId w:val="0"/>
      </w:numPr>
      <w:tabs>
        <w:tab w:val="left" w:pos="576"/>
      </w:tabs>
    </w:pPr>
  </w:style>
  <w:style w:type="paragraph" w:styleId="ListParagraph">
    <w:name w:val="List Paragraph"/>
    <w:basedOn w:val="Normal"/>
    <w:uiPriority w:val="34"/>
    <w:qFormat/>
    <w:rsid w:val="006820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16427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36D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62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cws/fr/circulars/files/cws_150.pdf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BCD3-0B18-4A39-A4C4-8CBAF67F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5791</Characters>
  <Application>Microsoft Office Word</Application>
  <DocSecurity>0</DocSecurity>
  <Lines>95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WO/GA/54/14</vt:lpstr>
    </vt:vector>
  </TitlesOfParts>
  <Company>WIPO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WO/GA/54/14</dc:title>
  <dc:subject>Sixty-Second Series of Meetings</dc:subject>
  <dc:creator>WIPO</dc:creator>
  <cp:keywords>PUBLIC</cp:keywords>
  <dc:description/>
  <cp:lastModifiedBy>MARIN-CUDRAZ DAVI Nicoletta</cp:lastModifiedBy>
  <cp:revision>3</cp:revision>
  <cp:lastPrinted>2019-07-18T17:00:00Z</cp:lastPrinted>
  <dcterms:created xsi:type="dcterms:W3CDTF">2021-08-30T09:30:00Z</dcterms:created>
  <dcterms:modified xsi:type="dcterms:W3CDTF">2021-08-30T09:33:00Z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972280d7-1796-413c-a003-c27ed2581a1f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