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9753C" w:rsidRPr="00D04487" w:rsidTr="005F0AB6">
        <w:tc>
          <w:tcPr>
            <w:tcW w:w="4513" w:type="dxa"/>
            <w:tcBorders>
              <w:bottom w:val="single" w:sz="4" w:space="0" w:color="auto"/>
            </w:tcBorders>
            <w:tcMar>
              <w:bottom w:w="170" w:type="dxa"/>
            </w:tcMar>
          </w:tcPr>
          <w:p w:rsidR="00D9753C" w:rsidRPr="00D04487" w:rsidRDefault="00D9753C" w:rsidP="005F0AB6">
            <w:pPr>
              <w:rPr>
                <w:lang w:val="fr-FR"/>
              </w:rPr>
            </w:pPr>
            <w:bookmarkStart w:id="0" w:name="_GoBack"/>
            <w:bookmarkEnd w:id="0"/>
          </w:p>
        </w:tc>
        <w:tc>
          <w:tcPr>
            <w:tcW w:w="4337" w:type="dxa"/>
            <w:tcBorders>
              <w:bottom w:val="single" w:sz="4" w:space="0" w:color="auto"/>
            </w:tcBorders>
            <w:tcMar>
              <w:left w:w="0" w:type="dxa"/>
              <w:right w:w="0" w:type="dxa"/>
            </w:tcMar>
          </w:tcPr>
          <w:p w:rsidR="00D9753C" w:rsidRPr="00D04487" w:rsidRDefault="00D9753C" w:rsidP="005F0AB6">
            <w:pPr>
              <w:rPr>
                <w:lang w:val="fr-FR"/>
              </w:rPr>
            </w:pPr>
            <w:r w:rsidRPr="00D04487">
              <w:rPr>
                <w:noProof/>
                <w:lang w:val="en-US" w:eastAsia="en-US"/>
              </w:rPr>
              <w:drawing>
                <wp:inline distT="0" distB="0" distL="0" distR="0" wp14:anchorId="74DC733F" wp14:editId="483E2E33">
                  <wp:extent cx="1857375" cy="1323975"/>
                  <wp:effectExtent l="0" t="0" r="9525" b="9525"/>
                  <wp:docPr id="300" name="Picture 300"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9753C" w:rsidRPr="00D04487" w:rsidRDefault="00D9753C" w:rsidP="005F0AB6">
            <w:pPr>
              <w:jc w:val="right"/>
              <w:rPr>
                <w:lang w:val="fr-FR"/>
              </w:rPr>
            </w:pPr>
            <w:r w:rsidRPr="00D04487">
              <w:rPr>
                <w:b/>
                <w:sz w:val="40"/>
                <w:szCs w:val="40"/>
                <w:lang w:val="fr-FR"/>
              </w:rPr>
              <w:t>F</w:t>
            </w:r>
          </w:p>
        </w:tc>
      </w:tr>
      <w:tr w:rsidR="00D9753C" w:rsidRPr="00D04487" w:rsidTr="005F0AB6">
        <w:trPr>
          <w:trHeight w:hRule="exact" w:val="357"/>
        </w:trPr>
        <w:tc>
          <w:tcPr>
            <w:tcW w:w="9356" w:type="dxa"/>
            <w:gridSpan w:val="3"/>
            <w:tcBorders>
              <w:top w:val="single" w:sz="4" w:space="0" w:color="auto"/>
            </w:tcBorders>
            <w:tcMar>
              <w:top w:w="170" w:type="dxa"/>
              <w:left w:w="0" w:type="dxa"/>
              <w:right w:w="0" w:type="dxa"/>
            </w:tcMar>
            <w:vAlign w:val="bottom"/>
          </w:tcPr>
          <w:p w:rsidR="00D9753C" w:rsidRPr="00D04487" w:rsidRDefault="00D9753C" w:rsidP="00D9753C">
            <w:pPr>
              <w:jc w:val="right"/>
              <w:rPr>
                <w:rFonts w:ascii="Arial Black" w:hAnsi="Arial Black"/>
                <w:caps/>
                <w:sz w:val="15"/>
                <w:lang w:val="fr-FR"/>
              </w:rPr>
            </w:pPr>
            <w:r w:rsidRPr="00D04487">
              <w:rPr>
                <w:rFonts w:ascii="Arial Black" w:hAnsi="Arial Black"/>
                <w:caps/>
                <w:sz w:val="15"/>
                <w:lang w:val="fr-FR"/>
              </w:rPr>
              <w:t>WO/</w:t>
            </w:r>
            <w:r>
              <w:rPr>
                <w:rFonts w:ascii="Arial Black" w:hAnsi="Arial Black"/>
                <w:caps/>
                <w:sz w:val="15"/>
                <w:lang w:val="fr-FR"/>
              </w:rPr>
              <w:t>GA/51/2</w:t>
            </w:r>
          </w:p>
        </w:tc>
      </w:tr>
      <w:tr w:rsidR="00D9753C" w:rsidRPr="00D04487" w:rsidTr="005F0AB6">
        <w:trPr>
          <w:trHeight w:hRule="exact" w:val="170"/>
        </w:trPr>
        <w:tc>
          <w:tcPr>
            <w:tcW w:w="9356" w:type="dxa"/>
            <w:gridSpan w:val="3"/>
            <w:noWrap/>
            <w:tcMar>
              <w:left w:w="0" w:type="dxa"/>
              <w:right w:w="0" w:type="dxa"/>
            </w:tcMar>
            <w:vAlign w:val="bottom"/>
          </w:tcPr>
          <w:p w:rsidR="00D9753C" w:rsidRPr="00D04487" w:rsidRDefault="00D9753C" w:rsidP="005F0AB6">
            <w:pPr>
              <w:jc w:val="right"/>
              <w:rPr>
                <w:rFonts w:ascii="Arial Black" w:hAnsi="Arial Black"/>
                <w:caps/>
                <w:sz w:val="15"/>
                <w:lang w:val="fr-FR"/>
              </w:rPr>
            </w:pPr>
            <w:r w:rsidRPr="00D04487">
              <w:rPr>
                <w:rFonts w:ascii="Arial Black" w:hAnsi="Arial Black"/>
                <w:caps/>
                <w:sz w:val="15"/>
                <w:lang w:val="fr-FR"/>
              </w:rPr>
              <w:t>ORIGINAL</w:t>
            </w:r>
            <w:r w:rsidR="00DD1867">
              <w:rPr>
                <w:rFonts w:ascii="Arial Black" w:hAnsi="Arial Black"/>
                <w:caps/>
                <w:sz w:val="15"/>
                <w:lang w:val="fr-FR"/>
              </w:rPr>
              <w:t> :</w:t>
            </w:r>
            <w:r w:rsidRPr="00D04487">
              <w:rPr>
                <w:rFonts w:ascii="Arial Black" w:hAnsi="Arial Black"/>
                <w:caps/>
                <w:sz w:val="15"/>
                <w:lang w:val="fr-FR"/>
              </w:rPr>
              <w:t xml:space="preserve"> anglais </w:t>
            </w:r>
          </w:p>
        </w:tc>
      </w:tr>
      <w:tr w:rsidR="00D9753C" w:rsidRPr="00D04487" w:rsidTr="005F0AB6">
        <w:trPr>
          <w:trHeight w:hRule="exact" w:val="198"/>
        </w:trPr>
        <w:tc>
          <w:tcPr>
            <w:tcW w:w="9356" w:type="dxa"/>
            <w:gridSpan w:val="3"/>
            <w:tcMar>
              <w:left w:w="0" w:type="dxa"/>
              <w:right w:w="0" w:type="dxa"/>
            </w:tcMar>
            <w:vAlign w:val="bottom"/>
          </w:tcPr>
          <w:p w:rsidR="00D9753C" w:rsidRPr="00D04487" w:rsidRDefault="00D9753C" w:rsidP="00D9753C">
            <w:pPr>
              <w:jc w:val="right"/>
              <w:rPr>
                <w:rFonts w:ascii="Arial Black" w:hAnsi="Arial Black"/>
                <w:caps/>
                <w:sz w:val="15"/>
                <w:lang w:val="fr-FR"/>
              </w:rPr>
            </w:pPr>
            <w:r w:rsidRPr="00D04487">
              <w:rPr>
                <w:rFonts w:ascii="Arial Black" w:hAnsi="Arial Black"/>
                <w:caps/>
                <w:sz w:val="15"/>
                <w:lang w:val="fr-FR"/>
              </w:rPr>
              <w:t>DATE</w:t>
            </w:r>
            <w:r w:rsidR="00DD1867">
              <w:rPr>
                <w:rFonts w:ascii="Arial Black" w:hAnsi="Arial Black"/>
                <w:caps/>
                <w:sz w:val="15"/>
                <w:lang w:val="fr-FR"/>
              </w:rPr>
              <w:t> :</w:t>
            </w:r>
            <w:r w:rsidRPr="00D04487">
              <w:rPr>
                <w:rFonts w:ascii="Arial Black" w:hAnsi="Arial Black"/>
                <w:caps/>
                <w:sz w:val="15"/>
                <w:lang w:val="fr-FR"/>
              </w:rPr>
              <w:t xml:space="preserve"> </w:t>
            </w:r>
            <w:r w:rsidR="00B142FD">
              <w:rPr>
                <w:rFonts w:ascii="Arial Black" w:hAnsi="Arial Black"/>
                <w:caps/>
                <w:sz w:val="15"/>
                <w:lang w:val="fr-FR"/>
              </w:rPr>
              <w:t>30</w:t>
            </w:r>
            <w:r w:rsidR="00DD1867">
              <w:rPr>
                <w:rFonts w:ascii="Arial Black" w:hAnsi="Arial Black"/>
                <w:caps/>
                <w:sz w:val="15"/>
                <w:lang w:val="fr-FR"/>
              </w:rPr>
              <w:t> juillet</w:t>
            </w:r>
            <w:r w:rsidRPr="00D04487">
              <w:rPr>
                <w:rFonts w:ascii="Arial Black" w:hAnsi="Arial Black"/>
                <w:caps/>
                <w:sz w:val="15"/>
                <w:lang w:val="fr-FR"/>
              </w:rPr>
              <w:t xml:space="preserve"> 2019 </w:t>
            </w:r>
          </w:p>
        </w:tc>
      </w:tr>
    </w:tbl>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9250DD" w:rsidRDefault="009250DD" w:rsidP="009250DD">
      <w:pPr>
        <w:spacing w:after="600"/>
        <w:rPr>
          <w:b/>
          <w:sz w:val="28"/>
          <w:szCs w:val="28"/>
          <w:lang w:val="fr-FR"/>
        </w:rPr>
      </w:pPr>
      <w:r w:rsidRPr="009250DD">
        <w:rPr>
          <w:b/>
          <w:sz w:val="28"/>
          <w:szCs w:val="28"/>
          <w:lang w:val="fr-FR"/>
        </w:rPr>
        <w:t>Assemblée générale de I’OMPI</w:t>
      </w:r>
    </w:p>
    <w:p w:rsidR="00D9753C" w:rsidRPr="0043604D" w:rsidRDefault="00D9753C" w:rsidP="00D9753C">
      <w:pPr>
        <w:rPr>
          <w:b/>
          <w:sz w:val="24"/>
        </w:rPr>
      </w:pPr>
      <w:r w:rsidRPr="0043604D">
        <w:rPr>
          <w:b/>
          <w:sz w:val="24"/>
        </w:rPr>
        <w:t>Cinquante</w:t>
      </w:r>
      <w:r w:rsidR="00DD1867">
        <w:rPr>
          <w:b/>
          <w:sz w:val="24"/>
        </w:rPr>
        <w:t> et unième session</w:t>
      </w:r>
      <w:r w:rsidRPr="0043604D">
        <w:rPr>
          <w:b/>
          <w:sz w:val="24"/>
        </w:rPr>
        <w:t xml:space="preserve"> (</w:t>
      </w:r>
      <w:r w:rsidR="00825313" w:rsidRPr="003D2CBF">
        <w:rPr>
          <w:b/>
          <w:sz w:val="24"/>
        </w:rPr>
        <w:t>24</w:t>
      </w:r>
      <w:r w:rsidR="00825313" w:rsidRPr="003D2CBF">
        <w:rPr>
          <w:b/>
          <w:sz w:val="24"/>
          <w:vertAlign w:val="superscript"/>
        </w:rPr>
        <w:t>e</w:t>
      </w:r>
      <w:r w:rsidR="00825313" w:rsidRPr="003D2CBF">
        <w:rPr>
          <w:b/>
          <w:sz w:val="24"/>
        </w:rPr>
        <w:t xml:space="preserve"> session ordinaire</w:t>
      </w:r>
      <w:r w:rsidRPr="0043604D">
        <w:rPr>
          <w:b/>
          <w:sz w:val="24"/>
        </w:rPr>
        <w:t>)</w:t>
      </w:r>
    </w:p>
    <w:p w:rsidR="00D9753C" w:rsidRPr="0043604D" w:rsidRDefault="00D9753C" w:rsidP="009250DD">
      <w:pPr>
        <w:spacing w:after="720"/>
        <w:rPr>
          <w:b/>
          <w:sz w:val="24"/>
        </w:rPr>
      </w:pPr>
      <w:r w:rsidRPr="0043604D">
        <w:rPr>
          <w:b/>
          <w:sz w:val="24"/>
        </w:rPr>
        <w:t>Genève, 30 septembre – 9 octobre 2019</w:t>
      </w:r>
    </w:p>
    <w:p w:rsidR="0001272B" w:rsidRPr="00D9753C" w:rsidRDefault="00F406E2" w:rsidP="009250DD">
      <w:pPr>
        <w:spacing w:after="360"/>
        <w:rPr>
          <w:caps/>
          <w:sz w:val="24"/>
        </w:rPr>
      </w:pPr>
      <w:r w:rsidRPr="00D9753C">
        <w:rPr>
          <w:caps/>
          <w:sz w:val="24"/>
        </w:rPr>
        <w:t>Rapport de l</w:t>
      </w:r>
      <w:r w:rsidR="00DD1867">
        <w:rPr>
          <w:caps/>
          <w:sz w:val="24"/>
        </w:rPr>
        <w:t>’</w:t>
      </w:r>
      <w:r w:rsidRPr="00D9753C">
        <w:rPr>
          <w:caps/>
          <w:sz w:val="24"/>
        </w:rPr>
        <w:t>Organe consultatif indépendant de surveillance (OCIS) de l</w:t>
      </w:r>
      <w:r w:rsidR="00DD1867">
        <w:rPr>
          <w:caps/>
          <w:sz w:val="24"/>
        </w:rPr>
        <w:t>’</w:t>
      </w:r>
      <w:r w:rsidRPr="00D9753C">
        <w:rPr>
          <w:caps/>
          <w:sz w:val="24"/>
        </w:rPr>
        <w:t>OMPI</w:t>
      </w:r>
    </w:p>
    <w:p w:rsidR="0001272B" w:rsidRPr="00D9753C" w:rsidRDefault="00F406E2" w:rsidP="009250DD">
      <w:pPr>
        <w:spacing w:after="960"/>
        <w:rPr>
          <w:i/>
        </w:rPr>
      </w:pPr>
      <w:r w:rsidRPr="00D9753C">
        <w:rPr>
          <w:i/>
        </w:rPr>
        <w:t>établi par l</w:t>
      </w:r>
      <w:r w:rsidR="00DD1867">
        <w:rPr>
          <w:i/>
        </w:rPr>
        <w:t>’</w:t>
      </w:r>
      <w:r w:rsidRPr="00D9753C">
        <w:rPr>
          <w:i/>
        </w:rPr>
        <w:t>Organe consultatif indépendant de surveillance (OCIS) de l</w:t>
      </w:r>
      <w:r w:rsidR="00DD1867">
        <w:rPr>
          <w:i/>
        </w:rPr>
        <w:t>’</w:t>
      </w:r>
      <w:r w:rsidRPr="00D9753C">
        <w:rPr>
          <w:i/>
        </w:rPr>
        <w:t>OMPI</w:t>
      </w:r>
    </w:p>
    <w:p w:rsidR="0001272B" w:rsidRPr="0043604D" w:rsidRDefault="007E7DAD" w:rsidP="009250DD">
      <w:pPr>
        <w:pStyle w:val="ONUMFS"/>
        <w:numPr>
          <w:ilvl w:val="0"/>
          <w:numId w:val="38"/>
        </w:numPr>
        <w:ind w:left="0" w:firstLine="0"/>
      </w:pPr>
      <w:r w:rsidRPr="0043604D">
        <w:t>Le présent document contient le rapport de l</w:t>
      </w:r>
      <w:r w:rsidR="00DD1867">
        <w:t>’</w:t>
      </w:r>
      <w:r w:rsidRPr="0043604D">
        <w:t>Organe consultatif indépendant de surveillance (OCIS) de l</w:t>
      </w:r>
      <w:r w:rsidR="00DD1867">
        <w:t>’</w:t>
      </w:r>
      <w:r w:rsidRPr="0043604D">
        <w:t>OMPI, soumis au Comité du programme et budget de l</w:t>
      </w:r>
      <w:r w:rsidR="00DD1867">
        <w:t>’</w:t>
      </w:r>
      <w:r w:rsidRPr="0043604D">
        <w:t>OMPI (PBC) pour examen à sa trent</w:t>
      </w:r>
      <w:r w:rsidR="00DD1867">
        <w:t>ième session</w:t>
      </w:r>
      <w:r w:rsidRPr="0043604D">
        <w:t xml:space="preserve"> (8 – 12</w:t>
      </w:r>
      <w:r w:rsidR="002B1D77" w:rsidRPr="0043604D">
        <w:t> </w:t>
      </w:r>
      <w:r w:rsidRPr="0043604D">
        <w:t>juillet</w:t>
      </w:r>
      <w:r w:rsidR="002B1D77" w:rsidRPr="0043604D">
        <w:t> </w:t>
      </w:r>
      <w:r w:rsidRPr="0043604D">
        <w:t>2019).</w:t>
      </w:r>
    </w:p>
    <w:p w:rsidR="0001272B" w:rsidRDefault="007E7DAD" w:rsidP="009250DD">
      <w:pPr>
        <w:pStyle w:val="ONUMFS"/>
        <w:numPr>
          <w:ilvl w:val="0"/>
          <w:numId w:val="38"/>
        </w:numPr>
        <w:ind w:left="0" w:firstLine="0"/>
      </w:pPr>
      <w:r w:rsidRPr="0043604D">
        <w:t>Toute décision</w:t>
      </w:r>
      <w:r w:rsidR="00DD1867" w:rsidRPr="0043604D">
        <w:t xml:space="preserve"> du</w:t>
      </w:r>
      <w:r w:rsidR="00DD1867">
        <w:t> </w:t>
      </w:r>
      <w:r w:rsidR="00DD1867" w:rsidRPr="0043604D">
        <w:t>PBC</w:t>
      </w:r>
      <w:r w:rsidRPr="0043604D">
        <w:t xml:space="preserve"> concernant ce document figurera dans la </w:t>
      </w:r>
      <w:r w:rsidR="00F25375" w:rsidRPr="0043604D">
        <w:t>“</w:t>
      </w:r>
      <w:r w:rsidRPr="0043604D">
        <w:t>Liste des décisions adoptées par le Comité du programme et budget</w:t>
      </w:r>
      <w:r w:rsidR="00F25375" w:rsidRPr="0043604D">
        <w:t>”</w:t>
      </w:r>
      <w:r w:rsidRPr="0043604D">
        <w:t xml:space="preserve"> (document A/59/7).</w:t>
      </w:r>
    </w:p>
    <w:p w:rsidR="00D9753C" w:rsidRDefault="00D9753C" w:rsidP="00D9753C"/>
    <w:p w:rsidR="00D9753C" w:rsidRPr="0043604D" w:rsidRDefault="00D9753C" w:rsidP="00D9753C"/>
    <w:p w:rsidR="0001272B" w:rsidRPr="00B142FD" w:rsidRDefault="007E7DAD" w:rsidP="00D9753C">
      <w:pPr>
        <w:pStyle w:val="Endofdocument-Annex"/>
        <w:rPr>
          <w:lang w:val="fr-CH"/>
        </w:rPr>
      </w:pPr>
      <w:r w:rsidRPr="00B142FD">
        <w:rPr>
          <w:lang w:val="fr-CH"/>
        </w:rPr>
        <w:t>[Le document WO/PBC/30/2 suit]</w:t>
      </w:r>
    </w:p>
    <w:p w:rsidR="00F3034E" w:rsidRDefault="009036CE" w:rsidP="004E04E9">
      <w:pPr>
        <w:keepLines/>
        <w:ind w:left="5528"/>
      </w:pPr>
      <w:r w:rsidRPr="0043604D">
        <w:br w:type="page"/>
      </w:r>
    </w:p>
    <w:p w:rsidR="00D9753C" w:rsidRDefault="00D9753C" w:rsidP="004E04E9">
      <w:pPr>
        <w:keepLines/>
        <w:ind w:left="5528"/>
      </w:pPr>
    </w:p>
    <w:p w:rsidR="00D9753C" w:rsidRPr="0043604D" w:rsidRDefault="00D9753C" w:rsidP="004E04E9">
      <w:pPr>
        <w:keepLines/>
        <w:ind w:left="5528"/>
        <w:sectPr w:rsidR="00D9753C" w:rsidRPr="0043604D" w:rsidSect="002325AD">
          <w:headerReference w:type="default" r:id="rId9"/>
          <w:footerReference w:type="even" r:id="rId10"/>
          <w:headerReference w:type="first" r:id="rId11"/>
          <w:endnotePr>
            <w:numFmt w:val="decimal"/>
          </w:endnotePr>
          <w:pgSz w:w="11907" w:h="16840" w:code="9"/>
          <w:pgMar w:top="567" w:right="1134" w:bottom="1417" w:left="1417" w:header="510" w:footer="1020" w:gutter="0"/>
          <w:pgNumType w:start="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9753C" w:rsidRPr="00D04487" w:rsidTr="005F0AB6">
        <w:tc>
          <w:tcPr>
            <w:tcW w:w="4513" w:type="dxa"/>
            <w:tcBorders>
              <w:bottom w:val="single" w:sz="4" w:space="0" w:color="auto"/>
            </w:tcBorders>
            <w:tcMar>
              <w:bottom w:w="170" w:type="dxa"/>
            </w:tcMar>
          </w:tcPr>
          <w:p w:rsidR="00D9753C" w:rsidRPr="00D04487" w:rsidRDefault="00D9753C" w:rsidP="005F0AB6">
            <w:pPr>
              <w:rPr>
                <w:lang w:val="fr-FR"/>
              </w:rPr>
            </w:pPr>
            <w:bookmarkStart w:id="1" w:name="Prepared"/>
            <w:bookmarkStart w:id="2" w:name="TitleOfDoc"/>
            <w:bookmarkEnd w:id="1"/>
            <w:bookmarkEnd w:id="2"/>
          </w:p>
        </w:tc>
        <w:tc>
          <w:tcPr>
            <w:tcW w:w="4337" w:type="dxa"/>
            <w:tcBorders>
              <w:bottom w:val="single" w:sz="4" w:space="0" w:color="auto"/>
            </w:tcBorders>
            <w:tcMar>
              <w:left w:w="0" w:type="dxa"/>
              <w:right w:w="0" w:type="dxa"/>
            </w:tcMar>
          </w:tcPr>
          <w:p w:rsidR="00D9753C" w:rsidRPr="00D04487" w:rsidRDefault="00D9753C" w:rsidP="005F0AB6">
            <w:pPr>
              <w:rPr>
                <w:lang w:val="fr-FR"/>
              </w:rPr>
            </w:pPr>
            <w:r w:rsidRPr="00D04487">
              <w:rPr>
                <w:noProof/>
                <w:lang w:val="en-US" w:eastAsia="en-US"/>
              </w:rPr>
              <w:drawing>
                <wp:inline distT="0" distB="0" distL="0" distR="0" wp14:anchorId="74DC733F" wp14:editId="483E2E33">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9753C" w:rsidRPr="00D04487" w:rsidRDefault="00D9753C" w:rsidP="005F0AB6">
            <w:pPr>
              <w:jc w:val="right"/>
              <w:rPr>
                <w:lang w:val="fr-FR"/>
              </w:rPr>
            </w:pPr>
            <w:r w:rsidRPr="00D04487">
              <w:rPr>
                <w:b/>
                <w:sz w:val="40"/>
                <w:szCs w:val="40"/>
                <w:lang w:val="fr-FR"/>
              </w:rPr>
              <w:t>F</w:t>
            </w:r>
          </w:p>
        </w:tc>
      </w:tr>
      <w:tr w:rsidR="00D9753C" w:rsidRPr="00D04487" w:rsidTr="005F0AB6">
        <w:trPr>
          <w:trHeight w:hRule="exact" w:val="357"/>
        </w:trPr>
        <w:tc>
          <w:tcPr>
            <w:tcW w:w="9356" w:type="dxa"/>
            <w:gridSpan w:val="3"/>
            <w:tcBorders>
              <w:top w:val="single" w:sz="4" w:space="0" w:color="auto"/>
            </w:tcBorders>
            <w:tcMar>
              <w:top w:w="170" w:type="dxa"/>
              <w:left w:w="0" w:type="dxa"/>
              <w:right w:w="0" w:type="dxa"/>
            </w:tcMar>
            <w:vAlign w:val="bottom"/>
          </w:tcPr>
          <w:p w:rsidR="00D9753C" w:rsidRPr="00D04487" w:rsidRDefault="00D9753C" w:rsidP="00002E83">
            <w:pPr>
              <w:jc w:val="right"/>
              <w:rPr>
                <w:rFonts w:ascii="Arial Black" w:hAnsi="Arial Black"/>
                <w:caps/>
                <w:sz w:val="15"/>
                <w:lang w:val="fr-FR"/>
              </w:rPr>
            </w:pPr>
            <w:r w:rsidRPr="00D04487">
              <w:rPr>
                <w:rFonts w:ascii="Arial Black" w:hAnsi="Arial Black"/>
                <w:caps/>
                <w:sz w:val="15"/>
                <w:lang w:val="fr-FR"/>
              </w:rPr>
              <w:t>WO/PBC/30/</w:t>
            </w:r>
            <w:r w:rsidR="00002E83">
              <w:rPr>
                <w:rFonts w:ascii="Arial Black" w:hAnsi="Arial Black"/>
                <w:caps/>
                <w:sz w:val="15"/>
                <w:lang w:val="fr-FR"/>
              </w:rPr>
              <w:t>2</w:t>
            </w:r>
          </w:p>
        </w:tc>
      </w:tr>
      <w:tr w:rsidR="00D9753C" w:rsidRPr="00D04487" w:rsidTr="005F0AB6">
        <w:trPr>
          <w:trHeight w:hRule="exact" w:val="170"/>
        </w:trPr>
        <w:tc>
          <w:tcPr>
            <w:tcW w:w="9356" w:type="dxa"/>
            <w:gridSpan w:val="3"/>
            <w:noWrap/>
            <w:tcMar>
              <w:left w:w="0" w:type="dxa"/>
              <w:right w:w="0" w:type="dxa"/>
            </w:tcMar>
            <w:vAlign w:val="bottom"/>
          </w:tcPr>
          <w:p w:rsidR="00D9753C" w:rsidRPr="00D04487" w:rsidRDefault="00D9753C" w:rsidP="005F0AB6">
            <w:pPr>
              <w:jc w:val="right"/>
              <w:rPr>
                <w:rFonts w:ascii="Arial Black" w:hAnsi="Arial Black"/>
                <w:caps/>
                <w:sz w:val="15"/>
                <w:lang w:val="fr-FR"/>
              </w:rPr>
            </w:pPr>
            <w:r w:rsidRPr="00D04487">
              <w:rPr>
                <w:rFonts w:ascii="Arial Black" w:hAnsi="Arial Black"/>
                <w:caps/>
                <w:sz w:val="15"/>
                <w:lang w:val="fr-FR"/>
              </w:rPr>
              <w:t>ORIGINAL</w:t>
            </w:r>
            <w:r w:rsidR="00DD1867">
              <w:rPr>
                <w:rFonts w:ascii="Arial Black" w:hAnsi="Arial Black"/>
                <w:caps/>
                <w:sz w:val="15"/>
                <w:lang w:val="fr-FR"/>
              </w:rPr>
              <w:t> :</w:t>
            </w:r>
            <w:r w:rsidRPr="00D04487">
              <w:rPr>
                <w:rFonts w:ascii="Arial Black" w:hAnsi="Arial Black"/>
                <w:caps/>
                <w:sz w:val="15"/>
                <w:lang w:val="fr-FR"/>
              </w:rPr>
              <w:t xml:space="preserve"> anglais </w:t>
            </w:r>
          </w:p>
        </w:tc>
      </w:tr>
      <w:tr w:rsidR="00D9753C" w:rsidRPr="00D04487" w:rsidTr="005F0AB6">
        <w:trPr>
          <w:trHeight w:hRule="exact" w:val="198"/>
        </w:trPr>
        <w:tc>
          <w:tcPr>
            <w:tcW w:w="9356" w:type="dxa"/>
            <w:gridSpan w:val="3"/>
            <w:tcMar>
              <w:left w:w="0" w:type="dxa"/>
              <w:right w:w="0" w:type="dxa"/>
            </w:tcMar>
            <w:vAlign w:val="bottom"/>
          </w:tcPr>
          <w:p w:rsidR="00D9753C" w:rsidRPr="00D04487" w:rsidRDefault="00D9753C" w:rsidP="00002E83">
            <w:pPr>
              <w:jc w:val="right"/>
              <w:rPr>
                <w:rFonts w:ascii="Arial Black" w:hAnsi="Arial Black"/>
                <w:caps/>
                <w:sz w:val="15"/>
                <w:lang w:val="fr-FR"/>
              </w:rPr>
            </w:pPr>
            <w:r w:rsidRPr="00D04487">
              <w:rPr>
                <w:rFonts w:ascii="Arial Black" w:hAnsi="Arial Black"/>
                <w:caps/>
                <w:sz w:val="15"/>
                <w:lang w:val="fr-FR"/>
              </w:rPr>
              <w:t>DATE</w:t>
            </w:r>
            <w:r w:rsidR="00DD1867">
              <w:rPr>
                <w:rFonts w:ascii="Arial Black" w:hAnsi="Arial Black"/>
                <w:caps/>
                <w:sz w:val="15"/>
                <w:lang w:val="fr-FR"/>
              </w:rPr>
              <w:t xml:space="preserve"> : </w:t>
            </w:r>
            <w:r w:rsidR="00002E83">
              <w:rPr>
                <w:rFonts w:ascii="Arial Black" w:hAnsi="Arial Black"/>
                <w:caps/>
                <w:sz w:val="15"/>
                <w:lang w:val="fr-FR"/>
              </w:rPr>
              <w:t>2</w:t>
            </w:r>
            <w:r w:rsidR="00DD1867">
              <w:rPr>
                <w:rFonts w:ascii="Arial Black" w:hAnsi="Arial Black"/>
                <w:caps/>
                <w:sz w:val="15"/>
                <w:lang w:val="fr-FR"/>
              </w:rPr>
              <w:t> </w:t>
            </w:r>
            <w:r>
              <w:rPr>
                <w:rFonts w:ascii="Arial Black" w:hAnsi="Arial Black"/>
                <w:caps/>
                <w:sz w:val="15"/>
                <w:lang w:val="fr-FR"/>
              </w:rPr>
              <w:t>juillet</w:t>
            </w:r>
            <w:r w:rsidRPr="00D04487">
              <w:rPr>
                <w:rFonts w:ascii="Arial Black" w:hAnsi="Arial Black"/>
                <w:caps/>
                <w:sz w:val="15"/>
                <w:lang w:val="fr-FR"/>
              </w:rPr>
              <w:t xml:space="preserve"> 2019 </w:t>
            </w:r>
          </w:p>
        </w:tc>
      </w:tr>
    </w:tbl>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b/>
          <w:sz w:val="28"/>
          <w:szCs w:val="28"/>
          <w:lang w:val="fr-FR"/>
        </w:rPr>
      </w:pPr>
      <w:r w:rsidRPr="00D04487">
        <w:rPr>
          <w:b/>
          <w:sz w:val="28"/>
          <w:szCs w:val="28"/>
          <w:lang w:val="fr-FR"/>
        </w:rPr>
        <w:t>Comité du programme et budget</w:t>
      </w: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b/>
          <w:sz w:val="24"/>
          <w:szCs w:val="24"/>
          <w:lang w:val="fr-FR"/>
        </w:rPr>
      </w:pPr>
      <w:r w:rsidRPr="00D04487">
        <w:rPr>
          <w:b/>
          <w:sz w:val="24"/>
          <w:szCs w:val="24"/>
          <w:lang w:val="fr-FR"/>
        </w:rPr>
        <w:t>Trent</w:t>
      </w:r>
      <w:r w:rsidR="00DD1867">
        <w:rPr>
          <w:b/>
          <w:sz w:val="24"/>
          <w:szCs w:val="24"/>
          <w:lang w:val="fr-FR"/>
        </w:rPr>
        <w:t>ième session</w:t>
      </w:r>
    </w:p>
    <w:p w:rsidR="00D9753C" w:rsidRPr="00D04487" w:rsidRDefault="00D9753C" w:rsidP="00D9753C">
      <w:pPr>
        <w:rPr>
          <w:b/>
          <w:sz w:val="24"/>
          <w:szCs w:val="24"/>
          <w:lang w:val="fr-FR"/>
        </w:rPr>
      </w:pPr>
      <w:r w:rsidRPr="00D04487">
        <w:rPr>
          <w:b/>
          <w:sz w:val="24"/>
          <w:szCs w:val="24"/>
          <w:lang w:val="fr-FR"/>
        </w:rPr>
        <w:t>Genève, 8 – 12 juillet 2019</w:t>
      </w:r>
    </w:p>
    <w:p w:rsidR="00D9753C" w:rsidRPr="00D04487" w:rsidRDefault="00D9753C" w:rsidP="00D9753C">
      <w:pPr>
        <w:rPr>
          <w:lang w:val="fr-FR"/>
        </w:rPr>
      </w:pPr>
    </w:p>
    <w:p w:rsidR="00D9753C" w:rsidRPr="00D04487" w:rsidRDefault="00D9753C" w:rsidP="00D9753C">
      <w:pPr>
        <w:rPr>
          <w:lang w:val="fr-FR"/>
        </w:rPr>
      </w:pPr>
    </w:p>
    <w:p w:rsidR="00D9753C" w:rsidRPr="00D04487" w:rsidRDefault="00D9753C" w:rsidP="00D9753C">
      <w:pPr>
        <w:rPr>
          <w:lang w:val="fr-FR"/>
        </w:rPr>
      </w:pPr>
    </w:p>
    <w:p w:rsidR="0001272B" w:rsidRPr="00D9753C" w:rsidRDefault="007E7DAD" w:rsidP="007E7DAD">
      <w:pPr>
        <w:rPr>
          <w:caps/>
        </w:rPr>
      </w:pPr>
      <w:r w:rsidRPr="00D9753C">
        <w:rPr>
          <w:caps/>
        </w:rPr>
        <w:t>Rapport de l</w:t>
      </w:r>
      <w:r w:rsidR="00DD1867">
        <w:rPr>
          <w:caps/>
        </w:rPr>
        <w:t>’</w:t>
      </w:r>
      <w:r w:rsidRPr="00D9753C">
        <w:rPr>
          <w:caps/>
        </w:rPr>
        <w:t>Organe consultatif indépendant de surveillance (OCIS) de</w:t>
      </w:r>
      <w:r w:rsidR="00D9753C">
        <w:rPr>
          <w:caps/>
        </w:rPr>
        <w:t> </w:t>
      </w:r>
      <w:r w:rsidRPr="00D9753C">
        <w:rPr>
          <w:caps/>
        </w:rPr>
        <w:t>l</w:t>
      </w:r>
      <w:r w:rsidR="00DD1867">
        <w:rPr>
          <w:caps/>
        </w:rPr>
        <w:t>’</w:t>
      </w:r>
      <w:r w:rsidRPr="00D9753C">
        <w:rPr>
          <w:caps/>
        </w:rPr>
        <w:t>OMPI</w:t>
      </w:r>
    </w:p>
    <w:p w:rsidR="0001272B" w:rsidRPr="0043604D" w:rsidRDefault="0001272B">
      <w:pPr>
        <w:rPr>
          <w:i/>
        </w:rPr>
      </w:pPr>
    </w:p>
    <w:p w:rsidR="0001272B" w:rsidRPr="0043604D" w:rsidRDefault="007E7DAD" w:rsidP="007E7DAD">
      <w:pPr>
        <w:rPr>
          <w:i/>
        </w:rPr>
      </w:pPr>
      <w:r w:rsidRPr="0043604D">
        <w:rPr>
          <w:i/>
        </w:rPr>
        <w:t>établi par l</w:t>
      </w:r>
      <w:r w:rsidR="00DD1867">
        <w:rPr>
          <w:i/>
        </w:rPr>
        <w:t>’</w:t>
      </w:r>
      <w:r w:rsidRPr="0043604D">
        <w:rPr>
          <w:i/>
        </w:rPr>
        <w:t>Organe consultatif indépendant de surveillance (OCIS) de l</w:t>
      </w:r>
      <w:r w:rsidR="00DD1867">
        <w:rPr>
          <w:i/>
        </w:rPr>
        <w:t>’</w:t>
      </w:r>
      <w:r w:rsidRPr="0043604D">
        <w:rPr>
          <w:i/>
        </w:rPr>
        <w:t>OMPI</w:t>
      </w:r>
    </w:p>
    <w:p w:rsidR="0001272B" w:rsidRPr="0043604D" w:rsidRDefault="0001272B">
      <w:pPr>
        <w:rPr>
          <w:i/>
        </w:rPr>
      </w:pPr>
    </w:p>
    <w:p w:rsidR="0001272B" w:rsidRDefault="0001272B"/>
    <w:p w:rsidR="00D9753C" w:rsidRDefault="00D9753C"/>
    <w:p w:rsidR="00D9753C" w:rsidRPr="0043604D" w:rsidRDefault="00D9753C"/>
    <w:p w:rsidR="00DD1867" w:rsidRDefault="007E7DAD" w:rsidP="00D9753C">
      <w:pPr>
        <w:pStyle w:val="ONUMFS"/>
      </w:pPr>
      <w:r w:rsidRPr="0043604D">
        <w:t>Le présent document contient le Rapport de l</w:t>
      </w:r>
      <w:r w:rsidR="00DD1867">
        <w:t>’</w:t>
      </w:r>
      <w:r w:rsidRPr="0043604D">
        <w:t>Organe consultatif indépendant de surveillance (OCIS) de l</w:t>
      </w:r>
      <w:r w:rsidR="00DD1867">
        <w:t>’</w:t>
      </w:r>
      <w:r w:rsidRPr="0043604D">
        <w:t>OMPI, établi par l</w:t>
      </w:r>
      <w:r w:rsidR="00DD1867">
        <w:t>’</w:t>
      </w:r>
      <w:r w:rsidRPr="0043604D">
        <w:t>OCIS et couvrant la période allant du 6</w:t>
      </w:r>
      <w:r w:rsidR="002B1D77" w:rsidRPr="0043604D">
        <w:t> </w:t>
      </w:r>
      <w:r w:rsidRPr="0043604D">
        <w:t>juillet</w:t>
      </w:r>
      <w:r w:rsidR="002B1D77" w:rsidRPr="0043604D">
        <w:t> </w:t>
      </w:r>
      <w:r w:rsidRPr="0043604D">
        <w:t>2018 au 14</w:t>
      </w:r>
      <w:r w:rsidR="002B1D77" w:rsidRPr="0043604D">
        <w:t> </w:t>
      </w:r>
      <w:r w:rsidRPr="0043604D">
        <w:t>juin</w:t>
      </w:r>
      <w:r w:rsidR="002B1D77" w:rsidRPr="0043604D">
        <w:t> </w:t>
      </w:r>
      <w:r w:rsidRPr="0043604D">
        <w:t>2019.</w:t>
      </w:r>
    </w:p>
    <w:p w:rsidR="00D9753C" w:rsidRDefault="007E7DAD" w:rsidP="00D9753C">
      <w:pPr>
        <w:pStyle w:val="ONUMFS"/>
      </w:pPr>
      <w:r w:rsidRPr="0043604D">
        <w:t>Le paragraphe de décision ci</w:t>
      </w:r>
      <w:r w:rsidR="00002E83">
        <w:noBreakHyphen/>
      </w:r>
      <w:r w:rsidRPr="0043604D">
        <w:t>après est proposé.</w:t>
      </w:r>
    </w:p>
    <w:p w:rsidR="0001272B" w:rsidRPr="00D9753C" w:rsidRDefault="007E7DAD" w:rsidP="00D9753C">
      <w:pPr>
        <w:pStyle w:val="ONUMFS"/>
        <w:ind w:left="5533"/>
        <w:rPr>
          <w:i/>
        </w:rPr>
      </w:pPr>
      <w:r w:rsidRPr="00D9753C">
        <w:rPr>
          <w:i/>
        </w:rPr>
        <w:t>Le Comité du programme et budget (PBC) a recommandé à l</w:t>
      </w:r>
      <w:r w:rsidR="00DD1867">
        <w:rPr>
          <w:i/>
        </w:rPr>
        <w:t>’</w:t>
      </w:r>
      <w:r w:rsidRPr="00D9753C">
        <w:rPr>
          <w:i/>
        </w:rPr>
        <w:t>Assemblée générale de l</w:t>
      </w:r>
      <w:r w:rsidR="00DD1867">
        <w:rPr>
          <w:i/>
        </w:rPr>
        <w:t>’</w:t>
      </w:r>
      <w:r w:rsidRPr="00D9753C">
        <w:rPr>
          <w:i/>
        </w:rPr>
        <w:t>OMPI de prendre note du Rapport de l</w:t>
      </w:r>
      <w:r w:rsidR="00DD1867">
        <w:rPr>
          <w:i/>
        </w:rPr>
        <w:t>’</w:t>
      </w:r>
      <w:r w:rsidRPr="00D9753C">
        <w:rPr>
          <w:i/>
        </w:rPr>
        <w:t>Organe consultatif indépendant de surveillance (OCIS) de l</w:t>
      </w:r>
      <w:r w:rsidR="00DD1867">
        <w:rPr>
          <w:i/>
        </w:rPr>
        <w:t>’</w:t>
      </w:r>
      <w:r w:rsidRPr="00D9753C">
        <w:rPr>
          <w:i/>
        </w:rPr>
        <w:t>OMPI (WO/PBC/30/2).</w:t>
      </w:r>
    </w:p>
    <w:p w:rsidR="0001272B" w:rsidRPr="0043604D" w:rsidRDefault="0001272B" w:rsidP="00D9753C"/>
    <w:p w:rsidR="0001272B" w:rsidRPr="0043604D" w:rsidRDefault="0001272B" w:rsidP="00D9753C"/>
    <w:p w:rsidR="0001272B" w:rsidRPr="00B142FD" w:rsidRDefault="007E7DAD" w:rsidP="00D9753C">
      <w:pPr>
        <w:pStyle w:val="Endofdocument-Annex"/>
        <w:rPr>
          <w:lang w:val="fr-CH"/>
        </w:rPr>
      </w:pPr>
      <w:r w:rsidRPr="00B142FD">
        <w:rPr>
          <w:lang w:val="fr-CH"/>
        </w:rPr>
        <w:t>[Le Rapport de l</w:t>
      </w:r>
      <w:r w:rsidR="00DD1867" w:rsidRPr="00B142FD">
        <w:rPr>
          <w:lang w:val="fr-CH"/>
        </w:rPr>
        <w:t>’</w:t>
      </w:r>
      <w:r w:rsidRPr="00B142FD">
        <w:rPr>
          <w:lang w:val="fr-CH"/>
        </w:rPr>
        <w:t>Organe consultatif indépendant de surveillance de l</w:t>
      </w:r>
      <w:r w:rsidR="00DD1867" w:rsidRPr="00B142FD">
        <w:rPr>
          <w:lang w:val="fr-CH"/>
        </w:rPr>
        <w:t>’</w:t>
      </w:r>
      <w:r w:rsidRPr="00B142FD">
        <w:rPr>
          <w:lang w:val="fr-CH"/>
        </w:rPr>
        <w:t>OMPI suit]</w:t>
      </w:r>
    </w:p>
    <w:p w:rsidR="0001272B" w:rsidRPr="0043604D" w:rsidRDefault="0001272B" w:rsidP="003A540B"/>
    <w:p w:rsidR="0001272B" w:rsidRPr="0043604D" w:rsidRDefault="0001272B" w:rsidP="003A540B">
      <w:pPr>
        <w:jc w:val="center"/>
      </w:pPr>
    </w:p>
    <w:p w:rsidR="00612E73" w:rsidRDefault="0054662E" w:rsidP="003A540B">
      <w:pPr>
        <w:jc w:val="center"/>
      </w:pPr>
      <w:r w:rsidRPr="0043604D">
        <w:br w:type="page"/>
      </w:r>
    </w:p>
    <w:p w:rsidR="00D9753C" w:rsidRDefault="00D9753C" w:rsidP="003A540B">
      <w:pPr>
        <w:jc w:val="center"/>
      </w:pPr>
    </w:p>
    <w:p w:rsidR="00D9753C" w:rsidRPr="0043604D" w:rsidRDefault="00D9753C" w:rsidP="003A540B">
      <w:pPr>
        <w:jc w:val="center"/>
        <w:sectPr w:rsidR="00D9753C" w:rsidRPr="0043604D" w:rsidSect="00D9753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7" w:left="1417" w:header="510" w:footer="1020" w:gutter="0"/>
          <w:pgNumType w:start="1"/>
          <w:cols w:space="720"/>
          <w:titlePg/>
          <w:docGrid w:linePitch="299"/>
        </w:sectP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474767">
      <w:pPr>
        <w:tabs>
          <w:tab w:val="left" w:pos="8340"/>
        </w:tabs>
        <w:jc w:val="center"/>
      </w:pPr>
    </w:p>
    <w:p w:rsidR="0001272B" w:rsidRPr="0043604D" w:rsidRDefault="0001272B" w:rsidP="003A540B">
      <w:pPr>
        <w:jc w:val="center"/>
      </w:pPr>
    </w:p>
    <w:p w:rsidR="0001272B" w:rsidRPr="0043604D" w:rsidRDefault="0001272B" w:rsidP="003A540B">
      <w:pPr>
        <w:jc w:val="center"/>
      </w:pPr>
    </w:p>
    <w:p w:rsidR="0001272B" w:rsidRPr="0043604D" w:rsidRDefault="0001272B" w:rsidP="003A540B">
      <w:pPr>
        <w:jc w:val="center"/>
      </w:pPr>
    </w:p>
    <w:p w:rsidR="0001272B" w:rsidRPr="0043604D" w:rsidRDefault="007E7DAD" w:rsidP="007E7DAD">
      <w:pPr>
        <w:jc w:val="center"/>
      </w:pPr>
      <w:r w:rsidRPr="0043604D">
        <w:t>RAPPORT ANNUEL DE L</w:t>
      </w:r>
      <w:r w:rsidR="00DD1867">
        <w:t>’</w:t>
      </w:r>
      <w:r w:rsidRPr="0043604D">
        <w:t>ORGANE CONSULTATIF INDÉPENDANT DE SURVEILLANCE DE</w:t>
      </w:r>
      <w:r w:rsidR="00D9753C">
        <w:t> </w:t>
      </w:r>
      <w:r w:rsidRPr="0043604D">
        <w:t>L</w:t>
      </w:r>
      <w:r w:rsidR="00DD1867">
        <w:t>’</w:t>
      </w:r>
      <w:r w:rsidRPr="0043604D">
        <w:t>OMPI (OCIS) POUR LA PÉRIODE ALLANT DU 6</w:t>
      </w:r>
      <w:r w:rsidR="002B1D77" w:rsidRPr="0043604D">
        <w:t> </w:t>
      </w:r>
      <w:r w:rsidRPr="0043604D">
        <w:t>JUILLET</w:t>
      </w:r>
      <w:r w:rsidR="002B1D77" w:rsidRPr="0043604D">
        <w:t> </w:t>
      </w:r>
      <w:r w:rsidRPr="0043604D">
        <w:t>2018 AU 14</w:t>
      </w:r>
      <w:r w:rsidR="002B1D77" w:rsidRPr="0043604D">
        <w:t> </w:t>
      </w:r>
      <w:r w:rsidRPr="0043604D">
        <w:t>JUIN</w:t>
      </w:r>
      <w:r w:rsidR="002B1D77" w:rsidRPr="0043604D">
        <w:t> </w:t>
      </w:r>
      <w:r w:rsidRPr="0043604D">
        <w:t>2019</w:t>
      </w:r>
    </w:p>
    <w:p w:rsidR="0001272B" w:rsidRPr="0043604D" w:rsidRDefault="0001272B" w:rsidP="003A540B">
      <w:pPr>
        <w:rPr>
          <w:rStyle w:val="Endofdocument-AnnexChar"/>
          <w:sz w:val="18"/>
          <w:szCs w:val="18"/>
        </w:rPr>
      </w:pPr>
    </w:p>
    <w:p w:rsidR="0001272B" w:rsidRPr="00D9753C" w:rsidRDefault="00D9753C" w:rsidP="007E7DAD">
      <w:pPr>
        <w:jc w:val="center"/>
        <w:rPr>
          <w:rStyle w:val="Endofdocument-AnnexChar"/>
          <w:szCs w:val="22"/>
        </w:rPr>
      </w:pPr>
      <w:r w:rsidRPr="00D9753C">
        <w:rPr>
          <w:rStyle w:val="Endofdocument-AnnexChar"/>
          <w:szCs w:val="22"/>
        </w:rPr>
        <w:t>[2 juillet 2019]</w:t>
      </w:r>
    </w:p>
    <w:p w:rsidR="0001272B" w:rsidRPr="0043604D" w:rsidRDefault="0001272B" w:rsidP="003A540B">
      <w:pPr>
        <w:jc w:val="center"/>
        <w:rPr>
          <w:rStyle w:val="Endofdocument-AnnexChar"/>
        </w:rPr>
      </w:pPr>
    </w:p>
    <w:p w:rsidR="0001272B" w:rsidRPr="0043604D" w:rsidRDefault="0001272B" w:rsidP="003A540B">
      <w:pPr>
        <w:jc w:val="center"/>
        <w:rPr>
          <w:rStyle w:val="Endofdocument-AnnexChar"/>
        </w:rPr>
      </w:pPr>
    </w:p>
    <w:p w:rsidR="0001272B" w:rsidRPr="0043604D" w:rsidRDefault="0001272B" w:rsidP="003A540B">
      <w:pPr>
        <w:rPr>
          <w:rStyle w:val="Endofdocument-AnnexChar"/>
          <w:sz w:val="16"/>
          <w:szCs w:val="16"/>
        </w:rPr>
      </w:pPr>
    </w:p>
    <w:p w:rsidR="0001272B" w:rsidRPr="0043604D" w:rsidRDefault="00FB505A" w:rsidP="003A540B">
      <w:pPr>
        <w:rPr>
          <w:rStyle w:val="Endofdocument-AnnexChar"/>
          <w:sz w:val="16"/>
          <w:szCs w:val="16"/>
        </w:rPr>
      </w:pPr>
      <w:r w:rsidRPr="0043604D">
        <w:rPr>
          <w:rStyle w:val="Endofdocument-AnnexChar"/>
          <w:sz w:val="16"/>
          <w:szCs w:val="16"/>
        </w:rPr>
        <w:br w:type="page"/>
      </w:r>
    </w:p>
    <w:p w:rsidR="0001272B" w:rsidRPr="00D9753C" w:rsidRDefault="00D9753C" w:rsidP="007E7DAD">
      <w:pPr>
        <w:pStyle w:val="TOCHeading"/>
        <w:jc w:val="center"/>
        <w:rPr>
          <w:rFonts w:ascii="Arial" w:hAnsi="Arial" w:cs="Arial"/>
          <w:caps w:val="0"/>
          <w:color w:val="auto"/>
          <w:sz w:val="24"/>
        </w:rPr>
      </w:pPr>
      <w:r w:rsidRPr="00D9753C">
        <w:rPr>
          <w:rFonts w:ascii="Arial" w:hAnsi="Arial" w:cs="Arial"/>
          <w:caps w:val="0"/>
          <w:color w:val="auto"/>
          <w:sz w:val="24"/>
        </w:rPr>
        <w:lastRenderedPageBreak/>
        <w:t>Table des matières</w:t>
      </w:r>
    </w:p>
    <w:p w:rsidR="0001272B" w:rsidRPr="0043604D" w:rsidRDefault="0001272B" w:rsidP="00844EA1">
      <w:pPr>
        <w:spacing w:after="120"/>
        <w:rPr>
          <w:lang w:eastAsia="ja-JP"/>
        </w:rPr>
      </w:pPr>
    </w:p>
    <w:p w:rsidR="00002E83" w:rsidRDefault="00002E83" w:rsidP="00002E83">
      <w:pPr>
        <w:pStyle w:val="TOC1"/>
        <w:rPr>
          <w:rFonts w:asciiTheme="minorHAnsi" w:eastAsiaTheme="minorEastAsia" w:hAnsiTheme="minorHAnsi" w:cstheme="minorBidi"/>
          <w:szCs w:val="22"/>
          <w:lang w:val="fr-FR" w:eastAsia="fr-FR"/>
        </w:rPr>
      </w:pPr>
      <w:r>
        <w:fldChar w:fldCharType="begin"/>
      </w:r>
      <w:r>
        <w:instrText xml:space="preserve"> TOC \o "1-2" \u </w:instrText>
      </w:r>
      <w:r>
        <w:fldChar w:fldCharType="separate"/>
      </w:r>
      <w:r>
        <w:t>I.</w:t>
      </w:r>
      <w:r>
        <w:rPr>
          <w:rFonts w:asciiTheme="minorHAnsi" w:eastAsiaTheme="minorEastAsia" w:hAnsiTheme="minorHAnsi" w:cstheme="minorBidi"/>
          <w:szCs w:val="22"/>
          <w:lang w:val="fr-FR" w:eastAsia="fr-FR"/>
        </w:rPr>
        <w:tab/>
      </w:r>
      <w:r>
        <w:t>Introduction</w:t>
      </w:r>
      <w:r>
        <w:tab/>
      </w:r>
      <w:r>
        <w:fldChar w:fldCharType="begin"/>
      </w:r>
      <w:r>
        <w:instrText xml:space="preserve"> PAGEREF _Toc13132562 \h </w:instrText>
      </w:r>
      <w:r>
        <w:fldChar w:fldCharType="separate"/>
      </w:r>
      <w:r>
        <w:t>3</w:t>
      </w:r>
      <w:r>
        <w:fldChar w:fldCharType="end"/>
      </w:r>
    </w:p>
    <w:p w:rsidR="00002E83" w:rsidRDefault="00002E83" w:rsidP="00002E83">
      <w:pPr>
        <w:pStyle w:val="TOC1"/>
        <w:rPr>
          <w:rFonts w:asciiTheme="minorHAnsi" w:eastAsiaTheme="minorEastAsia" w:hAnsiTheme="minorHAnsi" w:cstheme="minorBidi"/>
          <w:szCs w:val="22"/>
          <w:lang w:val="fr-FR" w:eastAsia="fr-FR"/>
        </w:rPr>
      </w:pPr>
      <w:r>
        <w:t>II.</w:t>
      </w:r>
      <w:r>
        <w:rPr>
          <w:rFonts w:asciiTheme="minorHAnsi" w:eastAsiaTheme="minorEastAsia" w:hAnsiTheme="minorHAnsi" w:cstheme="minorBidi"/>
          <w:szCs w:val="22"/>
          <w:lang w:val="fr-FR" w:eastAsia="fr-FR"/>
        </w:rPr>
        <w:tab/>
      </w:r>
      <w:r>
        <w:t>Sessions trimestrielles, composition et méthode de travail</w:t>
      </w:r>
      <w:r>
        <w:tab/>
      </w:r>
      <w:r>
        <w:fldChar w:fldCharType="begin"/>
      </w:r>
      <w:r>
        <w:instrText xml:space="preserve"> PAGEREF _Toc13132563 \h </w:instrText>
      </w:r>
      <w:r>
        <w:fldChar w:fldCharType="separate"/>
      </w:r>
      <w:r>
        <w:t>3</w:t>
      </w:r>
      <w:r>
        <w:fldChar w:fldCharType="end"/>
      </w:r>
    </w:p>
    <w:p w:rsidR="00002E83" w:rsidRDefault="00002E83" w:rsidP="00002E83">
      <w:pPr>
        <w:pStyle w:val="TOC1"/>
        <w:rPr>
          <w:rFonts w:asciiTheme="minorHAnsi" w:eastAsiaTheme="minorEastAsia" w:hAnsiTheme="minorHAnsi" w:cstheme="minorBidi"/>
          <w:szCs w:val="22"/>
          <w:lang w:val="fr-FR" w:eastAsia="fr-FR"/>
        </w:rPr>
      </w:pPr>
      <w:r>
        <w:t>III.</w:t>
      </w:r>
      <w:r>
        <w:rPr>
          <w:rFonts w:asciiTheme="minorHAnsi" w:eastAsiaTheme="minorEastAsia" w:hAnsiTheme="minorHAnsi" w:cstheme="minorBidi"/>
          <w:szCs w:val="22"/>
          <w:lang w:val="fr-FR" w:eastAsia="fr-FR"/>
        </w:rPr>
        <w:tab/>
      </w:r>
      <w:r>
        <w:t>Questions examinées</w:t>
      </w:r>
      <w:r>
        <w:tab/>
      </w:r>
      <w:r>
        <w:fldChar w:fldCharType="begin"/>
      </w:r>
      <w:r>
        <w:instrText xml:space="preserve"> PAGEREF _Toc13132564 \h </w:instrText>
      </w:r>
      <w:r>
        <w:fldChar w:fldCharType="separate"/>
      </w:r>
      <w:r>
        <w:t>4</w:t>
      </w:r>
      <w: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A.</w:t>
      </w:r>
      <w:r>
        <w:rPr>
          <w:rFonts w:asciiTheme="minorHAnsi" w:eastAsiaTheme="minorEastAsia" w:hAnsiTheme="minorHAnsi" w:cstheme="minorBidi"/>
          <w:noProof/>
          <w:szCs w:val="22"/>
          <w:lang w:val="fr-FR" w:eastAsia="fr-FR"/>
        </w:rPr>
        <w:tab/>
      </w:r>
      <w:r>
        <w:rPr>
          <w:noProof/>
        </w:rPr>
        <w:t>Supervision interne</w:t>
      </w:r>
      <w:r>
        <w:rPr>
          <w:noProof/>
        </w:rPr>
        <w:tab/>
      </w:r>
      <w:r>
        <w:rPr>
          <w:noProof/>
        </w:rPr>
        <w:fldChar w:fldCharType="begin"/>
      </w:r>
      <w:r>
        <w:rPr>
          <w:noProof/>
        </w:rPr>
        <w:instrText xml:space="preserve"> PAGEREF _Toc13132565 \h </w:instrText>
      </w:r>
      <w:r>
        <w:rPr>
          <w:noProof/>
        </w:rPr>
      </w:r>
      <w:r>
        <w:rPr>
          <w:noProof/>
        </w:rPr>
        <w:fldChar w:fldCharType="separate"/>
      </w:r>
      <w:r>
        <w:rPr>
          <w:noProof/>
        </w:rPr>
        <w:t>4</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B.</w:t>
      </w:r>
      <w:r>
        <w:rPr>
          <w:rFonts w:asciiTheme="minorHAnsi" w:eastAsiaTheme="minorEastAsia" w:hAnsiTheme="minorHAnsi" w:cstheme="minorBidi"/>
          <w:noProof/>
          <w:szCs w:val="22"/>
          <w:lang w:val="fr-FR" w:eastAsia="fr-FR"/>
        </w:rPr>
        <w:tab/>
      </w:r>
      <w:r>
        <w:rPr>
          <w:noProof/>
        </w:rPr>
        <w:t>Vérification externe des comptes</w:t>
      </w:r>
      <w:r>
        <w:rPr>
          <w:noProof/>
        </w:rPr>
        <w:tab/>
      </w:r>
      <w:r>
        <w:rPr>
          <w:noProof/>
        </w:rPr>
        <w:fldChar w:fldCharType="begin"/>
      </w:r>
      <w:r>
        <w:rPr>
          <w:noProof/>
        </w:rPr>
        <w:instrText xml:space="preserve"> PAGEREF _Toc13132566 \h </w:instrText>
      </w:r>
      <w:r>
        <w:rPr>
          <w:noProof/>
        </w:rPr>
      </w:r>
      <w:r>
        <w:rPr>
          <w:noProof/>
        </w:rPr>
        <w:fldChar w:fldCharType="separate"/>
      </w:r>
      <w:r>
        <w:rPr>
          <w:noProof/>
        </w:rPr>
        <w:t>7</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C.</w:t>
      </w:r>
      <w:r>
        <w:rPr>
          <w:rFonts w:asciiTheme="minorHAnsi" w:eastAsiaTheme="minorEastAsia" w:hAnsiTheme="minorHAnsi" w:cstheme="minorBidi"/>
          <w:noProof/>
          <w:szCs w:val="22"/>
          <w:lang w:val="fr-FR" w:eastAsia="fr-FR"/>
        </w:rPr>
        <w:tab/>
      </w:r>
      <w:r>
        <w:rPr>
          <w:noProof/>
        </w:rPr>
        <w:t>Rapports financiers</w:t>
      </w:r>
      <w:r>
        <w:rPr>
          <w:noProof/>
        </w:rPr>
        <w:tab/>
      </w:r>
      <w:r>
        <w:rPr>
          <w:noProof/>
        </w:rPr>
        <w:fldChar w:fldCharType="begin"/>
      </w:r>
      <w:r>
        <w:rPr>
          <w:noProof/>
        </w:rPr>
        <w:instrText xml:space="preserve"> PAGEREF _Toc13132567 \h </w:instrText>
      </w:r>
      <w:r>
        <w:rPr>
          <w:noProof/>
        </w:rPr>
      </w:r>
      <w:r>
        <w:rPr>
          <w:noProof/>
        </w:rPr>
        <w:fldChar w:fldCharType="separate"/>
      </w:r>
      <w:r>
        <w:rPr>
          <w:noProof/>
        </w:rPr>
        <w:t>8</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D.</w:t>
      </w:r>
      <w:r>
        <w:rPr>
          <w:rFonts w:asciiTheme="minorHAnsi" w:eastAsiaTheme="minorEastAsia" w:hAnsiTheme="minorHAnsi" w:cstheme="minorBidi"/>
          <w:noProof/>
          <w:szCs w:val="22"/>
          <w:lang w:val="fr-FR" w:eastAsia="fr-FR"/>
        </w:rPr>
        <w:tab/>
      </w:r>
      <w:r>
        <w:rPr>
          <w:noProof/>
        </w:rPr>
        <w:t>Gestion des risques et contrôles internes</w:t>
      </w:r>
      <w:r>
        <w:rPr>
          <w:noProof/>
        </w:rPr>
        <w:tab/>
      </w:r>
      <w:r>
        <w:rPr>
          <w:noProof/>
        </w:rPr>
        <w:fldChar w:fldCharType="begin"/>
      </w:r>
      <w:r>
        <w:rPr>
          <w:noProof/>
        </w:rPr>
        <w:instrText xml:space="preserve"> PAGEREF _Toc13132568 \h </w:instrText>
      </w:r>
      <w:r>
        <w:rPr>
          <w:noProof/>
        </w:rPr>
      </w:r>
      <w:r>
        <w:rPr>
          <w:noProof/>
        </w:rPr>
        <w:fldChar w:fldCharType="separate"/>
      </w:r>
      <w:r>
        <w:rPr>
          <w:noProof/>
        </w:rPr>
        <w:t>8</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E.</w:t>
      </w:r>
      <w:r>
        <w:rPr>
          <w:rFonts w:asciiTheme="minorHAnsi" w:eastAsiaTheme="minorEastAsia" w:hAnsiTheme="minorHAnsi" w:cstheme="minorBidi"/>
          <w:noProof/>
          <w:szCs w:val="22"/>
          <w:lang w:val="fr-FR" w:eastAsia="fr-FR"/>
        </w:rPr>
        <w:tab/>
      </w:r>
      <w:r>
        <w:rPr>
          <w:noProof/>
        </w:rPr>
        <w:t>Mise en œuvre des recommandations relatives à la supervision</w:t>
      </w:r>
      <w:r>
        <w:rPr>
          <w:noProof/>
        </w:rPr>
        <w:tab/>
      </w:r>
      <w:r>
        <w:rPr>
          <w:noProof/>
        </w:rPr>
        <w:fldChar w:fldCharType="begin"/>
      </w:r>
      <w:r>
        <w:rPr>
          <w:noProof/>
        </w:rPr>
        <w:instrText xml:space="preserve"> PAGEREF _Toc13132569 \h </w:instrText>
      </w:r>
      <w:r>
        <w:rPr>
          <w:noProof/>
        </w:rPr>
      </w:r>
      <w:r>
        <w:rPr>
          <w:noProof/>
        </w:rPr>
        <w:fldChar w:fldCharType="separate"/>
      </w:r>
      <w:r>
        <w:rPr>
          <w:noProof/>
        </w:rPr>
        <w:t>9</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F.</w:t>
      </w:r>
      <w:r>
        <w:rPr>
          <w:rFonts w:asciiTheme="minorHAnsi" w:eastAsiaTheme="minorEastAsia" w:hAnsiTheme="minorHAnsi" w:cstheme="minorBidi"/>
          <w:noProof/>
          <w:szCs w:val="22"/>
          <w:lang w:val="fr-FR" w:eastAsia="fr-FR"/>
        </w:rPr>
        <w:tab/>
      </w:r>
      <w:r>
        <w:rPr>
          <w:noProof/>
        </w:rPr>
        <w:t>Déontologie et médiateur</w:t>
      </w:r>
      <w:r>
        <w:rPr>
          <w:noProof/>
        </w:rPr>
        <w:tab/>
      </w:r>
      <w:r>
        <w:rPr>
          <w:noProof/>
        </w:rPr>
        <w:fldChar w:fldCharType="begin"/>
      </w:r>
      <w:r>
        <w:rPr>
          <w:noProof/>
        </w:rPr>
        <w:instrText xml:space="preserve"> PAGEREF _Toc13132570 \h </w:instrText>
      </w:r>
      <w:r>
        <w:rPr>
          <w:noProof/>
        </w:rPr>
      </w:r>
      <w:r>
        <w:rPr>
          <w:noProof/>
        </w:rPr>
        <w:fldChar w:fldCharType="separate"/>
      </w:r>
      <w:r>
        <w:rPr>
          <w:noProof/>
        </w:rPr>
        <w:t>10</w:t>
      </w:r>
      <w:r>
        <w:rPr>
          <w:noProof/>
        </w:rPr>
        <w:fldChar w:fldCharType="end"/>
      </w:r>
    </w:p>
    <w:p w:rsidR="00002E83" w:rsidRDefault="00002E83" w:rsidP="00002E83">
      <w:pPr>
        <w:pStyle w:val="TOC2"/>
        <w:rPr>
          <w:rFonts w:asciiTheme="minorHAnsi" w:eastAsiaTheme="minorEastAsia" w:hAnsiTheme="minorHAnsi" w:cstheme="minorBidi"/>
          <w:noProof/>
          <w:szCs w:val="22"/>
          <w:lang w:val="fr-FR" w:eastAsia="fr-FR"/>
        </w:rPr>
      </w:pPr>
      <w:r w:rsidRPr="00BA5354">
        <w:rPr>
          <w:noProof/>
        </w:rPr>
        <w:t>G.</w:t>
      </w:r>
      <w:r>
        <w:rPr>
          <w:rFonts w:asciiTheme="minorHAnsi" w:eastAsiaTheme="minorEastAsia" w:hAnsiTheme="minorHAnsi" w:cstheme="minorBidi"/>
          <w:noProof/>
          <w:szCs w:val="22"/>
          <w:lang w:val="fr-FR" w:eastAsia="fr-FR"/>
        </w:rPr>
        <w:tab/>
      </w:r>
      <w:r>
        <w:rPr>
          <w:noProof/>
        </w:rPr>
        <w:t>Divers</w:t>
      </w:r>
      <w:r>
        <w:rPr>
          <w:noProof/>
        </w:rPr>
        <w:tab/>
      </w:r>
      <w:r>
        <w:rPr>
          <w:noProof/>
        </w:rPr>
        <w:fldChar w:fldCharType="begin"/>
      </w:r>
      <w:r>
        <w:rPr>
          <w:noProof/>
        </w:rPr>
        <w:instrText xml:space="preserve"> PAGEREF _Toc13132571 \h </w:instrText>
      </w:r>
      <w:r>
        <w:rPr>
          <w:noProof/>
        </w:rPr>
      </w:r>
      <w:r>
        <w:rPr>
          <w:noProof/>
        </w:rPr>
        <w:fldChar w:fldCharType="separate"/>
      </w:r>
      <w:r>
        <w:rPr>
          <w:noProof/>
        </w:rPr>
        <w:t>11</w:t>
      </w:r>
      <w:r>
        <w:rPr>
          <w:noProof/>
        </w:rPr>
        <w:fldChar w:fldCharType="end"/>
      </w:r>
    </w:p>
    <w:p w:rsidR="00002E83" w:rsidRDefault="00002E83" w:rsidP="00002E83">
      <w:pPr>
        <w:pStyle w:val="TOC1"/>
        <w:rPr>
          <w:rFonts w:asciiTheme="minorHAnsi" w:eastAsiaTheme="minorEastAsia" w:hAnsiTheme="minorHAnsi" w:cstheme="minorBidi"/>
          <w:szCs w:val="22"/>
          <w:lang w:val="fr-FR" w:eastAsia="fr-FR"/>
        </w:rPr>
      </w:pPr>
      <w:r>
        <w:t>IV.</w:t>
      </w:r>
      <w:r>
        <w:rPr>
          <w:rFonts w:asciiTheme="minorHAnsi" w:eastAsiaTheme="minorEastAsia" w:hAnsiTheme="minorHAnsi" w:cstheme="minorBidi"/>
          <w:szCs w:val="22"/>
          <w:lang w:val="fr-FR" w:eastAsia="fr-FR"/>
        </w:rPr>
        <w:tab/>
      </w:r>
      <w:r>
        <w:t>Conclusion</w:t>
      </w:r>
      <w:r>
        <w:tab/>
      </w:r>
      <w:r>
        <w:fldChar w:fldCharType="begin"/>
      </w:r>
      <w:r>
        <w:instrText xml:space="preserve"> PAGEREF _Toc13132572 \h </w:instrText>
      </w:r>
      <w:r>
        <w:fldChar w:fldCharType="separate"/>
      </w:r>
      <w:r>
        <w:t>12</w:t>
      </w:r>
      <w:r>
        <w:fldChar w:fldCharType="end"/>
      </w:r>
    </w:p>
    <w:p w:rsidR="0001272B" w:rsidRPr="0043604D" w:rsidRDefault="00002E83" w:rsidP="00F24C7A">
      <w:pPr>
        <w:spacing w:after="120"/>
      </w:pPr>
      <w:r>
        <w:rPr>
          <w:caps/>
        </w:rPr>
        <w:fldChar w:fldCharType="end"/>
      </w:r>
    </w:p>
    <w:p w:rsidR="0001272B" w:rsidRPr="0043604D" w:rsidRDefault="0001272B" w:rsidP="005519BB">
      <w:pPr>
        <w:jc w:val="both"/>
      </w:pPr>
    </w:p>
    <w:p w:rsidR="00D9753C" w:rsidRDefault="00D9753C">
      <w:pPr>
        <w:rPr>
          <w:rStyle w:val="Endofdocument-AnnexChar"/>
          <w:b/>
          <w:bCs/>
          <w:caps/>
          <w:kern w:val="32"/>
          <w:szCs w:val="22"/>
        </w:rPr>
      </w:pPr>
      <w:bookmarkStart w:id="3" w:name="_Toc395336849"/>
      <w:bookmarkStart w:id="4" w:name="_Toc453591207"/>
      <w:r>
        <w:rPr>
          <w:rStyle w:val="Endofdocument-AnnexChar"/>
          <w:szCs w:val="22"/>
        </w:rPr>
        <w:br w:type="page"/>
      </w:r>
    </w:p>
    <w:p w:rsidR="0001272B" w:rsidRDefault="00D9753C" w:rsidP="00D9753C">
      <w:pPr>
        <w:pStyle w:val="Heading1"/>
      </w:pPr>
      <w:bookmarkStart w:id="5" w:name="_Toc13132562"/>
      <w:r w:rsidRPr="00D9753C">
        <w:lastRenderedPageBreak/>
        <w:t>Introduction</w:t>
      </w:r>
      <w:bookmarkEnd w:id="3"/>
      <w:bookmarkEnd w:id="4"/>
      <w:bookmarkEnd w:id="5"/>
    </w:p>
    <w:p w:rsidR="00D9753C" w:rsidRPr="00D9753C" w:rsidRDefault="00D9753C" w:rsidP="00D9753C">
      <w:pPr>
        <w:rPr>
          <w:rStyle w:val="Endofdocument-AnnexChar"/>
        </w:rPr>
      </w:pPr>
    </w:p>
    <w:p w:rsidR="0001272B" w:rsidRPr="0043604D" w:rsidRDefault="007E7DAD" w:rsidP="00D9753C">
      <w:pPr>
        <w:pStyle w:val="ONUMFS"/>
        <w:numPr>
          <w:ilvl w:val="0"/>
          <w:numId w:val="25"/>
        </w:numPr>
      </w:pPr>
      <w:r w:rsidRPr="0043604D">
        <w:t>Conformément à son mandat, l</w:t>
      </w:r>
      <w:r w:rsidR="00DD1867">
        <w:t>’</w:t>
      </w:r>
      <w:r w:rsidRPr="0043604D">
        <w:t>Organe consultatif indépendant de surveillance (OCIS) de l</w:t>
      </w:r>
      <w:r w:rsidR="00DD1867">
        <w:t>’</w:t>
      </w:r>
      <w:r w:rsidRPr="0043604D">
        <w:t>OMPI soumet un rapport annuel au Comité du programme et budget (PBC) et à l</w:t>
      </w:r>
      <w:r w:rsidR="00DD1867">
        <w:t>’</w:t>
      </w:r>
      <w:r w:rsidRPr="0043604D">
        <w:t>Assemblée générale de l</w:t>
      </w:r>
      <w:r w:rsidR="00DD1867">
        <w:t>’</w:t>
      </w:r>
      <w:r w:rsidRPr="0043604D">
        <w:t>OMPI.</w:t>
      </w:r>
    </w:p>
    <w:p w:rsidR="0001272B" w:rsidRPr="0043604D" w:rsidRDefault="007E7DAD" w:rsidP="00D9753C">
      <w:pPr>
        <w:pStyle w:val="ONUMFS"/>
      </w:pPr>
      <w:r w:rsidRPr="0043604D">
        <w:t xml:space="preserve">Créé </w:t>
      </w:r>
      <w:r w:rsidR="00DD1867" w:rsidRPr="0043604D">
        <w:t>en</w:t>
      </w:r>
      <w:r w:rsidR="00DD1867">
        <w:t> </w:t>
      </w:r>
      <w:r w:rsidR="00DD1867" w:rsidRPr="0043604D">
        <w:t>2005</w:t>
      </w:r>
      <w:r w:rsidRPr="0043604D">
        <w:t>, l</w:t>
      </w:r>
      <w:r w:rsidR="00DD1867">
        <w:t>’</w:t>
      </w:r>
      <w:r w:rsidRPr="0043604D">
        <w:t xml:space="preserve">OCIS </w:t>
      </w:r>
      <w:r w:rsidR="004209E4" w:rsidRPr="0043604D">
        <w:t>(ci</w:t>
      </w:r>
      <w:r w:rsidR="00002E83">
        <w:noBreakHyphen/>
      </w:r>
      <w:r w:rsidR="004209E4" w:rsidRPr="0043604D">
        <w:t>après également dé</w:t>
      </w:r>
      <w:r w:rsidR="00002E83">
        <w:t>n</w:t>
      </w:r>
      <w:r w:rsidR="004209E4" w:rsidRPr="0043604D">
        <w:t xml:space="preserve">ommé </w:t>
      </w:r>
      <w:r w:rsidR="00002E83">
        <w:t>“</w:t>
      </w:r>
      <w:r w:rsidR="004209E4" w:rsidRPr="0043604D">
        <w:t>Organe</w:t>
      </w:r>
      <w:r w:rsidR="00002E83">
        <w:t>”</w:t>
      </w:r>
      <w:r w:rsidR="004209E4" w:rsidRPr="0043604D">
        <w:t xml:space="preserve">) </w:t>
      </w:r>
      <w:r w:rsidRPr="0043604D">
        <w:t>est un organe subsidiaire de l</w:t>
      </w:r>
      <w:r w:rsidR="00DD1867">
        <w:t>’</w:t>
      </w:r>
      <w:r w:rsidRPr="0043604D">
        <w:t>Assemblée générale de l</w:t>
      </w:r>
      <w:r w:rsidR="00DD1867">
        <w:t>’</w:t>
      </w:r>
      <w:r w:rsidRPr="0043604D">
        <w:t>OMPI et</w:t>
      </w:r>
      <w:r w:rsidR="00DD1867" w:rsidRPr="0043604D">
        <w:t xml:space="preserve"> du</w:t>
      </w:r>
      <w:r w:rsidR="00DD1867">
        <w:t> </w:t>
      </w:r>
      <w:r w:rsidR="00ED0BA6" w:rsidRPr="0043604D">
        <w:t>PBC</w:t>
      </w:r>
      <w:r w:rsidR="00ED0BA6">
        <w:t xml:space="preserve">.  </w:t>
      </w:r>
      <w:r w:rsidR="00ED0BA6" w:rsidRPr="0043604D">
        <w:t>Or</w:t>
      </w:r>
      <w:r w:rsidRPr="0043604D">
        <w:t>gane indépendant exerçant des fonctions consultatives spécialisées, il aide l</w:t>
      </w:r>
      <w:r w:rsidR="00DD1867">
        <w:t>’</w:t>
      </w:r>
      <w:r w:rsidRPr="0043604D">
        <w:t>Assemblée et</w:t>
      </w:r>
      <w:r w:rsidR="00DD1867" w:rsidRPr="0043604D">
        <w:t xml:space="preserve"> le</w:t>
      </w:r>
      <w:r w:rsidR="00DD1867">
        <w:t> </w:t>
      </w:r>
      <w:r w:rsidR="00DD1867" w:rsidRPr="0043604D">
        <w:t>PBC</w:t>
      </w:r>
      <w:r w:rsidRPr="0043604D">
        <w:t xml:space="preserve"> à s</w:t>
      </w:r>
      <w:r w:rsidR="00DD1867">
        <w:t>’</w:t>
      </w:r>
      <w:r w:rsidRPr="0043604D">
        <w:t>acquitter de leurs responsabilités en matière de supervision.</w:t>
      </w:r>
    </w:p>
    <w:p w:rsidR="0001272B" w:rsidRPr="0043604D" w:rsidRDefault="007E7DAD" w:rsidP="00D9753C">
      <w:pPr>
        <w:pStyle w:val="ONUMFS"/>
      </w:pPr>
      <w:r w:rsidRPr="0043604D">
        <w:t>Le présent rapport annuel couvre la période allant du 6</w:t>
      </w:r>
      <w:r w:rsidR="002B1D77" w:rsidRPr="0043604D">
        <w:t> </w:t>
      </w:r>
      <w:r w:rsidRPr="0043604D">
        <w:t>juillet</w:t>
      </w:r>
      <w:r w:rsidR="002B1D77" w:rsidRPr="0043604D">
        <w:t> </w:t>
      </w:r>
      <w:r w:rsidRPr="0043604D">
        <w:t>2018 au 14</w:t>
      </w:r>
      <w:r w:rsidR="002B1D77" w:rsidRPr="0043604D">
        <w:t> </w:t>
      </w:r>
      <w:r w:rsidRPr="0043604D">
        <w:t>juin</w:t>
      </w:r>
      <w:r w:rsidR="002B1D77" w:rsidRPr="0043604D">
        <w:t> </w:t>
      </w:r>
      <w:r w:rsidRPr="0043604D">
        <w:t>2019.</w:t>
      </w:r>
      <w:r w:rsidR="004F0A47" w:rsidRPr="0043604D">
        <w:t xml:space="preserve">  </w:t>
      </w:r>
      <w:r w:rsidRPr="0043604D">
        <w:t>La section</w:t>
      </w:r>
      <w:r w:rsidR="002B1D77" w:rsidRPr="0043604D">
        <w:t> </w:t>
      </w:r>
      <w:r w:rsidRPr="0043604D">
        <w:t>II du rapport donne des informations sur les sessions trimestrielles, la composition et la méthode de travail de l</w:t>
      </w:r>
      <w:r w:rsidR="00DD1867">
        <w:t>’</w:t>
      </w:r>
      <w:r w:rsidR="00CE74DF" w:rsidRPr="0043604D">
        <w:t>O</w:t>
      </w:r>
      <w:r w:rsidR="00ED0BA6" w:rsidRPr="0043604D">
        <w:t>CIS</w:t>
      </w:r>
      <w:r w:rsidR="00ED0BA6">
        <w:t xml:space="preserve">.  </w:t>
      </w:r>
      <w:bookmarkStart w:id="6" w:name="_Toc395336850"/>
      <w:bookmarkStart w:id="7" w:name="_Toc453591208"/>
      <w:r w:rsidR="00ED0BA6" w:rsidRPr="0043604D">
        <w:t>La</w:t>
      </w:r>
      <w:r w:rsidRPr="0043604D">
        <w:t xml:space="preserve"> section</w:t>
      </w:r>
      <w:r w:rsidR="002B1D77" w:rsidRPr="0043604D">
        <w:t> </w:t>
      </w:r>
      <w:r w:rsidRPr="0043604D">
        <w:t xml:space="preserve">III présente dans le détail les questions examinées et analysées par </w:t>
      </w:r>
      <w:r w:rsidR="00CE74DF" w:rsidRPr="0043604D">
        <w:t>l</w:t>
      </w:r>
      <w:r w:rsidR="00DD1867">
        <w:t>’</w:t>
      </w:r>
      <w:r w:rsidR="00CE74DF" w:rsidRPr="0043604D">
        <w:t xml:space="preserve">OCIS </w:t>
      </w:r>
      <w:r w:rsidRPr="0043604D">
        <w:t>durant la période considérée.</w:t>
      </w:r>
    </w:p>
    <w:p w:rsidR="0001272B" w:rsidRPr="00D9753C" w:rsidRDefault="007E7DAD" w:rsidP="00D9753C">
      <w:pPr>
        <w:pStyle w:val="Heading1"/>
      </w:pPr>
      <w:bookmarkStart w:id="8" w:name="_Toc13132563"/>
      <w:bookmarkEnd w:id="6"/>
      <w:bookmarkEnd w:id="7"/>
      <w:r w:rsidRPr="00D9753C">
        <w:t>Sessions trimestrielles, composition et méthode de travail</w:t>
      </w:r>
      <w:bookmarkEnd w:id="8"/>
    </w:p>
    <w:p w:rsidR="0001272B" w:rsidRDefault="007E7DAD" w:rsidP="00D9753C">
      <w:pPr>
        <w:pStyle w:val="Heading3"/>
      </w:pPr>
      <w:r w:rsidRPr="00D9753C">
        <w:t>Sessions trimestrielles</w:t>
      </w:r>
    </w:p>
    <w:p w:rsidR="00D9753C" w:rsidRPr="00D9753C" w:rsidRDefault="00D9753C" w:rsidP="00D9753C"/>
    <w:p w:rsidR="0001272B" w:rsidRPr="0043604D" w:rsidRDefault="007E7DAD" w:rsidP="00D9753C">
      <w:pPr>
        <w:pStyle w:val="ONUMFS"/>
      </w:pPr>
      <w:r w:rsidRPr="0043604D">
        <w:t xml:space="preserve">Durant la période considérée, </w:t>
      </w:r>
      <w:r w:rsidR="00CE74DF" w:rsidRPr="0043604D">
        <w:t>l</w:t>
      </w:r>
      <w:r w:rsidR="00DD1867">
        <w:t>’</w:t>
      </w:r>
      <w:r w:rsidR="00CE74DF" w:rsidRPr="0043604D">
        <w:t xml:space="preserve">OCIS </w:t>
      </w:r>
      <w:r w:rsidRPr="0043604D">
        <w:t>a tenu quatre</w:t>
      </w:r>
      <w:r w:rsidR="008422B4">
        <w:t> </w:t>
      </w:r>
      <w:r w:rsidRPr="0043604D">
        <w:t>sessions trimestrielles</w:t>
      </w:r>
      <w:r w:rsidR="00DD1867">
        <w:t> :</w:t>
      </w:r>
      <w:r w:rsidRPr="0043604D">
        <w:t xml:space="preserve"> du 15 au 19</w:t>
      </w:r>
      <w:r w:rsidR="002B1D77" w:rsidRPr="0043604D">
        <w:t> </w:t>
      </w:r>
      <w:r w:rsidRPr="0043604D">
        <w:t>octobre</w:t>
      </w:r>
      <w:r w:rsidR="002B1D77" w:rsidRPr="0043604D">
        <w:t> </w:t>
      </w:r>
      <w:r w:rsidRPr="0043604D">
        <w:t>2018 (cinquant</w:t>
      </w:r>
      <w:r w:rsidR="00DD1867">
        <w:t>ième session</w:t>
      </w:r>
      <w:r w:rsidRPr="0043604D">
        <w:t>);  du 4 au 7</w:t>
      </w:r>
      <w:r w:rsidR="002B1D77" w:rsidRPr="0043604D">
        <w:t> </w:t>
      </w:r>
      <w:r w:rsidRPr="0043604D">
        <w:t>décembre</w:t>
      </w:r>
      <w:r w:rsidR="002B1D77" w:rsidRPr="0043604D">
        <w:t> </w:t>
      </w:r>
      <w:r w:rsidRPr="0043604D">
        <w:t>2018 (cinquante</w:t>
      </w:r>
      <w:r w:rsidR="00DD1867">
        <w:t> et unième session</w:t>
      </w:r>
      <w:r w:rsidRPr="0043604D">
        <w:t>);  du 19 au 22</w:t>
      </w:r>
      <w:r w:rsidR="002B1D77" w:rsidRPr="0043604D">
        <w:t> </w:t>
      </w:r>
      <w:r w:rsidRPr="0043604D">
        <w:t>mars</w:t>
      </w:r>
      <w:r w:rsidR="002B1D77" w:rsidRPr="0043604D">
        <w:t> </w:t>
      </w:r>
      <w:r w:rsidRPr="0043604D">
        <w:t>2019 (cinquante</w:t>
      </w:r>
      <w:r w:rsidR="00002E83">
        <w:noBreakHyphen/>
      </w:r>
      <w:r w:rsidRPr="0043604D">
        <w:t>deux</w:t>
      </w:r>
      <w:r w:rsidR="00DD1867">
        <w:t>ième session</w:t>
      </w:r>
      <w:r w:rsidRPr="0043604D">
        <w:t>);  et du 11 au 14</w:t>
      </w:r>
      <w:r w:rsidR="002B1D77" w:rsidRPr="0043604D">
        <w:t> </w:t>
      </w:r>
      <w:r w:rsidRPr="0043604D">
        <w:t>juin</w:t>
      </w:r>
      <w:r w:rsidR="002B1D77" w:rsidRPr="0043604D">
        <w:t> </w:t>
      </w:r>
      <w:r w:rsidRPr="0043604D">
        <w:t>2019 (cinquante</w:t>
      </w:r>
      <w:r w:rsidR="00002E83">
        <w:noBreakHyphen/>
      </w:r>
      <w:r w:rsidRPr="0043604D">
        <w:t>trois</w:t>
      </w:r>
      <w:r w:rsidR="00DD1867">
        <w:t>ième sessi</w:t>
      </w:r>
      <w:r w:rsidR="00ED0BA6">
        <w:t>on</w:t>
      </w:r>
      <w:r w:rsidR="00ED0BA6" w:rsidRPr="0043604D">
        <w:t>)</w:t>
      </w:r>
      <w:r w:rsidR="00ED0BA6">
        <w:t xml:space="preserve">.  </w:t>
      </w:r>
      <w:r w:rsidR="00ED0BA6" w:rsidRPr="0043604D">
        <w:t>Co</w:t>
      </w:r>
      <w:r w:rsidR="00363117" w:rsidRPr="0043604D">
        <w:t xml:space="preserve">nformément à son mandat, </w:t>
      </w:r>
      <w:r w:rsidR="004209E4" w:rsidRPr="0043604D">
        <w:t>l</w:t>
      </w:r>
      <w:r w:rsidR="00DD1867">
        <w:t>’</w:t>
      </w:r>
      <w:r w:rsidR="004209E4" w:rsidRPr="0043604D">
        <w:t>Organe</w:t>
      </w:r>
      <w:r w:rsidR="00363117" w:rsidRPr="0043604D">
        <w:t xml:space="preserve"> a tenu une réunion d</w:t>
      </w:r>
      <w:r w:rsidR="00DD1867">
        <w:t>’</w:t>
      </w:r>
      <w:r w:rsidR="00363117" w:rsidRPr="0043604D">
        <w:t>information avec les représentants des États membres après chaque session, et a publié ses rapports de session sur le site</w:t>
      </w:r>
      <w:r w:rsidR="008422B4">
        <w:t> </w:t>
      </w:r>
      <w:r w:rsidR="00363117" w:rsidRPr="0043604D">
        <w:t>Web de l</w:t>
      </w:r>
      <w:r w:rsidR="00DD1867">
        <w:t>’</w:t>
      </w:r>
      <w:r w:rsidR="00363117" w:rsidRPr="0043604D">
        <w:t>OMPI.</w:t>
      </w:r>
    </w:p>
    <w:p w:rsidR="0001272B" w:rsidRDefault="00363117" w:rsidP="00D9753C">
      <w:pPr>
        <w:pStyle w:val="Heading3"/>
      </w:pPr>
      <w:r w:rsidRPr="0043604D">
        <w:t>Composition et proc</w:t>
      </w:r>
      <w:r w:rsidR="004209E4" w:rsidRPr="0043604D">
        <w:t>édure</w:t>
      </w:r>
      <w:r w:rsidRPr="0043604D">
        <w:t xml:space="preserve"> de sélection des nouveaux membres</w:t>
      </w:r>
    </w:p>
    <w:p w:rsidR="00D9753C" w:rsidRPr="00D9753C" w:rsidRDefault="00D9753C" w:rsidP="00D9753C"/>
    <w:p w:rsidR="0001272B" w:rsidRPr="0043604D" w:rsidRDefault="00363117" w:rsidP="00D9753C">
      <w:pPr>
        <w:pStyle w:val="ONUMFS"/>
      </w:pPr>
      <w:r w:rsidRPr="0043604D">
        <w:t>L</w:t>
      </w:r>
      <w:r w:rsidR="00DD1867">
        <w:t>’</w:t>
      </w:r>
      <w:r w:rsidRPr="0043604D">
        <w:t>OCIS comprend sept</w:t>
      </w:r>
      <w:r w:rsidR="008422B4">
        <w:t> </w:t>
      </w:r>
      <w:r w:rsidRPr="0043604D">
        <w:t>membres issus des groupes régionaux de l</w:t>
      </w:r>
      <w:r w:rsidR="00DD1867">
        <w:t>’</w:t>
      </w:r>
      <w:r w:rsidRPr="0043604D">
        <w:t>O</w:t>
      </w:r>
      <w:r w:rsidR="00ED0BA6" w:rsidRPr="0043604D">
        <w:t>MPI</w:t>
      </w:r>
      <w:r w:rsidR="00ED0BA6">
        <w:t xml:space="preserve">.  </w:t>
      </w:r>
      <w:r w:rsidR="00ED0BA6" w:rsidRPr="0043604D">
        <w:t>Le</w:t>
      </w:r>
      <w:r w:rsidRPr="0043604D">
        <w:t>s membres siègent à titre personnel et de manière indépendante par rapport aux États membr</w:t>
      </w:r>
      <w:r w:rsidR="00ED0BA6" w:rsidRPr="0043604D">
        <w:t>es</w:t>
      </w:r>
      <w:r w:rsidR="00ED0BA6">
        <w:t xml:space="preserve">.  </w:t>
      </w:r>
      <w:r w:rsidR="00ED0BA6" w:rsidRPr="0043604D">
        <w:t>Co</w:t>
      </w:r>
      <w:r w:rsidRPr="0043604D">
        <w:t xml:space="preserve">nformément à son mandat et à son règlement intérieur, </w:t>
      </w:r>
      <w:r w:rsidR="00CE74DF" w:rsidRPr="0043604D">
        <w:t>l</w:t>
      </w:r>
      <w:r w:rsidR="00DD1867">
        <w:t>’</w:t>
      </w:r>
      <w:r w:rsidR="00CE74DF" w:rsidRPr="0043604D">
        <w:t xml:space="preserve">OCIS </w:t>
      </w:r>
      <w:r w:rsidRPr="0043604D">
        <w:t>a élu, à sa cinquante</w:t>
      </w:r>
      <w:r w:rsidR="00DD1867">
        <w:t> et unième session</w:t>
      </w:r>
      <w:r w:rsidRPr="0043604D">
        <w:t xml:space="preserve"> tenue en décembre</w:t>
      </w:r>
      <w:r w:rsidR="002B1D77" w:rsidRPr="0043604D">
        <w:t> </w:t>
      </w:r>
      <w:r w:rsidRPr="0043604D">
        <w:t>2018, Mme</w:t>
      </w:r>
      <w:r w:rsidR="002B1D77" w:rsidRPr="0043604D">
        <w:t> </w:t>
      </w:r>
      <w:r w:rsidRPr="0043604D">
        <w:t>Maria</w:t>
      </w:r>
      <w:r w:rsidR="002B1D77" w:rsidRPr="0043604D">
        <w:t> </w:t>
      </w:r>
      <w:r w:rsidRPr="0043604D">
        <w:t>Vicien</w:t>
      </w:r>
      <w:r w:rsidR="00002E83">
        <w:noBreakHyphen/>
      </w:r>
      <w:r w:rsidRPr="0043604D">
        <w:t>Milburn en tant que présidente et Mme</w:t>
      </w:r>
      <w:r w:rsidR="002B1D77" w:rsidRPr="0043604D">
        <w:t> </w:t>
      </w:r>
      <w:r w:rsidRPr="0043604D">
        <w:t>Tatiana</w:t>
      </w:r>
      <w:r w:rsidR="002B1D77" w:rsidRPr="0043604D">
        <w:t> </w:t>
      </w:r>
      <w:r w:rsidRPr="0043604D">
        <w:t>Vasileva en tant que vice</w:t>
      </w:r>
      <w:r w:rsidR="00002E83">
        <w:noBreakHyphen/>
      </w:r>
      <w:r w:rsidRPr="0043604D">
        <w:t>présidente.</w:t>
      </w:r>
    </w:p>
    <w:p w:rsidR="00DD1867" w:rsidRDefault="00363117" w:rsidP="00D9753C">
      <w:pPr>
        <w:pStyle w:val="ONUMFS"/>
      </w:pPr>
      <w:r w:rsidRPr="0043604D">
        <w:t>Conformément à la procédure de sélection décrite au paragraphe</w:t>
      </w:r>
      <w:r w:rsidR="002B1D77" w:rsidRPr="0043604D">
        <w:t> </w:t>
      </w:r>
      <w:r w:rsidRPr="0043604D">
        <w:t xml:space="preserve">28 du document WO/GA/39/13, </w:t>
      </w:r>
      <w:r w:rsidR="00CE74DF" w:rsidRPr="0043604D">
        <w:t>l</w:t>
      </w:r>
      <w:r w:rsidR="00DD1867">
        <w:t>’</w:t>
      </w:r>
      <w:r w:rsidR="00CE74DF" w:rsidRPr="0043604D">
        <w:t xml:space="preserve">OCIS </w:t>
      </w:r>
      <w:r w:rsidRPr="0043604D">
        <w:t>est actuellement composé des membres ci</w:t>
      </w:r>
      <w:r w:rsidR="00002E83">
        <w:noBreakHyphen/>
      </w:r>
      <w:r w:rsidRPr="0043604D">
        <w:t>après</w:t>
      </w:r>
      <w:r w:rsidR="00DD1867">
        <w:t> :</w:t>
      </w:r>
    </w:p>
    <w:p w:rsidR="00DD1867" w:rsidRDefault="00363117" w:rsidP="00D9753C">
      <w:pPr>
        <w:pStyle w:val="ONUMFS"/>
        <w:numPr>
          <w:ilvl w:val="0"/>
          <w:numId w:val="26"/>
        </w:numPr>
        <w:ind w:left="1134" w:hanging="567"/>
      </w:pPr>
      <w:r w:rsidRPr="0043604D">
        <w:t>Mme</w:t>
      </w:r>
      <w:r w:rsidR="002B1D77" w:rsidRPr="0043604D">
        <w:t> </w:t>
      </w:r>
      <w:r w:rsidRPr="0043604D">
        <w:t>Maria</w:t>
      </w:r>
      <w:r w:rsidR="002B1D77" w:rsidRPr="0043604D">
        <w:t> </w:t>
      </w:r>
      <w:r w:rsidRPr="0043604D">
        <w:t>Vicien</w:t>
      </w:r>
      <w:r w:rsidR="00002E83">
        <w:noBreakHyphen/>
      </w:r>
      <w:r w:rsidRPr="0043604D">
        <w:t>Milburn, présidente (groupe des pays d</w:t>
      </w:r>
      <w:r w:rsidR="00DD1867">
        <w:t>’</w:t>
      </w:r>
      <w:r w:rsidRPr="0043604D">
        <w:t>Amérique latine et des Caraïbes);</w:t>
      </w:r>
    </w:p>
    <w:p w:rsidR="0001272B" w:rsidRPr="0043604D" w:rsidRDefault="00363117" w:rsidP="00D9753C">
      <w:pPr>
        <w:pStyle w:val="ONUMFS"/>
        <w:numPr>
          <w:ilvl w:val="0"/>
          <w:numId w:val="26"/>
        </w:numPr>
        <w:ind w:left="1134" w:hanging="567"/>
      </w:pPr>
      <w:r w:rsidRPr="0043604D">
        <w:t>Mme</w:t>
      </w:r>
      <w:r w:rsidR="002B1D77" w:rsidRPr="0043604D">
        <w:t> </w:t>
      </w:r>
      <w:r w:rsidRPr="0043604D">
        <w:t>Tatiana</w:t>
      </w:r>
      <w:r w:rsidR="002B1D77" w:rsidRPr="0043604D">
        <w:t> </w:t>
      </w:r>
      <w:r w:rsidRPr="0043604D">
        <w:t>Vasileva, vice</w:t>
      </w:r>
      <w:r w:rsidR="00002E83">
        <w:noBreakHyphen/>
      </w:r>
      <w:r w:rsidRPr="0043604D">
        <w:t>présidente (groupe des pays d</w:t>
      </w:r>
      <w:r w:rsidR="00DD1867">
        <w:t>’</w:t>
      </w:r>
      <w:r w:rsidRPr="0043604D">
        <w:t>Asie centrale, du Caucase et d</w:t>
      </w:r>
      <w:r w:rsidR="00DD1867">
        <w:t>’</w:t>
      </w:r>
      <w:r w:rsidRPr="0043604D">
        <w:t>Europe orientale);</w:t>
      </w:r>
    </w:p>
    <w:p w:rsidR="0001272B" w:rsidRPr="0043604D" w:rsidRDefault="00363117" w:rsidP="00D9753C">
      <w:pPr>
        <w:pStyle w:val="ONUMFS"/>
        <w:numPr>
          <w:ilvl w:val="0"/>
          <w:numId w:val="26"/>
        </w:numPr>
        <w:ind w:left="1134" w:hanging="567"/>
      </w:pPr>
      <w:r w:rsidRPr="0043604D">
        <w:t>M.</w:t>
      </w:r>
      <w:r w:rsidR="002B1D77" w:rsidRPr="0043604D">
        <w:t> </w:t>
      </w:r>
      <w:r w:rsidRPr="0043604D">
        <w:t>Gábor Ámon (groupe des pays d</w:t>
      </w:r>
      <w:r w:rsidR="00DD1867">
        <w:t>’</w:t>
      </w:r>
      <w:r w:rsidRPr="0043604D">
        <w:t>Europe centrale et des États baltes);</w:t>
      </w:r>
    </w:p>
    <w:p w:rsidR="0001272B" w:rsidRPr="0043604D" w:rsidRDefault="00363117" w:rsidP="00D9753C">
      <w:pPr>
        <w:pStyle w:val="ONUMFS"/>
        <w:numPr>
          <w:ilvl w:val="0"/>
          <w:numId w:val="26"/>
        </w:numPr>
        <w:ind w:left="1134" w:hanging="567"/>
      </w:pPr>
      <w:r w:rsidRPr="0043604D">
        <w:t>M.</w:t>
      </w:r>
      <w:r w:rsidR="002B1D77" w:rsidRPr="0043604D">
        <w:t> </w:t>
      </w:r>
      <w:r w:rsidRPr="0043604D">
        <w:t>Mukesh Arya (groupe des pays asiatiques);</w:t>
      </w:r>
    </w:p>
    <w:p w:rsidR="0001272B" w:rsidRPr="0043604D" w:rsidRDefault="00363117" w:rsidP="00D9753C">
      <w:pPr>
        <w:pStyle w:val="ONUMFS"/>
        <w:numPr>
          <w:ilvl w:val="0"/>
          <w:numId w:val="26"/>
        </w:numPr>
        <w:ind w:left="1134" w:hanging="567"/>
        <w:rPr>
          <w:lang w:val="de-CH"/>
        </w:rPr>
      </w:pPr>
      <w:r w:rsidRPr="00B142FD">
        <w:rPr>
          <w:lang w:val="en-US"/>
        </w:rPr>
        <w:t>M.</w:t>
      </w:r>
      <w:r w:rsidR="002B1D77" w:rsidRPr="00B142FD">
        <w:rPr>
          <w:lang w:val="en-US"/>
        </w:rPr>
        <w:t> </w:t>
      </w:r>
      <w:r w:rsidRPr="0043604D">
        <w:rPr>
          <w:lang w:val="de-CH"/>
        </w:rPr>
        <w:t>Egbert Kaltenbach (groupe</w:t>
      </w:r>
      <w:r w:rsidR="008422B4">
        <w:rPr>
          <w:lang w:val="de-CH"/>
        </w:rPr>
        <w:t> </w:t>
      </w:r>
      <w:r w:rsidRPr="0043604D">
        <w:rPr>
          <w:lang w:val="de-CH"/>
        </w:rPr>
        <w:t>B);</w:t>
      </w:r>
    </w:p>
    <w:p w:rsidR="00DD1867" w:rsidRDefault="00363117" w:rsidP="00D9753C">
      <w:pPr>
        <w:pStyle w:val="ONUMFS"/>
        <w:numPr>
          <w:ilvl w:val="0"/>
          <w:numId w:val="26"/>
        </w:numPr>
        <w:ind w:left="1134" w:hanging="567"/>
      </w:pPr>
      <w:r w:rsidRPr="00ED0BA6">
        <w:rPr>
          <w:lang w:val="de-CH"/>
        </w:rPr>
        <w:t>M.</w:t>
      </w:r>
      <w:r w:rsidR="008422B4">
        <w:rPr>
          <w:lang w:val="de-CH"/>
        </w:rPr>
        <w:t> </w:t>
      </w:r>
      <w:r w:rsidRPr="0043604D">
        <w:t xml:space="preserve">Othman SHARIF (groupe des pays africains); </w:t>
      </w:r>
      <w:r w:rsidR="008422B4">
        <w:t xml:space="preserve"> </w:t>
      </w:r>
      <w:r w:rsidRPr="0043604D">
        <w:t>et</w:t>
      </w:r>
    </w:p>
    <w:p w:rsidR="0001272B" w:rsidRPr="0043604D" w:rsidRDefault="00363117" w:rsidP="00D9753C">
      <w:pPr>
        <w:pStyle w:val="ONUMFS"/>
        <w:numPr>
          <w:ilvl w:val="0"/>
          <w:numId w:val="26"/>
        </w:numPr>
        <w:ind w:left="1134" w:hanging="567"/>
        <w:rPr>
          <w:lang w:val="en"/>
        </w:rPr>
      </w:pPr>
      <w:r w:rsidRPr="00ED0BA6">
        <w:t>M.</w:t>
      </w:r>
      <w:r w:rsidR="002B1D77" w:rsidRPr="00ED0BA6">
        <w:t> </w:t>
      </w:r>
      <w:r w:rsidRPr="0043604D">
        <w:rPr>
          <w:lang w:val="en"/>
        </w:rPr>
        <w:t>Zhang Long (Chine).</w:t>
      </w:r>
    </w:p>
    <w:p w:rsidR="0001272B" w:rsidRPr="0043604D" w:rsidRDefault="00363117" w:rsidP="00D9753C">
      <w:pPr>
        <w:pStyle w:val="ONUMFS"/>
        <w:numPr>
          <w:ilvl w:val="0"/>
          <w:numId w:val="0"/>
        </w:numPr>
      </w:pPr>
      <w:r w:rsidRPr="0043604D">
        <w:lastRenderedPageBreak/>
        <w:t>La composition de l</w:t>
      </w:r>
      <w:r w:rsidR="00DD1867">
        <w:t>’</w:t>
      </w:r>
      <w:r w:rsidRPr="0043604D">
        <w:t>OCIS respecte une combinaison et un équilibre appropriés en termes de compétences, de connaissances et d</w:t>
      </w:r>
      <w:r w:rsidR="00DD1867">
        <w:t>’</w:t>
      </w:r>
      <w:r w:rsidRPr="0043604D">
        <w:t>expérience.</w:t>
      </w:r>
    </w:p>
    <w:p w:rsidR="0001272B" w:rsidRPr="0043604D" w:rsidRDefault="00363117" w:rsidP="00D9753C">
      <w:pPr>
        <w:pStyle w:val="ONUMFS"/>
      </w:pPr>
      <w:r w:rsidRPr="0043604D">
        <w:t>Étant donné que le mandat de deux</w:t>
      </w:r>
      <w:r w:rsidR="008422B4">
        <w:t> </w:t>
      </w:r>
      <w:r w:rsidRPr="0043604D">
        <w:t>membres, représentant le groupe des pays d</w:t>
      </w:r>
      <w:r w:rsidR="00DD1867">
        <w:t>’</w:t>
      </w:r>
      <w:r w:rsidRPr="0043604D">
        <w:t>Europe centrale et des États baltes et le groupe</w:t>
      </w:r>
      <w:r w:rsidR="008422B4">
        <w:t> </w:t>
      </w:r>
      <w:r w:rsidRPr="0043604D">
        <w:t>B, expire le 31</w:t>
      </w:r>
      <w:r w:rsidR="002B1D77" w:rsidRPr="0043604D">
        <w:t> </w:t>
      </w:r>
      <w:r w:rsidRPr="0043604D">
        <w:t>janvier</w:t>
      </w:r>
      <w:r w:rsidR="002B1D77" w:rsidRPr="0043604D">
        <w:t> </w:t>
      </w:r>
      <w:r w:rsidRPr="0043604D">
        <w:t>2020, la procédure de sélection décrite au paragraphe</w:t>
      </w:r>
      <w:r w:rsidR="002B1D77" w:rsidRPr="0043604D">
        <w:t> </w:t>
      </w:r>
      <w:r w:rsidRPr="0043604D">
        <w:t>28 du document WO/GA/39/13 a été lancée.</w:t>
      </w:r>
    </w:p>
    <w:p w:rsidR="0001272B" w:rsidRPr="00D9753C" w:rsidRDefault="007B7DF0" w:rsidP="00D9753C">
      <w:pPr>
        <w:pStyle w:val="ONUMFS"/>
      </w:pPr>
      <w:r w:rsidRPr="0043604D">
        <w:t>À sa cinquante</w:t>
      </w:r>
      <w:r w:rsidR="00002E83">
        <w:noBreakHyphen/>
      </w:r>
      <w:r w:rsidRPr="0043604D">
        <w:t>deux</w:t>
      </w:r>
      <w:r w:rsidR="00DD1867">
        <w:t>ième session</w:t>
      </w:r>
      <w:r w:rsidRPr="0043604D">
        <w:t xml:space="preserve">, </w:t>
      </w:r>
      <w:r w:rsidR="00CE74DF" w:rsidRPr="0043604D">
        <w:t>l</w:t>
      </w:r>
      <w:r w:rsidR="00DD1867">
        <w:t>’</w:t>
      </w:r>
      <w:r w:rsidR="00CE74DF" w:rsidRPr="0043604D">
        <w:t xml:space="preserve">OCIS </w:t>
      </w:r>
      <w:r w:rsidRPr="0043604D">
        <w:t>a été informé par le secrétaire du jury de sélection que l</w:t>
      </w:r>
      <w:r w:rsidR="00DD1867">
        <w:t>’</w:t>
      </w:r>
      <w:r w:rsidRPr="0043604D">
        <w:t>avis de vacance avait donné lieu à 157</w:t>
      </w:r>
      <w:r w:rsidR="002B1D77" w:rsidRPr="0043604D">
        <w:t> </w:t>
      </w:r>
      <w:r w:rsidRPr="0043604D">
        <w:t>candidatures au total, dont 78 ont été jugées recevables puisqu</w:t>
      </w:r>
      <w:r w:rsidR="00DD1867">
        <w:t>’</w:t>
      </w:r>
      <w:r w:rsidRPr="0043604D">
        <w:t>elles remplissaient les critères essentie</w:t>
      </w:r>
      <w:r w:rsidR="00ED0BA6" w:rsidRPr="0043604D">
        <w:t>ls</w:t>
      </w:r>
      <w:r w:rsidR="00ED0BA6">
        <w:t xml:space="preserve">.  </w:t>
      </w:r>
      <w:r w:rsidR="00ED0BA6" w:rsidRPr="0043604D">
        <w:t>En</w:t>
      </w:r>
      <w:r w:rsidRPr="0043604D">
        <w:t xml:space="preserve"> fonction d</w:t>
      </w:r>
      <w:r w:rsidR="00DD1867">
        <w:t>’</w:t>
      </w:r>
      <w:r w:rsidRPr="0043604D">
        <w:t>une grille d</w:t>
      </w:r>
      <w:r w:rsidR="00DD1867">
        <w:t>’</w:t>
      </w:r>
      <w:r w:rsidRPr="0043604D">
        <w:t xml:space="preserve">évaluation précédemment définie avec le jury de sélection, </w:t>
      </w:r>
      <w:r w:rsidR="00CE74DF" w:rsidRPr="0043604D">
        <w:t>l</w:t>
      </w:r>
      <w:r w:rsidR="00DD1867">
        <w:t>’</w:t>
      </w:r>
      <w:r w:rsidR="00CE74DF" w:rsidRPr="0043604D">
        <w:t xml:space="preserve">OCIS </w:t>
      </w:r>
      <w:r w:rsidRPr="0043604D">
        <w:t>a examiné et évalué ces 78</w:t>
      </w:r>
      <w:r w:rsidR="002B1D77" w:rsidRPr="0043604D">
        <w:t> </w:t>
      </w:r>
      <w:r w:rsidR="004209E4" w:rsidRPr="0043604D">
        <w:t>candidatures</w:t>
      </w:r>
      <w:r w:rsidRPr="0043604D">
        <w:t xml:space="preserve"> et a sélectionné les 13</w:t>
      </w:r>
      <w:r w:rsidR="002B1D77" w:rsidRPr="0043604D">
        <w:t> </w:t>
      </w:r>
      <w:r w:rsidRPr="0043604D">
        <w:t>candidats les mieux classés.</w:t>
      </w:r>
    </w:p>
    <w:p w:rsidR="0001272B" w:rsidRPr="0043604D" w:rsidRDefault="007B7DF0" w:rsidP="00D9753C">
      <w:pPr>
        <w:pStyle w:val="ONUMFS"/>
        <w:rPr>
          <w:szCs w:val="22"/>
        </w:rPr>
      </w:pPr>
      <w:r w:rsidRPr="0043604D">
        <w:t>Conformément à la procédure établie, parmi les candidatures soumises à l</w:t>
      </w:r>
      <w:r w:rsidR="00DD1867">
        <w:t>’</w:t>
      </w:r>
      <w:r w:rsidRPr="0043604D">
        <w:t>examen de l</w:t>
      </w:r>
      <w:r w:rsidR="00DD1867">
        <w:t>’</w:t>
      </w:r>
      <w:r w:rsidRPr="0043604D">
        <w:t>OCIS figuraient des candidats issus de groupes régionaux déjà représentés en son sein et, par conséquent, très peu susceptibles d</w:t>
      </w:r>
      <w:r w:rsidR="00DD1867">
        <w:t>’</w:t>
      </w:r>
      <w:r w:rsidRPr="0043604D">
        <w:t>être sélectionnés.</w:t>
      </w:r>
      <w:r w:rsidR="0099722F" w:rsidRPr="0043604D">
        <w:t xml:space="preserve"> </w:t>
      </w:r>
      <w:r w:rsidR="0015230C" w:rsidRPr="0043604D">
        <w:t xml:space="preserve"> </w:t>
      </w:r>
      <w:r w:rsidR="00CE74DF" w:rsidRPr="0043604D">
        <w:t>L</w:t>
      </w:r>
      <w:r w:rsidR="00DD1867">
        <w:t>’</w:t>
      </w:r>
      <w:r w:rsidR="00CE74DF" w:rsidRPr="0043604D">
        <w:t xml:space="preserve">OCIS </w:t>
      </w:r>
      <w:r w:rsidR="005E3365" w:rsidRPr="0043604D">
        <w:t>estime que le fait de se concentrer sur les candidatures des groupes prioritaires, c</w:t>
      </w:r>
      <w:r w:rsidR="00DD1867">
        <w:t>’</w:t>
      </w:r>
      <w:r w:rsidR="005E3365" w:rsidRPr="0043604D">
        <w:t>est</w:t>
      </w:r>
      <w:r w:rsidR="00002E83">
        <w:noBreakHyphen/>
      </w:r>
      <w:r w:rsidR="005E3365" w:rsidRPr="0043604D">
        <w:t>à</w:t>
      </w:r>
      <w:r w:rsidR="00002E83">
        <w:noBreakHyphen/>
      </w:r>
      <w:r w:rsidR="005E3365" w:rsidRPr="0043604D">
        <w:t>dire les groupes qui n</w:t>
      </w:r>
      <w:r w:rsidR="00DD1867">
        <w:t>’</w:t>
      </w:r>
      <w:r w:rsidR="005E3365" w:rsidRPr="0043604D">
        <w:t>étaient plus représentés en son sein, améliorerait l</w:t>
      </w:r>
      <w:r w:rsidR="00DD1867">
        <w:t>’</w:t>
      </w:r>
      <w:r w:rsidR="005E3365" w:rsidRPr="0043604D">
        <w:t xml:space="preserve">efficacité </w:t>
      </w:r>
      <w:r w:rsidR="004209E4" w:rsidRPr="0043604D">
        <w:t>de la procédu</w:t>
      </w:r>
      <w:r w:rsidR="00ED0BA6" w:rsidRPr="0043604D">
        <w:t>re</w:t>
      </w:r>
      <w:r w:rsidR="00ED0BA6">
        <w:t xml:space="preserve">.  </w:t>
      </w:r>
      <w:r w:rsidR="00ED0BA6" w:rsidRPr="0043604D">
        <w:t>Il</w:t>
      </w:r>
      <w:r w:rsidR="00CE74DF" w:rsidRPr="0043604D">
        <w:rPr>
          <w:bCs/>
          <w:iCs/>
          <w:szCs w:val="22"/>
        </w:rPr>
        <w:t xml:space="preserve"> </w:t>
      </w:r>
      <w:r w:rsidR="005E3365" w:rsidRPr="0043604D">
        <w:rPr>
          <w:bCs/>
          <w:iCs/>
          <w:szCs w:val="22"/>
        </w:rPr>
        <w:t>est conscient que toute modification de la procédure nécessiterait une révision du processus de sélection et de renouvellement des membres de l</w:t>
      </w:r>
      <w:r w:rsidR="00DD1867">
        <w:rPr>
          <w:bCs/>
          <w:iCs/>
          <w:szCs w:val="22"/>
        </w:rPr>
        <w:t>’</w:t>
      </w:r>
      <w:r w:rsidR="005E3365" w:rsidRPr="0043604D">
        <w:rPr>
          <w:bCs/>
          <w:iCs/>
          <w:szCs w:val="22"/>
        </w:rPr>
        <w:t>OCIS figurant dans le document WO/GA/39/13.  Il souhaite par conséquent d</w:t>
      </w:r>
      <w:r w:rsidR="00DD1867">
        <w:rPr>
          <w:bCs/>
          <w:iCs/>
          <w:szCs w:val="22"/>
        </w:rPr>
        <w:t>’</w:t>
      </w:r>
      <w:r w:rsidR="005E3365" w:rsidRPr="0043604D">
        <w:rPr>
          <w:bCs/>
          <w:iCs/>
          <w:szCs w:val="22"/>
        </w:rPr>
        <w:t>ores et déjà appeler l</w:t>
      </w:r>
      <w:r w:rsidR="00DD1867">
        <w:rPr>
          <w:bCs/>
          <w:iCs/>
          <w:szCs w:val="22"/>
        </w:rPr>
        <w:t>’</w:t>
      </w:r>
      <w:r w:rsidR="005E3365" w:rsidRPr="0043604D">
        <w:rPr>
          <w:bCs/>
          <w:iCs/>
          <w:szCs w:val="22"/>
        </w:rPr>
        <w:t>attention des États membres sur cette question, avant la prochaine procédure de sélection.</w:t>
      </w:r>
    </w:p>
    <w:p w:rsidR="0001272B" w:rsidRDefault="005E3365" w:rsidP="00D9753C">
      <w:pPr>
        <w:pStyle w:val="Heading4"/>
      </w:pPr>
      <w:r w:rsidRPr="0043604D">
        <w:t>Méthode de travail</w:t>
      </w:r>
    </w:p>
    <w:p w:rsidR="00D9753C" w:rsidRPr="00D9753C" w:rsidRDefault="00D9753C" w:rsidP="00D9753C"/>
    <w:p w:rsidR="0001272B" w:rsidRPr="0043604D" w:rsidRDefault="005E3365" w:rsidP="00D9753C">
      <w:pPr>
        <w:pStyle w:val="ONUMFS"/>
      </w:pPr>
      <w:r w:rsidRPr="0043604D">
        <w:t>L</w:t>
      </w:r>
      <w:r w:rsidR="00DD1867">
        <w:t>’</w:t>
      </w:r>
      <w:r w:rsidRPr="0043604D">
        <w:t>OCIS est un organe indépendant qui fournit des avis dans le cadre de son action auprès du Directeur général et d</w:t>
      </w:r>
      <w:r w:rsidR="00DD1867">
        <w:t>’</w:t>
      </w:r>
      <w:r w:rsidRPr="0043604D">
        <w:t>autres membres de la haute direction de l</w:t>
      </w:r>
      <w:r w:rsidR="00DD1867">
        <w:t>’</w:t>
      </w:r>
      <w:r w:rsidRPr="0043604D">
        <w:t>OMPI, du directeur de la Division de la supervision interne (DSI), du chef du Bureau de la déontologie, du médiateur</w:t>
      </w:r>
      <w:r w:rsidR="000B6906" w:rsidRPr="0043604D">
        <w:t xml:space="preserve">, </w:t>
      </w:r>
      <w:r w:rsidRPr="0043604D">
        <w:t>du contrôleur et</w:t>
      </w:r>
      <w:r w:rsidR="000B6906" w:rsidRPr="0043604D">
        <w:t xml:space="preserve"> du</w:t>
      </w:r>
      <w:r w:rsidRPr="0043604D">
        <w:t xml:space="preserve"> vérificateur externe des comptes, principalement sur la base des rapports et des renseignements qui lui sont fourn</w:t>
      </w:r>
      <w:r w:rsidR="00ED0BA6" w:rsidRPr="0043604D">
        <w:t>is</w:t>
      </w:r>
      <w:r w:rsidR="00ED0BA6">
        <w:t xml:space="preserve">.  </w:t>
      </w:r>
      <w:r w:rsidR="00ED0BA6" w:rsidRPr="0043604D">
        <w:t>Il</w:t>
      </w:r>
      <w:r w:rsidRPr="0043604D">
        <w:t xml:space="preserve"> procède également à des délibérations internes sur des questions pertinentes pour adopter ses conclusions.</w:t>
      </w:r>
    </w:p>
    <w:p w:rsidR="0001272B" w:rsidRPr="0043604D" w:rsidRDefault="005E3365" w:rsidP="00D9753C">
      <w:pPr>
        <w:pStyle w:val="ONUMFS"/>
      </w:pPr>
      <w:r w:rsidRPr="0043604D">
        <w:t xml:space="preserve">Au cours de la période considérée, </w:t>
      </w:r>
      <w:r w:rsidR="00CE74DF" w:rsidRPr="0043604D">
        <w:t>l</w:t>
      </w:r>
      <w:r w:rsidR="00DD1867">
        <w:t>’</w:t>
      </w:r>
      <w:r w:rsidR="00CE74DF" w:rsidRPr="0043604D">
        <w:t xml:space="preserve">OCIS </w:t>
      </w:r>
      <w:r w:rsidRPr="0043604D">
        <w:t>a reçu des informations sur le Secteur des questions mondiales et le Secteur du développeme</w:t>
      </w:r>
      <w:r w:rsidR="00ED0BA6" w:rsidRPr="0043604D">
        <w:t>nt</w:t>
      </w:r>
      <w:r w:rsidR="00ED0BA6">
        <w:t xml:space="preserve">.  </w:t>
      </w:r>
      <w:bookmarkStart w:id="9" w:name="_Toc395336851"/>
      <w:bookmarkStart w:id="10" w:name="_Toc453591210"/>
      <w:r w:rsidR="00ED0BA6" w:rsidRPr="0043604D">
        <w:t>Ce</w:t>
      </w:r>
      <w:r w:rsidRPr="0043604D">
        <w:t>s réunions avec les administrateurs principaux de programme et leurs équipes ont fourni des informations instructives et donné une vue détaillée des fonctions et activités de fond de l</w:t>
      </w:r>
      <w:r w:rsidR="00DD1867">
        <w:t>’</w:t>
      </w:r>
      <w:r w:rsidRPr="0043604D">
        <w:t>OMPI, et ont permis à l</w:t>
      </w:r>
      <w:r w:rsidR="00DD1867">
        <w:t>’</w:t>
      </w:r>
      <w:r w:rsidRPr="0043604D">
        <w:t>OCIS de mieux appréhender le contexte dans lequel s</w:t>
      </w:r>
      <w:r w:rsidR="00DD1867">
        <w:t>’</w:t>
      </w:r>
      <w:r w:rsidRPr="0043604D">
        <w:t>inscrivent ses responsabilités en matière de supervision et de conseil.</w:t>
      </w:r>
    </w:p>
    <w:p w:rsidR="0001272B" w:rsidRPr="00D9753C" w:rsidRDefault="005E3365" w:rsidP="00D9753C">
      <w:pPr>
        <w:pStyle w:val="Heading1"/>
      </w:pPr>
      <w:bookmarkStart w:id="11" w:name="_Toc429145909"/>
      <w:bookmarkStart w:id="12" w:name="_Toc429147802"/>
      <w:bookmarkStart w:id="13" w:name="_Toc429147820"/>
      <w:bookmarkStart w:id="14" w:name="_Toc429384079"/>
      <w:bookmarkStart w:id="15" w:name="_Toc13132564"/>
      <w:bookmarkStart w:id="16" w:name="_Toc395336853"/>
      <w:bookmarkEnd w:id="9"/>
      <w:bookmarkEnd w:id="10"/>
      <w:bookmarkEnd w:id="11"/>
      <w:bookmarkEnd w:id="12"/>
      <w:bookmarkEnd w:id="13"/>
      <w:bookmarkEnd w:id="14"/>
      <w:r w:rsidRPr="00D9753C">
        <w:t>Questions examinées</w:t>
      </w:r>
      <w:bookmarkEnd w:id="15"/>
    </w:p>
    <w:p w:rsidR="0001272B" w:rsidRPr="0043604D" w:rsidRDefault="005E3365" w:rsidP="00D9753C">
      <w:pPr>
        <w:pStyle w:val="Heading2"/>
      </w:pPr>
      <w:bookmarkStart w:id="17" w:name="_Toc13132565"/>
      <w:bookmarkEnd w:id="16"/>
      <w:r w:rsidRPr="0043604D">
        <w:t>Supervision interne</w:t>
      </w:r>
      <w:bookmarkEnd w:id="17"/>
    </w:p>
    <w:p w:rsidR="0001272B" w:rsidRDefault="005E3365" w:rsidP="00D9753C">
      <w:pPr>
        <w:pStyle w:val="Heading3"/>
      </w:pPr>
      <w:r w:rsidRPr="0043604D">
        <w:t>Plan de supervision interne et résultats du programme de travail</w:t>
      </w:r>
    </w:p>
    <w:p w:rsidR="00D9753C" w:rsidRPr="00D9753C" w:rsidRDefault="00D9753C" w:rsidP="00D9753C"/>
    <w:p w:rsidR="0001272B" w:rsidRPr="0043604D" w:rsidRDefault="007F7A63" w:rsidP="00D9753C">
      <w:pPr>
        <w:pStyle w:val="ONUMFS"/>
        <w:rPr>
          <w:rStyle w:val="normalchar1"/>
          <w:rFonts w:ascii="Arial" w:hAnsi="Arial" w:cs="Times New Roman"/>
          <w:szCs w:val="20"/>
        </w:rPr>
      </w:pPr>
      <w:r w:rsidRPr="0043604D">
        <w:rPr>
          <w:rStyle w:val="normalchar1"/>
          <w:rFonts w:ascii="Arial" w:hAnsi="Arial" w:cs="Arial"/>
          <w:iCs/>
        </w:rPr>
        <w:t>À sa cinquante</w:t>
      </w:r>
      <w:r w:rsidR="00DD1867">
        <w:rPr>
          <w:rStyle w:val="normalchar1"/>
          <w:rFonts w:ascii="Arial" w:hAnsi="Arial" w:cs="Arial"/>
          <w:iCs/>
        </w:rPr>
        <w:t> et unième session</w:t>
      </w:r>
      <w:r w:rsidRPr="0043604D">
        <w:rPr>
          <w:rStyle w:val="normalchar1"/>
          <w:rFonts w:ascii="Arial" w:hAnsi="Arial" w:cs="Arial"/>
          <w:iCs/>
        </w:rPr>
        <w:t xml:space="preserve">, </w:t>
      </w:r>
      <w:r w:rsidR="00CE74DF" w:rsidRPr="0043604D">
        <w:t>l</w:t>
      </w:r>
      <w:r w:rsidR="00DD1867">
        <w:t>’</w:t>
      </w:r>
      <w:r w:rsidR="00CE74DF" w:rsidRPr="0043604D">
        <w:t>OCIS</w:t>
      </w:r>
      <w:r w:rsidR="00CE74DF" w:rsidRPr="0043604D">
        <w:rPr>
          <w:rStyle w:val="normalchar1"/>
          <w:rFonts w:ascii="Arial" w:hAnsi="Arial" w:cs="Arial"/>
          <w:iCs/>
        </w:rPr>
        <w:t xml:space="preserve"> </w:t>
      </w:r>
      <w:r w:rsidRPr="0043604D">
        <w:rPr>
          <w:rStyle w:val="normalchar1"/>
          <w:rFonts w:ascii="Arial" w:hAnsi="Arial" w:cs="Arial"/>
          <w:iCs/>
        </w:rPr>
        <w:t>a examiné, avec le directeur de</w:t>
      </w:r>
      <w:r w:rsidR="00DD1867" w:rsidRPr="0043604D">
        <w:rPr>
          <w:rStyle w:val="normalchar1"/>
          <w:rFonts w:ascii="Arial" w:hAnsi="Arial" w:cs="Arial"/>
          <w:iCs/>
        </w:rPr>
        <w:t xml:space="preserve"> la</w:t>
      </w:r>
      <w:r w:rsidR="00DD1867">
        <w:rPr>
          <w:rStyle w:val="normalchar1"/>
          <w:rFonts w:ascii="Arial" w:hAnsi="Arial" w:cs="Arial"/>
          <w:iCs/>
        </w:rPr>
        <w:t> </w:t>
      </w:r>
      <w:r w:rsidR="00DD1867" w:rsidRPr="0043604D">
        <w:rPr>
          <w:rStyle w:val="normalchar1"/>
          <w:rFonts w:ascii="Arial" w:hAnsi="Arial" w:cs="Arial"/>
          <w:iCs/>
        </w:rPr>
        <w:t>DSI</w:t>
      </w:r>
      <w:r w:rsidRPr="0043604D">
        <w:rPr>
          <w:rStyle w:val="normalchar1"/>
          <w:rFonts w:ascii="Arial" w:hAnsi="Arial" w:cs="Arial"/>
          <w:iCs/>
        </w:rPr>
        <w:t xml:space="preserve">, le programme de travail annuel proposé </w:t>
      </w:r>
      <w:r w:rsidR="00DD1867" w:rsidRPr="0043604D">
        <w:rPr>
          <w:rStyle w:val="normalchar1"/>
          <w:rFonts w:ascii="Arial" w:hAnsi="Arial" w:cs="Arial"/>
          <w:iCs/>
        </w:rPr>
        <w:t>pour</w:t>
      </w:r>
      <w:r w:rsidR="00DD1867">
        <w:rPr>
          <w:rStyle w:val="normalchar1"/>
          <w:rFonts w:ascii="Arial" w:hAnsi="Arial" w:cs="Arial"/>
          <w:iCs/>
        </w:rPr>
        <w:t> </w:t>
      </w:r>
      <w:r w:rsidR="00DD1867" w:rsidRPr="0043604D">
        <w:rPr>
          <w:rStyle w:val="normalchar1"/>
          <w:rFonts w:ascii="Arial" w:hAnsi="Arial" w:cs="Arial"/>
          <w:iCs/>
        </w:rPr>
        <w:t>2019</w:t>
      </w:r>
      <w:r w:rsidRPr="0043604D">
        <w:rPr>
          <w:rStyle w:val="normalchar1"/>
          <w:rFonts w:ascii="Arial" w:hAnsi="Arial" w:cs="Arial"/>
          <w:iCs/>
        </w:rPr>
        <w:t xml:space="preserve"> en matière de supervision et a fait part de sa satisfaction quant à la méthodologie fondée sur les risques appliqu</w:t>
      </w:r>
      <w:r w:rsidR="00ED0BA6" w:rsidRPr="0043604D">
        <w:rPr>
          <w:rStyle w:val="normalchar1"/>
          <w:rFonts w:ascii="Arial" w:hAnsi="Arial" w:cs="Arial"/>
          <w:iCs/>
        </w:rPr>
        <w:t>ée</w:t>
      </w:r>
      <w:r w:rsidR="00ED0BA6">
        <w:rPr>
          <w:rStyle w:val="normalchar1"/>
          <w:rFonts w:ascii="Arial" w:hAnsi="Arial" w:cs="Arial"/>
          <w:iCs/>
        </w:rPr>
        <w:t xml:space="preserve">.  </w:t>
      </w:r>
      <w:r w:rsidR="00ED0BA6" w:rsidRPr="0043604D">
        <w:rPr>
          <w:rStyle w:val="normalchar1"/>
          <w:rFonts w:ascii="Arial" w:hAnsi="Arial" w:cs="Arial"/>
          <w:iCs/>
        </w:rPr>
        <w:t>Le</w:t>
      </w:r>
      <w:r w:rsidRPr="0043604D">
        <w:rPr>
          <w:rStyle w:val="normalchar1"/>
          <w:rFonts w:ascii="Arial" w:hAnsi="Arial" w:cs="Arial"/>
          <w:iCs/>
        </w:rPr>
        <w:t xml:space="preserve"> programme de travail annuel </w:t>
      </w:r>
      <w:r w:rsidR="00DD1867" w:rsidRPr="0043604D">
        <w:rPr>
          <w:rStyle w:val="normalchar1"/>
          <w:rFonts w:ascii="Arial" w:hAnsi="Arial" w:cs="Arial"/>
          <w:iCs/>
        </w:rPr>
        <w:t>pour</w:t>
      </w:r>
      <w:r w:rsidR="00DD1867">
        <w:rPr>
          <w:rStyle w:val="normalchar1"/>
          <w:rFonts w:ascii="Arial" w:hAnsi="Arial" w:cs="Arial"/>
          <w:iCs/>
        </w:rPr>
        <w:t> </w:t>
      </w:r>
      <w:r w:rsidR="00DD1867" w:rsidRPr="0043604D">
        <w:rPr>
          <w:rStyle w:val="normalchar1"/>
          <w:rFonts w:ascii="Arial" w:hAnsi="Arial" w:cs="Arial"/>
          <w:iCs/>
        </w:rPr>
        <w:t>2019</w:t>
      </w:r>
      <w:r w:rsidRPr="0043604D">
        <w:rPr>
          <w:rStyle w:val="normalchar1"/>
          <w:rFonts w:ascii="Arial" w:hAnsi="Arial" w:cs="Arial"/>
          <w:iCs/>
        </w:rPr>
        <w:t xml:space="preserve"> comprend cinq</w:t>
      </w:r>
      <w:r w:rsidR="008422B4">
        <w:rPr>
          <w:rStyle w:val="normalchar1"/>
          <w:rFonts w:ascii="Arial" w:hAnsi="Arial" w:cs="Arial"/>
          <w:iCs/>
        </w:rPr>
        <w:t> </w:t>
      </w:r>
      <w:r w:rsidRPr="0043604D">
        <w:rPr>
          <w:rStyle w:val="normalchar1"/>
          <w:rFonts w:ascii="Arial" w:hAnsi="Arial" w:cs="Arial"/>
          <w:iCs/>
        </w:rPr>
        <w:t>audits internes, trois</w:t>
      </w:r>
      <w:r w:rsidR="008422B4">
        <w:rPr>
          <w:rStyle w:val="normalchar1"/>
          <w:rFonts w:ascii="Arial" w:hAnsi="Arial" w:cs="Arial"/>
          <w:iCs/>
        </w:rPr>
        <w:t> </w:t>
      </w:r>
      <w:r w:rsidRPr="0043604D">
        <w:rPr>
          <w:rStyle w:val="normalchar1"/>
          <w:rFonts w:ascii="Arial" w:hAnsi="Arial" w:cs="Arial"/>
          <w:iCs/>
        </w:rPr>
        <w:t>évaluations et deux</w:t>
      </w:r>
      <w:r w:rsidR="008422B4">
        <w:rPr>
          <w:rStyle w:val="normalchar1"/>
          <w:rFonts w:ascii="Arial" w:hAnsi="Arial" w:cs="Arial"/>
          <w:iCs/>
        </w:rPr>
        <w:t> </w:t>
      </w:r>
      <w:r w:rsidRPr="0043604D">
        <w:rPr>
          <w:rStyle w:val="normalchar1"/>
          <w:rFonts w:ascii="Arial" w:hAnsi="Arial" w:cs="Arial"/>
          <w:iCs/>
        </w:rPr>
        <w:t>missions combinant audit et évaluati</w:t>
      </w:r>
      <w:r w:rsidR="00ED0BA6" w:rsidRPr="0043604D">
        <w:rPr>
          <w:rStyle w:val="normalchar1"/>
          <w:rFonts w:ascii="Arial" w:hAnsi="Arial" w:cs="Arial"/>
          <w:iCs/>
        </w:rPr>
        <w:t>on</w:t>
      </w:r>
      <w:r w:rsidR="00ED0BA6">
        <w:rPr>
          <w:rStyle w:val="normalchar1"/>
          <w:rFonts w:ascii="Arial" w:hAnsi="Arial" w:cs="Arial"/>
          <w:iCs/>
        </w:rPr>
        <w:t xml:space="preserve">.  </w:t>
      </w:r>
      <w:r w:rsidR="00ED0BA6" w:rsidRPr="0043604D">
        <w:rPr>
          <w:rStyle w:val="normalchar1"/>
          <w:rFonts w:ascii="Arial" w:hAnsi="Arial" w:cs="Arial"/>
          <w:iCs/>
        </w:rPr>
        <w:t xml:space="preserve">À </w:t>
      </w:r>
      <w:r w:rsidRPr="0043604D">
        <w:rPr>
          <w:rStyle w:val="normalchar1"/>
          <w:rFonts w:ascii="Arial" w:hAnsi="Arial" w:cs="Arial"/>
          <w:iCs/>
        </w:rPr>
        <w:t>la cinquante</w:t>
      </w:r>
      <w:r w:rsidR="00002E83">
        <w:rPr>
          <w:rStyle w:val="normalchar1"/>
          <w:rFonts w:ascii="Arial" w:hAnsi="Arial" w:cs="Arial"/>
          <w:iCs/>
        </w:rPr>
        <w:noBreakHyphen/>
      </w:r>
      <w:r w:rsidRPr="0043604D">
        <w:rPr>
          <w:rStyle w:val="normalchar1"/>
          <w:rFonts w:ascii="Arial" w:hAnsi="Arial" w:cs="Arial"/>
          <w:iCs/>
        </w:rPr>
        <w:t>deux</w:t>
      </w:r>
      <w:r w:rsidR="00DD1867">
        <w:rPr>
          <w:rStyle w:val="normalchar1"/>
          <w:rFonts w:ascii="Arial" w:hAnsi="Arial" w:cs="Arial"/>
          <w:iCs/>
        </w:rPr>
        <w:t>ième session</w:t>
      </w:r>
      <w:r w:rsidRPr="0043604D">
        <w:rPr>
          <w:rStyle w:val="normalchar1"/>
          <w:rFonts w:ascii="Arial" w:hAnsi="Arial" w:cs="Arial"/>
          <w:iCs/>
        </w:rPr>
        <w:t xml:space="preserve"> de l</w:t>
      </w:r>
      <w:r w:rsidR="00DD1867">
        <w:rPr>
          <w:rStyle w:val="normalchar1"/>
          <w:rFonts w:ascii="Arial" w:hAnsi="Arial" w:cs="Arial"/>
          <w:iCs/>
        </w:rPr>
        <w:t>’</w:t>
      </w:r>
      <w:r w:rsidRPr="0043604D">
        <w:rPr>
          <w:rStyle w:val="normalchar1"/>
          <w:rFonts w:ascii="Arial" w:hAnsi="Arial" w:cs="Arial"/>
          <w:iCs/>
        </w:rPr>
        <w:t>OCIS,</w:t>
      </w:r>
      <w:r w:rsidR="00DD1867" w:rsidRPr="0043604D">
        <w:rPr>
          <w:rStyle w:val="normalchar1"/>
          <w:rFonts w:ascii="Arial" w:hAnsi="Arial" w:cs="Arial"/>
          <w:iCs/>
        </w:rPr>
        <w:t xml:space="preserve"> la</w:t>
      </w:r>
      <w:r w:rsidR="00DD1867">
        <w:rPr>
          <w:rStyle w:val="normalchar1"/>
          <w:rFonts w:ascii="Arial" w:hAnsi="Arial" w:cs="Arial"/>
          <w:iCs/>
        </w:rPr>
        <w:t> </w:t>
      </w:r>
      <w:r w:rsidR="00DD1867" w:rsidRPr="0043604D">
        <w:rPr>
          <w:rStyle w:val="normalchar1"/>
          <w:rFonts w:ascii="Arial" w:hAnsi="Arial" w:cs="Arial"/>
          <w:iCs/>
        </w:rPr>
        <w:t>DSI</w:t>
      </w:r>
      <w:r w:rsidRPr="0043604D">
        <w:rPr>
          <w:rStyle w:val="normalchar1"/>
          <w:rFonts w:ascii="Arial" w:hAnsi="Arial" w:cs="Arial"/>
          <w:iCs/>
        </w:rPr>
        <w:t xml:space="preserve"> a informé </w:t>
      </w:r>
      <w:r w:rsidR="00CE74DF" w:rsidRPr="0043604D">
        <w:t>l</w:t>
      </w:r>
      <w:r w:rsidR="00DD1867">
        <w:t>’</w:t>
      </w:r>
      <w:r w:rsidR="00CE74DF" w:rsidRPr="0043604D">
        <w:t>OCIS</w:t>
      </w:r>
      <w:r w:rsidR="00CE74DF" w:rsidRPr="0043604D">
        <w:rPr>
          <w:rStyle w:val="normalchar1"/>
          <w:rFonts w:ascii="Arial" w:hAnsi="Arial" w:cs="Arial"/>
          <w:iCs/>
        </w:rPr>
        <w:t xml:space="preserve"> </w:t>
      </w:r>
      <w:r w:rsidRPr="0043604D">
        <w:rPr>
          <w:rStyle w:val="normalchar1"/>
          <w:rFonts w:ascii="Arial" w:hAnsi="Arial" w:cs="Arial"/>
          <w:iCs/>
        </w:rPr>
        <w:t>qu</w:t>
      </w:r>
      <w:r w:rsidR="00DD1867">
        <w:rPr>
          <w:rStyle w:val="normalchar1"/>
          <w:rFonts w:ascii="Arial" w:hAnsi="Arial" w:cs="Arial"/>
          <w:iCs/>
        </w:rPr>
        <w:t>’</w:t>
      </w:r>
      <w:r w:rsidRPr="0043604D">
        <w:rPr>
          <w:rStyle w:val="normalchar1"/>
          <w:rFonts w:ascii="Arial" w:hAnsi="Arial" w:cs="Arial"/>
          <w:iCs/>
        </w:rPr>
        <w:t xml:space="preserve">à la demande de la direction, un audit du projet pilote de compensation des taxes du Traité de coopération en matière de brevets (PCT) avait été ajouté au programme de travail, puisque ce </w:t>
      </w:r>
      <w:r w:rsidRPr="0043604D">
        <w:rPr>
          <w:rStyle w:val="normalchar1"/>
          <w:rFonts w:ascii="Arial" w:hAnsi="Arial" w:cs="Arial"/>
          <w:iCs/>
        </w:rPr>
        <w:lastRenderedPageBreak/>
        <w:t>projet vise à améliorer la gestion de la trésorerie et à réduire l</w:t>
      </w:r>
      <w:r w:rsidR="00DD1867">
        <w:rPr>
          <w:rStyle w:val="normalchar1"/>
          <w:rFonts w:ascii="Arial" w:hAnsi="Arial" w:cs="Arial"/>
          <w:iCs/>
        </w:rPr>
        <w:t>’</w:t>
      </w:r>
      <w:r w:rsidRPr="0043604D">
        <w:rPr>
          <w:rStyle w:val="normalchar1"/>
          <w:rFonts w:ascii="Arial" w:hAnsi="Arial" w:cs="Arial"/>
          <w:iCs/>
        </w:rPr>
        <w:t>exposition au risque de change pour les taxes</w:t>
      </w:r>
      <w:r w:rsidR="00DD1867" w:rsidRPr="0043604D">
        <w:rPr>
          <w:rStyle w:val="normalchar1"/>
          <w:rFonts w:ascii="Arial" w:hAnsi="Arial" w:cs="Arial"/>
          <w:iCs/>
        </w:rPr>
        <w:t xml:space="preserve"> du</w:t>
      </w:r>
      <w:r w:rsidR="00DD1867">
        <w:rPr>
          <w:rStyle w:val="normalchar1"/>
          <w:rFonts w:ascii="Arial" w:hAnsi="Arial" w:cs="Arial"/>
          <w:iCs/>
        </w:rPr>
        <w:t> </w:t>
      </w:r>
      <w:r w:rsidR="00DD1867" w:rsidRPr="0043604D">
        <w:rPr>
          <w:rStyle w:val="normalchar1"/>
          <w:rFonts w:ascii="Arial" w:hAnsi="Arial" w:cs="Arial"/>
          <w:iCs/>
        </w:rPr>
        <w:t>PCT</w:t>
      </w:r>
      <w:r w:rsidRPr="0043604D">
        <w:rPr>
          <w:rStyle w:val="normalchar1"/>
          <w:rFonts w:ascii="Arial" w:hAnsi="Arial" w:cs="Arial"/>
          <w:iCs/>
        </w:rPr>
        <w:t>.</w:t>
      </w:r>
      <w:r w:rsidR="006A5F9C" w:rsidRPr="0043604D">
        <w:rPr>
          <w:rStyle w:val="normalchar1"/>
          <w:rFonts w:ascii="Arial" w:hAnsi="Arial" w:cs="Arial"/>
          <w:iCs/>
        </w:rPr>
        <w:t xml:space="preserve">  </w:t>
      </w:r>
      <w:r w:rsidR="00CE74DF" w:rsidRPr="0043604D">
        <w:t>L</w:t>
      </w:r>
      <w:r w:rsidR="00DD1867">
        <w:t>’</w:t>
      </w:r>
      <w:r w:rsidR="00CE74DF" w:rsidRPr="0043604D">
        <w:t>OCIS</w:t>
      </w:r>
      <w:r w:rsidR="00CE74DF" w:rsidRPr="0043604D">
        <w:rPr>
          <w:rStyle w:val="normalchar1"/>
          <w:rFonts w:ascii="Arial" w:hAnsi="Arial" w:cs="Arial"/>
          <w:iCs/>
        </w:rPr>
        <w:t xml:space="preserve"> </w:t>
      </w:r>
      <w:r w:rsidRPr="0043604D">
        <w:rPr>
          <w:rStyle w:val="normalchar1"/>
          <w:rFonts w:ascii="Arial" w:hAnsi="Arial" w:cs="Arial"/>
          <w:iCs/>
        </w:rPr>
        <w:t xml:space="preserve">a estimé que </w:t>
      </w:r>
      <w:r w:rsidR="001721C5" w:rsidRPr="0043604D">
        <w:rPr>
          <w:rStyle w:val="normalchar1"/>
          <w:rFonts w:ascii="Arial" w:hAnsi="Arial" w:cs="Arial"/>
          <w:iCs/>
        </w:rPr>
        <w:t xml:space="preserve">cet </w:t>
      </w:r>
      <w:r w:rsidRPr="0043604D">
        <w:rPr>
          <w:rStyle w:val="normalchar1"/>
          <w:rFonts w:ascii="Arial" w:hAnsi="Arial" w:cs="Arial"/>
          <w:iCs/>
        </w:rPr>
        <w:t>audit était très judicieux et s</w:t>
      </w:r>
      <w:r w:rsidR="00DD1867">
        <w:rPr>
          <w:rStyle w:val="normalchar1"/>
          <w:rFonts w:ascii="Arial" w:hAnsi="Arial" w:cs="Arial"/>
          <w:iCs/>
        </w:rPr>
        <w:t>’</w:t>
      </w:r>
      <w:r w:rsidRPr="0043604D">
        <w:rPr>
          <w:rStyle w:val="normalchar1"/>
          <w:rFonts w:ascii="Arial" w:hAnsi="Arial" w:cs="Arial"/>
          <w:iCs/>
        </w:rPr>
        <w:t>est félicité de son inscription au programme de travail.</w:t>
      </w:r>
    </w:p>
    <w:p w:rsidR="0001272B" w:rsidRPr="0043604D" w:rsidRDefault="007F7A63" w:rsidP="00D9753C">
      <w:pPr>
        <w:pStyle w:val="ONUMFS"/>
      </w:pPr>
      <w:r w:rsidRPr="0043604D">
        <w:t>Lors de chacune de ses sessions, l</w:t>
      </w:r>
      <w:r w:rsidR="00DD1867">
        <w:t>’</w:t>
      </w:r>
      <w:r w:rsidRPr="0043604D">
        <w:t>OCIS a examiné le Rapport d</w:t>
      </w:r>
      <w:r w:rsidR="00DD1867">
        <w:t>’</w:t>
      </w:r>
      <w:r w:rsidRPr="0043604D">
        <w:t>activité de</w:t>
      </w:r>
      <w:r w:rsidR="00DD1867" w:rsidRPr="0043604D">
        <w:t xml:space="preserve"> la</w:t>
      </w:r>
      <w:r w:rsidR="00DD1867">
        <w:t> </w:t>
      </w:r>
      <w:r w:rsidR="00DD1867" w:rsidRPr="0043604D">
        <w:t>DSI</w:t>
      </w:r>
      <w:r w:rsidRPr="0043604D">
        <w:t xml:space="preserve"> pour la période précédente avec le directeur de</w:t>
      </w:r>
      <w:r w:rsidR="00DD1867" w:rsidRPr="0043604D">
        <w:t xml:space="preserve"> la</w:t>
      </w:r>
      <w:r w:rsidR="00DD1867">
        <w:t> </w:t>
      </w:r>
      <w:r w:rsidR="00DD1867" w:rsidRPr="0043604D">
        <w:t>DSI</w:t>
      </w:r>
      <w:r w:rsidRPr="0043604D">
        <w:t>.  L</w:t>
      </w:r>
      <w:r w:rsidR="00DD1867">
        <w:t>’</w:t>
      </w:r>
      <w:r w:rsidR="00CE74DF" w:rsidRPr="0043604D">
        <w:t>OCIS</w:t>
      </w:r>
      <w:r w:rsidRPr="0043604D">
        <w:t xml:space="preserve"> tient à exprimer sa satisfaction quant aux progrès accomplis par</w:t>
      </w:r>
      <w:r w:rsidR="00DD1867" w:rsidRPr="0043604D">
        <w:t xml:space="preserve"> la</w:t>
      </w:r>
      <w:r w:rsidR="00DD1867">
        <w:t> </w:t>
      </w:r>
      <w:r w:rsidR="00DD1867" w:rsidRPr="0043604D">
        <w:t>DSI</w:t>
      </w:r>
      <w:r w:rsidRPr="0043604D">
        <w:t xml:space="preserve"> dans la mise en </w:t>
      </w:r>
      <w:r w:rsidR="002B1D77" w:rsidRPr="0043604D">
        <w:t>œ</w:t>
      </w:r>
      <w:r w:rsidRPr="0043604D">
        <w:t>uvre de ses programmes de travail.</w:t>
      </w:r>
    </w:p>
    <w:p w:rsidR="0001272B" w:rsidRDefault="007F7A63" w:rsidP="00D9753C">
      <w:pPr>
        <w:pStyle w:val="Heading3"/>
        <w:rPr>
          <w:rStyle w:val="normalchar1"/>
          <w:rFonts w:ascii="Arial" w:hAnsi="Arial" w:cs="Arial"/>
          <w:iCs/>
        </w:rPr>
      </w:pPr>
      <w:r w:rsidRPr="0043604D">
        <w:rPr>
          <w:rStyle w:val="normalchar1"/>
          <w:rFonts w:ascii="Arial" w:hAnsi="Arial" w:cs="Arial"/>
          <w:iCs/>
        </w:rPr>
        <w:t>Rapport annuel de</w:t>
      </w:r>
      <w:r w:rsidR="00DD1867" w:rsidRPr="0043604D">
        <w:rPr>
          <w:rStyle w:val="normalchar1"/>
          <w:rFonts w:ascii="Arial" w:hAnsi="Arial" w:cs="Arial"/>
          <w:iCs/>
        </w:rPr>
        <w:t xml:space="preserve"> la</w:t>
      </w:r>
      <w:r w:rsidR="00DD1867">
        <w:rPr>
          <w:rStyle w:val="normalchar1"/>
          <w:rFonts w:ascii="Arial" w:hAnsi="Arial" w:cs="Arial"/>
          <w:iCs/>
        </w:rPr>
        <w:t> </w:t>
      </w:r>
      <w:r w:rsidR="00DD1867" w:rsidRPr="0043604D">
        <w:rPr>
          <w:rStyle w:val="normalchar1"/>
          <w:rFonts w:ascii="Arial" w:hAnsi="Arial" w:cs="Arial"/>
          <w:iCs/>
        </w:rPr>
        <w:t>DSI</w:t>
      </w:r>
    </w:p>
    <w:p w:rsidR="00D9753C" w:rsidRPr="00D9753C" w:rsidRDefault="00D9753C" w:rsidP="00D9753C"/>
    <w:p w:rsidR="00DD1867" w:rsidRDefault="00A85054" w:rsidP="00D9753C">
      <w:pPr>
        <w:pStyle w:val="ONUMFS"/>
        <w:rPr>
          <w:rStyle w:val="normalchar1"/>
          <w:rFonts w:ascii="Arial" w:eastAsia="Times New Roman" w:hAnsi="Arial" w:cs="Arial"/>
          <w:lang w:eastAsia="en-US"/>
        </w:rPr>
      </w:pPr>
      <w:r w:rsidRPr="0043604D">
        <w:rPr>
          <w:rStyle w:val="normalchar1"/>
          <w:rFonts w:ascii="Arial" w:eastAsia="Times New Roman" w:hAnsi="Arial" w:cs="Arial"/>
          <w:lang w:eastAsia="en-US"/>
        </w:rPr>
        <w:t>À sa cinquante</w:t>
      </w:r>
      <w:r w:rsidR="00002E83">
        <w:rPr>
          <w:rStyle w:val="normalchar1"/>
          <w:rFonts w:ascii="Arial" w:eastAsia="Times New Roman" w:hAnsi="Arial" w:cs="Arial"/>
          <w:lang w:eastAsia="en-US"/>
        </w:rPr>
        <w:noBreakHyphen/>
      </w:r>
      <w:r w:rsidRPr="0043604D">
        <w:rPr>
          <w:rStyle w:val="normalchar1"/>
          <w:rFonts w:ascii="Arial" w:eastAsia="Times New Roman" w:hAnsi="Arial" w:cs="Arial"/>
          <w:lang w:eastAsia="en-US"/>
        </w:rPr>
        <w:t>trois</w:t>
      </w:r>
      <w:r w:rsidR="00DD1867">
        <w:rPr>
          <w:rStyle w:val="normalchar1"/>
          <w:rFonts w:ascii="Arial" w:eastAsia="Times New Roman" w:hAnsi="Arial" w:cs="Arial"/>
          <w:lang w:eastAsia="en-US"/>
        </w:rPr>
        <w:t>ième session</w:t>
      </w:r>
      <w:r w:rsidRPr="0043604D">
        <w:rPr>
          <w:rStyle w:val="normalchar1"/>
          <w:rFonts w:ascii="Arial" w:eastAsia="Times New Roman" w:hAnsi="Arial" w:cs="Arial"/>
          <w:lang w:eastAsia="en-US"/>
        </w:rPr>
        <w:t xml:space="preserve">, </w:t>
      </w:r>
      <w:r w:rsidR="00CE74DF" w:rsidRPr="0043604D">
        <w:t>l</w:t>
      </w:r>
      <w:r w:rsidR="00DD1867">
        <w:t>’</w:t>
      </w:r>
      <w:r w:rsidR="00CE74DF" w:rsidRPr="0043604D">
        <w:t>OCIS</w:t>
      </w:r>
      <w:r w:rsidR="00CE74DF" w:rsidRPr="0043604D">
        <w:rPr>
          <w:rStyle w:val="normalchar1"/>
          <w:rFonts w:ascii="Arial" w:eastAsia="Times New Roman" w:hAnsi="Arial" w:cs="Arial"/>
          <w:lang w:eastAsia="en-US"/>
        </w:rPr>
        <w:t xml:space="preserve"> </w:t>
      </w:r>
      <w:r w:rsidRPr="0043604D">
        <w:rPr>
          <w:rStyle w:val="normalchar1"/>
          <w:rFonts w:ascii="Arial" w:eastAsia="Times New Roman" w:hAnsi="Arial" w:cs="Arial"/>
          <w:lang w:eastAsia="en-US"/>
        </w:rPr>
        <w:t>a examiné le projet de rapport annuel établi par le directeur de</w:t>
      </w:r>
      <w:r w:rsidR="00DD1867" w:rsidRPr="0043604D">
        <w:rPr>
          <w:rStyle w:val="normalchar1"/>
          <w:rFonts w:ascii="Arial" w:eastAsia="Times New Roman" w:hAnsi="Arial" w:cs="Arial"/>
          <w:lang w:eastAsia="en-US"/>
        </w:rPr>
        <w:t xml:space="preserve"> la</w:t>
      </w:r>
      <w:r w:rsidR="00DD1867">
        <w:rPr>
          <w:rStyle w:val="normalchar1"/>
          <w:rFonts w:ascii="Arial" w:eastAsia="Times New Roman" w:hAnsi="Arial" w:cs="Arial"/>
          <w:lang w:eastAsia="en-US"/>
        </w:rPr>
        <w:t> </w:t>
      </w:r>
      <w:r w:rsidR="00DD1867" w:rsidRPr="0043604D">
        <w:rPr>
          <w:rStyle w:val="normalchar1"/>
          <w:rFonts w:ascii="Arial" w:eastAsia="Times New Roman" w:hAnsi="Arial" w:cs="Arial"/>
          <w:lang w:eastAsia="en-US"/>
        </w:rPr>
        <w:t>DSI</w:t>
      </w:r>
      <w:r w:rsidRPr="0043604D">
        <w:rPr>
          <w:rStyle w:val="normalchar1"/>
          <w:rFonts w:ascii="Arial" w:eastAsia="Times New Roman" w:hAnsi="Arial" w:cs="Arial"/>
          <w:lang w:eastAsia="en-US"/>
        </w:rPr>
        <w:t>, qui couvre la période allant du</w:t>
      </w:r>
      <w:r w:rsidR="00DD1867">
        <w:rPr>
          <w:rStyle w:val="normalchar1"/>
          <w:rFonts w:ascii="Arial" w:eastAsia="Times New Roman" w:hAnsi="Arial" w:cs="Arial"/>
          <w:lang w:eastAsia="en-US"/>
        </w:rPr>
        <w:t xml:space="preserve"> 1</w:t>
      </w:r>
      <w:r w:rsidR="00DD1867" w:rsidRPr="00DD1867">
        <w:rPr>
          <w:rStyle w:val="normalchar1"/>
          <w:rFonts w:ascii="Arial" w:eastAsia="Times New Roman" w:hAnsi="Arial" w:cs="Arial"/>
          <w:vertAlign w:val="superscript"/>
          <w:lang w:eastAsia="en-US"/>
        </w:rPr>
        <w:t>er</w:t>
      </w:r>
      <w:r w:rsidR="00DD1867">
        <w:rPr>
          <w:rStyle w:val="normalchar1"/>
          <w:rFonts w:ascii="Arial" w:eastAsia="Times New Roman" w:hAnsi="Arial" w:cs="Arial"/>
          <w:lang w:eastAsia="en-US"/>
        </w:rPr>
        <w:t> </w:t>
      </w:r>
      <w:r w:rsidRPr="0043604D">
        <w:rPr>
          <w:rStyle w:val="normalchar1"/>
          <w:rFonts w:ascii="Arial" w:eastAsia="Times New Roman" w:hAnsi="Arial" w:cs="Arial"/>
          <w:lang w:eastAsia="en-US"/>
        </w:rPr>
        <w:t>juillet</w:t>
      </w:r>
      <w:r w:rsidR="002B1D77" w:rsidRPr="0043604D">
        <w:rPr>
          <w:rStyle w:val="normalchar1"/>
          <w:rFonts w:ascii="Arial" w:eastAsia="Times New Roman" w:hAnsi="Arial" w:cs="Arial"/>
          <w:lang w:eastAsia="en-US"/>
        </w:rPr>
        <w:t> </w:t>
      </w:r>
      <w:r w:rsidRPr="0043604D">
        <w:rPr>
          <w:rStyle w:val="normalchar1"/>
          <w:rFonts w:ascii="Arial" w:eastAsia="Times New Roman" w:hAnsi="Arial" w:cs="Arial"/>
          <w:lang w:eastAsia="en-US"/>
        </w:rPr>
        <w:t>2018 au 30</w:t>
      </w:r>
      <w:r w:rsidR="002B1D77" w:rsidRPr="0043604D">
        <w:rPr>
          <w:rStyle w:val="normalchar1"/>
          <w:rFonts w:ascii="Arial" w:eastAsia="Times New Roman" w:hAnsi="Arial" w:cs="Arial"/>
          <w:lang w:eastAsia="en-US"/>
        </w:rPr>
        <w:t> </w:t>
      </w:r>
      <w:r w:rsidRPr="0043604D">
        <w:rPr>
          <w:rStyle w:val="normalchar1"/>
          <w:rFonts w:ascii="Arial" w:eastAsia="Times New Roman" w:hAnsi="Arial" w:cs="Arial"/>
          <w:lang w:eastAsia="en-US"/>
        </w:rPr>
        <w:t>juin</w:t>
      </w:r>
      <w:r w:rsidR="002B1D77" w:rsidRPr="0043604D">
        <w:rPr>
          <w:rStyle w:val="normalchar1"/>
          <w:rFonts w:ascii="Arial" w:eastAsia="Times New Roman" w:hAnsi="Arial" w:cs="Arial"/>
          <w:lang w:eastAsia="en-US"/>
        </w:rPr>
        <w:t> </w:t>
      </w:r>
      <w:r w:rsidRPr="0043604D">
        <w:rPr>
          <w:rStyle w:val="normalchar1"/>
          <w:rFonts w:ascii="Arial" w:eastAsia="Times New Roman" w:hAnsi="Arial" w:cs="Arial"/>
          <w:lang w:eastAsia="en-US"/>
        </w:rPr>
        <w:t>2019.</w:t>
      </w:r>
      <w:r w:rsidR="0099722F" w:rsidRPr="0043604D">
        <w:rPr>
          <w:rStyle w:val="normalchar1"/>
          <w:rFonts w:ascii="Arial" w:eastAsia="Times New Roman" w:hAnsi="Arial" w:cs="Arial"/>
          <w:lang w:eastAsia="en-US"/>
        </w:rPr>
        <w:t xml:space="preserve"> </w:t>
      </w:r>
      <w:r w:rsidR="009201EB" w:rsidRPr="0043604D">
        <w:rPr>
          <w:rStyle w:val="normalchar1"/>
          <w:rFonts w:ascii="Arial" w:eastAsia="Times New Roman" w:hAnsi="Arial" w:cs="Arial"/>
          <w:lang w:eastAsia="en-US"/>
        </w:rPr>
        <w:t xml:space="preserve"> </w:t>
      </w:r>
      <w:r w:rsidR="003E7F10" w:rsidRPr="0043604D">
        <w:rPr>
          <w:rStyle w:val="normalchar1"/>
          <w:rFonts w:ascii="Arial" w:eastAsia="Times New Roman" w:hAnsi="Arial" w:cs="Arial"/>
          <w:lang w:eastAsia="en-US"/>
        </w:rPr>
        <w:t>L</w:t>
      </w:r>
      <w:r w:rsidR="00DD1867">
        <w:rPr>
          <w:rStyle w:val="normalchar1"/>
          <w:rFonts w:ascii="Arial" w:eastAsia="Times New Roman" w:hAnsi="Arial" w:cs="Arial"/>
          <w:lang w:eastAsia="en-US"/>
        </w:rPr>
        <w:t>’</w:t>
      </w:r>
      <w:r w:rsidR="003E7F10" w:rsidRPr="0043604D">
        <w:rPr>
          <w:rStyle w:val="normalchar1"/>
          <w:rFonts w:ascii="Arial" w:eastAsia="Times New Roman" w:hAnsi="Arial" w:cs="Arial"/>
          <w:lang w:eastAsia="en-US"/>
        </w:rPr>
        <w:t>OCIS partage l</w:t>
      </w:r>
      <w:r w:rsidR="00DD1867">
        <w:rPr>
          <w:rStyle w:val="normalchar1"/>
          <w:rFonts w:ascii="Arial" w:eastAsia="Times New Roman" w:hAnsi="Arial" w:cs="Arial"/>
          <w:lang w:eastAsia="en-US"/>
        </w:rPr>
        <w:t>’</w:t>
      </w:r>
      <w:r w:rsidR="003E7F10" w:rsidRPr="0043604D">
        <w:rPr>
          <w:rStyle w:val="normalchar1"/>
          <w:rFonts w:ascii="Arial" w:eastAsia="Times New Roman" w:hAnsi="Arial" w:cs="Arial"/>
          <w:lang w:eastAsia="en-US"/>
        </w:rPr>
        <w:t>opinion du vérificateur externe des comptes</w:t>
      </w:r>
      <w:r w:rsidR="001721C5" w:rsidRPr="0043604D">
        <w:rPr>
          <w:rStyle w:val="normalchar1"/>
          <w:rFonts w:ascii="Arial" w:eastAsia="Times New Roman" w:hAnsi="Arial" w:cs="Arial"/>
          <w:lang w:eastAsia="en-US"/>
        </w:rPr>
        <w:t>,</w:t>
      </w:r>
      <w:r w:rsidR="003E7F10" w:rsidRPr="0043604D">
        <w:rPr>
          <w:rStyle w:val="normalchar1"/>
          <w:rFonts w:ascii="Arial" w:eastAsia="Times New Roman" w:hAnsi="Arial" w:cs="Arial"/>
          <w:lang w:eastAsia="en-US"/>
        </w:rPr>
        <w:t xml:space="preserve"> selon laquelle il serait souhaitable que</w:t>
      </w:r>
      <w:r w:rsidR="00DD1867" w:rsidRPr="0043604D">
        <w:rPr>
          <w:rStyle w:val="normalchar1"/>
          <w:rFonts w:ascii="Arial" w:eastAsia="Times New Roman" w:hAnsi="Arial" w:cs="Arial"/>
          <w:lang w:eastAsia="en-US"/>
        </w:rPr>
        <w:t xml:space="preserve"> la</w:t>
      </w:r>
      <w:r w:rsidR="00DD1867">
        <w:rPr>
          <w:rStyle w:val="normalchar1"/>
          <w:rFonts w:ascii="Arial" w:eastAsia="Times New Roman" w:hAnsi="Arial" w:cs="Arial"/>
          <w:lang w:eastAsia="en-US"/>
        </w:rPr>
        <w:t> </w:t>
      </w:r>
      <w:r w:rsidR="00DD1867" w:rsidRPr="0043604D">
        <w:rPr>
          <w:rStyle w:val="normalchar1"/>
          <w:rFonts w:ascii="Arial" w:eastAsia="Times New Roman" w:hAnsi="Arial" w:cs="Arial"/>
          <w:lang w:eastAsia="en-US"/>
        </w:rPr>
        <w:t>DSI</w:t>
      </w:r>
      <w:r w:rsidR="003E7F10" w:rsidRPr="0043604D">
        <w:rPr>
          <w:rStyle w:val="normalchar1"/>
          <w:rFonts w:ascii="Arial" w:eastAsia="Times New Roman" w:hAnsi="Arial" w:cs="Arial"/>
          <w:lang w:eastAsia="en-US"/>
        </w:rPr>
        <w:t xml:space="preserve"> </w:t>
      </w:r>
      <w:r w:rsidR="001721C5" w:rsidRPr="0043604D">
        <w:rPr>
          <w:rStyle w:val="normalchar1"/>
          <w:rFonts w:ascii="Arial" w:eastAsia="Times New Roman" w:hAnsi="Arial" w:cs="Arial"/>
          <w:lang w:eastAsia="en-US"/>
        </w:rPr>
        <w:t xml:space="preserve">fasse coïncider </w:t>
      </w:r>
      <w:r w:rsidR="003E7F10" w:rsidRPr="0043604D">
        <w:rPr>
          <w:rStyle w:val="normalchar1"/>
          <w:rFonts w:ascii="Arial" w:eastAsia="Times New Roman" w:hAnsi="Arial" w:cs="Arial"/>
          <w:lang w:eastAsia="en-US"/>
        </w:rPr>
        <w:t xml:space="preserve">la période couverte par </w:t>
      </w:r>
      <w:r w:rsidR="001721C5" w:rsidRPr="0043604D">
        <w:rPr>
          <w:rStyle w:val="normalchar1"/>
          <w:rFonts w:ascii="Arial" w:eastAsia="Times New Roman" w:hAnsi="Arial" w:cs="Arial"/>
          <w:lang w:eastAsia="en-US"/>
        </w:rPr>
        <w:t>c</w:t>
      </w:r>
      <w:r w:rsidR="003E7F10" w:rsidRPr="0043604D">
        <w:rPr>
          <w:rStyle w:val="normalchar1"/>
          <w:rFonts w:ascii="Arial" w:eastAsia="Times New Roman" w:hAnsi="Arial" w:cs="Arial"/>
          <w:lang w:eastAsia="en-US"/>
        </w:rPr>
        <w:t xml:space="preserve">e rapport </w:t>
      </w:r>
      <w:r w:rsidR="001721C5" w:rsidRPr="0043604D">
        <w:rPr>
          <w:rStyle w:val="normalchar1"/>
          <w:rFonts w:ascii="Arial" w:eastAsia="Times New Roman" w:hAnsi="Arial" w:cs="Arial"/>
          <w:lang w:eastAsia="en-US"/>
        </w:rPr>
        <w:t>et</w:t>
      </w:r>
      <w:r w:rsidR="003E7F10" w:rsidRPr="0043604D">
        <w:rPr>
          <w:rStyle w:val="normalchar1"/>
          <w:rFonts w:ascii="Arial" w:eastAsia="Times New Roman" w:hAnsi="Arial" w:cs="Arial"/>
          <w:lang w:eastAsia="en-US"/>
        </w:rPr>
        <w:t xml:space="preserve"> la période couverte par le programme de travail annuel de</w:t>
      </w:r>
      <w:r w:rsidR="00DD1867" w:rsidRPr="0043604D">
        <w:rPr>
          <w:rStyle w:val="normalchar1"/>
          <w:rFonts w:ascii="Arial" w:eastAsia="Times New Roman" w:hAnsi="Arial" w:cs="Arial"/>
          <w:lang w:eastAsia="en-US"/>
        </w:rPr>
        <w:t xml:space="preserve"> la</w:t>
      </w:r>
      <w:r w:rsidR="00DD1867">
        <w:rPr>
          <w:rStyle w:val="normalchar1"/>
          <w:rFonts w:ascii="Arial" w:eastAsia="Times New Roman" w:hAnsi="Arial" w:cs="Arial"/>
          <w:lang w:eastAsia="en-US"/>
        </w:rPr>
        <w:t> </w:t>
      </w:r>
      <w:r w:rsidR="00DD1867" w:rsidRPr="0043604D">
        <w:rPr>
          <w:rStyle w:val="normalchar1"/>
          <w:rFonts w:ascii="Arial" w:eastAsia="Times New Roman" w:hAnsi="Arial" w:cs="Arial"/>
          <w:lang w:eastAsia="en-US"/>
        </w:rPr>
        <w:t>DSI</w:t>
      </w:r>
      <w:r w:rsidR="003E7F10" w:rsidRPr="0043604D">
        <w:rPr>
          <w:rStyle w:val="normalchar1"/>
          <w:rFonts w:ascii="Arial" w:eastAsia="Times New Roman" w:hAnsi="Arial" w:cs="Arial"/>
          <w:lang w:eastAsia="en-US"/>
        </w:rPr>
        <w:t xml:space="preserve"> (</w:t>
      </w:r>
      <w:r w:rsidR="001721C5" w:rsidRPr="0043604D">
        <w:rPr>
          <w:rStyle w:val="normalchar1"/>
          <w:rFonts w:ascii="Arial" w:eastAsia="Times New Roman" w:hAnsi="Arial" w:cs="Arial"/>
          <w:lang w:eastAsia="en-US"/>
        </w:rPr>
        <w:t xml:space="preserve">qui court </w:t>
      </w:r>
      <w:r w:rsidR="003E7F10" w:rsidRPr="0043604D">
        <w:rPr>
          <w:rStyle w:val="normalchar1"/>
          <w:rFonts w:ascii="Arial" w:eastAsia="Times New Roman" w:hAnsi="Arial" w:cs="Arial"/>
          <w:lang w:eastAsia="en-US"/>
        </w:rPr>
        <w:t>du</w:t>
      </w:r>
      <w:r w:rsidR="00DD1867">
        <w:rPr>
          <w:rStyle w:val="normalchar1"/>
          <w:rFonts w:ascii="Arial" w:eastAsia="Times New Roman" w:hAnsi="Arial" w:cs="Arial"/>
          <w:lang w:eastAsia="en-US"/>
        </w:rPr>
        <w:t xml:space="preserve"> 1</w:t>
      </w:r>
      <w:r w:rsidR="00DD1867" w:rsidRPr="00DD1867">
        <w:rPr>
          <w:rStyle w:val="normalchar1"/>
          <w:rFonts w:ascii="Arial" w:eastAsia="Times New Roman" w:hAnsi="Arial" w:cs="Arial"/>
          <w:vertAlign w:val="superscript"/>
          <w:lang w:eastAsia="en-US"/>
        </w:rPr>
        <w:t>er</w:t>
      </w:r>
      <w:r w:rsidR="00DD1867">
        <w:rPr>
          <w:rStyle w:val="normalchar1"/>
          <w:rFonts w:ascii="Arial" w:eastAsia="Times New Roman" w:hAnsi="Arial" w:cs="Arial"/>
          <w:lang w:eastAsia="en-US"/>
        </w:rPr>
        <w:t> </w:t>
      </w:r>
      <w:r w:rsidR="003E7F10" w:rsidRPr="0043604D">
        <w:rPr>
          <w:rStyle w:val="normalchar1"/>
          <w:rFonts w:ascii="Arial" w:eastAsia="Times New Roman" w:hAnsi="Arial" w:cs="Arial"/>
          <w:lang w:eastAsia="en-US"/>
        </w:rPr>
        <w:t>janvier au 31</w:t>
      </w:r>
      <w:r w:rsidR="002B1D77" w:rsidRPr="0043604D">
        <w:rPr>
          <w:rStyle w:val="normalchar1"/>
          <w:rFonts w:ascii="Arial" w:eastAsia="Times New Roman" w:hAnsi="Arial" w:cs="Arial"/>
          <w:lang w:eastAsia="en-US"/>
        </w:rPr>
        <w:t> </w:t>
      </w:r>
      <w:r w:rsidR="003E7F10" w:rsidRPr="0043604D">
        <w:rPr>
          <w:rStyle w:val="normalchar1"/>
          <w:rFonts w:ascii="Arial" w:eastAsia="Times New Roman" w:hAnsi="Arial" w:cs="Arial"/>
          <w:lang w:eastAsia="en-US"/>
        </w:rPr>
        <w:t>décemb</w:t>
      </w:r>
      <w:r w:rsidR="00ED0BA6" w:rsidRPr="0043604D">
        <w:rPr>
          <w:rStyle w:val="normalchar1"/>
          <w:rFonts w:ascii="Arial" w:eastAsia="Times New Roman" w:hAnsi="Arial" w:cs="Arial"/>
          <w:lang w:eastAsia="en-US"/>
        </w:rPr>
        <w:t>re)</w:t>
      </w:r>
      <w:r w:rsidR="00ED0BA6">
        <w:rPr>
          <w:rStyle w:val="normalchar1"/>
          <w:rFonts w:ascii="Arial" w:eastAsia="Times New Roman" w:hAnsi="Arial" w:cs="Arial"/>
          <w:lang w:eastAsia="en-US"/>
        </w:rPr>
        <w:t xml:space="preserve">.  </w:t>
      </w:r>
      <w:r w:rsidR="00ED0BA6" w:rsidRPr="0043604D">
        <w:rPr>
          <w:rStyle w:val="normalchar1"/>
          <w:rFonts w:ascii="Arial" w:eastAsia="Times New Roman" w:hAnsi="Arial" w:cs="Arial"/>
          <w:lang w:eastAsia="en-US"/>
        </w:rPr>
        <w:t>Ce</w:t>
      </w:r>
      <w:r w:rsidR="00CD469F" w:rsidRPr="0043604D">
        <w:rPr>
          <w:rStyle w:val="normalchar1"/>
          <w:rFonts w:ascii="Arial" w:eastAsia="Times New Roman" w:hAnsi="Arial" w:cs="Arial"/>
          <w:lang w:eastAsia="en-US"/>
        </w:rPr>
        <w:t xml:space="preserve">la permettrait non seulement </w:t>
      </w:r>
      <w:r w:rsidR="001721C5" w:rsidRPr="0043604D">
        <w:rPr>
          <w:rStyle w:val="normalchar1"/>
          <w:rFonts w:ascii="Arial" w:eastAsia="Times New Roman" w:hAnsi="Arial" w:cs="Arial"/>
          <w:lang w:eastAsia="en-US"/>
        </w:rPr>
        <w:t>d</w:t>
      </w:r>
      <w:r w:rsidR="00DD1867">
        <w:rPr>
          <w:rStyle w:val="normalchar1"/>
          <w:rFonts w:ascii="Arial" w:eastAsia="Times New Roman" w:hAnsi="Arial" w:cs="Arial"/>
          <w:lang w:eastAsia="en-US"/>
        </w:rPr>
        <w:t>’</w:t>
      </w:r>
      <w:r w:rsidR="001721C5" w:rsidRPr="0043604D">
        <w:rPr>
          <w:rStyle w:val="normalchar1"/>
          <w:rFonts w:ascii="Arial" w:eastAsia="Times New Roman" w:hAnsi="Arial" w:cs="Arial"/>
          <w:lang w:eastAsia="en-US"/>
        </w:rPr>
        <w:t>harmoniser les calendriers pour</w:t>
      </w:r>
      <w:r w:rsidR="00CD469F" w:rsidRPr="0043604D">
        <w:rPr>
          <w:rStyle w:val="normalchar1"/>
          <w:rFonts w:ascii="Arial" w:eastAsia="Times New Roman" w:hAnsi="Arial" w:cs="Arial"/>
          <w:lang w:eastAsia="en-US"/>
        </w:rPr>
        <w:t xml:space="preserve"> la planification et l</w:t>
      </w:r>
      <w:r w:rsidR="00DD1867">
        <w:rPr>
          <w:rStyle w:val="normalchar1"/>
          <w:rFonts w:ascii="Arial" w:eastAsia="Times New Roman" w:hAnsi="Arial" w:cs="Arial"/>
          <w:lang w:eastAsia="en-US"/>
        </w:rPr>
        <w:t>’</w:t>
      </w:r>
      <w:r w:rsidR="00CD469F" w:rsidRPr="0043604D">
        <w:rPr>
          <w:rStyle w:val="normalchar1"/>
          <w:rFonts w:ascii="Arial" w:eastAsia="Times New Roman" w:hAnsi="Arial" w:cs="Arial"/>
          <w:lang w:eastAsia="en-US"/>
        </w:rPr>
        <w:t xml:space="preserve">établissement de rapports, mais aussi de préparer le terrain pour </w:t>
      </w:r>
      <w:r w:rsidR="001721C5" w:rsidRPr="0043604D">
        <w:rPr>
          <w:rStyle w:val="normalchar1"/>
          <w:rFonts w:ascii="Arial" w:eastAsia="Times New Roman" w:hAnsi="Arial" w:cs="Arial"/>
          <w:lang w:eastAsia="en-US"/>
        </w:rPr>
        <w:t>une</w:t>
      </w:r>
      <w:r w:rsidR="00CD469F" w:rsidRPr="0043604D">
        <w:rPr>
          <w:rStyle w:val="normalchar1"/>
          <w:rFonts w:ascii="Arial" w:eastAsia="Times New Roman" w:hAnsi="Arial" w:cs="Arial"/>
          <w:lang w:eastAsia="en-US"/>
        </w:rPr>
        <w:t xml:space="preserve"> déclaration </w:t>
      </w:r>
      <w:r w:rsidR="001721C5" w:rsidRPr="0043604D">
        <w:rPr>
          <w:rStyle w:val="normalchar1"/>
          <w:rFonts w:ascii="Arial" w:eastAsia="Times New Roman" w:hAnsi="Arial" w:cs="Arial"/>
          <w:lang w:eastAsia="en-US"/>
        </w:rPr>
        <w:t>annuelle</w:t>
      </w:r>
      <w:r w:rsidR="00CD469F" w:rsidRPr="0043604D">
        <w:rPr>
          <w:rStyle w:val="normalchar1"/>
          <w:rFonts w:ascii="Arial" w:eastAsia="Times New Roman" w:hAnsi="Arial" w:cs="Arial"/>
          <w:lang w:eastAsia="en-US"/>
        </w:rPr>
        <w:t xml:space="preserve"> sur le contrôle interne.</w:t>
      </w:r>
    </w:p>
    <w:p w:rsidR="0001272B" w:rsidRDefault="00CD469F" w:rsidP="00D9753C">
      <w:pPr>
        <w:pStyle w:val="Heading3"/>
      </w:pPr>
      <w:r w:rsidRPr="0043604D">
        <w:t>Personnel de</w:t>
      </w:r>
      <w:r w:rsidR="00DD1867" w:rsidRPr="0043604D">
        <w:t xml:space="preserve"> la</w:t>
      </w:r>
      <w:r w:rsidR="00DD1867">
        <w:t> </w:t>
      </w:r>
      <w:r w:rsidR="00DD1867" w:rsidRPr="0043604D">
        <w:t>DSI</w:t>
      </w:r>
    </w:p>
    <w:p w:rsidR="00D9753C" w:rsidRPr="00D9753C" w:rsidRDefault="00D9753C" w:rsidP="00D9753C"/>
    <w:p w:rsidR="0001272B" w:rsidRPr="00D9753C" w:rsidRDefault="001721C5" w:rsidP="00D9753C">
      <w:pPr>
        <w:pStyle w:val="ONUMFS"/>
      </w:pPr>
      <w:r w:rsidRPr="0043604D">
        <w:t>Durant</w:t>
      </w:r>
      <w:r w:rsidR="00CD469F" w:rsidRPr="0043604D">
        <w:t xml:space="preserve"> la période couverte par le rapport, </w:t>
      </w:r>
      <w:r w:rsidRPr="0043604D">
        <w:t>certains postes au sein de</w:t>
      </w:r>
      <w:r w:rsidR="00DD1867" w:rsidRPr="0043604D">
        <w:t xml:space="preserve"> la</w:t>
      </w:r>
      <w:r w:rsidR="00DD1867">
        <w:t> </w:t>
      </w:r>
      <w:r w:rsidR="00DD1867" w:rsidRPr="0043604D">
        <w:t>DSI</w:t>
      </w:r>
      <w:r w:rsidRPr="0043604D">
        <w:t xml:space="preserve"> sont restés vacants, parfois pendant longtem</w:t>
      </w:r>
      <w:r w:rsidR="00ED0BA6" w:rsidRPr="0043604D">
        <w:t>ps</w:t>
      </w:r>
      <w:r w:rsidR="00ED0BA6">
        <w:t xml:space="preserve">.  </w:t>
      </w:r>
      <w:r w:rsidR="00ED0BA6" w:rsidRPr="0043604D">
        <w:t>Le</w:t>
      </w:r>
      <w:r w:rsidR="00CD469F" w:rsidRPr="0043604D">
        <w:t xml:space="preserve"> poste de chef de la Section de l</w:t>
      </w:r>
      <w:r w:rsidR="00DD1867">
        <w:t>’</w:t>
      </w:r>
      <w:r w:rsidR="00CD469F" w:rsidRPr="0043604D">
        <w:t>audit interne, vacant depuis juin</w:t>
      </w:r>
      <w:r w:rsidR="002B1D77" w:rsidRPr="0043604D">
        <w:t> </w:t>
      </w:r>
      <w:r w:rsidR="00CD469F" w:rsidRPr="0043604D">
        <w:t>2017, n</w:t>
      </w:r>
      <w:r w:rsidR="00DD1867">
        <w:t>’</w:t>
      </w:r>
      <w:r w:rsidR="00CD469F" w:rsidRPr="0043604D">
        <w:t>a pas été pourvu avant juillet</w:t>
      </w:r>
      <w:r w:rsidR="002B1D77" w:rsidRPr="0043604D">
        <w:t> </w:t>
      </w:r>
      <w:r w:rsidR="00CD469F" w:rsidRPr="0043604D">
        <w:t>2018.</w:t>
      </w:r>
      <w:r w:rsidR="00D54FF0" w:rsidRPr="0043604D">
        <w:t xml:space="preserve"> </w:t>
      </w:r>
      <w:r w:rsidR="00F7239C" w:rsidRPr="0043604D">
        <w:t xml:space="preserve"> </w:t>
      </w:r>
      <w:r w:rsidR="00CD469F" w:rsidRPr="0043604D">
        <w:t>Le poste vacant d</w:t>
      </w:r>
      <w:r w:rsidR="00DD1867">
        <w:t>’</w:t>
      </w:r>
      <w:r w:rsidR="00CD469F" w:rsidRPr="0043604D">
        <w:t>administrateur principal à l</w:t>
      </w:r>
      <w:r w:rsidR="00DD1867">
        <w:t>’</w:t>
      </w:r>
      <w:r w:rsidR="00CD469F" w:rsidRPr="0043604D">
        <w:t>audit interne n</w:t>
      </w:r>
      <w:r w:rsidR="00DD1867">
        <w:t>’</w:t>
      </w:r>
      <w:r w:rsidR="00CD469F" w:rsidRPr="0043604D">
        <w:t>a pas été pourvu avant août</w:t>
      </w:r>
      <w:r w:rsidR="002B1D77" w:rsidRPr="0043604D">
        <w:t> </w:t>
      </w:r>
      <w:r w:rsidR="00CD469F" w:rsidRPr="0043604D">
        <w:t>2019.</w:t>
      </w:r>
      <w:r w:rsidR="0023646E" w:rsidRPr="0043604D">
        <w:t xml:space="preserve"> </w:t>
      </w:r>
      <w:r w:rsidR="004776EF" w:rsidRPr="0043604D">
        <w:t xml:space="preserve"> </w:t>
      </w:r>
      <w:r w:rsidR="00CD469F" w:rsidRPr="0043604D">
        <w:t>L</w:t>
      </w:r>
      <w:r w:rsidR="00DD1867">
        <w:t>’</w:t>
      </w:r>
      <w:r w:rsidR="00CD469F" w:rsidRPr="0043604D">
        <w:t>OCIS a déploré la longueur du processus de recrutement dans ces cas et son incidence sur la capacité de supervision.</w:t>
      </w:r>
      <w:r w:rsidR="0023646E" w:rsidRPr="0043604D">
        <w:t xml:space="preserve"> </w:t>
      </w:r>
      <w:r w:rsidR="00F7239C" w:rsidRPr="0043604D">
        <w:t xml:space="preserve"> </w:t>
      </w:r>
      <w:r w:rsidR="00CD469F" w:rsidRPr="0043604D">
        <w:t>L</w:t>
      </w:r>
      <w:r w:rsidR="00DD1867">
        <w:t>’</w:t>
      </w:r>
      <w:r w:rsidR="00CD469F" w:rsidRPr="0043604D">
        <w:t>O</w:t>
      </w:r>
      <w:r w:rsidRPr="0043604D">
        <w:t>rgane</w:t>
      </w:r>
      <w:r w:rsidR="00CD469F" w:rsidRPr="0043604D">
        <w:t xml:space="preserve"> a toutefois pris acte des efforts particuliers déployés par</w:t>
      </w:r>
      <w:r w:rsidR="00DD1867" w:rsidRPr="0043604D">
        <w:t xml:space="preserve"> la</w:t>
      </w:r>
      <w:r w:rsidR="00DD1867">
        <w:t> </w:t>
      </w:r>
      <w:r w:rsidR="00DD1867" w:rsidRPr="0043604D">
        <w:t>DSI</w:t>
      </w:r>
      <w:r w:rsidR="00CD469F" w:rsidRPr="0043604D">
        <w:t xml:space="preserve"> pour </w:t>
      </w:r>
      <w:r w:rsidRPr="0043604D">
        <w:t>atteindre</w:t>
      </w:r>
      <w:r w:rsidR="00CD469F" w:rsidRPr="0043604D">
        <w:t xml:space="preserve"> les résultats prévus malgré ces restrictions de personnel.</w:t>
      </w:r>
    </w:p>
    <w:p w:rsidR="0001272B" w:rsidRDefault="00CD469F" w:rsidP="00D9753C">
      <w:pPr>
        <w:pStyle w:val="Heading3"/>
      </w:pPr>
      <w:r w:rsidRPr="0043604D">
        <w:t>Secrétaire de</w:t>
      </w:r>
      <w:r w:rsidR="00DD1867" w:rsidRPr="0043604D">
        <w:t xml:space="preserve"> la</w:t>
      </w:r>
      <w:r w:rsidR="00DD1867">
        <w:t> </w:t>
      </w:r>
      <w:r w:rsidR="00DD1867" w:rsidRPr="0043604D">
        <w:t>DSI</w:t>
      </w:r>
    </w:p>
    <w:p w:rsidR="00D9753C" w:rsidRPr="00D9753C" w:rsidRDefault="00D9753C" w:rsidP="00D9753C"/>
    <w:p w:rsidR="0001272B" w:rsidRPr="0043604D" w:rsidRDefault="00CD469F" w:rsidP="00D9753C">
      <w:pPr>
        <w:pStyle w:val="ONUMFS"/>
        <w:rPr>
          <w:rStyle w:val="normalchar1"/>
          <w:rFonts w:ascii="Arial" w:hAnsi="Arial" w:cs="Arial"/>
        </w:rPr>
      </w:pPr>
      <w:r w:rsidRPr="0043604D">
        <w:rPr>
          <w:rStyle w:val="normalchar1"/>
          <w:rFonts w:ascii="Arial" w:hAnsi="Arial" w:cs="Arial"/>
        </w:rPr>
        <w:t>L</w:t>
      </w:r>
      <w:r w:rsidR="00DD1867">
        <w:rPr>
          <w:rStyle w:val="normalchar1"/>
          <w:rFonts w:ascii="Arial" w:hAnsi="Arial" w:cs="Arial"/>
        </w:rPr>
        <w:t>’</w:t>
      </w:r>
      <w:r w:rsidRPr="0043604D">
        <w:rPr>
          <w:rStyle w:val="normalchar1"/>
          <w:rFonts w:ascii="Arial" w:hAnsi="Arial" w:cs="Arial"/>
        </w:rPr>
        <w:t>appui administratif à la fonction d</w:t>
      </w:r>
      <w:r w:rsidR="00DD1867">
        <w:rPr>
          <w:rStyle w:val="normalchar1"/>
          <w:rFonts w:ascii="Arial" w:hAnsi="Arial" w:cs="Arial"/>
        </w:rPr>
        <w:t>’</w:t>
      </w:r>
      <w:r w:rsidRPr="0043604D">
        <w:rPr>
          <w:rStyle w:val="normalchar1"/>
          <w:rFonts w:ascii="Arial" w:hAnsi="Arial" w:cs="Arial"/>
        </w:rPr>
        <w:t>enquête est assuré par un secrétaire à la classe</w:t>
      </w:r>
      <w:r w:rsidR="002B1D77" w:rsidRPr="0043604D">
        <w:rPr>
          <w:rStyle w:val="normalchar1"/>
          <w:rFonts w:ascii="Arial" w:hAnsi="Arial" w:cs="Arial"/>
        </w:rPr>
        <w:t> </w:t>
      </w:r>
      <w:r w:rsidRPr="0043604D">
        <w:rPr>
          <w:rStyle w:val="normalchar1"/>
          <w:rFonts w:ascii="Arial" w:hAnsi="Arial" w:cs="Arial"/>
        </w:rPr>
        <w:t>G4</w:t>
      </w:r>
      <w:r w:rsidR="001721C5" w:rsidRPr="0043604D">
        <w:rPr>
          <w:rStyle w:val="normalchar1"/>
          <w:rFonts w:ascii="Arial" w:hAnsi="Arial" w:cs="Arial"/>
        </w:rPr>
        <w:t xml:space="preserve">. </w:t>
      </w:r>
      <w:r w:rsidR="00E80DFC" w:rsidRPr="0043604D">
        <w:rPr>
          <w:rStyle w:val="normalchar1"/>
          <w:rFonts w:ascii="Arial" w:hAnsi="Arial" w:cs="Arial"/>
        </w:rPr>
        <w:t xml:space="preserve"> </w:t>
      </w:r>
      <w:r w:rsidRPr="0043604D">
        <w:rPr>
          <w:rStyle w:val="normalchar1"/>
          <w:rFonts w:ascii="Arial" w:hAnsi="Arial" w:cs="Arial"/>
        </w:rPr>
        <w:t>Le poste est devenu vacant en décembre</w:t>
      </w:r>
      <w:r w:rsidR="002B1D77" w:rsidRPr="0043604D">
        <w:rPr>
          <w:rStyle w:val="normalchar1"/>
          <w:rFonts w:ascii="Arial" w:hAnsi="Arial" w:cs="Arial"/>
        </w:rPr>
        <w:t> </w:t>
      </w:r>
      <w:r w:rsidRPr="0043604D">
        <w:rPr>
          <w:rStyle w:val="normalchar1"/>
          <w:rFonts w:ascii="Arial" w:hAnsi="Arial" w:cs="Arial"/>
        </w:rPr>
        <w:t>2018.</w:t>
      </w:r>
      <w:r w:rsidR="00E80DFC" w:rsidRPr="0043604D">
        <w:rPr>
          <w:rStyle w:val="normalchar1"/>
          <w:rFonts w:ascii="Arial" w:hAnsi="Arial" w:cs="Arial"/>
        </w:rPr>
        <w:t xml:space="preserve"> </w:t>
      </w:r>
      <w:r w:rsidR="0099722F" w:rsidRPr="0043604D">
        <w:rPr>
          <w:rStyle w:val="normalchar1"/>
          <w:rFonts w:ascii="Arial" w:hAnsi="Arial" w:cs="Arial"/>
        </w:rPr>
        <w:t xml:space="preserve"> </w:t>
      </w:r>
      <w:r w:rsidRPr="0043604D">
        <w:rPr>
          <w:rStyle w:val="normalchar1"/>
          <w:rFonts w:ascii="Arial" w:hAnsi="Arial" w:cs="Arial"/>
        </w:rPr>
        <w:t>L</w:t>
      </w:r>
      <w:r w:rsidR="00DD1867">
        <w:rPr>
          <w:rStyle w:val="normalchar1"/>
          <w:rFonts w:ascii="Arial" w:hAnsi="Arial" w:cs="Arial"/>
        </w:rPr>
        <w:t>’</w:t>
      </w:r>
      <w:r w:rsidRPr="0043604D">
        <w:rPr>
          <w:rStyle w:val="normalchar1"/>
          <w:rFonts w:ascii="Arial" w:hAnsi="Arial" w:cs="Arial"/>
        </w:rPr>
        <w:t xml:space="preserve">OCIS estime que le </w:t>
      </w:r>
      <w:r w:rsidR="001721C5" w:rsidRPr="0043604D">
        <w:rPr>
          <w:rStyle w:val="normalchar1"/>
          <w:rFonts w:ascii="Arial" w:hAnsi="Arial" w:cs="Arial"/>
        </w:rPr>
        <w:t>grade</w:t>
      </w:r>
      <w:r w:rsidRPr="0043604D">
        <w:rPr>
          <w:rStyle w:val="normalchar1"/>
          <w:rFonts w:ascii="Arial" w:hAnsi="Arial" w:cs="Arial"/>
        </w:rPr>
        <w:t xml:space="preserve"> actuel du poste peut ne pas suffire pour attirer et retenir un personnel qualifié pour cette fonction hautement sensib</w:t>
      </w:r>
      <w:r w:rsidR="00ED0BA6" w:rsidRPr="0043604D">
        <w:rPr>
          <w:rStyle w:val="normalchar1"/>
          <w:rFonts w:ascii="Arial" w:hAnsi="Arial" w:cs="Arial"/>
        </w:rPr>
        <w:t>le</w:t>
      </w:r>
      <w:r w:rsidR="00ED0BA6">
        <w:rPr>
          <w:rStyle w:val="normalchar1"/>
          <w:rFonts w:ascii="Arial" w:hAnsi="Arial" w:cs="Arial"/>
        </w:rPr>
        <w:t xml:space="preserve">.  </w:t>
      </w:r>
      <w:r w:rsidR="00ED0BA6" w:rsidRPr="0043604D">
        <w:rPr>
          <w:rStyle w:val="normalchar1"/>
          <w:rFonts w:ascii="Arial" w:hAnsi="Arial" w:cs="Arial"/>
        </w:rPr>
        <w:t>Pa</w:t>
      </w:r>
      <w:r w:rsidRPr="0043604D">
        <w:rPr>
          <w:rStyle w:val="normalchar1"/>
          <w:rFonts w:ascii="Arial" w:hAnsi="Arial" w:cs="Arial"/>
        </w:rPr>
        <w:t>r conséquent, l</w:t>
      </w:r>
      <w:r w:rsidR="00DD1867">
        <w:rPr>
          <w:rStyle w:val="normalchar1"/>
          <w:rFonts w:ascii="Arial" w:hAnsi="Arial" w:cs="Arial"/>
        </w:rPr>
        <w:t>’</w:t>
      </w:r>
      <w:r w:rsidRPr="0043604D">
        <w:rPr>
          <w:rStyle w:val="normalchar1"/>
          <w:rFonts w:ascii="Arial" w:hAnsi="Arial" w:cs="Arial"/>
        </w:rPr>
        <w:t>OCIS appuie le directeur de</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Pr="0043604D">
        <w:rPr>
          <w:rStyle w:val="normalchar1"/>
          <w:rFonts w:ascii="Arial" w:hAnsi="Arial" w:cs="Arial"/>
        </w:rPr>
        <w:t xml:space="preserve"> dans son souhait de réaffecter les fonctions liées aux enquêtes à un autre poste au sein de</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001721C5" w:rsidRPr="0043604D">
        <w:rPr>
          <w:rStyle w:val="normalchar1"/>
          <w:rFonts w:ascii="Arial" w:hAnsi="Arial" w:cs="Arial"/>
        </w:rPr>
        <w:t>,</w:t>
      </w:r>
      <w:r w:rsidRPr="0043604D">
        <w:rPr>
          <w:rStyle w:val="normalchar1"/>
          <w:rFonts w:ascii="Arial" w:hAnsi="Arial" w:cs="Arial"/>
        </w:rPr>
        <w:t xml:space="preserve"> et de demander u</w:t>
      </w:r>
      <w:r w:rsidR="001721C5" w:rsidRPr="0043604D">
        <w:rPr>
          <w:rStyle w:val="normalchar1"/>
          <w:rFonts w:ascii="Arial" w:hAnsi="Arial" w:cs="Arial"/>
        </w:rPr>
        <w:t>n</w:t>
      </w:r>
      <w:r w:rsidRPr="0043604D">
        <w:rPr>
          <w:rStyle w:val="normalchar1"/>
          <w:rFonts w:ascii="Arial" w:hAnsi="Arial" w:cs="Arial"/>
        </w:rPr>
        <w:t xml:space="preserve"> reclassement du poste en question à un </w:t>
      </w:r>
      <w:r w:rsidR="001721C5" w:rsidRPr="0043604D">
        <w:rPr>
          <w:rStyle w:val="normalchar1"/>
          <w:rFonts w:ascii="Arial" w:hAnsi="Arial" w:cs="Arial"/>
        </w:rPr>
        <w:t>grade</w:t>
      </w:r>
      <w:r w:rsidRPr="0043604D">
        <w:rPr>
          <w:rStyle w:val="normalchar1"/>
          <w:rFonts w:ascii="Arial" w:hAnsi="Arial" w:cs="Arial"/>
        </w:rPr>
        <w:t xml:space="preserve"> approprié.</w:t>
      </w:r>
    </w:p>
    <w:p w:rsidR="0001272B" w:rsidRPr="0043604D" w:rsidRDefault="00CD469F" w:rsidP="00D9753C">
      <w:pPr>
        <w:pStyle w:val="ONUMFS"/>
        <w:rPr>
          <w:rStyle w:val="normalchar1"/>
          <w:rFonts w:ascii="Arial" w:hAnsi="Arial" w:cs="Arial"/>
        </w:rPr>
      </w:pPr>
      <w:r w:rsidRPr="0043604D">
        <w:rPr>
          <w:rStyle w:val="normalchar1"/>
          <w:rFonts w:ascii="Arial" w:hAnsi="Arial" w:cs="Arial"/>
        </w:rPr>
        <w:t>L</w:t>
      </w:r>
      <w:r w:rsidR="00DD1867">
        <w:rPr>
          <w:rStyle w:val="normalchar1"/>
          <w:rFonts w:ascii="Arial" w:hAnsi="Arial" w:cs="Arial"/>
        </w:rPr>
        <w:t>’</w:t>
      </w:r>
      <w:r w:rsidRPr="0043604D">
        <w:rPr>
          <w:rStyle w:val="normalchar1"/>
          <w:rFonts w:ascii="Arial" w:hAnsi="Arial" w:cs="Arial"/>
        </w:rPr>
        <w:t>OCIS a étudié le budget de la division avec le directeur de</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Pr="0043604D">
        <w:rPr>
          <w:rStyle w:val="normalchar1"/>
          <w:rFonts w:ascii="Arial" w:hAnsi="Arial" w:cs="Arial"/>
        </w:rPr>
        <w:t>;  il a encouragé ce dernier à prendre en considération la nécessité croissante de faire appel à des consultants extérieurs lorsqu</w:t>
      </w:r>
      <w:r w:rsidR="00DD1867">
        <w:rPr>
          <w:rStyle w:val="normalchar1"/>
          <w:rFonts w:ascii="Arial" w:hAnsi="Arial" w:cs="Arial"/>
        </w:rPr>
        <w:t>’</w:t>
      </w:r>
      <w:r w:rsidRPr="0043604D">
        <w:rPr>
          <w:rStyle w:val="normalchar1"/>
          <w:rFonts w:ascii="Arial" w:hAnsi="Arial" w:cs="Arial"/>
        </w:rPr>
        <w:t>un conflit d</w:t>
      </w:r>
      <w:r w:rsidR="00DD1867">
        <w:rPr>
          <w:rStyle w:val="normalchar1"/>
          <w:rFonts w:ascii="Arial" w:hAnsi="Arial" w:cs="Arial"/>
        </w:rPr>
        <w:t>’</w:t>
      </w:r>
      <w:r w:rsidRPr="0043604D">
        <w:rPr>
          <w:rStyle w:val="normalchar1"/>
          <w:rFonts w:ascii="Arial" w:hAnsi="Arial" w:cs="Arial"/>
        </w:rPr>
        <w:t>intérêts empêche</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Pr="0043604D">
        <w:rPr>
          <w:rStyle w:val="normalchar1"/>
          <w:rFonts w:ascii="Arial" w:hAnsi="Arial" w:cs="Arial"/>
        </w:rPr>
        <w:t xml:space="preserve"> de mener certaines missions d</w:t>
      </w:r>
      <w:r w:rsidR="00DD1867">
        <w:rPr>
          <w:rStyle w:val="normalchar1"/>
          <w:rFonts w:ascii="Arial" w:hAnsi="Arial" w:cs="Arial"/>
        </w:rPr>
        <w:t>’</w:t>
      </w:r>
      <w:r w:rsidRPr="0043604D">
        <w:rPr>
          <w:rStyle w:val="normalchar1"/>
          <w:rFonts w:ascii="Arial" w:hAnsi="Arial" w:cs="Arial"/>
        </w:rPr>
        <w:t>enquête.</w:t>
      </w:r>
    </w:p>
    <w:p w:rsidR="0001272B" w:rsidRDefault="00CD469F" w:rsidP="00D9753C">
      <w:pPr>
        <w:pStyle w:val="Heading3"/>
      </w:pPr>
      <w:r w:rsidRPr="0043604D">
        <w:t>Audit interne</w:t>
      </w:r>
    </w:p>
    <w:p w:rsidR="00D9753C" w:rsidRPr="00D9753C" w:rsidRDefault="00D9753C" w:rsidP="00D9753C"/>
    <w:p w:rsidR="0001272B" w:rsidRPr="0043604D" w:rsidRDefault="00CD469F" w:rsidP="00D9753C">
      <w:pPr>
        <w:pStyle w:val="ONUMFS"/>
      </w:pPr>
      <w:bookmarkStart w:id="18" w:name="_Toc429145911"/>
      <w:bookmarkStart w:id="19" w:name="_Toc429147804"/>
      <w:bookmarkStart w:id="20" w:name="_Toc429147822"/>
      <w:bookmarkStart w:id="21" w:name="_Toc429384081"/>
      <w:bookmarkEnd w:id="18"/>
      <w:bookmarkEnd w:id="19"/>
      <w:bookmarkEnd w:id="20"/>
      <w:bookmarkEnd w:id="21"/>
      <w:r w:rsidRPr="0043604D">
        <w:t>Durant la période considérée, l</w:t>
      </w:r>
      <w:r w:rsidR="00DD1867">
        <w:t>’</w:t>
      </w:r>
      <w:r w:rsidRPr="0043604D">
        <w:t>O</w:t>
      </w:r>
      <w:r w:rsidR="00F124C4" w:rsidRPr="0043604D">
        <w:t>rgane</w:t>
      </w:r>
      <w:r w:rsidRPr="0043604D">
        <w:t xml:space="preserve"> a </w:t>
      </w:r>
      <w:r w:rsidR="00F124C4" w:rsidRPr="0043604D">
        <w:t>passé en revue</w:t>
      </w:r>
      <w:r w:rsidRPr="0043604D">
        <w:t>, avec</w:t>
      </w:r>
      <w:r w:rsidR="00DD1867" w:rsidRPr="0043604D">
        <w:t xml:space="preserve"> la</w:t>
      </w:r>
      <w:r w:rsidR="00DD1867">
        <w:t> </w:t>
      </w:r>
      <w:r w:rsidR="00DD1867" w:rsidRPr="0043604D">
        <w:t>DSI</w:t>
      </w:r>
      <w:r w:rsidRPr="0043604D">
        <w:t xml:space="preserve"> et la direction, cinq</w:t>
      </w:r>
      <w:r w:rsidR="008422B4">
        <w:t> </w:t>
      </w:r>
      <w:r w:rsidRPr="0043604D">
        <w:t>rapports d</w:t>
      </w:r>
      <w:r w:rsidR="00DD1867">
        <w:t>’</w:t>
      </w:r>
      <w:r w:rsidRPr="0043604D">
        <w:t>audit interne</w:t>
      </w:r>
      <w:r w:rsidR="00DD1867">
        <w:t> :</w:t>
      </w:r>
    </w:p>
    <w:p w:rsidR="0001272B" w:rsidRPr="0043604D" w:rsidRDefault="00150B47" w:rsidP="00B23517">
      <w:pPr>
        <w:pStyle w:val="ONUMFS"/>
        <w:numPr>
          <w:ilvl w:val="0"/>
          <w:numId w:val="27"/>
        </w:numPr>
        <w:ind w:left="1134" w:hanging="567"/>
      </w:pPr>
      <w:r w:rsidRPr="0043604D">
        <w:t>Audit des systèmes de sécurité en matière d</w:t>
      </w:r>
      <w:r w:rsidR="00DD1867">
        <w:t>’</w:t>
      </w:r>
      <w:r w:rsidRPr="0043604D">
        <w:t>accès physique (IA</w:t>
      </w:r>
      <w:r w:rsidR="002B1D77" w:rsidRPr="0043604D">
        <w:t> </w:t>
      </w:r>
      <w:r w:rsidRPr="0043604D">
        <w:t>2018</w:t>
      </w:r>
      <w:r w:rsidR="00002E83">
        <w:noBreakHyphen/>
      </w:r>
      <w:r w:rsidRPr="0043604D">
        <w:t>04)</w:t>
      </w:r>
    </w:p>
    <w:p w:rsidR="0001272B" w:rsidRPr="0043604D" w:rsidRDefault="00150B47" w:rsidP="00B23517">
      <w:pPr>
        <w:pStyle w:val="ONUMFS"/>
        <w:numPr>
          <w:ilvl w:val="0"/>
          <w:numId w:val="27"/>
        </w:numPr>
        <w:ind w:left="1134" w:hanging="567"/>
      </w:pPr>
      <w:r w:rsidRPr="0043604D">
        <w:t>Audit du portefeuille de projets pour la planification des ressources de l</w:t>
      </w:r>
      <w:r w:rsidR="00DD1867">
        <w:t>’</w:t>
      </w:r>
      <w:r w:rsidRPr="0043604D">
        <w:t>Organisation (ERP) (IA</w:t>
      </w:r>
      <w:r w:rsidR="002B1D77" w:rsidRPr="0043604D">
        <w:t> </w:t>
      </w:r>
      <w:r w:rsidRPr="0043604D">
        <w:t>2018</w:t>
      </w:r>
      <w:r w:rsidR="00002E83">
        <w:noBreakHyphen/>
      </w:r>
      <w:r w:rsidRPr="0043604D">
        <w:t>03)</w:t>
      </w:r>
    </w:p>
    <w:p w:rsidR="0001272B" w:rsidRPr="0043604D" w:rsidRDefault="00150B47" w:rsidP="00B23517">
      <w:pPr>
        <w:pStyle w:val="ONUMFS"/>
        <w:numPr>
          <w:ilvl w:val="0"/>
          <w:numId w:val="27"/>
        </w:numPr>
        <w:ind w:left="1134" w:hanging="567"/>
      </w:pPr>
      <w:r w:rsidRPr="0043604D">
        <w:lastRenderedPageBreak/>
        <w:t>Audit des fonds fiduciaires gérés par l</w:t>
      </w:r>
      <w:r w:rsidR="00DD1867">
        <w:t>’</w:t>
      </w:r>
      <w:r w:rsidRPr="0043604D">
        <w:t>OMPI (IA</w:t>
      </w:r>
      <w:r w:rsidR="002B1D77" w:rsidRPr="0043604D">
        <w:t> </w:t>
      </w:r>
      <w:r w:rsidRPr="0043604D">
        <w:t>2018</w:t>
      </w:r>
      <w:r w:rsidR="00002E83">
        <w:noBreakHyphen/>
      </w:r>
      <w:r w:rsidRPr="0043604D">
        <w:t>05)</w:t>
      </w:r>
    </w:p>
    <w:p w:rsidR="0001272B" w:rsidRPr="0043604D" w:rsidRDefault="00150B47" w:rsidP="00B23517">
      <w:pPr>
        <w:pStyle w:val="ONUMFS"/>
        <w:numPr>
          <w:ilvl w:val="0"/>
          <w:numId w:val="27"/>
        </w:numPr>
        <w:ind w:left="1134" w:hanging="567"/>
        <w:rPr>
          <w:lang w:val="x-none"/>
        </w:rPr>
      </w:pPr>
      <w:r w:rsidRPr="0043604D">
        <w:rPr>
          <w:lang w:val="x-none"/>
        </w:rPr>
        <w:t>Audit du mécanisme pilote de compensation</w:t>
      </w:r>
      <w:r w:rsidR="00DD1867" w:rsidRPr="0043604D">
        <w:rPr>
          <w:lang w:val="x-none"/>
        </w:rPr>
        <w:t xml:space="preserve"> du</w:t>
      </w:r>
      <w:r w:rsidR="00DD1867">
        <w:rPr>
          <w:lang w:val="x-none"/>
        </w:rPr>
        <w:t> </w:t>
      </w:r>
      <w:r w:rsidR="00DD1867" w:rsidRPr="0043604D">
        <w:rPr>
          <w:lang w:val="x-none"/>
        </w:rPr>
        <w:t>PCT</w:t>
      </w:r>
      <w:r w:rsidRPr="0043604D">
        <w:rPr>
          <w:lang w:val="x-none"/>
        </w:rPr>
        <w:t xml:space="preserve"> (IA</w:t>
      </w:r>
      <w:r w:rsidR="002B1D77" w:rsidRPr="0043604D">
        <w:rPr>
          <w:lang w:val="x-none"/>
        </w:rPr>
        <w:t> </w:t>
      </w:r>
      <w:r w:rsidRPr="0043604D">
        <w:rPr>
          <w:lang w:val="x-none"/>
        </w:rPr>
        <w:t>2019</w:t>
      </w:r>
      <w:r w:rsidR="00002E83">
        <w:rPr>
          <w:lang w:val="x-none"/>
        </w:rPr>
        <w:noBreakHyphen/>
      </w:r>
      <w:r w:rsidRPr="0043604D">
        <w:rPr>
          <w:lang w:val="x-none"/>
        </w:rPr>
        <w:t>06)</w:t>
      </w:r>
    </w:p>
    <w:p w:rsidR="0001272B" w:rsidRPr="0043604D" w:rsidRDefault="00150B47" w:rsidP="00B23517">
      <w:pPr>
        <w:pStyle w:val="ONUMFS"/>
        <w:numPr>
          <w:ilvl w:val="0"/>
          <w:numId w:val="27"/>
        </w:numPr>
        <w:ind w:left="1134" w:hanging="567"/>
        <w:rPr>
          <w:lang w:val="x-none"/>
        </w:rPr>
      </w:pPr>
      <w:r w:rsidRPr="0043604D">
        <w:rPr>
          <w:lang w:val="x-none"/>
        </w:rPr>
        <w:t xml:space="preserve">Audit de la mise en </w:t>
      </w:r>
      <w:r w:rsidR="002B1D77" w:rsidRPr="0043604D">
        <w:rPr>
          <w:lang w:val="x-none"/>
        </w:rPr>
        <w:t>œ</w:t>
      </w:r>
      <w:r w:rsidRPr="0043604D">
        <w:rPr>
          <w:lang w:val="x-none"/>
        </w:rPr>
        <w:t>uvre de la stratégie de l</w:t>
      </w:r>
      <w:r w:rsidR="00DD1867">
        <w:rPr>
          <w:lang w:val="x-none"/>
        </w:rPr>
        <w:t>’</w:t>
      </w:r>
      <w:r w:rsidRPr="0043604D">
        <w:rPr>
          <w:lang w:val="x-none"/>
        </w:rPr>
        <w:t>OMPI en matière d</w:t>
      </w:r>
      <w:r w:rsidR="00DD1867">
        <w:rPr>
          <w:lang w:val="x-none"/>
        </w:rPr>
        <w:t>’</w:t>
      </w:r>
      <w:r w:rsidRPr="0043604D">
        <w:rPr>
          <w:lang w:val="x-none"/>
        </w:rPr>
        <w:t>assurance informatique (IA</w:t>
      </w:r>
      <w:r w:rsidR="002B1D77" w:rsidRPr="0043604D">
        <w:rPr>
          <w:lang w:val="x-none"/>
        </w:rPr>
        <w:t> </w:t>
      </w:r>
      <w:r w:rsidRPr="0043604D">
        <w:rPr>
          <w:lang w:val="x-none"/>
        </w:rPr>
        <w:t>2018</w:t>
      </w:r>
      <w:r w:rsidR="00002E83">
        <w:rPr>
          <w:lang w:val="x-none"/>
        </w:rPr>
        <w:noBreakHyphen/>
      </w:r>
      <w:r w:rsidRPr="0043604D">
        <w:rPr>
          <w:lang w:val="x-none"/>
        </w:rPr>
        <w:t>06)</w:t>
      </w:r>
    </w:p>
    <w:p w:rsidR="0001272B" w:rsidRPr="0043604D" w:rsidRDefault="00150B47" w:rsidP="00B23517">
      <w:pPr>
        <w:pStyle w:val="ONUMFS"/>
      </w:pPr>
      <w:r w:rsidRPr="0043604D">
        <w:t>Les rapports d</w:t>
      </w:r>
      <w:r w:rsidR="00DD1867">
        <w:t>’</w:t>
      </w:r>
      <w:r w:rsidRPr="0043604D">
        <w:t>audit sur le portefeuille de projets ERP, les fonds fiduciaires gérés par l</w:t>
      </w:r>
      <w:r w:rsidR="00DD1867">
        <w:t>’</w:t>
      </w:r>
      <w:r w:rsidRPr="0043604D">
        <w:t>OMPI et le mécanisme pilote de compensation</w:t>
      </w:r>
      <w:r w:rsidR="00DD1867" w:rsidRPr="0043604D">
        <w:t xml:space="preserve"> du</w:t>
      </w:r>
      <w:r w:rsidR="00DD1867">
        <w:t> </w:t>
      </w:r>
      <w:r w:rsidR="00DD1867" w:rsidRPr="0043604D">
        <w:t>PCT</w:t>
      </w:r>
      <w:r w:rsidRPr="0043604D">
        <w:t xml:space="preserve"> ont été publiés sous forme non expurgée sur le site</w:t>
      </w:r>
      <w:r w:rsidR="008422B4">
        <w:t> </w:t>
      </w:r>
      <w:r w:rsidRPr="0043604D">
        <w:t>Web de l</w:t>
      </w:r>
      <w:r w:rsidR="00DD1867">
        <w:t>’</w:t>
      </w:r>
      <w:r w:rsidRPr="0043604D">
        <w:t>OMPI.</w:t>
      </w:r>
    </w:p>
    <w:p w:rsidR="0001272B" w:rsidRPr="0043604D" w:rsidRDefault="00150B47" w:rsidP="00B23517">
      <w:pPr>
        <w:pStyle w:val="ONUMFS"/>
      </w:pPr>
      <w:bookmarkStart w:id="22" w:name="_Toc429145913"/>
      <w:bookmarkStart w:id="23" w:name="_Toc429147806"/>
      <w:bookmarkStart w:id="24" w:name="_Toc429147824"/>
      <w:bookmarkStart w:id="25" w:name="_Toc429384083"/>
      <w:bookmarkEnd w:id="22"/>
      <w:bookmarkEnd w:id="23"/>
      <w:bookmarkEnd w:id="24"/>
      <w:bookmarkEnd w:id="25"/>
      <w:r w:rsidRPr="0043604D">
        <w:t>L</w:t>
      </w:r>
      <w:r w:rsidR="00DD1867">
        <w:t>’</w:t>
      </w:r>
      <w:r w:rsidRPr="0043604D">
        <w:t>OCIS a noté avec satisfaction que, dans tous les cas, la direction avait approuvé les conclusions des rapports et accepté les recommandations.</w:t>
      </w:r>
    </w:p>
    <w:p w:rsidR="0001272B" w:rsidRDefault="00150B47" w:rsidP="00B23517">
      <w:pPr>
        <w:pStyle w:val="Heading3"/>
      </w:pPr>
      <w:r w:rsidRPr="0043604D">
        <w:t>Évaluation</w:t>
      </w:r>
    </w:p>
    <w:p w:rsidR="00B23517" w:rsidRPr="00B23517" w:rsidRDefault="00B23517" w:rsidP="00B23517"/>
    <w:p w:rsidR="0001272B" w:rsidRPr="0043604D" w:rsidRDefault="00150B47" w:rsidP="00B23517">
      <w:pPr>
        <w:pStyle w:val="ONUMFS"/>
      </w:pPr>
      <w:r w:rsidRPr="0043604D">
        <w:t>À sa cinquante</w:t>
      </w:r>
      <w:r w:rsidR="00002E83">
        <w:noBreakHyphen/>
      </w:r>
      <w:r w:rsidRPr="0043604D">
        <w:t>deux</w:t>
      </w:r>
      <w:r w:rsidR="00DD1867">
        <w:t>ième session</w:t>
      </w:r>
      <w:r w:rsidRPr="0043604D">
        <w:t>, l</w:t>
      </w:r>
      <w:r w:rsidR="00DD1867">
        <w:t>’</w:t>
      </w:r>
      <w:r w:rsidRPr="0043604D">
        <w:t>OCIS a noté qu</w:t>
      </w:r>
      <w:r w:rsidR="00DD1867">
        <w:t>’</w:t>
      </w:r>
      <w:r w:rsidRPr="0043604D">
        <w:t>une version actualisée du Manuel d</w:t>
      </w:r>
      <w:r w:rsidR="00DD1867">
        <w:t>’</w:t>
      </w:r>
      <w:r w:rsidRPr="0043604D">
        <w:t>évaluation avait été publiée, afin d</w:t>
      </w:r>
      <w:r w:rsidR="00F124C4" w:rsidRPr="0043604D">
        <w:t>e</w:t>
      </w:r>
      <w:r w:rsidRPr="0043604D">
        <w:t xml:space="preserve"> rendre ce manuel plus accessible aux personnes qui ne sont pas des spécialistes de l</w:t>
      </w:r>
      <w:r w:rsidR="00DD1867">
        <w:t>’</w:t>
      </w:r>
      <w:r w:rsidRPr="0043604D">
        <w:t>évaluation.</w:t>
      </w:r>
      <w:r w:rsidR="00D037A5" w:rsidRPr="0043604D">
        <w:t xml:space="preserve">  </w:t>
      </w:r>
      <w:r w:rsidRPr="0043604D">
        <w:t>L</w:t>
      </w:r>
      <w:r w:rsidR="00DD1867">
        <w:t>’</w:t>
      </w:r>
      <w:r w:rsidRPr="0043604D">
        <w:t>O</w:t>
      </w:r>
      <w:r w:rsidR="00F124C4" w:rsidRPr="0043604D">
        <w:t>rgane</w:t>
      </w:r>
      <w:r w:rsidRPr="0043604D">
        <w:t xml:space="preserve"> a accueilli avec satisfaction les modifications apportées, qui mettent l</w:t>
      </w:r>
      <w:r w:rsidR="00DD1867">
        <w:t>’</w:t>
      </w:r>
      <w:r w:rsidRPr="0043604D">
        <w:t>accent, entre autres, sur les principaux facteurs de réussite de l</w:t>
      </w:r>
      <w:r w:rsidR="00DD1867">
        <w:t>’</w:t>
      </w:r>
      <w:r w:rsidRPr="0043604D">
        <w:t>évaluation et sur l</w:t>
      </w:r>
      <w:r w:rsidR="00DD1867">
        <w:t>’</w:t>
      </w:r>
      <w:r w:rsidRPr="0043604D">
        <w:t>utilisation des résultats d</w:t>
      </w:r>
      <w:r w:rsidR="00DD1867">
        <w:t>’</w:t>
      </w:r>
      <w:r w:rsidRPr="0043604D">
        <w:t>évaluation.</w:t>
      </w:r>
    </w:p>
    <w:p w:rsidR="0001272B" w:rsidRPr="0043604D" w:rsidRDefault="00150B47" w:rsidP="00B23517">
      <w:pPr>
        <w:pStyle w:val="ONUMFS"/>
      </w:pPr>
      <w:r w:rsidRPr="0043604D">
        <w:t>L</w:t>
      </w:r>
      <w:r w:rsidR="00DD1867">
        <w:t>’</w:t>
      </w:r>
      <w:r w:rsidRPr="0043604D">
        <w:t xml:space="preserve">OCIS a également examiné le mandat </w:t>
      </w:r>
      <w:r w:rsidR="00F124C4" w:rsidRPr="0043604D">
        <w:t>associé à</w:t>
      </w:r>
      <w:r w:rsidRPr="0043604D">
        <w:t xml:space="preserve"> l</w:t>
      </w:r>
      <w:r w:rsidR="00DD1867">
        <w:t>’</w:t>
      </w:r>
      <w:r w:rsidRPr="0043604D">
        <w:t xml:space="preserve">examen </w:t>
      </w:r>
      <w:r w:rsidR="00F124C4" w:rsidRPr="0043604D">
        <w:t xml:space="preserve">externe </w:t>
      </w:r>
      <w:r w:rsidRPr="0043604D">
        <w:t>de la qualité de la fonction d</w:t>
      </w:r>
      <w:r w:rsidR="00DD1867">
        <w:t>’</w:t>
      </w:r>
      <w:r w:rsidRPr="0043604D">
        <w:t>évaluation qui, conformément à la Charte de la supervision interne, est attendu tous les cinq</w:t>
      </w:r>
      <w:r w:rsidR="008422B4">
        <w:t> </w:t>
      </w:r>
      <w:r w:rsidRPr="0043604D">
        <w:t>ans.</w:t>
      </w:r>
      <w:r w:rsidR="00D037A5" w:rsidRPr="0043604D">
        <w:t xml:space="preserve">  </w:t>
      </w:r>
      <w:r w:rsidRPr="0043604D">
        <w:t>L</w:t>
      </w:r>
      <w:r w:rsidR="00DD1867">
        <w:t>’</w:t>
      </w:r>
      <w:r w:rsidRPr="0043604D">
        <w:t>OCIS a suggéré d</w:t>
      </w:r>
      <w:r w:rsidR="00DD1867">
        <w:t>’</w:t>
      </w:r>
      <w:r w:rsidRPr="0043604D">
        <w:t>inclure la convivialité des produits de l</w:t>
      </w:r>
      <w:r w:rsidR="00DD1867">
        <w:t>’</w:t>
      </w:r>
      <w:r w:rsidRPr="0043604D">
        <w:t>évaluation dans les aspects à examiner.</w:t>
      </w:r>
    </w:p>
    <w:p w:rsidR="0001272B" w:rsidRPr="0043604D" w:rsidRDefault="00150B47" w:rsidP="00B23517">
      <w:pPr>
        <w:pStyle w:val="ONUMFS"/>
      </w:pPr>
      <w:r w:rsidRPr="0043604D">
        <w:t>Durant la période considérée, l</w:t>
      </w:r>
      <w:r w:rsidR="00DD1867">
        <w:t>’</w:t>
      </w:r>
      <w:r w:rsidRPr="0043604D">
        <w:t>O</w:t>
      </w:r>
      <w:r w:rsidR="00F124C4" w:rsidRPr="0043604D">
        <w:t>rga</w:t>
      </w:r>
      <w:r w:rsidR="00002E83">
        <w:t>n</w:t>
      </w:r>
      <w:r w:rsidR="00F124C4" w:rsidRPr="0043604D">
        <w:t>e</w:t>
      </w:r>
      <w:r w:rsidRPr="0043604D">
        <w:t xml:space="preserve"> a </w:t>
      </w:r>
      <w:r w:rsidR="00F124C4" w:rsidRPr="0043604D">
        <w:t xml:space="preserve">passé en revue, </w:t>
      </w:r>
      <w:r w:rsidRPr="0043604D">
        <w:t>avec</w:t>
      </w:r>
      <w:r w:rsidR="00DD1867" w:rsidRPr="0043604D">
        <w:t xml:space="preserve"> la</w:t>
      </w:r>
      <w:r w:rsidR="00DD1867">
        <w:t> </w:t>
      </w:r>
      <w:r w:rsidR="00DD1867" w:rsidRPr="0043604D">
        <w:t>DSI</w:t>
      </w:r>
      <w:r w:rsidRPr="0043604D">
        <w:t xml:space="preserve"> et la direction</w:t>
      </w:r>
      <w:r w:rsidR="00F124C4" w:rsidRPr="0043604D">
        <w:t>,</w:t>
      </w:r>
      <w:r w:rsidRPr="0043604D">
        <w:t xml:space="preserve"> quatre</w:t>
      </w:r>
      <w:r w:rsidR="008422B4">
        <w:t> </w:t>
      </w:r>
      <w:r w:rsidRPr="0043604D">
        <w:t>rapports d</w:t>
      </w:r>
      <w:r w:rsidR="00DD1867">
        <w:t>’</w:t>
      </w:r>
      <w:r w:rsidRPr="0043604D">
        <w:t>évaluation</w:t>
      </w:r>
      <w:r w:rsidR="00DD1867">
        <w:t> :</w:t>
      </w:r>
    </w:p>
    <w:p w:rsidR="0001272B" w:rsidRPr="0043604D" w:rsidRDefault="00150B47" w:rsidP="00B23517">
      <w:pPr>
        <w:pStyle w:val="ONUMFS"/>
        <w:numPr>
          <w:ilvl w:val="0"/>
          <w:numId w:val="28"/>
        </w:numPr>
        <w:ind w:left="1134" w:hanging="567"/>
      </w:pPr>
      <w:r w:rsidRPr="0043604D">
        <w:t>Évaluation du programme</w:t>
      </w:r>
      <w:r w:rsidR="002B1D77" w:rsidRPr="0043604D">
        <w:t> </w:t>
      </w:r>
      <w:r w:rsidRPr="0043604D">
        <w:t>18</w:t>
      </w:r>
      <w:r w:rsidR="00DD1867">
        <w:t> :</w:t>
      </w:r>
      <w:r w:rsidRPr="0043604D">
        <w:t xml:space="preserve"> Propriété intellectuelle et défis mondiaux (EVAL</w:t>
      </w:r>
      <w:r w:rsidR="002B1D77" w:rsidRPr="0043604D">
        <w:t> </w:t>
      </w:r>
      <w:r w:rsidRPr="0043604D">
        <w:t>2017</w:t>
      </w:r>
      <w:r w:rsidR="00002E83">
        <w:noBreakHyphen/>
      </w:r>
      <w:r w:rsidRPr="0043604D">
        <w:t>03)</w:t>
      </w:r>
    </w:p>
    <w:p w:rsidR="0001272B" w:rsidRPr="0043604D" w:rsidRDefault="00150B47" w:rsidP="00B23517">
      <w:pPr>
        <w:pStyle w:val="ONUMFS"/>
        <w:numPr>
          <w:ilvl w:val="0"/>
          <w:numId w:val="28"/>
        </w:numPr>
        <w:ind w:left="1134" w:hanging="567"/>
      </w:pPr>
      <w:r w:rsidRPr="0043604D">
        <w:t>Évaluation du développement de compétences en propriété intellectuelle (EVAL</w:t>
      </w:r>
      <w:r w:rsidR="002B1D77" w:rsidRPr="0043604D">
        <w:t> </w:t>
      </w:r>
      <w:r w:rsidRPr="0043604D">
        <w:t>2017</w:t>
      </w:r>
      <w:r w:rsidR="00002E83">
        <w:noBreakHyphen/>
      </w:r>
      <w:r w:rsidRPr="0043604D">
        <w:t>05)</w:t>
      </w:r>
    </w:p>
    <w:p w:rsidR="0001272B" w:rsidRPr="0043604D" w:rsidRDefault="00150B47" w:rsidP="00B23517">
      <w:pPr>
        <w:pStyle w:val="ONUMFS"/>
        <w:numPr>
          <w:ilvl w:val="0"/>
          <w:numId w:val="28"/>
        </w:numPr>
        <w:ind w:left="1134" w:hanging="567"/>
      </w:pPr>
      <w:r w:rsidRPr="0043604D">
        <w:t>Évaluation du projet pilote sur le perfectionnement professionnel et l</w:t>
      </w:r>
      <w:r w:rsidR="00DD1867">
        <w:t>’</w:t>
      </w:r>
      <w:r w:rsidRPr="0043604D">
        <w:t>évolution de carrière (Phase</w:t>
      </w:r>
      <w:r w:rsidR="002B1D77" w:rsidRPr="0043604D">
        <w:t> </w:t>
      </w:r>
      <w:r w:rsidRPr="0043604D">
        <w:t>2) (EVAL</w:t>
      </w:r>
      <w:r w:rsidR="002B1D77" w:rsidRPr="0043604D">
        <w:t> </w:t>
      </w:r>
      <w:r w:rsidRPr="0043604D">
        <w:t>2018</w:t>
      </w:r>
      <w:r w:rsidR="00002E83">
        <w:noBreakHyphen/>
      </w:r>
      <w:r w:rsidRPr="0043604D">
        <w:t>01)</w:t>
      </w:r>
    </w:p>
    <w:p w:rsidR="0001272B" w:rsidRPr="0043604D" w:rsidRDefault="00150B47" w:rsidP="00B23517">
      <w:pPr>
        <w:pStyle w:val="ONUMFS"/>
        <w:numPr>
          <w:ilvl w:val="0"/>
          <w:numId w:val="28"/>
        </w:numPr>
        <w:ind w:left="1134" w:hanging="567"/>
      </w:pPr>
      <w:r w:rsidRPr="0043604D">
        <w:t>Rapport de synthèse de métaévaluation des produits d</w:t>
      </w:r>
      <w:r w:rsidR="00DD1867">
        <w:t>’</w:t>
      </w:r>
      <w:r w:rsidRPr="0043604D">
        <w:t>évaluation de l</w:t>
      </w:r>
      <w:r w:rsidR="00DD1867">
        <w:t>’</w:t>
      </w:r>
      <w:r w:rsidRPr="0043604D">
        <w:t>OMPI (EVAL</w:t>
      </w:r>
      <w:r w:rsidR="002B1D77" w:rsidRPr="0043604D">
        <w:t> </w:t>
      </w:r>
      <w:r w:rsidRPr="0043604D">
        <w:t>2018</w:t>
      </w:r>
      <w:r w:rsidR="00002E83">
        <w:noBreakHyphen/>
      </w:r>
      <w:r w:rsidRPr="0043604D">
        <w:t>03)</w:t>
      </w:r>
    </w:p>
    <w:p w:rsidR="0001272B" w:rsidRPr="0043604D" w:rsidRDefault="00150B47" w:rsidP="00B23517">
      <w:pPr>
        <w:pStyle w:val="ONUMFS"/>
      </w:pPr>
      <w:r w:rsidRPr="0043604D">
        <w:t>Tous les rapports d</w:t>
      </w:r>
      <w:r w:rsidR="00DD1867">
        <w:t>’</w:t>
      </w:r>
      <w:r w:rsidRPr="0043604D">
        <w:t>évaluation ont été publiés sous forme non expurgée sur le site</w:t>
      </w:r>
      <w:r w:rsidR="008422B4">
        <w:t> </w:t>
      </w:r>
      <w:r w:rsidRPr="0043604D">
        <w:t>Web de l</w:t>
      </w:r>
      <w:r w:rsidR="00DD1867">
        <w:t>’</w:t>
      </w:r>
      <w:r w:rsidRPr="0043604D">
        <w:t>OMPI.</w:t>
      </w:r>
    </w:p>
    <w:p w:rsidR="0001272B" w:rsidRDefault="00150B47" w:rsidP="00B23517">
      <w:pPr>
        <w:pStyle w:val="Heading3"/>
      </w:pPr>
      <w:r w:rsidRPr="0043604D">
        <w:t>Enquêtes</w:t>
      </w:r>
    </w:p>
    <w:p w:rsidR="00B23517" w:rsidRPr="00B23517" w:rsidRDefault="00B23517" w:rsidP="00B23517"/>
    <w:p w:rsidR="0001272B" w:rsidRPr="0043604D" w:rsidRDefault="00150B47" w:rsidP="00B23517">
      <w:pPr>
        <w:pStyle w:val="ONUMFS"/>
      </w:pPr>
      <w:r w:rsidRPr="0043604D">
        <w:t>Conformément à la Charte de la supervision interne, le directeur de</w:t>
      </w:r>
      <w:r w:rsidR="00DD1867" w:rsidRPr="0043604D">
        <w:t xml:space="preserve"> la</w:t>
      </w:r>
      <w:r w:rsidR="00DD1867">
        <w:t> </w:t>
      </w:r>
      <w:r w:rsidR="00DD1867" w:rsidRPr="0043604D">
        <w:t>DSI</w:t>
      </w:r>
      <w:r w:rsidRPr="0043604D">
        <w:t xml:space="preserve"> a informé l</w:t>
      </w:r>
      <w:r w:rsidR="00DD1867">
        <w:t>’</w:t>
      </w:r>
      <w:r w:rsidRPr="0043604D">
        <w:t>OCIS, à chaque session, de l</w:t>
      </w:r>
      <w:r w:rsidR="00DD1867">
        <w:t>’</w:t>
      </w:r>
      <w:r w:rsidRPr="0043604D">
        <w:t>état d</w:t>
      </w:r>
      <w:r w:rsidR="00DD1867">
        <w:t>’</w:t>
      </w:r>
      <w:r w:rsidRPr="0043604D">
        <w:t>avancement des enquêtes et de l</w:t>
      </w:r>
      <w:r w:rsidR="00DD1867">
        <w:t>’</w:t>
      </w:r>
      <w:r w:rsidRPr="0043604D">
        <w:t>évolution de la charge de travail, indiquant la répartition des plaintes reçues et des plaintes fondées par catégorie de faute.</w:t>
      </w:r>
    </w:p>
    <w:p w:rsidR="0001272B" w:rsidRPr="0043604D" w:rsidRDefault="00F124C4" w:rsidP="00B23517">
      <w:pPr>
        <w:pStyle w:val="ONUMFS"/>
      </w:pPr>
      <w:r w:rsidRPr="0043604D">
        <w:rPr>
          <w:rFonts w:eastAsia="Calibri"/>
          <w:szCs w:val="22"/>
          <w:lang w:eastAsia="en-US"/>
        </w:rPr>
        <w:lastRenderedPageBreak/>
        <w:t xml:space="preserve">À la </w:t>
      </w:r>
      <w:r w:rsidR="00080347" w:rsidRPr="0043604D">
        <w:rPr>
          <w:rFonts w:eastAsia="Calibri"/>
          <w:szCs w:val="22"/>
          <w:lang w:eastAsia="en-US"/>
        </w:rPr>
        <w:t>d</w:t>
      </w:r>
      <w:r w:rsidRPr="0043604D">
        <w:rPr>
          <w:rFonts w:eastAsia="Calibri"/>
          <w:szCs w:val="22"/>
          <w:lang w:eastAsia="en-US"/>
        </w:rPr>
        <w:t>ate d</w:t>
      </w:r>
      <w:r w:rsidR="00080347" w:rsidRPr="0043604D">
        <w:rPr>
          <w:rFonts w:eastAsia="Calibri"/>
          <w:szCs w:val="22"/>
          <w:lang w:eastAsia="en-US"/>
        </w:rPr>
        <w:t>e rédaction du présent rapport,</w:t>
      </w:r>
      <w:r w:rsidR="00DD1867" w:rsidRPr="0043604D">
        <w:rPr>
          <w:rFonts w:eastAsia="Calibri"/>
          <w:szCs w:val="22"/>
          <w:lang w:eastAsia="en-US"/>
        </w:rPr>
        <w:t xml:space="preserve"> la</w:t>
      </w:r>
      <w:r w:rsidR="00DD1867">
        <w:rPr>
          <w:rFonts w:eastAsia="Calibri"/>
          <w:szCs w:val="22"/>
          <w:lang w:eastAsia="en-US"/>
        </w:rPr>
        <w:t> </w:t>
      </w:r>
      <w:r w:rsidR="00DD1867" w:rsidRPr="0043604D">
        <w:rPr>
          <w:rFonts w:eastAsia="Calibri"/>
          <w:szCs w:val="22"/>
          <w:lang w:eastAsia="en-US"/>
        </w:rPr>
        <w:t>DSI</w:t>
      </w:r>
      <w:r w:rsidR="00080347" w:rsidRPr="0043604D">
        <w:rPr>
          <w:rFonts w:eastAsia="Calibri"/>
          <w:szCs w:val="22"/>
          <w:lang w:eastAsia="en-US"/>
        </w:rPr>
        <w:t xml:space="preserve"> comptait 14</w:t>
      </w:r>
      <w:r w:rsidR="002B1D77" w:rsidRPr="0043604D">
        <w:rPr>
          <w:rFonts w:eastAsia="Calibri"/>
          <w:szCs w:val="22"/>
          <w:lang w:eastAsia="en-US"/>
        </w:rPr>
        <w:t> </w:t>
      </w:r>
      <w:r w:rsidR="00080347" w:rsidRPr="0043604D">
        <w:rPr>
          <w:rFonts w:eastAsia="Calibri"/>
          <w:szCs w:val="22"/>
          <w:lang w:eastAsia="en-US"/>
        </w:rPr>
        <w:t>enquêtes ouvertes, dont trois</w:t>
      </w:r>
      <w:r w:rsidR="008422B4">
        <w:rPr>
          <w:rFonts w:eastAsia="Calibri"/>
          <w:szCs w:val="22"/>
          <w:lang w:eastAsia="en-US"/>
        </w:rPr>
        <w:t> </w:t>
      </w:r>
      <w:r w:rsidR="00080347" w:rsidRPr="0043604D">
        <w:rPr>
          <w:rFonts w:eastAsia="Calibri"/>
          <w:szCs w:val="22"/>
          <w:lang w:eastAsia="en-US"/>
        </w:rPr>
        <w:t>étaient au stade de l</w:t>
      </w:r>
      <w:r w:rsidR="00DD1867">
        <w:rPr>
          <w:rFonts w:eastAsia="Calibri"/>
          <w:szCs w:val="22"/>
          <w:lang w:eastAsia="en-US"/>
        </w:rPr>
        <w:t>’</w:t>
      </w:r>
      <w:r w:rsidR="00080347" w:rsidRPr="0043604D">
        <w:rPr>
          <w:rFonts w:eastAsia="Calibri"/>
          <w:szCs w:val="22"/>
          <w:lang w:eastAsia="en-US"/>
        </w:rPr>
        <w:t>évaluation préliminaire et huit au stade de l</w:t>
      </w:r>
      <w:r w:rsidR="00DD1867">
        <w:rPr>
          <w:rFonts w:eastAsia="Calibri"/>
          <w:szCs w:val="22"/>
          <w:lang w:eastAsia="en-US"/>
        </w:rPr>
        <w:t>’</w:t>
      </w:r>
      <w:r w:rsidR="00080347" w:rsidRPr="0043604D">
        <w:rPr>
          <w:rFonts w:eastAsia="Calibri"/>
          <w:szCs w:val="22"/>
          <w:lang w:eastAsia="en-US"/>
        </w:rPr>
        <w:t>enquête complè</w:t>
      </w:r>
      <w:r w:rsidR="00ED0BA6" w:rsidRPr="0043604D">
        <w:rPr>
          <w:rFonts w:eastAsia="Calibri"/>
          <w:szCs w:val="22"/>
          <w:lang w:eastAsia="en-US"/>
        </w:rPr>
        <w:t>te</w:t>
      </w:r>
      <w:r w:rsidR="00ED0BA6">
        <w:rPr>
          <w:rFonts w:eastAsia="Calibri"/>
          <w:szCs w:val="22"/>
          <w:lang w:eastAsia="en-US"/>
        </w:rPr>
        <w:t xml:space="preserve">.  </w:t>
      </w:r>
      <w:r w:rsidR="00ED0BA6" w:rsidRPr="0043604D">
        <w:rPr>
          <w:rFonts w:eastAsia="Calibri"/>
          <w:szCs w:val="22"/>
          <w:lang w:eastAsia="en-US"/>
        </w:rPr>
        <w:t>La</w:t>
      </w:r>
      <w:r w:rsidR="00080347" w:rsidRPr="0043604D">
        <w:rPr>
          <w:rFonts w:eastAsia="Calibri"/>
          <w:szCs w:val="22"/>
          <w:lang w:eastAsia="en-US"/>
        </w:rPr>
        <w:t xml:space="preserve"> plupart de ces affaires en instance ont été enregistrées </w:t>
      </w:r>
      <w:r w:rsidR="00DD1867" w:rsidRPr="0043604D">
        <w:rPr>
          <w:rFonts w:eastAsia="Calibri"/>
          <w:szCs w:val="22"/>
          <w:lang w:eastAsia="en-US"/>
        </w:rPr>
        <w:t>en</w:t>
      </w:r>
      <w:r w:rsidR="00DD1867">
        <w:rPr>
          <w:rFonts w:eastAsia="Calibri"/>
          <w:szCs w:val="22"/>
          <w:lang w:eastAsia="en-US"/>
        </w:rPr>
        <w:t> </w:t>
      </w:r>
      <w:r w:rsidR="00DD1867" w:rsidRPr="0043604D">
        <w:rPr>
          <w:rFonts w:eastAsia="Calibri"/>
          <w:szCs w:val="22"/>
          <w:lang w:eastAsia="en-US"/>
        </w:rPr>
        <w:t>2018</w:t>
      </w:r>
      <w:r w:rsidR="00080347" w:rsidRPr="0043604D">
        <w:rPr>
          <w:rFonts w:eastAsia="Calibri"/>
          <w:szCs w:val="22"/>
          <w:lang w:eastAsia="en-US"/>
        </w:rPr>
        <w:t xml:space="preserve"> et 2019.</w:t>
      </w:r>
      <w:r w:rsidR="004F0A47" w:rsidRPr="0043604D">
        <w:rPr>
          <w:rFonts w:eastAsia="Calibri"/>
          <w:szCs w:val="22"/>
          <w:lang w:eastAsia="en-US"/>
        </w:rPr>
        <w:t xml:space="preserve">  </w:t>
      </w:r>
      <w:r w:rsidR="00080347" w:rsidRPr="0043604D">
        <w:rPr>
          <w:rFonts w:eastAsia="Calibri"/>
          <w:szCs w:val="22"/>
          <w:lang w:eastAsia="en-US"/>
        </w:rPr>
        <w:t>Conformément à la Charte de la supervision interne, dans les affaires où</w:t>
      </w:r>
      <w:r w:rsidR="00DD1867" w:rsidRPr="0043604D">
        <w:rPr>
          <w:rFonts w:eastAsia="Calibri"/>
          <w:szCs w:val="22"/>
          <w:lang w:eastAsia="en-US"/>
        </w:rPr>
        <w:t xml:space="preserve"> la</w:t>
      </w:r>
      <w:r w:rsidR="00DD1867">
        <w:rPr>
          <w:rFonts w:eastAsia="Calibri"/>
          <w:szCs w:val="22"/>
          <w:lang w:eastAsia="en-US"/>
        </w:rPr>
        <w:t> </w:t>
      </w:r>
      <w:r w:rsidR="00DD1867" w:rsidRPr="0043604D">
        <w:rPr>
          <w:rFonts w:eastAsia="Calibri"/>
          <w:szCs w:val="22"/>
          <w:lang w:eastAsia="en-US"/>
        </w:rPr>
        <w:t>DSI</w:t>
      </w:r>
      <w:r w:rsidR="00080347" w:rsidRPr="0043604D">
        <w:rPr>
          <w:rFonts w:eastAsia="Calibri"/>
          <w:szCs w:val="22"/>
          <w:lang w:eastAsia="en-US"/>
        </w:rPr>
        <w:t xml:space="preserve"> pouvait se retrouver en situation de conflit d</w:t>
      </w:r>
      <w:r w:rsidR="00DD1867">
        <w:rPr>
          <w:rFonts w:eastAsia="Calibri"/>
          <w:szCs w:val="22"/>
          <w:lang w:eastAsia="en-US"/>
        </w:rPr>
        <w:t>’</w:t>
      </w:r>
      <w:r w:rsidR="00080347" w:rsidRPr="0043604D">
        <w:rPr>
          <w:rFonts w:eastAsia="Calibri"/>
          <w:szCs w:val="22"/>
          <w:lang w:eastAsia="en-US"/>
        </w:rPr>
        <w:t>intérêts potentiel, l</w:t>
      </w:r>
      <w:r w:rsidR="00DD1867">
        <w:rPr>
          <w:rFonts w:eastAsia="Calibri"/>
          <w:szCs w:val="22"/>
          <w:lang w:eastAsia="en-US"/>
        </w:rPr>
        <w:t>’</w:t>
      </w:r>
      <w:r w:rsidR="00080347" w:rsidRPr="0043604D">
        <w:rPr>
          <w:rFonts w:eastAsia="Calibri"/>
          <w:szCs w:val="22"/>
          <w:lang w:eastAsia="en-US"/>
        </w:rPr>
        <w:t>OCIS a examiné chaque dossier de manière approfondie et a donné des avis au directeur de</w:t>
      </w:r>
      <w:r w:rsidR="00DD1867" w:rsidRPr="0043604D">
        <w:rPr>
          <w:rFonts w:eastAsia="Calibri"/>
          <w:szCs w:val="22"/>
          <w:lang w:eastAsia="en-US"/>
        </w:rPr>
        <w:t xml:space="preserve"> la</w:t>
      </w:r>
      <w:r w:rsidR="00DD1867">
        <w:rPr>
          <w:rFonts w:eastAsia="Calibri"/>
          <w:szCs w:val="22"/>
          <w:lang w:eastAsia="en-US"/>
        </w:rPr>
        <w:t> </w:t>
      </w:r>
      <w:r w:rsidR="00DD1867" w:rsidRPr="0043604D">
        <w:rPr>
          <w:rFonts w:eastAsia="Calibri"/>
          <w:szCs w:val="22"/>
          <w:lang w:eastAsia="en-US"/>
        </w:rPr>
        <w:t>DSI</w:t>
      </w:r>
      <w:r w:rsidR="00080347" w:rsidRPr="0043604D">
        <w:rPr>
          <w:rFonts w:eastAsia="Calibri"/>
          <w:szCs w:val="22"/>
          <w:lang w:eastAsia="en-US"/>
        </w:rPr>
        <w:t xml:space="preserve"> et à d</w:t>
      </w:r>
      <w:r w:rsidR="00DD1867">
        <w:rPr>
          <w:rFonts w:eastAsia="Calibri"/>
          <w:szCs w:val="22"/>
          <w:lang w:eastAsia="en-US"/>
        </w:rPr>
        <w:t>’</w:t>
      </w:r>
      <w:r w:rsidR="00080347" w:rsidRPr="0043604D">
        <w:rPr>
          <w:rFonts w:eastAsia="Calibri"/>
          <w:szCs w:val="22"/>
          <w:lang w:eastAsia="en-US"/>
        </w:rPr>
        <w:t>autres personnes.</w:t>
      </w:r>
    </w:p>
    <w:p w:rsidR="0001272B" w:rsidRPr="0043604D" w:rsidRDefault="00080347" w:rsidP="00B23517">
      <w:pPr>
        <w:pStyle w:val="ONUMFS"/>
        <w:rPr>
          <w:rStyle w:val="normalchar1"/>
          <w:rFonts w:ascii="Arial" w:hAnsi="Arial" w:cs="Arial"/>
        </w:rPr>
      </w:pPr>
      <w:r w:rsidRPr="0043604D">
        <w:rPr>
          <w:rStyle w:val="normalchar1"/>
          <w:rFonts w:ascii="Arial" w:hAnsi="Arial" w:cs="Arial"/>
        </w:rPr>
        <w:t>L</w:t>
      </w:r>
      <w:r w:rsidR="00DD1867">
        <w:rPr>
          <w:rStyle w:val="normalchar1"/>
          <w:rFonts w:ascii="Arial" w:hAnsi="Arial" w:cs="Arial"/>
        </w:rPr>
        <w:t>’</w:t>
      </w:r>
      <w:r w:rsidRPr="0043604D">
        <w:rPr>
          <w:rStyle w:val="normalchar1"/>
          <w:rFonts w:ascii="Arial" w:hAnsi="Arial" w:cs="Arial"/>
        </w:rPr>
        <w:t>OCIS s</w:t>
      </w:r>
      <w:r w:rsidR="00DD1867">
        <w:rPr>
          <w:rStyle w:val="normalchar1"/>
          <w:rFonts w:ascii="Arial" w:hAnsi="Arial" w:cs="Arial"/>
        </w:rPr>
        <w:t>’</w:t>
      </w:r>
      <w:r w:rsidRPr="0043604D">
        <w:rPr>
          <w:rStyle w:val="normalchar1"/>
          <w:rFonts w:ascii="Arial" w:hAnsi="Arial" w:cs="Arial"/>
        </w:rPr>
        <w:t>est dit satisfait du respect global des délais concernant le traitement des plaintes et la réalisation des enquêtes par</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Pr="0043604D">
        <w:rPr>
          <w:rStyle w:val="normalchar1"/>
          <w:rFonts w:ascii="Arial" w:hAnsi="Arial" w:cs="Arial"/>
        </w:rPr>
        <w:t>, mais a réitéré ses préoccupations quant aux retards importants dans certain</w:t>
      </w:r>
      <w:r w:rsidR="00F124C4" w:rsidRPr="0043604D">
        <w:rPr>
          <w:rStyle w:val="normalchar1"/>
          <w:rFonts w:ascii="Arial" w:hAnsi="Arial" w:cs="Arial"/>
        </w:rPr>
        <w:t>e</w:t>
      </w:r>
      <w:r w:rsidRPr="0043604D">
        <w:rPr>
          <w:rStyle w:val="normalchar1"/>
          <w:rFonts w:ascii="Arial" w:hAnsi="Arial" w:cs="Arial"/>
        </w:rPr>
        <w:t xml:space="preserve">s </w:t>
      </w:r>
      <w:r w:rsidR="00F124C4" w:rsidRPr="0043604D">
        <w:rPr>
          <w:rFonts w:eastAsia="Calibri"/>
          <w:szCs w:val="22"/>
          <w:lang w:eastAsia="en-US"/>
        </w:rPr>
        <w:t>affaires</w:t>
      </w:r>
      <w:r w:rsidRPr="0043604D">
        <w:rPr>
          <w:rStyle w:val="normalchar1"/>
          <w:rFonts w:ascii="Arial" w:hAnsi="Arial" w:cs="Arial"/>
        </w:rPr>
        <w:t>, en raison du manque de coopération des personnes objet de l</w:t>
      </w:r>
      <w:r w:rsidR="00DD1867">
        <w:rPr>
          <w:rStyle w:val="normalchar1"/>
          <w:rFonts w:ascii="Arial" w:hAnsi="Arial" w:cs="Arial"/>
        </w:rPr>
        <w:t>’</w:t>
      </w:r>
      <w:r w:rsidR="00F124C4" w:rsidRPr="0043604D">
        <w:rPr>
          <w:rStyle w:val="normalchar1"/>
          <w:rFonts w:ascii="Arial" w:hAnsi="Arial" w:cs="Arial"/>
        </w:rPr>
        <w:t>enquête ou des plaignants</w:t>
      </w:r>
      <w:r w:rsidRPr="0043604D">
        <w:rPr>
          <w:rStyle w:val="normalchar1"/>
          <w:rFonts w:ascii="Arial" w:hAnsi="Arial" w:cs="Arial"/>
        </w:rPr>
        <w:t>.</w:t>
      </w:r>
    </w:p>
    <w:p w:rsidR="0001272B" w:rsidRPr="00B23517" w:rsidRDefault="00080347" w:rsidP="00B23517">
      <w:pPr>
        <w:pStyle w:val="ONUMFS"/>
      </w:pPr>
      <w:r w:rsidRPr="0043604D">
        <w:rPr>
          <w:rStyle w:val="normalchar1"/>
          <w:rFonts w:ascii="Arial" w:hAnsi="Arial" w:cs="Arial"/>
        </w:rPr>
        <w:t>Des retards se sont également produits dans les cas où, en raison d</w:t>
      </w:r>
      <w:r w:rsidR="00DD1867">
        <w:rPr>
          <w:rStyle w:val="normalchar1"/>
          <w:rFonts w:ascii="Arial" w:hAnsi="Arial" w:cs="Arial"/>
        </w:rPr>
        <w:t>’</w:t>
      </w:r>
      <w:r w:rsidRPr="0043604D">
        <w:rPr>
          <w:rStyle w:val="normalchar1"/>
          <w:rFonts w:ascii="Arial" w:hAnsi="Arial" w:cs="Arial"/>
        </w:rPr>
        <w:t>un conflit d</w:t>
      </w:r>
      <w:r w:rsidR="00DD1867">
        <w:rPr>
          <w:rStyle w:val="normalchar1"/>
          <w:rFonts w:ascii="Arial" w:hAnsi="Arial" w:cs="Arial"/>
        </w:rPr>
        <w:t>’</w:t>
      </w:r>
      <w:r w:rsidRPr="0043604D">
        <w:rPr>
          <w:rStyle w:val="normalchar1"/>
          <w:rFonts w:ascii="Arial" w:hAnsi="Arial" w:cs="Arial"/>
        </w:rPr>
        <w:t>intérêts ou pour d</w:t>
      </w:r>
      <w:r w:rsidR="00DD1867">
        <w:rPr>
          <w:rStyle w:val="normalchar1"/>
          <w:rFonts w:ascii="Arial" w:hAnsi="Arial" w:cs="Arial"/>
        </w:rPr>
        <w:t>’</w:t>
      </w:r>
      <w:r w:rsidRPr="0043604D">
        <w:rPr>
          <w:rStyle w:val="normalchar1"/>
          <w:rFonts w:ascii="Arial" w:hAnsi="Arial" w:cs="Arial"/>
        </w:rPr>
        <w:t>autres raisons,</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Pr="0043604D">
        <w:rPr>
          <w:rStyle w:val="normalchar1"/>
          <w:rFonts w:ascii="Arial" w:hAnsi="Arial" w:cs="Arial"/>
        </w:rPr>
        <w:t xml:space="preserve"> n</w:t>
      </w:r>
      <w:r w:rsidR="00DD1867">
        <w:rPr>
          <w:rStyle w:val="normalchar1"/>
          <w:rFonts w:ascii="Arial" w:hAnsi="Arial" w:cs="Arial"/>
        </w:rPr>
        <w:t>’</w:t>
      </w:r>
      <w:r w:rsidRPr="0043604D">
        <w:rPr>
          <w:rStyle w:val="normalchar1"/>
          <w:rFonts w:ascii="Arial" w:hAnsi="Arial" w:cs="Arial"/>
        </w:rPr>
        <w:t>a pas été en mesure de mener l</w:t>
      </w:r>
      <w:r w:rsidR="00DD1867">
        <w:rPr>
          <w:rStyle w:val="normalchar1"/>
          <w:rFonts w:ascii="Arial" w:hAnsi="Arial" w:cs="Arial"/>
        </w:rPr>
        <w:t>’</w:t>
      </w:r>
      <w:r w:rsidRPr="0043604D">
        <w:rPr>
          <w:rStyle w:val="normalchar1"/>
          <w:rFonts w:ascii="Arial" w:hAnsi="Arial" w:cs="Arial"/>
        </w:rPr>
        <w:t>enquête, d</w:t>
      </w:r>
      <w:r w:rsidR="00DD1867">
        <w:rPr>
          <w:rStyle w:val="normalchar1"/>
          <w:rFonts w:ascii="Arial" w:hAnsi="Arial" w:cs="Arial"/>
        </w:rPr>
        <w:t>’</w:t>
      </w:r>
      <w:r w:rsidRPr="0043604D">
        <w:rPr>
          <w:rStyle w:val="normalchar1"/>
          <w:rFonts w:ascii="Arial" w:hAnsi="Arial" w:cs="Arial"/>
        </w:rPr>
        <w:t>où la nécessité d</w:t>
      </w:r>
      <w:r w:rsidR="00DD1867">
        <w:rPr>
          <w:rStyle w:val="normalchar1"/>
          <w:rFonts w:ascii="Arial" w:hAnsi="Arial" w:cs="Arial"/>
        </w:rPr>
        <w:t>’</w:t>
      </w:r>
      <w:r w:rsidRPr="0043604D">
        <w:rPr>
          <w:rStyle w:val="normalchar1"/>
          <w:rFonts w:ascii="Arial" w:hAnsi="Arial" w:cs="Arial"/>
        </w:rPr>
        <w:t>engager des enquêteurs extern</w:t>
      </w:r>
      <w:r w:rsidR="00ED0BA6" w:rsidRPr="0043604D">
        <w:rPr>
          <w:rStyle w:val="normalchar1"/>
          <w:rFonts w:ascii="Arial" w:hAnsi="Arial" w:cs="Arial"/>
        </w:rPr>
        <w:t>es</w:t>
      </w:r>
      <w:r w:rsidR="00ED0BA6">
        <w:rPr>
          <w:rStyle w:val="normalchar1"/>
          <w:rFonts w:ascii="Arial" w:hAnsi="Arial" w:cs="Arial"/>
        </w:rPr>
        <w:t xml:space="preserve">.  </w:t>
      </w:r>
      <w:r w:rsidR="00ED0BA6" w:rsidRPr="0043604D">
        <w:rPr>
          <w:rStyle w:val="normalchar1"/>
          <w:rFonts w:ascii="Arial" w:hAnsi="Arial" w:cs="Arial"/>
        </w:rPr>
        <w:t>Su</w:t>
      </w:r>
      <w:r w:rsidR="003B68D8" w:rsidRPr="0043604D">
        <w:rPr>
          <w:rStyle w:val="normalchar1"/>
          <w:rFonts w:ascii="Arial" w:hAnsi="Arial" w:cs="Arial"/>
        </w:rPr>
        <w:t>r recommandation de l</w:t>
      </w:r>
      <w:r w:rsidR="00DD1867">
        <w:rPr>
          <w:rStyle w:val="normalchar1"/>
          <w:rFonts w:ascii="Arial" w:hAnsi="Arial" w:cs="Arial"/>
        </w:rPr>
        <w:t>’</w:t>
      </w:r>
      <w:r w:rsidR="003B68D8" w:rsidRPr="0043604D">
        <w:rPr>
          <w:rStyle w:val="normalchar1"/>
          <w:rFonts w:ascii="Arial" w:hAnsi="Arial" w:cs="Arial"/>
        </w:rPr>
        <w:t>OCIS, le directeur de</w:t>
      </w:r>
      <w:r w:rsidR="00DD1867" w:rsidRPr="0043604D">
        <w:rPr>
          <w:rStyle w:val="normalchar1"/>
          <w:rFonts w:ascii="Arial" w:hAnsi="Arial" w:cs="Arial"/>
        </w:rPr>
        <w:t xml:space="preserve"> la</w:t>
      </w:r>
      <w:r w:rsidR="00DD1867">
        <w:rPr>
          <w:rStyle w:val="normalchar1"/>
          <w:rFonts w:ascii="Arial" w:hAnsi="Arial" w:cs="Arial"/>
        </w:rPr>
        <w:t> </w:t>
      </w:r>
      <w:r w:rsidR="00DD1867" w:rsidRPr="0043604D">
        <w:rPr>
          <w:rStyle w:val="normalchar1"/>
          <w:rFonts w:ascii="Arial" w:hAnsi="Arial" w:cs="Arial"/>
        </w:rPr>
        <w:t>DSI</w:t>
      </w:r>
      <w:r w:rsidR="003B68D8" w:rsidRPr="0043604D">
        <w:rPr>
          <w:rStyle w:val="normalchar1"/>
          <w:rFonts w:ascii="Arial" w:hAnsi="Arial" w:cs="Arial"/>
        </w:rPr>
        <w:t xml:space="preserve"> </w:t>
      </w:r>
      <w:r w:rsidR="00A245C8" w:rsidRPr="0043604D">
        <w:rPr>
          <w:rStyle w:val="normalchar1"/>
          <w:rFonts w:ascii="Arial" w:hAnsi="Arial" w:cs="Arial"/>
        </w:rPr>
        <w:t>est en train d</w:t>
      </w:r>
      <w:r w:rsidR="00DD1867">
        <w:rPr>
          <w:rStyle w:val="normalchar1"/>
          <w:rFonts w:ascii="Arial" w:hAnsi="Arial" w:cs="Arial"/>
        </w:rPr>
        <w:t>’</w:t>
      </w:r>
      <w:r w:rsidR="003B68D8" w:rsidRPr="0043604D">
        <w:rPr>
          <w:rStyle w:val="normalchar1"/>
          <w:rFonts w:ascii="Arial" w:hAnsi="Arial" w:cs="Arial"/>
        </w:rPr>
        <w:t>établi</w:t>
      </w:r>
      <w:r w:rsidR="00A245C8" w:rsidRPr="0043604D">
        <w:rPr>
          <w:rStyle w:val="normalchar1"/>
          <w:rFonts w:ascii="Arial" w:hAnsi="Arial" w:cs="Arial"/>
        </w:rPr>
        <w:t>r</w:t>
      </w:r>
      <w:r w:rsidR="003B68D8" w:rsidRPr="0043604D">
        <w:rPr>
          <w:rStyle w:val="normalchar1"/>
          <w:rFonts w:ascii="Arial" w:hAnsi="Arial" w:cs="Arial"/>
        </w:rPr>
        <w:t xml:space="preserve"> une liste de consultants auxquels faire appel pour les enquêtes, à l</w:t>
      </w:r>
      <w:r w:rsidR="00DD1867">
        <w:rPr>
          <w:rStyle w:val="normalchar1"/>
          <w:rFonts w:ascii="Arial" w:hAnsi="Arial" w:cs="Arial"/>
        </w:rPr>
        <w:t>’</w:t>
      </w:r>
      <w:r w:rsidR="003B68D8" w:rsidRPr="0043604D">
        <w:rPr>
          <w:rStyle w:val="normalchar1"/>
          <w:rFonts w:ascii="Arial" w:hAnsi="Arial" w:cs="Arial"/>
        </w:rPr>
        <w:t>intention de l</w:t>
      </w:r>
      <w:r w:rsidR="00DD1867">
        <w:rPr>
          <w:rStyle w:val="normalchar1"/>
          <w:rFonts w:ascii="Arial" w:hAnsi="Arial" w:cs="Arial"/>
        </w:rPr>
        <w:t>’</w:t>
      </w:r>
      <w:r w:rsidR="003B68D8" w:rsidRPr="0043604D">
        <w:rPr>
          <w:rStyle w:val="normalchar1"/>
          <w:rFonts w:ascii="Arial" w:hAnsi="Arial" w:cs="Arial"/>
        </w:rPr>
        <w:t>OCIS.</w:t>
      </w:r>
      <w:r w:rsidR="00D2712A" w:rsidRPr="0043604D">
        <w:rPr>
          <w:rStyle w:val="normalchar1"/>
          <w:rFonts w:ascii="Arial" w:hAnsi="Arial" w:cs="Arial"/>
        </w:rPr>
        <w:t xml:space="preserve"> </w:t>
      </w:r>
      <w:r w:rsidR="002B1D77" w:rsidRPr="0043604D">
        <w:rPr>
          <w:rStyle w:val="normalchar1"/>
          <w:rFonts w:ascii="Arial" w:hAnsi="Arial" w:cs="Arial"/>
        </w:rPr>
        <w:t xml:space="preserve"> </w:t>
      </w:r>
      <w:r w:rsidR="003B68D8" w:rsidRPr="0043604D">
        <w:rPr>
          <w:rStyle w:val="normalchar1"/>
          <w:rFonts w:ascii="Arial" w:hAnsi="Arial" w:cs="Arial"/>
        </w:rPr>
        <w:t>L</w:t>
      </w:r>
      <w:r w:rsidR="00DD1867">
        <w:rPr>
          <w:rStyle w:val="normalchar1"/>
          <w:rFonts w:ascii="Arial" w:hAnsi="Arial" w:cs="Arial"/>
        </w:rPr>
        <w:t>’</w:t>
      </w:r>
      <w:r w:rsidR="003B68D8" w:rsidRPr="0043604D">
        <w:rPr>
          <w:rStyle w:val="normalchar1"/>
          <w:rFonts w:ascii="Arial" w:hAnsi="Arial" w:cs="Arial"/>
        </w:rPr>
        <w:t>O</w:t>
      </w:r>
      <w:r w:rsidR="00A245C8" w:rsidRPr="0043604D">
        <w:rPr>
          <w:rStyle w:val="normalchar1"/>
          <w:rFonts w:ascii="Arial" w:hAnsi="Arial" w:cs="Arial"/>
        </w:rPr>
        <w:t>rgane</w:t>
      </w:r>
      <w:r w:rsidR="003B68D8" w:rsidRPr="0043604D">
        <w:rPr>
          <w:rStyle w:val="normalchar1"/>
          <w:rFonts w:ascii="Arial" w:hAnsi="Arial" w:cs="Arial"/>
        </w:rPr>
        <w:t xml:space="preserve"> est convaincu que cette liste, une fois opérationnelle, facilitera le recrutement d</w:t>
      </w:r>
      <w:r w:rsidR="00DD1867">
        <w:rPr>
          <w:rStyle w:val="normalchar1"/>
          <w:rFonts w:ascii="Arial" w:hAnsi="Arial" w:cs="Arial"/>
        </w:rPr>
        <w:t>’</w:t>
      </w:r>
      <w:r w:rsidR="003B68D8" w:rsidRPr="0043604D">
        <w:rPr>
          <w:rStyle w:val="normalchar1"/>
          <w:rFonts w:ascii="Arial" w:hAnsi="Arial" w:cs="Arial"/>
        </w:rPr>
        <w:t>enqu</w:t>
      </w:r>
      <w:r w:rsidR="00A245C8" w:rsidRPr="0043604D">
        <w:rPr>
          <w:rStyle w:val="normalchar1"/>
          <w:rFonts w:ascii="Arial" w:hAnsi="Arial" w:cs="Arial"/>
        </w:rPr>
        <w:t>êteurs externes en temps utile</w:t>
      </w:r>
      <w:r w:rsidR="002458AE" w:rsidRPr="0043604D">
        <w:rPr>
          <w:rStyle w:val="normalchar1"/>
          <w:rFonts w:ascii="Arial" w:hAnsi="Arial" w:cs="Arial"/>
        </w:rPr>
        <w:t>.</w:t>
      </w:r>
    </w:p>
    <w:p w:rsidR="0001272B" w:rsidRDefault="003B68D8" w:rsidP="00B23517">
      <w:pPr>
        <w:pStyle w:val="Heading2"/>
      </w:pPr>
      <w:bookmarkStart w:id="26" w:name="_Toc13132566"/>
      <w:r w:rsidRPr="0043604D">
        <w:t>Vérification externe des comptes</w:t>
      </w:r>
      <w:bookmarkEnd w:id="26"/>
    </w:p>
    <w:p w:rsidR="00B23517" w:rsidRPr="00B23517" w:rsidRDefault="00B23517" w:rsidP="00B23517"/>
    <w:p w:rsidR="00DD1867" w:rsidRDefault="003B68D8" w:rsidP="00B23517">
      <w:pPr>
        <w:pStyle w:val="ONUMFS"/>
      </w:pPr>
      <w:r w:rsidRPr="0043604D">
        <w:t>Au cours de la période considérée, l</w:t>
      </w:r>
      <w:r w:rsidR="00DD1867">
        <w:t>’</w:t>
      </w:r>
      <w:r w:rsidRPr="0043604D">
        <w:t>OCIS a eu des échanges réguliers avec le vérificateur externe des comptes du bureau national de vérification des comptes du Royaume</w:t>
      </w:r>
      <w:r w:rsidR="00002E83">
        <w:noBreakHyphen/>
      </w:r>
      <w:r w:rsidRPr="0043604D">
        <w:t>Uni.</w:t>
      </w:r>
      <w:r w:rsidR="00DE360C" w:rsidRPr="0043604D">
        <w:t xml:space="preserve">  </w:t>
      </w:r>
      <w:r w:rsidRPr="0043604D">
        <w:t>L</w:t>
      </w:r>
      <w:r w:rsidR="00DD1867">
        <w:t>’</w:t>
      </w:r>
      <w:r w:rsidRPr="0043604D">
        <w:t>OCIS a également tenu des sessions privées avec le vérificateur externe des comptes.</w:t>
      </w:r>
    </w:p>
    <w:p w:rsidR="0001272B" w:rsidRPr="0043604D" w:rsidRDefault="003B68D8" w:rsidP="00B23517">
      <w:pPr>
        <w:pStyle w:val="ONUMFS"/>
      </w:pPr>
      <w:r w:rsidRPr="0043604D">
        <w:t>À sa cinquant</w:t>
      </w:r>
      <w:r w:rsidR="00DD1867">
        <w:t>ième session</w:t>
      </w:r>
      <w:r w:rsidRPr="0043604D">
        <w:t>, l</w:t>
      </w:r>
      <w:r w:rsidR="00DD1867">
        <w:t>’</w:t>
      </w:r>
      <w:r w:rsidRPr="0043604D">
        <w:t>O</w:t>
      </w:r>
      <w:r w:rsidR="00A245C8" w:rsidRPr="0043604D">
        <w:t>rgane</w:t>
      </w:r>
      <w:r w:rsidRPr="0043604D">
        <w:t xml:space="preserve"> a examiné avec le vérificateur externe des comptes son rapport de planification de l</w:t>
      </w:r>
      <w:r w:rsidR="00DD1867">
        <w:t>’</w:t>
      </w:r>
      <w:r w:rsidRPr="0043604D">
        <w:t xml:space="preserve">audit sur la vérification des états financiers </w:t>
      </w:r>
      <w:r w:rsidR="00DD1867" w:rsidRPr="0043604D">
        <w:t>de</w:t>
      </w:r>
      <w:r w:rsidR="00DD1867">
        <w:t> </w:t>
      </w:r>
      <w:r w:rsidR="00DD1867" w:rsidRPr="0043604D">
        <w:t>2018</w:t>
      </w:r>
      <w:r w:rsidRPr="0043604D">
        <w:t>, en particulier son évaluation des risques et l</w:t>
      </w:r>
      <w:r w:rsidR="00DD1867">
        <w:t>’</w:t>
      </w:r>
      <w:r w:rsidRPr="0043604D">
        <w:t>objet de la vérification prévue.</w:t>
      </w:r>
      <w:r w:rsidR="001E1C3D" w:rsidRPr="0043604D">
        <w:t xml:space="preserve">  </w:t>
      </w:r>
      <w:r w:rsidRPr="0043604D">
        <w:t>L</w:t>
      </w:r>
      <w:r w:rsidR="00DD1867">
        <w:t>’</w:t>
      </w:r>
      <w:r w:rsidRPr="0043604D">
        <w:t>OCIS s</w:t>
      </w:r>
      <w:r w:rsidR="00DD1867">
        <w:t>’</w:t>
      </w:r>
      <w:r w:rsidRPr="0043604D">
        <w:t>est félicité de l</w:t>
      </w:r>
      <w:r w:rsidR="00DD1867">
        <w:t>’</w:t>
      </w:r>
      <w:r w:rsidRPr="0043604D">
        <w:t>analyse faite par le vérificateur externe des comptes et a conclu que le plan d</w:t>
      </w:r>
      <w:r w:rsidR="00DD1867">
        <w:t>’</w:t>
      </w:r>
      <w:r w:rsidRPr="0043604D">
        <w:t>audit couvrait les principaux risques d</w:t>
      </w:r>
      <w:r w:rsidR="00DD1867">
        <w:t>’</w:t>
      </w:r>
      <w:r w:rsidRPr="0043604D">
        <w:t xml:space="preserve">audit, </w:t>
      </w:r>
      <w:r w:rsidR="00DD1867">
        <w:t>y compris</w:t>
      </w:r>
      <w:r w:rsidRPr="0043604D">
        <w:t xml:space="preserve"> les domaines présentant un intérêt particulier ou pouvant constituer un sujet de préoccupation pour les États membres.</w:t>
      </w:r>
    </w:p>
    <w:p w:rsidR="0001272B" w:rsidRPr="0043604D" w:rsidRDefault="003B68D8" w:rsidP="00B23517">
      <w:pPr>
        <w:pStyle w:val="ONUMFS"/>
      </w:pPr>
      <w:r w:rsidRPr="0043604D">
        <w:t>À sa cinquante</w:t>
      </w:r>
      <w:r w:rsidR="00DD1867">
        <w:t> et unième session</w:t>
      </w:r>
      <w:r w:rsidRPr="0043604D">
        <w:t xml:space="preserve">, </w:t>
      </w:r>
      <w:r w:rsidR="00A245C8" w:rsidRPr="0043604D">
        <w:t>l</w:t>
      </w:r>
      <w:r w:rsidR="00DD1867">
        <w:t>’</w:t>
      </w:r>
      <w:r w:rsidR="00A245C8" w:rsidRPr="0043604D">
        <w:t xml:space="preserve">Organe </w:t>
      </w:r>
      <w:r w:rsidRPr="0043604D">
        <w:t>a examiné avec le vérificateur externe des comptes l</w:t>
      </w:r>
      <w:r w:rsidR="00DD1867">
        <w:t>’</w:t>
      </w:r>
      <w:r w:rsidRPr="0043604D">
        <w:t>état d</w:t>
      </w:r>
      <w:r w:rsidR="00DD1867">
        <w:t>’</w:t>
      </w:r>
      <w:r w:rsidRPr="0043604D">
        <w:t>avancement de l</w:t>
      </w:r>
      <w:r w:rsidR="00DD1867">
        <w:t>’</w:t>
      </w:r>
      <w:r w:rsidRPr="0043604D">
        <w:t>audit intermédiaire et les questions qui en découl</w:t>
      </w:r>
      <w:r w:rsidR="00A245C8" w:rsidRPr="0043604D">
        <w:t>ai</w:t>
      </w:r>
      <w:r w:rsidRPr="0043604D">
        <w:t>ent.</w:t>
      </w:r>
    </w:p>
    <w:p w:rsidR="0001272B" w:rsidRPr="0043604D" w:rsidRDefault="003B68D8" w:rsidP="00B23517">
      <w:pPr>
        <w:pStyle w:val="ONUMFS"/>
      </w:pPr>
      <w:r w:rsidRPr="0043604D">
        <w:t>À sa cinquante</w:t>
      </w:r>
      <w:r w:rsidR="00002E83">
        <w:noBreakHyphen/>
      </w:r>
      <w:r w:rsidRPr="0043604D">
        <w:t>trois</w:t>
      </w:r>
      <w:r w:rsidR="00DD1867">
        <w:t>ième session</w:t>
      </w:r>
      <w:r w:rsidRPr="0043604D">
        <w:t xml:space="preserve">, </w:t>
      </w:r>
      <w:r w:rsidR="00A245C8" w:rsidRPr="0043604D">
        <w:t>l</w:t>
      </w:r>
      <w:r w:rsidR="00DD1867">
        <w:t>’</w:t>
      </w:r>
      <w:r w:rsidR="00A245C8" w:rsidRPr="0043604D">
        <w:t xml:space="preserve">Organe </w:t>
      </w:r>
      <w:r w:rsidRPr="0043604D">
        <w:t>a examiné avec le vérificateur externe des comptes et le contrôleur le rapport du vérificateur externe des comptes sur les états financiers de l</w:t>
      </w:r>
      <w:r w:rsidR="00DD1867">
        <w:t>’</w:t>
      </w:r>
      <w:r w:rsidRPr="0043604D">
        <w:t>OMPI pour l</w:t>
      </w:r>
      <w:r w:rsidR="00DD1867">
        <w:t>’</w:t>
      </w:r>
      <w:r w:rsidRPr="0043604D">
        <w:t>exercice financier</w:t>
      </w:r>
      <w:r w:rsidR="002B1D77" w:rsidRPr="0043604D">
        <w:t> </w:t>
      </w:r>
      <w:r w:rsidRPr="0043604D">
        <w:t>2018 et le rapport d</w:t>
      </w:r>
      <w:r w:rsidR="00DD1867">
        <w:t>’</w:t>
      </w:r>
      <w:r w:rsidRPr="0043604D">
        <w:t>achèvement de l</w:t>
      </w:r>
      <w:r w:rsidR="00DD1867">
        <w:t>’</w:t>
      </w:r>
      <w:r w:rsidRPr="0043604D">
        <w:t>audit correspondant, qui détaillait les principales conclusions de l</w:t>
      </w:r>
      <w:r w:rsidR="00DD1867">
        <w:t>’</w:t>
      </w:r>
      <w:r w:rsidRPr="0043604D">
        <w:t>audit à l</w:t>
      </w:r>
      <w:r w:rsidR="00DD1867">
        <w:t>’</w:t>
      </w:r>
      <w:r w:rsidRPr="0043604D">
        <w:t>appui de l</w:t>
      </w:r>
      <w:r w:rsidR="00DD1867">
        <w:t>’</w:t>
      </w:r>
      <w:r w:rsidRPr="0043604D">
        <w:t>opinion d</w:t>
      </w:r>
      <w:r w:rsidR="00DD1867">
        <w:t>’</w:t>
      </w:r>
      <w:r w:rsidRPr="0043604D">
        <w:t>audit.</w:t>
      </w:r>
    </w:p>
    <w:p w:rsidR="0001272B" w:rsidRPr="0043604D" w:rsidRDefault="003B68D8" w:rsidP="00B23517">
      <w:pPr>
        <w:pStyle w:val="ONUMFS"/>
      </w:pPr>
      <w:r w:rsidRPr="0043604D">
        <w:t>L</w:t>
      </w:r>
      <w:r w:rsidR="00DD1867">
        <w:t>’</w:t>
      </w:r>
      <w:r w:rsidRPr="0043604D">
        <w:t>OCIS a noté avec satisfaction que l</w:t>
      </w:r>
      <w:r w:rsidR="00DD1867">
        <w:t>’</w:t>
      </w:r>
      <w:r w:rsidRPr="0043604D">
        <w:t>OMPI avait obtenu une opinion d</w:t>
      </w:r>
      <w:r w:rsidR="00DD1867">
        <w:t>’</w:t>
      </w:r>
      <w:r w:rsidRPr="0043604D">
        <w:t>audit sans réserve et que le vérificateur externe des comptes témoignait de la qualité des états financiers de l</w:t>
      </w:r>
      <w:r w:rsidR="00DD1867">
        <w:t>’</w:t>
      </w:r>
      <w:r w:rsidRPr="0043604D">
        <w:t>O</w:t>
      </w:r>
      <w:r w:rsidR="00ED0BA6" w:rsidRPr="0043604D">
        <w:t>MPI</w:t>
      </w:r>
      <w:r w:rsidR="00ED0BA6">
        <w:t xml:space="preserve">.  </w:t>
      </w:r>
      <w:r w:rsidR="00ED0BA6" w:rsidRPr="0043604D">
        <w:t>Le</w:t>
      </w:r>
      <w:r w:rsidR="007B5812" w:rsidRPr="0043604D">
        <w:t xml:space="preserve"> vérificateur externe des comptes a jugé </w:t>
      </w:r>
      <w:r w:rsidR="00A245C8" w:rsidRPr="0043604D">
        <w:t>qu</w:t>
      </w:r>
      <w:r w:rsidR="00DD1867">
        <w:t>’</w:t>
      </w:r>
      <w:r w:rsidR="00A245C8" w:rsidRPr="0043604D">
        <w:t xml:space="preserve">il était </w:t>
      </w:r>
      <w:r w:rsidR="007B5812" w:rsidRPr="0043604D">
        <w:t xml:space="preserve">possible de simplifier les états financiers en axant les commentaires financiers sur les principaux aspects </w:t>
      </w:r>
      <w:r w:rsidR="00A245C8" w:rsidRPr="0043604D">
        <w:t>liés à la</w:t>
      </w:r>
      <w:r w:rsidR="007B5812" w:rsidRPr="0043604D">
        <w:t xml:space="preserve"> performance et </w:t>
      </w:r>
      <w:r w:rsidR="00A245C8" w:rsidRPr="0043604D">
        <w:t>à la</w:t>
      </w:r>
      <w:r w:rsidR="007B5812" w:rsidRPr="0043604D">
        <w:t xml:space="preserve"> santé financièr</w:t>
      </w:r>
      <w:r w:rsidR="00ED0BA6" w:rsidRPr="0043604D">
        <w:t>es</w:t>
      </w:r>
      <w:r w:rsidR="00ED0BA6">
        <w:t xml:space="preserve">.  </w:t>
      </w:r>
      <w:r w:rsidR="00ED0BA6" w:rsidRPr="0043604D">
        <w:t>Le</w:t>
      </w:r>
      <w:r w:rsidR="007B5812" w:rsidRPr="0043604D">
        <w:t xml:space="preserve"> vérificateur externe des comptes a reconnu la qualité et la maturité du dispositif de contrôle interne de l</w:t>
      </w:r>
      <w:r w:rsidR="00DD1867">
        <w:t>’</w:t>
      </w:r>
      <w:r w:rsidR="007B5812" w:rsidRPr="0043604D">
        <w:t>OMPI et de la déclaration annuelle sur le contrôle inter</w:t>
      </w:r>
      <w:r w:rsidR="00ED0BA6" w:rsidRPr="0043604D">
        <w:t>ne</w:t>
      </w:r>
      <w:r w:rsidR="00ED0BA6">
        <w:t xml:space="preserve">.  </w:t>
      </w:r>
      <w:r w:rsidR="00ED0BA6" w:rsidRPr="0043604D">
        <w:t>Il</w:t>
      </w:r>
      <w:r w:rsidR="007B5812" w:rsidRPr="0043604D">
        <w:t xml:space="preserve"> a recommandé de redoubler d</w:t>
      </w:r>
      <w:r w:rsidR="00DD1867">
        <w:t>’</w:t>
      </w:r>
      <w:r w:rsidR="007B5812" w:rsidRPr="0043604D">
        <w:t>efforts en tirant parti des possibilités d</w:t>
      </w:r>
      <w:r w:rsidR="00DD1867">
        <w:t>’</w:t>
      </w:r>
      <w:r w:rsidR="007B5812" w:rsidRPr="0043604D">
        <w:t>analyse des données pour automatiser le suivi des processus de contrôle des activités clés.</w:t>
      </w:r>
    </w:p>
    <w:p w:rsidR="0001272B" w:rsidRPr="0043604D" w:rsidRDefault="007B5812" w:rsidP="00B23517">
      <w:pPr>
        <w:pStyle w:val="ONUMFS"/>
      </w:pPr>
      <w:r w:rsidRPr="0043604D">
        <w:t>Puisque l</w:t>
      </w:r>
      <w:r w:rsidR="00DD1867">
        <w:t>’</w:t>
      </w:r>
      <w:r w:rsidRPr="0043604D">
        <w:t>audit de performance de cette année se concentrait sur la gestion axée sur les résultats et la gestion des ressources humaines, la plupart des 16</w:t>
      </w:r>
      <w:r w:rsidR="002B1D77" w:rsidRPr="0043604D">
        <w:t> </w:t>
      </w:r>
      <w:r w:rsidRPr="0043604D">
        <w:t>recommandations d</w:t>
      </w:r>
      <w:r w:rsidR="00DD1867">
        <w:t>’</w:t>
      </w:r>
      <w:r w:rsidRPr="0043604D">
        <w:t>audit formulées visaient à améliorer encore ces deux</w:t>
      </w:r>
      <w:r w:rsidR="008422B4">
        <w:t> </w:t>
      </w:r>
      <w:r w:rsidRPr="0043604D">
        <w:t>domain</w:t>
      </w:r>
      <w:r w:rsidR="00ED0BA6" w:rsidRPr="0043604D">
        <w:t>es</w:t>
      </w:r>
      <w:r w:rsidR="00ED0BA6">
        <w:t xml:space="preserve">.  </w:t>
      </w:r>
      <w:r w:rsidR="00ED0BA6" w:rsidRPr="0043604D">
        <w:t>L</w:t>
      </w:r>
      <w:r w:rsidR="00ED0BA6">
        <w:t>’</w:t>
      </w:r>
      <w:r w:rsidR="00ED0BA6" w:rsidRPr="0043604D">
        <w:t>u</w:t>
      </w:r>
      <w:r w:rsidRPr="0043604D">
        <w:t>ne de ces recommandations portait sur l</w:t>
      </w:r>
      <w:r w:rsidR="00DD1867">
        <w:t>’</w:t>
      </w:r>
      <w:r w:rsidRPr="0043604D">
        <w:t>harmonisation des indicateurs d</w:t>
      </w:r>
      <w:r w:rsidR="00DD1867">
        <w:t>’</w:t>
      </w:r>
      <w:r w:rsidRPr="0043604D">
        <w:t xml:space="preserve">exécution utilisés pour la gestion axée sur les </w:t>
      </w:r>
      <w:r w:rsidRPr="0043604D">
        <w:lastRenderedPageBreak/>
        <w:t>résultats et du cadre d</w:t>
      </w:r>
      <w:r w:rsidR="00DD1867">
        <w:t>’</w:t>
      </w:r>
      <w:r w:rsidRPr="0043604D">
        <w:t>établissement des rapports internes</w:t>
      </w:r>
      <w:r w:rsidR="0001272B" w:rsidRPr="0043604D">
        <w:t>,</w:t>
      </w:r>
      <w:r w:rsidRPr="0043604D">
        <w:t xml:space="preserve"> afin de faciliter la prise de décisions par la direction.</w:t>
      </w:r>
    </w:p>
    <w:p w:rsidR="0001272B" w:rsidRPr="0043604D" w:rsidRDefault="007B5812" w:rsidP="00B23517">
      <w:pPr>
        <w:pStyle w:val="ONUMFS"/>
      </w:pPr>
      <w:r w:rsidRPr="0043604D">
        <w:t>L</w:t>
      </w:r>
      <w:r w:rsidR="00DD1867">
        <w:t>’</w:t>
      </w:r>
      <w:r w:rsidRPr="0043604D">
        <w:t xml:space="preserve">OCIS félicite le vérificateur externe des comptes </w:t>
      </w:r>
      <w:r w:rsidR="0001272B" w:rsidRPr="0043604D">
        <w:t>pour son rapport de</w:t>
      </w:r>
      <w:r w:rsidRPr="0043604D">
        <w:t xml:space="preserve"> </w:t>
      </w:r>
      <w:r w:rsidR="0001272B" w:rsidRPr="0043604D">
        <w:t>qualité, facilement consultable et</w:t>
      </w:r>
      <w:r w:rsidRPr="0043604D">
        <w:t xml:space="preserve"> </w:t>
      </w:r>
      <w:r w:rsidR="0001272B" w:rsidRPr="0043604D">
        <w:t>établi en temps utile,</w:t>
      </w:r>
      <w:r w:rsidRPr="0043604D">
        <w:t xml:space="preserve"> et attend avec intérêt la poursuite des échanges avec lui.</w:t>
      </w:r>
    </w:p>
    <w:p w:rsidR="0001272B" w:rsidRDefault="007B5812" w:rsidP="00B23517">
      <w:pPr>
        <w:pStyle w:val="Heading2"/>
      </w:pPr>
      <w:bookmarkStart w:id="27" w:name="_Toc13132567"/>
      <w:r w:rsidRPr="0043604D">
        <w:t>Rapports financiers</w:t>
      </w:r>
      <w:bookmarkEnd w:id="27"/>
    </w:p>
    <w:p w:rsidR="00B23517" w:rsidRPr="00B23517" w:rsidRDefault="00B23517" w:rsidP="00B23517"/>
    <w:p w:rsidR="0001272B" w:rsidRPr="0043604D" w:rsidRDefault="007B5812" w:rsidP="00B23517">
      <w:pPr>
        <w:pStyle w:val="ONUMFS"/>
      </w:pPr>
      <w:r w:rsidRPr="0043604D">
        <w:t>À la cinquante</w:t>
      </w:r>
      <w:r w:rsidR="00002E83">
        <w:noBreakHyphen/>
      </w:r>
      <w:r w:rsidRPr="0043604D">
        <w:t>deux</w:t>
      </w:r>
      <w:r w:rsidR="00DD1867">
        <w:t>ième session</w:t>
      </w:r>
      <w:r w:rsidR="0001272B" w:rsidRPr="0043604D">
        <w:t xml:space="preserve"> de l</w:t>
      </w:r>
      <w:r w:rsidR="00DD1867">
        <w:t>’</w:t>
      </w:r>
      <w:r w:rsidR="0001272B" w:rsidRPr="0043604D">
        <w:t>OCIS</w:t>
      </w:r>
      <w:r w:rsidRPr="0043604D">
        <w:t xml:space="preserve">, le contrôleur et </w:t>
      </w:r>
      <w:r w:rsidR="000B6906" w:rsidRPr="0043604D">
        <w:t xml:space="preserve">la </w:t>
      </w:r>
      <w:r w:rsidRPr="0043604D">
        <w:t>directrice de la Division des finances ont informé l</w:t>
      </w:r>
      <w:r w:rsidR="00DD1867">
        <w:t>’</w:t>
      </w:r>
      <w:r w:rsidRPr="0043604D">
        <w:t>OCIS des projets d</w:t>
      </w:r>
      <w:r w:rsidR="00DD1867">
        <w:t>’</w:t>
      </w:r>
      <w:r w:rsidRPr="0043604D">
        <w:t>états financiers pour l</w:t>
      </w:r>
      <w:r w:rsidR="00DD1867">
        <w:t>’</w:t>
      </w:r>
      <w:r w:rsidRPr="0043604D">
        <w:t>année qui s</w:t>
      </w:r>
      <w:r w:rsidR="00DD1867">
        <w:t>’</w:t>
      </w:r>
      <w:r w:rsidRPr="0043604D">
        <w:t>est achevée le 31</w:t>
      </w:r>
      <w:r w:rsidR="002B1D77" w:rsidRPr="0043604D">
        <w:t> </w:t>
      </w:r>
      <w:r w:rsidRPr="0043604D">
        <w:t>décembre</w:t>
      </w:r>
      <w:r w:rsidR="002B1D77" w:rsidRPr="0043604D">
        <w:t> </w:t>
      </w:r>
      <w:r w:rsidRPr="0043604D">
        <w:t>2018.</w:t>
      </w:r>
      <w:r w:rsidR="005D5182" w:rsidRPr="0043604D">
        <w:t xml:space="preserve">  </w:t>
      </w:r>
      <w:r w:rsidRPr="0043604D">
        <w:t>Selon ces derniers, le total des recettes avait augmenté de 21</w:t>
      </w:r>
      <w:r w:rsidR="002B1D77" w:rsidRPr="0043604D">
        <w:t> </w:t>
      </w:r>
      <w:r w:rsidRPr="0043604D">
        <w:t>millions de francs suisses, principalement en raison de nouvelles hausses substantielles des taxes perçues au titre des systèmes</w:t>
      </w:r>
      <w:r w:rsidR="00DD1867" w:rsidRPr="0043604D">
        <w:t xml:space="preserve"> du</w:t>
      </w:r>
      <w:r w:rsidR="00DD1867">
        <w:t> </w:t>
      </w:r>
      <w:r w:rsidR="00DD1867" w:rsidRPr="0043604D">
        <w:t>PCT</w:t>
      </w:r>
      <w:r w:rsidRPr="0043604D">
        <w:t xml:space="preserve"> et de Madr</w:t>
      </w:r>
      <w:r w:rsidR="00ED0BA6" w:rsidRPr="0043604D">
        <w:t>id</w:t>
      </w:r>
      <w:r w:rsidR="00ED0BA6">
        <w:t xml:space="preserve">.  </w:t>
      </w:r>
      <w:r w:rsidR="00ED0BA6" w:rsidRPr="0043604D">
        <w:t>Le</w:t>
      </w:r>
      <w:r w:rsidRPr="0043604D">
        <w:t>s dépenses avaient baissé de 19</w:t>
      </w:r>
      <w:r w:rsidR="002B1D77" w:rsidRPr="0043604D">
        <w:t> </w:t>
      </w:r>
      <w:r w:rsidRPr="0043604D">
        <w:t>millions de francs suisses, principalement en raison de la réduction des coûts financie</w:t>
      </w:r>
      <w:r w:rsidR="00ED0BA6" w:rsidRPr="0043604D">
        <w:t>rs</w:t>
      </w:r>
      <w:r w:rsidR="00ED0BA6">
        <w:t xml:space="preserve">.  </w:t>
      </w:r>
      <w:r w:rsidR="00ED0BA6" w:rsidRPr="0043604D">
        <w:t>L</w:t>
      </w:r>
      <w:r w:rsidR="00ED0BA6">
        <w:t>’</w:t>
      </w:r>
      <w:r w:rsidR="00ED0BA6" w:rsidRPr="0043604D">
        <w:t>e</w:t>
      </w:r>
      <w:r w:rsidRPr="0043604D">
        <w:t>xcédent de recettes avait dépassé 42</w:t>
      </w:r>
      <w:r w:rsidR="002B1D77" w:rsidRPr="0043604D">
        <w:t> </w:t>
      </w:r>
      <w:r w:rsidRPr="0043604D">
        <w:t>millions de francs suisses, soit une hausse d</w:t>
      </w:r>
      <w:r w:rsidR="00DD1867">
        <w:t>’</w:t>
      </w:r>
      <w:r w:rsidRPr="0043604D">
        <w:t>environ 24</w:t>
      </w:r>
      <w:r w:rsidR="002B1D77" w:rsidRPr="0043604D">
        <w:t> </w:t>
      </w:r>
      <w:r w:rsidRPr="0043604D">
        <w:t>millions par rapport à 2017.</w:t>
      </w:r>
      <w:r w:rsidR="009B04F9" w:rsidRPr="0043604D">
        <w:t xml:space="preserve"> </w:t>
      </w:r>
      <w:r w:rsidR="00E35C17" w:rsidRPr="0043604D">
        <w:t xml:space="preserve"> </w:t>
      </w:r>
      <w:r w:rsidRPr="0043604D">
        <w:t>D</w:t>
      </w:r>
      <w:r w:rsidR="00DD1867">
        <w:t>’</w:t>
      </w:r>
      <w:r w:rsidRPr="0043604D">
        <w:t>après l</w:t>
      </w:r>
      <w:r w:rsidR="00DD1867">
        <w:t>’</w:t>
      </w:r>
      <w:r w:rsidRPr="0043604D">
        <w:t>état de la situation financière, les actifs nets de l</w:t>
      </w:r>
      <w:r w:rsidR="00DD1867">
        <w:t>’</w:t>
      </w:r>
      <w:r w:rsidRPr="0043604D">
        <w:t>OMPI au 31</w:t>
      </w:r>
      <w:r w:rsidR="002B1D77" w:rsidRPr="0043604D">
        <w:t> </w:t>
      </w:r>
      <w:r w:rsidRPr="0043604D">
        <w:t>décembre</w:t>
      </w:r>
      <w:r w:rsidR="002B1D77" w:rsidRPr="0043604D">
        <w:t> </w:t>
      </w:r>
      <w:r w:rsidRPr="0043604D">
        <w:t>2018 s</w:t>
      </w:r>
      <w:r w:rsidR="00DD1867">
        <w:t>’</w:t>
      </w:r>
      <w:r w:rsidRPr="0043604D">
        <w:t>élevaient à 261</w:t>
      </w:r>
      <w:r w:rsidR="002B1D77" w:rsidRPr="0043604D">
        <w:t> </w:t>
      </w:r>
      <w:r w:rsidRPr="0043604D">
        <w:t>millions de francs suisses, soit une augmentation de 59</w:t>
      </w:r>
      <w:r w:rsidR="002B1D77" w:rsidRPr="0043604D">
        <w:t> </w:t>
      </w:r>
      <w:r w:rsidRPr="0043604D">
        <w:t>millions par rapport à 2017.</w:t>
      </w:r>
    </w:p>
    <w:p w:rsidR="0001272B" w:rsidRPr="0043604D" w:rsidRDefault="0001272B" w:rsidP="00B23517">
      <w:pPr>
        <w:pStyle w:val="ONUMFS"/>
      </w:pPr>
      <w:r w:rsidRPr="0043604D">
        <w:t>À la cinquante</w:t>
      </w:r>
      <w:r w:rsidR="00002E83">
        <w:noBreakHyphen/>
      </w:r>
      <w:r w:rsidRPr="0043604D">
        <w:t>trois</w:t>
      </w:r>
      <w:r w:rsidR="00DD1867">
        <w:t>ième session</w:t>
      </w:r>
      <w:r w:rsidRPr="0043604D">
        <w:t>, le contrôleur et la directrice de la Division des finances ont informé l</w:t>
      </w:r>
      <w:r w:rsidR="00DD1867">
        <w:t>’</w:t>
      </w:r>
      <w:r w:rsidRPr="0043604D">
        <w:t>OCIS de certains ajustements mineurs apportés au projet d</w:t>
      </w:r>
      <w:r w:rsidR="00DD1867">
        <w:t>’</w:t>
      </w:r>
      <w:r w:rsidRPr="0043604D">
        <w:t>états financiers pour donner suite aux recommandations du vérificateur externe des comptes.</w:t>
      </w:r>
    </w:p>
    <w:p w:rsidR="0001272B" w:rsidRPr="0043604D" w:rsidRDefault="007B5812" w:rsidP="00B23517">
      <w:pPr>
        <w:pStyle w:val="Heading2"/>
      </w:pPr>
      <w:bookmarkStart w:id="28" w:name="_Toc13132568"/>
      <w:r w:rsidRPr="0043604D">
        <w:t>Gestion des risques et contrôles internes</w:t>
      </w:r>
      <w:bookmarkEnd w:id="28"/>
    </w:p>
    <w:p w:rsidR="0001272B" w:rsidRDefault="007B5812" w:rsidP="00B23517">
      <w:pPr>
        <w:pStyle w:val="Heading3"/>
      </w:pPr>
      <w:r w:rsidRPr="0043604D">
        <w:t>Sécurité et assurance informatique</w:t>
      </w:r>
    </w:p>
    <w:p w:rsidR="00B23517" w:rsidRPr="00B23517" w:rsidRDefault="00B23517" w:rsidP="00B23517"/>
    <w:p w:rsidR="0001272B" w:rsidRPr="0043604D" w:rsidRDefault="00A25666" w:rsidP="00B23517">
      <w:pPr>
        <w:pStyle w:val="ONUMFS"/>
      </w:pPr>
      <w:r w:rsidRPr="0043604D">
        <w:t>À la cinquant</w:t>
      </w:r>
      <w:r w:rsidR="00DD1867">
        <w:t>ième session</w:t>
      </w:r>
      <w:r w:rsidR="0001272B" w:rsidRPr="0043604D">
        <w:t xml:space="preserve"> de l</w:t>
      </w:r>
      <w:r w:rsidR="00DD1867">
        <w:t>’</w:t>
      </w:r>
      <w:r w:rsidR="0001272B" w:rsidRPr="0043604D">
        <w:t>OCIS</w:t>
      </w:r>
      <w:r w:rsidRPr="0043604D">
        <w:t>, le directeur de la sécurité a informé l</w:t>
      </w:r>
      <w:r w:rsidR="00DD1867">
        <w:t>’</w:t>
      </w:r>
      <w:r w:rsidRPr="0043604D">
        <w:t>O</w:t>
      </w:r>
      <w:r w:rsidR="0001272B" w:rsidRPr="0043604D">
        <w:t>rgane</w:t>
      </w:r>
      <w:r w:rsidRPr="0043604D">
        <w:t xml:space="preserve"> de l</w:t>
      </w:r>
      <w:r w:rsidR="00DD1867">
        <w:t>’</w:t>
      </w:r>
      <w:r w:rsidRPr="0043604D">
        <w:t>état d</w:t>
      </w:r>
      <w:r w:rsidR="00DD1867">
        <w:t>’</w:t>
      </w:r>
      <w:r w:rsidRPr="0043604D">
        <w:t>avancement de la Stratégie</w:t>
      </w:r>
      <w:r w:rsidR="002B1D77" w:rsidRPr="0043604D">
        <w:t> </w:t>
      </w:r>
      <w:r w:rsidRPr="0043604D">
        <w:t>2016</w:t>
      </w:r>
      <w:r w:rsidR="00002E83">
        <w:noBreakHyphen/>
      </w:r>
      <w:r w:rsidRPr="0043604D">
        <w:t>2021 de l</w:t>
      </w:r>
      <w:r w:rsidR="00DD1867">
        <w:t>’</w:t>
      </w:r>
      <w:r w:rsidRPr="0043604D">
        <w:t>OMPI en matière d</w:t>
      </w:r>
      <w:r w:rsidR="00DD1867">
        <w:t>’</w:t>
      </w:r>
      <w:r w:rsidRPr="0043604D">
        <w:t>assurance informatique.  L</w:t>
      </w:r>
      <w:r w:rsidR="00DD1867">
        <w:t>’</w:t>
      </w:r>
      <w:r w:rsidRPr="0043604D">
        <w:t xml:space="preserve">OCIS est conscient que le domaine à haut risque de la sécurité </w:t>
      </w:r>
      <w:r w:rsidR="0001272B" w:rsidRPr="0043604D">
        <w:t xml:space="preserve">informatique </w:t>
      </w:r>
      <w:r w:rsidRPr="0043604D">
        <w:t>est essentiel au succès continu des activités de l</w:t>
      </w:r>
      <w:r w:rsidR="00DD1867">
        <w:t>’</w:t>
      </w:r>
      <w:r w:rsidRPr="0043604D">
        <w:t>O</w:t>
      </w:r>
      <w:r w:rsidR="00ED0BA6" w:rsidRPr="0043604D">
        <w:t>MPI</w:t>
      </w:r>
      <w:r w:rsidR="00ED0BA6">
        <w:t xml:space="preserve">.  </w:t>
      </w:r>
      <w:r w:rsidR="00ED0BA6" w:rsidRPr="0043604D">
        <w:t>Il</w:t>
      </w:r>
      <w:r w:rsidRPr="0043604D">
        <w:t xml:space="preserve"> s</w:t>
      </w:r>
      <w:r w:rsidR="00DD1867">
        <w:t>’</w:t>
      </w:r>
      <w:r w:rsidRPr="0043604D">
        <w:t>est dit satisfait de l</w:t>
      </w:r>
      <w:r w:rsidR="00DD1867">
        <w:t>’</w:t>
      </w:r>
      <w:r w:rsidRPr="0043604D">
        <w:t>approche structurée adoptée, de l</w:t>
      </w:r>
      <w:r w:rsidR="00DD1867">
        <w:t>’</w:t>
      </w:r>
      <w:r w:rsidRPr="0043604D">
        <w:t>analyse fournie et des progrès constants dans la mise en œuvre des projets figurant dans le programme d</w:t>
      </w:r>
      <w:r w:rsidR="00DD1867">
        <w:t>’</w:t>
      </w:r>
      <w:r w:rsidRPr="0043604D">
        <w:t>assurance informatique de l</w:t>
      </w:r>
      <w:r w:rsidR="00DD1867">
        <w:t>’</w:t>
      </w:r>
      <w:r w:rsidRPr="0043604D">
        <w:t xml:space="preserve">Organisation </w:t>
      </w:r>
      <w:r w:rsidR="00DD1867" w:rsidRPr="0043604D">
        <w:t>pour</w:t>
      </w:r>
      <w:r w:rsidR="00DD1867">
        <w:t> </w:t>
      </w:r>
      <w:r w:rsidR="00DD1867" w:rsidRPr="0043604D">
        <w:t>2016</w:t>
      </w:r>
      <w:r w:rsidR="00002E83">
        <w:noBreakHyphen/>
      </w:r>
      <w:r w:rsidRPr="0043604D">
        <w:t>2020.</w:t>
      </w:r>
    </w:p>
    <w:p w:rsidR="0001272B" w:rsidRPr="0043604D" w:rsidRDefault="00A25666" w:rsidP="00B23517">
      <w:pPr>
        <w:pStyle w:val="ONUMFS"/>
      </w:pPr>
      <w:r w:rsidRPr="0043604D">
        <w:t>L</w:t>
      </w:r>
      <w:r w:rsidR="00DD1867">
        <w:t>’</w:t>
      </w:r>
      <w:r w:rsidRPr="0043604D">
        <w:t xml:space="preserve">OCIS a également été informé du Plan stratégique de sécurité </w:t>
      </w:r>
      <w:r w:rsidR="00DD1867" w:rsidRPr="0043604D">
        <w:t>pour</w:t>
      </w:r>
      <w:r w:rsidR="00DD1867">
        <w:t> </w:t>
      </w:r>
      <w:r w:rsidR="00DD1867" w:rsidRPr="0043604D">
        <w:t>2016</w:t>
      </w:r>
      <w:r w:rsidR="00002E83">
        <w:noBreakHyphen/>
      </w:r>
      <w:r w:rsidRPr="0043604D">
        <w:t>2021, ainsi que des résultats prévus et de l</w:t>
      </w:r>
      <w:r w:rsidR="00DD1867">
        <w:t>’</w:t>
      </w:r>
      <w:r w:rsidRPr="0043604D">
        <w:t>état d</w:t>
      </w:r>
      <w:r w:rsidR="00DD1867">
        <w:t>’</w:t>
      </w:r>
      <w:r w:rsidRPr="0043604D">
        <w:t>avancement des divers projets menés au titre de ce plan.</w:t>
      </w:r>
    </w:p>
    <w:p w:rsidR="0001272B" w:rsidRPr="0043604D" w:rsidRDefault="0001272B" w:rsidP="00B23517">
      <w:pPr>
        <w:pStyle w:val="Heading3"/>
      </w:pPr>
      <w:r w:rsidRPr="0043604D">
        <w:t>Dispositi</w:t>
      </w:r>
      <w:r w:rsidR="0043604D">
        <w:t>f</w:t>
      </w:r>
      <w:r w:rsidR="00A25666" w:rsidRPr="0043604D">
        <w:t xml:space="preserve"> de contrôle interne de l</w:t>
      </w:r>
      <w:r w:rsidR="00DD1867">
        <w:t>’</w:t>
      </w:r>
      <w:r w:rsidR="00A25666" w:rsidRPr="0043604D">
        <w:t>OMPI</w:t>
      </w:r>
    </w:p>
    <w:p w:rsidR="0001272B" w:rsidRPr="0043604D" w:rsidRDefault="0001272B" w:rsidP="00B23517"/>
    <w:p w:rsidR="00DD1867" w:rsidRDefault="00A25666" w:rsidP="00B23517">
      <w:pPr>
        <w:pStyle w:val="ONUMFS"/>
      </w:pPr>
      <w:r w:rsidRPr="0043604D">
        <w:t>À la cinquant</w:t>
      </w:r>
      <w:r w:rsidR="00DD1867">
        <w:t>ième session</w:t>
      </w:r>
      <w:r w:rsidR="0001272B" w:rsidRPr="0043604D">
        <w:t xml:space="preserve"> de l</w:t>
      </w:r>
      <w:r w:rsidR="00DD1867">
        <w:t>’</w:t>
      </w:r>
      <w:r w:rsidR="0001272B" w:rsidRPr="0043604D">
        <w:t>OCIS</w:t>
      </w:r>
      <w:r w:rsidRPr="0043604D">
        <w:t xml:space="preserve">, la directrice du Département des finances et de la </w:t>
      </w:r>
      <w:r w:rsidRPr="00D9753C">
        <w:t>planification des programmes</w:t>
      </w:r>
      <w:r w:rsidR="00D9753C" w:rsidRPr="00D9753C">
        <w:t xml:space="preserve"> (contrôleur)</w:t>
      </w:r>
      <w:r w:rsidRPr="00D9753C">
        <w:t xml:space="preserve"> et le contrôleur adjoint ont informé l</w:t>
      </w:r>
      <w:r w:rsidR="00DD1867">
        <w:t>’</w:t>
      </w:r>
      <w:r w:rsidRPr="00D9753C">
        <w:t>OCIS des</w:t>
      </w:r>
      <w:r w:rsidRPr="0043604D">
        <w:t xml:space="preserve"> mesures prises, en cours et prévues afin de renforcer le </w:t>
      </w:r>
      <w:r w:rsidR="0001272B" w:rsidRPr="0043604D">
        <w:t>dispositif</w:t>
      </w:r>
      <w:r w:rsidRPr="0043604D">
        <w:t xml:space="preserve"> de contrôle interne de l</w:t>
      </w:r>
      <w:r w:rsidR="00DD1867">
        <w:t>’</w:t>
      </w:r>
      <w:r w:rsidRPr="0043604D">
        <w:t>OMPI.</w:t>
      </w:r>
      <w:r w:rsidR="005C40ED" w:rsidRPr="0043604D">
        <w:t xml:space="preserve">  </w:t>
      </w:r>
      <w:r w:rsidRPr="0043604D">
        <w:t>L</w:t>
      </w:r>
      <w:r w:rsidR="00DD1867">
        <w:t>’</w:t>
      </w:r>
      <w:r w:rsidRPr="0043604D">
        <w:t>O</w:t>
      </w:r>
      <w:r w:rsidR="0001272B" w:rsidRPr="0043604D">
        <w:t>rgane</w:t>
      </w:r>
      <w:r w:rsidRPr="0043604D">
        <w:t xml:space="preserve"> s</w:t>
      </w:r>
      <w:r w:rsidR="00DD1867">
        <w:t>’</w:t>
      </w:r>
      <w:r w:rsidRPr="0043604D">
        <w:t>est félicité en particulier du lancement prochain du programme de formation en ligne pour sensibiliser à la fraude et de la révision en cours de la politique antifraude de l</w:t>
      </w:r>
      <w:r w:rsidR="00DD1867">
        <w:t>’</w:t>
      </w:r>
      <w:r w:rsidRPr="0043604D">
        <w:t>O</w:t>
      </w:r>
      <w:r w:rsidR="00ED0BA6" w:rsidRPr="0043604D">
        <w:t>MPI</w:t>
      </w:r>
      <w:r w:rsidR="00ED0BA6">
        <w:t xml:space="preserve">.  </w:t>
      </w:r>
      <w:r w:rsidR="00ED0BA6" w:rsidRPr="0043604D">
        <w:t>Il</w:t>
      </w:r>
      <w:r w:rsidRPr="0043604D">
        <w:t xml:space="preserve"> a également félicité l</w:t>
      </w:r>
      <w:r w:rsidR="00DD1867">
        <w:t>’</w:t>
      </w:r>
      <w:r w:rsidRPr="0043604D">
        <w:t>Administration du recours accru à l</w:t>
      </w:r>
      <w:r w:rsidR="00DD1867">
        <w:t>’</w:t>
      </w:r>
      <w:r w:rsidRPr="0043604D">
        <w:t>analyse des données pour automatiser les contrôles et signaler les exceptio</w:t>
      </w:r>
      <w:r w:rsidR="00ED0BA6" w:rsidRPr="0043604D">
        <w:t>ns</w:t>
      </w:r>
      <w:r w:rsidR="00ED0BA6">
        <w:t xml:space="preserve">.  </w:t>
      </w:r>
      <w:r w:rsidR="00ED0BA6" w:rsidRPr="0043604D">
        <w:t>Af</w:t>
      </w:r>
      <w:r w:rsidR="00CE74DF" w:rsidRPr="0043604D">
        <w:t>in d</w:t>
      </w:r>
      <w:r w:rsidR="00DD1867">
        <w:t>’</w:t>
      </w:r>
      <w:r w:rsidR="00CE74DF" w:rsidRPr="0043604D">
        <w:t>éviter une répétition inutile des tâches en ce qui concerne ces contrôles intégrés,</w:t>
      </w:r>
      <w:r w:rsidR="00DD1867" w:rsidRPr="0043604D">
        <w:t xml:space="preserve"> la</w:t>
      </w:r>
      <w:r w:rsidR="00DD1867">
        <w:t> </w:t>
      </w:r>
      <w:r w:rsidR="00DD1867" w:rsidRPr="0043604D">
        <w:t>DSI</w:t>
      </w:r>
      <w:r w:rsidR="00CE74DF" w:rsidRPr="0043604D">
        <w:t xml:space="preserve"> est en train de revoir et de recentrer ses activités d</w:t>
      </w:r>
      <w:r w:rsidR="00DD1867">
        <w:t>’</w:t>
      </w:r>
      <w:r w:rsidR="00CE74DF" w:rsidRPr="0043604D">
        <w:t>audit permanentes.</w:t>
      </w:r>
    </w:p>
    <w:p w:rsidR="0001272B" w:rsidRDefault="00CE74DF" w:rsidP="00B23517">
      <w:pPr>
        <w:pStyle w:val="Heading3"/>
      </w:pPr>
      <w:bookmarkStart w:id="29" w:name="_Toc395336854"/>
      <w:r w:rsidRPr="0043604D">
        <w:lastRenderedPageBreak/>
        <w:t>Cadre de responsabilisation de l</w:t>
      </w:r>
      <w:r w:rsidR="00DD1867">
        <w:t>’</w:t>
      </w:r>
      <w:r w:rsidRPr="0043604D">
        <w:t>OMPI</w:t>
      </w:r>
    </w:p>
    <w:p w:rsidR="00B23517" w:rsidRPr="00B23517" w:rsidRDefault="00B23517" w:rsidP="00B23517"/>
    <w:p w:rsidR="0001272B" w:rsidRPr="0043604D" w:rsidRDefault="00CE74DF" w:rsidP="00B23517">
      <w:pPr>
        <w:pStyle w:val="ONUMFS"/>
      </w:pPr>
      <w:r w:rsidRPr="0043604D">
        <w:t>À sa cinquante</w:t>
      </w:r>
      <w:r w:rsidR="00002E83">
        <w:noBreakHyphen/>
      </w:r>
      <w:r w:rsidRPr="0043604D">
        <w:t>trois</w:t>
      </w:r>
      <w:r w:rsidR="00DD1867">
        <w:t>ième session</w:t>
      </w:r>
      <w:r w:rsidRPr="0043604D">
        <w:t>, l</w:t>
      </w:r>
      <w:r w:rsidR="00DD1867">
        <w:t>’</w:t>
      </w:r>
      <w:r w:rsidRPr="0043604D">
        <w:t>OCIS a examiné avec le contrôleur et le contrôleur adjoint le cadre de responsabilisation de l</w:t>
      </w:r>
      <w:r w:rsidR="00DD1867">
        <w:t>’</w:t>
      </w:r>
      <w:r w:rsidRPr="0043604D">
        <w:t>OMPI récemment publié (WO/PBC/29/4).</w:t>
      </w:r>
      <w:r w:rsidR="003638D5" w:rsidRPr="0043604D">
        <w:t xml:space="preserve"> </w:t>
      </w:r>
      <w:r w:rsidR="00E33A56" w:rsidRPr="0043604D">
        <w:t xml:space="preserve"> </w:t>
      </w:r>
      <w:r w:rsidRPr="0043604D">
        <w:t>L</w:t>
      </w:r>
      <w:r w:rsidR="00DD1867">
        <w:t>’</w:t>
      </w:r>
      <w:r w:rsidRPr="0043604D">
        <w:t xml:space="preserve">OCIS a accueilli avec satisfaction le document, qui regroupe les divers éléments </w:t>
      </w:r>
      <w:r w:rsidR="0001272B" w:rsidRPr="0043604D">
        <w:t>considérés</w:t>
      </w:r>
      <w:r w:rsidRPr="0043604D">
        <w:t xml:space="preserve"> d</w:t>
      </w:r>
      <w:r w:rsidR="00DD1867">
        <w:t>’</w:t>
      </w:r>
      <w:r w:rsidRPr="0043604D">
        <w:t>une manière clairement structur</w:t>
      </w:r>
      <w:r w:rsidR="00ED0BA6" w:rsidRPr="0043604D">
        <w:t>ée</w:t>
      </w:r>
      <w:r w:rsidR="00ED0BA6">
        <w:t xml:space="preserve">.  </w:t>
      </w:r>
      <w:r w:rsidR="00ED0BA6" w:rsidRPr="0043604D">
        <w:t>Il</w:t>
      </w:r>
      <w:r w:rsidRPr="0043604D">
        <w:t xml:space="preserve"> a noté que la composante</w:t>
      </w:r>
      <w:r w:rsidR="002B1D77" w:rsidRPr="0043604D">
        <w:t> </w:t>
      </w:r>
      <w:r w:rsidRPr="0043604D">
        <w:t xml:space="preserve">5 </w:t>
      </w:r>
      <w:r w:rsidR="002B1D77" w:rsidRPr="0043604D">
        <w:t>–</w:t>
      </w:r>
      <w:r w:rsidRPr="0043604D">
        <w:t xml:space="preserve"> Information et communication était axée sur la communication avec les parties externes et a suggéré </w:t>
      </w:r>
      <w:r w:rsidR="0001272B" w:rsidRPr="0043604D">
        <w:t>que cette composante tienne</w:t>
      </w:r>
      <w:r w:rsidRPr="0043604D">
        <w:t xml:space="preserve"> également compte de la communication avec les parties prenantes internes.</w:t>
      </w:r>
      <w:r w:rsidR="00E33A56" w:rsidRPr="0043604D">
        <w:t xml:space="preserve"> </w:t>
      </w:r>
      <w:r w:rsidR="001C72B1" w:rsidRPr="0043604D">
        <w:t xml:space="preserve"> </w:t>
      </w:r>
      <w:r w:rsidRPr="0043604D">
        <w:t>L</w:t>
      </w:r>
      <w:r w:rsidR="00DD1867">
        <w:t>’</w:t>
      </w:r>
      <w:r w:rsidRPr="0043604D">
        <w:t xml:space="preserve">OCIS a également suggéré que la direction procède à une évaluation de la mise en </w:t>
      </w:r>
      <w:r w:rsidR="002B1D77" w:rsidRPr="0043604D">
        <w:t>œ</w:t>
      </w:r>
      <w:r w:rsidRPr="0043604D">
        <w:t>uvre du cadre en temps utile.</w:t>
      </w:r>
    </w:p>
    <w:p w:rsidR="0001272B" w:rsidRDefault="00CE74DF" w:rsidP="00B23517">
      <w:pPr>
        <w:pStyle w:val="Heading2"/>
      </w:pPr>
      <w:bookmarkStart w:id="30" w:name="_Toc13132569"/>
      <w:bookmarkEnd w:id="29"/>
      <w:r w:rsidRPr="0043604D">
        <w:t>Mise en œuvre des recommandations relatives à la supervision</w:t>
      </w:r>
      <w:bookmarkEnd w:id="30"/>
    </w:p>
    <w:p w:rsidR="00B23517" w:rsidRPr="00B23517" w:rsidRDefault="00B23517" w:rsidP="00B23517"/>
    <w:p w:rsidR="0001272B" w:rsidRPr="0043604D" w:rsidRDefault="00CE74DF" w:rsidP="00B23517">
      <w:pPr>
        <w:pStyle w:val="ONUMFS"/>
      </w:pPr>
      <w:r w:rsidRPr="0043604D">
        <w:t>À chacune de ses sessions, l</w:t>
      </w:r>
      <w:r w:rsidR="00DD1867">
        <w:t>’</w:t>
      </w:r>
      <w:r w:rsidRPr="0043604D">
        <w:t>OCIS a examiné l</w:t>
      </w:r>
      <w:r w:rsidR="00DD1867">
        <w:t>’</w:t>
      </w:r>
      <w:r w:rsidRPr="0043604D">
        <w:t>état d</w:t>
      </w:r>
      <w:r w:rsidR="00DD1867">
        <w:t>’</w:t>
      </w:r>
      <w:r w:rsidRPr="0043604D">
        <w:t>avancement de la mise en œuvre des recommandations relatives à la supervision à partir des données transmises par la base de données TeamCentral de</w:t>
      </w:r>
      <w:r w:rsidR="00DD1867" w:rsidRPr="0043604D">
        <w:t xml:space="preserve"> la</w:t>
      </w:r>
      <w:r w:rsidR="00DD1867">
        <w:t> </w:t>
      </w:r>
      <w:r w:rsidR="00DD1867" w:rsidRPr="0043604D">
        <w:t>DSI</w:t>
      </w:r>
      <w:r w:rsidRPr="0043604D">
        <w:t>.</w:t>
      </w:r>
      <w:r w:rsidR="006C0F94" w:rsidRPr="0043604D">
        <w:t xml:space="preserve">  </w:t>
      </w:r>
      <w:r w:rsidRPr="0043604D">
        <w:t>À la date de rédaction du présent rapport, l</w:t>
      </w:r>
      <w:r w:rsidR="00DD1867">
        <w:t>’</w:t>
      </w:r>
      <w:r w:rsidRPr="0043604D">
        <w:t>OCIS a été informé que le nombre de recommandations de supervision ouvertes s</w:t>
      </w:r>
      <w:r w:rsidR="00DD1867">
        <w:t>’</w:t>
      </w:r>
      <w:r w:rsidRPr="0043604D">
        <w:t>élevait à 155, dont 68 (44%) étaient jugés hautement prioritair</w:t>
      </w:r>
      <w:r w:rsidR="00ED0BA6" w:rsidRPr="0043604D">
        <w:t>es</w:t>
      </w:r>
      <w:r w:rsidR="00ED0BA6">
        <w:t xml:space="preserve">.  </w:t>
      </w:r>
      <w:r w:rsidR="00ED0BA6" w:rsidRPr="0043604D">
        <w:t>On</w:t>
      </w:r>
      <w:r w:rsidR="00E7574F" w:rsidRPr="0043604D">
        <w:t xml:space="preserve"> comptait 132</w:t>
      </w:r>
      <w:r w:rsidR="002B1D77" w:rsidRPr="0043604D">
        <w:t> </w:t>
      </w:r>
      <w:r w:rsidR="00E7574F" w:rsidRPr="0043604D">
        <w:t>recommandations issues des missions de supervision interne (85%) et deux</w:t>
      </w:r>
      <w:r w:rsidR="008422B4">
        <w:t> </w:t>
      </w:r>
      <w:r w:rsidR="00E7574F" w:rsidRPr="0043604D">
        <w:t>recommandations émanant de l</w:t>
      </w:r>
      <w:r w:rsidR="00DD1867">
        <w:t>’</w:t>
      </w:r>
      <w:r w:rsidR="00E7574F" w:rsidRPr="0043604D">
        <w:t>O</w:t>
      </w:r>
      <w:r w:rsidR="00ED0BA6" w:rsidRPr="0043604D">
        <w:t>CIS</w:t>
      </w:r>
      <w:r w:rsidR="00ED0BA6">
        <w:t xml:space="preserve">.  </w:t>
      </w:r>
      <w:r w:rsidR="00ED0BA6" w:rsidRPr="0043604D">
        <w:t>De</w:t>
      </w:r>
      <w:r w:rsidR="00E7574F" w:rsidRPr="0043604D">
        <w:t>puis le début de la période considérée, le nombre total de recommandations ouvertes a diminué de 14%;  l</w:t>
      </w:r>
      <w:r w:rsidR="00DD1867">
        <w:t>’</w:t>
      </w:r>
      <w:r w:rsidR="00E7574F" w:rsidRPr="0043604D">
        <w:t>OCIS a constaté avec satisfaction que la direction et</w:t>
      </w:r>
      <w:r w:rsidR="00DD1867" w:rsidRPr="0043604D">
        <w:t xml:space="preserve"> la</w:t>
      </w:r>
      <w:r w:rsidR="00DD1867">
        <w:t> </w:t>
      </w:r>
      <w:r w:rsidR="00DD1867" w:rsidRPr="0043604D">
        <w:t>DSI</w:t>
      </w:r>
      <w:r w:rsidR="00E7574F" w:rsidRPr="0043604D">
        <w:t xml:space="preserve"> surveillaient activement l</w:t>
      </w:r>
      <w:r w:rsidR="00DD1867">
        <w:t>’</w:t>
      </w:r>
      <w:r w:rsidR="00E7574F" w:rsidRPr="0043604D">
        <w:t>état d</w:t>
      </w:r>
      <w:r w:rsidR="00DD1867">
        <w:t>’</w:t>
      </w:r>
      <w:r w:rsidR="00E7574F" w:rsidRPr="0043604D">
        <w:t xml:space="preserve">avancement de </w:t>
      </w:r>
      <w:r w:rsidR="0001272B" w:rsidRPr="0043604D">
        <w:t>l</w:t>
      </w:r>
      <w:r w:rsidR="00DD1867">
        <w:t>’</w:t>
      </w:r>
      <w:r w:rsidR="0001272B" w:rsidRPr="0043604D">
        <w:t>exécution</w:t>
      </w:r>
      <w:r w:rsidR="00E7574F" w:rsidRPr="0043604D">
        <w:t xml:space="preserve"> des recommandations relatives à la supervision et travaillaient à leur mise en </w:t>
      </w:r>
      <w:r w:rsidR="002B1D77" w:rsidRPr="0043604D">
        <w:t>œ</w:t>
      </w:r>
      <w:r w:rsidR="00E7574F" w:rsidRPr="0043604D">
        <w:t>uvre complète.</w:t>
      </w:r>
    </w:p>
    <w:p w:rsidR="0001272B" w:rsidRPr="0043604D" w:rsidRDefault="00E7574F" w:rsidP="00B23517">
      <w:pPr>
        <w:pStyle w:val="ONUMFS"/>
        <w:rPr>
          <w:szCs w:val="22"/>
        </w:rPr>
      </w:pPr>
      <w:r w:rsidRPr="0043604D">
        <w:t>Compte tenu du nombre élevé de recommandations formulées de longue d</w:t>
      </w:r>
      <w:r w:rsidR="0001272B" w:rsidRPr="0043604D">
        <w:t>at</w:t>
      </w:r>
      <w:r w:rsidRPr="0043604D">
        <w:t>e</w:t>
      </w:r>
      <w:r w:rsidR="0001272B" w:rsidRPr="0043604D">
        <w:t xml:space="preserve"> par</w:t>
      </w:r>
      <w:r w:rsidR="00DD1867" w:rsidRPr="0043604D">
        <w:t xml:space="preserve"> la</w:t>
      </w:r>
      <w:r w:rsidR="00DD1867">
        <w:t> </w:t>
      </w:r>
      <w:r w:rsidR="00DD1867" w:rsidRPr="0043604D">
        <w:t>DSI</w:t>
      </w:r>
      <w:r w:rsidRPr="0043604D">
        <w:t>, l</w:t>
      </w:r>
      <w:r w:rsidR="00DD1867">
        <w:t>’</w:t>
      </w:r>
      <w:r w:rsidRPr="0043604D">
        <w:t>OCIS a suggéré de procéder à un examen périodique afin de s</w:t>
      </w:r>
      <w:r w:rsidR="00DD1867">
        <w:t>’</w:t>
      </w:r>
      <w:r w:rsidRPr="0043604D">
        <w:t>assurer de leur pertinence et de réévaluer le niveau de risque résiduel.</w:t>
      </w:r>
      <w:r w:rsidR="00393414" w:rsidRPr="0043604D">
        <w:t xml:space="preserve"> </w:t>
      </w:r>
      <w:r w:rsidR="00003042" w:rsidRPr="0043604D">
        <w:t xml:space="preserve"> </w:t>
      </w:r>
      <w:r w:rsidRPr="0043604D">
        <w:t>L</w:t>
      </w:r>
      <w:r w:rsidR="00DD1867">
        <w:t>’</w:t>
      </w:r>
      <w:r w:rsidRPr="0043604D">
        <w:t>O</w:t>
      </w:r>
      <w:r w:rsidR="0001272B" w:rsidRPr="0043604D">
        <w:t>rgane</w:t>
      </w:r>
      <w:r w:rsidRPr="0043604D">
        <w:t xml:space="preserve"> a été informé que le Secrétariat et</w:t>
      </w:r>
      <w:r w:rsidR="00DD1867" w:rsidRPr="0043604D">
        <w:t xml:space="preserve"> la</w:t>
      </w:r>
      <w:r w:rsidR="00DD1867">
        <w:t> </w:t>
      </w:r>
      <w:r w:rsidR="00DD1867" w:rsidRPr="0043604D">
        <w:t>DSI</w:t>
      </w:r>
      <w:r w:rsidRPr="0043604D">
        <w:t xml:space="preserve"> prévoyaient de passer en revue d</w:t>
      </w:r>
      <w:r w:rsidR="00DD1867">
        <w:t>’</w:t>
      </w:r>
      <w:r w:rsidRPr="0043604D">
        <w:t>ici à la fin de l</w:t>
      </w:r>
      <w:r w:rsidR="00DD1867">
        <w:t>’</w:t>
      </w:r>
      <w:r w:rsidRPr="0043604D">
        <w:t>année les recommandations qui avaient été formulées il y a au moins trois</w:t>
      </w:r>
      <w:r w:rsidR="008422B4">
        <w:t> </w:t>
      </w:r>
      <w:r w:rsidRPr="0043604D">
        <w:t>ans.</w:t>
      </w:r>
    </w:p>
    <w:p w:rsidR="0001272B" w:rsidRPr="0043604D" w:rsidRDefault="00E7574F" w:rsidP="00B23517">
      <w:pPr>
        <w:pStyle w:val="ONUMFS"/>
        <w:rPr>
          <w:rStyle w:val="normalchar1"/>
          <w:rFonts w:ascii="Arial" w:hAnsi="Arial" w:cs="Times New Roman"/>
        </w:rPr>
      </w:pPr>
      <w:r w:rsidRPr="0043604D">
        <w:t>À sa cinquante</w:t>
      </w:r>
      <w:r w:rsidR="00DD1867">
        <w:t> et unième session</w:t>
      </w:r>
      <w:r w:rsidRPr="0043604D">
        <w:t xml:space="preserve">, </w:t>
      </w:r>
      <w:r w:rsidR="0001272B" w:rsidRPr="0043604D">
        <w:t>l</w:t>
      </w:r>
      <w:r w:rsidR="00DD1867">
        <w:t>’</w:t>
      </w:r>
      <w:r w:rsidR="0001272B" w:rsidRPr="0043604D">
        <w:t>OCIS a</w:t>
      </w:r>
      <w:r w:rsidRPr="0043604D">
        <w:t xml:space="preserve"> noté qu</w:t>
      </w:r>
      <w:r w:rsidR="00DD1867">
        <w:t>’</w:t>
      </w:r>
      <w:r w:rsidRPr="0043604D">
        <w:t xml:space="preserve">un certain nombre de recommandations faites par le précédent vérificateur externe des comptes avaient été marquées par la direction comme </w:t>
      </w:r>
      <w:r w:rsidR="00F25375" w:rsidRPr="0043604D">
        <w:t>“</w:t>
      </w:r>
      <w:r w:rsidRPr="0043604D">
        <w:t>achevée</w:t>
      </w:r>
      <w:r w:rsidR="0001272B" w:rsidRPr="0043604D">
        <w:t>s</w:t>
      </w:r>
      <w:r w:rsidR="00F25375" w:rsidRPr="0043604D">
        <w:t>”</w:t>
      </w:r>
      <w:r w:rsidR="0001272B" w:rsidRPr="0043604D">
        <w:t>,</w:t>
      </w:r>
      <w:r w:rsidRPr="0043604D">
        <w:t xml:space="preserve"> mais attendaient toujours l</w:t>
      </w:r>
      <w:r w:rsidR="00DD1867">
        <w:t>’</w:t>
      </w:r>
      <w:r w:rsidRPr="0043604D">
        <w:t>approbation du vérificateur externe des comptes en exerci</w:t>
      </w:r>
      <w:r w:rsidR="00ED0BA6" w:rsidRPr="0043604D">
        <w:t>ce</w:t>
      </w:r>
      <w:r w:rsidR="00ED0BA6">
        <w:t xml:space="preserve">.  </w:t>
      </w:r>
      <w:r w:rsidR="00ED0BA6" w:rsidRPr="0043604D">
        <w:t>Pa</w:t>
      </w:r>
      <w:r w:rsidRPr="0043604D">
        <w:t>r la suite, le vérificateur externe a passé en revue les recommandations de l</w:t>
      </w:r>
      <w:r w:rsidR="00DD1867">
        <w:t>’</w:t>
      </w:r>
      <w:r w:rsidRPr="0043604D">
        <w:t>audit externe en suspens et a confirmé que 12 d</w:t>
      </w:r>
      <w:r w:rsidR="00DD1867">
        <w:t>’</w:t>
      </w:r>
      <w:r w:rsidRPr="0043604D">
        <w:t xml:space="preserve">entre elles avaient été exécutées, tandis que sept étaient en cours de mise en </w:t>
      </w:r>
      <w:r w:rsidR="002B1D77" w:rsidRPr="0043604D">
        <w:t>œ</w:t>
      </w:r>
      <w:r w:rsidRPr="0043604D">
        <w:t>uvre.</w:t>
      </w:r>
      <w:r w:rsidR="00AB6DAB" w:rsidRPr="0043604D">
        <w:t xml:space="preserve">  </w:t>
      </w:r>
      <w:r w:rsidRPr="0043604D">
        <w:rPr>
          <w:rStyle w:val="normalchar1"/>
          <w:rFonts w:ascii="Arial" w:eastAsia="Times New Roman" w:hAnsi="Arial" w:cs="Arial"/>
          <w:lang w:eastAsia="en-US"/>
        </w:rPr>
        <w:t>L</w:t>
      </w:r>
      <w:r w:rsidR="00DD1867">
        <w:rPr>
          <w:rStyle w:val="normalchar1"/>
          <w:rFonts w:ascii="Arial" w:eastAsia="Times New Roman" w:hAnsi="Arial" w:cs="Arial"/>
          <w:lang w:eastAsia="en-US"/>
        </w:rPr>
        <w:t>’</w:t>
      </w:r>
      <w:r w:rsidRPr="0043604D">
        <w:rPr>
          <w:rStyle w:val="normalchar1"/>
          <w:rFonts w:ascii="Arial" w:eastAsia="Times New Roman" w:hAnsi="Arial" w:cs="Arial"/>
          <w:lang w:eastAsia="en-US"/>
        </w:rPr>
        <w:t>O</w:t>
      </w:r>
      <w:r w:rsidR="005E1275" w:rsidRPr="0043604D">
        <w:rPr>
          <w:rStyle w:val="normalchar1"/>
          <w:rFonts w:ascii="Arial" w:eastAsia="Times New Roman" w:hAnsi="Arial" w:cs="Arial"/>
          <w:lang w:eastAsia="en-US"/>
        </w:rPr>
        <w:t>rgane</w:t>
      </w:r>
      <w:r w:rsidRPr="0043604D">
        <w:rPr>
          <w:rStyle w:val="normalchar1"/>
          <w:rFonts w:ascii="Arial" w:eastAsia="Times New Roman" w:hAnsi="Arial" w:cs="Arial"/>
          <w:lang w:eastAsia="en-US"/>
        </w:rPr>
        <w:t xml:space="preserve"> a suggéré que</w:t>
      </w:r>
      <w:r w:rsidR="00DD1867" w:rsidRPr="0043604D">
        <w:rPr>
          <w:rStyle w:val="normalchar1"/>
          <w:rFonts w:ascii="Arial" w:eastAsia="Times New Roman" w:hAnsi="Arial" w:cs="Arial"/>
          <w:lang w:eastAsia="en-US"/>
        </w:rPr>
        <w:t xml:space="preserve"> la</w:t>
      </w:r>
      <w:r w:rsidR="00DD1867">
        <w:rPr>
          <w:rStyle w:val="normalchar1"/>
          <w:rFonts w:ascii="Arial" w:eastAsia="Times New Roman" w:hAnsi="Arial" w:cs="Arial"/>
          <w:lang w:eastAsia="en-US"/>
        </w:rPr>
        <w:t> </w:t>
      </w:r>
      <w:r w:rsidR="00DD1867" w:rsidRPr="0043604D">
        <w:rPr>
          <w:rStyle w:val="normalchar1"/>
          <w:rFonts w:ascii="Arial" w:eastAsia="Times New Roman" w:hAnsi="Arial" w:cs="Arial"/>
          <w:lang w:eastAsia="en-US"/>
        </w:rPr>
        <w:t>DSI</w:t>
      </w:r>
      <w:r w:rsidRPr="0043604D">
        <w:rPr>
          <w:rStyle w:val="normalchar1"/>
          <w:rFonts w:ascii="Arial" w:eastAsia="Times New Roman" w:hAnsi="Arial" w:cs="Arial"/>
          <w:lang w:eastAsia="en-US"/>
        </w:rPr>
        <w:t xml:space="preserve"> procède à un rapprochement entre ses statistiques sur les recommandations de l</w:t>
      </w:r>
      <w:r w:rsidR="00DD1867">
        <w:rPr>
          <w:rStyle w:val="normalchar1"/>
          <w:rFonts w:ascii="Arial" w:eastAsia="Times New Roman" w:hAnsi="Arial" w:cs="Arial"/>
          <w:lang w:eastAsia="en-US"/>
        </w:rPr>
        <w:t>’</w:t>
      </w:r>
      <w:r w:rsidRPr="0043604D">
        <w:rPr>
          <w:rStyle w:val="normalchar1"/>
          <w:rFonts w:ascii="Arial" w:eastAsia="Times New Roman" w:hAnsi="Arial" w:cs="Arial"/>
          <w:lang w:eastAsia="en-US"/>
        </w:rPr>
        <w:t>audit externe et les données correspondantes figurant dans le rapport du vérificateur externe des comptes sur les états financiers de l</w:t>
      </w:r>
      <w:r w:rsidR="00DD1867">
        <w:rPr>
          <w:rStyle w:val="normalchar1"/>
          <w:rFonts w:ascii="Arial" w:eastAsia="Times New Roman" w:hAnsi="Arial" w:cs="Arial"/>
          <w:lang w:eastAsia="en-US"/>
        </w:rPr>
        <w:t>’</w:t>
      </w:r>
      <w:r w:rsidRPr="0043604D">
        <w:rPr>
          <w:rStyle w:val="normalchar1"/>
          <w:rFonts w:ascii="Arial" w:eastAsia="Times New Roman" w:hAnsi="Arial" w:cs="Arial"/>
          <w:lang w:eastAsia="en-US"/>
        </w:rPr>
        <w:t>OMPI pour l</w:t>
      </w:r>
      <w:r w:rsidR="00DD1867">
        <w:rPr>
          <w:rStyle w:val="normalchar1"/>
          <w:rFonts w:ascii="Arial" w:eastAsia="Times New Roman" w:hAnsi="Arial" w:cs="Arial"/>
          <w:lang w:eastAsia="en-US"/>
        </w:rPr>
        <w:t>’</w:t>
      </w:r>
      <w:r w:rsidRPr="0043604D">
        <w:rPr>
          <w:rStyle w:val="normalchar1"/>
          <w:rFonts w:ascii="Arial" w:eastAsia="Times New Roman" w:hAnsi="Arial" w:cs="Arial"/>
          <w:lang w:eastAsia="en-US"/>
        </w:rPr>
        <w:t>exercice financier</w:t>
      </w:r>
      <w:r w:rsidR="002B1D77" w:rsidRPr="0043604D">
        <w:rPr>
          <w:rStyle w:val="normalchar1"/>
          <w:rFonts w:ascii="Arial" w:eastAsia="Times New Roman" w:hAnsi="Arial" w:cs="Arial"/>
          <w:lang w:eastAsia="en-US"/>
        </w:rPr>
        <w:t> </w:t>
      </w:r>
      <w:r w:rsidRPr="0043604D">
        <w:rPr>
          <w:rStyle w:val="normalchar1"/>
          <w:rFonts w:ascii="Arial" w:eastAsia="Times New Roman" w:hAnsi="Arial" w:cs="Arial"/>
          <w:lang w:eastAsia="en-US"/>
        </w:rPr>
        <w:t>2018.</w:t>
      </w:r>
    </w:p>
    <w:p w:rsidR="0001272B" w:rsidRPr="0043604D" w:rsidRDefault="00F25375" w:rsidP="00B23517">
      <w:pPr>
        <w:pStyle w:val="ONUMFS"/>
        <w:rPr>
          <w:szCs w:val="22"/>
        </w:rPr>
      </w:pPr>
      <w:r w:rsidRPr="0043604D">
        <w:rPr>
          <w:szCs w:val="22"/>
        </w:rPr>
        <w:t>À sa cinquantième puis à sa cinquante</w:t>
      </w:r>
      <w:r w:rsidR="00002E83">
        <w:rPr>
          <w:szCs w:val="22"/>
        </w:rPr>
        <w:noBreakHyphen/>
      </w:r>
      <w:r w:rsidRPr="0043604D">
        <w:rPr>
          <w:szCs w:val="22"/>
        </w:rPr>
        <w:t>trois</w:t>
      </w:r>
      <w:r w:rsidR="00DD1867">
        <w:rPr>
          <w:szCs w:val="22"/>
        </w:rPr>
        <w:t>ième session</w:t>
      </w:r>
      <w:r w:rsidRPr="0043604D">
        <w:rPr>
          <w:szCs w:val="22"/>
        </w:rPr>
        <w:t>, l</w:t>
      </w:r>
      <w:r w:rsidR="00DD1867">
        <w:rPr>
          <w:szCs w:val="22"/>
        </w:rPr>
        <w:t>’</w:t>
      </w:r>
      <w:r w:rsidRPr="0043604D">
        <w:rPr>
          <w:szCs w:val="22"/>
        </w:rPr>
        <w:t>OCIS a examiné l</w:t>
      </w:r>
      <w:r w:rsidR="00DD1867">
        <w:rPr>
          <w:szCs w:val="22"/>
        </w:rPr>
        <w:t>’</w:t>
      </w:r>
      <w:r w:rsidRPr="0043604D">
        <w:rPr>
          <w:szCs w:val="22"/>
        </w:rPr>
        <w:t>état d</w:t>
      </w:r>
      <w:r w:rsidR="00DD1867">
        <w:rPr>
          <w:szCs w:val="22"/>
        </w:rPr>
        <w:t>’</w:t>
      </w:r>
      <w:r w:rsidRPr="0043604D">
        <w:rPr>
          <w:szCs w:val="22"/>
        </w:rPr>
        <w:t>avancement de la mise en œuvre des recommandations formulées par le Corps commun d</w:t>
      </w:r>
      <w:r w:rsidR="00DD1867">
        <w:rPr>
          <w:szCs w:val="22"/>
        </w:rPr>
        <w:t>’</w:t>
      </w:r>
      <w:r w:rsidRPr="0043604D">
        <w:rPr>
          <w:szCs w:val="22"/>
        </w:rPr>
        <w:t>inspection (CCI)</w:t>
      </w:r>
      <w:r w:rsidR="005E1275" w:rsidRPr="0043604D">
        <w:rPr>
          <w:szCs w:val="22"/>
        </w:rPr>
        <w:t xml:space="preserve"> qui ont été</w:t>
      </w:r>
      <w:r w:rsidRPr="0043604D">
        <w:rPr>
          <w:szCs w:val="22"/>
        </w:rPr>
        <w:t xml:space="preserve"> adressées aux chefs de Secrétariat.</w:t>
      </w:r>
      <w:r w:rsidR="006C0F94" w:rsidRPr="0043604D">
        <w:rPr>
          <w:szCs w:val="22"/>
        </w:rPr>
        <w:t xml:space="preserve"> </w:t>
      </w:r>
      <w:r w:rsidR="00E33A56" w:rsidRPr="0043604D">
        <w:rPr>
          <w:szCs w:val="22"/>
        </w:rPr>
        <w:t xml:space="preserve"> </w:t>
      </w:r>
      <w:r w:rsidRPr="0043604D">
        <w:rPr>
          <w:szCs w:val="22"/>
        </w:rPr>
        <w:t>L</w:t>
      </w:r>
      <w:r w:rsidR="00DD1867">
        <w:rPr>
          <w:szCs w:val="22"/>
        </w:rPr>
        <w:t>’</w:t>
      </w:r>
      <w:r w:rsidRPr="0043604D">
        <w:rPr>
          <w:szCs w:val="22"/>
        </w:rPr>
        <w:t>OCIS s</w:t>
      </w:r>
      <w:r w:rsidR="00DD1867">
        <w:rPr>
          <w:szCs w:val="22"/>
        </w:rPr>
        <w:t>’</w:t>
      </w:r>
      <w:r w:rsidRPr="0043604D">
        <w:rPr>
          <w:szCs w:val="22"/>
        </w:rPr>
        <w:t xml:space="preserve">est dit satisfait des progrès accomplis dans la mise en </w:t>
      </w:r>
      <w:r w:rsidR="002B1D77" w:rsidRPr="0043604D">
        <w:rPr>
          <w:szCs w:val="22"/>
        </w:rPr>
        <w:t>œ</w:t>
      </w:r>
      <w:r w:rsidRPr="0043604D">
        <w:rPr>
          <w:szCs w:val="22"/>
        </w:rPr>
        <w:t xml:space="preserve">uvre de ces recommandations et de la manière structurée dont le Secrétariat surveille et rend compte de cette mise en </w:t>
      </w:r>
      <w:r w:rsidR="002B1D77" w:rsidRPr="0043604D">
        <w:rPr>
          <w:szCs w:val="22"/>
        </w:rPr>
        <w:t>œ</w:t>
      </w:r>
      <w:r w:rsidRPr="0043604D">
        <w:rPr>
          <w:szCs w:val="22"/>
        </w:rPr>
        <w:t>uv</w:t>
      </w:r>
      <w:r w:rsidR="00ED0BA6" w:rsidRPr="0043604D">
        <w:rPr>
          <w:szCs w:val="22"/>
        </w:rPr>
        <w:t>re</w:t>
      </w:r>
      <w:r w:rsidR="00ED0BA6">
        <w:rPr>
          <w:szCs w:val="22"/>
        </w:rPr>
        <w:t xml:space="preserve">.  </w:t>
      </w:r>
      <w:r w:rsidR="00ED0BA6" w:rsidRPr="0043604D">
        <w:rPr>
          <w:szCs w:val="22"/>
        </w:rPr>
        <w:t xml:space="preserve">À </w:t>
      </w:r>
      <w:r w:rsidRPr="0043604D">
        <w:rPr>
          <w:szCs w:val="22"/>
        </w:rPr>
        <w:t>la date de rédaction du présent rapport, seules 14</w:t>
      </w:r>
      <w:r w:rsidR="002B1D77" w:rsidRPr="0043604D">
        <w:rPr>
          <w:szCs w:val="22"/>
        </w:rPr>
        <w:t> </w:t>
      </w:r>
      <w:r w:rsidRPr="0043604D">
        <w:rPr>
          <w:szCs w:val="22"/>
        </w:rPr>
        <w:t>recommandations émises dans les rapports</w:t>
      </w:r>
      <w:r w:rsidR="00DD1867" w:rsidRPr="0043604D">
        <w:rPr>
          <w:szCs w:val="22"/>
        </w:rPr>
        <w:t xml:space="preserve"> du</w:t>
      </w:r>
      <w:r w:rsidR="00DD1867">
        <w:rPr>
          <w:szCs w:val="22"/>
        </w:rPr>
        <w:t> </w:t>
      </w:r>
      <w:r w:rsidR="00DD1867" w:rsidRPr="0043604D">
        <w:rPr>
          <w:szCs w:val="22"/>
        </w:rPr>
        <w:t>CCI</w:t>
      </w:r>
      <w:r w:rsidRPr="0043604D">
        <w:rPr>
          <w:szCs w:val="22"/>
        </w:rPr>
        <w:t xml:space="preserve"> établis </w:t>
      </w:r>
      <w:r w:rsidR="00DD1867" w:rsidRPr="0043604D">
        <w:rPr>
          <w:szCs w:val="22"/>
        </w:rPr>
        <w:t>en</w:t>
      </w:r>
      <w:r w:rsidR="00DD1867">
        <w:rPr>
          <w:szCs w:val="22"/>
        </w:rPr>
        <w:t> </w:t>
      </w:r>
      <w:r w:rsidR="00DD1867" w:rsidRPr="0043604D">
        <w:rPr>
          <w:szCs w:val="22"/>
        </w:rPr>
        <w:t>2018</w:t>
      </w:r>
      <w:r w:rsidRPr="0043604D">
        <w:rPr>
          <w:szCs w:val="22"/>
        </w:rPr>
        <w:t xml:space="preserve"> et au cours des années précédentes étaient encore en suspens, dont la plupart étaient en cours de mise en </w:t>
      </w:r>
      <w:r w:rsidR="002B1D77" w:rsidRPr="0043604D">
        <w:rPr>
          <w:szCs w:val="22"/>
        </w:rPr>
        <w:t>œ</w:t>
      </w:r>
      <w:r w:rsidRPr="0043604D">
        <w:rPr>
          <w:szCs w:val="22"/>
        </w:rPr>
        <w:t>uvre.</w:t>
      </w:r>
    </w:p>
    <w:p w:rsidR="0001272B" w:rsidRPr="0043604D" w:rsidRDefault="00E7574F" w:rsidP="00B23517">
      <w:pPr>
        <w:pStyle w:val="Heading2"/>
      </w:pPr>
      <w:bookmarkStart w:id="31" w:name="_Toc13132570"/>
      <w:r w:rsidRPr="0043604D">
        <w:lastRenderedPageBreak/>
        <w:t>Déontologie et médiateur</w:t>
      </w:r>
      <w:bookmarkEnd w:id="31"/>
    </w:p>
    <w:p w:rsidR="0001272B" w:rsidRDefault="00B23517" w:rsidP="00B23517">
      <w:pPr>
        <w:pStyle w:val="Heading3"/>
      </w:pPr>
      <w:r>
        <w:t>Bureau de la déontologie</w:t>
      </w:r>
    </w:p>
    <w:p w:rsidR="00B23517" w:rsidRPr="00B23517" w:rsidRDefault="00B23517" w:rsidP="00B23517"/>
    <w:p w:rsidR="0001272B" w:rsidRPr="00B23517" w:rsidRDefault="00E7574F" w:rsidP="00B23517">
      <w:pPr>
        <w:pStyle w:val="ONUMFS"/>
      </w:pPr>
      <w:r w:rsidRPr="0043604D">
        <w:t>Conformément à son mandat, l</w:t>
      </w:r>
      <w:r w:rsidR="00DD1867">
        <w:t>’</w:t>
      </w:r>
      <w:r w:rsidRPr="0043604D">
        <w:t>OCIS</w:t>
      </w:r>
      <w:r w:rsidR="005E1275" w:rsidRPr="0043604D">
        <w:t xml:space="preserve"> doit</w:t>
      </w:r>
      <w:r w:rsidRPr="0043604D">
        <w:t>, à sa dernière session de l</w:t>
      </w:r>
      <w:r w:rsidR="00DD1867">
        <w:t>’</w:t>
      </w:r>
      <w:r w:rsidRPr="0043604D">
        <w:t>année, examine</w:t>
      </w:r>
      <w:r w:rsidR="005E1275" w:rsidRPr="0043604D">
        <w:t>r</w:t>
      </w:r>
      <w:r w:rsidRPr="0043604D">
        <w:t xml:space="preserve"> le programme de travail proposé pour le Bureau de la déontologie et donne</w:t>
      </w:r>
      <w:r w:rsidR="005E1275" w:rsidRPr="0043604D">
        <w:t>r</w:t>
      </w:r>
      <w:r w:rsidRPr="0043604D">
        <w:t xml:space="preserve"> un avis à cet éga</w:t>
      </w:r>
      <w:r w:rsidR="00ED0BA6" w:rsidRPr="0043604D">
        <w:t>rd</w:t>
      </w:r>
      <w:r w:rsidR="00ED0BA6">
        <w:t xml:space="preserve">.  </w:t>
      </w:r>
      <w:r w:rsidR="00ED0BA6" w:rsidRPr="0043604D">
        <w:t>Ét</w:t>
      </w:r>
      <w:r w:rsidR="00077FB4" w:rsidRPr="0043604D">
        <w:t>ant donné que l</w:t>
      </w:r>
      <w:r w:rsidR="00DD1867">
        <w:t>’</w:t>
      </w:r>
      <w:r w:rsidR="00077FB4" w:rsidRPr="0043604D">
        <w:t>OCIS n</w:t>
      </w:r>
      <w:r w:rsidR="00DD1867">
        <w:t>’</w:t>
      </w:r>
      <w:r w:rsidR="00077FB4" w:rsidRPr="0043604D">
        <w:t xml:space="preserve">a pas reçu à temps le programme de travail proposé </w:t>
      </w:r>
      <w:r w:rsidR="00DD1867" w:rsidRPr="0043604D">
        <w:t>pour</w:t>
      </w:r>
      <w:r w:rsidR="00DD1867">
        <w:t> </w:t>
      </w:r>
      <w:r w:rsidR="00DD1867" w:rsidRPr="0043604D">
        <w:t>2019</w:t>
      </w:r>
      <w:r w:rsidR="00077FB4" w:rsidRPr="0043604D">
        <w:t xml:space="preserve">, il a examiné le programme de travail </w:t>
      </w:r>
      <w:r w:rsidR="00DD1867" w:rsidRPr="0043604D">
        <w:t>de</w:t>
      </w:r>
      <w:r w:rsidR="00DD1867">
        <w:t> </w:t>
      </w:r>
      <w:r w:rsidR="00DD1867" w:rsidRPr="0043604D">
        <w:t>2019</w:t>
      </w:r>
      <w:r w:rsidR="00077FB4" w:rsidRPr="0043604D">
        <w:t xml:space="preserve"> déjà approuvé par la direction et en a pris no</w:t>
      </w:r>
      <w:r w:rsidR="00ED0BA6" w:rsidRPr="0043604D">
        <w:t>te</w:t>
      </w:r>
      <w:r w:rsidR="00ED0BA6">
        <w:t xml:space="preserve">.  </w:t>
      </w:r>
      <w:r w:rsidR="00ED0BA6" w:rsidRPr="0043604D">
        <w:t>Le</w:t>
      </w:r>
      <w:r w:rsidR="00077FB4" w:rsidRPr="0043604D">
        <w:t xml:space="preserve"> programme de travail prévoit différentes activités dans les domaines de responsabilité confiés au Bureau de la déontologie et indique, entre autres, l</w:t>
      </w:r>
      <w:r w:rsidR="00DD1867">
        <w:t>’</w:t>
      </w:r>
      <w:r w:rsidR="00077FB4" w:rsidRPr="0043604D">
        <w:t>ordre de priorité, les résultats escomptés et les dates butoirs, comme l</w:t>
      </w:r>
      <w:r w:rsidR="00DD1867">
        <w:t>’</w:t>
      </w:r>
      <w:r w:rsidR="00077FB4" w:rsidRPr="0043604D">
        <w:t>avait suggéré l</w:t>
      </w:r>
      <w:r w:rsidR="00DD1867">
        <w:t>’</w:t>
      </w:r>
      <w:r w:rsidR="00077FB4" w:rsidRPr="0043604D">
        <w:t>OCIS.</w:t>
      </w:r>
      <w:r w:rsidR="00371C22" w:rsidRPr="0043604D">
        <w:t xml:space="preserve">  </w:t>
      </w:r>
      <w:r w:rsidR="00077FB4" w:rsidRPr="0043604D">
        <w:t>L</w:t>
      </w:r>
      <w:r w:rsidR="00DD1867">
        <w:t>’</w:t>
      </w:r>
      <w:r w:rsidR="00077FB4" w:rsidRPr="0043604D">
        <w:t>O</w:t>
      </w:r>
      <w:r w:rsidR="005E1275" w:rsidRPr="0043604D">
        <w:t>rgane</w:t>
      </w:r>
      <w:r w:rsidR="00077FB4" w:rsidRPr="0043604D">
        <w:t xml:space="preserve"> a proposé d</w:t>
      </w:r>
      <w:r w:rsidR="00DD1867">
        <w:t>’</w:t>
      </w:r>
      <w:r w:rsidR="00077FB4" w:rsidRPr="0043604D">
        <w:t>améliorer davantage le format des futurs programmes de travail en y précisant, par exemple, les données attendues sur les dossiers.</w:t>
      </w:r>
      <w:r w:rsidR="00371C22" w:rsidRPr="0043604D">
        <w:t xml:space="preserve">  </w:t>
      </w:r>
      <w:r w:rsidR="00077FB4" w:rsidRPr="0043604D">
        <w:t>L</w:t>
      </w:r>
      <w:r w:rsidR="00DD1867">
        <w:t>’</w:t>
      </w:r>
      <w:r w:rsidR="00077FB4" w:rsidRPr="0043604D">
        <w:t>OCIS attend du chef du Bureau de la déontologie qu</w:t>
      </w:r>
      <w:r w:rsidR="00DD1867">
        <w:t>’</w:t>
      </w:r>
      <w:r w:rsidR="00077FB4" w:rsidRPr="0043604D">
        <w:t>il lui présente, à l</w:t>
      </w:r>
      <w:r w:rsidR="00DD1867">
        <w:t>’</w:t>
      </w:r>
      <w:r w:rsidR="00077FB4" w:rsidRPr="0043604D">
        <w:t>avenir, le projet de programme de travail annuel avant sa finalisation afin de pouvoir l</w:t>
      </w:r>
      <w:r w:rsidR="00DD1867">
        <w:t>’</w:t>
      </w:r>
      <w:r w:rsidR="00077FB4" w:rsidRPr="0043604D">
        <w:t>examiner et suggérer des modifications.</w:t>
      </w:r>
    </w:p>
    <w:p w:rsidR="0001272B" w:rsidRPr="0043604D" w:rsidRDefault="00077FB4" w:rsidP="00B23517">
      <w:pPr>
        <w:pStyle w:val="ONUMFS"/>
        <w:rPr>
          <w:lang w:val="hu-HU"/>
        </w:rPr>
      </w:pPr>
      <w:r w:rsidRPr="0043604D">
        <w:t>Selon son mandat, l</w:t>
      </w:r>
      <w:r w:rsidR="00DD1867">
        <w:t>’</w:t>
      </w:r>
      <w:r w:rsidRPr="0043604D">
        <w:t>OCIS doit également examiner les politiques proposées en matière de déontologie et donner des avis à ce</w:t>
      </w:r>
      <w:r w:rsidR="005E1275" w:rsidRPr="0043604D">
        <w:t>t</w:t>
      </w:r>
      <w:r w:rsidRPr="0043604D">
        <w:t xml:space="preserve"> </w:t>
      </w:r>
      <w:r w:rsidR="005E1275" w:rsidRPr="0043604D">
        <w:t>éga</w:t>
      </w:r>
      <w:r w:rsidR="00ED0BA6" w:rsidRPr="0043604D">
        <w:t>rd</w:t>
      </w:r>
      <w:r w:rsidR="00ED0BA6">
        <w:t xml:space="preserve">.  </w:t>
      </w:r>
      <w:r w:rsidR="00ED0BA6" w:rsidRPr="0043604D">
        <w:t>Ac</w:t>
      </w:r>
      <w:r w:rsidRPr="0043604D">
        <w:t>tuellement, les activités du Bureau de la déontologie sont encore régies par l</w:t>
      </w:r>
      <w:r w:rsidR="00DD1867">
        <w:t>’</w:t>
      </w:r>
      <w:r w:rsidRPr="0043604D">
        <w:t>ordre de service de juin</w:t>
      </w:r>
      <w:r w:rsidR="002B1D77" w:rsidRPr="0043604D">
        <w:t> </w:t>
      </w:r>
      <w:r w:rsidRPr="0043604D">
        <w:t>2010 concernant le Bureau de la déontologie de l</w:t>
      </w:r>
      <w:r w:rsidR="00DD1867">
        <w:t>’</w:t>
      </w:r>
      <w:r w:rsidRPr="0043604D">
        <w:t>OMPI (</w:t>
      </w:r>
      <w:r w:rsidR="00E75518" w:rsidRPr="0043604D">
        <w:t>o</w:t>
      </w:r>
      <w:r w:rsidRPr="0043604D">
        <w:t>rdre de service n°</w:t>
      </w:r>
      <w:r w:rsidR="008422B4">
        <w:t> </w:t>
      </w:r>
      <w:r w:rsidRPr="0043604D">
        <w:t>25/2010).</w:t>
      </w:r>
      <w:r w:rsidR="00F73D47" w:rsidRPr="0043604D">
        <w:t xml:space="preserve"> </w:t>
      </w:r>
      <w:r w:rsidR="00D75276" w:rsidRPr="0043604D">
        <w:t xml:space="preserve"> </w:t>
      </w:r>
      <w:r w:rsidRPr="0043604D">
        <w:t>En mai</w:t>
      </w:r>
      <w:r w:rsidR="002B1D77" w:rsidRPr="0043604D">
        <w:t> </w:t>
      </w:r>
      <w:r w:rsidRPr="0043604D">
        <w:t>2018, l</w:t>
      </w:r>
      <w:r w:rsidR="00DD1867">
        <w:t>’</w:t>
      </w:r>
      <w:r w:rsidRPr="0043604D">
        <w:t>OCIS a formulé de nombreuses observations et suggestions concernant un nouvel ordre de service proposé pour le Bureau de la déontologie de l</w:t>
      </w:r>
      <w:r w:rsidR="00DD1867">
        <w:t>’</w:t>
      </w:r>
      <w:r w:rsidRPr="0043604D">
        <w:t>O</w:t>
      </w:r>
      <w:r w:rsidR="00ED0BA6" w:rsidRPr="0043604D">
        <w:t>MPI</w:t>
      </w:r>
      <w:r w:rsidR="00ED0BA6">
        <w:t xml:space="preserve">.  </w:t>
      </w:r>
      <w:r w:rsidR="00ED0BA6" w:rsidRPr="0043604D">
        <w:t>Pe</w:t>
      </w:r>
      <w:r w:rsidRPr="0043604D">
        <w:t>ndant la période considérée, l</w:t>
      </w:r>
      <w:r w:rsidR="00DD1867">
        <w:t>’</w:t>
      </w:r>
      <w:r w:rsidRPr="0043604D">
        <w:t>OCIS a régulièrement suivi l</w:t>
      </w:r>
      <w:r w:rsidR="00DD1867">
        <w:t>’</w:t>
      </w:r>
      <w:r w:rsidRPr="0043604D">
        <w:t>état d</w:t>
      </w:r>
      <w:r w:rsidR="00DD1867">
        <w:t>’</w:t>
      </w:r>
      <w:r w:rsidRPr="0043604D">
        <w:t>avancement de ce document général, qu</w:t>
      </w:r>
      <w:r w:rsidR="00DD1867">
        <w:t>’</w:t>
      </w:r>
      <w:r w:rsidRPr="0043604D">
        <w:t>il juge essentiel pour la gouvernance et le mandat du Bureau de la déontolog</w:t>
      </w:r>
      <w:r w:rsidR="00ED0BA6" w:rsidRPr="0043604D">
        <w:t>ie</w:t>
      </w:r>
      <w:r w:rsidR="00ED0BA6">
        <w:t xml:space="preserve">.  </w:t>
      </w:r>
      <w:r w:rsidR="00ED0BA6" w:rsidRPr="0043604D">
        <w:t xml:space="preserve">À </w:t>
      </w:r>
      <w:r w:rsidRPr="0043604D">
        <w:t>la date de rédaction du présent rapport, l</w:t>
      </w:r>
      <w:r w:rsidR="00DD1867">
        <w:t>’</w:t>
      </w:r>
      <w:r w:rsidRPr="0043604D">
        <w:t>OCIS n</w:t>
      </w:r>
      <w:r w:rsidR="00DD1867">
        <w:t>’</w:t>
      </w:r>
      <w:r w:rsidRPr="0043604D">
        <w:t>avait pas encore reçu de version révis</w:t>
      </w:r>
      <w:r w:rsidR="00ED0BA6" w:rsidRPr="0043604D">
        <w:t>ée</w:t>
      </w:r>
      <w:r w:rsidR="00ED0BA6">
        <w:t xml:space="preserve">.  </w:t>
      </w:r>
      <w:r w:rsidR="00ED0BA6" w:rsidRPr="0043604D">
        <w:t>Le</w:t>
      </w:r>
      <w:r w:rsidRPr="0043604D">
        <w:t xml:space="preserve"> chef du Bureau de la déontologie s</w:t>
      </w:r>
      <w:r w:rsidR="00DD1867">
        <w:t>’</w:t>
      </w:r>
      <w:r w:rsidRPr="0043604D">
        <w:t>est engagé à partager un projet révisé avant la cinquante</w:t>
      </w:r>
      <w:r w:rsidR="00002E83">
        <w:noBreakHyphen/>
      </w:r>
      <w:r w:rsidRPr="0043604D">
        <w:t>quatr</w:t>
      </w:r>
      <w:r w:rsidR="00DD1867">
        <w:t>ième session</w:t>
      </w:r>
      <w:r w:rsidRPr="0043604D">
        <w:t xml:space="preserve"> de l</w:t>
      </w:r>
      <w:r w:rsidR="00DD1867">
        <w:t>’</w:t>
      </w:r>
      <w:r w:rsidRPr="0043604D">
        <w:t>OCIS en vue d</w:t>
      </w:r>
      <w:r w:rsidR="00DD1867">
        <w:t>’</w:t>
      </w:r>
      <w:r w:rsidRPr="0043604D">
        <w:t>un examen plus approfondi, le cas échéant.</w:t>
      </w:r>
    </w:p>
    <w:p w:rsidR="0001272B" w:rsidRPr="00002E83" w:rsidRDefault="00077FB4" w:rsidP="00B23517">
      <w:pPr>
        <w:pStyle w:val="ONUMFS"/>
        <w:rPr>
          <w:spacing w:val="-2"/>
          <w:lang w:val="hu-HU"/>
        </w:rPr>
      </w:pPr>
      <w:r w:rsidRPr="00002E83">
        <w:rPr>
          <w:spacing w:val="-2"/>
          <w:lang w:val="hu-HU"/>
        </w:rPr>
        <w:t>En novembre</w:t>
      </w:r>
      <w:r w:rsidR="002B1D77" w:rsidRPr="00002E83">
        <w:rPr>
          <w:spacing w:val="-2"/>
          <w:lang w:val="hu-HU"/>
        </w:rPr>
        <w:t> </w:t>
      </w:r>
      <w:r w:rsidRPr="00002E83">
        <w:rPr>
          <w:spacing w:val="-2"/>
          <w:lang w:val="hu-HU"/>
        </w:rPr>
        <w:t>2017, après consultation de l</w:t>
      </w:r>
      <w:r w:rsidR="00DD1867" w:rsidRPr="00002E83">
        <w:rPr>
          <w:spacing w:val="-2"/>
          <w:lang w:val="hu-HU"/>
        </w:rPr>
        <w:t>’</w:t>
      </w:r>
      <w:r w:rsidRPr="00002E83">
        <w:rPr>
          <w:spacing w:val="-2"/>
          <w:lang w:val="hu-HU"/>
        </w:rPr>
        <w:t xml:space="preserve">OCIS, la Politique </w:t>
      </w:r>
      <w:r w:rsidR="005E1275" w:rsidRPr="00002E83">
        <w:rPr>
          <w:spacing w:val="-2"/>
          <w:lang w:val="hu-HU"/>
        </w:rPr>
        <w:t>de l</w:t>
      </w:r>
      <w:r w:rsidR="00DD1867" w:rsidRPr="00002E83">
        <w:rPr>
          <w:spacing w:val="-2"/>
          <w:lang w:val="hu-HU"/>
        </w:rPr>
        <w:t>’</w:t>
      </w:r>
      <w:r w:rsidR="005E1275" w:rsidRPr="00002E83">
        <w:rPr>
          <w:spacing w:val="-2"/>
          <w:lang w:val="hu-HU"/>
        </w:rPr>
        <w:t>OMPI en matière de déclaration de situ</w:t>
      </w:r>
      <w:r w:rsidRPr="00002E83">
        <w:rPr>
          <w:spacing w:val="-2"/>
          <w:lang w:val="hu-HU"/>
        </w:rPr>
        <w:t xml:space="preserve">ation financière et </w:t>
      </w:r>
      <w:r w:rsidR="005E1275" w:rsidRPr="00002E83">
        <w:rPr>
          <w:spacing w:val="-2"/>
          <w:lang w:val="hu-HU"/>
        </w:rPr>
        <w:t>de</w:t>
      </w:r>
      <w:r w:rsidRPr="00002E83">
        <w:rPr>
          <w:spacing w:val="-2"/>
          <w:lang w:val="hu-HU"/>
        </w:rPr>
        <w:t xml:space="preserve"> déclaration d</w:t>
      </w:r>
      <w:r w:rsidR="00DD1867" w:rsidRPr="00002E83">
        <w:rPr>
          <w:spacing w:val="-2"/>
          <w:lang w:val="hu-HU"/>
        </w:rPr>
        <w:t>’</w:t>
      </w:r>
      <w:r w:rsidRPr="00002E83">
        <w:rPr>
          <w:spacing w:val="-2"/>
          <w:lang w:val="hu-HU"/>
        </w:rPr>
        <w:t>intérêts (</w:t>
      </w:r>
      <w:r w:rsidR="00E75518" w:rsidRPr="00002E83">
        <w:rPr>
          <w:spacing w:val="-2"/>
        </w:rPr>
        <w:t>o</w:t>
      </w:r>
      <w:r w:rsidR="00CC67B2" w:rsidRPr="00002E83">
        <w:rPr>
          <w:spacing w:val="-2"/>
        </w:rPr>
        <w:t>rdre de service n°</w:t>
      </w:r>
      <w:r w:rsidR="008422B4" w:rsidRPr="00002E83">
        <w:rPr>
          <w:spacing w:val="-2"/>
        </w:rPr>
        <w:t> </w:t>
      </w:r>
      <w:r w:rsidRPr="00002E83">
        <w:rPr>
          <w:spacing w:val="-2"/>
          <w:lang w:val="hu-HU"/>
        </w:rPr>
        <w:t>36/2017) a été promulgu</w:t>
      </w:r>
      <w:r w:rsidR="00ED0BA6" w:rsidRPr="00002E83">
        <w:rPr>
          <w:spacing w:val="-2"/>
          <w:lang w:val="hu-HU"/>
        </w:rPr>
        <w:t>ée.  Co</w:t>
      </w:r>
      <w:r w:rsidRPr="00002E83">
        <w:rPr>
          <w:spacing w:val="-2"/>
          <w:lang w:val="hu-HU"/>
        </w:rPr>
        <w:t>mpte tenu de l</w:t>
      </w:r>
      <w:r w:rsidR="00DD1867" w:rsidRPr="00002E83">
        <w:rPr>
          <w:spacing w:val="-2"/>
          <w:lang w:val="hu-HU"/>
        </w:rPr>
        <w:t>’</w:t>
      </w:r>
      <w:r w:rsidRPr="00002E83">
        <w:rPr>
          <w:spacing w:val="-2"/>
          <w:lang w:val="hu-HU"/>
        </w:rPr>
        <w:t>expérience acquise, l</w:t>
      </w:r>
      <w:r w:rsidR="00DD1867" w:rsidRPr="00002E83">
        <w:rPr>
          <w:spacing w:val="-2"/>
          <w:lang w:val="hu-HU"/>
        </w:rPr>
        <w:t>’</w:t>
      </w:r>
      <w:r w:rsidRPr="00002E83">
        <w:rPr>
          <w:spacing w:val="-2"/>
          <w:lang w:val="hu-HU"/>
        </w:rPr>
        <w:t>OMPI a établi une série de propositions de modification de la politique à appliquer à la période de déclaration</w:t>
      </w:r>
      <w:r w:rsidR="002B1D77" w:rsidRPr="00002E83">
        <w:rPr>
          <w:spacing w:val="-2"/>
          <w:lang w:val="hu-HU"/>
        </w:rPr>
        <w:t> </w:t>
      </w:r>
      <w:r w:rsidRPr="00002E83">
        <w:rPr>
          <w:spacing w:val="-2"/>
          <w:lang w:val="hu-HU"/>
        </w:rPr>
        <w:t>2018.</w:t>
      </w:r>
      <w:r w:rsidR="006D1684" w:rsidRPr="00002E83">
        <w:rPr>
          <w:spacing w:val="-2"/>
          <w:lang w:val="hu-HU"/>
        </w:rPr>
        <w:t xml:space="preserve"> </w:t>
      </w:r>
      <w:r w:rsidR="00E33A56" w:rsidRPr="00002E83">
        <w:rPr>
          <w:spacing w:val="-2"/>
          <w:lang w:val="hu-HU"/>
        </w:rPr>
        <w:t xml:space="preserve"> </w:t>
      </w:r>
      <w:r w:rsidRPr="00002E83">
        <w:rPr>
          <w:spacing w:val="-2"/>
          <w:lang w:val="hu-HU"/>
        </w:rPr>
        <w:t>À sa cinquante</w:t>
      </w:r>
      <w:r w:rsidR="00002E83" w:rsidRPr="00002E83">
        <w:rPr>
          <w:spacing w:val="-2"/>
          <w:lang w:val="hu-HU"/>
        </w:rPr>
        <w:noBreakHyphen/>
      </w:r>
      <w:r w:rsidRPr="00002E83">
        <w:rPr>
          <w:spacing w:val="-2"/>
          <w:lang w:val="hu-HU"/>
        </w:rPr>
        <w:t>trois</w:t>
      </w:r>
      <w:r w:rsidR="00DD1867" w:rsidRPr="00002E83">
        <w:rPr>
          <w:spacing w:val="-2"/>
          <w:lang w:val="hu-HU"/>
        </w:rPr>
        <w:t>ième session</w:t>
      </w:r>
      <w:r w:rsidRPr="00002E83">
        <w:rPr>
          <w:spacing w:val="-2"/>
          <w:lang w:val="hu-HU"/>
        </w:rPr>
        <w:t>, l</w:t>
      </w:r>
      <w:r w:rsidR="00DD1867" w:rsidRPr="00002E83">
        <w:rPr>
          <w:spacing w:val="-2"/>
          <w:lang w:val="hu-HU"/>
        </w:rPr>
        <w:t>’</w:t>
      </w:r>
      <w:r w:rsidRPr="00002E83">
        <w:rPr>
          <w:spacing w:val="-2"/>
          <w:lang w:val="hu-HU"/>
        </w:rPr>
        <w:t>O</w:t>
      </w:r>
      <w:r w:rsidR="00CC67B2" w:rsidRPr="00002E83">
        <w:rPr>
          <w:spacing w:val="-2"/>
          <w:lang w:val="hu-HU"/>
        </w:rPr>
        <w:t xml:space="preserve">rgane </w:t>
      </w:r>
      <w:r w:rsidRPr="00002E83">
        <w:rPr>
          <w:spacing w:val="-2"/>
          <w:lang w:val="hu-HU"/>
        </w:rPr>
        <w:t>a examiné les modifications proposées et s</w:t>
      </w:r>
      <w:r w:rsidR="00DD1867" w:rsidRPr="00002E83">
        <w:rPr>
          <w:spacing w:val="-2"/>
          <w:lang w:val="hu-HU"/>
        </w:rPr>
        <w:t>’</w:t>
      </w:r>
      <w:r w:rsidRPr="00002E83">
        <w:rPr>
          <w:spacing w:val="-2"/>
          <w:lang w:val="hu-HU"/>
        </w:rPr>
        <w:t>est dit satisfait des explications fournies par le chef du Bureau de la déontologie.</w:t>
      </w:r>
      <w:r w:rsidR="00E33A56" w:rsidRPr="00002E83">
        <w:rPr>
          <w:spacing w:val="-2"/>
          <w:lang w:val="hu-HU"/>
        </w:rPr>
        <w:t xml:space="preserve"> </w:t>
      </w:r>
      <w:r w:rsidR="006D1684" w:rsidRPr="00002E83">
        <w:rPr>
          <w:spacing w:val="-2"/>
          <w:lang w:val="hu-HU"/>
        </w:rPr>
        <w:t xml:space="preserve"> </w:t>
      </w:r>
      <w:r w:rsidRPr="00002E83">
        <w:rPr>
          <w:spacing w:val="-2"/>
          <w:lang w:val="hu-HU"/>
        </w:rPr>
        <w:t>L</w:t>
      </w:r>
      <w:r w:rsidR="00DD1867" w:rsidRPr="00002E83">
        <w:rPr>
          <w:spacing w:val="-2"/>
          <w:lang w:val="hu-HU"/>
        </w:rPr>
        <w:t>’</w:t>
      </w:r>
      <w:r w:rsidRPr="00002E83">
        <w:rPr>
          <w:spacing w:val="-2"/>
          <w:lang w:val="hu-HU"/>
        </w:rPr>
        <w:t xml:space="preserve">OCIS a noté </w:t>
      </w:r>
      <w:r w:rsidR="00872713" w:rsidRPr="00002E83">
        <w:rPr>
          <w:spacing w:val="-2"/>
          <w:lang w:val="hu-HU"/>
        </w:rPr>
        <w:t>que l</w:t>
      </w:r>
      <w:r w:rsidR="00DD1867" w:rsidRPr="00002E83">
        <w:rPr>
          <w:spacing w:val="-2"/>
          <w:lang w:val="hu-HU"/>
        </w:rPr>
        <w:t>’</w:t>
      </w:r>
      <w:r w:rsidRPr="00002E83">
        <w:rPr>
          <w:spacing w:val="-2"/>
          <w:lang w:val="hu-HU"/>
        </w:rPr>
        <w:t>examinateur externe continuerait d</w:t>
      </w:r>
      <w:r w:rsidR="00DD1867" w:rsidRPr="00002E83">
        <w:rPr>
          <w:spacing w:val="-2"/>
          <w:lang w:val="hu-HU"/>
        </w:rPr>
        <w:t>’</w:t>
      </w:r>
      <w:r w:rsidRPr="00002E83">
        <w:rPr>
          <w:spacing w:val="-2"/>
          <w:lang w:val="hu-HU"/>
        </w:rPr>
        <w:t xml:space="preserve">examiner les déclarations </w:t>
      </w:r>
      <w:r w:rsidR="00872713" w:rsidRPr="00002E83">
        <w:rPr>
          <w:spacing w:val="-2"/>
          <w:lang w:val="hu-HU"/>
        </w:rPr>
        <w:t xml:space="preserve">de situation financière et déclarations </w:t>
      </w:r>
      <w:r w:rsidRPr="00002E83">
        <w:rPr>
          <w:spacing w:val="-2"/>
          <w:lang w:val="hu-HU"/>
        </w:rPr>
        <w:t>d</w:t>
      </w:r>
      <w:r w:rsidR="00DD1867" w:rsidRPr="00002E83">
        <w:rPr>
          <w:spacing w:val="-2"/>
          <w:lang w:val="hu-HU"/>
        </w:rPr>
        <w:t>’</w:t>
      </w:r>
      <w:r w:rsidRPr="00002E83">
        <w:rPr>
          <w:spacing w:val="-2"/>
          <w:lang w:val="hu-HU"/>
        </w:rPr>
        <w:t xml:space="preserve">intérêts;  toutefois, les </w:t>
      </w:r>
      <w:r w:rsidR="00872713" w:rsidRPr="00002E83">
        <w:rPr>
          <w:spacing w:val="-2"/>
          <w:lang w:val="hu-HU"/>
        </w:rPr>
        <w:t xml:space="preserve">déclarations fournies au titre des </w:t>
      </w:r>
      <w:r w:rsidRPr="00002E83">
        <w:rPr>
          <w:spacing w:val="-2"/>
          <w:lang w:val="hu-HU"/>
        </w:rPr>
        <w:t xml:space="preserve">normes comptables du secteur public international </w:t>
      </w:r>
      <w:r w:rsidR="00872713" w:rsidRPr="00002E83">
        <w:rPr>
          <w:spacing w:val="-2"/>
          <w:lang w:val="hu-HU"/>
        </w:rPr>
        <w:t>(normes</w:t>
      </w:r>
      <w:r w:rsidR="008422B4" w:rsidRPr="00002E83">
        <w:rPr>
          <w:spacing w:val="-2"/>
          <w:lang w:val="hu-HU"/>
        </w:rPr>
        <w:t> </w:t>
      </w:r>
      <w:r w:rsidR="00872713" w:rsidRPr="00002E83">
        <w:rPr>
          <w:spacing w:val="-2"/>
          <w:lang w:val="hu-HU"/>
        </w:rPr>
        <w:t>IPSAS) seraient</w:t>
      </w:r>
      <w:r w:rsidRPr="00002E83">
        <w:rPr>
          <w:spacing w:val="-2"/>
          <w:lang w:val="hu-HU"/>
        </w:rPr>
        <w:t xml:space="preserve"> à l</w:t>
      </w:r>
      <w:r w:rsidR="00DD1867" w:rsidRPr="00002E83">
        <w:rPr>
          <w:spacing w:val="-2"/>
          <w:lang w:val="hu-HU"/>
        </w:rPr>
        <w:t>’</w:t>
      </w:r>
      <w:r w:rsidR="00872713" w:rsidRPr="00002E83">
        <w:rPr>
          <w:spacing w:val="-2"/>
          <w:lang w:val="hu-HU"/>
        </w:rPr>
        <w:t>avenir</w:t>
      </w:r>
      <w:r w:rsidRPr="00002E83">
        <w:rPr>
          <w:spacing w:val="-2"/>
          <w:lang w:val="hu-HU"/>
        </w:rPr>
        <w:t xml:space="preserve"> examinées par le chef du Bureau de la déontologie</w:t>
      </w:r>
      <w:r w:rsidR="00872713" w:rsidRPr="00002E83">
        <w:rPr>
          <w:spacing w:val="-2"/>
          <w:lang w:val="hu-HU"/>
        </w:rPr>
        <w:t>,</w:t>
      </w:r>
      <w:r w:rsidRPr="00002E83">
        <w:rPr>
          <w:spacing w:val="-2"/>
          <w:lang w:val="hu-HU"/>
        </w:rPr>
        <w:t xml:space="preserve"> afin </w:t>
      </w:r>
      <w:r w:rsidR="00872713" w:rsidRPr="00002E83">
        <w:rPr>
          <w:spacing w:val="-2"/>
          <w:lang w:val="hu-HU"/>
        </w:rPr>
        <w:t>d</w:t>
      </w:r>
      <w:r w:rsidR="00DD1867" w:rsidRPr="00002E83">
        <w:rPr>
          <w:spacing w:val="-2"/>
          <w:lang w:val="hu-HU"/>
        </w:rPr>
        <w:t>’</w:t>
      </w:r>
      <w:r w:rsidR="00872713" w:rsidRPr="00002E83">
        <w:rPr>
          <w:spacing w:val="-2"/>
          <w:lang w:val="hu-HU"/>
        </w:rPr>
        <w:t>être</w:t>
      </w:r>
      <w:r w:rsidRPr="00002E83">
        <w:rPr>
          <w:spacing w:val="-2"/>
          <w:lang w:val="hu-HU"/>
        </w:rPr>
        <w:t xml:space="preserve"> disponib</w:t>
      </w:r>
      <w:r w:rsidR="00872713" w:rsidRPr="00002E83">
        <w:rPr>
          <w:spacing w:val="-2"/>
          <w:lang w:val="hu-HU"/>
        </w:rPr>
        <w:t>les</w:t>
      </w:r>
      <w:r w:rsidRPr="00002E83">
        <w:rPr>
          <w:spacing w:val="-2"/>
          <w:lang w:val="hu-HU"/>
        </w:rPr>
        <w:t xml:space="preserve"> dans les délais prévus pour les états financiers annuels.</w:t>
      </w:r>
    </w:p>
    <w:p w:rsidR="0001272B" w:rsidRPr="00002E83" w:rsidRDefault="00077FB4" w:rsidP="00B23517">
      <w:pPr>
        <w:pStyle w:val="ONUMFS"/>
        <w:rPr>
          <w:spacing w:val="-2"/>
          <w:lang w:val="hu-HU"/>
        </w:rPr>
      </w:pPr>
      <w:r w:rsidRPr="00002E83">
        <w:rPr>
          <w:spacing w:val="-2"/>
          <w:lang w:val="hu-HU"/>
        </w:rPr>
        <w:t>À la cinquante</w:t>
      </w:r>
      <w:r w:rsidR="00002E83" w:rsidRPr="00002E83">
        <w:rPr>
          <w:spacing w:val="-2"/>
          <w:lang w:val="hu-HU"/>
        </w:rPr>
        <w:noBreakHyphen/>
      </w:r>
      <w:r w:rsidRPr="00002E83">
        <w:rPr>
          <w:spacing w:val="-2"/>
          <w:lang w:val="hu-HU"/>
        </w:rPr>
        <w:t>trois</w:t>
      </w:r>
      <w:r w:rsidR="00DD1867" w:rsidRPr="00002E83">
        <w:rPr>
          <w:spacing w:val="-2"/>
          <w:lang w:val="hu-HU"/>
        </w:rPr>
        <w:t>ième session</w:t>
      </w:r>
      <w:r w:rsidRPr="00002E83">
        <w:rPr>
          <w:spacing w:val="-2"/>
          <w:lang w:val="hu-HU"/>
        </w:rPr>
        <w:t>, le chef du Bureau de la déontologie a également présenté un rapport verbal sur l</w:t>
      </w:r>
      <w:r w:rsidR="00DD1867" w:rsidRPr="00002E83">
        <w:rPr>
          <w:spacing w:val="-2"/>
          <w:lang w:val="hu-HU"/>
        </w:rPr>
        <w:t>’</w:t>
      </w:r>
      <w:r w:rsidRPr="00002E83">
        <w:rPr>
          <w:spacing w:val="-2"/>
          <w:lang w:val="hu-HU"/>
        </w:rPr>
        <w:t>état d</w:t>
      </w:r>
      <w:r w:rsidR="00DD1867" w:rsidRPr="00002E83">
        <w:rPr>
          <w:spacing w:val="-2"/>
          <w:lang w:val="hu-HU"/>
        </w:rPr>
        <w:t>’</w:t>
      </w:r>
      <w:r w:rsidRPr="00002E83">
        <w:rPr>
          <w:spacing w:val="-2"/>
          <w:lang w:val="hu-HU"/>
        </w:rPr>
        <w:t>avancement des travaux.</w:t>
      </w:r>
      <w:r w:rsidR="001969BD" w:rsidRPr="00002E83">
        <w:rPr>
          <w:spacing w:val="-2"/>
          <w:lang w:val="hu-HU"/>
        </w:rPr>
        <w:t xml:space="preserve">  </w:t>
      </w:r>
      <w:r w:rsidRPr="00002E83">
        <w:rPr>
          <w:spacing w:val="-2"/>
          <w:lang w:val="hu-HU"/>
        </w:rPr>
        <w:t>L</w:t>
      </w:r>
      <w:r w:rsidR="00DD1867" w:rsidRPr="00002E83">
        <w:rPr>
          <w:spacing w:val="-2"/>
          <w:lang w:val="hu-HU"/>
        </w:rPr>
        <w:t>’</w:t>
      </w:r>
      <w:r w:rsidRPr="00002E83">
        <w:rPr>
          <w:spacing w:val="-2"/>
          <w:lang w:val="hu-HU"/>
        </w:rPr>
        <w:t>OCIS a noté avec satisfaction qu</w:t>
      </w:r>
      <w:r w:rsidR="00DD1867" w:rsidRPr="00002E83">
        <w:rPr>
          <w:spacing w:val="-2"/>
          <w:lang w:val="hu-HU"/>
        </w:rPr>
        <w:t>’</w:t>
      </w:r>
      <w:r w:rsidRPr="00002E83">
        <w:rPr>
          <w:spacing w:val="-2"/>
          <w:lang w:val="hu-HU"/>
        </w:rPr>
        <w:t xml:space="preserve">un </w:t>
      </w:r>
      <w:r w:rsidR="00872713" w:rsidRPr="00002E83">
        <w:rPr>
          <w:spacing w:val="-2"/>
          <w:lang w:val="hu-HU"/>
        </w:rPr>
        <w:t>appui</w:t>
      </w:r>
      <w:r w:rsidRPr="00002E83">
        <w:rPr>
          <w:spacing w:val="-2"/>
          <w:lang w:val="hu-HU"/>
        </w:rPr>
        <w:t xml:space="preserve"> administratif à temps partiel avait été mis à la disposition du Bureau de la déontologie.</w:t>
      </w:r>
    </w:p>
    <w:p w:rsidR="0001272B" w:rsidRDefault="00077FB4" w:rsidP="00B23517">
      <w:pPr>
        <w:pStyle w:val="Heading3"/>
      </w:pPr>
      <w:r w:rsidRPr="0043604D">
        <w:t>Bureau du médiateur</w:t>
      </w:r>
    </w:p>
    <w:p w:rsidR="00B23517" w:rsidRPr="00B23517" w:rsidRDefault="00B23517" w:rsidP="00B23517"/>
    <w:p w:rsidR="0001272B" w:rsidRPr="0043604D" w:rsidRDefault="005D05CB" w:rsidP="00B23517">
      <w:pPr>
        <w:pStyle w:val="ONUMFS"/>
      </w:pPr>
      <w:r w:rsidRPr="0043604D">
        <w:t>À sa cinquant</w:t>
      </w:r>
      <w:r w:rsidR="00DD1867">
        <w:t>ième session</w:t>
      </w:r>
      <w:r w:rsidRPr="0043604D">
        <w:t>, l</w:t>
      </w:r>
      <w:r w:rsidR="00DD1867">
        <w:t>’</w:t>
      </w:r>
      <w:r w:rsidRPr="0043604D">
        <w:t>OCIS a examiné avec le médiateur son rapport d</w:t>
      </w:r>
      <w:r w:rsidR="00DD1867">
        <w:t>’</w:t>
      </w:r>
      <w:r w:rsidRPr="0043604D">
        <w:t xml:space="preserve">activité </w:t>
      </w:r>
      <w:r w:rsidR="00DD1867" w:rsidRPr="0043604D">
        <w:t>pour</w:t>
      </w:r>
      <w:r w:rsidR="00DD1867">
        <w:t> </w:t>
      </w:r>
      <w:r w:rsidR="00DD1867" w:rsidRPr="0043604D">
        <w:t>2017</w:t>
      </w:r>
      <w:r w:rsidRPr="0043604D">
        <w:t>, publié le 15</w:t>
      </w:r>
      <w:r w:rsidR="002B1D77" w:rsidRPr="0043604D">
        <w:t> </w:t>
      </w:r>
      <w:r w:rsidRPr="0043604D">
        <w:t>août</w:t>
      </w:r>
      <w:r w:rsidR="002B1D77" w:rsidRPr="0043604D">
        <w:t> </w:t>
      </w:r>
      <w:r w:rsidRPr="0043604D">
        <w:t>2018, ainsi que les principales observations et recommandations contenues dans le rappo</w:t>
      </w:r>
      <w:r w:rsidR="00ED0BA6" w:rsidRPr="0043604D">
        <w:t>rt</w:t>
      </w:r>
      <w:r w:rsidR="00ED0BA6">
        <w:t xml:space="preserve">.  </w:t>
      </w:r>
      <w:r w:rsidR="00ED0BA6" w:rsidRPr="0043604D">
        <w:t>Le</w:t>
      </w:r>
      <w:r w:rsidRPr="0043604D">
        <w:t xml:space="preserve"> médiateur a également fourni à l</w:t>
      </w:r>
      <w:r w:rsidR="00DD1867">
        <w:t>’</w:t>
      </w:r>
      <w:r w:rsidRPr="0043604D">
        <w:t>OCIS des informations sur la mise en œuvre des Relais pour la prévention des conflits.</w:t>
      </w:r>
      <w:r w:rsidR="001A0948" w:rsidRPr="0043604D">
        <w:t xml:space="preserve"> </w:t>
      </w:r>
      <w:r w:rsidR="00E40463" w:rsidRPr="0043604D">
        <w:t xml:space="preserve"> </w:t>
      </w:r>
      <w:r w:rsidRPr="0043604D">
        <w:t>L</w:t>
      </w:r>
      <w:r w:rsidR="00DD1867">
        <w:t>’</w:t>
      </w:r>
      <w:r w:rsidRPr="0043604D">
        <w:t>OCIS est d</w:t>
      </w:r>
      <w:r w:rsidR="00DD1867">
        <w:t>’</w:t>
      </w:r>
      <w:r w:rsidRPr="0043604D">
        <w:t>avis que les États membres pourraient tirer parti des informations contenues dans le rapport d</w:t>
      </w:r>
      <w:r w:rsidR="00DD1867">
        <w:t>’</w:t>
      </w:r>
      <w:r w:rsidRPr="0043604D">
        <w:t>activité du médiateur et que l</w:t>
      </w:r>
      <w:r w:rsidR="00DD1867">
        <w:t>’</w:t>
      </w:r>
      <w:r w:rsidRPr="0043604D">
        <w:t>OMPI pourrait donc envisager à l</w:t>
      </w:r>
      <w:r w:rsidR="00DD1867">
        <w:t>’</w:t>
      </w:r>
      <w:r w:rsidRPr="0043604D">
        <w:t>avenir de soumettre des rapports au Comité de coordinati</w:t>
      </w:r>
      <w:r w:rsidR="00ED0BA6" w:rsidRPr="0043604D">
        <w:t>on</w:t>
      </w:r>
      <w:r w:rsidR="00ED0BA6">
        <w:t xml:space="preserve">.  </w:t>
      </w:r>
      <w:r w:rsidR="00ED0BA6" w:rsidRPr="0043604D">
        <w:t xml:space="preserve">À </w:t>
      </w:r>
      <w:r w:rsidRPr="0043604D">
        <w:t>la date de rédaction du présent rapport, le rapport d</w:t>
      </w:r>
      <w:r w:rsidR="00DD1867">
        <w:t>’</w:t>
      </w:r>
      <w:r w:rsidRPr="0043604D">
        <w:t xml:space="preserve">activité du médiateur </w:t>
      </w:r>
      <w:r w:rsidR="00DD1867" w:rsidRPr="0043604D">
        <w:t>pour</w:t>
      </w:r>
      <w:r w:rsidR="00DD1867">
        <w:t> </w:t>
      </w:r>
      <w:r w:rsidR="00DD1867" w:rsidRPr="0043604D">
        <w:t>2018</w:t>
      </w:r>
      <w:r w:rsidRPr="0043604D">
        <w:t xml:space="preserve"> n</w:t>
      </w:r>
      <w:r w:rsidR="00DD1867">
        <w:t>’</w:t>
      </w:r>
      <w:r w:rsidRPr="0043604D">
        <w:t>était pas encore disponible pour être examiné par l</w:t>
      </w:r>
      <w:r w:rsidR="00DD1867">
        <w:t>’</w:t>
      </w:r>
      <w:r w:rsidRPr="0043604D">
        <w:t>OCIS.</w:t>
      </w:r>
    </w:p>
    <w:p w:rsidR="0001272B" w:rsidRPr="0043604D" w:rsidRDefault="005D05CB" w:rsidP="00B23517">
      <w:pPr>
        <w:pStyle w:val="Heading2"/>
      </w:pPr>
      <w:bookmarkStart w:id="32" w:name="_Toc429145919"/>
      <w:bookmarkStart w:id="33" w:name="_Toc429147812"/>
      <w:bookmarkStart w:id="34" w:name="_Toc429147830"/>
      <w:bookmarkStart w:id="35" w:name="_Toc429384089"/>
      <w:bookmarkStart w:id="36" w:name="_Toc13132571"/>
      <w:bookmarkEnd w:id="32"/>
      <w:bookmarkEnd w:id="33"/>
      <w:bookmarkEnd w:id="34"/>
      <w:bookmarkEnd w:id="35"/>
      <w:r w:rsidRPr="0043604D">
        <w:lastRenderedPageBreak/>
        <w:t>Divers</w:t>
      </w:r>
      <w:bookmarkEnd w:id="36"/>
    </w:p>
    <w:p w:rsidR="0001272B" w:rsidRDefault="005D05CB" w:rsidP="00B23517">
      <w:pPr>
        <w:pStyle w:val="Heading3"/>
      </w:pPr>
      <w:r w:rsidRPr="0043604D">
        <w:t>Rapports de l</w:t>
      </w:r>
      <w:r w:rsidR="00DD1867">
        <w:t>’</w:t>
      </w:r>
      <w:r w:rsidRPr="0043604D">
        <w:t>OMPI concernant les placements</w:t>
      </w:r>
    </w:p>
    <w:p w:rsidR="00B23517" w:rsidRPr="00B23517" w:rsidRDefault="00B23517" w:rsidP="00B23517"/>
    <w:p w:rsidR="0001272B" w:rsidRPr="0043604D" w:rsidRDefault="005D05CB" w:rsidP="00B23517">
      <w:pPr>
        <w:pStyle w:val="ONUMFS"/>
      </w:pPr>
      <w:r w:rsidRPr="0043604D">
        <w:t>À la demande des États membres, la direction a soumis à l</w:t>
      </w:r>
      <w:r w:rsidR="00DD1867">
        <w:t>’</w:t>
      </w:r>
      <w:r w:rsidRPr="0043604D">
        <w:t>OCIS, à chacune de ses sessions, les rapports mensuels sur le rendement des placements et les rapports mensuels de suivi des placements, établis respectivement par les conseillers en matière de placements et le dépositaire.</w:t>
      </w:r>
      <w:r w:rsidR="000C34CE" w:rsidRPr="0043604D">
        <w:t xml:space="preserve">  </w:t>
      </w:r>
      <w:r w:rsidRPr="0043604D">
        <w:t>L</w:t>
      </w:r>
      <w:r w:rsidR="00DD1867">
        <w:t>’</w:t>
      </w:r>
      <w:r w:rsidRPr="0043604D">
        <w:t>O</w:t>
      </w:r>
      <w:r w:rsidR="00872713" w:rsidRPr="0043604D">
        <w:t>rgane</w:t>
      </w:r>
      <w:r w:rsidRPr="0043604D">
        <w:t xml:space="preserve"> tient à préciser que son rôle se limite à transmettre les informations contenues dans le rapport sur le rendement des placements et le rapport de suivi des placements et ne donne aucune garantie à cet égard.</w:t>
      </w:r>
    </w:p>
    <w:p w:rsidR="0001272B" w:rsidRPr="0043604D" w:rsidRDefault="005D05CB" w:rsidP="00B23517">
      <w:pPr>
        <w:pStyle w:val="ONUMFS"/>
      </w:pPr>
      <w:r w:rsidRPr="0043604D">
        <w:rPr>
          <w:rFonts w:eastAsia="Times New Roman"/>
        </w:rPr>
        <w:t>À la cinquante</w:t>
      </w:r>
      <w:r w:rsidR="00002E83">
        <w:rPr>
          <w:rFonts w:eastAsia="Times New Roman"/>
        </w:rPr>
        <w:noBreakHyphen/>
      </w:r>
      <w:r w:rsidRPr="0043604D">
        <w:rPr>
          <w:rFonts w:eastAsia="Times New Roman"/>
        </w:rPr>
        <w:t>deux</w:t>
      </w:r>
      <w:r w:rsidR="00DD1867">
        <w:rPr>
          <w:rFonts w:eastAsia="Times New Roman"/>
        </w:rPr>
        <w:t>ième session</w:t>
      </w:r>
      <w:r w:rsidR="00872713" w:rsidRPr="0043604D">
        <w:rPr>
          <w:rFonts w:eastAsia="Times New Roman"/>
        </w:rPr>
        <w:t xml:space="preserve"> de </w:t>
      </w:r>
      <w:r w:rsidR="00872713" w:rsidRPr="0043604D">
        <w:t>l</w:t>
      </w:r>
      <w:r w:rsidR="00DD1867">
        <w:t>’</w:t>
      </w:r>
      <w:r w:rsidR="00872713" w:rsidRPr="0043604D">
        <w:t>OCIS</w:t>
      </w:r>
      <w:r w:rsidRPr="0043604D">
        <w:rPr>
          <w:rFonts w:eastAsia="Times New Roman"/>
        </w:rPr>
        <w:t>, la directrice de la Division des finances a présenté le cadre de placements et la structure de gouvernance à l</w:t>
      </w:r>
      <w:r w:rsidR="00DD1867">
        <w:rPr>
          <w:rFonts w:eastAsia="Times New Roman"/>
        </w:rPr>
        <w:t>’</w:t>
      </w:r>
      <w:r w:rsidRPr="0043604D">
        <w:rPr>
          <w:rFonts w:eastAsia="Times New Roman"/>
        </w:rPr>
        <w:t xml:space="preserve">OCIS et a fourni des explications sur les rapports </w:t>
      </w:r>
      <w:r w:rsidR="00546994" w:rsidRPr="0043604D">
        <w:rPr>
          <w:rFonts w:eastAsia="Times New Roman"/>
        </w:rPr>
        <w:t>concernant le</w:t>
      </w:r>
      <w:r w:rsidRPr="0043604D">
        <w:rPr>
          <w:rFonts w:eastAsia="Times New Roman"/>
        </w:rPr>
        <w:t xml:space="preserve"> suivi des placements et le rendement des placements.</w:t>
      </w:r>
      <w:r w:rsidR="000C34CE" w:rsidRPr="0043604D">
        <w:rPr>
          <w:rFonts w:eastAsia="Times New Roman"/>
        </w:rPr>
        <w:t xml:space="preserve">  </w:t>
      </w:r>
      <w:r w:rsidRPr="0043604D">
        <w:rPr>
          <w:rFonts w:eastAsia="Times New Roman"/>
        </w:rPr>
        <w:t>L</w:t>
      </w:r>
      <w:r w:rsidR="00DD1867">
        <w:rPr>
          <w:rFonts w:eastAsia="Times New Roman"/>
        </w:rPr>
        <w:t>’</w:t>
      </w:r>
      <w:r w:rsidRPr="0043604D">
        <w:rPr>
          <w:rFonts w:eastAsia="Times New Roman"/>
        </w:rPr>
        <w:t>OCIS s</w:t>
      </w:r>
      <w:r w:rsidR="00DD1867">
        <w:rPr>
          <w:rFonts w:eastAsia="Times New Roman"/>
        </w:rPr>
        <w:t>’</w:t>
      </w:r>
      <w:r w:rsidRPr="0043604D">
        <w:rPr>
          <w:rFonts w:eastAsia="Times New Roman"/>
        </w:rPr>
        <w:t>est dit satisfait du cadre général et de la structure de gouvernance ainsi que des explications fournies, qui facilitent l</w:t>
      </w:r>
      <w:r w:rsidR="00DD1867">
        <w:rPr>
          <w:rFonts w:eastAsia="Times New Roman"/>
        </w:rPr>
        <w:t>’</w:t>
      </w:r>
      <w:r w:rsidRPr="0043604D">
        <w:rPr>
          <w:rFonts w:eastAsia="Times New Roman"/>
        </w:rPr>
        <w:t>examen des rapports concernant les placements.</w:t>
      </w:r>
    </w:p>
    <w:p w:rsidR="0001272B" w:rsidRPr="0043604D" w:rsidRDefault="009F7525" w:rsidP="00B23517">
      <w:pPr>
        <w:pStyle w:val="ONUMFS"/>
      </w:pPr>
      <w:r w:rsidRPr="0043604D">
        <w:t>En se fondant s</w:t>
      </w:r>
      <w:r w:rsidR="00546994" w:rsidRPr="0043604D">
        <w:t>ur l</w:t>
      </w:r>
      <w:r w:rsidRPr="0043604D">
        <w:t>es examens périodiques, l</w:t>
      </w:r>
      <w:r w:rsidR="00DD1867">
        <w:t>’</w:t>
      </w:r>
      <w:r w:rsidRPr="0043604D">
        <w:t>OCIS confirme que les informations fournies montrent qu</w:t>
      </w:r>
      <w:r w:rsidR="00DD1867">
        <w:t>’</w:t>
      </w:r>
      <w:r w:rsidRPr="0043604D">
        <w:t>au cours de la période considérée, et par rapport au point de référence du marché des placements, tous les éléments du portefeuille de placements de l</w:t>
      </w:r>
      <w:r w:rsidR="00DD1867">
        <w:t>’</w:t>
      </w:r>
      <w:r w:rsidRPr="0043604D">
        <w:t>OMPI ont atteint les résultats escomptés et ont été gérés conformément à la stratégie énoncée.</w:t>
      </w:r>
      <w:r w:rsidR="000C34CE" w:rsidRPr="0043604D">
        <w:t xml:space="preserve">  </w:t>
      </w:r>
      <w:r w:rsidRPr="0043604D">
        <w:t>L</w:t>
      </w:r>
      <w:r w:rsidR="00DD1867">
        <w:t>’</w:t>
      </w:r>
      <w:r w:rsidRPr="0043604D">
        <w:t>O</w:t>
      </w:r>
      <w:r w:rsidR="00546994" w:rsidRPr="0043604D">
        <w:t>rgane</w:t>
      </w:r>
      <w:r w:rsidRPr="0043604D">
        <w:t xml:space="preserve"> a également pris acte du fait que le dépositaire n</w:t>
      </w:r>
      <w:r w:rsidR="00DD1867">
        <w:t>’</w:t>
      </w:r>
      <w:r w:rsidRPr="0043604D">
        <w:t>a</w:t>
      </w:r>
      <w:r w:rsidR="00546994" w:rsidRPr="0043604D">
        <w:t>vait</w:t>
      </w:r>
      <w:r w:rsidRPr="0043604D">
        <w:t xml:space="preserve"> fait état d</w:t>
      </w:r>
      <w:r w:rsidR="00DD1867">
        <w:t>’</w:t>
      </w:r>
      <w:r w:rsidRPr="0043604D">
        <w:t>aucune atteinte, qu</w:t>
      </w:r>
      <w:r w:rsidR="00DD1867">
        <w:t>’</w:t>
      </w:r>
      <w:r w:rsidRPr="0043604D">
        <w:t>elle soit active ou passive, ni n</w:t>
      </w:r>
      <w:r w:rsidR="00DD1867">
        <w:t>’</w:t>
      </w:r>
      <w:r w:rsidRPr="0043604D">
        <w:t>a</w:t>
      </w:r>
      <w:r w:rsidR="00546994" w:rsidRPr="0043604D">
        <w:t>vait</w:t>
      </w:r>
      <w:r w:rsidRPr="0043604D">
        <w:t xml:space="preserve"> justifié d</w:t>
      </w:r>
      <w:r w:rsidR="00DD1867">
        <w:t>’</w:t>
      </w:r>
      <w:r w:rsidRPr="0043604D">
        <w:t>aucune exception.</w:t>
      </w:r>
    </w:p>
    <w:p w:rsidR="0001272B" w:rsidRPr="0043604D" w:rsidRDefault="009F7525" w:rsidP="00B23517">
      <w:pPr>
        <w:pStyle w:val="ONUMFS"/>
      </w:pPr>
      <w:r w:rsidRPr="0043604D">
        <w:t>L</w:t>
      </w:r>
      <w:r w:rsidR="00DD1867">
        <w:t>’</w:t>
      </w:r>
      <w:r w:rsidRPr="0043604D">
        <w:t>OCIS partage l</w:t>
      </w:r>
      <w:r w:rsidR="00DD1867">
        <w:t>’</w:t>
      </w:r>
      <w:r w:rsidRPr="0043604D">
        <w:t>opinion du vérificateur externe des comptes selon laquelle il reste possible de faire rapport plus régulièrement et plus formellement sur les activités de placements de l</w:t>
      </w:r>
      <w:r w:rsidR="00DD1867">
        <w:t>’</w:t>
      </w:r>
      <w:r w:rsidRPr="0043604D">
        <w:t>OMPI afin d</w:t>
      </w:r>
      <w:r w:rsidR="00DD1867">
        <w:t>’</w:t>
      </w:r>
      <w:r w:rsidRPr="0043604D">
        <w:t>en informer</w:t>
      </w:r>
      <w:r w:rsidR="00DD1867" w:rsidRPr="0043604D">
        <w:t xml:space="preserve"> le</w:t>
      </w:r>
      <w:r w:rsidR="00DD1867">
        <w:t> </w:t>
      </w:r>
      <w:r w:rsidR="00DD1867" w:rsidRPr="0043604D">
        <w:t>PBC</w:t>
      </w:r>
      <w:r w:rsidRPr="0043604D">
        <w:t>.</w:t>
      </w:r>
    </w:p>
    <w:p w:rsidR="0001272B" w:rsidRDefault="00546994" w:rsidP="00B23517">
      <w:pPr>
        <w:pStyle w:val="Heading3"/>
      </w:pPr>
      <w:r w:rsidRPr="0043604D">
        <w:t>Procédure d</w:t>
      </w:r>
      <w:r w:rsidR="00DD1867">
        <w:t>’</w:t>
      </w:r>
      <w:r w:rsidRPr="0043604D">
        <w:t>enquête</w:t>
      </w:r>
      <w:r w:rsidR="009F7525" w:rsidRPr="0043604D">
        <w:t xml:space="preserve"> et procédures connexes</w:t>
      </w:r>
    </w:p>
    <w:p w:rsidR="00B23517" w:rsidRPr="00B23517" w:rsidRDefault="00B23517" w:rsidP="00B23517"/>
    <w:p w:rsidR="0001272B" w:rsidRPr="0043604D" w:rsidRDefault="009F7525" w:rsidP="00B23517">
      <w:pPr>
        <w:pStyle w:val="ONUMFS"/>
        <w:rPr>
          <w:lang w:eastAsia="en-US"/>
        </w:rPr>
      </w:pPr>
      <w:r w:rsidRPr="0043604D">
        <w:rPr>
          <w:lang w:eastAsia="en-US"/>
        </w:rPr>
        <w:t xml:space="preserve">À </w:t>
      </w:r>
      <w:r w:rsidR="00546994" w:rsidRPr="0043604D">
        <w:rPr>
          <w:lang w:eastAsia="en-US"/>
        </w:rPr>
        <w:t>l</w:t>
      </w:r>
      <w:r w:rsidRPr="0043604D">
        <w:rPr>
          <w:lang w:eastAsia="en-US"/>
        </w:rPr>
        <w:t>a vingt</w:t>
      </w:r>
      <w:r w:rsidR="00002E83">
        <w:rPr>
          <w:lang w:eastAsia="en-US"/>
        </w:rPr>
        <w:noBreakHyphen/>
      </w:r>
      <w:r w:rsidRPr="0043604D">
        <w:rPr>
          <w:lang w:eastAsia="en-US"/>
        </w:rPr>
        <w:t>huit</w:t>
      </w:r>
      <w:r w:rsidR="00DD1867">
        <w:rPr>
          <w:lang w:eastAsia="en-US"/>
        </w:rPr>
        <w:t>ième session</w:t>
      </w:r>
      <w:r w:rsidRPr="0043604D">
        <w:rPr>
          <w:lang w:eastAsia="en-US"/>
        </w:rPr>
        <w:t>, le Comité du programme et budget (PBC) a demandé à l</w:t>
      </w:r>
      <w:r w:rsidR="00DD1867">
        <w:rPr>
          <w:lang w:eastAsia="en-US"/>
        </w:rPr>
        <w:t>’</w:t>
      </w:r>
      <w:r w:rsidRPr="0043604D">
        <w:rPr>
          <w:lang w:eastAsia="en-US"/>
        </w:rPr>
        <w:t>OCIS d</w:t>
      </w:r>
      <w:r w:rsidR="00DD1867">
        <w:rPr>
          <w:lang w:eastAsia="en-US"/>
        </w:rPr>
        <w:t>’</w:t>
      </w:r>
      <w:r w:rsidRPr="0043604D">
        <w:rPr>
          <w:lang w:eastAsia="en-US"/>
        </w:rPr>
        <w:t>examiner la Charte de la supervision interne et la Politique en matière d</w:t>
      </w:r>
      <w:r w:rsidR="00DD1867">
        <w:rPr>
          <w:lang w:eastAsia="en-US"/>
        </w:rPr>
        <w:t>’</w:t>
      </w:r>
      <w:r w:rsidRPr="0043604D">
        <w:rPr>
          <w:lang w:eastAsia="en-US"/>
        </w:rPr>
        <w:t>enquêtes de l</w:t>
      </w:r>
      <w:r w:rsidR="00DD1867">
        <w:rPr>
          <w:lang w:eastAsia="en-US"/>
        </w:rPr>
        <w:t>’</w:t>
      </w:r>
      <w:r w:rsidRPr="0043604D">
        <w:rPr>
          <w:lang w:eastAsia="en-US"/>
        </w:rPr>
        <w:t>OMPI et de proposer des modifications, afin de préciser les délais visés pour l</w:t>
      </w:r>
      <w:r w:rsidR="00DD1867">
        <w:rPr>
          <w:lang w:eastAsia="en-US"/>
        </w:rPr>
        <w:t>’</w:t>
      </w:r>
      <w:r w:rsidRPr="0043604D">
        <w:rPr>
          <w:lang w:eastAsia="en-US"/>
        </w:rPr>
        <w:t>établissement des rapports et la procédure d</w:t>
      </w:r>
      <w:r w:rsidR="00DD1867">
        <w:rPr>
          <w:lang w:eastAsia="en-US"/>
        </w:rPr>
        <w:t>’</w:t>
      </w:r>
      <w:r w:rsidRPr="0043604D">
        <w:rPr>
          <w:lang w:eastAsia="en-US"/>
        </w:rPr>
        <w:t>enquête.</w:t>
      </w:r>
    </w:p>
    <w:p w:rsidR="0001272B" w:rsidRPr="0043604D" w:rsidRDefault="009F7525" w:rsidP="00B23517">
      <w:pPr>
        <w:pStyle w:val="ONUMFS"/>
      </w:pPr>
      <w:r w:rsidRPr="0043604D">
        <w:t>À sa cinquante</w:t>
      </w:r>
      <w:r w:rsidR="00DD1867">
        <w:t> et unième session</w:t>
      </w:r>
      <w:r w:rsidRPr="0043604D">
        <w:t>, l</w:t>
      </w:r>
      <w:r w:rsidR="00DD1867">
        <w:t>’</w:t>
      </w:r>
      <w:r w:rsidRPr="0043604D">
        <w:t>OCIS a examiné la Charte de la supervision interne, la Politique en matière d</w:t>
      </w:r>
      <w:r w:rsidR="00DD1867">
        <w:t>’</w:t>
      </w:r>
      <w:r w:rsidRPr="0043604D">
        <w:t>enquêtes</w:t>
      </w:r>
      <w:r w:rsidR="00546994" w:rsidRPr="0043604D">
        <w:t xml:space="preserve"> de l</w:t>
      </w:r>
      <w:r w:rsidR="00DD1867">
        <w:t>’</w:t>
      </w:r>
      <w:r w:rsidR="00546994" w:rsidRPr="0043604D">
        <w:t>OMPI</w:t>
      </w:r>
      <w:r w:rsidRPr="0043604D">
        <w:t xml:space="preserve"> et </w:t>
      </w:r>
      <w:r w:rsidR="00546994" w:rsidRPr="0043604D">
        <w:t>s</w:t>
      </w:r>
      <w:r w:rsidRPr="0043604D">
        <w:t>a Politique de protection contre les représailles en raison du signalement d</w:t>
      </w:r>
      <w:r w:rsidR="00DD1867">
        <w:t>’</w:t>
      </w:r>
      <w:r w:rsidRPr="0043604D">
        <w:t>une faute ou de la collaboration à des audi</w:t>
      </w:r>
      <w:r w:rsidR="00546994" w:rsidRPr="0043604D">
        <w:t xml:space="preserve">ts ou enquêtes dûment autorisés, </w:t>
      </w:r>
      <w:r w:rsidRPr="0043604D">
        <w:t>ainsi que d</w:t>
      </w:r>
      <w:r w:rsidR="00DD1867">
        <w:t>’</w:t>
      </w:r>
      <w:r w:rsidRPr="0043604D">
        <w:t xml:space="preserve">autres documents pertinents, </w:t>
      </w:r>
      <w:r w:rsidR="00546994" w:rsidRPr="0043604D">
        <w:t>en tenant compte</w:t>
      </w:r>
      <w:r w:rsidRPr="0043604D">
        <w:t xml:space="preserve"> des rapports établis par</w:t>
      </w:r>
      <w:r w:rsidR="00DD1867" w:rsidRPr="0043604D">
        <w:t xml:space="preserve"> le</w:t>
      </w:r>
      <w:r w:rsidR="00DD1867">
        <w:t> </w:t>
      </w:r>
      <w:r w:rsidR="00DD1867" w:rsidRPr="0043604D">
        <w:t>CCI</w:t>
      </w:r>
      <w:r w:rsidRPr="0043604D">
        <w:t xml:space="preserve"> ainsi que de la pratique des autres institutions du système des </w:t>
      </w:r>
      <w:r w:rsidR="00DD1867">
        <w:t>Nations Unies</w:t>
      </w:r>
      <w:r w:rsidRPr="0043604D">
        <w:t>.</w:t>
      </w:r>
    </w:p>
    <w:p w:rsidR="0001272B" w:rsidRPr="0043604D" w:rsidRDefault="009F7525" w:rsidP="00B23517">
      <w:pPr>
        <w:pStyle w:val="ONUMFS"/>
      </w:pPr>
      <w:r w:rsidRPr="0043604D">
        <w:t>L</w:t>
      </w:r>
      <w:r w:rsidR="00DD1867">
        <w:t>’</w:t>
      </w:r>
      <w:r w:rsidRPr="0043604D">
        <w:t>O</w:t>
      </w:r>
      <w:r w:rsidR="00546994" w:rsidRPr="0043604D">
        <w:t>rgane</w:t>
      </w:r>
      <w:r w:rsidRPr="0043604D">
        <w:t xml:space="preserve"> a conclu que les délais visés établis par l</w:t>
      </w:r>
      <w:r w:rsidR="00DD1867">
        <w:t>’</w:t>
      </w:r>
      <w:r w:rsidRPr="0043604D">
        <w:t xml:space="preserve">OMPI étaient généralement </w:t>
      </w:r>
      <w:r w:rsidR="00546994" w:rsidRPr="0043604D">
        <w:t>adéquats</w:t>
      </w:r>
      <w:r w:rsidRPr="0043604D">
        <w:t xml:space="preserve"> et qu</w:t>
      </w:r>
      <w:r w:rsidR="00DD1867">
        <w:t>’</w:t>
      </w:r>
      <w:r w:rsidRPr="0043604D">
        <w:t>aucune modification de la Charte de la supervision interne de l</w:t>
      </w:r>
      <w:r w:rsidR="00DD1867">
        <w:t>’</w:t>
      </w:r>
      <w:r w:rsidRPr="0043604D">
        <w:t>OMPI n</w:t>
      </w:r>
      <w:r w:rsidR="00DD1867">
        <w:t>’</w:t>
      </w:r>
      <w:r w:rsidRPr="0043604D">
        <w:t xml:space="preserve">était </w:t>
      </w:r>
      <w:r w:rsidR="00546994" w:rsidRPr="0043604D">
        <w:t>nécessaire</w:t>
      </w:r>
      <w:r w:rsidRPr="0043604D">
        <w:t>.</w:t>
      </w:r>
      <w:r w:rsidR="0056107A" w:rsidRPr="0043604D">
        <w:t xml:space="preserve">  </w:t>
      </w:r>
      <w:r w:rsidRPr="0043604D">
        <w:t>L</w:t>
      </w:r>
      <w:r w:rsidR="00DD1867">
        <w:t>’</w:t>
      </w:r>
      <w:r w:rsidRPr="0043604D">
        <w:t>OCIS a toutefois recommandé d</w:t>
      </w:r>
      <w:r w:rsidR="00DD1867">
        <w:t>’</w:t>
      </w:r>
      <w:r w:rsidRPr="0043604D">
        <w:t>apporter certaines modifications à la Politique en matière d</w:t>
      </w:r>
      <w:r w:rsidR="00DD1867">
        <w:t>’</w:t>
      </w:r>
      <w:r w:rsidRPr="0043604D">
        <w:t>enquêtes et à la Politique de protection contre les représailles, afin de renforcer la clarté et d</w:t>
      </w:r>
      <w:r w:rsidR="00DD1867">
        <w:t>’</w:t>
      </w:r>
      <w:r w:rsidRPr="0043604D">
        <w:t>assurer la cohérence dans l</w:t>
      </w:r>
      <w:r w:rsidR="00DD1867">
        <w:t>’</w:t>
      </w:r>
      <w:r w:rsidRPr="0043604D">
        <w:t>application des délais fix</w:t>
      </w:r>
      <w:r w:rsidR="00ED0BA6" w:rsidRPr="0043604D">
        <w:t>és</w:t>
      </w:r>
      <w:r w:rsidR="00ED0BA6">
        <w:t xml:space="preserve">.  </w:t>
      </w:r>
      <w:r w:rsidR="00ED0BA6" w:rsidRPr="0043604D">
        <w:t xml:space="preserve">À </w:t>
      </w:r>
      <w:r w:rsidRPr="0043604D">
        <w:t>cet effet, l</w:t>
      </w:r>
      <w:r w:rsidR="00DD1867">
        <w:t>’</w:t>
      </w:r>
      <w:r w:rsidRPr="0043604D">
        <w:t xml:space="preserve">OCIS a communiqué au Secrétariat un projet de rapport sur les </w:t>
      </w:r>
      <w:r w:rsidR="00F25375" w:rsidRPr="0043604D">
        <w:t>“</w:t>
      </w:r>
      <w:r w:rsidRPr="0043604D">
        <w:t>délais visés pour la procédure d</w:t>
      </w:r>
      <w:r w:rsidR="00DD1867">
        <w:t>’</w:t>
      </w:r>
      <w:r w:rsidRPr="0043604D">
        <w:t>enquête et les processus connexes</w:t>
      </w:r>
      <w:r w:rsidR="00F25375" w:rsidRPr="0043604D">
        <w:t>”</w:t>
      </w:r>
      <w:r w:rsidRPr="0043604D">
        <w:t xml:space="preserve">, contenant </w:t>
      </w:r>
      <w:r w:rsidR="00546994" w:rsidRPr="0043604D">
        <w:t>l</w:t>
      </w:r>
      <w:r w:rsidR="00DD1867">
        <w:t>’</w:t>
      </w:r>
      <w:r w:rsidR="00546994" w:rsidRPr="0043604D">
        <w:t xml:space="preserve">évaluation </w:t>
      </w:r>
      <w:r w:rsidRPr="0043604D">
        <w:t>effectuée par l</w:t>
      </w:r>
      <w:r w:rsidR="00DD1867">
        <w:t>’</w:t>
      </w:r>
      <w:r w:rsidRPr="0043604D">
        <w:t>OCIS et plusieurs recommandations adressées au Directeur général et au directeur de</w:t>
      </w:r>
      <w:r w:rsidR="00DD1867" w:rsidRPr="0043604D">
        <w:t xml:space="preserve"> la</w:t>
      </w:r>
      <w:r w:rsidR="00DD1867">
        <w:t> </w:t>
      </w:r>
      <w:r w:rsidR="00DD1867" w:rsidRPr="0043604D">
        <w:t>DSI</w:t>
      </w:r>
      <w:r w:rsidRPr="0043604D">
        <w:t>.  À la cinquante</w:t>
      </w:r>
      <w:r w:rsidR="00002E83">
        <w:noBreakHyphen/>
      </w:r>
      <w:r w:rsidRPr="0043604D">
        <w:t>deux</w:t>
      </w:r>
      <w:r w:rsidR="00DD1867">
        <w:t>ième session</w:t>
      </w:r>
      <w:r w:rsidRPr="0043604D">
        <w:t>, l</w:t>
      </w:r>
      <w:r w:rsidR="00DD1867">
        <w:t>’</w:t>
      </w:r>
      <w:r w:rsidRPr="0043604D">
        <w:t>OCIS a finalisé le rapport, en tenant compte des observations transmises par le Secrétari</w:t>
      </w:r>
      <w:r w:rsidR="00ED0BA6" w:rsidRPr="0043604D">
        <w:t>at</w:t>
      </w:r>
      <w:r w:rsidR="00ED0BA6">
        <w:t xml:space="preserve">.  </w:t>
      </w:r>
      <w:r w:rsidR="00ED0BA6" w:rsidRPr="0043604D">
        <w:t>Le</w:t>
      </w:r>
      <w:r w:rsidRPr="0043604D">
        <w:t xml:space="preserve"> rapport a été soumis au Comité du programme et budget à sa trent</w:t>
      </w:r>
      <w:r w:rsidR="00DD1867">
        <w:t>ième session</w:t>
      </w:r>
      <w:r w:rsidRPr="0043604D">
        <w:t xml:space="preserve"> (WO/PBC/30/14).</w:t>
      </w:r>
    </w:p>
    <w:p w:rsidR="0001272B" w:rsidRDefault="009F7525" w:rsidP="00B23517">
      <w:pPr>
        <w:pStyle w:val="Heading3"/>
      </w:pPr>
      <w:r w:rsidRPr="0043604D">
        <w:lastRenderedPageBreak/>
        <w:t>Examen par</w:t>
      </w:r>
      <w:r w:rsidR="00DD1867" w:rsidRPr="0043604D">
        <w:t xml:space="preserve"> le</w:t>
      </w:r>
      <w:r w:rsidR="00DD1867">
        <w:t> </w:t>
      </w:r>
      <w:r w:rsidR="00DD1867" w:rsidRPr="0043604D">
        <w:t>CCI</w:t>
      </w:r>
      <w:r w:rsidRPr="0043604D">
        <w:t xml:space="preserve"> des </w:t>
      </w:r>
      <w:r w:rsidR="00546994" w:rsidRPr="0043604D">
        <w:t>fonctions d</w:t>
      </w:r>
      <w:r w:rsidR="00DD1867">
        <w:t>’</w:t>
      </w:r>
      <w:r w:rsidRPr="0043604D">
        <w:t xml:space="preserve">audit et de supervision au sein du système des </w:t>
      </w:r>
      <w:r w:rsidR="00DD1867">
        <w:t>Nations Unies</w:t>
      </w:r>
    </w:p>
    <w:p w:rsidR="00B23517" w:rsidRPr="00B23517" w:rsidRDefault="00B23517" w:rsidP="00B23517"/>
    <w:p w:rsidR="0001272B" w:rsidRPr="0043604D" w:rsidRDefault="009F7525" w:rsidP="00B23517">
      <w:pPr>
        <w:pStyle w:val="ONUMFS"/>
      </w:pPr>
      <w:r w:rsidRPr="0043604D">
        <w:t>À sa cinquante</w:t>
      </w:r>
      <w:r w:rsidR="00002E83">
        <w:noBreakHyphen/>
      </w:r>
      <w:r w:rsidRPr="0043604D">
        <w:t>trois</w:t>
      </w:r>
      <w:r w:rsidR="00DD1867">
        <w:t>ième session</w:t>
      </w:r>
      <w:r w:rsidRPr="0043604D">
        <w:t>, l</w:t>
      </w:r>
      <w:r w:rsidR="00DD1867">
        <w:t>’</w:t>
      </w:r>
      <w:r w:rsidRPr="0043604D">
        <w:t>OCIS a examiné le projet de rapport</w:t>
      </w:r>
      <w:r w:rsidR="00DD1867" w:rsidRPr="0043604D">
        <w:t xml:space="preserve"> du</w:t>
      </w:r>
      <w:r w:rsidR="00DD1867">
        <w:t> </w:t>
      </w:r>
      <w:r w:rsidR="00DD1867" w:rsidRPr="0043604D">
        <w:t>CCI</w:t>
      </w:r>
      <w:r w:rsidRPr="0043604D">
        <w:t xml:space="preserve"> sur l</w:t>
      </w:r>
      <w:r w:rsidR="00DD1867">
        <w:t>’</w:t>
      </w:r>
      <w:r w:rsidRPr="0043604D">
        <w:t>examen des fonctions d</w:t>
      </w:r>
      <w:r w:rsidR="00DD1867">
        <w:t>’</w:t>
      </w:r>
      <w:r w:rsidRPr="0043604D">
        <w:t xml:space="preserve">audit et de supervision au sein du système des </w:t>
      </w:r>
      <w:r w:rsidR="00DD1867">
        <w:t>Nations Unies</w:t>
      </w:r>
      <w:r w:rsidRPr="0043604D">
        <w:t xml:space="preserve"> et a formulé des observations à cet égard.</w:t>
      </w:r>
      <w:r w:rsidR="00E33A56" w:rsidRPr="0043604D">
        <w:t xml:space="preserve"> </w:t>
      </w:r>
      <w:r w:rsidR="00E264A1" w:rsidRPr="0043604D">
        <w:t xml:space="preserve"> </w:t>
      </w:r>
      <w:bookmarkStart w:id="37" w:name="_Toc453591211"/>
      <w:r w:rsidRPr="0043604D">
        <w:t>L</w:t>
      </w:r>
      <w:r w:rsidR="00DD1867">
        <w:t>’</w:t>
      </w:r>
      <w:r w:rsidRPr="0043604D">
        <w:t>OCIS a noté avec satisfaction que l</w:t>
      </w:r>
      <w:r w:rsidR="00DD1867">
        <w:t>’</w:t>
      </w:r>
      <w:r w:rsidRPr="0043604D">
        <w:t>OMPI satisfaisait à la plupart des 13</w:t>
      </w:r>
      <w:r w:rsidR="002B1D77" w:rsidRPr="0043604D">
        <w:t> </w:t>
      </w:r>
      <w:r w:rsidRPr="0043604D">
        <w:t xml:space="preserve">critères de référence applicables aux organes de supervision au sein du système des </w:t>
      </w:r>
      <w:r w:rsidR="00DD1867">
        <w:t>Nations Unies</w:t>
      </w:r>
      <w:r w:rsidRPr="0043604D">
        <w:t xml:space="preserve"> et que</w:t>
      </w:r>
      <w:r w:rsidR="00DD1867" w:rsidRPr="0043604D">
        <w:t xml:space="preserve"> le</w:t>
      </w:r>
      <w:r w:rsidR="00DD1867">
        <w:t> </w:t>
      </w:r>
      <w:r w:rsidR="00DD1867" w:rsidRPr="0043604D">
        <w:t>CCI</w:t>
      </w:r>
      <w:r w:rsidRPr="0043604D">
        <w:t xml:space="preserve"> estimait que certaines des mesures prises par l</w:t>
      </w:r>
      <w:r w:rsidR="00DD1867">
        <w:t>’</w:t>
      </w:r>
      <w:r w:rsidRPr="0043604D">
        <w:t>OMPI constituaient de bonnes pratiques.</w:t>
      </w:r>
    </w:p>
    <w:p w:rsidR="0001272B" w:rsidRDefault="009F7525" w:rsidP="00B23517">
      <w:pPr>
        <w:pStyle w:val="Heading1"/>
      </w:pPr>
      <w:bookmarkStart w:id="38" w:name="_Toc13132572"/>
      <w:bookmarkEnd w:id="37"/>
      <w:r w:rsidRPr="00B23517">
        <w:t>Conclusion</w:t>
      </w:r>
      <w:bookmarkEnd w:id="38"/>
    </w:p>
    <w:p w:rsidR="00B23517" w:rsidRPr="00B23517" w:rsidRDefault="00B23517" w:rsidP="00B23517"/>
    <w:p w:rsidR="0001272B" w:rsidRPr="0043604D" w:rsidRDefault="009F7525" w:rsidP="00B23517">
      <w:pPr>
        <w:pStyle w:val="ONUMFS"/>
      </w:pPr>
      <w:r w:rsidRPr="0043604D">
        <w:t>L</w:t>
      </w:r>
      <w:r w:rsidR="00DD1867">
        <w:t>’</w:t>
      </w:r>
      <w:r w:rsidRPr="0043604D">
        <w:t>OCIS fait part de sa gratitude au Directeur général, au directeur de la Division de la supervision interne, au conseiller juridique, au chef du Bureau de la déontologie et à d</w:t>
      </w:r>
      <w:r w:rsidR="00DD1867">
        <w:t>’</w:t>
      </w:r>
      <w:r w:rsidRPr="0043604D">
        <w:t>autres membres de la haute direction ainsi qu</w:t>
      </w:r>
      <w:r w:rsidR="00DD1867">
        <w:t>’</w:t>
      </w:r>
      <w:r w:rsidRPr="0043604D">
        <w:t>aux vérificateurs externes pour la disponibilité, la clarté et l</w:t>
      </w:r>
      <w:r w:rsidR="00DD1867">
        <w:t>’</w:t>
      </w:r>
      <w:r w:rsidRPr="0043604D">
        <w:t>ouverture dont ils ont fait preuve dans leurs échanges réguliers avec l</w:t>
      </w:r>
      <w:r w:rsidR="00DD1867">
        <w:t>’</w:t>
      </w:r>
      <w:r w:rsidRPr="0043604D">
        <w:t>Organe, ainsi que pour les informations fournies.</w:t>
      </w:r>
    </w:p>
    <w:p w:rsidR="0001272B" w:rsidRPr="0043604D" w:rsidRDefault="0001272B" w:rsidP="00B23517"/>
    <w:p w:rsidR="0001272B" w:rsidRPr="0043604D" w:rsidRDefault="0001272B" w:rsidP="00B23517"/>
    <w:p w:rsidR="0001272B" w:rsidRPr="00546994" w:rsidRDefault="009F7525" w:rsidP="00B23517">
      <w:pPr>
        <w:pStyle w:val="Endofdocument-Annex"/>
        <w:rPr>
          <w:rStyle w:val="Endofdocument-AnnexChar"/>
          <w:szCs w:val="22"/>
        </w:rPr>
      </w:pPr>
      <w:r w:rsidRPr="0043604D">
        <w:rPr>
          <w:rStyle w:val="Endofdocument-AnnexChar"/>
          <w:szCs w:val="22"/>
        </w:rPr>
        <w:t>[Fin du document]</w:t>
      </w:r>
    </w:p>
    <w:p w:rsidR="0001272B" w:rsidRPr="00546994" w:rsidRDefault="0001272B" w:rsidP="004F0A47">
      <w:pPr>
        <w:pStyle w:val="Endofdocument-Annex"/>
        <w:rPr>
          <w:rStyle w:val="Endofdocument-AnnexChar"/>
          <w:szCs w:val="22"/>
        </w:rPr>
      </w:pPr>
    </w:p>
    <w:sectPr w:rsidR="0001272B" w:rsidRPr="00546994" w:rsidSect="00D9753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77" w:rsidRDefault="002B1D77">
      <w:r>
        <w:separator/>
      </w:r>
    </w:p>
  </w:endnote>
  <w:endnote w:type="continuationSeparator" w:id="0">
    <w:p w:rsidR="002B1D77" w:rsidRDefault="002B1D77" w:rsidP="003B38C1">
      <w:r>
        <w:separator/>
      </w:r>
    </w:p>
    <w:p w:rsidR="002B1D77" w:rsidRPr="00B142FD" w:rsidRDefault="002B1D77" w:rsidP="003B38C1">
      <w:pPr>
        <w:pStyle w:val="Footer"/>
        <w:spacing w:after="60"/>
        <w:rPr>
          <w:sz w:val="17"/>
          <w:lang w:val="en-US"/>
        </w:rPr>
      </w:pPr>
      <w:r w:rsidRPr="00B142FD">
        <w:rPr>
          <w:sz w:val="17"/>
          <w:lang w:val="en-US"/>
        </w:rPr>
        <w:t>[Endnote continued from previous page]</w:t>
      </w:r>
    </w:p>
  </w:endnote>
  <w:endnote w:type="continuationNotice" w:id="1">
    <w:p w:rsidR="002B1D77" w:rsidRPr="00B142FD" w:rsidRDefault="002B1D77" w:rsidP="003B38C1">
      <w:pPr>
        <w:spacing w:before="60"/>
        <w:jc w:val="right"/>
        <w:rPr>
          <w:sz w:val="17"/>
          <w:szCs w:val="17"/>
          <w:lang w:val="en-US"/>
        </w:rPr>
      </w:pPr>
      <w:r w:rsidRPr="00B142F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rsidP="00232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rsidP="0023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rsidP="002325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77" w:rsidRDefault="002B1D77">
      <w:r>
        <w:separator/>
      </w:r>
    </w:p>
  </w:footnote>
  <w:footnote w:type="continuationSeparator" w:id="0">
    <w:p w:rsidR="002B1D77" w:rsidRDefault="002B1D77" w:rsidP="008B60B2">
      <w:r>
        <w:separator/>
      </w:r>
    </w:p>
    <w:p w:rsidR="002B1D77" w:rsidRPr="00B142FD" w:rsidRDefault="002B1D77" w:rsidP="008B60B2">
      <w:pPr>
        <w:pStyle w:val="Footer"/>
        <w:spacing w:after="60"/>
        <w:rPr>
          <w:sz w:val="17"/>
          <w:szCs w:val="17"/>
          <w:lang w:val="en-US"/>
        </w:rPr>
      </w:pPr>
      <w:r w:rsidRPr="00B142FD">
        <w:rPr>
          <w:sz w:val="17"/>
          <w:szCs w:val="17"/>
          <w:lang w:val="en-US"/>
        </w:rPr>
        <w:t>[Footnote continued from previous page]</w:t>
      </w:r>
    </w:p>
  </w:footnote>
  <w:footnote w:type="continuationNotice" w:id="1">
    <w:p w:rsidR="002B1D77" w:rsidRPr="00B142FD" w:rsidRDefault="002B1D77" w:rsidP="008B60B2">
      <w:pPr>
        <w:spacing w:before="60"/>
        <w:jc w:val="right"/>
        <w:rPr>
          <w:sz w:val="17"/>
          <w:szCs w:val="17"/>
          <w:lang w:val="en-US"/>
        </w:rPr>
      </w:pPr>
      <w:r w:rsidRPr="00B142F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83" w:rsidRDefault="00002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83" w:rsidRDefault="00002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Pr="00612E73" w:rsidRDefault="002325AD" w:rsidP="002325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77" w:rsidRPr="00612E73" w:rsidRDefault="002B1D77" w:rsidP="00612E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AD" w:rsidRDefault="002325AD" w:rsidP="002325AD">
    <w:pPr>
      <w:jc w:val="right"/>
    </w:pPr>
    <w:r>
      <w:t>WO/PBC/30/2</w:t>
    </w:r>
  </w:p>
  <w:p w:rsidR="002325AD" w:rsidRDefault="002325AD" w:rsidP="002325AD">
    <w:pPr>
      <w:jc w:val="right"/>
    </w:pPr>
    <w:r>
      <w:t xml:space="preserve">page </w:t>
    </w:r>
    <w:r>
      <w:fldChar w:fldCharType="begin"/>
    </w:r>
    <w:r>
      <w:instrText xml:space="preserve"> PAGE   \* MERGEFORMAT </w:instrText>
    </w:r>
    <w:r>
      <w:fldChar w:fldCharType="separate"/>
    </w:r>
    <w:r w:rsidR="002D09C0">
      <w:rPr>
        <w:noProof/>
      </w:rPr>
      <w:t>12</w:t>
    </w:r>
    <w:r>
      <w:rPr>
        <w:noProof/>
      </w:rPr>
      <w:fldChar w:fldCharType="end"/>
    </w:r>
  </w:p>
  <w:p w:rsidR="002325AD" w:rsidRDefault="002325AD" w:rsidP="002325AD">
    <w:pPr>
      <w:jc w:val="right"/>
    </w:pPr>
  </w:p>
  <w:p w:rsidR="002325AD" w:rsidRDefault="002325AD" w:rsidP="002325AD">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77" w:rsidRDefault="002B1D77" w:rsidP="00D9753C">
    <w:pPr>
      <w:jc w:val="right"/>
    </w:pPr>
    <w:r>
      <w:t>WO/PBC/30/2</w:t>
    </w:r>
  </w:p>
  <w:p w:rsidR="002B1D77" w:rsidRDefault="002B1D77" w:rsidP="00D9753C">
    <w:pPr>
      <w:jc w:val="right"/>
    </w:pPr>
    <w:r>
      <w:t xml:space="preserve">page </w:t>
    </w:r>
    <w:r>
      <w:fldChar w:fldCharType="begin"/>
    </w:r>
    <w:r>
      <w:instrText xml:space="preserve"> PAGE   \* MERGEFORMAT </w:instrText>
    </w:r>
    <w:r>
      <w:fldChar w:fldCharType="separate"/>
    </w:r>
    <w:r w:rsidR="002D09C0">
      <w:rPr>
        <w:noProof/>
      </w:rPr>
      <w:t>11</w:t>
    </w:r>
    <w:r>
      <w:rPr>
        <w:noProof/>
      </w:rPr>
      <w:fldChar w:fldCharType="end"/>
    </w:r>
  </w:p>
  <w:p w:rsidR="002B1D77" w:rsidRDefault="002B1D77" w:rsidP="00D9753C">
    <w:pPr>
      <w:jc w:val="right"/>
    </w:pPr>
  </w:p>
  <w:p w:rsidR="00D9753C" w:rsidRDefault="00D9753C" w:rsidP="00D9753C">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77" w:rsidRPr="004D75BB" w:rsidRDefault="002B1D77" w:rsidP="00C44910">
    <w:pPr>
      <w:jc w:val="right"/>
      <w:rPr>
        <w:szCs w:val="22"/>
      </w:rPr>
    </w:pPr>
    <w:r w:rsidRPr="00956E73">
      <w:rPr>
        <w:szCs w:val="22"/>
      </w:rPr>
      <w:t>WO/PBC/</w:t>
    </w:r>
    <w:r>
      <w:rPr>
        <w:szCs w:val="22"/>
      </w:rPr>
      <w:t>30</w:t>
    </w:r>
    <w:r w:rsidRPr="00956E73">
      <w:rPr>
        <w:szCs w:val="22"/>
      </w:rPr>
      <w:t>/</w:t>
    </w:r>
    <w:r>
      <w:rPr>
        <w:szCs w:val="22"/>
      </w:rPr>
      <w:t>2</w:t>
    </w:r>
  </w:p>
  <w:p w:rsidR="002B1D77" w:rsidRDefault="002B1D77" w:rsidP="00C44910">
    <w:pPr>
      <w:jc w:val="right"/>
      <w:rPr>
        <w:szCs w:val="22"/>
      </w:rPr>
    </w:pPr>
  </w:p>
  <w:p w:rsidR="00D9753C" w:rsidRDefault="00D9753C" w:rsidP="00C44910">
    <w:pPr>
      <w:jc w:val="right"/>
      <w:rPr>
        <w:szCs w:val="22"/>
      </w:rPr>
    </w:pPr>
  </w:p>
  <w:p w:rsidR="00D9753C" w:rsidRDefault="00D9753C" w:rsidP="00C44910">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A79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307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FAE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CC6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486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E66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EEDB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78661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4A60FA"/>
    <w:multiLevelType w:val="multilevel"/>
    <w:tmpl w:val="8AF2EC18"/>
    <w:lvl w:ilvl="0">
      <w:start w:val="1"/>
      <w:numFmt w:val="upperRoman"/>
      <w:pStyle w:val="Heading1"/>
      <w:lvlText w:val="%1."/>
      <w:lvlJc w:val="left"/>
      <w:pPr>
        <w:ind w:left="567" w:hanging="567"/>
      </w:pPr>
      <w:rPr>
        <w:rFonts w:hint="default"/>
      </w:rPr>
    </w:lvl>
    <w:lvl w:ilvl="1">
      <w:start w:val="1"/>
      <w:numFmt w:val="upperLetter"/>
      <w:pStyle w:val="Heading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978E9"/>
    <w:multiLevelType w:val="hybridMultilevel"/>
    <w:tmpl w:val="730C1940"/>
    <w:lvl w:ilvl="0" w:tplc="2B00E278">
      <w:start w:val="1"/>
      <w:numFmt w:val="decimal"/>
      <w:lvlText w:val="%1."/>
      <w:lvlJc w:val="left"/>
      <w:pPr>
        <w:ind w:left="192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461B30B2"/>
    <w:multiLevelType w:val="hybridMultilevel"/>
    <w:tmpl w:val="48EE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B7353"/>
    <w:multiLevelType w:val="hybridMultilevel"/>
    <w:tmpl w:val="1AE40BB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655FDC"/>
    <w:multiLevelType w:val="hybridMultilevel"/>
    <w:tmpl w:val="6EE84B8A"/>
    <w:lvl w:ilvl="0" w:tplc="AA260B3C">
      <w:start w:val="1"/>
      <w:numFmt w:val="upperRoman"/>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8" w15:restartNumberingAfterBreak="0">
    <w:nsid w:val="65966AE0"/>
    <w:multiLevelType w:val="hybridMultilevel"/>
    <w:tmpl w:val="CA280D46"/>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0E7A85"/>
    <w:multiLevelType w:val="hybridMultilevel"/>
    <w:tmpl w:val="0AAEF466"/>
    <w:lvl w:ilvl="0" w:tplc="686ED9AA">
      <w:start w:val="1"/>
      <w:numFmt w:val="upp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4065A"/>
    <w:multiLevelType w:val="multilevel"/>
    <w:tmpl w:val="29E22228"/>
    <w:lvl w:ilvl="0">
      <w:start w:val="1"/>
      <w:numFmt w:val="upperRoman"/>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22F5B"/>
    <w:multiLevelType w:val="hybridMultilevel"/>
    <w:tmpl w:val="D896732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9"/>
  </w:num>
  <w:num w:numId="4">
    <w:abstractNumId w:val="21"/>
  </w:num>
  <w:num w:numId="5">
    <w:abstractNumId w:val="15"/>
  </w:num>
  <w:num w:numId="6">
    <w:abstractNumId w:val="17"/>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3"/>
  </w:num>
  <w:num w:numId="20">
    <w:abstractNumId w:val="15"/>
  </w:num>
  <w:num w:numId="21">
    <w:abstractNumId w:val="10"/>
  </w:num>
  <w:num w:numId="22">
    <w:abstractNumId w:val="11"/>
  </w:num>
  <w:num w:numId="23">
    <w:abstractNumId w:val="20"/>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16"/>
  </w:num>
  <w:num w:numId="29">
    <w:abstractNumId w:val="8"/>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1"/>
  <w:activeWritingStyle w:appName="MSWord" w:lang="fr-FR" w:vendorID="64" w:dllVersion="131078" w:nlCheck="1" w:checkStyle="0"/>
  <w:activeWritingStyle w:appName="MSWord" w:lang="de-CH"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F76301"/>
    <w:rsid w:val="000002BC"/>
    <w:rsid w:val="00001CF9"/>
    <w:rsid w:val="00002284"/>
    <w:rsid w:val="000022EB"/>
    <w:rsid w:val="0000298E"/>
    <w:rsid w:val="00002E83"/>
    <w:rsid w:val="00003042"/>
    <w:rsid w:val="00005AB2"/>
    <w:rsid w:val="00006DF6"/>
    <w:rsid w:val="00006F02"/>
    <w:rsid w:val="0000738F"/>
    <w:rsid w:val="00010CB0"/>
    <w:rsid w:val="0001272B"/>
    <w:rsid w:val="00014885"/>
    <w:rsid w:val="000161F3"/>
    <w:rsid w:val="00016312"/>
    <w:rsid w:val="00017524"/>
    <w:rsid w:val="000220D6"/>
    <w:rsid w:val="000224DE"/>
    <w:rsid w:val="000229AE"/>
    <w:rsid w:val="000239BF"/>
    <w:rsid w:val="0002444B"/>
    <w:rsid w:val="00024900"/>
    <w:rsid w:val="00024CBD"/>
    <w:rsid w:val="00030215"/>
    <w:rsid w:val="00030A1A"/>
    <w:rsid w:val="00030D2F"/>
    <w:rsid w:val="000320C5"/>
    <w:rsid w:val="000325DB"/>
    <w:rsid w:val="00033C65"/>
    <w:rsid w:val="000346D1"/>
    <w:rsid w:val="000346D6"/>
    <w:rsid w:val="00035B1D"/>
    <w:rsid w:val="00035B32"/>
    <w:rsid w:val="000366A3"/>
    <w:rsid w:val="00036EA6"/>
    <w:rsid w:val="0003774C"/>
    <w:rsid w:val="00040B49"/>
    <w:rsid w:val="00042442"/>
    <w:rsid w:val="0004285C"/>
    <w:rsid w:val="00042C03"/>
    <w:rsid w:val="00043478"/>
    <w:rsid w:val="00043CAA"/>
    <w:rsid w:val="00044B2B"/>
    <w:rsid w:val="000465A9"/>
    <w:rsid w:val="000502D3"/>
    <w:rsid w:val="00050723"/>
    <w:rsid w:val="00051692"/>
    <w:rsid w:val="00052969"/>
    <w:rsid w:val="00052E1D"/>
    <w:rsid w:val="00053308"/>
    <w:rsid w:val="0005370A"/>
    <w:rsid w:val="000558A1"/>
    <w:rsid w:val="000567EA"/>
    <w:rsid w:val="00057583"/>
    <w:rsid w:val="00060075"/>
    <w:rsid w:val="00061662"/>
    <w:rsid w:val="00062280"/>
    <w:rsid w:val="00063044"/>
    <w:rsid w:val="00063C54"/>
    <w:rsid w:val="00065B7F"/>
    <w:rsid w:val="000665F3"/>
    <w:rsid w:val="00067BA2"/>
    <w:rsid w:val="00067F06"/>
    <w:rsid w:val="00067F39"/>
    <w:rsid w:val="00067FBD"/>
    <w:rsid w:val="00070FB8"/>
    <w:rsid w:val="000720FE"/>
    <w:rsid w:val="000728D9"/>
    <w:rsid w:val="00074283"/>
    <w:rsid w:val="00074514"/>
    <w:rsid w:val="00075432"/>
    <w:rsid w:val="00076197"/>
    <w:rsid w:val="0007629D"/>
    <w:rsid w:val="000765FF"/>
    <w:rsid w:val="00076776"/>
    <w:rsid w:val="000777CB"/>
    <w:rsid w:val="000777D4"/>
    <w:rsid w:val="0007782A"/>
    <w:rsid w:val="00077FB4"/>
    <w:rsid w:val="00080277"/>
    <w:rsid w:val="00080347"/>
    <w:rsid w:val="000820D4"/>
    <w:rsid w:val="00082AF4"/>
    <w:rsid w:val="00082C8A"/>
    <w:rsid w:val="000830E2"/>
    <w:rsid w:val="00084D6A"/>
    <w:rsid w:val="00085832"/>
    <w:rsid w:val="00085D4B"/>
    <w:rsid w:val="00092A8F"/>
    <w:rsid w:val="000937FC"/>
    <w:rsid w:val="00094777"/>
    <w:rsid w:val="00094903"/>
    <w:rsid w:val="000951BA"/>
    <w:rsid w:val="000956F5"/>
    <w:rsid w:val="000968E7"/>
    <w:rsid w:val="0009795A"/>
    <w:rsid w:val="000A0676"/>
    <w:rsid w:val="000A112D"/>
    <w:rsid w:val="000A13E3"/>
    <w:rsid w:val="000A1B82"/>
    <w:rsid w:val="000A1D4F"/>
    <w:rsid w:val="000A35B2"/>
    <w:rsid w:val="000A35B8"/>
    <w:rsid w:val="000A3E4F"/>
    <w:rsid w:val="000A3F21"/>
    <w:rsid w:val="000A3FC2"/>
    <w:rsid w:val="000A435F"/>
    <w:rsid w:val="000A43CE"/>
    <w:rsid w:val="000A515E"/>
    <w:rsid w:val="000A7191"/>
    <w:rsid w:val="000A76E1"/>
    <w:rsid w:val="000A7A99"/>
    <w:rsid w:val="000B02F1"/>
    <w:rsid w:val="000B035E"/>
    <w:rsid w:val="000B03C5"/>
    <w:rsid w:val="000B2516"/>
    <w:rsid w:val="000B41F9"/>
    <w:rsid w:val="000B44F4"/>
    <w:rsid w:val="000B4F88"/>
    <w:rsid w:val="000B62A2"/>
    <w:rsid w:val="000B6906"/>
    <w:rsid w:val="000B7B11"/>
    <w:rsid w:val="000C0ACD"/>
    <w:rsid w:val="000C1789"/>
    <w:rsid w:val="000C34CE"/>
    <w:rsid w:val="000C41FF"/>
    <w:rsid w:val="000C4733"/>
    <w:rsid w:val="000C4BDA"/>
    <w:rsid w:val="000C59C3"/>
    <w:rsid w:val="000C5E48"/>
    <w:rsid w:val="000C6760"/>
    <w:rsid w:val="000C69D5"/>
    <w:rsid w:val="000C6EC0"/>
    <w:rsid w:val="000C7CCB"/>
    <w:rsid w:val="000D0781"/>
    <w:rsid w:val="000D1D36"/>
    <w:rsid w:val="000D35DB"/>
    <w:rsid w:val="000D4003"/>
    <w:rsid w:val="000D4190"/>
    <w:rsid w:val="000D460E"/>
    <w:rsid w:val="000D5529"/>
    <w:rsid w:val="000D5DCA"/>
    <w:rsid w:val="000D5F72"/>
    <w:rsid w:val="000D618A"/>
    <w:rsid w:val="000D6491"/>
    <w:rsid w:val="000D7E76"/>
    <w:rsid w:val="000E0EE0"/>
    <w:rsid w:val="000E1FA0"/>
    <w:rsid w:val="000E2075"/>
    <w:rsid w:val="000E2E85"/>
    <w:rsid w:val="000E323D"/>
    <w:rsid w:val="000E3A59"/>
    <w:rsid w:val="000E5B6D"/>
    <w:rsid w:val="000E6306"/>
    <w:rsid w:val="000E6A30"/>
    <w:rsid w:val="000E7612"/>
    <w:rsid w:val="000E7860"/>
    <w:rsid w:val="000E7DAD"/>
    <w:rsid w:val="000E7EA4"/>
    <w:rsid w:val="000F1A0F"/>
    <w:rsid w:val="000F53C0"/>
    <w:rsid w:val="000F5D8A"/>
    <w:rsid w:val="000F5E56"/>
    <w:rsid w:val="000F65F7"/>
    <w:rsid w:val="000F6F8E"/>
    <w:rsid w:val="00100583"/>
    <w:rsid w:val="00100996"/>
    <w:rsid w:val="001011E4"/>
    <w:rsid w:val="00101221"/>
    <w:rsid w:val="00101DA3"/>
    <w:rsid w:val="00102D3A"/>
    <w:rsid w:val="00102F11"/>
    <w:rsid w:val="00103DA3"/>
    <w:rsid w:val="001114D0"/>
    <w:rsid w:val="001128F8"/>
    <w:rsid w:val="00112E25"/>
    <w:rsid w:val="00113123"/>
    <w:rsid w:val="0011389B"/>
    <w:rsid w:val="00114321"/>
    <w:rsid w:val="00114E4B"/>
    <w:rsid w:val="00116681"/>
    <w:rsid w:val="00117627"/>
    <w:rsid w:val="00117E2C"/>
    <w:rsid w:val="00121A8B"/>
    <w:rsid w:val="00121D1B"/>
    <w:rsid w:val="00124257"/>
    <w:rsid w:val="001247F7"/>
    <w:rsid w:val="0012483F"/>
    <w:rsid w:val="00124AB4"/>
    <w:rsid w:val="00124F9C"/>
    <w:rsid w:val="001277A7"/>
    <w:rsid w:val="00127D3B"/>
    <w:rsid w:val="00127F1D"/>
    <w:rsid w:val="00130804"/>
    <w:rsid w:val="00130A86"/>
    <w:rsid w:val="0013101B"/>
    <w:rsid w:val="00131563"/>
    <w:rsid w:val="0013178E"/>
    <w:rsid w:val="001322E2"/>
    <w:rsid w:val="00132A52"/>
    <w:rsid w:val="00133B27"/>
    <w:rsid w:val="001362EE"/>
    <w:rsid w:val="00136BC1"/>
    <w:rsid w:val="00137485"/>
    <w:rsid w:val="00141E3E"/>
    <w:rsid w:val="001434B5"/>
    <w:rsid w:val="00146AE7"/>
    <w:rsid w:val="0014710E"/>
    <w:rsid w:val="001473F0"/>
    <w:rsid w:val="00150B47"/>
    <w:rsid w:val="00150FD9"/>
    <w:rsid w:val="00151C01"/>
    <w:rsid w:val="00151E74"/>
    <w:rsid w:val="0015230C"/>
    <w:rsid w:val="00153895"/>
    <w:rsid w:val="00154FD8"/>
    <w:rsid w:val="001557E8"/>
    <w:rsid w:val="00157F38"/>
    <w:rsid w:val="00160774"/>
    <w:rsid w:val="001608C5"/>
    <w:rsid w:val="001611FD"/>
    <w:rsid w:val="00162808"/>
    <w:rsid w:val="00162899"/>
    <w:rsid w:val="00163119"/>
    <w:rsid w:val="00163479"/>
    <w:rsid w:val="0016474E"/>
    <w:rsid w:val="0016524E"/>
    <w:rsid w:val="00165313"/>
    <w:rsid w:val="00165D07"/>
    <w:rsid w:val="00166404"/>
    <w:rsid w:val="001679C6"/>
    <w:rsid w:val="00167F56"/>
    <w:rsid w:val="001721C5"/>
    <w:rsid w:val="001729C9"/>
    <w:rsid w:val="00173BAB"/>
    <w:rsid w:val="00174EEA"/>
    <w:rsid w:val="00174F8A"/>
    <w:rsid w:val="00175BB7"/>
    <w:rsid w:val="00176EE6"/>
    <w:rsid w:val="00176F18"/>
    <w:rsid w:val="0017702F"/>
    <w:rsid w:val="00180246"/>
    <w:rsid w:val="00181690"/>
    <w:rsid w:val="001822B6"/>
    <w:rsid w:val="00182F7C"/>
    <w:rsid w:val="001832A6"/>
    <w:rsid w:val="0018639E"/>
    <w:rsid w:val="00186966"/>
    <w:rsid w:val="00186A58"/>
    <w:rsid w:val="00186FCB"/>
    <w:rsid w:val="00187A1E"/>
    <w:rsid w:val="00187D12"/>
    <w:rsid w:val="0019319D"/>
    <w:rsid w:val="0019326F"/>
    <w:rsid w:val="00193F4C"/>
    <w:rsid w:val="001949D8"/>
    <w:rsid w:val="00195AC5"/>
    <w:rsid w:val="001969BD"/>
    <w:rsid w:val="001973D1"/>
    <w:rsid w:val="001A02DB"/>
    <w:rsid w:val="001A0948"/>
    <w:rsid w:val="001A0F3B"/>
    <w:rsid w:val="001A1101"/>
    <w:rsid w:val="001A12B3"/>
    <w:rsid w:val="001A1BE8"/>
    <w:rsid w:val="001A27FC"/>
    <w:rsid w:val="001A2BF7"/>
    <w:rsid w:val="001A2F76"/>
    <w:rsid w:val="001A30C9"/>
    <w:rsid w:val="001A3117"/>
    <w:rsid w:val="001A3CBC"/>
    <w:rsid w:val="001A4571"/>
    <w:rsid w:val="001A4FCA"/>
    <w:rsid w:val="001A51B9"/>
    <w:rsid w:val="001A56E2"/>
    <w:rsid w:val="001A5E4B"/>
    <w:rsid w:val="001A6537"/>
    <w:rsid w:val="001A65B6"/>
    <w:rsid w:val="001A781B"/>
    <w:rsid w:val="001B012C"/>
    <w:rsid w:val="001B06F7"/>
    <w:rsid w:val="001B1C29"/>
    <w:rsid w:val="001B255D"/>
    <w:rsid w:val="001B27B9"/>
    <w:rsid w:val="001B2BAD"/>
    <w:rsid w:val="001B4D79"/>
    <w:rsid w:val="001B4DC5"/>
    <w:rsid w:val="001B5762"/>
    <w:rsid w:val="001C05B3"/>
    <w:rsid w:val="001C0699"/>
    <w:rsid w:val="001C2FBB"/>
    <w:rsid w:val="001C4338"/>
    <w:rsid w:val="001C4442"/>
    <w:rsid w:val="001C521C"/>
    <w:rsid w:val="001C56E5"/>
    <w:rsid w:val="001C695B"/>
    <w:rsid w:val="001C72B1"/>
    <w:rsid w:val="001C7F5B"/>
    <w:rsid w:val="001D16CF"/>
    <w:rsid w:val="001D2500"/>
    <w:rsid w:val="001D3C53"/>
    <w:rsid w:val="001D46BC"/>
    <w:rsid w:val="001D4A17"/>
    <w:rsid w:val="001D4C94"/>
    <w:rsid w:val="001D4FF7"/>
    <w:rsid w:val="001D70E5"/>
    <w:rsid w:val="001E1C3D"/>
    <w:rsid w:val="001E4231"/>
    <w:rsid w:val="001E48CF"/>
    <w:rsid w:val="001E512B"/>
    <w:rsid w:val="001E7653"/>
    <w:rsid w:val="001F0429"/>
    <w:rsid w:val="001F0FBD"/>
    <w:rsid w:val="001F164D"/>
    <w:rsid w:val="001F2438"/>
    <w:rsid w:val="001F4694"/>
    <w:rsid w:val="001F5FA9"/>
    <w:rsid w:val="001F673D"/>
    <w:rsid w:val="001F7FC0"/>
    <w:rsid w:val="002031EB"/>
    <w:rsid w:val="002036FF"/>
    <w:rsid w:val="00205BED"/>
    <w:rsid w:val="002068B7"/>
    <w:rsid w:val="00207B03"/>
    <w:rsid w:val="002108A0"/>
    <w:rsid w:val="0021110D"/>
    <w:rsid w:val="00211B49"/>
    <w:rsid w:val="00222599"/>
    <w:rsid w:val="00222DBE"/>
    <w:rsid w:val="00222DF6"/>
    <w:rsid w:val="0022330A"/>
    <w:rsid w:val="00223311"/>
    <w:rsid w:val="002257C0"/>
    <w:rsid w:val="00225FC1"/>
    <w:rsid w:val="00226F7D"/>
    <w:rsid w:val="00231A7C"/>
    <w:rsid w:val="002321CA"/>
    <w:rsid w:val="002325AD"/>
    <w:rsid w:val="00232E59"/>
    <w:rsid w:val="0023646E"/>
    <w:rsid w:val="00236829"/>
    <w:rsid w:val="00240090"/>
    <w:rsid w:val="00240200"/>
    <w:rsid w:val="0024046B"/>
    <w:rsid w:val="002417B7"/>
    <w:rsid w:val="00241814"/>
    <w:rsid w:val="0024293B"/>
    <w:rsid w:val="002449EA"/>
    <w:rsid w:val="002455F6"/>
    <w:rsid w:val="002458AE"/>
    <w:rsid w:val="002475A7"/>
    <w:rsid w:val="00247675"/>
    <w:rsid w:val="002503B7"/>
    <w:rsid w:val="00251911"/>
    <w:rsid w:val="0025202E"/>
    <w:rsid w:val="002542DA"/>
    <w:rsid w:val="00257883"/>
    <w:rsid w:val="00260750"/>
    <w:rsid w:val="00260A43"/>
    <w:rsid w:val="00261298"/>
    <w:rsid w:val="00262D8F"/>
    <w:rsid w:val="002634C4"/>
    <w:rsid w:val="00263778"/>
    <w:rsid w:val="00263D2B"/>
    <w:rsid w:val="002642E5"/>
    <w:rsid w:val="00264CBB"/>
    <w:rsid w:val="0026609D"/>
    <w:rsid w:val="0026627B"/>
    <w:rsid w:val="0026753E"/>
    <w:rsid w:val="002676F8"/>
    <w:rsid w:val="00267C8F"/>
    <w:rsid w:val="002704E1"/>
    <w:rsid w:val="00270A10"/>
    <w:rsid w:val="00270A9E"/>
    <w:rsid w:val="00271124"/>
    <w:rsid w:val="002715E4"/>
    <w:rsid w:val="00271EE1"/>
    <w:rsid w:val="00272A30"/>
    <w:rsid w:val="00272EBC"/>
    <w:rsid w:val="002731D9"/>
    <w:rsid w:val="00274847"/>
    <w:rsid w:val="002749E2"/>
    <w:rsid w:val="00274F9E"/>
    <w:rsid w:val="0027500E"/>
    <w:rsid w:val="00275641"/>
    <w:rsid w:val="002763E8"/>
    <w:rsid w:val="00276633"/>
    <w:rsid w:val="00276A3A"/>
    <w:rsid w:val="00276E1B"/>
    <w:rsid w:val="0027717F"/>
    <w:rsid w:val="00277C86"/>
    <w:rsid w:val="00277F06"/>
    <w:rsid w:val="002814BA"/>
    <w:rsid w:val="0028285A"/>
    <w:rsid w:val="00285309"/>
    <w:rsid w:val="002862C1"/>
    <w:rsid w:val="002862DC"/>
    <w:rsid w:val="00286607"/>
    <w:rsid w:val="0028771D"/>
    <w:rsid w:val="002928D3"/>
    <w:rsid w:val="00293868"/>
    <w:rsid w:val="00293ABB"/>
    <w:rsid w:val="00295525"/>
    <w:rsid w:val="00296190"/>
    <w:rsid w:val="00297041"/>
    <w:rsid w:val="002A0160"/>
    <w:rsid w:val="002A0F92"/>
    <w:rsid w:val="002A1598"/>
    <w:rsid w:val="002A1DFE"/>
    <w:rsid w:val="002A1ED6"/>
    <w:rsid w:val="002A244B"/>
    <w:rsid w:val="002A24F0"/>
    <w:rsid w:val="002A46B2"/>
    <w:rsid w:val="002A48DE"/>
    <w:rsid w:val="002A5C1C"/>
    <w:rsid w:val="002A5E00"/>
    <w:rsid w:val="002A690C"/>
    <w:rsid w:val="002A70E1"/>
    <w:rsid w:val="002A72F9"/>
    <w:rsid w:val="002A7D92"/>
    <w:rsid w:val="002B0787"/>
    <w:rsid w:val="002B07EF"/>
    <w:rsid w:val="002B12BD"/>
    <w:rsid w:val="002B19D4"/>
    <w:rsid w:val="002B1D77"/>
    <w:rsid w:val="002B3986"/>
    <w:rsid w:val="002B4849"/>
    <w:rsid w:val="002B58DC"/>
    <w:rsid w:val="002C049F"/>
    <w:rsid w:val="002C1F23"/>
    <w:rsid w:val="002C3B71"/>
    <w:rsid w:val="002C506F"/>
    <w:rsid w:val="002C66BB"/>
    <w:rsid w:val="002C6938"/>
    <w:rsid w:val="002C699A"/>
    <w:rsid w:val="002C7D7F"/>
    <w:rsid w:val="002D07F5"/>
    <w:rsid w:val="002D09C0"/>
    <w:rsid w:val="002D1945"/>
    <w:rsid w:val="002D1E4B"/>
    <w:rsid w:val="002D1FD2"/>
    <w:rsid w:val="002D2485"/>
    <w:rsid w:val="002D3025"/>
    <w:rsid w:val="002D35DD"/>
    <w:rsid w:val="002D3A6B"/>
    <w:rsid w:val="002D4E36"/>
    <w:rsid w:val="002D4F62"/>
    <w:rsid w:val="002D5189"/>
    <w:rsid w:val="002D52F8"/>
    <w:rsid w:val="002D5B5A"/>
    <w:rsid w:val="002D6936"/>
    <w:rsid w:val="002D756E"/>
    <w:rsid w:val="002E0634"/>
    <w:rsid w:val="002E349C"/>
    <w:rsid w:val="002E4C13"/>
    <w:rsid w:val="002E5E60"/>
    <w:rsid w:val="002E6699"/>
    <w:rsid w:val="002E7E3A"/>
    <w:rsid w:val="002E7EF1"/>
    <w:rsid w:val="002F0358"/>
    <w:rsid w:val="002F1173"/>
    <w:rsid w:val="002F1B67"/>
    <w:rsid w:val="002F1FE6"/>
    <w:rsid w:val="002F25C2"/>
    <w:rsid w:val="002F28A7"/>
    <w:rsid w:val="002F2F6C"/>
    <w:rsid w:val="002F40A0"/>
    <w:rsid w:val="002F4608"/>
    <w:rsid w:val="002F4664"/>
    <w:rsid w:val="002F4E68"/>
    <w:rsid w:val="002F63D6"/>
    <w:rsid w:val="002F6509"/>
    <w:rsid w:val="002F6525"/>
    <w:rsid w:val="0030002E"/>
    <w:rsid w:val="003002A6"/>
    <w:rsid w:val="003005DD"/>
    <w:rsid w:val="00301655"/>
    <w:rsid w:val="0030251A"/>
    <w:rsid w:val="00303B1D"/>
    <w:rsid w:val="00305053"/>
    <w:rsid w:val="0030510F"/>
    <w:rsid w:val="00305C7C"/>
    <w:rsid w:val="00307300"/>
    <w:rsid w:val="00307C2B"/>
    <w:rsid w:val="00310847"/>
    <w:rsid w:val="00310E71"/>
    <w:rsid w:val="00311766"/>
    <w:rsid w:val="00311E42"/>
    <w:rsid w:val="00312A32"/>
    <w:rsid w:val="00312F7F"/>
    <w:rsid w:val="00314279"/>
    <w:rsid w:val="00314977"/>
    <w:rsid w:val="00314CDD"/>
    <w:rsid w:val="003171F5"/>
    <w:rsid w:val="0031792C"/>
    <w:rsid w:val="003216B0"/>
    <w:rsid w:val="003218EA"/>
    <w:rsid w:val="00321D1D"/>
    <w:rsid w:val="003228F7"/>
    <w:rsid w:val="00322C88"/>
    <w:rsid w:val="00323B02"/>
    <w:rsid w:val="00325909"/>
    <w:rsid w:val="00332281"/>
    <w:rsid w:val="003324CF"/>
    <w:rsid w:val="00333C38"/>
    <w:rsid w:val="00333DBE"/>
    <w:rsid w:val="003347A2"/>
    <w:rsid w:val="00335311"/>
    <w:rsid w:val="00335545"/>
    <w:rsid w:val="00335BE2"/>
    <w:rsid w:val="00335EEC"/>
    <w:rsid w:val="00336220"/>
    <w:rsid w:val="00336E5F"/>
    <w:rsid w:val="00337DE9"/>
    <w:rsid w:val="00337E84"/>
    <w:rsid w:val="00337EBB"/>
    <w:rsid w:val="00340E41"/>
    <w:rsid w:val="00342EEB"/>
    <w:rsid w:val="00343624"/>
    <w:rsid w:val="00343C78"/>
    <w:rsid w:val="003444B5"/>
    <w:rsid w:val="00344B39"/>
    <w:rsid w:val="00345B61"/>
    <w:rsid w:val="003468F6"/>
    <w:rsid w:val="003508C4"/>
    <w:rsid w:val="003514BD"/>
    <w:rsid w:val="003526AA"/>
    <w:rsid w:val="003526D4"/>
    <w:rsid w:val="00352B73"/>
    <w:rsid w:val="00354520"/>
    <w:rsid w:val="00355EF3"/>
    <w:rsid w:val="003563D2"/>
    <w:rsid w:val="00360BDF"/>
    <w:rsid w:val="003611BE"/>
    <w:rsid w:val="00361294"/>
    <w:rsid w:val="00362F2B"/>
    <w:rsid w:val="00363117"/>
    <w:rsid w:val="003638D5"/>
    <w:rsid w:val="00365768"/>
    <w:rsid w:val="00365EA2"/>
    <w:rsid w:val="00365FFD"/>
    <w:rsid w:val="003662D8"/>
    <w:rsid w:val="0036633C"/>
    <w:rsid w:val="003667BA"/>
    <w:rsid w:val="003671C8"/>
    <w:rsid w:val="003673CF"/>
    <w:rsid w:val="00367954"/>
    <w:rsid w:val="00367C0C"/>
    <w:rsid w:val="00371473"/>
    <w:rsid w:val="00371C22"/>
    <w:rsid w:val="00373914"/>
    <w:rsid w:val="00373F0F"/>
    <w:rsid w:val="0037423A"/>
    <w:rsid w:val="003743DD"/>
    <w:rsid w:val="00374642"/>
    <w:rsid w:val="0037464E"/>
    <w:rsid w:val="00375125"/>
    <w:rsid w:val="003752C1"/>
    <w:rsid w:val="003754EF"/>
    <w:rsid w:val="00375AC0"/>
    <w:rsid w:val="00380046"/>
    <w:rsid w:val="003832C4"/>
    <w:rsid w:val="003844EC"/>
    <w:rsid w:val="003845C1"/>
    <w:rsid w:val="00387340"/>
    <w:rsid w:val="00391056"/>
    <w:rsid w:val="0039122E"/>
    <w:rsid w:val="00391958"/>
    <w:rsid w:val="0039291A"/>
    <w:rsid w:val="00393414"/>
    <w:rsid w:val="00393983"/>
    <w:rsid w:val="003940A0"/>
    <w:rsid w:val="00396505"/>
    <w:rsid w:val="0039771B"/>
    <w:rsid w:val="00397A0B"/>
    <w:rsid w:val="00397D37"/>
    <w:rsid w:val="003A099F"/>
    <w:rsid w:val="003A0E6D"/>
    <w:rsid w:val="003A1C6F"/>
    <w:rsid w:val="003A2394"/>
    <w:rsid w:val="003A2A6A"/>
    <w:rsid w:val="003A3874"/>
    <w:rsid w:val="003A4CF1"/>
    <w:rsid w:val="003A51B9"/>
    <w:rsid w:val="003A540B"/>
    <w:rsid w:val="003A59B2"/>
    <w:rsid w:val="003A5F3A"/>
    <w:rsid w:val="003A6697"/>
    <w:rsid w:val="003A6EE5"/>
    <w:rsid w:val="003A6F89"/>
    <w:rsid w:val="003B011F"/>
    <w:rsid w:val="003B0ACC"/>
    <w:rsid w:val="003B38C1"/>
    <w:rsid w:val="003B3C4E"/>
    <w:rsid w:val="003B4EC2"/>
    <w:rsid w:val="003B62A9"/>
    <w:rsid w:val="003B68D8"/>
    <w:rsid w:val="003C0281"/>
    <w:rsid w:val="003C07B7"/>
    <w:rsid w:val="003C15E8"/>
    <w:rsid w:val="003C192A"/>
    <w:rsid w:val="003C196E"/>
    <w:rsid w:val="003C388C"/>
    <w:rsid w:val="003C43C7"/>
    <w:rsid w:val="003C5214"/>
    <w:rsid w:val="003C5294"/>
    <w:rsid w:val="003C79C6"/>
    <w:rsid w:val="003D08ED"/>
    <w:rsid w:val="003D0F40"/>
    <w:rsid w:val="003D2E54"/>
    <w:rsid w:val="003D316B"/>
    <w:rsid w:val="003D44B2"/>
    <w:rsid w:val="003D474C"/>
    <w:rsid w:val="003D5B00"/>
    <w:rsid w:val="003D5B9F"/>
    <w:rsid w:val="003D6066"/>
    <w:rsid w:val="003D6B63"/>
    <w:rsid w:val="003D783F"/>
    <w:rsid w:val="003E02CB"/>
    <w:rsid w:val="003E046A"/>
    <w:rsid w:val="003E0C24"/>
    <w:rsid w:val="003E13B6"/>
    <w:rsid w:val="003E1B92"/>
    <w:rsid w:val="003E1D22"/>
    <w:rsid w:val="003E1FFF"/>
    <w:rsid w:val="003E2303"/>
    <w:rsid w:val="003E2466"/>
    <w:rsid w:val="003E24E4"/>
    <w:rsid w:val="003E37AF"/>
    <w:rsid w:val="003E38A4"/>
    <w:rsid w:val="003E3AD7"/>
    <w:rsid w:val="003E3F4D"/>
    <w:rsid w:val="003E440D"/>
    <w:rsid w:val="003E5016"/>
    <w:rsid w:val="003E585A"/>
    <w:rsid w:val="003E5B6E"/>
    <w:rsid w:val="003E7F10"/>
    <w:rsid w:val="003F01E2"/>
    <w:rsid w:val="003F045C"/>
    <w:rsid w:val="003F0CE4"/>
    <w:rsid w:val="003F1ADE"/>
    <w:rsid w:val="003F25F8"/>
    <w:rsid w:val="003F2A38"/>
    <w:rsid w:val="003F2FD9"/>
    <w:rsid w:val="003F51E1"/>
    <w:rsid w:val="003F61A7"/>
    <w:rsid w:val="003F7205"/>
    <w:rsid w:val="003F7B86"/>
    <w:rsid w:val="00400B13"/>
    <w:rsid w:val="004029B2"/>
    <w:rsid w:val="004058F8"/>
    <w:rsid w:val="00405EA5"/>
    <w:rsid w:val="00406A9F"/>
    <w:rsid w:val="004073C8"/>
    <w:rsid w:val="00410014"/>
    <w:rsid w:val="00410229"/>
    <w:rsid w:val="004127D5"/>
    <w:rsid w:val="004150C8"/>
    <w:rsid w:val="00416ED1"/>
    <w:rsid w:val="004209E4"/>
    <w:rsid w:val="004214DF"/>
    <w:rsid w:val="00422CD0"/>
    <w:rsid w:val="0042328A"/>
    <w:rsid w:val="0042391F"/>
    <w:rsid w:val="00423CDF"/>
    <w:rsid w:val="00423E3E"/>
    <w:rsid w:val="00426987"/>
    <w:rsid w:val="00427164"/>
    <w:rsid w:val="00427AF4"/>
    <w:rsid w:val="004304E3"/>
    <w:rsid w:val="00431492"/>
    <w:rsid w:val="00431876"/>
    <w:rsid w:val="00431A70"/>
    <w:rsid w:val="00433973"/>
    <w:rsid w:val="00433C8A"/>
    <w:rsid w:val="0043604D"/>
    <w:rsid w:val="0044095F"/>
    <w:rsid w:val="004417A6"/>
    <w:rsid w:val="00442910"/>
    <w:rsid w:val="00443472"/>
    <w:rsid w:val="0044391E"/>
    <w:rsid w:val="004469E1"/>
    <w:rsid w:val="004474AE"/>
    <w:rsid w:val="00452E12"/>
    <w:rsid w:val="0045405B"/>
    <w:rsid w:val="00454E67"/>
    <w:rsid w:val="004554D8"/>
    <w:rsid w:val="00455B57"/>
    <w:rsid w:val="00460FDD"/>
    <w:rsid w:val="004613BE"/>
    <w:rsid w:val="00461677"/>
    <w:rsid w:val="004618DE"/>
    <w:rsid w:val="0046437C"/>
    <w:rsid w:val="004647DA"/>
    <w:rsid w:val="004651D9"/>
    <w:rsid w:val="004652FE"/>
    <w:rsid w:val="00465817"/>
    <w:rsid w:val="00465B99"/>
    <w:rsid w:val="004675D8"/>
    <w:rsid w:val="00467738"/>
    <w:rsid w:val="004678FB"/>
    <w:rsid w:val="00467BDF"/>
    <w:rsid w:val="00470853"/>
    <w:rsid w:val="00471BA1"/>
    <w:rsid w:val="00471FFC"/>
    <w:rsid w:val="004732C3"/>
    <w:rsid w:val="00473633"/>
    <w:rsid w:val="00474057"/>
    <w:rsid w:val="00474062"/>
    <w:rsid w:val="00474767"/>
    <w:rsid w:val="00476057"/>
    <w:rsid w:val="004776EF"/>
    <w:rsid w:val="00477D6B"/>
    <w:rsid w:val="004801F2"/>
    <w:rsid w:val="004816B3"/>
    <w:rsid w:val="0048171B"/>
    <w:rsid w:val="00482334"/>
    <w:rsid w:val="00482D8C"/>
    <w:rsid w:val="00482FCA"/>
    <w:rsid w:val="00483454"/>
    <w:rsid w:val="004837B4"/>
    <w:rsid w:val="00483B72"/>
    <w:rsid w:val="00483F1A"/>
    <w:rsid w:val="004840CD"/>
    <w:rsid w:val="00484E62"/>
    <w:rsid w:val="004930B6"/>
    <w:rsid w:val="004932FE"/>
    <w:rsid w:val="00494175"/>
    <w:rsid w:val="004944B1"/>
    <w:rsid w:val="00494ACB"/>
    <w:rsid w:val="00495F49"/>
    <w:rsid w:val="00496F70"/>
    <w:rsid w:val="004A0419"/>
    <w:rsid w:val="004A08E4"/>
    <w:rsid w:val="004A1AA9"/>
    <w:rsid w:val="004A4FB4"/>
    <w:rsid w:val="004A5F22"/>
    <w:rsid w:val="004A7607"/>
    <w:rsid w:val="004B0719"/>
    <w:rsid w:val="004B09A6"/>
    <w:rsid w:val="004B123B"/>
    <w:rsid w:val="004B1990"/>
    <w:rsid w:val="004B3812"/>
    <w:rsid w:val="004B4CAA"/>
    <w:rsid w:val="004B56B5"/>
    <w:rsid w:val="004B583E"/>
    <w:rsid w:val="004B5D73"/>
    <w:rsid w:val="004B72D7"/>
    <w:rsid w:val="004B78FC"/>
    <w:rsid w:val="004C0002"/>
    <w:rsid w:val="004C03A1"/>
    <w:rsid w:val="004C137E"/>
    <w:rsid w:val="004C1B51"/>
    <w:rsid w:val="004C2C82"/>
    <w:rsid w:val="004C3C61"/>
    <w:rsid w:val="004C3DF8"/>
    <w:rsid w:val="004C469F"/>
    <w:rsid w:val="004C4C7B"/>
    <w:rsid w:val="004C4DD1"/>
    <w:rsid w:val="004C57FB"/>
    <w:rsid w:val="004D032A"/>
    <w:rsid w:val="004D125B"/>
    <w:rsid w:val="004D1BC9"/>
    <w:rsid w:val="004D1F07"/>
    <w:rsid w:val="004D30F4"/>
    <w:rsid w:val="004D3389"/>
    <w:rsid w:val="004D3DFB"/>
    <w:rsid w:val="004D3F2D"/>
    <w:rsid w:val="004D6825"/>
    <w:rsid w:val="004D75BB"/>
    <w:rsid w:val="004E04E9"/>
    <w:rsid w:val="004E0DBC"/>
    <w:rsid w:val="004E1362"/>
    <w:rsid w:val="004E2317"/>
    <w:rsid w:val="004E4C90"/>
    <w:rsid w:val="004E7025"/>
    <w:rsid w:val="004E7151"/>
    <w:rsid w:val="004E724F"/>
    <w:rsid w:val="004F0A47"/>
    <w:rsid w:val="004F1C85"/>
    <w:rsid w:val="004F26AC"/>
    <w:rsid w:val="004F3178"/>
    <w:rsid w:val="004F4F65"/>
    <w:rsid w:val="004F6652"/>
    <w:rsid w:val="004F7835"/>
    <w:rsid w:val="005005EC"/>
    <w:rsid w:val="00500A7F"/>
    <w:rsid w:val="00501663"/>
    <w:rsid w:val="00503551"/>
    <w:rsid w:val="0050372D"/>
    <w:rsid w:val="00504A41"/>
    <w:rsid w:val="00506497"/>
    <w:rsid w:val="00506B8A"/>
    <w:rsid w:val="00506DC4"/>
    <w:rsid w:val="00507174"/>
    <w:rsid w:val="00510F03"/>
    <w:rsid w:val="005110D0"/>
    <w:rsid w:val="00512CE5"/>
    <w:rsid w:val="00515D08"/>
    <w:rsid w:val="00516612"/>
    <w:rsid w:val="00517AD8"/>
    <w:rsid w:val="00517C37"/>
    <w:rsid w:val="005202F9"/>
    <w:rsid w:val="00520C4B"/>
    <w:rsid w:val="00520D34"/>
    <w:rsid w:val="00521727"/>
    <w:rsid w:val="0052172B"/>
    <w:rsid w:val="00521B90"/>
    <w:rsid w:val="00522646"/>
    <w:rsid w:val="0052456A"/>
    <w:rsid w:val="005249E1"/>
    <w:rsid w:val="00525D70"/>
    <w:rsid w:val="005270AA"/>
    <w:rsid w:val="005277D3"/>
    <w:rsid w:val="00527E4A"/>
    <w:rsid w:val="00530433"/>
    <w:rsid w:val="0053057A"/>
    <w:rsid w:val="005313E2"/>
    <w:rsid w:val="005324D6"/>
    <w:rsid w:val="00532AB4"/>
    <w:rsid w:val="00533B41"/>
    <w:rsid w:val="00534343"/>
    <w:rsid w:val="005348DE"/>
    <w:rsid w:val="005349BA"/>
    <w:rsid w:val="00534DE0"/>
    <w:rsid w:val="005357AE"/>
    <w:rsid w:val="00537D56"/>
    <w:rsid w:val="00540991"/>
    <w:rsid w:val="00541289"/>
    <w:rsid w:val="00541488"/>
    <w:rsid w:val="005415CC"/>
    <w:rsid w:val="005419C5"/>
    <w:rsid w:val="00542BA0"/>
    <w:rsid w:val="0054309D"/>
    <w:rsid w:val="00544BCC"/>
    <w:rsid w:val="00544ECF"/>
    <w:rsid w:val="00545FD3"/>
    <w:rsid w:val="0054662E"/>
    <w:rsid w:val="00546689"/>
    <w:rsid w:val="00546994"/>
    <w:rsid w:val="005503C0"/>
    <w:rsid w:val="00550B07"/>
    <w:rsid w:val="00550DB3"/>
    <w:rsid w:val="00551355"/>
    <w:rsid w:val="005519BB"/>
    <w:rsid w:val="00551D66"/>
    <w:rsid w:val="00552064"/>
    <w:rsid w:val="005520CF"/>
    <w:rsid w:val="00552715"/>
    <w:rsid w:val="00552A4C"/>
    <w:rsid w:val="00552AD7"/>
    <w:rsid w:val="005562A4"/>
    <w:rsid w:val="0055755A"/>
    <w:rsid w:val="00557940"/>
    <w:rsid w:val="00560994"/>
    <w:rsid w:val="00560A29"/>
    <w:rsid w:val="00560ACF"/>
    <w:rsid w:val="0056107A"/>
    <w:rsid w:val="005616FF"/>
    <w:rsid w:val="00563464"/>
    <w:rsid w:val="00565F0F"/>
    <w:rsid w:val="00567077"/>
    <w:rsid w:val="0057104D"/>
    <w:rsid w:val="00572A35"/>
    <w:rsid w:val="00574397"/>
    <w:rsid w:val="00574C6A"/>
    <w:rsid w:val="00574E6B"/>
    <w:rsid w:val="00575E31"/>
    <w:rsid w:val="00576294"/>
    <w:rsid w:val="005764E8"/>
    <w:rsid w:val="00576604"/>
    <w:rsid w:val="00577664"/>
    <w:rsid w:val="00582123"/>
    <w:rsid w:val="005838FA"/>
    <w:rsid w:val="0058432E"/>
    <w:rsid w:val="00584616"/>
    <w:rsid w:val="00586901"/>
    <w:rsid w:val="0058758E"/>
    <w:rsid w:val="00590DB3"/>
    <w:rsid w:val="00591346"/>
    <w:rsid w:val="00593B5F"/>
    <w:rsid w:val="00593EAC"/>
    <w:rsid w:val="00593FA3"/>
    <w:rsid w:val="00594934"/>
    <w:rsid w:val="00594EBD"/>
    <w:rsid w:val="00595696"/>
    <w:rsid w:val="005A0482"/>
    <w:rsid w:val="005A216A"/>
    <w:rsid w:val="005A3457"/>
    <w:rsid w:val="005A4857"/>
    <w:rsid w:val="005A499F"/>
    <w:rsid w:val="005A4A62"/>
    <w:rsid w:val="005A5300"/>
    <w:rsid w:val="005A7194"/>
    <w:rsid w:val="005A771A"/>
    <w:rsid w:val="005B0AF2"/>
    <w:rsid w:val="005B3F1D"/>
    <w:rsid w:val="005B5DD3"/>
    <w:rsid w:val="005B6242"/>
    <w:rsid w:val="005B69C2"/>
    <w:rsid w:val="005C2966"/>
    <w:rsid w:val="005C3589"/>
    <w:rsid w:val="005C40ED"/>
    <w:rsid w:val="005C43A3"/>
    <w:rsid w:val="005C46B8"/>
    <w:rsid w:val="005C4A30"/>
    <w:rsid w:val="005C5094"/>
    <w:rsid w:val="005C615D"/>
    <w:rsid w:val="005C61DC"/>
    <w:rsid w:val="005C62F6"/>
    <w:rsid w:val="005C6479"/>
    <w:rsid w:val="005D05CB"/>
    <w:rsid w:val="005D06FF"/>
    <w:rsid w:val="005D234A"/>
    <w:rsid w:val="005D335B"/>
    <w:rsid w:val="005D4B09"/>
    <w:rsid w:val="005D4FC1"/>
    <w:rsid w:val="005D5182"/>
    <w:rsid w:val="005D5A4B"/>
    <w:rsid w:val="005D5F6D"/>
    <w:rsid w:val="005D7AB3"/>
    <w:rsid w:val="005E1275"/>
    <w:rsid w:val="005E1B75"/>
    <w:rsid w:val="005E1ED5"/>
    <w:rsid w:val="005E309B"/>
    <w:rsid w:val="005E3365"/>
    <w:rsid w:val="005E36FD"/>
    <w:rsid w:val="005E4F45"/>
    <w:rsid w:val="005E50BC"/>
    <w:rsid w:val="005E7C1C"/>
    <w:rsid w:val="005F09D7"/>
    <w:rsid w:val="005F0AF1"/>
    <w:rsid w:val="005F0D5E"/>
    <w:rsid w:val="005F1D8D"/>
    <w:rsid w:val="005F1F45"/>
    <w:rsid w:val="005F2482"/>
    <w:rsid w:val="005F49B9"/>
    <w:rsid w:val="005F4BEE"/>
    <w:rsid w:val="005F6362"/>
    <w:rsid w:val="005F6556"/>
    <w:rsid w:val="005F72F5"/>
    <w:rsid w:val="005F7B07"/>
    <w:rsid w:val="00600846"/>
    <w:rsid w:val="006034A7"/>
    <w:rsid w:val="00603D68"/>
    <w:rsid w:val="0060534B"/>
    <w:rsid w:val="00605827"/>
    <w:rsid w:val="00605F02"/>
    <w:rsid w:val="00605FFC"/>
    <w:rsid w:val="00606D2F"/>
    <w:rsid w:val="00606EC6"/>
    <w:rsid w:val="006077E8"/>
    <w:rsid w:val="00611432"/>
    <w:rsid w:val="00612E73"/>
    <w:rsid w:val="0061304B"/>
    <w:rsid w:val="00613607"/>
    <w:rsid w:val="00613A41"/>
    <w:rsid w:val="0061560C"/>
    <w:rsid w:val="00616E8D"/>
    <w:rsid w:val="00617FE8"/>
    <w:rsid w:val="00621CFA"/>
    <w:rsid w:val="00623B37"/>
    <w:rsid w:val="00624208"/>
    <w:rsid w:val="006244F9"/>
    <w:rsid w:val="00625D66"/>
    <w:rsid w:val="0063040E"/>
    <w:rsid w:val="006323D2"/>
    <w:rsid w:val="006326F1"/>
    <w:rsid w:val="00632E35"/>
    <w:rsid w:val="006340F0"/>
    <w:rsid w:val="00634A74"/>
    <w:rsid w:val="0063643E"/>
    <w:rsid w:val="00636ED6"/>
    <w:rsid w:val="006376DC"/>
    <w:rsid w:val="006379C5"/>
    <w:rsid w:val="00637D3F"/>
    <w:rsid w:val="0064051F"/>
    <w:rsid w:val="006411C3"/>
    <w:rsid w:val="00641CCD"/>
    <w:rsid w:val="00642101"/>
    <w:rsid w:val="00642954"/>
    <w:rsid w:val="0064328A"/>
    <w:rsid w:val="00643EA1"/>
    <w:rsid w:val="00644A60"/>
    <w:rsid w:val="00644FFE"/>
    <w:rsid w:val="00645087"/>
    <w:rsid w:val="00646050"/>
    <w:rsid w:val="0064629B"/>
    <w:rsid w:val="00646952"/>
    <w:rsid w:val="00647FF3"/>
    <w:rsid w:val="00650451"/>
    <w:rsid w:val="00650DA9"/>
    <w:rsid w:val="00651353"/>
    <w:rsid w:val="00651ABE"/>
    <w:rsid w:val="00653EC6"/>
    <w:rsid w:val="0065437E"/>
    <w:rsid w:val="006544C3"/>
    <w:rsid w:val="0065451D"/>
    <w:rsid w:val="0065506D"/>
    <w:rsid w:val="006566BF"/>
    <w:rsid w:val="006574C7"/>
    <w:rsid w:val="006579C3"/>
    <w:rsid w:val="0066177F"/>
    <w:rsid w:val="00662F5D"/>
    <w:rsid w:val="006642E9"/>
    <w:rsid w:val="00664BD9"/>
    <w:rsid w:val="00665743"/>
    <w:rsid w:val="0066633F"/>
    <w:rsid w:val="00667500"/>
    <w:rsid w:val="006679CB"/>
    <w:rsid w:val="006713CA"/>
    <w:rsid w:val="006716F7"/>
    <w:rsid w:val="006724DA"/>
    <w:rsid w:val="00674024"/>
    <w:rsid w:val="006743A5"/>
    <w:rsid w:val="0067514C"/>
    <w:rsid w:val="00675967"/>
    <w:rsid w:val="00681C4E"/>
    <w:rsid w:val="006832A4"/>
    <w:rsid w:val="00683390"/>
    <w:rsid w:val="006849CE"/>
    <w:rsid w:val="006853B2"/>
    <w:rsid w:val="00685B60"/>
    <w:rsid w:val="00685D15"/>
    <w:rsid w:val="00685FA1"/>
    <w:rsid w:val="006863D1"/>
    <w:rsid w:val="00687AEE"/>
    <w:rsid w:val="006912A4"/>
    <w:rsid w:val="006915DC"/>
    <w:rsid w:val="00693562"/>
    <w:rsid w:val="00693D8C"/>
    <w:rsid w:val="00693DC1"/>
    <w:rsid w:val="006949AC"/>
    <w:rsid w:val="006963EF"/>
    <w:rsid w:val="00696496"/>
    <w:rsid w:val="006966A7"/>
    <w:rsid w:val="00697466"/>
    <w:rsid w:val="006A1311"/>
    <w:rsid w:val="006A1F75"/>
    <w:rsid w:val="006A246E"/>
    <w:rsid w:val="006A3A6E"/>
    <w:rsid w:val="006A40E7"/>
    <w:rsid w:val="006A5C8C"/>
    <w:rsid w:val="006A5F9C"/>
    <w:rsid w:val="006A67D9"/>
    <w:rsid w:val="006A742C"/>
    <w:rsid w:val="006A7648"/>
    <w:rsid w:val="006B2C99"/>
    <w:rsid w:val="006B3ED0"/>
    <w:rsid w:val="006B410B"/>
    <w:rsid w:val="006B4D30"/>
    <w:rsid w:val="006B4EE2"/>
    <w:rsid w:val="006B53D1"/>
    <w:rsid w:val="006B5D55"/>
    <w:rsid w:val="006B7DC7"/>
    <w:rsid w:val="006C030A"/>
    <w:rsid w:val="006C0F94"/>
    <w:rsid w:val="006C1384"/>
    <w:rsid w:val="006C2844"/>
    <w:rsid w:val="006C3A65"/>
    <w:rsid w:val="006C5040"/>
    <w:rsid w:val="006C6908"/>
    <w:rsid w:val="006C6D23"/>
    <w:rsid w:val="006C7F08"/>
    <w:rsid w:val="006D0D54"/>
    <w:rsid w:val="006D11F8"/>
    <w:rsid w:val="006D1684"/>
    <w:rsid w:val="006D3BBF"/>
    <w:rsid w:val="006D59FA"/>
    <w:rsid w:val="006D5D90"/>
    <w:rsid w:val="006D7F95"/>
    <w:rsid w:val="006E1FD7"/>
    <w:rsid w:val="006E2A25"/>
    <w:rsid w:val="006E2C58"/>
    <w:rsid w:val="006E2F66"/>
    <w:rsid w:val="006E3101"/>
    <w:rsid w:val="006E42B0"/>
    <w:rsid w:val="006E4ECC"/>
    <w:rsid w:val="006E5EC3"/>
    <w:rsid w:val="006F4328"/>
    <w:rsid w:val="006F5F95"/>
    <w:rsid w:val="006F698A"/>
    <w:rsid w:val="007005BF"/>
    <w:rsid w:val="00702EEB"/>
    <w:rsid w:val="00703369"/>
    <w:rsid w:val="007035A6"/>
    <w:rsid w:val="007045C2"/>
    <w:rsid w:val="00704653"/>
    <w:rsid w:val="0070665D"/>
    <w:rsid w:val="00707042"/>
    <w:rsid w:val="00707770"/>
    <w:rsid w:val="00707AA7"/>
    <w:rsid w:val="007119B8"/>
    <w:rsid w:val="00711CC1"/>
    <w:rsid w:val="00711DBF"/>
    <w:rsid w:val="00712B76"/>
    <w:rsid w:val="00712C4A"/>
    <w:rsid w:val="0071323C"/>
    <w:rsid w:val="00714B5B"/>
    <w:rsid w:val="00715BB6"/>
    <w:rsid w:val="00715D0A"/>
    <w:rsid w:val="00716077"/>
    <w:rsid w:val="007161EB"/>
    <w:rsid w:val="0071675E"/>
    <w:rsid w:val="007207C2"/>
    <w:rsid w:val="00720AC1"/>
    <w:rsid w:val="007211F8"/>
    <w:rsid w:val="007215A9"/>
    <w:rsid w:val="00721FC9"/>
    <w:rsid w:val="00723217"/>
    <w:rsid w:val="00723E65"/>
    <w:rsid w:val="0072421F"/>
    <w:rsid w:val="00724C0B"/>
    <w:rsid w:val="007255CD"/>
    <w:rsid w:val="0073096E"/>
    <w:rsid w:val="00732475"/>
    <w:rsid w:val="00734DE4"/>
    <w:rsid w:val="00736584"/>
    <w:rsid w:val="00736847"/>
    <w:rsid w:val="00736A6C"/>
    <w:rsid w:val="00737297"/>
    <w:rsid w:val="0073786F"/>
    <w:rsid w:val="00740282"/>
    <w:rsid w:val="00740C01"/>
    <w:rsid w:val="00741C4B"/>
    <w:rsid w:val="00742744"/>
    <w:rsid w:val="007442DC"/>
    <w:rsid w:val="00745921"/>
    <w:rsid w:val="00745DC9"/>
    <w:rsid w:val="00746DA8"/>
    <w:rsid w:val="00747718"/>
    <w:rsid w:val="007501B6"/>
    <w:rsid w:val="00750DFF"/>
    <w:rsid w:val="00753240"/>
    <w:rsid w:val="00753677"/>
    <w:rsid w:val="007542A3"/>
    <w:rsid w:val="00755C18"/>
    <w:rsid w:val="007560E4"/>
    <w:rsid w:val="00756CEE"/>
    <w:rsid w:val="00757250"/>
    <w:rsid w:val="00757A60"/>
    <w:rsid w:val="007602C6"/>
    <w:rsid w:val="0076030B"/>
    <w:rsid w:val="00760F70"/>
    <w:rsid w:val="00761A91"/>
    <w:rsid w:val="00763970"/>
    <w:rsid w:val="007639C6"/>
    <w:rsid w:val="0076445F"/>
    <w:rsid w:val="00764A13"/>
    <w:rsid w:val="0076509C"/>
    <w:rsid w:val="00765CB9"/>
    <w:rsid w:val="00766BAF"/>
    <w:rsid w:val="007678BF"/>
    <w:rsid w:val="00770871"/>
    <w:rsid w:val="007727AE"/>
    <w:rsid w:val="007734D9"/>
    <w:rsid w:val="00773B13"/>
    <w:rsid w:val="00774249"/>
    <w:rsid w:val="00777EF1"/>
    <w:rsid w:val="00780F5E"/>
    <w:rsid w:val="00782747"/>
    <w:rsid w:val="007837D9"/>
    <w:rsid w:val="007838E1"/>
    <w:rsid w:val="007840C4"/>
    <w:rsid w:val="00784539"/>
    <w:rsid w:val="007846E8"/>
    <w:rsid w:val="00784E1F"/>
    <w:rsid w:val="00787793"/>
    <w:rsid w:val="00791194"/>
    <w:rsid w:val="00792392"/>
    <w:rsid w:val="00792EDF"/>
    <w:rsid w:val="0079320F"/>
    <w:rsid w:val="00793B61"/>
    <w:rsid w:val="007940D1"/>
    <w:rsid w:val="007948C3"/>
    <w:rsid w:val="00794FF5"/>
    <w:rsid w:val="007A09A8"/>
    <w:rsid w:val="007A0AE9"/>
    <w:rsid w:val="007A1625"/>
    <w:rsid w:val="007A2E26"/>
    <w:rsid w:val="007A3772"/>
    <w:rsid w:val="007A3C3D"/>
    <w:rsid w:val="007A6144"/>
    <w:rsid w:val="007A7F6D"/>
    <w:rsid w:val="007B0764"/>
    <w:rsid w:val="007B0CA9"/>
    <w:rsid w:val="007B0D02"/>
    <w:rsid w:val="007B1061"/>
    <w:rsid w:val="007B1F6C"/>
    <w:rsid w:val="007B328F"/>
    <w:rsid w:val="007B358E"/>
    <w:rsid w:val="007B5030"/>
    <w:rsid w:val="007B534D"/>
    <w:rsid w:val="007B5812"/>
    <w:rsid w:val="007B5CFA"/>
    <w:rsid w:val="007B7711"/>
    <w:rsid w:val="007B7DF0"/>
    <w:rsid w:val="007C102F"/>
    <w:rsid w:val="007C2020"/>
    <w:rsid w:val="007C2717"/>
    <w:rsid w:val="007C2E63"/>
    <w:rsid w:val="007C3660"/>
    <w:rsid w:val="007C3D6C"/>
    <w:rsid w:val="007C63CC"/>
    <w:rsid w:val="007C63DA"/>
    <w:rsid w:val="007C6874"/>
    <w:rsid w:val="007C6E03"/>
    <w:rsid w:val="007C6E7A"/>
    <w:rsid w:val="007C70AE"/>
    <w:rsid w:val="007C7533"/>
    <w:rsid w:val="007C7D10"/>
    <w:rsid w:val="007D0FA2"/>
    <w:rsid w:val="007D1459"/>
    <w:rsid w:val="007D18E5"/>
    <w:rsid w:val="007D36FE"/>
    <w:rsid w:val="007D39C8"/>
    <w:rsid w:val="007D3D0A"/>
    <w:rsid w:val="007D4546"/>
    <w:rsid w:val="007D4896"/>
    <w:rsid w:val="007D6285"/>
    <w:rsid w:val="007D7477"/>
    <w:rsid w:val="007E0F7E"/>
    <w:rsid w:val="007E39FD"/>
    <w:rsid w:val="007E3AB6"/>
    <w:rsid w:val="007E43EA"/>
    <w:rsid w:val="007E5087"/>
    <w:rsid w:val="007E5E6A"/>
    <w:rsid w:val="007E7DAD"/>
    <w:rsid w:val="007F0338"/>
    <w:rsid w:val="007F092A"/>
    <w:rsid w:val="007F1D4E"/>
    <w:rsid w:val="007F2C97"/>
    <w:rsid w:val="007F3BD8"/>
    <w:rsid w:val="007F5A1C"/>
    <w:rsid w:val="007F6807"/>
    <w:rsid w:val="007F7A63"/>
    <w:rsid w:val="00800629"/>
    <w:rsid w:val="00800F3A"/>
    <w:rsid w:val="008013B3"/>
    <w:rsid w:val="00802054"/>
    <w:rsid w:val="008026DC"/>
    <w:rsid w:val="00802D4D"/>
    <w:rsid w:val="00804072"/>
    <w:rsid w:val="00804422"/>
    <w:rsid w:val="00804613"/>
    <w:rsid w:val="00804CB1"/>
    <w:rsid w:val="00805FE7"/>
    <w:rsid w:val="00810513"/>
    <w:rsid w:val="00812A90"/>
    <w:rsid w:val="00812E51"/>
    <w:rsid w:val="00813C97"/>
    <w:rsid w:val="00815E4A"/>
    <w:rsid w:val="00816A1A"/>
    <w:rsid w:val="00816CEC"/>
    <w:rsid w:val="00820EC9"/>
    <w:rsid w:val="0082295C"/>
    <w:rsid w:val="00825313"/>
    <w:rsid w:val="008264BD"/>
    <w:rsid w:val="008266B6"/>
    <w:rsid w:val="00831B9A"/>
    <w:rsid w:val="00832E6C"/>
    <w:rsid w:val="0083462F"/>
    <w:rsid w:val="00834CC7"/>
    <w:rsid w:val="00835DD3"/>
    <w:rsid w:val="00837805"/>
    <w:rsid w:val="00837BE6"/>
    <w:rsid w:val="00837F6B"/>
    <w:rsid w:val="008404A4"/>
    <w:rsid w:val="0084057A"/>
    <w:rsid w:val="008408BD"/>
    <w:rsid w:val="008420F5"/>
    <w:rsid w:val="008422B4"/>
    <w:rsid w:val="00842339"/>
    <w:rsid w:val="00844448"/>
    <w:rsid w:val="008445FC"/>
    <w:rsid w:val="00844EA1"/>
    <w:rsid w:val="00846B52"/>
    <w:rsid w:val="008477C3"/>
    <w:rsid w:val="0085248C"/>
    <w:rsid w:val="008525D5"/>
    <w:rsid w:val="00853822"/>
    <w:rsid w:val="008541AC"/>
    <w:rsid w:val="00855139"/>
    <w:rsid w:val="00855297"/>
    <w:rsid w:val="008563C5"/>
    <w:rsid w:val="00857B8E"/>
    <w:rsid w:val="00860613"/>
    <w:rsid w:val="00860A3B"/>
    <w:rsid w:val="008611F1"/>
    <w:rsid w:val="008617B4"/>
    <w:rsid w:val="008618D2"/>
    <w:rsid w:val="00863D8B"/>
    <w:rsid w:val="00863FF4"/>
    <w:rsid w:val="00864331"/>
    <w:rsid w:val="00864ABA"/>
    <w:rsid w:val="008669EA"/>
    <w:rsid w:val="00866AC1"/>
    <w:rsid w:val="008674F5"/>
    <w:rsid w:val="008706AE"/>
    <w:rsid w:val="00872713"/>
    <w:rsid w:val="00872E26"/>
    <w:rsid w:val="00875D59"/>
    <w:rsid w:val="00875EB5"/>
    <w:rsid w:val="008823B7"/>
    <w:rsid w:val="0088366A"/>
    <w:rsid w:val="0088366E"/>
    <w:rsid w:val="00883CE7"/>
    <w:rsid w:val="00884611"/>
    <w:rsid w:val="00884753"/>
    <w:rsid w:val="0088525C"/>
    <w:rsid w:val="008855C4"/>
    <w:rsid w:val="00887268"/>
    <w:rsid w:val="0089089B"/>
    <w:rsid w:val="00891307"/>
    <w:rsid w:val="008917CB"/>
    <w:rsid w:val="00891A26"/>
    <w:rsid w:val="00895429"/>
    <w:rsid w:val="00895DE4"/>
    <w:rsid w:val="0089633D"/>
    <w:rsid w:val="00896510"/>
    <w:rsid w:val="008972AB"/>
    <w:rsid w:val="00897B45"/>
    <w:rsid w:val="00897F5E"/>
    <w:rsid w:val="008A0BC6"/>
    <w:rsid w:val="008A249E"/>
    <w:rsid w:val="008A2E27"/>
    <w:rsid w:val="008A4523"/>
    <w:rsid w:val="008A484A"/>
    <w:rsid w:val="008A48F6"/>
    <w:rsid w:val="008A63CB"/>
    <w:rsid w:val="008A650D"/>
    <w:rsid w:val="008A6775"/>
    <w:rsid w:val="008A6CCB"/>
    <w:rsid w:val="008A6D8A"/>
    <w:rsid w:val="008B0656"/>
    <w:rsid w:val="008B1B9F"/>
    <w:rsid w:val="008B2C01"/>
    <w:rsid w:val="008B2CC1"/>
    <w:rsid w:val="008B2D1A"/>
    <w:rsid w:val="008B31DC"/>
    <w:rsid w:val="008B331E"/>
    <w:rsid w:val="008B3A80"/>
    <w:rsid w:val="008B5762"/>
    <w:rsid w:val="008B60B2"/>
    <w:rsid w:val="008B62D2"/>
    <w:rsid w:val="008B63EA"/>
    <w:rsid w:val="008B6A56"/>
    <w:rsid w:val="008B77D3"/>
    <w:rsid w:val="008C025D"/>
    <w:rsid w:val="008C049D"/>
    <w:rsid w:val="008C3699"/>
    <w:rsid w:val="008C40D1"/>
    <w:rsid w:val="008C5891"/>
    <w:rsid w:val="008C58DE"/>
    <w:rsid w:val="008C5D87"/>
    <w:rsid w:val="008C5E1B"/>
    <w:rsid w:val="008C7528"/>
    <w:rsid w:val="008D04BD"/>
    <w:rsid w:val="008D1109"/>
    <w:rsid w:val="008D2A96"/>
    <w:rsid w:val="008D536B"/>
    <w:rsid w:val="008D583A"/>
    <w:rsid w:val="008D5F2E"/>
    <w:rsid w:val="008D7018"/>
    <w:rsid w:val="008D7976"/>
    <w:rsid w:val="008D7CE4"/>
    <w:rsid w:val="008E0317"/>
    <w:rsid w:val="008E163E"/>
    <w:rsid w:val="008E1BBB"/>
    <w:rsid w:val="008E220F"/>
    <w:rsid w:val="008E3175"/>
    <w:rsid w:val="008E47AC"/>
    <w:rsid w:val="008E4A19"/>
    <w:rsid w:val="008E4CF8"/>
    <w:rsid w:val="008E4DC2"/>
    <w:rsid w:val="008E4E00"/>
    <w:rsid w:val="008E5080"/>
    <w:rsid w:val="008E5B53"/>
    <w:rsid w:val="008E63F1"/>
    <w:rsid w:val="008E6654"/>
    <w:rsid w:val="008E6A21"/>
    <w:rsid w:val="008E7545"/>
    <w:rsid w:val="008F00C7"/>
    <w:rsid w:val="008F022A"/>
    <w:rsid w:val="008F1A97"/>
    <w:rsid w:val="008F1FF6"/>
    <w:rsid w:val="008F2997"/>
    <w:rsid w:val="008F31DC"/>
    <w:rsid w:val="008F3FD1"/>
    <w:rsid w:val="008F53BF"/>
    <w:rsid w:val="008F574E"/>
    <w:rsid w:val="008F6654"/>
    <w:rsid w:val="008F6A5E"/>
    <w:rsid w:val="008F7C71"/>
    <w:rsid w:val="008F7F56"/>
    <w:rsid w:val="009007F3"/>
    <w:rsid w:val="00901F46"/>
    <w:rsid w:val="00902A00"/>
    <w:rsid w:val="00902D59"/>
    <w:rsid w:val="009036CE"/>
    <w:rsid w:val="00903BD3"/>
    <w:rsid w:val="00904020"/>
    <w:rsid w:val="00905620"/>
    <w:rsid w:val="00906771"/>
    <w:rsid w:val="00906F3A"/>
    <w:rsid w:val="00907211"/>
    <w:rsid w:val="0090731E"/>
    <w:rsid w:val="00907800"/>
    <w:rsid w:val="00907CC6"/>
    <w:rsid w:val="00907F75"/>
    <w:rsid w:val="0091043A"/>
    <w:rsid w:val="00911BCF"/>
    <w:rsid w:val="00912585"/>
    <w:rsid w:val="009130BD"/>
    <w:rsid w:val="00913D01"/>
    <w:rsid w:val="009201EB"/>
    <w:rsid w:val="009211B9"/>
    <w:rsid w:val="00921861"/>
    <w:rsid w:val="00922937"/>
    <w:rsid w:val="00924492"/>
    <w:rsid w:val="00924AF6"/>
    <w:rsid w:val="009250DD"/>
    <w:rsid w:val="00926D8F"/>
    <w:rsid w:val="009271B8"/>
    <w:rsid w:val="00927B22"/>
    <w:rsid w:val="00930A51"/>
    <w:rsid w:val="00932A3C"/>
    <w:rsid w:val="0093362E"/>
    <w:rsid w:val="0093486D"/>
    <w:rsid w:val="009354F4"/>
    <w:rsid w:val="00941AC0"/>
    <w:rsid w:val="00941AF3"/>
    <w:rsid w:val="00942B0C"/>
    <w:rsid w:val="00942FE3"/>
    <w:rsid w:val="00943F05"/>
    <w:rsid w:val="00943F15"/>
    <w:rsid w:val="00944B17"/>
    <w:rsid w:val="009451A5"/>
    <w:rsid w:val="00945345"/>
    <w:rsid w:val="00945981"/>
    <w:rsid w:val="00945A6C"/>
    <w:rsid w:val="00946DE0"/>
    <w:rsid w:val="00947B1D"/>
    <w:rsid w:val="00950C2F"/>
    <w:rsid w:val="00952087"/>
    <w:rsid w:val="00953A9F"/>
    <w:rsid w:val="00953D84"/>
    <w:rsid w:val="00954D92"/>
    <w:rsid w:val="00955559"/>
    <w:rsid w:val="009556FD"/>
    <w:rsid w:val="00956E73"/>
    <w:rsid w:val="00957019"/>
    <w:rsid w:val="0095706E"/>
    <w:rsid w:val="00957C1A"/>
    <w:rsid w:val="00957E13"/>
    <w:rsid w:val="00957F9F"/>
    <w:rsid w:val="00961A63"/>
    <w:rsid w:val="0096234C"/>
    <w:rsid w:val="00965C2A"/>
    <w:rsid w:val="00966A22"/>
    <w:rsid w:val="0096722F"/>
    <w:rsid w:val="00967BF6"/>
    <w:rsid w:val="00970C94"/>
    <w:rsid w:val="00971FA2"/>
    <w:rsid w:val="0097240C"/>
    <w:rsid w:val="00973D2E"/>
    <w:rsid w:val="0097646F"/>
    <w:rsid w:val="00976DA5"/>
    <w:rsid w:val="00976DBD"/>
    <w:rsid w:val="00977D01"/>
    <w:rsid w:val="00977FFA"/>
    <w:rsid w:val="009805F7"/>
    <w:rsid w:val="009807F0"/>
    <w:rsid w:val="00980843"/>
    <w:rsid w:val="009808B7"/>
    <w:rsid w:val="00980F83"/>
    <w:rsid w:val="00981611"/>
    <w:rsid w:val="00981FAC"/>
    <w:rsid w:val="00982384"/>
    <w:rsid w:val="009829D7"/>
    <w:rsid w:val="009839D1"/>
    <w:rsid w:val="009839E2"/>
    <w:rsid w:val="00984151"/>
    <w:rsid w:val="009841D0"/>
    <w:rsid w:val="00984A6D"/>
    <w:rsid w:val="00985570"/>
    <w:rsid w:val="00986DD5"/>
    <w:rsid w:val="00987DE5"/>
    <w:rsid w:val="009913DC"/>
    <w:rsid w:val="009913EC"/>
    <w:rsid w:val="009923A2"/>
    <w:rsid w:val="00995550"/>
    <w:rsid w:val="00995810"/>
    <w:rsid w:val="00995C4E"/>
    <w:rsid w:val="009960A7"/>
    <w:rsid w:val="0099722F"/>
    <w:rsid w:val="009A28B2"/>
    <w:rsid w:val="009A2C6A"/>
    <w:rsid w:val="009A4BC9"/>
    <w:rsid w:val="009A526F"/>
    <w:rsid w:val="009A57BE"/>
    <w:rsid w:val="009A5C3D"/>
    <w:rsid w:val="009A6868"/>
    <w:rsid w:val="009A6E53"/>
    <w:rsid w:val="009B04F9"/>
    <w:rsid w:val="009B0B15"/>
    <w:rsid w:val="009B362B"/>
    <w:rsid w:val="009B394B"/>
    <w:rsid w:val="009B434A"/>
    <w:rsid w:val="009B452E"/>
    <w:rsid w:val="009B74DA"/>
    <w:rsid w:val="009B77F6"/>
    <w:rsid w:val="009C0BF3"/>
    <w:rsid w:val="009C0F42"/>
    <w:rsid w:val="009C44DE"/>
    <w:rsid w:val="009C4746"/>
    <w:rsid w:val="009C6FA1"/>
    <w:rsid w:val="009C6FFD"/>
    <w:rsid w:val="009C7361"/>
    <w:rsid w:val="009D04CA"/>
    <w:rsid w:val="009D0FD5"/>
    <w:rsid w:val="009D311C"/>
    <w:rsid w:val="009E0035"/>
    <w:rsid w:val="009E0A28"/>
    <w:rsid w:val="009E0D8E"/>
    <w:rsid w:val="009E1452"/>
    <w:rsid w:val="009E27C1"/>
    <w:rsid w:val="009E28DE"/>
    <w:rsid w:val="009E3F6F"/>
    <w:rsid w:val="009E4DE7"/>
    <w:rsid w:val="009E52E6"/>
    <w:rsid w:val="009E5445"/>
    <w:rsid w:val="009E61F7"/>
    <w:rsid w:val="009E6936"/>
    <w:rsid w:val="009E7034"/>
    <w:rsid w:val="009E7BEA"/>
    <w:rsid w:val="009F1041"/>
    <w:rsid w:val="009F1C58"/>
    <w:rsid w:val="009F2300"/>
    <w:rsid w:val="009F236A"/>
    <w:rsid w:val="009F245A"/>
    <w:rsid w:val="009F295E"/>
    <w:rsid w:val="009F29FF"/>
    <w:rsid w:val="009F33C8"/>
    <w:rsid w:val="009F499F"/>
    <w:rsid w:val="009F49B7"/>
    <w:rsid w:val="009F5052"/>
    <w:rsid w:val="009F5AA6"/>
    <w:rsid w:val="009F7500"/>
    <w:rsid w:val="009F7525"/>
    <w:rsid w:val="009F77C3"/>
    <w:rsid w:val="009F7B10"/>
    <w:rsid w:val="00A00720"/>
    <w:rsid w:val="00A0087A"/>
    <w:rsid w:val="00A00DE4"/>
    <w:rsid w:val="00A012E2"/>
    <w:rsid w:val="00A01C6E"/>
    <w:rsid w:val="00A0358F"/>
    <w:rsid w:val="00A04D1F"/>
    <w:rsid w:val="00A052A9"/>
    <w:rsid w:val="00A05C4D"/>
    <w:rsid w:val="00A118EB"/>
    <w:rsid w:val="00A12217"/>
    <w:rsid w:val="00A125BA"/>
    <w:rsid w:val="00A1353F"/>
    <w:rsid w:val="00A140CF"/>
    <w:rsid w:val="00A15803"/>
    <w:rsid w:val="00A16C1F"/>
    <w:rsid w:val="00A16F77"/>
    <w:rsid w:val="00A2065D"/>
    <w:rsid w:val="00A20906"/>
    <w:rsid w:val="00A2103B"/>
    <w:rsid w:val="00A2196C"/>
    <w:rsid w:val="00A21E02"/>
    <w:rsid w:val="00A21E9A"/>
    <w:rsid w:val="00A22295"/>
    <w:rsid w:val="00A245C8"/>
    <w:rsid w:val="00A25666"/>
    <w:rsid w:val="00A26658"/>
    <w:rsid w:val="00A273D9"/>
    <w:rsid w:val="00A3049C"/>
    <w:rsid w:val="00A3111F"/>
    <w:rsid w:val="00A323A5"/>
    <w:rsid w:val="00A32536"/>
    <w:rsid w:val="00A33915"/>
    <w:rsid w:val="00A33C4F"/>
    <w:rsid w:val="00A33E8D"/>
    <w:rsid w:val="00A34A5B"/>
    <w:rsid w:val="00A34C4B"/>
    <w:rsid w:val="00A350B5"/>
    <w:rsid w:val="00A35980"/>
    <w:rsid w:val="00A364AA"/>
    <w:rsid w:val="00A369BB"/>
    <w:rsid w:val="00A37BD9"/>
    <w:rsid w:val="00A40C9A"/>
    <w:rsid w:val="00A40CF8"/>
    <w:rsid w:val="00A412AE"/>
    <w:rsid w:val="00A41A21"/>
    <w:rsid w:val="00A42DAF"/>
    <w:rsid w:val="00A43E91"/>
    <w:rsid w:val="00A45BD8"/>
    <w:rsid w:val="00A45FDE"/>
    <w:rsid w:val="00A46359"/>
    <w:rsid w:val="00A52216"/>
    <w:rsid w:val="00A5221D"/>
    <w:rsid w:val="00A52537"/>
    <w:rsid w:val="00A525D7"/>
    <w:rsid w:val="00A52F05"/>
    <w:rsid w:val="00A53220"/>
    <w:rsid w:val="00A55013"/>
    <w:rsid w:val="00A55C30"/>
    <w:rsid w:val="00A56502"/>
    <w:rsid w:val="00A616B9"/>
    <w:rsid w:val="00A62008"/>
    <w:rsid w:val="00A6390C"/>
    <w:rsid w:val="00A63C02"/>
    <w:rsid w:val="00A644CC"/>
    <w:rsid w:val="00A64C8D"/>
    <w:rsid w:val="00A64FC8"/>
    <w:rsid w:val="00A66712"/>
    <w:rsid w:val="00A66BF6"/>
    <w:rsid w:val="00A66E25"/>
    <w:rsid w:val="00A670CB"/>
    <w:rsid w:val="00A701A4"/>
    <w:rsid w:val="00A71DC0"/>
    <w:rsid w:val="00A72399"/>
    <w:rsid w:val="00A72449"/>
    <w:rsid w:val="00A72643"/>
    <w:rsid w:val="00A72A0B"/>
    <w:rsid w:val="00A72DAF"/>
    <w:rsid w:val="00A73732"/>
    <w:rsid w:val="00A7608F"/>
    <w:rsid w:val="00A80599"/>
    <w:rsid w:val="00A81EB5"/>
    <w:rsid w:val="00A8283D"/>
    <w:rsid w:val="00A84E65"/>
    <w:rsid w:val="00A85054"/>
    <w:rsid w:val="00A85324"/>
    <w:rsid w:val="00A85834"/>
    <w:rsid w:val="00A91440"/>
    <w:rsid w:val="00A91CFF"/>
    <w:rsid w:val="00A92E22"/>
    <w:rsid w:val="00A92F58"/>
    <w:rsid w:val="00A96418"/>
    <w:rsid w:val="00A9699F"/>
    <w:rsid w:val="00A9780C"/>
    <w:rsid w:val="00AA0792"/>
    <w:rsid w:val="00AA0B90"/>
    <w:rsid w:val="00AA20EC"/>
    <w:rsid w:val="00AA4ECA"/>
    <w:rsid w:val="00AA6584"/>
    <w:rsid w:val="00AA6773"/>
    <w:rsid w:val="00AA6E5D"/>
    <w:rsid w:val="00AA6E8C"/>
    <w:rsid w:val="00AA7185"/>
    <w:rsid w:val="00AA75C2"/>
    <w:rsid w:val="00AB1310"/>
    <w:rsid w:val="00AB1BB7"/>
    <w:rsid w:val="00AB2194"/>
    <w:rsid w:val="00AB253D"/>
    <w:rsid w:val="00AB32D1"/>
    <w:rsid w:val="00AB41E6"/>
    <w:rsid w:val="00AB50FC"/>
    <w:rsid w:val="00AB5283"/>
    <w:rsid w:val="00AB6DAB"/>
    <w:rsid w:val="00AB70B2"/>
    <w:rsid w:val="00AB70B4"/>
    <w:rsid w:val="00AB7521"/>
    <w:rsid w:val="00AC0B85"/>
    <w:rsid w:val="00AC181B"/>
    <w:rsid w:val="00AC205C"/>
    <w:rsid w:val="00AC3C0A"/>
    <w:rsid w:val="00AC3DB2"/>
    <w:rsid w:val="00AC4361"/>
    <w:rsid w:val="00AC4900"/>
    <w:rsid w:val="00AC4A2A"/>
    <w:rsid w:val="00AC62A1"/>
    <w:rsid w:val="00AC76B1"/>
    <w:rsid w:val="00AC7BFF"/>
    <w:rsid w:val="00AD1550"/>
    <w:rsid w:val="00AD15F4"/>
    <w:rsid w:val="00AD2600"/>
    <w:rsid w:val="00AD62C1"/>
    <w:rsid w:val="00AD7115"/>
    <w:rsid w:val="00AD72CF"/>
    <w:rsid w:val="00AE09CE"/>
    <w:rsid w:val="00AE164A"/>
    <w:rsid w:val="00AE1A69"/>
    <w:rsid w:val="00AE1C7E"/>
    <w:rsid w:val="00AE262F"/>
    <w:rsid w:val="00AE2D6C"/>
    <w:rsid w:val="00AE49C5"/>
    <w:rsid w:val="00AE5ABB"/>
    <w:rsid w:val="00AF0B67"/>
    <w:rsid w:val="00AF1CC6"/>
    <w:rsid w:val="00AF22B5"/>
    <w:rsid w:val="00AF2A9F"/>
    <w:rsid w:val="00AF3406"/>
    <w:rsid w:val="00AF37BB"/>
    <w:rsid w:val="00AF388D"/>
    <w:rsid w:val="00AF445F"/>
    <w:rsid w:val="00AF4E14"/>
    <w:rsid w:val="00AF5776"/>
    <w:rsid w:val="00AF5A4C"/>
    <w:rsid w:val="00AF64D7"/>
    <w:rsid w:val="00B000A4"/>
    <w:rsid w:val="00B00DD7"/>
    <w:rsid w:val="00B04ABB"/>
    <w:rsid w:val="00B05678"/>
    <w:rsid w:val="00B05A69"/>
    <w:rsid w:val="00B06891"/>
    <w:rsid w:val="00B07B68"/>
    <w:rsid w:val="00B1018D"/>
    <w:rsid w:val="00B10776"/>
    <w:rsid w:val="00B10DFA"/>
    <w:rsid w:val="00B122FA"/>
    <w:rsid w:val="00B126D6"/>
    <w:rsid w:val="00B12839"/>
    <w:rsid w:val="00B134A9"/>
    <w:rsid w:val="00B13710"/>
    <w:rsid w:val="00B14118"/>
    <w:rsid w:val="00B142FD"/>
    <w:rsid w:val="00B14CD3"/>
    <w:rsid w:val="00B150AB"/>
    <w:rsid w:val="00B154C0"/>
    <w:rsid w:val="00B1590A"/>
    <w:rsid w:val="00B1597B"/>
    <w:rsid w:val="00B1674F"/>
    <w:rsid w:val="00B1744B"/>
    <w:rsid w:val="00B2130A"/>
    <w:rsid w:val="00B22456"/>
    <w:rsid w:val="00B22C92"/>
    <w:rsid w:val="00B230D4"/>
    <w:rsid w:val="00B23517"/>
    <w:rsid w:val="00B238E8"/>
    <w:rsid w:val="00B23AF5"/>
    <w:rsid w:val="00B246C5"/>
    <w:rsid w:val="00B256F1"/>
    <w:rsid w:val="00B26191"/>
    <w:rsid w:val="00B321B2"/>
    <w:rsid w:val="00B32D18"/>
    <w:rsid w:val="00B33505"/>
    <w:rsid w:val="00B338A8"/>
    <w:rsid w:val="00B33D19"/>
    <w:rsid w:val="00B3405A"/>
    <w:rsid w:val="00B349F2"/>
    <w:rsid w:val="00B34A3F"/>
    <w:rsid w:val="00B3587A"/>
    <w:rsid w:val="00B35E9A"/>
    <w:rsid w:val="00B364D2"/>
    <w:rsid w:val="00B374B7"/>
    <w:rsid w:val="00B42407"/>
    <w:rsid w:val="00B427AB"/>
    <w:rsid w:val="00B43716"/>
    <w:rsid w:val="00B45F13"/>
    <w:rsid w:val="00B46433"/>
    <w:rsid w:val="00B46A16"/>
    <w:rsid w:val="00B471CE"/>
    <w:rsid w:val="00B479F1"/>
    <w:rsid w:val="00B515CB"/>
    <w:rsid w:val="00B534E9"/>
    <w:rsid w:val="00B5441A"/>
    <w:rsid w:val="00B5476E"/>
    <w:rsid w:val="00B618E5"/>
    <w:rsid w:val="00B61B7A"/>
    <w:rsid w:val="00B638ED"/>
    <w:rsid w:val="00B63F1D"/>
    <w:rsid w:val="00B64190"/>
    <w:rsid w:val="00B660D1"/>
    <w:rsid w:val="00B66245"/>
    <w:rsid w:val="00B6770B"/>
    <w:rsid w:val="00B704D5"/>
    <w:rsid w:val="00B72B70"/>
    <w:rsid w:val="00B72D7F"/>
    <w:rsid w:val="00B73A69"/>
    <w:rsid w:val="00B742DE"/>
    <w:rsid w:val="00B742F5"/>
    <w:rsid w:val="00B747CA"/>
    <w:rsid w:val="00B74CC7"/>
    <w:rsid w:val="00B74DDA"/>
    <w:rsid w:val="00B75480"/>
    <w:rsid w:val="00B76C04"/>
    <w:rsid w:val="00B76CFA"/>
    <w:rsid w:val="00B77077"/>
    <w:rsid w:val="00B77475"/>
    <w:rsid w:val="00B8039F"/>
    <w:rsid w:val="00B80698"/>
    <w:rsid w:val="00B80AAE"/>
    <w:rsid w:val="00B80C44"/>
    <w:rsid w:val="00B82A11"/>
    <w:rsid w:val="00B82B85"/>
    <w:rsid w:val="00B83938"/>
    <w:rsid w:val="00B84BEA"/>
    <w:rsid w:val="00B84CBB"/>
    <w:rsid w:val="00B85535"/>
    <w:rsid w:val="00B85AFC"/>
    <w:rsid w:val="00B905E4"/>
    <w:rsid w:val="00B91F74"/>
    <w:rsid w:val="00B9210B"/>
    <w:rsid w:val="00B936F6"/>
    <w:rsid w:val="00B940C5"/>
    <w:rsid w:val="00B95060"/>
    <w:rsid w:val="00B95327"/>
    <w:rsid w:val="00B95F4E"/>
    <w:rsid w:val="00B975A9"/>
    <w:rsid w:val="00BA0CE6"/>
    <w:rsid w:val="00BA1538"/>
    <w:rsid w:val="00BA4FC6"/>
    <w:rsid w:val="00BA5828"/>
    <w:rsid w:val="00BA58A6"/>
    <w:rsid w:val="00BA612A"/>
    <w:rsid w:val="00BA66ED"/>
    <w:rsid w:val="00BA6C4F"/>
    <w:rsid w:val="00BB0B56"/>
    <w:rsid w:val="00BB0F8B"/>
    <w:rsid w:val="00BB0F9C"/>
    <w:rsid w:val="00BB1550"/>
    <w:rsid w:val="00BB1BB9"/>
    <w:rsid w:val="00BB1CBC"/>
    <w:rsid w:val="00BB2065"/>
    <w:rsid w:val="00BB3749"/>
    <w:rsid w:val="00BB455E"/>
    <w:rsid w:val="00BB5732"/>
    <w:rsid w:val="00BB59CD"/>
    <w:rsid w:val="00BB72A5"/>
    <w:rsid w:val="00BB7F5A"/>
    <w:rsid w:val="00BB7FB0"/>
    <w:rsid w:val="00BC23BF"/>
    <w:rsid w:val="00BC25E2"/>
    <w:rsid w:val="00BC3971"/>
    <w:rsid w:val="00BC4108"/>
    <w:rsid w:val="00BC5FC4"/>
    <w:rsid w:val="00BC621A"/>
    <w:rsid w:val="00BC687E"/>
    <w:rsid w:val="00BC693C"/>
    <w:rsid w:val="00BC761B"/>
    <w:rsid w:val="00BC7CF2"/>
    <w:rsid w:val="00BD05E2"/>
    <w:rsid w:val="00BD13F2"/>
    <w:rsid w:val="00BD2197"/>
    <w:rsid w:val="00BD2965"/>
    <w:rsid w:val="00BD2A78"/>
    <w:rsid w:val="00BD2E3E"/>
    <w:rsid w:val="00BD3952"/>
    <w:rsid w:val="00BD5532"/>
    <w:rsid w:val="00BD6542"/>
    <w:rsid w:val="00BD7C47"/>
    <w:rsid w:val="00BE034A"/>
    <w:rsid w:val="00BE0716"/>
    <w:rsid w:val="00BE0900"/>
    <w:rsid w:val="00BE0BF8"/>
    <w:rsid w:val="00BE1B67"/>
    <w:rsid w:val="00BE1D39"/>
    <w:rsid w:val="00BE27E8"/>
    <w:rsid w:val="00BE2EF2"/>
    <w:rsid w:val="00BE2F04"/>
    <w:rsid w:val="00BE36FA"/>
    <w:rsid w:val="00BE48C9"/>
    <w:rsid w:val="00BE4C11"/>
    <w:rsid w:val="00BE51D8"/>
    <w:rsid w:val="00BE5CCC"/>
    <w:rsid w:val="00BE6742"/>
    <w:rsid w:val="00BE6776"/>
    <w:rsid w:val="00BE703F"/>
    <w:rsid w:val="00BE7B3E"/>
    <w:rsid w:val="00BF2952"/>
    <w:rsid w:val="00BF2EE7"/>
    <w:rsid w:val="00BF388B"/>
    <w:rsid w:val="00BF5A04"/>
    <w:rsid w:val="00BF6049"/>
    <w:rsid w:val="00BF6B6D"/>
    <w:rsid w:val="00BF7278"/>
    <w:rsid w:val="00C00016"/>
    <w:rsid w:val="00C0097B"/>
    <w:rsid w:val="00C0155E"/>
    <w:rsid w:val="00C01AF6"/>
    <w:rsid w:val="00C02616"/>
    <w:rsid w:val="00C0262E"/>
    <w:rsid w:val="00C04998"/>
    <w:rsid w:val="00C056D3"/>
    <w:rsid w:val="00C05AE1"/>
    <w:rsid w:val="00C06CB8"/>
    <w:rsid w:val="00C07418"/>
    <w:rsid w:val="00C0779E"/>
    <w:rsid w:val="00C07A27"/>
    <w:rsid w:val="00C10098"/>
    <w:rsid w:val="00C106D5"/>
    <w:rsid w:val="00C10AD3"/>
    <w:rsid w:val="00C11A6D"/>
    <w:rsid w:val="00C11BFE"/>
    <w:rsid w:val="00C11C9A"/>
    <w:rsid w:val="00C1334B"/>
    <w:rsid w:val="00C13E27"/>
    <w:rsid w:val="00C14F7A"/>
    <w:rsid w:val="00C172B8"/>
    <w:rsid w:val="00C21BAE"/>
    <w:rsid w:val="00C224E0"/>
    <w:rsid w:val="00C22FA4"/>
    <w:rsid w:val="00C23951"/>
    <w:rsid w:val="00C23E4F"/>
    <w:rsid w:val="00C247A3"/>
    <w:rsid w:val="00C24A49"/>
    <w:rsid w:val="00C25CA0"/>
    <w:rsid w:val="00C26B1D"/>
    <w:rsid w:val="00C2702B"/>
    <w:rsid w:val="00C303D9"/>
    <w:rsid w:val="00C31F28"/>
    <w:rsid w:val="00C33754"/>
    <w:rsid w:val="00C348EE"/>
    <w:rsid w:val="00C36409"/>
    <w:rsid w:val="00C36BAB"/>
    <w:rsid w:val="00C3737B"/>
    <w:rsid w:val="00C376DE"/>
    <w:rsid w:val="00C41F8B"/>
    <w:rsid w:val="00C428DE"/>
    <w:rsid w:val="00C42F03"/>
    <w:rsid w:val="00C42F28"/>
    <w:rsid w:val="00C43C67"/>
    <w:rsid w:val="00C43FF8"/>
    <w:rsid w:val="00C44910"/>
    <w:rsid w:val="00C47157"/>
    <w:rsid w:val="00C47732"/>
    <w:rsid w:val="00C47CDB"/>
    <w:rsid w:val="00C50021"/>
    <w:rsid w:val="00C51100"/>
    <w:rsid w:val="00C556CF"/>
    <w:rsid w:val="00C56421"/>
    <w:rsid w:val="00C564D3"/>
    <w:rsid w:val="00C565BA"/>
    <w:rsid w:val="00C56808"/>
    <w:rsid w:val="00C576F7"/>
    <w:rsid w:val="00C606E5"/>
    <w:rsid w:val="00C607FD"/>
    <w:rsid w:val="00C61492"/>
    <w:rsid w:val="00C6397B"/>
    <w:rsid w:val="00C65D8E"/>
    <w:rsid w:val="00C67D18"/>
    <w:rsid w:val="00C70542"/>
    <w:rsid w:val="00C7141E"/>
    <w:rsid w:val="00C71E49"/>
    <w:rsid w:val="00C73BA7"/>
    <w:rsid w:val="00C74345"/>
    <w:rsid w:val="00C746E2"/>
    <w:rsid w:val="00C74C15"/>
    <w:rsid w:val="00C758E0"/>
    <w:rsid w:val="00C75FAD"/>
    <w:rsid w:val="00C76041"/>
    <w:rsid w:val="00C77D48"/>
    <w:rsid w:val="00C819BF"/>
    <w:rsid w:val="00C826A4"/>
    <w:rsid w:val="00C828A9"/>
    <w:rsid w:val="00C82C76"/>
    <w:rsid w:val="00C83D9E"/>
    <w:rsid w:val="00C83F1C"/>
    <w:rsid w:val="00C84FA1"/>
    <w:rsid w:val="00C854EB"/>
    <w:rsid w:val="00C86A11"/>
    <w:rsid w:val="00C8739F"/>
    <w:rsid w:val="00C91437"/>
    <w:rsid w:val="00C917FF"/>
    <w:rsid w:val="00C9292B"/>
    <w:rsid w:val="00C93E74"/>
    <w:rsid w:val="00C941A6"/>
    <w:rsid w:val="00C95D68"/>
    <w:rsid w:val="00C964EE"/>
    <w:rsid w:val="00C96A7E"/>
    <w:rsid w:val="00C97327"/>
    <w:rsid w:val="00C976B4"/>
    <w:rsid w:val="00C97EAD"/>
    <w:rsid w:val="00CA1D86"/>
    <w:rsid w:val="00CA2BB0"/>
    <w:rsid w:val="00CA2D57"/>
    <w:rsid w:val="00CA361C"/>
    <w:rsid w:val="00CA38F7"/>
    <w:rsid w:val="00CA3AA3"/>
    <w:rsid w:val="00CA588B"/>
    <w:rsid w:val="00CB0CA2"/>
    <w:rsid w:val="00CB2A1B"/>
    <w:rsid w:val="00CB4405"/>
    <w:rsid w:val="00CB4FEB"/>
    <w:rsid w:val="00CB5D85"/>
    <w:rsid w:val="00CB68BF"/>
    <w:rsid w:val="00CB7600"/>
    <w:rsid w:val="00CB7C8D"/>
    <w:rsid w:val="00CB7E37"/>
    <w:rsid w:val="00CC33B4"/>
    <w:rsid w:val="00CC4D49"/>
    <w:rsid w:val="00CC539C"/>
    <w:rsid w:val="00CC67B2"/>
    <w:rsid w:val="00CD0D17"/>
    <w:rsid w:val="00CD108B"/>
    <w:rsid w:val="00CD1176"/>
    <w:rsid w:val="00CD18D8"/>
    <w:rsid w:val="00CD42EC"/>
    <w:rsid w:val="00CD434E"/>
    <w:rsid w:val="00CD43F7"/>
    <w:rsid w:val="00CD469F"/>
    <w:rsid w:val="00CD4B59"/>
    <w:rsid w:val="00CD5447"/>
    <w:rsid w:val="00CE284E"/>
    <w:rsid w:val="00CE34D9"/>
    <w:rsid w:val="00CE3E76"/>
    <w:rsid w:val="00CE451F"/>
    <w:rsid w:val="00CE45E8"/>
    <w:rsid w:val="00CE58FF"/>
    <w:rsid w:val="00CE6AF4"/>
    <w:rsid w:val="00CE74DF"/>
    <w:rsid w:val="00CE7F84"/>
    <w:rsid w:val="00CE7FBB"/>
    <w:rsid w:val="00CF0578"/>
    <w:rsid w:val="00CF0B51"/>
    <w:rsid w:val="00CF11CE"/>
    <w:rsid w:val="00CF1457"/>
    <w:rsid w:val="00CF1519"/>
    <w:rsid w:val="00CF1A0E"/>
    <w:rsid w:val="00CF2672"/>
    <w:rsid w:val="00CF2A72"/>
    <w:rsid w:val="00CF2E58"/>
    <w:rsid w:val="00CF2F91"/>
    <w:rsid w:val="00CF37D5"/>
    <w:rsid w:val="00CF50A6"/>
    <w:rsid w:val="00CF60B4"/>
    <w:rsid w:val="00CF6CBB"/>
    <w:rsid w:val="00CF7B5C"/>
    <w:rsid w:val="00D00122"/>
    <w:rsid w:val="00D008F8"/>
    <w:rsid w:val="00D00FAE"/>
    <w:rsid w:val="00D02FAD"/>
    <w:rsid w:val="00D037A5"/>
    <w:rsid w:val="00D043EA"/>
    <w:rsid w:val="00D05111"/>
    <w:rsid w:val="00D066A0"/>
    <w:rsid w:val="00D06882"/>
    <w:rsid w:val="00D06BDD"/>
    <w:rsid w:val="00D100CE"/>
    <w:rsid w:val="00D12E7C"/>
    <w:rsid w:val="00D12ED0"/>
    <w:rsid w:val="00D130B6"/>
    <w:rsid w:val="00D1315D"/>
    <w:rsid w:val="00D1317C"/>
    <w:rsid w:val="00D131DF"/>
    <w:rsid w:val="00D1371F"/>
    <w:rsid w:val="00D14040"/>
    <w:rsid w:val="00D14D25"/>
    <w:rsid w:val="00D17D8E"/>
    <w:rsid w:val="00D202CC"/>
    <w:rsid w:val="00D20F9E"/>
    <w:rsid w:val="00D21CB8"/>
    <w:rsid w:val="00D258CA"/>
    <w:rsid w:val="00D262A4"/>
    <w:rsid w:val="00D2712A"/>
    <w:rsid w:val="00D276B6"/>
    <w:rsid w:val="00D306B1"/>
    <w:rsid w:val="00D30709"/>
    <w:rsid w:val="00D32EAD"/>
    <w:rsid w:val="00D33922"/>
    <w:rsid w:val="00D3700B"/>
    <w:rsid w:val="00D373F3"/>
    <w:rsid w:val="00D40452"/>
    <w:rsid w:val="00D40FD4"/>
    <w:rsid w:val="00D41C5C"/>
    <w:rsid w:val="00D423B0"/>
    <w:rsid w:val="00D427C5"/>
    <w:rsid w:val="00D42E6B"/>
    <w:rsid w:val="00D4344E"/>
    <w:rsid w:val="00D43BD1"/>
    <w:rsid w:val="00D44D11"/>
    <w:rsid w:val="00D45252"/>
    <w:rsid w:val="00D4637D"/>
    <w:rsid w:val="00D465F3"/>
    <w:rsid w:val="00D47BD2"/>
    <w:rsid w:val="00D50E2F"/>
    <w:rsid w:val="00D51E34"/>
    <w:rsid w:val="00D5296D"/>
    <w:rsid w:val="00D52C39"/>
    <w:rsid w:val="00D53B85"/>
    <w:rsid w:val="00D54FF0"/>
    <w:rsid w:val="00D5532D"/>
    <w:rsid w:val="00D55598"/>
    <w:rsid w:val="00D6021D"/>
    <w:rsid w:val="00D610E0"/>
    <w:rsid w:val="00D6144C"/>
    <w:rsid w:val="00D62B30"/>
    <w:rsid w:val="00D634EC"/>
    <w:rsid w:val="00D64826"/>
    <w:rsid w:val="00D66077"/>
    <w:rsid w:val="00D668EB"/>
    <w:rsid w:val="00D67512"/>
    <w:rsid w:val="00D703FA"/>
    <w:rsid w:val="00D71B4D"/>
    <w:rsid w:val="00D71B7F"/>
    <w:rsid w:val="00D72033"/>
    <w:rsid w:val="00D73040"/>
    <w:rsid w:val="00D74FD4"/>
    <w:rsid w:val="00D75276"/>
    <w:rsid w:val="00D75E08"/>
    <w:rsid w:val="00D762EE"/>
    <w:rsid w:val="00D76E96"/>
    <w:rsid w:val="00D771F3"/>
    <w:rsid w:val="00D77B1D"/>
    <w:rsid w:val="00D815D5"/>
    <w:rsid w:val="00D81B7F"/>
    <w:rsid w:val="00D82B4D"/>
    <w:rsid w:val="00D83080"/>
    <w:rsid w:val="00D836EB"/>
    <w:rsid w:val="00D8447E"/>
    <w:rsid w:val="00D84B33"/>
    <w:rsid w:val="00D868B5"/>
    <w:rsid w:val="00D87200"/>
    <w:rsid w:val="00D87D47"/>
    <w:rsid w:val="00D90559"/>
    <w:rsid w:val="00D90E57"/>
    <w:rsid w:val="00D92BBB"/>
    <w:rsid w:val="00D92E13"/>
    <w:rsid w:val="00D93D55"/>
    <w:rsid w:val="00D9467C"/>
    <w:rsid w:val="00D95D83"/>
    <w:rsid w:val="00D966DB"/>
    <w:rsid w:val="00D9753C"/>
    <w:rsid w:val="00DA0A78"/>
    <w:rsid w:val="00DA1341"/>
    <w:rsid w:val="00DA1A22"/>
    <w:rsid w:val="00DA2D42"/>
    <w:rsid w:val="00DA2DBB"/>
    <w:rsid w:val="00DA30A3"/>
    <w:rsid w:val="00DA4D2D"/>
    <w:rsid w:val="00DA578D"/>
    <w:rsid w:val="00DA5868"/>
    <w:rsid w:val="00DA671B"/>
    <w:rsid w:val="00DA6FC3"/>
    <w:rsid w:val="00DB1C89"/>
    <w:rsid w:val="00DB2072"/>
    <w:rsid w:val="00DB356D"/>
    <w:rsid w:val="00DB5C09"/>
    <w:rsid w:val="00DC0BED"/>
    <w:rsid w:val="00DC3773"/>
    <w:rsid w:val="00DC3A98"/>
    <w:rsid w:val="00DC3D52"/>
    <w:rsid w:val="00DC3F91"/>
    <w:rsid w:val="00DC3FA6"/>
    <w:rsid w:val="00DC4C5B"/>
    <w:rsid w:val="00DC625A"/>
    <w:rsid w:val="00DC71B0"/>
    <w:rsid w:val="00DD0DA0"/>
    <w:rsid w:val="00DD0FD2"/>
    <w:rsid w:val="00DD165C"/>
    <w:rsid w:val="00DD1867"/>
    <w:rsid w:val="00DD19F4"/>
    <w:rsid w:val="00DD39E9"/>
    <w:rsid w:val="00DD50C3"/>
    <w:rsid w:val="00DD61A5"/>
    <w:rsid w:val="00DD6735"/>
    <w:rsid w:val="00DD6D04"/>
    <w:rsid w:val="00DD7478"/>
    <w:rsid w:val="00DD7823"/>
    <w:rsid w:val="00DD7BC5"/>
    <w:rsid w:val="00DE08AD"/>
    <w:rsid w:val="00DE1344"/>
    <w:rsid w:val="00DE1DFB"/>
    <w:rsid w:val="00DE2F90"/>
    <w:rsid w:val="00DE3574"/>
    <w:rsid w:val="00DE360C"/>
    <w:rsid w:val="00DE3B0C"/>
    <w:rsid w:val="00DE46F8"/>
    <w:rsid w:val="00DE51E5"/>
    <w:rsid w:val="00DE5A29"/>
    <w:rsid w:val="00DE5D17"/>
    <w:rsid w:val="00DF074B"/>
    <w:rsid w:val="00DF1BC8"/>
    <w:rsid w:val="00DF2C6D"/>
    <w:rsid w:val="00DF3B6E"/>
    <w:rsid w:val="00DF3D66"/>
    <w:rsid w:val="00DF3FAB"/>
    <w:rsid w:val="00DF4E4D"/>
    <w:rsid w:val="00DF5C1B"/>
    <w:rsid w:val="00DF723A"/>
    <w:rsid w:val="00DF79B9"/>
    <w:rsid w:val="00DF79F4"/>
    <w:rsid w:val="00E01618"/>
    <w:rsid w:val="00E01A8F"/>
    <w:rsid w:val="00E04C42"/>
    <w:rsid w:val="00E05379"/>
    <w:rsid w:val="00E0556A"/>
    <w:rsid w:val="00E07E4D"/>
    <w:rsid w:val="00E107E2"/>
    <w:rsid w:val="00E12482"/>
    <w:rsid w:val="00E13349"/>
    <w:rsid w:val="00E137BF"/>
    <w:rsid w:val="00E13A1F"/>
    <w:rsid w:val="00E14B3E"/>
    <w:rsid w:val="00E14DAB"/>
    <w:rsid w:val="00E150D3"/>
    <w:rsid w:val="00E1541D"/>
    <w:rsid w:val="00E1604C"/>
    <w:rsid w:val="00E164A4"/>
    <w:rsid w:val="00E170A3"/>
    <w:rsid w:val="00E20F1F"/>
    <w:rsid w:val="00E215F7"/>
    <w:rsid w:val="00E22849"/>
    <w:rsid w:val="00E2349A"/>
    <w:rsid w:val="00E2372C"/>
    <w:rsid w:val="00E24058"/>
    <w:rsid w:val="00E25B61"/>
    <w:rsid w:val="00E264A1"/>
    <w:rsid w:val="00E2667A"/>
    <w:rsid w:val="00E27E63"/>
    <w:rsid w:val="00E31F4D"/>
    <w:rsid w:val="00E33462"/>
    <w:rsid w:val="00E335FE"/>
    <w:rsid w:val="00E339C2"/>
    <w:rsid w:val="00E33A56"/>
    <w:rsid w:val="00E344C8"/>
    <w:rsid w:val="00E3455A"/>
    <w:rsid w:val="00E35C17"/>
    <w:rsid w:val="00E36255"/>
    <w:rsid w:val="00E36B4B"/>
    <w:rsid w:val="00E379D4"/>
    <w:rsid w:val="00E37A9C"/>
    <w:rsid w:val="00E40463"/>
    <w:rsid w:val="00E40880"/>
    <w:rsid w:val="00E409FD"/>
    <w:rsid w:val="00E41048"/>
    <w:rsid w:val="00E4393E"/>
    <w:rsid w:val="00E43A6D"/>
    <w:rsid w:val="00E43C22"/>
    <w:rsid w:val="00E4556B"/>
    <w:rsid w:val="00E457F5"/>
    <w:rsid w:val="00E4607F"/>
    <w:rsid w:val="00E46608"/>
    <w:rsid w:val="00E47E75"/>
    <w:rsid w:val="00E50100"/>
    <w:rsid w:val="00E50819"/>
    <w:rsid w:val="00E51949"/>
    <w:rsid w:val="00E51E3C"/>
    <w:rsid w:val="00E546B4"/>
    <w:rsid w:val="00E556EE"/>
    <w:rsid w:val="00E55ACA"/>
    <w:rsid w:val="00E55B74"/>
    <w:rsid w:val="00E56E3E"/>
    <w:rsid w:val="00E61A9E"/>
    <w:rsid w:val="00E61C0A"/>
    <w:rsid w:val="00E63CAD"/>
    <w:rsid w:val="00E65FCF"/>
    <w:rsid w:val="00E66557"/>
    <w:rsid w:val="00E66C76"/>
    <w:rsid w:val="00E66F59"/>
    <w:rsid w:val="00E706C2"/>
    <w:rsid w:val="00E70EDF"/>
    <w:rsid w:val="00E71155"/>
    <w:rsid w:val="00E72637"/>
    <w:rsid w:val="00E75518"/>
    <w:rsid w:val="00E7574F"/>
    <w:rsid w:val="00E8086A"/>
    <w:rsid w:val="00E80DFC"/>
    <w:rsid w:val="00E81D2D"/>
    <w:rsid w:val="00E81DFF"/>
    <w:rsid w:val="00E83173"/>
    <w:rsid w:val="00E832D7"/>
    <w:rsid w:val="00E8441E"/>
    <w:rsid w:val="00E903AC"/>
    <w:rsid w:val="00E904A8"/>
    <w:rsid w:val="00E906F1"/>
    <w:rsid w:val="00E9179D"/>
    <w:rsid w:val="00E91A1B"/>
    <w:rsid w:val="00E92155"/>
    <w:rsid w:val="00E93371"/>
    <w:rsid w:val="00E938E9"/>
    <w:rsid w:val="00E964C4"/>
    <w:rsid w:val="00E97385"/>
    <w:rsid w:val="00E9766F"/>
    <w:rsid w:val="00EA0257"/>
    <w:rsid w:val="00EA0EC2"/>
    <w:rsid w:val="00EA16C5"/>
    <w:rsid w:val="00EA2933"/>
    <w:rsid w:val="00EA2A04"/>
    <w:rsid w:val="00EA2DC5"/>
    <w:rsid w:val="00EA3EF3"/>
    <w:rsid w:val="00EA5D29"/>
    <w:rsid w:val="00EA60F8"/>
    <w:rsid w:val="00EA6BF8"/>
    <w:rsid w:val="00EB21C5"/>
    <w:rsid w:val="00EB21D2"/>
    <w:rsid w:val="00EB2C3E"/>
    <w:rsid w:val="00EB52A4"/>
    <w:rsid w:val="00EB5F16"/>
    <w:rsid w:val="00EB5FD2"/>
    <w:rsid w:val="00EB6746"/>
    <w:rsid w:val="00EB6D76"/>
    <w:rsid w:val="00EC06F6"/>
    <w:rsid w:val="00EC29C4"/>
    <w:rsid w:val="00EC47D9"/>
    <w:rsid w:val="00EC4D41"/>
    <w:rsid w:val="00EC4E49"/>
    <w:rsid w:val="00EC5D67"/>
    <w:rsid w:val="00EC5E40"/>
    <w:rsid w:val="00EC7A45"/>
    <w:rsid w:val="00EC7A73"/>
    <w:rsid w:val="00EC7D75"/>
    <w:rsid w:val="00EC7F61"/>
    <w:rsid w:val="00ED0805"/>
    <w:rsid w:val="00ED0AEC"/>
    <w:rsid w:val="00ED0BA6"/>
    <w:rsid w:val="00ED297E"/>
    <w:rsid w:val="00ED30F6"/>
    <w:rsid w:val="00ED4EEA"/>
    <w:rsid w:val="00ED5241"/>
    <w:rsid w:val="00ED6066"/>
    <w:rsid w:val="00ED67F6"/>
    <w:rsid w:val="00ED6834"/>
    <w:rsid w:val="00ED77FB"/>
    <w:rsid w:val="00EE0229"/>
    <w:rsid w:val="00EE0A10"/>
    <w:rsid w:val="00EE26D3"/>
    <w:rsid w:val="00EE2963"/>
    <w:rsid w:val="00EE2CC4"/>
    <w:rsid w:val="00EE2E2A"/>
    <w:rsid w:val="00EE3D0F"/>
    <w:rsid w:val="00EE4155"/>
    <w:rsid w:val="00EE6020"/>
    <w:rsid w:val="00EE7D5C"/>
    <w:rsid w:val="00EF0331"/>
    <w:rsid w:val="00EF18E4"/>
    <w:rsid w:val="00EF2A59"/>
    <w:rsid w:val="00EF4703"/>
    <w:rsid w:val="00EF4CBE"/>
    <w:rsid w:val="00EF57C3"/>
    <w:rsid w:val="00EF5C77"/>
    <w:rsid w:val="00EF5C83"/>
    <w:rsid w:val="00EF7CC3"/>
    <w:rsid w:val="00EF7FBF"/>
    <w:rsid w:val="00F00AD6"/>
    <w:rsid w:val="00F00C27"/>
    <w:rsid w:val="00F0147E"/>
    <w:rsid w:val="00F01761"/>
    <w:rsid w:val="00F01F3A"/>
    <w:rsid w:val="00F03B54"/>
    <w:rsid w:val="00F05169"/>
    <w:rsid w:val="00F07989"/>
    <w:rsid w:val="00F107ED"/>
    <w:rsid w:val="00F11802"/>
    <w:rsid w:val="00F11806"/>
    <w:rsid w:val="00F124C4"/>
    <w:rsid w:val="00F13532"/>
    <w:rsid w:val="00F1394B"/>
    <w:rsid w:val="00F14910"/>
    <w:rsid w:val="00F1650C"/>
    <w:rsid w:val="00F20147"/>
    <w:rsid w:val="00F209BD"/>
    <w:rsid w:val="00F22CDD"/>
    <w:rsid w:val="00F23DC0"/>
    <w:rsid w:val="00F23FC0"/>
    <w:rsid w:val="00F24C23"/>
    <w:rsid w:val="00F24C7A"/>
    <w:rsid w:val="00F24D78"/>
    <w:rsid w:val="00F25375"/>
    <w:rsid w:val="00F3034E"/>
    <w:rsid w:val="00F31103"/>
    <w:rsid w:val="00F3408D"/>
    <w:rsid w:val="00F344AF"/>
    <w:rsid w:val="00F35032"/>
    <w:rsid w:val="00F3508D"/>
    <w:rsid w:val="00F356DE"/>
    <w:rsid w:val="00F36F1D"/>
    <w:rsid w:val="00F36FD2"/>
    <w:rsid w:val="00F400DF"/>
    <w:rsid w:val="00F406E2"/>
    <w:rsid w:val="00F40FB2"/>
    <w:rsid w:val="00F42830"/>
    <w:rsid w:val="00F42B87"/>
    <w:rsid w:val="00F431C7"/>
    <w:rsid w:val="00F437FB"/>
    <w:rsid w:val="00F44117"/>
    <w:rsid w:val="00F4484F"/>
    <w:rsid w:val="00F44C66"/>
    <w:rsid w:val="00F467FA"/>
    <w:rsid w:val="00F4786B"/>
    <w:rsid w:val="00F47D54"/>
    <w:rsid w:val="00F502D8"/>
    <w:rsid w:val="00F506D5"/>
    <w:rsid w:val="00F509AC"/>
    <w:rsid w:val="00F50F21"/>
    <w:rsid w:val="00F51957"/>
    <w:rsid w:val="00F54DE6"/>
    <w:rsid w:val="00F564E9"/>
    <w:rsid w:val="00F576C4"/>
    <w:rsid w:val="00F60177"/>
    <w:rsid w:val="00F604EB"/>
    <w:rsid w:val="00F64473"/>
    <w:rsid w:val="00F65098"/>
    <w:rsid w:val="00F66152"/>
    <w:rsid w:val="00F70081"/>
    <w:rsid w:val="00F72134"/>
    <w:rsid w:val="00F7239C"/>
    <w:rsid w:val="00F72D3F"/>
    <w:rsid w:val="00F73AA8"/>
    <w:rsid w:val="00F73D47"/>
    <w:rsid w:val="00F73D75"/>
    <w:rsid w:val="00F73F64"/>
    <w:rsid w:val="00F73FA6"/>
    <w:rsid w:val="00F74CD2"/>
    <w:rsid w:val="00F74E0F"/>
    <w:rsid w:val="00F75827"/>
    <w:rsid w:val="00F76301"/>
    <w:rsid w:val="00F771EA"/>
    <w:rsid w:val="00F77A7B"/>
    <w:rsid w:val="00F80376"/>
    <w:rsid w:val="00F82FCB"/>
    <w:rsid w:val="00F83A3C"/>
    <w:rsid w:val="00F83F8E"/>
    <w:rsid w:val="00F84420"/>
    <w:rsid w:val="00F84E0D"/>
    <w:rsid w:val="00F84FA5"/>
    <w:rsid w:val="00F869EF"/>
    <w:rsid w:val="00F86BA6"/>
    <w:rsid w:val="00F87AF9"/>
    <w:rsid w:val="00F87BA2"/>
    <w:rsid w:val="00F90918"/>
    <w:rsid w:val="00F90D5C"/>
    <w:rsid w:val="00F92AC8"/>
    <w:rsid w:val="00F94112"/>
    <w:rsid w:val="00F95622"/>
    <w:rsid w:val="00F95EFD"/>
    <w:rsid w:val="00F96E50"/>
    <w:rsid w:val="00F970AF"/>
    <w:rsid w:val="00FA0F36"/>
    <w:rsid w:val="00FA143D"/>
    <w:rsid w:val="00FA2315"/>
    <w:rsid w:val="00FA2E6C"/>
    <w:rsid w:val="00FA469B"/>
    <w:rsid w:val="00FA4765"/>
    <w:rsid w:val="00FA4C28"/>
    <w:rsid w:val="00FA5B85"/>
    <w:rsid w:val="00FB1736"/>
    <w:rsid w:val="00FB1BAF"/>
    <w:rsid w:val="00FB1E84"/>
    <w:rsid w:val="00FB2363"/>
    <w:rsid w:val="00FB2AE8"/>
    <w:rsid w:val="00FB3268"/>
    <w:rsid w:val="00FB3C35"/>
    <w:rsid w:val="00FB3C9C"/>
    <w:rsid w:val="00FB4A33"/>
    <w:rsid w:val="00FB4A9D"/>
    <w:rsid w:val="00FB505A"/>
    <w:rsid w:val="00FB57BC"/>
    <w:rsid w:val="00FB792D"/>
    <w:rsid w:val="00FC142C"/>
    <w:rsid w:val="00FC19EA"/>
    <w:rsid w:val="00FC1B1B"/>
    <w:rsid w:val="00FC2B4B"/>
    <w:rsid w:val="00FC2BA5"/>
    <w:rsid w:val="00FC2D1F"/>
    <w:rsid w:val="00FC2D41"/>
    <w:rsid w:val="00FC33E2"/>
    <w:rsid w:val="00FC4070"/>
    <w:rsid w:val="00FC5A19"/>
    <w:rsid w:val="00FC6245"/>
    <w:rsid w:val="00FD087E"/>
    <w:rsid w:val="00FD0C06"/>
    <w:rsid w:val="00FD0E0A"/>
    <w:rsid w:val="00FD4186"/>
    <w:rsid w:val="00FD4FDB"/>
    <w:rsid w:val="00FE0760"/>
    <w:rsid w:val="00FE0D53"/>
    <w:rsid w:val="00FE1252"/>
    <w:rsid w:val="00FE31BB"/>
    <w:rsid w:val="00FE4ADA"/>
    <w:rsid w:val="00FE4C37"/>
    <w:rsid w:val="00FE5849"/>
    <w:rsid w:val="00FE6D6C"/>
    <w:rsid w:val="00FE718D"/>
    <w:rsid w:val="00FE7298"/>
    <w:rsid w:val="00FF02FB"/>
    <w:rsid w:val="00FF037F"/>
    <w:rsid w:val="00FF0529"/>
    <w:rsid w:val="00FF06CF"/>
    <w:rsid w:val="00FF135C"/>
    <w:rsid w:val="00FF2A39"/>
    <w:rsid w:val="00FF2DD8"/>
    <w:rsid w:val="00FF35DD"/>
    <w:rsid w:val="00FF3CDE"/>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C0AC5C64-E112-4D66-AB2D-0AA42DE7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53C"/>
    <w:rPr>
      <w:rFonts w:ascii="Arial" w:eastAsia="SimSun" w:hAnsi="Arial" w:cs="Arial"/>
      <w:sz w:val="22"/>
      <w:lang w:val="fr-CH"/>
    </w:rPr>
  </w:style>
  <w:style w:type="paragraph" w:styleId="Heading1">
    <w:name w:val="heading 1"/>
    <w:basedOn w:val="Normal"/>
    <w:next w:val="Normal"/>
    <w:qFormat/>
    <w:rsid w:val="00D9753C"/>
    <w:pPr>
      <w:keepNext/>
      <w:numPr>
        <w:numId w:val="24"/>
      </w:numPr>
      <w:spacing w:before="240" w:after="60"/>
      <w:outlineLvl w:val="0"/>
    </w:pPr>
    <w:rPr>
      <w:b/>
      <w:bCs/>
      <w:caps/>
      <w:kern w:val="32"/>
      <w:szCs w:val="32"/>
    </w:rPr>
  </w:style>
  <w:style w:type="paragraph" w:styleId="Heading2">
    <w:name w:val="heading 2"/>
    <w:basedOn w:val="Normal"/>
    <w:next w:val="Normal"/>
    <w:qFormat/>
    <w:rsid w:val="00D9753C"/>
    <w:pPr>
      <w:keepNext/>
      <w:numPr>
        <w:ilvl w:val="1"/>
        <w:numId w:val="24"/>
      </w:numPr>
      <w:spacing w:before="240" w:after="60"/>
      <w:outlineLvl w:val="1"/>
    </w:pPr>
    <w:rPr>
      <w:bCs/>
      <w:iCs/>
      <w:szCs w:val="28"/>
      <w:u w:val="single"/>
    </w:rPr>
  </w:style>
  <w:style w:type="paragraph" w:styleId="Heading3">
    <w:name w:val="heading 3"/>
    <w:basedOn w:val="Normal"/>
    <w:next w:val="Normal"/>
    <w:qFormat/>
    <w:rsid w:val="00D9753C"/>
    <w:pPr>
      <w:keepNext/>
      <w:spacing w:before="240" w:after="60"/>
      <w:ind w:left="567"/>
      <w:outlineLvl w:val="2"/>
    </w:pPr>
    <w:rPr>
      <w:bCs/>
      <w:i/>
      <w:szCs w:val="26"/>
    </w:rPr>
  </w:style>
  <w:style w:type="paragraph" w:styleId="Heading4">
    <w:name w:val="heading 4"/>
    <w:basedOn w:val="Normal"/>
    <w:next w:val="Normal"/>
    <w:link w:val="Heading4Char"/>
    <w:qFormat/>
    <w:rsid w:val="00D9753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D9753C"/>
    <w:pPr>
      <w:ind w:left="5534"/>
    </w:pPr>
    <w:rPr>
      <w:lang w:val="en-US"/>
    </w:rPr>
  </w:style>
  <w:style w:type="paragraph" w:styleId="Footer">
    <w:name w:val="footer"/>
    <w:basedOn w:val="Normal"/>
    <w:semiHidden/>
    <w:rsid w:val="00D9753C"/>
    <w:pPr>
      <w:tabs>
        <w:tab w:val="center" w:pos="4320"/>
        <w:tab w:val="right" w:pos="8640"/>
      </w:tabs>
    </w:pPr>
  </w:style>
  <w:style w:type="paragraph" w:styleId="EndnoteText">
    <w:name w:val="endnote text"/>
    <w:basedOn w:val="Normal"/>
    <w:semiHidden/>
    <w:rsid w:val="00D9753C"/>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D9753C"/>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D9753C"/>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eastAsia="en-US"/>
    </w:rPr>
  </w:style>
  <w:style w:type="paragraph" w:customStyle="1" w:styleId="Style1">
    <w:name w:val="Style1"/>
    <w:basedOn w:val="Heading1"/>
    <w:rsid w:val="00BE1B67"/>
    <w:pPr>
      <w:numPr>
        <w:numId w:val="0"/>
      </w:numPr>
    </w:pPr>
    <w:rPr>
      <w:szCs w:val="22"/>
    </w:rPr>
  </w:style>
  <w:style w:type="paragraph" w:customStyle="1" w:styleId="Style2">
    <w:name w:val="Style2"/>
    <w:basedOn w:val="Heading1"/>
    <w:rsid w:val="00BE1B67"/>
    <w:pPr>
      <w:numPr>
        <w:numId w:val="0"/>
      </w:numPr>
    </w:pPr>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D9753C"/>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53C"/>
    <w:pPr>
      <w:ind w:left="720"/>
      <w:contextualSpacing/>
    </w:pPr>
  </w:style>
  <w:style w:type="character" w:customStyle="1" w:styleId="FootnoteTextChar">
    <w:name w:val="Footnote Text Char"/>
    <w:link w:val="FootnoteText"/>
    <w:semiHidden/>
    <w:locked/>
    <w:rsid w:val="000E3A59"/>
    <w:rPr>
      <w:rFonts w:ascii="Arial" w:eastAsia="SimSun" w:hAnsi="Arial" w:cs="Arial"/>
      <w:sz w:val="18"/>
      <w:lang w:val="fr-CH"/>
    </w:rPr>
  </w:style>
  <w:style w:type="character" w:customStyle="1" w:styleId="Endofdocument-AnnexChar">
    <w:name w:val="[End of document - Annex] Char"/>
    <w:link w:val="Endofdocument-Annex"/>
    <w:rsid w:val="00E409FD"/>
    <w:rPr>
      <w:rFonts w:ascii="Arial" w:eastAsia="SimSun" w:hAnsi="Arial" w:cs="Arial"/>
      <w:sz w:val="22"/>
    </w:rPr>
  </w:style>
  <w:style w:type="paragraph" w:customStyle="1" w:styleId="ONUME">
    <w:name w:val="ONUM E"/>
    <w:basedOn w:val="BodyText"/>
    <w:link w:val="ONUMEChar"/>
    <w:rsid w:val="00D9753C"/>
    <w:pPr>
      <w:numPr>
        <w:numId w:val="21"/>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D9753C"/>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lang w:val="fr-CH"/>
    </w:rPr>
  </w:style>
  <w:style w:type="character" w:customStyle="1" w:styleId="BodyTextChar">
    <w:name w:val="Body Text Char"/>
    <w:link w:val="BodyText"/>
    <w:rsid w:val="003A540B"/>
    <w:rPr>
      <w:rFonts w:ascii="Arial" w:eastAsia="SimSun" w:hAnsi="Arial" w:cs="Arial"/>
      <w:sz w:val="22"/>
      <w:lang w:val="fr-CH"/>
    </w:rPr>
  </w:style>
  <w:style w:type="character" w:customStyle="1" w:styleId="ONUMEChar">
    <w:name w:val="ONUM E Char"/>
    <w:link w:val="ONUME"/>
    <w:rsid w:val="003A540B"/>
    <w:rPr>
      <w:rFonts w:ascii="Arial" w:eastAsia="SimSun" w:hAnsi="Arial" w:cs="Arial"/>
      <w:sz w:val="22"/>
      <w:lang w:val="fr-CH"/>
    </w:rPr>
  </w:style>
  <w:style w:type="paragraph" w:styleId="TOCHeading">
    <w:name w:val="TOC Heading"/>
    <w:basedOn w:val="Heading1"/>
    <w:next w:val="Normal"/>
    <w:uiPriority w:val="39"/>
    <w:semiHidden/>
    <w:unhideWhenUsed/>
    <w:qFormat/>
    <w:rsid w:val="00540991"/>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02E83"/>
    <w:pPr>
      <w:tabs>
        <w:tab w:val="left" w:pos="425"/>
        <w:tab w:val="right" w:leader="dot" w:pos="9356"/>
      </w:tabs>
      <w:spacing w:before="60" w:after="60"/>
      <w:ind w:left="1134" w:hanging="567"/>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D9753C"/>
    <w:pPr>
      <w:numPr>
        <w:numId w:val="20"/>
      </w:numPr>
    </w:pPr>
  </w:style>
  <w:style w:type="paragraph" w:styleId="TOC1">
    <w:name w:val="toc 1"/>
    <w:basedOn w:val="Normal"/>
    <w:next w:val="Normal"/>
    <w:autoRedefine/>
    <w:uiPriority w:val="39"/>
    <w:rsid w:val="00002E83"/>
    <w:pPr>
      <w:tabs>
        <w:tab w:val="left" w:pos="567"/>
        <w:tab w:val="right" w:leader="dot" w:pos="9345"/>
      </w:tabs>
      <w:spacing w:after="60"/>
    </w:pPr>
    <w:rPr>
      <w:caps/>
      <w:noProof/>
    </w:rPr>
  </w:style>
  <w:style w:type="paragraph" w:styleId="Revision">
    <w:name w:val="Revision"/>
    <w:hidden/>
    <w:uiPriority w:val="99"/>
    <w:semiHidden/>
    <w:rsid w:val="00647FF3"/>
    <w:rPr>
      <w:rFonts w:ascii="Arial" w:hAnsi="Arial"/>
      <w:sz w:val="22"/>
      <w:lang w:eastAsia="en-US"/>
    </w:rPr>
  </w:style>
  <w:style w:type="paragraph" w:customStyle="1" w:styleId="Normal1">
    <w:name w:val="Normal1"/>
    <w:basedOn w:val="Normal"/>
    <w:rsid w:val="00813C97"/>
    <w:pPr>
      <w:spacing w:after="160" w:line="240" w:lineRule="atLeast"/>
    </w:pPr>
    <w:rPr>
      <w:rFonts w:ascii="Calibri" w:hAnsi="Calibri" w:cs="Calibri"/>
      <w:szCs w:val="22"/>
    </w:rPr>
  </w:style>
  <w:style w:type="character" w:customStyle="1" w:styleId="normalchar1">
    <w:name w:val="normal__char1"/>
    <w:rsid w:val="00813C97"/>
    <w:rPr>
      <w:rFonts w:ascii="Calibri" w:hAnsi="Calibri" w:cs="Calibri" w:hint="default"/>
      <w:sz w:val="22"/>
      <w:szCs w:val="22"/>
    </w:rPr>
  </w:style>
  <w:style w:type="paragraph" w:styleId="Caption">
    <w:name w:val="caption"/>
    <w:basedOn w:val="Normal"/>
    <w:next w:val="Normal"/>
    <w:qFormat/>
    <w:rsid w:val="00D9753C"/>
    <w:rPr>
      <w:b/>
      <w:bCs/>
      <w:sz w:val="18"/>
    </w:rPr>
  </w:style>
  <w:style w:type="character" w:customStyle="1" w:styleId="Heading4Char">
    <w:name w:val="Heading 4 Char"/>
    <w:basedOn w:val="DefaultParagraphFont"/>
    <w:link w:val="Heading4"/>
    <w:rsid w:val="00D9753C"/>
    <w:rPr>
      <w:rFonts w:ascii="Arial" w:eastAsia="SimSun" w:hAnsi="Arial" w:cs="Arial"/>
      <w:bCs/>
      <w:i/>
      <w:sz w:val="22"/>
      <w:szCs w:val="28"/>
      <w:lang w:val="fr-CH"/>
    </w:rPr>
  </w:style>
  <w:style w:type="paragraph" w:customStyle="1" w:styleId="Meetingplacedate">
    <w:name w:val="Meeting place &amp; date"/>
    <w:basedOn w:val="Normal"/>
    <w:next w:val="Normal"/>
    <w:rsid w:val="00D9753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9753C"/>
    <w:pPr>
      <w:spacing w:line="336" w:lineRule="exact"/>
      <w:ind w:left="1021"/>
    </w:pPr>
    <w:rPr>
      <w:rFonts w:eastAsia="Times New Roman" w:cs="Times New Roman"/>
      <w:b/>
      <w:sz w:val="28"/>
      <w:lang w:val="fr-FR" w:eastAsia="en-US"/>
    </w:rPr>
  </w:style>
  <w:style w:type="paragraph" w:customStyle="1" w:styleId="ONUMFS">
    <w:name w:val="ONUM FS"/>
    <w:basedOn w:val="BodyText"/>
    <w:rsid w:val="00D9753C"/>
    <w:pPr>
      <w:numPr>
        <w:numId w:val="22"/>
      </w:numPr>
    </w:pPr>
  </w:style>
  <w:style w:type="paragraph" w:styleId="Salutation">
    <w:name w:val="Salutation"/>
    <w:basedOn w:val="Normal"/>
    <w:next w:val="Normal"/>
    <w:link w:val="SalutationChar"/>
    <w:rsid w:val="00D9753C"/>
  </w:style>
  <w:style w:type="character" w:customStyle="1" w:styleId="SalutationChar">
    <w:name w:val="Salutation Char"/>
    <w:basedOn w:val="DefaultParagraphFont"/>
    <w:link w:val="Salutation"/>
    <w:rsid w:val="00D9753C"/>
    <w:rPr>
      <w:rFonts w:ascii="Arial" w:eastAsia="SimSun" w:hAnsi="Arial" w:cs="Arial"/>
      <w:sz w:val="22"/>
      <w:lang w:val="fr-CH"/>
    </w:rPr>
  </w:style>
  <w:style w:type="paragraph" w:styleId="Signature">
    <w:name w:val="Signature"/>
    <w:basedOn w:val="Normal"/>
    <w:link w:val="SignatureChar"/>
    <w:rsid w:val="00D9753C"/>
    <w:pPr>
      <w:ind w:left="5250"/>
    </w:pPr>
  </w:style>
  <w:style w:type="character" w:customStyle="1" w:styleId="SignatureChar">
    <w:name w:val="Signature Char"/>
    <w:basedOn w:val="DefaultParagraphFont"/>
    <w:link w:val="Signature"/>
    <w:rsid w:val="00D9753C"/>
    <w:rPr>
      <w:rFonts w:ascii="Arial" w:eastAsia="SimSun" w:hAnsi="Arial" w:cs="Arial"/>
      <w:sz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03128249">
      <w:bodyDiv w:val="1"/>
      <w:marLeft w:val="0"/>
      <w:marRight w:val="0"/>
      <w:marTop w:val="0"/>
      <w:marBottom w:val="0"/>
      <w:divBdr>
        <w:top w:val="none" w:sz="0" w:space="0" w:color="auto"/>
        <w:left w:val="none" w:sz="0" w:space="0" w:color="auto"/>
        <w:bottom w:val="none" w:sz="0" w:space="0" w:color="auto"/>
        <w:right w:val="none" w:sz="0" w:space="0" w:color="auto"/>
      </w:divBdr>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4DAC-ACF0-47FF-B286-2BA3A304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5009</Words>
  <Characters>26973</Characters>
  <Application>Microsoft Office Word</Application>
  <DocSecurity>0</DocSecurity>
  <Lines>520</Lines>
  <Paragraphs>145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WO/PBC/18</vt:lpstr>
      <vt:lpstr>WO/PBC/18</vt:lpstr>
      <vt:lpstr>WO/PBC/18</vt:lpstr>
    </vt:vector>
  </TitlesOfParts>
  <Company>WIPO</Company>
  <LinksUpToDate>false</LinksUpToDate>
  <CharactersWithSpaces>31947</CharactersWithSpaces>
  <SharedDoc>false</SharedDoc>
  <HLinks>
    <vt:vector size="72" baseType="variant">
      <vt:variant>
        <vt:i4>1769524</vt:i4>
      </vt:variant>
      <vt:variant>
        <vt:i4>68</vt:i4>
      </vt:variant>
      <vt:variant>
        <vt:i4>0</vt:i4>
      </vt:variant>
      <vt:variant>
        <vt:i4>5</vt:i4>
      </vt:variant>
      <vt:variant>
        <vt:lpwstr/>
      </vt:variant>
      <vt:variant>
        <vt:lpwstr>_Toc519088051</vt:lpwstr>
      </vt:variant>
      <vt:variant>
        <vt:i4>1769524</vt:i4>
      </vt:variant>
      <vt:variant>
        <vt:i4>62</vt:i4>
      </vt:variant>
      <vt:variant>
        <vt:i4>0</vt:i4>
      </vt:variant>
      <vt:variant>
        <vt:i4>5</vt:i4>
      </vt:variant>
      <vt:variant>
        <vt:lpwstr/>
      </vt:variant>
      <vt:variant>
        <vt:lpwstr>_Toc519088050</vt:lpwstr>
      </vt:variant>
      <vt:variant>
        <vt:i4>1703988</vt:i4>
      </vt:variant>
      <vt:variant>
        <vt:i4>56</vt:i4>
      </vt:variant>
      <vt:variant>
        <vt:i4>0</vt:i4>
      </vt:variant>
      <vt:variant>
        <vt:i4>5</vt:i4>
      </vt:variant>
      <vt:variant>
        <vt:lpwstr/>
      </vt:variant>
      <vt:variant>
        <vt:lpwstr>_Toc519088049</vt:lpwstr>
      </vt:variant>
      <vt:variant>
        <vt:i4>1703988</vt:i4>
      </vt:variant>
      <vt:variant>
        <vt:i4>50</vt:i4>
      </vt:variant>
      <vt:variant>
        <vt:i4>0</vt:i4>
      </vt:variant>
      <vt:variant>
        <vt:i4>5</vt:i4>
      </vt:variant>
      <vt:variant>
        <vt:lpwstr/>
      </vt:variant>
      <vt:variant>
        <vt:lpwstr>_Toc519088048</vt:lpwstr>
      </vt:variant>
      <vt:variant>
        <vt:i4>1703988</vt:i4>
      </vt:variant>
      <vt:variant>
        <vt:i4>44</vt:i4>
      </vt:variant>
      <vt:variant>
        <vt:i4>0</vt:i4>
      </vt:variant>
      <vt:variant>
        <vt:i4>5</vt:i4>
      </vt:variant>
      <vt:variant>
        <vt:lpwstr/>
      </vt:variant>
      <vt:variant>
        <vt:lpwstr>_Toc519088047</vt:lpwstr>
      </vt:variant>
      <vt:variant>
        <vt:i4>1703988</vt:i4>
      </vt:variant>
      <vt:variant>
        <vt:i4>38</vt:i4>
      </vt:variant>
      <vt:variant>
        <vt:i4>0</vt:i4>
      </vt:variant>
      <vt:variant>
        <vt:i4>5</vt:i4>
      </vt:variant>
      <vt:variant>
        <vt:lpwstr/>
      </vt:variant>
      <vt:variant>
        <vt:lpwstr>_Toc519088046</vt:lpwstr>
      </vt:variant>
      <vt:variant>
        <vt:i4>1703988</vt:i4>
      </vt:variant>
      <vt:variant>
        <vt:i4>32</vt:i4>
      </vt:variant>
      <vt:variant>
        <vt:i4>0</vt:i4>
      </vt:variant>
      <vt:variant>
        <vt:i4>5</vt:i4>
      </vt:variant>
      <vt:variant>
        <vt:lpwstr/>
      </vt:variant>
      <vt:variant>
        <vt:lpwstr>_Toc519088045</vt:lpwstr>
      </vt:variant>
      <vt:variant>
        <vt:i4>1703988</vt:i4>
      </vt:variant>
      <vt:variant>
        <vt:i4>26</vt:i4>
      </vt:variant>
      <vt:variant>
        <vt:i4>0</vt:i4>
      </vt:variant>
      <vt:variant>
        <vt:i4>5</vt:i4>
      </vt:variant>
      <vt:variant>
        <vt:lpwstr/>
      </vt:variant>
      <vt:variant>
        <vt:lpwstr>_Toc519088044</vt:lpwstr>
      </vt:variant>
      <vt:variant>
        <vt:i4>1703988</vt:i4>
      </vt:variant>
      <vt:variant>
        <vt:i4>20</vt:i4>
      </vt:variant>
      <vt:variant>
        <vt:i4>0</vt:i4>
      </vt:variant>
      <vt:variant>
        <vt:i4>5</vt:i4>
      </vt:variant>
      <vt:variant>
        <vt:lpwstr/>
      </vt:variant>
      <vt:variant>
        <vt:lpwstr>_Toc519088043</vt:lpwstr>
      </vt:variant>
      <vt:variant>
        <vt:i4>1703988</vt:i4>
      </vt:variant>
      <vt:variant>
        <vt:i4>14</vt:i4>
      </vt:variant>
      <vt:variant>
        <vt:i4>0</vt:i4>
      </vt:variant>
      <vt:variant>
        <vt:i4>5</vt:i4>
      </vt:variant>
      <vt:variant>
        <vt:lpwstr/>
      </vt:variant>
      <vt:variant>
        <vt:lpwstr>_Toc519088042</vt:lpwstr>
      </vt:variant>
      <vt:variant>
        <vt:i4>1703988</vt:i4>
      </vt:variant>
      <vt:variant>
        <vt:i4>8</vt:i4>
      </vt:variant>
      <vt:variant>
        <vt:i4>0</vt:i4>
      </vt:variant>
      <vt:variant>
        <vt:i4>5</vt:i4>
      </vt:variant>
      <vt:variant>
        <vt:lpwstr/>
      </vt:variant>
      <vt:variant>
        <vt:lpwstr>_Toc519088041</vt:lpwstr>
      </vt:variant>
      <vt:variant>
        <vt:i4>1703988</vt:i4>
      </vt:variant>
      <vt:variant>
        <vt:i4>2</vt:i4>
      </vt:variant>
      <vt:variant>
        <vt:i4>0</vt:i4>
      </vt:variant>
      <vt:variant>
        <vt:i4>5</vt:i4>
      </vt:variant>
      <vt:variant>
        <vt:lpwstr/>
      </vt:variant>
      <vt:variant>
        <vt:lpwstr>_Toc519088040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subject/>
  <dc:creator>Lander</dc:creator>
  <cp:keywords>PUBLIC</cp:keywords>
  <cp:lastModifiedBy>HÄFLIGER Patience</cp:lastModifiedBy>
  <cp:revision>5</cp:revision>
  <cp:lastPrinted>2019-07-03T06:55:00Z</cp:lastPrinted>
  <dcterms:created xsi:type="dcterms:W3CDTF">2019-07-09T15:21:00Z</dcterms:created>
  <dcterms:modified xsi:type="dcterms:W3CDTF">2019-08-13T13:42:00Z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y fmtid="{D5CDD505-2E9C-101B-9397-08002B2CF9AE}" pid="3" name="TitusGUID">
    <vt:lpwstr>1147267f-4047-4e2f-b3fd-d0544f3a3abb</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