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142" w:rsidRPr="00123893" w:rsidRDefault="00F42142" w:rsidP="00F42142">
      <w:pPr>
        <w:widowControl w:val="0"/>
        <w:jc w:val="right"/>
        <w:rPr>
          <w:b/>
          <w:sz w:val="2"/>
          <w:szCs w:val="40"/>
        </w:rPr>
      </w:pPr>
      <w:bookmarkStart w:id="0" w:name="TitleOfDoc"/>
      <w:bookmarkStart w:id="1" w:name="_GoBack"/>
      <w:bookmarkEnd w:id="0"/>
      <w:bookmarkEnd w:id="1"/>
      <w:r>
        <w:rPr>
          <w:b/>
          <w:sz w:val="40"/>
          <w:szCs w:val="40"/>
        </w:rPr>
        <w:t>F</w:t>
      </w:r>
    </w:p>
    <w:p w:rsidR="00F42142" w:rsidRDefault="00F42142" w:rsidP="00F42142">
      <w:pPr>
        <w:spacing w:line="360" w:lineRule="auto"/>
        <w:ind w:left="4592"/>
        <w:rPr>
          <w:rFonts w:ascii="Arial Black" w:hAnsi="Arial Black"/>
          <w:caps/>
          <w:sz w:val="15"/>
        </w:rPr>
      </w:pPr>
      <w:r>
        <w:rPr>
          <w:noProof/>
          <w:lang w:eastAsia="en-US"/>
        </w:rPr>
        <w:drawing>
          <wp:inline distT="0" distB="0" distL="0" distR="0" wp14:anchorId="1D352557" wp14:editId="1AE632A8">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F42142" w:rsidRPr="008C3AF7" w:rsidRDefault="00F42142" w:rsidP="00F42142">
      <w:pPr>
        <w:pBdr>
          <w:top w:val="single" w:sz="4" w:space="10" w:color="auto"/>
        </w:pBdr>
        <w:spacing w:before="120"/>
        <w:jc w:val="right"/>
        <w:rPr>
          <w:rFonts w:ascii="Arial Black" w:hAnsi="Arial Black"/>
          <w:b/>
          <w:caps/>
          <w:sz w:val="15"/>
          <w:lang w:val="fr-CH"/>
        </w:rPr>
      </w:pPr>
      <w:r>
        <w:rPr>
          <w:rFonts w:ascii="Arial Black" w:hAnsi="Arial Black"/>
          <w:b/>
          <w:caps/>
          <w:sz w:val="15"/>
          <w:lang w:val="fr-CH"/>
        </w:rPr>
        <w:t>WO/GA/50</w:t>
      </w:r>
      <w:r w:rsidRPr="008C3AF7">
        <w:rPr>
          <w:rFonts w:ascii="Arial Black" w:hAnsi="Arial Black"/>
          <w:b/>
          <w:caps/>
          <w:sz w:val="15"/>
          <w:lang w:val="fr-CH"/>
        </w:rPr>
        <w:t>/</w:t>
      </w:r>
      <w:bookmarkStart w:id="2" w:name="Code"/>
      <w:bookmarkEnd w:id="2"/>
      <w:r>
        <w:rPr>
          <w:rFonts w:ascii="Arial Black" w:hAnsi="Arial Black"/>
          <w:b/>
          <w:caps/>
          <w:sz w:val="15"/>
          <w:lang w:val="fr-CH"/>
        </w:rPr>
        <w:t>10</w:t>
      </w:r>
    </w:p>
    <w:p w:rsidR="00F42142" w:rsidRPr="008C3AF7" w:rsidRDefault="00F42142" w:rsidP="00F42142">
      <w:pPr>
        <w:jc w:val="right"/>
        <w:rPr>
          <w:rFonts w:ascii="Arial Black" w:hAnsi="Arial Black"/>
          <w:b/>
          <w:caps/>
          <w:sz w:val="15"/>
          <w:lang w:val="fr-CH"/>
        </w:rPr>
      </w:pPr>
      <w:r w:rsidRPr="008C3AF7">
        <w:rPr>
          <w:rFonts w:ascii="Arial Black" w:hAnsi="Arial Black"/>
          <w:b/>
          <w:caps/>
          <w:sz w:val="15"/>
          <w:lang w:val="fr-CH"/>
        </w:rPr>
        <w:t>ORIGINAL</w:t>
      </w:r>
      <w:r w:rsidR="009B258A">
        <w:rPr>
          <w:rFonts w:ascii="Arial Black" w:hAnsi="Arial Black"/>
          <w:b/>
          <w:caps/>
          <w:sz w:val="15"/>
          <w:lang w:val="fr-CH"/>
        </w:rPr>
        <w:t> :</w:t>
      </w:r>
      <w:r>
        <w:rPr>
          <w:rFonts w:ascii="Arial Black" w:hAnsi="Arial Black"/>
          <w:b/>
          <w:caps/>
          <w:sz w:val="15"/>
          <w:lang w:val="fr-CH"/>
        </w:rPr>
        <w:t xml:space="preserve"> </w:t>
      </w:r>
      <w:bookmarkStart w:id="3" w:name="Original"/>
      <w:bookmarkEnd w:id="3"/>
      <w:r>
        <w:rPr>
          <w:rFonts w:ascii="Arial Black" w:hAnsi="Arial Black"/>
          <w:b/>
          <w:caps/>
          <w:sz w:val="15"/>
          <w:lang w:val="fr-CH"/>
        </w:rPr>
        <w:t>anglais</w:t>
      </w:r>
    </w:p>
    <w:p w:rsidR="00F42142" w:rsidRPr="008C3AF7" w:rsidRDefault="00F42142" w:rsidP="00F42142">
      <w:pPr>
        <w:spacing w:line="1680" w:lineRule="auto"/>
        <w:jc w:val="right"/>
        <w:rPr>
          <w:rFonts w:ascii="Arial Black" w:hAnsi="Arial Black"/>
          <w:b/>
          <w:caps/>
          <w:sz w:val="15"/>
          <w:lang w:val="fr-CH"/>
        </w:rPr>
      </w:pPr>
      <w:r w:rsidRPr="008C3AF7">
        <w:rPr>
          <w:rFonts w:ascii="Arial Black" w:hAnsi="Arial Black"/>
          <w:b/>
          <w:caps/>
          <w:sz w:val="15"/>
          <w:lang w:val="fr-CH"/>
        </w:rPr>
        <w:t>DATE</w:t>
      </w:r>
      <w:r w:rsidR="009B258A">
        <w:rPr>
          <w:rFonts w:ascii="Arial Black" w:hAnsi="Arial Black"/>
          <w:b/>
          <w:caps/>
          <w:sz w:val="15"/>
          <w:lang w:val="fr-CH"/>
        </w:rPr>
        <w:t> :</w:t>
      </w:r>
      <w:r>
        <w:rPr>
          <w:rFonts w:ascii="Arial Black" w:hAnsi="Arial Black"/>
          <w:b/>
          <w:caps/>
          <w:sz w:val="15"/>
          <w:lang w:val="fr-CH"/>
        </w:rPr>
        <w:t xml:space="preserve"> </w:t>
      </w:r>
      <w:bookmarkStart w:id="4" w:name="Date"/>
      <w:bookmarkEnd w:id="4"/>
      <w:r>
        <w:rPr>
          <w:rFonts w:ascii="Arial Black" w:hAnsi="Arial Black"/>
          <w:b/>
          <w:caps/>
          <w:sz w:val="15"/>
          <w:lang w:val="fr-CH"/>
        </w:rPr>
        <w:t>2</w:t>
      </w:r>
      <w:r w:rsidR="009B258A">
        <w:rPr>
          <w:rFonts w:ascii="Arial Black" w:hAnsi="Arial Black"/>
          <w:b/>
          <w:caps/>
          <w:sz w:val="15"/>
          <w:lang w:val="fr-CH"/>
        </w:rPr>
        <w:t>3 juillet 20</w:t>
      </w:r>
      <w:r>
        <w:rPr>
          <w:rFonts w:ascii="Arial Black" w:hAnsi="Arial Black"/>
          <w:b/>
          <w:caps/>
          <w:sz w:val="15"/>
          <w:lang w:val="fr-CH"/>
        </w:rPr>
        <w:t>18</w:t>
      </w:r>
    </w:p>
    <w:p w:rsidR="00F42142" w:rsidRPr="008D7588" w:rsidRDefault="00F42142" w:rsidP="00F42142">
      <w:pPr>
        <w:pStyle w:val="Heading1"/>
        <w:rPr>
          <w:sz w:val="28"/>
          <w:szCs w:val="28"/>
          <w:lang w:val="fr-CH"/>
        </w:rPr>
      </w:pPr>
      <w:r w:rsidRPr="008D7588">
        <w:rPr>
          <w:sz w:val="28"/>
          <w:szCs w:val="28"/>
          <w:lang w:val="fr-CH"/>
        </w:rPr>
        <w:t>Assemblée générale de I</w:t>
      </w:r>
      <w:r w:rsidR="009B258A" w:rsidRPr="008D7588">
        <w:rPr>
          <w:sz w:val="28"/>
          <w:szCs w:val="28"/>
          <w:lang w:val="fr-CH"/>
        </w:rPr>
        <w:t>’</w:t>
      </w:r>
      <w:r w:rsidRPr="008D7588">
        <w:rPr>
          <w:sz w:val="28"/>
          <w:szCs w:val="28"/>
          <w:lang w:val="fr-CH"/>
        </w:rPr>
        <w:t>OMPI</w:t>
      </w:r>
    </w:p>
    <w:p w:rsidR="00F42142" w:rsidRPr="008C3AF7" w:rsidRDefault="00F42142" w:rsidP="00F42142">
      <w:pPr>
        <w:spacing w:after="720"/>
        <w:rPr>
          <w:b/>
          <w:bCs/>
          <w:iCs/>
          <w:sz w:val="24"/>
          <w:lang w:val="fr-CH"/>
        </w:rPr>
      </w:pPr>
      <w:r w:rsidRPr="008C3AF7">
        <w:rPr>
          <w:b/>
          <w:bCs/>
          <w:iCs/>
          <w:sz w:val="24"/>
          <w:lang w:val="fr-CH"/>
        </w:rPr>
        <w:t>Cinquant</w:t>
      </w:r>
      <w:r w:rsidR="009B258A">
        <w:rPr>
          <w:b/>
          <w:bCs/>
          <w:iCs/>
          <w:sz w:val="24"/>
          <w:lang w:val="fr-CH"/>
        </w:rPr>
        <w:t>ième session</w:t>
      </w:r>
      <w:r w:rsidRPr="008C3AF7">
        <w:rPr>
          <w:b/>
          <w:bCs/>
          <w:iCs/>
          <w:sz w:val="24"/>
          <w:lang w:val="fr-CH"/>
        </w:rPr>
        <w:t xml:space="preserve"> (27</w:t>
      </w:r>
      <w:r w:rsidRPr="008C3AF7">
        <w:rPr>
          <w:b/>
          <w:bCs/>
          <w:iCs/>
          <w:sz w:val="24"/>
          <w:vertAlign w:val="superscript"/>
          <w:lang w:val="fr-CH"/>
        </w:rPr>
        <w:t>e</w:t>
      </w:r>
      <w:r w:rsidRPr="008C3AF7">
        <w:rPr>
          <w:b/>
          <w:bCs/>
          <w:iCs/>
          <w:sz w:val="24"/>
          <w:lang w:val="fr-CH"/>
        </w:rPr>
        <w:t xml:space="preserve"> session extraordinaire</w:t>
      </w:r>
      <w:proofErr w:type="gramStart"/>
      <w:r w:rsidRPr="008C3AF7">
        <w:rPr>
          <w:b/>
          <w:bCs/>
          <w:iCs/>
          <w:sz w:val="24"/>
          <w:lang w:val="fr-CH"/>
        </w:rPr>
        <w:t>)</w:t>
      </w:r>
      <w:proofErr w:type="gramEnd"/>
      <w:r w:rsidRPr="00217165">
        <w:rPr>
          <w:b/>
          <w:sz w:val="24"/>
          <w:lang w:val="fr-CH"/>
        </w:rPr>
        <w:br/>
      </w:r>
      <w:r w:rsidRPr="002A1C08">
        <w:rPr>
          <w:b/>
          <w:sz w:val="24"/>
          <w:lang w:val="fr-CH"/>
        </w:rPr>
        <w:t>Genève, 2</w:t>
      </w:r>
      <w:r w:rsidR="009B258A" w:rsidRPr="002A1C08">
        <w:rPr>
          <w:b/>
          <w:sz w:val="24"/>
          <w:lang w:val="fr-CH"/>
        </w:rPr>
        <w:t>4</w:t>
      </w:r>
      <w:r w:rsidR="009B258A">
        <w:rPr>
          <w:b/>
          <w:sz w:val="24"/>
          <w:lang w:val="fr-CH"/>
        </w:rPr>
        <w:t> </w:t>
      </w:r>
      <w:r w:rsidR="009B258A" w:rsidRPr="002A1C08">
        <w:rPr>
          <w:b/>
          <w:sz w:val="24"/>
          <w:lang w:val="fr-CH"/>
        </w:rPr>
        <w:t>septembre</w:t>
      </w:r>
      <w:r w:rsidRPr="002A1C08">
        <w:rPr>
          <w:b/>
          <w:sz w:val="24"/>
          <w:lang w:val="fr-CH"/>
        </w:rPr>
        <w:t xml:space="preserve"> – </w:t>
      </w:r>
      <w:r w:rsidR="009B258A" w:rsidRPr="002A1C08">
        <w:rPr>
          <w:b/>
          <w:sz w:val="24"/>
          <w:lang w:val="fr-CH"/>
        </w:rPr>
        <w:t>2</w:t>
      </w:r>
      <w:r w:rsidR="009B258A">
        <w:rPr>
          <w:b/>
          <w:sz w:val="24"/>
          <w:lang w:val="fr-CH"/>
        </w:rPr>
        <w:t> </w:t>
      </w:r>
      <w:r w:rsidR="009B258A" w:rsidRPr="002A1C08">
        <w:rPr>
          <w:b/>
          <w:sz w:val="24"/>
          <w:lang w:val="fr-CH"/>
        </w:rPr>
        <w:t>octobre</w:t>
      </w:r>
      <w:r w:rsidR="009B258A">
        <w:rPr>
          <w:b/>
          <w:sz w:val="24"/>
          <w:lang w:val="fr-CH"/>
        </w:rPr>
        <w:t> </w:t>
      </w:r>
      <w:r w:rsidR="009B258A" w:rsidRPr="002A1C08">
        <w:rPr>
          <w:b/>
          <w:sz w:val="24"/>
          <w:lang w:val="fr-CH"/>
        </w:rPr>
        <w:t>20</w:t>
      </w:r>
      <w:r w:rsidRPr="002A1C08">
        <w:rPr>
          <w:b/>
          <w:sz w:val="24"/>
          <w:lang w:val="fr-CH"/>
        </w:rPr>
        <w:t>18</w:t>
      </w:r>
    </w:p>
    <w:p w:rsidR="008670FA" w:rsidRPr="00882E58" w:rsidRDefault="004A2311" w:rsidP="009812BE">
      <w:pPr>
        <w:spacing w:after="360"/>
        <w:rPr>
          <w:caps/>
          <w:sz w:val="24"/>
          <w:lang w:val="fr-FR"/>
        </w:rPr>
      </w:pPr>
      <w:r w:rsidRPr="00882E58">
        <w:rPr>
          <w:caps/>
          <w:sz w:val="24"/>
          <w:lang w:val="fr-FR"/>
        </w:rPr>
        <w:t>Centre d</w:t>
      </w:r>
      <w:r w:rsidR="009B258A">
        <w:rPr>
          <w:caps/>
          <w:sz w:val="24"/>
          <w:lang w:val="fr-FR"/>
        </w:rPr>
        <w:t>’</w:t>
      </w:r>
      <w:r w:rsidRPr="00882E58">
        <w:rPr>
          <w:caps/>
          <w:sz w:val="24"/>
          <w:lang w:val="fr-FR"/>
        </w:rPr>
        <w:t>arbitrage et de médiation de l</w:t>
      </w:r>
      <w:r w:rsidR="009B258A">
        <w:rPr>
          <w:caps/>
          <w:sz w:val="24"/>
          <w:lang w:val="fr-FR"/>
        </w:rPr>
        <w:t>’</w:t>
      </w:r>
      <w:r w:rsidRPr="00882E58">
        <w:rPr>
          <w:caps/>
          <w:sz w:val="24"/>
          <w:lang w:val="fr-FR"/>
        </w:rPr>
        <w:t xml:space="preserve">OMPI, </w:t>
      </w:r>
      <w:r w:rsidR="009B258A">
        <w:rPr>
          <w:caps/>
          <w:sz w:val="24"/>
          <w:lang w:val="fr-FR"/>
        </w:rPr>
        <w:t>y compris</w:t>
      </w:r>
      <w:r w:rsidRPr="00882E58">
        <w:rPr>
          <w:caps/>
          <w:sz w:val="24"/>
          <w:lang w:val="fr-FR"/>
        </w:rPr>
        <w:t xml:space="preserve"> les noms de domaine</w:t>
      </w:r>
    </w:p>
    <w:p w:rsidR="008670FA" w:rsidRPr="00882E58" w:rsidRDefault="004A2311" w:rsidP="009812BE">
      <w:pPr>
        <w:spacing w:after="960"/>
        <w:rPr>
          <w:i/>
          <w:lang w:val="fr-FR"/>
        </w:rPr>
      </w:pPr>
      <w:bookmarkStart w:id="5" w:name="Prepared"/>
      <w:bookmarkEnd w:id="5"/>
      <w:r w:rsidRPr="00882E58">
        <w:rPr>
          <w:i/>
          <w:lang w:val="fr-FR"/>
        </w:rPr>
        <w:t>Document établi par le Secrétariat</w:t>
      </w:r>
    </w:p>
    <w:p w:rsidR="008670FA" w:rsidRPr="00882E58" w:rsidRDefault="004A2311" w:rsidP="00401FB8">
      <w:pPr>
        <w:pStyle w:val="ONUMFS"/>
        <w:rPr>
          <w:snapToGrid w:val="0"/>
          <w:lang w:val="fr-FR"/>
        </w:rPr>
      </w:pPr>
      <w:r w:rsidRPr="00882E58">
        <w:rPr>
          <w:snapToGrid w:val="0"/>
          <w:lang w:val="fr-FR"/>
        </w:rPr>
        <w:t>Le présent document fait le point sur les activités du Centre d</w:t>
      </w:r>
      <w:r w:rsidR="009B258A">
        <w:rPr>
          <w:snapToGrid w:val="0"/>
          <w:lang w:val="fr-FR"/>
        </w:rPr>
        <w:t>’</w:t>
      </w:r>
      <w:r w:rsidRPr="00882E58">
        <w:rPr>
          <w:snapToGrid w:val="0"/>
          <w:lang w:val="fr-FR"/>
        </w:rPr>
        <w:t>arbitrage et de médiation de l</w:t>
      </w:r>
      <w:r w:rsidR="009B258A">
        <w:rPr>
          <w:snapToGrid w:val="0"/>
          <w:lang w:val="fr-FR"/>
        </w:rPr>
        <w:t>’</w:t>
      </w:r>
      <w:r w:rsidRPr="00882E58">
        <w:rPr>
          <w:snapToGrid w:val="0"/>
          <w:lang w:val="fr-FR"/>
        </w:rPr>
        <w:t>OMPI (ci</w:t>
      </w:r>
      <w:r w:rsidR="00401FB8">
        <w:rPr>
          <w:snapToGrid w:val="0"/>
          <w:lang w:val="fr-FR"/>
        </w:rPr>
        <w:noBreakHyphen/>
      </w:r>
      <w:r w:rsidRPr="00882E58">
        <w:rPr>
          <w:snapToGrid w:val="0"/>
          <w:lang w:val="fr-FR"/>
        </w:rPr>
        <w:t xml:space="preserve">après dénommé </w:t>
      </w:r>
      <w:r w:rsidR="00882E58">
        <w:rPr>
          <w:snapToGrid w:val="0"/>
          <w:lang w:val="fr-FR"/>
        </w:rPr>
        <w:t>“</w:t>
      </w:r>
      <w:r w:rsidRPr="00882E58">
        <w:rPr>
          <w:snapToGrid w:val="0"/>
          <w:lang w:val="fr-FR"/>
        </w:rPr>
        <w:t>Centre</w:t>
      </w:r>
      <w:r w:rsidR="00882E58">
        <w:rPr>
          <w:snapToGrid w:val="0"/>
          <w:lang w:val="fr-FR"/>
        </w:rPr>
        <w:t>”</w:t>
      </w:r>
      <w:r w:rsidRPr="00882E58">
        <w:rPr>
          <w:snapToGrid w:val="0"/>
          <w:lang w:val="fr-FR"/>
        </w:rPr>
        <w:t>) en tant que prestataire international de services extrajudiciaires rapides et économiques de règlement des litiges de propriété intellectuelle, proposant à la fois des services d</w:t>
      </w:r>
      <w:r w:rsidR="009B258A">
        <w:rPr>
          <w:snapToGrid w:val="0"/>
          <w:lang w:val="fr-FR"/>
        </w:rPr>
        <w:t>’</w:t>
      </w:r>
      <w:r w:rsidRPr="00882E58">
        <w:rPr>
          <w:snapToGrid w:val="0"/>
          <w:lang w:val="fr-FR"/>
        </w:rPr>
        <w:t>administration de litiges et des services d</w:t>
      </w:r>
      <w:r w:rsidR="009B258A">
        <w:rPr>
          <w:snapToGrid w:val="0"/>
          <w:lang w:val="fr-FR"/>
        </w:rPr>
        <w:t>’</w:t>
      </w:r>
      <w:r w:rsidRPr="00882E58">
        <w:rPr>
          <w:snapToGrid w:val="0"/>
          <w:lang w:val="fr-FR"/>
        </w:rPr>
        <w:t>expertise juridique et d</w:t>
      </w:r>
      <w:r w:rsidR="009B258A">
        <w:rPr>
          <w:snapToGrid w:val="0"/>
          <w:lang w:val="fr-FR"/>
        </w:rPr>
        <w:t>’</w:t>
      </w:r>
      <w:r w:rsidRPr="00882E58">
        <w:rPr>
          <w:snapToGrid w:val="0"/>
          <w:lang w:val="fr-FR"/>
        </w:rPr>
        <w:t>organisation en matière de modes extrajudiciaires de règlement des litiges.</w:t>
      </w:r>
    </w:p>
    <w:p w:rsidR="008670FA" w:rsidRPr="00882E58" w:rsidRDefault="004A2311" w:rsidP="00401FB8">
      <w:pPr>
        <w:pStyle w:val="ONUMFS"/>
        <w:rPr>
          <w:rStyle w:val="ONUMEChar"/>
          <w:lang w:val="fr-FR"/>
        </w:rPr>
      </w:pPr>
      <w:r w:rsidRPr="00882E58">
        <w:rPr>
          <w:rStyle w:val="ONUMEChar"/>
          <w:szCs w:val="22"/>
          <w:lang w:val="fr-FR"/>
        </w:rPr>
        <w:t>Il contient également des informations actualisées sur les activités de l</w:t>
      </w:r>
      <w:r w:rsidR="009B258A">
        <w:rPr>
          <w:rStyle w:val="ONUMEChar"/>
          <w:szCs w:val="22"/>
          <w:lang w:val="fr-FR"/>
        </w:rPr>
        <w:t>’</w:t>
      </w:r>
      <w:r w:rsidRPr="00882E58">
        <w:rPr>
          <w:rStyle w:val="ONUMEChar"/>
          <w:szCs w:val="22"/>
          <w:lang w:val="fr-FR"/>
        </w:rPr>
        <w:t>OMPI relatives aux noms de domaine dont il a précédemment été rendu compte dans le document</w:t>
      </w:r>
      <w:r w:rsidR="00401FB8">
        <w:rPr>
          <w:rStyle w:val="ONUMEChar"/>
          <w:szCs w:val="22"/>
          <w:lang w:val="fr-FR"/>
        </w:rPr>
        <w:t> </w:t>
      </w:r>
      <w:r w:rsidRPr="00882E58">
        <w:rPr>
          <w:rStyle w:val="ONUMEChar"/>
          <w:szCs w:val="22"/>
          <w:lang w:val="fr-FR"/>
        </w:rPr>
        <w:t>WO/GA/49/14</w:t>
      </w:r>
      <w:r w:rsidRPr="00882E58">
        <w:rPr>
          <w:rStyle w:val="FootnoteReference"/>
          <w:szCs w:val="22"/>
          <w:lang w:val="fr-FR"/>
        </w:rPr>
        <w:footnoteReference w:id="2"/>
      </w:r>
      <w:r w:rsidRPr="00882E58">
        <w:rPr>
          <w:rStyle w:val="ONUMEChar"/>
          <w:szCs w:val="22"/>
          <w:lang w:val="fr-FR"/>
        </w:rPr>
        <w:t>.</w:t>
      </w:r>
      <w:r w:rsidR="00F83CEE" w:rsidRPr="00882E58">
        <w:rPr>
          <w:rStyle w:val="ONUMEChar"/>
          <w:szCs w:val="22"/>
          <w:lang w:val="fr-FR"/>
        </w:rPr>
        <w:t xml:space="preserve"> </w:t>
      </w:r>
      <w:r w:rsidR="00E6003E">
        <w:rPr>
          <w:rStyle w:val="ONUMEChar"/>
          <w:szCs w:val="22"/>
          <w:lang w:val="fr-FR"/>
        </w:rPr>
        <w:t xml:space="preserve"> </w:t>
      </w:r>
      <w:r w:rsidRPr="00882E58">
        <w:rPr>
          <w:rStyle w:val="ONUMEChar"/>
          <w:szCs w:val="22"/>
          <w:lang w:val="fr-FR"/>
        </w:rPr>
        <w:t>Il traite des litiges relatifs aux noms de domaine administrés par le Centre en vertu des différents principes directeurs et des aspects connexes du système des noms de domaine de l</w:t>
      </w:r>
      <w:r w:rsidR="009B258A">
        <w:rPr>
          <w:rStyle w:val="ONUMEChar"/>
          <w:szCs w:val="22"/>
          <w:lang w:val="fr-FR"/>
        </w:rPr>
        <w:t>’</w:t>
      </w:r>
      <w:r w:rsidRPr="00882E58">
        <w:rPr>
          <w:rStyle w:val="ONUMEChar"/>
          <w:szCs w:val="22"/>
          <w:lang w:val="fr-FR"/>
        </w:rPr>
        <w:t>Internet (DNS), ainsi que de certains faits de politique générale, en particulier les mécanismes de protection des droits pour l</w:t>
      </w:r>
      <w:r w:rsidR="009B258A">
        <w:rPr>
          <w:rStyle w:val="ONUMEChar"/>
          <w:szCs w:val="22"/>
          <w:lang w:val="fr-FR"/>
        </w:rPr>
        <w:t>’</w:t>
      </w:r>
      <w:r w:rsidRPr="00882E58">
        <w:rPr>
          <w:rStyle w:val="ONUMEChar"/>
          <w:szCs w:val="22"/>
          <w:lang w:val="fr-FR"/>
        </w:rPr>
        <w:t>introduction de nouveaux domaines génériques de premier niveau (gTLD), l</w:t>
      </w:r>
      <w:r w:rsidR="009B258A">
        <w:rPr>
          <w:rStyle w:val="ONUMEChar"/>
          <w:szCs w:val="22"/>
          <w:lang w:val="fr-FR"/>
        </w:rPr>
        <w:t>’</w:t>
      </w:r>
      <w:r w:rsidRPr="00882E58">
        <w:rPr>
          <w:rStyle w:val="ONUMEChar"/>
          <w:szCs w:val="22"/>
          <w:lang w:val="fr-FR"/>
        </w:rPr>
        <w:t>émergence des noms de domaine internationalisés dans les gTLD, la révision par l</w:t>
      </w:r>
      <w:r w:rsidR="009B258A">
        <w:rPr>
          <w:rStyle w:val="ONUMEChar"/>
          <w:szCs w:val="22"/>
          <w:lang w:val="fr-FR"/>
        </w:rPr>
        <w:t>’</w:t>
      </w:r>
      <w:r w:rsidRPr="00882E58">
        <w:rPr>
          <w:rStyle w:val="ONUMEChar"/>
          <w:szCs w:val="22"/>
          <w:lang w:val="fr-FR"/>
        </w:rPr>
        <w:t xml:space="preserve">Internet Corporation for </w:t>
      </w:r>
      <w:proofErr w:type="spellStart"/>
      <w:r w:rsidRPr="00882E58">
        <w:rPr>
          <w:rStyle w:val="ONUMEChar"/>
          <w:szCs w:val="22"/>
          <w:lang w:val="fr-FR"/>
        </w:rPr>
        <w:t>Assigned</w:t>
      </w:r>
      <w:proofErr w:type="spellEnd"/>
      <w:r w:rsidRPr="00882E58">
        <w:rPr>
          <w:rStyle w:val="ONUMEChar"/>
          <w:szCs w:val="22"/>
          <w:lang w:val="fr-FR"/>
        </w:rPr>
        <w:t xml:space="preserve"> </w:t>
      </w:r>
      <w:proofErr w:type="spellStart"/>
      <w:r w:rsidRPr="00882E58">
        <w:rPr>
          <w:rStyle w:val="ONUMEChar"/>
          <w:szCs w:val="22"/>
          <w:lang w:val="fr-FR"/>
        </w:rPr>
        <w:t>Names</w:t>
      </w:r>
      <w:proofErr w:type="spellEnd"/>
      <w:r w:rsidRPr="00882E58">
        <w:rPr>
          <w:rStyle w:val="ONUMEChar"/>
          <w:szCs w:val="22"/>
          <w:lang w:val="fr-FR"/>
        </w:rPr>
        <w:t xml:space="preserve"> and </w:t>
      </w:r>
      <w:proofErr w:type="spellStart"/>
      <w:r w:rsidRPr="00882E58">
        <w:rPr>
          <w:rStyle w:val="ONUMEChar"/>
          <w:szCs w:val="22"/>
          <w:lang w:val="fr-FR"/>
        </w:rPr>
        <w:t>Numbers</w:t>
      </w:r>
      <w:proofErr w:type="spellEnd"/>
      <w:r w:rsidRPr="00882E58">
        <w:rPr>
          <w:rStyle w:val="ONUMEChar"/>
          <w:szCs w:val="22"/>
          <w:lang w:val="fr-FR"/>
        </w:rPr>
        <w:t xml:space="preserve"> (ICANN) des Principes directeurs concernant le règlement uniforme des litiges relatifs aux noms de domaine (principes UDRP) et d</w:t>
      </w:r>
      <w:r w:rsidR="009B258A">
        <w:rPr>
          <w:rStyle w:val="ONUMEChar"/>
          <w:szCs w:val="22"/>
          <w:lang w:val="fr-FR"/>
        </w:rPr>
        <w:t>’</w:t>
      </w:r>
      <w:r w:rsidRPr="00882E58">
        <w:rPr>
          <w:rStyle w:val="ONUMEChar"/>
          <w:szCs w:val="22"/>
          <w:lang w:val="fr-FR"/>
        </w:rPr>
        <w:t>autres mécanismes de protection des droits, et la suite donnée aux recommandations faites par les États membres de l</w:t>
      </w:r>
      <w:r w:rsidR="009B258A">
        <w:rPr>
          <w:rStyle w:val="ONUMEChar"/>
          <w:szCs w:val="22"/>
          <w:lang w:val="fr-FR"/>
        </w:rPr>
        <w:t>’</w:t>
      </w:r>
      <w:r w:rsidRPr="00882E58">
        <w:rPr>
          <w:rStyle w:val="ONUMEChar"/>
          <w:szCs w:val="22"/>
          <w:lang w:val="fr-FR"/>
        </w:rPr>
        <w:t>OMPI dans le contexte du deuxième processus de consultations de l</w:t>
      </w:r>
      <w:r w:rsidR="009B258A">
        <w:rPr>
          <w:rStyle w:val="ONUMEChar"/>
          <w:szCs w:val="22"/>
          <w:lang w:val="fr-FR"/>
        </w:rPr>
        <w:t>’</w:t>
      </w:r>
      <w:r w:rsidRPr="00882E58">
        <w:rPr>
          <w:rStyle w:val="ONUMEChar"/>
          <w:szCs w:val="22"/>
          <w:lang w:val="fr-FR"/>
        </w:rPr>
        <w:t>OMPI sur les noms de domaine de l</w:t>
      </w:r>
      <w:r w:rsidR="009B258A">
        <w:rPr>
          <w:rStyle w:val="ONUMEChar"/>
          <w:szCs w:val="22"/>
          <w:lang w:val="fr-FR"/>
        </w:rPr>
        <w:t>’</w:t>
      </w:r>
      <w:r w:rsidRPr="00882E58">
        <w:rPr>
          <w:rStyle w:val="ONUMEChar"/>
          <w:szCs w:val="22"/>
          <w:lang w:val="fr-FR"/>
        </w:rPr>
        <w:t>Internet.</w:t>
      </w:r>
    </w:p>
    <w:p w:rsidR="008670FA" w:rsidRPr="00882E58" w:rsidRDefault="00745DC1" w:rsidP="004A2311">
      <w:pPr>
        <w:pStyle w:val="Heading1"/>
        <w:spacing w:after="240"/>
        <w:rPr>
          <w:lang w:val="fr-FR"/>
        </w:rPr>
      </w:pPr>
      <w:r w:rsidRPr="00882E58">
        <w:rPr>
          <w:lang w:val="fr-FR"/>
        </w:rPr>
        <w:lastRenderedPageBreak/>
        <w:t>I.</w:t>
      </w:r>
      <w:r w:rsidRPr="00882E58">
        <w:rPr>
          <w:lang w:val="fr-FR"/>
        </w:rPr>
        <w:tab/>
        <w:t>ARBITRAGE ET MÉDIATION DES LITIGES DE PROPRIÉTÉ INTELLECTUELLE</w:t>
      </w:r>
    </w:p>
    <w:p w:rsidR="008670FA" w:rsidRPr="00882E58" w:rsidRDefault="004A2311" w:rsidP="004A2311">
      <w:pPr>
        <w:pStyle w:val="Heading2"/>
        <w:rPr>
          <w:lang w:val="fr-FR"/>
        </w:rPr>
      </w:pPr>
      <w:r w:rsidRPr="00882E58">
        <w:rPr>
          <w:lang w:val="fr-FR"/>
        </w:rPr>
        <w:t>A.</w:t>
      </w:r>
      <w:r w:rsidRPr="00882E58">
        <w:rPr>
          <w:lang w:val="fr-FR"/>
        </w:rPr>
        <w:tab/>
        <w:t>ADMINISTRATION DES PROCÉDURES D</w:t>
      </w:r>
      <w:r w:rsidR="009B258A">
        <w:rPr>
          <w:lang w:val="fr-FR"/>
        </w:rPr>
        <w:t>’</w:t>
      </w:r>
      <w:r w:rsidRPr="00882E58">
        <w:rPr>
          <w:lang w:val="fr-FR"/>
        </w:rPr>
        <w:t>ARBITRAGE ET DE MÉDIATION</w:t>
      </w:r>
    </w:p>
    <w:p w:rsidR="009B258A" w:rsidRDefault="00A3307C" w:rsidP="00401FB8">
      <w:pPr>
        <w:pStyle w:val="ONUMFS"/>
        <w:rPr>
          <w:szCs w:val="22"/>
          <w:lang w:val="fr-FR"/>
        </w:rPr>
      </w:pPr>
      <w:r w:rsidRPr="00882E58">
        <w:rPr>
          <w:lang w:val="fr-FR"/>
        </w:rPr>
        <w:t>Les procédures d</w:t>
      </w:r>
      <w:r w:rsidR="009B258A">
        <w:rPr>
          <w:lang w:val="fr-FR"/>
        </w:rPr>
        <w:t>’</w:t>
      </w:r>
      <w:r w:rsidRPr="00882E58">
        <w:rPr>
          <w:lang w:val="fr-FR"/>
        </w:rPr>
        <w:t>arbitrage et de médiation proposées par le Centre visent à répondre aux besoins des parties en matière de rapidité et de rentabilité dans le règlement des litiges relatifs à des droits de propriété intellectuel</w:t>
      </w:r>
      <w:r w:rsidR="0090772B" w:rsidRPr="00882E58">
        <w:rPr>
          <w:lang w:val="fr-FR"/>
        </w:rPr>
        <w:t>le</w:t>
      </w:r>
      <w:r w:rsidR="0090772B">
        <w:rPr>
          <w:lang w:val="fr-FR"/>
        </w:rPr>
        <w:t xml:space="preserve">.  </w:t>
      </w:r>
      <w:r w:rsidR="0090772B" w:rsidRPr="00882E58">
        <w:rPr>
          <w:lang w:val="fr-FR"/>
        </w:rPr>
        <w:t>Le</w:t>
      </w:r>
      <w:r w:rsidRPr="00882E58">
        <w:rPr>
          <w:lang w:val="fr-FR"/>
        </w:rPr>
        <w:t xml:space="preserve"> Centre est chargé de l</w:t>
      </w:r>
      <w:r w:rsidR="009B258A">
        <w:rPr>
          <w:lang w:val="fr-FR"/>
        </w:rPr>
        <w:t>’</w:t>
      </w:r>
      <w:r w:rsidRPr="00882E58">
        <w:rPr>
          <w:lang w:val="fr-FR"/>
        </w:rPr>
        <w:t>administration et du règlement des litiges instruits dans le cadre de ces procédures, ce qui passe par la formation</w:t>
      </w:r>
      <w:r w:rsidRPr="00882E58">
        <w:rPr>
          <w:rStyle w:val="FootnoteReference"/>
          <w:lang w:val="fr-FR"/>
        </w:rPr>
        <w:footnoteReference w:id="3"/>
      </w:r>
      <w:r w:rsidRPr="00882E58">
        <w:rPr>
          <w:lang w:val="fr-FR"/>
        </w:rPr>
        <w:t>, la désignation d</w:t>
      </w:r>
      <w:r w:rsidR="009B258A">
        <w:rPr>
          <w:lang w:val="fr-FR"/>
        </w:rPr>
        <w:t>’</w:t>
      </w:r>
      <w:r w:rsidRPr="00882E58">
        <w:rPr>
          <w:lang w:val="fr-FR"/>
        </w:rPr>
        <w:t>arbitres et de médiateurs qualifiés et le maintien d</w:t>
      </w:r>
      <w:r w:rsidR="009B258A">
        <w:rPr>
          <w:lang w:val="fr-FR"/>
        </w:rPr>
        <w:t>’</w:t>
      </w:r>
      <w:r w:rsidRPr="00882E58">
        <w:rPr>
          <w:lang w:val="fr-FR"/>
        </w:rPr>
        <w:t>une infrastructure moderne d</w:t>
      </w:r>
      <w:r w:rsidR="009B258A">
        <w:rPr>
          <w:lang w:val="fr-FR"/>
        </w:rPr>
        <w:t>’</w:t>
      </w:r>
      <w:r w:rsidRPr="00882E58">
        <w:rPr>
          <w:lang w:val="fr-FR"/>
        </w:rPr>
        <w:t>administration des litiges, grâce notamment à des solutions informatiques telles que le système OMPI de gestion électronique des litiges (ECAF)</w:t>
      </w:r>
      <w:r w:rsidRPr="00882E58">
        <w:rPr>
          <w:rStyle w:val="FootnoteReference"/>
          <w:lang w:val="fr-FR"/>
        </w:rPr>
        <w:footnoteReference w:id="4"/>
      </w:r>
      <w:r w:rsidRPr="00882E58">
        <w:rPr>
          <w:lang w:val="fr-FR"/>
        </w:rPr>
        <w:t>.</w:t>
      </w:r>
      <w:r w:rsidR="00F83CEE" w:rsidRPr="00882E58">
        <w:rPr>
          <w:lang w:val="fr-FR"/>
        </w:rPr>
        <w:t xml:space="preserve"> </w:t>
      </w:r>
      <w:r w:rsidR="00E6003E">
        <w:rPr>
          <w:lang w:val="fr-FR"/>
        </w:rPr>
        <w:t xml:space="preserve"> </w:t>
      </w:r>
      <w:r w:rsidR="00B91F11" w:rsidRPr="00882E58">
        <w:rPr>
          <w:lang w:val="fr-FR"/>
        </w:rPr>
        <w:t>Les litiges administrés par l</w:t>
      </w:r>
      <w:r w:rsidR="009B258A">
        <w:rPr>
          <w:lang w:val="fr-FR"/>
        </w:rPr>
        <w:t>’</w:t>
      </w:r>
      <w:r w:rsidR="00B91F11" w:rsidRPr="00882E58">
        <w:rPr>
          <w:lang w:val="fr-FR"/>
        </w:rPr>
        <w:t>OMPI depuis les dernières assemblées ont notamment porté sur des brevets, des marques (</w:t>
      </w:r>
      <w:r w:rsidR="009B258A">
        <w:rPr>
          <w:lang w:val="fr-FR"/>
        </w:rPr>
        <w:t>y compris</w:t>
      </w:r>
      <w:r w:rsidR="00B91F11" w:rsidRPr="00882E58">
        <w:rPr>
          <w:lang w:val="fr-FR"/>
        </w:rPr>
        <w:t>, des accord</w:t>
      </w:r>
      <w:r w:rsidR="0066448B">
        <w:rPr>
          <w:lang w:val="fr-FR"/>
        </w:rPr>
        <w:t>s de coexistence et d</w:t>
      </w:r>
      <w:r w:rsidR="00B91F11" w:rsidRPr="00882E58">
        <w:rPr>
          <w:lang w:val="fr-FR"/>
        </w:rPr>
        <w:t>es oppositions en matière de marques), le droit d</w:t>
      </w:r>
      <w:r w:rsidR="009B258A">
        <w:rPr>
          <w:lang w:val="fr-FR"/>
        </w:rPr>
        <w:t>’</w:t>
      </w:r>
      <w:r w:rsidR="00B91F11" w:rsidRPr="00882E58">
        <w:rPr>
          <w:lang w:val="fr-FR"/>
        </w:rPr>
        <w:t>auteur (</w:t>
      </w:r>
      <w:r w:rsidR="009B258A">
        <w:rPr>
          <w:lang w:val="fr-FR"/>
        </w:rPr>
        <w:t>y compris</w:t>
      </w:r>
      <w:r w:rsidR="00B91F11" w:rsidRPr="00882E58">
        <w:rPr>
          <w:lang w:val="fr-FR"/>
        </w:rPr>
        <w:t xml:space="preserve"> les sociétés de perception et la distribution de musique sous forme numérique), les technologies de l</w:t>
      </w:r>
      <w:r w:rsidR="009B258A">
        <w:rPr>
          <w:lang w:val="fr-FR"/>
        </w:rPr>
        <w:t>’</w:t>
      </w:r>
      <w:r w:rsidR="00B91F11" w:rsidRPr="00882E58">
        <w:rPr>
          <w:lang w:val="fr-FR"/>
        </w:rPr>
        <w:t>information et de la communication (TIC), la recherche</w:t>
      </w:r>
      <w:r w:rsidR="00401FB8">
        <w:rPr>
          <w:lang w:val="fr-FR"/>
        </w:rPr>
        <w:noBreakHyphen/>
      </w:r>
      <w:r w:rsidR="00B91F11" w:rsidRPr="00882E58">
        <w:rPr>
          <w:lang w:val="fr-FR"/>
        </w:rPr>
        <w:t>développement (R</w:t>
      </w:r>
      <w:r w:rsidR="00401FB8">
        <w:rPr>
          <w:lang w:val="fr-FR"/>
        </w:rPr>
        <w:noBreakHyphen/>
      </w:r>
      <w:r w:rsidR="008C6C43">
        <w:rPr>
          <w:lang w:val="fr-FR"/>
        </w:rPr>
        <w:t>D), les sciences de la vie, l</w:t>
      </w:r>
      <w:r w:rsidR="00B91F11" w:rsidRPr="00882E58">
        <w:rPr>
          <w:lang w:val="fr-FR"/>
        </w:rPr>
        <w:t>es</w:t>
      </w:r>
      <w:r w:rsidR="008C6C43">
        <w:rPr>
          <w:lang w:val="fr-FR"/>
        </w:rPr>
        <w:t xml:space="preserve"> films et l</w:t>
      </w:r>
      <w:r w:rsidR="00B91F11" w:rsidRPr="00882E58">
        <w:rPr>
          <w:lang w:val="fr-FR"/>
        </w:rPr>
        <w:t>es médias, ainsi que sur le franchisage, et ont été soumis au Centre par les parties sur la base de clauses compromissoires, de conventions ad hoc (</w:t>
      </w:r>
      <w:r w:rsidR="009B258A">
        <w:rPr>
          <w:lang w:val="fr-FR"/>
        </w:rPr>
        <w:t>y compris</w:t>
      </w:r>
      <w:r w:rsidR="00B91F11" w:rsidRPr="00882E58">
        <w:rPr>
          <w:lang w:val="fr-FR"/>
        </w:rPr>
        <w:t xml:space="preserve"> les renvois par les tribunaux), ou de demandes unilatérales en vertu de l</w:t>
      </w:r>
      <w:r w:rsidR="009B258A">
        <w:rPr>
          <w:lang w:val="fr-FR"/>
        </w:rPr>
        <w:t>’</w:t>
      </w:r>
      <w:r w:rsidR="00B91F11" w:rsidRPr="00882E58">
        <w:rPr>
          <w:lang w:val="fr-FR"/>
        </w:rPr>
        <w:t>article 4 du Règlement de médiation de l</w:t>
      </w:r>
      <w:r w:rsidR="009B258A">
        <w:rPr>
          <w:lang w:val="fr-FR"/>
        </w:rPr>
        <w:t>’</w:t>
      </w:r>
      <w:r w:rsidR="00B91F11" w:rsidRPr="00882E58">
        <w:rPr>
          <w:lang w:val="fr-FR"/>
        </w:rPr>
        <w:t>O</w:t>
      </w:r>
      <w:r w:rsidR="0090772B" w:rsidRPr="00882E58">
        <w:rPr>
          <w:lang w:val="fr-FR"/>
        </w:rPr>
        <w:t>MPI</w:t>
      </w:r>
      <w:r w:rsidR="0090772B">
        <w:rPr>
          <w:lang w:val="fr-FR"/>
        </w:rPr>
        <w:t xml:space="preserve">.  </w:t>
      </w:r>
      <w:r w:rsidR="0090772B" w:rsidRPr="00882E58">
        <w:rPr>
          <w:lang w:val="fr-FR"/>
        </w:rPr>
        <w:t>Pl</w:t>
      </w:r>
      <w:r w:rsidR="00B91F11" w:rsidRPr="00882E58">
        <w:rPr>
          <w:lang w:val="fr-FR"/>
        </w:rPr>
        <w:t>us de la moitié des parties concernées sont des utilisateurs des services</w:t>
      </w:r>
      <w:r w:rsidR="009B258A" w:rsidRPr="00882E58">
        <w:rPr>
          <w:lang w:val="fr-FR"/>
        </w:rPr>
        <w:t xml:space="preserve"> du</w:t>
      </w:r>
      <w:r w:rsidR="009B258A">
        <w:rPr>
          <w:lang w:val="fr-FR"/>
        </w:rPr>
        <w:t> </w:t>
      </w:r>
      <w:r w:rsidR="009B258A" w:rsidRPr="00882E58">
        <w:rPr>
          <w:lang w:val="fr-FR"/>
        </w:rPr>
        <w:t>PCT</w:t>
      </w:r>
      <w:r w:rsidR="00B91F11" w:rsidRPr="00882E58">
        <w:rPr>
          <w:lang w:val="fr-FR"/>
        </w:rPr>
        <w:t xml:space="preserve"> et du système de Madrid de l</w:t>
      </w:r>
      <w:r w:rsidR="009B258A">
        <w:rPr>
          <w:lang w:val="fr-FR"/>
        </w:rPr>
        <w:t>’</w:t>
      </w:r>
      <w:r w:rsidR="00B91F11" w:rsidRPr="00882E58">
        <w:rPr>
          <w:lang w:val="fr-FR"/>
        </w:rPr>
        <w:t>O</w:t>
      </w:r>
      <w:r w:rsidR="0090772B" w:rsidRPr="00882E58">
        <w:rPr>
          <w:lang w:val="fr-FR"/>
        </w:rPr>
        <w:t>MPI</w:t>
      </w:r>
      <w:r w:rsidR="0090772B">
        <w:rPr>
          <w:lang w:val="fr-FR"/>
        </w:rPr>
        <w:t xml:space="preserve">.  </w:t>
      </w:r>
      <w:r w:rsidR="0090772B" w:rsidRPr="00882E58">
        <w:rPr>
          <w:lang w:val="fr-FR"/>
        </w:rPr>
        <w:t>Qu</w:t>
      </w:r>
      <w:r w:rsidR="00B91F11" w:rsidRPr="00882E58">
        <w:rPr>
          <w:lang w:val="fr-FR"/>
        </w:rPr>
        <w:t>elque 70% des médiations de l</w:t>
      </w:r>
      <w:r w:rsidR="009B258A">
        <w:rPr>
          <w:lang w:val="fr-FR"/>
        </w:rPr>
        <w:t>’</w:t>
      </w:r>
      <w:r w:rsidR="00B91F11" w:rsidRPr="00882E58">
        <w:rPr>
          <w:lang w:val="fr-FR"/>
        </w:rPr>
        <w:t>OMPI aboutissent et, avec un taux de réussite de 40%, même le renvoi d</w:t>
      </w:r>
      <w:r w:rsidR="009B258A">
        <w:rPr>
          <w:lang w:val="fr-FR"/>
        </w:rPr>
        <w:t>’</w:t>
      </w:r>
      <w:r w:rsidR="00B91F11" w:rsidRPr="00882E58">
        <w:rPr>
          <w:lang w:val="fr-FR"/>
        </w:rPr>
        <w:t xml:space="preserve">un litige à </w:t>
      </w:r>
      <w:r w:rsidR="0066448B">
        <w:rPr>
          <w:lang w:val="fr-FR"/>
        </w:rPr>
        <w:t>un arbitrage</w:t>
      </w:r>
      <w:r w:rsidR="00B91F11" w:rsidRPr="00882E58">
        <w:rPr>
          <w:lang w:val="fr-FR"/>
        </w:rPr>
        <w:t xml:space="preserve"> de l</w:t>
      </w:r>
      <w:r w:rsidR="009B258A">
        <w:rPr>
          <w:lang w:val="fr-FR"/>
        </w:rPr>
        <w:t>’</w:t>
      </w:r>
      <w:r w:rsidR="00B91F11" w:rsidRPr="00882E58">
        <w:rPr>
          <w:lang w:val="fr-FR"/>
        </w:rPr>
        <w:t>OMPI peut favoriser un accord entre les parties.</w:t>
      </w:r>
    </w:p>
    <w:p w:rsidR="009B258A" w:rsidRDefault="00E22887" w:rsidP="00401FB8">
      <w:pPr>
        <w:pStyle w:val="ONUMFS"/>
        <w:rPr>
          <w:lang w:val="fr-FR"/>
        </w:rPr>
      </w:pPr>
      <w:r w:rsidRPr="00882E58">
        <w:rPr>
          <w:lang w:val="fr-FR"/>
        </w:rPr>
        <w:t>Le Centre a continué de prendre des initiatives pour faciliter l</w:t>
      </w:r>
      <w:r w:rsidR="009B258A">
        <w:rPr>
          <w:lang w:val="fr-FR"/>
        </w:rPr>
        <w:t>’</w:t>
      </w:r>
      <w:r w:rsidRPr="00882E58">
        <w:rPr>
          <w:lang w:val="fr-FR"/>
        </w:rPr>
        <w:t>accès des utilisateurs potentiels aux procédures extrajudiciaires de l</w:t>
      </w:r>
      <w:r w:rsidR="009B258A">
        <w:rPr>
          <w:lang w:val="fr-FR"/>
        </w:rPr>
        <w:t>’</w:t>
      </w:r>
      <w:r w:rsidRPr="00882E58">
        <w:rPr>
          <w:lang w:val="fr-FR"/>
        </w:rPr>
        <w:t>OMPI en matière de règlement de litig</w:t>
      </w:r>
      <w:r w:rsidR="0090772B" w:rsidRPr="00882E58">
        <w:rPr>
          <w:lang w:val="fr-FR"/>
        </w:rPr>
        <w:t>es</w:t>
      </w:r>
      <w:r w:rsidR="0090772B">
        <w:rPr>
          <w:lang w:val="fr-FR"/>
        </w:rPr>
        <w:t xml:space="preserve">.  </w:t>
      </w:r>
      <w:r w:rsidR="0090772B" w:rsidRPr="00882E58">
        <w:rPr>
          <w:lang w:val="fr-FR"/>
        </w:rPr>
        <w:t>Il</w:t>
      </w:r>
      <w:r w:rsidRPr="00882E58">
        <w:rPr>
          <w:lang w:val="fr-FR"/>
        </w:rPr>
        <w:t xml:space="preserve"> a notamment pis à jour le Guide de la médiation de l</w:t>
      </w:r>
      <w:r w:rsidR="009B258A">
        <w:rPr>
          <w:lang w:val="fr-FR"/>
        </w:rPr>
        <w:t>’</w:t>
      </w:r>
      <w:r w:rsidRPr="00882E58">
        <w:rPr>
          <w:lang w:val="fr-FR"/>
        </w:rPr>
        <w:t>OMPI</w:t>
      </w:r>
      <w:r w:rsidRPr="00882E58">
        <w:rPr>
          <w:rStyle w:val="FootnoteReference"/>
          <w:lang w:val="fr-FR"/>
        </w:rPr>
        <w:footnoteReference w:id="5"/>
      </w:r>
      <w:r w:rsidRPr="00882E58">
        <w:rPr>
          <w:lang w:val="fr-FR"/>
        </w:rPr>
        <w:t xml:space="preserve"> afin de tenir compte de dernières évolutions du Règlement de médiation de l</w:t>
      </w:r>
      <w:r w:rsidR="009B258A">
        <w:rPr>
          <w:lang w:val="fr-FR"/>
        </w:rPr>
        <w:t>’</w:t>
      </w:r>
      <w:r w:rsidRPr="00882E58">
        <w:rPr>
          <w:lang w:val="fr-FR"/>
        </w:rPr>
        <w:t xml:space="preserve">OMPI et de la pratique du Centre et </w:t>
      </w:r>
      <w:r w:rsidR="008C6C43">
        <w:rPr>
          <w:lang w:val="fr-FR"/>
        </w:rPr>
        <w:t xml:space="preserve">de </w:t>
      </w:r>
      <w:r w:rsidRPr="00882E58">
        <w:rPr>
          <w:lang w:val="fr-FR"/>
        </w:rPr>
        <w:t>mieux orienter les parti</w:t>
      </w:r>
      <w:r w:rsidR="0090772B" w:rsidRPr="00882E58">
        <w:rPr>
          <w:lang w:val="fr-FR"/>
        </w:rPr>
        <w:t>es</w:t>
      </w:r>
      <w:r w:rsidR="0090772B">
        <w:rPr>
          <w:lang w:val="fr-FR"/>
        </w:rPr>
        <w:t xml:space="preserve">.  </w:t>
      </w:r>
      <w:r w:rsidR="0090772B" w:rsidRPr="00882E58">
        <w:rPr>
          <w:lang w:val="fr-FR"/>
        </w:rPr>
        <w:t>Le</w:t>
      </w:r>
      <w:r w:rsidRPr="00882E58">
        <w:rPr>
          <w:lang w:val="fr-FR"/>
        </w:rPr>
        <w:t xml:space="preserve"> générateur de clauses en ligne permet aux parties de rédiger des clauses compromissoires et conventions ad</w:t>
      </w:r>
      <w:r w:rsidR="00E6003E">
        <w:rPr>
          <w:lang w:val="fr-FR"/>
        </w:rPr>
        <w:t> </w:t>
      </w:r>
      <w:r w:rsidRPr="00882E58">
        <w:rPr>
          <w:lang w:val="fr-FR"/>
        </w:rPr>
        <w:t>hoc standard, avec la possibilité de sélectionner des dispositions supplémentaires pour répondre à des besoins particuliers</w:t>
      </w:r>
      <w:r w:rsidRPr="00882E58">
        <w:rPr>
          <w:rStyle w:val="FootnoteReference"/>
          <w:lang w:val="fr-FR"/>
        </w:rPr>
        <w:footnoteReference w:id="6"/>
      </w:r>
      <w:r w:rsidRPr="00882E58">
        <w:rPr>
          <w:lang w:val="fr-FR"/>
        </w:rPr>
        <w:t>.</w:t>
      </w:r>
    </w:p>
    <w:p w:rsidR="008670FA" w:rsidRPr="00882E58" w:rsidRDefault="00745DC1" w:rsidP="00745DC1">
      <w:pPr>
        <w:pStyle w:val="Heading2"/>
        <w:rPr>
          <w:lang w:val="fr-FR"/>
        </w:rPr>
      </w:pPr>
      <w:r w:rsidRPr="00882E58">
        <w:rPr>
          <w:lang w:val="fr-FR"/>
        </w:rPr>
        <w:t>B.</w:t>
      </w:r>
      <w:r w:rsidRPr="00882E58">
        <w:rPr>
          <w:lang w:val="fr-FR"/>
        </w:rPr>
        <w:tab/>
        <w:t>SERVICES EXTRAJUDICIAIRES DE RÈGLEMENT DES LITIGES PAR SECTEURS</w:t>
      </w:r>
    </w:p>
    <w:p w:rsidR="008670FA" w:rsidRPr="00882E58" w:rsidRDefault="0027348B" w:rsidP="0018682B">
      <w:pPr>
        <w:pStyle w:val="Heading3"/>
        <w:ind w:left="1701" w:hanging="567"/>
        <w:rPr>
          <w:lang w:val="fr-FR"/>
        </w:rPr>
      </w:pPr>
      <w:r w:rsidRPr="00882E58">
        <w:rPr>
          <w:lang w:val="fr-FR"/>
        </w:rPr>
        <w:t>Collaboration avec les offices de propriété intellectuelle</w:t>
      </w:r>
    </w:p>
    <w:p w:rsidR="008670FA" w:rsidRPr="00085E45" w:rsidRDefault="0027348B" w:rsidP="00085E45">
      <w:pPr>
        <w:pStyle w:val="ONUMFS"/>
        <w:rPr>
          <w:lang w:val="fr-FR"/>
        </w:rPr>
      </w:pPr>
      <w:r w:rsidRPr="00085E45">
        <w:rPr>
          <w:lang w:val="fr-FR"/>
        </w:rPr>
        <w:t>Outre ses services classiques, le Centre offre à un nombre croissant d</w:t>
      </w:r>
      <w:r w:rsidR="009B258A" w:rsidRPr="00085E45">
        <w:rPr>
          <w:lang w:val="fr-FR"/>
        </w:rPr>
        <w:t>’</w:t>
      </w:r>
      <w:r w:rsidRPr="00085E45">
        <w:rPr>
          <w:lang w:val="fr-FR"/>
        </w:rPr>
        <w:t>offices de propriété intellectuelle et de bureaux du droit d</w:t>
      </w:r>
      <w:r w:rsidR="009B258A" w:rsidRPr="00085E45">
        <w:rPr>
          <w:lang w:val="fr-FR"/>
        </w:rPr>
        <w:t>’</w:t>
      </w:r>
      <w:r w:rsidRPr="00085E45">
        <w:rPr>
          <w:lang w:val="fr-FR"/>
        </w:rPr>
        <w:t>auteur des services d</w:t>
      </w:r>
      <w:r w:rsidR="009B258A" w:rsidRPr="00085E45">
        <w:rPr>
          <w:lang w:val="fr-FR"/>
        </w:rPr>
        <w:t>’</w:t>
      </w:r>
      <w:r w:rsidRPr="00085E45">
        <w:rPr>
          <w:lang w:val="fr-FR"/>
        </w:rPr>
        <w:t>aide à l</w:t>
      </w:r>
      <w:r w:rsidR="009B258A" w:rsidRPr="00085E45">
        <w:rPr>
          <w:lang w:val="fr-FR"/>
        </w:rPr>
        <w:t>’</w:t>
      </w:r>
      <w:r w:rsidRPr="00085E45">
        <w:rPr>
          <w:lang w:val="fr-FR"/>
        </w:rPr>
        <w:t>établissement de leurs propres cadres facultatifs de règlement extrajudiciaire des litiges, à l</w:t>
      </w:r>
      <w:r w:rsidR="009B258A" w:rsidRPr="00085E45">
        <w:rPr>
          <w:lang w:val="fr-FR"/>
        </w:rPr>
        <w:t>’</w:t>
      </w:r>
      <w:r w:rsidRPr="00085E45">
        <w:rPr>
          <w:lang w:val="fr-FR"/>
        </w:rPr>
        <w:t>organisation de programmes de formation et d</w:t>
      </w:r>
      <w:r w:rsidR="009B258A" w:rsidRPr="00085E45">
        <w:rPr>
          <w:lang w:val="fr-FR"/>
        </w:rPr>
        <w:t>’</w:t>
      </w:r>
      <w:r w:rsidRPr="00085E45">
        <w:rPr>
          <w:lang w:val="fr-FR"/>
        </w:rPr>
        <w:t>activités de promotion et à l</w:t>
      </w:r>
      <w:r w:rsidR="009B258A" w:rsidRPr="00085E45">
        <w:rPr>
          <w:lang w:val="fr-FR"/>
        </w:rPr>
        <w:t>’</w:t>
      </w:r>
      <w:r w:rsidRPr="00085E45">
        <w:rPr>
          <w:lang w:val="fr-FR"/>
        </w:rPr>
        <w:t>administration des litig</w:t>
      </w:r>
      <w:r w:rsidR="0090772B" w:rsidRPr="00085E45">
        <w:rPr>
          <w:lang w:val="fr-FR"/>
        </w:rPr>
        <w:t>es.  De</w:t>
      </w:r>
      <w:r w:rsidR="002B613A" w:rsidRPr="00085E45">
        <w:rPr>
          <w:lang w:val="fr-FR"/>
        </w:rPr>
        <w:t xml:space="preserve">puis les assemblées </w:t>
      </w:r>
      <w:r w:rsidR="009B258A" w:rsidRPr="00085E45">
        <w:rPr>
          <w:lang w:val="fr-FR"/>
        </w:rPr>
        <w:t>de 2017</w:t>
      </w:r>
      <w:r w:rsidR="002B613A" w:rsidRPr="00085E45">
        <w:rPr>
          <w:lang w:val="fr-FR"/>
        </w:rPr>
        <w:t>, le Centre a établi des collaborations avec les autorités chargées de la propriété intellectuelle dans un certain nombre d</w:t>
      </w:r>
      <w:r w:rsidR="009B258A" w:rsidRPr="00085E45">
        <w:rPr>
          <w:lang w:val="fr-FR"/>
        </w:rPr>
        <w:t>’</w:t>
      </w:r>
      <w:r w:rsidR="002B613A" w:rsidRPr="00085E45">
        <w:rPr>
          <w:lang w:val="fr-FR"/>
        </w:rPr>
        <w:t>États membres supplémentaires</w:t>
      </w:r>
      <w:r w:rsidR="002B613A" w:rsidRPr="00B10A95">
        <w:rPr>
          <w:rStyle w:val="FootnoteReference"/>
          <w:lang w:val="fr-FR"/>
        </w:rPr>
        <w:footnoteReference w:id="7"/>
      </w:r>
      <w:r w:rsidR="002B613A" w:rsidRPr="00085E45">
        <w:rPr>
          <w:lang w:val="fr-FR"/>
        </w:rPr>
        <w:t>.</w:t>
      </w:r>
      <w:r w:rsidR="00F83CEE" w:rsidRPr="00085E45">
        <w:rPr>
          <w:lang w:val="fr-FR"/>
        </w:rPr>
        <w:t xml:space="preserve"> </w:t>
      </w:r>
      <w:r w:rsidR="00E6003E" w:rsidRPr="00085E45">
        <w:rPr>
          <w:lang w:val="fr-FR"/>
        </w:rPr>
        <w:t xml:space="preserve"> </w:t>
      </w:r>
      <w:r w:rsidR="00D3013C" w:rsidRPr="00085E45">
        <w:rPr>
          <w:lang w:val="fr-FR"/>
        </w:rPr>
        <w:lastRenderedPageBreak/>
        <w:t xml:space="preserve">Conformément aux besoins exprimés par les États </w:t>
      </w:r>
      <w:r w:rsidR="00E6003E" w:rsidRPr="00085E45">
        <w:rPr>
          <w:lang w:val="fr-FR"/>
        </w:rPr>
        <w:t>membres</w:t>
      </w:r>
      <w:r w:rsidR="00D3013C" w:rsidRPr="00085E45">
        <w:rPr>
          <w:lang w:val="fr-FR"/>
        </w:rPr>
        <w:t>, cette collaboration porte notamment sur les types d</w:t>
      </w:r>
      <w:r w:rsidR="009B258A" w:rsidRPr="00085E45">
        <w:rPr>
          <w:lang w:val="fr-FR"/>
        </w:rPr>
        <w:t>’</w:t>
      </w:r>
      <w:r w:rsidR="00D3013C" w:rsidRPr="00085E45">
        <w:rPr>
          <w:lang w:val="fr-FR"/>
        </w:rPr>
        <w:t>activités ci</w:t>
      </w:r>
      <w:r w:rsidR="00401FB8" w:rsidRPr="00085E45">
        <w:rPr>
          <w:lang w:val="fr-FR"/>
        </w:rPr>
        <w:noBreakHyphen/>
      </w:r>
      <w:r w:rsidR="00D3013C" w:rsidRPr="00085E45">
        <w:rPr>
          <w:lang w:val="fr-FR"/>
        </w:rPr>
        <w:t>après.</w:t>
      </w:r>
    </w:p>
    <w:p w:rsidR="008670FA" w:rsidRPr="00882E58" w:rsidRDefault="00517BFE" w:rsidP="00401FB8">
      <w:pPr>
        <w:pStyle w:val="ONUMFS"/>
        <w:rPr>
          <w:lang w:val="fr-FR"/>
        </w:rPr>
      </w:pPr>
      <w:r w:rsidRPr="00882E58">
        <w:rPr>
          <w:lang w:val="fr-FR"/>
        </w:rPr>
        <w:t xml:space="preserve">Mieux faire connaître les </w:t>
      </w:r>
      <w:r w:rsidR="008C6C43">
        <w:rPr>
          <w:lang w:val="fr-FR"/>
        </w:rPr>
        <w:t>modes</w:t>
      </w:r>
      <w:r w:rsidRPr="00882E58">
        <w:rPr>
          <w:lang w:val="fr-FR"/>
        </w:rPr>
        <w:t xml:space="preserve"> extrajudiciaires de règlement des litiges</w:t>
      </w:r>
      <w:r w:rsidR="009B258A">
        <w:rPr>
          <w:lang w:val="fr-FR"/>
        </w:rPr>
        <w:t> :</w:t>
      </w:r>
      <w:r w:rsidRPr="00882E58">
        <w:rPr>
          <w:lang w:val="fr-FR"/>
        </w:rPr>
        <w:t xml:space="preserve"> le Centre collabore avec les offices de propriété intellectuelle</w:t>
      </w:r>
      <w:r w:rsidRPr="00882E58">
        <w:rPr>
          <w:rStyle w:val="FootnoteReference"/>
          <w:szCs w:val="22"/>
          <w:lang w:val="fr-FR"/>
        </w:rPr>
        <w:footnoteReference w:id="8"/>
      </w:r>
      <w:r w:rsidRPr="00882E58">
        <w:rPr>
          <w:lang w:val="fr-FR"/>
        </w:rPr>
        <w:t xml:space="preserve"> pour </w:t>
      </w:r>
      <w:r w:rsidR="008C6C43">
        <w:rPr>
          <w:lang w:val="fr-FR"/>
        </w:rPr>
        <w:t>partager</w:t>
      </w:r>
      <w:r w:rsidRPr="00882E58">
        <w:rPr>
          <w:lang w:val="fr-FR"/>
        </w:rPr>
        <w:t xml:space="preserve"> les avantages des procédures extrajudiciaires de règlement des litiges en termes de prévention et de règlement des litiges de propriété intellectuelle et de technologie en dehors des tribunaux et autres juridictions de jugeme</w:t>
      </w:r>
      <w:r w:rsidR="0090772B" w:rsidRPr="00882E58">
        <w:rPr>
          <w:lang w:val="fr-FR"/>
        </w:rPr>
        <w:t>nt</w:t>
      </w:r>
      <w:r w:rsidR="0090772B">
        <w:rPr>
          <w:lang w:val="fr-FR"/>
        </w:rPr>
        <w:t xml:space="preserve">.  </w:t>
      </w:r>
      <w:r w:rsidR="0090772B" w:rsidRPr="00882E58">
        <w:rPr>
          <w:lang w:val="fr-FR"/>
        </w:rPr>
        <w:t>Du</w:t>
      </w:r>
      <w:r w:rsidRPr="00882E58">
        <w:rPr>
          <w:lang w:val="fr-FR"/>
        </w:rPr>
        <w:t>rant la période considérée, ces contacts ont consisté en l</w:t>
      </w:r>
      <w:r w:rsidR="009B258A">
        <w:rPr>
          <w:lang w:val="fr-FR"/>
        </w:rPr>
        <w:t>’</w:t>
      </w:r>
      <w:r w:rsidRPr="00882E58">
        <w:rPr>
          <w:lang w:val="fr-FR"/>
        </w:rPr>
        <w:t>élaboration de supports d</w:t>
      </w:r>
      <w:r w:rsidR="009B258A">
        <w:rPr>
          <w:lang w:val="fr-FR"/>
        </w:rPr>
        <w:t>’</w:t>
      </w:r>
      <w:r w:rsidRPr="00882E58">
        <w:rPr>
          <w:lang w:val="fr-FR"/>
        </w:rPr>
        <w:t xml:space="preserve">information par pays pour les parties intéressées concernant ces options, </w:t>
      </w:r>
      <w:r w:rsidR="009B258A">
        <w:rPr>
          <w:lang w:val="fr-FR"/>
        </w:rPr>
        <w:t>y compris</w:t>
      </w:r>
      <w:r w:rsidRPr="00882E58">
        <w:rPr>
          <w:lang w:val="fr-FR"/>
        </w:rPr>
        <w:t xml:space="preserve"> l</w:t>
      </w:r>
      <w:r w:rsidR="009B258A">
        <w:rPr>
          <w:lang w:val="fr-FR"/>
        </w:rPr>
        <w:t>’</w:t>
      </w:r>
      <w:r w:rsidRPr="00882E58">
        <w:rPr>
          <w:lang w:val="fr-FR"/>
        </w:rPr>
        <w:t>administration des litiges en ligne</w:t>
      </w:r>
      <w:r w:rsidRPr="00882E58">
        <w:rPr>
          <w:rStyle w:val="FootnoteReference"/>
          <w:szCs w:val="22"/>
          <w:lang w:val="fr-FR"/>
        </w:rPr>
        <w:footnoteReference w:id="9"/>
      </w:r>
      <w:r w:rsidRPr="00882E58">
        <w:rPr>
          <w:lang w:val="fr-FR"/>
        </w:rPr>
        <w:t>, des activités de formation et des manifestations conjointes pour informer les parties prenantes des avantages de la médiation et de l</w:t>
      </w:r>
      <w:r w:rsidR="009B258A">
        <w:rPr>
          <w:lang w:val="fr-FR"/>
        </w:rPr>
        <w:t>’</w:t>
      </w:r>
      <w:r w:rsidRPr="00882E58">
        <w:rPr>
          <w:lang w:val="fr-FR"/>
        </w:rPr>
        <w:t>arbitrage pour le règlement des litiges de propriété intellectuelle et des litiges connexes</w:t>
      </w:r>
      <w:r w:rsidRPr="00882E58">
        <w:rPr>
          <w:rStyle w:val="FootnoteReference"/>
          <w:szCs w:val="22"/>
          <w:lang w:val="fr-FR"/>
        </w:rPr>
        <w:footnoteReference w:id="10"/>
      </w:r>
      <w:r w:rsidRPr="00882E58">
        <w:rPr>
          <w:lang w:val="fr-FR"/>
        </w:rPr>
        <w:t xml:space="preserve">, et la </w:t>
      </w:r>
      <w:r w:rsidR="00882E58" w:rsidRPr="00882E58">
        <w:rPr>
          <w:lang w:val="fr-FR"/>
        </w:rPr>
        <w:t>transmission</w:t>
      </w:r>
      <w:r w:rsidRPr="00882E58">
        <w:rPr>
          <w:lang w:val="fr-FR"/>
        </w:rPr>
        <w:t xml:space="preserve"> au Centre des demandes de renseignements reçues par un office de propriété intellectuelle (notamment pour des atteintes aux droits).</w:t>
      </w:r>
    </w:p>
    <w:p w:rsidR="008670FA" w:rsidRPr="00882E58" w:rsidRDefault="00405D51" w:rsidP="00401FB8">
      <w:pPr>
        <w:pStyle w:val="ONUMFS"/>
        <w:rPr>
          <w:lang w:val="fr-FR"/>
        </w:rPr>
      </w:pPr>
      <w:r w:rsidRPr="00882E58">
        <w:rPr>
          <w:lang w:val="fr-FR"/>
        </w:rPr>
        <w:t>Administration des litiges</w:t>
      </w:r>
      <w:r w:rsidR="009B258A">
        <w:rPr>
          <w:lang w:val="fr-FR"/>
        </w:rPr>
        <w:t> :</w:t>
      </w:r>
      <w:r w:rsidRPr="00882E58">
        <w:rPr>
          <w:lang w:val="fr-FR"/>
        </w:rPr>
        <w:t xml:space="preserve"> certains offices de propriété intellectuelle ont élaboré des procédures extrajudiciaires ou encouragent les parties à utiliser ces solutions pour les procédures dont </w:t>
      </w:r>
      <w:r w:rsidR="008C6C43">
        <w:rPr>
          <w:lang w:val="fr-FR"/>
        </w:rPr>
        <w:t>ils</w:t>
      </w:r>
      <w:r w:rsidRPr="00882E58">
        <w:rPr>
          <w:lang w:val="fr-FR"/>
        </w:rPr>
        <w:t xml:space="preserve"> sont saisis, notamment pour les oppositions en matière de marques ou de breve</w:t>
      </w:r>
      <w:r w:rsidR="0090772B" w:rsidRPr="00882E58">
        <w:rPr>
          <w:lang w:val="fr-FR"/>
        </w:rPr>
        <w:t>ts</w:t>
      </w:r>
      <w:r w:rsidR="0090772B">
        <w:rPr>
          <w:lang w:val="fr-FR"/>
        </w:rPr>
        <w:t xml:space="preserve">.  </w:t>
      </w:r>
      <w:r w:rsidR="0090772B" w:rsidRPr="00882E58">
        <w:rPr>
          <w:lang w:val="fr-FR"/>
        </w:rPr>
        <w:t>Le</w:t>
      </w:r>
      <w:r w:rsidRPr="00882E58">
        <w:rPr>
          <w:lang w:val="fr-FR"/>
        </w:rPr>
        <w:t xml:space="preserve"> Centre a travaillé avec les offices pour élaborer des </w:t>
      </w:r>
      <w:r w:rsidR="000E4601">
        <w:rPr>
          <w:lang w:val="fr-FR"/>
        </w:rPr>
        <w:t>procédures</w:t>
      </w:r>
      <w:r w:rsidRPr="00882E58">
        <w:rPr>
          <w:lang w:val="fr-FR"/>
        </w:rPr>
        <w:t xml:space="preserve"> de médiation et d</w:t>
      </w:r>
      <w:r w:rsidR="009B258A">
        <w:rPr>
          <w:lang w:val="fr-FR"/>
        </w:rPr>
        <w:t>’</w:t>
      </w:r>
      <w:r w:rsidRPr="00882E58">
        <w:rPr>
          <w:lang w:val="fr-FR"/>
        </w:rPr>
        <w:t>expertise à cet éga</w:t>
      </w:r>
      <w:r w:rsidR="0090772B" w:rsidRPr="00882E58">
        <w:rPr>
          <w:lang w:val="fr-FR"/>
        </w:rPr>
        <w:t>rd</w:t>
      </w:r>
      <w:r w:rsidR="0090772B">
        <w:rPr>
          <w:lang w:val="fr-FR"/>
        </w:rPr>
        <w:t xml:space="preserve">.  </w:t>
      </w:r>
      <w:r w:rsidR="0090772B" w:rsidRPr="00882E58">
        <w:rPr>
          <w:lang w:val="fr-FR"/>
        </w:rPr>
        <w:t>Le</w:t>
      </w:r>
      <w:r w:rsidRPr="00882E58">
        <w:rPr>
          <w:lang w:val="fr-FR"/>
        </w:rPr>
        <w:t xml:space="preserve"> Centre a également collaboré avec les offices de propriété intellectuelle dans l</w:t>
      </w:r>
      <w:r w:rsidR="009B258A">
        <w:rPr>
          <w:lang w:val="fr-FR"/>
        </w:rPr>
        <w:t>’</w:t>
      </w:r>
      <w:r w:rsidRPr="00882E58">
        <w:rPr>
          <w:lang w:val="fr-FR"/>
        </w:rPr>
        <w:t>administration</w:t>
      </w:r>
      <w:r w:rsidR="00E6003E" w:rsidRPr="00882E58">
        <w:rPr>
          <w:lang w:val="fr-FR"/>
        </w:rPr>
        <w:t xml:space="preserve"> </w:t>
      </w:r>
      <w:r w:rsidR="008C6C43">
        <w:rPr>
          <w:lang w:val="fr-FR"/>
        </w:rPr>
        <w:t>des litiges soumis par l</w:t>
      </w:r>
      <w:r w:rsidRPr="00882E58">
        <w:rPr>
          <w:lang w:val="fr-FR"/>
        </w:rPr>
        <w:t>es parties en vertu de ces systèmes</w:t>
      </w:r>
      <w:r w:rsidRPr="00882E58">
        <w:rPr>
          <w:rStyle w:val="FootnoteReference"/>
          <w:szCs w:val="22"/>
          <w:lang w:val="fr-FR"/>
        </w:rPr>
        <w:footnoteReference w:id="11"/>
      </w:r>
      <w:r w:rsidRPr="00882E58">
        <w:rPr>
          <w:lang w:val="fr-FR"/>
        </w:rPr>
        <w:t>.</w:t>
      </w:r>
      <w:r w:rsidR="00B10A95">
        <w:rPr>
          <w:szCs w:val="22"/>
          <w:lang w:val="fr-FR"/>
        </w:rPr>
        <w:t xml:space="preserve"> </w:t>
      </w:r>
      <w:r w:rsidR="00E6003E" w:rsidRPr="00882E58">
        <w:rPr>
          <w:lang w:val="fr-FR"/>
        </w:rPr>
        <w:t xml:space="preserve"> </w:t>
      </w:r>
      <w:r w:rsidRPr="00882E58">
        <w:rPr>
          <w:lang w:val="fr-FR"/>
        </w:rPr>
        <w:lastRenderedPageBreak/>
        <w:t>Dans le domaine du droit d</w:t>
      </w:r>
      <w:r w:rsidR="009B258A">
        <w:rPr>
          <w:lang w:val="fr-FR"/>
        </w:rPr>
        <w:t>’</w:t>
      </w:r>
      <w:r w:rsidRPr="00882E58">
        <w:rPr>
          <w:lang w:val="fr-FR"/>
        </w:rPr>
        <w:t xml:space="preserve">auteur, certains </w:t>
      </w:r>
      <w:r w:rsidR="0060587A">
        <w:rPr>
          <w:lang w:val="fr-FR"/>
        </w:rPr>
        <w:t>bureaux</w:t>
      </w:r>
      <w:r w:rsidRPr="00882E58">
        <w:rPr>
          <w:lang w:val="fr-FR"/>
        </w:rPr>
        <w:t xml:space="preserve"> administrent les procédures extrajudiciaires de règlement des litiges nationaux et désignent le Centre comme institution de règlement des litiges lorsque l</w:t>
      </w:r>
      <w:r w:rsidR="009B258A">
        <w:rPr>
          <w:lang w:val="fr-FR"/>
        </w:rPr>
        <w:t>’</w:t>
      </w:r>
      <w:r w:rsidRPr="00882E58">
        <w:rPr>
          <w:lang w:val="fr-FR"/>
        </w:rPr>
        <w:t>une ou l</w:t>
      </w:r>
      <w:r w:rsidR="009B258A">
        <w:rPr>
          <w:lang w:val="fr-FR"/>
        </w:rPr>
        <w:t>’</w:t>
      </w:r>
      <w:r w:rsidRPr="00882E58">
        <w:rPr>
          <w:lang w:val="fr-FR"/>
        </w:rPr>
        <w:t>autre des parties ou les deux</w:t>
      </w:r>
      <w:r w:rsidR="00E6003E">
        <w:rPr>
          <w:lang w:val="fr-FR"/>
        </w:rPr>
        <w:t> </w:t>
      </w:r>
      <w:r w:rsidRPr="00882E58">
        <w:rPr>
          <w:lang w:val="fr-FR"/>
        </w:rPr>
        <w:t>ont leur siège ou leur domicile à l</w:t>
      </w:r>
      <w:r w:rsidR="009B258A">
        <w:rPr>
          <w:lang w:val="fr-FR"/>
        </w:rPr>
        <w:t>’</w:t>
      </w:r>
      <w:r w:rsidRPr="00882E58">
        <w:rPr>
          <w:lang w:val="fr-FR"/>
        </w:rPr>
        <w:t>étranger</w:t>
      </w:r>
      <w:r w:rsidRPr="00882E58">
        <w:rPr>
          <w:rStyle w:val="FootnoteReference"/>
          <w:szCs w:val="22"/>
          <w:lang w:val="fr-FR"/>
        </w:rPr>
        <w:footnoteReference w:id="12"/>
      </w:r>
      <w:r w:rsidRPr="00882E58">
        <w:rPr>
          <w:lang w:val="fr-FR"/>
        </w:rPr>
        <w:t>.</w:t>
      </w:r>
    </w:p>
    <w:p w:rsidR="008670FA" w:rsidRPr="00882E58" w:rsidRDefault="00D91FBC" w:rsidP="00401FB8">
      <w:pPr>
        <w:pStyle w:val="ONUMFS"/>
        <w:rPr>
          <w:lang w:val="fr-FR"/>
        </w:rPr>
      </w:pPr>
      <w:r w:rsidRPr="00882E58">
        <w:rPr>
          <w:lang w:val="fr-FR"/>
        </w:rPr>
        <w:t>Modes extrajudiciaires de règlement des litiges en matière de contrats types de recherche</w:t>
      </w:r>
      <w:r w:rsidR="00401FB8">
        <w:rPr>
          <w:lang w:val="fr-FR"/>
        </w:rPr>
        <w:noBreakHyphen/>
      </w:r>
      <w:r w:rsidR="00882E58" w:rsidRPr="00882E58">
        <w:rPr>
          <w:lang w:val="fr-FR"/>
        </w:rPr>
        <w:t>développement</w:t>
      </w:r>
      <w:r w:rsidRPr="00882E58">
        <w:rPr>
          <w:lang w:val="fr-FR"/>
        </w:rPr>
        <w:t xml:space="preserve"> (R</w:t>
      </w:r>
      <w:r w:rsidR="00401FB8">
        <w:rPr>
          <w:lang w:val="fr-FR"/>
        </w:rPr>
        <w:noBreakHyphen/>
      </w:r>
      <w:r w:rsidRPr="00882E58">
        <w:rPr>
          <w:lang w:val="fr-FR"/>
        </w:rPr>
        <w:t>D)</w:t>
      </w:r>
      <w:r w:rsidR="009B258A">
        <w:rPr>
          <w:lang w:val="fr-FR"/>
        </w:rPr>
        <w:t> :</w:t>
      </w:r>
      <w:r w:rsidRPr="00882E58">
        <w:rPr>
          <w:lang w:val="fr-FR"/>
        </w:rPr>
        <w:t xml:space="preserve"> le Centre a également collaboré avec des offices de propriété intellectuelle pour l</w:t>
      </w:r>
      <w:r w:rsidR="009B258A">
        <w:rPr>
          <w:lang w:val="fr-FR"/>
        </w:rPr>
        <w:t>’</w:t>
      </w:r>
      <w:r w:rsidRPr="00882E58">
        <w:rPr>
          <w:lang w:val="fr-FR"/>
        </w:rPr>
        <w:t>élaboration de contrats types de recherche</w:t>
      </w:r>
      <w:r w:rsidR="00401FB8">
        <w:rPr>
          <w:lang w:val="fr-FR"/>
        </w:rPr>
        <w:noBreakHyphen/>
      </w:r>
      <w:r w:rsidR="00882E58" w:rsidRPr="00882E58">
        <w:rPr>
          <w:lang w:val="fr-FR"/>
        </w:rPr>
        <w:t>développement</w:t>
      </w:r>
      <w:r w:rsidRPr="00882E58">
        <w:rPr>
          <w:lang w:val="fr-FR"/>
        </w:rPr>
        <w:t>, dont les clauses de règlement des litiges prévoient une médiation de l</w:t>
      </w:r>
      <w:r w:rsidR="009B258A">
        <w:rPr>
          <w:lang w:val="fr-FR"/>
        </w:rPr>
        <w:t>’</w:t>
      </w:r>
      <w:r w:rsidRPr="00882E58">
        <w:rPr>
          <w:lang w:val="fr-FR"/>
        </w:rPr>
        <w:t>OMPI suivie d</w:t>
      </w:r>
      <w:r w:rsidR="009B258A">
        <w:rPr>
          <w:lang w:val="fr-FR"/>
        </w:rPr>
        <w:t>’</w:t>
      </w:r>
      <w:r w:rsidRPr="00882E58">
        <w:rPr>
          <w:lang w:val="fr-FR"/>
        </w:rPr>
        <w:t>un arbitrage accéléré de l</w:t>
      </w:r>
      <w:r w:rsidR="009B258A">
        <w:rPr>
          <w:lang w:val="fr-FR"/>
        </w:rPr>
        <w:t>’</w:t>
      </w:r>
      <w:r w:rsidRPr="00882E58">
        <w:rPr>
          <w:lang w:val="fr-FR"/>
        </w:rPr>
        <w:t>OMPI</w:t>
      </w:r>
      <w:r w:rsidRPr="00882E58">
        <w:rPr>
          <w:rStyle w:val="FootnoteReference"/>
          <w:szCs w:val="22"/>
          <w:lang w:val="fr-FR"/>
        </w:rPr>
        <w:footnoteReference w:id="13"/>
      </w:r>
      <w:r w:rsidRPr="00882E58">
        <w:rPr>
          <w:lang w:val="fr-FR"/>
        </w:rPr>
        <w:t>.</w:t>
      </w:r>
    </w:p>
    <w:p w:rsidR="008670FA" w:rsidRPr="00882E58" w:rsidRDefault="00956593" w:rsidP="00401FB8">
      <w:pPr>
        <w:pStyle w:val="ONUMFS"/>
        <w:rPr>
          <w:lang w:val="fr-FR"/>
        </w:rPr>
      </w:pPr>
      <w:r w:rsidRPr="00882E58">
        <w:rPr>
          <w:lang w:val="fr-FR"/>
        </w:rPr>
        <w:t xml:space="preserve">Reflet de cette expérience croissante, le Centre a publié </w:t>
      </w:r>
      <w:r w:rsidR="009B258A" w:rsidRPr="00882E58">
        <w:rPr>
          <w:lang w:val="fr-FR"/>
        </w:rPr>
        <w:t>en</w:t>
      </w:r>
      <w:r w:rsidR="009B258A">
        <w:rPr>
          <w:lang w:val="fr-FR"/>
        </w:rPr>
        <w:t> </w:t>
      </w:r>
      <w:r w:rsidR="009B258A" w:rsidRPr="00882E58">
        <w:rPr>
          <w:lang w:val="fr-FR"/>
        </w:rPr>
        <w:t>2018</w:t>
      </w:r>
      <w:r w:rsidRPr="00882E58">
        <w:rPr>
          <w:lang w:val="fr-FR"/>
        </w:rPr>
        <w:t xml:space="preserve"> une deuxième édition du Guide OMPI du règlement extrajudiciaire des litiges pour les offices de propriété intellectuelle et les tribunaux</w:t>
      </w:r>
      <w:r w:rsidRPr="00882E58">
        <w:rPr>
          <w:rStyle w:val="FootnoteReference"/>
          <w:szCs w:val="22"/>
          <w:lang w:val="fr-FR"/>
        </w:rPr>
        <w:footnoteReference w:id="14"/>
      </w:r>
      <w:r w:rsidRPr="00882E58">
        <w:rPr>
          <w:lang w:val="fr-FR"/>
        </w:rPr>
        <w:t xml:space="preserve">.  Ce guide donne </w:t>
      </w:r>
      <w:r w:rsidR="00882E58" w:rsidRPr="00882E58">
        <w:rPr>
          <w:lang w:val="fr-FR"/>
        </w:rPr>
        <w:t>un</w:t>
      </w:r>
      <w:r w:rsidRPr="00882E58">
        <w:rPr>
          <w:lang w:val="fr-FR"/>
        </w:rPr>
        <w:t xml:space="preserve"> aperçu du règlement extrajudiciaire des litiges de propriété intellectuelle et offre aux offices et aux tribunaux intéressés des solutions pour intégrer les modes extrajudiciaires de règlement dans leurs procédures existant</w:t>
      </w:r>
      <w:r w:rsidR="0090772B" w:rsidRPr="00882E58">
        <w:rPr>
          <w:lang w:val="fr-FR"/>
        </w:rPr>
        <w:t>es</w:t>
      </w:r>
      <w:r w:rsidR="0090772B">
        <w:rPr>
          <w:lang w:val="fr-FR"/>
        </w:rPr>
        <w:t xml:space="preserve">.  </w:t>
      </w:r>
      <w:r w:rsidR="0090772B" w:rsidRPr="00882E58">
        <w:rPr>
          <w:lang w:val="fr-FR"/>
        </w:rPr>
        <w:t>Le</w:t>
      </w:r>
      <w:r w:rsidRPr="00882E58">
        <w:rPr>
          <w:lang w:val="fr-FR"/>
        </w:rPr>
        <w:t xml:space="preserve"> guide passe également en revue les collaborations du Centre et donne des exemples de documents types.</w:t>
      </w:r>
    </w:p>
    <w:p w:rsidR="008670FA" w:rsidRPr="00882E58" w:rsidRDefault="009B59FD" w:rsidP="009B59FD">
      <w:pPr>
        <w:pStyle w:val="Heading3"/>
        <w:ind w:left="1701" w:hanging="567"/>
        <w:rPr>
          <w:lang w:val="fr-FR"/>
        </w:rPr>
      </w:pPr>
      <w:r w:rsidRPr="00882E58">
        <w:rPr>
          <w:lang w:val="fr-FR"/>
        </w:rPr>
        <w:t>Procédures extrajudiciaires de l</w:t>
      </w:r>
      <w:r w:rsidR="009B258A">
        <w:rPr>
          <w:lang w:val="fr-FR"/>
        </w:rPr>
        <w:t>’</w:t>
      </w:r>
      <w:r w:rsidRPr="00882E58">
        <w:rPr>
          <w:lang w:val="fr-FR"/>
        </w:rPr>
        <w:t>OMPI pour le règlement des litiges portant sur la concession de licences à des conditions équitables, raisonnables et non discriminatoires (conditions FRAND)</w:t>
      </w:r>
    </w:p>
    <w:p w:rsidR="009B258A" w:rsidRDefault="0072276A" w:rsidP="00401FB8">
      <w:pPr>
        <w:pStyle w:val="ONUMFS"/>
        <w:rPr>
          <w:lang w:val="fr-FR"/>
        </w:rPr>
      </w:pPr>
      <w:r w:rsidRPr="00882E58">
        <w:rPr>
          <w:lang w:val="fr-FR"/>
        </w:rPr>
        <w:t>Pour faciliter la soumission aux procédures extrajudiciaires de l</w:t>
      </w:r>
      <w:r w:rsidR="009B258A">
        <w:rPr>
          <w:lang w:val="fr-FR"/>
        </w:rPr>
        <w:t>’</w:t>
      </w:r>
      <w:r w:rsidRPr="00882E58">
        <w:rPr>
          <w:lang w:val="fr-FR"/>
        </w:rPr>
        <w:t>OMPI des litiges portant sur la concession de licences à des conditions équitables, raisonnables et non discriminatoires (conditions FRAND) pour les brevets essentiels à des normes, le Centre, en collaboration avec des parties prenantes dans le secteur des télécoms et des experts de l</w:t>
      </w:r>
      <w:r w:rsidR="009B258A">
        <w:rPr>
          <w:lang w:val="fr-FR"/>
        </w:rPr>
        <w:t>’</w:t>
      </w:r>
      <w:r w:rsidRPr="00882E58">
        <w:rPr>
          <w:lang w:val="fr-FR"/>
        </w:rPr>
        <w:t>arbitrage en matière de brevets, a élaboré des recommandations concernant le règlement extrajudiciaire des litiges FRAND</w:t>
      </w:r>
      <w:r w:rsidRPr="00882E58">
        <w:rPr>
          <w:rStyle w:val="FootnoteReference"/>
          <w:lang w:val="fr-FR"/>
        </w:rPr>
        <w:footnoteReference w:id="15"/>
      </w:r>
      <w:r w:rsidRPr="00882E58">
        <w:rPr>
          <w:lang w:val="fr-FR"/>
        </w:rPr>
        <w:t>.</w:t>
      </w:r>
      <w:r w:rsidR="00F83CEE" w:rsidRPr="00882E58">
        <w:rPr>
          <w:lang w:val="fr-FR"/>
        </w:rPr>
        <w:t xml:space="preserve"> </w:t>
      </w:r>
      <w:r w:rsidR="00E6003E">
        <w:rPr>
          <w:lang w:val="fr-FR"/>
        </w:rPr>
        <w:t xml:space="preserve"> </w:t>
      </w:r>
      <w:r w:rsidRPr="00882E58">
        <w:rPr>
          <w:lang w:val="fr-FR"/>
        </w:rPr>
        <w:t>Publiées fin</w:t>
      </w:r>
      <w:r w:rsidR="00401FB8">
        <w:rPr>
          <w:lang w:val="fr-FR"/>
        </w:rPr>
        <w:t> </w:t>
      </w:r>
      <w:r w:rsidRPr="00882E58">
        <w:rPr>
          <w:lang w:val="fr-FR"/>
        </w:rPr>
        <w:t>2017, ces recommandations visent à aider les parties et les intermédiaires neutres à mieux comprendre et utiliser les possibilités de règlement existantes lors de la négociation ou de la rédaction de contrats de licence FR</w:t>
      </w:r>
      <w:r w:rsidR="0090772B" w:rsidRPr="00882E58">
        <w:rPr>
          <w:lang w:val="fr-FR"/>
        </w:rPr>
        <w:t>AND</w:t>
      </w:r>
      <w:r w:rsidR="0090772B">
        <w:rPr>
          <w:lang w:val="fr-FR"/>
        </w:rPr>
        <w:t xml:space="preserve">.  </w:t>
      </w:r>
      <w:r w:rsidR="0090772B" w:rsidRPr="00882E58">
        <w:rPr>
          <w:lang w:val="fr-FR"/>
        </w:rPr>
        <w:t>Ce</w:t>
      </w:r>
      <w:r w:rsidRPr="00882E58">
        <w:rPr>
          <w:lang w:val="fr-FR"/>
        </w:rPr>
        <w:t xml:space="preserve"> document couvre les principaux éléments que les parties peuvent souhaiter prendre en considération pour façonner la procédure extrajudiciaire, notamment en cas de </w:t>
      </w:r>
      <w:r w:rsidR="00882E58" w:rsidRPr="00882E58">
        <w:rPr>
          <w:lang w:val="fr-FR"/>
        </w:rPr>
        <w:t>portefeuilles</w:t>
      </w:r>
      <w:r w:rsidRPr="00882E58">
        <w:rPr>
          <w:lang w:val="fr-FR"/>
        </w:rPr>
        <w:t xml:space="preserve"> de brevets essentiels à des normes bien garnis, et pour contenir la durée et les coûts de la procédu</w:t>
      </w:r>
      <w:r w:rsidR="0090772B" w:rsidRPr="00882E58">
        <w:rPr>
          <w:lang w:val="fr-FR"/>
        </w:rPr>
        <w:t>re</w:t>
      </w:r>
      <w:r w:rsidR="0090772B">
        <w:rPr>
          <w:lang w:val="fr-FR"/>
        </w:rPr>
        <w:t xml:space="preserve">.  </w:t>
      </w:r>
      <w:r w:rsidR="0090772B" w:rsidRPr="00882E58">
        <w:rPr>
          <w:lang w:val="fr-FR"/>
        </w:rPr>
        <w:t>Il</w:t>
      </w:r>
      <w:r w:rsidRPr="00882E58">
        <w:rPr>
          <w:lang w:val="fr-FR"/>
        </w:rPr>
        <w:t xml:space="preserve"> comprend également des conventions ad</w:t>
      </w:r>
      <w:r w:rsidR="00E6003E">
        <w:rPr>
          <w:lang w:val="fr-FR"/>
        </w:rPr>
        <w:t> </w:t>
      </w:r>
      <w:r w:rsidRPr="00882E58">
        <w:rPr>
          <w:lang w:val="fr-FR"/>
        </w:rPr>
        <w:t>hoc types visant à aider les parties à soumettre les litiges FRAND à une médiation ou un arbitrage de l</w:t>
      </w:r>
      <w:r w:rsidR="009B258A">
        <w:rPr>
          <w:lang w:val="fr-FR"/>
        </w:rPr>
        <w:t>’</w:t>
      </w:r>
      <w:r w:rsidRPr="00882E58">
        <w:rPr>
          <w:lang w:val="fr-FR"/>
        </w:rPr>
        <w:t>OMPI.</w:t>
      </w:r>
    </w:p>
    <w:p w:rsidR="008670FA" w:rsidRPr="00882E58" w:rsidRDefault="0072276A" w:rsidP="00994896">
      <w:pPr>
        <w:pStyle w:val="Heading3"/>
        <w:ind w:left="1701" w:hanging="567"/>
        <w:rPr>
          <w:lang w:val="fr-FR"/>
        </w:rPr>
      </w:pPr>
      <w:r w:rsidRPr="00882E58">
        <w:rPr>
          <w:lang w:val="fr-FR"/>
        </w:rPr>
        <w:lastRenderedPageBreak/>
        <w:t>Règlement des litiges survenant dans le cadre de salons professionnels</w:t>
      </w:r>
    </w:p>
    <w:p w:rsidR="009B258A" w:rsidRDefault="00953EA2" w:rsidP="00994896">
      <w:pPr>
        <w:pStyle w:val="ONUMFS"/>
        <w:keepNext/>
        <w:keepLines/>
        <w:rPr>
          <w:lang w:val="fr-FR"/>
        </w:rPr>
      </w:pPr>
      <w:r w:rsidRPr="00882E58">
        <w:rPr>
          <w:lang w:val="fr-FR"/>
        </w:rPr>
        <w:t>En collaboration avec les organisateurs de salons, le Centre dispense des conseils et des services en matière de règlement des litiges pour aider les parties à résoudre les contentieux survenant dans ce contexte sans avoir à saisir les tribunaux pendant la durée du salon</w:t>
      </w:r>
      <w:r w:rsidRPr="00882E58">
        <w:rPr>
          <w:rStyle w:val="FootnoteReference"/>
          <w:szCs w:val="22"/>
          <w:lang w:val="fr-FR"/>
        </w:rPr>
        <w:footnoteReference w:id="16"/>
      </w:r>
      <w:r w:rsidRPr="00882E58">
        <w:rPr>
          <w:lang w:val="fr-FR"/>
        </w:rPr>
        <w:t>.</w:t>
      </w:r>
      <w:r w:rsidR="00F83CEE" w:rsidRPr="00882E58">
        <w:rPr>
          <w:lang w:val="fr-FR"/>
        </w:rPr>
        <w:t xml:space="preserve"> </w:t>
      </w:r>
      <w:r w:rsidR="00E6003E">
        <w:rPr>
          <w:lang w:val="fr-FR"/>
        </w:rPr>
        <w:t xml:space="preserve"> </w:t>
      </w:r>
      <w:r w:rsidRPr="00882E58">
        <w:rPr>
          <w:lang w:val="fr-FR"/>
        </w:rPr>
        <w:t xml:space="preserve">Depuis les assemblées </w:t>
      </w:r>
      <w:r w:rsidR="009B258A" w:rsidRPr="00882E58">
        <w:rPr>
          <w:lang w:val="fr-FR"/>
        </w:rPr>
        <w:t>de</w:t>
      </w:r>
      <w:r w:rsidR="009B258A">
        <w:rPr>
          <w:lang w:val="fr-FR"/>
        </w:rPr>
        <w:t> </w:t>
      </w:r>
      <w:r w:rsidR="009B258A" w:rsidRPr="00882E58">
        <w:rPr>
          <w:lang w:val="fr-FR"/>
        </w:rPr>
        <w:t>2017</w:t>
      </w:r>
      <w:r w:rsidRPr="00882E58">
        <w:rPr>
          <w:lang w:val="fr-FR"/>
        </w:rPr>
        <w:t>, le Centre a instruit des litiges en vertu de la procédure d</w:t>
      </w:r>
      <w:r w:rsidR="009B258A">
        <w:rPr>
          <w:lang w:val="fr-FR"/>
        </w:rPr>
        <w:t>’</w:t>
      </w:r>
      <w:r w:rsidRPr="00882E58">
        <w:rPr>
          <w:lang w:val="fr-FR"/>
        </w:rPr>
        <w:t>urgence pour le règlement des litiges de propriété intellectuelle survenant dans le cadre de salons organisés au Centre d</w:t>
      </w:r>
      <w:r w:rsidR="009B258A">
        <w:rPr>
          <w:lang w:val="fr-FR"/>
        </w:rPr>
        <w:t>’</w:t>
      </w:r>
      <w:r w:rsidRPr="00882E58">
        <w:rPr>
          <w:lang w:val="fr-FR"/>
        </w:rPr>
        <w:t>expositions Palexpo à Genève</w:t>
      </w:r>
      <w:r w:rsidRPr="00882E58">
        <w:rPr>
          <w:rStyle w:val="FootnoteReference"/>
          <w:szCs w:val="22"/>
          <w:lang w:val="fr-FR"/>
        </w:rPr>
        <w:footnoteReference w:id="17"/>
      </w:r>
      <w:r w:rsidRPr="00882E58">
        <w:rPr>
          <w:lang w:val="fr-FR"/>
        </w:rPr>
        <w:t>.</w:t>
      </w:r>
      <w:r w:rsidR="00F83CEE" w:rsidRPr="00882E58">
        <w:rPr>
          <w:lang w:val="fr-FR"/>
        </w:rPr>
        <w:t xml:space="preserve"> </w:t>
      </w:r>
      <w:r w:rsidR="00E6003E">
        <w:rPr>
          <w:lang w:val="fr-FR"/>
        </w:rPr>
        <w:t xml:space="preserve"> </w:t>
      </w:r>
      <w:r w:rsidR="00A273C8" w:rsidRPr="00882E58">
        <w:rPr>
          <w:lang w:val="fr-FR"/>
        </w:rPr>
        <w:t>Le Centre a également collaboré avec l</w:t>
      </w:r>
      <w:r w:rsidR="009B258A">
        <w:rPr>
          <w:lang w:val="fr-FR"/>
        </w:rPr>
        <w:t>’</w:t>
      </w:r>
      <w:r w:rsidR="00A273C8" w:rsidRPr="00882E58">
        <w:rPr>
          <w:lang w:val="fr-FR"/>
        </w:rPr>
        <w:t xml:space="preserve">organisateur de salons </w:t>
      </w:r>
      <w:proofErr w:type="spellStart"/>
      <w:r w:rsidR="00A273C8" w:rsidRPr="00882E58">
        <w:rPr>
          <w:lang w:val="fr-FR"/>
        </w:rPr>
        <w:t>SingEx</w:t>
      </w:r>
      <w:proofErr w:type="spellEnd"/>
      <w:r w:rsidR="00A273C8" w:rsidRPr="00882E58">
        <w:rPr>
          <w:lang w:val="fr-FR"/>
        </w:rPr>
        <w:t xml:space="preserve"> à Singapour afin d</w:t>
      </w:r>
      <w:r w:rsidR="009B258A">
        <w:rPr>
          <w:lang w:val="fr-FR"/>
        </w:rPr>
        <w:t>’</w:t>
      </w:r>
      <w:r w:rsidR="00A273C8" w:rsidRPr="00882E58">
        <w:rPr>
          <w:lang w:val="fr-FR"/>
        </w:rPr>
        <w:t>élaborer une procédure d</w:t>
      </w:r>
      <w:r w:rsidR="009B258A">
        <w:rPr>
          <w:lang w:val="fr-FR"/>
        </w:rPr>
        <w:t>’</w:t>
      </w:r>
      <w:r w:rsidR="00A273C8" w:rsidRPr="00882E58">
        <w:rPr>
          <w:lang w:val="fr-FR"/>
        </w:rPr>
        <w:t xml:space="preserve">urgence personnalisée </w:t>
      </w:r>
      <w:r w:rsidR="0060587A">
        <w:rPr>
          <w:lang w:val="fr-FR"/>
        </w:rPr>
        <w:t xml:space="preserve">pour </w:t>
      </w:r>
      <w:r w:rsidR="00A273C8" w:rsidRPr="00882E58">
        <w:rPr>
          <w:lang w:val="fr-FR"/>
        </w:rPr>
        <w:t xml:space="preserve">un salon prévu ultérieurement </w:t>
      </w:r>
      <w:r w:rsidR="009B258A" w:rsidRPr="00882E58">
        <w:rPr>
          <w:lang w:val="fr-FR"/>
        </w:rPr>
        <w:t>en</w:t>
      </w:r>
      <w:r w:rsidR="009B258A">
        <w:rPr>
          <w:lang w:val="fr-FR"/>
        </w:rPr>
        <w:t> </w:t>
      </w:r>
      <w:r w:rsidR="009B258A" w:rsidRPr="00882E58">
        <w:rPr>
          <w:lang w:val="fr-FR"/>
        </w:rPr>
        <w:t>2018</w:t>
      </w:r>
      <w:r w:rsidR="00A273C8" w:rsidRPr="00882E58">
        <w:rPr>
          <w:lang w:val="fr-FR"/>
        </w:rPr>
        <w:t>.</w:t>
      </w:r>
    </w:p>
    <w:p w:rsidR="008670FA" w:rsidRPr="00882E58" w:rsidRDefault="00994896" w:rsidP="00A273C8">
      <w:pPr>
        <w:pStyle w:val="Heading1"/>
        <w:spacing w:after="240"/>
        <w:rPr>
          <w:lang w:val="fr-FR"/>
        </w:rPr>
      </w:pPr>
      <w:r w:rsidRPr="00882E58">
        <w:rPr>
          <w:lang w:val="fr-FR"/>
        </w:rPr>
        <w:t>II.</w:t>
      </w:r>
      <w:r w:rsidRPr="00882E58">
        <w:rPr>
          <w:lang w:val="fr-FR"/>
        </w:rPr>
        <w:tab/>
        <w:t>ADMINISTRATION DE</w:t>
      </w:r>
      <w:r>
        <w:rPr>
          <w:lang w:val="fr-FR"/>
        </w:rPr>
        <w:t>S</w:t>
      </w:r>
      <w:r w:rsidRPr="00882E58">
        <w:rPr>
          <w:lang w:val="fr-FR"/>
        </w:rPr>
        <w:t xml:space="preserve"> LITIGES RELATIFS AUX NOMS DE DOMAINE</w:t>
      </w:r>
    </w:p>
    <w:p w:rsidR="008670FA" w:rsidRPr="00882E58" w:rsidRDefault="00745DC1" w:rsidP="00745DC1">
      <w:pPr>
        <w:pStyle w:val="Heading2"/>
        <w:rPr>
          <w:lang w:val="fr-FR"/>
        </w:rPr>
      </w:pPr>
      <w:r w:rsidRPr="00882E58">
        <w:rPr>
          <w:lang w:val="fr-FR"/>
        </w:rPr>
        <w:t>A.</w:t>
      </w:r>
      <w:r w:rsidRPr="00882E58">
        <w:rPr>
          <w:lang w:val="fr-FR"/>
        </w:rPr>
        <w:tab/>
        <w:t>PRINCIPES UDRP</w:t>
      </w:r>
    </w:p>
    <w:p w:rsidR="008670FA" w:rsidRPr="00882E58" w:rsidRDefault="003E05BA" w:rsidP="00401FB8">
      <w:pPr>
        <w:pStyle w:val="ONUMFS"/>
        <w:rPr>
          <w:lang w:val="fr-FR"/>
        </w:rPr>
      </w:pPr>
      <w:r w:rsidRPr="00882E58">
        <w:rPr>
          <w:lang w:val="fr-FR"/>
        </w:rPr>
        <w:t>Le DNS soulève sur le plan de la protection de la propriété intellectuelle un certain nombre de défis qui, compte tenu de la nature planétaire de l</w:t>
      </w:r>
      <w:r w:rsidR="009B258A">
        <w:rPr>
          <w:lang w:val="fr-FR"/>
        </w:rPr>
        <w:t>’</w:t>
      </w:r>
      <w:r w:rsidRPr="00882E58">
        <w:rPr>
          <w:lang w:val="fr-FR"/>
        </w:rPr>
        <w:t>Internet, appellent une action internationale.</w:t>
      </w:r>
      <w:r w:rsidR="00F83CEE" w:rsidRPr="00882E58">
        <w:rPr>
          <w:lang w:val="fr-FR"/>
        </w:rPr>
        <w:t xml:space="preserve"> </w:t>
      </w:r>
      <w:r w:rsidR="00E6003E">
        <w:rPr>
          <w:lang w:val="fr-FR"/>
        </w:rPr>
        <w:t xml:space="preserve"> </w:t>
      </w:r>
      <w:r w:rsidRPr="00882E58">
        <w:rPr>
          <w:lang w:val="fr-FR"/>
        </w:rPr>
        <w:t>L</w:t>
      </w:r>
      <w:r w:rsidR="009B258A">
        <w:rPr>
          <w:lang w:val="fr-FR"/>
        </w:rPr>
        <w:t>’</w:t>
      </w:r>
      <w:r w:rsidRPr="00882E58">
        <w:rPr>
          <w:lang w:val="fr-FR"/>
        </w:rPr>
        <w:t xml:space="preserve">OMPI répond à ces défis </w:t>
      </w:r>
      <w:r w:rsidR="009B258A" w:rsidRPr="00882E58">
        <w:rPr>
          <w:lang w:val="fr-FR"/>
        </w:rPr>
        <w:t>depuis</w:t>
      </w:r>
      <w:r w:rsidR="009B258A">
        <w:rPr>
          <w:lang w:val="fr-FR"/>
        </w:rPr>
        <w:t> </w:t>
      </w:r>
      <w:r w:rsidR="009B258A" w:rsidRPr="00882E58">
        <w:rPr>
          <w:lang w:val="fr-FR"/>
        </w:rPr>
        <w:t>1998</w:t>
      </w:r>
      <w:r w:rsidRPr="00882E58">
        <w:rPr>
          <w:lang w:val="fr-FR"/>
        </w:rPr>
        <w:t>, en élaborant des solutions sur mesure, notamment dans le cadre des premier</w:t>
      </w:r>
      <w:r w:rsidRPr="00882E58">
        <w:rPr>
          <w:rStyle w:val="FootnoteReference"/>
          <w:szCs w:val="24"/>
          <w:lang w:val="fr-FR"/>
        </w:rPr>
        <w:footnoteReference w:id="18"/>
      </w:r>
      <w:r w:rsidRPr="00882E58">
        <w:rPr>
          <w:lang w:val="fr-FR"/>
        </w:rPr>
        <w:t xml:space="preserve"> et deuxième</w:t>
      </w:r>
      <w:r w:rsidRPr="00882E58">
        <w:rPr>
          <w:rStyle w:val="FootnoteReference"/>
          <w:szCs w:val="24"/>
          <w:lang w:val="fr-FR"/>
        </w:rPr>
        <w:footnoteReference w:id="19"/>
      </w:r>
      <w:r w:rsidRPr="00882E58">
        <w:rPr>
          <w:lang w:val="fr-FR"/>
        </w:rPr>
        <w:t xml:space="preserve"> processus de consultations de l</w:t>
      </w:r>
      <w:r w:rsidR="009B258A">
        <w:rPr>
          <w:lang w:val="fr-FR"/>
        </w:rPr>
        <w:t>’</w:t>
      </w:r>
      <w:r w:rsidRPr="00882E58">
        <w:rPr>
          <w:lang w:val="fr-FR"/>
        </w:rPr>
        <w:t>OMPI sur les noms de domaine de l</w:t>
      </w:r>
      <w:r w:rsidR="009B258A">
        <w:rPr>
          <w:lang w:val="fr-FR"/>
        </w:rPr>
        <w:t>’</w:t>
      </w:r>
      <w:r w:rsidRPr="00882E58">
        <w:rPr>
          <w:lang w:val="fr-FR"/>
        </w:rPr>
        <w:t>Intern</w:t>
      </w:r>
      <w:r w:rsidR="0090772B" w:rsidRPr="00882E58">
        <w:rPr>
          <w:lang w:val="fr-FR"/>
        </w:rPr>
        <w:t>et</w:t>
      </w:r>
      <w:r w:rsidR="0090772B">
        <w:rPr>
          <w:lang w:val="fr-FR"/>
        </w:rPr>
        <w:t xml:space="preserve">.  </w:t>
      </w:r>
      <w:r w:rsidR="0090772B" w:rsidRPr="00882E58">
        <w:rPr>
          <w:lang w:val="fr-FR"/>
        </w:rPr>
        <w:t>Pa</w:t>
      </w:r>
      <w:r w:rsidR="00356A91" w:rsidRPr="00882E58">
        <w:rPr>
          <w:lang w:val="fr-FR"/>
        </w:rPr>
        <w:t>r l</w:t>
      </w:r>
      <w:r w:rsidR="009B258A">
        <w:rPr>
          <w:lang w:val="fr-FR"/>
        </w:rPr>
        <w:t>’</w:t>
      </w:r>
      <w:r w:rsidR="00356A91" w:rsidRPr="00882E58">
        <w:rPr>
          <w:lang w:val="fr-FR"/>
        </w:rPr>
        <w:t>intermédiaire du Centre, l</w:t>
      </w:r>
      <w:r w:rsidR="009B258A">
        <w:rPr>
          <w:lang w:val="fr-FR"/>
        </w:rPr>
        <w:t>’</w:t>
      </w:r>
      <w:r w:rsidR="00356A91" w:rsidRPr="00882E58">
        <w:rPr>
          <w:lang w:val="fr-FR"/>
        </w:rPr>
        <w:t>OMPI met à la disposition des propriétaires de marques des mécanismes internationaux efficaces contre l</w:t>
      </w:r>
      <w:r w:rsidR="009B258A">
        <w:rPr>
          <w:lang w:val="fr-FR"/>
        </w:rPr>
        <w:t>’</w:t>
      </w:r>
      <w:r w:rsidR="00356A91" w:rsidRPr="00882E58">
        <w:rPr>
          <w:lang w:val="fr-FR"/>
        </w:rPr>
        <w:t>enregistrement et l</w:t>
      </w:r>
      <w:r w:rsidR="009B258A">
        <w:rPr>
          <w:lang w:val="fr-FR"/>
        </w:rPr>
        <w:t>’</w:t>
      </w:r>
      <w:r w:rsidR="00356A91" w:rsidRPr="00882E58">
        <w:rPr>
          <w:lang w:val="fr-FR"/>
        </w:rPr>
        <w:t>utilisation de mauvaise foi de noms de domaine correspondant à leurs marqu</w:t>
      </w:r>
      <w:r w:rsidR="0090772B" w:rsidRPr="00882E58">
        <w:rPr>
          <w:lang w:val="fr-FR"/>
        </w:rPr>
        <w:t>es</w:t>
      </w:r>
      <w:r w:rsidR="0090772B">
        <w:rPr>
          <w:lang w:val="fr-FR"/>
        </w:rPr>
        <w:t xml:space="preserve">.  </w:t>
      </w:r>
      <w:r w:rsidR="0090772B" w:rsidRPr="00882E58">
        <w:rPr>
          <w:lang w:val="fr-FR"/>
        </w:rPr>
        <w:t>Le</w:t>
      </w:r>
      <w:r w:rsidR="00356A91" w:rsidRPr="00882E58">
        <w:rPr>
          <w:lang w:val="fr-FR"/>
        </w:rPr>
        <w:t xml:space="preserve"> principal mécanisme administré par le Centre, </w:t>
      </w:r>
      <w:r w:rsidR="009B258A">
        <w:rPr>
          <w:lang w:val="fr-FR"/>
        </w:rPr>
        <w:t>à savoir</w:t>
      </w:r>
      <w:r w:rsidR="00356A91" w:rsidRPr="00882E58">
        <w:rPr>
          <w:lang w:val="fr-FR"/>
        </w:rPr>
        <w:t xml:space="preserve"> les principes UDRP, a été adopté par l</w:t>
      </w:r>
      <w:r w:rsidR="009B258A">
        <w:rPr>
          <w:lang w:val="fr-FR"/>
        </w:rPr>
        <w:t>’</w:t>
      </w:r>
      <w:r w:rsidR="00356A91" w:rsidRPr="00882E58">
        <w:rPr>
          <w:lang w:val="fr-FR"/>
        </w:rPr>
        <w:t>ICANN sur la base des recommandations faites par l</w:t>
      </w:r>
      <w:r w:rsidR="009B258A">
        <w:rPr>
          <w:lang w:val="fr-FR"/>
        </w:rPr>
        <w:t>’</w:t>
      </w:r>
      <w:r w:rsidR="00356A91" w:rsidRPr="00882E58">
        <w:rPr>
          <w:lang w:val="fr-FR"/>
        </w:rPr>
        <w:t>OMPI à l</w:t>
      </w:r>
      <w:r w:rsidR="009B258A">
        <w:rPr>
          <w:lang w:val="fr-FR"/>
        </w:rPr>
        <w:t>’</w:t>
      </w:r>
      <w:r w:rsidR="00356A91" w:rsidRPr="00882E58">
        <w:rPr>
          <w:lang w:val="fr-FR"/>
        </w:rPr>
        <w:t>issue du premier processus de consultations sur les noms de domaine de l</w:t>
      </w:r>
      <w:r w:rsidR="009B258A">
        <w:rPr>
          <w:lang w:val="fr-FR"/>
        </w:rPr>
        <w:t>’</w:t>
      </w:r>
      <w:r w:rsidR="00356A91" w:rsidRPr="00882E58">
        <w:rPr>
          <w:lang w:val="fr-FR"/>
        </w:rPr>
        <w:t>Internet.</w:t>
      </w:r>
    </w:p>
    <w:p w:rsidR="008670FA" w:rsidRPr="00882E58" w:rsidRDefault="00982FB5" w:rsidP="00401FB8">
      <w:pPr>
        <w:pStyle w:val="ONUMFS"/>
        <w:rPr>
          <w:lang w:val="fr-FR"/>
        </w:rPr>
      </w:pPr>
      <w:r w:rsidRPr="00882E58">
        <w:rPr>
          <w:lang w:val="fr-FR"/>
        </w:rPr>
        <w:t>S</w:t>
      </w:r>
      <w:r w:rsidR="009B258A">
        <w:rPr>
          <w:lang w:val="fr-FR"/>
        </w:rPr>
        <w:t>’</w:t>
      </w:r>
      <w:r w:rsidRPr="00882E58">
        <w:rPr>
          <w:lang w:val="fr-FR"/>
        </w:rPr>
        <w:t>appliquant exclusivement aux cas manifestes de mauvaise foi, les principes UDRP sont très appréciés parmi les propriétaires de marques</w:t>
      </w:r>
      <w:r w:rsidRPr="00882E58">
        <w:rPr>
          <w:rStyle w:val="FootnoteReference"/>
          <w:szCs w:val="24"/>
          <w:lang w:val="fr-FR"/>
        </w:rPr>
        <w:footnoteReference w:id="20"/>
      </w:r>
      <w:r w:rsidRPr="00882E58">
        <w:rPr>
          <w:lang w:val="fr-FR"/>
        </w:rPr>
        <w:t>.</w:t>
      </w:r>
      <w:r w:rsidR="00F83CEE" w:rsidRPr="00882E58">
        <w:rPr>
          <w:lang w:val="fr-FR"/>
        </w:rPr>
        <w:t xml:space="preserve"> </w:t>
      </w:r>
      <w:r w:rsidR="00E6003E">
        <w:rPr>
          <w:lang w:val="fr-FR"/>
        </w:rPr>
        <w:t xml:space="preserve"> </w:t>
      </w:r>
      <w:r w:rsidRPr="00882E58">
        <w:rPr>
          <w:lang w:val="fr-FR"/>
        </w:rPr>
        <w:t xml:space="preserve">Depuis </w:t>
      </w:r>
      <w:r w:rsidR="009B258A" w:rsidRPr="00882E58">
        <w:rPr>
          <w:lang w:val="fr-FR"/>
        </w:rPr>
        <w:t>décembre</w:t>
      </w:r>
      <w:r w:rsidR="009B258A">
        <w:rPr>
          <w:lang w:val="fr-FR"/>
        </w:rPr>
        <w:t> </w:t>
      </w:r>
      <w:r w:rsidR="009B258A" w:rsidRPr="00882E58">
        <w:rPr>
          <w:lang w:val="fr-FR"/>
        </w:rPr>
        <w:t>19</w:t>
      </w:r>
      <w:r w:rsidRPr="00882E58">
        <w:rPr>
          <w:lang w:val="fr-FR"/>
        </w:rPr>
        <w:t>99, le Centre a administré plus de 41 000</w:t>
      </w:r>
      <w:r w:rsidR="00401FB8">
        <w:rPr>
          <w:lang w:val="fr-FR"/>
        </w:rPr>
        <w:t> </w:t>
      </w:r>
      <w:r w:rsidRPr="00882E58">
        <w:rPr>
          <w:lang w:val="fr-FR"/>
        </w:rPr>
        <w:t>litiges sur la base des principes UDRP</w:t>
      </w:r>
      <w:r w:rsidRPr="00882E58">
        <w:rPr>
          <w:rStyle w:val="FootnoteReference"/>
          <w:szCs w:val="24"/>
          <w:lang w:val="fr-FR"/>
        </w:rPr>
        <w:footnoteReference w:id="21"/>
      </w:r>
      <w:r w:rsidRPr="00882E58">
        <w:rPr>
          <w:lang w:val="fr-FR"/>
        </w:rPr>
        <w:t>.</w:t>
      </w:r>
      <w:r w:rsidR="00F83CEE" w:rsidRPr="00882E58">
        <w:rPr>
          <w:lang w:val="fr-FR"/>
        </w:rPr>
        <w:t xml:space="preserve"> </w:t>
      </w:r>
      <w:r w:rsidR="00E6003E">
        <w:rPr>
          <w:lang w:val="fr-FR"/>
        </w:rPr>
        <w:t xml:space="preserve"> </w:t>
      </w:r>
      <w:r w:rsidR="009B258A" w:rsidRPr="00882E58">
        <w:rPr>
          <w:lang w:val="fr-FR"/>
        </w:rPr>
        <w:t>En</w:t>
      </w:r>
      <w:r w:rsidR="009B258A">
        <w:rPr>
          <w:lang w:val="fr-FR"/>
        </w:rPr>
        <w:t> </w:t>
      </w:r>
      <w:r w:rsidR="009B258A" w:rsidRPr="00882E58">
        <w:rPr>
          <w:lang w:val="fr-FR"/>
        </w:rPr>
        <w:t>2017</w:t>
      </w:r>
      <w:r w:rsidRPr="00882E58">
        <w:rPr>
          <w:lang w:val="fr-FR"/>
        </w:rPr>
        <w:t>, les propriétaires de marques ont déposé auprès du Centre 3074</w:t>
      </w:r>
      <w:r w:rsidR="00401FB8">
        <w:rPr>
          <w:lang w:val="fr-FR"/>
        </w:rPr>
        <w:t> </w:t>
      </w:r>
      <w:r w:rsidRPr="00882E58">
        <w:rPr>
          <w:lang w:val="fr-FR"/>
        </w:rPr>
        <w:t xml:space="preserve">plaintes en vertu des principes UDRP, marquant la deuxième année consécutive au cours de laquelle plus </w:t>
      </w:r>
      <w:r w:rsidR="009B258A" w:rsidRPr="00882E58">
        <w:rPr>
          <w:lang w:val="fr-FR"/>
        </w:rPr>
        <w:t>de</w:t>
      </w:r>
      <w:r w:rsidR="009B258A">
        <w:rPr>
          <w:lang w:val="fr-FR"/>
        </w:rPr>
        <w:t> </w:t>
      </w:r>
      <w:r w:rsidR="009B258A" w:rsidRPr="00882E58">
        <w:rPr>
          <w:lang w:val="fr-FR"/>
        </w:rPr>
        <w:t>3000</w:t>
      </w:r>
      <w:r w:rsidR="00401FB8">
        <w:rPr>
          <w:lang w:val="fr-FR"/>
        </w:rPr>
        <w:t> </w:t>
      </w:r>
      <w:r w:rsidRPr="00882E58">
        <w:rPr>
          <w:lang w:val="fr-FR"/>
        </w:rPr>
        <w:t>litiges relatifs à des noms de domaine ont été soumis à l</w:t>
      </w:r>
      <w:r w:rsidR="009B258A">
        <w:rPr>
          <w:lang w:val="fr-FR"/>
        </w:rPr>
        <w:t>’</w:t>
      </w:r>
      <w:r w:rsidRPr="00882E58">
        <w:rPr>
          <w:lang w:val="fr-FR"/>
        </w:rPr>
        <w:t>OMPI.</w:t>
      </w:r>
      <w:r w:rsidR="00F83CEE" w:rsidRPr="00882E58">
        <w:rPr>
          <w:lang w:val="fr-FR"/>
        </w:rPr>
        <w:t xml:space="preserve"> </w:t>
      </w:r>
      <w:r w:rsidR="00E6003E">
        <w:rPr>
          <w:lang w:val="fr-FR"/>
        </w:rPr>
        <w:t xml:space="preserve"> </w:t>
      </w:r>
      <w:r w:rsidRPr="00882E58">
        <w:rPr>
          <w:lang w:val="fr-FR"/>
        </w:rPr>
        <w:t xml:space="preserve">À la fin du mois de </w:t>
      </w:r>
      <w:r w:rsidR="009B258A" w:rsidRPr="00882E58">
        <w:rPr>
          <w:lang w:val="fr-FR"/>
        </w:rPr>
        <w:t>juin</w:t>
      </w:r>
      <w:r w:rsidR="009B258A">
        <w:rPr>
          <w:lang w:val="fr-FR"/>
        </w:rPr>
        <w:t> </w:t>
      </w:r>
      <w:r w:rsidR="009B258A" w:rsidRPr="00882E58">
        <w:rPr>
          <w:lang w:val="fr-FR"/>
        </w:rPr>
        <w:t>20</w:t>
      </w:r>
      <w:r w:rsidR="008053DF">
        <w:rPr>
          <w:lang w:val="fr-FR"/>
        </w:rPr>
        <w:t>18</w:t>
      </w:r>
      <w:r w:rsidRPr="00882E58">
        <w:rPr>
          <w:lang w:val="fr-FR"/>
        </w:rPr>
        <w:t>, le nombre total de litiges relatifs à des noms de domaine soumis à l</w:t>
      </w:r>
      <w:r w:rsidR="009B258A">
        <w:rPr>
          <w:lang w:val="fr-FR"/>
        </w:rPr>
        <w:t>’</w:t>
      </w:r>
      <w:r w:rsidRPr="00882E58">
        <w:rPr>
          <w:lang w:val="fr-FR"/>
        </w:rPr>
        <w:t>OMPI par les propriétaires de marques en vertu des principes UDRP approchait 76</w:t>
      </w:r>
      <w:r w:rsidR="00E6003E">
        <w:rPr>
          <w:lang w:val="fr-FR"/>
        </w:rPr>
        <w:t> </w:t>
      </w:r>
      <w:r w:rsidRPr="00882E58">
        <w:rPr>
          <w:lang w:val="fr-FR"/>
        </w:rPr>
        <w:t>000.</w:t>
      </w:r>
    </w:p>
    <w:p w:rsidR="009B258A" w:rsidRDefault="00A67E34" w:rsidP="00401FB8">
      <w:pPr>
        <w:pStyle w:val="ONUMFS"/>
        <w:rPr>
          <w:lang w:val="fr-FR"/>
        </w:rPr>
      </w:pPr>
      <w:r w:rsidRPr="00882E58">
        <w:rPr>
          <w:lang w:val="fr-FR"/>
        </w:rPr>
        <w:t xml:space="preserve">Des entreprises, des institutions et des particuliers ont fait appel aux procédures de règlement des litiges relatifs aux noms de domaine du Centre </w:t>
      </w:r>
      <w:r w:rsidR="009B258A" w:rsidRPr="00882E58">
        <w:rPr>
          <w:lang w:val="fr-FR"/>
        </w:rPr>
        <w:t>en</w:t>
      </w:r>
      <w:r w:rsidR="009B258A">
        <w:rPr>
          <w:lang w:val="fr-FR"/>
        </w:rPr>
        <w:t> </w:t>
      </w:r>
      <w:r w:rsidR="009B258A" w:rsidRPr="00882E58">
        <w:rPr>
          <w:lang w:val="fr-FR"/>
        </w:rPr>
        <w:t>2017</w:t>
      </w:r>
      <w:r w:rsidRPr="00882E58">
        <w:rPr>
          <w:lang w:val="fr-FR"/>
        </w:rPr>
        <w:t>.</w:t>
      </w:r>
      <w:r w:rsidR="00F83CEE" w:rsidRPr="00882E58">
        <w:rPr>
          <w:lang w:val="fr-FR"/>
        </w:rPr>
        <w:t xml:space="preserve"> </w:t>
      </w:r>
      <w:r w:rsidR="00E6003E">
        <w:rPr>
          <w:lang w:val="fr-FR"/>
        </w:rPr>
        <w:t xml:space="preserve"> </w:t>
      </w:r>
      <w:r w:rsidRPr="00882E58">
        <w:rPr>
          <w:lang w:val="fr-FR"/>
        </w:rPr>
        <w:t>Les principaux secteurs d</w:t>
      </w:r>
      <w:r w:rsidR="009B258A">
        <w:rPr>
          <w:lang w:val="fr-FR"/>
        </w:rPr>
        <w:t>’</w:t>
      </w:r>
      <w:r w:rsidRPr="00882E58">
        <w:rPr>
          <w:lang w:val="fr-FR"/>
        </w:rPr>
        <w:t>activité des requérants étaient la banque et la finance, la mode, l</w:t>
      </w:r>
      <w:r w:rsidR="009B258A">
        <w:rPr>
          <w:lang w:val="fr-FR"/>
        </w:rPr>
        <w:t>’</w:t>
      </w:r>
      <w:r w:rsidRPr="00882E58">
        <w:rPr>
          <w:lang w:val="fr-FR"/>
        </w:rPr>
        <w:t>Internet et les technologies de l</w:t>
      </w:r>
      <w:r w:rsidR="009B258A">
        <w:rPr>
          <w:lang w:val="fr-FR"/>
        </w:rPr>
        <w:t>’</w:t>
      </w:r>
      <w:r w:rsidRPr="00882E58">
        <w:rPr>
          <w:lang w:val="fr-FR"/>
        </w:rPr>
        <w:t>information, l</w:t>
      </w:r>
      <w:r w:rsidR="009B258A">
        <w:rPr>
          <w:lang w:val="fr-FR"/>
        </w:rPr>
        <w:t>’</w:t>
      </w:r>
      <w:r w:rsidRPr="00882E58">
        <w:rPr>
          <w:lang w:val="fr-FR"/>
        </w:rPr>
        <w:t>industrie lourde et la construction de machines, l</w:t>
      </w:r>
      <w:r w:rsidR="009B258A">
        <w:rPr>
          <w:lang w:val="fr-FR"/>
        </w:rPr>
        <w:t>’</w:t>
      </w:r>
      <w:r w:rsidRPr="00882E58">
        <w:rPr>
          <w:lang w:val="fr-FR"/>
        </w:rPr>
        <w:t xml:space="preserve">alimentation, les boissons et </w:t>
      </w:r>
      <w:r w:rsidRPr="00882E58">
        <w:rPr>
          <w:lang w:val="fr-FR"/>
        </w:rPr>
        <w:lastRenderedPageBreak/>
        <w:t>la restauration, le commerce de détail, ainsi que la biotechnologie et les produits pharmaceutiqu</w:t>
      </w:r>
      <w:r w:rsidR="0090772B" w:rsidRPr="00882E58">
        <w:rPr>
          <w:lang w:val="fr-FR"/>
        </w:rPr>
        <w:t>es</w:t>
      </w:r>
      <w:r w:rsidR="0090772B">
        <w:rPr>
          <w:lang w:val="fr-FR"/>
        </w:rPr>
        <w:t xml:space="preserve">.  </w:t>
      </w:r>
      <w:r w:rsidR="0090772B" w:rsidRPr="00882E58">
        <w:rPr>
          <w:lang w:val="fr-FR"/>
        </w:rPr>
        <w:t>En</w:t>
      </w:r>
      <w:r w:rsidR="00631213" w:rsidRPr="00882E58">
        <w:rPr>
          <w:lang w:val="fr-FR"/>
        </w:rPr>
        <w:t xml:space="preserve"> particulier, les plaintes déposées par les titulaires de droits dans le secteur de la banque et de la finance portaient notamment sur des cas présumés </w:t>
      </w:r>
      <w:r w:rsidR="0060587A">
        <w:rPr>
          <w:lang w:val="fr-FR"/>
        </w:rPr>
        <w:t xml:space="preserve">de </w:t>
      </w:r>
      <w:r w:rsidR="00631213" w:rsidRPr="00882E58">
        <w:rPr>
          <w:lang w:val="fr-FR"/>
        </w:rPr>
        <w:t>campagnes de messages électroniques frauduleux ou de hameçonnage, d</w:t>
      </w:r>
      <w:r w:rsidR="009B258A">
        <w:rPr>
          <w:lang w:val="fr-FR"/>
        </w:rPr>
        <w:t>’</w:t>
      </w:r>
      <w:r w:rsidR="00631213" w:rsidRPr="00882E58">
        <w:rPr>
          <w:lang w:val="fr-FR"/>
        </w:rPr>
        <w:t>usurpation d</w:t>
      </w:r>
      <w:r w:rsidR="009B258A">
        <w:rPr>
          <w:lang w:val="fr-FR"/>
        </w:rPr>
        <w:t>’</w:t>
      </w:r>
      <w:r w:rsidR="00631213" w:rsidRPr="00882E58">
        <w:rPr>
          <w:lang w:val="fr-FR"/>
        </w:rPr>
        <w:t>identité et d</w:t>
      </w:r>
      <w:r w:rsidR="009B258A">
        <w:rPr>
          <w:lang w:val="fr-FR"/>
        </w:rPr>
        <w:t>’</w:t>
      </w:r>
      <w:r w:rsidR="00631213" w:rsidRPr="00882E58">
        <w:rPr>
          <w:lang w:val="fr-FR"/>
        </w:rPr>
        <w:t>autres utilisations illicites de sites de vente associés aux noms de domaine en litige.</w:t>
      </w:r>
    </w:p>
    <w:p w:rsidR="008670FA" w:rsidRPr="00882E58" w:rsidRDefault="00631213" w:rsidP="00401FB8">
      <w:pPr>
        <w:pStyle w:val="ONUMFS"/>
        <w:rPr>
          <w:lang w:val="fr-FR"/>
        </w:rPr>
      </w:pPr>
      <w:r w:rsidRPr="00882E58">
        <w:rPr>
          <w:lang w:val="fr-FR"/>
        </w:rPr>
        <w:t>Signe de la portée globale de ce mécanisme de règlement des litiges, les parties nommément désignées dans les procédures administrées par l</w:t>
      </w:r>
      <w:r w:rsidR="009B258A">
        <w:rPr>
          <w:lang w:val="fr-FR"/>
        </w:rPr>
        <w:t>’</w:t>
      </w:r>
      <w:r w:rsidRPr="00882E58">
        <w:rPr>
          <w:lang w:val="fr-FR"/>
        </w:rPr>
        <w:t xml:space="preserve">OMPI </w:t>
      </w:r>
      <w:r w:rsidR="009B258A" w:rsidRPr="00882E58">
        <w:rPr>
          <w:lang w:val="fr-FR"/>
        </w:rPr>
        <w:t>en</w:t>
      </w:r>
      <w:r w:rsidR="009B258A">
        <w:rPr>
          <w:lang w:val="fr-FR"/>
        </w:rPr>
        <w:t> </w:t>
      </w:r>
      <w:r w:rsidR="009B258A" w:rsidRPr="00882E58">
        <w:rPr>
          <w:lang w:val="fr-FR"/>
        </w:rPr>
        <w:t>2017</w:t>
      </w:r>
      <w:r w:rsidRPr="00882E58">
        <w:rPr>
          <w:lang w:val="fr-FR"/>
        </w:rPr>
        <w:t xml:space="preserve"> représentaient 178</w:t>
      </w:r>
      <w:r w:rsidR="00401FB8">
        <w:rPr>
          <w:lang w:val="fr-FR"/>
        </w:rPr>
        <w:t> </w:t>
      </w:r>
      <w:r w:rsidRPr="00882E58">
        <w:rPr>
          <w:lang w:val="fr-FR"/>
        </w:rPr>
        <w:t>pa</w:t>
      </w:r>
      <w:r w:rsidR="0090772B" w:rsidRPr="00882E58">
        <w:rPr>
          <w:lang w:val="fr-FR"/>
        </w:rPr>
        <w:t>ys</w:t>
      </w:r>
      <w:r w:rsidR="0090772B">
        <w:rPr>
          <w:lang w:val="fr-FR"/>
        </w:rPr>
        <w:t xml:space="preserve">.  </w:t>
      </w:r>
      <w:r w:rsidR="0090772B" w:rsidRPr="00882E58">
        <w:rPr>
          <w:lang w:val="fr-FR"/>
        </w:rPr>
        <w:t>En</w:t>
      </w:r>
      <w:r w:rsidRPr="00882E58">
        <w:rPr>
          <w:lang w:val="fr-FR"/>
        </w:rPr>
        <w:t xml:space="preserve"> fonction de la langue du contrat d</w:t>
      </w:r>
      <w:r w:rsidR="009B258A">
        <w:rPr>
          <w:lang w:val="fr-FR"/>
        </w:rPr>
        <w:t>’</w:t>
      </w:r>
      <w:r w:rsidRPr="00882E58">
        <w:rPr>
          <w:lang w:val="fr-FR"/>
        </w:rPr>
        <w:t>enregistrement applicable au nom de domaine en cause, l</w:t>
      </w:r>
      <w:r w:rsidR="009B258A">
        <w:rPr>
          <w:lang w:val="fr-FR"/>
        </w:rPr>
        <w:t>’</w:t>
      </w:r>
      <w:r w:rsidRPr="00882E58">
        <w:rPr>
          <w:lang w:val="fr-FR"/>
        </w:rPr>
        <w:t>OMPI a conduit jusqu</w:t>
      </w:r>
      <w:r w:rsidR="009B258A">
        <w:rPr>
          <w:lang w:val="fr-FR"/>
        </w:rPr>
        <w:t>’</w:t>
      </w:r>
      <w:r w:rsidRPr="00882E58">
        <w:rPr>
          <w:lang w:val="fr-FR"/>
        </w:rPr>
        <w:t>ici des procédures en vertu des principes UDRP dans 21</w:t>
      </w:r>
      <w:r w:rsidR="00401FB8">
        <w:rPr>
          <w:lang w:val="fr-FR"/>
        </w:rPr>
        <w:t> </w:t>
      </w:r>
      <w:r w:rsidRPr="00882E58">
        <w:rPr>
          <w:lang w:val="fr-FR"/>
        </w:rPr>
        <w:t>langues</w:t>
      </w:r>
      <w:r w:rsidRPr="00882E58">
        <w:rPr>
          <w:rStyle w:val="FootnoteReference"/>
          <w:szCs w:val="24"/>
          <w:lang w:val="fr-FR"/>
        </w:rPr>
        <w:footnoteReference w:id="22"/>
      </w:r>
      <w:r w:rsidRPr="00882E58">
        <w:rPr>
          <w:lang w:val="fr-FR"/>
        </w:rPr>
        <w:t>.</w:t>
      </w:r>
    </w:p>
    <w:p w:rsidR="008670FA" w:rsidRPr="00882E58" w:rsidRDefault="00631213" w:rsidP="00401FB8">
      <w:pPr>
        <w:pStyle w:val="ONUMFS"/>
        <w:rPr>
          <w:lang w:val="fr-FR"/>
        </w:rPr>
      </w:pPr>
      <w:r w:rsidRPr="00882E58">
        <w:rPr>
          <w:lang w:val="fr-FR"/>
        </w:rPr>
        <w:t>Toutes les décisions rendues par les commissions administratives de l</w:t>
      </w:r>
      <w:r w:rsidR="009B258A">
        <w:rPr>
          <w:lang w:val="fr-FR"/>
        </w:rPr>
        <w:t>’</w:t>
      </w:r>
      <w:r w:rsidRPr="00882E58">
        <w:rPr>
          <w:lang w:val="fr-FR"/>
        </w:rPr>
        <w:t>OMPI sont publiées sur le site</w:t>
      </w:r>
      <w:r w:rsidR="00E6003E">
        <w:rPr>
          <w:lang w:val="fr-FR"/>
        </w:rPr>
        <w:t> </w:t>
      </w:r>
      <w:r w:rsidRPr="00882E58">
        <w:rPr>
          <w:lang w:val="fr-FR"/>
        </w:rPr>
        <w:t>Web du Cent</w:t>
      </w:r>
      <w:r w:rsidR="0090772B" w:rsidRPr="00882E58">
        <w:rPr>
          <w:lang w:val="fr-FR"/>
        </w:rPr>
        <w:t>re</w:t>
      </w:r>
      <w:r w:rsidR="0090772B">
        <w:rPr>
          <w:lang w:val="fr-FR"/>
        </w:rPr>
        <w:t xml:space="preserve">.  </w:t>
      </w:r>
      <w:r w:rsidR="0090772B" w:rsidRPr="00882E58">
        <w:rPr>
          <w:lang w:val="fr-FR"/>
        </w:rPr>
        <w:t>Pu</w:t>
      </w:r>
      <w:r w:rsidRPr="00882E58">
        <w:rPr>
          <w:lang w:val="fr-FR"/>
        </w:rPr>
        <w:t xml:space="preserve">bliée par le Centre </w:t>
      </w:r>
      <w:r w:rsidR="009B258A" w:rsidRPr="00882E58">
        <w:rPr>
          <w:lang w:val="fr-FR"/>
        </w:rPr>
        <w:t>en</w:t>
      </w:r>
      <w:r w:rsidR="009B258A">
        <w:rPr>
          <w:lang w:val="fr-FR"/>
        </w:rPr>
        <w:t> </w:t>
      </w:r>
      <w:r w:rsidR="009B258A" w:rsidRPr="00882E58">
        <w:rPr>
          <w:lang w:val="fr-FR"/>
        </w:rPr>
        <w:t>2017</w:t>
      </w:r>
      <w:r w:rsidRPr="00882E58">
        <w:rPr>
          <w:lang w:val="fr-FR"/>
        </w:rPr>
        <w:t xml:space="preserve">, la troisième édition de la </w:t>
      </w:r>
      <w:r w:rsidR="00882E58">
        <w:rPr>
          <w:lang w:val="fr-FR"/>
        </w:rPr>
        <w:t>“</w:t>
      </w:r>
      <w:r w:rsidRPr="00882E58">
        <w:rPr>
          <w:lang w:val="fr-FR"/>
        </w:rPr>
        <w:t>Synthèse des avis des commissions administratives de l</w:t>
      </w:r>
      <w:r w:rsidR="009B258A">
        <w:rPr>
          <w:lang w:val="fr-FR"/>
        </w:rPr>
        <w:t>’</w:t>
      </w:r>
      <w:r w:rsidRPr="00882E58">
        <w:rPr>
          <w:lang w:val="fr-FR"/>
        </w:rPr>
        <w:t>OMPI sur certaines questions relatives aux principes UDRP</w:t>
      </w:r>
      <w:r w:rsidR="00882E58">
        <w:rPr>
          <w:lang w:val="fr-FR"/>
        </w:rPr>
        <w:t>”</w:t>
      </w:r>
      <w:r w:rsidRPr="00882E58">
        <w:rPr>
          <w:lang w:val="fr-FR"/>
        </w:rPr>
        <w:t xml:space="preserve"> (WIPO </w:t>
      </w:r>
      <w:proofErr w:type="spellStart"/>
      <w:r w:rsidRPr="00882E58">
        <w:rPr>
          <w:lang w:val="fr-FR"/>
        </w:rPr>
        <w:t>Overview</w:t>
      </w:r>
      <w:proofErr w:type="spellEnd"/>
      <w:r w:rsidR="00401FB8">
        <w:rPr>
          <w:lang w:val="fr-FR"/>
        </w:rPr>
        <w:t> </w:t>
      </w:r>
      <w:r w:rsidRPr="00882E58">
        <w:rPr>
          <w:lang w:val="fr-FR"/>
        </w:rPr>
        <w:t>3.0) a fait l</w:t>
      </w:r>
      <w:r w:rsidR="009B258A">
        <w:rPr>
          <w:lang w:val="fr-FR"/>
        </w:rPr>
        <w:t>’</w:t>
      </w:r>
      <w:r w:rsidRPr="00882E58">
        <w:rPr>
          <w:lang w:val="fr-FR"/>
        </w:rPr>
        <w:t xml:space="preserve">objet </w:t>
      </w:r>
      <w:r w:rsidR="00840039" w:rsidRPr="00882E58">
        <w:rPr>
          <w:lang w:val="fr-FR"/>
        </w:rPr>
        <w:t>d</w:t>
      </w:r>
      <w:r w:rsidR="009B258A">
        <w:rPr>
          <w:lang w:val="fr-FR"/>
        </w:rPr>
        <w:t>’</w:t>
      </w:r>
      <w:r w:rsidR="00840039" w:rsidRPr="00882E58">
        <w:rPr>
          <w:lang w:val="fr-FR"/>
        </w:rPr>
        <w:t>un</w:t>
      </w:r>
      <w:r w:rsidRPr="00882E58">
        <w:rPr>
          <w:lang w:val="fr-FR"/>
        </w:rPr>
        <w:t xml:space="preserve"> large éventail de publications et de manifestations</w:t>
      </w:r>
      <w:r w:rsidRPr="00882E58">
        <w:rPr>
          <w:rStyle w:val="FootnoteReference"/>
          <w:szCs w:val="24"/>
          <w:lang w:val="fr-FR"/>
        </w:rPr>
        <w:footnoteReference w:id="23"/>
      </w:r>
      <w:r w:rsidRPr="00882E58">
        <w:rPr>
          <w:lang w:val="fr-FR"/>
        </w:rPr>
        <w:t>.</w:t>
      </w:r>
      <w:r w:rsidR="00F83CEE" w:rsidRPr="00882E58">
        <w:rPr>
          <w:lang w:val="fr-FR"/>
        </w:rPr>
        <w:t xml:space="preserve"> </w:t>
      </w:r>
      <w:r w:rsidR="00E6003E">
        <w:rPr>
          <w:lang w:val="fr-FR"/>
        </w:rPr>
        <w:t xml:space="preserve"> </w:t>
      </w:r>
      <w:r w:rsidRPr="00882E58">
        <w:rPr>
          <w:lang w:val="fr-FR"/>
        </w:rPr>
        <w:t>Cette synthèse en ligne des tendances générales des décisions rendues sur certaines questions importantes consultée dans le monde entier couvre plus d</w:t>
      </w:r>
      <w:r w:rsidR="009B258A">
        <w:rPr>
          <w:lang w:val="fr-FR"/>
        </w:rPr>
        <w:t>’</w:t>
      </w:r>
      <w:r w:rsidRPr="00882E58">
        <w:rPr>
          <w:lang w:val="fr-FR"/>
        </w:rPr>
        <w:t>une centaine de thèmes et recense près d</w:t>
      </w:r>
      <w:r w:rsidR="009B258A">
        <w:rPr>
          <w:lang w:val="fr-FR"/>
        </w:rPr>
        <w:t>’</w:t>
      </w:r>
      <w:r w:rsidRPr="00882E58">
        <w:rPr>
          <w:lang w:val="fr-FR"/>
        </w:rPr>
        <w:t>un millier de décisions rendues par plus de 265</w:t>
      </w:r>
      <w:r w:rsidR="00401FB8">
        <w:rPr>
          <w:lang w:val="fr-FR"/>
        </w:rPr>
        <w:t> </w:t>
      </w:r>
      <w:r w:rsidRPr="00882E58">
        <w:rPr>
          <w:lang w:val="fr-FR"/>
        </w:rPr>
        <w:t>experts de l</w:t>
      </w:r>
      <w:r w:rsidR="009B258A">
        <w:rPr>
          <w:lang w:val="fr-FR"/>
        </w:rPr>
        <w:t>’</w:t>
      </w:r>
      <w:r w:rsidRPr="00882E58">
        <w:rPr>
          <w:lang w:val="fr-FR"/>
        </w:rPr>
        <w:t>O</w:t>
      </w:r>
      <w:r w:rsidR="0090772B" w:rsidRPr="00882E58">
        <w:rPr>
          <w:lang w:val="fr-FR"/>
        </w:rPr>
        <w:t>MPI</w:t>
      </w:r>
      <w:r w:rsidR="0090772B">
        <w:rPr>
          <w:lang w:val="fr-FR"/>
        </w:rPr>
        <w:t xml:space="preserve">.  </w:t>
      </w:r>
      <w:r w:rsidR="0090772B" w:rsidRPr="00882E58">
        <w:rPr>
          <w:lang w:val="fr-FR"/>
        </w:rPr>
        <w:t>Po</w:t>
      </w:r>
      <w:r w:rsidRPr="00882E58">
        <w:rPr>
          <w:lang w:val="fr-FR"/>
        </w:rPr>
        <w:t>ur faciliter l</w:t>
      </w:r>
      <w:r w:rsidR="009B258A">
        <w:rPr>
          <w:lang w:val="fr-FR"/>
        </w:rPr>
        <w:t>’</w:t>
      </w:r>
      <w:r w:rsidRPr="00882E58">
        <w:rPr>
          <w:lang w:val="fr-FR"/>
        </w:rPr>
        <w:t>accès thématique à ces décisions, le Centre met aussi à disposition un index juridique des décisions rendues en vertu des principes UDRP qui permet d</w:t>
      </w:r>
      <w:r w:rsidR="009B258A">
        <w:rPr>
          <w:lang w:val="fr-FR"/>
        </w:rPr>
        <w:t>’</w:t>
      </w:r>
      <w:r w:rsidRPr="00882E58">
        <w:rPr>
          <w:lang w:val="fr-FR"/>
        </w:rPr>
        <w:t>effectuer des recherches en ligne</w:t>
      </w:r>
      <w:r w:rsidRPr="00882E58">
        <w:rPr>
          <w:rStyle w:val="FootnoteReference"/>
          <w:szCs w:val="24"/>
          <w:lang w:val="fr-FR"/>
        </w:rPr>
        <w:footnoteReference w:id="24"/>
      </w:r>
      <w:r w:rsidRPr="00882E58">
        <w:rPr>
          <w:lang w:val="fr-FR"/>
        </w:rPr>
        <w:t>.</w:t>
      </w:r>
      <w:r w:rsidR="00F83CEE" w:rsidRPr="00882E58">
        <w:rPr>
          <w:lang w:val="fr-FR"/>
        </w:rPr>
        <w:t xml:space="preserve"> </w:t>
      </w:r>
      <w:r w:rsidR="00E6003E">
        <w:rPr>
          <w:lang w:val="fr-FR"/>
        </w:rPr>
        <w:t xml:space="preserve"> </w:t>
      </w:r>
      <w:r w:rsidRPr="00882E58">
        <w:rPr>
          <w:lang w:val="fr-FR"/>
        </w:rPr>
        <w:t>Ces ressources de l</w:t>
      </w:r>
      <w:r w:rsidR="009B258A">
        <w:rPr>
          <w:lang w:val="fr-FR"/>
        </w:rPr>
        <w:t>’</w:t>
      </w:r>
      <w:r w:rsidRPr="00882E58">
        <w:rPr>
          <w:lang w:val="fr-FR"/>
        </w:rPr>
        <w:t>OMPI sont accessibles gratuitement dans le monde entier.</w:t>
      </w:r>
    </w:p>
    <w:p w:rsidR="008670FA" w:rsidRPr="00882E58" w:rsidRDefault="00631213" w:rsidP="00401FB8">
      <w:pPr>
        <w:pStyle w:val="ONUMFS"/>
        <w:rPr>
          <w:lang w:val="fr-FR"/>
        </w:rPr>
      </w:pPr>
      <w:r w:rsidRPr="00882E58">
        <w:rPr>
          <w:lang w:val="fr-FR"/>
        </w:rPr>
        <w:t>Conscient du rôle moteur joué par l</w:t>
      </w:r>
      <w:r w:rsidR="009B258A">
        <w:rPr>
          <w:lang w:val="fr-FR"/>
        </w:rPr>
        <w:t>’</w:t>
      </w:r>
      <w:r w:rsidRPr="00882E58">
        <w:rPr>
          <w:lang w:val="fr-FR"/>
        </w:rPr>
        <w:t>OMPI en ce qui concerne les principes UDRP, le Centre se tient informé des évolutions à l</w:t>
      </w:r>
      <w:r w:rsidR="009B258A">
        <w:rPr>
          <w:lang w:val="fr-FR"/>
        </w:rPr>
        <w:t>’</w:t>
      </w:r>
      <w:r w:rsidRPr="00882E58">
        <w:rPr>
          <w:lang w:val="fr-FR"/>
        </w:rPr>
        <w:t>œuvre dans</w:t>
      </w:r>
      <w:r w:rsidR="009B258A" w:rsidRPr="00882E58">
        <w:rPr>
          <w:lang w:val="fr-FR"/>
        </w:rPr>
        <w:t xml:space="preserve"> le</w:t>
      </w:r>
      <w:r w:rsidR="009B258A">
        <w:rPr>
          <w:lang w:val="fr-FR"/>
        </w:rPr>
        <w:t> </w:t>
      </w:r>
      <w:r w:rsidR="009B258A" w:rsidRPr="00882E58">
        <w:rPr>
          <w:lang w:val="fr-FR"/>
        </w:rPr>
        <w:t>DNS</w:t>
      </w:r>
      <w:r w:rsidRPr="00882E58">
        <w:rPr>
          <w:lang w:val="fr-FR"/>
        </w:rPr>
        <w:t xml:space="preserve"> afin d</w:t>
      </w:r>
      <w:r w:rsidR="009B258A">
        <w:rPr>
          <w:lang w:val="fr-FR"/>
        </w:rPr>
        <w:t>’</w:t>
      </w:r>
      <w:r w:rsidRPr="00882E58">
        <w:rPr>
          <w:lang w:val="fr-FR"/>
        </w:rPr>
        <w:t>ajuster ses ressources et ses pratiques</w:t>
      </w:r>
      <w:r w:rsidRPr="00882E58">
        <w:rPr>
          <w:rStyle w:val="FootnoteReference"/>
          <w:szCs w:val="24"/>
          <w:lang w:val="fr-FR"/>
        </w:rPr>
        <w:footnoteReference w:id="25"/>
      </w:r>
      <w:r w:rsidRPr="00882E58">
        <w:rPr>
          <w:lang w:val="fr-FR"/>
        </w:rPr>
        <w:t>.  Le Centre organise régulièrement des ateliers sur le règlement des litiges relatifs aux noms de domaine pour informer les parties intéressées</w:t>
      </w:r>
      <w:r w:rsidRPr="00882E58">
        <w:rPr>
          <w:rStyle w:val="FootnoteReference"/>
          <w:szCs w:val="24"/>
          <w:lang w:val="fr-FR"/>
        </w:rPr>
        <w:footnoteReference w:id="26"/>
      </w:r>
      <w:r w:rsidRPr="00882E58">
        <w:rPr>
          <w:lang w:val="fr-FR"/>
        </w:rPr>
        <w:t>, ainsi que des réunions à l</w:t>
      </w:r>
      <w:r w:rsidR="009B258A">
        <w:rPr>
          <w:lang w:val="fr-FR"/>
        </w:rPr>
        <w:t>’</w:t>
      </w:r>
      <w:r w:rsidRPr="00882E58">
        <w:rPr>
          <w:lang w:val="fr-FR"/>
        </w:rPr>
        <w:t>intention de ses experts des noms de domaine.</w:t>
      </w:r>
    </w:p>
    <w:p w:rsidR="008670FA" w:rsidRPr="00882E58" w:rsidRDefault="00745DC1" w:rsidP="00745DC1">
      <w:pPr>
        <w:pStyle w:val="Heading2"/>
        <w:rPr>
          <w:lang w:val="fr-FR"/>
        </w:rPr>
      </w:pPr>
      <w:r w:rsidRPr="00882E58">
        <w:rPr>
          <w:lang w:val="fr-FR"/>
        </w:rPr>
        <w:t>B.</w:t>
      </w:r>
      <w:r w:rsidRPr="00882E58">
        <w:rPr>
          <w:lang w:val="fr-FR"/>
        </w:rPr>
        <w:tab/>
        <w:t>DOMAINES DE PREMIER NIVEAU QUI SONT DES CODES DE PAYS (CCTLD)</w:t>
      </w:r>
    </w:p>
    <w:p w:rsidR="008670FA" w:rsidRPr="00882E58" w:rsidRDefault="00857EB6" w:rsidP="00401FB8">
      <w:pPr>
        <w:pStyle w:val="ONUMFS"/>
        <w:rPr>
          <w:lang w:val="fr-FR"/>
        </w:rPr>
      </w:pPr>
      <w:r w:rsidRPr="00882E58">
        <w:rPr>
          <w:lang w:val="fr-FR"/>
        </w:rPr>
        <w:t>L</w:t>
      </w:r>
      <w:r w:rsidR="009B258A">
        <w:rPr>
          <w:lang w:val="fr-FR"/>
        </w:rPr>
        <w:t>’</w:t>
      </w:r>
      <w:r w:rsidRPr="00882E58">
        <w:rPr>
          <w:lang w:val="fr-FR"/>
        </w:rPr>
        <w:t>application obligatoire des principes UDRP est limitée aux noms de domaine enregistrés dans les gTLD traditionnels, tels que .</w:t>
      </w:r>
      <w:proofErr w:type="spellStart"/>
      <w:r w:rsidRPr="00882E58">
        <w:rPr>
          <w:lang w:val="fr-FR"/>
        </w:rPr>
        <w:t>com</w:t>
      </w:r>
      <w:proofErr w:type="spellEnd"/>
      <w:r w:rsidRPr="00882E58">
        <w:rPr>
          <w:lang w:val="fr-FR"/>
        </w:rPr>
        <w:t>, et les nouveaux gTLD introduits plus récemment, mais le Centre aide également de nombreux services d</w:t>
      </w:r>
      <w:r w:rsidR="009B258A">
        <w:rPr>
          <w:lang w:val="fr-FR"/>
        </w:rPr>
        <w:t>’</w:t>
      </w:r>
      <w:r w:rsidRPr="00882E58">
        <w:rPr>
          <w:lang w:val="fr-FR"/>
        </w:rPr>
        <w:t>enregistrement de ccTLD à établir des conditions d</w:t>
      </w:r>
      <w:r w:rsidR="009B258A">
        <w:rPr>
          <w:lang w:val="fr-FR"/>
        </w:rPr>
        <w:t>’</w:t>
      </w:r>
      <w:r w:rsidRPr="00882E58">
        <w:rPr>
          <w:lang w:val="fr-FR"/>
        </w:rPr>
        <w:t>enregistrement et des procédures de règlement des litiges conformes aux pratiques recommandées en matière de gestion des services d</w:t>
      </w:r>
      <w:r w:rsidR="009B258A">
        <w:rPr>
          <w:lang w:val="fr-FR"/>
        </w:rPr>
        <w:t>’</w:t>
      </w:r>
      <w:r w:rsidRPr="00882E58">
        <w:rPr>
          <w:lang w:val="fr-FR"/>
        </w:rPr>
        <w:t>enregistrement et de protection de la propriété intellectuelle</w:t>
      </w:r>
      <w:r w:rsidRPr="00882E58">
        <w:rPr>
          <w:rStyle w:val="FootnoteReference"/>
          <w:spacing w:val="-6"/>
          <w:lang w:val="fr-FR"/>
        </w:rPr>
        <w:footnoteReference w:id="27"/>
      </w:r>
      <w:r w:rsidRPr="00882E58">
        <w:rPr>
          <w:lang w:val="fr-FR"/>
        </w:rPr>
        <w:t>.</w:t>
      </w:r>
      <w:r w:rsidR="00F83CEE" w:rsidRPr="00882E58">
        <w:rPr>
          <w:lang w:val="fr-FR"/>
        </w:rPr>
        <w:t xml:space="preserve"> </w:t>
      </w:r>
      <w:r w:rsidR="00E6003E">
        <w:rPr>
          <w:lang w:val="fr-FR"/>
        </w:rPr>
        <w:t xml:space="preserve"> </w:t>
      </w:r>
      <w:r w:rsidRPr="00882E58">
        <w:rPr>
          <w:lang w:val="fr-FR"/>
        </w:rPr>
        <w:t>Certains services d</w:t>
      </w:r>
      <w:r w:rsidR="009B258A">
        <w:rPr>
          <w:lang w:val="fr-FR"/>
        </w:rPr>
        <w:t>’</w:t>
      </w:r>
      <w:r w:rsidRPr="00882E58">
        <w:rPr>
          <w:lang w:val="fr-FR"/>
        </w:rPr>
        <w:t>enregistrement dans les ccTLD adoptent directement les principes UDRP, tandis que d</w:t>
      </w:r>
      <w:r w:rsidR="009B258A">
        <w:rPr>
          <w:lang w:val="fr-FR"/>
        </w:rPr>
        <w:t>’</w:t>
      </w:r>
      <w:r w:rsidRPr="00882E58">
        <w:rPr>
          <w:lang w:val="fr-FR"/>
        </w:rPr>
        <w:t>autres ont adopté des procédures fondées sur les principes UDRP qui tiennent compte de la situation et des besoins particuliers des différents cc</w:t>
      </w:r>
      <w:r w:rsidR="0090772B" w:rsidRPr="00882E58">
        <w:rPr>
          <w:lang w:val="fr-FR"/>
        </w:rPr>
        <w:t>TLD</w:t>
      </w:r>
      <w:r w:rsidR="0090772B">
        <w:rPr>
          <w:lang w:val="fr-FR"/>
        </w:rPr>
        <w:t xml:space="preserve">.  </w:t>
      </w:r>
      <w:r w:rsidR="0090772B" w:rsidRPr="00882E58">
        <w:rPr>
          <w:lang w:val="fr-FR"/>
        </w:rPr>
        <w:t>Le</w:t>
      </w:r>
      <w:r w:rsidRPr="00882E58">
        <w:rPr>
          <w:lang w:val="fr-FR"/>
        </w:rPr>
        <w:t xml:space="preserve"> Centre fournit des services de règlement des litiges relatifs aux noms de domaine à </w:t>
      </w:r>
      <w:r w:rsidRPr="00882E58">
        <w:rPr>
          <w:lang w:val="fr-FR"/>
        </w:rPr>
        <w:lastRenderedPageBreak/>
        <w:t>plus de 70</w:t>
      </w:r>
      <w:r w:rsidR="00401FB8">
        <w:rPr>
          <w:lang w:val="fr-FR"/>
        </w:rPr>
        <w:t> </w:t>
      </w:r>
      <w:r w:rsidRPr="00882E58">
        <w:rPr>
          <w:lang w:val="fr-FR"/>
        </w:rPr>
        <w:t>services d</w:t>
      </w:r>
      <w:r w:rsidR="009B258A">
        <w:rPr>
          <w:lang w:val="fr-FR"/>
        </w:rPr>
        <w:t>’</w:t>
      </w:r>
      <w:r w:rsidRPr="00882E58">
        <w:rPr>
          <w:lang w:val="fr-FR"/>
        </w:rPr>
        <w:t xml:space="preserve">enregistrement dans les ccTLD, dont le domaine .GE (Géorgie) ajouté </w:t>
      </w:r>
      <w:r w:rsidR="009B258A" w:rsidRPr="00882E58">
        <w:rPr>
          <w:lang w:val="fr-FR"/>
        </w:rPr>
        <w:t>en</w:t>
      </w:r>
      <w:r w:rsidR="009B258A">
        <w:rPr>
          <w:lang w:val="fr-FR"/>
        </w:rPr>
        <w:t> </w:t>
      </w:r>
      <w:r w:rsidR="009B258A" w:rsidRPr="00882E58">
        <w:rPr>
          <w:lang w:val="fr-FR"/>
        </w:rPr>
        <w:t>2018</w:t>
      </w:r>
      <w:r w:rsidRPr="00882E58">
        <w:rPr>
          <w:rStyle w:val="FootnoteReference"/>
          <w:spacing w:val="-6"/>
          <w:lang w:val="fr-FR"/>
        </w:rPr>
        <w:footnoteReference w:id="28"/>
      </w:r>
      <w:r w:rsidRPr="00882E58">
        <w:rPr>
          <w:lang w:val="fr-FR"/>
        </w:rPr>
        <w:t>.</w:t>
      </w:r>
    </w:p>
    <w:p w:rsidR="009B258A" w:rsidRDefault="00963623" w:rsidP="00401FB8">
      <w:pPr>
        <w:pStyle w:val="ONUMFS"/>
        <w:rPr>
          <w:lang w:val="fr-FR"/>
        </w:rPr>
      </w:pPr>
      <w:r w:rsidRPr="00882E58">
        <w:rPr>
          <w:lang w:val="fr-FR"/>
        </w:rPr>
        <w:t>Pour to</w:t>
      </w:r>
      <w:r w:rsidR="0060587A">
        <w:rPr>
          <w:lang w:val="fr-FR"/>
        </w:rPr>
        <w:t>us les ccTLD concernés, le Cent</w:t>
      </w:r>
      <w:r w:rsidRPr="00882E58">
        <w:rPr>
          <w:lang w:val="fr-FR"/>
        </w:rPr>
        <w:t>r</w:t>
      </w:r>
      <w:r w:rsidR="0060587A">
        <w:rPr>
          <w:lang w:val="fr-FR"/>
        </w:rPr>
        <w:t>e</w:t>
      </w:r>
      <w:r w:rsidRPr="00882E58">
        <w:rPr>
          <w:lang w:val="fr-FR"/>
        </w:rPr>
        <w:t xml:space="preserve"> a considérablement étoffé </w:t>
      </w:r>
      <w:r w:rsidR="009B258A" w:rsidRPr="00882E58">
        <w:rPr>
          <w:lang w:val="fr-FR"/>
        </w:rPr>
        <w:t>en</w:t>
      </w:r>
      <w:r w:rsidR="009B258A">
        <w:rPr>
          <w:lang w:val="fr-FR"/>
        </w:rPr>
        <w:t> </w:t>
      </w:r>
      <w:r w:rsidR="009B258A" w:rsidRPr="00882E58">
        <w:rPr>
          <w:lang w:val="fr-FR"/>
        </w:rPr>
        <w:t>2018</w:t>
      </w:r>
      <w:r w:rsidRPr="00882E58">
        <w:rPr>
          <w:lang w:val="fr-FR"/>
        </w:rPr>
        <w:t xml:space="preserve"> ses ressources en ligne à l</w:t>
      </w:r>
      <w:r w:rsidR="009B258A">
        <w:rPr>
          <w:lang w:val="fr-FR"/>
        </w:rPr>
        <w:t>’</w:t>
      </w:r>
      <w:r w:rsidRPr="00882E58">
        <w:rPr>
          <w:lang w:val="fr-FR"/>
        </w:rPr>
        <w:t>intention des parties, s</w:t>
      </w:r>
      <w:r w:rsidR="009B258A">
        <w:rPr>
          <w:lang w:val="fr-FR"/>
        </w:rPr>
        <w:t>’</w:t>
      </w:r>
      <w:r w:rsidRPr="00882E58">
        <w:rPr>
          <w:lang w:val="fr-FR"/>
        </w:rPr>
        <w:t xml:space="preserve">agissant notamment des critères à remplir pour prétendre à un enregistrement, des caractères pris en charge, de </w:t>
      </w:r>
      <w:r w:rsidR="0060587A">
        <w:rPr>
          <w:lang w:val="fr-FR"/>
        </w:rPr>
        <w:t>communications</w:t>
      </w:r>
      <w:r w:rsidRPr="00882E58">
        <w:rPr>
          <w:lang w:val="fr-FR"/>
        </w:rPr>
        <w:t xml:space="preserve"> types et de renseignements multilingues sur le dépôt des demandes</w:t>
      </w:r>
      <w:r w:rsidRPr="00882E58">
        <w:rPr>
          <w:rStyle w:val="FootnoteReference"/>
          <w:lang w:val="fr-FR"/>
        </w:rPr>
        <w:footnoteReference w:id="29"/>
      </w:r>
      <w:r w:rsidRPr="00882E58">
        <w:rPr>
          <w:lang w:val="fr-FR"/>
        </w:rPr>
        <w:t>, ainsi que de résumés des différences à prendre en considération entre les politiques relatives aux ccTLD inspirées des principes UDRP et les principes UDRP proprement dits</w:t>
      </w:r>
      <w:r w:rsidRPr="00882E58">
        <w:rPr>
          <w:rStyle w:val="FootnoteReference"/>
          <w:lang w:val="fr-FR"/>
        </w:rPr>
        <w:footnoteReference w:id="30"/>
      </w:r>
      <w:r w:rsidRPr="00882E58">
        <w:rPr>
          <w:lang w:val="fr-FR"/>
        </w:rPr>
        <w:t>.</w:t>
      </w:r>
    </w:p>
    <w:p w:rsidR="009B258A" w:rsidRDefault="00E45323" w:rsidP="00963623">
      <w:pPr>
        <w:pStyle w:val="Heading1"/>
        <w:spacing w:after="240"/>
        <w:rPr>
          <w:lang w:val="fr-FR"/>
        </w:rPr>
      </w:pPr>
      <w:r w:rsidRPr="00882E58">
        <w:rPr>
          <w:lang w:val="fr-FR"/>
        </w:rPr>
        <w:t>III.</w:t>
      </w:r>
      <w:r w:rsidRPr="00882E58">
        <w:rPr>
          <w:lang w:val="fr-FR"/>
        </w:rPr>
        <w:tab/>
        <w:t>FAITS NOUVEAUX DANS LE DNS</w:t>
      </w:r>
    </w:p>
    <w:p w:rsidR="008670FA" w:rsidRPr="00882E58" w:rsidRDefault="00963623" w:rsidP="00401FB8">
      <w:pPr>
        <w:pStyle w:val="ONUMFS"/>
        <w:rPr>
          <w:lang w:val="fr-FR"/>
        </w:rPr>
      </w:pPr>
      <w:r w:rsidRPr="00882E58">
        <w:rPr>
          <w:lang w:val="fr-FR"/>
        </w:rPr>
        <w:t>Plusieurs initiatives de politique générale de l</w:t>
      </w:r>
      <w:r w:rsidR="009B258A">
        <w:rPr>
          <w:lang w:val="fr-FR"/>
        </w:rPr>
        <w:t>’</w:t>
      </w:r>
      <w:r w:rsidRPr="00882E58">
        <w:rPr>
          <w:lang w:val="fr-FR"/>
        </w:rPr>
        <w:t>ICANN créent non seulement des opportunités mais également des difficultés pour les titulaires de droits de propriété intellectuelle et les utilisateu</w:t>
      </w:r>
      <w:r w:rsidR="0090772B" w:rsidRPr="00882E58">
        <w:rPr>
          <w:lang w:val="fr-FR"/>
        </w:rPr>
        <w:t>rs</w:t>
      </w:r>
      <w:r w:rsidR="0090772B">
        <w:rPr>
          <w:lang w:val="fr-FR"/>
        </w:rPr>
        <w:t xml:space="preserve">.  </w:t>
      </w:r>
      <w:r w:rsidR="0090772B" w:rsidRPr="00882E58">
        <w:rPr>
          <w:lang w:val="fr-FR"/>
        </w:rPr>
        <w:t>La</w:t>
      </w:r>
      <w:r w:rsidRPr="00882E58">
        <w:rPr>
          <w:lang w:val="fr-FR"/>
        </w:rPr>
        <w:t xml:space="preserve"> première concerne l</w:t>
      </w:r>
      <w:r w:rsidR="009B258A">
        <w:rPr>
          <w:lang w:val="fr-FR"/>
        </w:rPr>
        <w:t>’</w:t>
      </w:r>
      <w:r w:rsidRPr="00882E58">
        <w:rPr>
          <w:lang w:val="fr-FR"/>
        </w:rPr>
        <w:t>introduction en masse de nouveaux gTLD par l</w:t>
      </w:r>
      <w:r w:rsidR="009B258A">
        <w:rPr>
          <w:lang w:val="fr-FR"/>
        </w:rPr>
        <w:t>’</w:t>
      </w:r>
      <w:r w:rsidRPr="00882E58">
        <w:rPr>
          <w:lang w:val="fr-FR"/>
        </w:rPr>
        <w:t>IC</w:t>
      </w:r>
      <w:r w:rsidR="0090772B" w:rsidRPr="00882E58">
        <w:rPr>
          <w:lang w:val="fr-FR"/>
        </w:rPr>
        <w:t>ANN</w:t>
      </w:r>
      <w:r w:rsidR="0090772B">
        <w:rPr>
          <w:lang w:val="fr-FR"/>
        </w:rPr>
        <w:t xml:space="preserve">.  </w:t>
      </w:r>
      <w:r w:rsidR="0090772B" w:rsidRPr="00882E58">
        <w:rPr>
          <w:lang w:val="fr-FR"/>
        </w:rPr>
        <w:t>Ce</w:t>
      </w:r>
      <w:r w:rsidRPr="00882E58">
        <w:rPr>
          <w:lang w:val="fr-FR"/>
        </w:rPr>
        <w:t xml:space="preserve">s nouveaux domaines génériques de premier niveau peuvent être de nature </w:t>
      </w:r>
      <w:r w:rsidR="00882E58">
        <w:rPr>
          <w:lang w:val="fr-FR"/>
        </w:rPr>
        <w:t>“</w:t>
      </w:r>
      <w:r w:rsidRPr="00882E58">
        <w:rPr>
          <w:lang w:val="fr-FR"/>
        </w:rPr>
        <w:t>ouverte</w:t>
      </w:r>
      <w:r w:rsidR="00882E58">
        <w:rPr>
          <w:lang w:val="fr-FR"/>
        </w:rPr>
        <w:t>”</w:t>
      </w:r>
      <w:r w:rsidRPr="00882E58">
        <w:rPr>
          <w:lang w:val="fr-FR"/>
        </w:rPr>
        <w:t xml:space="preserve"> (similaires à .</w:t>
      </w:r>
      <w:proofErr w:type="spellStart"/>
      <w:r w:rsidRPr="00882E58">
        <w:rPr>
          <w:lang w:val="fr-FR"/>
        </w:rPr>
        <w:t>com</w:t>
      </w:r>
      <w:proofErr w:type="spellEnd"/>
      <w:r w:rsidRPr="00882E58">
        <w:rPr>
          <w:lang w:val="fr-FR"/>
        </w:rPr>
        <w:t>), ou plus spécifique ou restrictive, par exemple .[marque], .[ville], .[collectivité], .[culture], .[industrie] o</w:t>
      </w:r>
      <w:r w:rsidR="0060587A">
        <w:rPr>
          <w:lang w:val="fr-FR"/>
        </w:rPr>
        <w:t>u</w:t>
      </w:r>
      <w:r w:rsidRPr="00882E58">
        <w:rPr>
          <w:lang w:val="fr-FR"/>
        </w:rPr>
        <w:t xml:space="preserve"> .[langue].</w:t>
      </w:r>
      <w:r w:rsidR="00F83CEE" w:rsidRPr="00882E58">
        <w:rPr>
          <w:lang w:val="fr-FR"/>
        </w:rPr>
        <w:t xml:space="preserve"> </w:t>
      </w:r>
      <w:r w:rsidR="00E6003E">
        <w:rPr>
          <w:lang w:val="fr-FR"/>
        </w:rPr>
        <w:t xml:space="preserve"> </w:t>
      </w:r>
      <w:r w:rsidRPr="00882E58">
        <w:rPr>
          <w:lang w:val="fr-FR"/>
        </w:rPr>
        <w:t>La deuxième initiative importante concerne l</w:t>
      </w:r>
      <w:r w:rsidR="009B258A">
        <w:rPr>
          <w:lang w:val="fr-FR"/>
        </w:rPr>
        <w:t>’</w:t>
      </w:r>
      <w:r w:rsidRPr="00882E58">
        <w:rPr>
          <w:lang w:val="fr-FR"/>
        </w:rPr>
        <w:t>introduction de noms de domaine internationalisés au premier nive</w:t>
      </w:r>
      <w:r w:rsidR="0090772B" w:rsidRPr="00882E58">
        <w:rPr>
          <w:lang w:val="fr-FR"/>
        </w:rPr>
        <w:t>au</w:t>
      </w:r>
      <w:r w:rsidR="0090772B">
        <w:rPr>
          <w:lang w:val="fr-FR"/>
        </w:rPr>
        <w:t xml:space="preserve">.  </w:t>
      </w:r>
      <w:r w:rsidR="0090772B" w:rsidRPr="00882E58">
        <w:rPr>
          <w:lang w:val="fr-FR"/>
        </w:rPr>
        <w:t>En</w:t>
      </w:r>
      <w:r w:rsidR="00C80E25" w:rsidRPr="00882E58">
        <w:rPr>
          <w:lang w:val="fr-FR"/>
        </w:rPr>
        <w:t xml:space="preserve"> outre, l</w:t>
      </w:r>
      <w:r w:rsidR="009B258A">
        <w:rPr>
          <w:lang w:val="fr-FR"/>
        </w:rPr>
        <w:t>’</w:t>
      </w:r>
      <w:r w:rsidR="00C80E25" w:rsidRPr="00882E58">
        <w:rPr>
          <w:lang w:val="fr-FR"/>
        </w:rPr>
        <w:t>expansion</w:t>
      </w:r>
      <w:r w:rsidR="009B258A" w:rsidRPr="00882E58">
        <w:rPr>
          <w:lang w:val="fr-FR"/>
        </w:rPr>
        <w:t xml:space="preserve"> du</w:t>
      </w:r>
      <w:r w:rsidR="009B258A">
        <w:rPr>
          <w:lang w:val="fr-FR"/>
        </w:rPr>
        <w:t> </w:t>
      </w:r>
      <w:r w:rsidR="009B258A" w:rsidRPr="00882E58">
        <w:rPr>
          <w:lang w:val="fr-FR"/>
        </w:rPr>
        <w:t>DNS</w:t>
      </w:r>
      <w:r w:rsidR="00C80E25" w:rsidRPr="00882E58">
        <w:rPr>
          <w:lang w:val="fr-FR"/>
        </w:rPr>
        <w:t xml:space="preserve"> envisagée par l</w:t>
      </w:r>
      <w:r w:rsidR="009B258A">
        <w:rPr>
          <w:lang w:val="fr-FR"/>
        </w:rPr>
        <w:t>’</w:t>
      </w:r>
      <w:r w:rsidR="00C80E25" w:rsidRPr="00882E58">
        <w:rPr>
          <w:lang w:val="fr-FR"/>
        </w:rPr>
        <w:t>ICANN soulève des questions de protection des droits en rapport avec le deuxième processus de consultations de l</w:t>
      </w:r>
      <w:r w:rsidR="009B258A">
        <w:rPr>
          <w:lang w:val="fr-FR"/>
        </w:rPr>
        <w:t>’</w:t>
      </w:r>
      <w:r w:rsidR="00C80E25" w:rsidRPr="00882E58">
        <w:rPr>
          <w:lang w:val="fr-FR"/>
        </w:rPr>
        <w:t>OMPI sur les noms de domaine de l</w:t>
      </w:r>
      <w:r w:rsidR="009B258A">
        <w:rPr>
          <w:lang w:val="fr-FR"/>
        </w:rPr>
        <w:t>’</w:t>
      </w:r>
      <w:r w:rsidR="00C80E25" w:rsidRPr="00882E58">
        <w:rPr>
          <w:lang w:val="fr-FR"/>
        </w:rPr>
        <w:t>Internet.</w:t>
      </w:r>
    </w:p>
    <w:p w:rsidR="008670FA" w:rsidRPr="00882E58" w:rsidRDefault="00745DC1" w:rsidP="00745DC1">
      <w:pPr>
        <w:pStyle w:val="Heading2"/>
        <w:rPr>
          <w:lang w:val="fr-FR"/>
        </w:rPr>
      </w:pPr>
      <w:r w:rsidRPr="00882E58">
        <w:rPr>
          <w:lang w:val="fr-FR"/>
        </w:rPr>
        <w:t>A.</w:t>
      </w:r>
      <w:r w:rsidRPr="00882E58">
        <w:rPr>
          <w:lang w:val="fr-FR"/>
        </w:rPr>
        <w:tab/>
        <w:t>NOUVEAUX GTLD</w:t>
      </w:r>
    </w:p>
    <w:p w:rsidR="008670FA" w:rsidRPr="00882E58" w:rsidRDefault="00C80E25" w:rsidP="00401FB8">
      <w:pPr>
        <w:pStyle w:val="ONUMFS"/>
        <w:rPr>
          <w:lang w:val="fr-FR"/>
        </w:rPr>
      </w:pPr>
      <w:r w:rsidRPr="00882E58">
        <w:rPr>
          <w:lang w:val="fr-FR"/>
        </w:rPr>
        <w:t>La mise en œuvre du programme de l</w:t>
      </w:r>
      <w:r w:rsidR="009B258A">
        <w:rPr>
          <w:lang w:val="fr-FR"/>
        </w:rPr>
        <w:t>’</w:t>
      </w:r>
      <w:r w:rsidRPr="00882E58">
        <w:rPr>
          <w:lang w:val="fr-FR"/>
        </w:rPr>
        <w:t xml:space="preserve">ICANN relatif aux nouveaux gTLD officiellement approuvée en </w:t>
      </w:r>
      <w:r w:rsidR="009B258A" w:rsidRPr="00882E58">
        <w:rPr>
          <w:lang w:val="fr-FR"/>
        </w:rPr>
        <w:t>juin</w:t>
      </w:r>
      <w:r w:rsidR="009B258A">
        <w:rPr>
          <w:lang w:val="fr-FR"/>
        </w:rPr>
        <w:t> </w:t>
      </w:r>
      <w:r w:rsidR="009B258A" w:rsidRPr="00882E58">
        <w:rPr>
          <w:lang w:val="fr-FR"/>
        </w:rPr>
        <w:t>20</w:t>
      </w:r>
      <w:r w:rsidRPr="00882E58">
        <w:rPr>
          <w:lang w:val="fr-FR"/>
        </w:rPr>
        <w:t>11</w:t>
      </w:r>
      <w:r w:rsidRPr="00882E58">
        <w:rPr>
          <w:rStyle w:val="FootnoteReference"/>
          <w:szCs w:val="22"/>
          <w:lang w:val="fr-FR"/>
        </w:rPr>
        <w:footnoteReference w:id="31"/>
      </w:r>
      <w:r w:rsidRPr="00882E58">
        <w:rPr>
          <w:lang w:val="fr-FR"/>
        </w:rPr>
        <w:t xml:space="preserve"> est détaillée dans le </w:t>
      </w:r>
      <w:r w:rsidR="00882E58">
        <w:rPr>
          <w:lang w:val="fr-FR"/>
        </w:rPr>
        <w:t>“</w:t>
      </w:r>
      <w:r w:rsidRPr="00882E58">
        <w:rPr>
          <w:lang w:val="fr-FR"/>
        </w:rPr>
        <w:t>Guide de candidature</w:t>
      </w:r>
      <w:r w:rsidR="00882E58">
        <w:rPr>
          <w:lang w:val="fr-FR"/>
        </w:rPr>
        <w:t>”</w:t>
      </w:r>
      <w:r w:rsidRPr="00882E58">
        <w:rPr>
          <w:lang w:val="fr-FR"/>
        </w:rPr>
        <w:t xml:space="preserve"> de l</w:t>
      </w:r>
      <w:r w:rsidR="009B258A">
        <w:rPr>
          <w:lang w:val="fr-FR"/>
        </w:rPr>
        <w:t>’</w:t>
      </w:r>
      <w:r w:rsidRPr="00882E58">
        <w:rPr>
          <w:lang w:val="fr-FR"/>
        </w:rPr>
        <w:t>ICANN, qui a fait l</w:t>
      </w:r>
      <w:r w:rsidR="009B258A">
        <w:rPr>
          <w:lang w:val="fr-FR"/>
        </w:rPr>
        <w:t>’</w:t>
      </w:r>
      <w:r w:rsidRPr="00882E58">
        <w:rPr>
          <w:lang w:val="fr-FR"/>
        </w:rPr>
        <w:t>objet de nombreuses révisions</w:t>
      </w:r>
      <w:r w:rsidRPr="00882E58">
        <w:rPr>
          <w:rStyle w:val="FootnoteReference"/>
          <w:szCs w:val="22"/>
          <w:lang w:val="fr-FR"/>
        </w:rPr>
        <w:footnoteReference w:id="32"/>
      </w:r>
      <w:r w:rsidRPr="00882E58">
        <w:rPr>
          <w:lang w:val="fr-FR"/>
        </w:rPr>
        <w:t>.</w:t>
      </w:r>
      <w:r w:rsidR="00F83CEE" w:rsidRPr="00882E58">
        <w:rPr>
          <w:lang w:val="fr-FR"/>
        </w:rPr>
        <w:t xml:space="preserve"> </w:t>
      </w:r>
      <w:r w:rsidR="00E6003E">
        <w:rPr>
          <w:lang w:val="fr-FR"/>
        </w:rPr>
        <w:t xml:space="preserve"> </w:t>
      </w:r>
      <w:r w:rsidR="00E45323" w:rsidRPr="00882E58">
        <w:rPr>
          <w:lang w:val="fr-FR"/>
        </w:rPr>
        <w:t xml:space="preserve">La délégation </w:t>
      </w:r>
      <w:r w:rsidR="00882E58" w:rsidRPr="00882E58">
        <w:rPr>
          <w:lang w:val="fr-FR"/>
        </w:rPr>
        <w:t>de la première série</w:t>
      </w:r>
      <w:r w:rsidR="00E45323" w:rsidRPr="00882E58">
        <w:rPr>
          <w:lang w:val="fr-FR"/>
        </w:rPr>
        <w:t xml:space="preserve"> de gTLD dans la zone racine de l</w:t>
      </w:r>
      <w:r w:rsidR="009B258A">
        <w:rPr>
          <w:lang w:val="fr-FR"/>
        </w:rPr>
        <w:t>’</w:t>
      </w:r>
      <w:r w:rsidR="00E45323" w:rsidRPr="00882E58">
        <w:rPr>
          <w:lang w:val="fr-FR"/>
        </w:rPr>
        <w:t>Internet a eu lieu en octobre 2013, avec l</w:t>
      </w:r>
      <w:r w:rsidR="009B258A">
        <w:rPr>
          <w:lang w:val="fr-FR"/>
        </w:rPr>
        <w:t>’</w:t>
      </w:r>
      <w:r w:rsidR="00E45323" w:rsidRPr="00882E58">
        <w:rPr>
          <w:lang w:val="fr-FR"/>
        </w:rPr>
        <w:t xml:space="preserve">attribution de plus de </w:t>
      </w:r>
      <w:r w:rsidR="00E6003E" w:rsidRPr="00882E58">
        <w:rPr>
          <w:lang w:val="fr-FR"/>
        </w:rPr>
        <w:t>1200</w:t>
      </w:r>
      <w:r w:rsidR="00E45323" w:rsidRPr="00882E58">
        <w:rPr>
          <w:lang w:val="fr-FR"/>
        </w:rPr>
        <w:t xml:space="preserve"> d</w:t>
      </w:r>
      <w:r w:rsidR="009B258A">
        <w:rPr>
          <w:lang w:val="fr-FR"/>
        </w:rPr>
        <w:t>’</w:t>
      </w:r>
      <w:r w:rsidR="00E45323" w:rsidRPr="00882E58">
        <w:rPr>
          <w:lang w:val="fr-FR"/>
        </w:rPr>
        <w:t>entre eux d</w:t>
      </w:r>
      <w:r w:rsidR="009B258A">
        <w:rPr>
          <w:lang w:val="fr-FR"/>
        </w:rPr>
        <w:t>’</w:t>
      </w:r>
      <w:r w:rsidR="00E45323" w:rsidRPr="00882E58">
        <w:rPr>
          <w:lang w:val="fr-FR"/>
        </w:rPr>
        <w:t>ici le mois de juin 2018</w:t>
      </w:r>
      <w:r w:rsidR="00E45323" w:rsidRPr="00882E58">
        <w:rPr>
          <w:rStyle w:val="FootnoteReference"/>
          <w:szCs w:val="22"/>
          <w:lang w:val="fr-FR"/>
        </w:rPr>
        <w:footnoteReference w:id="33"/>
      </w:r>
      <w:r w:rsidR="00E45323" w:rsidRPr="00882E58">
        <w:rPr>
          <w:lang w:val="fr-FR"/>
        </w:rPr>
        <w:t>.</w:t>
      </w:r>
    </w:p>
    <w:p w:rsidR="008670FA" w:rsidRPr="00882E58" w:rsidRDefault="00E45323" w:rsidP="00401FB8">
      <w:pPr>
        <w:pStyle w:val="ONUMFS"/>
        <w:rPr>
          <w:lang w:val="fr-FR"/>
        </w:rPr>
      </w:pPr>
      <w:r w:rsidRPr="00882E58">
        <w:rPr>
          <w:lang w:val="fr-FR"/>
        </w:rPr>
        <w:t>Le Centre reste déterminé à travailler avec les parties prenantes pour tenter de préserver l</w:t>
      </w:r>
      <w:r w:rsidR="009B258A">
        <w:rPr>
          <w:lang w:val="fr-FR"/>
        </w:rPr>
        <w:t>’</w:t>
      </w:r>
      <w:r w:rsidRPr="00882E58">
        <w:rPr>
          <w:lang w:val="fr-FR"/>
        </w:rPr>
        <w:t>observation des principes généraux de la protection de la propriété intellectuelle dans les nouveaux g</w:t>
      </w:r>
      <w:r w:rsidR="0090772B" w:rsidRPr="00882E58">
        <w:rPr>
          <w:lang w:val="fr-FR"/>
        </w:rPr>
        <w:t>TLD</w:t>
      </w:r>
      <w:r w:rsidR="0090772B">
        <w:rPr>
          <w:lang w:val="fr-FR"/>
        </w:rPr>
        <w:t xml:space="preserve">.  </w:t>
      </w:r>
      <w:r w:rsidR="0090772B" w:rsidRPr="00882E58">
        <w:rPr>
          <w:lang w:val="fr-FR"/>
        </w:rPr>
        <w:t>Ce</w:t>
      </w:r>
      <w:r w:rsidRPr="00882E58">
        <w:rPr>
          <w:lang w:val="fr-FR"/>
        </w:rPr>
        <w:t>rtains mécanismes de protection des droits ont émergé d</w:t>
      </w:r>
      <w:r w:rsidR="009B258A">
        <w:rPr>
          <w:lang w:val="fr-FR"/>
        </w:rPr>
        <w:t>’</w:t>
      </w:r>
      <w:r w:rsidRPr="00882E58">
        <w:rPr>
          <w:lang w:val="fr-FR"/>
        </w:rPr>
        <w:t>une série de comités et processus de l</w:t>
      </w:r>
      <w:r w:rsidR="009B258A">
        <w:rPr>
          <w:lang w:val="fr-FR"/>
        </w:rPr>
        <w:t>’</w:t>
      </w:r>
      <w:r w:rsidRPr="00882E58">
        <w:rPr>
          <w:lang w:val="fr-FR"/>
        </w:rPr>
        <w:t>ICANN relatifs aux nouveaux gTLD</w:t>
      </w:r>
      <w:r w:rsidRPr="00882E58">
        <w:rPr>
          <w:rStyle w:val="FootnoteReference"/>
          <w:szCs w:val="22"/>
          <w:lang w:val="fr-FR"/>
        </w:rPr>
        <w:footnoteReference w:id="34"/>
      </w:r>
      <w:r w:rsidRPr="00882E58">
        <w:rPr>
          <w:lang w:val="fr-FR"/>
        </w:rPr>
        <w:t>.</w:t>
      </w:r>
      <w:r w:rsidR="00F83CEE" w:rsidRPr="00882E58">
        <w:rPr>
          <w:lang w:val="fr-FR"/>
        </w:rPr>
        <w:t xml:space="preserve"> </w:t>
      </w:r>
      <w:r w:rsidR="00E6003E">
        <w:rPr>
          <w:lang w:val="fr-FR"/>
        </w:rPr>
        <w:t xml:space="preserve"> </w:t>
      </w:r>
      <w:r w:rsidRPr="00882E58">
        <w:rPr>
          <w:lang w:val="fr-FR"/>
        </w:rPr>
        <w:t>On trouvera ci</w:t>
      </w:r>
      <w:r w:rsidR="00401FB8">
        <w:rPr>
          <w:lang w:val="fr-FR"/>
        </w:rPr>
        <w:noBreakHyphen/>
      </w:r>
      <w:r w:rsidRPr="00882E58">
        <w:rPr>
          <w:lang w:val="fr-FR"/>
        </w:rPr>
        <w:t>après une description générale des mécanismes de protection des droits de l</w:t>
      </w:r>
      <w:r w:rsidR="009B258A">
        <w:rPr>
          <w:lang w:val="fr-FR"/>
        </w:rPr>
        <w:t>’</w:t>
      </w:r>
      <w:r w:rsidRPr="00882E58">
        <w:rPr>
          <w:lang w:val="fr-FR"/>
        </w:rPr>
        <w:t>ICANN, pour les premier et deuxième niveaux respectivement.</w:t>
      </w:r>
    </w:p>
    <w:p w:rsidR="008670FA" w:rsidRPr="00882E58" w:rsidRDefault="00D91E89" w:rsidP="00D91E89">
      <w:pPr>
        <w:pStyle w:val="Heading3"/>
        <w:numPr>
          <w:ilvl w:val="0"/>
          <w:numId w:val="38"/>
        </w:numPr>
        <w:ind w:left="1701" w:hanging="567"/>
        <w:rPr>
          <w:lang w:val="fr-FR"/>
        </w:rPr>
      </w:pPr>
      <w:r w:rsidRPr="00882E58">
        <w:rPr>
          <w:lang w:val="fr-FR"/>
        </w:rPr>
        <w:lastRenderedPageBreak/>
        <w:t>Mécanismes de protection des droits de premier niveau</w:t>
      </w:r>
    </w:p>
    <w:p w:rsidR="008670FA" w:rsidRPr="00F81468" w:rsidRDefault="00D91E89" w:rsidP="00F81468">
      <w:pPr>
        <w:pStyle w:val="ONUMFS"/>
        <w:numPr>
          <w:ilvl w:val="2"/>
          <w:numId w:val="6"/>
        </w:numPr>
        <w:ind w:left="1701"/>
        <w:rPr>
          <w:u w:val="single"/>
          <w:lang w:val="fr-FR"/>
        </w:rPr>
      </w:pPr>
      <w:r w:rsidRPr="00F81468">
        <w:rPr>
          <w:u w:val="single"/>
          <w:lang w:val="fr-FR"/>
        </w:rPr>
        <w:t>Procédure de règlement des litiges préalable à l</w:t>
      </w:r>
      <w:r w:rsidR="009B258A" w:rsidRPr="00F81468">
        <w:rPr>
          <w:u w:val="single"/>
          <w:lang w:val="fr-FR"/>
        </w:rPr>
        <w:t>’</w:t>
      </w:r>
      <w:r w:rsidRPr="00F81468">
        <w:rPr>
          <w:u w:val="single"/>
          <w:lang w:val="fr-FR"/>
        </w:rPr>
        <w:t>attribution d</w:t>
      </w:r>
      <w:r w:rsidR="009B258A" w:rsidRPr="00F81468">
        <w:rPr>
          <w:u w:val="single"/>
          <w:lang w:val="fr-FR"/>
        </w:rPr>
        <w:t>’</w:t>
      </w:r>
      <w:r w:rsidRPr="00F81468">
        <w:rPr>
          <w:u w:val="single"/>
          <w:lang w:val="fr-FR"/>
        </w:rPr>
        <w:t>un domaine de premier niveau</w:t>
      </w:r>
    </w:p>
    <w:p w:rsidR="008670FA" w:rsidRPr="00882E58" w:rsidRDefault="00D91E89" w:rsidP="00401FB8">
      <w:pPr>
        <w:pStyle w:val="ONUMFS"/>
        <w:rPr>
          <w:lang w:val="fr-FR"/>
        </w:rPr>
      </w:pPr>
      <w:r w:rsidRPr="00882E58">
        <w:rPr>
          <w:lang w:val="fr-FR"/>
        </w:rPr>
        <w:t>Ce mécanisme permettait aux propriétaires de marques d</w:t>
      </w:r>
      <w:r w:rsidR="009B258A">
        <w:rPr>
          <w:lang w:val="fr-FR"/>
        </w:rPr>
        <w:t>’</w:t>
      </w:r>
      <w:r w:rsidRPr="00882E58">
        <w:rPr>
          <w:lang w:val="fr-FR"/>
        </w:rPr>
        <w:t>opposer aux demandes de nouveaux gTLD au premier niveau des objections pour atteinte aux droits lorsque certains critères matériels étaient réunis</w:t>
      </w:r>
      <w:r w:rsidRPr="00882E58">
        <w:rPr>
          <w:rStyle w:val="FootnoteReference"/>
          <w:szCs w:val="22"/>
          <w:lang w:val="fr-FR"/>
        </w:rPr>
        <w:footnoteReference w:id="35"/>
      </w:r>
      <w:r w:rsidRPr="00882E58">
        <w:rPr>
          <w:lang w:val="fr-FR"/>
        </w:rPr>
        <w:t>.  Le Centre a apporté à l</w:t>
      </w:r>
      <w:r w:rsidR="009B258A">
        <w:rPr>
          <w:lang w:val="fr-FR"/>
        </w:rPr>
        <w:t>’</w:t>
      </w:r>
      <w:r w:rsidRPr="00882E58">
        <w:rPr>
          <w:lang w:val="fr-FR"/>
        </w:rPr>
        <w:t>ICANN une assistance pour l</w:t>
      </w:r>
      <w:r w:rsidR="009B258A">
        <w:rPr>
          <w:lang w:val="fr-FR"/>
        </w:rPr>
        <w:t>’</w:t>
      </w:r>
      <w:r w:rsidRPr="00882E58">
        <w:rPr>
          <w:lang w:val="fr-FR"/>
        </w:rPr>
        <w:t xml:space="preserve">élaboration de ces critères sur la base de la </w:t>
      </w:r>
      <w:r w:rsidR="00882E58">
        <w:rPr>
          <w:lang w:val="fr-FR"/>
        </w:rPr>
        <w:t>“</w:t>
      </w:r>
      <w:r w:rsidRPr="00882E58">
        <w:rPr>
          <w:lang w:val="fr-FR"/>
        </w:rPr>
        <w:t>Recommandation commune de l</w:t>
      </w:r>
      <w:r w:rsidR="009B258A">
        <w:rPr>
          <w:lang w:val="fr-FR"/>
        </w:rPr>
        <w:t>’</w:t>
      </w:r>
      <w:r w:rsidRPr="00882E58">
        <w:rPr>
          <w:lang w:val="fr-FR"/>
        </w:rPr>
        <w:t>OMPI concernant la protection des marques, et autres droits de propriété industrielle relatifs à des signes, sur l</w:t>
      </w:r>
      <w:r w:rsidR="009B258A">
        <w:rPr>
          <w:lang w:val="fr-FR"/>
        </w:rPr>
        <w:t>’</w:t>
      </w:r>
      <w:r w:rsidRPr="00882E58">
        <w:rPr>
          <w:lang w:val="fr-FR"/>
        </w:rPr>
        <w:t>Internet</w:t>
      </w:r>
      <w:r w:rsidR="00882E58">
        <w:rPr>
          <w:lang w:val="fr-FR"/>
        </w:rPr>
        <w:t>”</w:t>
      </w:r>
      <w:r w:rsidRPr="00882E58">
        <w:rPr>
          <w:rStyle w:val="FootnoteReference"/>
          <w:szCs w:val="22"/>
          <w:lang w:val="fr-FR"/>
        </w:rPr>
        <w:footnoteReference w:id="36"/>
      </w:r>
      <w:r w:rsidRPr="00882E58">
        <w:rPr>
          <w:lang w:val="fr-FR"/>
        </w:rPr>
        <w:t>.</w:t>
      </w:r>
    </w:p>
    <w:p w:rsidR="009B258A" w:rsidRDefault="00D91E89" w:rsidP="00401FB8">
      <w:pPr>
        <w:pStyle w:val="ONUMFS"/>
        <w:rPr>
          <w:lang w:val="fr-FR"/>
        </w:rPr>
      </w:pPr>
      <w:r w:rsidRPr="00882E58">
        <w:rPr>
          <w:lang w:val="fr-FR"/>
        </w:rPr>
        <w:t>Désigné par l</w:t>
      </w:r>
      <w:r w:rsidR="009B258A">
        <w:rPr>
          <w:lang w:val="fr-FR"/>
        </w:rPr>
        <w:t>’</w:t>
      </w:r>
      <w:r w:rsidRPr="00882E58">
        <w:rPr>
          <w:lang w:val="fr-FR"/>
        </w:rPr>
        <w:t>ICANN comme prestataire exclusif de services de règlement des litiges relatifs aux objections pour atteinte aux droits</w:t>
      </w:r>
      <w:r w:rsidRPr="00882E58">
        <w:rPr>
          <w:rStyle w:val="FootnoteReference"/>
          <w:szCs w:val="22"/>
          <w:lang w:val="fr-FR"/>
        </w:rPr>
        <w:footnoteReference w:id="37"/>
      </w:r>
      <w:r w:rsidRPr="00882E58">
        <w:rPr>
          <w:lang w:val="fr-FR"/>
        </w:rPr>
        <w:t xml:space="preserve">, le Centre a reçu à ce </w:t>
      </w:r>
      <w:r w:rsidR="009B258A" w:rsidRPr="00882E58">
        <w:rPr>
          <w:lang w:val="fr-FR"/>
        </w:rPr>
        <w:t>titre</w:t>
      </w:r>
      <w:r w:rsidR="009B258A">
        <w:rPr>
          <w:lang w:val="fr-FR"/>
        </w:rPr>
        <w:t> </w:t>
      </w:r>
      <w:r w:rsidR="009B258A" w:rsidRPr="00882E58">
        <w:rPr>
          <w:lang w:val="fr-FR"/>
        </w:rPr>
        <w:t>6</w:t>
      </w:r>
      <w:r w:rsidRPr="00882E58">
        <w:rPr>
          <w:lang w:val="fr-FR"/>
        </w:rPr>
        <w:t>9</w:t>
      </w:r>
      <w:r w:rsidR="00401FB8">
        <w:rPr>
          <w:lang w:val="fr-FR"/>
        </w:rPr>
        <w:t> </w:t>
      </w:r>
      <w:r w:rsidRPr="00882E58">
        <w:rPr>
          <w:lang w:val="fr-FR"/>
        </w:rPr>
        <w:t>plaintes en bonne et due forme, dont il a achevé l</w:t>
      </w:r>
      <w:r w:rsidR="009B258A">
        <w:rPr>
          <w:lang w:val="fr-FR"/>
        </w:rPr>
        <w:t>’</w:t>
      </w:r>
      <w:r w:rsidRPr="00882E58">
        <w:rPr>
          <w:lang w:val="fr-FR"/>
        </w:rPr>
        <w:t xml:space="preserve">instruction en </w:t>
      </w:r>
      <w:r w:rsidR="009B258A" w:rsidRPr="00882E58">
        <w:rPr>
          <w:lang w:val="fr-FR"/>
        </w:rPr>
        <w:t>septembre</w:t>
      </w:r>
      <w:r w:rsidR="009B258A">
        <w:rPr>
          <w:lang w:val="fr-FR"/>
        </w:rPr>
        <w:t> </w:t>
      </w:r>
      <w:r w:rsidR="009B258A" w:rsidRPr="00882E58">
        <w:rPr>
          <w:lang w:val="fr-FR"/>
        </w:rPr>
        <w:t>20</w:t>
      </w:r>
      <w:r w:rsidRPr="00882E58">
        <w:rPr>
          <w:lang w:val="fr-FR"/>
        </w:rPr>
        <w:t>13</w:t>
      </w:r>
      <w:r w:rsidRPr="00882E58">
        <w:rPr>
          <w:rStyle w:val="FootnoteReference"/>
          <w:szCs w:val="22"/>
          <w:lang w:val="fr-FR"/>
        </w:rPr>
        <w:footnoteReference w:id="38"/>
      </w:r>
      <w:r w:rsidRPr="00882E58">
        <w:rPr>
          <w:lang w:val="fr-FR"/>
        </w:rPr>
        <w:t xml:space="preserve">. </w:t>
      </w:r>
      <w:r w:rsidR="00E6003E">
        <w:rPr>
          <w:lang w:val="fr-FR"/>
        </w:rPr>
        <w:t xml:space="preserve"> </w:t>
      </w:r>
      <w:r w:rsidRPr="00882E58">
        <w:rPr>
          <w:lang w:val="fr-FR"/>
        </w:rPr>
        <w:t>Toutes les décisions rendues par les commissions administratives de l</w:t>
      </w:r>
      <w:r w:rsidR="009B258A">
        <w:rPr>
          <w:lang w:val="fr-FR"/>
        </w:rPr>
        <w:t>’</w:t>
      </w:r>
      <w:r w:rsidRPr="00882E58">
        <w:rPr>
          <w:lang w:val="fr-FR"/>
        </w:rPr>
        <w:t>OMPI sont disponibles sur le site Internet du Centre</w:t>
      </w:r>
      <w:r w:rsidRPr="00882E58">
        <w:rPr>
          <w:rStyle w:val="FootnoteReference"/>
          <w:szCs w:val="22"/>
          <w:lang w:val="fr-FR"/>
        </w:rPr>
        <w:footnoteReference w:id="39"/>
      </w:r>
      <w:r w:rsidRPr="00882E58">
        <w:rPr>
          <w:lang w:val="fr-FR"/>
        </w:rPr>
        <w:t>, de même que le rapport établi sur les procédures d</w:t>
      </w:r>
      <w:r w:rsidR="009B258A">
        <w:rPr>
          <w:lang w:val="fr-FR"/>
        </w:rPr>
        <w:t>’</w:t>
      </w:r>
      <w:r w:rsidRPr="00882E58">
        <w:rPr>
          <w:lang w:val="fr-FR"/>
        </w:rPr>
        <w:t>objection pour atteinte aux droits</w:t>
      </w:r>
      <w:r w:rsidRPr="00882E58">
        <w:rPr>
          <w:rStyle w:val="FootnoteReference"/>
          <w:szCs w:val="22"/>
          <w:lang w:val="fr-FR"/>
        </w:rPr>
        <w:footnoteReference w:id="40"/>
      </w:r>
      <w:r w:rsidRPr="00882E58">
        <w:rPr>
          <w:lang w:val="fr-FR"/>
        </w:rPr>
        <w:t>.</w:t>
      </w:r>
    </w:p>
    <w:p w:rsidR="009B258A" w:rsidRPr="00F81468" w:rsidRDefault="00D91E89" w:rsidP="00F81468">
      <w:pPr>
        <w:pStyle w:val="ONUMFS"/>
        <w:numPr>
          <w:ilvl w:val="2"/>
          <w:numId w:val="44"/>
        </w:numPr>
        <w:rPr>
          <w:u w:val="single"/>
          <w:lang w:val="fr-FR"/>
        </w:rPr>
      </w:pPr>
      <w:r w:rsidRPr="00F81468">
        <w:rPr>
          <w:u w:val="single"/>
          <w:lang w:val="fr-FR"/>
        </w:rPr>
        <w:t>Procédure de règlement des litiges postérieure à l</w:t>
      </w:r>
      <w:r w:rsidR="009B258A" w:rsidRPr="00F81468">
        <w:rPr>
          <w:u w:val="single"/>
          <w:lang w:val="fr-FR"/>
        </w:rPr>
        <w:t>’</w:t>
      </w:r>
      <w:r w:rsidRPr="00F81468">
        <w:rPr>
          <w:u w:val="single"/>
          <w:lang w:val="fr-FR"/>
        </w:rPr>
        <w:t>attribution d</w:t>
      </w:r>
      <w:r w:rsidR="009B258A" w:rsidRPr="00F81468">
        <w:rPr>
          <w:u w:val="single"/>
          <w:lang w:val="fr-FR"/>
        </w:rPr>
        <w:t>’</w:t>
      </w:r>
      <w:r w:rsidRPr="00F81468">
        <w:rPr>
          <w:u w:val="single"/>
          <w:lang w:val="fr-FR"/>
        </w:rPr>
        <w:t>un domaine de premier niveau</w:t>
      </w:r>
    </w:p>
    <w:p w:rsidR="009B258A" w:rsidRDefault="00D91E89" w:rsidP="00401FB8">
      <w:pPr>
        <w:pStyle w:val="ONUMFS"/>
        <w:rPr>
          <w:lang w:val="fr-FR"/>
        </w:rPr>
      </w:pPr>
      <w:r w:rsidRPr="00882E58">
        <w:rPr>
          <w:lang w:val="fr-FR"/>
        </w:rPr>
        <w:t>Début</w:t>
      </w:r>
      <w:r w:rsidR="00401FB8">
        <w:rPr>
          <w:lang w:val="fr-FR"/>
        </w:rPr>
        <w:t> </w:t>
      </w:r>
      <w:r w:rsidRPr="00882E58">
        <w:rPr>
          <w:lang w:val="fr-FR"/>
        </w:rPr>
        <w:t>2009, le Centre a communiqué à l</w:t>
      </w:r>
      <w:r w:rsidR="009B258A">
        <w:rPr>
          <w:lang w:val="fr-FR"/>
        </w:rPr>
        <w:t>’</w:t>
      </w:r>
      <w:r w:rsidRPr="00882E58">
        <w:rPr>
          <w:lang w:val="fr-FR"/>
        </w:rPr>
        <w:t>ICANN une proposition concrète en faveur d</w:t>
      </w:r>
      <w:r w:rsidR="009B258A">
        <w:rPr>
          <w:lang w:val="fr-FR"/>
        </w:rPr>
        <w:t>’</w:t>
      </w:r>
      <w:r w:rsidRPr="00882E58">
        <w:rPr>
          <w:lang w:val="fr-FR"/>
        </w:rPr>
        <w:t>une option administrative permanente qui permettrait le dépôt d</w:t>
      </w:r>
      <w:r w:rsidR="009B258A">
        <w:rPr>
          <w:lang w:val="fr-FR"/>
        </w:rPr>
        <w:t>’</w:t>
      </w:r>
      <w:r w:rsidRPr="00882E58">
        <w:rPr>
          <w:lang w:val="fr-FR"/>
        </w:rPr>
        <w:t>une plainte contre l</w:t>
      </w:r>
      <w:r w:rsidR="009B258A">
        <w:rPr>
          <w:lang w:val="fr-FR"/>
        </w:rPr>
        <w:t>’</w:t>
      </w:r>
      <w:r w:rsidRPr="00882E58">
        <w:rPr>
          <w:lang w:val="fr-FR"/>
        </w:rPr>
        <w:t>administrateur d</w:t>
      </w:r>
      <w:r w:rsidR="009B258A">
        <w:rPr>
          <w:lang w:val="fr-FR"/>
        </w:rPr>
        <w:t>’</w:t>
      </w:r>
      <w:r w:rsidRPr="00882E58">
        <w:rPr>
          <w:lang w:val="fr-FR"/>
        </w:rPr>
        <w:t>un service d</w:t>
      </w:r>
      <w:r w:rsidR="009B258A">
        <w:rPr>
          <w:lang w:val="fr-FR"/>
        </w:rPr>
        <w:t>’</w:t>
      </w:r>
      <w:r w:rsidRPr="00882E58">
        <w:rPr>
          <w:lang w:val="fr-FR"/>
        </w:rPr>
        <w:t>enregistrement pour un gTLD nouvellement approuvé dont le mode de fonctionnement ou l</w:t>
      </w:r>
      <w:r w:rsidR="009B258A">
        <w:rPr>
          <w:lang w:val="fr-FR"/>
        </w:rPr>
        <w:t>’</w:t>
      </w:r>
      <w:r w:rsidRPr="00882E58">
        <w:rPr>
          <w:lang w:val="fr-FR"/>
        </w:rPr>
        <w:t>utilisation de son service porterait atteinte ou contribuerait matériellement à porter atteinte à une marque</w:t>
      </w:r>
      <w:r w:rsidRPr="00882E58">
        <w:rPr>
          <w:rStyle w:val="FootnoteReference"/>
          <w:szCs w:val="22"/>
          <w:lang w:val="fr-FR"/>
        </w:rPr>
        <w:footnoteReference w:id="41"/>
      </w:r>
      <w:r w:rsidRPr="00882E58">
        <w:rPr>
          <w:lang w:val="fr-FR"/>
        </w:rPr>
        <w:t>.  L</w:t>
      </w:r>
      <w:r w:rsidR="009B258A">
        <w:rPr>
          <w:lang w:val="fr-FR"/>
        </w:rPr>
        <w:t>’</w:t>
      </w:r>
      <w:r w:rsidRPr="00882E58">
        <w:rPr>
          <w:lang w:val="fr-FR"/>
        </w:rPr>
        <w:t>intention était de procurer une forme d</w:t>
      </w:r>
      <w:r w:rsidR="009B258A">
        <w:rPr>
          <w:lang w:val="fr-FR"/>
        </w:rPr>
        <w:t>’</w:t>
      </w:r>
      <w:r w:rsidRPr="00882E58">
        <w:rPr>
          <w:lang w:val="fr-FR"/>
        </w:rPr>
        <w:t>assistance normalisée à l</w:t>
      </w:r>
      <w:r w:rsidR="009B258A">
        <w:rPr>
          <w:lang w:val="fr-FR"/>
        </w:rPr>
        <w:t>’</w:t>
      </w:r>
      <w:r w:rsidRPr="00882E58">
        <w:rPr>
          <w:lang w:val="fr-FR"/>
        </w:rPr>
        <w:t>ICANN pour lui permettre de s</w:t>
      </w:r>
      <w:r w:rsidR="009B258A">
        <w:rPr>
          <w:lang w:val="fr-FR"/>
        </w:rPr>
        <w:t>’</w:t>
      </w:r>
      <w:r w:rsidRPr="00882E58">
        <w:rPr>
          <w:lang w:val="fr-FR"/>
        </w:rPr>
        <w:t>acquitter de ses responsabilités en matière de supervision, en prévoyant une voie de règlement administrative pouvant se substituer à l</w:t>
      </w:r>
      <w:r w:rsidR="009B258A">
        <w:rPr>
          <w:lang w:val="fr-FR"/>
        </w:rPr>
        <w:t>’</w:t>
      </w:r>
      <w:r w:rsidRPr="00882E58">
        <w:rPr>
          <w:lang w:val="fr-FR"/>
        </w:rPr>
        <w:t>action en justice et en encourageant les acteurs concernés à se comporter de manière responsable, le tout assorti de clauses d</w:t>
      </w:r>
      <w:r w:rsidR="009B258A">
        <w:rPr>
          <w:lang w:val="fr-FR"/>
        </w:rPr>
        <w:t>’</w:t>
      </w:r>
      <w:r w:rsidRPr="00882E58">
        <w:rPr>
          <w:lang w:val="fr-FR"/>
        </w:rPr>
        <w:t>exonération de responsabilité</w:t>
      </w:r>
      <w:r w:rsidRPr="00882E58">
        <w:rPr>
          <w:rStyle w:val="FootnoteReference"/>
          <w:szCs w:val="22"/>
          <w:lang w:val="fr-FR"/>
        </w:rPr>
        <w:footnoteReference w:id="42"/>
      </w:r>
      <w:r w:rsidRPr="00882E58">
        <w:rPr>
          <w:lang w:val="fr-FR"/>
        </w:rPr>
        <w:t>.</w:t>
      </w:r>
    </w:p>
    <w:p w:rsidR="008670FA" w:rsidRPr="00882E58" w:rsidRDefault="002D52C5" w:rsidP="00401FB8">
      <w:pPr>
        <w:pStyle w:val="ONUMFS"/>
        <w:rPr>
          <w:lang w:val="fr-FR"/>
        </w:rPr>
      </w:pPr>
      <w:r w:rsidRPr="00882E58">
        <w:rPr>
          <w:lang w:val="fr-FR"/>
        </w:rPr>
        <w:lastRenderedPageBreak/>
        <w:t>À la suite de différentes procédures de l</w:t>
      </w:r>
      <w:r w:rsidR="009B258A">
        <w:rPr>
          <w:lang w:val="fr-FR"/>
        </w:rPr>
        <w:t>’</w:t>
      </w:r>
      <w:r w:rsidRPr="00882E58">
        <w:rPr>
          <w:lang w:val="fr-FR"/>
        </w:rPr>
        <w:t>ICANN, notamment les consultations avec les administrateurs de services d</w:t>
      </w:r>
      <w:r w:rsidR="009B258A">
        <w:rPr>
          <w:lang w:val="fr-FR"/>
        </w:rPr>
        <w:t>’</w:t>
      </w:r>
      <w:r w:rsidRPr="00882E58">
        <w:rPr>
          <w:lang w:val="fr-FR"/>
        </w:rPr>
        <w:t>enregistrement, l</w:t>
      </w:r>
      <w:r w:rsidR="009B258A">
        <w:rPr>
          <w:lang w:val="fr-FR"/>
        </w:rPr>
        <w:t>’</w:t>
      </w:r>
      <w:r w:rsidRPr="00882E58">
        <w:rPr>
          <w:lang w:val="fr-FR"/>
        </w:rPr>
        <w:t>efficacité de la procédure de règlement des litiges postérieure à l</w:t>
      </w:r>
      <w:r w:rsidR="009B258A">
        <w:rPr>
          <w:lang w:val="fr-FR"/>
        </w:rPr>
        <w:t>’</w:t>
      </w:r>
      <w:r w:rsidRPr="00882E58">
        <w:rPr>
          <w:lang w:val="fr-FR"/>
        </w:rPr>
        <w:t>attribution reste incertaine, compte tenu en particulier de la superposition de différentes couches procédurales et des problèmes concernant le champ d</w:t>
      </w:r>
      <w:r w:rsidR="009B258A">
        <w:rPr>
          <w:lang w:val="fr-FR"/>
        </w:rPr>
        <w:t>’</w:t>
      </w:r>
      <w:r w:rsidRPr="00882E58">
        <w:rPr>
          <w:lang w:val="fr-FR"/>
        </w:rPr>
        <w:t>application de ce mécanis</w:t>
      </w:r>
      <w:r w:rsidR="0090772B" w:rsidRPr="00882E58">
        <w:rPr>
          <w:lang w:val="fr-FR"/>
        </w:rPr>
        <w:t>me</w:t>
      </w:r>
      <w:r w:rsidR="0090772B">
        <w:rPr>
          <w:lang w:val="fr-FR"/>
        </w:rPr>
        <w:t xml:space="preserve">.  </w:t>
      </w:r>
      <w:r w:rsidR="0090772B" w:rsidRPr="00882E58">
        <w:rPr>
          <w:lang w:val="fr-FR"/>
        </w:rPr>
        <w:t>Co</w:t>
      </w:r>
      <w:r w:rsidRPr="00882E58">
        <w:rPr>
          <w:lang w:val="fr-FR"/>
        </w:rPr>
        <w:t xml:space="preserve">mpte tenu de certains intérêts plus généraux, le Centre est convenu </w:t>
      </w:r>
      <w:r w:rsidR="009B258A" w:rsidRPr="00882E58">
        <w:rPr>
          <w:lang w:val="fr-FR"/>
        </w:rPr>
        <w:t>en</w:t>
      </w:r>
      <w:r w:rsidR="009B258A">
        <w:rPr>
          <w:lang w:val="fr-FR"/>
        </w:rPr>
        <w:t> </w:t>
      </w:r>
      <w:r w:rsidR="009B258A" w:rsidRPr="00882E58">
        <w:rPr>
          <w:lang w:val="fr-FR"/>
        </w:rPr>
        <w:t>2013</w:t>
      </w:r>
      <w:r w:rsidRPr="00882E58">
        <w:rPr>
          <w:lang w:val="fr-FR"/>
        </w:rPr>
        <w:t xml:space="preserve"> avec l</w:t>
      </w:r>
      <w:r w:rsidR="009B258A">
        <w:rPr>
          <w:lang w:val="fr-FR"/>
        </w:rPr>
        <w:t>’</w:t>
      </w:r>
      <w:r w:rsidRPr="00882E58">
        <w:rPr>
          <w:lang w:val="fr-FR"/>
        </w:rPr>
        <w:t>ICANN de devenir prestataire de services dans le cadre de la procédure de règlement des litiges postérieure à l</w:t>
      </w:r>
      <w:r w:rsidR="009B258A">
        <w:rPr>
          <w:lang w:val="fr-FR"/>
        </w:rPr>
        <w:t>’</w:t>
      </w:r>
      <w:r w:rsidRPr="00882E58">
        <w:rPr>
          <w:lang w:val="fr-FR"/>
        </w:rPr>
        <w:t>attribution en ce qui concerne les marques.</w:t>
      </w:r>
    </w:p>
    <w:p w:rsidR="008670FA" w:rsidRPr="00882E58" w:rsidRDefault="002D52C5" w:rsidP="002D52C5">
      <w:pPr>
        <w:pStyle w:val="Heading3"/>
        <w:ind w:left="1701" w:hanging="567"/>
        <w:rPr>
          <w:lang w:val="fr-FR"/>
        </w:rPr>
      </w:pPr>
      <w:r w:rsidRPr="00882E58">
        <w:rPr>
          <w:lang w:val="fr-FR"/>
        </w:rPr>
        <w:t>Mécanismes de protection des droits au deuxième niveau</w:t>
      </w:r>
    </w:p>
    <w:p w:rsidR="008670FA" w:rsidRPr="00F81468" w:rsidRDefault="002D52C5" w:rsidP="00F81468">
      <w:pPr>
        <w:pStyle w:val="Heading4"/>
      </w:pPr>
      <w:r w:rsidRPr="00F81468">
        <w:rPr>
          <w:u w:val="none"/>
        </w:rPr>
        <w:t>i)</w:t>
      </w:r>
      <w:r w:rsidRPr="00F81468">
        <w:rPr>
          <w:u w:val="none"/>
        </w:rPr>
        <w:tab/>
      </w:r>
      <w:r w:rsidRPr="00F81468">
        <w:t>Base de données centrale sur les marques</w:t>
      </w:r>
    </w:p>
    <w:p w:rsidR="009B258A" w:rsidRDefault="002D52C5" w:rsidP="00401FB8">
      <w:pPr>
        <w:pStyle w:val="ONUMFS"/>
        <w:rPr>
          <w:lang w:val="fr-FR"/>
        </w:rPr>
      </w:pPr>
      <w:r w:rsidRPr="00882E58">
        <w:rPr>
          <w:lang w:val="fr-FR"/>
        </w:rPr>
        <w:t>Le programme de l</w:t>
      </w:r>
      <w:r w:rsidR="009B258A">
        <w:rPr>
          <w:lang w:val="fr-FR"/>
        </w:rPr>
        <w:t>’</w:t>
      </w:r>
      <w:r w:rsidRPr="00882E58">
        <w:rPr>
          <w:lang w:val="fr-FR"/>
        </w:rPr>
        <w:t>ICANN relatif aux nouveaux gTLD prévoit l</w:t>
      </w:r>
      <w:r w:rsidR="009B258A">
        <w:rPr>
          <w:lang w:val="fr-FR"/>
        </w:rPr>
        <w:t>’</w:t>
      </w:r>
      <w:r w:rsidRPr="00882E58">
        <w:rPr>
          <w:lang w:val="fr-FR"/>
        </w:rPr>
        <w:t>établissement d</w:t>
      </w:r>
      <w:r w:rsidR="009B258A">
        <w:rPr>
          <w:lang w:val="fr-FR"/>
        </w:rPr>
        <w:t>’</w:t>
      </w:r>
      <w:r w:rsidRPr="00882E58">
        <w:rPr>
          <w:lang w:val="fr-FR"/>
        </w:rPr>
        <w:t>une base de données centrale sur les marques pouvant être invoquée en vertu des mécanismes de protection des droits relatifs aux nouveaux gTLD</w:t>
      </w:r>
      <w:r w:rsidRPr="00882E58">
        <w:rPr>
          <w:rStyle w:val="FootnoteReference"/>
          <w:lang w:val="fr-FR"/>
        </w:rPr>
        <w:footnoteReference w:id="43"/>
      </w:r>
      <w:r w:rsidRPr="00882E58">
        <w:rPr>
          <w:lang w:val="fr-FR"/>
        </w:rPr>
        <w:t>.  Le Centre a fait valoir que toute base de données centrale devrait éviter d</w:t>
      </w:r>
      <w:r w:rsidR="009B258A">
        <w:rPr>
          <w:lang w:val="fr-FR"/>
        </w:rPr>
        <w:t>’</w:t>
      </w:r>
      <w:r w:rsidRPr="00882E58">
        <w:rPr>
          <w:lang w:val="fr-FR"/>
        </w:rPr>
        <w:t>alourdir la charge de travail des titulaires de droits en matière de traitement des enregistrements de marques légitimement obtenus dans le cadre des systèmes d</w:t>
      </w:r>
      <w:r w:rsidR="009B258A">
        <w:rPr>
          <w:lang w:val="fr-FR"/>
        </w:rPr>
        <w:t>’</w:t>
      </w:r>
      <w:r w:rsidRPr="00882E58">
        <w:rPr>
          <w:lang w:val="fr-FR"/>
        </w:rPr>
        <w:t>examen et d</w:t>
      </w:r>
      <w:r w:rsidR="009B258A">
        <w:rPr>
          <w:lang w:val="fr-FR"/>
        </w:rPr>
        <w:t>’</w:t>
      </w:r>
      <w:r w:rsidRPr="00882E58">
        <w:rPr>
          <w:lang w:val="fr-FR"/>
        </w:rPr>
        <w:t>enregistrement appliqués dans de nombreux ressorts juridiques et qu</w:t>
      </w:r>
      <w:r w:rsidR="009B258A">
        <w:rPr>
          <w:lang w:val="fr-FR"/>
        </w:rPr>
        <w:t>’</w:t>
      </w:r>
      <w:r w:rsidRPr="00882E58">
        <w:rPr>
          <w:lang w:val="fr-FR"/>
        </w:rPr>
        <w:t>il conviendrait, le cas échéant, d</w:t>
      </w:r>
      <w:r w:rsidR="009B258A">
        <w:rPr>
          <w:lang w:val="fr-FR"/>
        </w:rPr>
        <w:t>’</w:t>
      </w:r>
      <w:r w:rsidRPr="00882E58">
        <w:rPr>
          <w:lang w:val="fr-FR"/>
        </w:rPr>
        <w:t>envisager des mesures pratiques pour recenser toute invocation inappropriée de droits dans certains context</w:t>
      </w:r>
      <w:r w:rsidR="0090772B" w:rsidRPr="00882E58">
        <w:rPr>
          <w:lang w:val="fr-FR"/>
        </w:rPr>
        <w:t>es</w:t>
      </w:r>
      <w:r w:rsidR="0090772B">
        <w:rPr>
          <w:lang w:val="fr-FR"/>
        </w:rPr>
        <w:t xml:space="preserve">.  </w:t>
      </w:r>
      <w:r w:rsidR="0090772B" w:rsidRPr="00882E58">
        <w:rPr>
          <w:lang w:val="fr-FR"/>
        </w:rPr>
        <w:t>Se</w:t>
      </w:r>
      <w:r w:rsidRPr="00882E58">
        <w:rPr>
          <w:lang w:val="fr-FR"/>
        </w:rPr>
        <w:t>lon les informations disponibles, il apparaît qu</w:t>
      </w:r>
      <w:r w:rsidR="009B258A">
        <w:rPr>
          <w:lang w:val="fr-FR"/>
        </w:rPr>
        <w:t>’</w:t>
      </w:r>
      <w:r w:rsidRPr="00882E58">
        <w:rPr>
          <w:lang w:val="fr-FR"/>
        </w:rPr>
        <w:t xml:space="preserve">à fin </w:t>
      </w:r>
      <w:r w:rsidR="009B258A" w:rsidRPr="00882E58">
        <w:rPr>
          <w:lang w:val="fr-FR"/>
        </w:rPr>
        <w:t>mai</w:t>
      </w:r>
      <w:r w:rsidR="009B258A">
        <w:rPr>
          <w:lang w:val="fr-FR"/>
        </w:rPr>
        <w:t> </w:t>
      </w:r>
      <w:r w:rsidR="009B258A" w:rsidRPr="00882E58">
        <w:rPr>
          <w:lang w:val="fr-FR"/>
        </w:rPr>
        <w:t>20</w:t>
      </w:r>
      <w:r w:rsidRPr="00882E58">
        <w:rPr>
          <w:lang w:val="fr-FR"/>
        </w:rPr>
        <w:t>18 la base de données centrale sur les marques comptait plus de 44 000</w:t>
      </w:r>
      <w:r w:rsidR="00401FB8">
        <w:rPr>
          <w:lang w:val="fr-FR"/>
        </w:rPr>
        <w:t> </w:t>
      </w:r>
      <w:r w:rsidRPr="00882E58">
        <w:rPr>
          <w:lang w:val="fr-FR"/>
        </w:rPr>
        <w:t>entrées</w:t>
      </w:r>
      <w:r w:rsidRPr="00882E58">
        <w:rPr>
          <w:rStyle w:val="FootnoteReference"/>
          <w:lang w:val="fr-FR"/>
        </w:rPr>
        <w:footnoteReference w:id="44"/>
      </w:r>
      <w:r w:rsidRPr="00882E58">
        <w:rPr>
          <w:lang w:val="fr-FR"/>
        </w:rPr>
        <w:t>.</w:t>
      </w:r>
    </w:p>
    <w:p w:rsidR="008670FA" w:rsidRPr="00882E58" w:rsidRDefault="0065589C" w:rsidP="00F81468">
      <w:pPr>
        <w:pStyle w:val="Heading4"/>
      </w:pPr>
      <w:r w:rsidRPr="00F81468">
        <w:rPr>
          <w:u w:val="none"/>
        </w:rPr>
        <w:t>ii)</w:t>
      </w:r>
      <w:r w:rsidRPr="00F81468">
        <w:rPr>
          <w:u w:val="none"/>
        </w:rPr>
        <w:tab/>
      </w:r>
      <w:r w:rsidRPr="00882E58">
        <w:t>Système de suspension uniforme rapide</w:t>
      </w:r>
    </w:p>
    <w:p w:rsidR="009B258A" w:rsidRDefault="0065589C" w:rsidP="00401FB8">
      <w:pPr>
        <w:pStyle w:val="ONUMFS"/>
        <w:rPr>
          <w:lang w:val="fr-FR"/>
        </w:rPr>
      </w:pPr>
      <w:r w:rsidRPr="00882E58">
        <w:rPr>
          <w:lang w:val="fr-FR"/>
        </w:rPr>
        <w:t>Les principes UDRP resteront un important instrument défensif pour certains litiges qui appellent le transfert du nom de domaine contesté au propriétaire de la marque, et l</w:t>
      </w:r>
      <w:r w:rsidR="009B258A">
        <w:rPr>
          <w:lang w:val="fr-FR"/>
        </w:rPr>
        <w:t>’</w:t>
      </w:r>
      <w:r w:rsidRPr="00882E58">
        <w:rPr>
          <w:lang w:val="fr-FR"/>
        </w:rPr>
        <w:t>ICANN a mis en place un mécanisme allégé de protection des droits de deuxième niveau dans certains cas</w:t>
      </w:r>
      <w:r w:rsidRPr="00882E58">
        <w:rPr>
          <w:rStyle w:val="FootnoteReference"/>
          <w:lang w:val="fr-FR"/>
        </w:rPr>
        <w:footnoteReference w:id="45"/>
      </w:r>
      <w:r w:rsidRPr="00882E58">
        <w:rPr>
          <w:lang w:val="fr-FR"/>
        </w:rPr>
        <w:t>.</w:t>
      </w:r>
    </w:p>
    <w:p w:rsidR="009B258A" w:rsidRDefault="0065589C" w:rsidP="00401FB8">
      <w:pPr>
        <w:pStyle w:val="ONUMFS"/>
        <w:rPr>
          <w:lang w:val="fr-FR"/>
        </w:rPr>
      </w:pPr>
      <w:r w:rsidRPr="00882E58">
        <w:rPr>
          <w:lang w:val="fr-FR"/>
        </w:rPr>
        <w:lastRenderedPageBreak/>
        <w:t>Issu d</w:t>
      </w:r>
      <w:r w:rsidR="009B258A">
        <w:rPr>
          <w:lang w:val="fr-FR"/>
        </w:rPr>
        <w:t>’</w:t>
      </w:r>
      <w:r w:rsidRPr="00882E58">
        <w:rPr>
          <w:lang w:val="fr-FR"/>
        </w:rPr>
        <w:t>une série de procédures et de comités de l</w:t>
      </w:r>
      <w:r w:rsidR="009B258A">
        <w:rPr>
          <w:lang w:val="fr-FR"/>
        </w:rPr>
        <w:t>’</w:t>
      </w:r>
      <w:r w:rsidRPr="00882E58">
        <w:rPr>
          <w:lang w:val="fr-FR"/>
        </w:rPr>
        <w:t>ICANN, le système de suspension uniforme rapide continue de soulever un certain nombre de questions, concernant en particulier son lien avec les principes UDRP</w:t>
      </w:r>
      <w:r w:rsidRPr="00882E58">
        <w:rPr>
          <w:rStyle w:val="FootnoteReference"/>
          <w:lang w:val="fr-FR"/>
        </w:rPr>
        <w:footnoteReference w:id="46"/>
      </w:r>
      <w:r w:rsidRPr="00882E58">
        <w:rPr>
          <w:lang w:val="fr-FR"/>
        </w:rPr>
        <w:t xml:space="preserve">. </w:t>
      </w:r>
      <w:r w:rsidR="00882E58">
        <w:rPr>
          <w:lang w:val="fr-FR"/>
        </w:rPr>
        <w:t xml:space="preserve"> </w:t>
      </w:r>
      <w:r w:rsidRPr="00882E58">
        <w:rPr>
          <w:lang w:val="fr-FR"/>
        </w:rPr>
        <w:t>L</w:t>
      </w:r>
      <w:r w:rsidR="009B258A">
        <w:rPr>
          <w:lang w:val="fr-FR"/>
        </w:rPr>
        <w:t>’</w:t>
      </w:r>
      <w:r w:rsidRPr="00882E58">
        <w:rPr>
          <w:lang w:val="fr-FR"/>
        </w:rPr>
        <w:t>ICANN a adressé aux prestataires potentiels de services de suspension uniforme rapide un appel d</w:t>
      </w:r>
      <w:r w:rsidR="009B258A">
        <w:rPr>
          <w:lang w:val="fr-FR"/>
        </w:rPr>
        <w:t>’</w:t>
      </w:r>
      <w:r w:rsidRPr="00882E58">
        <w:rPr>
          <w:lang w:val="fr-FR"/>
        </w:rPr>
        <w:t>offres auquel, à l</w:t>
      </w:r>
      <w:r w:rsidR="009B258A">
        <w:rPr>
          <w:lang w:val="fr-FR"/>
        </w:rPr>
        <w:t>’</w:t>
      </w:r>
      <w:r w:rsidRPr="00882E58">
        <w:rPr>
          <w:lang w:val="fr-FR"/>
        </w:rPr>
        <w:t>issue d</w:t>
      </w:r>
      <w:r w:rsidR="009B258A">
        <w:rPr>
          <w:lang w:val="fr-FR"/>
        </w:rPr>
        <w:t>’</w:t>
      </w:r>
      <w:r w:rsidRPr="00882E58">
        <w:rPr>
          <w:lang w:val="fr-FR"/>
        </w:rPr>
        <w:t>un examen approfondi du modèle de suspension uniforme rapide de l</w:t>
      </w:r>
      <w:r w:rsidR="009B258A">
        <w:rPr>
          <w:lang w:val="fr-FR"/>
        </w:rPr>
        <w:t>’</w:t>
      </w:r>
      <w:r w:rsidRPr="00882E58">
        <w:rPr>
          <w:lang w:val="fr-FR"/>
        </w:rPr>
        <w:t>ICANN et des ressources nécessaires, le Centre n</w:t>
      </w:r>
      <w:r w:rsidR="009B258A">
        <w:rPr>
          <w:lang w:val="fr-FR"/>
        </w:rPr>
        <w:t>’</w:t>
      </w:r>
      <w:r w:rsidRPr="00882E58">
        <w:rPr>
          <w:lang w:val="fr-FR"/>
        </w:rPr>
        <w:t>a pas été en mesure de participer</w:t>
      </w:r>
      <w:r w:rsidRPr="00882E58">
        <w:rPr>
          <w:rStyle w:val="FootnoteReference"/>
          <w:lang w:val="fr-FR"/>
        </w:rPr>
        <w:footnoteReference w:id="47"/>
      </w:r>
      <w:r w:rsidRPr="00882E58">
        <w:rPr>
          <w:lang w:val="fr-FR"/>
        </w:rPr>
        <w:t>.  Le Centre continue de suivre de près l</w:t>
      </w:r>
      <w:r w:rsidR="009B258A">
        <w:rPr>
          <w:lang w:val="fr-FR"/>
        </w:rPr>
        <w:t>’</w:t>
      </w:r>
      <w:r w:rsidRPr="00882E58">
        <w:rPr>
          <w:lang w:val="fr-FR"/>
        </w:rPr>
        <w:t>évolution de la situation.</w:t>
      </w:r>
    </w:p>
    <w:p w:rsidR="008670FA" w:rsidRPr="00882E58" w:rsidRDefault="0065589C" w:rsidP="0065589C">
      <w:pPr>
        <w:pStyle w:val="Heading2"/>
        <w:rPr>
          <w:lang w:val="fr-FR"/>
        </w:rPr>
      </w:pPr>
      <w:r w:rsidRPr="00882E58">
        <w:rPr>
          <w:lang w:val="fr-FR"/>
        </w:rPr>
        <w:t>B.</w:t>
      </w:r>
      <w:r w:rsidRPr="00882E58">
        <w:rPr>
          <w:lang w:val="fr-FR"/>
        </w:rPr>
        <w:tab/>
        <w:t>Plans de l</w:t>
      </w:r>
      <w:r w:rsidR="009B258A">
        <w:rPr>
          <w:lang w:val="fr-FR"/>
        </w:rPr>
        <w:t>’</w:t>
      </w:r>
      <w:r w:rsidRPr="00882E58">
        <w:rPr>
          <w:lang w:val="fr-FR"/>
        </w:rPr>
        <w:t>ICANN en vue d</w:t>
      </w:r>
      <w:r w:rsidR="009B258A">
        <w:rPr>
          <w:lang w:val="fr-FR"/>
        </w:rPr>
        <w:t>’</w:t>
      </w:r>
      <w:r w:rsidRPr="00882E58">
        <w:rPr>
          <w:lang w:val="fr-FR"/>
        </w:rPr>
        <w:t>une révision des principes UDRP établis à l</w:t>
      </w:r>
      <w:r w:rsidR="009B258A">
        <w:rPr>
          <w:lang w:val="fr-FR"/>
        </w:rPr>
        <w:t>’</w:t>
      </w:r>
      <w:r w:rsidRPr="00882E58">
        <w:rPr>
          <w:lang w:val="fr-FR"/>
        </w:rPr>
        <w:t>initiative de l</w:t>
      </w:r>
      <w:r w:rsidR="009B258A">
        <w:rPr>
          <w:lang w:val="fr-FR"/>
        </w:rPr>
        <w:t>’</w:t>
      </w:r>
      <w:r w:rsidRPr="00882E58">
        <w:rPr>
          <w:lang w:val="fr-FR"/>
        </w:rPr>
        <w:t>OMPI et autres mécanismes de protection des droits</w:t>
      </w:r>
    </w:p>
    <w:p w:rsidR="008670FA" w:rsidRPr="00882E58" w:rsidRDefault="0065589C" w:rsidP="00401FB8">
      <w:pPr>
        <w:pStyle w:val="ONUMFS"/>
        <w:rPr>
          <w:lang w:val="fr-FR"/>
        </w:rPr>
      </w:pPr>
      <w:r w:rsidRPr="00882E58">
        <w:rPr>
          <w:lang w:val="fr-FR"/>
        </w:rPr>
        <w:t>Adaptés à l</w:t>
      </w:r>
      <w:r w:rsidR="009B258A">
        <w:rPr>
          <w:lang w:val="fr-FR"/>
        </w:rPr>
        <w:t>’</w:t>
      </w:r>
      <w:r w:rsidRPr="00882E58">
        <w:rPr>
          <w:lang w:val="fr-FR"/>
        </w:rPr>
        <w:t>évolution dynamique</w:t>
      </w:r>
      <w:r w:rsidR="009B258A" w:rsidRPr="00882E58">
        <w:rPr>
          <w:lang w:val="fr-FR"/>
        </w:rPr>
        <w:t xml:space="preserve"> du</w:t>
      </w:r>
      <w:r w:rsidR="009B258A">
        <w:rPr>
          <w:lang w:val="fr-FR"/>
        </w:rPr>
        <w:t> </w:t>
      </w:r>
      <w:r w:rsidR="009B258A" w:rsidRPr="00882E58">
        <w:rPr>
          <w:lang w:val="fr-FR"/>
        </w:rPr>
        <w:t>DNS</w:t>
      </w:r>
      <w:r w:rsidRPr="00882E58">
        <w:rPr>
          <w:lang w:val="fr-FR"/>
        </w:rPr>
        <w:t>, les principes UDRP offrent aux propriétaires de marques, aux détenteurs de noms de domaine et aux administrateurs de services d</w:t>
      </w:r>
      <w:r w:rsidR="009B258A">
        <w:rPr>
          <w:lang w:val="fr-FR"/>
        </w:rPr>
        <w:t>’</w:t>
      </w:r>
      <w:r w:rsidRPr="00882E58">
        <w:rPr>
          <w:lang w:val="fr-FR"/>
        </w:rPr>
        <w:t>enregistrement une solution remplaçant avantageusement l</w:t>
      </w:r>
      <w:r w:rsidR="009B258A">
        <w:rPr>
          <w:lang w:val="fr-FR"/>
        </w:rPr>
        <w:t>’</w:t>
      </w:r>
      <w:r w:rsidRPr="00882E58">
        <w:rPr>
          <w:lang w:val="fr-FR"/>
        </w:rPr>
        <w:t>action judiciai</w:t>
      </w:r>
      <w:r w:rsidR="0090772B" w:rsidRPr="00882E58">
        <w:rPr>
          <w:lang w:val="fr-FR"/>
        </w:rPr>
        <w:t>re</w:t>
      </w:r>
      <w:r w:rsidR="0090772B">
        <w:rPr>
          <w:lang w:val="fr-FR"/>
        </w:rPr>
        <w:t xml:space="preserve">.  </w:t>
      </w:r>
      <w:r w:rsidR="0090772B" w:rsidRPr="00882E58">
        <w:rPr>
          <w:lang w:val="fr-FR"/>
        </w:rPr>
        <w:t>Or</w:t>
      </w:r>
      <w:r w:rsidRPr="00882E58">
        <w:rPr>
          <w:lang w:val="fr-FR"/>
        </w:rPr>
        <w:t>, à l</w:t>
      </w:r>
      <w:r w:rsidR="009B258A">
        <w:rPr>
          <w:lang w:val="fr-FR"/>
        </w:rPr>
        <w:t>’</w:t>
      </w:r>
      <w:r w:rsidRPr="00882E58">
        <w:rPr>
          <w:lang w:val="fr-FR"/>
        </w:rPr>
        <w:t xml:space="preserve">issue de discussions </w:t>
      </w:r>
      <w:r w:rsidR="009B258A" w:rsidRPr="00882E58">
        <w:rPr>
          <w:lang w:val="fr-FR"/>
        </w:rPr>
        <w:t>en</w:t>
      </w:r>
      <w:r w:rsidR="009B258A">
        <w:rPr>
          <w:lang w:val="fr-FR"/>
        </w:rPr>
        <w:t> </w:t>
      </w:r>
      <w:r w:rsidR="009B258A" w:rsidRPr="00882E58">
        <w:rPr>
          <w:lang w:val="fr-FR"/>
        </w:rPr>
        <w:t>2011</w:t>
      </w:r>
      <w:r w:rsidRPr="00882E58">
        <w:rPr>
          <w:lang w:val="fr-FR"/>
        </w:rPr>
        <w:t xml:space="preserve"> au cours desquelles une nette majorité des participants a estimé qu</w:t>
      </w:r>
      <w:r w:rsidR="009B258A">
        <w:rPr>
          <w:lang w:val="fr-FR"/>
        </w:rPr>
        <w:t>’</w:t>
      </w:r>
      <w:r w:rsidRPr="00882E58">
        <w:rPr>
          <w:lang w:val="fr-FR"/>
        </w:rPr>
        <w:t>une éventuelle révision des principes UDRP effectuée par l</w:t>
      </w:r>
      <w:r w:rsidR="009B258A">
        <w:rPr>
          <w:lang w:val="fr-FR"/>
        </w:rPr>
        <w:t>’</w:t>
      </w:r>
      <w:r w:rsidRPr="00882E58">
        <w:rPr>
          <w:lang w:val="fr-FR"/>
        </w:rPr>
        <w:t>ICANN en tant qu</w:t>
      </w:r>
      <w:r w:rsidR="009B258A">
        <w:rPr>
          <w:lang w:val="fr-FR"/>
        </w:rPr>
        <w:t>’</w:t>
      </w:r>
      <w:r w:rsidRPr="00882E58">
        <w:rPr>
          <w:lang w:val="fr-FR"/>
        </w:rPr>
        <w:t>organe axé sur les enregistrements</w:t>
      </w:r>
      <w:r w:rsidRPr="00882E58">
        <w:rPr>
          <w:rStyle w:val="FootnoteReference"/>
          <w:szCs w:val="22"/>
          <w:lang w:val="fr-FR"/>
        </w:rPr>
        <w:footnoteReference w:id="48"/>
      </w:r>
      <w:r w:rsidRPr="00882E58">
        <w:rPr>
          <w:lang w:val="fr-FR"/>
        </w:rPr>
        <w:t xml:space="preserve"> ferait davantage de mal que de bien, l</w:t>
      </w:r>
      <w:r w:rsidR="009B258A">
        <w:rPr>
          <w:lang w:val="fr-FR"/>
        </w:rPr>
        <w:t>’</w:t>
      </w:r>
      <w:r w:rsidRPr="00882E58">
        <w:rPr>
          <w:lang w:val="fr-FR"/>
        </w:rPr>
        <w:t>Organisation de soutien en matière de noms de domaine génériques de l</w:t>
      </w:r>
      <w:r w:rsidR="009B258A">
        <w:rPr>
          <w:lang w:val="fr-FR"/>
        </w:rPr>
        <w:t>’</w:t>
      </w:r>
      <w:r w:rsidRPr="00882E58">
        <w:rPr>
          <w:lang w:val="fr-FR"/>
        </w:rPr>
        <w:t>Internet (GNSO) a pris la décision de procéder à la révision des principes UDRP après le lancement de nouveaux g</w:t>
      </w:r>
      <w:r w:rsidR="0090772B" w:rsidRPr="00882E58">
        <w:rPr>
          <w:lang w:val="fr-FR"/>
        </w:rPr>
        <w:t>TLD</w:t>
      </w:r>
      <w:r w:rsidR="0090772B">
        <w:rPr>
          <w:lang w:val="fr-FR"/>
        </w:rPr>
        <w:t xml:space="preserve">.  </w:t>
      </w:r>
      <w:r w:rsidR="0090772B" w:rsidRPr="00882E58">
        <w:rPr>
          <w:lang w:val="fr-FR"/>
        </w:rPr>
        <w:t>Le</w:t>
      </w:r>
      <w:r w:rsidRPr="00882E58">
        <w:rPr>
          <w:lang w:val="fr-FR"/>
        </w:rPr>
        <w:t xml:space="preserve"> rapport préliminaire de l</w:t>
      </w:r>
      <w:r w:rsidR="009B258A">
        <w:rPr>
          <w:lang w:val="fr-FR"/>
        </w:rPr>
        <w:t>’</w:t>
      </w:r>
      <w:r w:rsidRPr="00882E58">
        <w:rPr>
          <w:lang w:val="fr-FR"/>
        </w:rPr>
        <w:t xml:space="preserve">ICANN sur cette question qui a été publié en </w:t>
      </w:r>
      <w:r w:rsidR="009B258A" w:rsidRPr="00882E58">
        <w:rPr>
          <w:lang w:val="fr-FR"/>
        </w:rPr>
        <w:t>octobre</w:t>
      </w:r>
      <w:r w:rsidR="009B258A">
        <w:rPr>
          <w:lang w:val="fr-FR"/>
        </w:rPr>
        <w:t> </w:t>
      </w:r>
      <w:r w:rsidR="009B258A" w:rsidRPr="00882E58">
        <w:rPr>
          <w:lang w:val="fr-FR"/>
        </w:rPr>
        <w:t>20</w:t>
      </w:r>
      <w:r w:rsidRPr="00882E58">
        <w:rPr>
          <w:lang w:val="fr-FR"/>
        </w:rPr>
        <w:t>15 présentait une série de questions complexes relatives au fond et à la procédure</w:t>
      </w:r>
      <w:r w:rsidRPr="00882E58">
        <w:rPr>
          <w:rStyle w:val="FootnoteReference"/>
          <w:szCs w:val="22"/>
          <w:lang w:val="fr-FR"/>
        </w:rPr>
        <w:footnoteReference w:id="49"/>
      </w:r>
      <w:r w:rsidRPr="00882E58">
        <w:rPr>
          <w:lang w:val="fr-FR"/>
        </w:rPr>
        <w:t>.</w:t>
      </w:r>
      <w:r w:rsidR="00F83CEE" w:rsidRPr="00882E58">
        <w:rPr>
          <w:lang w:val="fr-FR"/>
        </w:rPr>
        <w:t xml:space="preserve"> </w:t>
      </w:r>
      <w:r w:rsidR="00E6003E">
        <w:rPr>
          <w:lang w:val="fr-FR"/>
        </w:rPr>
        <w:t xml:space="preserve"> </w:t>
      </w:r>
      <w:r w:rsidR="00EF22DD" w:rsidRPr="00882E58">
        <w:rPr>
          <w:lang w:val="fr-FR"/>
        </w:rPr>
        <w:t>À cet égard, le Centre a formulé des observations soulignant le succès de longue date des principes UDRP et les risques liés à toute tentative de révision des principes UDRP par l</w:t>
      </w:r>
      <w:r w:rsidR="009B258A">
        <w:rPr>
          <w:lang w:val="fr-FR"/>
        </w:rPr>
        <w:t>’</w:t>
      </w:r>
      <w:r w:rsidR="00EF22DD" w:rsidRPr="00882E58">
        <w:rPr>
          <w:lang w:val="fr-FR"/>
        </w:rPr>
        <w:t>IC</w:t>
      </w:r>
      <w:r w:rsidR="0090772B" w:rsidRPr="00882E58">
        <w:rPr>
          <w:lang w:val="fr-FR"/>
        </w:rPr>
        <w:t>ANN</w:t>
      </w:r>
      <w:r w:rsidR="0090772B">
        <w:rPr>
          <w:lang w:val="fr-FR"/>
        </w:rPr>
        <w:t xml:space="preserve">.  </w:t>
      </w:r>
      <w:r w:rsidR="0090772B" w:rsidRPr="00882E58">
        <w:rPr>
          <w:lang w:val="fr-FR"/>
        </w:rPr>
        <w:t>Ap</w:t>
      </w:r>
      <w:r w:rsidR="00EF22DD" w:rsidRPr="00882E58">
        <w:rPr>
          <w:lang w:val="fr-FR"/>
        </w:rPr>
        <w:t>rès l</w:t>
      </w:r>
      <w:r w:rsidR="009B258A">
        <w:rPr>
          <w:lang w:val="fr-FR"/>
        </w:rPr>
        <w:t>’</w:t>
      </w:r>
      <w:r w:rsidR="00EF22DD" w:rsidRPr="00882E58">
        <w:rPr>
          <w:lang w:val="fr-FR"/>
        </w:rPr>
        <w:t>ouverture d</w:t>
      </w:r>
      <w:r w:rsidR="009B258A">
        <w:rPr>
          <w:lang w:val="fr-FR"/>
        </w:rPr>
        <w:t>’</w:t>
      </w:r>
      <w:r w:rsidR="00EF22DD" w:rsidRPr="00882E58">
        <w:rPr>
          <w:lang w:val="fr-FR"/>
        </w:rPr>
        <w:t>un débat public, l</w:t>
      </w:r>
      <w:r w:rsidR="009B258A">
        <w:rPr>
          <w:lang w:val="fr-FR"/>
        </w:rPr>
        <w:t>’</w:t>
      </w:r>
      <w:r w:rsidR="00EF22DD" w:rsidRPr="00882E58">
        <w:rPr>
          <w:lang w:val="fr-FR"/>
        </w:rPr>
        <w:t xml:space="preserve">ICANN a publié son rapport final sur cette question en </w:t>
      </w:r>
      <w:r w:rsidR="009B258A" w:rsidRPr="00882E58">
        <w:rPr>
          <w:lang w:val="fr-FR"/>
        </w:rPr>
        <w:t>janvier</w:t>
      </w:r>
      <w:r w:rsidR="009B258A">
        <w:rPr>
          <w:lang w:val="fr-FR"/>
        </w:rPr>
        <w:t> </w:t>
      </w:r>
      <w:r w:rsidR="009B258A" w:rsidRPr="00882E58">
        <w:rPr>
          <w:lang w:val="fr-FR"/>
        </w:rPr>
        <w:t>20</w:t>
      </w:r>
      <w:r w:rsidR="00EF22DD" w:rsidRPr="00882E58">
        <w:rPr>
          <w:lang w:val="fr-FR"/>
        </w:rPr>
        <w:t>16, recommandant que</w:t>
      </w:r>
      <w:r w:rsidR="009B258A" w:rsidRPr="00882E58">
        <w:rPr>
          <w:lang w:val="fr-FR"/>
        </w:rPr>
        <w:t xml:space="preserve"> la</w:t>
      </w:r>
      <w:r w:rsidR="009B258A">
        <w:rPr>
          <w:lang w:val="fr-FR"/>
        </w:rPr>
        <w:t> </w:t>
      </w:r>
      <w:r w:rsidR="009B258A" w:rsidRPr="00882E58">
        <w:rPr>
          <w:lang w:val="fr-FR"/>
        </w:rPr>
        <w:t>GNS</w:t>
      </w:r>
      <w:r w:rsidR="00EF22DD" w:rsidRPr="00882E58">
        <w:rPr>
          <w:lang w:val="fr-FR"/>
        </w:rPr>
        <w:t>O lance un processus d</w:t>
      </w:r>
      <w:r w:rsidR="009B258A">
        <w:rPr>
          <w:lang w:val="fr-FR"/>
        </w:rPr>
        <w:t>’</w:t>
      </w:r>
      <w:r w:rsidR="00EF22DD" w:rsidRPr="00882E58">
        <w:rPr>
          <w:lang w:val="fr-FR"/>
        </w:rPr>
        <w:t>élaboration de politique afin d</w:t>
      </w:r>
      <w:r w:rsidR="009B258A">
        <w:rPr>
          <w:lang w:val="fr-FR"/>
        </w:rPr>
        <w:t>’</w:t>
      </w:r>
      <w:r w:rsidR="00EF22DD" w:rsidRPr="00882E58">
        <w:rPr>
          <w:lang w:val="fr-FR"/>
        </w:rPr>
        <w:t>examiner tous les mécanismes de protection des droits en deux</w:t>
      </w:r>
      <w:r w:rsidR="00E6003E">
        <w:rPr>
          <w:lang w:val="fr-FR"/>
        </w:rPr>
        <w:t> </w:t>
      </w:r>
      <w:r w:rsidR="00EF22DD" w:rsidRPr="00882E58">
        <w:rPr>
          <w:lang w:val="fr-FR"/>
        </w:rPr>
        <w:t>phas</w:t>
      </w:r>
      <w:r w:rsidR="0090772B" w:rsidRPr="00882E58">
        <w:rPr>
          <w:lang w:val="fr-FR"/>
        </w:rPr>
        <w:t>es</w:t>
      </w:r>
      <w:r w:rsidR="0090772B">
        <w:rPr>
          <w:lang w:val="fr-FR"/>
        </w:rPr>
        <w:t xml:space="preserve">.  </w:t>
      </w:r>
      <w:r w:rsidR="0090772B" w:rsidRPr="00882E58">
        <w:rPr>
          <w:lang w:val="fr-FR"/>
        </w:rPr>
        <w:t>La</w:t>
      </w:r>
      <w:r w:rsidR="00EF22DD" w:rsidRPr="00882E58">
        <w:rPr>
          <w:lang w:val="fr-FR"/>
        </w:rPr>
        <w:t xml:space="preserve"> phase initiale porte </w:t>
      </w:r>
      <w:r w:rsidR="0060587A">
        <w:rPr>
          <w:lang w:val="fr-FR"/>
        </w:rPr>
        <w:t>actuellement</w:t>
      </w:r>
      <w:r w:rsidR="00EF22DD" w:rsidRPr="00882E58">
        <w:rPr>
          <w:lang w:val="fr-FR"/>
        </w:rPr>
        <w:t xml:space="preserve"> sur les mécanismes de protection des droits établis pour le programme relatif aux nouveaux gTLD, notamment la base de données centrale sur les marques (</w:t>
      </w:r>
      <w:r w:rsidR="009B258A">
        <w:rPr>
          <w:lang w:val="fr-FR"/>
        </w:rPr>
        <w:t>y compris</w:t>
      </w:r>
      <w:r w:rsidR="00EF22DD" w:rsidRPr="00882E58">
        <w:rPr>
          <w:lang w:val="fr-FR"/>
        </w:rPr>
        <w:t xml:space="preserve"> les services </w:t>
      </w:r>
      <w:r w:rsidR="00882E58">
        <w:rPr>
          <w:lang w:val="fr-FR"/>
        </w:rPr>
        <w:t>“</w:t>
      </w:r>
      <w:r w:rsidR="00EF22DD" w:rsidRPr="00882E58">
        <w:rPr>
          <w:lang w:val="fr-FR"/>
        </w:rPr>
        <w:t>préliminaires</w:t>
      </w:r>
      <w:r w:rsidR="00882E58">
        <w:rPr>
          <w:lang w:val="fr-FR"/>
        </w:rPr>
        <w:t>”</w:t>
      </w:r>
      <w:r w:rsidR="00EF22DD" w:rsidRPr="00882E58">
        <w:rPr>
          <w:lang w:val="fr-FR"/>
        </w:rPr>
        <w:t xml:space="preserve"> et le système de </w:t>
      </w:r>
      <w:r w:rsidR="00882E58">
        <w:rPr>
          <w:lang w:val="fr-FR"/>
        </w:rPr>
        <w:t>“</w:t>
      </w:r>
      <w:r w:rsidR="00EF22DD" w:rsidRPr="00882E58">
        <w:rPr>
          <w:lang w:val="fr-FR"/>
        </w:rPr>
        <w:t>contentieux</w:t>
      </w:r>
      <w:r w:rsidR="00882E58">
        <w:rPr>
          <w:lang w:val="fr-FR"/>
        </w:rPr>
        <w:t>”</w:t>
      </w:r>
      <w:r w:rsidR="00EF22DD" w:rsidRPr="00882E58">
        <w:rPr>
          <w:lang w:val="fr-FR"/>
        </w:rPr>
        <w:t>) et le système de suspension uniforme rapide, tandis que la deuxième phase portera sur les principes UDRP</w:t>
      </w:r>
      <w:r w:rsidR="00EF22DD" w:rsidRPr="00882E58">
        <w:rPr>
          <w:rStyle w:val="FootnoteReference"/>
          <w:szCs w:val="22"/>
          <w:lang w:val="fr-FR"/>
        </w:rPr>
        <w:footnoteReference w:id="50"/>
      </w:r>
      <w:r w:rsidR="00EF22DD" w:rsidRPr="00882E58">
        <w:rPr>
          <w:lang w:val="fr-FR"/>
        </w:rPr>
        <w:t>.</w:t>
      </w:r>
      <w:r w:rsidR="00F83CEE" w:rsidRPr="00882E58">
        <w:rPr>
          <w:lang w:val="fr-FR"/>
        </w:rPr>
        <w:t xml:space="preserve"> </w:t>
      </w:r>
      <w:r w:rsidR="00E6003E">
        <w:rPr>
          <w:lang w:val="fr-FR"/>
        </w:rPr>
        <w:t xml:space="preserve"> </w:t>
      </w:r>
      <w:r w:rsidR="00EF22DD" w:rsidRPr="00882E58">
        <w:rPr>
          <w:lang w:val="fr-FR"/>
        </w:rPr>
        <w:t>C</w:t>
      </w:r>
      <w:r w:rsidR="009B258A">
        <w:rPr>
          <w:lang w:val="fr-FR"/>
        </w:rPr>
        <w:t>’</w:t>
      </w:r>
      <w:r w:rsidR="00EF22DD" w:rsidRPr="00882E58">
        <w:rPr>
          <w:lang w:val="fr-FR"/>
        </w:rPr>
        <w:t>est un sujet de préoccupation important et le Centre continue de se tenir activement informé des intentions des parties prenantes de l</w:t>
      </w:r>
      <w:r w:rsidR="009B258A">
        <w:rPr>
          <w:lang w:val="fr-FR"/>
        </w:rPr>
        <w:t>’</w:t>
      </w:r>
      <w:r w:rsidR="00EF22DD" w:rsidRPr="00882E58">
        <w:rPr>
          <w:lang w:val="fr-FR"/>
        </w:rPr>
        <w:t>ICANN concernant les principes UD</w:t>
      </w:r>
      <w:r w:rsidR="0060587A">
        <w:rPr>
          <w:lang w:val="fr-FR"/>
        </w:rPr>
        <w:t>RP et l</w:t>
      </w:r>
      <w:r w:rsidR="00EF22DD" w:rsidRPr="00882E58">
        <w:rPr>
          <w:lang w:val="fr-FR"/>
        </w:rPr>
        <w:t>es mécanismes de protection des droits attachés aux marques en génér</w:t>
      </w:r>
      <w:r w:rsidR="0090772B" w:rsidRPr="00882E58">
        <w:rPr>
          <w:lang w:val="fr-FR"/>
        </w:rPr>
        <w:t>al</w:t>
      </w:r>
      <w:r w:rsidR="0090772B">
        <w:rPr>
          <w:lang w:val="fr-FR"/>
        </w:rPr>
        <w:t xml:space="preserve">.  </w:t>
      </w:r>
      <w:r w:rsidR="0090772B" w:rsidRPr="00882E58">
        <w:rPr>
          <w:lang w:val="fr-FR"/>
        </w:rPr>
        <w:t xml:space="preserve">À </w:t>
      </w:r>
      <w:r w:rsidR="00EF22DD" w:rsidRPr="00882E58">
        <w:rPr>
          <w:lang w:val="fr-FR"/>
        </w:rPr>
        <w:t>cet égard, le Centre reste en relation avec les principaux acteurs du domaine des marques, tels que l</w:t>
      </w:r>
      <w:r w:rsidR="009B258A">
        <w:rPr>
          <w:lang w:val="fr-FR"/>
        </w:rPr>
        <w:t>’</w:t>
      </w:r>
      <w:r w:rsidR="00EF22DD" w:rsidRPr="00882E58">
        <w:rPr>
          <w:lang w:val="fr-FR"/>
        </w:rPr>
        <w:t>ECTA, l</w:t>
      </w:r>
      <w:r w:rsidR="009B258A">
        <w:rPr>
          <w:lang w:val="fr-FR"/>
        </w:rPr>
        <w:t>’</w:t>
      </w:r>
      <w:r w:rsidR="00EF22DD" w:rsidRPr="00882E58">
        <w:rPr>
          <w:lang w:val="fr-FR"/>
        </w:rPr>
        <w:t>INTA et MARQUES.</w:t>
      </w:r>
    </w:p>
    <w:p w:rsidR="008670FA" w:rsidRPr="00882E58" w:rsidRDefault="00EF22DD" w:rsidP="00EF22DD">
      <w:pPr>
        <w:pStyle w:val="Heading2"/>
        <w:rPr>
          <w:lang w:val="fr-FR"/>
        </w:rPr>
      </w:pPr>
      <w:r w:rsidRPr="00882E58">
        <w:rPr>
          <w:lang w:val="fr-FR"/>
        </w:rPr>
        <w:t>C.</w:t>
      </w:r>
      <w:r w:rsidRPr="00882E58">
        <w:rPr>
          <w:lang w:val="fr-FR"/>
        </w:rPr>
        <w:tab/>
        <w:t>RGPD et répertoire whois</w:t>
      </w:r>
    </w:p>
    <w:p w:rsidR="009B258A" w:rsidRDefault="00EF22DD" w:rsidP="00401FB8">
      <w:pPr>
        <w:pStyle w:val="ONUMFS"/>
        <w:rPr>
          <w:lang w:val="fr-FR"/>
        </w:rPr>
      </w:pPr>
      <w:r w:rsidRPr="00882E58">
        <w:rPr>
          <w:lang w:val="fr-FR"/>
        </w:rPr>
        <w:t>Le Règlement général de l</w:t>
      </w:r>
      <w:r w:rsidR="009B258A">
        <w:rPr>
          <w:lang w:val="fr-FR"/>
        </w:rPr>
        <w:t>’</w:t>
      </w:r>
      <w:r w:rsidRPr="00882E58">
        <w:rPr>
          <w:lang w:val="fr-FR"/>
        </w:rPr>
        <w:t>Union européenne sur la protection des données (RGPD) est entré en vigueur le 2</w:t>
      </w:r>
      <w:r w:rsidR="009B258A" w:rsidRPr="00882E58">
        <w:rPr>
          <w:lang w:val="fr-FR"/>
        </w:rPr>
        <w:t>5</w:t>
      </w:r>
      <w:r w:rsidR="009B258A">
        <w:rPr>
          <w:lang w:val="fr-FR"/>
        </w:rPr>
        <w:t> </w:t>
      </w:r>
      <w:r w:rsidR="009B258A" w:rsidRPr="00882E58">
        <w:rPr>
          <w:lang w:val="fr-FR"/>
        </w:rPr>
        <w:t>mai</w:t>
      </w:r>
      <w:r w:rsidR="009B258A">
        <w:rPr>
          <w:lang w:val="fr-FR"/>
        </w:rPr>
        <w:t> </w:t>
      </w:r>
      <w:r w:rsidR="009B258A" w:rsidRPr="00882E58">
        <w:rPr>
          <w:lang w:val="fr-FR"/>
        </w:rPr>
        <w:t>20</w:t>
      </w:r>
      <w:r w:rsidRPr="00882E58">
        <w:rPr>
          <w:lang w:val="fr-FR"/>
        </w:rPr>
        <w:t>18.</w:t>
      </w:r>
      <w:r w:rsidR="00F83CEE" w:rsidRPr="00882E58">
        <w:rPr>
          <w:lang w:val="fr-FR"/>
        </w:rPr>
        <w:t xml:space="preserve"> </w:t>
      </w:r>
      <w:r w:rsidR="00E6003E">
        <w:rPr>
          <w:lang w:val="fr-FR"/>
        </w:rPr>
        <w:t xml:space="preserve"> </w:t>
      </w:r>
      <w:r w:rsidRPr="00882E58">
        <w:rPr>
          <w:lang w:val="fr-FR"/>
        </w:rPr>
        <w:t>Comme l</w:t>
      </w:r>
      <w:r w:rsidR="009B258A">
        <w:rPr>
          <w:lang w:val="fr-FR"/>
        </w:rPr>
        <w:t>’</w:t>
      </w:r>
      <w:r w:rsidRPr="00882E58">
        <w:rPr>
          <w:lang w:val="fr-FR"/>
        </w:rPr>
        <w:t>a déclaré la Commission européenne, l</w:t>
      </w:r>
      <w:r w:rsidR="009B258A">
        <w:rPr>
          <w:lang w:val="fr-FR"/>
        </w:rPr>
        <w:t>’</w:t>
      </w:r>
      <w:r w:rsidRPr="00882E58">
        <w:rPr>
          <w:lang w:val="fr-FR"/>
        </w:rPr>
        <w:t>objectif ultime</w:t>
      </w:r>
      <w:r w:rsidR="009B258A" w:rsidRPr="00882E58">
        <w:rPr>
          <w:lang w:val="fr-FR"/>
        </w:rPr>
        <w:t xml:space="preserve"> du</w:t>
      </w:r>
      <w:r w:rsidR="009B258A">
        <w:rPr>
          <w:lang w:val="fr-FR"/>
        </w:rPr>
        <w:t> </w:t>
      </w:r>
      <w:r w:rsidR="009B258A" w:rsidRPr="00882E58">
        <w:rPr>
          <w:lang w:val="fr-FR"/>
        </w:rPr>
        <w:t>RGP</w:t>
      </w:r>
      <w:r w:rsidRPr="00882E58">
        <w:rPr>
          <w:lang w:val="fr-FR"/>
        </w:rPr>
        <w:t>D est de répondre aux préoccupations en matière de respect de la vie privée et de confidentialité des données compte tenu des intérêts légitimes des tiers, notamment en matière contractuelle et contentieuse.</w:t>
      </w:r>
    </w:p>
    <w:p w:rsidR="009B258A" w:rsidRDefault="0069153C" w:rsidP="00401FB8">
      <w:pPr>
        <w:pStyle w:val="ONUMFS"/>
        <w:rPr>
          <w:lang w:val="fr-FR"/>
        </w:rPr>
      </w:pPr>
      <w:r w:rsidRPr="00882E58">
        <w:rPr>
          <w:lang w:val="fr-FR"/>
        </w:rPr>
        <w:t>À compter du 2</w:t>
      </w:r>
      <w:r w:rsidR="009B258A" w:rsidRPr="00882E58">
        <w:rPr>
          <w:lang w:val="fr-FR"/>
        </w:rPr>
        <w:t>5</w:t>
      </w:r>
      <w:r w:rsidR="009B258A">
        <w:rPr>
          <w:lang w:val="fr-FR"/>
        </w:rPr>
        <w:t> </w:t>
      </w:r>
      <w:r w:rsidR="009B258A" w:rsidRPr="00882E58">
        <w:rPr>
          <w:lang w:val="fr-FR"/>
        </w:rPr>
        <w:t>mai</w:t>
      </w:r>
      <w:r w:rsidR="009B258A">
        <w:rPr>
          <w:lang w:val="fr-FR"/>
        </w:rPr>
        <w:t> </w:t>
      </w:r>
      <w:r w:rsidR="009B258A" w:rsidRPr="00882E58">
        <w:rPr>
          <w:lang w:val="fr-FR"/>
        </w:rPr>
        <w:t>20</w:t>
      </w:r>
      <w:r w:rsidRPr="00882E58">
        <w:rPr>
          <w:lang w:val="fr-FR"/>
        </w:rPr>
        <w:t>18, les données figurant dans les répertoires WHOIS publics ne mentionneront plus les coordonnées complètes du détenteur du nom de domai</w:t>
      </w:r>
      <w:r w:rsidR="0090772B" w:rsidRPr="00882E58">
        <w:rPr>
          <w:lang w:val="fr-FR"/>
        </w:rPr>
        <w:t>ne</w:t>
      </w:r>
      <w:r w:rsidR="0090772B">
        <w:rPr>
          <w:lang w:val="fr-FR"/>
        </w:rPr>
        <w:t xml:space="preserve">.  </w:t>
      </w:r>
      <w:r w:rsidR="0090772B" w:rsidRPr="00882E58">
        <w:rPr>
          <w:lang w:val="fr-FR"/>
        </w:rPr>
        <w:t>El</w:t>
      </w:r>
      <w:r w:rsidRPr="00882E58">
        <w:rPr>
          <w:lang w:val="fr-FR"/>
        </w:rPr>
        <w:t>le</w:t>
      </w:r>
      <w:r w:rsidR="00882E58">
        <w:rPr>
          <w:lang w:val="fr-FR"/>
        </w:rPr>
        <w:t>s</w:t>
      </w:r>
      <w:r w:rsidRPr="00882E58">
        <w:rPr>
          <w:lang w:val="fr-FR"/>
        </w:rPr>
        <w:t xml:space="preserve"> se </w:t>
      </w:r>
      <w:r w:rsidRPr="00882E58">
        <w:rPr>
          <w:lang w:val="fr-FR"/>
        </w:rPr>
        <w:lastRenderedPageBreak/>
        <w:t xml:space="preserve">limiteront normalement à </w:t>
      </w:r>
      <w:r w:rsidR="00882E58">
        <w:rPr>
          <w:lang w:val="fr-FR"/>
        </w:rPr>
        <w:t>“</w:t>
      </w:r>
      <w:r w:rsidRPr="00882E58">
        <w:rPr>
          <w:lang w:val="fr-FR"/>
        </w:rPr>
        <w:t>l</w:t>
      </w:r>
      <w:r w:rsidR="009B258A">
        <w:rPr>
          <w:lang w:val="fr-FR"/>
        </w:rPr>
        <w:t>’</w:t>
      </w:r>
      <w:r w:rsidRPr="00882E58">
        <w:rPr>
          <w:lang w:val="fr-FR"/>
        </w:rPr>
        <w:t>organisme d</w:t>
      </w:r>
      <w:r w:rsidR="009B258A">
        <w:rPr>
          <w:lang w:val="fr-FR"/>
        </w:rPr>
        <w:t>’</w:t>
      </w:r>
      <w:r w:rsidRPr="00882E58">
        <w:rPr>
          <w:lang w:val="fr-FR"/>
        </w:rPr>
        <w:t>enregistrement</w:t>
      </w:r>
      <w:r w:rsidR="00882E58">
        <w:rPr>
          <w:lang w:val="fr-FR"/>
        </w:rPr>
        <w:t>”</w:t>
      </w:r>
      <w:r w:rsidRPr="00882E58">
        <w:rPr>
          <w:lang w:val="fr-FR"/>
        </w:rPr>
        <w:t xml:space="preserve"> et au pa</w:t>
      </w:r>
      <w:r w:rsidR="0090772B" w:rsidRPr="00882E58">
        <w:rPr>
          <w:lang w:val="fr-FR"/>
        </w:rPr>
        <w:t>ys</w:t>
      </w:r>
      <w:r w:rsidR="0090772B">
        <w:rPr>
          <w:lang w:val="fr-FR"/>
        </w:rPr>
        <w:t xml:space="preserve">.  </w:t>
      </w:r>
      <w:r w:rsidR="0090772B" w:rsidRPr="00882E58">
        <w:rPr>
          <w:lang w:val="fr-FR"/>
        </w:rPr>
        <w:t>En</w:t>
      </w:r>
      <w:r w:rsidRPr="00882E58">
        <w:rPr>
          <w:lang w:val="fr-FR"/>
        </w:rPr>
        <w:t xml:space="preserve"> particulier, le nom et l</w:t>
      </w:r>
      <w:r w:rsidR="009B258A">
        <w:rPr>
          <w:lang w:val="fr-FR"/>
        </w:rPr>
        <w:t>’</w:t>
      </w:r>
      <w:r w:rsidRPr="00882E58">
        <w:rPr>
          <w:lang w:val="fr-FR"/>
        </w:rPr>
        <w:t>adresse électronique du détenteur de l</w:t>
      </w:r>
      <w:r w:rsidR="009B258A">
        <w:rPr>
          <w:lang w:val="fr-FR"/>
        </w:rPr>
        <w:t>’</w:t>
      </w:r>
      <w:r w:rsidRPr="00882E58">
        <w:rPr>
          <w:lang w:val="fr-FR"/>
        </w:rPr>
        <w:t>enregistrement ne seront dans la plupart des cas pas visibl</w:t>
      </w:r>
      <w:r w:rsidR="0090772B" w:rsidRPr="00882E58">
        <w:rPr>
          <w:lang w:val="fr-FR"/>
        </w:rPr>
        <w:t>es</w:t>
      </w:r>
      <w:r w:rsidR="0090772B">
        <w:rPr>
          <w:lang w:val="fr-FR"/>
        </w:rPr>
        <w:t xml:space="preserve">.  </w:t>
      </w:r>
      <w:r w:rsidR="0090772B" w:rsidRPr="00882E58">
        <w:rPr>
          <w:lang w:val="fr-FR"/>
        </w:rPr>
        <w:t>To</w:t>
      </w:r>
      <w:r w:rsidRPr="00882E58">
        <w:rPr>
          <w:lang w:val="fr-FR"/>
        </w:rPr>
        <w:t>utefois, afin de faciliter les contacts avec le détenteur du nom de domaine, l</w:t>
      </w:r>
      <w:r w:rsidR="009B258A">
        <w:rPr>
          <w:lang w:val="fr-FR"/>
        </w:rPr>
        <w:t>’</w:t>
      </w:r>
      <w:r w:rsidRPr="00882E58">
        <w:rPr>
          <w:lang w:val="fr-FR"/>
        </w:rPr>
        <w:t>unité d</w:t>
      </w:r>
      <w:r w:rsidR="009B258A">
        <w:rPr>
          <w:lang w:val="fr-FR"/>
        </w:rPr>
        <w:t>’</w:t>
      </w:r>
      <w:r w:rsidRPr="00882E58">
        <w:rPr>
          <w:lang w:val="fr-FR"/>
        </w:rPr>
        <w:t>enregistrement devra fournir une adresse électronique ou un formulaire de contact en lig</w:t>
      </w:r>
      <w:r w:rsidR="0090772B" w:rsidRPr="00882E58">
        <w:rPr>
          <w:lang w:val="fr-FR"/>
        </w:rPr>
        <w:t>ne</w:t>
      </w:r>
      <w:r w:rsidR="0060587A">
        <w:rPr>
          <w:lang w:val="fr-FR"/>
        </w:rPr>
        <w:t xml:space="preserve"> anonymes</w:t>
      </w:r>
      <w:r w:rsidR="0090772B">
        <w:rPr>
          <w:lang w:val="fr-FR"/>
        </w:rPr>
        <w:t xml:space="preserve">.  </w:t>
      </w:r>
      <w:r w:rsidR="0090772B" w:rsidRPr="00882E58">
        <w:rPr>
          <w:lang w:val="fr-FR"/>
        </w:rPr>
        <w:t>En</w:t>
      </w:r>
      <w:r w:rsidR="00D35124" w:rsidRPr="00882E58">
        <w:rPr>
          <w:lang w:val="fr-FR"/>
        </w:rPr>
        <w:t xml:space="preserve"> dépit de ces limitations publiques, lorsqu</w:t>
      </w:r>
      <w:r w:rsidR="009B258A">
        <w:rPr>
          <w:lang w:val="fr-FR"/>
        </w:rPr>
        <w:t>’</w:t>
      </w:r>
      <w:r w:rsidR="00D35124" w:rsidRPr="00882E58">
        <w:rPr>
          <w:lang w:val="fr-FR"/>
        </w:rPr>
        <w:t>une plainte est soumise à un prestataire de services UDRP, les unités d</w:t>
      </w:r>
      <w:r w:rsidR="009B258A">
        <w:rPr>
          <w:lang w:val="fr-FR"/>
        </w:rPr>
        <w:t>’</w:t>
      </w:r>
      <w:r w:rsidR="00D35124" w:rsidRPr="00882E58">
        <w:rPr>
          <w:lang w:val="fr-FR"/>
        </w:rPr>
        <w:t>enregistrement respectant les principes de l</w:t>
      </w:r>
      <w:r w:rsidR="009B258A">
        <w:rPr>
          <w:lang w:val="fr-FR"/>
        </w:rPr>
        <w:t>’</w:t>
      </w:r>
      <w:r w:rsidR="00D35124" w:rsidRPr="00882E58">
        <w:rPr>
          <w:lang w:val="fr-FR"/>
        </w:rPr>
        <w:t xml:space="preserve">ICANN transmettent généralement les coordonnées du répertoire sur demande de ce prestataire (tout en </w:t>
      </w:r>
      <w:r w:rsidR="00882E58">
        <w:rPr>
          <w:lang w:val="fr-FR"/>
        </w:rPr>
        <w:t>“</w:t>
      </w:r>
      <w:r w:rsidR="00D35124" w:rsidRPr="00882E58">
        <w:rPr>
          <w:lang w:val="fr-FR"/>
        </w:rPr>
        <w:t>verrouillant</w:t>
      </w:r>
      <w:r w:rsidR="00882E58">
        <w:rPr>
          <w:lang w:val="fr-FR"/>
        </w:rPr>
        <w:t>”</w:t>
      </w:r>
      <w:r w:rsidR="00D35124" w:rsidRPr="00882E58">
        <w:rPr>
          <w:lang w:val="fr-FR"/>
        </w:rPr>
        <w:t xml:space="preserve"> parallèlement l</w:t>
      </w:r>
      <w:r w:rsidR="009B258A">
        <w:rPr>
          <w:lang w:val="fr-FR"/>
        </w:rPr>
        <w:t>’</w:t>
      </w:r>
      <w:r w:rsidR="00D35124" w:rsidRPr="00882E58">
        <w:rPr>
          <w:lang w:val="fr-FR"/>
        </w:rPr>
        <w:t>enregistrement du nom de domaine et les coordonnées de l</w:t>
      </w:r>
      <w:r w:rsidR="009B258A">
        <w:rPr>
          <w:lang w:val="fr-FR"/>
        </w:rPr>
        <w:t>’</w:t>
      </w:r>
      <w:r w:rsidR="00D35124" w:rsidRPr="00882E58">
        <w:rPr>
          <w:lang w:val="fr-FR"/>
        </w:rPr>
        <w:t>unité d</w:t>
      </w:r>
      <w:r w:rsidR="009B258A">
        <w:rPr>
          <w:lang w:val="fr-FR"/>
        </w:rPr>
        <w:t>’</w:t>
      </w:r>
      <w:r w:rsidR="00D35124" w:rsidRPr="00882E58">
        <w:rPr>
          <w:lang w:val="fr-FR"/>
        </w:rPr>
        <w:t>enregistrement), conformément aux garanties d</w:t>
      </w:r>
      <w:r w:rsidR="009B258A">
        <w:rPr>
          <w:lang w:val="fr-FR"/>
        </w:rPr>
        <w:t>’</w:t>
      </w:r>
      <w:r w:rsidR="00D35124" w:rsidRPr="00882E58">
        <w:rPr>
          <w:lang w:val="fr-FR"/>
        </w:rPr>
        <w:t>une procédure régulière énoncées dans les règlements U</w:t>
      </w:r>
      <w:r w:rsidR="0090772B" w:rsidRPr="00882E58">
        <w:rPr>
          <w:lang w:val="fr-FR"/>
        </w:rPr>
        <w:t>DRP</w:t>
      </w:r>
      <w:r w:rsidR="0090772B">
        <w:rPr>
          <w:lang w:val="fr-FR"/>
        </w:rPr>
        <w:t xml:space="preserve">.  </w:t>
      </w:r>
      <w:r w:rsidR="0090772B" w:rsidRPr="00882E58">
        <w:rPr>
          <w:lang w:val="fr-FR"/>
        </w:rPr>
        <w:t>La</w:t>
      </w:r>
      <w:r w:rsidR="008670FA" w:rsidRPr="00882E58">
        <w:rPr>
          <w:lang w:val="fr-FR"/>
        </w:rPr>
        <w:t xml:space="preserve"> </w:t>
      </w:r>
      <w:r w:rsidR="00882E58">
        <w:rPr>
          <w:lang w:val="fr-FR"/>
        </w:rPr>
        <w:t>“</w:t>
      </w:r>
      <w:r w:rsidR="008670FA" w:rsidRPr="00882E58">
        <w:rPr>
          <w:lang w:val="fr-FR"/>
        </w:rPr>
        <w:t>Spécification temporaire [de contrat]</w:t>
      </w:r>
      <w:r w:rsidR="00882E58">
        <w:rPr>
          <w:lang w:val="fr-FR"/>
        </w:rPr>
        <w:t>”</w:t>
      </w:r>
      <w:r w:rsidR="008670FA" w:rsidRPr="00882E58">
        <w:rPr>
          <w:lang w:val="fr-FR"/>
        </w:rPr>
        <w:t xml:space="preserve"> de l</w:t>
      </w:r>
      <w:r w:rsidR="009B258A">
        <w:rPr>
          <w:lang w:val="fr-FR"/>
        </w:rPr>
        <w:t>’</w:t>
      </w:r>
      <w:r w:rsidR="008670FA" w:rsidRPr="00882E58">
        <w:rPr>
          <w:lang w:val="fr-FR"/>
        </w:rPr>
        <w:t>ICANN pour les données d</w:t>
      </w:r>
      <w:r w:rsidR="009B258A">
        <w:rPr>
          <w:lang w:val="fr-FR"/>
        </w:rPr>
        <w:t>’</w:t>
      </w:r>
      <w:r w:rsidR="008670FA" w:rsidRPr="00882E58">
        <w:rPr>
          <w:lang w:val="fr-FR"/>
        </w:rPr>
        <w:t>enregistrement dans les gTLD indique expressément que les unités d</w:t>
      </w:r>
      <w:r w:rsidR="009B258A">
        <w:rPr>
          <w:lang w:val="fr-FR"/>
        </w:rPr>
        <w:t>’</w:t>
      </w:r>
      <w:r w:rsidR="008670FA" w:rsidRPr="00882E58">
        <w:rPr>
          <w:lang w:val="fr-FR"/>
        </w:rPr>
        <w:t xml:space="preserve">enregistrement doivent fournir les </w:t>
      </w:r>
      <w:r w:rsidR="00882E58">
        <w:rPr>
          <w:lang w:val="fr-FR"/>
        </w:rPr>
        <w:t>“</w:t>
      </w:r>
      <w:r w:rsidR="008670FA" w:rsidRPr="00882E58">
        <w:rPr>
          <w:lang w:val="fr-FR"/>
        </w:rPr>
        <w:t>données d</w:t>
      </w:r>
      <w:r w:rsidR="009B258A">
        <w:rPr>
          <w:lang w:val="fr-FR"/>
        </w:rPr>
        <w:t>’</w:t>
      </w:r>
      <w:r w:rsidR="008670FA" w:rsidRPr="00882E58">
        <w:rPr>
          <w:lang w:val="fr-FR"/>
        </w:rPr>
        <w:t>enregistrement</w:t>
      </w:r>
      <w:r w:rsidR="00882E58">
        <w:rPr>
          <w:lang w:val="fr-FR"/>
        </w:rPr>
        <w:t>”</w:t>
      </w:r>
      <w:r w:rsidR="008670FA" w:rsidRPr="00882E58">
        <w:rPr>
          <w:lang w:val="fr-FR"/>
        </w:rPr>
        <w:t xml:space="preserve"> intégrales aux prestataires de services UDRP</w:t>
      </w:r>
      <w:r w:rsidR="008670FA" w:rsidRPr="00882E58">
        <w:rPr>
          <w:rStyle w:val="FootnoteReference"/>
          <w:szCs w:val="22"/>
          <w:lang w:val="fr-FR"/>
        </w:rPr>
        <w:footnoteReference w:id="51"/>
      </w:r>
      <w:r w:rsidR="008670FA" w:rsidRPr="00882E58">
        <w:rPr>
          <w:lang w:val="fr-FR"/>
        </w:rPr>
        <w:t>.</w:t>
      </w:r>
      <w:r w:rsidR="00F83CEE" w:rsidRPr="00882E58">
        <w:rPr>
          <w:lang w:val="fr-FR"/>
        </w:rPr>
        <w:t xml:space="preserve"> </w:t>
      </w:r>
      <w:r w:rsidR="00E6003E">
        <w:rPr>
          <w:lang w:val="fr-FR"/>
        </w:rPr>
        <w:t xml:space="preserve"> </w:t>
      </w:r>
      <w:r w:rsidR="000F4A8B" w:rsidRPr="00882E58">
        <w:rPr>
          <w:lang w:val="fr-FR"/>
        </w:rPr>
        <w:t>Cela semble être basé sur la reconnaissance du fait que les prestataires de services UDRP satisfont aux critères d</w:t>
      </w:r>
      <w:r w:rsidR="009B258A">
        <w:rPr>
          <w:lang w:val="fr-FR"/>
        </w:rPr>
        <w:t>’</w:t>
      </w:r>
      <w:r w:rsidR="00882E58">
        <w:rPr>
          <w:lang w:val="fr-FR"/>
        </w:rPr>
        <w:t>“</w:t>
      </w:r>
      <w:r w:rsidR="000F4A8B" w:rsidRPr="00882E58">
        <w:rPr>
          <w:lang w:val="fr-FR"/>
        </w:rPr>
        <w:t>intérêt légitime</w:t>
      </w:r>
      <w:r w:rsidR="00882E58">
        <w:rPr>
          <w:lang w:val="fr-FR"/>
        </w:rPr>
        <w:t>”</w:t>
      </w:r>
      <w:r w:rsidR="000F4A8B" w:rsidRPr="00882E58">
        <w:rPr>
          <w:lang w:val="fr-FR"/>
        </w:rPr>
        <w:t xml:space="preserve"> visé à l</w:t>
      </w:r>
      <w:r w:rsidR="009B258A">
        <w:rPr>
          <w:lang w:val="fr-FR"/>
        </w:rPr>
        <w:t>’</w:t>
      </w:r>
      <w:r w:rsidR="009B258A" w:rsidRPr="00882E58">
        <w:rPr>
          <w:lang w:val="fr-FR"/>
        </w:rPr>
        <w:t>article</w:t>
      </w:r>
      <w:r w:rsidR="009B258A">
        <w:rPr>
          <w:lang w:val="fr-FR"/>
        </w:rPr>
        <w:t> </w:t>
      </w:r>
      <w:r w:rsidR="009B258A" w:rsidRPr="00882E58">
        <w:rPr>
          <w:lang w:val="fr-FR"/>
        </w:rPr>
        <w:t>6</w:t>
      </w:r>
      <w:r w:rsidR="000F4A8B" w:rsidRPr="00882E58">
        <w:rPr>
          <w:lang w:val="fr-FR"/>
        </w:rPr>
        <w:t>.1)f) et d</w:t>
      </w:r>
      <w:r w:rsidR="009B258A">
        <w:rPr>
          <w:lang w:val="fr-FR"/>
        </w:rPr>
        <w:t>’</w:t>
      </w:r>
      <w:r w:rsidR="00882E58">
        <w:rPr>
          <w:lang w:val="fr-FR"/>
        </w:rPr>
        <w:t>“</w:t>
      </w:r>
      <w:r w:rsidR="000F4A8B" w:rsidRPr="00882E58">
        <w:rPr>
          <w:lang w:val="fr-FR"/>
        </w:rPr>
        <w:t>exécution d</w:t>
      </w:r>
      <w:r w:rsidR="009B258A">
        <w:rPr>
          <w:lang w:val="fr-FR"/>
        </w:rPr>
        <w:t>’</w:t>
      </w:r>
      <w:r w:rsidR="000F4A8B" w:rsidRPr="00882E58">
        <w:rPr>
          <w:lang w:val="fr-FR"/>
        </w:rPr>
        <w:t>un contrat</w:t>
      </w:r>
      <w:r w:rsidR="00882E58">
        <w:rPr>
          <w:lang w:val="fr-FR"/>
        </w:rPr>
        <w:t>”</w:t>
      </w:r>
      <w:r w:rsidR="000F4A8B" w:rsidRPr="00882E58">
        <w:rPr>
          <w:lang w:val="fr-FR"/>
        </w:rPr>
        <w:t xml:space="preserve"> visé à l</w:t>
      </w:r>
      <w:r w:rsidR="009B258A">
        <w:rPr>
          <w:lang w:val="fr-FR"/>
        </w:rPr>
        <w:t>’</w:t>
      </w:r>
      <w:r w:rsidR="000F4A8B" w:rsidRPr="00882E58">
        <w:rPr>
          <w:lang w:val="fr-FR"/>
        </w:rPr>
        <w:t>article 6.1)b)</w:t>
      </w:r>
      <w:r w:rsidR="009B258A" w:rsidRPr="00882E58">
        <w:rPr>
          <w:lang w:val="fr-FR"/>
        </w:rPr>
        <w:t xml:space="preserve"> du</w:t>
      </w:r>
      <w:r w:rsidR="009B258A">
        <w:rPr>
          <w:lang w:val="fr-FR"/>
        </w:rPr>
        <w:t> </w:t>
      </w:r>
      <w:r w:rsidR="009B258A" w:rsidRPr="00882E58">
        <w:rPr>
          <w:lang w:val="fr-FR"/>
        </w:rPr>
        <w:t>RGP</w:t>
      </w:r>
      <w:r w:rsidR="000F4A8B" w:rsidRPr="00882E58">
        <w:rPr>
          <w:lang w:val="fr-FR"/>
        </w:rPr>
        <w:t>D, en foi de quoi les unités d</w:t>
      </w:r>
      <w:r w:rsidR="009B258A">
        <w:rPr>
          <w:lang w:val="fr-FR"/>
        </w:rPr>
        <w:t>’</w:t>
      </w:r>
      <w:r w:rsidR="000F4A8B" w:rsidRPr="00882E58">
        <w:rPr>
          <w:lang w:val="fr-FR"/>
        </w:rPr>
        <w:t>enregistrement peuvent et doivent leur fournir les données de répertoire.</w:t>
      </w:r>
    </w:p>
    <w:p w:rsidR="009B258A" w:rsidRDefault="000F4A8B" w:rsidP="00401FB8">
      <w:pPr>
        <w:pStyle w:val="ONUMFS"/>
        <w:rPr>
          <w:lang w:val="fr-FR"/>
        </w:rPr>
      </w:pPr>
      <w:r w:rsidRPr="00882E58">
        <w:rPr>
          <w:lang w:val="fr-FR"/>
        </w:rPr>
        <w:t>Le Centre continue de suivre de près les incidences</w:t>
      </w:r>
      <w:r w:rsidR="009B258A" w:rsidRPr="00882E58">
        <w:rPr>
          <w:lang w:val="fr-FR"/>
        </w:rPr>
        <w:t xml:space="preserve"> du</w:t>
      </w:r>
      <w:r w:rsidR="009B258A">
        <w:rPr>
          <w:lang w:val="fr-FR"/>
        </w:rPr>
        <w:t> </w:t>
      </w:r>
      <w:r w:rsidR="009B258A" w:rsidRPr="00882E58">
        <w:rPr>
          <w:lang w:val="fr-FR"/>
        </w:rPr>
        <w:t>RGP</w:t>
      </w:r>
      <w:r w:rsidRPr="00882E58">
        <w:rPr>
          <w:lang w:val="fr-FR"/>
        </w:rPr>
        <w:t>D sur les procédures U</w:t>
      </w:r>
      <w:r w:rsidR="0090772B" w:rsidRPr="00882E58">
        <w:rPr>
          <w:lang w:val="fr-FR"/>
        </w:rPr>
        <w:t>DRP</w:t>
      </w:r>
      <w:r w:rsidR="0090772B">
        <w:rPr>
          <w:lang w:val="fr-FR"/>
        </w:rPr>
        <w:t xml:space="preserve">.  </w:t>
      </w:r>
      <w:r w:rsidR="0090772B" w:rsidRPr="00882E58">
        <w:rPr>
          <w:lang w:val="fr-FR"/>
        </w:rPr>
        <w:t>Ou</w:t>
      </w:r>
      <w:r w:rsidR="00CB2FFE" w:rsidRPr="00882E58">
        <w:rPr>
          <w:lang w:val="fr-FR"/>
        </w:rPr>
        <w:t>tre les fonctions du Centre en rapport avec les principes UDRP, pour répondre aux préoccupations plus larges en matière d</w:t>
      </w:r>
      <w:r w:rsidR="009B258A">
        <w:rPr>
          <w:lang w:val="fr-FR"/>
        </w:rPr>
        <w:t>’</w:t>
      </w:r>
      <w:r w:rsidR="00CB2FFE" w:rsidRPr="00882E58">
        <w:rPr>
          <w:lang w:val="fr-FR"/>
        </w:rPr>
        <w:t xml:space="preserve">application des droits de propriété intellectuelle suscitées par la mise en </w:t>
      </w:r>
      <w:r w:rsidR="00882E58" w:rsidRPr="00882E58">
        <w:rPr>
          <w:lang w:val="fr-FR"/>
        </w:rPr>
        <w:t>œuvre</w:t>
      </w:r>
      <w:r w:rsidR="009B258A" w:rsidRPr="00882E58">
        <w:rPr>
          <w:lang w:val="fr-FR"/>
        </w:rPr>
        <w:t xml:space="preserve"> du</w:t>
      </w:r>
      <w:r w:rsidR="009B258A">
        <w:rPr>
          <w:lang w:val="fr-FR"/>
        </w:rPr>
        <w:t> </w:t>
      </w:r>
      <w:r w:rsidR="009B258A" w:rsidRPr="00882E58">
        <w:rPr>
          <w:lang w:val="fr-FR"/>
        </w:rPr>
        <w:t>RGD</w:t>
      </w:r>
      <w:r w:rsidR="00CB2FFE" w:rsidRPr="00882E58">
        <w:rPr>
          <w:lang w:val="fr-FR"/>
        </w:rPr>
        <w:t>P, des discussions étendues sont en cours avec les parties</w:t>
      </w:r>
      <w:r w:rsidR="00F47889">
        <w:rPr>
          <w:lang w:val="fr-FR"/>
        </w:rPr>
        <w:t xml:space="preserve"> prenantes sur un éventuel modèle</w:t>
      </w:r>
      <w:r w:rsidR="00CB2FFE" w:rsidRPr="00882E58">
        <w:rPr>
          <w:lang w:val="fr-FR"/>
        </w:rPr>
        <w:t xml:space="preserve"> d</w:t>
      </w:r>
      <w:r w:rsidR="009B258A">
        <w:rPr>
          <w:lang w:val="fr-FR"/>
        </w:rPr>
        <w:t>’</w:t>
      </w:r>
      <w:r w:rsidR="00882E58">
        <w:rPr>
          <w:lang w:val="fr-FR"/>
        </w:rPr>
        <w:t>“</w:t>
      </w:r>
      <w:r w:rsidR="00CB2FFE" w:rsidRPr="00882E58">
        <w:rPr>
          <w:lang w:val="fr-FR"/>
        </w:rPr>
        <w:t>accréditation et accès</w:t>
      </w:r>
      <w:r w:rsidR="00882E58">
        <w:rPr>
          <w:lang w:val="fr-FR"/>
        </w:rPr>
        <w:t>”</w:t>
      </w:r>
      <w:r w:rsidR="00CB2FFE" w:rsidRPr="00882E58">
        <w:rPr>
          <w:lang w:val="fr-FR"/>
        </w:rPr>
        <w:t xml:space="preserve"> au répertoire, </w:t>
      </w:r>
      <w:r w:rsidR="009B258A">
        <w:rPr>
          <w:lang w:val="fr-FR"/>
        </w:rPr>
        <w:t>y compris</w:t>
      </w:r>
      <w:r w:rsidR="00CB2FFE" w:rsidRPr="00882E58">
        <w:rPr>
          <w:lang w:val="fr-FR"/>
        </w:rPr>
        <w:t xml:space="preserve"> un rôle potentiel de certification des droits des propriétaires d</w:t>
      </w:r>
      <w:r w:rsidR="009B258A">
        <w:rPr>
          <w:lang w:val="fr-FR"/>
        </w:rPr>
        <w:t>’</w:t>
      </w:r>
      <w:r w:rsidR="00CB2FFE" w:rsidRPr="00882E58">
        <w:rPr>
          <w:lang w:val="fr-FR"/>
        </w:rPr>
        <w:t>actifs de propriété intellectuelle pour l</w:t>
      </w:r>
      <w:r w:rsidR="009B258A">
        <w:rPr>
          <w:lang w:val="fr-FR"/>
        </w:rPr>
        <w:t>’</w:t>
      </w:r>
      <w:r w:rsidR="00CB2FFE" w:rsidRPr="00882E58">
        <w:rPr>
          <w:lang w:val="fr-FR"/>
        </w:rPr>
        <w:t>OMPI</w:t>
      </w:r>
      <w:r w:rsidR="00CB2FFE" w:rsidRPr="00882E58">
        <w:rPr>
          <w:rStyle w:val="FootnoteReference"/>
          <w:szCs w:val="22"/>
          <w:lang w:val="fr-FR"/>
        </w:rPr>
        <w:footnoteReference w:id="52"/>
      </w:r>
      <w:r w:rsidR="00CB2FFE" w:rsidRPr="00882E58">
        <w:rPr>
          <w:lang w:val="fr-FR"/>
        </w:rPr>
        <w:t>.</w:t>
      </w:r>
    </w:p>
    <w:p w:rsidR="008670FA" w:rsidRPr="00882E58" w:rsidRDefault="00CB2FFE" w:rsidP="00CB2FFE">
      <w:pPr>
        <w:pStyle w:val="Heading2"/>
        <w:rPr>
          <w:lang w:val="fr-FR"/>
        </w:rPr>
      </w:pPr>
      <w:r w:rsidRPr="00882E58">
        <w:rPr>
          <w:lang w:val="fr-FR"/>
        </w:rPr>
        <w:t>D.</w:t>
      </w:r>
      <w:r w:rsidRPr="00882E58">
        <w:rPr>
          <w:lang w:val="fr-FR"/>
        </w:rPr>
        <w:tab/>
        <w:t>Noms de domaines internationalisés</w:t>
      </w:r>
    </w:p>
    <w:p w:rsidR="009B258A" w:rsidRDefault="00CB2FFE" w:rsidP="00401FB8">
      <w:pPr>
        <w:pStyle w:val="ONUMFS"/>
        <w:rPr>
          <w:lang w:val="fr-FR"/>
        </w:rPr>
      </w:pPr>
      <w:r w:rsidRPr="00882E58">
        <w:rPr>
          <w:lang w:val="fr-FR"/>
        </w:rPr>
        <w:t>Ainsi qu</w:t>
      </w:r>
      <w:r w:rsidR="009B258A">
        <w:rPr>
          <w:lang w:val="fr-FR"/>
        </w:rPr>
        <w:t>’</w:t>
      </w:r>
      <w:r w:rsidRPr="00882E58">
        <w:rPr>
          <w:lang w:val="fr-FR"/>
        </w:rPr>
        <w:t xml:space="preserve">il est indiqué au </w:t>
      </w:r>
      <w:r w:rsidR="009B258A" w:rsidRPr="00882E58">
        <w:rPr>
          <w:lang w:val="fr-FR"/>
        </w:rPr>
        <w:t>paragraphe</w:t>
      </w:r>
      <w:r w:rsidR="009B258A">
        <w:rPr>
          <w:lang w:val="fr-FR"/>
        </w:rPr>
        <w:t> </w:t>
      </w:r>
      <w:r w:rsidR="009B258A" w:rsidRPr="00882E58">
        <w:rPr>
          <w:lang w:val="fr-FR"/>
        </w:rPr>
        <w:t>2</w:t>
      </w:r>
      <w:r w:rsidRPr="00882E58">
        <w:rPr>
          <w:lang w:val="fr-FR"/>
        </w:rPr>
        <w:t>0, l</w:t>
      </w:r>
      <w:r w:rsidR="009B258A">
        <w:rPr>
          <w:lang w:val="fr-FR"/>
        </w:rPr>
        <w:t>’</w:t>
      </w:r>
      <w:r w:rsidRPr="00882E58">
        <w:rPr>
          <w:lang w:val="fr-FR"/>
        </w:rPr>
        <w:t>introduction de noms de domaine internationalisés (en caractères non latins) dans les domaines de premier niveau constitue une autre évolution importante</w:t>
      </w:r>
      <w:r w:rsidR="009B258A" w:rsidRPr="00882E58">
        <w:rPr>
          <w:lang w:val="fr-FR"/>
        </w:rPr>
        <w:t xml:space="preserve"> du</w:t>
      </w:r>
      <w:r w:rsidR="009B258A">
        <w:rPr>
          <w:lang w:val="fr-FR"/>
        </w:rPr>
        <w:t> </w:t>
      </w:r>
      <w:r w:rsidR="009B258A" w:rsidRPr="00882E58">
        <w:rPr>
          <w:lang w:val="fr-FR"/>
        </w:rPr>
        <w:t>DNS</w:t>
      </w:r>
      <w:r w:rsidRPr="00882E58">
        <w:rPr>
          <w:rStyle w:val="FootnoteReference"/>
          <w:szCs w:val="22"/>
          <w:lang w:val="fr-FR"/>
        </w:rPr>
        <w:footnoteReference w:id="53"/>
      </w:r>
      <w:r w:rsidRPr="00882E58">
        <w:rPr>
          <w:lang w:val="fr-FR"/>
        </w:rPr>
        <w:t>.</w:t>
      </w:r>
      <w:r w:rsidR="00F83CEE" w:rsidRPr="00882E58">
        <w:rPr>
          <w:lang w:val="fr-FR"/>
        </w:rPr>
        <w:t xml:space="preserve"> </w:t>
      </w:r>
      <w:r w:rsidR="00E6003E">
        <w:rPr>
          <w:lang w:val="fr-FR"/>
        </w:rPr>
        <w:t xml:space="preserve"> </w:t>
      </w:r>
      <w:r w:rsidRPr="00882E58">
        <w:rPr>
          <w:lang w:val="fr-FR"/>
        </w:rPr>
        <w:t>Ce</w:t>
      </w:r>
      <w:r w:rsidR="0060587A">
        <w:rPr>
          <w:lang w:val="fr-FR"/>
        </w:rPr>
        <w:t>ux-ci</w:t>
      </w:r>
      <w:r w:rsidRPr="00882E58">
        <w:rPr>
          <w:lang w:val="fr-FR"/>
        </w:rPr>
        <w:t xml:space="preserve"> étaient nombreux parmi les premiers gTLD dont l</w:t>
      </w:r>
      <w:r w:rsidR="009B258A">
        <w:rPr>
          <w:lang w:val="fr-FR"/>
        </w:rPr>
        <w:t>’</w:t>
      </w:r>
      <w:r w:rsidRPr="00882E58">
        <w:rPr>
          <w:lang w:val="fr-FR"/>
        </w:rPr>
        <w:t>attribution dans la zone racine</w:t>
      </w:r>
      <w:r w:rsidR="009B258A" w:rsidRPr="00882E58">
        <w:rPr>
          <w:lang w:val="fr-FR"/>
        </w:rPr>
        <w:t xml:space="preserve"> du</w:t>
      </w:r>
      <w:r w:rsidR="009B258A">
        <w:rPr>
          <w:lang w:val="fr-FR"/>
        </w:rPr>
        <w:t> </w:t>
      </w:r>
      <w:r w:rsidR="009B258A" w:rsidRPr="00882E58">
        <w:rPr>
          <w:lang w:val="fr-FR"/>
        </w:rPr>
        <w:t>DNS</w:t>
      </w:r>
      <w:r w:rsidRPr="00882E58">
        <w:rPr>
          <w:lang w:val="fr-FR"/>
        </w:rPr>
        <w:t xml:space="preserve"> a été annoncée par l</w:t>
      </w:r>
      <w:r w:rsidR="009B258A">
        <w:rPr>
          <w:lang w:val="fr-FR"/>
        </w:rPr>
        <w:t>’</w:t>
      </w:r>
      <w:r w:rsidRPr="00882E58">
        <w:rPr>
          <w:lang w:val="fr-FR"/>
        </w:rPr>
        <w:t>ICANN.</w:t>
      </w:r>
    </w:p>
    <w:p w:rsidR="008670FA" w:rsidRPr="00882E58" w:rsidRDefault="00CB2FFE" w:rsidP="00CB2FFE">
      <w:pPr>
        <w:pStyle w:val="Heading2"/>
        <w:rPr>
          <w:lang w:val="fr-FR"/>
        </w:rPr>
      </w:pPr>
      <w:r w:rsidRPr="00882E58">
        <w:rPr>
          <w:lang w:val="fr-FR"/>
        </w:rPr>
        <w:t>E.</w:t>
      </w:r>
      <w:r w:rsidRPr="00882E58">
        <w:rPr>
          <w:lang w:val="fr-FR"/>
        </w:rPr>
        <w:tab/>
        <w:t>autres désignations</w:t>
      </w:r>
    </w:p>
    <w:p w:rsidR="008670FA" w:rsidRPr="00882E58" w:rsidRDefault="00CB2FFE" w:rsidP="00401FB8">
      <w:pPr>
        <w:pStyle w:val="ONUMFS"/>
        <w:rPr>
          <w:lang w:val="fr-FR"/>
        </w:rPr>
      </w:pPr>
      <w:r w:rsidRPr="00882E58">
        <w:rPr>
          <w:lang w:val="fr-FR"/>
        </w:rPr>
        <w:t>Outre les évolutions susmentionnées et en relation avec celles</w:t>
      </w:r>
      <w:r w:rsidR="00401FB8">
        <w:rPr>
          <w:lang w:val="fr-FR"/>
        </w:rPr>
        <w:noBreakHyphen/>
      </w:r>
      <w:r w:rsidRPr="00882E58">
        <w:rPr>
          <w:lang w:val="fr-FR"/>
        </w:rPr>
        <w:t>ci, d</w:t>
      </w:r>
      <w:r w:rsidR="009B258A">
        <w:rPr>
          <w:lang w:val="fr-FR"/>
        </w:rPr>
        <w:t>’</w:t>
      </w:r>
      <w:r w:rsidRPr="00882E58">
        <w:rPr>
          <w:lang w:val="fr-FR"/>
        </w:rPr>
        <w:t>autres activités déployées par l</w:t>
      </w:r>
      <w:r w:rsidR="009B258A">
        <w:rPr>
          <w:lang w:val="fr-FR"/>
        </w:rPr>
        <w:t>’</w:t>
      </w:r>
      <w:r w:rsidRPr="00882E58">
        <w:rPr>
          <w:lang w:val="fr-FR"/>
        </w:rPr>
        <w:t>ICANN touchent à la protection de désignations autres que les marques.</w:t>
      </w:r>
    </w:p>
    <w:p w:rsidR="008670FA" w:rsidRPr="00882E58" w:rsidRDefault="00CB2FFE" w:rsidP="00CB2FFE">
      <w:pPr>
        <w:pStyle w:val="Heading3"/>
        <w:numPr>
          <w:ilvl w:val="0"/>
          <w:numId w:val="41"/>
        </w:numPr>
        <w:ind w:left="1701" w:hanging="567"/>
        <w:rPr>
          <w:lang w:val="fr-FR"/>
        </w:rPr>
      </w:pPr>
      <w:r w:rsidRPr="00882E58">
        <w:rPr>
          <w:lang w:val="fr-FR"/>
        </w:rPr>
        <w:t>Organisations intergouvernementales</w:t>
      </w:r>
    </w:p>
    <w:p w:rsidR="008670FA" w:rsidRPr="00882E58" w:rsidRDefault="00CB2FFE" w:rsidP="00401FB8">
      <w:pPr>
        <w:pStyle w:val="ONUMFS"/>
        <w:rPr>
          <w:lang w:val="fr-FR"/>
        </w:rPr>
      </w:pPr>
      <w:r w:rsidRPr="00882E58">
        <w:rPr>
          <w:lang w:val="fr-FR"/>
        </w:rPr>
        <w:t>Il est rappelé que le premier processus de consultations de l</w:t>
      </w:r>
      <w:r w:rsidR="009B258A">
        <w:rPr>
          <w:lang w:val="fr-FR"/>
        </w:rPr>
        <w:t>’</w:t>
      </w:r>
      <w:r w:rsidRPr="00882E58">
        <w:rPr>
          <w:lang w:val="fr-FR"/>
        </w:rPr>
        <w:t>OMPI sur les noms de domaine de l</w:t>
      </w:r>
      <w:r w:rsidR="009B258A">
        <w:rPr>
          <w:lang w:val="fr-FR"/>
        </w:rPr>
        <w:t>’</w:t>
      </w:r>
      <w:r w:rsidRPr="00882E58">
        <w:rPr>
          <w:lang w:val="fr-FR"/>
        </w:rPr>
        <w:t>Internet traitait du lien entre les noms de domaine et les marqu</w:t>
      </w:r>
      <w:r w:rsidR="0090772B" w:rsidRPr="00882E58">
        <w:rPr>
          <w:lang w:val="fr-FR"/>
        </w:rPr>
        <w:t>es</w:t>
      </w:r>
      <w:r w:rsidR="0090772B">
        <w:rPr>
          <w:lang w:val="fr-FR"/>
        </w:rPr>
        <w:t xml:space="preserve">.  </w:t>
      </w:r>
      <w:r w:rsidR="0090772B" w:rsidRPr="00882E58">
        <w:rPr>
          <w:lang w:val="fr-FR"/>
        </w:rPr>
        <w:t>Le</w:t>
      </w:r>
      <w:r w:rsidRPr="00882E58">
        <w:rPr>
          <w:lang w:val="fr-FR"/>
        </w:rPr>
        <w:t xml:space="preserve"> second traitait du lien entre les noms de domaine et d</w:t>
      </w:r>
      <w:r w:rsidR="009B258A">
        <w:rPr>
          <w:lang w:val="fr-FR"/>
        </w:rPr>
        <w:t>’</w:t>
      </w:r>
      <w:r w:rsidRPr="00882E58">
        <w:rPr>
          <w:lang w:val="fr-FR"/>
        </w:rPr>
        <w:t>autres types de désignations, dont les noms de pays et les noms et sigles d</w:t>
      </w:r>
      <w:r w:rsidR="009B258A">
        <w:rPr>
          <w:lang w:val="fr-FR"/>
        </w:rPr>
        <w:t>’</w:t>
      </w:r>
      <w:r w:rsidRPr="00882E58">
        <w:rPr>
          <w:lang w:val="fr-FR"/>
        </w:rPr>
        <w:t>organisations intergouvernementales.</w:t>
      </w:r>
    </w:p>
    <w:p w:rsidR="008670FA" w:rsidRPr="00882E58" w:rsidRDefault="009B258A" w:rsidP="00401FB8">
      <w:pPr>
        <w:pStyle w:val="ONUMFS"/>
        <w:rPr>
          <w:lang w:val="fr-FR"/>
        </w:rPr>
      </w:pPr>
      <w:r w:rsidRPr="00882E58">
        <w:rPr>
          <w:lang w:val="fr-FR"/>
        </w:rPr>
        <w:t>En</w:t>
      </w:r>
      <w:r>
        <w:rPr>
          <w:lang w:val="fr-FR"/>
        </w:rPr>
        <w:t> </w:t>
      </w:r>
      <w:r w:rsidRPr="00882E58">
        <w:rPr>
          <w:lang w:val="fr-FR"/>
        </w:rPr>
        <w:t>2002</w:t>
      </w:r>
      <w:r w:rsidR="00CB2FFE" w:rsidRPr="00882E58">
        <w:rPr>
          <w:lang w:val="fr-FR"/>
        </w:rPr>
        <w:t>, l</w:t>
      </w:r>
      <w:r>
        <w:rPr>
          <w:lang w:val="fr-FR"/>
        </w:rPr>
        <w:t>’</w:t>
      </w:r>
      <w:r w:rsidR="00CB2FFE" w:rsidRPr="00882E58">
        <w:rPr>
          <w:lang w:val="fr-FR"/>
        </w:rPr>
        <w:t>Assemblée générale de l</w:t>
      </w:r>
      <w:r>
        <w:rPr>
          <w:lang w:val="fr-FR"/>
        </w:rPr>
        <w:t>’</w:t>
      </w:r>
      <w:r w:rsidR="00CB2FFE" w:rsidRPr="00882E58">
        <w:rPr>
          <w:lang w:val="fr-FR"/>
        </w:rPr>
        <w:t>OMPI a recommandé de modifier les principes UDRP afin de protéger les noms de pays et les noms et sigles d</w:t>
      </w:r>
      <w:r>
        <w:rPr>
          <w:lang w:val="fr-FR"/>
        </w:rPr>
        <w:t>’</w:t>
      </w:r>
      <w:r w:rsidR="00CB2FFE" w:rsidRPr="00882E58">
        <w:rPr>
          <w:lang w:val="fr-FR"/>
        </w:rPr>
        <w:t xml:space="preserve">organisations </w:t>
      </w:r>
      <w:r w:rsidR="00CB2FFE" w:rsidRPr="00882E58">
        <w:rPr>
          <w:lang w:val="fr-FR"/>
        </w:rPr>
        <w:lastRenderedPageBreak/>
        <w:t>intergouvernementales</w:t>
      </w:r>
      <w:r w:rsidR="00CB2FFE" w:rsidRPr="00882E58">
        <w:rPr>
          <w:rStyle w:val="FootnoteReference"/>
          <w:szCs w:val="22"/>
          <w:lang w:val="fr-FR"/>
        </w:rPr>
        <w:footnoteReference w:id="54"/>
      </w:r>
      <w:r w:rsidR="00CB2FFE" w:rsidRPr="00882E58">
        <w:rPr>
          <w:lang w:val="fr-FR"/>
        </w:rPr>
        <w:t>.  Le Secrétariat de l</w:t>
      </w:r>
      <w:r>
        <w:rPr>
          <w:lang w:val="fr-FR"/>
        </w:rPr>
        <w:t>’</w:t>
      </w:r>
      <w:r w:rsidR="00CB2FFE" w:rsidRPr="00882E58">
        <w:rPr>
          <w:lang w:val="fr-FR"/>
        </w:rPr>
        <w:t>OMPI a transmis ces recommandations à l</w:t>
      </w:r>
      <w:r>
        <w:rPr>
          <w:lang w:val="fr-FR"/>
        </w:rPr>
        <w:t>’</w:t>
      </w:r>
      <w:r w:rsidR="00CB2FFE" w:rsidRPr="00882E58">
        <w:rPr>
          <w:lang w:val="fr-FR"/>
        </w:rPr>
        <w:t xml:space="preserve">ICANN en </w:t>
      </w:r>
      <w:r w:rsidRPr="00882E58">
        <w:rPr>
          <w:lang w:val="fr-FR"/>
        </w:rPr>
        <w:t>février</w:t>
      </w:r>
      <w:r>
        <w:rPr>
          <w:lang w:val="fr-FR"/>
        </w:rPr>
        <w:t> </w:t>
      </w:r>
      <w:r w:rsidRPr="00882E58">
        <w:rPr>
          <w:lang w:val="fr-FR"/>
        </w:rPr>
        <w:t>20</w:t>
      </w:r>
      <w:r w:rsidR="00CB2FFE" w:rsidRPr="00882E58">
        <w:rPr>
          <w:lang w:val="fr-FR"/>
        </w:rPr>
        <w:t>03</w:t>
      </w:r>
      <w:r w:rsidR="00CB2FFE" w:rsidRPr="00882E58">
        <w:rPr>
          <w:rStyle w:val="FootnoteReference"/>
          <w:szCs w:val="22"/>
          <w:lang w:val="fr-FR"/>
        </w:rPr>
        <w:footnoteReference w:id="55"/>
      </w:r>
      <w:r w:rsidR="00CB2FFE" w:rsidRPr="00882E58">
        <w:rPr>
          <w:lang w:val="fr-FR"/>
        </w:rPr>
        <w:t>.</w:t>
      </w:r>
    </w:p>
    <w:p w:rsidR="009B258A" w:rsidRDefault="00CB2FFE" w:rsidP="00401FB8">
      <w:pPr>
        <w:pStyle w:val="ONUMFS"/>
        <w:rPr>
          <w:lang w:val="fr-FR"/>
        </w:rPr>
      </w:pPr>
      <w:r w:rsidRPr="00882E58">
        <w:rPr>
          <w:lang w:val="fr-FR"/>
        </w:rPr>
        <w:t>À l</w:t>
      </w:r>
      <w:r w:rsidR="009B258A">
        <w:rPr>
          <w:lang w:val="fr-FR"/>
        </w:rPr>
        <w:t>’</w:t>
      </w:r>
      <w:r w:rsidRPr="00882E58">
        <w:rPr>
          <w:lang w:val="fr-FR"/>
        </w:rPr>
        <w:t>issue des délibérations de l</w:t>
      </w:r>
      <w:r w:rsidR="009B258A">
        <w:rPr>
          <w:lang w:val="fr-FR"/>
        </w:rPr>
        <w:t>’</w:t>
      </w:r>
      <w:r w:rsidRPr="00882E58">
        <w:rPr>
          <w:lang w:val="fr-FR"/>
        </w:rPr>
        <w:t>ICANN</w:t>
      </w:r>
      <w:r w:rsidRPr="00882E58">
        <w:rPr>
          <w:rStyle w:val="FootnoteReference"/>
          <w:szCs w:val="22"/>
          <w:lang w:val="fr-FR"/>
        </w:rPr>
        <w:footnoteReference w:id="56"/>
      </w:r>
      <w:r w:rsidRPr="00882E58">
        <w:rPr>
          <w:lang w:val="fr-FR"/>
        </w:rPr>
        <w:t xml:space="preserve"> le Guide de candidature aux nouveaux gTLD de l</w:t>
      </w:r>
      <w:r w:rsidR="009B258A">
        <w:rPr>
          <w:lang w:val="fr-FR"/>
        </w:rPr>
        <w:t>’</w:t>
      </w:r>
      <w:r w:rsidRPr="00882E58">
        <w:rPr>
          <w:lang w:val="fr-FR"/>
        </w:rPr>
        <w:t>ICANN a limité la question de la protection des noms et sigles d</w:t>
      </w:r>
      <w:r w:rsidR="009B258A">
        <w:rPr>
          <w:lang w:val="fr-FR"/>
        </w:rPr>
        <w:t>’</w:t>
      </w:r>
      <w:r w:rsidRPr="00882E58">
        <w:rPr>
          <w:lang w:val="fr-FR"/>
        </w:rPr>
        <w:t>organisations intergouvernementales au recours prévu dans le cadre des procédures d</w:t>
      </w:r>
      <w:r w:rsidR="009B258A">
        <w:rPr>
          <w:lang w:val="fr-FR"/>
        </w:rPr>
        <w:t>’</w:t>
      </w:r>
      <w:r w:rsidRPr="00882E58">
        <w:rPr>
          <w:lang w:val="fr-FR"/>
        </w:rPr>
        <w:t>objection préalable à l</w:t>
      </w:r>
      <w:r w:rsidR="009B258A">
        <w:rPr>
          <w:lang w:val="fr-FR"/>
        </w:rPr>
        <w:t>’</w:t>
      </w:r>
      <w:r w:rsidRPr="00882E58">
        <w:rPr>
          <w:lang w:val="fr-FR"/>
        </w:rPr>
        <w:t xml:space="preserve">attribution des domaines de premier niveau (pour les domaines demandés), dont il est question aux </w:t>
      </w:r>
      <w:r w:rsidR="009B258A" w:rsidRPr="00882E58">
        <w:rPr>
          <w:lang w:val="fr-FR"/>
        </w:rPr>
        <w:t>paragraphes</w:t>
      </w:r>
      <w:r w:rsidR="009B258A">
        <w:rPr>
          <w:lang w:val="fr-FR"/>
        </w:rPr>
        <w:t> </w:t>
      </w:r>
      <w:r w:rsidR="009B258A" w:rsidRPr="00882E58">
        <w:rPr>
          <w:lang w:val="fr-FR"/>
        </w:rPr>
        <w:t>2</w:t>
      </w:r>
      <w:r w:rsidRPr="00882E58">
        <w:rPr>
          <w:lang w:val="fr-FR"/>
        </w:rPr>
        <w:t>3 et 24.  Toutefois, après des pressions soutenues des organisations intergouvernementales, le Comité consultatif gouvernemental (GAC) de l</w:t>
      </w:r>
      <w:r w:rsidR="009B258A">
        <w:rPr>
          <w:lang w:val="fr-FR"/>
        </w:rPr>
        <w:t>’</w:t>
      </w:r>
      <w:r w:rsidRPr="00882E58">
        <w:rPr>
          <w:lang w:val="fr-FR"/>
        </w:rPr>
        <w:t>ICANN a conseillé au Conseil d</w:t>
      </w:r>
      <w:r w:rsidR="009B258A">
        <w:rPr>
          <w:lang w:val="fr-FR"/>
        </w:rPr>
        <w:t>’</w:t>
      </w:r>
      <w:r w:rsidRPr="00882E58">
        <w:rPr>
          <w:lang w:val="fr-FR"/>
        </w:rPr>
        <w:t>administration de l</w:t>
      </w:r>
      <w:r w:rsidR="009B258A">
        <w:rPr>
          <w:lang w:val="fr-FR"/>
        </w:rPr>
        <w:t>’</w:t>
      </w:r>
      <w:r w:rsidRPr="00882E58">
        <w:rPr>
          <w:lang w:val="fr-FR"/>
        </w:rPr>
        <w:t>ICANN de protéger les désignations d</w:t>
      </w:r>
      <w:r w:rsidR="009B258A">
        <w:rPr>
          <w:lang w:val="fr-FR"/>
        </w:rPr>
        <w:t>’</w:t>
      </w:r>
      <w:r w:rsidRPr="00882E58">
        <w:rPr>
          <w:lang w:val="fr-FR"/>
        </w:rPr>
        <w:t>organisations intergouvernementales contre leur enregistrement abusif par des tiers dans</w:t>
      </w:r>
      <w:r w:rsidR="009B258A" w:rsidRPr="00882E58">
        <w:rPr>
          <w:lang w:val="fr-FR"/>
        </w:rPr>
        <w:t xml:space="preserve"> le</w:t>
      </w:r>
      <w:r w:rsidR="009B258A">
        <w:rPr>
          <w:lang w:val="fr-FR"/>
        </w:rPr>
        <w:t> </w:t>
      </w:r>
      <w:r w:rsidR="009B258A" w:rsidRPr="00882E58">
        <w:rPr>
          <w:lang w:val="fr-FR"/>
        </w:rPr>
        <w:t>DNS</w:t>
      </w:r>
      <w:r w:rsidRPr="00882E58">
        <w:rPr>
          <w:lang w:val="fr-FR"/>
        </w:rPr>
        <w:t xml:space="preserve"> avant l</w:t>
      </w:r>
      <w:r w:rsidR="009B258A">
        <w:rPr>
          <w:lang w:val="fr-FR"/>
        </w:rPr>
        <w:t>’</w:t>
      </w:r>
      <w:r w:rsidRPr="00882E58">
        <w:rPr>
          <w:lang w:val="fr-FR"/>
        </w:rPr>
        <w:t>attribution de tout nouveau</w:t>
      </w:r>
      <w:r w:rsidR="00401FB8">
        <w:rPr>
          <w:lang w:val="fr-FR"/>
        </w:rPr>
        <w:t> </w:t>
      </w:r>
      <w:r w:rsidRPr="00882E58">
        <w:rPr>
          <w:lang w:val="fr-FR"/>
        </w:rPr>
        <w:t>gTLD</w:t>
      </w:r>
      <w:r w:rsidRPr="00882E58">
        <w:rPr>
          <w:rStyle w:val="FootnoteReference"/>
          <w:szCs w:val="22"/>
          <w:lang w:val="fr-FR"/>
        </w:rPr>
        <w:footnoteReference w:id="57"/>
      </w:r>
      <w:r w:rsidR="009B258A" w:rsidRPr="00882E58">
        <w:rPr>
          <w:lang w:val="fr-FR"/>
        </w:rPr>
        <w:t xml:space="preserve"> Le</w:t>
      </w:r>
      <w:r w:rsidR="009B258A">
        <w:rPr>
          <w:lang w:val="fr-FR"/>
        </w:rPr>
        <w:t> </w:t>
      </w:r>
      <w:r w:rsidR="009B258A" w:rsidRPr="00882E58">
        <w:rPr>
          <w:lang w:val="fr-FR"/>
        </w:rPr>
        <w:t>GAC</w:t>
      </w:r>
      <w:r w:rsidRPr="00882E58">
        <w:rPr>
          <w:lang w:val="fr-FR"/>
        </w:rPr>
        <w:t xml:space="preserve"> a également recommandé au Conseil d</w:t>
      </w:r>
      <w:r w:rsidR="009B258A">
        <w:rPr>
          <w:lang w:val="fr-FR"/>
        </w:rPr>
        <w:t>’</w:t>
      </w:r>
      <w:r w:rsidRPr="00882E58">
        <w:rPr>
          <w:lang w:val="fr-FR"/>
        </w:rPr>
        <w:t>administration de l</w:t>
      </w:r>
      <w:r w:rsidR="009B258A">
        <w:rPr>
          <w:lang w:val="fr-FR"/>
        </w:rPr>
        <w:t>’</w:t>
      </w:r>
      <w:r w:rsidRPr="00882E58">
        <w:rPr>
          <w:lang w:val="fr-FR"/>
        </w:rPr>
        <w:t>ICANN, sur la base des critères existants pour l</w:t>
      </w:r>
      <w:r w:rsidR="009B258A">
        <w:rPr>
          <w:lang w:val="fr-FR"/>
        </w:rPr>
        <w:t>’</w:t>
      </w:r>
      <w:r w:rsidRPr="00882E58">
        <w:rPr>
          <w:lang w:val="fr-FR"/>
        </w:rPr>
        <w:t>enregistrement sous le nom de domaine de premier niveau .</w:t>
      </w:r>
      <w:proofErr w:type="spellStart"/>
      <w:r w:rsidRPr="00882E58">
        <w:rPr>
          <w:lang w:val="fr-FR"/>
        </w:rPr>
        <w:t>int</w:t>
      </w:r>
      <w:proofErr w:type="spellEnd"/>
      <w:r w:rsidRPr="00882E58">
        <w:rPr>
          <w:lang w:val="fr-FR"/>
        </w:rPr>
        <w:t>, de collaborer avec les organisations intergouvernementales afin d</w:t>
      </w:r>
      <w:r w:rsidR="009B258A">
        <w:rPr>
          <w:lang w:val="fr-FR"/>
        </w:rPr>
        <w:t>’</w:t>
      </w:r>
      <w:r w:rsidRPr="00882E58">
        <w:rPr>
          <w:lang w:val="fr-FR"/>
        </w:rPr>
        <w:t>établir une liste des noms et sigles d</w:t>
      </w:r>
      <w:r w:rsidR="009B258A">
        <w:rPr>
          <w:lang w:val="fr-FR"/>
        </w:rPr>
        <w:t>’</w:t>
      </w:r>
      <w:r w:rsidRPr="00882E58">
        <w:rPr>
          <w:lang w:val="fr-FR"/>
        </w:rPr>
        <w:t>organisations intergouvernementales à protéger au moins pour la série actuelle de nouveaux g</w:t>
      </w:r>
      <w:r w:rsidR="0090772B" w:rsidRPr="00882E58">
        <w:rPr>
          <w:lang w:val="fr-FR"/>
        </w:rPr>
        <w:t>TLD</w:t>
      </w:r>
      <w:r w:rsidR="0090772B">
        <w:rPr>
          <w:lang w:val="fr-FR"/>
        </w:rPr>
        <w:t xml:space="preserve">.  </w:t>
      </w:r>
      <w:r w:rsidR="0090772B" w:rsidRPr="00882E58">
        <w:rPr>
          <w:lang w:val="fr-FR"/>
        </w:rPr>
        <w:t>Le</w:t>
      </w:r>
      <w:r w:rsidR="009B258A">
        <w:rPr>
          <w:lang w:val="fr-FR"/>
        </w:rPr>
        <w:t> </w:t>
      </w:r>
      <w:r w:rsidR="009B258A" w:rsidRPr="00882E58">
        <w:rPr>
          <w:lang w:val="fr-FR"/>
        </w:rPr>
        <w:t>GAC</w:t>
      </w:r>
      <w:r w:rsidRPr="00882E58">
        <w:rPr>
          <w:lang w:val="fr-FR"/>
        </w:rPr>
        <w:t xml:space="preserve"> a également recommandé au Conseil d</w:t>
      </w:r>
      <w:r w:rsidR="009B258A">
        <w:rPr>
          <w:lang w:val="fr-FR"/>
        </w:rPr>
        <w:t>’</w:t>
      </w:r>
      <w:r w:rsidRPr="00882E58">
        <w:rPr>
          <w:lang w:val="fr-FR"/>
        </w:rPr>
        <w:t>administration de l</w:t>
      </w:r>
      <w:r w:rsidR="009B258A">
        <w:rPr>
          <w:lang w:val="fr-FR"/>
        </w:rPr>
        <w:t>’</w:t>
      </w:r>
      <w:r w:rsidRPr="00882E58">
        <w:rPr>
          <w:lang w:val="fr-FR"/>
        </w:rPr>
        <w:t>ICANN, dans l</w:t>
      </w:r>
      <w:r w:rsidR="009B258A">
        <w:rPr>
          <w:lang w:val="fr-FR"/>
        </w:rPr>
        <w:t>’</w:t>
      </w:r>
      <w:r w:rsidRPr="00882E58">
        <w:rPr>
          <w:lang w:val="fr-FR"/>
        </w:rPr>
        <w:t>attente des travaux complémentaires sur des mesures de mise en œuvre spécifiques, de prévoir la protection à titre provisoire des noms et sigles d</w:t>
      </w:r>
      <w:r w:rsidR="009B258A">
        <w:rPr>
          <w:lang w:val="fr-FR"/>
        </w:rPr>
        <w:t>’</w:t>
      </w:r>
      <w:r w:rsidRPr="00882E58">
        <w:rPr>
          <w:lang w:val="fr-FR"/>
        </w:rPr>
        <w:t>organisations intergouvernementales par le biais d</w:t>
      </w:r>
      <w:r w:rsidR="009B258A">
        <w:rPr>
          <w:lang w:val="fr-FR"/>
        </w:rPr>
        <w:t>’</w:t>
      </w:r>
      <w:r w:rsidRPr="00882E58">
        <w:rPr>
          <w:lang w:val="fr-FR"/>
        </w:rPr>
        <w:t>un moratoire contre l</w:t>
      </w:r>
      <w:r w:rsidR="009B258A">
        <w:rPr>
          <w:lang w:val="fr-FR"/>
        </w:rPr>
        <w:t>’</w:t>
      </w:r>
      <w:r w:rsidRPr="00882E58">
        <w:rPr>
          <w:lang w:val="fr-FR"/>
        </w:rPr>
        <w:t>enregistrement par un tiers;  bien que des progrès aient été réalisés en termes de mise en œuvre, le moratoire reste en vigueur.</w:t>
      </w:r>
    </w:p>
    <w:p w:rsidR="008670FA" w:rsidRPr="00882E58" w:rsidRDefault="00CB2FFE" w:rsidP="00401FB8">
      <w:pPr>
        <w:pStyle w:val="ONUMFS"/>
        <w:rPr>
          <w:lang w:val="fr-FR"/>
        </w:rPr>
      </w:pPr>
      <w:r w:rsidRPr="00882E58">
        <w:rPr>
          <w:lang w:val="fr-FR"/>
        </w:rPr>
        <w:t>Dans sa réponse</w:t>
      </w:r>
      <w:r w:rsidR="009B258A" w:rsidRPr="00882E58">
        <w:rPr>
          <w:lang w:val="fr-FR"/>
        </w:rPr>
        <w:t xml:space="preserve"> au</w:t>
      </w:r>
      <w:r w:rsidR="009B258A">
        <w:rPr>
          <w:lang w:val="fr-FR"/>
        </w:rPr>
        <w:t> </w:t>
      </w:r>
      <w:r w:rsidR="009B258A" w:rsidRPr="00882E58">
        <w:rPr>
          <w:lang w:val="fr-FR"/>
        </w:rPr>
        <w:t>GAC</w:t>
      </w:r>
      <w:r w:rsidRPr="00882E58">
        <w:rPr>
          <w:lang w:val="fr-FR"/>
        </w:rPr>
        <w:t>, le Conseil d</w:t>
      </w:r>
      <w:r w:rsidR="009B258A">
        <w:rPr>
          <w:lang w:val="fr-FR"/>
        </w:rPr>
        <w:t>’</w:t>
      </w:r>
      <w:r w:rsidRPr="00882E58">
        <w:rPr>
          <w:lang w:val="fr-FR"/>
        </w:rPr>
        <w:t>administration de l</w:t>
      </w:r>
      <w:r w:rsidR="009B258A">
        <w:rPr>
          <w:lang w:val="fr-FR"/>
        </w:rPr>
        <w:t>’</w:t>
      </w:r>
      <w:r w:rsidRPr="00882E58">
        <w:rPr>
          <w:lang w:val="fr-FR"/>
        </w:rPr>
        <w:t>ICANN a indiqué qu</w:t>
      </w:r>
      <w:r w:rsidR="009B258A">
        <w:rPr>
          <w:lang w:val="fr-FR"/>
        </w:rPr>
        <w:t>’</w:t>
      </w:r>
      <w:r w:rsidRPr="00882E58">
        <w:rPr>
          <w:lang w:val="fr-FR"/>
        </w:rPr>
        <w:t>il avait adopté une résolution concernant la protection à titre provisoire au deuxième niveau sur la base des critères existants pour l</w:t>
      </w:r>
      <w:r w:rsidR="009B258A">
        <w:rPr>
          <w:lang w:val="fr-FR"/>
        </w:rPr>
        <w:t>’</w:t>
      </w:r>
      <w:r w:rsidRPr="00882E58">
        <w:rPr>
          <w:lang w:val="fr-FR"/>
        </w:rPr>
        <w:t>enregistrement dans le nom de domaine de premier niveau .</w:t>
      </w:r>
      <w:proofErr w:type="spellStart"/>
      <w:r w:rsidRPr="00882E58">
        <w:rPr>
          <w:lang w:val="fr-FR"/>
        </w:rPr>
        <w:t>int</w:t>
      </w:r>
      <w:proofErr w:type="spellEnd"/>
      <w:r w:rsidRPr="00882E58">
        <w:rPr>
          <w:lang w:val="fr-FR"/>
        </w:rPr>
        <w:t>, via une liste de réserve de l</w:t>
      </w:r>
      <w:r w:rsidR="009B258A">
        <w:rPr>
          <w:lang w:val="fr-FR"/>
        </w:rPr>
        <w:t>’</w:t>
      </w:r>
      <w:r w:rsidRPr="00882E58">
        <w:rPr>
          <w:lang w:val="fr-FR"/>
        </w:rPr>
        <w:t>ICANN dans laquelle étaient recensés les noms et sigles d</w:t>
      </w:r>
      <w:r w:rsidR="009B258A">
        <w:rPr>
          <w:lang w:val="fr-FR"/>
        </w:rPr>
        <w:t>’</w:t>
      </w:r>
      <w:r w:rsidRPr="00882E58">
        <w:rPr>
          <w:lang w:val="fr-FR"/>
        </w:rPr>
        <w:t>organisations intergouvernementales à protéger contre l</w:t>
      </w:r>
      <w:r w:rsidR="009B258A">
        <w:rPr>
          <w:lang w:val="fr-FR"/>
        </w:rPr>
        <w:t>’</w:t>
      </w:r>
      <w:r w:rsidRPr="00882E58">
        <w:rPr>
          <w:lang w:val="fr-FR"/>
        </w:rPr>
        <w:t>enregistrement par un tiers, dans le cadre du contrat avec les services d</w:t>
      </w:r>
      <w:r w:rsidR="009B258A">
        <w:rPr>
          <w:lang w:val="fr-FR"/>
        </w:rPr>
        <w:t>’</w:t>
      </w:r>
      <w:r w:rsidRPr="00882E58">
        <w:rPr>
          <w:lang w:val="fr-FR"/>
        </w:rPr>
        <w:t>enregistrement de TLD génériques.</w:t>
      </w:r>
      <w:r w:rsidR="00F83CEE" w:rsidRPr="00882E58">
        <w:rPr>
          <w:lang w:val="fr-FR"/>
        </w:rPr>
        <w:t xml:space="preserve"> </w:t>
      </w:r>
      <w:r w:rsidR="00E6003E">
        <w:rPr>
          <w:lang w:val="fr-FR"/>
        </w:rPr>
        <w:t xml:space="preserve"> </w:t>
      </w:r>
      <w:r w:rsidR="00050EF0" w:rsidRPr="00882E58">
        <w:rPr>
          <w:lang w:val="fr-FR"/>
        </w:rPr>
        <w:t>L</w:t>
      </w:r>
      <w:r w:rsidR="009B258A">
        <w:rPr>
          <w:lang w:val="fr-FR"/>
        </w:rPr>
        <w:t>’</w:t>
      </w:r>
      <w:r w:rsidR="00050EF0" w:rsidRPr="00882E58">
        <w:rPr>
          <w:lang w:val="fr-FR"/>
        </w:rPr>
        <w:t>ICANN a invité les organisations intergouvernementales remplissant les conditions requises à se faire connaître, tout en sollicitant de la part</w:t>
      </w:r>
      <w:r w:rsidR="009B258A" w:rsidRPr="00882E58">
        <w:rPr>
          <w:lang w:val="fr-FR"/>
        </w:rPr>
        <w:t xml:space="preserve"> du</w:t>
      </w:r>
      <w:r w:rsidR="009B258A">
        <w:rPr>
          <w:lang w:val="fr-FR"/>
        </w:rPr>
        <w:t> </w:t>
      </w:r>
      <w:r w:rsidR="009B258A" w:rsidRPr="00882E58">
        <w:rPr>
          <w:lang w:val="fr-FR"/>
        </w:rPr>
        <w:t>GAC</w:t>
      </w:r>
      <w:r w:rsidR="00050EF0" w:rsidRPr="00882E58">
        <w:rPr>
          <w:lang w:val="fr-FR"/>
        </w:rPr>
        <w:t xml:space="preserve"> (et des organisations intergouvernementales) une synthèse comprenant les critères et la liste des noms et sigles d</w:t>
      </w:r>
      <w:r w:rsidR="009B258A">
        <w:rPr>
          <w:lang w:val="fr-FR"/>
        </w:rPr>
        <w:t>’</w:t>
      </w:r>
      <w:r w:rsidR="00050EF0" w:rsidRPr="00882E58">
        <w:rPr>
          <w:lang w:val="fr-FR"/>
        </w:rPr>
        <w:t>organisations intergouvernementales dont</w:t>
      </w:r>
      <w:r w:rsidR="009B258A" w:rsidRPr="00882E58">
        <w:rPr>
          <w:lang w:val="fr-FR"/>
        </w:rPr>
        <w:t xml:space="preserve"> le</w:t>
      </w:r>
      <w:r w:rsidR="009B258A">
        <w:rPr>
          <w:lang w:val="fr-FR"/>
        </w:rPr>
        <w:t> </w:t>
      </w:r>
      <w:r w:rsidR="009B258A" w:rsidRPr="00882E58">
        <w:rPr>
          <w:lang w:val="fr-FR"/>
        </w:rPr>
        <w:t>GAC</w:t>
      </w:r>
      <w:r w:rsidR="00050EF0" w:rsidRPr="00882E58">
        <w:rPr>
          <w:lang w:val="fr-FR"/>
        </w:rPr>
        <w:t xml:space="preserve"> recommandait la protection</w:t>
      </w:r>
      <w:r w:rsidR="00050EF0" w:rsidRPr="00882E58">
        <w:rPr>
          <w:rStyle w:val="FootnoteReference"/>
          <w:szCs w:val="22"/>
          <w:lang w:val="fr-FR"/>
        </w:rPr>
        <w:footnoteReference w:id="58"/>
      </w:r>
      <w:r w:rsidR="00050EF0" w:rsidRPr="00882E58">
        <w:rPr>
          <w:lang w:val="fr-FR"/>
        </w:rPr>
        <w:t>.  En réponse, une coalition d</w:t>
      </w:r>
      <w:r w:rsidR="009B258A">
        <w:rPr>
          <w:lang w:val="fr-FR"/>
        </w:rPr>
        <w:t>’</w:t>
      </w:r>
      <w:r w:rsidR="00050EF0" w:rsidRPr="00882E58">
        <w:rPr>
          <w:lang w:val="fr-FR"/>
        </w:rPr>
        <w:t>organisations intergouvernementales a élaboré des critères fondés sur le domaine .</w:t>
      </w:r>
      <w:proofErr w:type="spellStart"/>
      <w:r w:rsidR="00050EF0" w:rsidRPr="00882E58">
        <w:rPr>
          <w:lang w:val="fr-FR"/>
        </w:rPr>
        <w:t>int</w:t>
      </w:r>
      <w:proofErr w:type="spellEnd"/>
      <w:r w:rsidR="00050EF0" w:rsidRPr="00882E58">
        <w:rPr>
          <w:lang w:val="fr-FR"/>
        </w:rPr>
        <w:t xml:space="preserve"> pour la protection des organisations intergouvernementales ainsi qu</w:t>
      </w:r>
      <w:r w:rsidR="009B258A">
        <w:rPr>
          <w:lang w:val="fr-FR"/>
        </w:rPr>
        <w:t>’</w:t>
      </w:r>
      <w:r w:rsidR="00050EF0" w:rsidRPr="00882E58">
        <w:rPr>
          <w:lang w:val="fr-FR"/>
        </w:rPr>
        <w:t>une liste de ces organisations, qu</w:t>
      </w:r>
      <w:r w:rsidR="009B258A">
        <w:rPr>
          <w:lang w:val="fr-FR"/>
        </w:rPr>
        <w:t>’</w:t>
      </w:r>
      <w:r w:rsidR="00050EF0" w:rsidRPr="00882E58">
        <w:rPr>
          <w:lang w:val="fr-FR"/>
        </w:rPr>
        <w:t>elle a transmis au Conseil d</w:t>
      </w:r>
      <w:r w:rsidR="009B258A">
        <w:rPr>
          <w:lang w:val="fr-FR"/>
        </w:rPr>
        <w:t>’</w:t>
      </w:r>
      <w:r w:rsidR="00050EF0" w:rsidRPr="00882E58">
        <w:rPr>
          <w:lang w:val="fr-FR"/>
        </w:rPr>
        <w:t>administration de l</w:t>
      </w:r>
      <w:r w:rsidR="009B258A">
        <w:rPr>
          <w:lang w:val="fr-FR"/>
        </w:rPr>
        <w:t>’</w:t>
      </w:r>
      <w:r w:rsidR="00050EF0" w:rsidRPr="00882E58">
        <w:rPr>
          <w:lang w:val="fr-FR"/>
        </w:rPr>
        <w:t xml:space="preserve">ICANN en </w:t>
      </w:r>
      <w:r w:rsidR="009B258A" w:rsidRPr="00882E58">
        <w:rPr>
          <w:lang w:val="fr-FR"/>
        </w:rPr>
        <w:t>février</w:t>
      </w:r>
      <w:r w:rsidR="009B258A">
        <w:rPr>
          <w:lang w:val="fr-FR"/>
        </w:rPr>
        <w:t> </w:t>
      </w:r>
      <w:r w:rsidR="009B258A" w:rsidRPr="00882E58">
        <w:rPr>
          <w:lang w:val="fr-FR"/>
        </w:rPr>
        <w:t>20</w:t>
      </w:r>
      <w:r w:rsidR="00050EF0" w:rsidRPr="00882E58">
        <w:rPr>
          <w:lang w:val="fr-FR"/>
        </w:rPr>
        <w:t xml:space="preserve">13. </w:t>
      </w:r>
      <w:r w:rsidR="00E6003E">
        <w:rPr>
          <w:lang w:val="fr-FR"/>
        </w:rPr>
        <w:t xml:space="preserve"> </w:t>
      </w:r>
      <w:r w:rsidR="00050EF0" w:rsidRPr="00882E58">
        <w:rPr>
          <w:lang w:val="fr-FR"/>
        </w:rPr>
        <w:t>Par la suite,</w:t>
      </w:r>
      <w:r w:rsidR="009B258A" w:rsidRPr="00882E58">
        <w:rPr>
          <w:lang w:val="fr-FR"/>
        </w:rPr>
        <w:t xml:space="preserve"> le</w:t>
      </w:r>
      <w:r w:rsidR="009B258A">
        <w:rPr>
          <w:lang w:val="fr-FR"/>
        </w:rPr>
        <w:t> </w:t>
      </w:r>
      <w:r w:rsidR="009B258A" w:rsidRPr="00882E58">
        <w:rPr>
          <w:lang w:val="fr-FR"/>
        </w:rPr>
        <w:t>GAC</w:t>
      </w:r>
      <w:r w:rsidR="00050EF0" w:rsidRPr="00882E58">
        <w:rPr>
          <w:lang w:val="fr-FR"/>
        </w:rPr>
        <w:t xml:space="preserve"> a communiqué au Conseil d</w:t>
      </w:r>
      <w:r w:rsidR="009B258A">
        <w:rPr>
          <w:lang w:val="fr-FR"/>
        </w:rPr>
        <w:t>’</w:t>
      </w:r>
      <w:r w:rsidR="00050EF0" w:rsidRPr="00882E58">
        <w:rPr>
          <w:lang w:val="fr-FR"/>
        </w:rPr>
        <w:t>administration de l</w:t>
      </w:r>
      <w:r w:rsidR="009B258A">
        <w:rPr>
          <w:lang w:val="fr-FR"/>
        </w:rPr>
        <w:t>’</w:t>
      </w:r>
      <w:r w:rsidR="00050EF0" w:rsidRPr="00882E58">
        <w:rPr>
          <w:lang w:val="fr-FR"/>
        </w:rPr>
        <w:t>ICANN ses recommandations sur les conditions que devaient remplir les organisations intergouvernementales pour pouvoir bénéficier de la protection</w:t>
      </w:r>
      <w:r w:rsidR="00050EF0" w:rsidRPr="00882E58">
        <w:rPr>
          <w:rStyle w:val="FootnoteReference"/>
          <w:szCs w:val="22"/>
          <w:lang w:val="fr-FR"/>
        </w:rPr>
        <w:footnoteReference w:id="59"/>
      </w:r>
      <w:r w:rsidR="00050EF0" w:rsidRPr="00882E58">
        <w:rPr>
          <w:lang w:val="fr-FR"/>
        </w:rPr>
        <w:t>, ainsi qu</w:t>
      </w:r>
      <w:r w:rsidR="009B258A">
        <w:rPr>
          <w:lang w:val="fr-FR"/>
        </w:rPr>
        <w:t>’</w:t>
      </w:r>
      <w:r w:rsidR="00050EF0" w:rsidRPr="00882E58">
        <w:rPr>
          <w:lang w:val="fr-FR"/>
        </w:rPr>
        <w:t>une liste des noms et sigles d</w:t>
      </w:r>
      <w:r w:rsidR="009B258A">
        <w:rPr>
          <w:lang w:val="fr-FR"/>
        </w:rPr>
        <w:t>’</w:t>
      </w:r>
      <w:r w:rsidR="00050EF0" w:rsidRPr="00882E58">
        <w:rPr>
          <w:lang w:val="fr-FR"/>
        </w:rPr>
        <w:t>organisations intergouvernementales à protéger</w:t>
      </w:r>
      <w:r w:rsidR="00050EF0" w:rsidRPr="00882E58">
        <w:rPr>
          <w:rStyle w:val="FootnoteReference"/>
          <w:szCs w:val="22"/>
          <w:lang w:val="fr-FR"/>
        </w:rPr>
        <w:footnoteReference w:id="60"/>
      </w:r>
      <w:r w:rsidR="00050EF0" w:rsidRPr="00882E58">
        <w:rPr>
          <w:lang w:val="fr-FR"/>
        </w:rPr>
        <w:t>.</w:t>
      </w:r>
    </w:p>
    <w:p w:rsidR="009B258A" w:rsidRDefault="00050EF0" w:rsidP="00401FB8">
      <w:pPr>
        <w:pStyle w:val="ONUMFS"/>
        <w:rPr>
          <w:lang w:val="fr-FR"/>
        </w:rPr>
      </w:pPr>
      <w:r w:rsidRPr="00882E58">
        <w:rPr>
          <w:lang w:val="fr-FR"/>
        </w:rPr>
        <w:t>Le</w:t>
      </w:r>
      <w:r w:rsidR="009B258A">
        <w:rPr>
          <w:lang w:val="fr-FR"/>
        </w:rPr>
        <w:t xml:space="preserve"> 1</w:t>
      </w:r>
      <w:r w:rsidR="009B258A" w:rsidRPr="009B258A">
        <w:rPr>
          <w:vertAlign w:val="superscript"/>
          <w:lang w:val="fr-FR"/>
        </w:rPr>
        <w:t>er</w:t>
      </w:r>
      <w:r w:rsidR="009B258A">
        <w:rPr>
          <w:lang w:val="fr-FR"/>
        </w:rPr>
        <w:t> </w:t>
      </w:r>
      <w:r w:rsidR="009B258A" w:rsidRPr="00882E58">
        <w:rPr>
          <w:lang w:val="fr-FR"/>
        </w:rPr>
        <w:t>avril</w:t>
      </w:r>
      <w:r w:rsidR="009B258A">
        <w:rPr>
          <w:lang w:val="fr-FR"/>
        </w:rPr>
        <w:t> </w:t>
      </w:r>
      <w:r w:rsidR="009B258A" w:rsidRPr="00882E58">
        <w:rPr>
          <w:lang w:val="fr-FR"/>
        </w:rPr>
        <w:t>20</w:t>
      </w:r>
      <w:r w:rsidRPr="00882E58">
        <w:rPr>
          <w:lang w:val="fr-FR"/>
        </w:rPr>
        <w:t>13, le Conseil d</w:t>
      </w:r>
      <w:r w:rsidR="009B258A">
        <w:rPr>
          <w:lang w:val="fr-FR"/>
        </w:rPr>
        <w:t>’</w:t>
      </w:r>
      <w:r w:rsidRPr="00882E58">
        <w:rPr>
          <w:lang w:val="fr-FR"/>
        </w:rPr>
        <w:t>administration a fait part</w:t>
      </w:r>
      <w:r w:rsidR="009B258A" w:rsidRPr="00882E58">
        <w:rPr>
          <w:lang w:val="fr-FR"/>
        </w:rPr>
        <w:t xml:space="preserve"> au</w:t>
      </w:r>
      <w:r w:rsidR="009B258A">
        <w:rPr>
          <w:lang w:val="fr-FR"/>
        </w:rPr>
        <w:t> </w:t>
      </w:r>
      <w:r w:rsidR="009B258A" w:rsidRPr="00882E58">
        <w:rPr>
          <w:lang w:val="fr-FR"/>
        </w:rPr>
        <w:t>GAC</w:t>
      </w:r>
      <w:r w:rsidRPr="00882E58">
        <w:rPr>
          <w:lang w:val="fr-FR"/>
        </w:rPr>
        <w:t xml:space="preserve"> de ses préoccupations quant à la manière dont la protection des sigles d</w:t>
      </w:r>
      <w:r w:rsidR="009B258A">
        <w:rPr>
          <w:lang w:val="fr-FR"/>
        </w:rPr>
        <w:t>’</w:t>
      </w:r>
      <w:r w:rsidRPr="00882E58">
        <w:rPr>
          <w:lang w:val="fr-FR"/>
        </w:rPr>
        <w:t>organisations intergouvernementales pourrait être conciliée avec les demandes d</w:t>
      </w:r>
      <w:r w:rsidR="009B258A">
        <w:rPr>
          <w:lang w:val="fr-FR"/>
        </w:rPr>
        <w:t>’</w:t>
      </w:r>
      <w:r w:rsidRPr="00882E58">
        <w:rPr>
          <w:lang w:val="fr-FR"/>
        </w:rPr>
        <w:t xml:space="preserve">enregistrement potentiellement légitimes de tiers portant sur des noms de domaine correspondants, et demandé comment gérer dans la pratique les cas </w:t>
      </w:r>
      <w:r w:rsidRPr="00882E58">
        <w:rPr>
          <w:lang w:val="fr-FR"/>
        </w:rPr>
        <w:lastRenderedPageBreak/>
        <w:t>potentiellement légitimes d</w:t>
      </w:r>
      <w:r w:rsidR="009B258A">
        <w:rPr>
          <w:lang w:val="fr-FR"/>
        </w:rPr>
        <w:t>’</w:t>
      </w:r>
      <w:r w:rsidRPr="00882E58">
        <w:rPr>
          <w:lang w:val="fr-FR"/>
        </w:rPr>
        <w:t>utilisation concomitante de ces sigles</w:t>
      </w:r>
      <w:r w:rsidRPr="00882E58">
        <w:rPr>
          <w:rStyle w:val="FootnoteReference"/>
          <w:szCs w:val="22"/>
          <w:lang w:val="fr-FR"/>
        </w:rPr>
        <w:footnoteReference w:id="61"/>
      </w:r>
      <w:r w:rsidRPr="00882E58">
        <w:rPr>
          <w:lang w:val="fr-FR"/>
        </w:rPr>
        <w:t xml:space="preserve">.  En </w:t>
      </w:r>
      <w:r w:rsidR="009B258A" w:rsidRPr="00882E58">
        <w:rPr>
          <w:lang w:val="fr-FR"/>
        </w:rPr>
        <w:t>juillet</w:t>
      </w:r>
      <w:r w:rsidR="009B258A">
        <w:rPr>
          <w:lang w:val="fr-FR"/>
        </w:rPr>
        <w:t> </w:t>
      </w:r>
      <w:r w:rsidR="009B258A" w:rsidRPr="00882E58">
        <w:rPr>
          <w:lang w:val="fr-FR"/>
        </w:rPr>
        <w:t>20</w:t>
      </w:r>
      <w:r w:rsidRPr="00882E58">
        <w:rPr>
          <w:lang w:val="fr-FR"/>
        </w:rPr>
        <w:t>13, à la suite de délibérations approfondies avec l</w:t>
      </w:r>
      <w:r w:rsidR="009B258A">
        <w:rPr>
          <w:lang w:val="fr-FR"/>
        </w:rPr>
        <w:t>’</w:t>
      </w:r>
      <w:r w:rsidRPr="00882E58">
        <w:rPr>
          <w:lang w:val="fr-FR"/>
        </w:rPr>
        <w:t>ICANN et des efforts soutenus déployés par les organisations intergouvernementales,</w:t>
      </w:r>
      <w:r w:rsidR="009B258A" w:rsidRPr="00882E58">
        <w:rPr>
          <w:lang w:val="fr-FR"/>
        </w:rPr>
        <w:t xml:space="preserve"> le</w:t>
      </w:r>
      <w:r w:rsidR="009B258A">
        <w:rPr>
          <w:lang w:val="fr-FR"/>
        </w:rPr>
        <w:t> </w:t>
      </w:r>
      <w:r w:rsidR="009B258A" w:rsidRPr="00882E58">
        <w:rPr>
          <w:lang w:val="fr-FR"/>
        </w:rPr>
        <w:t>GAC</w:t>
      </w:r>
      <w:r w:rsidRPr="00882E58">
        <w:rPr>
          <w:lang w:val="fr-FR"/>
        </w:rPr>
        <w:t xml:space="preserve"> a </w:t>
      </w:r>
      <w:r w:rsidR="0060587A">
        <w:rPr>
          <w:lang w:val="fr-FR"/>
        </w:rPr>
        <w:t>transmis</w:t>
      </w:r>
      <w:r w:rsidRPr="00882E58">
        <w:rPr>
          <w:lang w:val="fr-FR"/>
        </w:rPr>
        <w:t xml:space="preserve"> au Conseil d</w:t>
      </w:r>
      <w:r w:rsidR="009B258A">
        <w:rPr>
          <w:lang w:val="fr-FR"/>
        </w:rPr>
        <w:t>’</w:t>
      </w:r>
      <w:r w:rsidRPr="00882E58">
        <w:rPr>
          <w:lang w:val="fr-FR"/>
        </w:rPr>
        <w:t>administration de l</w:t>
      </w:r>
      <w:r w:rsidR="009B258A">
        <w:rPr>
          <w:lang w:val="fr-FR"/>
        </w:rPr>
        <w:t>’</w:t>
      </w:r>
      <w:r w:rsidRPr="00882E58">
        <w:rPr>
          <w:lang w:val="fr-FR"/>
        </w:rPr>
        <w:t xml:space="preserve">ICANN </w:t>
      </w:r>
      <w:r w:rsidR="0060587A" w:rsidRPr="00882E58">
        <w:rPr>
          <w:lang w:val="fr-FR"/>
        </w:rPr>
        <w:t xml:space="preserve">des recommandations </w:t>
      </w:r>
      <w:r w:rsidRPr="00882E58">
        <w:rPr>
          <w:lang w:val="fr-FR"/>
        </w:rPr>
        <w:t>soulignant la nécessité d</w:t>
      </w:r>
      <w:r w:rsidR="009B258A">
        <w:rPr>
          <w:lang w:val="fr-FR"/>
        </w:rPr>
        <w:t>’</w:t>
      </w:r>
      <w:r w:rsidRPr="00882E58">
        <w:rPr>
          <w:lang w:val="fr-FR"/>
        </w:rPr>
        <w:t>une protection spéciale de nature préventive pour les noms et sigles d</w:t>
      </w:r>
      <w:r w:rsidR="009B258A">
        <w:rPr>
          <w:lang w:val="fr-FR"/>
        </w:rPr>
        <w:t>’</w:t>
      </w:r>
      <w:r w:rsidRPr="00882E58">
        <w:rPr>
          <w:lang w:val="fr-FR"/>
        </w:rPr>
        <w:t>organisations intergouvernementales dans</w:t>
      </w:r>
      <w:r w:rsidR="009B258A" w:rsidRPr="00882E58">
        <w:rPr>
          <w:lang w:val="fr-FR"/>
        </w:rPr>
        <w:t xml:space="preserve"> le</w:t>
      </w:r>
      <w:r w:rsidR="009B258A">
        <w:rPr>
          <w:lang w:val="fr-FR"/>
        </w:rPr>
        <w:t> </w:t>
      </w:r>
      <w:r w:rsidR="009B258A" w:rsidRPr="00882E58">
        <w:rPr>
          <w:lang w:val="fr-FR"/>
        </w:rPr>
        <w:t>DNS</w:t>
      </w:r>
      <w:r w:rsidRPr="00882E58">
        <w:rPr>
          <w:rStyle w:val="FootnoteReference"/>
          <w:szCs w:val="22"/>
          <w:lang w:val="fr-FR"/>
        </w:rPr>
        <w:footnoteReference w:id="62"/>
      </w:r>
      <w:r w:rsidRPr="00882E58">
        <w:rPr>
          <w:lang w:val="fr-FR"/>
        </w:rPr>
        <w:t>.  Dans ce contexte, le Conseil d</w:t>
      </w:r>
      <w:r w:rsidR="009B258A">
        <w:rPr>
          <w:lang w:val="fr-FR"/>
        </w:rPr>
        <w:t>’</w:t>
      </w:r>
      <w:r w:rsidRPr="00882E58">
        <w:rPr>
          <w:lang w:val="fr-FR"/>
        </w:rPr>
        <w:t>administration de l</w:t>
      </w:r>
      <w:r w:rsidR="009B258A">
        <w:rPr>
          <w:lang w:val="fr-FR"/>
        </w:rPr>
        <w:t>’</w:t>
      </w:r>
      <w:r w:rsidRPr="00882E58">
        <w:rPr>
          <w:lang w:val="fr-FR"/>
        </w:rPr>
        <w:t>ICANN a pris une résolution tendant à prolonger la période de protection provisoire jusqu</w:t>
      </w:r>
      <w:r w:rsidR="009B258A">
        <w:rPr>
          <w:lang w:val="fr-FR"/>
        </w:rPr>
        <w:t>’</w:t>
      </w:r>
      <w:r w:rsidRPr="00882E58">
        <w:rPr>
          <w:lang w:val="fr-FR"/>
        </w:rPr>
        <w:t>à la première réunion du comité chargé du programme de l</w:t>
      </w:r>
      <w:r w:rsidR="009B258A">
        <w:rPr>
          <w:lang w:val="fr-FR"/>
        </w:rPr>
        <w:t>’</w:t>
      </w:r>
      <w:r w:rsidRPr="00882E58">
        <w:rPr>
          <w:lang w:val="fr-FR"/>
        </w:rPr>
        <w:t>ICANN relatif aux nouveaux gTLD (NGPC), après la réunion de l</w:t>
      </w:r>
      <w:r w:rsidR="009B258A">
        <w:rPr>
          <w:lang w:val="fr-FR"/>
        </w:rPr>
        <w:t>’</w:t>
      </w:r>
      <w:r w:rsidRPr="00882E58">
        <w:rPr>
          <w:lang w:val="fr-FR"/>
        </w:rPr>
        <w:t xml:space="preserve">ICANN </w:t>
      </w:r>
      <w:r w:rsidR="0060587A">
        <w:rPr>
          <w:lang w:val="fr-FR"/>
        </w:rPr>
        <w:t>tenue en</w:t>
      </w:r>
      <w:r w:rsidRPr="00882E58">
        <w:rPr>
          <w:lang w:val="fr-FR"/>
        </w:rPr>
        <w:t xml:space="preserve"> </w:t>
      </w:r>
      <w:r w:rsidR="009B258A" w:rsidRPr="00882E58">
        <w:rPr>
          <w:lang w:val="fr-FR"/>
        </w:rPr>
        <w:t>novembre</w:t>
      </w:r>
      <w:r w:rsidR="009B258A">
        <w:rPr>
          <w:lang w:val="fr-FR"/>
        </w:rPr>
        <w:t> </w:t>
      </w:r>
      <w:r w:rsidR="009B258A" w:rsidRPr="00882E58">
        <w:rPr>
          <w:lang w:val="fr-FR"/>
        </w:rPr>
        <w:t>20</w:t>
      </w:r>
      <w:r w:rsidRPr="00882E58">
        <w:rPr>
          <w:lang w:val="fr-FR"/>
        </w:rPr>
        <w:t>13</w:t>
      </w:r>
      <w:r w:rsidRPr="00882E58">
        <w:rPr>
          <w:rStyle w:val="FootnoteReference"/>
          <w:szCs w:val="22"/>
          <w:lang w:val="fr-FR"/>
        </w:rPr>
        <w:footnoteReference w:id="63"/>
      </w:r>
      <w:r w:rsidRPr="00882E58">
        <w:rPr>
          <w:lang w:val="fr-FR"/>
        </w:rPr>
        <w:t>.</w:t>
      </w:r>
    </w:p>
    <w:p w:rsidR="009B258A" w:rsidRDefault="00050EF0" w:rsidP="00401FB8">
      <w:pPr>
        <w:pStyle w:val="ONUMFS"/>
        <w:rPr>
          <w:lang w:val="fr-FR"/>
        </w:rPr>
      </w:pPr>
      <w:r w:rsidRPr="00882E58">
        <w:rPr>
          <w:lang w:val="fr-FR"/>
        </w:rPr>
        <w:t xml:space="preserve">En </w:t>
      </w:r>
      <w:r w:rsidR="009B258A" w:rsidRPr="00882E58">
        <w:rPr>
          <w:lang w:val="fr-FR"/>
        </w:rPr>
        <w:t>octobre</w:t>
      </w:r>
      <w:r w:rsidR="009B258A">
        <w:rPr>
          <w:lang w:val="fr-FR"/>
        </w:rPr>
        <w:t> </w:t>
      </w:r>
      <w:r w:rsidR="009B258A" w:rsidRPr="00882E58">
        <w:rPr>
          <w:lang w:val="fr-FR"/>
        </w:rPr>
        <w:t>20</w:t>
      </w:r>
      <w:r w:rsidRPr="00882E58">
        <w:rPr>
          <w:lang w:val="fr-FR"/>
        </w:rPr>
        <w:t>13,</w:t>
      </w:r>
      <w:r w:rsidR="009B258A" w:rsidRPr="00882E58">
        <w:rPr>
          <w:lang w:val="fr-FR"/>
        </w:rPr>
        <w:t xml:space="preserve"> le</w:t>
      </w:r>
      <w:r w:rsidR="009B258A">
        <w:rPr>
          <w:lang w:val="fr-FR"/>
        </w:rPr>
        <w:t> </w:t>
      </w:r>
      <w:r w:rsidR="009B258A" w:rsidRPr="00882E58">
        <w:rPr>
          <w:lang w:val="fr-FR"/>
        </w:rPr>
        <w:t>NGP</w:t>
      </w:r>
      <w:r w:rsidRPr="00882E58">
        <w:rPr>
          <w:lang w:val="fr-FR"/>
        </w:rPr>
        <w:t>C a présenté une proposition de protection des sigles d</w:t>
      </w:r>
      <w:r w:rsidR="009B258A">
        <w:rPr>
          <w:lang w:val="fr-FR"/>
        </w:rPr>
        <w:t>’</w:t>
      </w:r>
      <w:r w:rsidRPr="00882E58">
        <w:rPr>
          <w:lang w:val="fr-FR"/>
        </w:rPr>
        <w:t>organisations intergouvernementales au deuxième niveau qui ne conférait pas auxdits sigles la protection permanente de nature préventive évoquée dans les précédents communiqués</w:t>
      </w:r>
      <w:r w:rsidR="009B258A" w:rsidRPr="00882E58">
        <w:rPr>
          <w:lang w:val="fr-FR"/>
        </w:rPr>
        <w:t xml:space="preserve"> du</w:t>
      </w:r>
      <w:r w:rsidR="009B258A">
        <w:rPr>
          <w:lang w:val="fr-FR"/>
        </w:rPr>
        <w:t> </w:t>
      </w:r>
      <w:r w:rsidR="009B258A" w:rsidRPr="00882E58">
        <w:rPr>
          <w:lang w:val="fr-FR"/>
        </w:rPr>
        <w:t>GAC</w:t>
      </w:r>
      <w:r w:rsidRPr="00882E58">
        <w:rPr>
          <w:rStyle w:val="FootnoteReference"/>
          <w:szCs w:val="22"/>
          <w:lang w:val="fr-FR"/>
        </w:rPr>
        <w:footnoteReference w:id="64"/>
      </w:r>
      <w:r w:rsidRPr="00882E58">
        <w:rPr>
          <w:lang w:val="fr-FR"/>
        </w:rPr>
        <w:t>.</w:t>
      </w:r>
    </w:p>
    <w:p w:rsidR="009B258A" w:rsidRDefault="00050EF0" w:rsidP="00401FB8">
      <w:pPr>
        <w:pStyle w:val="ONUMFS"/>
        <w:rPr>
          <w:lang w:val="fr-FR"/>
        </w:rPr>
      </w:pPr>
      <w:r w:rsidRPr="00882E58">
        <w:rPr>
          <w:lang w:val="fr-FR"/>
        </w:rPr>
        <w:t>Parallèlement aux efforts déployés par</w:t>
      </w:r>
      <w:r w:rsidR="009B258A" w:rsidRPr="00882E58">
        <w:rPr>
          <w:lang w:val="fr-FR"/>
        </w:rPr>
        <w:t xml:space="preserve"> le</w:t>
      </w:r>
      <w:r w:rsidR="009B258A">
        <w:rPr>
          <w:lang w:val="fr-FR"/>
        </w:rPr>
        <w:t> </w:t>
      </w:r>
      <w:r w:rsidR="009B258A" w:rsidRPr="00882E58">
        <w:rPr>
          <w:lang w:val="fr-FR"/>
        </w:rPr>
        <w:t>NGP</w:t>
      </w:r>
      <w:r w:rsidRPr="00882E58">
        <w:rPr>
          <w:lang w:val="fr-FR"/>
        </w:rPr>
        <w:t>C,</w:t>
      </w:r>
      <w:r w:rsidR="009B258A" w:rsidRPr="00882E58">
        <w:rPr>
          <w:lang w:val="fr-FR"/>
        </w:rPr>
        <w:t xml:space="preserve"> le</w:t>
      </w:r>
      <w:r w:rsidR="009B258A">
        <w:rPr>
          <w:lang w:val="fr-FR"/>
        </w:rPr>
        <w:t> </w:t>
      </w:r>
      <w:r w:rsidR="009B258A" w:rsidRPr="00882E58">
        <w:rPr>
          <w:lang w:val="fr-FR"/>
        </w:rPr>
        <w:t>GAC</w:t>
      </w:r>
      <w:r w:rsidRPr="00882E58">
        <w:rPr>
          <w:lang w:val="fr-FR"/>
        </w:rPr>
        <w:t xml:space="preserve"> et les organisations intergouvernementales</w:t>
      </w:r>
      <w:r w:rsidRPr="00882E58">
        <w:rPr>
          <w:rStyle w:val="FootnoteReference"/>
          <w:szCs w:val="22"/>
          <w:lang w:val="fr-FR"/>
        </w:rPr>
        <w:footnoteReference w:id="65"/>
      </w:r>
      <w:r w:rsidRPr="00882E58">
        <w:rPr>
          <w:lang w:val="fr-FR"/>
        </w:rPr>
        <w:t>,</w:t>
      </w:r>
      <w:r w:rsidR="009B258A" w:rsidRPr="00882E58">
        <w:rPr>
          <w:lang w:val="fr-FR"/>
        </w:rPr>
        <w:t xml:space="preserve"> la</w:t>
      </w:r>
      <w:r w:rsidR="009B258A">
        <w:rPr>
          <w:lang w:val="fr-FR"/>
        </w:rPr>
        <w:t> </w:t>
      </w:r>
      <w:r w:rsidR="009B258A" w:rsidRPr="00882E58">
        <w:rPr>
          <w:lang w:val="fr-FR"/>
        </w:rPr>
        <w:t>GNS</w:t>
      </w:r>
      <w:r w:rsidRPr="00882E58">
        <w:rPr>
          <w:lang w:val="fr-FR"/>
        </w:rPr>
        <w:t xml:space="preserve">O avait lancé un </w:t>
      </w:r>
      <w:r w:rsidR="00882E58">
        <w:rPr>
          <w:lang w:val="fr-FR"/>
        </w:rPr>
        <w:t>“</w:t>
      </w:r>
      <w:r w:rsidRPr="00882E58">
        <w:rPr>
          <w:lang w:val="fr-FR"/>
        </w:rPr>
        <w:t>processus d</w:t>
      </w:r>
      <w:r w:rsidR="009B258A">
        <w:rPr>
          <w:lang w:val="fr-FR"/>
        </w:rPr>
        <w:t>’</w:t>
      </w:r>
      <w:r w:rsidRPr="00882E58">
        <w:rPr>
          <w:lang w:val="fr-FR"/>
        </w:rPr>
        <w:t>élaboration de politique</w:t>
      </w:r>
      <w:r w:rsidR="00882E58">
        <w:rPr>
          <w:lang w:val="fr-FR"/>
        </w:rPr>
        <w:t>”</w:t>
      </w:r>
      <w:r w:rsidRPr="00882E58">
        <w:rPr>
          <w:lang w:val="fr-FR"/>
        </w:rPr>
        <w:t xml:space="preserve"> sur la protection des organisations intergouvernementales, auquel ont participé le Centre et des représentants d</w:t>
      </w:r>
      <w:r w:rsidR="009B258A">
        <w:rPr>
          <w:lang w:val="fr-FR"/>
        </w:rPr>
        <w:t>’</w:t>
      </w:r>
      <w:r w:rsidRPr="00882E58">
        <w:rPr>
          <w:lang w:val="fr-FR"/>
        </w:rPr>
        <w:t>autres organisations intergouvernemental</w:t>
      </w:r>
      <w:r w:rsidR="0090772B" w:rsidRPr="00882E58">
        <w:rPr>
          <w:lang w:val="fr-FR"/>
        </w:rPr>
        <w:t>es</w:t>
      </w:r>
      <w:r w:rsidR="0090772B">
        <w:rPr>
          <w:lang w:val="fr-FR"/>
        </w:rPr>
        <w:t xml:space="preserve">.  </w:t>
      </w:r>
      <w:r w:rsidR="0090772B" w:rsidRPr="00882E58">
        <w:rPr>
          <w:lang w:val="fr-FR"/>
        </w:rPr>
        <w:t>Pa</w:t>
      </w:r>
      <w:r w:rsidRPr="00882E58">
        <w:rPr>
          <w:lang w:val="fr-FR"/>
        </w:rPr>
        <w:t>ssant outre les objections des organisations intergouvernementales, ce processus a rejeté la protection de nature préventive des sigles d</w:t>
      </w:r>
      <w:r w:rsidR="009B258A">
        <w:rPr>
          <w:lang w:val="fr-FR"/>
        </w:rPr>
        <w:t>’</w:t>
      </w:r>
      <w:r w:rsidRPr="00882E58">
        <w:rPr>
          <w:lang w:val="fr-FR"/>
        </w:rPr>
        <w:t>organisations intergouvernementales au deuxième nive</w:t>
      </w:r>
      <w:r w:rsidR="0090772B" w:rsidRPr="00882E58">
        <w:rPr>
          <w:lang w:val="fr-FR"/>
        </w:rPr>
        <w:t>au</w:t>
      </w:r>
      <w:r w:rsidR="0090772B">
        <w:rPr>
          <w:lang w:val="fr-FR"/>
        </w:rPr>
        <w:t xml:space="preserve">.  </w:t>
      </w:r>
      <w:r w:rsidR="0090772B" w:rsidRPr="00882E58">
        <w:rPr>
          <w:lang w:val="fr-FR"/>
        </w:rPr>
        <w:t xml:space="preserve">À </w:t>
      </w:r>
      <w:r w:rsidRPr="00882E58">
        <w:rPr>
          <w:lang w:val="fr-FR"/>
        </w:rPr>
        <w:t>la place, il a préconisé la mise en œuvre de mécanismes de protection défensive pour les sigles des organisations intergouvernementales, conjuguée à la suppression des mesures de protection provisoires en place pour ces sigl</w:t>
      </w:r>
      <w:r w:rsidR="0090772B" w:rsidRPr="00882E58">
        <w:rPr>
          <w:lang w:val="fr-FR"/>
        </w:rPr>
        <w:t>es</w:t>
      </w:r>
      <w:r w:rsidR="0090772B">
        <w:rPr>
          <w:lang w:val="fr-FR"/>
        </w:rPr>
        <w:t xml:space="preserve">.  </w:t>
      </w:r>
      <w:r w:rsidR="0090772B" w:rsidRPr="00882E58">
        <w:rPr>
          <w:lang w:val="fr-FR"/>
        </w:rPr>
        <w:t>Ce</w:t>
      </w:r>
      <w:r w:rsidRPr="00882E58">
        <w:rPr>
          <w:lang w:val="fr-FR"/>
        </w:rPr>
        <w:t>s recommandations ont été adoptées à l</w:t>
      </w:r>
      <w:r w:rsidR="009B258A">
        <w:rPr>
          <w:lang w:val="fr-FR"/>
        </w:rPr>
        <w:t>’</w:t>
      </w:r>
      <w:r w:rsidRPr="00882E58">
        <w:rPr>
          <w:lang w:val="fr-FR"/>
        </w:rPr>
        <w:t>unanimité par le Conseil de</w:t>
      </w:r>
      <w:r w:rsidR="009B258A" w:rsidRPr="00882E58">
        <w:rPr>
          <w:lang w:val="fr-FR"/>
        </w:rPr>
        <w:t xml:space="preserve"> la</w:t>
      </w:r>
      <w:r w:rsidR="009B258A">
        <w:rPr>
          <w:lang w:val="fr-FR"/>
        </w:rPr>
        <w:t> </w:t>
      </w:r>
      <w:r w:rsidR="009B258A" w:rsidRPr="00882E58">
        <w:rPr>
          <w:lang w:val="fr-FR"/>
        </w:rPr>
        <w:t>GNS</w:t>
      </w:r>
      <w:r w:rsidRPr="00882E58">
        <w:rPr>
          <w:lang w:val="fr-FR"/>
        </w:rPr>
        <w:t xml:space="preserve">O en </w:t>
      </w:r>
      <w:r w:rsidR="009B258A" w:rsidRPr="00882E58">
        <w:rPr>
          <w:lang w:val="fr-FR"/>
        </w:rPr>
        <w:t>novembre</w:t>
      </w:r>
      <w:r w:rsidR="009B258A">
        <w:rPr>
          <w:lang w:val="fr-FR"/>
        </w:rPr>
        <w:t> </w:t>
      </w:r>
      <w:r w:rsidR="009B258A" w:rsidRPr="00882E58">
        <w:rPr>
          <w:lang w:val="fr-FR"/>
        </w:rPr>
        <w:t>20</w:t>
      </w:r>
      <w:r w:rsidRPr="00882E58">
        <w:rPr>
          <w:lang w:val="fr-FR"/>
        </w:rPr>
        <w:t>13.</w:t>
      </w:r>
      <w:r w:rsidR="00E6003E">
        <w:rPr>
          <w:lang w:val="fr-FR"/>
        </w:rPr>
        <w:t xml:space="preserve"> </w:t>
      </w:r>
      <w:r w:rsidRPr="00882E58">
        <w:rPr>
          <w:lang w:val="fr-FR"/>
        </w:rPr>
        <w:t xml:space="preserve"> En </w:t>
      </w:r>
      <w:r w:rsidR="009B258A" w:rsidRPr="00882E58">
        <w:rPr>
          <w:lang w:val="fr-FR"/>
        </w:rPr>
        <w:t>avril</w:t>
      </w:r>
      <w:r w:rsidR="009B258A">
        <w:rPr>
          <w:lang w:val="fr-FR"/>
        </w:rPr>
        <w:t> </w:t>
      </w:r>
      <w:r w:rsidR="009B258A" w:rsidRPr="00882E58">
        <w:rPr>
          <w:lang w:val="fr-FR"/>
        </w:rPr>
        <w:t>20</w:t>
      </w:r>
      <w:r w:rsidRPr="00882E58">
        <w:rPr>
          <w:lang w:val="fr-FR"/>
        </w:rPr>
        <w:t>14, le Conseil d</w:t>
      </w:r>
      <w:r w:rsidR="009B258A">
        <w:rPr>
          <w:lang w:val="fr-FR"/>
        </w:rPr>
        <w:t>’</w:t>
      </w:r>
      <w:r w:rsidRPr="00882E58">
        <w:rPr>
          <w:lang w:val="fr-FR"/>
        </w:rPr>
        <w:t>administration de l</w:t>
      </w:r>
      <w:r w:rsidR="009B258A">
        <w:rPr>
          <w:lang w:val="fr-FR"/>
        </w:rPr>
        <w:t>’</w:t>
      </w:r>
      <w:r w:rsidRPr="00882E58">
        <w:rPr>
          <w:lang w:val="fr-FR"/>
        </w:rPr>
        <w:t>ICANN a décidé d</w:t>
      </w:r>
      <w:r w:rsidR="009B258A">
        <w:rPr>
          <w:lang w:val="fr-FR"/>
        </w:rPr>
        <w:t>’</w:t>
      </w:r>
      <w:r w:rsidRPr="00882E58">
        <w:rPr>
          <w:lang w:val="fr-FR"/>
        </w:rPr>
        <w:t>adopter les recommandations du Conseil de</w:t>
      </w:r>
      <w:r w:rsidR="009B258A" w:rsidRPr="00882E58">
        <w:rPr>
          <w:lang w:val="fr-FR"/>
        </w:rPr>
        <w:t xml:space="preserve"> la</w:t>
      </w:r>
      <w:r w:rsidR="009B258A">
        <w:rPr>
          <w:lang w:val="fr-FR"/>
        </w:rPr>
        <w:t> </w:t>
      </w:r>
      <w:r w:rsidR="009B258A" w:rsidRPr="00882E58">
        <w:rPr>
          <w:lang w:val="fr-FR"/>
        </w:rPr>
        <w:t>GNS</w:t>
      </w:r>
      <w:r w:rsidRPr="00882E58">
        <w:rPr>
          <w:lang w:val="fr-FR"/>
        </w:rPr>
        <w:t>O qui n</w:t>
      </w:r>
      <w:r w:rsidR="009B258A">
        <w:rPr>
          <w:lang w:val="fr-FR"/>
        </w:rPr>
        <w:t>’</w:t>
      </w:r>
      <w:r w:rsidRPr="00882E58">
        <w:rPr>
          <w:lang w:val="fr-FR"/>
        </w:rPr>
        <w:t>allaient pas à l</w:t>
      </w:r>
      <w:r w:rsidR="009B258A">
        <w:rPr>
          <w:lang w:val="fr-FR"/>
        </w:rPr>
        <w:t>’</w:t>
      </w:r>
      <w:r w:rsidRPr="00882E58">
        <w:rPr>
          <w:lang w:val="fr-FR"/>
        </w:rPr>
        <w:t>encontre des recommandations</w:t>
      </w:r>
      <w:r w:rsidR="009B258A" w:rsidRPr="00882E58">
        <w:rPr>
          <w:lang w:val="fr-FR"/>
        </w:rPr>
        <w:t xml:space="preserve"> du</w:t>
      </w:r>
      <w:r w:rsidR="009B258A">
        <w:rPr>
          <w:lang w:val="fr-FR"/>
        </w:rPr>
        <w:t> </w:t>
      </w:r>
      <w:r w:rsidR="009B258A" w:rsidRPr="00882E58">
        <w:rPr>
          <w:lang w:val="fr-FR"/>
        </w:rPr>
        <w:t>GAC</w:t>
      </w:r>
      <w:r w:rsidRPr="00882E58">
        <w:rPr>
          <w:lang w:val="fr-FR"/>
        </w:rPr>
        <w:t>, c</w:t>
      </w:r>
      <w:r w:rsidR="009B258A">
        <w:rPr>
          <w:lang w:val="fr-FR"/>
        </w:rPr>
        <w:t>’</w:t>
      </w:r>
      <w:r w:rsidRPr="00882E58">
        <w:rPr>
          <w:lang w:val="fr-FR"/>
        </w:rPr>
        <w:t>est</w:t>
      </w:r>
      <w:r w:rsidR="00401FB8">
        <w:rPr>
          <w:lang w:val="fr-FR"/>
        </w:rPr>
        <w:noBreakHyphen/>
      </w:r>
      <w:r w:rsidRPr="00882E58">
        <w:rPr>
          <w:lang w:val="fr-FR"/>
        </w:rPr>
        <w:t>à</w:t>
      </w:r>
      <w:r w:rsidR="00401FB8">
        <w:rPr>
          <w:lang w:val="fr-FR"/>
        </w:rPr>
        <w:noBreakHyphen/>
      </w:r>
      <w:r w:rsidRPr="00882E58">
        <w:rPr>
          <w:lang w:val="fr-FR"/>
        </w:rPr>
        <w:t>dire protéger contre l</w:t>
      </w:r>
      <w:r w:rsidR="009B258A">
        <w:rPr>
          <w:lang w:val="fr-FR"/>
        </w:rPr>
        <w:t>’</w:t>
      </w:r>
      <w:r w:rsidRPr="00882E58">
        <w:rPr>
          <w:lang w:val="fr-FR"/>
        </w:rPr>
        <w:t>enregistrement les noms complets des organisations intergouvernementales aux premier et deuxième niveaux, dans deux</w:t>
      </w:r>
      <w:r w:rsidR="00E6003E">
        <w:rPr>
          <w:lang w:val="fr-FR"/>
        </w:rPr>
        <w:t> </w:t>
      </w:r>
      <w:r w:rsidRPr="00882E58">
        <w:rPr>
          <w:lang w:val="fr-FR"/>
        </w:rPr>
        <w:t>langues.</w:t>
      </w:r>
    </w:p>
    <w:p w:rsidR="008670FA" w:rsidRPr="00882E58" w:rsidRDefault="00050EF0" w:rsidP="00401FB8">
      <w:pPr>
        <w:pStyle w:val="ONUMFS"/>
        <w:rPr>
          <w:lang w:val="fr-FR"/>
        </w:rPr>
      </w:pPr>
      <w:r w:rsidRPr="00882E58">
        <w:rPr>
          <w:lang w:val="fr-FR"/>
        </w:rPr>
        <w:t>Nonobstant cette recommandation</w:t>
      </w:r>
      <w:r w:rsidR="009B258A" w:rsidRPr="00882E58">
        <w:rPr>
          <w:lang w:val="fr-FR"/>
        </w:rPr>
        <w:t xml:space="preserve"> du</w:t>
      </w:r>
      <w:r w:rsidR="009B258A">
        <w:rPr>
          <w:lang w:val="fr-FR"/>
        </w:rPr>
        <w:t> </w:t>
      </w:r>
      <w:r w:rsidR="009B258A" w:rsidRPr="00882E58">
        <w:rPr>
          <w:lang w:val="fr-FR"/>
        </w:rPr>
        <w:t>GAC</w:t>
      </w:r>
      <w:r w:rsidRPr="00882E58">
        <w:rPr>
          <w:lang w:val="fr-FR"/>
        </w:rPr>
        <w:t xml:space="preserve"> et la position des organisations intergouvernementales, en </w:t>
      </w:r>
      <w:r w:rsidR="009B258A" w:rsidRPr="00882E58">
        <w:rPr>
          <w:lang w:val="fr-FR"/>
        </w:rPr>
        <w:t>juin</w:t>
      </w:r>
      <w:r w:rsidR="009B258A">
        <w:rPr>
          <w:lang w:val="fr-FR"/>
        </w:rPr>
        <w:t> </w:t>
      </w:r>
      <w:r w:rsidR="009B258A" w:rsidRPr="00882E58">
        <w:rPr>
          <w:lang w:val="fr-FR"/>
        </w:rPr>
        <w:t>20</w:t>
      </w:r>
      <w:r w:rsidRPr="00882E58">
        <w:rPr>
          <w:lang w:val="fr-FR"/>
        </w:rPr>
        <w:t>14 le Conseil de</w:t>
      </w:r>
      <w:r w:rsidR="009B258A" w:rsidRPr="00882E58">
        <w:rPr>
          <w:lang w:val="fr-FR"/>
        </w:rPr>
        <w:t xml:space="preserve"> la</w:t>
      </w:r>
      <w:r w:rsidR="009B258A">
        <w:rPr>
          <w:lang w:val="fr-FR"/>
        </w:rPr>
        <w:t> </w:t>
      </w:r>
      <w:r w:rsidR="009B258A" w:rsidRPr="00882E58">
        <w:rPr>
          <w:lang w:val="fr-FR"/>
        </w:rPr>
        <w:t>GNS</w:t>
      </w:r>
      <w:r w:rsidRPr="00882E58">
        <w:rPr>
          <w:lang w:val="fr-FR"/>
        </w:rPr>
        <w:t>O a voté en faveur du lancement d</w:t>
      </w:r>
      <w:r w:rsidR="009B258A">
        <w:rPr>
          <w:lang w:val="fr-FR"/>
        </w:rPr>
        <w:t>’</w:t>
      </w:r>
      <w:r w:rsidRPr="00882E58">
        <w:rPr>
          <w:lang w:val="fr-FR"/>
        </w:rPr>
        <w:t>un deuxième processus d</w:t>
      </w:r>
      <w:r w:rsidR="009B258A">
        <w:rPr>
          <w:lang w:val="fr-FR"/>
        </w:rPr>
        <w:t>’</w:t>
      </w:r>
      <w:r w:rsidRPr="00882E58">
        <w:rPr>
          <w:lang w:val="fr-FR"/>
        </w:rPr>
        <w:t>élaboration de politique sur l</w:t>
      </w:r>
      <w:r w:rsidR="009B258A">
        <w:rPr>
          <w:lang w:val="fr-FR"/>
        </w:rPr>
        <w:t>’</w:t>
      </w:r>
      <w:r w:rsidRPr="00882E58">
        <w:rPr>
          <w:lang w:val="fr-FR"/>
        </w:rPr>
        <w:t>opportunité de donner aux organisations intergouvernementales l</w:t>
      </w:r>
      <w:r w:rsidR="009B258A">
        <w:rPr>
          <w:lang w:val="fr-FR"/>
        </w:rPr>
        <w:t>’</w:t>
      </w:r>
      <w:r w:rsidRPr="00882E58">
        <w:rPr>
          <w:lang w:val="fr-FR"/>
        </w:rPr>
        <w:t>accès à des mécanismes défensifs de protection des droits (tels que les principes UDRP ou les mécanismes de suspension uniforme rapide) pour lutter contre l</w:t>
      </w:r>
      <w:r w:rsidR="009B258A">
        <w:rPr>
          <w:lang w:val="fr-FR"/>
        </w:rPr>
        <w:t>’</w:t>
      </w:r>
      <w:r w:rsidRPr="00882E58">
        <w:rPr>
          <w:lang w:val="fr-FR"/>
        </w:rPr>
        <w:t>enregistrement abusif de sigles d</w:t>
      </w:r>
      <w:r w:rsidR="009B258A">
        <w:rPr>
          <w:lang w:val="fr-FR"/>
        </w:rPr>
        <w:t>’</w:t>
      </w:r>
      <w:r w:rsidRPr="00882E58">
        <w:rPr>
          <w:lang w:val="fr-FR"/>
        </w:rPr>
        <w:t>organisations intergouvernementales ou des noms complets des organisations intergouvernementales qui ne sont pas couverts par l</w:t>
      </w:r>
      <w:r w:rsidR="009B258A">
        <w:rPr>
          <w:lang w:val="fr-FR"/>
        </w:rPr>
        <w:t>’</w:t>
      </w:r>
      <w:r w:rsidRPr="00882E58">
        <w:rPr>
          <w:lang w:val="fr-FR"/>
        </w:rPr>
        <w:t>exclusion susmentionn</w:t>
      </w:r>
      <w:r w:rsidR="0090772B" w:rsidRPr="00882E58">
        <w:rPr>
          <w:lang w:val="fr-FR"/>
        </w:rPr>
        <w:t>ée</w:t>
      </w:r>
      <w:r w:rsidR="0090772B">
        <w:rPr>
          <w:lang w:val="fr-FR"/>
        </w:rPr>
        <w:t xml:space="preserve">.  </w:t>
      </w:r>
      <w:r w:rsidR="0090772B" w:rsidRPr="00882E58">
        <w:rPr>
          <w:lang w:val="fr-FR"/>
        </w:rPr>
        <w:t>Ce</w:t>
      </w:r>
      <w:r w:rsidRPr="00882E58">
        <w:rPr>
          <w:lang w:val="fr-FR"/>
        </w:rPr>
        <w:t>tte question a fait l</w:t>
      </w:r>
      <w:r w:rsidR="009B258A">
        <w:rPr>
          <w:lang w:val="fr-FR"/>
        </w:rPr>
        <w:t>’</w:t>
      </w:r>
      <w:r w:rsidRPr="00882E58">
        <w:rPr>
          <w:lang w:val="fr-FR"/>
        </w:rPr>
        <w:t xml:space="preserve">objet de discussions de politique générale prolongées, </w:t>
      </w:r>
      <w:r w:rsidR="009B258A">
        <w:rPr>
          <w:lang w:val="fr-FR"/>
        </w:rPr>
        <w:t>y compris</w:t>
      </w:r>
      <w:r w:rsidRPr="00882E58">
        <w:rPr>
          <w:lang w:val="fr-FR"/>
        </w:rPr>
        <w:t xml:space="preserve"> à toutes les réunions ultérieures de l</w:t>
      </w:r>
      <w:r w:rsidR="009B258A">
        <w:rPr>
          <w:lang w:val="fr-FR"/>
        </w:rPr>
        <w:t>’</w:t>
      </w:r>
      <w:r w:rsidRPr="00882E58">
        <w:rPr>
          <w:lang w:val="fr-FR"/>
        </w:rPr>
        <w:t>ICANN;  pour autant, la recommandation finale de</w:t>
      </w:r>
      <w:r w:rsidR="009B258A" w:rsidRPr="00882E58">
        <w:rPr>
          <w:lang w:val="fr-FR"/>
        </w:rPr>
        <w:t xml:space="preserve"> la</w:t>
      </w:r>
      <w:r w:rsidR="009B258A">
        <w:rPr>
          <w:lang w:val="fr-FR"/>
        </w:rPr>
        <w:t> </w:t>
      </w:r>
      <w:r w:rsidR="009B258A" w:rsidRPr="00882E58">
        <w:rPr>
          <w:lang w:val="fr-FR"/>
        </w:rPr>
        <w:t>GNS</w:t>
      </w:r>
      <w:r w:rsidRPr="00882E58">
        <w:rPr>
          <w:lang w:val="fr-FR"/>
        </w:rPr>
        <w:t xml:space="preserve">O </w:t>
      </w:r>
      <w:r w:rsidR="0060587A">
        <w:rPr>
          <w:lang w:val="fr-FR"/>
        </w:rPr>
        <w:t>se fait attendre</w:t>
      </w:r>
      <w:r w:rsidR="0090772B">
        <w:rPr>
          <w:lang w:val="fr-FR"/>
        </w:rPr>
        <w:t xml:space="preserve">.  </w:t>
      </w:r>
      <w:r w:rsidR="0090772B" w:rsidRPr="00882E58">
        <w:rPr>
          <w:lang w:val="fr-FR"/>
        </w:rPr>
        <w:t>Ce</w:t>
      </w:r>
      <w:r w:rsidR="004C0DE0" w:rsidRPr="00882E58">
        <w:rPr>
          <w:lang w:val="fr-FR"/>
        </w:rPr>
        <w:t>pendant, il a été réaffirmé par</w:t>
      </w:r>
      <w:r w:rsidR="009B258A" w:rsidRPr="00882E58">
        <w:rPr>
          <w:lang w:val="fr-FR"/>
        </w:rPr>
        <w:t xml:space="preserve"> le</w:t>
      </w:r>
      <w:r w:rsidR="009B258A">
        <w:rPr>
          <w:lang w:val="fr-FR"/>
        </w:rPr>
        <w:t> </w:t>
      </w:r>
      <w:r w:rsidR="009B258A" w:rsidRPr="00882E58">
        <w:rPr>
          <w:lang w:val="fr-FR"/>
        </w:rPr>
        <w:t>GAC</w:t>
      </w:r>
      <w:r w:rsidR="004C0DE0" w:rsidRPr="00882E58">
        <w:rPr>
          <w:lang w:val="fr-FR"/>
        </w:rPr>
        <w:t xml:space="preserve"> que tout mécanisme de protection des droits propre aux organisations intergouvernementales inspiré des principes UDRP existants devra tenir compte du statut de ces organisations en droit international sans </w:t>
      </w:r>
      <w:r w:rsidR="004C0DE0" w:rsidRPr="00882E58">
        <w:rPr>
          <w:lang w:val="fr-FR"/>
        </w:rPr>
        <w:lastRenderedPageBreak/>
        <w:t>modifier les principes UDRP existan</w:t>
      </w:r>
      <w:r w:rsidR="0090772B" w:rsidRPr="00882E58">
        <w:rPr>
          <w:lang w:val="fr-FR"/>
        </w:rPr>
        <w:t>ts</w:t>
      </w:r>
      <w:r w:rsidR="0090772B">
        <w:rPr>
          <w:lang w:val="fr-FR"/>
        </w:rPr>
        <w:t xml:space="preserve">.  </w:t>
      </w:r>
      <w:r w:rsidR="0090772B" w:rsidRPr="00882E58">
        <w:rPr>
          <w:lang w:val="fr-FR"/>
        </w:rPr>
        <w:t>Le</w:t>
      </w:r>
      <w:r w:rsidR="004C0DE0" w:rsidRPr="00882E58">
        <w:rPr>
          <w:lang w:val="fr-FR"/>
        </w:rPr>
        <w:t xml:space="preserve"> Conseil d</w:t>
      </w:r>
      <w:r w:rsidR="009B258A">
        <w:rPr>
          <w:lang w:val="fr-FR"/>
        </w:rPr>
        <w:t>’</w:t>
      </w:r>
      <w:r w:rsidR="004C0DE0" w:rsidRPr="00882E58">
        <w:rPr>
          <w:lang w:val="fr-FR"/>
        </w:rPr>
        <w:t>administration de l</w:t>
      </w:r>
      <w:r w:rsidR="009B258A">
        <w:rPr>
          <w:lang w:val="fr-FR"/>
        </w:rPr>
        <w:t>’</w:t>
      </w:r>
      <w:r w:rsidR="004C0DE0" w:rsidRPr="00882E58">
        <w:rPr>
          <w:lang w:val="fr-FR"/>
        </w:rPr>
        <w:t>ICANN a également entériné l</w:t>
      </w:r>
      <w:r w:rsidR="009B258A">
        <w:rPr>
          <w:lang w:val="fr-FR"/>
        </w:rPr>
        <w:t>’</w:t>
      </w:r>
      <w:r w:rsidR="004C0DE0" w:rsidRPr="00882E58">
        <w:rPr>
          <w:lang w:val="fr-FR"/>
        </w:rPr>
        <w:t>avis précédent</w:t>
      </w:r>
      <w:r w:rsidR="009B258A" w:rsidRPr="00882E58">
        <w:rPr>
          <w:lang w:val="fr-FR"/>
        </w:rPr>
        <w:t xml:space="preserve"> du</w:t>
      </w:r>
      <w:r w:rsidR="009B258A">
        <w:rPr>
          <w:lang w:val="fr-FR"/>
        </w:rPr>
        <w:t> </w:t>
      </w:r>
      <w:r w:rsidR="009B258A" w:rsidRPr="00882E58">
        <w:rPr>
          <w:lang w:val="fr-FR"/>
        </w:rPr>
        <w:t>GAC</w:t>
      </w:r>
      <w:r w:rsidR="004C0DE0" w:rsidRPr="00882E58">
        <w:rPr>
          <w:lang w:val="fr-FR"/>
        </w:rPr>
        <w:t xml:space="preserve"> concernant la nécessité de protéger les sigles d</w:t>
      </w:r>
      <w:r w:rsidR="009B258A">
        <w:rPr>
          <w:lang w:val="fr-FR"/>
        </w:rPr>
        <w:t>’</w:t>
      </w:r>
      <w:r w:rsidR="004C0DE0" w:rsidRPr="00882E58">
        <w:rPr>
          <w:lang w:val="fr-FR"/>
        </w:rPr>
        <w:t>organisations intergouvernementales dans</w:t>
      </w:r>
      <w:r w:rsidR="009B258A" w:rsidRPr="00882E58">
        <w:rPr>
          <w:lang w:val="fr-FR"/>
        </w:rPr>
        <w:t xml:space="preserve"> le</w:t>
      </w:r>
      <w:r w:rsidR="009B258A">
        <w:rPr>
          <w:lang w:val="fr-FR"/>
        </w:rPr>
        <w:t> </w:t>
      </w:r>
      <w:r w:rsidR="009B258A" w:rsidRPr="00882E58">
        <w:rPr>
          <w:lang w:val="fr-FR"/>
        </w:rPr>
        <w:t>DNS</w:t>
      </w:r>
      <w:r w:rsidR="004C0DE0" w:rsidRPr="00882E58">
        <w:rPr>
          <w:rStyle w:val="FootnoteReference"/>
          <w:szCs w:val="22"/>
          <w:lang w:val="fr-FR"/>
        </w:rPr>
        <w:footnoteReference w:id="66"/>
      </w:r>
      <w:r w:rsidR="004C0DE0" w:rsidRPr="00882E58">
        <w:rPr>
          <w:lang w:val="fr-FR"/>
        </w:rPr>
        <w:t>.</w:t>
      </w:r>
      <w:r w:rsidR="00F83CEE" w:rsidRPr="00882E58">
        <w:rPr>
          <w:lang w:val="fr-FR"/>
        </w:rPr>
        <w:t xml:space="preserve"> </w:t>
      </w:r>
      <w:r w:rsidR="00E6003E">
        <w:rPr>
          <w:lang w:val="fr-FR"/>
        </w:rPr>
        <w:t xml:space="preserve"> </w:t>
      </w:r>
      <w:r w:rsidR="004C0DE0" w:rsidRPr="00882E58">
        <w:rPr>
          <w:lang w:val="fr-FR"/>
        </w:rPr>
        <w:t>Avec les autres organisations intergouvernementales concernées, le Centre continue de suivre de près l</w:t>
      </w:r>
      <w:r w:rsidR="009B258A">
        <w:rPr>
          <w:lang w:val="fr-FR"/>
        </w:rPr>
        <w:t>’</w:t>
      </w:r>
      <w:r w:rsidR="004C0DE0" w:rsidRPr="00882E58">
        <w:rPr>
          <w:lang w:val="fr-FR"/>
        </w:rPr>
        <w:t>évolution de ce dossier de longue date de l</w:t>
      </w:r>
      <w:r w:rsidR="009B258A">
        <w:rPr>
          <w:lang w:val="fr-FR"/>
        </w:rPr>
        <w:t>’</w:t>
      </w:r>
      <w:r w:rsidR="004C0DE0" w:rsidRPr="00882E58">
        <w:rPr>
          <w:lang w:val="fr-FR"/>
        </w:rPr>
        <w:t>IC</w:t>
      </w:r>
      <w:r w:rsidR="0090772B" w:rsidRPr="00882E58">
        <w:rPr>
          <w:lang w:val="fr-FR"/>
        </w:rPr>
        <w:t>ANN</w:t>
      </w:r>
      <w:r w:rsidR="0090772B">
        <w:rPr>
          <w:lang w:val="fr-FR"/>
        </w:rPr>
        <w:t xml:space="preserve">.  </w:t>
      </w:r>
      <w:r w:rsidR="0090772B" w:rsidRPr="00882E58">
        <w:rPr>
          <w:lang w:val="fr-FR"/>
        </w:rPr>
        <w:t>En</w:t>
      </w:r>
      <w:r w:rsidR="004C0DE0" w:rsidRPr="00882E58">
        <w:rPr>
          <w:lang w:val="fr-FR"/>
        </w:rPr>
        <w:t xml:space="preserve"> fin de compte, le Conseil d</w:t>
      </w:r>
      <w:r w:rsidR="009B258A">
        <w:rPr>
          <w:lang w:val="fr-FR"/>
        </w:rPr>
        <w:t>’</w:t>
      </w:r>
      <w:r w:rsidR="004C0DE0" w:rsidRPr="00882E58">
        <w:rPr>
          <w:lang w:val="fr-FR"/>
        </w:rPr>
        <w:t>administration de l</w:t>
      </w:r>
      <w:r w:rsidR="009B258A">
        <w:rPr>
          <w:lang w:val="fr-FR"/>
        </w:rPr>
        <w:t>’</w:t>
      </w:r>
      <w:r w:rsidR="004C0DE0" w:rsidRPr="00882E58">
        <w:rPr>
          <w:lang w:val="fr-FR"/>
        </w:rPr>
        <w:t>ICANN peut être appelé à concilier les divergences entre les recommandations</w:t>
      </w:r>
      <w:r w:rsidR="009B258A" w:rsidRPr="00882E58">
        <w:rPr>
          <w:lang w:val="fr-FR"/>
        </w:rPr>
        <w:t xml:space="preserve"> du</w:t>
      </w:r>
      <w:r w:rsidR="009B258A">
        <w:rPr>
          <w:lang w:val="fr-FR"/>
        </w:rPr>
        <w:t> </w:t>
      </w:r>
      <w:r w:rsidR="009B258A" w:rsidRPr="00882E58">
        <w:rPr>
          <w:lang w:val="fr-FR"/>
        </w:rPr>
        <w:t>GAC</w:t>
      </w:r>
      <w:r w:rsidR="004C0DE0" w:rsidRPr="00882E58">
        <w:rPr>
          <w:lang w:val="fr-FR"/>
        </w:rPr>
        <w:t xml:space="preserve"> et celles de</w:t>
      </w:r>
      <w:r w:rsidR="009B258A" w:rsidRPr="00882E58">
        <w:rPr>
          <w:lang w:val="fr-FR"/>
        </w:rPr>
        <w:t xml:space="preserve"> la</w:t>
      </w:r>
      <w:r w:rsidR="009B258A">
        <w:rPr>
          <w:lang w:val="fr-FR"/>
        </w:rPr>
        <w:t> </w:t>
      </w:r>
      <w:r w:rsidR="009B258A" w:rsidRPr="00882E58">
        <w:rPr>
          <w:lang w:val="fr-FR"/>
        </w:rPr>
        <w:t>GNS</w:t>
      </w:r>
      <w:r w:rsidR="004C0DE0" w:rsidRPr="00882E58">
        <w:rPr>
          <w:lang w:val="fr-FR"/>
        </w:rPr>
        <w:t>O en ce qui concerne les mécanismes de protection des droits des organisations intergouvernementales.</w:t>
      </w:r>
    </w:p>
    <w:p w:rsidR="008670FA" w:rsidRPr="00882E58" w:rsidRDefault="000A106F" w:rsidP="000A106F">
      <w:pPr>
        <w:pStyle w:val="Heading3"/>
        <w:ind w:left="1701" w:hanging="567"/>
        <w:rPr>
          <w:lang w:val="fr-FR"/>
        </w:rPr>
      </w:pPr>
      <w:r w:rsidRPr="00882E58">
        <w:rPr>
          <w:lang w:val="fr-FR"/>
        </w:rPr>
        <w:t>Noms géographiques</w:t>
      </w:r>
    </w:p>
    <w:p w:rsidR="009B258A" w:rsidRDefault="000A106F" w:rsidP="00401FB8">
      <w:pPr>
        <w:pStyle w:val="ONUMFS"/>
        <w:rPr>
          <w:lang w:val="fr-FR"/>
        </w:rPr>
      </w:pPr>
      <w:r w:rsidRPr="00882E58">
        <w:rPr>
          <w:lang w:val="fr-FR"/>
        </w:rPr>
        <w:t>En ce qui concerne les noms géographiques,</w:t>
      </w:r>
      <w:r w:rsidR="009B258A" w:rsidRPr="00882E58">
        <w:rPr>
          <w:lang w:val="fr-FR"/>
        </w:rPr>
        <w:t xml:space="preserve"> le</w:t>
      </w:r>
      <w:r w:rsidR="009B258A">
        <w:rPr>
          <w:lang w:val="fr-FR"/>
        </w:rPr>
        <w:t> </w:t>
      </w:r>
      <w:r w:rsidR="009B258A" w:rsidRPr="00882E58">
        <w:rPr>
          <w:lang w:val="fr-FR"/>
        </w:rPr>
        <w:t>GAC</w:t>
      </w:r>
      <w:r w:rsidRPr="00882E58">
        <w:rPr>
          <w:lang w:val="fr-FR"/>
        </w:rPr>
        <w:t xml:space="preserve"> en particulier a exprimé des préoccupations quant à leur utilisation et leur protection dans les nouveaux gTLD</w:t>
      </w:r>
      <w:r w:rsidRPr="00882E58">
        <w:rPr>
          <w:rStyle w:val="FootnoteReference"/>
          <w:szCs w:val="22"/>
          <w:lang w:val="fr-FR"/>
        </w:rPr>
        <w:footnoteReference w:id="67"/>
      </w:r>
      <w:r w:rsidRPr="00882E58">
        <w:rPr>
          <w:lang w:val="fr-FR"/>
        </w:rPr>
        <w:t>.</w:t>
      </w:r>
      <w:r w:rsidR="00F83CEE" w:rsidRPr="00882E58">
        <w:rPr>
          <w:lang w:val="fr-FR"/>
        </w:rPr>
        <w:t xml:space="preserve"> </w:t>
      </w:r>
      <w:r w:rsidR="00E6003E">
        <w:rPr>
          <w:lang w:val="fr-FR"/>
        </w:rPr>
        <w:t xml:space="preserve"> </w:t>
      </w:r>
      <w:r w:rsidRPr="00882E58">
        <w:rPr>
          <w:lang w:val="fr-FR"/>
        </w:rPr>
        <w:t>Pour le premier niveau</w:t>
      </w:r>
      <w:r w:rsidRPr="00882E58">
        <w:rPr>
          <w:rStyle w:val="FootnoteReference"/>
          <w:szCs w:val="22"/>
          <w:lang w:val="fr-FR"/>
        </w:rPr>
        <w:footnoteReference w:id="68"/>
      </w:r>
      <w:r w:rsidRPr="00882E58">
        <w:rPr>
          <w:lang w:val="fr-FR"/>
        </w:rPr>
        <w:t>, le Guide de candidature de l</w:t>
      </w:r>
      <w:r w:rsidR="009B258A">
        <w:rPr>
          <w:lang w:val="fr-FR"/>
        </w:rPr>
        <w:t>’</w:t>
      </w:r>
      <w:r w:rsidRPr="00882E58">
        <w:rPr>
          <w:lang w:val="fr-FR"/>
        </w:rPr>
        <w:t xml:space="preserve">ICANN stipule que </w:t>
      </w:r>
      <w:r w:rsidR="00882E58">
        <w:rPr>
          <w:lang w:val="fr-FR"/>
        </w:rPr>
        <w:t>“</w:t>
      </w:r>
      <w:r w:rsidRPr="00882E58">
        <w:rPr>
          <w:lang w:val="fr-FR"/>
        </w:rPr>
        <w:t>les demandes portant sur des chaînes de caractères qui sont des noms de pays ou de territoires ne seront pas approuvées car elles ne sont pas prévues dans le programme relatif aux nouveaux gTLD pour cette série de demandes</w:t>
      </w:r>
      <w:r w:rsidR="00882E58">
        <w:rPr>
          <w:lang w:val="fr-FR"/>
        </w:rPr>
        <w:t>”</w:t>
      </w:r>
      <w:r w:rsidRPr="00882E58">
        <w:rPr>
          <w:rStyle w:val="FootnoteReference"/>
          <w:szCs w:val="22"/>
          <w:lang w:val="fr-FR"/>
        </w:rPr>
        <w:footnoteReference w:id="69"/>
      </w:r>
      <w:r w:rsidRPr="00882E58">
        <w:rPr>
          <w:lang w:val="fr-FR"/>
        </w:rPr>
        <w:t>.  Les chaînes de caractères présentées à l</w:t>
      </w:r>
      <w:r w:rsidR="009B258A">
        <w:rPr>
          <w:lang w:val="fr-FR"/>
        </w:rPr>
        <w:t>’</w:t>
      </w:r>
      <w:r w:rsidRPr="00882E58">
        <w:rPr>
          <w:lang w:val="fr-FR"/>
        </w:rPr>
        <w:t>enregistrement que l</w:t>
      </w:r>
      <w:r w:rsidR="009B258A">
        <w:rPr>
          <w:lang w:val="fr-FR"/>
        </w:rPr>
        <w:t>’</w:t>
      </w:r>
      <w:r w:rsidRPr="00882E58">
        <w:rPr>
          <w:lang w:val="fr-FR"/>
        </w:rPr>
        <w:t xml:space="preserve">ICANN </w:t>
      </w:r>
      <w:proofErr w:type="gramStart"/>
      <w:r w:rsidRPr="00882E58">
        <w:rPr>
          <w:lang w:val="fr-FR"/>
        </w:rPr>
        <w:t>considère</w:t>
      </w:r>
      <w:proofErr w:type="gramEnd"/>
      <w:r w:rsidRPr="00882E58">
        <w:rPr>
          <w:lang w:val="fr-FR"/>
        </w:rPr>
        <w:t xml:space="preserve"> comme correspondant à d</w:t>
      </w:r>
      <w:r w:rsidR="009B258A">
        <w:rPr>
          <w:lang w:val="fr-FR"/>
        </w:rPr>
        <w:t>’</w:t>
      </w:r>
      <w:r w:rsidRPr="00882E58">
        <w:rPr>
          <w:lang w:val="fr-FR"/>
        </w:rPr>
        <w:t>autres désignations géographiques, par exemple des noms de capitales, doivent être accompagnées de pièces justificatives ou d</w:t>
      </w:r>
      <w:r w:rsidR="009B258A">
        <w:rPr>
          <w:lang w:val="fr-FR"/>
        </w:rPr>
        <w:t>’</w:t>
      </w:r>
      <w:r w:rsidRPr="00882E58">
        <w:rPr>
          <w:lang w:val="fr-FR"/>
        </w:rPr>
        <w:t>une attestation de non</w:t>
      </w:r>
      <w:r w:rsidR="00401FB8">
        <w:rPr>
          <w:lang w:val="fr-FR"/>
        </w:rPr>
        <w:noBreakHyphen/>
      </w:r>
      <w:r w:rsidRPr="00882E58">
        <w:rPr>
          <w:lang w:val="fr-FR"/>
        </w:rPr>
        <w:t>objection des gouvernements ou autorités publiques concernés</w:t>
      </w:r>
      <w:r w:rsidRPr="00882E58">
        <w:rPr>
          <w:rStyle w:val="FootnoteReference"/>
          <w:szCs w:val="22"/>
          <w:lang w:val="fr-FR"/>
        </w:rPr>
        <w:footnoteReference w:id="70"/>
      </w:r>
      <w:r w:rsidRPr="00882E58">
        <w:rPr>
          <w:lang w:val="fr-FR"/>
        </w:rPr>
        <w:t>.</w:t>
      </w:r>
    </w:p>
    <w:p w:rsidR="008670FA" w:rsidRPr="00882E58" w:rsidRDefault="000A106F" w:rsidP="00401FB8">
      <w:pPr>
        <w:pStyle w:val="ONUMFS"/>
        <w:rPr>
          <w:lang w:val="fr-FR"/>
        </w:rPr>
      </w:pPr>
      <w:r w:rsidRPr="00882E58">
        <w:rPr>
          <w:lang w:val="fr-FR"/>
        </w:rPr>
        <w:t>Les membres</w:t>
      </w:r>
      <w:r w:rsidR="009B258A" w:rsidRPr="00882E58">
        <w:rPr>
          <w:lang w:val="fr-FR"/>
        </w:rPr>
        <w:t xml:space="preserve"> du</w:t>
      </w:r>
      <w:r w:rsidR="009B258A">
        <w:rPr>
          <w:lang w:val="fr-FR"/>
        </w:rPr>
        <w:t> </w:t>
      </w:r>
      <w:r w:rsidR="009B258A" w:rsidRPr="00882E58">
        <w:rPr>
          <w:lang w:val="fr-FR"/>
        </w:rPr>
        <w:t>GAC</w:t>
      </w:r>
      <w:r w:rsidRPr="00882E58">
        <w:rPr>
          <w:lang w:val="fr-FR"/>
        </w:rPr>
        <w:t xml:space="preserve"> ont exprimé d</w:t>
      </w:r>
      <w:r w:rsidR="009B258A">
        <w:rPr>
          <w:lang w:val="fr-FR"/>
        </w:rPr>
        <w:t>’</w:t>
      </w:r>
      <w:r w:rsidRPr="00882E58">
        <w:rPr>
          <w:lang w:val="fr-FR"/>
        </w:rPr>
        <w:t>autres réserves concernant un certain nombre de demandes portant sur de nouveaux gTLD pour cause de correspondance avec des termes géographiques ou d</w:t>
      </w:r>
      <w:r w:rsidR="009B258A">
        <w:rPr>
          <w:lang w:val="fr-FR"/>
        </w:rPr>
        <w:t>’</w:t>
      </w:r>
      <w:r w:rsidRPr="00882E58">
        <w:rPr>
          <w:lang w:val="fr-FR"/>
        </w:rPr>
        <w:t xml:space="preserve">autres termes </w:t>
      </w:r>
      <w:r w:rsidR="00882E58">
        <w:rPr>
          <w:lang w:val="fr-FR"/>
        </w:rPr>
        <w:t>“</w:t>
      </w:r>
      <w:r w:rsidRPr="00882E58">
        <w:rPr>
          <w:lang w:val="fr-FR"/>
        </w:rPr>
        <w:t>sensibles</w:t>
      </w:r>
      <w:r w:rsidR="00882E58">
        <w:rPr>
          <w:lang w:val="fr-FR"/>
        </w:rPr>
        <w:t>”</w:t>
      </w:r>
      <w:r w:rsidRPr="00882E58">
        <w:rPr>
          <w:lang w:val="fr-FR"/>
        </w:rPr>
        <w:t>, recommandant au Conseil d</w:t>
      </w:r>
      <w:r w:rsidR="009B258A">
        <w:rPr>
          <w:lang w:val="fr-FR"/>
        </w:rPr>
        <w:t>’</w:t>
      </w:r>
      <w:r w:rsidRPr="00882E58">
        <w:rPr>
          <w:lang w:val="fr-FR"/>
        </w:rPr>
        <w:t>administration de l</w:t>
      </w:r>
      <w:r w:rsidR="009B258A">
        <w:rPr>
          <w:lang w:val="fr-FR"/>
        </w:rPr>
        <w:t>’</w:t>
      </w:r>
      <w:r w:rsidRPr="00882E58">
        <w:rPr>
          <w:lang w:val="fr-FR"/>
        </w:rPr>
        <w:t>ICANN de ne pas aller au</w:t>
      </w:r>
      <w:r w:rsidR="00401FB8">
        <w:rPr>
          <w:lang w:val="fr-FR"/>
        </w:rPr>
        <w:noBreakHyphen/>
      </w:r>
      <w:r w:rsidRPr="00882E58">
        <w:rPr>
          <w:lang w:val="fr-FR"/>
        </w:rPr>
        <w:t>delà d</w:t>
      </w:r>
      <w:r w:rsidR="009B258A">
        <w:rPr>
          <w:lang w:val="fr-FR"/>
        </w:rPr>
        <w:t>’</w:t>
      </w:r>
      <w:r w:rsidRPr="00882E58">
        <w:rPr>
          <w:lang w:val="fr-FR"/>
        </w:rPr>
        <w:t>une évaluation initiale et demandant des précisions au Conseil sur la possibilité pour les candidats de modifier les demandes portant sur de nouveaux gTLD afin de tenir compte des préoccupations particulières</w:t>
      </w:r>
      <w:r w:rsidR="009B258A" w:rsidRPr="00882E58">
        <w:rPr>
          <w:lang w:val="fr-FR"/>
        </w:rPr>
        <w:t xml:space="preserve"> du</w:t>
      </w:r>
      <w:r w:rsidR="009B258A">
        <w:rPr>
          <w:lang w:val="fr-FR"/>
        </w:rPr>
        <w:t> </w:t>
      </w:r>
      <w:r w:rsidR="009B258A" w:rsidRPr="00882E58">
        <w:rPr>
          <w:lang w:val="fr-FR"/>
        </w:rPr>
        <w:t>GAC</w:t>
      </w:r>
      <w:r w:rsidRPr="00882E58">
        <w:rPr>
          <w:rStyle w:val="FootnoteReference"/>
          <w:szCs w:val="22"/>
          <w:lang w:val="fr-FR"/>
        </w:rPr>
        <w:footnoteReference w:id="71"/>
      </w:r>
      <w:r w:rsidRPr="00882E58">
        <w:rPr>
          <w:lang w:val="fr-FR"/>
        </w:rPr>
        <w:t>.</w:t>
      </w:r>
    </w:p>
    <w:p w:rsidR="009B258A" w:rsidRDefault="000A106F" w:rsidP="00401FB8">
      <w:pPr>
        <w:pStyle w:val="ONUMFS"/>
        <w:rPr>
          <w:lang w:val="fr-FR"/>
        </w:rPr>
      </w:pPr>
      <w:r w:rsidRPr="00882E58">
        <w:rPr>
          <w:lang w:val="fr-FR"/>
        </w:rPr>
        <w:t xml:space="preserve">En </w:t>
      </w:r>
      <w:r w:rsidR="009B258A" w:rsidRPr="00882E58">
        <w:rPr>
          <w:lang w:val="fr-FR"/>
        </w:rPr>
        <w:t>décembre</w:t>
      </w:r>
      <w:r w:rsidR="009B258A">
        <w:rPr>
          <w:lang w:val="fr-FR"/>
        </w:rPr>
        <w:t> </w:t>
      </w:r>
      <w:r w:rsidR="009B258A" w:rsidRPr="00882E58">
        <w:rPr>
          <w:lang w:val="fr-FR"/>
        </w:rPr>
        <w:t>20</w:t>
      </w:r>
      <w:r w:rsidRPr="00882E58">
        <w:rPr>
          <w:lang w:val="fr-FR"/>
        </w:rPr>
        <w:t>16, l</w:t>
      </w:r>
      <w:r w:rsidR="009B258A">
        <w:rPr>
          <w:lang w:val="fr-FR"/>
        </w:rPr>
        <w:t>’</w:t>
      </w:r>
      <w:r w:rsidRPr="00882E58">
        <w:rPr>
          <w:lang w:val="fr-FR"/>
        </w:rPr>
        <w:t>ICANN a autorisé l</w:t>
      </w:r>
      <w:r w:rsidR="009B258A">
        <w:rPr>
          <w:lang w:val="fr-FR"/>
        </w:rPr>
        <w:t>’</w:t>
      </w:r>
      <w:r w:rsidRPr="00882E58">
        <w:rPr>
          <w:lang w:val="fr-FR"/>
        </w:rPr>
        <w:t>ouverture à l</w:t>
      </w:r>
      <w:r w:rsidR="009B258A">
        <w:rPr>
          <w:lang w:val="fr-FR"/>
        </w:rPr>
        <w:t>’</w:t>
      </w:r>
      <w:r w:rsidRPr="00882E58">
        <w:rPr>
          <w:lang w:val="fr-FR"/>
        </w:rPr>
        <w:t>enregistrement de tous les noms de domaine à deux</w:t>
      </w:r>
      <w:r w:rsidR="00E6003E">
        <w:rPr>
          <w:lang w:val="fr-FR"/>
        </w:rPr>
        <w:t> </w:t>
      </w:r>
      <w:r w:rsidRPr="00882E58">
        <w:rPr>
          <w:lang w:val="fr-FR"/>
        </w:rPr>
        <w:t>caractères précédemment réservés au deuxième niveau des nouveaux gTLD sous réserve que les administrateurs des services d</w:t>
      </w:r>
      <w:r w:rsidR="009B258A">
        <w:rPr>
          <w:lang w:val="fr-FR"/>
        </w:rPr>
        <w:t>’</w:t>
      </w:r>
      <w:r w:rsidRPr="00882E58">
        <w:rPr>
          <w:lang w:val="fr-FR"/>
        </w:rPr>
        <w:t>enregistrement accordent préalablement aux gouvernements respectifs un délai de 30</w:t>
      </w:r>
      <w:r w:rsidR="00401FB8">
        <w:rPr>
          <w:lang w:val="fr-FR"/>
        </w:rPr>
        <w:t> </w:t>
      </w:r>
      <w:r w:rsidRPr="00882E58">
        <w:rPr>
          <w:lang w:val="fr-FR"/>
        </w:rPr>
        <w:t>jours pour l</w:t>
      </w:r>
      <w:r w:rsidR="009B258A">
        <w:rPr>
          <w:lang w:val="fr-FR"/>
        </w:rPr>
        <w:t>’</w:t>
      </w:r>
      <w:r w:rsidRPr="00882E58">
        <w:rPr>
          <w:lang w:val="fr-FR"/>
        </w:rPr>
        <w:t>acq</w:t>
      </w:r>
      <w:r w:rsidR="007D0EB6">
        <w:rPr>
          <w:lang w:val="fr-FR"/>
        </w:rPr>
        <w:t>uisition de ces noms de domaine,</w:t>
      </w:r>
      <w:r w:rsidRPr="00882E58">
        <w:rPr>
          <w:lang w:val="fr-FR"/>
        </w:rPr>
        <w:t xml:space="preserve"> </w:t>
      </w:r>
      <w:r w:rsidRPr="00882E58">
        <w:rPr>
          <w:lang w:val="fr-FR"/>
        </w:rPr>
        <w:lastRenderedPageBreak/>
        <w:t>qu</w:t>
      </w:r>
      <w:r w:rsidR="009B258A">
        <w:rPr>
          <w:lang w:val="fr-FR"/>
        </w:rPr>
        <w:t>’</w:t>
      </w:r>
      <w:r w:rsidRPr="00882E58">
        <w:rPr>
          <w:lang w:val="fr-FR"/>
        </w:rPr>
        <w:t>ils exigent des demandeurs une déclaration selon laquelle ces derniers ne laisseront pas entendre, à tort, qu</w:t>
      </w:r>
      <w:r w:rsidR="009B258A">
        <w:rPr>
          <w:lang w:val="fr-FR"/>
        </w:rPr>
        <w:t>’</w:t>
      </w:r>
      <w:r w:rsidRPr="00882E58">
        <w:rPr>
          <w:lang w:val="fr-FR"/>
        </w:rPr>
        <w:t>il existe un lien quelconque avec le gouvernement en ce qui concerne l</w:t>
      </w:r>
      <w:r w:rsidR="009B258A">
        <w:rPr>
          <w:lang w:val="fr-FR"/>
        </w:rPr>
        <w:t>’</w:t>
      </w:r>
      <w:r w:rsidRPr="00882E58">
        <w:rPr>
          <w:lang w:val="fr-FR"/>
        </w:rPr>
        <w:t>utilisation du nom de domaine à deux</w:t>
      </w:r>
      <w:r w:rsidR="00E6003E">
        <w:rPr>
          <w:lang w:val="fr-FR"/>
        </w:rPr>
        <w:t> </w:t>
      </w:r>
      <w:r w:rsidRPr="00882E58">
        <w:rPr>
          <w:lang w:val="fr-FR"/>
        </w:rPr>
        <w:t>caractères et qu</w:t>
      </w:r>
      <w:r w:rsidR="009B258A">
        <w:rPr>
          <w:lang w:val="fr-FR"/>
        </w:rPr>
        <w:t>’</w:t>
      </w:r>
      <w:r w:rsidRPr="00882E58">
        <w:rPr>
          <w:lang w:val="fr-FR"/>
        </w:rPr>
        <w:t>ils prévoient une procédure de dépôt de plaintes postérieure à l</w:t>
      </w:r>
      <w:r w:rsidR="009B258A">
        <w:rPr>
          <w:lang w:val="fr-FR"/>
        </w:rPr>
        <w:t>’</w:t>
      </w:r>
      <w:r w:rsidRPr="00882E58">
        <w:rPr>
          <w:lang w:val="fr-FR"/>
        </w:rPr>
        <w:t>enregistrement</w:t>
      </w:r>
      <w:r w:rsidRPr="00882E58">
        <w:rPr>
          <w:rStyle w:val="FootnoteReference"/>
          <w:szCs w:val="22"/>
          <w:lang w:val="fr-FR"/>
        </w:rPr>
        <w:footnoteReference w:id="72"/>
      </w:r>
      <w:r w:rsidRPr="00882E58">
        <w:rPr>
          <w:lang w:val="fr-FR"/>
        </w:rPr>
        <w:t>.  C</w:t>
      </w:r>
      <w:r w:rsidR="009B258A">
        <w:rPr>
          <w:lang w:val="fr-FR"/>
        </w:rPr>
        <w:t>’</w:t>
      </w:r>
      <w:r w:rsidRPr="00882E58">
        <w:rPr>
          <w:lang w:val="fr-FR"/>
        </w:rPr>
        <w:t>est ainsi que le Centre a transmis des commentaires à l</w:t>
      </w:r>
      <w:r w:rsidR="009B258A">
        <w:rPr>
          <w:lang w:val="fr-FR"/>
        </w:rPr>
        <w:t>’</w:t>
      </w:r>
      <w:r w:rsidRPr="00882E58">
        <w:rPr>
          <w:lang w:val="fr-FR"/>
        </w:rPr>
        <w:t>ICANN, faisant observer que le deuxième processus de consultations de l</w:t>
      </w:r>
      <w:r w:rsidR="009B258A">
        <w:rPr>
          <w:lang w:val="fr-FR"/>
        </w:rPr>
        <w:t>’</w:t>
      </w:r>
      <w:r w:rsidRPr="00882E58">
        <w:rPr>
          <w:lang w:val="fr-FR"/>
        </w:rPr>
        <w:t>OMPI sur les noms de domaine de l</w:t>
      </w:r>
      <w:r w:rsidR="009B258A">
        <w:rPr>
          <w:lang w:val="fr-FR"/>
        </w:rPr>
        <w:t>’</w:t>
      </w:r>
      <w:r w:rsidRPr="00882E58">
        <w:rPr>
          <w:lang w:val="fr-FR"/>
        </w:rPr>
        <w:t>Internet prévoyait la possibilité d</w:t>
      </w:r>
      <w:r w:rsidR="009B258A">
        <w:rPr>
          <w:lang w:val="fr-FR"/>
        </w:rPr>
        <w:t>’</w:t>
      </w:r>
      <w:r w:rsidRPr="00882E58">
        <w:rPr>
          <w:lang w:val="fr-FR"/>
        </w:rPr>
        <w:t>examiner des mesures permettant d</w:t>
      </w:r>
      <w:r w:rsidR="009B258A">
        <w:rPr>
          <w:lang w:val="fr-FR"/>
        </w:rPr>
        <w:t>’</w:t>
      </w:r>
      <w:r w:rsidRPr="00882E58">
        <w:rPr>
          <w:lang w:val="fr-FR"/>
        </w:rPr>
        <w:t>appliquer les principes UDRP aux enregistrements de troisième niveau afin d</w:t>
      </w:r>
      <w:r w:rsidR="009B258A">
        <w:rPr>
          <w:lang w:val="fr-FR"/>
        </w:rPr>
        <w:t>’</w:t>
      </w:r>
      <w:r w:rsidRPr="00882E58">
        <w:rPr>
          <w:lang w:val="fr-FR"/>
        </w:rPr>
        <w:t>atténuer le risque d</w:t>
      </w:r>
      <w:r w:rsidR="009B258A">
        <w:rPr>
          <w:lang w:val="fr-FR"/>
        </w:rPr>
        <w:t>’</w:t>
      </w:r>
      <w:r w:rsidRPr="00882E58">
        <w:rPr>
          <w:lang w:val="fr-FR"/>
        </w:rPr>
        <w:t>atteinte aux marques</w:t>
      </w:r>
      <w:r w:rsidRPr="00882E58">
        <w:rPr>
          <w:rStyle w:val="FootnoteReference"/>
          <w:szCs w:val="22"/>
          <w:lang w:val="fr-FR"/>
        </w:rPr>
        <w:footnoteReference w:id="73"/>
      </w:r>
      <w:r w:rsidRPr="00882E58">
        <w:rPr>
          <w:lang w:val="fr-FR"/>
        </w:rPr>
        <w:t>.</w:t>
      </w:r>
      <w:r w:rsidR="00F83CEE" w:rsidRPr="00882E58">
        <w:rPr>
          <w:lang w:val="fr-FR"/>
        </w:rPr>
        <w:t xml:space="preserve"> </w:t>
      </w:r>
      <w:r w:rsidR="00882E58">
        <w:rPr>
          <w:lang w:val="fr-FR"/>
        </w:rPr>
        <w:t xml:space="preserve"> </w:t>
      </w:r>
      <w:r w:rsidRPr="00882E58">
        <w:rPr>
          <w:lang w:val="fr-FR"/>
        </w:rPr>
        <w:t>Lors de discussions récentes, les membres</w:t>
      </w:r>
      <w:r w:rsidR="009B258A" w:rsidRPr="00882E58">
        <w:rPr>
          <w:lang w:val="fr-FR"/>
        </w:rPr>
        <w:t xml:space="preserve"> du</w:t>
      </w:r>
      <w:r w:rsidR="009B258A">
        <w:rPr>
          <w:lang w:val="fr-FR"/>
        </w:rPr>
        <w:t> </w:t>
      </w:r>
      <w:r w:rsidR="009B258A" w:rsidRPr="00882E58">
        <w:rPr>
          <w:lang w:val="fr-FR"/>
        </w:rPr>
        <w:t>GAC</w:t>
      </w:r>
      <w:r w:rsidRPr="00882E58">
        <w:rPr>
          <w:lang w:val="fr-FR"/>
        </w:rPr>
        <w:t xml:space="preserve"> ont demandé que l</w:t>
      </w:r>
      <w:r w:rsidR="009B258A">
        <w:rPr>
          <w:lang w:val="fr-FR"/>
        </w:rPr>
        <w:t>’</w:t>
      </w:r>
      <w:r w:rsidRPr="00882E58">
        <w:rPr>
          <w:lang w:val="fr-FR"/>
        </w:rPr>
        <w:t>ICANN fournisse des informations coordonnées sur les demandes et délégations correspondantes</w:t>
      </w:r>
      <w:r w:rsidRPr="00882E58">
        <w:rPr>
          <w:rStyle w:val="FootnoteReference"/>
          <w:szCs w:val="22"/>
          <w:lang w:val="fr-FR"/>
        </w:rPr>
        <w:footnoteReference w:id="74"/>
      </w:r>
      <w:r w:rsidRPr="00882E58">
        <w:rPr>
          <w:lang w:val="fr-FR"/>
        </w:rPr>
        <w:t>.</w:t>
      </w:r>
    </w:p>
    <w:p w:rsidR="008670FA" w:rsidRPr="00882E58" w:rsidRDefault="000A106F" w:rsidP="00401FB8">
      <w:pPr>
        <w:pStyle w:val="ONUMFS"/>
        <w:rPr>
          <w:szCs w:val="24"/>
          <w:lang w:val="fr-FR"/>
        </w:rPr>
      </w:pPr>
      <w:r w:rsidRPr="00882E58">
        <w:rPr>
          <w:lang w:val="fr-FR"/>
        </w:rPr>
        <w:t>Sur ces questions et d</w:t>
      </w:r>
      <w:r w:rsidR="009B258A">
        <w:rPr>
          <w:lang w:val="fr-FR"/>
        </w:rPr>
        <w:t>’</w:t>
      </w:r>
      <w:r w:rsidRPr="00882E58">
        <w:rPr>
          <w:lang w:val="fr-FR"/>
        </w:rPr>
        <w:t>autres questions concernant</w:t>
      </w:r>
      <w:r w:rsidR="009B258A" w:rsidRPr="00882E58">
        <w:rPr>
          <w:lang w:val="fr-FR"/>
        </w:rPr>
        <w:t xml:space="preserve"> le</w:t>
      </w:r>
      <w:r w:rsidR="009B258A">
        <w:rPr>
          <w:lang w:val="fr-FR"/>
        </w:rPr>
        <w:t> </w:t>
      </w:r>
      <w:r w:rsidR="009B258A" w:rsidRPr="00882E58">
        <w:rPr>
          <w:lang w:val="fr-FR"/>
        </w:rPr>
        <w:t>DNS</w:t>
      </w:r>
      <w:r w:rsidRPr="00882E58">
        <w:rPr>
          <w:lang w:val="fr-FR"/>
        </w:rPr>
        <w:t xml:space="preserve">, le Centre </w:t>
      </w:r>
      <w:r w:rsidR="00B70382">
        <w:rPr>
          <w:lang w:val="fr-FR"/>
        </w:rPr>
        <w:t>s’est attaché à</w:t>
      </w:r>
      <w:r w:rsidRPr="00882E58">
        <w:rPr>
          <w:lang w:val="fr-FR"/>
        </w:rPr>
        <w:t xml:space="preserve"> informer les secteurs concernés au sein du Secrétariat, notamment pour appuyer les travaux du Comité permanent du droit des marques, des dessins et modèles industriels et des indications géographiques (SCT)</w:t>
      </w:r>
      <w:r w:rsidRPr="00882E58">
        <w:rPr>
          <w:rStyle w:val="FootnoteReference"/>
          <w:szCs w:val="22"/>
          <w:lang w:val="fr-FR"/>
        </w:rPr>
        <w:footnoteReference w:id="75"/>
      </w:r>
      <w:r w:rsidRPr="00882E58">
        <w:rPr>
          <w:lang w:val="fr-FR"/>
        </w:rPr>
        <w:t>.</w:t>
      </w:r>
      <w:r w:rsidR="00F83CEE" w:rsidRPr="00882E58">
        <w:rPr>
          <w:lang w:val="fr-FR"/>
        </w:rPr>
        <w:t xml:space="preserve"> </w:t>
      </w:r>
      <w:r w:rsidR="00882E58">
        <w:rPr>
          <w:lang w:val="fr-FR"/>
        </w:rPr>
        <w:t xml:space="preserve"> </w:t>
      </w:r>
      <w:r w:rsidR="00882E58" w:rsidRPr="00882E58">
        <w:rPr>
          <w:lang w:val="fr-FR"/>
        </w:rPr>
        <w:t>À cet égard, pour la trente</w:t>
      </w:r>
      <w:r w:rsidR="00401FB8">
        <w:rPr>
          <w:lang w:val="fr-FR"/>
        </w:rPr>
        <w:noBreakHyphen/>
      </w:r>
      <w:r w:rsidR="00882E58" w:rsidRPr="00882E58">
        <w:rPr>
          <w:lang w:val="fr-FR"/>
        </w:rPr>
        <w:t>neuv</w:t>
      </w:r>
      <w:r w:rsidR="009B258A">
        <w:rPr>
          <w:lang w:val="fr-FR"/>
        </w:rPr>
        <w:t>ième session</w:t>
      </w:r>
      <w:r w:rsidR="009B258A" w:rsidRPr="00882E58">
        <w:rPr>
          <w:lang w:val="fr-FR"/>
        </w:rPr>
        <w:t xml:space="preserve"> du</w:t>
      </w:r>
      <w:r w:rsidR="009B258A">
        <w:rPr>
          <w:lang w:val="fr-FR"/>
        </w:rPr>
        <w:t> </w:t>
      </w:r>
      <w:r w:rsidR="009B258A" w:rsidRPr="00882E58">
        <w:rPr>
          <w:lang w:val="fr-FR"/>
        </w:rPr>
        <w:t>SCT</w:t>
      </w:r>
      <w:r w:rsidR="00882E58" w:rsidRPr="00882E58">
        <w:rPr>
          <w:lang w:val="fr-FR"/>
        </w:rPr>
        <w:t xml:space="preserve"> en mars 2018, conformément au programme de travail sur les indications géographiques et à la demande du président</w:t>
      </w:r>
      <w:r w:rsidR="009B258A" w:rsidRPr="00882E58">
        <w:rPr>
          <w:lang w:val="fr-FR"/>
        </w:rPr>
        <w:t xml:space="preserve"> du</w:t>
      </w:r>
      <w:r w:rsidR="009B258A">
        <w:rPr>
          <w:lang w:val="fr-FR"/>
        </w:rPr>
        <w:t> </w:t>
      </w:r>
      <w:r w:rsidR="009B258A" w:rsidRPr="00882E58">
        <w:rPr>
          <w:lang w:val="fr-FR"/>
        </w:rPr>
        <w:t>SCT</w:t>
      </w:r>
      <w:r w:rsidR="00B70382">
        <w:rPr>
          <w:lang w:val="fr-FR"/>
        </w:rPr>
        <w:t>, le Cent</w:t>
      </w:r>
      <w:r w:rsidR="00882E58" w:rsidRPr="00882E58">
        <w:rPr>
          <w:lang w:val="fr-FR"/>
        </w:rPr>
        <w:t>r</w:t>
      </w:r>
      <w:r w:rsidR="00B70382">
        <w:rPr>
          <w:lang w:val="fr-FR"/>
        </w:rPr>
        <w:t>e</w:t>
      </w:r>
      <w:r w:rsidR="00882E58" w:rsidRPr="00882E58">
        <w:rPr>
          <w:lang w:val="fr-FR"/>
        </w:rPr>
        <w:t>, avec le concours du secrétariat</w:t>
      </w:r>
      <w:r w:rsidR="009B258A" w:rsidRPr="00882E58">
        <w:rPr>
          <w:lang w:val="fr-FR"/>
        </w:rPr>
        <w:t xml:space="preserve"> du</w:t>
      </w:r>
      <w:r w:rsidR="009B258A">
        <w:rPr>
          <w:lang w:val="fr-FR"/>
        </w:rPr>
        <w:t> </w:t>
      </w:r>
      <w:r w:rsidR="009B258A" w:rsidRPr="00882E58">
        <w:rPr>
          <w:lang w:val="fr-FR"/>
        </w:rPr>
        <w:t>SCT</w:t>
      </w:r>
      <w:r w:rsidR="00882E58" w:rsidRPr="00882E58">
        <w:rPr>
          <w:lang w:val="fr-FR"/>
        </w:rPr>
        <w:t>, a compilé une enquête sur la situation actuelle des indications géographiques, des noms de pays et autres noms géographiques dans</w:t>
      </w:r>
      <w:r w:rsidR="009B258A" w:rsidRPr="00882E58">
        <w:rPr>
          <w:lang w:val="fr-FR"/>
        </w:rPr>
        <w:t xml:space="preserve"> le</w:t>
      </w:r>
      <w:r w:rsidR="009B258A">
        <w:rPr>
          <w:lang w:val="fr-FR"/>
        </w:rPr>
        <w:t> </w:t>
      </w:r>
      <w:r w:rsidR="009B258A" w:rsidRPr="00882E58">
        <w:rPr>
          <w:lang w:val="fr-FR"/>
        </w:rPr>
        <w:t>DNS</w:t>
      </w:r>
      <w:r w:rsidR="00882E58" w:rsidRPr="00882E58">
        <w:rPr>
          <w:rStyle w:val="FootnoteReference"/>
          <w:szCs w:val="22"/>
          <w:lang w:val="fr-FR"/>
        </w:rPr>
        <w:footnoteReference w:id="76"/>
      </w:r>
      <w:r w:rsidR="00882E58" w:rsidRPr="00882E58">
        <w:rPr>
          <w:lang w:val="fr-FR"/>
        </w:rPr>
        <w:t>.</w:t>
      </w:r>
      <w:r w:rsidR="00F83CEE" w:rsidRPr="00882E58">
        <w:rPr>
          <w:lang w:val="fr-FR"/>
        </w:rPr>
        <w:t xml:space="preserve"> </w:t>
      </w:r>
      <w:r w:rsidR="00882E58">
        <w:rPr>
          <w:lang w:val="fr-FR"/>
        </w:rPr>
        <w:t xml:space="preserve"> </w:t>
      </w:r>
      <w:r w:rsidR="00882E58" w:rsidRPr="00882E58">
        <w:rPr>
          <w:lang w:val="fr-FR"/>
        </w:rPr>
        <w:t>Le Secrétariat continuera de se tenir informé de ces évolutions et d</w:t>
      </w:r>
      <w:r w:rsidR="009B258A">
        <w:rPr>
          <w:lang w:val="fr-FR"/>
        </w:rPr>
        <w:t>’</w:t>
      </w:r>
      <w:r w:rsidR="00882E58" w:rsidRPr="00882E58">
        <w:rPr>
          <w:lang w:val="fr-FR"/>
        </w:rPr>
        <w:t>y contribuer le cas échéant.</w:t>
      </w:r>
    </w:p>
    <w:p w:rsidR="008670FA" w:rsidRPr="003905D6" w:rsidRDefault="00882E58" w:rsidP="003905D6">
      <w:pPr>
        <w:pStyle w:val="ONUMFS"/>
        <w:ind w:left="5533"/>
        <w:rPr>
          <w:i/>
          <w:lang w:val="fr-FR"/>
        </w:rPr>
      </w:pPr>
      <w:r w:rsidRPr="003905D6">
        <w:rPr>
          <w:i/>
          <w:lang w:val="fr-FR"/>
        </w:rPr>
        <w:t>L</w:t>
      </w:r>
      <w:r w:rsidR="009B258A" w:rsidRPr="003905D6">
        <w:rPr>
          <w:i/>
          <w:lang w:val="fr-FR"/>
        </w:rPr>
        <w:t>’</w:t>
      </w:r>
      <w:r w:rsidRPr="003905D6">
        <w:rPr>
          <w:i/>
          <w:lang w:val="fr-FR"/>
        </w:rPr>
        <w:t>Assemblée générale de l</w:t>
      </w:r>
      <w:r w:rsidR="009B258A" w:rsidRPr="003905D6">
        <w:rPr>
          <w:i/>
          <w:lang w:val="fr-FR"/>
        </w:rPr>
        <w:t>’</w:t>
      </w:r>
      <w:r w:rsidRPr="003905D6">
        <w:rPr>
          <w:i/>
          <w:lang w:val="fr-FR"/>
        </w:rPr>
        <w:t>OMPI est invitée à prendre note du contenu du document intitulé “Centre d</w:t>
      </w:r>
      <w:r w:rsidR="009B258A" w:rsidRPr="003905D6">
        <w:rPr>
          <w:i/>
          <w:lang w:val="fr-FR"/>
        </w:rPr>
        <w:t>’</w:t>
      </w:r>
      <w:r w:rsidRPr="003905D6">
        <w:rPr>
          <w:i/>
          <w:lang w:val="fr-FR"/>
        </w:rPr>
        <w:t>arbitrage et de médiation de l</w:t>
      </w:r>
      <w:r w:rsidR="009B258A" w:rsidRPr="003905D6">
        <w:rPr>
          <w:i/>
          <w:lang w:val="fr-FR"/>
        </w:rPr>
        <w:t>’</w:t>
      </w:r>
      <w:r w:rsidRPr="003905D6">
        <w:rPr>
          <w:i/>
          <w:lang w:val="fr-FR"/>
        </w:rPr>
        <w:t xml:space="preserve">OMPI, </w:t>
      </w:r>
      <w:r w:rsidR="009B258A" w:rsidRPr="003905D6">
        <w:rPr>
          <w:i/>
          <w:lang w:val="fr-FR"/>
        </w:rPr>
        <w:t>y compris</w:t>
      </w:r>
      <w:r w:rsidRPr="003905D6">
        <w:rPr>
          <w:i/>
          <w:lang w:val="fr-FR"/>
        </w:rPr>
        <w:t xml:space="preserve"> les noms de domaine” (document</w:t>
      </w:r>
      <w:r w:rsidR="00401FB8" w:rsidRPr="003905D6">
        <w:rPr>
          <w:i/>
          <w:lang w:val="fr-FR"/>
        </w:rPr>
        <w:t> </w:t>
      </w:r>
      <w:r w:rsidRPr="003905D6">
        <w:rPr>
          <w:i/>
          <w:lang w:val="fr-FR"/>
        </w:rPr>
        <w:t>WO/GA/50/10).</w:t>
      </w:r>
    </w:p>
    <w:p w:rsidR="008670FA" w:rsidRPr="00882E58" w:rsidRDefault="00882E58" w:rsidP="00085E45">
      <w:pPr>
        <w:spacing w:before="720"/>
        <w:ind w:left="5534"/>
        <w:rPr>
          <w:lang w:val="fr-FR"/>
        </w:rPr>
      </w:pPr>
      <w:r w:rsidRPr="00882E58">
        <w:rPr>
          <w:lang w:val="fr-FR"/>
        </w:rPr>
        <w:t>[Fin du document]</w:t>
      </w:r>
    </w:p>
    <w:sectPr w:rsidR="008670FA" w:rsidRPr="00882E58" w:rsidSect="00667185">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715" w:rsidRDefault="00570715">
      <w:r>
        <w:separator/>
      </w:r>
    </w:p>
  </w:endnote>
  <w:endnote w:type="continuationSeparator" w:id="0">
    <w:p w:rsidR="00570715" w:rsidRDefault="00570715" w:rsidP="003B38C1">
      <w:r>
        <w:separator/>
      </w:r>
    </w:p>
    <w:p w:rsidR="00570715" w:rsidRPr="003B38C1" w:rsidRDefault="00570715" w:rsidP="003B38C1">
      <w:pPr>
        <w:spacing w:after="60"/>
        <w:rPr>
          <w:sz w:val="17"/>
        </w:rPr>
      </w:pPr>
      <w:r>
        <w:rPr>
          <w:sz w:val="17"/>
        </w:rPr>
        <w:t>[Endnote continued from previous page]</w:t>
      </w:r>
    </w:p>
  </w:endnote>
  <w:endnote w:type="continuationNotice" w:id="1">
    <w:p w:rsidR="00570715" w:rsidRPr="003B38C1" w:rsidRDefault="0057071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715" w:rsidRDefault="00570715">
      <w:r>
        <w:separator/>
      </w:r>
    </w:p>
  </w:footnote>
  <w:footnote w:type="continuationSeparator" w:id="0">
    <w:p w:rsidR="00570715" w:rsidRDefault="00570715" w:rsidP="008B60B2">
      <w:r>
        <w:separator/>
      </w:r>
    </w:p>
    <w:p w:rsidR="00570715" w:rsidRPr="00FD2401" w:rsidRDefault="00F42142" w:rsidP="008B60B2">
      <w:pPr>
        <w:spacing w:after="60"/>
        <w:rPr>
          <w:sz w:val="17"/>
          <w:szCs w:val="17"/>
          <w:lang w:val="fr-FR"/>
        </w:rPr>
      </w:pPr>
      <w:r w:rsidRPr="00FD2401">
        <w:rPr>
          <w:sz w:val="17"/>
          <w:szCs w:val="17"/>
          <w:lang w:val="fr-FR"/>
        </w:rPr>
        <w:t xml:space="preserve">[Suite de la note </w:t>
      </w:r>
      <w:r w:rsidRPr="001C1AEC">
        <w:rPr>
          <w:sz w:val="17"/>
          <w:szCs w:val="17"/>
          <w:lang w:val="fr-FR"/>
        </w:rPr>
        <w:t>de la page précédente</w:t>
      </w:r>
      <w:r w:rsidR="00570715" w:rsidRPr="00FD2401">
        <w:rPr>
          <w:sz w:val="17"/>
          <w:szCs w:val="17"/>
          <w:lang w:val="fr-FR"/>
        </w:rPr>
        <w:t>]</w:t>
      </w:r>
    </w:p>
  </w:footnote>
  <w:footnote w:type="continuationNotice" w:id="1">
    <w:p w:rsidR="00570715" w:rsidRPr="00FD2401" w:rsidRDefault="00570715" w:rsidP="008B60B2">
      <w:pPr>
        <w:spacing w:before="60"/>
        <w:jc w:val="right"/>
        <w:rPr>
          <w:sz w:val="17"/>
          <w:szCs w:val="17"/>
          <w:lang w:val="fr-FR"/>
        </w:rPr>
      </w:pPr>
      <w:r w:rsidRPr="00FD2401">
        <w:rPr>
          <w:sz w:val="17"/>
          <w:szCs w:val="17"/>
          <w:lang w:val="fr-FR"/>
        </w:rPr>
        <w:t>[</w:t>
      </w:r>
      <w:r w:rsidR="00F42142" w:rsidRPr="00FD2401">
        <w:rPr>
          <w:sz w:val="17"/>
          <w:szCs w:val="17"/>
          <w:lang w:val="fr-FR"/>
        </w:rPr>
        <w:t xml:space="preserve">Suite de la note page </w:t>
      </w:r>
      <w:r w:rsidR="00F42142" w:rsidRPr="001C1AEC">
        <w:rPr>
          <w:sz w:val="17"/>
          <w:szCs w:val="17"/>
          <w:lang w:val="fr-FR"/>
        </w:rPr>
        <w:t>suivante</w:t>
      </w:r>
      <w:r w:rsidRPr="00FD2401">
        <w:rPr>
          <w:sz w:val="17"/>
          <w:szCs w:val="17"/>
          <w:lang w:val="fr-FR"/>
        </w:rPr>
        <w:t>]</w:t>
      </w:r>
    </w:p>
  </w:footnote>
  <w:footnote w:id="2">
    <w:p w:rsidR="00570715" w:rsidRPr="00882E58" w:rsidRDefault="00570715" w:rsidP="004A2311">
      <w:pPr>
        <w:pStyle w:val="FootnoteText"/>
        <w:rPr>
          <w:lang w:val="fr-FR"/>
        </w:rPr>
      </w:pPr>
      <w:r w:rsidRPr="00882E58">
        <w:rPr>
          <w:rStyle w:val="FootnoteReference"/>
          <w:lang w:val="fr-FR"/>
        </w:rPr>
        <w:footnoteRef/>
      </w:r>
      <w:r w:rsidRPr="00882E58">
        <w:rPr>
          <w:lang w:val="fr-FR"/>
        </w:rPr>
        <w:t xml:space="preserve"> </w:t>
      </w:r>
      <w:r w:rsidRPr="00882E58">
        <w:rPr>
          <w:lang w:val="fr-FR"/>
        </w:rPr>
        <w:tab/>
        <w:t xml:space="preserve">Voir http://www.wipo.int/edocs/mdocs/govbody/fr/wo_ga_49/wo_ga_49_14.pdf.  </w:t>
      </w:r>
    </w:p>
  </w:footnote>
  <w:footnote w:id="3">
    <w:p w:rsidR="00570715" w:rsidRPr="00882E58" w:rsidRDefault="00570715" w:rsidP="00B91F11">
      <w:pPr>
        <w:pStyle w:val="FootnoteText"/>
        <w:rPr>
          <w:lang w:val="fr-FR"/>
        </w:rPr>
      </w:pPr>
      <w:r w:rsidRPr="00882E58">
        <w:rPr>
          <w:rStyle w:val="FootnoteReference"/>
          <w:lang w:val="fr-FR"/>
        </w:rPr>
        <w:footnoteRef/>
      </w:r>
      <w:r w:rsidRPr="00882E58">
        <w:rPr>
          <w:lang w:val="fr-FR"/>
        </w:rPr>
        <w:t xml:space="preserve"> </w:t>
      </w:r>
      <w:r w:rsidRPr="00882E58">
        <w:rPr>
          <w:lang w:val="fr-FR"/>
        </w:rPr>
        <w:tab/>
        <w:t xml:space="preserve">La liste des ateliers et autres manifestations organisés par le Centre peut être </w:t>
      </w:r>
      <w:proofErr w:type="gramStart"/>
      <w:r w:rsidRPr="00882E58">
        <w:rPr>
          <w:lang w:val="fr-FR"/>
        </w:rPr>
        <w:t>consultée</w:t>
      </w:r>
      <w:proofErr w:type="gramEnd"/>
      <w:r w:rsidRPr="00882E58">
        <w:rPr>
          <w:lang w:val="fr-FR"/>
        </w:rPr>
        <w:t xml:space="preserve"> à l</w:t>
      </w:r>
      <w:r w:rsidR="00CC10D5">
        <w:rPr>
          <w:lang w:val="fr-FR"/>
        </w:rPr>
        <w:t>’</w:t>
      </w:r>
      <w:r w:rsidRPr="00882E58">
        <w:rPr>
          <w:lang w:val="fr-FR"/>
        </w:rPr>
        <w:t>adresse http://www.wipo.int/amc/fr/events.</w:t>
      </w:r>
    </w:p>
  </w:footnote>
  <w:footnote w:id="4">
    <w:p w:rsidR="00570715" w:rsidRPr="00882E58" w:rsidRDefault="00570715" w:rsidP="003A09F0">
      <w:pPr>
        <w:pStyle w:val="FootnoteText"/>
        <w:rPr>
          <w:lang w:val="fr-FR"/>
        </w:rPr>
      </w:pPr>
      <w:r w:rsidRPr="00882E58">
        <w:rPr>
          <w:rStyle w:val="FootnoteReference"/>
          <w:lang w:val="fr-FR"/>
        </w:rPr>
        <w:footnoteRef/>
      </w:r>
      <w:r w:rsidRPr="00882E58">
        <w:rPr>
          <w:lang w:val="fr-FR"/>
        </w:rPr>
        <w:t xml:space="preserve"> </w:t>
      </w:r>
      <w:r w:rsidRPr="00882E58">
        <w:rPr>
          <w:lang w:val="fr-FR"/>
        </w:rPr>
        <w:tab/>
        <w:t>Le système ECAF permet la communication et le stockage en ligne des documents, ce qui rend les procédures d</w:t>
      </w:r>
      <w:r w:rsidR="00CC10D5">
        <w:rPr>
          <w:lang w:val="fr-FR"/>
        </w:rPr>
        <w:t>’</w:t>
      </w:r>
      <w:r w:rsidRPr="00882E58">
        <w:rPr>
          <w:lang w:val="fr-FR"/>
        </w:rPr>
        <w:t xml:space="preserve">arbitrage et de médiation plus rapides et plus économiques.  </w:t>
      </w:r>
      <w:r w:rsidR="00CC10D5" w:rsidRPr="00882E58">
        <w:rPr>
          <w:lang w:val="fr-FR"/>
        </w:rPr>
        <w:t>En</w:t>
      </w:r>
      <w:r w:rsidR="00CC10D5">
        <w:rPr>
          <w:lang w:val="fr-FR"/>
        </w:rPr>
        <w:t> </w:t>
      </w:r>
      <w:r w:rsidR="00CC10D5" w:rsidRPr="00882E58">
        <w:rPr>
          <w:lang w:val="fr-FR"/>
        </w:rPr>
        <w:t>2018</w:t>
      </w:r>
      <w:r w:rsidRPr="00882E58">
        <w:rPr>
          <w:lang w:val="fr-FR"/>
        </w:rPr>
        <w:t>, le Centre a ajouté de plusieurs fonctionnalités au système ECAF, notamment des fonctions de recherche avancée et de transfert de données en grande quantité.  Voir http://www.wipo.int/amc/fr/ecaf/index.html.</w:t>
      </w:r>
    </w:p>
  </w:footnote>
  <w:footnote w:id="5">
    <w:p w:rsidR="00570715" w:rsidRPr="00882E58" w:rsidRDefault="00570715" w:rsidP="00E22887">
      <w:pPr>
        <w:pStyle w:val="FootnoteText"/>
        <w:rPr>
          <w:lang w:val="fr-FR"/>
        </w:rPr>
      </w:pPr>
      <w:r w:rsidRPr="00882E58">
        <w:rPr>
          <w:rStyle w:val="FootnoteReference"/>
          <w:lang w:val="fr-FR"/>
        </w:rPr>
        <w:footnoteRef/>
      </w:r>
      <w:r w:rsidRPr="00882E58">
        <w:rPr>
          <w:lang w:val="fr-FR"/>
        </w:rPr>
        <w:t xml:space="preserve"> </w:t>
      </w:r>
      <w:r w:rsidRPr="00882E58">
        <w:rPr>
          <w:lang w:val="fr-FR"/>
        </w:rPr>
        <w:tab/>
        <w:t xml:space="preserve">Voir http://www.wipo.int/amc/fr/publications/. </w:t>
      </w:r>
      <w:r w:rsidR="00E6003E">
        <w:rPr>
          <w:lang w:val="fr-FR"/>
        </w:rPr>
        <w:t xml:space="preserve"> </w:t>
      </w:r>
    </w:p>
  </w:footnote>
  <w:footnote w:id="6">
    <w:p w:rsidR="00570715" w:rsidRPr="00882E58" w:rsidRDefault="00570715" w:rsidP="00E22887">
      <w:pPr>
        <w:pStyle w:val="FootnoteText"/>
        <w:rPr>
          <w:lang w:val="fr-FR"/>
        </w:rPr>
      </w:pPr>
      <w:r w:rsidRPr="00882E58">
        <w:rPr>
          <w:rStyle w:val="FootnoteReference"/>
          <w:lang w:val="fr-FR"/>
        </w:rPr>
        <w:footnoteRef/>
      </w:r>
      <w:r w:rsidRPr="00882E58">
        <w:rPr>
          <w:lang w:val="fr-FR"/>
        </w:rPr>
        <w:t xml:space="preserve"> </w:t>
      </w:r>
      <w:r w:rsidRPr="00882E58">
        <w:rPr>
          <w:lang w:val="fr-FR"/>
        </w:rPr>
        <w:tab/>
        <w:t>Le générateur de clauses de l</w:t>
      </w:r>
      <w:r w:rsidR="00CC10D5">
        <w:rPr>
          <w:lang w:val="fr-FR"/>
        </w:rPr>
        <w:t>’</w:t>
      </w:r>
      <w:r w:rsidRPr="00882E58">
        <w:rPr>
          <w:lang w:val="fr-FR"/>
        </w:rPr>
        <w:t>OMPI est disponible à l</w:t>
      </w:r>
      <w:r w:rsidR="00CC10D5">
        <w:rPr>
          <w:lang w:val="fr-FR"/>
        </w:rPr>
        <w:t>’</w:t>
      </w:r>
      <w:r w:rsidRPr="00882E58">
        <w:rPr>
          <w:lang w:val="fr-FR"/>
        </w:rPr>
        <w:t>adresse http://www.wipo.int/amc</w:t>
      </w:r>
      <w:r w:rsidR="00CC10D5">
        <w:rPr>
          <w:lang w:val="fr-FR"/>
        </w:rPr>
        <w:t>-</w:t>
      </w:r>
      <w:r w:rsidRPr="00882E58">
        <w:rPr>
          <w:lang w:val="fr-FR"/>
        </w:rPr>
        <w:t>apps/clause</w:t>
      </w:r>
      <w:r w:rsidR="00CC10D5">
        <w:rPr>
          <w:lang w:val="fr-FR"/>
        </w:rPr>
        <w:t>-</w:t>
      </w:r>
      <w:r w:rsidRPr="00882E58">
        <w:rPr>
          <w:lang w:val="fr-FR"/>
        </w:rPr>
        <w:t>generator/.</w:t>
      </w:r>
    </w:p>
  </w:footnote>
  <w:footnote w:id="7">
    <w:p w:rsidR="00570715" w:rsidRPr="00882E58" w:rsidRDefault="00570715" w:rsidP="00AA1320">
      <w:pPr>
        <w:pStyle w:val="FootnoteText"/>
        <w:rPr>
          <w:lang w:val="fr-FR"/>
        </w:rPr>
      </w:pPr>
      <w:r w:rsidRPr="00882E58">
        <w:rPr>
          <w:rStyle w:val="FootnoteReference"/>
          <w:lang w:val="fr-FR"/>
        </w:rPr>
        <w:footnoteRef/>
      </w:r>
      <w:r w:rsidRPr="00882E58">
        <w:rPr>
          <w:lang w:val="fr-FR"/>
        </w:rPr>
        <w:t xml:space="preserve"> </w:t>
      </w:r>
      <w:r w:rsidRPr="00882E58">
        <w:rPr>
          <w:lang w:val="fr-FR"/>
        </w:rPr>
        <w:tab/>
        <w:t>Notamment l</w:t>
      </w:r>
      <w:r w:rsidR="00CC10D5">
        <w:rPr>
          <w:lang w:val="fr-FR"/>
        </w:rPr>
        <w:t>’</w:t>
      </w:r>
      <w:r w:rsidRPr="00882E58">
        <w:rPr>
          <w:lang w:val="fr-FR"/>
        </w:rPr>
        <w:t>Institut national de propriété industrielle (INPI) de l</w:t>
      </w:r>
      <w:r w:rsidR="00CC10D5">
        <w:rPr>
          <w:lang w:val="fr-FR"/>
        </w:rPr>
        <w:t>’</w:t>
      </w:r>
      <w:r w:rsidRPr="00882E58">
        <w:rPr>
          <w:lang w:val="fr-FR"/>
        </w:rPr>
        <w:t>Argentine, l</w:t>
      </w:r>
      <w:r w:rsidR="00CC10D5">
        <w:rPr>
          <w:lang w:val="fr-FR"/>
        </w:rPr>
        <w:t>’</w:t>
      </w:r>
      <w:r w:rsidRPr="00882E58">
        <w:rPr>
          <w:lang w:val="fr-FR"/>
        </w:rPr>
        <w:t>Office d</w:t>
      </w:r>
      <w:r w:rsidR="00CC10D5">
        <w:rPr>
          <w:lang w:val="fr-FR"/>
        </w:rPr>
        <w:t>’</w:t>
      </w:r>
      <w:r w:rsidRPr="00882E58">
        <w:rPr>
          <w:lang w:val="fr-FR"/>
        </w:rPr>
        <w:t>État de la propriété intellectuelle de la République populaire de Chine (SIPO), la Direction nationale de l</w:t>
      </w:r>
      <w:r w:rsidR="00CC10D5">
        <w:rPr>
          <w:lang w:val="fr-FR"/>
        </w:rPr>
        <w:t>’</w:t>
      </w:r>
      <w:r w:rsidRPr="00882E58">
        <w:rPr>
          <w:lang w:val="fr-FR"/>
        </w:rPr>
        <w:t>enregistrement du Costa</w:t>
      </w:r>
      <w:r w:rsidR="00E6003E">
        <w:rPr>
          <w:lang w:val="fr-FR"/>
        </w:rPr>
        <w:t> </w:t>
      </w:r>
      <w:r w:rsidRPr="00882E58">
        <w:rPr>
          <w:lang w:val="fr-FR"/>
        </w:rPr>
        <w:t>Rica, le Bureau national du droit d</w:t>
      </w:r>
      <w:r w:rsidR="00CC10D5">
        <w:rPr>
          <w:lang w:val="fr-FR"/>
        </w:rPr>
        <w:t>’</w:t>
      </w:r>
      <w:r w:rsidRPr="00882E58">
        <w:rPr>
          <w:lang w:val="fr-FR"/>
        </w:rPr>
        <w:t>auteur de la République dominicaine (ONDA), le Conseil du droit d</w:t>
      </w:r>
      <w:r w:rsidR="00CC10D5">
        <w:rPr>
          <w:lang w:val="fr-FR"/>
        </w:rPr>
        <w:t>’</w:t>
      </w:r>
      <w:r w:rsidRPr="00882E58">
        <w:rPr>
          <w:lang w:val="fr-FR"/>
        </w:rPr>
        <w:t>auteur du Kenya (KECOBO), l</w:t>
      </w:r>
      <w:r w:rsidR="00CC10D5">
        <w:rPr>
          <w:lang w:val="fr-FR"/>
        </w:rPr>
        <w:t>’</w:t>
      </w:r>
      <w:r w:rsidRPr="00882E58">
        <w:rPr>
          <w:lang w:val="fr-FR"/>
        </w:rPr>
        <w:t>Office coréen de la propriété intellectuelle (KIPO), le Ministère de la culture de la République de Lituanie, l</w:t>
      </w:r>
      <w:r w:rsidR="00CC10D5">
        <w:rPr>
          <w:lang w:val="fr-FR"/>
        </w:rPr>
        <w:t>’</w:t>
      </w:r>
      <w:r w:rsidRPr="00882E58">
        <w:rPr>
          <w:lang w:val="fr-FR"/>
        </w:rPr>
        <w:t>Office des brevets de la République de Pologne (UPRP), le Bureau roumain du droit d</w:t>
      </w:r>
      <w:r w:rsidR="00CC10D5">
        <w:rPr>
          <w:lang w:val="fr-FR"/>
        </w:rPr>
        <w:t>’</w:t>
      </w:r>
      <w:r w:rsidRPr="00882E58">
        <w:rPr>
          <w:lang w:val="fr-FR"/>
        </w:rPr>
        <w:t>auteu</w:t>
      </w:r>
      <w:r>
        <w:rPr>
          <w:lang w:val="fr-FR"/>
        </w:rPr>
        <w:t>r (ORDA), le Service fédéral</w:t>
      </w:r>
      <w:r w:rsidRPr="00882E58">
        <w:rPr>
          <w:lang w:val="fr-FR"/>
        </w:rPr>
        <w:t xml:space="preserve"> de la propriété intellectuelle de la Fédération de Russie (ROSPATENT), l</w:t>
      </w:r>
      <w:r w:rsidR="00CC10D5">
        <w:rPr>
          <w:lang w:val="fr-FR"/>
        </w:rPr>
        <w:t>’</w:t>
      </w:r>
      <w:r w:rsidRPr="00882E58">
        <w:rPr>
          <w:lang w:val="fr-FR"/>
        </w:rPr>
        <w:t>Office de la propriété intellectuelle de la République de Serbie et l</w:t>
      </w:r>
      <w:r w:rsidR="00CC10D5">
        <w:rPr>
          <w:lang w:val="fr-FR"/>
        </w:rPr>
        <w:t>’</w:t>
      </w:r>
      <w:r w:rsidRPr="00882E58">
        <w:rPr>
          <w:lang w:val="fr-FR"/>
        </w:rPr>
        <w:t>Institut fédéral suisse de la propriété intellectuelle (IPI).  La liste complète des collaborations de Centre avec les offices de propriété intellectuelle peut être consultée à l</w:t>
      </w:r>
      <w:r w:rsidR="00CC10D5">
        <w:rPr>
          <w:lang w:val="fr-FR"/>
        </w:rPr>
        <w:t>’</w:t>
      </w:r>
      <w:r w:rsidRPr="00882E58">
        <w:rPr>
          <w:lang w:val="fr-FR"/>
        </w:rPr>
        <w:t>ad</w:t>
      </w:r>
      <w:r w:rsidR="00821BBE">
        <w:rPr>
          <w:lang w:val="fr-FR"/>
        </w:rPr>
        <w:t>resse http://www.wipo.int/amc/en</w:t>
      </w:r>
      <w:r w:rsidRPr="00882E58">
        <w:rPr>
          <w:lang w:val="fr-FR"/>
        </w:rPr>
        <w:t>/center/specific</w:t>
      </w:r>
      <w:r w:rsidR="00CC10D5">
        <w:rPr>
          <w:lang w:val="fr-FR"/>
        </w:rPr>
        <w:t>-</w:t>
      </w:r>
      <w:r w:rsidRPr="00882E58">
        <w:rPr>
          <w:lang w:val="fr-FR"/>
        </w:rPr>
        <w:t xml:space="preserve">sectors/ipoffices/. </w:t>
      </w:r>
      <w:r w:rsidR="00E6003E">
        <w:rPr>
          <w:lang w:val="fr-FR"/>
        </w:rPr>
        <w:t xml:space="preserve"> </w:t>
      </w:r>
    </w:p>
  </w:footnote>
  <w:footnote w:id="8">
    <w:p w:rsidR="00570715" w:rsidRPr="00882E58" w:rsidRDefault="00570715" w:rsidP="00D81EA0">
      <w:pPr>
        <w:pStyle w:val="FootnoteText"/>
        <w:rPr>
          <w:lang w:val="fr-FR"/>
        </w:rPr>
      </w:pPr>
      <w:r w:rsidRPr="00882E58">
        <w:rPr>
          <w:rStyle w:val="FootnoteReference"/>
          <w:lang w:val="fr-FR"/>
        </w:rPr>
        <w:footnoteRef/>
      </w:r>
      <w:r w:rsidRPr="00882E58">
        <w:rPr>
          <w:lang w:val="fr-FR"/>
        </w:rPr>
        <w:t xml:space="preserve"> </w:t>
      </w:r>
      <w:r w:rsidRPr="00882E58">
        <w:rPr>
          <w:lang w:val="fr-FR"/>
        </w:rPr>
        <w:tab/>
        <w:t>Notamment l</w:t>
      </w:r>
      <w:r w:rsidR="00CC10D5">
        <w:rPr>
          <w:lang w:val="fr-FR"/>
        </w:rPr>
        <w:t>’</w:t>
      </w:r>
      <w:r w:rsidRPr="00882E58">
        <w:rPr>
          <w:lang w:val="fr-FR"/>
        </w:rPr>
        <w:t>Institut national de propriété industrielle (INPI) de l</w:t>
      </w:r>
      <w:r w:rsidR="00CC10D5">
        <w:rPr>
          <w:lang w:val="fr-FR"/>
        </w:rPr>
        <w:t>’</w:t>
      </w:r>
      <w:r w:rsidRPr="00882E58">
        <w:rPr>
          <w:lang w:val="fr-FR"/>
        </w:rPr>
        <w:t>Argentine, IP</w:t>
      </w:r>
      <w:r w:rsidR="00E6003E">
        <w:rPr>
          <w:lang w:val="fr-FR"/>
        </w:rPr>
        <w:t> </w:t>
      </w:r>
      <w:proofErr w:type="spellStart"/>
      <w:r w:rsidRPr="00882E58">
        <w:rPr>
          <w:lang w:val="fr-FR"/>
        </w:rPr>
        <w:t>Australia</w:t>
      </w:r>
      <w:proofErr w:type="spellEnd"/>
      <w:r w:rsidRPr="00882E58">
        <w:rPr>
          <w:lang w:val="fr-FR"/>
        </w:rPr>
        <w:t>, l</w:t>
      </w:r>
      <w:r w:rsidR="00CC10D5">
        <w:rPr>
          <w:lang w:val="fr-FR"/>
        </w:rPr>
        <w:t>’</w:t>
      </w:r>
      <w:r w:rsidRPr="00882E58">
        <w:rPr>
          <w:lang w:val="fr-FR"/>
        </w:rPr>
        <w:t>Institut national brésilien de la propriété industrielle (INPI</w:t>
      </w:r>
      <w:r w:rsidR="00CC10D5">
        <w:rPr>
          <w:lang w:val="fr-FR"/>
        </w:rPr>
        <w:t>-</w:t>
      </w:r>
      <w:r w:rsidRPr="00882E58">
        <w:rPr>
          <w:lang w:val="fr-FR"/>
        </w:rPr>
        <w:t>BR), l</w:t>
      </w:r>
      <w:r w:rsidR="00CC10D5">
        <w:rPr>
          <w:lang w:val="fr-FR"/>
        </w:rPr>
        <w:t>’</w:t>
      </w:r>
      <w:r w:rsidRPr="00882E58">
        <w:rPr>
          <w:lang w:val="fr-FR"/>
        </w:rPr>
        <w:t>Office d</w:t>
      </w:r>
      <w:r w:rsidR="00CC10D5">
        <w:rPr>
          <w:lang w:val="fr-FR"/>
        </w:rPr>
        <w:t>’</w:t>
      </w:r>
      <w:r w:rsidRPr="00882E58">
        <w:rPr>
          <w:lang w:val="fr-FR"/>
        </w:rPr>
        <w:t>État de la propriété intellectuelle de la République populaire de Chine (SIPO), la Direction nationale du droit d</w:t>
      </w:r>
      <w:r w:rsidR="00CC10D5">
        <w:rPr>
          <w:lang w:val="fr-FR"/>
        </w:rPr>
        <w:t>’</w:t>
      </w:r>
      <w:r w:rsidRPr="00882E58">
        <w:rPr>
          <w:lang w:val="fr-FR"/>
        </w:rPr>
        <w:t>auteur de la Colombie (DNDA), la Direction nationale de l</w:t>
      </w:r>
      <w:r w:rsidR="00CC10D5">
        <w:rPr>
          <w:lang w:val="fr-FR"/>
        </w:rPr>
        <w:t>’</w:t>
      </w:r>
      <w:r w:rsidRPr="00882E58">
        <w:rPr>
          <w:lang w:val="fr-FR"/>
        </w:rPr>
        <w:t>enregistrement du Costa</w:t>
      </w:r>
      <w:r w:rsidR="00E6003E">
        <w:rPr>
          <w:lang w:val="fr-FR"/>
        </w:rPr>
        <w:t> </w:t>
      </w:r>
      <w:r w:rsidRPr="00882E58">
        <w:rPr>
          <w:lang w:val="fr-FR"/>
        </w:rPr>
        <w:t>Rica, l</w:t>
      </w:r>
      <w:r w:rsidR="00CC10D5">
        <w:rPr>
          <w:lang w:val="fr-FR"/>
        </w:rPr>
        <w:t>’</w:t>
      </w:r>
      <w:r w:rsidRPr="00882E58">
        <w:rPr>
          <w:lang w:val="fr-FR"/>
        </w:rPr>
        <w:t>Office cubain de la propriété industrielle (OCPI), le Bureau national du droit d</w:t>
      </w:r>
      <w:r w:rsidR="00CC10D5">
        <w:rPr>
          <w:lang w:val="fr-FR"/>
        </w:rPr>
        <w:t>’</w:t>
      </w:r>
      <w:r w:rsidRPr="00882E58">
        <w:rPr>
          <w:lang w:val="fr-FR"/>
        </w:rPr>
        <w:t>auteur de la République dominicaine (ONDA), le Centre national de l</w:t>
      </w:r>
      <w:r w:rsidR="00CC10D5">
        <w:rPr>
          <w:lang w:val="fr-FR"/>
        </w:rPr>
        <w:t>’</w:t>
      </w:r>
      <w:r w:rsidRPr="00882E58">
        <w:rPr>
          <w:lang w:val="fr-FR"/>
        </w:rPr>
        <w:t>enregistrement de la République dominicaine (CNR), la Direction générale de la propriété intellectuelle de l</w:t>
      </w:r>
      <w:r w:rsidR="00CC10D5">
        <w:rPr>
          <w:lang w:val="fr-FR"/>
        </w:rPr>
        <w:t>’</w:t>
      </w:r>
      <w:r w:rsidRPr="00882E58">
        <w:rPr>
          <w:lang w:val="fr-FR"/>
        </w:rPr>
        <w:t>Indonésie (DGIP), l</w:t>
      </w:r>
      <w:r w:rsidR="00CC10D5">
        <w:rPr>
          <w:lang w:val="fr-FR"/>
        </w:rPr>
        <w:t>’</w:t>
      </w:r>
      <w:r w:rsidRPr="00882E58">
        <w:rPr>
          <w:lang w:val="fr-FR"/>
        </w:rPr>
        <w:t>Office des brevets d</w:t>
      </w:r>
      <w:r w:rsidR="00CC10D5">
        <w:rPr>
          <w:lang w:val="fr-FR"/>
        </w:rPr>
        <w:t>’</w:t>
      </w:r>
      <w:r w:rsidRPr="00882E58">
        <w:rPr>
          <w:lang w:val="fr-FR"/>
        </w:rPr>
        <w:t>Israël (ILPO), le Conseil du droit d</w:t>
      </w:r>
      <w:r w:rsidR="00CC10D5">
        <w:rPr>
          <w:lang w:val="fr-FR"/>
        </w:rPr>
        <w:t>’</w:t>
      </w:r>
      <w:r w:rsidRPr="00882E58">
        <w:rPr>
          <w:lang w:val="fr-FR"/>
        </w:rPr>
        <w:t>auteur du Kenya (KECOBO), le Ministère de la culture, des sports et du tourisme de la République de Corée (MCST), l</w:t>
      </w:r>
      <w:r w:rsidR="00CC10D5">
        <w:rPr>
          <w:lang w:val="fr-FR"/>
        </w:rPr>
        <w:t>’</w:t>
      </w:r>
      <w:r w:rsidRPr="00882E58">
        <w:rPr>
          <w:lang w:val="fr-FR"/>
        </w:rPr>
        <w:t>Office coréen de la propriété intellectuelle (KIPO), le Ministère de la culture de la République de Lituanie, l</w:t>
      </w:r>
      <w:r w:rsidR="00CC10D5">
        <w:rPr>
          <w:lang w:val="fr-FR"/>
        </w:rPr>
        <w:t>’</w:t>
      </w:r>
      <w:r w:rsidRPr="00882E58">
        <w:rPr>
          <w:lang w:val="fr-FR"/>
        </w:rPr>
        <w:t>Institut mexicain de la propriété industrielle (IMPI) à Mexico, la Direction nationale de la propriété intellectuelle du Paraguay (DINAPI), l</w:t>
      </w:r>
      <w:r w:rsidR="00CC10D5">
        <w:rPr>
          <w:lang w:val="fr-FR"/>
        </w:rPr>
        <w:t>’</w:t>
      </w:r>
      <w:r w:rsidRPr="00882E58">
        <w:rPr>
          <w:lang w:val="fr-FR"/>
        </w:rPr>
        <w:t>Office de la propriété intellectuelle des Philippines (IPOPHL), l</w:t>
      </w:r>
      <w:r w:rsidR="00CC10D5">
        <w:rPr>
          <w:lang w:val="fr-FR"/>
        </w:rPr>
        <w:t>’</w:t>
      </w:r>
      <w:r w:rsidRPr="00882E58">
        <w:rPr>
          <w:lang w:val="fr-FR"/>
        </w:rPr>
        <w:t>Office des brevets de la République de Pologne (UPRP), le Bureau roumain du droit d</w:t>
      </w:r>
      <w:r w:rsidR="00CC10D5">
        <w:rPr>
          <w:lang w:val="fr-FR"/>
        </w:rPr>
        <w:t>’</w:t>
      </w:r>
      <w:r w:rsidRPr="00882E58">
        <w:rPr>
          <w:lang w:val="fr-FR"/>
        </w:rPr>
        <w:t>auteur (ORDA), le Service fédéral de la propriété intellectuelle de la Fédération de Russie (ROSPATENT), l</w:t>
      </w:r>
      <w:r w:rsidR="00CC10D5">
        <w:rPr>
          <w:lang w:val="fr-FR"/>
        </w:rPr>
        <w:t>’</w:t>
      </w:r>
      <w:r w:rsidRPr="00882E58">
        <w:rPr>
          <w:lang w:val="fr-FR"/>
        </w:rPr>
        <w:t>Office de la propriété intellectuelle de la République de Serbie, l</w:t>
      </w:r>
      <w:r w:rsidR="00CC10D5">
        <w:rPr>
          <w:lang w:val="fr-FR"/>
        </w:rPr>
        <w:t>’</w:t>
      </w:r>
      <w:r w:rsidRPr="00882E58">
        <w:rPr>
          <w:lang w:val="fr-FR"/>
        </w:rPr>
        <w:t>Office de la propriété intellectuelle de Singapour (IPOS), l</w:t>
      </w:r>
      <w:r w:rsidR="00CC10D5">
        <w:rPr>
          <w:lang w:val="fr-FR"/>
        </w:rPr>
        <w:t>’</w:t>
      </w:r>
      <w:r w:rsidRPr="00882E58">
        <w:rPr>
          <w:lang w:val="fr-FR"/>
        </w:rPr>
        <w:t>Office espagnol des brevets et des marques (OEPM), l</w:t>
      </w:r>
      <w:r w:rsidR="00CC10D5">
        <w:rPr>
          <w:lang w:val="fr-FR"/>
        </w:rPr>
        <w:t>’</w:t>
      </w:r>
      <w:r w:rsidRPr="00882E58">
        <w:rPr>
          <w:lang w:val="fr-FR"/>
        </w:rPr>
        <w:t>Institut fédéral suisse de la propriété intellectuelle (IPI), l</w:t>
      </w:r>
      <w:r w:rsidR="00CC10D5">
        <w:rPr>
          <w:lang w:val="fr-FR"/>
        </w:rPr>
        <w:t>’</w:t>
      </w:r>
      <w:r w:rsidRPr="00882E58">
        <w:rPr>
          <w:lang w:val="fr-FR"/>
        </w:rPr>
        <w:t>Office de la propriété intellectuelle du Royaume</w:t>
      </w:r>
      <w:r w:rsidR="00CC10D5">
        <w:rPr>
          <w:lang w:val="fr-FR"/>
        </w:rPr>
        <w:t>-</w:t>
      </w:r>
      <w:r w:rsidRPr="00882E58">
        <w:rPr>
          <w:lang w:val="fr-FR"/>
        </w:rPr>
        <w:t>Uni (UKIPO) et l</w:t>
      </w:r>
      <w:r w:rsidR="00CC10D5">
        <w:rPr>
          <w:lang w:val="fr-FR"/>
        </w:rPr>
        <w:t>’</w:t>
      </w:r>
      <w:r w:rsidRPr="00882E58">
        <w:rPr>
          <w:lang w:val="fr-FR"/>
        </w:rPr>
        <w:t>Office des brevets et des marques des États</w:t>
      </w:r>
      <w:r w:rsidR="00CC10D5">
        <w:rPr>
          <w:lang w:val="fr-FR"/>
        </w:rPr>
        <w:t>-</w:t>
      </w:r>
      <w:r w:rsidRPr="00882E58">
        <w:rPr>
          <w:lang w:val="fr-FR"/>
        </w:rPr>
        <w:t>Unis d</w:t>
      </w:r>
      <w:r w:rsidR="00CC10D5">
        <w:rPr>
          <w:lang w:val="fr-FR"/>
        </w:rPr>
        <w:t>’</w:t>
      </w:r>
      <w:r w:rsidRPr="00882E58">
        <w:rPr>
          <w:lang w:val="fr-FR"/>
        </w:rPr>
        <w:t xml:space="preserve">Amérique (USPTO).  </w:t>
      </w:r>
    </w:p>
  </w:footnote>
  <w:footnote w:id="9">
    <w:p w:rsidR="00570715" w:rsidRPr="00882E58" w:rsidRDefault="00570715" w:rsidP="00D81EA0">
      <w:pPr>
        <w:pStyle w:val="FootnoteText"/>
        <w:rPr>
          <w:lang w:val="fr-FR"/>
        </w:rPr>
      </w:pPr>
      <w:r w:rsidRPr="00882E58">
        <w:rPr>
          <w:rStyle w:val="FootnoteReference"/>
          <w:lang w:val="fr-FR"/>
        </w:rPr>
        <w:footnoteRef/>
      </w:r>
      <w:r w:rsidRPr="00882E58">
        <w:rPr>
          <w:lang w:val="fr-FR"/>
        </w:rPr>
        <w:t xml:space="preserve"> </w:t>
      </w:r>
      <w:r w:rsidRPr="00882E58">
        <w:rPr>
          <w:lang w:val="fr-FR"/>
        </w:rPr>
        <w:tab/>
        <w:t>Le Centre met à la disposition des parties le système ECAF ainsi que des installations de vidéoconférence.  Voir http://www.wipo.int/amc/fr/ecaf/index.html.</w:t>
      </w:r>
    </w:p>
  </w:footnote>
  <w:footnote w:id="10">
    <w:p w:rsidR="00570715" w:rsidRPr="00882E58" w:rsidRDefault="00570715" w:rsidP="00DD7ED2">
      <w:pPr>
        <w:pStyle w:val="FootnoteText"/>
        <w:rPr>
          <w:lang w:val="fr-FR"/>
        </w:rPr>
      </w:pPr>
      <w:r w:rsidRPr="00882E58">
        <w:rPr>
          <w:rStyle w:val="FootnoteReference"/>
          <w:lang w:val="fr-FR"/>
        </w:rPr>
        <w:footnoteRef/>
      </w:r>
      <w:r w:rsidRPr="00882E58">
        <w:rPr>
          <w:lang w:val="fr-FR"/>
        </w:rPr>
        <w:t xml:space="preserve"> </w:t>
      </w:r>
      <w:r w:rsidRPr="00882E58">
        <w:rPr>
          <w:lang w:val="fr-FR"/>
        </w:rPr>
        <w:tab/>
        <w:t>Pour des exemples de manifestations organisées par le Centre en collaboration avec les offices de propriété intellectuelle,</w:t>
      </w:r>
      <w:r w:rsidR="00821BBE">
        <w:rPr>
          <w:lang w:val="fr-FR"/>
        </w:rPr>
        <w:t xml:space="preserve"> voir http://www.wipo.int/amc/en</w:t>
      </w:r>
      <w:r w:rsidRPr="00882E58">
        <w:rPr>
          <w:lang w:val="fr-FR"/>
        </w:rPr>
        <w:t>/center/specific</w:t>
      </w:r>
      <w:r w:rsidR="00CC10D5">
        <w:rPr>
          <w:lang w:val="fr-FR"/>
        </w:rPr>
        <w:t>-</w:t>
      </w:r>
      <w:r w:rsidRPr="00882E58">
        <w:rPr>
          <w:lang w:val="fr-FR"/>
        </w:rPr>
        <w:t>sectors/ipoffices/.  Les modes extrajudiciaires de règlement des litiges sont également inclus dans les programmes de séminaires itinérants de l</w:t>
      </w:r>
      <w:r w:rsidR="00CC10D5">
        <w:rPr>
          <w:lang w:val="fr-FR"/>
        </w:rPr>
        <w:t>’</w:t>
      </w:r>
      <w:r w:rsidRPr="00882E58">
        <w:rPr>
          <w:lang w:val="fr-FR"/>
        </w:rPr>
        <w:t>OMPI organisés en collaboration avec les offices.  Voir http://www.wipo.int/dcea/fr/roving_seminars/.</w:t>
      </w:r>
    </w:p>
  </w:footnote>
  <w:footnote w:id="11">
    <w:p w:rsidR="00570715" w:rsidRPr="00882E58" w:rsidRDefault="00570715" w:rsidP="00D91FBC">
      <w:pPr>
        <w:pStyle w:val="FootnoteText"/>
        <w:rPr>
          <w:lang w:val="fr-FR"/>
        </w:rPr>
      </w:pPr>
      <w:r w:rsidRPr="00882E58">
        <w:rPr>
          <w:rStyle w:val="FootnoteReference"/>
          <w:lang w:val="fr-FR"/>
        </w:rPr>
        <w:footnoteRef/>
      </w:r>
      <w:r w:rsidRPr="00882E58">
        <w:rPr>
          <w:lang w:val="fr-FR"/>
        </w:rPr>
        <w:t xml:space="preserve"> </w:t>
      </w:r>
      <w:r w:rsidRPr="00882E58">
        <w:rPr>
          <w:lang w:val="fr-FR"/>
        </w:rPr>
        <w:tab/>
        <w:t>Par exemple, dans le cadre de sa collaboration avec l</w:t>
      </w:r>
      <w:r w:rsidR="00CC10D5">
        <w:rPr>
          <w:lang w:val="fr-FR"/>
        </w:rPr>
        <w:t>’</w:t>
      </w:r>
      <w:r w:rsidRPr="00882E58">
        <w:rPr>
          <w:lang w:val="fr-FR"/>
        </w:rPr>
        <w:t>Office de la propriété intellectuelle de Singapour (IPOS), le Centre a participé à l</w:t>
      </w:r>
      <w:r w:rsidR="00CC10D5">
        <w:rPr>
          <w:lang w:val="fr-FR"/>
        </w:rPr>
        <w:t>’</w:t>
      </w:r>
      <w:r w:rsidRPr="00882E58">
        <w:rPr>
          <w:lang w:val="fr-FR"/>
        </w:rPr>
        <w:t>élaboration d</w:t>
      </w:r>
      <w:r w:rsidR="00CC10D5">
        <w:rPr>
          <w:lang w:val="fr-FR"/>
        </w:rPr>
        <w:t>’</w:t>
      </w:r>
      <w:r w:rsidRPr="00882E58">
        <w:rPr>
          <w:lang w:val="fr-FR"/>
        </w:rPr>
        <w:t>un système de médiation pour les litiges en matière de marques et de brevets, ainsi que d</w:t>
      </w:r>
      <w:r w:rsidR="00CC10D5">
        <w:rPr>
          <w:lang w:val="fr-FR"/>
        </w:rPr>
        <w:t>’</w:t>
      </w:r>
      <w:r w:rsidRPr="00882E58">
        <w:rPr>
          <w:lang w:val="fr-FR"/>
        </w:rPr>
        <w:t>une procédure d</w:t>
      </w:r>
      <w:r w:rsidR="00CC10D5">
        <w:rPr>
          <w:lang w:val="fr-FR"/>
        </w:rPr>
        <w:t>’</w:t>
      </w:r>
      <w:r w:rsidRPr="00882E58">
        <w:rPr>
          <w:lang w:val="fr-FR"/>
        </w:rPr>
        <w:t>expertise pour les procédures en matière de brevets en instance devant l</w:t>
      </w:r>
      <w:r w:rsidR="00CC10D5">
        <w:rPr>
          <w:lang w:val="fr-FR"/>
        </w:rPr>
        <w:t>’</w:t>
      </w:r>
      <w:r w:rsidRPr="00882E58">
        <w:rPr>
          <w:lang w:val="fr-FR"/>
        </w:rPr>
        <w:t>IPOS, et il instruit ces procédures.  Le Centre collabore également avec l</w:t>
      </w:r>
      <w:r w:rsidR="00CC10D5">
        <w:rPr>
          <w:lang w:val="fr-FR"/>
        </w:rPr>
        <w:t>’</w:t>
      </w:r>
      <w:r w:rsidRPr="00882E58">
        <w:rPr>
          <w:lang w:val="fr-FR"/>
        </w:rPr>
        <w:t>Office de la propriété intellectuelle des Philippines (IPOPHL) concernant l</w:t>
      </w:r>
      <w:r w:rsidR="00CC10D5">
        <w:rPr>
          <w:lang w:val="fr-FR"/>
        </w:rPr>
        <w:t>’</w:t>
      </w:r>
      <w:r w:rsidRPr="00882E58">
        <w:rPr>
          <w:lang w:val="fr-FR"/>
        </w:rPr>
        <w:t>administration des procédures de médiation portant sur des droits de propriété intellectuelle aux Philippines.  La Commission des audiences et recours en matière de marques (TTAB) et la Commission des audiences et recours en matière de brevets (PTAB) de l</w:t>
      </w:r>
      <w:r w:rsidR="00CC10D5">
        <w:rPr>
          <w:lang w:val="fr-FR"/>
        </w:rPr>
        <w:t>’</w:t>
      </w:r>
      <w:r w:rsidRPr="00882E58">
        <w:rPr>
          <w:lang w:val="fr-FR"/>
        </w:rPr>
        <w:t>Office des brevets et des marques des États</w:t>
      </w:r>
      <w:r w:rsidR="00CC10D5">
        <w:rPr>
          <w:lang w:val="fr-FR"/>
        </w:rPr>
        <w:t>-</w:t>
      </w:r>
      <w:r w:rsidRPr="00882E58">
        <w:rPr>
          <w:lang w:val="fr-FR"/>
        </w:rPr>
        <w:t>Unis d</w:t>
      </w:r>
      <w:r w:rsidR="00CC10D5">
        <w:rPr>
          <w:lang w:val="fr-FR"/>
        </w:rPr>
        <w:t>’</w:t>
      </w:r>
      <w:r w:rsidRPr="00882E58">
        <w:rPr>
          <w:lang w:val="fr-FR"/>
        </w:rPr>
        <w:t>Amérique (USPTO) encouragent les parties à envisager les modes extrajudiciaires pour régler les questions soulevées dans le cadre de ces procédures.  Le Centre figure sur la liste des prestataires de services de règlement des litiges pour les procédures dont sont saisies</w:t>
      </w:r>
      <w:r w:rsidR="00CC10D5" w:rsidRPr="00882E58">
        <w:rPr>
          <w:lang w:val="fr-FR"/>
        </w:rPr>
        <w:t xml:space="preserve"> la</w:t>
      </w:r>
      <w:r w:rsidR="00CC10D5">
        <w:rPr>
          <w:lang w:val="fr-FR"/>
        </w:rPr>
        <w:t> </w:t>
      </w:r>
      <w:r w:rsidR="00CC10D5" w:rsidRPr="00882E58">
        <w:rPr>
          <w:lang w:val="fr-FR"/>
        </w:rPr>
        <w:t>TTA</w:t>
      </w:r>
      <w:r w:rsidRPr="00882E58">
        <w:rPr>
          <w:lang w:val="fr-FR"/>
        </w:rPr>
        <w:t>B et</w:t>
      </w:r>
      <w:r w:rsidR="00CC10D5" w:rsidRPr="00882E58">
        <w:rPr>
          <w:lang w:val="fr-FR"/>
        </w:rPr>
        <w:t xml:space="preserve"> la</w:t>
      </w:r>
      <w:r w:rsidR="00CC10D5">
        <w:rPr>
          <w:lang w:val="fr-FR"/>
        </w:rPr>
        <w:t> </w:t>
      </w:r>
      <w:r w:rsidR="00CC10D5" w:rsidRPr="00882E58">
        <w:rPr>
          <w:lang w:val="fr-FR"/>
        </w:rPr>
        <w:t>PTA</w:t>
      </w:r>
      <w:r w:rsidRPr="00882E58">
        <w:rPr>
          <w:lang w:val="fr-FR"/>
        </w:rPr>
        <w:t>B.  Dans le cadre de sa collaboration avec l</w:t>
      </w:r>
      <w:r w:rsidR="00CC10D5">
        <w:rPr>
          <w:lang w:val="fr-FR"/>
        </w:rPr>
        <w:t>’</w:t>
      </w:r>
      <w:r w:rsidRPr="00882E58">
        <w:rPr>
          <w:lang w:val="fr-FR"/>
        </w:rPr>
        <w:t>Office des brevets de la République de Pologne (UPRP), le Centre a participé à l</w:t>
      </w:r>
      <w:r w:rsidR="00CC10D5">
        <w:rPr>
          <w:lang w:val="fr-FR"/>
        </w:rPr>
        <w:t>’</w:t>
      </w:r>
      <w:r w:rsidRPr="00882E58">
        <w:rPr>
          <w:lang w:val="fr-FR"/>
        </w:rPr>
        <w:t>élaboration d</w:t>
      </w:r>
      <w:r w:rsidR="00CC10D5">
        <w:rPr>
          <w:lang w:val="fr-FR"/>
        </w:rPr>
        <w:t>’</w:t>
      </w:r>
      <w:r w:rsidRPr="00882E58">
        <w:rPr>
          <w:lang w:val="fr-FR"/>
        </w:rPr>
        <w:t xml:space="preserve">une procédure de médiation pour les oppositions en matière de marques dont il était saisi et a été désigné pour administrer ces oppositions.  </w:t>
      </w:r>
    </w:p>
  </w:footnote>
  <w:footnote w:id="12">
    <w:p w:rsidR="00570715" w:rsidRPr="00882E58" w:rsidRDefault="00570715" w:rsidP="00D91FBC">
      <w:pPr>
        <w:pStyle w:val="FootnoteText"/>
        <w:rPr>
          <w:lang w:val="fr-FR"/>
        </w:rPr>
      </w:pPr>
      <w:r w:rsidRPr="00882E58">
        <w:rPr>
          <w:rStyle w:val="FootnoteReference"/>
          <w:lang w:val="fr-FR"/>
        </w:rPr>
        <w:footnoteRef/>
      </w:r>
      <w:r w:rsidRPr="00882E58">
        <w:rPr>
          <w:lang w:val="fr-FR"/>
        </w:rPr>
        <w:t xml:space="preserve"> </w:t>
      </w:r>
      <w:r w:rsidRPr="00882E58">
        <w:rPr>
          <w:lang w:val="fr-FR"/>
        </w:rPr>
        <w:tab/>
        <w:t>Cela concerne notamment la collaboration entre le Centre et la Direction nationale du droit d</w:t>
      </w:r>
      <w:r w:rsidR="00CC10D5">
        <w:rPr>
          <w:lang w:val="fr-FR"/>
        </w:rPr>
        <w:t>’</w:t>
      </w:r>
      <w:r w:rsidRPr="00882E58">
        <w:rPr>
          <w:lang w:val="fr-FR"/>
        </w:rPr>
        <w:t>auteur de la Colombie (DNDA), la Commission du droit d</w:t>
      </w:r>
      <w:r w:rsidR="00CC10D5">
        <w:rPr>
          <w:lang w:val="fr-FR"/>
        </w:rPr>
        <w:t>’</w:t>
      </w:r>
      <w:r w:rsidRPr="00882E58">
        <w:rPr>
          <w:lang w:val="fr-FR"/>
        </w:rPr>
        <w:t xml:space="preserve">auteur de la </w:t>
      </w:r>
      <w:r w:rsidR="00E6003E">
        <w:rPr>
          <w:lang w:val="fr-FR"/>
        </w:rPr>
        <w:t xml:space="preserve">République de </w:t>
      </w:r>
      <w:r w:rsidRPr="00882E58">
        <w:rPr>
          <w:lang w:val="fr-FR"/>
        </w:rPr>
        <w:t xml:space="preserve">Corée (KCC) et la Korea </w:t>
      </w:r>
      <w:proofErr w:type="spellStart"/>
      <w:r w:rsidRPr="00882E58">
        <w:rPr>
          <w:lang w:val="fr-FR"/>
        </w:rPr>
        <w:t>Creative</w:t>
      </w:r>
      <w:proofErr w:type="spellEnd"/>
      <w:r w:rsidRPr="00882E58">
        <w:rPr>
          <w:lang w:val="fr-FR"/>
        </w:rPr>
        <w:t xml:space="preserve"> Content Agency (KOCCA). </w:t>
      </w:r>
      <w:r w:rsidR="00821BBE">
        <w:rPr>
          <w:lang w:val="fr-FR"/>
        </w:rPr>
        <w:t xml:space="preserve"> Voir http://www.wipo.int/amc/en</w:t>
      </w:r>
      <w:r w:rsidRPr="00882E58">
        <w:rPr>
          <w:lang w:val="fr-FR"/>
        </w:rPr>
        <w:t>/center/specific</w:t>
      </w:r>
      <w:r w:rsidR="00CC10D5">
        <w:rPr>
          <w:lang w:val="fr-FR"/>
        </w:rPr>
        <w:t>-</w:t>
      </w:r>
      <w:r w:rsidRPr="00882E58">
        <w:rPr>
          <w:lang w:val="fr-FR"/>
        </w:rPr>
        <w:t>sectors/ipoffices/.</w:t>
      </w:r>
    </w:p>
  </w:footnote>
  <w:footnote w:id="13">
    <w:p w:rsidR="00570715" w:rsidRPr="00882E58" w:rsidRDefault="00570715" w:rsidP="003A7DAF">
      <w:pPr>
        <w:pStyle w:val="FootnoteText"/>
        <w:rPr>
          <w:lang w:val="fr-FR"/>
        </w:rPr>
      </w:pPr>
      <w:r w:rsidRPr="00882E58">
        <w:rPr>
          <w:rStyle w:val="FootnoteReference"/>
          <w:lang w:val="fr-FR"/>
        </w:rPr>
        <w:footnoteRef/>
      </w:r>
      <w:r w:rsidRPr="00882E58">
        <w:rPr>
          <w:lang w:val="fr-FR"/>
        </w:rPr>
        <w:t xml:space="preserve"> </w:t>
      </w:r>
      <w:r w:rsidRPr="00882E58">
        <w:rPr>
          <w:lang w:val="fr-FR"/>
        </w:rPr>
        <w:tab/>
        <w:t>Le Centre a par exemple établi des contrats types avec l</w:t>
      </w:r>
      <w:r w:rsidR="00CC10D5">
        <w:rPr>
          <w:lang w:val="fr-FR"/>
        </w:rPr>
        <w:t>’</w:t>
      </w:r>
      <w:r w:rsidRPr="00882E58">
        <w:rPr>
          <w:lang w:val="fr-FR"/>
        </w:rPr>
        <w:t>Office espagnol des brevets et des marques (OEPM).  Parmi les autres contrats types de R</w:t>
      </w:r>
      <w:r w:rsidR="00CC10D5">
        <w:rPr>
          <w:lang w:val="fr-FR"/>
        </w:rPr>
        <w:t>-</w:t>
      </w:r>
      <w:r w:rsidRPr="00882E58">
        <w:rPr>
          <w:lang w:val="fr-FR"/>
        </w:rPr>
        <w:t>D qui recommandent une médiation suivie d</w:t>
      </w:r>
      <w:r w:rsidR="00CC10D5">
        <w:rPr>
          <w:lang w:val="fr-FR"/>
        </w:rPr>
        <w:t>’</w:t>
      </w:r>
      <w:r w:rsidRPr="00882E58">
        <w:rPr>
          <w:lang w:val="fr-FR"/>
        </w:rPr>
        <w:t>un arbitrage accéléré de l</w:t>
      </w:r>
      <w:r w:rsidR="00CC10D5">
        <w:rPr>
          <w:lang w:val="fr-FR"/>
        </w:rPr>
        <w:t>’</w:t>
      </w:r>
      <w:r w:rsidRPr="00882E58">
        <w:rPr>
          <w:lang w:val="fr-FR"/>
        </w:rPr>
        <w:t>OMPI figurent le modèle d</w:t>
      </w:r>
      <w:r w:rsidR="00CC10D5">
        <w:rPr>
          <w:lang w:val="fr-FR"/>
        </w:rPr>
        <w:t>’</w:t>
      </w:r>
      <w:r w:rsidRPr="00882E58">
        <w:rPr>
          <w:lang w:val="fr-FR"/>
        </w:rPr>
        <w:t>accord de consortium DESCA</w:t>
      </w:r>
      <w:r w:rsidR="00401FB8">
        <w:rPr>
          <w:lang w:val="fr-FR"/>
        </w:rPr>
        <w:t> </w:t>
      </w:r>
      <w:r w:rsidRPr="00882E58">
        <w:rPr>
          <w:lang w:val="fr-FR"/>
        </w:rPr>
        <w:t>2020 de l</w:t>
      </w:r>
      <w:r w:rsidR="00CC10D5">
        <w:rPr>
          <w:lang w:val="fr-FR"/>
        </w:rPr>
        <w:t>’</w:t>
      </w:r>
      <w:r w:rsidRPr="00882E58">
        <w:rPr>
          <w:lang w:val="fr-FR"/>
        </w:rPr>
        <w:t>UE, les accords types du Guide la propriété intellectuelle (IPAG) en Autriche et les accords types pour la coopération en matière de recherche</w:t>
      </w:r>
      <w:r w:rsidR="00CC10D5">
        <w:rPr>
          <w:lang w:val="fr-FR"/>
        </w:rPr>
        <w:t>-</w:t>
      </w:r>
      <w:r w:rsidRPr="00882E58">
        <w:rPr>
          <w:lang w:val="fr-FR"/>
        </w:rPr>
        <w:t>développement en Allemagne.  Pour de plus amples informations, voir http://www.wipo.int/amc/fr/center/specific</w:t>
      </w:r>
      <w:r w:rsidR="00CC10D5">
        <w:rPr>
          <w:lang w:val="fr-FR"/>
        </w:rPr>
        <w:t>-</w:t>
      </w:r>
      <w:r w:rsidRPr="00882E58">
        <w:rPr>
          <w:lang w:val="fr-FR"/>
        </w:rPr>
        <w:t>sectors/rd/.</w:t>
      </w:r>
    </w:p>
  </w:footnote>
  <w:footnote w:id="14">
    <w:p w:rsidR="00570715" w:rsidRPr="00882E58" w:rsidRDefault="00570715" w:rsidP="00956593">
      <w:pPr>
        <w:pStyle w:val="FootnoteText"/>
        <w:rPr>
          <w:lang w:val="fr-FR"/>
        </w:rPr>
      </w:pPr>
      <w:r w:rsidRPr="00882E58">
        <w:rPr>
          <w:rStyle w:val="FootnoteReference"/>
          <w:lang w:val="fr-FR"/>
        </w:rPr>
        <w:footnoteRef/>
      </w:r>
      <w:r w:rsidRPr="00882E58">
        <w:rPr>
          <w:lang w:val="fr-FR"/>
        </w:rPr>
        <w:t xml:space="preserve"> </w:t>
      </w:r>
      <w:r w:rsidRPr="00882E58">
        <w:rPr>
          <w:lang w:val="fr-FR"/>
        </w:rPr>
        <w:tab/>
        <w:t>La deuxième édition du guide est disponible à l</w:t>
      </w:r>
      <w:r w:rsidR="00CC10D5">
        <w:rPr>
          <w:lang w:val="fr-FR"/>
        </w:rPr>
        <w:t>’</w:t>
      </w:r>
      <w:r w:rsidRPr="00882E58">
        <w:rPr>
          <w:lang w:val="fr-FR"/>
        </w:rPr>
        <w:t>adresse</w:t>
      </w:r>
      <w:r w:rsidR="00401FB8">
        <w:rPr>
          <w:lang w:val="fr-FR"/>
        </w:rPr>
        <w:t> </w:t>
      </w:r>
      <w:r w:rsidRPr="00882E58">
        <w:rPr>
          <w:lang w:val="fr-FR"/>
        </w:rPr>
        <w:t>http://www.</w:t>
      </w:r>
      <w:r w:rsidR="00821BBE">
        <w:rPr>
          <w:lang w:val="fr-FR"/>
        </w:rPr>
        <w:t>wipo.int/export/sites/www/amc/en</w:t>
      </w:r>
      <w:r w:rsidRPr="00882E58">
        <w:rPr>
          <w:lang w:val="fr-FR"/>
        </w:rPr>
        <w:t xml:space="preserve">/docs/adrguidejuly2015.pdf. </w:t>
      </w:r>
      <w:r w:rsidR="00E6003E">
        <w:rPr>
          <w:lang w:val="fr-FR"/>
        </w:rPr>
        <w:t xml:space="preserve"> </w:t>
      </w:r>
    </w:p>
  </w:footnote>
  <w:footnote w:id="15">
    <w:p w:rsidR="00570715" w:rsidRPr="00882E58" w:rsidRDefault="00570715" w:rsidP="0072276A">
      <w:pPr>
        <w:pStyle w:val="FootnoteText"/>
        <w:rPr>
          <w:lang w:val="fr-FR"/>
        </w:rPr>
      </w:pPr>
      <w:r w:rsidRPr="00882E58">
        <w:rPr>
          <w:rStyle w:val="FootnoteReference"/>
          <w:lang w:val="fr-FR"/>
        </w:rPr>
        <w:footnoteRef/>
      </w:r>
      <w:r w:rsidRPr="00882E58">
        <w:rPr>
          <w:lang w:val="fr-FR"/>
        </w:rPr>
        <w:t xml:space="preserve"> </w:t>
      </w:r>
      <w:r w:rsidRPr="00882E58">
        <w:rPr>
          <w:lang w:val="fr-FR"/>
        </w:rPr>
        <w:tab/>
        <w:t>Voir http://www.</w:t>
      </w:r>
      <w:r w:rsidR="00821BBE">
        <w:rPr>
          <w:lang w:val="fr-FR"/>
        </w:rPr>
        <w:t>wipo.int/export/sites/www/amc/en</w:t>
      </w:r>
      <w:r w:rsidRPr="00882E58">
        <w:rPr>
          <w:lang w:val="fr-FR"/>
        </w:rPr>
        <w:t xml:space="preserve">/docs/wipofrandadrguidance.pdf. </w:t>
      </w:r>
      <w:r w:rsidR="00E6003E">
        <w:rPr>
          <w:lang w:val="fr-FR"/>
        </w:rPr>
        <w:t xml:space="preserve"> </w:t>
      </w:r>
    </w:p>
  </w:footnote>
  <w:footnote w:id="16">
    <w:p w:rsidR="00570715" w:rsidRPr="00882E58" w:rsidRDefault="00570715" w:rsidP="00A273C8">
      <w:pPr>
        <w:pStyle w:val="FootnoteText"/>
        <w:rPr>
          <w:lang w:val="fr-FR"/>
        </w:rPr>
      </w:pPr>
      <w:r w:rsidRPr="00882E58">
        <w:rPr>
          <w:rStyle w:val="FootnoteReference"/>
          <w:lang w:val="fr-FR"/>
        </w:rPr>
        <w:footnoteRef/>
      </w:r>
      <w:r w:rsidRPr="00882E58">
        <w:rPr>
          <w:lang w:val="fr-FR"/>
        </w:rPr>
        <w:t xml:space="preserve"> </w:t>
      </w:r>
      <w:r w:rsidRPr="00882E58">
        <w:rPr>
          <w:lang w:val="fr-FR"/>
        </w:rPr>
        <w:tab/>
        <w:t>Voir http://www.wipo.int/amc/</w:t>
      </w:r>
      <w:r w:rsidR="00821BBE">
        <w:rPr>
          <w:lang w:val="fr-FR"/>
        </w:rPr>
        <w:t>en</w:t>
      </w:r>
      <w:r w:rsidRPr="00882E58">
        <w:rPr>
          <w:lang w:val="fr-FR"/>
        </w:rPr>
        <w:t>/center/specific</w:t>
      </w:r>
      <w:r w:rsidR="00CC10D5">
        <w:rPr>
          <w:lang w:val="fr-FR"/>
        </w:rPr>
        <w:t>-</w:t>
      </w:r>
      <w:r w:rsidRPr="00882E58">
        <w:rPr>
          <w:lang w:val="fr-FR"/>
        </w:rPr>
        <w:t xml:space="preserve">sectors/tradefairs/. </w:t>
      </w:r>
      <w:r w:rsidR="00E6003E">
        <w:rPr>
          <w:lang w:val="fr-FR"/>
        </w:rPr>
        <w:t xml:space="preserve"> </w:t>
      </w:r>
    </w:p>
  </w:footnote>
  <w:footnote w:id="17">
    <w:p w:rsidR="00570715" w:rsidRPr="00882E58" w:rsidRDefault="00570715" w:rsidP="00A273C8">
      <w:pPr>
        <w:pStyle w:val="FootnoteText"/>
        <w:rPr>
          <w:lang w:val="fr-FR"/>
        </w:rPr>
      </w:pPr>
      <w:r w:rsidRPr="00882E58">
        <w:rPr>
          <w:rStyle w:val="FootnoteReference"/>
          <w:lang w:val="fr-FR"/>
        </w:rPr>
        <w:footnoteRef/>
      </w:r>
      <w:r w:rsidRPr="00882E58">
        <w:rPr>
          <w:lang w:val="fr-FR"/>
        </w:rPr>
        <w:t xml:space="preserve"> </w:t>
      </w:r>
      <w:r w:rsidRPr="00882E58">
        <w:rPr>
          <w:lang w:val="fr-FR"/>
        </w:rPr>
        <w:tab/>
        <w:t>Notamment des litiges survenus dans le cadre du 85e Salon de l</w:t>
      </w:r>
      <w:r w:rsidR="00CC10D5">
        <w:rPr>
          <w:lang w:val="fr-FR"/>
        </w:rPr>
        <w:t>’</w:t>
      </w:r>
      <w:r w:rsidRPr="00882E58">
        <w:rPr>
          <w:lang w:val="fr-FR"/>
        </w:rPr>
        <w:t xml:space="preserve">automobile de Genève tenu en </w:t>
      </w:r>
      <w:r w:rsidR="00CC10D5" w:rsidRPr="00882E58">
        <w:rPr>
          <w:lang w:val="fr-FR"/>
        </w:rPr>
        <w:t>mars</w:t>
      </w:r>
      <w:r w:rsidR="00CC10D5">
        <w:rPr>
          <w:lang w:val="fr-FR"/>
        </w:rPr>
        <w:t> </w:t>
      </w:r>
      <w:r w:rsidR="00CC10D5" w:rsidRPr="00882E58">
        <w:rPr>
          <w:lang w:val="fr-FR"/>
        </w:rPr>
        <w:t>20</w:t>
      </w:r>
      <w:r w:rsidRPr="00882E58">
        <w:rPr>
          <w:lang w:val="fr-FR"/>
        </w:rPr>
        <w:t>18.</w:t>
      </w:r>
    </w:p>
  </w:footnote>
  <w:footnote w:id="18">
    <w:p w:rsidR="00570715" w:rsidRPr="00882E58" w:rsidRDefault="00570715" w:rsidP="00772316">
      <w:pPr>
        <w:pStyle w:val="FootnoteText"/>
        <w:rPr>
          <w:lang w:val="fr-FR"/>
        </w:rPr>
      </w:pPr>
      <w:r w:rsidRPr="00882E58">
        <w:rPr>
          <w:rStyle w:val="FootnoteReference"/>
          <w:lang w:val="fr-FR"/>
        </w:rPr>
        <w:footnoteRef/>
      </w:r>
      <w:r w:rsidRPr="00882E58">
        <w:rPr>
          <w:lang w:val="fr-FR"/>
        </w:rPr>
        <w:t xml:space="preserve"> </w:t>
      </w:r>
      <w:r w:rsidRPr="00882E58">
        <w:rPr>
          <w:lang w:val="fr-FR"/>
        </w:rPr>
        <w:tab/>
        <w:t>La gestion des noms et adresses de l</w:t>
      </w:r>
      <w:r w:rsidR="00CC10D5">
        <w:rPr>
          <w:lang w:val="fr-FR"/>
        </w:rPr>
        <w:t>’</w:t>
      </w:r>
      <w:r w:rsidRPr="00882E58">
        <w:rPr>
          <w:lang w:val="fr-FR"/>
        </w:rPr>
        <w:t>Internet</w:t>
      </w:r>
      <w:r w:rsidR="00CC10D5">
        <w:rPr>
          <w:lang w:val="fr-FR"/>
        </w:rPr>
        <w:t> :</w:t>
      </w:r>
      <w:r w:rsidRPr="00882E58">
        <w:rPr>
          <w:lang w:val="fr-FR"/>
        </w:rPr>
        <w:t xml:space="preserve"> Questions de propriété intellectuelle – Rapport final concernant le premier processus de consultations de l</w:t>
      </w:r>
      <w:r w:rsidR="00CC10D5">
        <w:rPr>
          <w:lang w:val="fr-FR"/>
        </w:rPr>
        <w:t>’</w:t>
      </w:r>
      <w:r w:rsidRPr="00882E58">
        <w:rPr>
          <w:lang w:val="fr-FR"/>
        </w:rPr>
        <w:t>OMPI sur les noms de domaine de l</w:t>
      </w:r>
      <w:r w:rsidR="00CC10D5">
        <w:rPr>
          <w:lang w:val="fr-FR"/>
        </w:rPr>
        <w:t>’</w:t>
      </w:r>
      <w:r w:rsidRPr="00882E58">
        <w:rPr>
          <w:lang w:val="fr-FR"/>
        </w:rPr>
        <w:t>Internet, Publication de l</w:t>
      </w:r>
      <w:r w:rsidR="00CC10D5">
        <w:rPr>
          <w:lang w:val="fr-FR"/>
        </w:rPr>
        <w:t>’</w:t>
      </w:r>
      <w:r w:rsidRPr="00882E58">
        <w:rPr>
          <w:lang w:val="fr-FR"/>
        </w:rPr>
        <w:t>OMPI n° 439, également disponible à l</w:t>
      </w:r>
      <w:r w:rsidR="00CC10D5">
        <w:rPr>
          <w:lang w:val="fr-FR"/>
        </w:rPr>
        <w:t>’</w:t>
      </w:r>
      <w:r w:rsidRPr="00882E58">
        <w:rPr>
          <w:lang w:val="fr-FR"/>
        </w:rPr>
        <w:t>adresse</w:t>
      </w:r>
      <w:r w:rsidR="00401FB8">
        <w:rPr>
          <w:lang w:val="fr-FR"/>
        </w:rPr>
        <w:t> </w:t>
      </w:r>
      <w:r w:rsidRPr="00882E58">
        <w:rPr>
          <w:lang w:val="fr-FR"/>
        </w:rPr>
        <w:t>http://www.wipo.int/amc/fr/processes/process1/report.</w:t>
      </w:r>
    </w:p>
  </w:footnote>
  <w:footnote w:id="19">
    <w:p w:rsidR="00570715" w:rsidRPr="00882E58" w:rsidRDefault="00570715" w:rsidP="00A83F86">
      <w:pPr>
        <w:pStyle w:val="FootnoteText"/>
        <w:rPr>
          <w:lang w:val="fr-FR"/>
        </w:rPr>
      </w:pPr>
      <w:r w:rsidRPr="00882E58">
        <w:rPr>
          <w:rStyle w:val="FootnoteReference"/>
          <w:lang w:val="fr-FR"/>
        </w:rPr>
        <w:footnoteRef/>
      </w:r>
      <w:r w:rsidRPr="00882E58">
        <w:rPr>
          <w:lang w:val="fr-FR"/>
        </w:rPr>
        <w:t xml:space="preserve"> </w:t>
      </w:r>
      <w:r w:rsidRPr="00882E58">
        <w:rPr>
          <w:lang w:val="fr-FR"/>
        </w:rPr>
        <w:tab/>
        <w:t>La reconnaissance des droits et l</w:t>
      </w:r>
      <w:r w:rsidR="00CC10D5">
        <w:rPr>
          <w:lang w:val="fr-FR"/>
        </w:rPr>
        <w:t>’</w:t>
      </w:r>
      <w:r w:rsidRPr="00882E58">
        <w:rPr>
          <w:lang w:val="fr-FR"/>
        </w:rPr>
        <w:t>utilisation des noms dans le système des noms de domaine de l</w:t>
      </w:r>
      <w:r w:rsidR="00CC10D5">
        <w:rPr>
          <w:lang w:val="fr-FR"/>
        </w:rPr>
        <w:t>’</w:t>
      </w:r>
      <w:r w:rsidRPr="00882E58">
        <w:rPr>
          <w:lang w:val="fr-FR"/>
        </w:rPr>
        <w:t>Internet – Rapport concernant le deuxième processus de consultations de l</w:t>
      </w:r>
      <w:r w:rsidR="00CC10D5">
        <w:rPr>
          <w:lang w:val="fr-FR"/>
        </w:rPr>
        <w:t>’</w:t>
      </w:r>
      <w:r w:rsidRPr="00882E58">
        <w:rPr>
          <w:lang w:val="fr-FR"/>
        </w:rPr>
        <w:t>OMPI sur les noms de domaine de l</w:t>
      </w:r>
      <w:r w:rsidR="00CC10D5">
        <w:rPr>
          <w:lang w:val="fr-FR"/>
        </w:rPr>
        <w:t>’</w:t>
      </w:r>
      <w:r w:rsidRPr="00882E58">
        <w:rPr>
          <w:lang w:val="fr-FR"/>
        </w:rPr>
        <w:t>Internet, Publication de l</w:t>
      </w:r>
      <w:r w:rsidR="00CC10D5">
        <w:rPr>
          <w:lang w:val="fr-FR"/>
        </w:rPr>
        <w:t>’</w:t>
      </w:r>
      <w:r w:rsidRPr="00882E58">
        <w:rPr>
          <w:lang w:val="fr-FR"/>
        </w:rPr>
        <w:t>OMPI n° 843, également disponible à l</w:t>
      </w:r>
      <w:r w:rsidR="00CC10D5">
        <w:rPr>
          <w:lang w:val="fr-FR"/>
        </w:rPr>
        <w:t>’</w:t>
      </w:r>
      <w:r w:rsidRPr="00882E58">
        <w:rPr>
          <w:lang w:val="fr-FR"/>
        </w:rPr>
        <w:t>adresse</w:t>
      </w:r>
      <w:r w:rsidR="00401FB8">
        <w:rPr>
          <w:lang w:val="fr-FR"/>
        </w:rPr>
        <w:t> </w:t>
      </w:r>
      <w:r w:rsidRPr="00882E58">
        <w:rPr>
          <w:lang w:val="fr-FR"/>
        </w:rPr>
        <w:t>http://www.wipo.int/amc/fr/processes/process2/report.</w:t>
      </w:r>
    </w:p>
  </w:footnote>
  <w:footnote w:id="20">
    <w:p w:rsidR="00570715" w:rsidRPr="00882E58" w:rsidRDefault="00570715" w:rsidP="00982FB5">
      <w:pPr>
        <w:pStyle w:val="FootnoteText"/>
        <w:rPr>
          <w:lang w:val="fr-FR"/>
        </w:rPr>
      </w:pPr>
      <w:r w:rsidRPr="00882E58">
        <w:rPr>
          <w:rStyle w:val="FootnoteReference"/>
          <w:lang w:val="fr-FR"/>
        </w:rPr>
        <w:footnoteRef/>
      </w:r>
      <w:r w:rsidRPr="00882E58">
        <w:rPr>
          <w:lang w:val="fr-FR"/>
        </w:rPr>
        <w:t xml:space="preserve"> </w:t>
      </w:r>
      <w:r w:rsidRPr="00882E58">
        <w:rPr>
          <w:lang w:val="fr-FR"/>
        </w:rPr>
        <w:tab/>
        <w:t>Les principes UDRP ne préjugent pas du droit des parties de saisir un tribunal compétent, mais rares sont les litiges ayant fait l</w:t>
      </w:r>
      <w:r w:rsidR="00CC10D5">
        <w:rPr>
          <w:lang w:val="fr-FR"/>
        </w:rPr>
        <w:t>’</w:t>
      </w:r>
      <w:r w:rsidRPr="00882E58">
        <w:rPr>
          <w:lang w:val="fr-FR"/>
        </w:rPr>
        <w:t>objet d</w:t>
      </w:r>
      <w:r w:rsidR="00CC10D5">
        <w:rPr>
          <w:lang w:val="fr-FR"/>
        </w:rPr>
        <w:t>’</w:t>
      </w:r>
      <w:r w:rsidRPr="00882E58">
        <w:rPr>
          <w:lang w:val="fr-FR"/>
        </w:rPr>
        <w:t>un règlement au titre de ces principes qui ont également été portés devant un tribunal.  Voir le Recueil de jurisprudence en rapport avec les principes UDRP à l</w:t>
      </w:r>
      <w:r w:rsidR="00CC10D5">
        <w:rPr>
          <w:lang w:val="fr-FR"/>
        </w:rPr>
        <w:t>’</w:t>
      </w:r>
      <w:r w:rsidRPr="00882E58">
        <w:rPr>
          <w:lang w:val="fr-FR"/>
        </w:rPr>
        <w:t>adresse http://www.wipo.int/amc/fr/domains/challenged.</w:t>
      </w:r>
    </w:p>
  </w:footnote>
  <w:footnote w:id="21">
    <w:p w:rsidR="00570715" w:rsidRPr="00882E58" w:rsidRDefault="00570715" w:rsidP="00982FB5">
      <w:pPr>
        <w:pStyle w:val="FootnoteText"/>
        <w:rPr>
          <w:lang w:val="fr-FR"/>
        </w:rPr>
      </w:pPr>
      <w:r w:rsidRPr="00882E58">
        <w:rPr>
          <w:rStyle w:val="FootnoteReference"/>
          <w:lang w:val="fr-FR"/>
        </w:rPr>
        <w:footnoteRef/>
      </w:r>
      <w:r w:rsidRPr="00882E58">
        <w:rPr>
          <w:lang w:val="fr-FR"/>
        </w:rPr>
        <w:t xml:space="preserve"> </w:t>
      </w:r>
      <w:r w:rsidRPr="00882E58">
        <w:rPr>
          <w:lang w:val="fr-FR"/>
        </w:rPr>
        <w:tab/>
        <w:t>Le Centre publie en ligne des statistiques actualisées pour aider les parties à un litige, les experts, les conseils en marques, les détenteurs de noms de domaine enregistrés, les responsables des politiques applicables aux noms de domaine, les journalistes et les chercheurs.  Les statistiques disponibles englobent de nombreuses catégories, dont le domaine d</w:t>
      </w:r>
      <w:r w:rsidR="00CC10D5">
        <w:rPr>
          <w:lang w:val="fr-FR"/>
        </w:rPr>
        <w:t>’</w:t>
      </w:r>
      <w:r w:rsidRPr="00882E58">
        <w:rPr>
          <w:lang w:val="fr-FR"/>
        </w:rPr>
        <w:t>activité du requérant, les caractères de rédaction du nom de domaine et les 25</w:t>
      </w:r>
      <w:r w:rsidR="00401FB8">
        <w:rPr>
          <w:lang w:val="fr-FR"/>
        </w:rPr>
        <w:t> </w:t>
      </w:r>
      <w:r w:rsidRPr="00882E58">
        <w:rPr>
          <w:lang w:val="fr-FR"/>
        </w:rPr>
        <w:t xml:space="preserve">décisions les plus souvent citées dans les plaintes.  Voir http://www.wipo.int/amc/en/domains/statistics. </w:t>
      </w:r>
      <w:r w:rsidR="00E6003E">
        <w:rPr>
          <w:lang w:val="fr-FR"/>
        </w:rPr>
        <w:t xml:space="preserve"> </w:t>
      </w:r>
    </w:p>
  </w:footnote>
  <w:footnote w:id="22">
    <w:p w:rsidR="00570715" w:rsidRPr="00882E58" w:rsidRDefault="00570715" w:rsidP="00631213">
      <w:pPr>
        <w:pStyle w:val="FootnoteText"/>
        <w:rPr>
          <w:lang w:val="fr-FR"/>
        </w:rPr>
      </w:pPr>
      <w:r w:rsidRPr="00882E58">
        <w:rPr>
          <w:rStyle w:val="FootnoteReference"/>
          <w:lang w:val="fr-FR"/>
        </w:rPr>
        <w:footnoteRef/>
      </w:r>
      <w:r w:rsidRPr="00882E58">
        <w:rPr>
          <w:lang w:val="fr-FR"/>
        </w:rPr>
        <w:t xml:space="preserve"> </w:t>
      </w:r>
      <w:r w:rsidRPr="00882E58">
        <w:rPr>
          <w:lang w:val="fr-FR"/>
        </w:rPr>
        <w:tab/>
        <w:t>Par ordre alphabétique</w:t>
      </w:r>
      <w:r w:rsidR="00CC10D5">
        <w:rPr>
          <w:lang w:val="fr-FR"/>
        </w:rPr>
        <w:t> :</w:t>
      </w:r>
      <w:r w:rsidRPr="00882E58">
        <w:rPr>
          <w:lang w:val="fr-FR"/>
        </w:rPr>
        <w:t xml:space="preserve"> allemand, anglais, chinois, coréen, danois, espagnol, français, hébreu, italien, japonais, néerlandais, norvégien, polonais, portugais, roumain, russe, slovaque, suédois, tchèque, turc et vietnamien.</w:t>
      </w:r>
    </w:p>
  </w:footnote>
  <w:footnote w:id="23">
    <w:p w:rsidR="00570715" w:rsidRPr="00882E58" w:rsidRDefault="00570715" w:rsidP="00631213">
      <w:pPr>
        <w:pStyle w:val="FootnoteText"/>
        <w:rPr>
          <w:lang w:val="fr-FR"/>
        </w:rPr>
      </w:pPr>
      <w:r w:rsidRPr="00882E58">
        <w:rPr>
          <w:rStyle w:val="FootnoteReference"/>
          <w:lang w:val="fr-FR"/>
        </w:rPr>
        <w:footnoteRef/>
      </w:r>
      <w:r w:rsidRPr="00882E58">
        <w:rPr>
          <w:lang w:val="fr-FR"/>
        </w:rPr>
        <w:t xml:space="preserve"> </w:t>
      </w:r>
      <w:r w:rsidR="00821BBE">
        <w:rPr>
          <w:lang w:val="fr-FR"/>
        </w:rPr>
        <w:tab/>
        <w:t>Voir http://www.wipo.int/amc/en</w:t>
      </w:r>
      <w:r w:rsidRPr="00882E58">
        <w:rPr>
          <w:lang w:val="fr-FR"/>
        </w:rPr>
        <w:t>/domains/search/overview3.0/.</w:t>
      </w:r>
      <w:r w:rsidR="00E6003E">
        <w:rPr>
          <w:lang w:val="fr-FR"/>
        </w:rPr>
        <w:t xml:space="preserve"> </w:t>
      </w:r>
      <w:r w:rsidRPr="00882E58">
        <w:rPr>
          <w:lang w:val="fr-FR"/>
        </w:rPr>
        <w:t xml:space="preserve"> La portée élargie de la version</w:t>
      </w:r>
      <w:r w:rsidR="00401FB8">
        <w:rPr>
          <w:lang w:val="fr-FR"/>
        </w:rPr>
        <w:t> </w:t>
      </w:r>
      <w:r w:rsidRPr="00882E58">
        <w:rPr>
          <w:lang w:val="fr-FR"/>
        </w:rPr>
        <w:t>3.0 depuis la publication de la version</w:t>
      </w:r>
      <w:r w:rsidR="00401FB8">
        <w:rPr>
          <w:lang w:val="fr-FR"/>
        </w:rPr>
        <w:t> </w:t>
      </w:r>
      <w:r w:rsidRPr="00882E58">
        <w:rPr>
          <w:lang w:val="fr-FR"/>
        </w:rPr>
        <w:t xml:space="preserve">2.0 </w:t>
      </w:r>
      <w:r w:rsidR="00CC10D5" w:rsidRPr="00882E58">
        <w:rPr>
          <w:lang w:val="fr-FR"/>
        </w:rPr>
        <w:t>en</w:t>
      </w:r>
      <w:r w:rsidR="00CC10D5">
        <w:rPr>
          <w:lang w:val="fr-FR"/>
        </w:rPr>
        <w:t> </w:t>
      </w:r>
      <w:r w:rsidR="00CC10D5" w:rsidRPr="00882E58">
        <w:rPr>
          <w:lang w:val="fr-FR"/>
        </w:rPr>
        <w:t>2011</w:t>
      </w:r>
      <w:r w:rsidRPr="00882E58">
        <w:rPr>
          <w:lang w:val="fr-FR"/>
        </w:rPr>
        <w:t xml:space="preserve"> témoigne de l</w:t>
      </w:r>
      <w:r w:rsidR="00CC10D5">
        <w:rPr>
          <w:lang w:val="fr-FR"/>
        </w:rPr>
        <w:t>’</w:t>
      </w:r>
      <w:r w:rsidRPr="00882E58">
        <w:rPr>
          <w:lang w:val="fr-FR"/>
        </w:rPr>
        <w:t>évolution des litiges relatifs aux noms de domaine et des litiges administrés en vertu des principes UDRP, dont le nombre a pratiquement doublé depuis lors.  Cet instrument joue un rôle essentiel en ce qu</w:t>
      </w:r>
      <w:r w:rsidR="00CC10D5">
        <w:rPr>
          <w:lang w:val="fr-FR"/>
        </w:rPr>
        <w:t>’</w:t>
      </w:r>
      <w:r w:rsidRPr="00882E58">
        <w:rPr>
          <w:lang w:val="fr-FR"/>
        </w:rPr>
        <w:t xml:space="preserve">il contribue à préserver la cohérence de la jurisprudence dans ce domaine.  </w:t>
      </w:r>
    </w:p>
  </w:footnote>
  <w:footnote w:id="24">
    <w:p w:rsidR="00570715" w:rsidRPr="00882E58" w:rsidRDefault="00570715" w:rsidP="00631213">
      <w:pPr>
        <w:pStyle w:val="FootnoteText"/>
        <w:rPr>
          <w:lang w:val="fr-FR"/>
        </w:rPr>
      </w:pPr>
      <w:r w:rsidRPr="00882E58">
        <w:rPr>
          <w:rStyle w:val="FootnoteReference"/>
          <w:lang w:val="fr-FR"/>
        </w:rPr>
        <w:footnoteRef/>
      </w:r>
      <w:r w:rsidRPr="00882E58">
        <w:rPr>
          <w:lang w:val="fr-FR"/>
        </w:rPr>
        <w:t xml:space="preserve"> </w:t>
      </w:r>
      <w:r w:rsidRPr="00882E58">
        <w:rPr>
          <w:lang w:val="fr-FR"/>
        </w:rPr>
        <w:tab/>
        <w:t>Voir http://www.wipo.int/amc/fr/domains/search/legalindex/.</w:t>
      </w:r>
    </w:p>
  </w:footnote>
  <w:footnote w:id="25">
    <w:p w:rsidR="00570715" w:rsidRPr="00882E58" w:rsidRDefault="00570715" w:rsidP="00857EB6">
      <w:pPr>
        <w:pStyle w:val="FootnoteText"/>
        <w:rPr>
          <w:lang w:val="fr-FR"/>
        </w:rPr>
      </w:pPr>
      <w:r w:rsidRPr="00882E58">
        <w:rPr>
          <w:rStyle w:val="FootnoteReference"/>
          <w:lang w:val="fr-FR"/>
        </w:rPr>
        <w:footnoteRef/>
      </w:r>
      <w:r w:rsidRPr="00882E58">
        <w:rPr>
          <w:lang w:val="fr-FR"/>
        </w:rPr>
        <w:t xml:space="preserve"> </w:t>
      </w:r>
      <w:r w:rsidRPr="00882E58">
        <w:rPr>
          <w:lang w:val="fr-FR"/>
        </w:rPr>
        <w:tab/>
      </w:r>
      <w:r w:rsidR="00CC10D5" w:rsidRPr="00882E58">
        <w:rPr>
          <w:lang w:val="fr-FR"/>
        </w:rPr>
        <w:t>En</w:t>
      </w:r>
      <w:r w:rsidR="00CC10D5">
        <w:rPr>
          <w:lang w:val="fr-FR"/>
        </w:rPr>
        <w:t> </w:t>
      </w:r>
      <w:r w:rsidR="00CC10D5" w:rsidRPr="00882E58">
        <w:rPr>
          <w:lang w:val="fr-FR"/>
        </w:rPr>
        <w:t>2018</w:t>
      </w:r>
      <w:r w:rsidRPr="00882E58">
        <w:rPr>
          <w:lang w:val="fr-FR"/>
        </w:rPr>
        <w:t>, le Centre a publié à l</w:t>
      </w:r>
      <w:r w:rsidR="00CC10D5">
        <w:rPr>
          <w:lang w:val="fr-FR"/>
        </w:rPr>
        <w:t>’</w:t>
      </w:r>
      <w:r w:rsidRPr="00882E58">
        <w:rPr>
          <w:lang w:val="fr-FR"/>
        </w:rPr>
        <w:t>intention des parties des recommandations informelles de l</w:t>
      </w:r>
      <w:r w:rsidR="00CC10D5">
        <w:rPr>
          <w:lang w:val="fr-FR"/>
        </w:rPr>
        <w:t>’</w:t>
      </w:r>
      <w:r w:rsidRPr="00882E58">
        <w:rPr>
          <w:lang w:val="fr-FR"/>
        </w:rPr>
        <w:t>OMPI sur les conséquences pratiques Règlement général de l</w:t>
      </w:r>
      <w:r w:rsidR="00CC10D5">
        <w:rPr>
          <w:lang w:val="fr-FR"/>
        </w:rPr>
        <w:t>’</w:t>
      </w:r>
      <w:r w:rsidRPr="00882E58">
        <w:rPr>
          <w:lang w:val="fr-FR"/>
        </w:rPr>
        <w:t xml:space="preserve">Union européenne sur la protection des données (RGPD) sur les procédures UDRP.  Voir les </w:t>
      </w:r>
      <w:r w:rsidR="00CC10D5" w:rsidRPr="00882E58">
        <w:rPr>
          <w:lang w:val="fr-FR"/>
        </w:rPr>
        <w:t>paragraphes</w:t>
      </w:r>
      <w:r w:rsidR="00CC10D5">
        <w:rPr>
          <w:lang w:val="fr-FR"/>
        </w:rPr>
        <w:t> </w:t>
      </w:r>
      <w:r w:rsidR="00CC10D5" w:rsidRPr="00882E58">
        <w:rPr>
          <w:lang w:val="fr-FR"/>
        </w:rPr>
        <w:t>3</w:t>
      </w:r>
      <w:r w:rsidRPr="00882E58">
        <w:rPr>
          <w:lang w:val="fr-FR"/>
        </w:rPr>
        <w:t>1 à 33 ci</w:t>
      </w:r>
      <w:r w:rsidR="00CC10D5">
        <w:rPr>
          <w:lang w:val="fr-FR"/>
        </w:rPr>
        <w:t>-</w:t>
      </w:r>
      <w:r w:rsidRPr="00882E58">
        <w:rPr>
          <w:lang w:val="fr-FR"/>
        </w:rPr>
        <w:t>après.  Voir également le paragraphe 30 du document</w:t>
      </w:r>
      <w:r w:rsidR="00401FB8">
        <w:rPr>
          <w:lang w:val="fr-FR"/>
        </w:rPr>
        <w:t> </w:t>
      </w:r>
      <w:r w:rsidRPr="00882E58">
        <w:rPr>
          <w:lang w:val="fr-FR"/>
        </w:rPr>
        <w:t xml:space="preserve">WO/GA/47/14 et les </w:t>
      </w:r>
      <w:r w:rsidR="00CC10D5" w:rsidRPr="00882E58">
        <w:rPr>
          <w:lang w:val="fr-FR"/>
        </w:rPr>
        <w:t>paragraphes</w:t>
      </w:r>
      <w:r w:rsidR="00CC10D5">
        <w:rPr>
          <w:lang w:val="fr-FR"/>
        </w:rPr>
        <w:t> </w:t>
      </w:r>
      <w:r w:rsidR="00CC10D5" w:rsidRPr="00882E58">
        <w:rPr>
          <w:lang w:val="fr-FR"/>
        </w:rPr>
        <w:t>1</w:t>
      </w:r>
      <w:r w:rsidRPr="00882E58">
        <w:rPr>
          <w:lang w:val="fr-FR"/>
        </w:rPr>
        <w:t>4 à 16 du document</w:t>
      </w:r>
      <w:r w:rsidR="00401FB8">
        <w:rPr>
          <w:lang w:val="fr-FR"/>
        </w:rPr>
        <w:t> </w:t>
      </w:r>
      <w:r w:rsidRPr="00882E58">
        <w:rPr>
          <w:lang w:val="fr-FR"/>
        </w:rPr>
        <w:t>WO/GA/41/17</w:t>
      </w:r>
      <w:r w:rsidR="00E6003E">
        <w:rPr>
          <w:lang w:val="fr-FR"/>
        </w:rPr>
        <w:t> </w:t>
      </w:r>
      <w:r w:rsidRPr="00882E58">
        <w:rPr>
          <w:lang w:val="fr-FR"/>
        </w:rPr>
        <w:t xml:space="preserve">Rev.2.  </w:t>
      </w:r>
    </w:p>
  </w:footnote>
  <w:footnote w:id="26">
    <w:p w:rsidR="00570715" w:rsidRPr="00882E58" w:rsidRDefault="00570715" w:rsidP="00857EB6">
      <w:pPr>
        <w:pStyle w:val="FootnoteText"/>
        <w:rPr>
          <w:lang w:val="fr-FR"/>
        </w:rPr>
      </w:pPr>
      <w:r w:rsidRPr="00882E58">
        <w:rPr>
          <w:rStyle w:val="FootnoteReference"/>
          <w:lang w:val="fr-FR"/>
        </w:rPr>
        <w:footnoteRef/>
      </w:r>
      <w:r w:rsidRPr="00882E58">
        <w:rPr>
          <w:lang w:val="fr-FR"/>
        </w:rPr>
        <w:t xml:space="preserve"> </w:t>
      </w:r>
      <w:r w:rsidRPr="00882E58">
        <w:rPr>
          <w:lang w:val="fr-FR"/>
        </w:rPr>
        <w:tab/>
        <w:t>Voir la note</w:t>
      </w:r>
      <w:r w:rsidR="00401FB8">
        <w:rPr>
          <w:lang w:val="fr-FR"/>
        </w:rPr>
        <w:t> </w:t>
      </w:r>
      <w:r w:rsidRPr="00882E58">
        <w:rPr>
          <w:lang w:val="fr-FR"/>
        </w:rPr>
        <w:t>2 ci</w:t>
      </w:r>
      <w:r w:rsidR="00CC10D5">
        <w:rPr>
          <w:lang w:val="fr-FR"/>
        </w:rPr>
        <w:t>-</w:t>
      </w:r>
      <w:r w:rsidRPr="00882E58">
        <w:rPr>
          <w:lang w:val="fr-FR"/>
        </w:rPr>
        <w:t>dessus.</w:t>
      </w:r>
    </w:p>
  </w:footnote>
  <w:footnote w:id="27">
    <w:p w:rsidR="00570715" w:rsidRPr="00882E58" w:rsidRDefault="00570715" w:rsidP="00857EB6">
      <w:pPr>
        <w:pStyle w:val="FootnoteText"/>
        <w:rPr>
          <w:lang w:val="fr-FR"/>
        </w:rPr>
      </w:pPr>
      <w:r w:rsidRPr="00882E58">
        <w:rPr>
          <w:rStyle w:val="FootnoteReference"/>
          <w:lang w:val="fr-FR"/>
        </w:rPr>
        <w:footnoteRef/>
      </w:r>
      <w:r w:rsidRPr="00882E58">
        <w:rPr>
          <w:lang w:val="fr-FR"/>
        </w:rPr>
        <w:t xml:space="preserve"> </w:t>
      </w:r>
      <w:r w:rsidR="00821BBE">
        <w:rPr>
          <w:lang w:val="fr-FR"/>
        </w:rPr>
        <w:tab/>
        <w:t>Voir http://www.wipo.int/amc/en</w:t>
      </w:r>
      <w:r w:rsidRPr="00882E58">
        <w:rPr>
          <w:lang w:val="fr-FR"/>
        </w:rPr>
        <w:t>/new/eu.html.</w:t>
      </w:r>
    </w:p>
  </w:footnote>
  <w:footnote w:id="28">
    <w:p w:rsidR="00570715" w:rsidRPr="00882E58" w:rsidRDefault="00570715" w:rsidP="00857EB6">
      <w:pPr>
        <w:pStyle w:val="FootnoteText"/>
        <w:rPr>
          <w:lang w:val="fr-FR"/>
        </w:rPr>
      </w:pPr>
      <w:r w:rsidRPr="00882E58">
        <w:rPr>
          <w:rStyle w:val="FootnoteReference"/>
          <w:lang w:val="fr-FR"/>
        </w:rPr>
        <w:footnoteRef/>
      </w:r>
      <w:r w:rsidRPr="00882E58">
        <w:rPr>
          <w:lang w:val="fr-FR"/>
        </w:rPr>
        <w:t xml:space="preserve"> </w:t>
      </w:r>
      <w:r w:rsidRPr="00882E58">
        <w:rPr>
          <w:lang w:val="fr-FR"/>
        </w:rPr>
        <w:tab/>
        <w:t>La liste complète des ccTLD qui ont désigné le Centre comme prestataire de services de règlement des litiges relatifs aux noms de domaine est disponible à l</w:t>
      </w:r>
      <w:r w:rsidR="00CC10D5">
        <w:rPr>
          <w:lang w:val="fr-FR"/>
        </w:rPr>
        <w:t>’</w:t>
      </w:r>
      <w:r w:rsidRPr="00882E58">
        <w:rPr>
          <w:lang w:val="fr-FR"/>
        </w:rPr>
        <w:t xml:space="preserve">adresse http://www.wipo.int/amc/fr/domains/cctld.  </w:t>
      </w:r>
      <w:r>
        <w:rPr>
          <w:lang w:val="fr-FR"/>
        </w:rPr>
        <w:t>Depuis la mi</w:t>
      </w:r>
      <w:r w:rsidR="00CC10D5">
        <w:rPr>
          <w:lang w:val="fr-FR"/>
        </w:rPr>
        <w:t>-</w:t>
      </w:r>
      <w:r w:rsidRPr="00882E58">
        <w:rPr>
          <w:lang w:val="fr-FR"/>
        </w:rPr>
        <w:t>2017, le Centre fournit des services pour les enregistrements en .eu et .</w:t>
      </w:r>
      <w:proofErr w:type="spellStart"/>
      <w:r w:rsidRPr="00882E58">
        <w:rPr>
          <w:lang w:val="fr-FR"/>
        </w:rPr>
        <w:t>eю</w:t>
      </w:r>
      <w:proofErr w:type="spellEnd"/>
      <w:r w:rsidRPr="00882E58">
        <w:rPr>
          <w:lang w:val="fr-FR"/>
        </w:rPr>
        <w:t xml:space="preserve"> (alphabet cyrillique), dans les 24</w:t>
      </w:r>
      <w:r w:rsidR="00401FB8">
        <w:rPr>
          <w:lang w:val="fr-FR"/>
        </w:rPr>
        <w:t> </w:t>
      </w:r>
      <w:r w:rsidRPr="00882E58">
        <w:rPr>
          <w:lang w:val="fr-FR"/>
        </w:rPr>
        <w:t>langues officielles de l</w:t>
      </w:r>
      <w:r w:rsidR="00CC10D5">
        <w:rPr>
          <w:lang w:val="fr-FR"/>
        </w:rPr>
        <w:t>’</w:t>
      </w:r>
      <w:r w:rsidRPr="00882E58">
        <w:rPr>
          <w:lang w:val="fr-FR"/>
        </w:rPr>
        <w:t>UE, ainsi que pour le service d</w:t>
      </w:r>
      <w:r w:rsidR="00CC10D5">
        <w:rPr>
          <w:lang w:val="fr-FR"/>
        </w:rPr>
        <w:t>’</w:t>
      </w:r>
      <w:r w:rsidRPr="00882E58">
        <w:rPr>
          <w:lang w:val="fr-FR"/>
        </w:rPr>
        <w:t xml:space="preserve">enregistrement dans le domaine .SE (Suède). </w:t>
      </w:r>
      <w:r w:rsidR="00E6003E">
        <w:rPr>
          <w:lang w:val="fr-FR"/>
        </w:rPr>
        <w:t xml:space="preserve"> </w:t>
      </w:r>
    </w:p>
  </w:footnote>
  <w:footnote w:id="29">
    <w:p w:rsidR="00570715" w:rsidRPr="00882E58" w:rsidRDefault="00570715" w:rsidP="00963623">
      <w:pPr>
        <w:pStyle w:val="FootnoteText"/>
        <w:rPr>
          <w:lang w:val="fr-FR"/>
        </w:rPr>
      </w:pPr>
      <w:r w:rsidRPr="00882E58">
        <w:rPr>
          <w:rStyle w:val="FootnoteReference"/>
          <w:lang w:val="fr-FR"/>
        </w:rPr>
        <w:footnoteRef/>
      </w:r>
      <w:r w:rsidRPr="00882E58">
        <w:rPr>
          <w:lang w:val="fr-FR"/>
        </w:rPr>
        <w:t xml:space="preserve"> </w:t>
      </w:r>
      <w:r w:rsidRPr="00882E58">
        <w:rPr>
          <w:lang w:val="fr-FR"/>
        </w:rPr>
        <w:tab/>
        <w:t>Par exemple, la page du Centre consacrée au domaine .CH (Suisse) est désormais disponible en allemand et en italien, outre le français, l</w:t>
      </w:r>
      <w:r w:rsidR="00CC10D5">
        <w:rPr>
          <w:lang w:val="fr-FR"/>
        </w:rPr>
        <w:t>’</w:t>
      </w:r>
      <w:r w:rsidRPr="00882E58">
        <w:rPr>
          <w:lang w:val="fr-FR"/>
        </w:rPr>
        <w:t>anglais et l</w:t>
      </w:r>
      <w:r w:rsidR="00CC10D5">
        <w:rPr>
          <w:lang w:val="fr-FR"/>
        </w:rPr>
        <w:t>’</w:t>
      </w:r>
      <w:r w:rsidRPr="00882E58">
        <w:rPr>
          <w:lang w:val="fr-FR"/>
        </w:rPr>
        <w:t>espagnol.</w:t>
      </w:r>
    </w:p>
  </w:footnote>
  <w:footnote w:id="30">
    <w:p w:rsidR="00570715" w:rsidRPr="00882E58" w:rsidRDefault="00570715" w:rsidP="00963623">
      <w:pPr>
        <w:pStyle w:val="FootnoteText"/>
        <w:rPr>
          <w:lang w:val="fr-FR"/>
        </w:rPr>
      </w:pPr>
      <w:r w:rsidRPr="00882E58">
        <w:rPr>
          <w:rStyle w:val="FootnoteReference"/>
          <w:lang w:val="fr-FR"/>
        </w:rPr>
        <w:footnoteRef/>
      </w:r>
      <w:r w:rsidRPr="00882E58">
        <w:rPr>
          <w:lang w:val="fr-FR"/>
        </w:rPr>
        <w:t xml:space="preserve"> </w:t>
      </w:r>
      <w:r w:rsidRPr="00882E58">
        <w:rPr>
          <w:lang w:val="fr-FR"/>
        </w:rPr>
        <w:tab/>
        <w:t xml:space="preserve">Voir http://www.wipo.int/amc/fr/domains/cctld/. </w:t>
      </w:r>
      <w:r w:rsidR="00E6003E">
        <w:rPr>
          <w:lang w:val="fr-FR"/>
        </w:rPr>
        <w:t xml:space="preserve"> </w:t>
      </w:r>
    </w:p>
  </w:footnote>
  <w:footnote w:id="31">
    <w:p w:rsidR="00570715" w:rsidRPr="00882E58" w:rsidRDefault="00570715" w:rsidP="00E45323">
      <w:pPr>
        <w:pStyle w:val="FootnoteText"/>
        <w:rPr>
          <w:lang w:val="fr-FR"/>
        </w:rPr>
      </w:pPr>
      <w:r w:rsidRPr="00882E58">
        <w:rPr>
          <w:rStyle w:val="FootnoteReference"/>
          <w:lang w:val="fr-FR"/>
        </w:rPr>
        <w:footnoteRef/>
      </w:r>
      <w:r w:rsidRPr="00882E58">
        <w:rPr>
          <w:lang w:val="fr-FR"/>
        </w:rPr>
        <w:t xml:space="preserve"> </w:t>
      </w:r>
      <w:r w:rsidRPr="00882E58">
        <w:rPr>
          <w:lang w:val="fr-FR"/>
        </w:rPr>
        <w:tab/>
        <w:t>Voir http://www.icann.org/fr/minutes/resolutions</w:t>
      </w:r>
      <w:r w:rsidR="00CC10D5">
        <w:rPr>
          <w:lang w:val="fr-FR"/>
        </w:rPr>
        <w:t>-</w:t>
      </w:r>
      <w:r w:rsidRPr="00882E58">
        <w:rPr>
          <w:lang w:val="fr-FR"/>
        </w:rPr>
        <w:t>20jun11</w:t>
      </w:r>
      <w:r w:rsidR="00CC10D5">
        <w:rPr>
          <w:lang w:val="fr-FR"/>
        </w:rPr>
        <w:t>-</w:t>
      </w:r>
      <w:r w:rsidRPr="00882E58">
        <w:rPr>
          <w:lang w:val="fr-FR"/>
        </w:rPr>
        <w:t>fr.htm.  Pour davantage d</w:t>
      </w:r>
      <w:r w:rsidR="00CC10D5">
        <w:rPr>
          <w:lang w:val="fr-FR"/>
        </w:rPr>
        <w:t>’</w:t>
      </w:r>
      <w:r w:rsidRPr="00882E58">
        <w:rPr>
          <w:lang w:val="fr-FR"/>
        </w:rPr>
        <w:t xml:space="preserve">informations, </w:t>
      </w:r>
      <w:r w:rsidR="00CC10D5">
        <w:rPr>
          <w:lang w:val="fr-FR"/>
        </w:rPr>
        <w:t>y compris</w:t>
      </w:r>
      <w:r w:rsidRPr="00882E58">
        <w:rPr>
          <w:lang w:val="fr-FR"/>
        </w:rPr>
        <w:t xml:space="preserve"> des références, voir le document</w:t>
      </w:r>
      <w:r w:rsidR="00401FB8">
        <w:rPr>
          <w:lang w:val="fr-FR"/>
        </w:rPr>
        <w:t> </w:t>
      </w:r>
      <w:r w:rsidRPr="00882E58">
        <w:rPr>
          <w:lang w:val="fr-FR"/>
        </w:rPr>
        <w:t xml:space="preserve">WO/GA/39/10, en particulier le </w:t>
      </w:r>
      <w:r w:rsidR="00CC10D5" w:rsidRPr="00882E58">
        <w:rPr>
          <w:lang w:val="fr-FR"/>
        </w:rPr>
        <w:t>paragraphe</w:t>
      </w:r>
      <w:r w:rsidR="00CC10D5">
        <w:rPr>
          <w:lang w:val="fr-FR"/>
        </w:rPr>
        <w:t> </w:t>
      </w:r>
      <w:r w:rsidR="00CC10D5" w:rsidRPr="00882E58">
        <w:rPr>
          <w:lang w:val="fr-FR"/>
        </w:rPr>
        <w:t>1</w:t>
      </w:r>
      <w:r w:rsidRPr="00882E58">
        <w:rPr>
          <w:lang w:val="fr-FR"/>
        </w:rPr>
        <w:t>4.</w:t>
      </w:r>
    </w:p>
  </w:footnote>
  <w:footnote w:id="32">
    <w:p w:rsidR="00570715" w:rsidRPr="00882E58" w:rsidRDefault="00570715" w:rsidP="00E45323">
      <w:pPr>
        <w:pStyle w:val="FootnoteText"/>
        <w:rPr>
          <w:lang w:val="fr-FR"/>
        </w:rPr>
      </w:pPr>
      <w:r w:rsidRPr="00882E58">
        <w:rPr>
          <w:rStyle w:val="FootnoteReference"/>
          <w:lang w:val="fr-FR"/>
        </w:rPr>
        <w:footnoteRef/>
      </w:r>
      <w:r w:rsidRPr="00882E58">
        <w:rPr>
          <w:lang w:val="fr-FR"/>
        </w:rPr>
        <w:t xml:space="preserve"> </w:t>
      </w:r>
      <w:r w:rsidRPr="00882E58">
        <w:rPr>
          <w:lang w:val="fr-FR"/>
        </w:rPr>
        <w:tab/>
        <w:t xml:space="preserve">La version actuelle du </w:t>
      </w:r>
      <w:r>
        <w:rPr>
          <w:lang w:val="fr-FR"/>
        </w:rPr>
        <w:t>“</w:t>
      </w:r>
      <w:r w:rsidRPr="00882E58">
        <w:rPr>
          <w:lang w:val="fr-FR"/>
        </w:rPr>
        <w:t>Guide de candidature</w:t>
      </w:r>
      <w:r>
        <w:rPr>
          <w:lang w:val="fr-FR"/>
        </w:rPr>
        <w:t>”</w:t>
      </w:r>
      <w:r w:rsidRPr="00882E58">
        <w:rPr>
          <w:lang w:val="fr-FR"/>
        </w:rPr>
        <w:t xml:space="preserve"> de l</w:t>
      </w:r>
      <w:r w:rsidR="00CC10D5">
        <w:rPr>
          <w:lang w:val="fr-FR"/>
        </w:rPr>
        <w:t>’</w:t>
      </w:r>
      <w:r w:rsidRPr="00882E58">
        <w:rPr>
          <w:lang w:val="fr-FR"/>
        </w:rPr>
        <w:t>ICANN est publiée à l</w:t>
      </w:r>
      <w:r w:rsidR="00CC10D5">
        <w:rPr>
          <w:lang w:val="fr-FR"/>
        </w:rPr>
        <w:t>’</w:t>
      </w:r>
      <w:r w:rsidRPr="00882E58">
        <w:rPr>
          <w:lang w:val="fr-FR"/>
        </w:rPr>
        <w:t xml:space="preserve">adresse http://newgtlds.icann.org/en/applicants/agb. </w:t>
      </w:r>
      <w:r w:rsidR="00E6003E">
        <w:rPr>
          <w:lang w:val="fr-FR"/>
        </w:rPr>
        <w:t xml:space="preserve"> </w:t>
      </w:r>
    </w:p>
  </w:footnote>
  <w:footnote w:id="33">
    <w:p w:rsidR="00570715" w:rsidRPr="00882E58" w:rsidRDefault="00570715" w:rsidP="00E45323">
      <w:pPr>
        <w:pStyle w:val="FootnoteText"/>
        <w:rPr>
          <w:lang w:val="fr-FR"/>
        </w:rPr>
      </w:pPr>
      <w:r w:rsidRPr="00882E58">
        <w:rPr>
          <w:rStyle w:val="FootnoteReference"/>
          <w:lang w:val="fr-FR"/>
        </w:rPr>
        <w:footnoteRef/>
      </w:r>
      <w:r w:rsidRPr="00882E58">
        <w:rPr>
          <w:lang w:val="fr-FR"/>
        </w:rPr>
        <w:t xml:space="preserve"> </w:t>
      </w:r>
      <w:r w:rsidRPr="00882E58">
        <w:rPr>
          <w:lang w:val="fr-FR"/>
        </w:rPr>
        <w:tab/>
        <w:t>La liste des nouveaux gTLD attribués figure à l</w:t>
      </w:r>
      <w:r w:rsidR="00CC10D5">
        <w:rPr>
          <w:lang w:val="fr-FR"/>
        </w:rPr>
        <w:t>’</w:t>
      </w:r>
      <w:r w:rsidRPr="00882E58">
        <w:rPr>
          <w:lang w:val="fr-FR"/>
        </w:rPr>
        <w:t>adresse http://newgtlds.icann.org/en/program</w:t>
      </w:r>
      <w:r w:rsidR="00CC10D5">
        <w:rPr>
          <w:lang w:val="fr-FR"/>
        </w:rPr>
        <w:t>-</w:t>
      </w:r>
      <w:r w:rsidRPr="00882E58">
        <w:rPr>
          <w:lang w:val="fr-FR"/>
        </w:rPr>
        <w:t>status/delegated</w:t>
      </w:r>
      <w:r w:rsidR="00CC10D5">
        <w:rPr>
          <w:lang w:val="fr-FR"/>
        </w:rPr>
        <w:t>-</w:t>
      </w:r>
      <w:r w:rsidRPr="00882E58">
        <w:rPr>
          <w:lang w:val="fr-FR"/>
        </w:rPr>
        <w:t xml:space="preserve">strings.  </w:t>
      </w:r>
    </w:p>
  </w:footnote>
  <w:footnote w:id="34">
    <w:p w:rsidR="00570715" w:rsidRPr="00882E58" w:rsidRDefault="00570715" w:rsidP="00E45323">
      <w:pPr>
        <w:pStyle w:val="FootnoteText"/>
        <w:rPr>
          <w:lang w:val="fr-FR"/>
        </w:rPr>
      </w:pPr>
      <w:r w:rsidRPr="00882E58">
        <w:rPr>
          <w:rStyle w:val="FootnoteReference"/>
          <w:lang w:val="fr-FR"/>
        </w:rPr>
        <w:footnoteRef/>
      </w:r>
      <w:r w:rsidRPr="00882E58">
        <w:rPr>
          <w:lang w:val="fr-FR"/>
        </w:rPr>
        <w:t xml:space="preserve"> </w:t>
      </w:r>
      <w:r w:rsidRPr="00882E58">
        <w:rPr>
          <w:lang w:val="fr-FR"/>
        </w:rPr>
        <w:tab/>
        <w:t>Pour davantage d</w:t>
      </w:r>
      <w:r w:rsidR="00CC10D5">
        <w:rPr>
          <w:lang w:val="fr-FR"/>
        </w:rPr>
        <w:t>’</w:t>
      </w:r>
      <w:r w:rsidRPr="00882E58">
        <w:rPr>
          <w:lang w:val="fr-FR"/>
        </w:rPr>
        <w:t xml:space="preserve">informations, </w:t>
      </w:r>
      <w:r w:rsidR="00CC10D5">
        <w:rPr>
          <w:lang w:val="fr-FR"/>
        </w:rPr>
        <w:t>y compris</w:t>
      </w:r>
      <w:r w:rsidRPr="00882E58">
        <w:rPr>
          <w:lang w:val="fr-FR"/>
        </w:rPr>
        <w:t xml:space="preserve"> des références, voir le document</w:t>
      </w:r>
      <w:r w:rsidR="00401FB8">
        <w:rPr>
          <w:lang w:val="fr-FR"/>
        </w:rPr>
        <w:t> </w:t>
      </w:r>
      <w:r w:rsidRPr="00882E58">
        <w:rPr>
          <w:lang w:val="fr-FR"/>
        </w:rPr>
        <w:t xml:space="preserve">WO/GA/39/10, en particulier les </w:t>
      </w:r>
      <w:r w:rsidR="00CC10D5" w:rsidRPr="00882E58">
        <w:rPr>
          <w:lang w:val="fr-FR"/>
        </w:rPr>
        <w:t>paragraphes</w:t>
      </w:r>
      <w:r w:rsidR="00CC10D5">
        <w:rPr>
          <w:lang w:val="fr-FR"/>
        </w:rPr>
        <w:t> </w:t>
      </w:r>
      <w:r w:rsidR="00CC10D5" w:rsidRPr="00882E58">
        <w:rPr>
          <w:lang w:val="fr-FR"/>
        </w:rPr>
        <w:t>2</w:t>
      </w:r>
      <w:r w:rsidRPr="00882E58">
        <w:rPr>
          <w:lang w:val="fr-FR"/>
        </w:rPr>
        <w:t>3 à 30.  Il convient de noter ici que l</w:t>
      </w:r>
      <w:r w:rsidR="00CC10D5">
        <w:rPr>
          <w:lang w:val="fr-FR"/>
        </w:rPr>
        <w:t>’</w:t>
      </w:r>
      <w:r w:rsidRPr="00882E58">
        <w:rPr>
          <w:lang w:val="fr-FR"/>
        </w:rPr>
        <w:t>ICANN a rejeté une proposition en faveur d</w:t>
      </w:r>
      <w:r w:rsidR="00CC10D5">
        <w:rPr>
          <w:lang w:val="fr-FR"/>
        </w:rPr>
        <w:t>’</w:t>
      </w:r>
      <w:r w:rsidRPr="00882E58">
        <w:rPr>
          <w:lang w:val="fr-FR"/>
        </w:rPr>
        <w:t xml:space="preserve">une </w:t>
      </w:r>
      <w:r>
        <w:rPr>
          <w:lang w:val="fr-FR"/>
        </w:rPr>
        <w:t>“</w:t>
      </w:r>
      <w:r w:rsidRPr="00882E58">
        <w:rPr>
          <w:lang w:val="fr-FR"/>
        </w:rPr>
        <w:t>Liste des marques protégées au niveau international</w:t>
      </w:r>
      <w:r>
        <w:rPr>
          <w:lang w:val="fr-FR"/>
        </w:rPr>
        <w:t>”</w:t>
      </w:r>
      <w:r w:rsidRPr="00882E58">
        <w:rPr>
          <w:lang w:val="fr-FR"/>
        </w:rPr>
        <w:t>.</w:t>
      </w:r>
    </w:p>
  </w:footnote>
  <w:footnote w:id="35">
    <w:p w:rsidR="00570715" w:rsidRPr="00882E58" w:rsidRDefault="00570715" w:rsidP="00D91E89">
      <w:pPr>
        <w:pStyle w:val="FootnoteText"/>
        <w:rPr>
          <w:lang w:val="fr-FR"/>
        </w:rPr>
      </w:pPr>
      <w:r w:rsidRPr="00882E58">
        <w:rPr>
          <w:rStyle w:val="FootnoteReference"/>
          <w:lang w:val="fr-FR"/>
        </w:rPr>
        <w:footnoteRef/>
      </w:r>
      <w:r w:rsidRPr="00882E58">
        <w:rPr>
          <w:lang w:val="fr-FR"/>
        </w:rPr>
        <w:t xml:space="preserve"> </w:t>
      </w:r>
      <w:r w:rsidRPr="00882E58">
        <w:rPr>
          <w:lang w:val="fr-FR"/>
        </w:rPr>
        <w:tab/>
        <w:t>Les autres motifs d</w:t>
      </w:r>
      <w:r w:rsidR="00CC10D5">
        <w:rPr>
          <w:lang w:val="fr-FR"/>
        </w:rPr>
        <w:t>’</w:t>
      </w:r>
      <w:r w:rsidRPr="00882E58">
        <w:rPr>
          <w:lang w:val="fr-FR"/>
        </w:rPr>
        <w:t>objection reconnus par l</w:t>
      </w:r>
      <w:r w:rsidR="00CC10D5">
        <w:rPr>
          <w:lang w:val="fr-FR"/>
        </w:rPr>
        <w:t>’</w:t>
      </w:r>
      <w:r w:rsidRPr="00882E58">
        <w:rPr>
          <w:lang w:val="fr-FR"/>
        </w:rPr>
        <w:t>ICANN étaient</w:t>
      </w:r>
      <w:r w:rsidR="00CC10D5">
        <w:rPr>
          <w:lang w:val="fr-FR"/>
        </w:rPr>
        <w:t> :</w:t>
      </w:r>
      <w:r w:rsidRPr="00882E58">
        <w:rPr>
          <w:lang w:val="fr-FR"/>
        </w:rPr>
        <w:t xml:space="preserve"> </w:t>
      </w:r>
      <w:r>
        <w:rPr>
          <w:lang w:val="fr-FR"/>
        </w:rPr>
        <w:t>“</w:t>
      </w:r>
      <w:r w:rsidRPr="00882E58">
        <w:rPr>
          <w:lang w:val="fr-FR"/>
        </w:rPr>
        <w:t>objections relatives aux chaînes de caractères prêtant à confusion</w:t>
      </w:r>
      <w:r>
        <w:rPr>
          <w:lang w:val="fr-FR"/>
        </w:rPr>
        <w:t>”</w:t>
      </w:r>
      <w:r w:rsidRPr="00882E58">
        <w:rPr>
          <w:lang w:val="fr-FR"/>
        </w:rPr>
        <w:t xml:space="preserve">, </w:t>
      </w:r>
      <w:r>
        <w:rPr>
          <w:lang w:val="fr-FR"/>
        </w:rPr>
        <w:t>“</w:t>
      </w:r>
      <w:r w:rsidRPr="00882E58">
        <w:rPr>
          <w:lang w:val="fr-FR"/>
        </w:rPr>
        <w:t>objections à titre communautaire</w:t>
      </w:r>
      <w:r>
        <w:rPr>
          <w:lang w:val="fr-FR"/>
        </w:rPr>
        <w:t>”</w:t>
      </w:r>
      <w:r w:rsidRPr="00882E58">
        <w:rPr>
          <w:lang w:val="fr-FR"/>
        </w:rPr>
        <w:t xml:space="preserve"> et </w:t>
      </w:r>
      <w:r>
        <w:rPr>
          <w:lang w:val="fr-FR"/>
        </w:rPr>
        <w:t>“</w:t>
      </w:r>
      <w:r w:rsidRPr="00882E58">
        <w:rPr>
          <w:lang w:val="fr-FR"/>
        </w:rPr>
        <w:t>objections limitées à titre d</w:t>
      </w:r>
      <w:r w:rsidR="00CC10D5">
        <w:rPr>
          <w:lang w:val="fr-FR"/>
        </w:rPr>
        <w:t>’</w:t>
      </w:r>
      <w:r w:rsidRPr="00882E58">
        <w:rPr>
          <w:lang w:val="fr-FR"/>
        </w:rPr>
        <w:t>intérêt public</w:t>
      </w:r>
      <w:r>
        <w:rPr>
          <w:lang w:val="fr-FR"/>
        </w:rPr>
        <w:t>”</w:t>
      </w:r>
      <w:r w:rsidRPr="00882E58">
        <w:rPr>
          <w:lang w:val="fr-FR"/>
        </w:rPr>
        <w:t>.  Le Guide de candidature prévoit par ailleurs plusieurs autres procédures dont peuvent se prévaloir les gouvernements suite à l</w:t>
      </w:r>
      <w:r w:rsidR="00CC10D5">
        <w:rPr>
          <w:lang w:val="fr-FR"/>
        </w:rPr>
        <w:t>’</w:t>
      </w:r>
      <w:r w:rsidRPr="00882E58">
        <w:rPr>
          <w:lang w:val="fr-FR"/>
        </w:rPr>
        <w:t>annonce par l</w:t>
      </w:r>
      <w:r w:rsidR="00CC10D5">
        <w:rPr>
          <w:lang w:val="fr-FR"/>
        </w:rPr>
        <w:t>’</w:t>
      </w:r>
      <w:r w:rsidRPr="00882E58">
        <w:rPr>
          <w:lang w:val="fr-FR"/>
        </w:rPr>
        <w:t xml:space="preserve">ICANN de nouvelles demandes de gTLD.  À cet égard, la </w:t>
      </w:r>
      <w:r w:rsidR="00CC10D5" w:rsidRPr="00882E58">
        <w:rPr>
          <w:lang w:val="fr-FR"/>
        </w:rPr>
        <w:t>section</w:t>
      </w:r>
      <w:r w:rsidR="00CC10D5">
        <w:rPr>
          <w:lang w:val="fr-FR"/>
        </w:rPr>
        <w:t> </w:t>
      </w:r>
      <w:r w:rsidR="00CC10D5" w:rsidRPr="00882E58">
        <w:rPr>
          <w:lang w:val="fr-FR"/>
        </w:rPr>
        <w:t>1</w:t>
      </w:r>
      <w:r w:rsidRPr="00882E58">
        <w:rPr>
          <w:lang w:val="fr-FR"/>
        </w:rPr>
        <w:t>.1.2.4 prévoit l</w:t>
      </w:r>
      <w:r w:rsidR="00CC10D5">
        <w:rPr>
          <w:lang w:val="fr-FR"/>
        </w:rPr>
        <w:t>’</w:t>
      </w:r>
      <w:r>
        <w:rPr>
          <w:lang w:val="fr-FR"/>
        </w:rPr>
        <w:t>“</w:t>
      </w:r>
      <w:r w:rsidRPr="00882E58">
        <w:rPr>
          <w:lang w:val="fr-FR"/>
        </w:rPr>
        <w:t>Avertissement anticipé</w:t>
      </w:r>
      <w:r w:rsidR="00CC10D5" w:rsidRPr="00882E58">
        <w:rPr>
          <w:lang w:val="fr-FR"/>
        </w:rPr>
        <w:t xml:space="preserve"> du</w:t>
      </w:r>
      <w:r w:rsidR="00CC10D5">
        <w:rPr>
          <w:lang w:val="fr-FR"/>
        </w:rPr>
        <w:t> </w:t>
      </w:r>
      <w:r w:rsidR="00CC10D5" w:rsidRPr="00882E58">
        <w:rPr>
          <w:lang w:val="fr-FR"/>
        </w:rPr>
        <w:t>GAC</w:t>
      </w:r>
      <w:r>
        <w:rPr>
          <w:lang w:val="fr-FR"/>
        </w:rPr>
        <w:t>”</w:t>
      </w:r>
      <w:r w:rsidRPr="00882E58">
        <w:rPr>
          <w:lang w:val="fr-FR"/>
        </w:rPr>
        <w:t xml:space="preserve"> et la </w:t>
      </w:r>
      <w:r w:rsidR="00CC10D5" w:rsidRPr="00882E58">
        <w:rPr>
          <w:lang w:val="fr-FR"/>
        </w:rPr>
        <w:t>section</w:t>
      </w:r>
      <w:r w:rsidR="00CC10D5">
        <w:rPr>
          <w:lang w:val="fr-FR"/>
        </w:rPr>
        <w:t> </w:t>
      </w:r>
      <w:r w:rsidR="00CC10D5" w:rsidRPr="00882E58">
        <w:rPr>
          <w:lang w:val="fr-FR"/>
        </w:rPr>
        <w:t>1</w:t>
      </w:r>
      <w:r w:rsidRPr="00882E58">
        <w:rPr>
          <w:lang w:val="fr-FR"/>
        </w:rPr>
        <w:t xml:space="preserve">.1.2.7 la </w:t>
      </w:r>
      <w:r>
        <w:rPr>
          <w:lang w:val="fr-FR"/>
        </w:rPr>
        <w:t>“</w:t>
      </w:r>
      <w:r w:rsidRPr="00882E58">
        <w:rPr>
          <w:lang w:val="fr-FR"/>
        </w:rPr>
        <w:t>Réception d</w:t>
      </w:r>
      <w:r w:rsidR="00CC10D5">
        <w:rPr>
          <w:lang w:val="fr-FR"/>
        </w:rPr>
        <w:t>’</w:t>
      </w:r>
      <w:r w:rsidRPr="00882E58">
        <w:rPr>
          <w:lang w:val="fr-FR"/>
        </w:rPr>
        <w:t>avis</w:t>
      </w:r>
      <w:r w:rsidR="00CC10D5" w:rsidRPr="00882E58">
        <w:rPr>
          <w:lang w:val="fr-FR"/>
        </w:rPr>
        <w:t xml:space="preserve"> du</w:t>
      </w:r>
      <w:r w:rsidR="00CC10D5">
        <w:rPr>
          <w:lang w:val="fr-FR"/>
        </w:rPr>
        <w:t> </w:t>
      </w:r>
      <w:r w:rsidR="00CC10D5" w:rsidRPr="00882E58">
        <w:rPr>
          <w:lang w:val="fr-FR"/>
        </w:rPr>
        <w:t>GAC</w:t>
      </w:r>
      <w:r w:rsidRPr="00882E58">
        <w:rPr>
          <w:lang w:val="fr-FR"/>
        </w:rPr>
        <w:t xml:space="preserve"> sur les nouveaux gTLD</w:t>
      </w:r>
      <w:r>
        <w:rPr>
          <w:lang w:val="fr-FR"/>
        </w:rPr>
        <w:t>”</w:t>
      </w:r>
      <w:r w:rsidRPr="00882E58">
        <w:rPr>
          <w:lang w:val="fr-FR"/>
        </w:rPr>
        <w:t xml:space="preserve"> pour examen du Conseil d</w:t>
      </w:r>
      <w:r w:rsidR="00CC10D5">
        <w:rPr>
          <w:lang w:val="fr-FR"/>
        </w:rPr>
        <w:t>’</w:t>
      </w:r>
      <w:r w:rsidRPr="00882E58">
        <w:rPr>
          <w:lang w:val="fr-FR"/>
        </w:rPr>
        <w:t>administration de l</w:t>
      </w:r>
      <w:r w:rsidR="00CC10D5">
        <w:rPr>
          <w:lang w:val="fr-FR"/>
        </w:rPr>
        <w:t>’</w:t>
      </w:r>
      <w:r w:rsidRPr="00882E58">
        <w:rPr>
          <w:lang w:val="fr-FR"/>
        </w:rPr>
        <w:t>ICANN.</w:t>
      </w:r>
    </w:p>
  </w:footnote>
  <w:footnote w:id="36">
    <w:p w:rsidR="00570715" w:rsidRPr="00882E58" w:rsidRDefault="00570715" w:rsidP="00D91E89">
      <w:pPr>
        <w:pStyle w:val="FootnoteText"/>
        <w:rPr>
          <w:lang w:val="fr-FR"/>
        </w:rPr>
      </w:pPr>
      <w:r w:rsidRPr="00882E58">
        <w:rPr>
          <w:rStyle w:val="FootnoteReference"/>
          <w:lang w:val="fr-FR"/>
        </w:rPr>
        <w:footnoteRef/>
      </w:r>
      <w:r w:rsidRPr="00882E58">
        <w:rPr>
          <w:lang w:val="fr-FR"/>
        </w:rPr>
        <w:t xml:space="preserve"> </w:t>
      </w:r>
      <w:r w:rsidRPr="00882E58">
        <w:rPr>
          <w:lang w:val="fr-FR"/>
        </w:rPr>
        <w:tab/>
        <w:t>Adoptée par l</w:t>
      </w:r>
      <w:r w:rsidR="00CC10D5">
        <w:rPr>
          <w:lang w:val="fr-FR"/>
        </w:rPr>
        <w:t>’</w:t>
      </w:r>
      <w:r w:rsidRPr="00882E58">
        <w:rPr>
          <w:lang w:val="fr-FR"/>
        </w:rPr>
        <w:t>Assemblée générale de l</w:t>
      </w:r>
      <w:r w:rsidR="00CC10D5">
        <w:rPr>
          <w:lang w:val="fr-FR"/>
        </w:rPr>
        <w:t>’</w:t>
      </w:r>
      <w:r w:rsidRPr="00882E58">
        <w:rPr>
          <w:lang w:val="fr-FR"/>
        </w:rPr>
        <w:t xml:space="preserve">OMPI en </w:t>
      </w:r>
      <w:r w:rsidR="00CC10D5" w:rsidRPr="00882E58">
        <w:rPr>
          <w:lang w:val="fr-FR"/>
        </w:rPr>
        <w:t>septembre</w:t>
      </w:r>
      <w:r w:rsidR="00CC10D5">
        <w:rPr>
          <w:lang w:val="fr-FR"/>
        </w:rPr>
        <w:t> </w:t>
      </w:r>
      <w:r w:rsidR="00CC10D5" w:rsidRPr="00882E58">
        <w:rPr>
          <w:lang w:val="fr-FR"/>
        </w:rPr>
        <w:t>20</w:t>
      </w:r>
      <w:r w:rsidRPr="00882E58">
        <w:rPr>
          <w:lang w:val="fr-FR"/>
        </w:rPr>
        <w:t>01;  voir http://www.wipo.int/edocs/pubdocs/fr/marks/845/pub845.pdf.</w:t>
      </w:r>
    </w:p>
  </w:footnote>
  <w:footnote w:id="37">
    <w:p w:rsidR="00570715" w:rsidRPr="00882E58" w:rsidRDefault="00570715" w:rsidP="00D91E89">
      <w:pPr>
        <w:pStyle w:val="FootnoteText"/>
        <w:rPr>
          <w:lang w:val="fr-FR"/>
        </w:rPr>
      </w:pPr>
      <w:r w:rsidRPr="00882E58">
        <w:rPr>
          <w:rStyle w:val="FootnoteReference"/>
          <w:lang w:val="fr-FR"/>
        </w:rPr>
        <w:footnoteRef/>
      </w:r>
      <w:r w:rsidRPr="00882E58">
        <w:rPr>
          <w:lang w:val="fr-FR"/>
        </w:rPr>
        <w:t xml:space="preserve"> </w:t>
      </w:r>
      <w:r w:rsidRPr="00882E58">
        <w:rPr>
          <w:lang w:val="fr-FR"/>
        </w:rPr>
        <w:tab/>
        <w:t xml:space="preserve">Voir la </w:t>
      </w:r>
      <w:r w:rsidR="00CC10D5" w:rsidRPr="00882E58">
        <w:rPr>
          <w:lang w:val="fr-FR"/>
        </w:rPr>
        <w:t>section</w:t>
      </w:r>
      <w:r w:rsidR="00CC10D5">
        <w:rPr>
          <w:lang w:val="fr-FR"/>
        </w:rPr>
        <w:t> </w:t>
      </w:r>
      <w:r w:rsidR="00CC10D5" w:rsidRPr="00882E58">
        <w:rPr>
          <w:lang w:val="fr-FR"/>
        </w:rPr>
        <w:t>3</w:t>
      </w:r>
      <w:r w:rsidRPr="00882E58">
        <w:rPr>
          <w:lang w:val="fr-FR"/>
        </w:rPr>
        <w:t>.2 du Guide de candidature gTLD de l</w:t>
      </w:r>
      <w:r w:rsidR="00CC10D5">
        <w:rPr>
          <w:lang w:val="fr-FR"/>
        </w:rPr>
        <w:t>’</w:t>
      </w:r>
      <w:r w:rsidRPr="00882E58">
        <w:rPr>
          <w:lang w:val="fr-FR"/>
        </w:rPr>
        <w:t>ICANN à l</w:t>
      </w:r>
      <w:r w:rsidR="00CC10D5">
        <w:rPr>
          <w:lang w:val="fr-FR"/>
        </w:rPr>
        <w:t>’</w:t>
      </w:r>
      <w:r>
        <w:rPr>
          <w:lang w:val="fr-FR"/>
        </w:rPr>
        <w:t>adresse</w:t>
      </w:r>
      <w:r w:rsidR="00401FB8">
        <w:rPr>
          <w:lang w:val="fr-FR"/>
        </w:rPr>
        <w:t> </w:t>
      </w:r>
      <w:r w:rsidRPr="00882E58">
        <w:rPr>
          <w:lang w:val="fr-FR"/>
        </w:rPr>
        <w:t>http://newgtlds.icann.org/en/applicants/agb/objection</w:t>
      </w:r>
      <w:r w:rsidR="00CC10D5">
        <w:rPr>
          <w:lang w:val="fr-FR"/>
        </w:rPr>
        <w:t>-</w:t>
      </w:r>
      <w:r w:rsidRPr="00882E58">
        <w:rPr>
          <w:lang w:val="fr-FR"/>
        </w:rPr>
        <w:t>procedures</w:t>
      </w:r>
      <w:r w:rsidR="00CC10D5">
        <w:rPr>
          <w:lang w:val="fr-FR"/>
        </w:rPr>
        <w:t>-</w:t>
      </w:r>
      <w:r w:rsidRPr="00882E58">
        <w:rPr>
          <w:lang w:val="fr-FR"/>
        </w:rPr>
        <w:t>04jun12</w:t>
      </w:r>
      <w:r w:rsidR="00CC10D5">
        <w:rPr>
          <w:lang w:val="fr-FR"/>
        </w:rPr>
        <w:t>-</w:t>
      </w:r>
      <w:r w:rsidRPr="00882E58">
        <w:rPr>
          <w:lang w:val="fr-FR"/>
        </w:rPr>
        <w:t>en.pdf.</w:t>
      </w:r>
    </w:p>
  </w:footnote>
  <w:footnote w:id="38">
    <w:p w:rsidR="00570715" w:rsidRPr="00882E58" w:rsidRDefault="00570715" w:rsidP="00D91E89">
      <w:pPr>
        <w:pStyle w:val="FootnoteText"/>
        <w:rPr>
          <w:lang w:val="fr-FR"/>
        </w:rPr>
      </w:pPr>
      <w:r w:rsidRPr="00882E58">
        <w:rPr>
          <w:rStyle w:val="FootnoteReference"/>
          <w:lang w:val="fr-FR"/>
        </w:rPr>
        <w:footnoteRef/>
      </w:r>
      <w:r w:rsidRPr="00882E58">
        <w:rPr>
          <w:lang w:val="fr-FR"/>
        </w:rPr>
        <w:t xml:space="preserve"> </w:t>
      </w:r>
      <w:r w:rsidRPr="00882E58">
        <w:rPr>
          <w:lang w:val="fr-FR"/>
        </w:rPr>
        <w:tab/>
        <w:t>Voir les règles de l</w:t>
      </w:r>
      <w:r w:rsidR="00CC10D5">
        <w:rPr>
          <w:lang w:val="fr-FR"/>
        </w:rPr>
        <w:t>’</w:t>
      </w:r>
      <w:r w:rsidRPr="00882E58">
        <w:rPr>
          <w:lang w:val="fr-FR"/>
        </w:rPr>
        <w:t>OMPI concernant le règlement des litiges relatifs aux nouveaux gTLD et le barème des taxes, honoraires et frais, respectivement aux adresses suivantes</w:t>
      </w:r>
      <w:r w:rsidR="00CC10D5">
        <w:rPr>
          <w:lang w:val="fr-FR"/>
        </w:rPr>
        <w:t> :</w:t>
      </w:r>
      <w:r w:rsidRPr="00882E58">
        <w:rPr>
          <w:lang w:val="fr-FR"/>
        </w:rPr>
        <w:t xml:space="preserve"> http://www.wipo.int/amc/en/docs/wipolrorules.pdf et http://www.wipo.int/amc/en/domains/lro/fees/;  voir les cas d</w:t>
      </w:r>
      <w:r w:rsidR="00CC10D5">
        <w:rPr>
          <w:lang w:val="fr-FR"/>
        </w:rPr>
        <w:t>’</w:t>
      </w:r>
      <w:r w:rsidRPr="00882E58">
        <w:rPr>
          <w:lang w:val="fr-FR"/>
        </w:rPr>
        <w:t>objections déposés à l</w:t>
      </w:r>
      <w:r w:rsidR="00CC10D5">
        <w:rPr>
          <w:lang w:val="fr-FR"/>
        </w:rPr>
        <w:t>’</w:t>
      </w:r>
      <w:r w:rsidRPr="00882E58">
        <w:rPr>
          <w:lang w:val="fr-FR"/>
        </w:rPr>
        <w:t>OMPI à l</w:t>
      </w:r>
      <w:r w:rsidR="00CC10D5">
        <w:rPr>
          <w:lang w:val="fr-FR"/>
        </w:rPr>
        <w:t>’</w:t>
      </w:r>
      <w:r w:rsidRPr="00882E58">
        <w:rPr>
          <w:lang w:val="fr-FR"/>
        </w:rPr>
        <w:t>adresse suivante</w:t>
      </w:r>
      <w:r w:rsidR="00CC10D5">
        <w:rPr>
          <w:lang w:val="fr-FR"/>
        </w:rPr>
        <w:t> :</w:t>
      </w:r>
      <w:r w:rsidRPr="00882E58">
        <w:rPr>
          <w:lang w:val="fr-FR"/>
        </w:rPr>
        <w:t xml:space="preserve"> http://www.wipo.int/amc/en/domains/lro/cases/. </w:t>
      </w:r>
      <w:r w:rsidR="00E6003E">
        <w:rPr>
          <w:lang w:val="fr-FR"/>
        </w:rPr>
        <w:t xml:space="preserve"> </w:t>
      </w:r>
    </w:p>
  </w:footnote>
  <w:footnote w:id="39">
    <w:p w:rsidR="00570715" w:rsidRPr="00882E58" w:rsidRDefault="00570715" w:rsidP="00D91E89">
      <w:pPr>
        <w:pStyle w:val="FootnoteText"/>
        <w:rPr>
          <w:lang w:val="fr-FR"/>
        </w:rPr>
      </w:pPr>
      <w:r w:rsidRPr="00882E58">
        <w:rPr>
          <w:rStyle w:val="FootnoteReference"/>
          <w:lang w:val="fr-FR"/>
        </w:rPr>
        <w:footnoteRef/>
      </w:r>
      <w:r w:rsidRPr="00882E58">
        <w:rPr>
          <w:lang w:val="fr-FR"/>
        </w:rPr>
        <w:t xml:space="preserve"> </w:t>
      </w:r>
      <w:r w:rsidR="00FD2401">
        <w:rPr>
          <w:lang w:val="fr-FR"/>
        </w:rPr>
        <w:tab/>
        <w:t>Voir http://www.wipo.int/amc/en</w:t>
      </w:r>
      <w:r w:rsidRPr="00882E58">
        <w:rPr>
          <w:lang w:val="fr-FR"/>
        </w:rPr>
        <w:t xml:space="preserve">/domains/lro/cases/. </w:t>
      </w:r>
      <w:r w:rsidR="00E6003E">
        <w:rPr>
          <w:lang w:val="fr-FR"/>
        </w:rPr>
        <w:t xml:space="preserve"> </w:t>
      </w:r>
    </w:p>
  </w:footnote>
  <w:footnote w:id="40">
    <w:p w:rsidR="00570715" w:rsidRPr="00882E58" w:rsidRDefault="00570715" w:rsidP="00D91E89">
      <w:pPr>
        <w:pStyle w:val="FootnoteText"/>
        <w:rPr>
          <w:lang w:val="fr-FR"/>
        </w:rPr>
      </w:pPr>
      <w:r w:rsidRPr="00882E58">
        <w:rPr>
          <w:rStyle w:val="FootnoteReference"/>
          <w:lang w:val="fr-FR"/>
        </w:rPr>
        <w:footnoteRef/>
      </w:r>
      <w:r w:rsidRPr="00882E58">
        <w:rPr>
          <w:lang w:val="fr-FR"/>
        </w:rPr>
        <w:t xml:space="preserve"> </w:t>
      </w:r>
      <w:r w:rsidRPr="00882E58">
        <w:rPr>
          <w:lang w:val="fr-FR"/>
        </w:rPr>
        <w:tab/>
        <w:t>Le rapport de l</w:t>
      </w:r>
      <w:r w:rsidR="00CC10D5">
        <w:rPr>
          <w:lang w:val="fr-FR"/>
        </w:rPr>
        <w:t>’</w:t>
      </w:r>
      <w:r w:rsidRPr="00882E58">
        <w:rPr>
          <w:lang w:val="fr-FR"/>
        </w:rPr>
        <w:t>OMPI sur les objections pour atteinte aux droits note qu</w:t>
      </w:r>
      <w:r w:rsidR="00CC10D5">
        <w:rPr>
          <w:lang w:val="fr-FR"/>
        </w:rPr>
        <w:t>’</w:t>
      </w:r>
      <w:r w:rsidRPr="00882E58">
        <w:rPr>
          <w:lang w:val="fr-FR"/>
        </w:rPr>
        <w:t>une forte majorité des objections ont été déposées contre des demandes de gTLD portant sur des extensions ayant un sens descriptif ou donné par le dictionnaire.  De nombreux groupes d</w:t>
      </w:r>
      <w:r w:rsidR="00CC10D5">
        <w:rPr>
          <w:lang w:val="fr-FR"/>
        </w:rPr>
        <w:t>’</w:t>
      </w:r>
      <w:r w:rsidRPr="00882E58">
        <w:rPr>
          <w:lang w:val="fr-FR"/>
        </w:rPr>
        <w:t>experts sont parvenus à la conclusion que, lorsque le propriétaire d</w:t>
      </w:r>
      <w:r w:rsidR="00CC10D5">
        <w:rPr>
          <w:lang w:val="fr-FR"/>
        </w:rPr>
        <w:t>’</w:t>
      </w:r>
      <w:r w:rsidRPr="00882E58">
        <w:rPr>
          <w:lang w:val="fr-FR"/>
        </w:rPr>
        <w:t>une marque a adopté un terme commun du dictionnaire comme nom de marque, une demande de gTLD visant uniquement à tirer avantage de ce sens commun ne violerait pas en soi les normes en matière de décisions applicables aux objections pour atteinte aux droits.  Dans certains cas, les groupes d</w:t>
      </w:r>
      <w:r w:rsidR="00CC10D5">
        <w:rPr>
          <w:lang w:val="fr-FR"/>
        </w:rPr>
        <w:t>’</w:t>
      </w:r>
      <w:r w:rsidRPr="00882E58">
        <w:rPr>
          <w:lang w:val="fr-FR"/>
        </w:rPr>
        <w:t>experts se sont intéressés aux enregistrements de marques obtenus en premier lieu dans le but d</w:t>
      </w:r>
      <w:r w:rsidR="00CC10D5">
        <w:rPr>
          <w:lang w:val="fr-FR"/>
        </w:rPr>
        <w:t>’</w:t>
      </w:r>
      <w:r w:rsidRPr="00882E58">
        <w:rPr>
          <w:lang w:val="fr-FR"/>
        </w:rPr>
        <w:t>appuyer une demande de nouveau gTLD ou une objection pour atteinte aux droits, avec peu ou pas d</w:t>
      </w:r>
      <w:r w:rsidR="00CC10D5">
        <w:rPr>
          <w:lang w:val="fr-FR"/>
        </w:rPr>
        <w:t>’</w:t>
      </w:r>
      <w:r w:rsidRPr="00882E58">
        <w:rPr>
          <w:lang w:val="fr-FR"/>
        </w:rPr>
        <w:t xml:space="preserve">usage antérieur avéré.  Voir http://www.wipo.int/amc/en/docs/lroreport.pdf. </w:t>
      </w:r>
      <w:r w:rsidR="00E6003E">
        <w:rPr>
          <w:lang w:val="fr-FR"/>
        </w:rPr>
        <w:t xml:space="preserve"> </w:t>
      </w:r>
    </w:p>
  </w:footnote>
  <w:footnote w:id="41">
    <w:p w:rsidR="00570715" w:rsidRPr="00882E58" w:rsidRDefault="00570715" w:rsidP="00D91E89">
      <w:pPr>
        <w:pStyle w:val="FootnoteText"/>
        <w:rPr>
          <w:lang w:val="fr-FR"/>
        </w:rPr>
      </w:pPr>
      <w:r w:rsidRPr="00882E58">
        <w:rPr>
          <w:rStyle w:val="FootnoteReference"/>
          <w:lang w:val="fr-FR"/>
        </w:rPr>
        <w:footnoteRef/>
      </w:r>
      <w:r w:rsidRPr="00882E58">
        <w:rPr>
          <w:lang w:val="fr-FR"/>
        </w:rPr>
        <w:t xml:space="preserve"> </w:t>
      </w:r>
      <w:r w:rsidR="00FD2401">
        <w:rPr>
          <w:lang w:val="fr-FR"/>
        </w:rPr>
        <w:tab/>
        <w:t>Voir http://www.wipo.int/amc/en</w:t>
      </w:r>
      <w:r w:rsidRPr="00882E58">
        <w:rPr>
          <w:lang w:val="fr-FR"/>
        </w:rPr>
        <w:t>/docs/icann130309.pdf.</w:t>
      </w:r>
    </w:p>
  </w:footnote>
  <w:footnote w:id="42">
    <w:p w:rsidR="00570715" w:rsidRPr="00882E58" w:rsidRDefault="00570715" w:rsidP="002D52C5">
      <w:pPr>
        <w:pStyle w:val="FootnoteText"/>
        <w:rPr>
          <w:lang w:val="fr-FR"/>
        </w:rPr>
      </w:pPr>
      <w:r w:rsidRPr="00882E58">
        <w:rPr>
          <w:rStyle w:val="FootnoteReference"/>
          <w:lang w:val="fr-FR"/>
        </w:rPr>
        <w:footnoteRef/>
      </w:r>
      <w:r w:rsidRPr="00882E58">
        <w:rPr>
          <w:lang w:val="fr-FR"/>
        </w:rPr>
        <w:t xml:space="preserve"> </w:t>
      </w:r>
      <w:r w:rsidRPr="00882E58">
        <w:rPr>
          <w:lang w:val="fr-FR"/>
        </w:rPr>
        <w:tab/>
        <w:t>Étant donné la convergence que l</w:t>
      </w:r>
      <w:r w:rsidR="00CC10D5">
        <w:rPr>
          <w:lang w:val="fr-FR"/>
        </w:rPr>
        <w:t>’</w:t>
      </w:r>
      <w:r w:rsidRPr="00882E58">
        <w:rPr>
          <w:lang w:val="fr-FR"/>
        </w:rPr>
        <w:t>on perçoit entre les rôles du service d</w:t>
      </w:r>
      <w:r w:rsidR="00CC10D5">
        <w:rPr>
          <w:lang w:val="fr-FR"/>
        </w:rPr>
        <w:t>’</w:t>
      </w:r>
      <w:r w:rsidRPr="00882E58">
        <w:rPr>
          <w:lang w:val="fr-FR"/>
        </w:rPr>
        <w:t>enregistrement, de l</w:t>
      </w:r>
      <w:r w:rsidR="00CC10D5">
        <w:rPr>
          <w:lang w:val="fr-FR"/>
        </w:rPr>
        <w:t>’</w:t>
      </w:r>
      <w:r w:rsidRPr="00882E58">
        <w:rPr>
          <w:lang w:val="fr-FR"/>
        </w:rPr>
        <w:t>unité d</w:t>
      </w:r>
      <w:r w:rsidR="00CC10D5">
        <w:rPr>
          <w:lang w:val="fr-FR"/>
        </w:rPr>
        <w:t>’</w:t>
      </w:r>
      <w:r w:rsidRPr="00882E58">
        <w:rPr>
          <w:lang w:val="fr-FR"/>
        </w:rPr>
        <w:t>enregistrement et du détenteur de l</w:t>
      </w:r>
      <w:r w:rsidR="00CC10D5">
        <w:rPr>
          <w:lang w:val="fr-FR"/>
        </w:rPr>
        <w:t>’</w:t>
      </w:r>
      <w:r w:rsidRPr="00882E58">
        <w:rPr>
          <w:lang w:val="fr-FR"/>
        </w:rPr>
        <w:t>enregistrement au sein</w:t>
      </w:r>
      <w:r w:rsidR="00CC10D5" w:rsidRPr="00882E58">
        <w:rPr>
          <w:lang w:val="fr-FR"/>
        </w:rPr>
        <w:t xml:space="preserve"> du</w:t>
      </w:r>
      <w:r w:rsidR="00CC10D5">
        <w:rPr>
          <w:lang w:val="fr-FR"/>
        </w:rPr>
        <w:t> </w:t>
      </w:r>
      <w:r w:rsidR="00CC10D5" w:rsidRPr="00882E58">
        <w:rPr>
          <w:lang w:val="fr-FR"/>
        </w:rPr>
        <w:t>DNS</w:t>
      </w:r>
      <w:r w:rsidRPr="00882E58">
        <w:rPr>
          <w:lang w:val="fr-FR"/>
        </w:rPr>
        <w:t>, le Centre a également recommandé à l</w:t>
      </w:r>
      <w:r w:rsidR="00CC10D5">
        <w:rPr>
          <w:lang w:val="fr-FR"/>
        </w:rPr>
        <w:t>’</w:t>
      </w:r>
      <w:r w:rsidRPr="00882E58">
        <w:rPr>
          <w:lang w:val="fr-FR"/>
        </w:rPr>
        <w:t>ICANN, compte tenu notamment de son expérience des principes UDRP et de la décision de l</w:t>
      </w:r>
      <w:r w:rsidR="00CC10D5">
        <w:rPr>
          <w:lang w:val="fr-FR"/>
        </w:rPr>
        <w:t>’</w:t>
      </w:r>
      <w:r w:rsidRPr="00882E58">
        <w:rPr>
          <w:lang w:val="fr-FR"/>
        </w:rPr>
        <w:t>ICANN d</w:t>
      </w:r>
      <w:r w:rsidR="00CC10D5">
        <w:rPr>
          <w:lang w:val="fr-FR"/>
        </w:rPr>
        <w:t>’</w:t>
      </w:r>
      <w:r w:rsidRPr="00882E58">
        <w:rPr>
          <w:lang w:val="fr-FR"/>
        </w:rPr>
        <w:t>autoriser la propriété croisée entre unités d</w:t>
      </w:r>
      <w:r w:rsidR="00CC10D5">
        <w:rPr>
          <w:lang w:val="fr-FR"/>
        </w:rPr>
        <w:t>’</w:t>
      </w:r>
      <w:r w:rsidRPr="00882E58">
        <w:rPr>
          <w:lang w:val="fr-FR"/>
        </w:rPr>
        <w:t>enregistrement et services d</w:t>
      </w:r>
      <w:r w:rsidR="00CC10D5">
        <w:rPr>
          <w:lang w:val="fr-FR"/>
        </w:rPr>
        <w:t>’</w:t>
      </w:r>
      <w:r w:rsidRPr="00882E58">
        <w:rPr>
          <w:lang w:val="fr-FR"/>
        </w:rPr>
        <w:t>enregistrement (voir http://www.icann.org/en/minutes/resolutions</w:t>
      </w:r>
      <w:r w:rsidR="00CC10D5">
        <w:rPr>
          <w:lang w:val="fr-FR"/>
        </w:rPr>
        <w:t>-</w:t>
      </w:r>
      <w:r w:rsidRPr="00882E58">
        <w:rPr>
          <w:lang w:val="fr-FR"/>
        </w:rPr>
        <w:t>05nov10</w:t>
      </w:r>
      <w:r w:rsidR="00CC10D5">
        <w:rPr>
          <w:lang w:val="fr-FR"/>
        </w:rPr>
        <w:t>-</w:t>
      </w:r>
      <w:r w:rsidRPr="00882E58">
        <w:rPr>
          <w:lang w:val="fr-FR"/>
        </w:rPr>
        <w:t>en.htm), d</w:t>
      </w:r>
      <w:r w:rsidR="00CC10D5">
        <w:rPr>
          <w:lang w:val="fr-FR"/>
        </w:rPr>
        <w:t>’</w:t>
      </w:r>
      <w:r w:rsidRPr="00882E58">
        <w:rPr>
          <w:lang w:val="fr-FR"/>
        </w:rPr>
        <w:t>étudier la possibilité d</w:t>
      </w:r>
      <w:r w:rsidR="00CC10D5">
        <w:rPr>
          <w:lang w:val="fr-FR"/>
        </w:rPr>
        <w:t>’</w:t>
      </w:r>
      <w:r w:rsidRPr="00882E58">
        <w:rPr>
          <w:lang w:val="fr-FR"/>
        </w:rPr>
        <w:t>étendre aux unités d</w:t>
      </w:r>
      <w:r w:rsidR="00CC10D5">
        <w:rPr>
          <w:lang w:val="fr-FR"/>
        </w:rPr>
        <w:t>’</w:t>
      </w:r>
      <w:r w:rsidRPr="00882E58">
        <w:rPr>
          <w:lang w:val="fr-FR"/>
        </w:rPr>
        <w:t>enregistrement la procédure postérieure à l</w:t>
      </w:r>
      <w:r w:rsidR="00CC10D5">
        <w:rPr>
          <w:lang w:val="fr-FR"/>
        </w:rPr>
        <w:t>’</w:t>
      </w:r>
      <w:r w:rsidRPr="00882E58">
        <w:rPr>
          <w:lang w:val="fr-FR"/>
        </w:rPr>
        <w:t>attribution à l</w:t>
      </w:r>
      <w:r w:rsidR="00CC10D5">
        <w:rPr>
          <w:lang w:val="fr-FR"/>
        </w:rPr>
        <w:t>’</w:t>
      </w:r>
      <w:r w:rsidRPr="00882E58">
        <w:rPr>
          <w:lang w:val="fr-FR"/>
        </w:rPr>
        <w:t>intention des services d</w:t>
      </w:r>
      <w:r w:rsidR="00CC10D5">
        <w:rPr>
          <w:lang w:val="fr-FR"/>
        </w:rPr>
        <w:t>’</w:t>
      </w:r>
      <w:r w:rsidRPr="00882E58">
        <w:rPr>
          <w:lang w:val="fr-FR"/>
        </w:rPr>
        <w:t>enregistrement (voir, notamment, http://www.wipo.int/amc/en/docs/icann260310rap.pdf).</w:t>
      </w:r>
    </w:p>
  </w:footnote>
  <w:footnote w:id="43">
    <w:p w:rsidR="00570715" w:rsidRPr="00882E58" w:rsidRDefault="00570715" w:rsidP="0065589C">
      <w:pPr>
        <w:pStyle w:val="FootnoteText"/>
        <w:rPr>
          <w:lang w:val="fr-FR"/>
        </w:rPr>
      </w:pPr>
      <w:r w:rsidRPr="00882E58">
        <w:rPr>
          <w:rStyle w:val="FootnoteReference"/>
          <w:lang w:val="fr-FR"/>
        </w:rPr>
        <w:footnoteRef/>
      </w:r>
      <w:r w:rsidRPr="00882E58">
        <w:rPr>
          <w:lang w:val="fr-FR"/>
        </w:rPr>
        <w:t xml:space="preserve"> </w:t>
      </w:r>
      <w:r w:rsidRPr="00882E58">
        <w:rPr>
          <w:lang w:val="fr-FR"/>
        </w:rPr>
        <w:tab/>
        <w:t>La base de données permet l</w:t>
      </w:r>
      <w:r w:rsidR="00CC10D5">
        <w:rPr>
          <w:lang w:val="fr-FR"/>
        </w:rPr>
        <w:t>’</w:t>
      </w:r>
      <w:r w:rsidRPr="00882E58">
        <w:rPr>
          <w:lang w:val="fr-FR"/>
        </w:rPr>
        <w:t xml:space="preserve">inclusion de toutes les marques textuelles enregistrées, de toutes marques textuelles protégées par un règlement ou un traité ou validées par un tribunal, ainsi que les </w:t>
      </w:r>
      <w:r>
        <w:rPr>
          <w:lang w:val="fr-FR"/>
        </w:rPr>
        <w:t>“</w:t>
      </w:r>
      <w:r w:rsidRPr="00882E58">
        <w:rPr>
          <w:lang w:val="fr-FR"/>
        </w:rPr>
        <w:t>[a]</w:t>
      </w:r>
      <w:proofErr w:type="spellStart"/>
      <w:r w:rsidRPr="00882E58">
        <w:rPr>
          <w:lang w:val="fr-FR"/>
        </w:rPr>
        <w:t>utres</w:t>
      </w:r>
      <w:proofErr w:type="spellEnd"/>
      <w:r w:rsidRPr="00882E58">
        <w:rPr>
          <w:lang w:val="fr-FR"/>
        </w:rPr>
        <w:t xml:space="preserve"> marques constituant un objet de propriété intellectuelle</w:t>
      </w:r>
      <w:r>
        <w:rPr>
          <w:lang w:val="fr-FR"/>
        </w:rPr>
        <w:t>”</w:t>
      </w:r>
      <w:r w:rsidRPr="00882E58">
        <w:rPr>
          <w:lang w:val="fr-FR"/>
        </w:rPr>
        <w:t xml:space="preserve"> (cette dernière catégorie n</w:t>
      </w:r>
      <w:r w:rsidR="00CC10D5">
        <w:rPr>
          <w:lang w:val="fr-FR"/>
        </w:rPr>
        <w:t>’</w:t>
      </w:r>
      <w:r w:rsidRPr="00882E58">
        <w:rPr>
          <w:lang w:val="fr-FR"/>
        </w:rPr>
        <w:t>étant pas définie).  En ce qui concerne les mécanismes de protection des droits fondés sur la base de données, l</w:t>
      </w:r>
      <w:r w:rsidR="00CC10D5">
        <w:rPr>
          <w:lang w:val="fr-FR"/>
        </w:rPr>
        <w:t>’</w:t>
      </w:r>
      <w:r w:rsidRPr="00882E58">
        <w:rPr>
          <w:lang w:val="fr-FR"/>
        </w:rPr>
        <w:t>ICANN propose actuellement de limiter l</w:t>
      </w:r>
      <w:r w:rsidR="00CC10D5">
        <w:rPr>
          <w:lang w:val="fr-FR"/>
        </w:rPr>
        <w:t>’</w:t>
      </w:r>
      <w:r w:rsidRPr="00882E58">
        <w:rPr>
          <w:lang w:val="fr-FR"/>
        </w:rPr>
        <w:t xml:space="preserve">application des services </w:t>
      </w:r>
      <w:r>
        <w:rPr>
          <w:lang w:val="fr-FR"/>
        </w:rPr>
        <w:t>“</w:t>
      </w:r>
      <w:r w:rsidRPr="00882E58">
        <w:rPr>
          <w:lang w:val="fr-FR"/>
        </w:rPr>
        <w:t>préliminaires</w:t>
      </w:r>
      <w:r>
        <w:rPr>
          <w:lang w:val="fr-FR"/>
        </w:rPr>
        <w:t>”</w:t>
      </w:r>
      <w:r w:rsidRPr="00882E58">
        <w:rPr>
          <w:lang w:val="fr-FR"/>
        </w:rPr>
        <w:t xml:space="preserve"> (c</w:t>
      </w:r>
      <w:r w:rsidR="00CC10D5">
        <w:rPr>
          <w:lang w:val="fr-FR"/>
        </w:rPr>
        <w:t>’</w:t>
      </w:r>
      <w:r w:rsidRPr="00882E58">
        <w:rPr>
          <w:lang w:val="fr-FR"/>
        </w:rPr>
        <w:t>est</w:t>
      </w:r>
      <w:r w:rsidR="00CC10D5">
        <w:rPr>
          <w:lang w:val="fr-FR"/>
        </w:rPr>
        <w:t>-</w:t>
      </w:r>
      <w:r w:rsidRPr="00882E58">
        <w:rPr>
          <w:lang w:val="fr-FR"/>
        </w:rPr>
        <w:t>à</w:t>
      </w:r>
      <w:r w:rsidR="00CC10D5">
        <w:rPr>
          <w:lang w:val="fr-FR"/>
        </w:rPr>
        <w:t>-</w:t>
      </w:r>
      <w:r w:rsidRPr="00882E58">
        <w:rPr>
          <w:lang w:val="fr-FR"/>
        </w:rPr>
        <w:t>dire, la possibilité pour un propriétaire de marque d</w:t>
      </w:r>
      <w:r w:rsidR="00CC10D5">
        <w:rPr>
          <w:lang w:val="fr-FR"/>
        </w:rPr>
        <w:t>’</w:t>
      </w:r>
      <w:r w:rsidRPr="00882E58">
        <w:rPr>
          <w:lang w:val="fr-FR"/>
        </w:rPr>
        <w:t>enregistrer de manière préventive en tant que nom de domaine, contre paiement d</w:t>
      </w:r>
      <w:r w:rsidR="00CC10D5">
        <w:rPr>
          <w:lang w:val="fr-FR"/>
        </w:rPr>
        <w:t>’</w:t>
      </w:r>
      <w:r w:rsidRPr="00882E58">
        <w:rPr>
          <w:lang w:val="fr-FR"/>
        </w:rPr>
        <w:t>une taxe, une chaîne de caractères correspondant exactement à sa marque) aux marques dont l</w:t>
      </w:r>
      <w:r w:rsidR="00CC10D5">
        <w:rPr>
          <w:lang w:val="fr-FR"/>
        </w:rPr>
        <w:t>’</w:t>
      </w:r>
      <w:r w:rsidRPr="00882E58">
        <w:rPr>
          <w:lang w:val="fr-FR"/>
        </w:rPr>
        <w:t>usage actuel peut être prouvé.  Que l</w:t>
      </w:r>
      <w:r w:rsidR="00CC10D5">
        <w:rPr>
          <w:lang w:val="fr-FR"/>
        </w:rPr>
        <w:t>’</w:t>
      </w:r>
      <w:r w:rsidRPr="00882E58">
        <w:rPr>
          <w:lang w:val="fr-FR"/>
        </w:rPr>
        <w:t xml:space="preserve">usage actuel soit ou non prouvé, les propriétaires de marques pourraient participer à un système de </w:t>
      </w:r>
      <w:r>
        <w:rPr>
          <w:lang w:val="fr-FR"/>
        </w:rPr>
        <w:t>“</w:t>
      </w:r>
      <w:r w:rsidRPr="00882E58">
        <w:rPr>
          <w:lang w:val="fr-FR"/>
        </w:rPr>
        <w:t>contentieux</w:t>
      </w:r>
      <w:r>
        <w:rPr>
          <w:lang w:val="fr-FR"/>
        </w:rPr>
        <w:t>”</w:t>
      </w:r>
      <w:r w:rsidRPr="00882E58">
        <w:rPr>
          <w:lang w:val="fr-FR"/>
        </w:rPr>
        <w:t xml:space="preserve"> d</w:t>
      </w:r>
      <w:r w:rsidR="00CC10D5">
        <w:rPr>
          <w:lang w:val="fr-FR"/>
        </w:rPr>
        <w:t>’</w:t>
      </w:r>
      <w:r w:rsidRPr="00882E58">
        <w:rPr>
          <w:lang w:val="fr-FR"/>
        </w:rPr>
        <w:t>une durée limitée (permettant de notifier au demandeur d</w:t>
      </w:r>
      <w:r w:rsidR="00CC10D5">
        <w:rPr>
          <w:lang w:val="fr-FR"/>
        </w:rPr>
        <w:t>’</w:t>
      </w:r>
      <w:r w:rsidRPr="00882E58">
        <w:rPr>
          <w:lang w:val="fr-FR"/>
        </w:rPr>
        <w:t>un nom de domaine l</w:t>
      </w:r>
      <w:r w:rsidR="00CC10D5">
        <w:rPr>
          <w:lang w:val="fr-FR"/>
        </w:rPr>
        <w:t>’</w:t>
      </w:r>
      <w:r w:rsidRPr="00882E58">
        <w:rPr>
          <w:lang w:val="fr-FR"/>
        </w:rPr>
        <w:t>existence d</w:t>
      </w:r>
      <w:r w:rsidR="00CC10D5">
        <w:rPr>
          <w:lang w:val="fr-FR"/>
        </w:rPr>
        <w:t>’</w:t>
      </w:r>
      <w:r w:rsidRPr="00882E58">
        <w:rPr>
          <w:lang w:val="fr-FR"/>
        </w:rPr>
        <w:t>un conflit potentiel avec un droit attaché à une marque, et d</w:t>
      </w:r>
      <w:r w:rsidR="00CC10D5">
        <w:rPr>
          <w:lang w:val="fr-FR"/>
        </w:rPr>
        <w:t>’</w:t>
      </w:r>
      <w:r w:rsidRPr="00882E58">
        <w:rPr>
          <w:lang w:val="fr-FR"/>
        </w:rPr>
        <w:t>informer les propriétaires de marques concernés dans le cas où le demandeur procéderait tout de même à l</w:t>
      </w:r>
      <w:r w:rsidR="00CC10D5">
        <w:rPr>
          <w:lang w:val="fr-FR"/>
        </w:rPr>
        <w:t>’</w:t>
      </w:r>
      <w:r w:rsidRPr="00882E58">
        <w:rPr>
          <w:lang w:val="fr-FR"/>
        </w:rPr>
        <w:t>enregistrement du nom de domaine).  Comme le prescrit l</w:t>
      </w:r>
      <w:r w:rsidR="00CC10D5">
        <w:rPr>
          <w:lang w:val="fr-FR"/>
        </w:rPr>
        <w:t>’</w:t>
      </w:r>
      <w:r w:rsidRPr="00882E58">
        <w:rPr>
          <w:lang w:val="fr-FR"/>
        </w:rPr>
        <w:t xml:space="preserve">ICANN, le système de </w:t>
      </w:r>
      <w:r>
        <w:rPr>
          <w:lang w:val="fr-FR"/>
        </w:rPr>
        <w:t>“</w:t>
      </w:r>
      <w:r w:rsidRPr="00882E58">
        <w:rPr>
          <w:lang w:val="fr-FR"/>
        </w:rPr>
        <w:t>contentieux</w:t>
      </w:r>
      <w:r>
        <w:rPr>
          <w:lang w:val="fr-FR"/>
        </w:rPr>
        <w:t>”</w:t>
      </w:r>
      <w:r w:rsidRPr="00882E58">
        <w:rPr>
          <w:lang w:val="fr-FR"/>
        </w:rPr>
        <w:t xml:space="preserve"> est limité à une durée de 90</w:t>
      </w:r>
      <w:r w:rsidR="00401FB8">
        <w:rPr>
          <w:lang w:val="fr-FR"/>
        </w:rPr>
        <w:t> </w:t>
      </w:r>
      <w:r w:rsidRPr="00882E58">
        <w:rPr>
          <w:lang w:val="fr-FR"/>
        </w:rPr>
        <w:t>jours à compter de la date d</w:t>
      </w:r>
      <w:r w:rsidR="00CC10D5">
        <w:rPr>
          <w:lang w:val="fr-FR"/>
        </w:rPr>
        <w:t>’</w:t>
      </w:r>
      <w:r w:rsidRPr="00882E58">
        <w:rPr>
          <w:lang w:val="fr-FR"/>
        </w:rPr>
        <w:t>ouverture au public de l</w:t>
      </w:r>
      <w:r w:rsidR="00CC10D5">
        <w:rPr>
          <w:lang w:val="fr-FR"/>
        </w:rPr>
        <w:t>’</w:t>
      </w:r>
      <w:r w:rsidRPr="00882E58">
        <w:rPr>
          <w:lang w:val="fr-FR"/>
        </w:rPr>
        <w:t>enregistrement d</w:t>
      </w:r>
      <w:r w:rsidR="00CC10D5">
        <w:rPr>
          <w:lang w:val="fr-FR"/>
        </w:rPr>
        <w:t>’</w:t>
      </w:r>
      <w:r w:rsidRPr="00882E58">
        <w:rPr>
          <w:lang w:val="fr-FR"/>
        </w:rPr>
        <w:t>un nouveau gTLD, mais les utilisateurs de la base de données peuvent choisir de recevoir des notifications indéfiniment.  La preuve de l</w:t>
      </w:r>
      <w:r w:rsidR="00CC10D5">
        <w:rPr>
          <w:lang w:val="fr-FR"/>
        </w:rPr>
        <w:t>’</w:t>
      </w:r>
      <w:r w:rsidRPr="00882E58">
        <w:rPr>
          <w:lang w:val="fr-FR"/>
        </w:rPr>
        <w:t>usage requise pour les services préliminaires s</w:t>
      </w:r>
      <w:r w:rsidR="00CC10D5">
        <w:rPr>
          <w:lang w:val="fr-FR"/>
        </w:rPr>
        <w:t>’</w:t>
      </w:r>
      <w:r w:rsidRPr="00882E58">
        <w:rPr>
          <w:lang w:val="fr-FR"/>
        </w:rPr>
        <w:t>applique de la même manière à l</w:t>
      </w:r>
      <w:r w:rsidR="00CC10D5">
        <w:rPr>
          <w:lang w:val="fr-FR"/>
        </w:rPr>
        <w:t>’</w:t>
      </w:r>
      <w:r w:rsidRPr="00882E58">
        <w:rPr>
          <w:lang w:val="fr-FR"/>
        </w:rPr>
        <w:t>invocation de marques comme motif de dépôt de plaintes en vertu du mécanisme de suspension uniforme rapide décrit dans le présent paragraphe.</w:t>
      </w:r>
    </w:p>
  </w:footnote>
  <w:footnote w:id="44">
    <w:p w:rsidR="00570715" w:rsidRPr="00882E58" w:rsidRDefault="00570715" w:rsidP="0065589C">
      <w:pPr>
        <w:pStyle w:val="FootnoteText"/>
        <w:rPr>
          <w:lang w:val="fr-FR"/>
        </w:rPr>
      </w:pPr>
      <w:r w:rsidRPr="00882E58">
        <w:rPr>
          <w:rStyle w:val="FootnoteReference"/>
          <w:lang w:val="fr-FR"/>
        </w:rPr>
        <w:footnoteRef/>
      </w:r>
      <w:r w:rsidRPr="00882E58">
        <w:rPr>
          <w:lang w:val="fr-FR"/>
        </w:rPr>
        <w:t xml:space="preserve"> </w:t>
      </w:r>
      <w:r w:rsidRPr="00882E58">
        <w:rPr>
          <w:lang w:val="fr-FR"/>
        </w:rPr>
        <w:tab/>
        <w:t>Voir http://trademark</w:t>
      </w:r>
      <w:r w:rsidR="00CC10D5">
        <w:rPr>
          <w:lang w:val="fr-FR"/>
        </w:rPr>
        <w:t>-</w:t>
      </w:r>
      <w:r w:rsidRPr="00882E58">
        <w:rPr>
          <w:lang w:val="fr-FR"/>
        </w:rPr>
        <w:t>clearinghouse.com/content/tmch</w:t>
      </w:r>
      <w:r w:rsidR="00CC10D5">
        <w:rPr>
          <w:lang w:val="fr-FR"/>
        </w:rPr>
        <w:t>-</w:t>
      </w:r>
      <w:r w:rsidRPr="00882E58">
        <w:rPr>
          <w:lang w:val="fr-FR"/>
        </w:rPr>
        <w:t>stats.</w:t>
      </w:r>
    </w:p>
  </w:footnote>
  <w:footnote w:id="45">
    <w:p w:rsidR="00570715" w:rsidRPr="00882E58" w:rsidRDefault="00570715" w:rsidP="0065589C">
      <w:pPr>
        <w:pStyle w:val="FootnoteText"/>
        <w:rPr>
          <w:lang w:val="fr-FR"/>
        </w:rPr>
      </w:pPr>
      <w:r w:rsidRPr="00882E58">
        <w:rPr>
          <w:rStyle w:val="FootnoteReference"/>
          <w:lang w:val="fr-FR"/>
        </w:rPr>
        <w:footnoteRef/>
      </w:r>
      <w:r w:rsidRPr="00882E58">
        <w:rPr>
          <w:lang w:val="fr-FR"/>
        </w:rPr>
        <w:t xml:space="preserve"> </w:t>
      </w:r>
      <w:r w:rsidRPr="00882E58">
        <w:rPr>
          <w:lang w:val="fr-FR"/>
        </w:rPr>
        <w:tab/>
        <w:t>Le Centre a pour sa part transmis à l</w:t>
      </w:r>
      <w:r w:rsidR="00CC10D5">
        <w:rPr>
          <w:lang w:val="fr-FR"/>
        </w:rPr>
        <w:t>’</w:t>
      </w:r>
      <w:r w:rsidRPr="00882E58">
        <w:rPr>
          <w:lang w:val="fr-FR"/>
        </w:rPr>
        <w:t xml:space="preserve">ICANN, en </w:t>
      </w:r>
      <w:r w:rsidR="00CC10D5" w:rsidRPr="00882E58">
        <w:rPr>
          <w:lang w:val="fr-FR"/>
        </w:rPr>
        <w:t>avril</w:t>
      </w:r>
      <w:r w:rsidR="00CC10D5">
        <w:rPr>
          <w:lang w:val="fr-FR"/>
        </w:rPr>
        <w:t> </w:t>
      </w:r>
      <w:r w:rsidR="00CC10D5" w:rsidRPr="00882E58">
        <w:rPr>
          <w:lang w:val="fr-FR"/>
        </w:rPr>
        <w:t>20</w:t>
      </w:r>
      <w:r w:rsidRPr="00882E58">
        <w:rPr>
          <w:lang w:val="fr-FR"/>
        </w:rPr>
        <w:t xml:space="preserve">09, un projet concernant un </w:t>
      </w:r>
      <w:r>
        <w:rPr>
          <w:lang w:val="fr-FR"/>
        </w:rPr>
        <w:t>“</w:t>
      </w:r>
      <w:r w:rsidRPr="00882E58">
        <w:rPr>
          <w:lang w:val="fr-FR"/>
        </w:rPr>
        <w:t>mécanisme de suspension accéléré (des noms de domaine)</w:t>
      </w:r>
      <w:r>
        <w:rPr>
          <w:lang w:val="fr-FR"/>
        </w:rPr>
        <w:t>”</w:t>
      </w:r>
      <w:r w:rsidRPr="00882E58">
        <w:rPr>
          <w:lang w:val="fr-FR"/>
        </w:rPr>
        <w:t>, (voir http://www.wipo.int/amc/en/docs/icann030409.pdf) et a ensuite fait des propositions en faveur d</w:t>
      </w:r>
      <w:r w:rsidR="00CC10D5">
        <w:rPr>
          <w:lang w:val="fr-FR"/>
        </w:rPr>
        <w:t>’</w:t>
      </w:r>
      <w:r w:rsidRPr="00882E58">
        <w:rPr>
          <w:lang w:val="fr-FR"/>
        </w:rPr>
        <w:t>un mécanisme simplifié reposant sur ce modèle lors des réunions de l</w:t>
      </w:r>
      <w:r w:rsidR="00CC10D5">
        <w:rPr>
          <w:lang w:val="fr-FR"/>
        </w:rPr>
        <w:t>’</w:t>
      </w:r>
      <w:r w:rsidRPr="00882E58">
        <w:rPr>
          <w:lang w:val="fr-FR"/>
        </w:rPr>
        <w:t>ICANN (voir http://prague44.icann.org/node/31773 et http://toronto45.icann.org/node/34325).  Ces propositions tenaient compte de la nécessité d</w:t>
      </w:r>
      <w:r w:rsidR="00CC10D5">
        <w:rPr>
          <w:lang w:val="fr-FR"/>
        </w:rPr>
        <w:t>’</w:t>
      </w:r>
      <w:r w:rsidRPr="00882E58">
        <w:rPr>
          <w:lang w:val="fr-FR"/>
        </w:rPr>
        <w:t>établir un équilibre entre la protection des droits sur les marques reconnus par la loi, les intérêts concrets des opérateurs de services d</w:t>
      </w:r>
      <w:r w:rsidR="00CC10D5">
        <w:rPr>
          <w:lang w:val="fr-FR"/>
        </w:rPr>
        <w:t>’</w:t>
      </w:r>
      <w:r w:rsidRPr="00882E58">
        <w:rPr>
          <w:lang w:val="fr-FR"/>
        </w:rPr>
        <w:t xml:space="preserve">enregistrement respectueux des règles qui veulent réduire autant que possible leurs frais de fonctionnement, et les attentes légitimes des détenteurs de noms de domaine enregistrés de bonne foi.  </w:t>
      </w:r>
    </w:p>
  </w:footnote>
  <w:footnote w:id="46">
    <w:p w:rsidR="00570715" w:rsidRPr="00882E58" w:rsidRDefault="00570715" w:rsidP="0065589C">
      <w:pPr>
        <w:pStyle w:val="FootnoteText"/>
        <w:rPr>
          <w:lang w:val="fr-FR"/>
        </w:rPr>
      </w:pPr>
      <w:r w:rsidRPr="00882E58">
        <w:rPr>
          <w:rStyle w:val="FootnoteReference"/>
          <w:lang w:val="fr-FR"/>
        </w:rPr>
        <w:footnoteRef/>
      </w:r>
      <w:r w:rsidRPr="00882E58">
        <w:rPr>
          <w:lang w:val="fr-FR"/>
        </w:rPr>
        <w:t xml:space="preserve"> </w:t>
      </w:r>
      <w:r w:rsidRPr="00882E58">
        <w:rPr>
          <w:lang w:val="fr-FR"/>
        </w:rPr>
        <w:tab/>
        <w:t>Une liste détaillée de ces questions figure notamment dans la lettre du Centre adressée à l</w:t>
      </w:r>
      <w:r w:rsidR="00CC10D5">
        <w:rPr>
          <w:lang w:val="fr-FR"/>
        </w:rPr>
        <w:t>’</w:t>
      </w:r>
      <w:r w:rsidRPr="00882E58">
        <w:rPr>
          <w:lang w:val="fr-FR"/>
        </w:rPr>
        <w:t xml:space="preserve">ICANN le </w:t>
      </w:r>
      <w:r w:rsidR="00CC10D5" w:rsidRPr="00882E58">
        <w:rPr>
          <w:lang w:val="fr-FR"/>
        </w:rPr>
        <w:t>2</w:t>
      </w:r>
      <w:r w:rsidR="00CC10D5">
        <w:rPr>
          <w:lang w:val="fr-FR"/>
        </w:rPr>
        <w:t> </w:t>
      </w:r>
      <w:r w:rsidR="00CC10D5" w:rsidRPr="00882E58">
        <w:rPr>
          <w:lang w:val="fr-FR"/>
        </w:rPr>
        <w:t>décembre</w:t>
      </w:r>
      <w:r w:rsidR="00CC10D5">
        <w:rPr>
          <w:lang w:val="fr-FR"/>
        </w:rPr>
        <w:t> </w:t>
      </w:r>
      <w:r w:rsidR="00CC10D5" w:rsidRPr="00882E58">
        <w:rPr>
          <w:lang w:val="fr-FR"/>
        </w:rPr>
        <w:t>20</w:t>
      </w:r>
      <w:r w:rsidRPr="00882E58">
        <w:rPr>
          <w:lang w:val="fr-FR"/>
        </w:rPr>
        <w:t>10, publiée à l</w:t>
      </w:r>
      <w:r w:rsidR="00CC10D5">
        <w:rPr>
          <w:lang w:val="fr-FR"/>
        </w:rPr>
        <w:t>’</w:t>
      </w:r>
      <w:r w:rsidRPr="00882E58">
        <w:rPr>
          <w:lang w:val="fr-FR"/>
        </w:rPr>
        <w:t>adresse</w:t>
      </w:r>
      <w:r w:rsidR="00401FB8">
        <w:rPr>
          <w:lang w:val="fr-FR"/>
        </w:rPr>
        <w:t> </w:t>
      </w:r>
      <w:r w:rsidRPr="00882E58">
        <w:rPr>
          <w:lang w:val="fr-FR"/>
        </w:rPr>
        <w:t xml:space="preserve">http://www.wipo.int/amc/en/docs/icann021210.pdf.  </w:t>
      </w:r>
    </w:p>
  </w:footnote>
  <w:footnote w:id="47">
    <w:p w:rsidR="00570715" w:rsidRPr="00882E58" w:rsidRDefault="00570715" w:rsidP="0065589C">
      <w:pPr>
        <w:pStyle w:val="FootnoteText"/>
        <w:rPr>
          <w:lang w:val="fr-FR"/>
        </w:rPr>
      </w:pPr>
      <w:r w:rsidRPr="00882E58">
        <w:rPr>
          <w:rStyle w:val="FootnoteReference"/>
          <w:lang w:val="fr-FR"/>
        </w:rPr>
        <w:footnoteRef/>
      </w:r>
      <w:r w:rsidRPr="00882E58">
        <w:rPr>
          <w:lang w:val="fr-FR"/>
        </w:rPr>
        <w:t xml:space="preserve"> </w:t>
      </w:r>
      <w:r w:rsidRPr="00882E58">
        <w:rPr>
          <w:lang w:val="fr-FR"/>
        </w:rPr>
        <w:tab/>
        <w:t>La question de l</w:t>
      </w:r>
      <w:r w:rsidR="00CC10D5">
        <w:rPr>
          <w:lang w:val="fr-FR"/>
        </w:rPr>
        <w:t>’</w:t>
      </w:r>
      <w:r w:rsidRPr="00882E58">
        <w:rPr>
          <w:lang w:val="fr-FR"/>
        </w:rPr>
        <w:t>accréditation des prestataires suscite des craintes quant à la stabilité des mécanismes de protection des droits;  l</w:t>
      </w:r>
      <w:r w:rsidR="00CC10D5">
        <w:rPr>
          <w:lang w:val="fr-FR"/>
        </w:rPr>
        <w:t>’</w:t>
      </w:r>
      <w:r w:rsidRPr="00882E58">
        <w:rPr>
          <w:lang w:val="fr-FR"/>
        </w:rPr>
        <w:t>OMPI s</w:t>
      </w:r>
      <w:r w:rsidR="00CC10D5">
        <w:rPr>
          <w:lang w:val="fr-FR"/>
        </w:rPr>
        <w:t>’</w:t>
      </w:r>
      <w:r w:rsidRPr="00882E58">
        <w:rPr>
          <w:lang w:val="fr-FR"/>
        </w:rPr>
        <w:t xml:space="preserve">était inquiétée de cette question dès 2007, dans le cadre des principes UDRP (voir http://www.wipo.int/amc/en/docs/icann040707.pdf).  </w:t>
      </w:r>
    </w:p>
  </w:footnote>
  <w:footnote w:id="48">
    <w:p w:rsidR="00570715" w:rsidRPr="00882E58" w:rsidRDefault="00570715" w:rsidP="00EF22DD">
      <w:pPr>
        <w:pStyle w:val="FootnoteText"/>
        <w:rPr>
          <w:lang w:val="fr-FR"/>
        </w:rPr>
      </w:pPr>
      <w:r w:rsidRPr="00882E58">
        <w:rPr>
          <w:rStyle w:val="FootnoteReference"/>
          <w:lang w:val="fr-FR"/>
        </w:rPr>
        <w:footnoteRef/>
      </w:r>
      <w:r w:rsidRPr="00882E58">
        <w:rPr>
          <w:lang w:val="fr-FR"/>
        </w:rPr>
        <w:t xml:space="preserve"> </w:t>
      </w:r>
      <w:r w:rsidRPr="00882E58">
        <w:rPr>
          <w:lang w:val="fr-FR"/>
        </w:rPr>
        <w:tab/>
        <w:t xml:space="preserve">Voir https://community.icann.org/display/gnsoudrpdt/Webinar+on+the+Current+State+of+the+UDRP;  </w:t>
      </w:r>
      <w:proofErr w:type="spellStart"/>
      <w:r w:rsidRPr="00882E58">
        <w:rPr>
          <w:lang w:val="fr-FR"/>
        </w:rPr>
        <w:t>voir</w:t>
      </w:r>
      <w:proofErr w:type="spellEnd"/>
      <w:r w:rsidRPr="00882E58">
        <w:rPr>
          <w:lang w:val="fr-FR"/>
        </w:rPr>
        <w:t xml:space="preserve"> également de manière plus générale le </w:t>
      </w:r>
      <w:r w:rsidR="00CC10D5" w:rsidRPr="00882E58">
        <w:rPr>
          <w:lang w:val="fr-FR"/>
        </w:rPr>
        <w:t>paragraphe</w:t>
      </w:r>
      <w:r w:rsidR="00CC10D5">
        <w:rPr>
          <w:lang w:val="fr-FR"/>
        </w:rPr>
        <w:t> </w:t>
      </w:r>
      <w:r w:rsidR="00CC10D5" w:rsidRPr="00882E58">
        <w:rPr>
          <w:lang w:val="fr-FR"/>
        </w:rPr>
        <w:t>3</w:t>
      </w:r>
      <w:r w:rsidRPr="00882E58">
        <w:rPr>
          <w:lang w:val="fr-FR"/>
        </w:rPr>
        <w:t>1 du document</w:t>
      </w:r>
      <w:r w:rsidR="00401FB8">
        <w:rPr>
          <w:lang w:val="fr-FR"/>
        </w:rPr>
        <w:t> </w:t>
      </w:r>
      <w:r w:rsidRPr="00882E58">
        <w:rPr>
          <w:lang w:val="fr-FR"/>
        </w:rPr>
        <w:t>WO/GA/39/10.</w:t>
      </w:r>
    </w:p>
  </w:footnote>
  <w:footnote w:id="49">
    <w:p w:rsidR="00570715" w:rsidRPr="00882E58" w:rsidRDefault="00570715" w:rsidP="00EF22DD">
      <w:pPr>
        <w:pStyle w:val="FootnoteText"/>
        <w:rPr>
          <w:lang w:val="fr-FR"/>
        </w:rPr>
      </w:pPr>
      <w:r w:rsidRPr="00882E58">
        <w:rPr>
          <w:rStyle w:val="FootnoteReference"/>
          <w:lang w:val="fr-FR"/>
        </w:rPr>
        <w:footnoteRef/>
      </w:r>
      <w:r w:rsidRPr="00882E58">
        <w:rPr>
          <w:lang w:val="fr-FR"/>
        </w:rPr>
        <w:t xml:space="preserve"> </w:t>
      </w:r>
      <w:r w:rsidRPr="00882E58">
        <w:rPr>
          <w:lang w:val="fr-FR"/>
        </w:rPr>
        <w:tab/>
        <w:t>Voir http://gnso.icann.org/en/issues/new</w:t>
      </w:r>
      <w:r w:rsidR="00CC10D5">
        <w:rPr>
          <w:lang w:val="fr-FR"/>
        </w:rPr>
        <w:t>-</w:t>
      </w:r>
      <w:r w:rsidRPr="00882E58">
        <w:rPr>
          <w:lang w:val="fr-FR"/>
        </w:rPr>
        <w:t>gtlds/rpm</w:t>
      </w:r>
      <w:r w:rsidR="00CC10D5">
        <w:rPr>
          <w:lang w:val="fr-FR"/>
        </w:rPr>
        <w:t>-</w:t>
      </w:r>
      <w:r w:rsidRPr="00882E58">
        <w:rPr>
          <w:lang w:val="fr-FR"/>
        </w:rPr>
        <w:t>prelim</w:t>
      </w:r>
      <w:r w:rsidR="00CC10D5">
        <w:rPr>
          <w:lang w:val="fr-FR"/>
        </w:rPr>
        <w:t>-</w:t>
      </w:r>
      <w:r w:rsidRPr="00882E58">
        <w:rPr>
          <w:lang w:val="fr-FR"/>
        </w:rPr>
        <w:t>issue</w:t>
      </w:r>
      <w:r w:rsidR="00CC10D5">
        <w:rPr>
          <w:lang w:val="fr-FR"/>
        </w:rPr>
        <w:t>-</w:t>
      </w:r>
      <w:r w:rsidRPr="00882E58">
        <w:rPr>
          <w:lang w:val="fr-FR"/>
        </w:rPr>
        <w:t>09oct15</w:t>
      </w:r>
      <w:r w:rsidR="00CC10D5">
        <w:rPr>
          <w:lang w:val="fr-FR"/>
        </w:rPr>
        <w:t>-</w:t>
      </w:r>
      <w:r w:rsidRPr="00882E58">
        <w:rPr>
          <w:lang w:val="fr-FR"/>
        </w:rPr>
        <w:t>en.pdf.</w:t>
      </w:r>
    </w:p>
  </w:footnote>
  <w:footnote w:id="50">
    <w:p w:rsidR="00570715" w:rsidRPr="00882E58" w:rsidRDefault="00570715" w:rsidP="00EF22DD">
      <w:pPr>
        <w:pStyle w:val="FootnoteText"/>
        <w:rPr>
          <w:lang w:val="fr-FR"/>
        </w:rPr>
      </w:pPr>
      <w:r w:rsidRPr="00882E58">
        <w:rPr>
          <w:rStyle w:val="FootnoteReference"/>
          <w:lang w:val="fr-FR"/>
        </w:rPr>
        <w:footnoteRef/>
      </w:r>
      <w:r w:rsidRPr="00882E58">
        <w:rPr>
          <w:lang w:val="fr-FR"/>
        </w:rPr>
        <w:t xml:space="preserve"> </w:t>
      </w:r>
      <w:r w:rsidRPr="00882E58">
        <w:rPr>
          <w:lang w:val="fr-FR"/>
        </w:rPr>
        <w:tab/>
        <w:t>Voir http://gnso.icann.org/en/issues/new</w:t>
      </w:r>
      <w:r w:rsidR="00CC10D5">
        <w:rPr>
          <w:lang w:val="fr-FR"/>
        </w:rPr>
        <w:t>-</w:t>
      </w:r>
      <w:r w:rsidRPr="00882E58">
        <w:rPr>
          <w:lang w:val="fr-FR"/>
        </w:rPr>
        <w:t>gtlds/rpm</w:t>
      </w:r>
      <w:r w:rsidR="00CC10D5">
        <w:rPr>
          <w:lang w:val="fr-FR"/>
        </w:rPr>
        <w:t>-</w:t>
      </w:r>
      <w:r w:rsidRPr="00882E58">
        <w:rPr>
          <w:lang w:val="fr-FR"/>
        </w:rPr>
        <w:t>final</w:t>
      </w:r>
      <w:r w:rsidR="00CC10D5">
        <w:rPr>
          <w:lang w:val="fr-FR"/>
        </w:rPr>
        <w:t>-</w:t>
      </w:r>
      <w:r w:rsidRPr="00882E58">
        <w:rPr>
          <w:lang w:val="fr-FR"/>
        </w:rPr>
        <w:t>issue</w:t>
      </w:r>
      <w:r w:rsidR="00CC10D5">
        <w:rPr>
          <w:lang w:val="fr-FR"/>
        </w:rPr>
        <w:t>-</w:t>
      </w:r>
      <w:r w:rsidRPr="00882E58">
        <w:rPr>
          <w:lang w:val="fr-FR"/>
        </w:rPr>
        <w:t>11jan16</w:t>
      </w:r>
      <w:r w:rsidR="00CC10D5">
        <w:rPr>
          <w:lang w:val="fr-FR"/>
        </w:rPr>
        <w:t>-</w:t>
      </w:r>
      <w:r w:rsidRPr="00882E58">
        <w:rPr>
          <w:lang w:val="fr-FR"/>
        </w:rPr>
        <w:t>en.pdf.</w:t>
      </w:r>
    </w:p>
  </w:footnote>
  <w:footnote w:id="51">
    <w:p w:rsidR="00570715" w:rsidRPr="00882E58" w:rsidRDefault="00570715" w:rsidP="000F4A8B">
      <w:pPr>
        <w:pStyle w:val="FootnoteText"/>
        <w:rPr>
          <w:lang w:val="fr-FR"/>
        </w:rPr>
      </w:pPr>
      <w:r w:rsidRPr="00882E58">
        <w:rPr>
          <w:rStyle w:val="FootnoteReference"/>
          <w:lang w:val="fr-FR"/>
        </w:rPr>
        <w:footnoteRef/>
      </w:r>
      <w:r w:rsidRPr="00882E58">
        <w:rPr>
          <w:lang w:val="fr-FR"/>
        </w:rPr>
        <w:t xml:space="preserve"> </w:t>
      </w:r>
      <w:r w:rsidRPr="00882E58">
        <w:rPr>
          <w:lang w:val="fr-FR"/>
        </w:rPr>
        <w:tab/>
        <w:t>Voir https://www.icann.org/resources/pages/gtld</w:t>
      </w:r>
      <w:r w:rsidR="00CC10D5">
        <w:rPr>
          <w:lang w:val="fr-FR"/>
        </w:rPr>
        <w:t>-</w:t>
      </w:r>
      <w:r w:rsidRPr="00882E58">
        <w:rPr>
          <w:lang w:val="fr-FR"/>
        </w:rPr>
        <w:t>registration</w:t>
      </w:r>
      <w:r w:rsidR="00CC10D5">
        <w:rPr>
          <w:lang w:val="fr-FR"/>
        </w:rPr>
        <w:t>-</w:t>
      </w:r>
      <w:r w:rsidRPr="00882E58">
        <w:rPr>
          <w:lang w:val="fr-FR"/>
        </w:rPr>
        <w:t>data</w:t>
      </w:r>
      <w:r w:rsidR="00CC10D5">
        <w:rPr>
          <w:lang w:val="fr-FR"/>
        </w:rPr>
        <w:t>-</w:t>
      </w:r>
      <w:r w:rsidRPr="00882E58">
        <w:rPr>
          <w:lang w:val="fr-FR"/>
        </w:rPr>
        <w:t>specs</w:t>
      </w:r>
      <w:r w:rsidR="00CC10D5">
        <w:rPr>
          <w:lang w:val="fr-FR"/>
        </w:rPr>
        <w:t>-</w:t>
      </w:r>
      <w:r w:rsidRPr="00882E58">
        <w:rPr>
          <w:lang w:val="fr-FR"/>
        </w:rPr>
        <w:t xml:space="preserve">en, </w:t>
      </w:r>
      <w:r w:rsidR="00CC10D5" w:rsidRPr="00882E58">
        <w:rPr>
          <w:lang w:val="fr-FR"/>
        </w:rPr>
        <w:t>Annexe</w:t>
      </w:r>
      <w:r w:rsidR="00CC10D5">
        <w:rPr>
          <w:lang w:val="fr-FR"/>
        </w:rPr>
        <w:t> </w:t>
      </w:r>
      <w:r w:rsidR="00CC10D5" w:rsidRPr="00882E58">
        <w:rPr>
          <w:lang w:val="fr-FR"/>
        </w:rPr>
        <w:t>F</w:t>
      </w:r>
      <w:r w:rsidRPr="00882E58">
        <w:rPr>
          <w:lang w:val="fr-FR"/>
        </w:rPr>
        <w:t>.</w:t>
      </w:r>
      <w:r w:rsidR="00E6003E">
        <w:rPr>
          <w:lang w:val="fr-FR"/>
        </w:rPr>
        <w:t> </w:t>
      </w:r>
    </w:p>
  </w:footnote>
  <w:footnote w:id="52">
    <w:p w:rsidR="00570715" w:rsidRPr="00882E58" w:rsidRDefault="00570715" w:rsidP="00CB2FFE">
      <w:pPr>
        <w:pStyle w:val="FootnoteText"/>
        <w:rPr>
          <w:lang w:val="fr-FR"/>
        </w:rPr>
      </w:pPr>
      <w:r w:rsidRPr="00882E58">
        <w:rPr>
          <w:rStyle w:val="FootnoteReference"/>
          <w:lang w:val="fr-FR"/>
        </w:rPr>
        <w:footnoteRef/>
      </w:r>
      <w:r w:rsidRPr="00882E58">
        <w:rPr>
          <w:lang w:val="fr-FR"/>
        </w:rPr>
        <w:t xml:space="preserve"> </w:t>
      </w:r>
      <w:r w:rsidRPr="00882E58">
        <w:rPr>
          <w:lang w:val="fr-FR"/>
        </w:rPr>
        <w:tab/>
        <w:t>Voir https://www.icann.org/en/system/files/files/framework</w:t>
      </w:r>
      <w:r w:rsidR="00CC10D5">
        <w:rPr>
          <w:lang w:val="fr-FR"/>
        </w:rPr>
        <w:t>-</w:t>
      </w:r>
      <w:r w:rsidRPr="00882E58">
        <w:rPr>
          <w:lang w:val="fr-FR"/>
        </w:rPr>
        <w:t>elements</w:t>
      </w:r>
      <w:r w:rsidR="00CC10D5">
        <w:rPr>
          <w:lang w:val="fr-FR"/>
        </w:rPr>
        <w:t>-</w:t>
      </w:r>
      <w:r w:rsidRPr="00882E58">
        <w:rPr>
          <w:lang w:val="fr-FR"/>
        </w:rPr>
        <w:t>unified</w:t>
      </w:r>
      <w:r w:rsidR="00CC10D5">
        <w:rPr>
          <w:lang w:val="fr-FR"/>
        </w:rPr>
        <w:t>-</w:t>
      </w:r>
      <w:r w:rsidRPr="00882E58">
        <w:rPr>
          <w:lang w:val="fr-FR"/>
        </w:rPr>
        <w:t>access</w:t>
      </w:r>
      <w:r w:rsidR="00CC10D5">
        <w:rPr>
          <w:lang w:val="fr-FR"/>
        </w:rPr>
        <w:t>-</w:t>
      </w:r>
      <w:r w:rsidRPr="00882E58">
        <w:rPr>
          <w:lang w:val="fr-FR"/>
        </w:rPr>
        <w:t>model</w:t>
      </w:r>
      <w:r w:rsidR="00CC10D5">
        <w:rPr>
          <w:lang w:val="fr-FR"/>
        </w:rPr>
        <w:t>-</w:t>
      </w:r>
      <w:r w:rsidRPr="00882E58">
        <w:rPr>
          <w:lang w:val="fr-FR"/>
        </w:rPr>
        <w:t>for</w:t>
      </w:r>
      <w:r w:rsidR="00CC10D5">
        <w:rPr>
          <w:lang w:val="fr-FR"/>
        </w:rPr>
        <w:t>-</w:t>
      </w:r>
      <w:r w:rsidRPr="00882E58">
        <w:rPr>
          <w:lang w:val="fr-FR"/>
        </w:rPr>
        <w:t>discussion</w:t>
      </w:r>
      <w:r w:rsidR="00CC10D5">
        <w:rPr>
          <w:lang w:val="fr-FR"/>
        </w:rPr>
        <w:t>-</w:t>
      </w:r>
      <w:r w:rsidRPr="00882E58">
        <w:rPr>
          <w:lang w:val="fr-FR"/>
        </w:rPr>
        <w:t>18jun18</w:t>
      </w:r>
      <w:r w:rsidR="00CC10D5">
        <w:rPr>
          <w:lang w:val="fr-FR"/>
        </w:rPr>
        <w:t>-</w:t>
      </w:r>
      <w:r w:rsidRPr="00882E58">
        <w:rPr>
          <w:lang w:val="fr-FR"/>
        </w:rPr>
        <w:t>en.pdf.  Voir en outre l</w:t>
      </w:r>
      <w:r w:rsidR="00CC10D5">
        <w:rPr>
          <w:lang w:val="fr-FR"/>
        </w:rPr>
        <w:t>’</w:t>
      </w:r>
      <w:r w:rsidRPr="00882E58">
        <w:rPr>
          <w:lang w:val="fr-FR"/>
        </w:rPr>
        <w:t>ordre du jour de la réunion de l</w:t>
      </w:r>
      <w:r w:rsidR="00CC10D5">
        <w:rPr>
          <w:lang w:val="fr-FR"/>
        </w:rPr>
        <w:t>’</w:t>
      </w:r>
      <w:r w:rsidRPr="00882E58">
        <w:rPr>
          <w:lang w:val="fr-FR"/>
        </w:rPr>
        <w:t xml:space="preserve">ICANN tenue en </w:t>
      </w:r>
      <w:r w:rsidR="00CC10D5" w:rsidRPr="00882E58">
        <w:rPr>
          <w:lang w:val="fr-FR"/>
        </w:rPr>
        <w:t>juin</w:t>
      </w:r>
      <w:r w:rsidR="00CC10D5">
        <w:rPr>
          <w:lang w:val="fr-FR"/>
        </w:rPr>
        <w:t> </w:t>
      </w:r>
      <w:r w:rsidR="00CC10D5" w:rsidRPr="00882E58">
        <w:rPr>
          <w:lang w:val="fr-FR"/>
        </w:rPr>
        <w:t>20</w:t>
      </w:r>
      <w:r w:rsidRPr="00882E58">
        <w:rPr>
          <w:lang w:val="fr-FR"/>
        </w:rPr>
        <w:t>18 à l</w:t>
      </w:r>
      <w:r w:rsidR="00CC10D5">
        <w:rPr>
          <w:lang w:val="fr-FR"/>
        </w:rPr>
        <w:t>’</w:t>
      </w:r>
      <w:r w:rsidRPr="00882E58">
        <w:rPr>
          <w:lang w:val="fr-FR"/>
        </w:rPr>
        <w:t xml:space="preserve">adresse https:// 62.schedule.icann.org/. </w:t>
      </w:r>
      <w:r w:rsidR="00E6003E">
        <w:rPr>
          <w:lang w:val="fr-FR"/>
        </w:rPr>
        <w:t xml:space="preserve"> </w:t>
      </w:r>
    </w:p>
  </w:footnote>
  <w:footnote w:id="53">
    <w:p w:rsidR="00570715" w:rsidRPr="00882E58" w:rsidRDefault="00570715" w:rsidP="00CB2FFE">
      <w:pPr>
        <w:pStyle w:val="FootnoteText"/>
        <w:rPr>
          <w:lang w:val="fr-FR"/>
        </w:rPr>
      </w:pPr>
      <w:r w:rsidRPr="00882E58">
        <w:rPr>
          <w:rStyle w:val="FootnoteReference"/>
          <w:lang w:val="fr-FR"/>
        </w:rPr>
        <w:footnoteRef/>
      </w:r>
      <w:r w:rsidRPr="00882E58">
        <w:rPr>
          <w:lang w:val="fr-FR"/>
        </w:rPr>
        <w:t xml:space="preserve"> </w:t>
      </w:r>
      <w:r w:rsidRPr="00882E58">
        <w:rPr>
          <w:lang w:val="fr-FR"/>
        </w:rPr>
        <w:tab/>
        <w:t>Voir également le plan final de l</w:t>
      </w:r>
      <w:r w:rsidR="00CC10D5">
        <w:rPr>
          <w:lang w:val="fr-FR"/>
        </w:rPr>
        <w:t>’</w:t>
      </w:r>
      <w:r w:rsidRPr="00882E58">
        <w:rPr>
          <w:lang w:val="fr-FR"/>
        </w:rPr>
        <w:t>ICANN pour la mise en œuvre d</w:t>
      </w:r>
      <w:r w:rsidR="00CC10D5">
        <w:rPr>
          <w:lang w:val="fr-FR"/>
        </w:rPr>
        <w:t>’</w:t>
      </w:r>
      <w:r w:rsidRPr="00882E58">
        <w:rPr>
          <w:lang w:val="fr-FR"/>
        </w:rPr>
        <w:t>un processus accéléré d</w:t>
      </w:r>
      <w:r w:rsidR="00CC10D5">
        <w:rPr>
          <w:lang w:val="fr-FR"/>
        </w:rPr>
        <w:t>’</w:t>
      </w:r>
      <w:r w:rsidRPr="00882E58">
        <w:rPr>
          <w:lang w:val="fr-FR"/>
        </w:rPr>
        <w:t xml:space="preserve">établissement de noms de ccTLD internationalisés publié en </w:t>
      </w:r>
      <w:r w:rsidR="00CC10D5" w:rsidRPr="00882E58">
        <w:rPr>
          <w:lang w:val="fr-FR"/>
        </w:rPr>
        <w:t>novembre</w:t>
      </w:r>
      <w:r w:rsidR="00CC10D5">
        <w:rPr>
          <w:lang w:val="fr-FR"/>
        </w:rPr>
        <w:t> </w:t>
      </w:r>
      <w:r w:rsidR="00CC10D5" w:rsidRPr="00882E58">
        <w:rPr>
          <w:lang w:val="fr-FR"/>
        </w:rPr>
        <w:t>20</w:t>
      </w:r>
      <w:r w:rsidRPr="00882E58">
        <w:rPr>
          <w:lang w:val="fr-FR"/>
        </w:rPr>
        <w:t>09 (voir http://www.icann.org/en/topics/idn/fast</w:t>
      </w:r>
      <w:r w:rsidR="00CC10D5">
        <w:rPr>
          <w:lang w:val="fr-FR"/>
        </w:rPr>
        <w:t>-</w:t>
      </w:r>
      <w:r w:rsidRPr="00882E58">
        <w:rPr>
          <w:lang w:val="fr-FR"/>
        </w:rPr>
        <w:t>track/idncctld</w:t>
      </w:r>
      <w:r w:rsidR="00CC10D5">
        <w:rPr>
          <w:lang w:val="fr-FR"/>
        </w:rPr>
        <w:t>-</w:t>
      </w:r>
      <w:r w:rsidRPr="00882E58">
        <w:rPr>
          <w:lang w:val="fr-FR"/>
        </w:rPr>
        <w:t>implementation</w:t>
      </w:r>
      <w:r w:rsidR="00CC10D5">
        <w:rPr>
          <w:lang w:val="fr-FR"/>
        </w:rPr>
        <w:t>-</w:t>
      </w:r>
      <w:r w:rsidRPr="00882E58">
        <w:rPr>
          <w:lang w:val="fr-FR"/>
        </w:rPr>
        <w:t>plan</w:t>
      </w:r>
      <w:r w:rsidR="00CC10D5">
        <w:rPr>
          <w:lang w:val="fr-FR"/>
        </w:rPr>
        <w:t>-</w:t>
      </w:r>
      <w:r w:rsidRPr="00882E58">
        <w:rPr>
          <w:lang w:val="fr-FR"/>
        </w:rPr>
        <w:t>16nov09</w:t>
      </w:r>
      <w:r w:rsidR="00CC10D5">
        <w:rPr>
          <w:lang w:val="fr-FR"/>
        </w:rPr>
        <w:t>-</w:t>
      </w:r>
      <w:r w:rsidRPr="00882E58">
        <w:rPr>
          <w:lang w:val="fr-FR"/>
        </w:rPr>
        <w:t>en.pdf).  Depuis lors, cette procédure a permis d</w:t>
      </w:r>
      <w:r w:rsidR="00CC10D5">
        <w:rPr>
          <w:lang w:val="fr-FR"/>
        </w:rPr>
        <w:t>’</w:t>
      </w:r>
      <w:r w:rsidRPr="00882E58">
        <w:rPr>
          <w:lang w:val="fr-FR"/>
        </w:rPr>
        <w:t>introduire plusieurs ccTLD internationalisés associés aux codes à deux</w:t>
      </w:r>
      <w:r w:rsidR="00E6003E">
        <w:rPr>
          <w:lang w:val="fr-FR"/>
        </w:rPr>
        <w:t> </w:t>
      </w:r>
      <w:r w:rsidRPr="00882E58">
        <w:rPr>
          <w:lang w:val="fr-FR"/>
        </w:rPr>
        <w:t>lettres figurant dans la norme</w:t>
      </w:r>
      <w:r w:rsidR="00E6003E">
        <w:rPr>
          <w:lang w:val="fr-FR"/>
        </w:rPr>
        <w:t> </w:t>
      </w:r>
      <w:r w:rsidRPr="00882E58">
        <w:rPr>
          <w:lang w:val="fr-FR"/>
        </w:rPr>
        <w:t>ISO</w:t>
      </w:r>
      <w:r w:rsidR="00401FB8">
        <w:rPr>
          <w:lang w:val="fr-FR"/>
        </w:rPr>
        <w:t> </w:t>
      </w:r>
      <w:r w:rsidRPr="00882E58">
        <w:rPr>
          <w:lang w:val="fr-FR"/>
        </w:rPr>
        <w:t>3166</w:t>
      </w:r>
      <w:r w:rsidR="00CC10D5">
        <w:rPr>
          <w:lang w:val="fr-FR"/>
        </w:rPr>
        <w:t>-</w:t>
      </w:r>
      <w:r w:rsidRPr="00882E58">
        <w:rPr>
          <w:lang w:val="fr-FR"/>
        </w:rPr>
        <w:t xml:space="preserve">1 (voir http://www.iso.org/iso/english_country_names_and_code_elements).  </w:t>
      </w:r>
    </w:p>
  </w:footnote>
  <w:footnote w:id="54">
    <w:p w:rsidR="00570715" w:rsidRPr="00882E58" w:rsidRDefault="00570715" w:rsidP="00CB2FFE">
      <w:pPr>
        <w:pStyle w:val="FootnoteText"/>
        <w:rPr>
          <w:lang w:val="fr-FR"/>
        </w:rPr>
      </w:pPr>
      <w:r w:rsidRPr="00882E58">
        <w:rPr>
          <w:rStyle w:val="FootnoteReference"/>
          <w:lang w:val="fr-FR"/>
        </w:rPr>
        <w:footnoteRef/>
      </w:r>
      <w:r w:rsidRPr="00882E58">
        <w:rPr>
          <w:lang w:val="fr-FR"/>
        </w:rPr>
        <w:t xml:space="preserve"> </w:t>
      </w:r>
      <w:r w:rsidRPr="00882E58">
        <w:rPr>
          <w:lang w:val="fr-FR"/>
        </w:rPr>
        <w:tab/>
        <w:t xml:space="preserve">Voir http://www.wipo.int/edocs/mdocs/govbody/fr/wo_ga_28/wo_ga_28_3.pdf;  </w:t>
      </w:r>
      <w:proofErr w:type="spellStart"/>
      <w:r w:rsidRPr="00882E58">
        <w:rPr>
          <w:lang w:val="fr-FR"/>
        </w:rPr>
        <w:t>voir</w:t>
      </w:r>
      <w:proofErr w:type="spellEnd"/>
      <w:r w:rsidRPr="00882E58">
        <w:rPr>
          <w:lang w:val="fr-FR"/>
        </w:rPr>
        <w:t xml:space="preserve"> également les </w:t>
      </w:r>
      <w:r w:rsidR="00CC10D5" w:rsidRPr="00882E58">
        <w:rPr>
          <w:lang w:val="fr-FR"/>
        </w:rPr>
        <w:t>paragraphes</w:t>
      </w:r>
      <w:r w:rsidR="00CC10D5">
        <w:rPr>
          <w:lang w:val="fr-FR"/>
        </w:rPr>
        <w:t> </w:t>
      </w:r>
      <w:r w:rsidR="00CC10D5" w:rsidRPr="00882E58">
        <w:rPr>
          <w:lang w:val="fr-FR"/>
        </w:rPr>
        <w:t>6</w:t>
      </w:r>
      <w:r w:rsidRPr="00882E58">
        <w:rPr>
          <w:lang w:val="fr-FR"/>
        </w:rPr>
        <w:t xml:space="preserve"> à 11 du document</w:t>
      </w:r>
      <w:r w:rsidR="00401FB8">
        <w:rPr>
          <w:lang w:val="fr-FR"/>
        </w:rPr>
        <w:t> </w:t>
      </w:r>
      <w:r w:rsidRPr="00882E58">
        <w:rPr>
          <w:lang w:val="fr-FR"/>
        </w:rPr>
        <w:t xml:space="preserve">SCT/9/8 et le </w:t>
      </w:r>
      <w:r w:rsidR="00CC10D5" w:rsidRPr="00882E58">
        <w:rPr>
          <w:lang w:val="fr-FR"/>
        </w:rPr>
        <w:t>paragraphe</w:t>
      </w:r>
      <w:r w:rsidR="00CC10D5">
        <w:rPr>
          <w:lang w:val="fr-FR"/>
        </w:rPr>
        <w:t> </w:t>
      </w:r>
      <w:r w:rsidR="00CC10D5" w:rsidRPr="00882E58">
        <w:rPr>
          <w:lang w:val="fr-FR"/>
        </w:rPr>
        <w:t>1</w:t>
      </w:r>
      <w:r w:rsidRPr="00882E58">
        <w:rPr>
          <w:lang w:val="fr-FR"/>
        </w:rPr>
        <w:t>49 du document</w:t>
      </w:r>
      <w:r w:rsidR="00401FB8">
        <w:rPr>
          <w:lang w:val="fr-FR"/>
        </w:rPr>
        <w:t> </w:t>
      </w:r>
      <w:r w:rsidRPr="00882E58">
        <w:rPr>
          <w:lang w:val="fr-FR"/>
        </w:rPr>
        <w:t>SCT/9/9.</w:t>
      </w:r>
    </w:p>
  </w:footnote>
  <w:footnote w:id="55">
    <w:p w:rsidR="00570715" w:rsidRPr="00882E58" w:rsidRDefault="00570715" w:rsidP="00CB2FFE">
      <w:pPr>
        <w:pStyle w:val="FootnoteText"/>
        <w:rPr>
          <w:lang w:val="fr-FR"/>
        </w:rPr>
      </w:pPr>
      <w:r w:rsidRPr="00882E58">
        <w:rPr>
          <w:rStyle w:val="FootnoteReference"/>
          <w:lang w:val="fr-FR"/>
        </w:rPr>
        <w:footnoteRef/>
      </w:r>
      <w:r w:rsidRPr="00882E58">
        <w:rPr>
          <w:lang w:val="fr-FR"/>
        </w:rPr>
        <w:t xml:space="preserve"> </w:t>
      </w:r>
      <w:r w:rsidRPr="00882E58">
        <w:rPr>
          <w:lang w:val="fr-FR"/>
        </w:rPr>
        <w:tab/>
        <w:t>Voir http://www.wipo.int/amc/fr/docs/wipo.doc.</w:t>
      </w:r>
    </w:p>
  </w:footnote>
  <w:footnote w:id="56">
    <w:p w:rsidR="00570715" w:rsidRPr="00882E58" w:rsidRDefault="00570715" w:rsidP="00CB2FFE">
      <w:pPr>
        <w:pStyle w:val="FootnoteText"/>
        <w:rPr>
          <w:lang w:val="fr-FR"/>
        </w:rPr>
      </w:pPr>
      <w:r w:rsidRPr="00882E58">
        <w:rPr>
          <w:rStyle w:val="FootnoteReference"/>
          <w:lang w:val="fr-FR"/>
        </w:rPr>
        <w:footnoteRef/>
      </w:r>
      <w:r w:rsidRPr="00882E58">
        <w:rPr>
          <w:lang w:val="fr-FR"/>
        </w:rPr>
        <w:t xml:space="preserve"> </w:t>
      </w:r>
      <w:r w:rsidRPr="00882E58">
        <w:rPr>
          <w:lang w:val="fr-FR"/>
        </w:rPr>
        <w:tab/>
        <w:t>À titre d</w:t>
      </w:r>
      <w:r w:rsidR="00CC10D5">
        <w:rPr>
          <w:lang w:val="fr-FR"/>
        </w:rPr>
        <w:t>’</w:t>
      </w:r>
      <w:r w:rsidRPr="00882E58">
        <w:rPr>
          <w:lang w:val="fr-FR"/>
        </w:rPr>
        <w:t>information, voir le document</w:t>
      </w:r>
      <w:r w:rsidR="00401FB8">
        <w:rPr>
          <w:lang w:val="fr-FR"/>
        </w:rPr>
        <w:t> </w:t>
      </w:r>
      <w:r w:rsidRPr="00882E58">
        <w:rPr>
          <w:lang w:val="fr-FR"/>
        </w:rPr>
        <w:t>WO/GA/41/17</w:t>
      </w:r>
      <w:r w:rsidR="00E6003E">
        <w:rPr>
          <w:lang w:val="fr-FR"/>
        </w:rPr>
        <w:t> </w:t>
      </w:r>
      <w:r w:rsidRPr="00882E58">
        <w:rPr>
          <w:lang w:val="fr-FR"/>
        </w:rPr>
        <w:t xml:space="preserve">Rev.2, notamment les </w:t>
      </w:r>
      <w:r w:rsidR="00CC10D5" w:rsidRPr="00882E58">
        <w:rPr>
          <w:lang w:val="fr-FR"/>
        </w:rPr>
        <w:t>paragraphes</w:t>
      </w:r>
      <w:r w:rsidR="00CC10D5">
        <w:rPr>
          <w:lang w:val="fr-FR"/>
        </w:rPr>
        <w:t> </w:t>
      </w:r>
      <w:r w:rsidR="00CC10D5" w:rsidRPr="00882E58">
        <w:rPr>
          <w:lang w:val="fr-FR"/>
        </w:rPr>
        <w:t>4</w:t>
      </w:r>
      <w:r w:rsidRPr="00882E58">
        <w:rPr>
          <w:lang w:val="fr-FR"/>
        </w:rPr>
        <w:t>0 et 41.</w:t>
      </w:r>
    </w:p>
  </w:footnote>
  <w:footnote w:id="57">
    <w:p w:rsidR="00570715" w:rsidRPr="00882E58" w:rsidRDefault="00570715" w:rsidP="00CB2FFE">
      <w:pPr>
        <w:pStyle w:val="FootnoteText"/>
        <w:rPr>
          <w:lang w:val="fr-FR"/>
        </w:rPr>
      </w:pPr>
      <w:r w:rsidRPr="00882E58">
        <w:rPr>
          <w:rStyle w:val="FootnoteReference"/>
          <w:lang w:val="fr-FR"/>
        </w:rPr>
        <w:footnoteRef/>
      </w:r>
      <w:r w:rsidRPr="00882E58">
        <w:rPr>
          <w:lang w:val="fr-FR"/>
        </w:rPr>
        <w:t xml:space="preserve"> </w:t>
      </w:r>
      <w:r w:rsidRPr="00882E58">
        <w:rPr>
          <w:lang w:val="fr-FR"/>
        </w:rPr>
        <w:tab/>
        <w:t xml:space="preserve">Voir https://gacweb.icann.org/download/attachments/27132070/FINAL_Toronto_Communique_20121017.pdf?version=1&amp;modificationDate=1354149148000&amp;api=v2. </w:t>
      </w:r>
      <w:r w:rsidR="00E6003E">
        <w:rPr>
          <w:lang w:val="fr-FR"/>
        </w:rPr>
        <w:t xml:space="preserve"> </w:t>
      </w:r>
    </w:p>
  </w:footnote>
  <w:footnote w:id="58">
    <w:p w:rsidR="00570715" w:rsidRPr="00882E58" w:rsidRDefault="00570715" w:rsidP="00050EF0">
      <w:pPr>
        <w:pStyle w:val="FootnoteText"/>
        <w:rPr>
          <w:lang w:val="fr-FR"/>
        </w:rPr>
      </w:pPr>
      <w:r w:rsidRPr="00882E58">
        <w:rPr>
          <w:rStyle w:val="FootnoteReference"/>
          <w:lang w:val="fr-FR"/>
        </w:rPr>
        <w:footnoteRef/>
      </w:r>
      <w:r w:rsidRPr="00882E58">
        <w:rPr>
          <w:lang w:val="fr-FR"/>
        </w:rPr>
        <w:t xml:space="preserve"> </w:t>
      </w:r>
      <w:r w:rsidRPr="00882E58">
        <w:rPr>
          <w:lang w:val="fr-FR"/>
        </w:rPr>
        <w:tab/>
        <w:t>Voir https://www.icann.org/en/system/files/correspondence/crocker</w:t>
      </w:r>
      <w:r w:rsidR="00CC10D5">
        <w:rPr>
          <w:lang w:val="fr-FR"/>
        </w:rPr>
        <w:t>-</w:t>
      </w:r>
      <w:r w:rsidRPr="00882E58">
        <w:rPr>
          <w:lang w:val="fr-FR"/>
        </w:rPr>
        <w:t>to</w:t>
      </w:r>
      <w:r w:rsidR="00CC10D5">
        <w:rPr>
          <w:lang w:val="fr-FR"/>
        </w:rPr>
        <w:t>-</w:t>
      </w:r>
      <w:r w:rsidRPr="00882E58">
        <w:rPr>
          <w:lang w:val="fr-FR"/>
        </w:rPr>
        <w:t>dryden</w:t>
      </w:r>
      <w:r w:rsidR="00CC10D5">
        <w:rPr>
          <w:lang w:val="fr-FR"/>
        </w:rPr>
        <w:t>-</w:t>
      </w:r>
      <w:r w:rsidRPr="00882E58">
        <w:rPr>
          <w:lang w:val="fr-FR"/>
        </w:rPr>
        <w:t>16jan13</w:t>
      </w:r>
      <w:r w:rsidR="00CC10D5">
        <w:rPr>
          <w:lang w:val="fr-FR"/>
        </w:rPr>
        <w:t>-</w:t>
      </w:r>
      <w:r w:rsidRPr="00882E58">
        <w:rPr>
          <w:lang w:val="fr-FR"/>
        </w:rPr>
        <w:t xml:space="preserve">en.pdf. </w:t>
      </w:r>
      <w:r w:rsidR="00E6003E">
        <w:rPr>
          <w:lang w:val="fr-FR"/>
        </w:rPr>
        <w:t xml:space="preserve"> </w:t>
      </w:r>
    </w:p>
  </w:footnote>
  <w:footnote w:id="59">
    <w:p w:rsidR="00570715" w:rsidRPr="00882E58" w:rsidRDefault="00570715" w:rsidP="00050EF0">
      <w:pPr>
        <w:pStyle w:val="FootnoteText"/>
        <w:rPr>
          <w:lang w:val="fr-FR"/>
        </w:rPr>
      </w:pPr>
      <w:r w:rsidRPr="00882E58">
        <w:rPr>
          <w:rStyle w:val="FootnoteReference"/>
          <w:lang w:val="fr-FR"/>
        </w:rPr>
        <w:footnoteRef/>
      </w:r>
      <w:r w:rsidRPr="00882E58">
        <w:rPr>
          <w:lang w:val="fr-FR"/>
        </w:rPr>
        <w:t xml:space="preserve"> </w:t>
      </w:r>
      <w:r w:rsidRPr="00882E58">
        <w:rPr>
          <w:lang w:val="fr-FR"/>
        </w:rPr>
        <w:tab/>
        <w:t>Ces critères comprennent le statut d</w:t>
      </w:r>
      <w:r w:rsidR="00CC10D5">
        <w:rPr>
          <w:lang w:val="fr-FR"/>
        </w:rPr>
        <w:t>’</w:t>
      </w:r>
      <w:r w:rsidRPr="00882E58">
        <w:rPr>
          <w:lang w:val="fr-FR"/>
        </w:rPr>
        <w:t>organisation intergouvernementale établie par un traité et dotée d</w:t>
      </w:r>
      <w:r w:rsidR="00CC10D5">
        <w:rPr>
          <w:lang w:val="fr-FR"/>
        </w:rPr>
        <w:t>’</w:t>
      </w:r>
      <w:r w:rsidRPr="00882E58">
        <w:rPr>
          <w:lang w:val="fr-FR"/>
        </w:rPr>
        <w:t>une personnalité juridique internationale, le statut d</w:t>
      </w:r>
      <w:r w:rsidR="00CC10D5">
        <w:rPr>
          <w:lang w:val="fr-FR"/>
        </w:rPr>
        <w:t>’</w:t>
      </w:r>
      <w:r w:rsidRPr="00882E58">
        <w:rPr>
          <w:lang w:val="fr-FR"/>
        </w:rPr>
        <w:t>observateur auprès de l</w:t>
      </w:r>
      <w:r w:rsidR="00CC10D5">
        <w:rPr>
          <w:lang w:val="fr-FR"/>
        </w:rPr>
        <w:t>’</w:t>
      </w:r>
      <w:r w:rsidRPr="00882E58">
        <w:rPr>
          <w:lang w:val="fr-FR"/>
        </w:rPr>
        <w:t>ONU ou le statut de Fonds ou de programme de l</w:t>
      </w:r>
      <w:r w:rsidR="00CC10D5">
        <w:rPr>
          <w:lang w:val="fr-FR"/>
        </w:rPr>
        <w:t>’</w:t>
      </w:r>
      <w:r w:rsidRPr="00882E58">
        <w:rPr>
          <w:lang w:val="fr-FR"/>
        </w:rPr>
        <w:t>ONU.</w:t>
      </w:r>
    </w:p>
  </w:footnote>
  <w:footnote w:id="60">
    <w:p w:rsidR="00570715" w:rsidRPr="00882E58" w:rsidRDefault="00570715" w:rsidP="00050EF0">
      <w:pPr>
        <w:pStyle w:val="FootnoteText"/>
        <w:rPr>
          <w:lang w:val="fr-FR"/>
        </w:rPr>
      </w:pPr>
      <w:r w:rsidRPr="00882E58">
        <w:rPr>
          <w:rStyle w:val="FootnoteReference"/>
          <w:lang w:val="fr-FR"/>
        </w:rPr>
        <w:footnoteRef/>
      </w:r>
      <w:r w:rsidRPr="00882E58">
        <w:rPr>
          <w:lang w:val="fr-FR"/>
        </w:rPr>
        <w:t xml:space="preserve"> </w:t>
      </w:r>
      <w:r w:rsidRPr="00882E58">
        <w:rPr>
          <w:lang w:val="fr-FR"/>
        </w:rPr>
        <w:tab/>
        <w:t>Voir http://www.icann.org/en/news/correspondence/dryden</w:t>
      </w:r>
      <w:r w:rsidR="00CC10D5">
        <w:rPr>
          <w:lang w:val="fr-FR"/>
        </w:rPr>
        <w:t>-</w:t>
      </w:r>
      <w:r w:rsidRPr="00882E58">
        <w:rPr>
          <w:lang w:val="fr-FR"/>
        </w:rPr>
        <w:t>to</w:t>
      </w:r>
      <w:r w:rsidR="00CC10D5">
        <w:rPr>
          <w:lang w:val="fr-FR"/>
        </w:rPr>
        <w:t>-</w:t>
      </w:r>
      <w:r w:rsidRPr="00882E58">
        <w:rPr>
          <w:lang w:val="fr-FR"/>
        </w:rPr>
        <w:t>crocker</w:t>
      </w:r>
      <w:r w:rsidR="00CC10D5">
        <w:rPr>
          <w:lang w:val="fr-FR"/>
        </w:rPr>
        <w:t>-</w:t>
      </w:r>
      <w:r w:rsidRPr="00882E58">
        <w:rPr>
          <w:lang w:val="fr-FR"/>
        </w:rPr>
        <w:t>chalaby</w:t>
      </w:r>
      <w:r w:rsidR="00CC10D5">
        <w:rPr>
          <w:lang w:val="fr-FR"/>
        </w:rPr>
        <w:t>-</w:t>
      </w:r>
      <w:r w:rsidRPr="00882E58">
        <w:rPr>
          <w:lang w:val="fr-FR"/>
        </w:rPr>
        <w:t>22mar13</w:t>
      </w:r>
      <w:r w:rsidR="00CC10D5">
        <w:rPr>
          <w:lang w:val="fr-FR"/>
        </w:rPr>
        <w:t>-</w:t>
      </w:r>
      <w:r w:rsidRPr="00882E58">
        <w:rPr>
          <w:lang w:val="fr-FR"/>
        </w:rPr>
        <w:t xml:space="preserve">en. </w:t>
      </w:r>
      <w:r w:rsidR="00E6003E">
        <w:rPr>
          <w:lang w:val="fr-FR"/>
        </w:rPr>
        <w:t xml:space="preserve"> </w:t>
      </w:r>
    </w:p>
  </w:footnote>
  <w:footnote w:id="61">
    <w:p w:rsidR="00570715" w:rsidRPr="00882E58" w:rsidRDefault="00570715" w:rsidP="00050EF0">
      <w:pPr>
        <w:pStyle w:val="FootnoteText"/>
        <w:rPr>
          <w:lang w:val="fr-FR"/>
        </w:rPr>
      </w:pPr>
      <w:r w:rsidRPr="00882E58">
        <w:rPr>
          <w:rStyle w:val="FootnoteReference"/>
          <w:lang w:val="fr-FR"/>
        </w:rPr>
        <w:footnoteRef/>
      </w:r>
      <w:r w:rsidRPr="00882E58">
        <w:rPr>
          <w:lang w:val="fr-FR"/>
        </w:rPr>
        <w:t xml:space="preserve"> </w:t>
      </w:r>
      <w:r w:rsidRPr="00882E58">
        <w:rPr>
          <w:lang w:val="fr-FR"/>
        </w:rPr>
        <w:tab/>
        <w:t>Le Conseil d</w:t>
      </w:r>
      <w:r w:rsidR="00CC10D5">
        <w:rPr>
          <w:lang w:val="fr-FR"/>
        </w:rPr>
        <w:t>’</w:t>
      </w:r>
      <w:r w:rsidRPr="00882E58">
        <w:rPr>
          <w:lang w:val="fr-FR"/>
        </w:rPr>
        <w:t>administration a également demandé des éclaircissements sur les moyens de réviser périodiquement la liste et sur les langues additionnelles éventuelles dans lesquelles la protection des noms et sigles d</w:t>
      </w:r>
      <w:r w:rsidR="00CC10D5">
        <w:rPr>
          <w:lang w:val="fr-FR"/>
        </w:rPr>
        <w:t>’</w:t>
      </w:r>
      <w:r w:rsidRPr="00882E58">
        <w:rPr>
          <w:lang w:val="fr-FR"/>
        </w:rPr>
        <w:t>organisations intergouvernementales pourrait être demandée.  Voir http://www.icann.org/en/news/correspondence/crocker</w:t>
      </w:r>
      <w:r w:rsidR="00CC10D5">
        <w:rPr>
          <w:lang w:val="fr-FR"/>
        </w:rPr>
        <w:t>-</w:t>
      </w:r>
      <w:r w:rsidRPr="00882E58">
        <w:rPr>
          <w:lang w:val="fr-FR"/>
        </w:rPr>
        <w:t>to</w:t>
      </w:r>
      <w:r w:rsidR="00CC10D5">
        <w:rPr>
          <w:lang w:val="fr-FR"/>
        </w:rPr>
        <w:t>-</w:t>
      </w:r>
      <w:r w:rsidRPr="00882E58">
        <w:rPr>
          <w:lang w:val="fr-FR"/>
        </w:rPr>
        <w:t>dryden</w:t>
      </w:r>
      <w:r w:rsidR="00CC10D5">
        <w:rPr>
          <w:lang w:val="fr-FR"/>
        </w:rPr>
        <w:t>-</w:t>
      </w:r>
      <w:r w:rsidRPr="00882E58">
        <w:rPr>
          <w:lang w:val="fr-FR"/>
        </w:rPr>
        <w:t>01apr13</w:t>
      </w:r>
      <w:r w:rsidR="00CC10D5">
        <w:rPr>
          <w:lang w:val="fr-FR"/>
        </w:rPr>
        <w:t>-</w:t>
      </w:r>
      <w:r w:rsidRPr="00882E58">
        <w:rPr>
          <w:lang w:val="fr-FR"/>
        </w:rPr>
        <w:t xml:space="preserve">en. </w:t>
      </w:r>
      <w:r w:rsidR="00E6003E">
        <w:rPr>
          <w:lang w:val="fr-FR"/>
        </w:rPr>
        <w:t xml:space="preserve"> </w:t>
      </w:r>
    </w:p>
  </w:footnote>
  <w:footnote w:id="62">
    <w:p w:rsidR="00570715" w:rsidRPr="00882E58" w:rsidRDefault="00570715" w:rsidP="00050EF0">
      <w:pPr>
        <w:pStyle w:val="FootnoteText"/>
        <w:rPr>
          <w:lang w:val="fr-FR"/>
        </w:rPr>
      </w:pPr>
      <w:r w:rsidRPr="00882E58">
        <w:rPr>
          <w:rStyle w:val="FootnoteReference"/>
          <w:lang w:val="fr-FR"/>
        </w:rPr>
        <w:footnoteRef/>
      </w:r>
      <w:r w:rsidRPr="00882E58">
        <w:rPr>
          <w:lang w:val="fr-FR"/>
        </w:rPr>
        <w:t xml:space="preserve"> </w:t>
      </w:r>
      <w:r w:rsidRPr="00882E58">
        <w:rPr>
          <w:lang w:val="fr-FR"/>
        </w:rPr>
        <w:tab/>
        <w:t>Le GAC a en outre indiqué qu</w:t>
      </w:r>
      <w:r w:rsidR="00CC10D5">
        <w:rPr>
          <w:lang w:val="fr-FR"/>
        </w:rPr>
        <w:t>’</w:t>
      </w:r>
      <w:r w:rsidRPr="00882E58">
        <w:rPr>
          <w:lang w:val="fr-FR"/>
        </w:rPr>
        <w:t>il supposait expressément que le Conseil d</w:t>
      </w:r>
      <w:r w:rsidR="00CC10D5">
        <w:rPr>
          <w:lang w:val="fr-FR"/>
        </w:rPr>
        <w:t>’</w:t>
      </w:r>
      <w:r w:rsidRPr="00882E58">
        <w:rPr>
          <w:lang w:val="fr-FR"/>
        </w:rPr>
        <w:t>administration de l</w:t>
      </w:r>
      <w:r w:rsidR="00CC10D5">
        <w:rPr>
          <w:lang w:val="fr-FR"/>
        </w:rPr>
        <w:t>’</w:t>
      </w:r>
      <w:r w:rsidRPr="00882E58">
        <w:rPr>
          <w:lang w:val="fr-FR"/>
        </w:rPr>
        <w:t>ICANN était prêt à appliquer pleinement les recommandations</w:t>
      </w:r>
      <w:r w:rsidR="00CC10D5" w:rsidRPr="00882E58">
        <w:rPr>
          <w:lang w:val="fr-FR"/>
        </w:rPr>
        <w:t xml:space="preserve"> du</w:t>
      </w:r>
      <w:r w:rsidR="00CC10D5">
        <w:rPr>
          <w:lang w:val="fr-FR"/>
        </w:rPr>
        <w:t> </w:t>
      </w:r>
      <w:r w:rsidR="00CC10D5" w:rsidRPr="00882E58">
        <w:rPr>
          <w:lang w:val="fr-FR"/>
        </w:rPr>
        <w:t>GAC</w:t>
      </w:r>
      <w:r w:rsidRPr="00882E58">
        <w:rPr>
          <w:lang w:val="fr-FR"/>
        </w:rPr>
        <w:t xml:space="preserve"> en vue d</w:t>
      </w:r>
      <w:r w:rsidR="00CC10D5">
        <w:rPr>
          <w:lang w:val="fr-FR"/>
        </w:rPr>
        <w:t>’</w:t>
      </w:r>
      <w:r w:rsidRPr="00882E58">
        <w:rPr>
          <w:lang w:val="fr-FR"/>
        </w:rPr>
        <w:t>une mise en œuvre pratique et efficace de la protection de nature préventive au deuxième niveau dans les nouveaux gTLD, et a précisé que les mesures de protection provisoires pour les noms et sigles d</w:t>
      </w:r>
      <w:r w:rsidR="00CC10D5">
        <w:rPr>
          <w:lang w:val="fr-FR"/>
        </w:rPr>
        <w:t>’</w:t>
      </w:r>
      <w:r w:rsidRPr="00882E58">
        <w:rPr>
          <w:lang w:val="fr-FR"/>
        </w:rPr>
        <w:t>organisations intergouvernementales devraient rester en place jusqu</w:t>
      </w:r>
      <w:r w:rsidR="00CC10D5">
        <w:rPr>
          <w:lang w:val="fr-FR"/>
        </w:rPr>
        <w:t>’</w:t>
      </w:r>
      <w:r w:rsidRPr="00882E58">
        <w:rPr>
          <w:lang w:val="fr-FR"/>
        </w:rPr>
        <w:t>à la fin des échanges entre</w:t>
      </w:r>
      <w:r w:rsidR="00CC10D5" w:rsidRPr="00882E58">
        <w:rPr>
          <w:lang w:val="fr-FR"/>
        </w:rPr>
        <w:t xml:space="preserve"> le</w:t>
      </w:r>
      <w:r w:rsidR="00CC10D5">
        <w:rPr>
          <w:lang w:val="fr-FR"/>
        </w:rPr>
        <w:t> </w:t>
      </w:r>
      <w:r w:rsidR="00CC10D5" w:rsidRPr="00882E58">
        <w:rPr>
          <w:lang w:val="fr-FR"/>
        </w:rPr>
        <w:t>GAC</w:t>
      </w:r>
      <w:r w:rsidRPr="00882E58">
        <w:rPr>
          <w:lang w:val="fr-FR"/>
        </w:rPr>
        <w:t>, l</w:t>
      </w:r>
      <w:r w:rsidR="00CC10D5">
        <w:rPr>
          <w:lang w:val="fr-FR"/>
        </w:rPr>
        <w:t>’</w:t>
      </w:r>
      <w:r w:rsidRPr="00882E58">
        <w:rPr>
          <w:lang w:val="fr-FR"/>
        </w:rPr>
        <w:t>ICANN et les organisations intergouvernementales.  Voir http://durban47.icann.org/meetings/durban2013/presentation</w:t>
      </w:r>
      <w:r w:rsidR="00CC10D5">
        <w:rPr>
          <w:lang w:val="fr-FR"/>
        </w:rPr>
        <w:t>-</w:t>
      </w:r>
      <w:r w:rsidRPr="00882E58">
        <w:rPr>
          <w:lang w:val="fr-FR"/>
        </w:rPr>
        <w:t>gac</w:t>
      </w:r>
      <w:r w:rsidR="00CC10D5">
        <w:rPr>
          <w:lang w:val="fr-FR"/>
        </w:rPr>
        <w:t>-</w:t>
      </w:r>
      <w:r w:rsidRPr="00882E58">
        <w:rPr>
          <w:lang w:val="fr-FR"/>
        </w:rPr>
        <w:t>communique</w:t>
      </w:r>
      <w:r w:rsidR="00CC10D5">
        <w:rPr>
          <w:lang w:val="fr-FR"/>
        </w:rPr>
        <w:t>-</w:t>
      </w:r>
      <w:r w:rsidRPr="00882E58">
        <w:rPr>
          <w:lang w:val="fr-FR"/>
        </w:rPr>
        <w:t>18jul13</w:t>
      </w:r>
      <w:r w:rsidR="00CC10D5">
        <w:rPr>
          <w:lang w:val="fr-FR"/>
        </w:rPr>
        <w:t>-</w:t>
      </w:r>
      <w:r w:rsidRPr="00882E58">
        <w:rPr>
          <w:lang w:val="fr-FR"/>
        </w:rPr>
        <w:t xml:space="preserve">en.pdf. </w:t>
      </w:r>
      <w:r w:rsidR="00E6003E">
        <w:rPr>
          <w:lang w:val="fr-FR"/>
        </w:rPr>
        <w:t xml:space="preserve"> </w:t>
      </w:r>
    </w:p>
  </w:footnote>
  <w:footnote w:id="63">
    <w:p w:rsidR="00570715" w:rsidRPr="00882E58" w:rsidRDefault="00570715" w:rsidP="00050EF0">
      <w:pPr>
        <w:pStyle w:val="FootnoteText"/>
        <w:rPr>
          <w:lang w:val="fr-FR"/>
        </w:rPr>
      </w:pPr>
      <w:r w:rsidRPr="00882E58">
        <w:rPr>
          <w:rStyle w:val="FootnoteReference"/>
          <w:lang w:val="fr-FR"/>
        </w:rPr>
        <w:footnoteRef/>
      </w:r>
      <w:r w:rsidRPr="00882E58">
        <w:rPr>
          <w:lang w:val="fr-FR"/>
        </w:rPr>
        <w:t xml:space="preserve"> </w:t>
      </w:r>
      <w:r w:rsidRPr="00882E58">
        <w:rPr>
          <w:lang w:val="fr-FR"/>
        </w:rPr>
        <w:tab/>
        <w:t>Voir https://www.icann.org/resources/board</w:t>
      </w:r>
      <w:r w:rsidR="00CC10D5">
        <w:rPr>
          <w:lang w:val="fr-FR"/>
        </w:rPr>
        <w:t>-</w:t>
      </w:r>
      <w:r w:rsidRPr="00882E58">
        <w:rPr>
          <w:lang w:val="fr-FR"/>
        </w:rPr>
        <w:t>material/resolutions</w:t>
      </w:r>
      <w:r w:rsidR="00CC10D5">
        <w:rPr>
          <w:lang w:val="fr-FR"/>
        </w:rPr>
        <w:t>-</w:t>
      </w:r>
      <w:r w:rsidRPr="00882E58">
        <w:rPr>
          <w:lang w:val="fr-FR"/>
        </w:rPr>
        <w:t>new</w:t>
      </w:r>
      <w:r w:rsidR="00CC10D5">
        <w:rPr>
          <w:lang w:val="fr-FR"/>
        </w:rPr>
        <w:t>-</w:t>
      </w:r>
      <w:r w:rsidRPr="00882E58">
        <w:rPr>
          <w:lang w:val="fr-FR"/>
        </w:rPr>
        <w:t>gtld</w:t>
      </w:r>
      <w:r w:rsidR="00CC10D5">
        <w:rPr>
          <w:lang w:val="fr-FR"/>
        </w:rPr>
        <w:t>-</w:t>
      </w:r>
      <w:r w:rsidRPr="00882E58">
        <w:rPr>
          <w:lang w:val="fr-FR"/>
        </w:rPr>
        <w:t>2013</w:t>
      </w:r>
      <w:r w:rsidR="00CC10D5">
        <w:rPr>
          <w:lang w:val="fr-FR"/>
        </w:rPr>
        <w:t>-</w:t>
      </w:r>
      <w:r w:rsidRPr="00882E58">
        <w:rPr>
          <w:lang w:val="fr-FR"/>
        </w:rPr>
        <w:t>07</w:t>
      </w:r>
      <w:r w:rsidR="00CC10D5">
        <w:rPr>
          <w:lang w:val="fr-FR"/>
        </w:rPr>
        <w:t>-</w:t>
      </w:r>
      <w:r w:rsidRPr="00882E58">
        <w:rPr>
          <w:lang w:val="fr-FR"/>
        </w:rPr>
        <w:t>17</w:t>
      </w:r>
      <w:r w:rsidR="00CC10D5">
        <w:rPr>
          <w:lang w:val="fr-FR"/>
        </w:rPr>
        <w:t>-</w:t>
      </w:r>
      <w:r w:rsidRPr="00882E58">
        <w:rPr>
          <w:lang w:val="fr-FR"/>
        </w:rPr>
        <w:t>en#1.a.</w:t>
      </w:r>
    </w:p>
  </w:footnote>
  <w:footnote w:id="64">
    <w:p w:rsidR="00570715" w:rsidRPr="00882E58" w:rsidRDefault="00570715" w:rsidP="00050EF0">
      <w:pPr>
        <w:pStyle w:val="FootnoteText"/>
        <w:rPr>
          <w:lang w:val="fr-FR"/>
        </w:rPr>
      </w:pPr>
      <w:r w:rsidRPr="00882E58">
        <w:rPr>
          <w:rStyle w:val="FootnoteReference"/>
          <w:lang w:val="fr-FR"/>
        </w:rPr>
        <w:footnoteRef/>
      </w:r>
      <w:r w:rsidRPr="00882E58">
        <w:rPr>
          <w:lang w:val="fr-FR"/>
        </w:rPr>
        <w:t xml:space="preserve"> </w:t>
      </w:r>
      <w:r w:rsidRPr="00882E58">
        <w:rPr>
          <w:lang w:val="fr-FR"/>
        </w:rPr>
        <w:tab/>
        <w:t>Le GAC et</w:t>
      </w:r>
      <w:r w:rsidR="00CC10D5" w:rsidRPr="00882E58">
        <w:rPr>
          <w:lang w:val="fr-FR"/>
        </w:rPr>
        <w:t xml:space="preserve"> le</w:t>
      </w:r>
      <w:r w:rsidR="00CC10D5">
        <w:rPr>
          <w:lang w:val="fr-FR"/>
        </w:rPr>
        <w:t> </w:t>
      </w:r>
      <w:r w:rsidR="00CC10D5" w:rsidRPr="00882E58">
        <w:rPr>
          <w:lang w:val="fr-FR"/>
        </w:rPr>
        <w:t>NGP</w:t>
      </w:r>
      <w:r w:rsidRPr="00882E58">
        <w:rPr>
          <w:lang w:val="fr-FR"/>
        </w:rPr>
        <w:t>C avaient annulé leur participation à une réunion proposée par les organisations intergouvernementales le 3</w:t>
      </w:r>
      <w:r w:rsidR="00CC10D5" w:rsidRPr="00882E58">
        <w:rPr>
          <w:lang w:val="fr-FR"/>
        </w:rPr>
        <w:t>0</w:t>
      </w:r>
      <w:r w:rsidR="00CC10D5">
        <w:rPr>
          <w:lang w:val="fr-FR"/>
        </w:rPr>
        <w:t> </w:t>
      </w:r>
      <w:r w:rsidR="00CC10D5" w:rsidRPr="00882E58">
        <w:rPr>
          <w:lang w:val="fr-FR"/>
        </w:rPr>
        <w:t>septembre</w:t>
      </w:r>
      <w:r w:rsidRPr="00882E58">
        <w:rPr>
          <w:lang w:val="fr-FR"/>
        </w:rPr>
        <w:t xml:space="preserve">.  </w:t>
      </w:r>
    </w:p>
  </w:footnote>
  <w:footnote w:id="65">
    <w:p w:rsidR="00570715" w:rsidRPr="00882E58" w:rsidRDefault="00570715" w:rsidP="00050EF0">
      <w:pPr>
        <w:pStyle w:val="FootnoteText"/>
        <w:rPr>
          <w:lang w:val="fr-FR"/>
        </w:rPr>
      </w:pPr>
      <w:r w:rsidRPr="00882E58">
        <w:rPr>
          <w:rStyle w:val="FootnoteReference"/>
          <w:lang w:val="fr-FR"/>
        </w:rPr>
        <w:footnoteRef/>
      </w:r>
      <w:r w:rsidRPr="00882E58">
        <w:rPr>
          <w:lang w:val="fr-FR"/>
        </w:rPr>
        <w:t xml:space="preserve"> </w:t>
      </w:r>
      <w:r w:rsidRPr="00882E58">
        <w:rPr>
          <w:lang w:val="fr-FR"/>
        </w:rPr>
        <w:tab/>
        <w:t xml:space="preserve">Pour un résumé plus complet, voir les </w:t>
      </w:r>
      <w:r w:rsidR="00CC10D5" w:rsidRPr="00882E58">
        <w:rPr>
          <w:lang w:val="fr-FR"/>
        </w:rPr>
        <w:t>paragraphes</w:t>
      </w:r>
      <w:r w:rsidR="00CC10D5">
        <w:rPr>
          <w:lang w:val="fr-FR"/>
        </w:rPr>
        <w:t> </w:t>
      </w:r>
      <w:r w:rsidR="00CC10D5" w:rsidRPr="00882E58">
        <w:rPr>
          <w:lang w:val="fr-FR"/>
        </w:rPr>
        <w:t>4</w:t>
      </w:r>
      <w:r w:rsidRPr="00882E58">
        <w:rPr>
          <w:lang w:val="fr-FR"/>
        </w:rPr>
        <w:t>2 à 45 du document</w:t>
      </w:r>
      <w:r w:rsidR="00401FB8">
        <w:rPr>
          <w:lang w:val="fr-FR"/>
        </w:rPr>
        <w:t> </w:t>
      </w:r>
      <w:r w:rsidRPr="00882E58">
        <w:rPr>
          <w:lang w:val="fr-FR"/>
        </w:rPr>
        <w:t>WO/GA/48/12</w:t>
      </w:r>
      <w:r w:rsidR="00E6003E">
        <w:rPr>
          <w:lang w:val="fr-FR"/>
        </w:rPr>
        <w:t> </w:t>
      </w:r>
      <w:proofErr w:type="spellStart"/>
      <w:r w:rsidRPr="00882E58">
        <w:rPr>
          <w:lang w:val="fr-FR"/>
        </w:rPr>
        <w:t>Rev</w:t>
      </w:r>
      <w:proofErr w:type="spellEnd"/>
      <w:r w:rsidRPr="00882E58">
        <w:rPr>
          <w:lang w:val="fr-FR"/>
        </w:rPr>
        <w:t>.</w:t>
      </w:r>
    </w:p>
  </w:footnote>
  <w:footnote w:id="66">
    <w:p w:rsidR="00570715" w:rsidRPr="00882E58" w:rsidRDefault="00570715" w:rsidP="000A106F">
      <w:pPr>
        <w:pStyle w:val="FootnoteText"/>
        <w:rPr>
          <w:lang w:val="fr-FR"/>
        </w:rPr>
      </w:pPr>
      <w:r w:rsidRPr="00882E58">
        <w:rPr>
          <w:rStyle w:val="FootnoteReference"/>
          <w:lang w:val="fr-FR"/>
        </w:rPr>
        <w:footnoteRef/>
      </w:r>
      <w:r w:rsidRPr="00882E58">
        <w:rPr>
          <w:lang w:val="fr-FR"/>
        </w:rPr>
        <w:t xml:space="preserve"> </w:t>
      </w:r>
      <w:r w:rsidRPr="00882E58">
        <w:rPr>
          <w:lang w:val="fr-FR"/>
        </w:rPr>
        <w:tab/>
        <w:t>Voir https://www.icann.org/en/system/files/files/resolutions</w:t>
      </w:r>
      <w:r w:rsidR="00CC10D5">
        <w:rPr>
          <w:lang w:val="fr-FR"/>
        </w:rPr>
        <w:t>-</w:t>
      </w:r>
      <w:r w:rsidRPr="00882E58">
        <w:rPr>
          <w:lang w:val="fr-FR"/>
        </w:rPr>
        <w:t>abudhabi60</w:t>
      </w:r>
      <w:r w:rsidR="00CC10D5">
        <w:rPr>
          <w:lang w:val="fr-FR"/>
        </w:rPr>
        <w:t>-</w:t>
      </w:r>
      <w:r w:rsidRPr="00882E58">
        <w:rPr>
          <w:lang w:val="fr-FR"/>
        </w:rPr>
        <w:t>gac</w:t>
      </w:r>
      <w:r w:rsidR="00CC10D5">
        <w:rPr>
          <w:lang w:val="fr-FR"/>
        </w:rPr>
        <w:t>-</w:t>
      </w:r>
      <w:r w:rsidRPr="00882E58">
        <w:rPr>
          <w:lang w:val="fr-FR"/>
        </w:rPr>
        <w:t>advice</w:t>
      </w:r>
      <w:r w:rsidR="00CC10D5">
        <w:rPr>
          <w:lang w:val="fr-FR"/>
        </w:rPr>
        <w:t>-</w:t>
      </w:r>
      <w:r w:rsidRPr="00882E58">
        <w:rPr>
          <w:lang w:val="fr-FR"/>
        </w:rPr>
        <w:t>scorecard</w:t>
      </w:r>
      <w:r w:rsidR="00CC10D5">
        <w:rPr>
          <w:lang w:val="fr-FR"/>
        </w:rPr>
        <w:t>-</w:t>
      </w:r>
      <w:r w:rsidRPr="00882E58">
        <w:rPr>
          <w:lang w:val="fr-FR"/>
        </w:rPr>
        <w:t>04feb18</w:t>
      </w:r>
      <w:r w:rsidR="00CC10D5">
        <w:rPr>
          <w:lang w:val="fr-FR"/>
        </w:rPr>
        <w:t>-</w:t>
      </w:r>
      <w:r w:rsidRPr="00882E58">
        <w:rPr>
          <w:lang w:val="fr-FR"/>
        </w:rPr>
        <w:t>en.pdf.</w:t>
      </w:r>
    </w:p>
  </w:footnote>
  <w:footnote w:id="67">
    <w:p w:rsidR="00570715" w:rsidRPr="00882E58" w:rsidRDefault="00570715" w:rsidP="000A106F">
      <w:pPr>
        <w:pStyle w:val="FootnoteText"/>
        <w:rPr>
          <w:lang w:val="fr-FR"/>
        </w:rPr>
      </w:pPr>
      <w:r w:rsidRPr="00882E58">
        <w:rPr>
          <w:rStyle w:val="FootnoteReference"/>
          <w:lang w:val="fr-FR"/>
        </w:rPr>
        <w:footnoteRef/>
      </w:r>
      <w:r w:rsidRPr="00882E58">
        <w:rPr>
          <w:lang w:val="fr-FR"/>
        </w:rPr>
        <w:t xml:space="preserve"> </w:t>
      </w:r>
      <w:r w:rsidRPr="00882E58">
        <w:rPr>
          <w:lang w:val="fr-FR"/>
        </w:rPr>
        <w:tab/>
      </w:r>
      <w:r w:rsidR="00CC10D5" w:rsidRPr="00882E58">
        <w:rPr>
          <w:lang w:val="fr-FR"/>
        </w:rPr>
        <w:t>En</w:t>
      </w:r>
      <w:r w:rsidR="00CC10D5">
        <w:rPr>
          <w:lang w:val="fr-FR"/>
        </w:rPr>
        <w:t> </w:t>
      </w:r>
      <w:r w:rsidR="00CC10D5" w:rsidRPr="00882E58">
        <w:rPr>
          <w:lang w:val="fr-FR"/>
        </w:rPr>
        <w:t>2007</w:t>
      </w:r>
      <w:r w:rsidRPr="00882E58">
        <w:rPr>
          <w:lang w:val="fr-FR"/>
        </w:rPr>
        <w:t>,</w:t>
      </w:r>
      <w:r w:rsidR="00CC10D5" w:rsidRPr="00882E58">
        <w:rPr>
          <w:lang w:val="fr-FR"/>
        </w:rPr>
        <w:t xml:space="preserve"> le</w:t>
      </w:r>
      <w:r w:rsidR="00CC10D5">
        <w:rPr>
          <w:lang w:val="fr-FR"/>
        </w:rPr>
        <w:t> </w:t>
      </w:r>
      <w:r w:rsidR="00CC10D5" w:rsidRPr="00882E58">
        <w:rPr>
          <w:lang w:val="fr-FR"/>
        </w:rPr>
        <w:t>GAC</w:t>
      </w:r>
      <w:r w:rsidRPr="00882E58">
        <w:rPr>
          <w:lang w:val="fr-FR"/>
        </w:rPr>
        <w:t xml:space="preserve"> a publié les </w:t>
      </w:r>
      <w:r>
        <w:rPr>
          <w:lang w:val="fr-FR"/>
        </w:rPr>
        <w:t>“</w:t>
      </w:r>
      <w:r w:rsidRPr="00882E58">
        <w:rPr>
          <w:lang w:val="fr-FR"/>
        </w:rPr>
        <w:t>Principes</w:t>
      </w:r>
      <w:r w:rsidR="00CC10D5" w:rsidRPr="00882E58">
        <w:rPr>
          <w:lang w:val="fr-FR"/>
        </w:rPr>
        <w:t xml:space="preserve"> du</w:t>
      </w:r>
      <w:r w:rsidR="00CC10D5">
        <w:rPr>
          <w:lang w:val="fr-FR"/>
        </w:rPr>
        <w:t> </w:t>
      </w:r>
      <w:r w:rsidR="00CC10D5" w:rsidRPr="00882E58">
        <w:rPr>
          <w:lang w:val="fr-FR"/>
        </w:rPr>
        <w:t>GAC</w:t>
      </w:r>
      <w:r w:rsidRPr="00882E58">
        <w:rPr>
          <w:lang w:val="fr-FR"/>
        </w:rPr>
        <w:t xml:space="preserve"> concernant les nouveaux gTLD</w:t>
      </w:r>
      <w:r>
        <w:rPr>
          <w:lang w:val="fr-FR"/>
        </w:rPr>
        <w:t>”</w:t>
      </w:r>
      <w:r w:rsidRPr="00882E58">
        <w:rPr>
          <w:lang w:val="fr-FR"/>
        </w:rPr>
        <w:t>, qui prévoient notamment que l</w:t>
      </w:r>
      <w:r w:rsidR="00CC10D5">
        <w:rPr>
          <w:lang w:val="fr-FR"/>
        </w:rPr>
        <w:t>’</w:t>
      </w:r>
      <w:r w:rsidRPr="00882E58">
        <w:rPr>
          <w:lang w:val="fr-FR"/>
        </w:rPr>
        <w:t>ICANN devrait éviter d</w:t>
      </w:r>
      <w:r w:rsidR="00CC10D5">
        <w:rPr>
          <w:lang w:val="fr-FR"/>
        </w:rPr>
        <w:t>’</w:t>
      </w:r>
      <w:r w:rsidRPr="00882E58">
        <w:rPr>
          <w:lang w:val="fr-FR"/>
        </w:rPr>
        <w:t>attribuer tout nouveau gTLD contenant le nom d</w:t>
      </w:r>
      <w:r w:rsidR="00CC10D5">
        <w:rPr>
          <w:lang w:val="fr-FR"/>
        </w:rPr>
        <w:t>’</w:t>
      </w:r>
      <w:r w:rsidRPr="00882E58">
        <w:rPr>
          <w:lang w:val="fr-FR"/>
        </w:rPr>
        <w:t>un pays, d</w:t>
      </w:r>
      <w:r w:rsidR="00CC10D5">
        <w:rPr>
          <w:lang w:val="fr-FR"/>
        </w:rPr>
        <w:t>’</w:t>
      </w:r>
      <w:r w:rsidRPr="00882E58">
        <w:rPr>
          <w:lang w:val="fr-FR"/>
        </w:rPr>
        <w:t>un territoire ou d</w:t>
      </w:r>
      <w:r w:rsidR="00CC10D5">
        <w:rPr>
          <w:lang w:val="fr-FR"/>
        </w:rPr>
        <w:t>’</w:t>
      </w:r>
      <w:r w:rsidRPr="00882E58">
        <w:rPr>
          <w:lang w:val="fr-FR"/>
        </w:rPr>
        <w:t xml:space="preserve">un lieu </w:t>
      </w:r>
      <w:proofErr w:type="spellStart"/>
      <w:r w:rsidRPr="00882E58">
        <w:rPr>
          <w:lang w:val="fr-FR"/>
        </w:rPr>
        <w:t>ou</w:t>
      </w:r>
      <w:proofErr w:type="spellEnd"/>
      <w:r w:rsidRPr="00882E58">
        <w:rPr>
          <w:lang w:val="fr-FR"/>
        </w:rPr>
        <w:t xml:space="preserve"> la désignation d</w:t>
      </w:r>
      <w:r w:rsidR="00CC10D5">
        <w:rPr>
          <w:lang w:val="fr-FR"/>
        </w:rPr>
        <w:t>’</w:t>
      </w:r>
      <w:r w:rsidRPr="00882E58">
        <w:rPr>
          <w:lang w:val="fr-FR"/>
        </w:rPr>
        <w:t>une langue régionale ou d</w:t>
      </w:r>
      <w:r w:rsidR="00CC10D5">
        <w:rPr>
          <w:lang w:val="fr-FR"/>
        </w:rPr>
        <w:t>’</w:t>
      </w:r>
      <w:r w:rsidRPr="00882E58">
        <w:rPr>
          <w:lang w:val="fr-FR"/>
        </w:rPr>
        <w:t>une population, sauf accord des gouvernements ou autorités publiques concernés.  Ces principes</w:t>
      </w:r>
      <w:r w:rsidR="00CC10D5" w:rsidRPr="00882E58">
        <w:rPr>
          <w:lang w:val="fr-FR"/>
        </w:rPr>
        <w:t xml:space="preserve"> du</w:t>
      </w:r>
      <w:r w:rsidR="00CC10D5">
        <w:rPr>
          <w:lang w:val="fr-FR"/>
        </w:rPr>
        <w:t> </w:t>
      </w:r>
      <w:r w:rsidR="00CC10D5" w:rsidRPr="00882E58">
        <w:rPr>
          <w:lang w:val="fr-FR"/>
        </w:rPr>
        <w:t>GAC</w:t>
      </w:r>
      <w:r w:rsidRPr="00882E58">
        <w:rPr>
          <w:lang w:val="fr-FR"/>
        </w:rPr>
        <w:t xml:space="preserve"> indiquent en outre que les nouveaux services d</w:t>
      </w:r>
      <w:r w:rsidR="00CC10D5">
        <w:rPr>
          <w:lang w:val="fr-FR"/>
        </w:rPr>
        <w:t>’</w:t>
      </w:r>
      <w:r w:rsidRPr="00882E58">
        <w:rPr>
          <w:lang w:val="fr-FR"/>
        </w:rPr>
        <w:t>enregistrement devraient adopter des procédures pour bloquer/contester les noms ayant une signification nationale ou géographique au deuxième niveau sur demande des gouvernements.  Voir https://archive.icann.org/en/topics/new</w:t>
      </w:r>
      <w:r w:rsidR="00CC10D5">
        <w:rPr>
          <w:lang w:val="fr-FR"/>
        </w:rPr>
        <w:t>-</w:t>
      </w:r>
      <w:r w:rsidRPr="00882E58">
        <w:rPr>
          <w:lang w:val="fr-FR"/>
        </w:rPr>
        <w:t>gtlds/gac</w:t>
      </w:r>
      <w:r w:rsidR="00CC10D5">
        <w:rPr>
          <w:lang w:val="fr-FR"/>
        </w:rPr>
        <w:t>-</w:t>
      </w:r>
      <w:r w:rsidRPr="00882E58">
        <w:rPr>
          <w:lang w:val="fr-FR"/>
        </w:rPr>
        <w:t>principles</w:t>
      </w:r>
      <w:r w:rsidR="00CC10D5">
        <w:rPr>
          <w:lang w:val="fr-FR"/>
        </w:rPr>
        <w:t>-</w:t>
      </w:r>
      <w:r w:rsidRPr="00882E58">
        <w:rPr>
          <w:lang w:val="fr-FR"/>
        </w:rPr>
        <w:t>regarding</w:t>
      </w:r>
      <w:r w:rsidR="00CC10D5">
        <w:rPr>
          <w:lang w:val="fr-FR"/>
        </w:rPr>
        <w:t>-</w:t>
      </w:r>
      <w:r w:rsidRPr="00882E58">
        <w:rPr>
          <w:lang w:val="fr-FR"/>
        </w:rPr>
        <w:t>new</w:t>
      </w:r>
      <w:r w:rsidR="00CC10D5">
        <w:rPr>
          <w:lang w:val="fr-FR"/>
        </w:rPr>
        <w:t>-</w:t>
      </w:r>
      <w:r w:rsidRPr="00882E58">
        <w:rPr>
          <w:lang w:val="fr-FR"/>
        </w:rPr>
        <w:t>gtlds</w:t>
      </w:r>
      <w:r w:rsidR="00CC10D5">
        <w:rPr>
          <w:lang w:val="fr-FR"/>
        </w:rPr>
        <w:t>-</w:t>
      </w:r>
      <w:r w:rsidRPr="00882E58">
        <w:rPr>
          <w:lang w:val="fr-FR"/>
        </w:rPr>
        <w:t>28mar07</w:t>
      </w:r>
      <w:r w:rsidR="00CC10D5">
        <w:rPr>
          <w:lang w:val="fr-FR"/>
        </w:rPr>
        <w:t>-</w:t>
      </w:r>
      <w:r w:rsidRPr="00882E58">
        <w:rPr>
          <w:lang w:val="fr-FR"/>
        </w:rPr>
        <w:t>en.pdf.</w:t>
      </w:r>
    </w:p>
  </w:footnote>
  <w:footnote w:id="68">
    <w:p w:rsidR="00570715" w:rsidRPr="00882E58" w:rsidRDefault="00570715" w:rsidP="000A106F">
      <w:pPr>
        <w:pStyle w:val="FootnoteText"/>
        <w:rPr>
          <w:lang w:val="fr-FR"/>
        </w:rPr>
      </w:pPr>
      <w:r w:rsidRPr="00882E58">
        <w:rPr>
          <w:rStyle w:val="FootnoteReference"/>
          <w:lang w:val="fr-FR"/>
        </w:rPr>
        <w:footnoteRef/>
      </w:r>
      <w:r w:rsidRPr="00882E58">
        <w:rPr>
          <w:lang w:val="fr-FR"/>
        </w:rPr>
        <w:t xml:space="preserve"> </w:t>
      </w:r>
      <w:r w:rsidRPr="00882E58">
        <w:rPr>
          <w:lang w:val="fr-FR"/>
        </w:rPr>
        <w:tab/>
        <w:t>En ce qui concerne les enregistrements au deuxième niveau, le contrat de base de l</w:t>
      </w:r>
      <w:r w:rsidR="00CC10D5">
        <w:rPr>
          <w:lang w:val="fr-FR"/>
        </w:rPr>
        <w:t>’</w:t>
      </w:r>
      <w:r w:rsidRPr="00882E58">
        <w:rPr>
          <w:lang w:val="fr-FR"/>
        </w:rPr>
        <w:t>ICANN avec les services d</w:t>
      </w:r>
      <w:r w:rsidR="00CC10D5">
        <w:rPr>
          <w:lang w:val="fr-FR"/>
        </w:rPr>
        <w:t>’</w:t>
      </w:r>
      <w:r w:rsidRPr="00882E58">
        <w:rPr>
          <w:lang w:val="fr-FR"/>
        </w:rPr>
        <w:t xml:space="preserve">enregistrement contient un </w:t>
      </w:r>
      <w:r>
        <w:rPr>
          <w:lang w:val="fr-FR"/>
        </w:rPr>
        <w:t>“</w:t>
      </w:r>
      <w:r w:rsidRPr="00882E58">
        <w:rPr>
          <w:lang w:val="fr-FR"/>
        </w:rPr>
        <w:t>Inventaire des noms réservés au deuxième niveau dans les services d</w:t>
      </w:r>
      <w:r w:rsidR="00CC10D5">
        <w:rPr>
          <w:lang w:val="fr-FR"/>
        </w:rPr>
        <w:t>’</w:t>
      </w:r>
      <w:r w:rsidRPr="00882E58">
        <w:rPr>
          <w:lang w:val="fr-FR"/>
        </w:rPr>
        <w:t>enregistrement pour les gTLD</w:t>
      </w:r>
      <w:r>
        <w:rPr>
          <w:lang w:val="fr-FR"/>
        </w:rPr>
        <w:t>”</w:t>
      </w:r>
      <w:r w:rsidRPr="00882E58">
        <w:rPr>
          <w:lang w:val="fr-FR"/>
        </w:rPr>
        <w:t xml:space="preserve"> où figurent certains noms de pays et de territoires.  Voir http://newgtlds.icann.org/en/applicants/agb/base</w:t>
      </w:r>
      <w:r w:rsidR="00CC10D5">
        <w:rPr>
          <w:lang w:val="fr-FR"/>
        </w:rPr>
        <w:t>-</w:t>
      </w:r>
      <w:r w:rsidRPr="00882E58">
        <w:rPr>
          <w:lang w:val="fr-FR"/>
        </w:rPr>
        <w:t>arrangement</w:t>
      </w:r>
      <w:r w:rsidR="00CC10D5">
        <w:rPr>
          <w:lang w:val="fr-FR"/>
        </w:rPr>
        <w:t>-</w:t>
      </w:r>
      <w:r w:rsidRPr="00882E58">
        <w:rPr>
          <w:lang w:val="fr-FR"/>
        </w:rPr>
        <w:t>specs</w:t>
      </w:r>
      <w:r w:rsidR="00CC10D5">
        <w:rPr>
          <w:lang w:val="fr-FR"/>
        </w:rPr>
        <w:t>-</w:t>
      </w:r>
      <w:r w:rsidRPr="00882E58">
        <w:rPr>
          <w:lang w:val="fr-FR"/>
        </w:rPr>
        <w:t>04jun12</w:t>
      </w:r>
      <w:r w:rsidR="00CC10D5">
        <w:rPr>
          <w:lang w:val="fr-FR"/>
        </w:rPr>
        <w:t>-</w:t>
      </w:r>
      <w:r w:rsidRPr="00882E58">
        <w:rPr>
          <w:lang w:val="fr-FR"/>
        </w:rPr>
        <w:t>en.pdf, spécification</w:t>
      </w:r>
      <w:r w:rsidR="00401FB8">
        <w:rPr>
          <w:lang w:val="fr-FR"/>
        </w:rPr>
        <w:t> </w:t>
      </w:r>
      <w:r w:rsidRPr="00882E58">
        <w:rPr>
          <w:lang w:val="fr-FR"/>
        </w:rPr>
        <w:t>5.</w:t>
      </w:r>
    </w:p>
  </w:footnote>
  <w:footnote w:id="69">
    <w:p w:rsidR="00570715" w:rsidRPr="00882E58" w:rsidRDefault="00570715" w:rsidP="000A106F">
      <w:pPr>
        <w:pStyle w:val="FootnoteText"/>
        <w:rPr>
          <w:lang w:val="fr-FR"/>
        </w:rPr>
      </w:pPr>
      <w:r w:rsidRPr="00882E58">
        <w:rPr>
          <w:rStyle w:val="FootnoteReference"/>
          <w:lang w:val="fr-FR"/>
        </w:rPr>
        <w:footnoteRef/>
      </w:r>
      <w:r w:rsidRPr="00882E58">
        <w:rPr>
          <w:lang w:val="fr-FR"/>
        </w:rPr>
        <w:t xml:space="preserve"> </w:t>
      </w:r>
      <w:r w:rsidRPr="00882E58">
        <w:rPr>
          <w:lang w:val="fr-FR"/>
        </w:rPr>
        <w:tab/>
        <w:t>Voir http://newgtlds.icann.org/en/applicants/agb/evaluation</w:t>
      </w:r>
      <w:r w:rsidR="00CC10D5">
        <w:rPr>
          <w:lang w:val="fr-FR"/>
        </w:rPr>
        <w:t>-</w:t>
      </w:r>
      <w:r w:rsidRPr="00882E58">
        <w:rPr>
          <w:lang w:val="fr-FR"/>
        </w:rPr>
        <w:t>procedures</w:t>
      </w:r>
      <w:r w:rsidR="00CC10D5">
        <w:rPr>
          <w:lang w:val="fr-FR"/>
        </w:rPr>
        <w:t>-</w:t>
      </w:r>
      <w:r w:rsidRPr="00882E58">
        <w:rPr>
          <w:lang w:val="fr-FR"/>
        </w:rPr>
        <w:t>04jun12</w:t>
      </w:r>
      <w:r w:rsidR="00CC10D5">
        <w:rPr>
          <w:lang w:val="fr-FR"/>
        </w:rPr>
        <w:t>-</w:t>
      </w:r>
      <w:r w:rsidRPr="00882E58">
        <w:rPr>
          <w:lang w:val="fr-FR"/>
        </w:rPr>
        <w:t xml:space="preserve">en.pdf, à partir de la </w:t>
      </w:r>
      <w:r w:rsidR="00CC10D5" w:rsidRPr="00882E58">
        <w:rPr>
          <w:lang w:val="fr-FR"/>
        </w:rPr>
        <w:t>section</w:t>
      </w:r>
      <w:r w:rsidR="00CC10D5">
        <w:rPr>
          <w:lang w:val="fr-FR"/>
        </w:rPr>
        <w:t> </w:t>
      </w:r>
      <w:r w:rsidR="00CC10D5" w:rsidRPr="00882E58">
        <w:rPr>
          <w:lang w:val="fr-FR"/>
        </w:rPr>
        <w:t>2</w:t>
      </w:r>
      <w:r w:rsidRPr="00882E58">
        <w:rPr>
          <w:lang w:val="fr-FR"/>
        </w:rPr>
        <w:t xml:space="preserve">.2.1.4.1 </w:t>
      </w:r>
      <w:r>
        <w:rPr>
          <w:lang w:val="fr-FR"/>
        </w:rPr>
        <w:t>“</w:t>
      </w:r>
      <w:proofErr w:type="spellStart"/>
      <w:r w:rsidRPr="00882E58">
        <w:rPr>
          <w:lang w:val="fr-FR"/>
        </w:rPr>
        <w:t>Treatment</w:t>
      </w:r>
      <w:proofErr w:type="spellEnd"/>
      <w:r w:rsidRPr="00882E58">
        <w:rPr>
          <w:lang w:val="fr-FR"/>
        </w:rPr>
        <w:t xml:space="preserve"> of Country or </w:t>
      </w:r>
      <w:proofErr w:type="spellStart"/>
      <w:r w:rsidRPr="00882E58">
        <w:rPr>
          <w:lang w:val="fr-FR"/>
        </w:rPr>
        <w:t>Territory</w:t>
      </w:r>
      <w:proofErr w:type="spellEnd"/>
      <w:r w:rsidRPr="00882E58">
        <w:rPr>
          <w:lang w:val="fr-FR"/>
        </w:rPr>
        <w:t xml:space="preserve"> </w:t>
      </w:r>
      <w:proofErr w:type="spellStart"/>
      <w:r w:rsidRPr="00882E58">
        <w:rPr>
          <w:lang w:val="fr-FR"/>
        </w:rPr>
        <w:t>Names</w:t>
      </w:r>
      <w:proofErr w:type="spellEnd"/>
      <w:r>
        <w:rPr>
          <w:lang w:val="fr-FR"/>
        </w:rPr>
        <w:t>”</w:t>
      </w:r>
      <w:r w:rsidRPr="00882E58">
        <w:rPr>
          <w:lang w:val="fr-FR"/>
        </w:rPr>
        <w:t>.</w:t>
      </w:r>
    </w:p>
  </w:footnote>
  <w:footnote w:id="70">
    <w:p w:rsidR="00570715" w:rsidRPr="00882E58" w:rsidRDefault="00570715" w:rsidP="000A106F">
      <w:pPr>
        <w:pStyle w:val="FootnoteText"/>
        <w:rPr>
          <w:lang w:val="fr-FR"/>
        </w:rPr>
      </w:pPr>
      <w:r w:rsidRPr="00882E58">
        <w:rPr>
          <w:rStyle w:val="FootnoteReference"/>
          <w:lang w:val="fr-FR"/>
        </w:rPr>
        <w:footnoteRef/>
      </w:r>
      <w:r w:rsidRPr="00882E58">
        <w:rPr>
          <w:lang w:val="fr-FR"/>
        </w:rPr>
        <w:t xml:space="preserve"> </w:t>
      </w:r>
      <w:r w:rsidRPr="00882E58">
        <w:rPr>
          <w:lang w:val="fr-FR"/>
        </w:rPr>
        <w:tab/>
        <w:t>Voir http://newgtlds.icann.org/en/applicants/agb/evaluation</w:t>
      </w:r>
      <w:r w:rsidR="00CC10D5">
        <w:rPr>
          <w:lang w:val="fr-FR"/>
        </w:rPr>
        <w:t>-</w:t>
      </w:r>
      <w:r w:rsidRPr="00882E58">
        <w:rPr>
          <w:lang w:val="fr-FR"/>
        </w:rPr>
        <w:t>procedures</w:t>
      </w:r>
      <w:r w:rsidR="00CC10D5">
        <w:rPr>
          <w:lang w:val="fr-FR"/>
        </w:rPr>
        <w:t>-</w:t>
      </w:r>
      <w:r w:rsidRPr="00882E58">
        <w:rPr>
          <w:lang w:val="fr-FR"/>
        </w:rPr>
        <w:t>04jun12</w:t>
      </w:r>
      <w:r w:rsidR="00CC10D5">
        <w:rPr>
          <w:lang w:val="fr-FR"/>
        </w:rPr>
        <w:t>-</w:t>
      </w:r>
      <w:r w:rsidRPr="00882E58">
        <w:rPr>
          <w:lang w:val="fr-FR"/>
        </w:rPr>
        <w:t xml:space="preserve">en.pdf, à partir de la </w:t>
      </w:r>
      <w:r w:rsidR="00CC10D5" w:rsidRPr="00882E58">
        <w:rPr>
          <w:lang w:val="fr-FR"/>
        </w:rPr>
        <w:t>section</w:t>
      </w:r>
      <w:r w:rsidR="00CC10D5">
        <w:rPr>
          <w:lang w:val="fr-FR"/>
        </w:rPr>
        <w:t> </w:t>
      </w:r>
      <w:r w:rsidR="00CC10D5" w:rsidRPr="00882E58">
        <w:rPr>
          <w:lang w:val="fr-FR"/>
        </w:rPr>
        <w:t>2</w:t>
      </w:r>
      <w:r w:rsidRPr="00882E58">
        <w:rPr>
          <w:lang w:val="fr-FR"/>
        </w:rPr>
        <w:t xml:space="preserve">.2.1.4.2 </w:t>
      </w:r>
      <w:r>
        <w:rPr>
          <w:lang w:val="fr-FR"/>
        </w:rPr>
        <w:t>“</w:t>
      </w:r>
      <w:r w:rsidRPr="00882E58">
        <w:rPr>
          <w:lang w:val="fr-FR"/>
        </w:rPr>
        <w:t xml:space="preserve">Geographic </w:t>
      </w:r>
      <w:proofErr w:type="spellStart"/>
      <w:r w:rsidRPr="00882E58">
        <w:rPr>
          <w:lang w:val="fr-FR"/>
        </w:rPr>
        <w:t>Names</w:t>
      </w:r>
      <w:proofErr w:type="spellEnd"/>
      <w:r w:rsidRPr="00882E58">
        <w:rPr>
          <w:lang w:val="fr-FR"/>
        </w:rPr>
        <w:t xml:space="preserve"> </w:t>
      </w:r>
      <w:proofErr w:type="spellStart"/>
      <w:r w:rsidRPr="00882E58">
        <w:rPr>
          <w:lang w:val="fr-FR"/>
        </w:rPr>
        <w:t>Requiring</w:t>
      </w:r>
      <w:proofErr w:type="spellEnd"/>
      <w:r w:rsidRPr="00882E58">
        <w:rPr>
          <w:lang w:val="fr-FR"/>
        </w:rPr>
        <w:t xml:space="preserve"> </w:t>
      </w:r>
      <w:proofErr w:type="spellStart"/>
      <w:r w:rsidRPr="00882E58">
        <w:rPr>
          <w:lang w:val="fr-FR"/>
        </w:rPr>
        <w:t>Government</w:t>
      </w:r>
      <w:proofErr w:type="spellEnd"/>
      <w:r w:rsidRPr="00882E58">
        <w:rPr>
          <w:lang w:val="fr-FR"/>
        </w:rPr>
        <w:t xml:space="preserve"> Support</w:t>
      </w:r>
      <w:r>
        <w:rPr>
          <w:lang w:val="fr-FR"/>
        </w:rPr>
        <w:t>”</w:t>
      </w:r>
      <w:r w:rsidRPr="00882E58">
        <w:rPr>
          <w:lang w:val="fr-FR"/>
        </w:rPr>
        <w:t xml:space="preserve">. </w:t>
      </w:r>
      <w:r w:rsidR="00E6003E">
        <w:rPr>
          <w:lang w:val="fr-FR"/>
        </w:rPr>
        <w:t xml:space="preserve"> </w:t>
      </w:r>
    </w:p>
  </w:footnote>
  <w:footnote w:id="71">
    <w:p w:rsidR="00570715" w:rsidRPr="00882E58" w:rsidRDefault="00570715" w:rsidP="000A106F">
      <w:pPr>
        <w:pStyle w:val="FootnoteText"/>
        <w:rPr>
          <w:lang w:val="fr-FR"/>
        </w:rPr>
      </w:pPr>
      <w:r w:rsidRPr="00882E58">
        <w:rPr>
          <w:rStyle w:val="FootnoteReference"/>
          <w:lang w:val="fr-FR"/>
        </w:rPr>
        <w:footnoteRef/>
      </w:r>
      <w:r w:rsidRPr="00882E58">
        <w:rPr>
          <w:lang w:val="fr-FR"/>
        </w:rPr>
        <w:t xml:space="preserve"> </w:t>
      </w:r>
      <w:r w:rsidRPr="00882E58">
        <w:rPr>
          <w:lang w:val="fr-FR"/>
        </w:rPr>
        <w:tab/>
        <w:t>Voir https://www.icann.org/en/system/files/correspondence/gac</w:t>
      </w:r>
      <w:r w:rsidR="00CC10D5">
        <w:rPr>
          <w:lang w:val="fr-FR"/>
        </w:rPr>
        <w:t>-</w:t>
      </w:r>
      <w:r w:rsidRPr="00882E58">
        <w:rPr>
          <w:lang w:val="fr-FR"/>
        </w:rPr>
        <w:t>to</w:t>
      </w:r>
      <w:r w:rsidR="00CC10D5">
        <w:rPr>
          <w:lang w:val="fr-FR"/>
        </w:rPr>
        <w:t>-</w:t>
      </w:r>
      <w:r w:rsidRPr="00882E58">
        <w:rPr>
          <w:lang w:val="fr-FR"/>
        </w:rPr>
        <w:t>board</w:t>
      </w:r>
      <w:r w:rsidR="00CC10D5">
        <w:rPr>
          <w:lang w:val="fr-FR"/>
        </w:rPr>
        <w:t>-</w:t>
      </w:r>
      <w:r w:rsidRPr="00882E58">
        <w:rPr>
          <w:lang w:val="fr-FR"/>
        </w:rPr>
        <w:t>27mar14</w:t>
      </w:r>
      <w:r w:rsidR="00CC10D5">
        <w:rPr>
          <w:lang w:val="fr-FR"/>
        </w:rPr>
        <w:t>-</w:t>
      </w:r>
      <w:r w:rsidRPr="00882E58">
        <w:rPr>
          <w:lang w:val="fr-FR"/>
        </w:rPr>
        <w:t>en.pdf, rubrique</w:t>
      </w:r>
      <w:r w:rsidR="00401FB8">
        <w:rPr>
          <w:lang w:val="fr-FR"/>
        </w:rPr>
        <w:t> </w:t>
      </w:r>
      <w:r>
        <w:rPr>
          <w:lang w:val="fr-FR"/>
        </w:rPr>
        <w:t>“</w:t>
      </w:r>
      <w:r w:rsidRPr="00882E58">
        <w:rPr>
          <w:lang w:val="fr-FR"/>
        </w:rPr>
        <w:t xml:space="preserve">4. </w:t>
      </w:r>
      <w:r w:rsidR="00E6003E">
        <w:rPr>
          <w:lang w:val="fr-FR"/>
        </w:rPr>
        <w:t xml:space="preserve"> </w:t>
      </w:r>
      <w:proofErr w:type="spellStart"/>
      <w:r w:rsidRPr="00882E58">
        <w:rPr>
          <w:lang w:val="fr-FR"/>
        </w:rPr>
        <w:t>Specific</w:t>
      </w:r>
      <w:proofErr w:type="spellEnd"/>
      <w:r w:rsidRPr="00882E58">
        <w:rPr>
          <w:lang w:val="fr-FR"/>
        </w:rPr>
        <w:t xml:space="preserve"> Strings</w:t>
      </w:r>
      <w:r>
        <w:rPr>
          <w:lang w:val="fr-FR"/>
        </w:rPr>
        <w:t>”</w:t>
      </w:r>
      <w:r w:rsidRPr="00882E58">
        <w:rPr>
          <w:lang w:val="fr-FR"/>
        </w:rPr>
        <w:t>.  Bien que le Conseil ait accepté la recommandation</w:t>
      </w:r>
      <w:r w:rsidR="00CC10D5" w:rsidRPr="00882E58">
        <w:rPr>
          <w:lang w:val="fr-FR"/>
        </w:rPr>
        <w:t xml:space="preserve"> du</w:t>
      </w:r>
      <w:r w:rsidR="00CC10D5">
        <w:rPr>
          <w:lang w:val="fr-FR"/>
        </w:rPr>
        <w:t> </w:t>
      </w:r>
      <w:r w:rsidR="00CC10D5" w:rsidRPr="00882E58">
        <w:rPr>
          <w:lang w:val="fr-FR"/>
        </w:rPr>
        <w:t>GAC</w:t>
      </w:r>
      <w:r w:rsidRPr="00882E58">
        <w:rPr>
          <w:lang w:val="fr-FR"/>
        </w:rPr>
        <w:t xml:space="preserve"> tendant à ne pas donner suite à certaines demandes, il a sollicité des informations supplémentaires</w:t>
      </w:r>
      <w:r w:rsidR="00CC10D5" w:rsidRPr="00882E58">
        <w:rPr>
          <w:lang w:val="fr-FR"/>
        </w:rPr>
        <w:t xml:space="preserve"> du</w:t>
      </w:r>
      <w:r w:rsidR="00CC10D5">
        <w:rPr>
          <w:lang w:val="fr-FR"/>
        </w:rPr>
        <w:t> </w:t>
      </w:r>
      <w:r w:rsidR="00CC10D5" w:rsidRPr="00882E58">
        <w:rPr>
          <w:lang w:val="fr-FR"/>
        </w:rPr>
        <w:t>GAC</w:t>
      </w:r>
      <w:r w:rsidRPr="00882E58">
        <w:rPr>
          <w:lang w:val="fr-FR"/>
        </w:rPr>
        <w:t>, ainsi que des commentaires du public, sur une série de garanties complémentaires demandées par</w:t>
      </w:r>
      <w:r w:rsidR="00CC10D5" w:rsidRPr="00882E58">
        <w:rPr>
          <w:lang w:val="fr-FR"/>
        </w:rPr>
        <w:t xml:space="preserve"> le</w:t>
      </w:r>
      <w:r w:rsidR="00CC10D5">
        <w:rPr>
          <w:lang w:val="fr-FR"/>
        </w:rPr>
        <w:t> </w:t>
      </w:r>
      <w:r w:rsidR="00CC10D5" w:rsidRPr="00882E58">
        <w:rPr>
          <w:lang w:val="fr-FR"/>
        </w:rPr>
        <w:t>GAC</w:t>
      </w:r>
      <w:r w:rsidRPr="00882E58">
        <w:rPr>
          <w:lang w:val="fr-FR"/>
        </w:rPr>
        <w:t xml:space="preserve"> au sujet de plusieurs catégories de demandes portant sur de nouveaux gTLD correspondant à des secteurs réglementés ou à des termes du dictionnaire.  Voir https://www.icann.org/en/system/files/correspondence/gac</w:t>
      </w:r>
      <w:r w:rsidR="00CC10D5">
        <w:rPr>
          <w:lang w:val="fr-FR"/>
        </w:rPr>
        <w:t>-</w:t>
      </w:r>
      <w:r w:rsidRPr="00882E58">
        <w:rPr>
          <w:lang w:val="fr-FR"/>
        </w:rPr>
        <w:t>to</w:t>
      </w:r>
      <w:r w:rsidR="00CC10D5">
        <w:rPr>
          <w:lang w:val="fr-FR"/>
        </w:rPr>
        <w:t>-</w:t>
      </w:r>
      <w:r w:rsidRPr="00882E58">
        <w:rPr>
          <w:lang w:val="fr-FR"/>
        </w:rPr>
        <w:t>board</w:t>
      </w:r>
      <w:r w:rsidR="00CC10D5">
        <w:rPr>
          <w:lang w:val="fr-FR"/>
        </w:rPr>
        <w:t>-</w:t>
      </w:r>
      <w:r w:rsidRPr="00882E58">
        <w:rPr>
          <w:lang w:val="fr-FR"/>
        </w:rPr>
        <w:t>11apr13</w:t>
      </w:r>
      <w:r w:rsidR="00CC10D5">
        <w:rPr>
          <w:lang w:val="fr-FR"/>
        </w:rPr>
        <w:t>-</w:t>
      </w:r>
      <w:r w:rsidRPr="00882E58">
        <w:rPr>
          <w:lang w:val="fr-FR"/>
        </w:rPr>
        <w:t>en.pdf.  Un sous</w:t>
      </w:r>
      <w:r w:rsidR="00CC10D5">
        <w:rPr>
          <w:lang w:val="fr-FR"/>
        </w:rPr>
        <w:t>-</w:t>
      </w:r>
      <w:r w:rsidRPr="00882E58">
        <w:rPr>
          <w:lang w:val="fr-FR"/>
        </w:rPr>
        <w:t>groupe</w:t>
      </w:r>
      <w:r w:rsidR="00CC10D5" w:rsidRPr="00882E58">
        <w:rPr>
          <w:lang w:val="fr-FR"/>
        </w:rPr>
        <w:t xml:space="preserve"> du</w:t>
      </w:r>
      <w:r w:rsidR="00CC10D5">
        <w:rPr>
          <w:lang w:val="fr-FR"/>
        </w:rPr>
        <w:t> </w:t>
      </w:r>
      <w:r w:rsidR="00CC10D5" w:rsidRPr="00882E58">
        <w:rPr>
          <w:lang w:val="fr-FR"/>
        </w:rPr>
        <w:t>GAC</w:t>
      </w:r>
      <w:r w:rsidRPr="00882E58">
        <w:rPr>
          <w:lang w:val="fr-FR"/>
        </w:rPr>
        <w:t xml:space="preserve"> sur les noms géographiques (relevant du Groupe de travail</w:t>
      </w:r>
      <w:r w:rsidR="00CC10D5" w:rsidRPr="00882E58">
        <w:rPr>
          <w:lang w:val="fr-FR"/>
        </w:rPr>
        <w:t xml:space="preserve"> du</w:t>
      </w:r>
      <w:r w:rsidR="00CC10D5">
        <w:rPr>
          <w:lang w:val="fr-FR"/>
        </w:rPr>
        <w:t> </w:t>
      </w:r>
      <w:r w:rsidR="00CC10D5" w:rsidRPr="00882E58">
        <w:rPr>
          <w:lang w:val="fr-FR"/>
        </w:rPr>
        <w:t>GAC</w:t>
      </w:r>
      <w:r w:rsidRPr="00882E58">
        <w:rPr>
          <w:lang w:val="fr-FR"/>
        </w:rPr>
        <w:t xml:space="preserve"> sur les futurs gTLD) a établi un projet de document pour la prochaine série de gTLD mettant en évidence plusieurs questions d</w:t>
      </w:r>
      <w:r w:rsidR="00CC10D5">
        <w:rPr>
          <w:lang w:val="fr-FR"/>
        </w:rPr>
        <w:t>’</w:t>
      </w:r>
      <w:r w:rsidRPr="00882E58">
        <w:rPr>
          <w:lang w:val="fr-FR"/>
        </w:rPr>
        <w:t>intérêt général en rapport avec les noms géographiques, qui fait l</w:t>
      </w:r>
      <w:r w:rsidR="00CC10D5">
        <w:rPr>
          <w:lang w:val="fr-FR"/>
        </w:rPr>
        <w:t>’</w:t>
      </w:r>
      <w:r w:rsidRPr="00882E58">
        <w:rPr>
          <w:lang w:val="fr-FR"/>
        </w:rPr>
        <w:t>objet de discussions supplémentaires au sein de l</w:t>
      </w:r>
      <w:r w:rsidR="00CC10D5">
        <w:rPr>
          <w:lang w:val="fr-FR"/>
        </w:rPr>
        <w:t>’</w:t>
      </w:r>
      <w:r w:rsidRPr="00882E58">
        <w:rPr>
          <w:lang w:val="fr-FR"/>
        </w:rPr>
        <w:t>ICANN.  Voir https://gacweb.icann.org/download/attachments/27132037/Geo%20names%20in%20new%20gTLDs%20Updated%20%20V3%20%2029%20august%202014%5B4%5D.pdf?version=1&amp;modificationDate=1411549935000&amp;api=v2.</w:t>
      </w:r>
    </w:p>
  </w:footnote>
  <w:footnote w:id="72">
    <w:p w:rsidR="00570715" w:rsidRPr="00882E58" w:rsidRDefault="00570715" w:rsidP="000A106F">
      <w:pPr>
        <w:pStyle w:val="FootnoteText"/>
        <w:rPr>
          <w:lang w:val="fr-FR"/>
        </w:rPr>
      </w:pPr>
      <w:r w:rsidRPr="00882E58">
        <w:rPr>
          <w:rStyle w:val="FootnoteReference"/>
          <w:lang w:val="fr-FR"/>
        </w:rPr>
        <w:footnoteRef/>
      </w:r>
      <w:r w:rsidRPr="00882E58">
        <w:rPr>
          <w:lang w:val="fr-FR"/>
        </w:rPr>
        <w:t xml:space="preserve"> </w:t>
      </w:r>
      <w:r w:rsidRPr="00882E58">
        <w:rPr>
          <w:lang w:val="fr-FR"/>
        </w:rPr>
        <w:tab/>
        <w:t xml:space="preserve">Sont notamment compris les plans </w:t>
      </w:r>
      <w:r>
        <w:rPr>
          <w:lang w:val="fr-FR"/>
        </w:rPr>
        <w:t>“</w:t>
      </w:r>
      <w:r w:rsidRPr="00882E58">
        <w:rPr>
          <w:lang w:val="fr-FR"/>
        </w:rPr>
        <w:t>visant à réduire autant que possible les risques de confusion</w:t>
      </w:r>
      <w:r>
        <w:rPr>
          <w:lang w:val="fr-FR"/>
        </w:rPr>
        <w:t>”</w:t>
      </w:r>
      <w:r w:rsidRPr="00882E58">
        <w:rPr>
          <w:lang w:val="fr-FR"/>
        </w:rPr>
        <w:t>.  Voir https://www.icann.org/en/system/files/files/two</w:t>
      </w:r>
      <w:r w:rsidR="00CC10D5">
        <w:rPr>
          <w:lang w:val="fr-FR"/>
        </w:rPr>
        <w:t>-</w:t>
      </w:r>
      <w:r w:rsidRPr="00882E58">
        <w:rPr>
          <w:lang w:val="fr-FR"/>
        </w:rPr>
        <w:t>character</w:t>
      </w:r>
      <w:r w:rsidR="00CC10D5">
        <w:rPr>
          <w:lang w:val="fr-FR"/>
        </w:rPr>
        <w:t>-</w:t>
      </w:r>
      <w:r w:rsidRPr="00882E58">
        <w:rPr>
          <w:lang w:val="fr-FR"/>
        </w:rPr>
        <w:t>ltr</w:t>
      </w:r>
      <w:r w:rsidR="00CC10D5">
        <w:rPr>
          <w:lang w:val="fr-FR"/>
        </w:rPr>
        <w:t>-</w:t>
      </w:r>
      <w:r w:rsidRPr="00882E58">
        <w:rPr>
          <w:lang w:val="fr-FR"/>
        </w:rPr>
        <w:t>ltr</w:t>
      </w:r>
      <w:r w:rsidR="00CC10D5">
        <w:rPr>
          <w:lang w:val="fr-FR"/>
        </w:rPr>
        <w:t>-</w:t>
      </w:r>
      <w:r w:rsidRPr="00882E58">
        <w:rPr>
          <w:lang w:val="fr-FR"/>
        </w:rPr>
        <w:t>authorization</w:t>
      </w:r>
      <w:r w:rsidR="00CC10D5">
        <w:rPr>
          <w:lang w:val="fr-FR"/>
        </w:rPr>
        <w:t>-</w:t>
      </w:r>
      <w:r w:rsidRPr="00882E58">
        <w:rPr>
          <w:lang w:val="fr-FR"/>
        </w:rPr>
        <w:t>release</w:t>
      </w:r>
      <w:r w:rsidR="00CC10D5">
        <w:rPr>
          <w:lang w:val="fr-FR"/>
        </w:rPr>
        <w:t>-</w:t>
      </w:r>
      <w:r w:rsidRPr="00882E58">
        <w:rPr>
          <w:lang w:val="fr-FR"/>
        </w:rPr>
        <w:t>13dec16</w:t>
      </w:r>
      <w:r w:rsidR="00CC10D5">
        <w:rPr>
          <w:lang w:val="fr-FR"/>
        </w:rPr>
        <w:t>-</w:t>
      </w:r>
      <w:r w:rsidRPr="00882E58">
        <w:rPr>
          <w:lang w:val="fr-FR"/>
        </w:rPr>
        <w:t>en.pdf.</w:t>
      </w:r>
    </w:p>
  </w:footnote>
  <w:footnote w:id="73">
    <w:p w:rsidR="00570715" w:rsidRPr="00882E58" w:rsidRDefault="00570715" w:rsidP="000A106F">
      <w:pPr>
        <w:pStyle w:val="FootnoteText"/>
        <w:rPr>
          <w:lang w:val="fr-FR"/>
        </w:rPr>
      </w:pPr>
      <w:r w:rsidRPr="00882E58">
        <w:rPr>
          <w:rStyle w:val="FootnoteReference"/>
          <w:lang w:val="fr-FR"/>
        </w:rPr>
        <w:footnoteRef/>
      </w:r>
      <w:r w:rsidRPr="00882E58">
        <w:rPr>
          <w:lang w:val="fr-FR"/>
        </w:rPr>
        <w:t xml:space="preserve"> </w:t>
      </w:r>
      <w:r w:rsidRPr="00882E58">
        <w:rPr>
          <w:lang w:val="fr-FR"/>
        </w:rPr>
        <w:tab/>
        <w:t>Voir https://forum.icann.org/lists/comments</w:t>
      </w:r>
      <w:r w:rsidR="00CC10D5">
        <w:rPr>
          <w:lang w:val="fr-FR"/>
        </w:rPr>
        <w:t>-</w:t>
      </w:r>
      <w:r w:rsidRPr="00882E58">
        <w:rPr>
          <w:lang w:val="fr-FR"/>
        </w:rPr>
        <w:t>proposed</w:t>
      </w:r>
      <w:r w:rsidR="00CC10D5">
        <w:rPr>
          <w:lang w:val="fr-FR"/>
        </w:rPr>
        <w:t>-</w:t>
      </w:r>
      <w:r w:rsidRPr="00882E58">
        <w:rPr>
          <w:lang w:val="fr-FR"/>
        </w:rPr>
        <w:t>measures</w:t>
      </w:r>
      <w:r w:rsidR="00CC10D5">
        <w:rPr>
          <w:lang w:val="fr-FR"/>
        </w:rPr>
        <w:t>-</w:t>
      </w:r>
      <w:r w:rsidRPr="00882E58">
        <w:rPr>
          <w:lang w:val="fr-FR"/>
        </w:rPr>
        <w:t>two</w:t>
      </w:r>
      <w:r w:rsidR="00CC10D5">
        <w:rPr>
          <w:lang w:val="fr-FR"/>
        </w:rPr>
        <w:t>-</w:t>
      </w:r>
      <w:r w:rsidRPr="00882E58">
        <w:rPr>
          <w:lang w:val="fr-FR"/>
        </w:rPr>
        <w:t>char</w:t>
      </w:r>
      <w:r w:rsidR="00CC10D5">
        <w:rPr>
          <w:lang w:val="fr-FR"/>
        </w:rPr>
        <w:t>-</w:t>
      </w:r>
      <w:r w:rsidRPr="00882E58">
        <w:rPr>
          <w:lang w:val="fr-FR"/>
        </w:rPr>
        <w:t xml:space="preserve">08jul16/pdfECmcS9knuk.pdf. </w:t>
      </w:r>
      <w:r w:rsidR="00E6003E">
        <w:rPr>
          <w:lang w:val="fr-FR"/>
        </w:rPr>
        <w:t xml:space="preserve"> </w:t>
      </w:r>
    </w:p>
  </w:footnote>
  <w:footnote w:id="74">
    <w:p w:rsidR="00570715" w:rsidRPr="00882E58" w:rsidRDefault="00570715" w:rsidP="000A106F">
      <w:pPr>
        <w:pStyle w:val="FootnoteText"/>
        <w:rPr>
          <w:lang w:val="fr-FR"/>
        </w:rPr>
      </w:pPr>
      <w:r w:rsidRPr="00882E58">
        <w:rPr>
          <w:rStyle w:val="FootnoteReference"/>
          <w:lang w:val="fr-FR"/>
        </w:rPr>
        <w:footnoteRef/>
      </w:r>
      <w:r w:rsidRPr="00882E58">
        <w:rPr>
          <w:lang w:val="fr-FR"/>
        </w:rPr>
        <w:t xml:space="preserve"> </w:t>
      </w:r>
      <w:r w:rsidRPr="00882E58">
        <w:rPr>
          <w:lang w:val="fr-FR"/>
        </w:rPr>
        <w:tab/>
        <w:t xml:space="preserve">Voir https://static.ptbl.co/static/attachments/169910/1521228229.pdf?1521228229. </w:t>
      </w:r>
      <w:r w:rsidR="00E6003E">
        <w:rPr>
          <w:lang w:val="fr-FR"/>
        </w:rPr>
        <w:t xml:space="preserve"> </w:t>
      </w:r>
    </w:p>
  </w:footnote>
  <w:footnote w:id="75">
    <w:p w:rsidR="00570715" w:rsidRPr="00882E58" w:rsidRDefault="00570715" w:rsidP="00882E58">
      <w:pPr>
        <w:pStyle w:val="FootnoteText"/>
        <w:rPr>
          <w:lang w:val="fr-FR"/>
        </w:rPr>
      </w:pPr>
      <w:r w:rsidRPr="00882E58">
        <w:rPr>
          <w:rStyle w:val="FootnoteReference"/>
          <w:lang w:val="fr-FR"/>
        </w:rPr>
        <w:footnoteRef/>
      </w:r>
      <w:r w:rsidRPr="00882E58">
        <w:rPr>
          <w:lang w:val="fr-FR"/>
        </w:rPr>
        <w:t xml:space="preserve"> </w:t>
      </w:r>
      <w:r w:rsidRPr="00882E58">
        <w:rPr>
          <w:lang w:val="fr-FR"/>
        </w:rPr>
        <w:tab/>
        <w:t>Voir notamment les documents</w:t>
      </w:r>
      <w:r w:rsidR="00401FB8">
        <w:rPr>
          <w:lang w:val="fr-FR"/>
        </w:rPr>
        <w:t> </w:t>
      </w:r>
      <w:r w:rsidRPr="00882E58">
        <w:rPr>
          <w:lang w:val="fr-FR"/>
        </w:rPr>
        <w:t>SCT/37/4, SCT37/5, SCT38/3 et SCT39/5.  Voir également la réunion</w:t>
      </w:r>
      <w:r w:rsidR="00401FB8">
        <w:rPr>
          <w:lang w:val="fr-FR"/>
        </w:rPr>
        <w:t> </w:t>
      </w:r>
      <w:r w:rsidRPr="00882E58">
        <w:rPr>
          <w:lang w:val="fr-FR"/>
        </w:rPr>
        <w:t xml:space="preserve">SCT/IS/GEO/GE/17. </w:t>
      </w:r>
      <w:r w:rsidR="00E6003E">
        <w:rPr>
          <w:lang w:val="fr-FR"/>
        </w:rPr>
        <w:t xml:space="preserve"> </w:t>
      </w:r>
    </w:p>
  </w:footnote>
  <w:footnote w:id="76">
    <w:p w:rsidR="00570715" w:rsidRPr="00882E58" w:rsidRDefault="00570715" w:rsidP="00882E58">
      <w:pPr>
        <w:pStyle w:val="FootnoteText"/>
        <w:rPr>
          <w:lang w:val="fr-FR"/>
        </w:rPr>
      </w:pPr>
      <w:r w:rsidRPr="00882E58">
        <w:rPr>
          <w:rStyle w:val="FootnoteReference"/>
          <w:lang w:val="fr-FR"/>
        </w:rPr>
        <w:footnoteRef/>
      </w:r>
      <w:r w:rsidRPr="00882E58">
        <w:rPr>
          <w:lang w:val="fr-FR"/>
        </w:rPr>
        <w:t xml:space="preserve"> </w:t>
      </w:r>
      <w:r w:rsidRPr="00882E58">
        <w:rPr>
          <w:lang w:val="fr-FR"/>
        </w:rPr>
        <w:tab/>
        <w:t>Voir le document</w:t>
      </w:r>
      <w:r w:rsidR="00401FB8">
        <w:rPr>
          <w:lang w:val="fr-FR"/>
        </w:rPr>
        <w:t> </w:t>
      </w:r>
      <w:r w:rsidRPr="00882E58">
        <w:rPr>
          <w:lang w:val="fr-FR"/>
        </w:rPr>
        <w:t xml:space="preserve">SCT39/7. </w:t>
      </w:r>
      <w:r w:rsidR="00E6003E">
        <w:rPr>
          <w:lang w:val="fr-F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715" w:rsidRDefault="00570715" w:rsidP="00477D6B">
    <w:pPr>
      <w:jc w:val="right"/>
    </w:pPr>
    <w:bookmarkStart w:id="6" w:name="Code2"/>
    <w:bookmarkEnd w:id="6"/>
    <w:r>
      <w:t>WO/GA/50/10</w:t>
    </w:r>
  </w:p>
  <w:p w:rsidR="00570715" w:rsidRDefault="00570715" w:rsidP="00477D6B">
    <w:pPr>
      <w:jc w:val="right"/>
    </w:pPr>
    <w:proofErr w:type="gramStart"/>
    <w:r>
      <w:t>page</w:t>
    </w:r>
    <w:proofErr w:type="gramEnd"/>
    <w:r w:rsidR="00401FB8">
      <w:t> </w:t>
    </w:r>
    <w:r>
      <w:fldChar w:fldCharType="begin"/>
    </w:r>
    <w:r>
      <w:instrText xml:space="preserve"> PAGE  \* MERGEFORMAT </w:instrText>
    </w:r>
    <w:r>
      <w:fldChar w:fldCharType="separate"/>
    </w:r>
    <w:r w:rsidR="0046722D">
      <w:rPr>
        <w:noProof/>
      </w:rPr>
      <w:t>4</w:t>
    </w:r>
    <w:r>
      <w:fldChar w:fldCharType="end"/>
    </w:r>
  </w:p>
  <w:p w:rsidR="00570715" w:rsidRDefault="00570715" w:rsidP="00477D6B">
    <w:pPr>
      <w:jc w:val="right"/>
    </w:pPr>
  </w:p>
  <w:p w:rsidR="00570715" w:rsidRDefault="00570715"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32B1B9B"/>
    <w:multiLevelType w:val="hybridMultilevel"/>
    <w:tmpl w:val="6F3CB878"/>
    <w:lvl w:ilvl="0" w:tplc="35F67E7C">
      <w:start w:val="1"/>
      <w:numFmt w:val="lowerLetter"/>
      <w:lvlText w:val="(%1)"/>
      <w:lvlJc w:val="left"/>
      <w:pPr>
        <w:ind w:left="2061" w:hanging="360"/>
      </w:pPr>
      <w:rPr>
        <w:rFonts w:hint="default"/>
        <w:u w:val="none"/>
      </w:rPr>
    </w:lvl>
    <w:lvl w:ilvl="1" w:tplc="040A0019" w:tentative="1">
      <w:start w:val="1"/>
      <w:numFmt w:val="lowerLetter"/>
      <w:lvlText w:val="%2."/>
      <w:lvlJc w:val="left"/>
      <w:pPr>
        <w:ind w:left="2781" w:hanging="360"/>
      </w:pPr>
    </w:lvl>
    <w:lvl w:ilvl="2" w:tplc="040A001B" w:tentative="1">
      <w:start w:val="1"/>
      <w:numFmt w:val="lowerRoman"/>
      <w:lvlText w:val="%3."/>
      <w:lvlJc w:val="right"/>
      <w:pPr>
        <w:ind w:left="3501" w:hanging="180"/>
      </w:pPr>
    </w:lvl>
    <w:lvl w:ilvl="3" w:tplc="040A000F" w:tentative="1">
      <w:start w:val="1"/>
      <w:numFmt w:val="decimal"/>
      <w:lvlText w:val="%4."/>
      <w:lvlJc w:val="left"/>
      <w:pPr>
        <w:ind w:left="4221" w:hanging="360"/>
      </w:pPr>
    </w:lvl>
    <w:lvl w:ilvl="4" w:tplc="040A0019" w:tentative="1">
      <w:start w:val="1"/>
      <w:numFmt w:val="lowerLetter"/>
      <w:lvlText w:val="%5."/>
      <w:lvlJc w:val="left"/>
      <w:pPr>
        <w:ind w:left="4941" w:hanging="360"/>
      </w:pPr>
    </w:lvl>
    <w:lvl w:ilvl="5" w:tplc="040A001B" w:tentative="1">
      <w:start w:val="1"/>
      <w:numFmt w:val="lowerRoman"/>
      <w:lvlText w:val="%6."/>
      <w:lvlJc w:val="right"/>
      <w:pPr>
        <w:ind w:left="5661" w:hanging="180"/>
      </w:pPr>
    </w:lvl>
    <w:lvl w:ilvl="6" w:tplc="040A000F" w:tentative="1">
      <w:start w:val="1"/>
      <w:numFmt w:val="decimal"/>
      <w:lvlText w:val="%7."/>
      <w:lvlJc w:val="left"/>
      <w:pPr>
        <w:ind w:left="6381" w:hanging="360"/>
      </w:pPr>
    </w:lvl>
    <w:lvl w:ilvl="7" w:tplc="040A0019" w:tentative="1">
      <w:start w:val="1"/>
      <w:numFmt w:val="lowerLetter"/>
      <w:lvlText w:val="%8."/>
      <w:lvlJc w:val="left"/>
      <w:pPr>
        <w:ind w:left="7101" w:hanging="360"/>
      </w:pPr>
    </w:lvl>
    <w:lvl w:ilvl="8" w:tplc="040A001B" w:tentative="1">
      <w:start w:val="1"/>
      <w:numFmt w:val="lowerRoman"/>
      <w:lvlText w:val="%9."/>
      <w:lvlJc w:val="right"/>
      <w:pPr>
        <w:ind w:left="7821" w:hanging="180"/>
      </w:pPr>
    </w:lvl>
  </w:abstractNum>
  <w:abstractNum w:abstractNumId="3">
    <w:nsid w:val="147E6B91"/>
    <w:multiLevelType w:val="multilevel"/>
    <w:tmpl w:val="953C86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26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EDD2F2D"/>
    <w:multiLevelType w:val="hybridMultilevel"/>
    <w:tmpl w:val="08282136"/>
    <w:lvl w:ilvl="0" w:tplc="578876E2">
      <w:start w:val="1"/>
      <w:numFmt w:val="lowerLetter"/>
      <w:lvlText w:val="(%1)"/>
      <w:lvlJc w:val="left"/>
      <w:pPr>
        <w:ind w:left="2061" w:hanging="360"/>
      </w:pPr>
      <w:rPr>
        <w:rFonts w:hint="default"/>
        <w:u w:val="none"/>
      </w:rPr>
    </w:lvl>
    <w:lvl w:ilvl="1" w:tplc="040A0019" w:tentative="1">
      <w:start w:val="1"/>
      <w:numFmt w:val="lowerLetter"/>
      <w:lvlText w:val="%2."/>
      <w:lvlJc w:val="left"/>
      <w:pPr>
        <w:ind w:left="2781" w:hanging="360"/>
      </w:pPr>
    </w:lvl>
    <w:lvl w:ilvl="2" w:tplc="040A001B" w:tentative="1">
      <w:start w:val="1"/>
      <w:numFmt w:val="lowerRoman"/>
      <w:lvlText w:val="%3."/>
      <w:lvlJc w:val="right"/>
      <w:pPr>
        <w:ind w:left="3501" w:hanging="180"/>
      </w:pPr>
    </w:lvl>
    <w:lvl w:ilvl="3" w:tplc="040A000F" w:tentative="1">
      <w:start w:val="1"/>
      <w:numFmt w:val="decimal"/>
      <w:lvlText w:val="%4."/>
      <w:lvlJc w:val="left"/>
      <w:pPr>
        <w:ind w:left="4221" w:hanging="360"/>
      </w:pPr>
    </w:lvl>
    <w:lvl w:ilvl="4" w:tplc="040A0019" w:tentative="1">
      <w:start w:val="1"/>
      <w:numFmt w:val="lowerLetter"/>
      <w:lvlText w:val="%5."/>
      <w:lvlJc w:val="left"/>
      <w:pPr>
        <w:ind w:left="4941" w:hanging="360"/>
      </w:pPr>
    </w:lvl>
    <w:lvl w:ilvl="5" w:tplc="040A001B" w:tentative="1">
      <w:start w:val="1"/>
      <w:numFmt w:val="lowerRoman"/>
      <w:lvlText w:val="%6."/>
      <w:lvlJc w:val="right"/>
      <w:pPr>
        <w:ind w:left="5661" w:hanging="180"/>
      </w:pPr>
    </w:lvl>
    <w:lvl w:ilvl="6" w:tplc="040A000F" w:tentative="1">
      <w:start w:val="1"/>
      <w:numFmt w:val="decimal"/>
      <w:lvlText w:val="%7."/>
      <w:lvlJc w:val="left"/>
      <w:pPr>
        <w:ind w:left="6381" w:hanging="360"/>
      </w:pPr>
    </w:lvl>
    <w:lvl w:ilvl="7" w:tplc="040A0019" w:tentative="1">
      <w:start w:val="1"/>
      <w:numFmt w:val="lowerLetter"/>
      <w:lvlText w:val="%8."/>
      <w:lvlJc w:val="left"/>
      <w:pPr>
        <w:ind w:left="7101" w:hanging="360"/>
      </w:pPr>
    </w:lvl>
    <w:lvl w:ilvl="8" w:tplc="040A001B" w:tentative="1">
      <w:start w:val="1"/>
      <w:numFmt w:val="lowerRoman"/>
      <w:lvlText w:val="%9."/>
      <w:lvlJc w:val="right"/>
      <w:pPr>
        <w:ind w:left="7821" w:hanging="180"/>
      </w:pPr>
    </w:lvl>
  </w:abstractNum>
  <w:abstractNum w:abstractNumId="6">
    <w:nsid w:val="1F845436"/>
    <w:multiLevelType w:val="hybridMultilevel"/>
    <w:tmpl w:val="A876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FB19A2"/>
    <w:multiLevelType w:val="multilevel"/>
    <w:tmpl w:val="CCAC7E86"/>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44B12FE"/>
    <w:multiLevelType w:val="hybridMultilevel"/>
    <w:tmpl w:val="411A0E4E"/>
    <w:lvl w:ilvl="0" w:tplc="5874F376">
      <w:start w:val="1"/>
      <w:numFmt w:val="decimal"/>
      <w:lvlText w:val="%1."/>
      <w:lvlJc w:val="left"/>
      <w:pPr>
        <w:ind w:left="360" w:hanging="360"/>
      </w:pPr>
      <w:rPr>
        <w:rFonts w:hint="default"/>
        <w:b w:val="0"/>
        <w:i w:val="0"/>
      </w:rPr>
    </w:lvl>
    <w:lvl w:ilvl="1" w:tplc="547A3AD2">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6C6849"/>
    <w:multiLevelType w:val="hybridMultilevel"/>
    <w:tmpl w:val="CBC4D42A"/>
    <w:lvl w:ilvl="0" w:tplc="F4D062F8">
      <w:start w:val="1"/>
      <w:numFmt w:val="lowerLetter"/>
      <w:lvlText w:val="(%1)"/>
      <w:lvlJc w:val="left"/>
      <w:pPr>
        <w:ind w:left="1287" w:hanging="360"/>
      </w:pPr>
      <w:rPr>
        <w:rFonts w:hint="default"/>
      </w:rPr>
    </w:lvl>
    <w:lvl w:ilvl="1" w:tplc="040A0019" w:tentative="1">
      <w:start w:val="1"/>
      <w:numFmt w:val="lowerLetter"/>
      <w:lvlText w:val="%2."/>
      <w:lvlJc w:val="left"/>
      <w:pPr>
        <w:ind w:left="2007" w:hanging="360"/>
      </w:pPr>
    </w:lvl>
    <w:lvl w:ilvl="2" w:tplc="040A001B" w:tentative="1">
      <w:start w:val="1"/>
      <w:numFmt w:val="lowerRoman"/>
      <w:lvlText w:val="%3."/>
      <w:lvlJc w:val="right"/>
      <w:pPr>
        <w:ind w:left="2727" w:hanging="180"/>
      </w:pPr>
    </w:lvl>
    <w:lvl w:ilvl="3" w:tplc="040A000F" w:tentative="1">
      <w:start w:val="1"/>
      <w:numFmt w:val="decimal"/>
      <w:lvlText w:val="%4."/>
      <w:lvlJc w:val="left"/>
      <w:pPr>
        <w:ind w:left="3447" w:hanging="360"/>
      </w:pPr>
    </w:lvl>
    <w:lvl w:ilvl="4" w:tplc="040A0019" w:tentative="1">
      <w:start w:val="1"/>
      <w:numFmt w:val="lowerLetter"/>
      <w:lvlText w:val="%5."/>
      <w:lvlJc w:val="left"/>
      <w:pPr>
        <w:ind w:left="4167" w:hanging="360"/>
      </w:pPr>
    </w:lvl>
    <w:lvl w:ilvl="5" w:tplc="040A001B" w:tentative="1">
      <w:start w:val="1"/>
      <w:numFmt w:val="lowerRoman"/>
      <w:lvlText w:val="%6."/>
      <w:lvlJc w:val="right"/>
      <w:pPr>
        <w:ind w:left="4887" w:hanging="180"/>
      </w:pPr>
    </w:lvl>
    <w:lvl w:ilvl="6" w:tplc="040A000F" w:tentative="1">
      <w:start w:val="1"/>
      <w:numFmt w:val="decimal"/>
      <w:lvlText w:val="%7."/>
      <w:lvlJc w:val="left"/>
      <w:pPr>
        <w:ind w:left="5607" w:hanging="360"/>
      </w:pPr>
    </w:lvl>
    <w:lvl w:ilvl="7" w:tplc="040A0019" w:tentative="1">
      <w:start w:val="1"/>
      <w:numFmt w:val="lowerLetter"/>
      <w:lvlText w:val="%8."/>
      <w:lvlJc w:val="left"/>
      <w:pPr>
        <w:ind w:left="6327" w:hanging="360"/>
      </w:pPr>
    </w:lvl>
    <w:lvl w:ilvl="8" w:tplc="040A001B" w:tentative="1">
      <w:start w:val="1"/>
      <w:numFmt w:val="lowerRoman"/>
      <w:lvlText w:val="%9."/>
      <w:lvlJc w:val="right"/>
      <w:pPr>
        <w:ind w:left="7047" w:hanging="180"/>
      </w:pPr>
    </w:lvl>
  </w:abstractNum>
  <w:abstractNum w:abstractNumId="10">
    <w:nsid w:val="3FBE2461"/>
    <w:multiLevelType w:val="hybridMultilevel"/>
    <w:tmpl w:val="4FA27BB2"/>
    <w:lvl w:ilvl="0" w:tplc="DCB0F3D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0512BFA"/>
    <w:multiLevelType w:val="hybridMultilevel"/>
    <w:tmpl w:val="7988F4FC"/>
    <w:lvl w:ilvl="0" w:tplc="04090017">
      <w:start w:val="1"/>
      <w:numFmt w:val="lowerLetter"/>
      <w:pStyle w:val="Heading3"/>
      <w:lvlText w:val="%1)"/>
      <w:lvlJc w:val="left"/>
      <w:pPr>
        <w:ind w:left="1494" w:hanging="360"/>
      </w:pPr>
      <w:rPr>
        <w:rFonts w:hint="default"/>
        <w:u w:val="none"/>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EC363F4"/>
    <w:multiLevelType w:val="hybridMultilevel"/>
    <w:tmpl w:val="2BE20824"/>
    <w:lvl w:ilvl="0" w:tplc="C77A2D90">
      <w:start w:val="1"/>
      <w:numFmt w:val="lowerLetter"/>
      <w:lvlText w:val="(%1)"/>
      <w:lvlJc w:val="left"/>
      <w:pPr>
        <w:ind w:left="2061" w:hanging="360"/>
      </w:pPr>
      <w:rPr>
        <w:rFonts w:hint="default"/>
      </w:rPr>
    </w:lvl>
    <w:lvl w:ilvl="1" w:tplc="040A0019" w:tentative="1">
      <w:start w:val="1"/>
      <w:numFmt w:val="lowerLetter"/>
      <w:lvlText w:val="%2."/>
      <w:lvlJc w:val="left"/>
      <w:pPr>
        <w:ind w:left="2781" w:hanging="360"/>
      </w:pPr>
    </w:lvl>
    <w:lvl w:ilvl="2" w:tplc="040A001B" w:tentative="1">
      <w:start w:val="1"/>
      <w:numFmt w:val="lowerRoman"/>
      <w:lvlText w:val="%3."/>
      <w:lvlJc w:val="right"/>
      <w:pPr>
        <w:ind w:left="3501" w:hanging="180"/>
      </w:pPr>
    </w:lvl>
    <w:lvl w:ilvl="3" w:tplc="040A000F" w:tentative="1">
      <w:start w:val="1"/>
      <w:numFmt w:val="decimal"/>
      <w:lvlText w:val="%4."/>
      <w:lvlJc w:val="left"/>
      <w:pPr>
        <w:ind w:left="4221" w:hanging="360"/>
      </w:pPr>
    </w:lvl>
    <w:lvl w:ilvl="4" w:tplc="040A0019" w:tentative="1">
      <w:start w:val="1"/>
      <w:numFmt w:val="lowerLetter"/>
      <w:lvlText w:val="%5."/>
      <w:lvlJc w:val="left"/>
      <w:pPr>
        <w:ind w:left="4941" w:hanging="360"/>
      </w:pPr>
    </w:lvl>
    <w:lvl w:ilvl="5" w:tplc="040A001B" w:tentative="1">
      <w:start w:val="1"/>
      <w:numFmt w:val="lowerRoman"/>
      <w:lvlText w:val="%6."/>
      <w:lvlJc w:val="right"/>
      <w:pPr>
        <w:ind w:left="5661" w:hanging="180"/>
      </w:pPr>
    </w:lvl>
    <w:lvl w:ilvl="6" w:tplc="040A000F" w:tentative="1">
      <w:start w:val="1"/>
      <w:numFmt w:val="decimal"/>
      <w:lvlText w:val="%7."/>
      <w:lvlJc w:val="left"/>
      <w:pPr>
        <w:ind w:left="6381" w:hanging="360"/>
      </w:pPr>
    </w:lvl>
    <w:lvl w:ilvl="7" w:tplc="040A0019" w:tentative="1">
      <w:start w:val="1"/>
      <w:numFmt w:val="lowerLetter"/>
      <w:lvlText w:val="%8."/>
      <w:lvlJc w:val="left"/>
      <w:pPr>
        <w:ind w:left="7101" w:hanging="360"/>
      </w:pPr>
    </w:lvl>
    <w:lvl w:ilvl="8" w:tplc="040A001B" w:tentative="1">
      <w:start w:val="1"/>
      <w:numFmt w:val="lowerRoman"/>
      <w:lvlText w:val="%9."/>
      <w:lvlJc w:val="right"/>
      <w:pPr>
        <w:ind w:left="7821" w:hanging="180"/>
      </w:pPr>
    </w:lvl>
  </w:abstractNum>
  <w:abstractNum w:abstractNumId="15">
    <w:nsid w:val="575E0627"/>
    <w:multiLevelType w:val="hybridMultilevel"/>
    <w:tmpl w:val="A5E4C9E8"/>
    <w:lvl w:ilvl="0" w:tplc="65D6598E">
      <w:start w:val="1"/>
      <w:numFmt w:val="lowerLetter"/>
      <w:lvlText w:val="(%1)"/>
      <w:lvlJc w:val="left"/>
      <w:pPr>
        <w:ind w:left="1854" w:hanging="360"/>
      </w:pPr>
      <w:rPr>
        <w:rFonts w:hint="default"/>
        <w:u w:val="none"/>
      </w:rPr>
    </w:lvl>
    <w:lvl w:ilvl="1" w:tplc="040A0019" w:tentative="1">
      <w:start w:val="1"/>
      <w:numFmt w:val="lowerLetter"/>
      <w:lvlText w:val="%2."/>
      <w:lvlJc w:val="left"/>
      <w:pPr>
        <w:ind w:left="2574" w:hanging="360"/>
      </w:pPr>
    </w:lvl>
    <w:lvl w:ilvl="2" w:tplc="040A001B" w:tentative="1">
      <w:start w:val="1"/>
      <w:numFmt w:val="lowerRoman"/>
      <w:lvlText w:val="%3."/>
      <w:lvlJc w:val="right"/>
      <w:pPr>
        <w:ind w:left="3294" w:hanging="180"/>
      </w:pPr>
    </w:lvl>
    <w:lvl w:ilvl="3" w:tplc="040A000F" w:tentative="1">
      <w:start w:val="1"/>
      <w:numFmt w:val="decimal"/>
      <w:lvlText w:val="%4."/>
      <w:lvlJc w:val="left"/>
      <w:pPr>
        <w:ind w:left="4014" w:hanging="360"/>
      </w:pPr>
    </w:lvl>
    <w:lvl w:ilvl="4" w:tplc="040A0019" w:tentative="1">
      <w:start w:val="1"/>
      <w:numFmt w:val="lowerLetter"/>
      <w:lvlText w:val="%5."/>
      <w:lvlJc w:val="left"/>
      <w:pPr>
        <w:ind w:left="4734" w:hanging="360"/>
      </w:pPr>
    </w:lvl>
    <w:lvl w:ilvl="5" w:tplc="040A001B" w:tentative="1">
      <w:start w:val="1"/>
      <w:numFmt w:val="lowerRoman"/>
      <w:lvlText w:val="%6."/>
      <w:lvlJc w:val="right"/>
      <w:pPr>
        <w:ind w:left="5454" w:hanging="180"/>
      </w:pPr>
    </w:lvl>
    <w:lvl w:ilvl="6" w:tplc="040A000F" w:tentative="1">
      <w:start w:val="1"/>
      <w:numFmt w:val="decimal"/>
      <w:lvlText w:val="%7."/>
      <w:lvlJc w:val="left"/>
      <w:pPr>
        <w:ind w:left="6174" w:hanging="360"/>
      </w:pPr>
    </w:lvl>
    <w:lvl w:ilvl="7" w:tplc="040A0019" w:tentative="1">
      <w:start w:val="1"/>
      <w:numFmt w:val="lowerLetter"/>
      <w:lvlText w:val="%8."/>
      <w:lvlJc w:val="left"/>
      <w:pPr>
        <w:ind w:left="6894" w:hanging="360"/>
      </w:pPr>
    </w:lvl>
    <w:lvl w:ilvl="8" w:tplc="040A001B" w:tentative="1">
      <w:start w:val="1"/>
      <w:numFmt w:val="lowerRoman"/>
      <w:lvlText w:val="%9."/>
      <w:lvlJc w:val="right"/>
      <w:pPr>
        <w:ind w:left="7614" w:hanging="180"/>
      </w:pPr>
    </w:lvl>
  </w:abstractNum>
  <w:abstractNum w:abstractNumId="16">
    <w:nsid w:val="58FE4652"/>
    <w:multiLevelType w:val="hybridMultilevel"/>
    <w:tmpl w:val="B4584386"/>
    <w:lvl w:ilvl="0" w:tplc="E312B1CA">
      <w:start w:val="1"/>
      <w:numFmt w:val="lowerLetter"/>
      <w:lvlText w:val="(%1)"/>
      <w:lvlJc w:val="left"/>
      <w:pPr>
        <w:ind w:left="1854" w:hanging="360"/>
      </w:pPr>
      <w:rPr>
        <w:rFonts w:hint="default"/>
        <w:u w:val="none"/>
      </w:rPr>
    </w:lvl>
    <w:lvl w:ilvl="1" w:tplc="040A0019" w:tentative="1">
      <w:start w:val="1"/>
      <w:numFmt w:val="lowerLetter"/>
      <w:lvlText w:val="%2."/>
      <w:lvlJc w:val="left"/>
      <w:pPr>
        <w:ind w:left="2574" w:hanging="360"/>
      </w:pPr>
    </w:lvl>
    <w:lvl w:ilvl="2" w:tplc="040A001B" w:tentative="1">
      <w:start w:val="1"/>
      <w:numFmt w:val="lowerRoman"/>
      <w:lvlText w:val="%3."/>
      <w:lvlJc w:val="right"/>
      <w:pPr>
        <w:ind w:left="3294" w:hanging="180"/>
      </w:pPr>
    </w:lvl>
    <w:lvl w:ilvl="3" w:tplc="040A000F" w:tentative="1">
      <w:start w:val="1"/>
      <w:numFmt w:val="decimal"/>
      <w:lvlText w:val="%4."/>
      <w:lvlJc w:val="left"/>
      <w:pPr>
        <w:ind w:left="4014" w:hanging="360"/>
      </w:pPr>
    </w:lvl>
    <w:lvl w:ilvl="4" w:tplc="040A0019" w:tentative="1">
      <w:start w:val="1"/>
      <w:numFmt w:val="lowerLetter"/>
      <w:lvlText w:val="%5."/>
      <w:lvlJc w:val="left"/>
      <w:pPr>
        <w:ind w:left="4734" w:hanging="360"/>
      </w:pPr>
    </w:lvl>
    <w:lvl w:ilvl="5" w:tplc="040A001B" w:tentative="1">
      <w:start w:val="1"/>
      <w:numFmt w:val="lowerRoman"/>
      <w:lvlText w:val="%6."/>
      <w:lvlJc w:val="right"/>
      <w:pPr>
        <w:ind w:left="5454" w:hanging="180"/>
      </w:pPr>
    </w:lvl>
    <w:lvl w:ilvl="6" w:tplc="040A000F" w:tentative="1">
      <w:start w:val="1"/>
      <w:numFmt w:val="decimal"/>
      <w:lvlText w:val="%7."/>
      <w:lvlJc w:val="left"/>
      <w:pPr>
        <w:ind w:left="6174" w:hanging="360"/>
      </w:pPr>
    </w:lvl>
    <w:lvl w:ilvl="7" w:tplc="040A0019" w:tentative="1">
      <w:start w:val="1"/>
      <w:numFmt w:val="lowerLetter"/>
      <w:lvlText w:val="%8."/>
      <w:lvlJc w:val="left"/>
      <w:pPr>
        <w:ind w:left="6894" w:hanging="360"/>
      </w:pPr>
    </w:lvl>
    <w:lvl w:ilvl="8" w:tplc="040A001B" w:tentative="1">
      <w:start w:val="1"/>
      <w:numFmt w:val="lowerRoman"/>
      <w:lvlText w:val="%9."/>
      <w:lvlJc w:val="right"/>
      <w:pPr>
        <w:ind w:left="7614" w:hanging="180"/>
      </w:pPr>
    </w:lvl>
  </w:abstractNum>
  <w:abstractNum w:abstractNumId="17">
    <w:nsid w:val="59EA20E6"/>
    <w:multiLevelType w:val="hybridMultilevel"/>
    <w:tmpl w:val="AE7EBBC0"/>
    <w:lvl w:ilvl="0" w:tplc="125A75E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8">
    <w:nsid w:val="63D22EF0"/>
    <w:multiLevelType w:val="hybridMultilevel"/>
    <w:tmpl w:val="8402E0EE"/>
    <w:lvl w:ilvl="0" w:tplc="867266B4">
      <w:start w:val="1"/>
      <w:numFmt w:val="lowerLetter"/>
      <w:lvlText w:val="(%1)"/>
      <w:lvlJc w:val="left"/>
      <w:pPr>
        <w:ind w:left="1287" w:hanging="360"/>
      </w:pPr>
      <w:rPr>
        <w:rFonts w:hint="default"/>
        <w:u w:val="no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67544159"/>
    <w:multiLevelType w:val="hybridMultilevel"/>
    <w:tmpl w:val="0108ED04"/>
    <w:lvl w:ilvl="0" w:tplc="730AEB68">
      <w:start w:val="1"/>
      <w:numFmt w:val="lowerLetter"/>
      <w:lvlText w:val="(%1)"/>
      <w:lvlJc w:val="left"/>
      <w:pPr>
        <w:ind w:left="2280" w:hanging="360"/>
      </w:pPr>
      <w:rPr>
        <w:rFonts w:hint="default"/>
        <w:u w:val="none"/>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0">
    <w:nsid w:val="6EEC14B3"/>
    <w:multiLevelType w:val="hybridMultilevel"/>
    <w:tmpl w:val="4C8E34C8"/>
    <w:lvl w:ilvl="0" w:tplc="125A75E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1">
    <w:nsid w:val="70A81B41"/>
    <w:multiLevelType w:val="hybridMultilevel"/>
    <w:tmpl w:val="5A8E5CBE"/>
    <w:lvl w:ilvl="0" w:tplc="1B8633AA">
      <w:start w:val="1"/>
      <w:numFmt w:val="lowerRoman"/>
      <w:pStyle w:val="ADRGuideital"/>
      <w:lvlText w:val="(%1)"/>
      <w:lvlJc w:val="left"/>
      <w:pPr>
        <w:ind w:left="1854"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454990"/>
    <w:multiLevelType w:val="hybridMultilevel"/>
    <w:tmpl w:val="CA8C07D6"/>
    <w:lvl w:ilvl="0" w:tplc="DCB0F3D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787869EC"/>
    <w:multiLevelType w:val="hybridMultilevel"/>
    <w:tmpl w:val="A34E88EA"/>
    <w:lvl w:ilvl="0" w:tplc="E66C8154">
      <w:start w:val="1"/>
      <w:numFmt w:val="lowerLetter"/>
      <w:pStyle w:val="Heading5"/>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12"/>
  </w:num>
  <w:num w:numId="3">
    <w:abstractNumId w:val="0"/>
  </w:num>
  <w:num w:numId="4">
    <w:abstractNumId w:val="13"/>
  </w:num>
  <w:num w:numId="5">
    <w:abstractNumId w:val="1"/>
  </w:num>
  <w:num w:numId="6">
    <w:abstractNumId w:val="7"/>
  </w:num>
  <w:num w:numId="7">
    <w:abstractNumId w:val="8"/>
  </w:num>
  <w:num w:numId="8">
    <w:abstractNumId w:val="3"/>
  </w:num>
  <w:num w:numId="9">
    <w:abstractNumId w:val="22"/>
  </w:num>
  <w:num w:numId="10">
    <w:abstractNumId w:val="20"/>
  </w:num>
  <w:num w:numId="11">
    <w:abstractNumId w:val="17"/>
  </w:num>
  <w:num w:numId="12">
    <w:abstractNumId w:val="10"/>
  </w:num>
  <w:num w:numId="13">
    <w:abstractNumId w:val="18"/>
  </w:num>
  <w:num w:numId="14">
    <w:abstractNumId w:val="19"/>
  </w:num>
  <w:num w:numId="15">
    <w:abstractNumId w:val="6"/>
  </w:num>
  <w:num w:numId="16">
    <w:abstractNumId w:val="21"/>
  </w:num>
  <w:num w:numId="17">
    <w:abstractNumId w:val="23"/>
  </w:num>
  <w:num w:numId="18">
    <w:abstractNumId w:val="23"/>
  </w:num>
  <w:num w:numId="19">
    <w:abstractNumId w:val="9"/>
  </w:num>
  <w:num w:numId="20">
    <w:abstractNumId w:val="15"/>
  </w:num>
  <w:num w:numId="21">
    <w:abstractNumId w:val="8"/>
  </w:num>
  <w:num w:numId="22">
    <w:abstractNumId w:val="8"/>
  </w:num>
  <w:num w:numId="23">
    <w:abstractNumId w:val="8"/>
    <w:lvlOverride w:ilvl="0">
      <w:startOverride w:val="1"/>
    </w:lvlOverride>
    <w:lvlOverride w:ilvl="1">
      <w:startOverride w:val="2"/>
    </w:lvlOverride>
  </w:num>
  <w:num w:numId="24">
    <w:abstractNumId w:val="16"/>
  </w:num>
  <w:num w:numId="25">
    <w:abstractNumId w:val="14"/>
  </w:num>
  <w:num w:numId="26">
    <w:abstractNumId w:val="14"/>
    <w:lvlOverride w:ilvl="0">
      <w:startOverride w:val="1"/>
    </w:lvlOverride>
  </w:num>
  <w:num w:numId="27">
    <w:abstractNumId w:val="14"/>
    <w:lvlOverride w:ilvl="0">
      <w:startOverride w:val="1"/>
    </w:lvlOverride>
  </w:num>
  <w:num w:numId="28">
    <w:abstractNumId w:val="14"/>
  </w:num>
  <w:num w:numId="29">
    <w:abstractNumId w:val="14"/>
    <w:lvlOverride w:ilvl="0">
      <w:startOverride w:val="1"/>
    </w:lvlOverride>
  </w:num>
  <w:num w:numId="30">
    <w:abstractNumId w:val="14"/>
    <w:lvlOverride w:ilvl="0">
      <w:startOverride w:val="1"/>
    </w:lvlOverride>
  </w:num>
  <w:num w:numId="31">
    <w:abstractNumId w:val="14"/>
  </w:num>
  <w:num w:numId="32">
    <w:abstractNumId w:val="14"/>
  </w:num>
  <w:num w:numId="33">
    <w:abstractNumId w:val="14"/>
    <w:lvlOverride w:ilvl="0">
      <w:startOverride w:val="1"/>
    </w:lvlOverride>
  </w:num>
  <w:num w:numId="34">
    <w:abstractNumId w:val="2"/>
  </w:num>
  <w:num w:numId="35">
    <w:abstractNumId w:val="14"/>
  </w:num>
  <w:num w:numId="36">
    <w:abstractNumId w:val="5"/>
  </w:num>
  <w:num w:numId="37">
    <w:abstractNumId w:val="11"/>
  </w:num>
  <w:num w:numId="38">
    <w:abstractNumId w:val="11"/>
    <w:lvlOverride w:ilvl="0">
      <w:startOverride w:val="1"/>
    </w:lvlOverride>
  </w:num>
  <w:num w:numId="39">
    <w:abstractNumId w:val="11"/>
  </w:num>
  <w:num w:numId="40">
    <w:abstractNumId w:val="11"/>
  </w:num>
  <w:num w:numId="41">
    <w:abstractNumId w:val="11"/>
    <w:lvlOverride w:ilvl="0">
      <w:startOverride w:val="1"/>
    </w:lvlOverride>
  </w:num>
  <w:num w:numId="42">
    <w:abstractNumId w:val="7"/>
  </w:num>
  <w:num w:numId="43">
    <w:abstractNumId w:val="7"/>
  </w:num>
  <w:num w:numId="44">
    <w:abstractNumId w:val="7"/>
    <w:lvlOverride w:ilvl="0">
      <w:startOverride w:val="2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am Server TMs\Default"/>
    <w:docVar w:name="TextBaseURL" w:val="empty"/>
    <w:docVar w:name="UILng" w:val="en"/>
  </w:docVars>
  <w:rsids>
    <w:rsidRoot w:val="00667185"/>
    <w:rsid w:val="00034839"/>
    <w:rsid w:val="00043B50"/>
    <w:rsid w:val="00043CAA"/>
    <w:rsid w:val="00046EFB"/>
    <w:rsid w:val="00050EF0"/>
    <w:rsid w:val="00056D33"/>
    <w:rsid w:val="0006240D"/>
    <w:rsid w:val="00075432"/>
    <w:rsid w:val="000765C4"/>
    <w:rsid w:val="00077B49"/>
    <w:rsid w:val="00085E45"/>
    <w:rsid w:val="000968ED"/>
    <w:rsid w:val="00097C13"/>
    <w:rsid w:val="000A106F"/>
    <w:rsid w:val="000C117A"/>
    <w:rsid w:val="000C129A"/>
    <w:rsid w:val="000E4601"/>
    <w:rsid w:val="000F4A8B"/>
    <w:rsid w:val="000F5E56"/>
    <w:rsid w:val="0011227A"/>
    <w:rsid w:val="00115CCE"/>
    <w:rsid w:val="001163E5"/>
    <w:rsid w:val="00120D3A"/>
    <w:rsid w:val="00133DDB"/>
    <w:rsid w:val="001362EE"/>
    <w:rsid w:val="00140198"/>
    <w:rsid w:val="00156693"/>
    <w:rsid w:val="001647D5"/>
    <w:rsid w:val="00170B59"/>
    <w:rsid w:val="001776C3"/>
    <w:rsid w:val="001832A6"/>
    <w:rsid w:val="0018682B"/>
    <w:rsid w:val="00187AEF"/>
    <w:rsid w:val="001C1AEC"/>
    <w:rsid w:val="001C1F48"/>
    <w:rsid w:val="001D16C3"/>
    <w:rsid w:val="001D5C95"/>
    <w:rsid w:val="001E26EC"/>
    <w:rsid w:val="00207DB5"/>
    <w:rsid w:val="0021217E"/>
    <w:rsid w:val="00212E34"/>
    <w:rsid w:val="00230F7F"/>
    <w:rsid w:val="00235972"/>
    <w:rsid w:val="00243B12"/>
    <w:rsid w:val="002634C4"/>
    <w:rsid w:val="00263C54"/>
    <w:rsid w:val="00264B78"/>
    <w:rsid w:val="0027348B"/>
    <w:rsid w:val="002755C7"/>
    <w:rsid w:val="00277054"/>
    <w:rsid w:val="00281985"/>
    <w:rsid w:val="002928D3"/>
    <w:rsid w:val="002938BA"/>
    <w:rsid w:val="002A3B2D"/>
    <w:rsid w:val="002B613A"/>
    <w:rsid w:val="002D52C5"/>
    <w:rsid w:val="002E2229"/>
    <w:rsid w:val="002F1FE6"/>
    <w:rsid w:val="002F4E68"/>
    <w:rsid w:val="003014EA"/>
    <w:rsid w:val="0030201F"/>
    <w:rsid w:val="00312F7F"/>
    <w:rsid w:val="003151C8"/>
    <w:rsid w:val="0032676B"/>
    <w:rsid w:val="00350AE2"/>
    <w:rsid w:val="00355914"/>
    <w:rsid w:val="00356A91"/>
    <w:rsid w:val="00361450"/>
    <w:rsid w:val="003673CF"/>
    <w:rsid w:val="003845C1"/>
    <w:rsid w:val="003905D6"/>
    <w:rsid w:val="00390893"/>
    <w:rsid w:val="00392FBD"/>
    <w:rsid w:val="00394730"/>
    <w:rsid w:val="003A09F0"/>
    <w:rsid w:val="003A24E6"/>
    <w:rsid w:val="003A6F89"/>
    <w:rsid w:val="003A7DAF"/>
    <w:rsid w:val="003B38C1"/>
    <w:rsid w:val="003D57B0"/>
    <w:rsid w:val="003E05BA"/>
    <w:rsid w:val="00401FB8"/>
    <w:rsid w:val="00405D51"/>
    <w:rsid w:val="004162A0"/>
    <w:rsid w:val="00423008"/>
    <w:rsid w:val="00423C17"/>
    <w:rsid w:val="00423E3E"/>
    <w:rsid w:val="00427AF4"/>
    <w:rsid w:val="00433EBA"/>
    <w:rsid w:val="004543B0"/>
    <w:rsid w:val="004548F2"/>
    <w:rsid w:val="004647DA"/>
    <w:rsid w:val="0046722D"/>
    <w:rsid w:val="00474062"/>
    <w:rsid w:val="00477D6B"/>
    <w:rsid w:val="00483FA0"/>
    <w:rsid w:val="00485DED"/>
    <w:rsid w:val="00490791"/>
    <w:rsid w:val="004A2311"/>
    <w:rsid w:val="004B297D"/>
    <w:rsid w:val="004C0DE0"/>
    <w:rsid w:val="004C2277"/>
    <w:rsid w:val="004C718D"/>
    <w:rsid w:val="004D0223"/>
    <w:rsid w:val="004D6A80"/>
    <w:rsid w:val="004E3B4B"/>
    <w:rsid w:val="005019FF"/>
    <w:rsid w:val="00517BFE"/>
    <w:rsid w:val="005212E9"/>
    <w:rsid w:val="00522FCC"/>
    <w:rsid w:val="00524465"/>
    <w:rsid w:val="0053057A"/>
    <w:rsid w:val="00537802"/>
    <w:rsid w:val="00554351"/>
    <w:rsid w:val="00560A29"/>
    <w:rsid w:val="00566925"/>
    <w:rsid w:val="00570715"/>
    <w:rsid w:val="00583579"/>
    <w:rsid w:val="005A71D9"/>
    <w:rsid w:val="005A7B1D"/>
    <w:rsid w:val="005B5B05"/>
    <w:rsid w:val="005C015C"/>
    <w:rsid w:val="005C3088"/>
    <w:rsid w:val="005C6649"/>
    <w:rsid w:val="005D6741"/>
    <w:rsid w:val="00605827"/>
    <w:rsid w:val="0060587A"/>
    <w:rsid w:val="00605D04"/>
    <w:rsid w:val="006302BA"/>
    <w:rsid w:val="00631213"/>
    <w:rsid w:val="00640B9A"/>
    <w:rsid w:val="0064385B"/>
    <w:rsid w:val="00646050"/>
    <w:rsid w:val="00653668"/>
    <w:rsid w:val="0065589C"/>
    <w:rsid w:val="0066448B"/>
    <w:rsid w:val="00667185"/>
    <w:rsid w:val="006713CA"/>
    <w:rsid w:val="00676C5C"/>
    <w:rsid w:val="00690D13"/>
    <w:rsid w:val="0069153C"/>
    <w:rsid w:val="006D12BC"/>
    <w:rsid w:val="006E197D"/>
    <w:rsid w:val="006E4F5F"/>
    <w:rsid w:val="006F62BD"/>
    <w:rsid w:val="007028EA"/>
    <w:rsid w:val="007060CD"/>
    <w:rsid w:val="0072276A"/>
    <w:rsid w:val="00745DC1"/>
    <w:rsid w:val="007515ED"/>
    <w:rsid w:val="00762D85"/>
    <w:rsid w:val="00764B0F"/>
    <w:rsid w:val="00772316"/>
    <w:rsid w:val="00777A81"/>
    <w:rsid w:val="007A5C7B"/>
    <w:rsid w:val="007D0EB6"/>
    <w:rsid w:val="007D1613"/>
    <w:rsid w:val="007E4C0E"/>
    <w:rsid w:val="007F1FA1"/>
    <w:rsid w:val="007F3B7B"/>
    <w:rsid w:val="008019FD"/>
    <w:rsid w:val="008053DF"/>
    <w:rsid w:val="00821BBE"/>
    <w:rsid w:val="0082403B"/>
    <w:rsid w:val="00827322"/>
    <w:rsid w:val="00832EA9"/>
    <w:rsid w:val="0083743A"/>
    <w:rsid w:val="00840039"/>
    <w:rsid w:val="00857EB6"/>
    <w:rsid w:val="00860537"/>
    <w:rsid w:val="0086425D"/>
    <w:rsid w:val="008670FA"/>
    <w:rsid w:val="00877718"/>
    <w:rsid w:val="00882E58"/>
    <w:rsid w:val="008A134B"/>
    <w:rsid w:val="008A196F"/>
    <w:rsid w:val="008A5667"/>
    <w:rsid w:val="008B2CC1"/>
    <w:rsid w:val="008B60B2"/>
    <w:rsid w:val="008C6C43"/>
    <w:rsid w:val="008D7588"/>
    <w:rsid w:val="008E0A66"/>
    <w:rsid w:val="008F7F46"/>
    <w:rsid w:val="0090731E"/>
    <w:rsid w:val="0090772B"/>
    <w:rsid w:val="00916EE2"/>
    <w:rsid w:val="00941AE8"/>
    <w:rsid w:val="00942489"/>
    <w:rsid w:val="009451E5"/>
    <w:rsid w:val="00953DCA"/>
    <w:rsid w:val="00953EA2"/>
    <w:rsid w:val="00956593"/>
    <w:rsid w:val="00963623"/>
    <w:rsid w:val="00966A22"/>
    <w:rsid w:val="0096722F"/>
    <w:rsid w:val="00973BBB"/>
    <w:rsid w:val="00980843"/>
    <w:rsid w:val="009812BE"/>
    <w:rsid w:val="00982FB5"/>
    <w:rsid w:val="00994896"/>
    <w:rsid w:val="009B2316"/>
    <w:rsid w:val="009B258A"/>
    <w:rsid w:val="009B2AC1"/>
    <w:rsid w:val="009B59FD"/>
    <w:rsid w:val="009B6225"/>
    <w:rsid w:val="009C127D"/>
    <w:rsid w:val="009C5B66"/>
    <w:rsid w:val="009E2791"/>
    <w:rsid w:val="009E3F6F"/>
    <w:rsid w:val="009F499F"/>
    <w:rsid w:val="009F5614"/>
    <w:rsid w:val="00A273C8"/>
    <w:rsid w:val="00A3307C"/>
    <w:rsid w:val="00A37342"/>
    <w:rsid w:val="00A42DAF"/>
    <w:rsid w:val="00A45BD8"/>
    <w:rsid w:val="00A67E34"/>
    <w:rsid w:val="00A76CA2"/>
    <w:rsid w:val="00A83F86"/>
    <w:rsid w:val="00A84418"/>
    <w:rsid w:val="00A869B7"/>
    <w:rsid w:val="00A86DB6"/>
    <w:rsid w:val="00A96862"/>
    <w:rsid w:val="00AA1320"/>
    <w:rsid w:val="00AA2DD4"/>
    <w:rsid w:val="00AA35FD"/>
    <w:rsid w:val="00AC205C"/>
    <w:rsid w:val="00AE7761"/>
    <w:rsid w:val="00AF0A6B"/>
    <w:rsid w:val="00B0432D"/>
    <w:rsid w:val="00B05A69"/>
    <w:rsid w:val="00B07B13"/>
    <w:rsid w:val="00B10A95"/>
    <w:rsid w:val="00B1715A"/>
    <w:rsid w:val="00B339DE"/>
    <w:rsid w:val="00B3502D"/>
    <w:rsid w:val="00B422BF"/>
    <w:rsid w:val="00B44019"/>
    <w:rsid w:val="00B70382"/>
    <w:rsid w:val="00B717EC"/>
    <w:rsid w:val="00B8082E"/>
    <w:rsid w:val="00B91F11"/>
    <w:rsid w:val="00B9734B"/>
    <w:rsid w:val="00BA30E2"/>
    <w:rsid w:val="00BE1B45"/>
    <w:rsid w:val="00BF59A8"/>
    <w:rsid w:val="00C00DEA"/>
    <w:rsid w:val="00C11BFE"/>
    <w:rsid w:val="00C237FE"/>
    <w:rsid w:val="00C27F47"/>
    <w:rsid w:val="00C35127"/>
    <w:rsid w:val="00C46086"/>
    <w:rsid w:val="00C5068F"/>
    <w:rsid w:val="00C50BC4"/>
    <w:rsid w:val="00C66252"/>
    <w:rsid w:val="00C80E25"/>
    <w:rsid w:val="00C8290A"/>
    <w:rsid w:val="00C86D74"/>
    <w:rsid w:val="00CB2FFE"/>
    <w:rsid w:val="00CB3DB5"/>
    <w:rsid w:val="00CC10D5"/>
    <w:rsid w:val="00CD04F1"/>
    <w:rsid w:val="00CD1A1A"/>
    <w:rsid w:val="00CD7F59"/>
    <w:rsid w:val="00D07EB9"/>
    <w:rsid w:val="00D3013C"/>
    <w:rsid w:val="00D35124"/>
    <w:rsid w:val="00D44A0B"/>
    <w:rsid w:val="00D45252"/>
    <w:rsid w:val="00D61DBA"/>
    <w:rsid w:val="00D64168"/>
    <w:rsid w:val="00D66E37"/>
    <w:rsid w:val="00D66EE3"/>
    <w:rsid w:val="00D71B4D"/>
    <w:rsid w:val="00D72626"/>
    <w:rsid w:val="00D81EA0"/>
    <w:rsid w:val="00D91E89"/>
    <w:rsid w:val="00D91FBC"/>
    <w:rsid w:val="00D93D55"/>
    <w:rsid w:val="00DA120E"/>
    <w:rsid w:val="00DB2EDB"/>
    <w:rsid w:val="00DC159E"/>
    <w:rsid w:val="00DD6647"/>
    <w:rsid w:val="00DD7ED2"/>
    <w:rsid w:val="00DD7FF9"/>
    <w:rsid w:val="00DF023A"/>
    <w:rsid w:val="00DF116D"/>
    <w:rsid w:val="00DF383E"/>
    <w:rsid w:val="00DF5DF6"/>
    <w:rsid w:val="00E15015"/>
    <w:rsid w:val="00E22887"/>
    <w:rsid w:val="00E335FE"/>
    <w:rsid w:val="00E43AF5"/>
    <w:rsid w:val="00E45323"/>
    <w:rsid w:val="00E47505"/>
    <w:rsid w:val="00E51460"/>
    <w:rsid w:val="00E53A58"/>
    <w:rsid w:val="00E6003E"/>
    <w:rsid w:val="00E66040"/>
    <w:rsid w:val="00E760C0"/>
    <w:rsid w:val="00E8211E"/>
    <w:rsid w:val="00E85557"/>
    <w:rsid w:val="00E86964"/>
    <w:rsid w:val="00E91743"/>
    <w:rsid w:val="00E953C5"/>
    <w:rsid w:val="00EA7D6E"/>
    <w:rsid w:val="00EB2F06"/>
    <w:rsid w:val="00EC1EDF"/>
    <w:rsid w:val="00EC4E49"/>
    <w:rsid w:val="00ED098F"/>
    <w:rsid w:val="00ED6103"/>
    <w:rsid w:val="00ED77FB"/>
    <w:rsid w:val="00EE254D"/>
    <w:rsid w:val="00EE45FA"/>
    <w:rsid w:val="00EF02A8"/>
    <w:rsid w:val="00EF22DD"/>
    <w:rsid w:val="00F32C5D"/>
    <w:rsid w:val="00F42142"/>
    <w:rsid w:val="00F447B9"/>
    <w:rsid w:val="00F46324"/>
    <w:rsid w:val="00F47889"/>
    <w:rsid w:val="00F66152"/>
    <w:rsid w:val="00F76055"/>
    <w:rsid w:val="00F81468"/>
    <w:rsid w:val="00F83CEE"/>
    <w:rsid w:val="00F96D69"/>
    <w:rsid w:val="00FD07B1"/>
    <w:rsid w:val="00FD129C"/>
    <w:rsid w:val="00FD2401"/>
    <w:rsid w:val="00FE1AD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qFormat/>
    <w:rsid w:val="00034839"/>
    <w:pPr>
      <w:keepNext/>
      <w:keepLines/>
      <w:spacing w:after="600"/>
      <w:outlineLvl w:val="0"/>
    </w:pPr>
    <w:rPr>
      <w:b/>
      <w:bCs/>
      <w:kern w:val="32"/>
      <w:szCs w:val="22"/>
    </w:rPr>
  </w:style>
  <w:style w:type="paragraph" w:styleId="Heading2">
    <w:name w:val="heading 2"/>
    <w:basedOn w:val="Normal"/>
    <w:next w:val="Normal"/>
    <w:autoRedefine/>
    <w:qFormat/>
    <w:rsid w:val="00C50BC4"/>
    <w:pPr>
      <w:keepNext/>
      <w:spacing w:after="240"/>
      <w:ind w:left="1134" w:hanging="567"/>
      <w:outlineLvl w:val="1"/>
    </w:pPr>
    <w:rPr>
      <w:bCs/>
      <w:iCs/>
      <w:caps/>
      <w:szCs w:val="22"/>
    </w:rPr>
  </w:style>
  <w:style w:type="paragraph" w:styleId="Heading3">
    <w:name w:val="heading 3"/>
    <w:basedOn w:val="Normal"/>
    <w:next w:val="Normal"/>
    <w:link w:val="Heading3Char"/>
    <w:rsid w:val="00212E34"/>
    <w:pPr>
      <w:keepNext/>
      <w:keepLines/>
      <w:numPr>
        <w:numId w:val="37"/>
      </w:numPr>
      <w:spacing w:before="240" w:after="240"/>
      <w:outlineLvl w:val="2"/>
    </w:pPr>
    <w:rPr>
      <w:bCs/>
      <w:szCs w:val="26"/>
      <w:u w:val="single"/>
    </w:rPr>
  </w:style>
  <w:style w:type="paragraph" w:styleId="Heading4">
    <w:name w:val="heading 4"/>
    <w:basedOn w:val="Normal"/>
    <w:next w:val="Normal"/>
    <w:autoRedefine/>
    <w:qFormat/>
    <w:rsid w:val="00F81468"/>
    <w:pPr>
      <w:spacing w:before="240" w:after="220"/>
      <w:ind w:left="1134" w:firstLine="567"/>
      <w:outlineLvl w:val="3"/>
    </w:pPr>
    <w:rPr>
      <w:bCs/>
      <w:szCs w:val="28"/>
      <w:u w:val="single"/>
      <w:lang w:val="fr-FR"/>
    </w:rPr>
  </w:style>
  <w:style w:type="paragraph" w:styleId="Heading5">
    <w:name w:val="heading 5"/>
    <w:basedOn w:val="Normal"/>
    <w:next w:val="Normal"/>
    <w:link w:val="Heading5Char"/>
    <w:autoRedefine/>
    <w:qFormat/>
    <w:rsid w:val="00F32C5D"/>
    <w:pPr>
      <w:keepNext/>
      <w:keepLines/>
      <w:numPr>
        <w:numId w:val="17"/>
      </w:numPr>
      <w:spacing w:before="240" w:after="60"/>
      <w:ind w:left="1701" w:hanging="567"/>
      <w:outlineLvl w:val="4"/>
    </w:pPr>
    <w:rPr>
      <w:rFonts w:eastAsiaTheme="majorEastAsia" w:cstheme="majorBid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F32C5D"/>
    <w:rPr>
      <w:rFonts w:ascii="Arial" w:eastAsiaTheme="majorEastAsia" w:hAnsi="Arial" w:cstheme="majorBidi"/>
      <w:sz w:val="22"/>
      <w:u w:val="single"/>
      <w:lang w:val="en-US" w:eastAsia="zh-CN"/>
    </w:rPr>
  </w:style>
  <w:style w:type="character" w:customStyle="1" w:styleId="FootnoteTextChar">
    <w:name w:val="Footnote Text Char"/>
    <w:basedOn w:val="DefaultParagraphFont"/>
    <w:link w:val="FootnoteText"/>
    <w:uiPriority w:val="99"/>
    <w:rsid w:val="00BF59A8"/>
    <w:rPr>
      <w:rFonts w:ascii="Arial" w:eastAsia="SimSun" w:hAnsi="Arial" w:cs="Arial"/>
      <w:sz w:val="18"/>
      <w:lang w:val="en-US" w:eastAsia="zh-CN"/>
    </w:rPr>
  </w:style>
  <w:style w:type="paragraph" w:customStyle="1" w:styleId="DecisionInvitingPara">
    <w:name w:val="Decision Inviting Para."/>
    <w:basedOn w:val="Normal"/>
    <w:rsid w:val="00BF59A8"/>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BF59A8"/>
    <w:rPr>
      <w:vertAlign w:val="superscript"/>
    </w:rPr>
  </w:style>
  <w:style w:type="character" w:customStyle="1" w:styleId="ONUMEChar">
    <w:name w:val="ONUM E Char"/>
    <w:link w:val="ONUME"/>
    <w:rsid w:val="00BF59A8"/>
    <w:rPr>
      <w:rFonts w:ascii="Arial" w:eastAsia="SimSun" w:hAnsi="Arial" w:cs="Arial"/>
      <w:sz w:val="22"/>
      <w:lang w:val="en-US" w:eastAsia="zh-CN"/>
    </w:rPr>
  </w:style>
  <w:style w:type="paragraph" w:styleId="ListParagraph">
    <w:name w:val="List Paragraph"/>
    <w:basedOn w:val="Normal"/>
    <w:uiPriority w:val="34"/>
    <w:qFormat/>
    <w:rsid w:val="00BF59A8"/>
    <w:pPr>
      <w:ind w:left="720"/>
      <w:contextualSpacing/>
    </w:pPr>
    <w:rPr>
      <w:rFonts w:eastAsia="Times New Roman" w:cs="Times New Roman"/>
      <w:lang w:eastAsia="en-US"/>
    </w:rPr>
  </w:style>
  <w:style w:type="character" w:customStyle="1" w:styleId="Heading3Char">
    <w:name w:val="Heading 3 Char"/>
    <w:basedOn w:val="DefaultParagraphFont"/>
    <w:link w:val="Heading3"/>
    <w:rsid w:val="00212E34"/>
    <w:rPr>
      <w:rFonts w:ascii="Arial" w:eastAsia="SimSun" w:hAnsi="Arial" w:cs="Arial"/>
      <w:bCs/>
      <w:sz w:val="22"/>
      <w:szCs w:val="26"/>
      <w:u w:val="single"/>
      <w:lang w:val="en-US" w:eastAsia="zh-CN"/>
    </w:rPr>
  </w:style>
  <w:style w:type="character" w:styleId="Hyperlink">
    <w:name w:val="Hyperlink"/>
    <w:basedOn w:val="DefaultParagraphFont"/>
    <w:unhideWhenUsed/>
    <w:rsid w:val="00690D13"/>
    <w:rPr>
      <w:color w:val="0000FF" w:themeColor="hyperlink"/>
      <w:u w:val="single"/>
    </w:rPr>
  </w:style>
  <w:style w:type="paragraph" w:customStyle="1" w:styleId="ADRGuideital">
    <w:name w:val="ADR Guide ital"/>
    <w:basedOn w:val="Normal"/>
    <w:link w:val="ADRGuideitalChar"/>
    <w:qFormat/>
    <w:rsid w:val="00690D13"/>
    <w:pPr>
      <w:numPr>
        <w:numId w:val="16"/>
      </w:numPr>
      <w:tabs>
        <w:tab w:val="left" w:pos="567"/>
        <w:tab w:val="left" w:pos="709"/>
        <w:tab w:val="left" w:pos="1134"/>
        <w:tab w:val="left" w:pos="1560"/>
      </w:tabs>
      <w:spacing w:before="120" w:after="120" w:line="260" w:lineRule="atLeast"/>
      <w:jc w:val="both"/>
    </w:pPr>
    <w:rPr>
      <w:rFonts w:eastAsia="Times New Roman"/>
      <w:i/>
      <w:iCs/>
      <w:sz w:val="20"/>
      <w:lang w:val="en-GB" w:eastAsia="ja-JP"/>
    </w:rPr>
  </w:style>
  <w:style w:type="character" w:customStyle="1" w:styleId="ADRGuideitalChar">
    <w:name w:val="ADR Guide ital Char"/>
    <w:basedOn w:val="DefaultParagraphFont"/>
    <w:link w:val="ADRGuideital"/>
    <w:rsid w:val="00690D13"/>
    <w:rPr>
      <w:rFonts w:ascii="Arial" w:hAnsi="Arial" w:cs="Arial"/>
      <w:i/>
      <w:iCs/>
      <w:lang w:val="en-GB" w:eastAsia="ja-JP"/>
    </w:rPr>
  </w:style>
  <w:style w:type="paragraph" w:styleId="Revision">
    <w:name w:val="Revision"/>
    <w:hidden/>
    <w:uiPriority w:val="99"/>
    <w:semiHidden/>
    <w:rsid w:val="00115CCE"/>
    <w:rPr>
      <w:rFonts w:ascii="Arial" w:eastAsia="SimSun" w:hAnsi="Arial" w:cs="Arial"/>
      <w:sz w:val="22"/>
      <w:lang w:val="en-US" w:eastAsia="zh-CN"/>
    </w:rPr>
  </w:style>
  <w:style w:type="character" w:styleId="BookTitle">
    <w:name w:val="Book Title"/>
    <w:basedOn w:val="DefaultParagraphFont"/>
    <w:uiPriority w:val="33"/>
    <w:qFormat/>
    <w:rsid w:val="00243B12"/>
    <w:rPr>
      <w:rFonts w:ascii="Arial" w:hAnsi="Arial"/>
      <w:b/>
      <w:bCs/>
      <w:caps w:val="0"/>
      <w:smallCaps w:val="0"/>
      <w:color w:val="auto"/>
      <w:spacing w:val="5"/>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qFormat/>
    <w:rsid w:val="00034839"/>
    <w:pPr>
      <w:keepNext/>
      <w:keepLines/>
      <w:spacing w:after="600"/>
      <w:outlineLvl w:val="0"/>
    </w:pPr>
    <w:rPr>
      <w:b/>
      <w:bCs/>
      <w:kern w:val="32"/>
      <w:szCs w:val="22"/>
    </w:rPr>
  </w:style>
  <w:style w:type="paragraph" w:styleId="Heading2">
    <w:name w:val="heading 2"/>
    <w:basedOn w:val="Normal"/>
    <w:next w:val="Normal"/>
    <w:autoRedefine/>
    <w:qFormat/>
    <w:rsid w:val="00C50BC4"/>
    <w:pPr>
      <w:keepNext/>
      <w:spacing w:after="240"/>
      <w:ind w:left="1134" w:hanging="567"/>
      <w:outlineLvl w:val="1"/>
    </w:pPr>
    <w:rPr>
      <w:bCs/>
      <w:iCs/>
      <w:caps/>
      <w:szCs w:val="22"/>
    </w:rPr>
  </w:style>
  <w:style w:type="paragraph" w:styleId="Heading3">
    <w:name w:val="heading 3"/>
    <w:basedOn w:val="Normal"/>
    <w:next w:val="Normal"/>
    <w:link w:val="Heading3Char"/>
    <w:rsid w:val="00212E34"/>
    <w:pPr>
      <w:keepNext/>
      <w:keepLines/>
      <w:numPr>
        <w:numId w:val="37"/>
      </w:numPr>
      <w:spacing w:before="240" w:after="240"/>
      <w:outlineLvl w:val="2"/>
    </w:pPr>
    <w:rPr>
      <w:bCs/>
      <w:szCs w:val="26"/>
      <w:u w:val="single"/>
    </w:rPr>
  </w:style>
  <w:style w:type="paragraph" w:styleId="Heading4">
    <w:name w:val="heading 4"/>
    <w:basedOn w:val="Normal"/>
    <w:next w:val="Normal"/>
    <w:autoRedefine/>
    <w:qFormat/>
    <w:rsid w:val="00F81468"/>
    <w:pPr>
      <w:spacing w:before="240" w:after="220"/>
      <w:ind w:left="1134" w:firstLine="567"/>
      <w:outlineLvl w:val="3"/>
    </w:pPr>
    <w:rPr>
      <w:bCs/>
      <w:szCs w:val="28"/>
      <w:u w:val="single"/>
      <w:lang w:val="fr-FR"/>
    </w:rPr>
  </w:style>
  <w:style w:type="paragraph" w:styleId="Heading5">
    <w:name w:val="heading 5"/>
    <w:basedOn w:val="Normal"/>
    <w:next w:val="Normal"/>
    <w:link w:val="Heading5Char"/>
    <w:autoRedefine/>
    <w:qFormat/>
    <w:rsid w:val="00F32C5D"/>
    <w:pPr>
      <w:keepNext/>
      <w:keepLines/>
      <w:numPr>
        <w:numId w:val="17"/>
      </w:numPr>
      <w:spacing w:before="240" w:after="60"/>
      <w:ind w:left="1701" w:hanging="567"/>
      <w:outlineLvl w:val="4"/>
    </w:pPr>
    <w:rPr>
      <w:rFonts w:eastAsiaTheme="majorEastAsia" w:cstheme="majorBid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F32C5D"/>
    <w:rPr>
      <w:rFonts w:ascii="Arial" w:eastAsiaTheme="majorEastAsia" w:hAnsi="Arial" w:cstheme="majorBidi"/>
      <w:sz w:val="22"/>
      <w:u w:val="single"/>
      <w:lang w:val="en-US" w:eastAsia="zh-CN"/>
    </w:rPr>
  </w:style>
  <w:style w:type="character" w:customStyle="1" w:styleId="FootnoteTextChar">
    <w:name w:val="Footnote Text Char"/>
    <w:basedOn w:val="DefaultParagraphFont"/>
    <w:link w:val="FootnoteText"/>
    <w:uiPriority w:val="99"/>
    <w:rsid w:val="00BF59A8"/>
    <w:rPr>
      <w:rFonts w:ascii="Arial" w:eastAsia="SimSun" w:hAnsi="Arial" w:cs="Arial"/>
      <w:sz w:val="18"/>
      <w:lang w:val="en-US" w:eastAsia="zh-CN"/>
    </w:rPr>
  </w:style>
  <w:style w:type="paragraph" w:customStyle="1" w:styleId="DecisionInvitingPara">
    <w:name w:val="Decision Inviting Para."/>
    <w:basedOn w:val="Normal"/>
    <w:rsid w:val="00BF59A8"/>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BF59A8"/>
    <w:rPr>
      <w:vertAlign w:val="superscript"/>
    </w:rPr>
  </w:style>
  <w:style w:type="character" w:customStyle="1" w:styleId="ONUMEChar">
    <w:name w:val="ONUM E Char"/>
    <w:link w:val="ONUME"/>
    <w:rsid w:val="00BF59A8"/>
    <w:rPr>
      <w:rFonts w:ascii="Arial" w:eastAsia="SimSun" w:hAnsi="Arial" w:cs="Arial"/>
      <w:sz w:val="22"/>
      <w:lang w:val="en-US" w:eastAsia="zh-CN"/>
    </w:rPr>
  </w:style>
  <w:style w:type="paragraph" w:styleId="ListParagraph">
    <w:name w:val="List Paragraph"/>
    <w:basedOn w:val="Normal"/>
    <w:uiPriority w:val="34"/>
    <w:qFormat/>
    <w:rsid w:val="00BF59A8"/>
    <w:pPr>
      <w:ind w:left="720"/>
      <w:contextualSpacing/>
    </w:pPr>
    <w:rPr>
      <w:rFonts w:eastAsia="Times New Roman" w:cs="Times New Roman"/>
      <w:lang w:eastAsia="en-US"/>
    </w:rPr>
  </w:style>
  <w:style w:type="character" w:customStyle="1" w:styleId="Heading3Char">
    <w:name w:val="Heading 3 Char"/>
    <w:basedOn w:val="DefaultParagraphFont"/>
    <w:link w:val="Heading3"/>
    <w:rsid w:val="00212E34"/>
    <w:rPr>
      <w:rFonts w:ascii="Arial" w:eastAsia="SimSun" w:hAnsi="Arial" w:cs="Arial"/>
      <w:bCs/>
      <w:sz w:val="22"/>
      <w:szCs w:val="26"/>
      <w:u w:val="single"/>
      <w:lang w:val="en-US" w:eastAsia="zh-CN"/>
    </w:rPr>
  </w:style>
  <w:style w:type="character" w:styleId="Hyperlink">
    <w:name w:val="Hyperlink"/>
    <w:basedOn w:val="DefaultParagraphFont"/>
    <w:unhideWhenUsed/>
    <w:rsid w:val="00690D13"/>
    <w:rPr>
      <w:color w:val="0000FF" w:themeColor="hyperlink"/>
      <w:u w:val="single"/>
    </w:rPr>
  </w:style>
  <w:style w:type="paragraph" w:customStyle="1" w:styleId="ADRGuideital">
    <w:name w:val="ADR Guide ital"/>
    <w:basedOn w:val="Normal"/>
    <w:link w:val="ADRGuideitalChar"/>
    <w:qFormat/>
    <w:rsid w:val="00690D13"/>
    <w:pPr>
      <w:numPr>
        <w:numId w:val="16"/>
      </w:numPr>
      <w:tabs>
        <w:tab w:val="left" w:pos="567"/>
        <w:tab w:val="left" w:pos="709"/>
        <w:tab w:val="left" w:pos="1134"/>
        <w:tab w:val="left" w:pos="1560"/>
      </w:tabs>
      <w:spacing w:before="120" w:after="120" w:line="260" w:lineRule="atLeast"/>
      <w:jc w:val="both"/>
    </w:pPr>
    <w:rPr>
      <w:rFonts w:eastAsia="Times New Roman"/>
      <w:i/>
      <w:iCs/>
      <w:sz w:val="20"/>
      <w:lang w:val="en-GB" w:eastAsia="ja-JP"/>
    </w:rPr>
  </w:style>
  <w:style w:type="character" w:customStyle="1" w:styleId="ADRGuideitalChar">
    <w:name w:val="ADR Guide ital Char"/>
    <w:basedOn w:val="DefaultParagraphFont"/>
    <w:link w:val="ADRGuideital"/>
    <w:rsid w:val="00690D13"/>
    <w:rPr>
      <w:rFonts w:ascii="Arial" w:hAnsi="Arial" w:cs="Arial"/>
      <w:i/>
      <w:iCs/>
      <w:lang w:val="en-GB" w:eastAsia="ja-JP"/>
    </w:rPr>
  </w:style>
  <w:style w:type="paragraph" w:styleId="Revision">
    <w:name w:val="Revision"/>
    <w:hidden/>
    <w:uiPriority w:val="99"/>
    <w:semiHidden/>
    <w:rsid w:val="00115CCE"/>
    <w:rPr>
      <w:rFonts w:ascii="Arial" w:eastAsia="SimSun" w:hAnsi="Arial" w:cs="Arial"/>
      <w:sz w:val="22"/>
      <w:lang w:val="en-US" w:eastAsia="zh-CN"/>
    </w:rPr>
  </w:style>
  <w:style w:type="character" w:styleId="BookTitle">
    <w:name w:val="Book Title"/>
    <w:basedOn w:val="DefaultParagraphFont"/>
    <w:uiPriority w:val="33"/>
    <w:qFormat/>
    <w:rsid w:val="00243B12"/>
    <w:rPr>
      <w:rFonts w:ascii="Arial" w:hAnsi="Arial"/>
      <w:b/>
      <w:bCs/>
      <w:caps w:val="0"/>
      <w:smallCaps w:val="0"/>
      <w:color w:val="auto"/>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722975">
      <w:bodyDiv w:val="1"/>
      <w:marLeft w:val="0"/>
      <w:marRight w:val="0"/>
      <w:marTop w:val="0"/>
      <w:marBottom w:val="0"/>
      <w:divBdr>
        <w:top w:val="none" w:sz="0" w:space="0" w:color="auto"/>
        <w:left w:val="none" w:sz="0" w:space="0" w:color="auto"/>
        <w:bottom w:val="none" w:sz="0" w:space="0" w:color="auto"/>
        <w:right w:val="none" w:sz="0" w:space="0" w:color="auto"/>
      </w:divBdr>
    </w:div>
    <w:div w:id="186956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32D13-9665-4F9E-972C-FF89DFA69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50 (E)</Template>
  <TotalTime>5</TotalTime>
  <Pages>15</Pages>
  <Words>5345</Words>
  <Characters>32982</Characters>
  <Application>Microsoft Office Word</Application>
  <DocSecurity>0</DocSecurity>
  <Lines>2355</Lines>
  <Paragraphs>1474</Paragraphs>
  <ScaleCrop>false</ScaleCrop>
  <HeadingPairs>
    <vt:vector size="2" baseType="variant">
      <vt:variant>
        <vt:lpstr>Title</vt:lpstr>
      </vt:variant>
      <vt:variant>
        <vt:i4>1</vt:i4>
      </vt:variant>
    </vt:vector>
  </HeadingPairs>
  <TitlesOfParts>
    <vt:vector size="1" baseType="lpstr">
      <vt:lpstr>WO/GA/50</vt:lpstr>
    </vt:vector>
  </TitlesOfParts>
  <Company>WIPO</Company>
  <LinksUpToDate>false</LinksUpToDate>
  <CharactersWithSpaces>36853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dc:title>
  <dc:subject>Fifty-Eighth Series of Meetings</dc:subject>
  <dc:creator>RATTRAY Adam</dc:creator>
  <cp:lastModifiedBy>HÄFLIGER Patience</cp:lastModifiedBy>
  <cp:revision>5</cp:revision>
  <cp:lastPrinted>2018-07-24T15:41:00Z</cp:lastPrinted>
  <dcterms:created xsi:type="dcterms:W3CDTF">2018-07-24T15:35:00Z</dcterms:created>
  <dcterms:modified xsi:type="dcterms:W3CDTF">2018-07-24T15:42:00Z</dcterms:modified>
  <cp:category>Assemblies of the Member States of WIPO</cp:category>
</cp:coreProperties>
</file>