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D4CCC" w:rsidRPr="007D4CCC" w:rsidTr="007D4CCC">
        <w:tc>
          <w:tcPr>
            <w:tcW w:w="4513" w:type="dxa"/>
            <w:tcBorders>
              <w:bottom w:val="single" w:sz="4" w:space="0" w:color="auto"/>
            </w:tcBorders>
            <w:tcMar>
              <w:bottom w:w="170" w:type="dxa"/>
            </w:tcMar>
          </w:tcPr>
          <w:p w:rsidR="00F765FD" w:rsidRPr="007D4CCC" w:rsidRDefault="00F765FD" w:rsidP="003B5D17">
            <w:bookmarkStart w:id="0" w:name="TitleOfDoc"/>
            <w:bookmarkEnd w:id="0"/>
          </w:p>
        </w:tc>
        <w:tc>
          <w:tcPr>
            <w:tcW w:w="4337" w:type="dxa"/>
            <w:tcBorders>
              <w:bottom w:val="single" w:sz="4" w:space="0" w:color="auto"/>
            </w:tcBorders>
            <w:tcMar>
              <w:left w:w="0" w:type="dxa"/>
              <w:right w:w="0" w:type="dxa"/>
            </w:tcMar>
          </w:tcPr>
          <w:p w:rsidR="00F765FD" w:rsidRPr="007D4CCC" w:rsidRDefault="00F765FD" w:rsidP="003B5D17">
            <w:r w:rsidRPr="007D4CCC">
              <w:rPr>
                <w:noProof/>
                <w:lang w:val="fr-FR" w:eastAsia="fr-FR"/>
              </w:rPr>
              <w:drawing>
                <wp:inline distT="0" distB="0" distL="0" distR="0" wp14:anchorId="40D403E4" wp14:editId="20A6063D">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765FD" w:rsidRPr="007D4CCC" w:rsidRDefault="00F765FD" w:rsidP="003B5D17">
            <w:pPr>
              <w:jc w:val="right"/>
            </w:pPr>
            <w:r w:rsidRPr="007D4CCC">
              <w:rPr>
                <w:b/>
                <w:sz w:val="40"/>
                <w:szCs w:val="40"/>
              </w:rPr>
              <w:t>F</w:t>
            </w:r>
          </w:p>
        </w:tc>
      </w:tr>
      <w:tr w:rsidR="007D4CCC" w:rsidRPr="007D4CCC" w:rsidTr="007D4CCC">
        <w:trPr>
          <w:trHeight w:hRule="exact" w:val="357"/>
        </w:trPr>
        <w:tc>
          <w:tcPr>
            <w:tcW w:w="9356" w:type="dxa"/>
            <w:gridSpan w:val="3"/>
            <w:tcBorders>
              <w:top w:val="single" w:sz="4" w:space="0" w:color="auto"/>
            </w:tcBorders>
            <w:tcMar>
              <w:top w:w="170" w:type="dxa"/>
              <w:left w:w="0" w:type="dxa"/>
              <w:right w:w="0" w:type="dxa"/>
            </w:tcMar>
            <w:vAlign w:val="bottom"/>
          </w:tcPr>
          <w:p w:rsidR="00F765FD" w:rsidRPr="007D4CCC" w:rsidRDefault="00F765FD" w:rsidP="003B5D17">
            <w:pPr>
              <w:jc w:val="right"/>
              <w:rPr>
                <w:rFonts w:ascii="Arial Black" w:hAnsi="Arial Black"/>
                <w:caps/>
                <w:sz w:val="15"/>
              </w:rPr>
            </w:pPr>
            <w:proofErr w:type="spellStart"/>
            <w:r w:rsidRPr="007D4CCC">
              <w:rPr>
                <w:rFonts w:ascii="Arial Black" w:hAnsi="Arial Black"/>
                <w:caps/>
                <w:sz w:val="15"/>
              </w:rPr>
              <w:t>WO</w:t>
            </w:r>
            <w:proofErr w:type="spellEnd"/>
            <w:r w:rsidRPr="007D4CCC">
              <w:rPr>
                <w:rFonts w:ascii="Arial Black" w:hAnsi="Arial Black"/>
                <w:caps/>
                <w:sz w:val="15"/>
              </w:rPr>
              <w:t>/GA/49/</w:t>
            </w:r>
            <w:bookmarkStart w:id="1" w:name="Code"/>
            <w:bookmarkEnd w:id="1"/>
            <w:r w:rsidRPr="007D4CCC">
              <w:rPr>
                <w:rFonts w:ascii="Arial Black" w:hAnsi="Arial Black"/>
                <w:caps/>
                <w:sz w:val="15"/>
              </w:rPr>
              <w:t>3</w:t>
            </w:r>
          </w:p>
        </w:tc>
      </w:tr>
      <w:tr w:rsidR="007D4CCC" w:rsidRPr="007D4CCC" w:rsidTr="007D4CCC">
        <w:trPr>
          <w:trHeight w:hRule="exact" w:val="170"/>
        </w:trPr>
        <w:tc>
          <w:tcPr>
            <w:tcW w:w="9356" w:type="dxa"/>
            <w:gridSpan w:val="3"/>
            <w:noWrap/>
            <w:tcMar>
              <w:left w:w="0" w:type="dxa"/>
              <w:right w:w="0" w:type="dxa"/>
            </w:tcMar>
            <w:vAlign w:val="bottom"/>
          </w:tcPr>
          <w:p w:rsidR="00F765FD" w:rsidRPr="007D4CCC" w:rsidRDefault="00F765FD" w:rsidP="003B5D17">
            <w:pPr>
              <w:jc w:val="right"/>
              <w:rPr>
                <w:rFonts w:ascii="Arial Black" w:hAnsi="Arial Black"/>
                <w:caps/>
                <w:sz w:val="15"/>
              </w:rPr>
            </w:pPr>
            <w:r w:rsidRPr="007D4CCC">
              <w:rPr>
                <w:rFonts w:ascii="Arial Black" w:hAnsi="Arial Black"/>
                <w:caps/>
                <w:sz w:val="15"/>
              </w:rPr>
              <w:t>ORIGINAL</w:t>
            </w:r>
            <w:r w:rsidR="00A25F29">
              <w:rPr>
                <w:rFonts w:ascii="Arial Black" w:hAnsi="Arial Black"/>
                <w:caps/>
                <w:sz w:val="15"/>
              </w:rPr>
              <w:t> </w:t>
            </w:r>
            <w:proofErr w:type="gramStart"/>
            <w:r w:rsidR="00A25F29">
              <w:rPr>
                <w:rFonts w:ascii="Arial Black" w:hAnsi="Arial Black"/>
                <w:caps/>
                <w:sz w:val="15"/>
              </w:rPr>
              <w:t>:</w:t>
            </w:r>
            <w:r w:rsidRPr="007D4CCC">
              <w:rPr>
                <w:rFonts w:ascii="Arial Black" w:hAnsi="Arial Black"/>
                <w:caps/>
                <w:sz w:val="15"/>
              </w:rPr>
              <w:t xml:space="preserve"> </w:t>
            </w:r>
            <w:bookmarkStart w:id="2" w:name="Original"/>
            <w:bookmarkEnd w:id="2"/>
            <w:r w:rsidRPr="007D4CCC">
              <w:rPr>
                <w:rFonts w:ascii="Arial Black" w:hAnsi="Arial Black"/>
                <w:caps/>
                <w:sz w:val="15"/>
              </w:rPr>
              <w:t>ANGLAIS</w:t>
            </w:r>
            <w:proofErr w:type="gramEnd"/>
            <w:r w:rsidRPr="007D4CCC">
              <w:rPr>
                <w:rFonts w:ascii="Arial Black" w:hAnsi="Arial Black"/>
                <w:caps/>
                <w:sz w:val="15"/>
              </w:rPr>
              <w:t xml:space="preserve"> </w:t>
            </w:r>
          </w:p>
        </w:tc>
      </w:tr>
      <w:tr w:rsidR="00F765FD" w:rsidRPr="007D4CCC" w:rsidTr="007D4CCC">
        <w:trPr>
          <w:trHeight w:hRule="exact" w:val="198"/>
        </w:trPr>
        <w:tc>
          <w:tcPr>
            <w:tcW w:w="9356" w:type="dxa"/>
            <w:gridSpan w:val="3"/>
            <w:tcMar>
              <w:left w:w="0" w:type="dxa"/>
              <w:right w:w="0" w:type="dxa"/>
            </w:tcMar>
            <w:vAlign w:val="bottom"/>
          </w:tcPr>
          <w:p w:rsidR="00F765FD" w:rsidRPr="007D4CCC" w:rsidRDefault="00F765FD" w:rsidP="003B5D17">
            <w:pPr>
              <w:jc w:val="right"/>
              <w:rPr>
                <w:rFonts w:ascii="Arial Black" w:hAnsi="Arial Black"/>
                <w:caps/>
                <w:sz w:val="15"/>
              </w:rPr>
            </w:pPr>
            <w:r w:rsidRPr="007D4CCC">
              <w:rPr>
                <w:rFonts w:ascii="Arial Black" w:hAnsi="Arial Black"/>
                <w:caps/>
                <w:sz w:val="15"/>
              </w:rPr>
              <w:t>DATE</w:t>
            </w:r>
            <w:r w:rsidR="00A25F29">
              <w:rPr>
                <w:rFonts w:ascii="Arial Black" w:hAnsi="Arial Black"/>
                <w:caps/>
                <w:sz w:val="15"/>
              </w:rPr>
              <w:t> </w:t>
            </w:r>
            <w:proofErr w:type="gramStart"/>
            <w:r w:rsidR="00A25F29">
              <w:rPr>
                <w:rFonts w:ascii="Arial Black" w:hAnsi="Arial Black"/>
                <w:caps/>
                <w:sz w:val="15"/>
              </w:rPr>
              <w:t>:</w:t>
            </w:r>
            <w:r w:rsidRPr="007D4CCC">
              <w:rPr>
                <w:rFonts w:ascii="Arial Black" w:hAnsi="Arial Black"/>
                <w:caps/>
                <w:sz w:val="15"/>
              </w:rPr>
              <w:t xml:space="preserve"> </w:t>
            </w:r>
            <w:bookmarkStart w:id="3" w:name="Date"/>
            <w:bookmarkEnd w:id="3"/>
            <w:r w:rsidRPr="007D4CCC">
              <w:rPr>
                <w:rFonts w:ascii="Arial Black" w:hAnsi="Arial Black"/>
                <w:caps/>
                <w:sz w:val="15"/>
              </w:rPr>
              <w:t>2</w:t>
            </w:r>
            <w:proofErr w:type="gramEnd"/>
            <w:r w:rsidRPr="007D4CCC">
              <w:rPr>
                <w:rFonts w:ascii="Arial Black" w:hAnsi="Arial Black"/>
                <w:caps/>
                <w:sz w:val="15"/>
              </w:rPr>
              <w:t> ao</w:t>
            </w:r>
            <w:r w:rsidR="00B65F3C" w:rsidRPr="007D4CCC">
              <w:rPr>
                <w:rFonts w:ascii="Arial Black" w:hAnsi="Arial Black"/>
                <w:caps/>
                <w:sz w:val="15"/>
              </w:rPr>
              <w:t>Û</w:t>
            </w:r>
            <w:r w:rsidRPr="007D4CCC">
              <w:rPr>
                <w:rFonts w:ascii="Arial Black" w:hAnsi="Arial Black"/>
                <w:caps/>
                <w:sz w:val="15"/>
              </w:rPr>
              <w:t xml:space="preserve">t 2017 </w:t>
            </w:r>
          </w:p>
        </w:tc>
      </w:tr>
    </w:tbl>
    <w:p w:rsidR="00F765FD" w:rsidRPr="007D4CCC" w:rsidRDefault="00F765FD" w:rsidP="003B5D17"/>
    <w:p w:rsidR="00F765FD" w:rsidRPr="007D4CCC" w:rsidRDefault="00F765FD" w:rsidP="003B5D17"/>
    <w:p w:rsidR="00F765FD" w:rsidRPr="007D4CCC" w:rsidRDefault="00F765FD" w:rsidP="003B5D17"/>
    <w:p w:rsidR="00F765FD" w:rsidRPr="007D4CCC" w:rsidRDefault="00F765FD" w:rsidP="003B5D17"/>
    <w:p w:rsidR="00F765FD" w:rsidRPr="007D4CCC" w:rsidRDefault="00F765FD" w:rsidP="003B5D17"/>
    <w:p w:rsidR="00F765FD" w:rsidRPr="007D4CCC" w:rsidRDefault="00F765FD" w:rsidP="003B5D17">
      <w:pPr>
        <w:rPr>
          <w:b/>
          <w:sz w:val="28"/>
          <w:szCs w:val="28"/>
        </w:rPr>
      </w:pPr>
      <w:r w:rsidRPr="007D4CCC">
        <w:rPr>
          <w:b/>
          <w:sz w:val="28"/>
          <w:szCs w:val="28"/>
          <w:lang w:val="fr-FR"/>
        </w:rPr>
        <w:t>Assemblée générale de l</w:t>
      </w:r>
      <w:r w:rsidR="00A25F29">
        <w:rPr>
          <w:b/>
          <w:sz w:val="28"/>
          <w:szCs w:val="28"/>
          <w:lang w:val="fr-FR"/>
        </w:rPr>
        <w:t>’</w:t>
      </w:r>
      <w:r w:rsidRPr="007D4CCC">
        <w:rPr>
          <w:b/>
          <w:sz w:val="28"/>
          <w:szCs w:val="28"/>
          <w:lang w:val="fr-FR"/>
        </w:rPr>
        <w:t>OMPI</w:t>
      </w:r>
    </w:p>
    <w:p w:rsidR="00F765FD" w:rsidRPr="007D4CCC" w:rsidRDefault="00F765FD" w:rsidP="003B5D17"/>
    <w:p w:rsidR="00F765FD" w:rsidRPr="007D4CCC" w:rsidRDefault="00F765FD" w:rsidP="003B5D17"/>
    <w:p w:rsidR="00F765FD" w:rsidRPr="007D4CCC" w:rsidRDefault="00F765FD" w:rsidP="003B5D17">
      <w:pPr>
        <w:rPr>
          <w:b/>
          <w:sz w:val="24"/>
          <w:szCs w:val="24"/>
          <w:lang w:val="fr-FR"/>
        </w:rPr>
      </w:pPr>
      <w:r w:rsidRPr="007D4CCC">
        <w:rPr>
          <w:b/>
          <w:sz w:val="24"/>
          <w:szCs w:val="24"/>
          <w:lang w:val="fr-FR"/>
        </w:rPr>
        <w:t>Quarante</w:t>
      </w:r>
      <w:r w:rsidR="00F77457">
        <w:rPr>
          <w:b/>
          <w:sz w:val="24"/>
          <w:szCs w:val="24"/>
          <w:lang w:val="fr-FR"/>
        </w:rPr>
        <w:noBreakHyphen/>
      </w:r>
      <w:r w:rsidRPr="007D4CCC">
        <w:rPr>
          <w:b/>
          <w:sz w:val="24"/>
          <w:szCs w:val="24"/>
          <w:lang w:val="fr-FR"/>
        </w:rPr>
        <w:t>neuv</w:t>
      </w:r>
      <w:r w:rsidR="00A25F29">
        <w:rPr>
          <w:b/>
          <w:sz w:val="24"/>
          <w:szCs w:val="24"/>
          <w:lang w:val="fr-FR"/>
        </w:rPr>
        <w:t>ième session</w:t>
      </w:r>
      <w:r w:rsidRPr="007D4CCC">
        <w:rPr>
          <w:b/>
          <w:sz w:val="24"/>
          <w:szCs w:val="24"/>
          <w:lang w:val="fr-FR"/>
        </w:rPr>
        <w:t xml:space="preserve"> (</w:t>
      </w:r>
      <w:proofErr w:type="spellStart"/>
      <w:r w:rsidRPr="007D4CCC">
        <w:rPr>
          <w:b/>
          <w:sz w:val="24"/>
          <w:szCs w:val="24"/>
          <w:lang w:val="fr-FR"/>
        </w:rPr>
        <w:t>23</w:t>
      </w:r>
      <w:r w:rsidRPr="007D4CCC">
        <w:rPr>
          <w:b/>
          <w:sz w:val="24"/>
          <w:szCs w:val="24"/>
          <w:vertAlign w:val="superscript"/>
          <w:lang w:val="fr-FR"/>
        </w:rPr>
        <w:t>e</w:t>
      </w:r>
      <w:proofErr w:type="spellEnd"/>
      <w:r w:rsidR="00B65F3C" w:rsidRPr="007D4CCC">
        <w:rPr>
          <w:b/>
          <w:sz w:val="24"/>
          <w:szCs w:val="24"/>
          <w:lang w:val="fr-FR"/>
        </w:rPr>
        <w:t> </w:t>
      </w:r>
      <w:r w:rsidRPr="007D4CCC">
        <w:rPr>
          <w:b/>
          <w:sz w:val="24"/>
          <w:szCs w:val="24"/>
          <w:lang w:val="fr-FR"/>
        </w:rPr>
        <w:t>session ordinaire)</w:t>
      </w:r>
    </w:p>
    <w:p w:rsidR="00F765FD" w:rsidRPr="007D4CCC" w:rsidRDefault="00F765FD" w:rsidP="003B5D17">
      <w:pPr>
        <w:rPr>
          <w:b/>
          <w:sz w:val="24"/>
          <w:szCs w:val="24"/>
        </w:rPr>
      </w:pPr>
      <w:r w:rsidRPr="007D4CCC">
        <w:rPr>
          <w:b/>
          <w:sz w:val="24"/>
          <w:szCs w:val="24"/>
          <w:lang w:val="fr-FR"/>
        </w:rPr>
        <w:t>Genève, 2 – 1</w:t>
      </w:r>
      <w:r w:rsidR="00B84CCD" w:rsidRPr="007D4CCC">
        <w:rPr>
          <w:b/>
          <w:sz w:val="24"/>
          <w:szCs w:val="24"/>
          <w:lang w:val="fr-FR"/>
        </w:rPr>
        <w:t>1 octobre 20</w:t>
      </w:r>
      <w:r w:rsidRPr="007D4CCC">
        <w:rPr>
          <w:b/>
          <w:sz w:val="24"/>
          <w:szCs w:val="24"/>
          <w:lang w:val="fr-FR"/>
        </w:rPr>
        <w:t>17</w:t>
      </w:r>
    </w:p>
    <w:p w:rsidR="00F765FD" w:rsidRPr="007D4CCC" w:rsidRDefault="00F765FD" w:rsidP="003B5D17"/>
    <w:p w:rsidR="00F765FD" w:rsidRPr="007D4CCC" w:rsidRDefault="00F765FD" w:rsidP="003B5D17"/>
    <w:p w:rsidR="00F765FD" w:rsidRPr="007D4CCC" w:rsidRDefault="00F765FD" w:rsidP="003B5D17"/>
    <w:p w:rsidR="00C55FF8" w:rsidRPr="007D4CCC" w:rsidRDefault="00126719" w:rsidP="003B5D17">
      <w:pPr>
        <w:rPr>
          <w:caps/>
          <w:sz w:val="24"/>
          <w:lang w:val="fr-FR"/>
        </w:rPr>
      </w:pPr>
      <w:r w:rsidRPr="007D4CCC">
        <w:rPr>
          <w:caps/>
          <w:sz w:val="24"/>
          <w:lang w:val="fr-FR"/>
        </w:rPr>
        <w:t>Rapport annuel du directeur de la Division de la supervision interne (</w:t>
      </w:r>
      <w:proofErr w:type="spellStart"/>
      <w:r w:rsidRPr="007D4CCC">
        <w:rPr>
          <w:caps/>
          <w:sz w:val="24"/>
          <w:lang w:val="fr-FR"/>
        </w:rPr>
        <w:t>DSI</w:t>
      </w:r>
      <w:proofErr w:type="spellEnd"/>
      <w:r w:rsidRPr="007D4CCC">
        <w:rPr>
          <w:caps/>
          <w:sz w:val="24"/>
          <w:lang w:val="fr-FR"/>
        </w:rPr>
        <w:t>)</w:t>
      </w:r>
    </w:p>
    <w:p w:rsidR="00C55FF8" w:rsidRPr="007D4CCC" w:rsidRDefault="00C55FF8" w:rsidP="003B5D17">
      <w:pPr>
        <w:rPr>
          <w:lang w:val="fr-FR"/>
        </w:rPr>
      </w:pPr>
    </w:p>
    <w:p w:rsidR="00C55FF8" w:rsidRPr="007D4CCC" w:rsidRDefault="00126719" w:rsidP="003B5D17">
      <w:pPr>
        <w:rPr>
          <w:i/>
          <w:lang w:val="fr-FR"/>
        </w:rPr>
      </w:pPr>
      <w:bookmarkStart w:id="4" w:name="Prepared"/>
      <w:bookmarkEnd w:id="4"/>
      <w:proofErr w:type="gramStart"/>
      <w:r w:rsidRPr="007D4CCC">
        <w:rPr>
          <w:i/>
          <w:lang w:val="fr-FR"/>
        </w:rPr>
        <w:t>établi</w:t>
      </w:r>
      <w:proofErr w:type="gramEnd"/>
      <w:r w:rsidRPr="007D4CCC">
        <w:rPr>
          <w:i/>
          <w:lang w:val="fr-FR"/>
        </w:rPr>
        <w:t xml:space="preserve"> par le Secrétariat</w:t>
      </w:r>
    </w:p>
    <w:p w:rsidR="00C55FF8" w:rsidRPr="007D4CCC" w:rsidRDefault="00C55FF8" w:rsidP="003B5D17">
      <w:pPr>
        <w:rPr>
          <w:lang w:val="fr-FR"/>
        </w:rPr>
      </w:pPr>
    </w:p>
    <w:p w:rsidR="00C55FF8" w:rsidRPr="007D4CCC" w:rsidRDefault="00C55FF8" w:rsidP="003B5D17">
      <w:pPr>
        <w:rPr>
          <w:lang w:val="fr-FR"/>
        </w:rPr>
      </w:pPr>
    </w:p>
    <w:p w:rsidR="00C55FF8" w:rsidRPr="007D4CCC" w:rsidRDefault="00C55FF8" w:rsidP="003B5D17">
      <w:pPr>
        <w:rPr>
          <w:lang w:val="fr-FR"/>
        </w:rPr>
      </w:pPr>
    </w:p>
    <w:p w:rsidR="00C55FF8" w:rsidRPr="007D4CCC" w:rsidRDefault="00C55FF8" w:rsidP="003B5D17">
      <w:pPr>
        <w:rPr>
          <w:lang w:val="fr-FR"/>
        </w:rPr>
      </w:pPr>
    </w:p>
    <w:p w:rsidR="00C55FF8" w:rsidRPr="007D4CCC" w:rsidRDefault="00273C2A" w:rsidP="003B5D17">
      <w:pPr>
        <w:pStyle w:val="ONUMFS"/>
        <w:rPr>
          <w:lang w:val="fr-FR"/>
        </w:rPr>
      </w:pPr>
      <w:r w:rsidRPr="007D4CCC">
        <w:rPr>
          <w:lang w:val="fr-FR"/>
        </w:rPr>
        <w:t xml:space="preserve">Le présent document contient le </w:t>
      </w:r>
      <w:r w:rsidR="005165AE" w:rsidRPr="007D4CCC">
        <w:rPr>
          <w:lang w:val="fr-FR"/>
        </w:rPr>
        <w:t>“</w:t>
      </w:r>
      <w:r w:rsidRPr="007D4CCC">
        <w:rPr>
          <w:lang w:val="fr-FR"/>
        </w:rPr>
        <w:t>rapport annuel du directeur de la Division de la supervision interne (</w:t>
      </w:r>
      <w:proofErr w:type="spellStart"/>
      <w:r w:rsidRPr="007D4CCC">
        <w:rPr>
          <w:lang w:val="fr-FR"/>
        </w:rPr>
        <w:t>DSI</w:t>
      </w:r>
      <w:proofErr w:type="spellEnd"/>
      <w:r w:rsidRPr="007D4CCC">
        <w:rPr>
          <w:lang w:val="fr-FR"/>
        </w:rPr>
        <w:t>)</w:t>
      </w:r>
      <w:r w:rsidR="005165AE" w:rsidRPr="007D4CCC">
        <w:rPr>
          <w:lang w:val="fr-FR"/>
        </w:rPr>
        <w:t>”</w:t>
      </w:r>
      <w:r w:rsidRPr="007D4CCC">
        <w:rPr>
          <w:lang w:val="fr-FR"/>
        </w:rPr>
        <w:t xml:space="preserve"> (document </w:t>
      </w:r>
      <w:proofErr w:type="spellStart"/>
      <w:r w:rsidRPr="007D4CCC">
        <w:rPr>
          <w:lang w:val="fr-FR"/>
        </w:rPr>
        <w:t>WO</w:t>
      </w:r>
      <w:proofErr w:type="spellEnd"/>
      <w:r w:rsidRPr="007D4CCC">
        <w:rPr>
          <w:lang w:val="fr-FR"/>
        </w:rPr>
        <w:t>/</w:t>
      </w:r>
      <w:proofErr w:type="spellStart"/>
      <w:r w:rsidRPr="007D4CCC">
        <w:rPr>
          <w:lang w:val="fr-FR"/>
        </w:rPr>
        <w:t>PBC</w:t>
      </w:r>
      <w:proofErr w:type="spellEnd"/>
      <w:r w:rsidRPr="007D4CCC">
        <w:rPr>
          <w:lang w:val="fr-FR"/>
        </w:rPr>
        <w:t>/27/4), qui sera examiné par le Comité du programme et budget de l</w:t>
      </w:r>
      <w:r w:rsidR="00A25F29">
        <w:rPr>
          <w:lang w:val="fr-FR"/>
        </w:rPr>
        <w:t>’</w:t>
      </w:r>
      <w:r w:rsidRPr="007D4CCC">
        <w:rPr>
          <w:lang w:val="fr-FR"/>
        </w:rPr>
        <w:t>OMPI (</w:t>
      </w:r>
      <w:proofErr w:type="spellStart"/>
      <w:r w:rsidRPr="007D4CCC">
        <w:rPr>
          <w:lang w:val="fr-FR"/>
        </w:rPr>
        <w:t>PBC</w:t>
      </w:r>
      <w:proofErr w:type="spellEnd"/>
      <w:r w:rsidRPr="007D4CCC">
        <w:rPr>
          <w:lang w:val="fr-FR"/>
        </w:rPr>
        <w:t>) à sa vingt</w:t>
      </w:r>
      <w:r w:rsidR="00F77457">
        <w:rPr>
          <w:lang w:val="fr-FR"/>
        </w:rPr>
        <w:noBreakHyphen/>
      </w:r>
      <w:r w:rsidRPr="007D4CCC">
        <w:rPr>
          <w:lang w:val="fr-FR"/>
        </w:rPr>
        <w:t>sept</w:t>
      </w:r>
      <w:r w:rsidR="00A25F29">
        <w:rPr>
          <w:lang w:val="fr-FR"/>
        </w:rPr>
        <w:t>ième session</w:t>
      </w:r>
      <w:r w:rsidRPr="007D4CCC">
        <w:rPr>
          <w:lang w:val="fr-FR"/>
        </w:rPr>
        <w:t xml:space="preserve"> (11 – 1</w:t>
      </w:r>
      <w:r w:rsidR="00B84CCD" w:rsidRPr="007D4CCC">
        <w:rPr>
          <w:lang w:val="fr-FR"/>
        </w:rPr>
        <w:t>5 septembre 20</w:t>
      </w:r>
      <w:r w:rsidRPr="007D4CCC">
        <w:rPr>
          <w:lang w:val="fr-FR"/>
        </w:rPr>
        <w:t>17).</w:t>
      </w:r>
    </w:p>
    <w:p w:rsidR="00B84CCD" w:rsidRPr="007D4CCC" w:rsidRDefault="00273C2A" w:rsidP="003B5D17">
      <w:pPr>
        <w:pStyle w:val="ONUMFS"/>
        <w:rPr>
          <w:lang w:val="fr-FR"/>
        </w:rPr>
      </w:pPr>
      <w:r w:rsidRPr="007D4CCC">
        <w:rPr>
          <w:lang w:val="fr-FR"/>
        </w:rPr>
        <w:t>Toute décision</w:t>
      </w:r>
      <w:r w:rsidR="00B84CCD" w:rsidRPr="007D4CCC">
        <w:rPr>
          <w:lang w:val="fr-FR"/>
        </w:rPr>
        <w:t xml:space="preserve"> du </w:t>
      </w:r>
      <w:proofErr w:type="spellStart"/>
      <w:r w:rsidR="00B84CCD" w:rsidRPr="007D4CCC">
        <w:rPr>
          <w:lang w:val="fr-FR"/>
        </w:rPr>
        <w:t>PBC</w:t>
      </w:r>
      <w:proofErr w:type="spellEnd"/>
      <w:r w:rsidRPr="007D4CCC">
        <w:rPr>
          <w:lang w:val="fr-FR"/>
        </w:rPr>
        <w:t xml:space="preserve"> </w:t>
      </w:r>
      <w:r w:rsidR="00A25F29">
        <w:rPr>
          <w:lang w:val="fr-FR"/>
        </w:rPr>
        <w:t>à l’égard</w:t>
      </w:r>
      <w:r w:rsidRPr="007D4CCC">
        <w:rPr>
          <w:lang w:val="fr-FR"/>
        </w:rPr>
        <w:t xml:space="preserve"> de ce document figurera dans la </w:t>
      </w:r>
      <w:r w:rsidR="005165AE" w:rsidRPr="007D4CCC">
        <w:rPr>
          <w:lang w:val="fr-FR"/>
        </w:rPr>
        <w:t>“</w:t>
      </w:r>
      <w:r w:rsidRPr="007D4CCC">
        <w:rPr>
          <w:lang w:val="fr-FR"/>
        </w:rPr>
        <w:t>Liste des décisions adoptées par le Comité du programme et budget</w:t>
      </w:r>
      <w:r w:rsidR="005165AE" w:rsidRPr="007D4CCC">
        <w:rPr>
          <w:lang w:val="fr-FR"/>
        </w:rPr>
        <w:t>”</w:t>
      </w:r>
      <w:r w:rsidRPr="007D4CCC">
        <w:rPr>
          <w:lang w:val="fr-FR"/>
        </w:rPr>
        <w:t xml:space="preserve"> (document A/57/5).</w:t>
      </w:r>
    </w:p>
    <w:p w:rsidR="00C55FF8" w:rsidRPr="007D4CCC" w:rsidRDefault="00C55FF8" w:rsidP="003B5D17">
      <w:pPr>
        <w:rPr>
          <w:lang w:val="fr-FR"/>
        </w:rPr>
      </w:pPr>
    </w:p>
    <w:p w:rsidR="003B5D17" w:rsidRPr="007D4CCC" w:rsidRDefault="003B5D17" w:rsidP="003B5D17">
      <w:pPr>
        <w:rPr>
          <w:lang w:val="fr-FR"/>
        </w:rPr>
      </w:pPr>
    </w:p>
    <w:p w:rsidR="003B5D17" w:rsidRPr="007D4CCC" w:rsidRDefault="00273C2A" w:rsidP="003B5D17">
      <w:pPr>
        <w:pStyle w:val="Endofdocument-Annex"/>
        <w:rPr>
          <w:lang w:val="fr-FR"/>
        </w:rPr>
      </w:pPr>
      <w:r w:rsidRPr="007D4CCC">
        <w:rPr>
          <w:lang w:val="fr-FR"/>
        </w:rPr>
        <w:t xml:space="preserve">[Le document </w:t>
      </w:r>
      <w:proofErr w:type="spellStart"/>
      <w:r w:rsidRPr="007D4CCC">
        <w:rPr>
          <w:lang w:val="fr-FR"/>
        </w:rPr>
        <w:t>WO</w:t>
      </w:r>
      <w:proofErr w:type="spellEnd"/>
      <w:r w:rsidRPr="007D4CCC">
        <w:rPr>
          <w:lang w:val="fr-FR"/>
        </w:rPr>
        <w:t>/</w:t>
      </w:r>
      <w:proofErr w:type="spellStart"/>
      <w:r w:rsidRPr="007D4CCC">
        <w:rPr>
          <w:lang w:val="fr-FR"/>
        </w:rPr>
        <w:t>PBC</w:t>
      </w:r>
      <w:proofErr w:type="spellEnd"/>
      <w:r w:rsidRPr="007D4CCC">
        <w:rPr>
          <w:lang w:val="fr-FR"/>
        </w:rPr>
        <w:t>/27/4 suit]</w:t>
      </w:r>
    </w:p>
    <w:p w:rsidR="003B5D17" w:rsidRPr="007D4CCC" w:rsidRDefault="003B5D17">
      <w:pPr>
        <w:rPr>
          <w:lang w:val="fr-FR"/>
        </w:rPr>
      </w:pPr>
      <w:r w:rsidRPr="007D4CCC">
        <w:rPr>
          <w:lang w:val="fr-FR"/>
        </w:rPr>
        <w:br w:type="page"/>
      </w:r>
    </w:p>
    <w:p w:rsidR="00C55FF8" w:rsidRPr="007D4CCC" w:rsidRDefault="00C55FF8" w:rsidP="003B5D17">
      <w:pPr>
        <w:rPr>
          <w:lang w:val="fr-FR"/>
        </w:rPr>
      </w:pPr>
    </w:p>
    <w:p w:rsidR="00C55FF8" w:rsidRPr="007D4CCC" w:rsidRDefault="00C55FF8" w:rsidP="003B5D17">
      <w:pPr>
        <w:pStyle w:val="ONUME"/>
        <w:numPr>
          <w:ilvl w:val="0"/>
          <w:numId w:val="0"/>
        </w:numPr>
        <w:tabs>
          <w:tab w:val="left" w:pos="6096"/>
        </w:tabs>
        <w:spacing w:after="0"/>
        <w:ind w:left="5533"/>
        <w:rPr>
          <w:i/>
          <w:lang w:val="fr-FR"/>
        </w:rPr>
      </w:pPr>
    </w:p>
    <w:p w:rsidR="004B6701" w:rsidRPr="007D4CCC" w:rsidRDefault="004B6701" w:rsidP="003B5D17">
      <w:pPr>
        <w:rPr>
          <w:lang w:val="fr-FR"/>
        </w:rPr>
        <w:sectPr w:rsidR="004B6701" w:rsidRPr="007D4CCC" w:rsidSect="007D4CCC">
          <w:endnotePr>
            <w:numFmt w:val="decimal"/>
          </w:endnotePr>
          <w:pgSz w:w="11907" w:h="16840" w:code="9"/>
          <w:pgMar w:top="567" w:right="1134" w:bottom="1417" w:left="1417" w:header="510" w:footer="1020"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7D4CCC" w:rsidRPr="007D4CCC" w:rsidTr="007D4CCC">
        <w:tc>
          <w:tcPr>
            <w:tcW w:w="4513" w:type="dxa"/>
            <w:tcBorders>
              <w:bottom w:val="single" w:sz="4" w:space="0" w:color="auto"/>
            </w:tcBorders>
            <w:tcMar>
              <w:bottom w:w="170" w:type="dxa"/>
            </w:tcMar>
          </w:tcPr>
          <w:p w:rsidR="002F0495" w:rsidRPr="007D4CCC" w:rsidRDefault="002F0495" w:rsidP="003B5D17"/>
        </w:tc>
        <w:tc>
          <w:tcPr>
            <w:tcW w:w="4337" w:type="dxa"/>
            <w:tcBorders>
              <w:bottom w:val="single" w:sz="4" w:space="0" w:color="auto"/>
            </w:tcBorders>
            <w:tcMar>
              <w:left w:w="0" w:type="dxa"/>
              <w:right w:w="0" w:type="dxa"/>
            </w:tcMar>
          </w:tcPr>
          <w:p w:rsidR="002F0495" w:rsidRPr="007D4CCC" w:rsidRDefault="002F0495" w:rsidP="003B5D17">
            <w:r w:rsidRPr="007D4CCC">
              <w:rPr>
                <w:noProof/>
                <w:lang w:val="fr-FR" w:eastAsia="fr-FR"/>
              </w:rPr>
              <w:drawing>
                <wp:inline distT="0" distB="0" distL="0" distR="0" wp14:anchorId="7036E673" wp14:editId="0533B3A8">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F0495" w:rsidRPr="007D4CCC" w:rsidRDefault="002F0495" w:rsidP="003B5D17">
            <w:pPr>
              <w:jc w:val="right"/>
            </w:pPr>
            <w:r w:rsidRPr="007D4CCC">
              <w:rPr>
                <w:b/>
                <w:sz w:val="40"/>
                <w:szCs w:val="40"/>
              </w:rPr>
              <w:t>F</w:t>
            </w:r>
          </w:p>
        </w:tc>
      </w:tr>
      <w:tr w:rsidR="007D4CCC" w:rsidRPr="007D4CCC" w:rsidTr="007D4CCC">
        <w:trPr>
          <w:trHeight w:hRule="exact" w:val="340"/>
        </w:trPr>
        <w:tc>
          <w:tcPr>
            <w:tcW w:w="9356" w:type="dxa"/>
            <w:gridSpan w:val="3"/>
            <w:tcBorders>
              <w:top w:val="single" w:sz="4" w:space="0" w:color="auto"/>
            </w:tcBorders>
            <w:tcMar>
              <w:top w:w="170" w:type="dxa"/>
              <w:left w:w="0" w:type="dxa"/>
              <w:right w:w="0" w:type="dxa"/>
            </w:tcMar>
            <w:vAlign w:val="bottom"/>
          </w:tcPr>
          <w:p w:rsidR="002F0495" w:rsidRPr="007D4CCC" w:rsidRDefault="002F0495" w:rsidP="003B5D17">
            <w:pPr>
              <w:jc w:val="right"/>
              <w:rPr>
                <w:rFonts w:ascii="Arial Black" w:hAnsi="Arial Black"/>
                <w:caps/>
                <w:sz w:val="15"/>
              </w:rPr>
            </w:pPr>
            <w:proofErr w:type="spellStart"/>
            <w:r w:rsidRPr="007D4CCC">
              <w:rPr>
                <w:rFonts w:ascii="Arial Black" w:hAnsi="Arial Black"/>
                <w:caps/>
                <w:sz w:val="15"/>
              </w:rPr>
              <w:t>WO</w:t>
            </w:r>
            <w:proofErr w:type="spellEnd"/>
            <w:r w:rsidRPr="007D4CCC">
              <w:rPr>
                <w:rFonts w:ascii="Arial Black" w:hAnsi="Arial Black"/>
                <w:caps/>
                <w:sz w:val="15"/>
              </w:rPr>
              <w:t>/</w:t>
            </w:r>
            <w:proofErr w:type="spellStart"/>
            <w:r w:rsidRPr="007D4CCC">
              <w:rPr>
                <w:rFonts w:ascii="Arial Black" w:hAnsi="Arial Black"/>
                <w:caps/>
                <w:sz w:val="15"/>
              </w:rPr>
              <w:t>PBC</w:t>
            </w:r>
            <w:proofErr w:type="spellEnd"/>
            <w:r w:rsidRPr="007D4CCC">
              <w:rPr>
                <w:rFonts w:ascii="Arial Black" w:hAnsi="Arial Black"/>
                <w:caps/>
                <w:sz w:val="15"/>
              </w:rPr>
              <w:t>/27/4</w:t>
            </w:r>
          </w:p>
        </w:tc>
      </w:tr>
      <w:tr w:rsidR="007D4CCC" w:rsidRPr="007D4CCC" w:rsidTr="007D4CCC">
        <w:trPr>
          <w:trHeight w:hRule="exact" w:val="170"/>
        </w:trPr>
        <w:tc>
          <w:tcPr>
            <w:tcW w:w="9356" w:type="dxa"/>
            <w:gridSpan w:val="3"/>
            <w:noWrap/>
            <w:tcMar>
              <w:left w:w="0" w:type="dxa"/>
              <w:right w:w="0" w:type="dxa"/>
            </w:tcMar>
            <w:vAlign w:val="bottom"/>
          </w:tcPr>
          <w:p w:rsidR="002F0495" w:rsidRPr="007D4CCC" w:rsidRDefault="002F0495" w:rsidP="003B5D17">
            <w:pPr>
              <w:jc w:val="right"/>
              <w:rPr>
                <w:rFonts w:ascii="Arial Black" w:hAnsi="Arial Black"/>
                <w:caps/>
                <w:sz w:val="15"/>
              </w:rPr>
            </w:pPr>
            <w:r w:rsidRPr="007D4CCC">
              <w:rPr>
                <w:rFonts w:ascii="Arial Black" w:hAnsi="Arial Black"/>
                <w:caps/>
                <w:sz w:val="15"/>
              </w:rPr>
              <w:t>ORIGINAL</w:t>
            </w:r>
            <w:r w:rsidR="00A25F29">
              <w:rPr>
                <w:rFonts w:ascii="Arial Black" w:hAnsi="Arial Black"/>
                <w:caps/>
                <w:sz w:val="15"/>
              </w:rPr>
              <w:t> </w:t>
            </w:r>
            <w:proofErr w:type="gramStart"/>
            <w:r w:rsidR="00A25F29">
              <w:rPr>
                <w:rFonts w:ascii="Arial Black" w:hAnsi="Arial Black"/>
                <w:caps/>
                <w:sz w:val="15"/>
              </w:rPr>
              <w:t>:</w:t>
            </w:r>
            <w:r w:rsidRPr="007D4CCC">
              <w:rPr>
                <w:rFonts w:ascii="Arial Black" w:hAnsi="Arial Black"/>
                <w:caps/>
                <w:sz w:val="15"/>
              </w:rPr>
              <w:t xml:space="preserve"> ANGLAIS</w:t>
            </w:r>
            <w:proofErr w:type="gramEnd"/>
          </w:p>
        </w:tc>
      </w:tr>
      <w:tr w:rsidR="002F0495" w:rsidRPr="007D4CCC" w:rsidTr="007D4CCC">
        <w:trPr>
          <w:trHeight w:hRule="exact" w:val="198"/>
        </w:trPr>
        <w:tc>
          <w:tcPr>
            <w:tcW w:w="9356" w:type="dxa"/>
            <w:gridSpan w:val="3"/>
            <w:tcMar>
              <w:left w:w="0" w:type="dxa"/>
              <w:right w:w="0" w:type="dxa"/>
            </w:tcMar>
            <w:vAlign w:val="bottom"/>
          </w:tcPr>
          <w:p w:rsidR="002F0495" w:rsidRPr="007D4CCC" w:rsidRDefault="002F0495" w:rsidP="00A65A9D">
            <w:pPr>
              <w:jc w:val="right"/>
              <w:rPr>
                <w:rFonts w:ascii="Arial Black" w:hAnsi="Arial Black"/>
                <w:caps/>
                <w:sz w:val="15"/>
              </w:rPr>
            </w:pPr>
            <w:r w:rsidRPr="007D4CCC">
              <w:rPr>
                <w:rFonts w:ascii="Arial Black" w:hAnsi="Arial Black"/>
                <w:caps/>
                <w:sz w:val="15"/>
              </w:rPr>
              <w:t>DATE</w:t>
            </w:r>
            <w:r w:rsidR="00A25F29">
              <w:rPr>
                <w:rFonts w:ascii="Arial Black" w:hAnsi="Arial Black"/>
                <w:caps/>
                <w:sz w:val="15"/>
              </w:rPr>
              <w:t> </w:t>
            </w:r>
            <w:proofErr w:type="gramStart"/>
            <w:r w:rsidR="00A25F29">
              <w:rPr>
                <w:rFonts w:ascii="Arial Black" w:hAnsi="Arial Black"/>
                <w:caps/>
                <w:sz w:val="15"/>
              </w:rPr>
              <w:t>:</w:t>
            </w:r>
            <w:r w:rsidRPr="007D4CCC">
              <w:rPr>
                <w:rFonts w:ascii="Arial Black" w:hAnsi="Arial Black"/>
                <w:caps/>
                <w:sz w:val="15"/>
              </w:rPr>
              <w:t xml:space="preserve"> </w:t>
            </w:r>
            <w:r w:rsidR="00A25F29">
              <w:rPr>
                <w:rFonts w:ascii="Arial Black" w:hAnsi="Arial Black"/>
                <w:caps/>
                <w:sz w:val="15"/>
              </w:rPr>
              <w:t>2</w:t>
            </w:r>
            <w:proofErr w:type="gramEnd"/>
            <w:r w:rsidR="00A25F29">
              <w:rPr>
                <w:rFonts w:ascii="Arial Black" w:hAnsi="Arial Black"/>
                <w:caps/>
                <w:sz w:val="15"/>
              </w:rPr>
              <w:t> août</w:t>
            </w:r>
            <w:r w:rsidRPr="007D4CCC">
              <w:rPr>
                <w:rFonts w:ascii="Arial Black" w:hAnsi="Arial Black"/>
                <w:caps/>
                <w:sz w:val="15"/>
              </w:rPr>
              <w:t> 2017</w:t>
            </w:r>
          </w:p>
        </w:tc>
      </w:tr>
    </w:tbl>
    <w:p w:rsidR="002F0495" w:rsidRPr="007D4CCC" w:rsidRDefault="002F0495" w:rsidP="003B5D17"/>
    <w:p w:rsidR="002F0495" w:rsidRPr="007D4CCC" w:rsidRDefault="002F0495" w:rsidP="003B5D17"/>
    <w:p w:rsidR="002F0495" w:rsidRPr="007D4CCC" w:rsidRDefault="002F0495" w:rsidP="003B5D17"/>
    <w:p w:rsidR="002F0495" w:rsidRPr="007D4CCC" w:rsidRDefault="002F0495" w:rsidP="003B5D17"/>
    <w:p w:rsidR="002F0495" w:rsidRPr="007D4CCC" w:rsidRDefault="002F0495" w:rsidP="003B5D17"/>
    <w:p w:rsidR="002F0495" w:rsidRPr="007D4CCC" w:rsidRDefault="002F0495" w:rsidP="003B5D17">
      <w:pPr>
        <w:rPr>
          <w:b/>
          <w:sz w:val="28"/>
          <w:szCs w:val="28"/>
        </w:rPr>
      </w:pPr>
      <w:r w:rsidRPr="007D4CCC">
        <w:rPr>
          <w:b/>
          <w:sz w:val="28"/>
          <w:szCs w:val="28"/>
        </w:rPr>
        <w:t>Comit</w:t>
      </w:r>
      <w:r w:rsidRPr="007D4CCC">
        <w:rPr>
          <w:rFonts w:cs="Simplified Arabic" w:hint="cs"/>
          <w:b/>
          <w:sz w:val="28"/>
          <w:szCs w:val="28"/>
        </w:rPr>
        <w:t>é</w:t>
      </w:r>
      <w:r w:rsidRPr="007D4CCC">
        <w:rPr>
          <w:b/>
          <w:sz w:val="28"/>
          <w:szCs w:val="28"/>
        </w:rPr>
        <w:t xml:space="preserve"> du programme et budget</w:t>
      </w:r>
    </w:p>
    <w:p w:rsidR="002F0495" w:rsidRPr="007D4CCC" w:rsidRDefault="002F0495" w:rsidP="003B5D17"/>
    <w:p w:rsidR="002F0495" w:rsidRPr="007D4CCC" w:rsidRDefault="002F0495" w:rsidP="003B5D17"/>
    <w:p w:rsidR="002F0495" w:rsidRPr="007D4CCC" w:rsidRDefault="002F0495" w:rsidP="003B5D17">
      <w:pPr>
        <w:rPr>
          <w:b/>
          <w:sz w:val="24"/>
          <w:szCs w:val="24"/>
        </w:rPr>
      </w:pPr>
      <w:r w:rsidRPr="007D4CCC">
        <w:rPr>
          <w:b/>
          <w:bCs/>
          <w:sz w:val="24"/>
          <w:szCs w:val="24"/>
        </w:rPr>
        <w:t>Vingt</w:t>
      </w:r>
      <w:r w:rsidR="00F77457">
        <w:rPr>
          <w:b/>
          <w:bCs/>
          <w:sz w:val="24"/>
          <w:szCs w:val="24"/>
        </w:rPr>
        <w:noBreakHyphen/>
      </w:r>
      <w:r w:rsidRPr="007D4CCC">
        <w:rPr>
          <w:b/>
          <w:bCs/>
          <w:sz w:val="24"/>
          <w:szCs w:val="24"/>
        </w:rPr>
        <w:t>sept</w:t>
      </w:r>
      <w:r w:rsidR="00A25F29">
        <w:rPr>
          <w:b/>
          <w:bCs/>
          <w:sz w:val="24"/>
          <w:szCs w:val="24"/>
        </w:rPr>
        <w:t>ième session</w:t>
      </w:r>
    </w:p>
    <w:p w:rsidR="002F0495" w:rsidRPr="007D4CCC" w:rsidRDefault="002F0495" w:rsidP="003B5D17">
      <w:pPr>
        <w:pStyle w:val="HTMLPreformatted"/>
        <w:rPr>
          <w:rFonts w:ascii="Arial" w:hAnsi="Arial" w:cs="Arial"/>
          <w:b/>
          <w:sz w:val="24"/>
          <w:szCs w:val="24"/>
        </w:rPr>
      </w:pPr>
      <w:r w:rsidRPr="007D4CCC">
        <w:rPr>
          <w:rFonts w:ascii="Arial" w:hAnsi="Arial" w:cs="Arial"/>
          <w:b/>
          <w:sz w:val="24"/>
          <w:szCs w:val="24"/>
        </w:rPr>
        <w:t xml:space="preserve">Genève, 11 </w:t>
      </w:r>
      <w:r w:rsidRPr="007D4CCC">
        <w:rPr>
          <w:b/>
          <w:sz w:val="24"/>
          <w:szCs w:val="24"/>
          <w:lang w:val="fr-FR"/>
        </w:rPr>
        <w:t>–</w:t>
      </w:r>
      <w:r w:rsidRPr="007D4CCC">
        <w:rPr>
          <w:rFonts w:ascii="Arial" w:hAnsi="Arial" w:cs="Arial"/>
          <w:b/>
          <w:sz w:val="24"/>
          <w:szCs w:val="24"/>
          <w:lang w:val="fr-BE"/>
        </w:rPr>
        <w:t xml:space="preserve"> 15</w:t>
      </w:r>
      <w:r w:rsidR="00B65F3C" w:rsidRPr="007D4CCC">
        <w:rPr>
          <w:rFonts w:ascii="Arial" w:hAnsi="Arial" w:cs="Arial"/>
          <w:b/>
          <w:sz w:val="24"/>
          <w:szCs w:val="24"/>
          <w:lang w:val="fr-BE"/>
        </w:rPr>
        <w:t> </w:t>
      </w:r>
      <w:r w:rsidR="00A25F29" w:rsidRPr="007D4CCC">
        <w:rPr>
          <w:rFonts w:ascii="Arial" w:hAnsi="Arial" w:cs="Arial"/>
          <w:b/>
          <w:sz w:val="24"/>
          <w:szCs w:val="24"/>
          <w:lang w:val="fr-BE"/>
        </w:rPr>
        <w:t>septembre</w:t>
      </w:r>
      <w:r w:rsidR="00A25F29">
        <w:rPr>
          <w:rFonts w:ascii="Arial" w:hAnsi="Arial" w:cs="Arial"/>
          <w:b/>
          <w:sz w:val="24"/>
          <w:szCs w:val="24"/>
          <w:lang w:val="fr-BE"/>
        </w:rPr>
        <w:t> </w:t>
      </w:r>
      <w:r w:rsidR="00A25F29" w:rsidRPr="007D4CCC">
        <w:rPr>
          <w:rFonts w:ascii="Arial" w:hAnsi="Arial" w:cs="Arial"/>
          <w:b/>
          <w:sz w:val="24"/>
          <w:szCs w:val="24"/>
          <w:lang w:val="fr-BE"/>
        </w:rPr>
        <w:t>20</w:t>
      </w:r>
      <w:r w:rsidRPr="007D4CCC">
        <w:rPr>
          <w:rFonts w:ascii="Arial" w:hAnsi="Arial" w:cs="Arial"/>
          <w:b/>
          <w:sz w:val="24"/>
          <w:szCs w:val="24"/>
          <w:lang w:val="fr-BE"/>
        </w:rPr>
        <w:t>17</w:t>
      </w:r>
    </w:p>
    <w:p w:rsidR="002F0495" w:rsidRPr="007D4CCC" w:rsidRDefault="002F0495" w:rsidP="003B5D17"/>
    <w:p w:rsidR="002F0495" w:rsidRPr="007D4CCC" w:rsidRDefault="002F0495" w:rsidP="003B5D17"/>
    <w:p w:rsidR="002F0495" w:rsidRPr="007D4CCC" w:rsidRDefault="002F0495" w:rsidP="003B5D17"/>
    <w:p w:rsidR="00C55FF8" w:rsidRPr="007D4CCC" w:rsidRDefault="00273C2A" w:rsidP="003B5D17">
      <w:pPr>
        <w:rPr>
          <w:caps/>
          <w:sz w:val="24"/>
          <w:lang w:val="fr-FR"/>
        </w:rPr>
      </w:pPr>
      <w:r w:rsidRPr="007D4CCC">
        <w:rPr>
          <w:caps/>
          <w:sz w:val="24"/>
          <w:lang w:val="fr-FR"/>
        </w:rPr>
        <w:t>Rapport annuel du directeur de la Division de la supervision interne (</w:t>
      </w:r>
      <w:proofErr w:type="spellStart"/>
      <w:r w:rsidRPr="007D4CCC">
        <w:rPr>
          <w:caps/>
          <w:sz w:val="24"/>
          <w:lang w:val="fr-FR"/>
        </w:rPr>
        <w:t>DSI</w:t>
      </w:r>
      <w:proofErr w:type="spellEnd"/>
      <w:r w:rsidRPr="007D4CCC">
        <w:rPr>
          <w:caps/>
          <w:sz w:val="24"/>
          <w:lang w:val="fr-FR"/>
        </w:rPr>
        <w:t>)</w:t>
      </w:r>
    </w:p>
    <w:p w:rsidR="00C55FF8" w:rsidRPr="007D4CCC" w:rsidRDefault="00C55FF8" w:rsidP="003B5D17">
      <w:pPr>
        <w:rPr>
          <w:lang w:val="fr-FR"/>
        </w:rPr>
      </w:pPr>
    </w:p>
    <w:p w:rsidR="00C55FF8" w:rsidRPr="007D4CCC" w:rsidRDefault="00273C2A" w:rsidP="003B5D17">
      <w:pPr>
        <w:rPr>
          <w:i/>
          <w:lang w:val="fr-FR"/>
        </w:rPr>
      </w:pPr>
      <w:proofErr w:type="gramStart"/>
      <w:r w:rsidRPr="007D4CCC">
        <w:rPr>
          <w:i/>
          <w:lang w:val="fr-FR"/>
        </w:rPr>
        <w:t>établi</w:t>
      </w:r>
      <w:proofErr w:type="gramEnd"/>
      <w:r w:rsidRPr="007D4CCC">
        <w:rPr>
          <w:i/>
          <w:lang w:val="fr-FR"/>
        </w:rPr>
        <w:t xml:space="preserve"> par le Secrétariat</w:t>
      </w:r>
    </w:p>
    <w:p w:rsidR="00C55FF8" w:rsidRPr="007D4CCC" w:rsidRDefault="00C55FF8" w:rsidP="003B5D17">
      <w:pPr>
        <w:rPr>
          <w:lang w:val="fr-FR"/>
        </w:rPr>
      </w:pPr>
    </w:p>
    <w:p w:rsidR="00C55FF8" w:rsidRPr="007D4CCC" w:rsidRDefault="00C55FF8" w:rsidP="003B5D17">
      <w:pPr>
        <w:rPr>
          <w:lang w:val="fr-FR"/>
        </w:rPr>
      </w:pPr>
    </w:p>
    <w:p w:rsidR="00C55FF8" w:rsidRPr="007D4CCC" w:rsidRDefault="00C55FF8" w:rsidP="003B5D17">
      <w:pPr>
        <w:rPr>
          <w:lang w:val="fr-FR"/>
        </w:rPr>
      </w:pPr>
    </w:p>
    <w:p w:rsidR="00C55FF8" w:rsidRPr="007D4CCC" w:rsidRDefault="00C55FF8" w:rsidP="003B5D17">
      <w:pPr>
        <w:rPr>
          <w:lang w:val="fr-FR"/>
        </w:rPr>
      </w:pPr>
    </w:p>
    <w:p w:rsidR="00C55FF8" w:rsidRPr="007D4CCC" w:rsidRDefault="00C55FF8" w:rsidP="003B5D17">
      <w:pPr>
        <w:rPr>
          <w:lang w:val="fr-FR"/>
        </w:rPr>
      </w:pPr>
    </w:p>
    <w:p w:rsidR="00C55FF8" w:rsidRPr="007D4CCC" w:rsidRDefault="00273C2A" w:rsidP="003B5D17">
      <w:pPr>
        <w:pStyle w:val="ONUMFS"/>
        <w:numPr>
          <w:ilvl w:val="0"/>
          <w:numId w:val="44"/>
        </w:numPr>
        <w:rPr>
          <w:lang w:val="fr-FR"/>
        </w:rPr>
      </w:pPr>
      <w:r w:rsidRPr="007D4CCC">
        <w:rPr>
          <w:lang w:val="fr-FR"/>
        </w:rPr>
        <w:t xml:space="preserve">Conformément au </w:t>
      </w:r>
      <w:r w:rsidR="00B84CCD" w:rsidRPr="007D4CCC">
        <w:rPr>
          <w:lang w:val="fr-FR"/>
        </w:rPr>
        <w:t>paragraphe 4</w:t>
      </w:r>
      <w:r w:rsidRPr="007D4CCC">
        <w:rPr>
          <w:lang w:val="fr-FR"/>
        </w:rPr>
        <w:t>4 de la Charte de la supervision interne, le directeur de la Division de la supervision interne (</w:t>
      </w:r>
      <w:proofErr w:type="spellStart"/>
      <w:r w:rsidRPr="007D4CCC">
        <w:rPr>
          <w:lang w:val="fr-FR"/>
        </w:rPr>
        <w:t>DSI</w:t>
      </w:r>
      <w:proofErr w:type="spellEnd"/>
      <w:r w:rsidRPr="007D4CCC">
        <w:rPr>
          <w:lang w:val="fr-FR"/>
        </w:rPr>
        <w:t>) soumet chaque année un rapport de synthèse à l</w:t>
      </w:r>
      <w:r w:rsidR="00A25F29">
        <w:rPr>
          <w:lang w:val="fr-FR"/>
        </w:rPr>
        <w:t>’</w:t>
      </w:r>
      <w:r w:rsidRPr="007D4CCC">
        <w:rPr>
          <w:lang w:val="fr-FR"/>
        </w:rPr>
        <w:t>Assemblée générale de l</w:t>
      </w:r>
      <w:r w:rsidR="00A25F29">
        <w:rPr>
          <w:lang w:val="fr-FR"/>
        </w:rPr>
        <w:t>’</w:t>
      </w:r>
      <w:r w:rsidRPr="007D4CCC">
        <w:rPr>
          <w:lang w:val="fr-FR"/>
        </w:rPr>
        <w:t>OMPI, par l</w:t>
      </w:r>
      <w:r w:rsidR="00A25F29">
        <w:rPr>
          <w:lang w:val="fr-FR"/>
        </w:rPr>
        <w:t>’</w:t>
      </w:r>
      <w:r w:rsidRPr="007D4CCC">
        <w:rPr>
          <w:lang w:val="fr-FR"/>
        </w:rPr>
        <w:t>intermédiaire du Comité du programme et budget (</w:t>
      </w:r>
      <w:proofErr w:type="spellStart"/>
      <w:r w:rsidRPr="007D4CCC">
        <w:rPr>
          <w:lang w:val="fr-FR"/>
        </w:rPr>
        <w:t>PBC</w:t>
      </w:r>
      <w:proofErr w:type="spellEnd"/>
      <w:r w:rsidRPr="007D4CCC">
        <w:rPr>
          <w:lang w:val="fr-FR"/>
        </w:rPr>
        <w:t>).</w:t>
      </w:r>
      <w:r w:rsidR="004B6701" w:rsidRPr="007D4CCC">
        <w:rPr>
          <w:lang w:val="fr-FR"/>
        </w:rPr>
        <w:t xml:space="preserve">  </w:t>
      </w:r>
      <w:r w:rsidR="00AF5E57" w:rsidRPr="007D4CCC">
        <w:rPr>
          <w:lang w:val="fr-FR"/>
        </w:rPr>
        <w:t>Le rapport rend compte des activités de supervision interne menées au cours de la période comprise entre le</w:t>
      </w:r>
      <w:r w:rsidR="00A25F29">
        <w:rPr>
          <w:lang w:val="fr-FR"/>
        </w:rPr>
        <w:t xml:space="preserve"> 1</w:t>
      </w:r>
      <w:r w:rsidR="00A25F29" w:rsidRPr="00A25F29">
        <w:rPr>
          <w:vertAlign w:val="superscript"/>
          <w:lang w:val="fr-FR"/>
        </w:rPr>
        <w:t>er</w:t>
      </w:r>
      <w:r w:rsidR="00A25F29">
        <w:rPr>
          <w:lang w:val="fr-FR"/>
        </w:rPr>
        <w:t> </w:t>
      </w:r>
      <w:r w:rsidR="00B84CCD" w:rsidRPr="007D4CCC">
        <w:rPr>
          <w:lang w:val="fr-FR"/>
        </w:rPr>
        <w:t>juillet 20</w:t>
      </w:r>
      <w:r w:rsidR="00AF5E57" w:rsidRPr="007D4CCC">
        <w:rPr>
          <w:lang w:val="fr-FR"/>
        </w:rPr>
        <w:t>16 et le 3</w:t>
      </w:r>
      <w:r w:rsidR="00B84CCD" w:rsidRPr="007D4CCC">
        <w:rPr>
          <w:lang w:val="fr-FR"/>
        </w:rPr>
        <w:t>0 juin 20</w:t>
      </w:r>
      <w:r w:rsidR="00AF5E57" w:rsidRPr="007D4CCC">
        <w:rPr>
          <w:lang w:val="fr-FR"/>
        </w:rPr>
        <w:t>17.</w:t>
      </w:r>
    </w:p>
    <w:p w:rsidR="00C55FF8" w:rsidRPr="007D4CCC" w:rsidRDefault="00AF5E57" w:rsidP="003B5D17">
      <w:pPr>
        <w:pStyle w:val="ONUMFS"/>
        <w:rPr>
          <w:lang w:val="fr-FR"/>
        </w:rPr>
      </w:pPr>
      <w:r w:rsidRPr="007D4CCC">
        <w:rPr>
          <w:lang w:val="fr-FR"/>
        </w:rPr>
        <w:t>Le paragraphe de décision ci</w:t>
      </w:r>
      <w:r w:rsidR="00F77457">
        <w:rPr>
          <w:lang w:val="fr-FR"/>
        </w:rPr>
        <w:noBreakHyphen/>
      </w:r>
      <w:r w:rsidRPr="007D4CCC">
        <w:rPr>
          <w:lang w:val="fr-FR"/>
        </w:rPr>
        <w:t>après est proposé.</w:t>
      </w:r>
    </w:p>
    <w:p w:rsidR="00C55FF8" w:rsidRPr="007D4CCC" w:rsidRDefault="00AF5E57" w:rsidP="003B5D17">
      <w:pPr>
        <w:pStyle w:val="ONUMFS"/>
        <w:ind w:left="5533"/>
        <w:rPr>
          <w:i/>
          <w:lang w:val="fr-FR"/>
        </w:rPr>
      </w:pPr>
      <w:r w:rsidRPr="007D4CCC">
        <w:rPr>
          <w:i/>
          <w:lang w:val="fr-FR"/>
        </w:rPr>
        <w:t xml:space="preserve">Le Comité du programme </w:t>
      </w:r>
      <w:r w:rsidR="00A65A9D">
        <w:rPr>
          <w:i/>
          <w:lang w:val="fr-FR"/>
        </w:rPr>
        <w:t>et budget (</w:t>
      </w:r>
      <w:proofErr w:type="spellStart"/>
      <w:r w:rsidR="00A65A9D">
        <w:rPr>
          <w:i/>
          <w:lang w:val="fr-FR"/>
        </w:rPr>
        <w:t>PBC</w:t>
      </w:r>
      <w:proofErr w:type="spellEnd"/>
      <w:r w:rsidR="00A65A9D">
        <w:rPr>
          <w:i/>
          <w:lang w:val="fr-FR"/>
        </w:rPr>
        <w:t xml:space="preserve">) a pris note du </w:t>
      </w:r>
      <w:r w:rsidR="00F77457">
        <w:rPr>
          <w:i/>
          <w:lang w:val="fr-FR"/>
        </w:rPr>
        <w:t>“</w:t>
      </w:r>
      <w:r w:rsidR="00A65A9D">
        <w:rPr>
          <w:i/>
          <w:lang w:val="fr-FR"/>
        </w:rPr>
        <w:t>R</w:t>
      </w:r>
      <w:r w:rsidRPr="007D4CCC">
        <w:rPr>
          <w:i/>
          <w:lang w:val="fr-FR"/>
        </w:rPr>
        <w:t>apport annuel du directeur de la Division de la supervision interne (</w:t>
      </w:r>
      <w:proofErr w:type="spellStart"/>
      <w:r w:rsidRPr="007D4CCC">
        <w:rPr>
          <w:i/>
          <w:lang w:val="fr-FR"/>
        </w:rPr>
        <w:t>DSI</w:t>
      </w:r>
      <w:proofErr w:type="spellEnd"/>
      <w:r w:rsidRPr="007D4CCC">
        <w:rPr>
          <w:i/>
          <w:lang w:val="fr-FR"/>
        </w:rPr>
        <w:t>)</w:t>
      </w:r>
      <w:r w:rsidR="00F77457">
        <w:rPr>
          <w:i/>
          <w:lang w:val="fr-FR"/>
        </w:rPr>
        <w:t>”</w:t>
      </w:r>
      <w:r w:rsidRPr="007D4CCC">
        <w:rPr>
          <w:i/>
          <w:lang w:val="fr-FR"/>
        </w:rPr>
        <w:t xml:space="preserve"> (document </w:t>
      </w:r>
      <w:proofErr w:type="spellStart"/>
      <w:r w:rsidRPr="007D4CCC">
        <w:rPr>
          <w:i/>
          <w:lang w:val="fr-FR"/>
        </w:rPr>
        <w:t>WO</w:t>
      </w:r>
      <w:proofErr w:type="spellEnd"/>
      <w:r w:rsidRPr="007D4CCC">
        <w:rPr>
          <w:i/>
          <w:lang w:val="fr-FR"/>
        </w:rPr>
        <w:t>/</w:t>
      </w:r>
      <w:proofErr w:type="spellStart"/>
      <w:r w:rsidRPr="007D4CCC">
        <w:rPr>
          <w:i/>
          <w:lang w:val="fr-FR"/>
        </w:rPr>
        <w:t>PBC</w:t>
      </w:r>
      <w:proofErr w:type="spellEnd"/>
      <w:r w:rsidRPr="007D4CCC">
        <w:rPr>
          <w:i/>
          <w:lang w:val="fr-FR"/>
        </w:rPr>
        <w:t>/27/4).</w:t>
      </w:r>
    </w:p>
    <w:p w:rsidR="00C55FF8" w:rsidRPr="007D4CCC" w:rsidRDefault="00C55FF8" w:rsidP="003B5D17">
      <w:pPr>
        <w:rPr>
          <w:lang w:val="fr-FR"/>
        </w:rPr>
      </w:pPr>
    </w:p>
    <w:p w:rsidR="003B5D17" w:rsidRPr="007D4CCC" w:rsidRDefault="003B5D17" w:rsidP="003B5D17">
      <w:pPr>
        <w:rPr>
          <w:lang w:val="fr-FR"/>
        </w:rPr>
      </w:pPr>
    </w:p>
    <w:p w:rsidR="00C55FF8" w:rsidRPr="007D4CCC" w:rsidRDefault="00AF5E57" w:rsidP="003B5D17">
      <w:pPr>
        <w:ind w:left="5534"/>
        <w:rPr>
          <w:lang w:val="fr-FR"/>
        </w:rPr>
      </w:pPr>
      <w:r w:rsidRPr="007D4CCC">
        <w:rPr>
          <w:lang w:val="fr-FR"/>
        </w:rPr>
        <w:t>[Le rapport annuel du directeur de</w:t>
      </w:r>
      <w:r w:rsidR="00B84CCD" w:rsidRPr="007D4CCC">
        <w:rPr>
          <w:lang w:val="fr-FR"/>
        </w:rPr>
        <w:t xml:space="preserve"> la </w:t>
      </w:r>
      <w:proofErr w:type="spellStart"/>
      <w:r w:rsidR="00B84CCD" w:rsidRPr="007D4CCC">
        <w:rPr>
          <w:lang w:val="fr-FR"/>
        </w:rPr>
        <w:t>DSI</w:t>
      </w:r>
      <w:proofErr w:type="spellEnd"/>
      <w:r w:rsidRPr="007D4CCC">
        <w:rPr>
          <w:lang w:val="fr-FR"/>
        </w:rPr>
        <w:t xml:space="preserve"> suit]</w:t>
      </w:r>
    </w:p>
    <w:p w:rsidR="00C55FF8" w:rsidRPr="007D4CCC" w:rsidRDefault="00907F45" w:rsidP="003B5D17">
      <w:pPr>
        <w:rPr>
          <w:b/>
          <w:lang w:val="fr-FR"/>
        </w:rPr>
      </w:pPr>
      <w:r w:rsidRPr="007D4CCC">
        <w:rPr>
          <w:lang w:val="fr-FR"/>
        </w:rPr>
        <w:br w:type="page"/>
      </w:r>
      <w:bookmarkStart w:id="5" w:name="_Toc392160658"/>
      <w:bookmarkStart w:id="6" w:name="_Toc392160685"/>
      <w:bookmarkStart w:id="7" w:name="_Toc392160701"/>
      <w:bookmarkStart w:id="8" w:name="_Toc392160738"/>
      <w:bookmarkStart w:id="9" w:name="_Toc420931135"/>
      <w:bookmarkStart w:id="10" w:name="_Toc423530307"/>
      <w:bookmarkStart w:id="11" w:name="_Toc423533363"/>
      <w:bookmarkStart w:id="12" w:name="_Toc423533507"/>
      <w:bookmarkStart w:id="13" w:name="_Toc452648466"/>
    </w:p>
    <w:p w:rsidR="00C55FF8" w:rsidRPr="007D4CCC" w:rsidRDefault="00AF5E57" w:rsidP="003B5D17">
      <w:pPr>
        <w:jc w:val="center"/>
        <w:rPr>
          <w:b/>
          <w:lang w:val="fr-FR"/>
        </w:rPr>
      </w:pPr>
      <w:r w:rsidRPr="007D4CCC">
        <w:rPr>
          <w:b/>
          <w:lang w:val="fr-FR"/>
        </w:rPr>
        <w:lastRenderedPageBreak/>
        <w:t>RAPPORT ANNUEL DU DIRECTEUR DE LA DIVISION DE LA SUPERVISION INTERNE</w:t>
      </w:r>
    </w:p>
    <w:p w:rsidR="00C55FF8" w:rsidRPr="007D4CCC" w:rsidRDefault="00C55FF8" w:rsidP="003B5D17">
      <w:pPr>
        <w:keepLines/>
        <w:rPr>
          <w:lang w:val="fr-FR"/>
        </w:rPr>
      </w:pPr>
    </w:p>
    <w:p w:rsidR="00C55FF8" w:rsidRPr="007D4CCC" w:rsidRDefault="00AF5E57" w:rsidP="003B5D17">
      <w:pPr>
        <w:keepLines/>
        <w:jc w:val="center"/>
        <w:rPr>
          <w:lang w:val="fr-FR"/>
        </w:rPr>
      </w:pPr>
      <w:r w:rsidRPr="007D4CCC">
        <w:rPr>
          <w:lang w:val="fr-FR"/>
        </w:rPr>
        <w:t>Du</w:t>
      </w:r>
      <w:r w:rsidR="00A25F29">
        <w:rPr>
          <w:lang w:val="fr-FR"/>
        </w:rPr>
        <w:t xml:space="preserve"> 1</w:t>
      </w:r>
      <w:r w:rsidR="00A25F29" w:rsidRPr="00A25F29">
        <w:rPr>
          <w:vertAlign w:val="superscript"/>
          <w:lang w:val="fr-FR"/>
        </w:rPr>
        <w:t>er</w:t>
      </w:r>
      <w:r w:rsidR="00A25F29">
        <w:rPr>
          <w:lang w:val="fr-FR"/>
        </w:rPr>
        <w:t> </w:t>
      </w:r>
      <w:r w:rsidR="00B84CCD" w:rsidRPr="007D4CCC">
        <w:rPr>
          <w:lang w:val="fr-FR"/>
        </w:rPr>
        <w:t>juillet 20</w:t>
      </w:r>
      <w:r w:rsidRPr="007D4CCC">
        <w:rPr>
          <w:lang w:val="fr-FR"/>
        </w:rPr>
        <w:t>16 au 3</w:t>
      </w:r>
      <w:r w:rsidR="00B84CCD" w:rsidRPr="007D4CCC">
        <w:rPr>
          <w:lang w:val="fr-FR"/>
        </w:rPr>
        <w:t>0 juin 20</w:t>
      </w:r>
      <w:r w:rsidRPr="007D4CCC">
        <w:rPr>
          <w:lang w:val="fr-FR"/>
        </w:rPr>
        <w:t>17</w:t>
      </w:r>
    </w:p>
    <w:p w:rsidR="00C55FF8" w:rsidRPr="007D4CCC" w:rsidRDefault="00C55FF8" w:rsidP="003B5D17">
      <w:pPr>
        <w:keepLines/>
        <w:jc w:val="center"/>
        <w:rPr>
          <w:lang w:val="fr-FR"/>
        </w:rPr>
      </w:pPr>
    </w:p>
    <w:p w:rsidR="00C55FF8" w:rsidRPr="007D4CCC" w:rsidRDefault="00C55FF8" w:rsidP="003B5D17">
      <w:pPr>
        <w:rPr>
          <w:lang w:val="fr-FR"/>
        </w:rPr>
      </w:pPr>
    </w:p>
    <w:p w:rsidR="00C55FF8" w:rsidRPr="007D4CCC" w:rsidRDefault="00C55FF8" w:rsidP="003B5D17">
      <w:pPr>
        <w:jc w:val="center"/>
        <w:rPr>
          <w:b/>
          <w:lang w:val="fr-FR"/>
        </w:rPr>
      </w:pPr>
    </w:p>
    <w:bookmarkEnd w:id="5"/>
    <w:bookmarkEnd w:id="6"/>
    <w:bookmarkEnd w:id="7"/>
    <w:bookmarkEnd w:id="8"/>
    <w:bookmarkEnd w:id="9"/>
    <w:bookmarkEnd w:id="10"/>
    <w:bookmarkEnd w:id="11"/>
    <w:bookmarkEnd w:id="12"/>
    <w:bookmarkEnd w:id="13"/>
    <w:p w:rsidR="00C55FF8" w:rsidRPr="007D4CCC" w:rsidRDefault="00AF5E57" w:rsidP="003B5D17">
      <w:pPr>
        <w:jc w:val="center"/>
        <w:rPr>
          <w:b/>
          <w:lang w:val="fr-FR"/>
        </w:rPr>
      </w:pPr>
      <w:r w:rsidRPr="007D4CCC">
        <w:rPr>
          <w:b/>
          <w:lang w:val="fr-FR"/>
        </w:rPr>
        <w:t>TABLE DES MATIÈRES</w:t>
      </w:r>
    </w:p>
    <w:p w:rsidR="00C55FF8" w:rsidRPr="007D4CCC" w:rsidRDefault="00C55FF8" w:rsidP="003B5D17">
      <w:pPr>
        <w:keepLines/>
        <w:rPr>
          <w:lang w:val="fr-FR"/>
        </w:rPr>
      </w:pPr>
    </w:p>
    <w:p w:rsidR="007D4CCC" w:rsidRDefault="004B6701" w:rsidP="007D4CCC">
      <w:pPr>
        <w:pStyle w:val="TOC1"/>
        <w:rPr>
          <w:rFonts w:asciiTheme="minorHAnsi" w:eastAsiaTheme="minorEastAsia" w:hAnsiTheme="minorHAnsi" w:cstheme="minorBidi"/>
          <w:noProof/>
          <w:szCs w:val="22"/>
          <w:lang w:val="fr-FR" w:eastAsia="fr-FR"/>
        </w:rPr>
      </w:pPr>
      <w:r w:rsidRPr="007D4CCC">
        <w:rPr>
          <w:lang w:val="fr-FR"/>
        </w:rPr>
        <w:fldChar w:fldCharType="begin"/>
      </w:r>
      <w:r w:rsidRPr="007D4CCC">
        <w:rPr>
          <w:lang w:val="fr-FR"/>
        </w:rPr>
        <w:instrText xml:space="preserve"> TOC \o "1-1" \h \z \u </w:instrText>
      </w:r>
      <w:r w:rsidRPr="007D4CCC">
        <w:rPr>
          <w:lang w:val="fr-FR"/>
        </w:rPr>
        <w:fldChar w:fldCharType="separate"/>
      </w:r>
      <w:hyperlink w:anchor="_Toc488139078" w:history="1">
        <w:r w:rsidR="007D4CCC" w:rsidRPr="00F43E43">
          <w:rPr>
            <w:rStyle w:val="Hyperlink"/>
            <w:noProof/>
            <w:lang w:val="fr-FR"/>
          </w:rPr>
          <w:t>Liste des sigles</w:t>
        </w:r>
        <w:r w:rsidR="007D4CCC">
          <w:rPr>
            <w:noProof/>
            <w:webHidden/>
          </w:rPr>
          <w:tab/>
        </w:r>
        <w:r w:rsidR="007D4CCC">
          <w:rPr>
            <w:noProof/>
            <w:webHidden/>
          </w:rPr>
          <w:fldChar w:fldCharType="begin"/>
        </w:r>
        <w:r w:rsidR="007D4CCC">
          <w:rPr>
            <w:noProof/>
            <w:webHidden/>
          </w:rPr>
          <w:instrText xml:space="preserve"> PAGEREF _Toc488139078 \h </w:instrText>
        </w:r>
        <w:r w:rsidR="007D4CCC">
          <w:rPr>
            <w:noProof/>
            <w:webHidden/>
          </w:rPr>
        </w:r>
        <w:r w:rsidR="007D4CCC">
          <w:rPr>
            <w:noProof/>
            <w:webHidden/>
          </w:rPr>
          <w:fldChar w:fldCharType="separate"/>
        </w:r>
        <w:r w:rsidR="007D4CCC">
          <w:rPr>
            <w:noProof/>
            <w:webHidden/>
          </w:rPr>
          <w:t>3</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79" w:history="1">
        <w:r w:rsidR="007D4CCC" w:rsidRPr="00F43E43">
          <w:rPr>
            <w:rStyle w:val="Hyperlink"/>
            <w:noProof/>
            <w:lang w:val="fr-FR"/>
          </w:rPr>
          <w:t>Informations générales</w:t>
        </w:r>
        <w:r w:rsidR="007D4CCC">
          <w:rPr>
            <w:noProof/>
            <w:webHidden/>
          </w:rPr>
          <w:tab/>
        </w:r>
        <w:r w:rsidR="007D4CCC">
          <w:rPr>
            <w:noProof/>
            <w:webHidden/>
          </w:rPr>
          <w:fldChar w:fldCharType="begin"/>
        </w:r>
        <w:r w:rsidR="007D4CCC">
          <w:rPr>
            <w:noProof/>
            <w:webHidden/>
          </w:rPr>
          <w:instrText xml:space="preserve"> PAGEREF _Toc488139079 \h </w:instrText>
        </w:r>
        <w:r w:rsidR="007D4CCC">
          <w:rPr>
            <w:noProof/>
            <w:webHidden/>
          </w:rPr>
        </w:r>
        <w:r w:rsidR="007D4CCC">
          <w:rPr>
            <w:noProof/>
            <w:webHidden/>
          </w:rPr>
          <w:fldChar w:fldCharType="separate"/>
        </w:r>
        <w:r w:rsidR="007D4CCC">
          <w:rPr>
            <w:noProof/>
            <w:webHidden/>
          </w:rPr>
          <w:t>4</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80" w:history="1">
        <w:r w:rsidR="007D4CCC" w:rsidRPr="00F43E43">
          <w:rPr>
            <w:rStyle w:val="Hyperlink"/>
            <w:noProof/>
            <w:lang w:val="fr-FR"/>
          </w:rPr>
          <w:t>Principes de planification</w:t>
        </w:r>
        <w:r w:rsidR="007D4CCC">
          <w:rPr>
            <w:noProof/>
            <w:webHidden/>
          </w:rPr>
          <w:tab/>
        </w:r>
        <w:r w:rsidR="007D4CCC">
          <w:rPr>
            <w:noProof/>
            <w:webHidden/>
          </w:rPr>
          <w:fldChar w:fldCharType="begin"/>
        </w:r>
        <w:r w:rsidR="007D4CCC">
          <w:rPr>
            <w:noProof/>
            <w:webHidden/>
          </w:rPr>
          <w:instrText xml:space="preserve"> PAGEREF _Toc488139080 \h </w:instrText>
        </w:r>
        <w:r w:rsidR="007D4CCC">
          <w:rPr>
            <w:noProof/>
            <w:webHidden/>
          </w:rPr>
        </w:r>
        <w:r w:rsidR="007D4CCC">
          <w:rPr>
            <w:noProof/>
            <w:webHidden/>
          </w:rPr>
          <w:fldChar w:fldCharType="separate"/>
        </w:r>
        <w:r w:rsidR="007D4CCC">
          <w:rPr>
            <w:noProof/>
            <w:webHidden/>
          </w:rPr>
          <w:t>4</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81" w:history="1">
        <w:r w:rsidR="007D4CCC" w:rsidRPr="00F43E43">
          <w:rPr>
            <w:rStyle w:val="Hyperlink"/>
            <w:noProof/>
            <w:lang w:val="fr-FR"/>
          </w:rPr>
          <w:t>Normes professionnelles</w:t>
        </w:r>
        <w:r w:rsidR="007D4CCC">
          <w:rPr>
            <w:noProof/>
            <w:webHidden/>
          </w:rPr>
          <w:tab/>
        </w:r>
        <w:r w:rsidR="007D4CCC">
          <w:rPr>
            <w:noProof/>
            <w:webHidden/>
          </w:rPr>
          <w:fldChar w:fldCharType="begin"/>
        </w:r>
        <w:r w:rsidR="007D4CCC">
          <w:rPr>
            <w:noProof/>
            <w:webHidden/>
          </w:rPr>
          <w:instrText xml:space="preserve"> PAGEREF _Toc488139081 \h </w:instrText>
        </w:r>
        <w:r w:rsidR="007D4CCC">
          <w:rPr>
            <w:noProof/>
            <w:webHidden/>
          </w:rPr>
        </w:r>
        <w:r w:rsidR="007D4CCC">
          <w:rPr>
            <w:noProof/>
            <w:webHidden/>
          </w:rPr>
          <w:fldChar w:fldCharType="separate"/>
        </w:r>
        <w:r w:rsidR="007D4CCC">
          <w:rPr>
            <w:noProof/>
            <w:webHidden/>
          </w:rPr>
          <w:t>4</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82" w:history="1">
        <w:r w:rsidR="007D4CCC" w:rsidRPr="00F43E43">
          <w:rPr>
            <w:rStyle w:val="Hyperlink"/>
            <w:noProof/>
            <w:lang w:val="fr-FR"/>
          </w:rPr>
          <w:t>Questions importantes et recommandations de supervision jugées prioritaires</w:t>
        </w:r>
        <w:r w:rsidR="007D4CCC">
          <w:rPr>
            <w:noProof/>
            <w:webHidden/>
          </w:rPr>
          <w:tab/>
        </w:r>
        <w:r w:rsidR="007D4CCC">
          <w:rPr>
            <w:noProof/>
            <w:webHidden/>
          </w:rPr>
          <w:fldChar w:fldCharType="begin"/>
        </w:r>
        <w:r w:rsidR="007D4CCC">
          <w:rPr>
            <w:noProof/>
            <w:webHidden/>
          </w:rPr>
          <w:instrText xml:space="preserve"> PAGEREF _Toc488139082 \h </w:instrText>
        </w:r>
        <w:r w:rsidR="007D4CCC">
          <w:rPr>
            <w:noProof/>
            <w:webHidden/>
          </w:rPr>
        </w:r>
        <w:r w:rsidR="007D4CCC">
          <w:rPr>
            <w:noProof/>
            <w:webHidden/>
          </w:rPr>
          <w:fldChar w:fldCharType="separate"/>
        </w:r>
        <w:r w:rsidR="007D4CCC">
          <w:rPr>
            <w:noProof/>
            <w:webHidden/>
          </w:rPr>
          <w:t>5</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83" w:history="1">
        <w:r w:rsidR="007D4CCC" w:rsidRPr="00F43E43">
          <w:rPr>
            <w:rStyle w:val="Hyperlink"/>
            <w:noProof/>
          </w:rPr>
          <w:t>Activités d</w:t>
        </w:r>
        <w:r w:rsidR="00A25F29">
          <w:rPr>
            <w:rStyle w:val="Hyperlink"/>
            <w:noProof/>
          </w:rPr>
          <w:t>’</w:t>
        </w:r>
        <w:r w:rsidR="007D4CCC" w:rsidRPr="00F43E43">
          <w:rPr>
            <w:rStyle w:val="Hyperlink"/>
            <w:noProof/>
          </w:rPr>
          <w:t>enquête</w:t>
        </w:r>
        <w:r w:rsidR="007D4CCC">
          <w:rPr>
            <w:noProof/>
            <w:webHidden/>
          </w:rPr>
          <w:tab/>
        </w:r>
        <w:r w:rsidR="007D4CCC">
          <w:rPr>
            <w:noProof/>
            <w:webHidden/>
          </w:rPr>
          <w:fldChar w:fldCharType="begin"/>
        </w:r>
        <w:r w:rsidR="007D4CCC">
          <w:rPr>
            <w:noProof/>
            <w:webHidden/>
          </w:rPr>
          <w:instrText xml:space="preserve"> PAGEREF _Toc488139083 \h </w:instrText>
        </w:r>
        <w:r w:rsidR="007D4CCC">
          <w:rPr>
            <w:noProof/>
            <w:webHidden/>
          </w:rPr>
        </w:r>
        <w:r w:rsidR="007D4CCC">
          <w:rPr>
            <w:noProof/>
            <w:webHidden/>
          </w:rPr>
          <w:fldChar w:fldCharType="separate"/>
        </w:r>
        <w:r w:rsidR="007D4CCC">
          <w:rPr>
            <w:noProof/>
            <w:webHidden/>
          </w:rPr>
          <w:t>10</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84" w:history="1">
        <w:r w:rsidR="007D4CCC" w:rsidRPr="00F43E43">
          <w:rPr>
            <w:rStyle w:val="Hyperlink"/>
            <w:noProof/>
          </w:rPr>
          <w:t>Cas dans lesquels des demandes d</w:t>
        </w:r>
        <w:r w:rsidR="00A25F29">
          <w:rPr>
            <w:rStyle w:val="Hyperlink"/>
            <w:noProof/>
          </w:rPr>
          <w:t>’</w:t>
        </w:r>
        <w:r w:rsidR="007D4CCC" w:rsidRPr="00F43E43">
          <w:rPr>
            <w:rStyle w:val="Hyperlink"/>
            <w:noProof/>
          </w:rPr>
          <w:t>information ou d</w:t>
        </w:r>
        <w:r w:rsidR="00A25F29">
          <w:rPr>
            <w:rStyle w:val="Hyperlink"/>
            <w:noProof/>
          </w:rPr>
          <w:t>’</w:t>
        </w:r>
        <w:r w:rsidR="007D4CCC" w:rsidRPr="00F43E43">
          <w:rPr>
            <w:rStyle w:val="Hyperlink"/>
            <w:noProof/>
          </w:rPr>
          <w:t>assistance ont été rejetées</w:t>
        </w:r>
        <w:r w:rsidR="007D4CCC">
          <w:rPr>
            <w:noProof/>
            <w:webHidden/>
          </w:rPr>
          <w:tab/>
        </w:r>
        <w:r w:rsidR="007D4CCC">
          <w:rPr>
            <w:noProof/>
            <w:webHidden/>
          </w:rPr>
          <w:fldChar w:fldCharType="begin"/>
        </w:r>
        <w:r w:rsidR="007D4CCC">
          <w:rPr>
            <w:noProof/>
            <w:webHidden/>
          </w:rPr>
          <w:instrText xml:space="preserve"> PAGEREF _Toc488139084 \h </w:instrText>
        </w:r>
        <w:r w:rsidR="007D4CCC">
          <w:rPr>
            <w:noProof/>
            <w:webHidden/>
          </w:rPr>
        </w:r>
        <w:r w:rsidR="007D4CCC">
          <w:rPr>
            <w:noProof/>
            <w:webHidden/>
          </w:rPr>
          <w:fldChar w:fldCharType="separate"/>
        </w:r>
        <w:r w:rsidR="007D4CCC">
          <w:rPr>
            <w:noProof/>
            <w:webHidden/>
          </w:rPr>
          <w:t>12</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85" w:history="1">
        <w:r w:rsidR="007D4CCC" w:rsidRPr="00F43E43">
          <w:rPr>
            <w:rStyle w:val="Hyperlink"/>
            <w:noProof/>
          </w:rPr>
          <w:t>État d</w:t>
        </w:r>
        <w:r w:rsidR="00A25F29">
          <w:rPr>
            <w:rStyle w:val="Hyperlink"/>
            <w:noProof/>
          </w:rPr>
          <w:t>’</w:t>
        </w:r>
        <w:r w:rsidR="007D4CCC" w:rsidRPr="00F43E43">
          <w:rPr>
            <w:rStyle w:val="Hyperlink"/>
            <w:noProof/>
          </w:rPr>
          <w:t>avancement de la mise en œuvre des recommandations en matière de supervision</w:t>
        </w:r>
        <w:r w:rsidR="007D4CCC">
          <w:rPr>
            <w:noProof/>
            <w:webHidden/>
          </w:rPr>
          <w:tab/>
        </w:r>
        <w:r w:rsidR="007D4CCC">
          <w:rPr>
            <w:noProof/>
            <w:webHidden/>
          </w:rPr>
          <w:fldChar w:fldCharType="begin"/>
        </w:r>
        <w:r w:rsidR="007D4CCC">
          <w:rPr>
            <w:noProof/>
            <w:webHidden/>
          </w:rPr>
          <w:instrText xml:space="preserve"> PAGEREF _Toc488139085 \h </w:instrText>
        </w:r>
        <w:r w:rsidR="007D4CCC">
          <w:rPr>
            <w:noProof/>
            <w:webHidden/>
          </w:rPr>
        </w:r>
        <w:r w:rsidR="007D4CCC">
          <w:rPr>
            <w:noProof/>
            <w:webHidden/>
          </w:rPr>
          <w:fldChar w:fldCharType="separate"/>
        </w:r>
        <w:r w:rsidR="007D4CCC">
          <w:rPr>
            <w:noProof/>
            <w:webHidden/>
          </w:rPr>
          <w:t>13</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86" w:history="1">
        <w:r w:rsidR="007D4CCC" w:rsidRPr="00F43E43">
          <w:rPr>
            <w:rStyle w:val="Hyperlink"/>
            <w:noProof/>
          </w:rPr>
          <w:t>Évaluation externe de la qualité de la fonction d</w:t>
        </w:r>
        <w:r w:rsidR="00A25F29">
          <w:rPr>
            <w:rStyle w:val="Hyperlink"/>
            <w:noProof/>
          </w:rPr>
          <w:t>’</w:t>
        </w:r>
        <w:r w:rsidR="007D4CCC" w:rsidRPr="00F43E43">
          <w:rPr>
            <w:rStyle w:val="Hyperlink"/>
            <w:noProof/>
          </w:rPr>
          <w:t>enquête</w:t>
        </w:r>
        <w:r w:rsidR="007D4CCC">
          <w:rPr>
            <w:noProof/>
            <w:webHidden/>
          </w:rPr>
          <w:tab/>
        </w:r>
        <w:r w:rsidR="007D4CCC">
          <w:rPr>
            <w:noProof/>
            <w:webHidden/>
          </w:rPr>
          <w:fldChar w:fldCharType="begin"/>
        </w:r>
        <w:r w:rsidR="007D4CCC">
          <w:rPr>
            <w:noProof/>
            <w:webHidden/>
          </w:rPr>
          <w:instrText xml:space="preserve"> PAGEREF _Toc488139086 \h </w:instrText>
        </w:r>
        <w:r w:rsidR="007D4CCC">
          <w:rPr>
            <w:noProof/>
            <w:webHidden/>
          </w:rPr>
        </w:r>
        <w:r w:rsidR="007D4CCC">
          <w:rPr>
            <w:noProof/>
            <w:webHidden/>
          </w:rPr>
          <w:fldChar w:fldCharType="separate"/>
        </w:r>
        <w:r w:rsidR="007D4CCC">
          <w:rPr>
            <w:noProof/>
            <w:webHidden/>
          </w:rPr>
          <w:t>15</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87" w:history="1">
        <w:r w:rsidR="007D4CCC" w:rsidRPr="00F43E43">
          <w:rPr>
            <w:rStyle w:val="Hyperlink"/>
            <w:noProof/>
          </w:rPr>
          <w:t>Activités consultatives et de conseil en matière de supervision</w:t>
        </w:r>
        <w:r w:rsidR="007D4CCC">
          <w:rPr>
            <w:noProof/>
            <w:webHidden/>
          </w:rPr>
          <w:tab/>
        </w:r>
        <w:r w:rsidR="007D4CCC">
          <w:rPr>
            <w:noProof/>
            <w:webHidden/>
          </w:rPr>
          <w:fldChar w:fldCharType="begin"/>
        </w:r>
        <w:r w:rsidR="007D4CCC">
          <w:rPr>
            <w:noProof/>
            <w:webHidden/>
          </w:rPr>
          <w:instrText xml:space="preserve"> PAGEREF _Toc488139087 \h </w:instrText>
        </w:r>
        <w:r w:rsidR="007D4CCC">
          <w:rPr>
            <w:noProof/>
            <w:webHidden/>
          </w:rPr>
        </w:r>
        <w:r w:rsidR="007D4CCC">
          <w:rPr>
            <w:noProof/>
            <w:webHidden/>
          </w:rPr>
          <w:fldChar w:fldCharType="separate"/>
        </w:r>
        <w:r w:rsidR="007D4CCC">
          <w:rPr>
            <w:noProof/>
            <w:webHidden/>
          </w:rPr>
          <w:t>15</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88" w:history="1">
        <w:r w:rsidR="007D4CCC" w:rsidRPr="00F43E43">
          <w:rPr>
            <w:rStyle w:val="Hyperlink"/>
            <w:noProof/>
          </w:rPr>
          <w:t>Coordination avec les organismes de supervision externes</w:t>
        </w:r>
        <w:r w:rsidR="007D4CCC">
          <w:rPr>
            <w:noProof/>
            <w:webHidden/>
          </w:rPr>
          <w:tab/>
        </w:r>
        <w:r w:rsidR="007D4CCC">
          <w:rPr>
            <w:noProof/>
            <w:webHidden/>
          </w:rPr>
          <w:fldChar w:fldCharType="begin"/>
        </w:r>
        <w:r w:rsidR="007D4CCC">
          <w:rPr>
            <w:noProof/>
            <w:webHidden/>
          </w:rPr>
          <w:instrText xml:space="preserve"> PAGEREF _Toc488139088 \h </w:instrText>
        </w:r>
        <w:r w:rsidR="007D4CCC">
          <w:rPr>
            <w:noProof/>
            <w:webHidden/>
          </w:rPr>
        </w:r>
        <w:r w:rsidR="007D4CCC">
          <w:rPr>
            <w:noProof/>
            <w:webHidden/>
          </w:rPr>
          <w:fldChar w:fldCharType="separate"/>
        </w:r>
        <w:r w:rsidR="007D4CCC">
          <w:rPr>
            <w:noProof/>
            <w:webHidden/>
          </w:rPr>
          <w:t>16</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89" w:history="1">
        <w:r w:rsidR="007D4CCC" w:rsidRPr="00F43E43">
          <w:rPr>
            <w:rStyle w:val="Hyperlink"/>
            <w:noProof/>
          </w:rPr>
          <w:t>Coopération avec le Bureau du médiateur et le Bureau de la déontologie</w:t>
        </w:r>
        <w:r w:rsidR="007D4CCC">
          <w:rPr>
            <w:noProof/>
            <w:webHidden/>
          </w:rPr>
          <w:tab/>
        </w:r>
        <w:r w:rsidR="007D4CCC">
          <w:rPr>
            <w:noProof/>
            <w:webHidden/>
          </w:rPr>
          <w:fldChar w:fldCharType="begin"/>
        </w:r>
        <w:r w:rsidR="007D4CCC">
          <w:rPr>
            <w:noProof/>
            <w:webHidden/>
          </w:rPr>
          <w:instrText xml:space="preserve"> PAGEREF _Toc488139089 \h </w:instrText>
        </w:r>
        <w:r w:rsidR="007D4CCC">
          <w:rPr>
            <w:noProof/>
            <w:webHidden/>
          </w:rPr>
        </w:r>
        <w:r w:rsidR="007D4CCC">
          <w:rPr>
            <w:noProof/>
            <w:webHidden/>
          </w:rPr>
          <w:fldChar w:fldCharType="separate"/>
        </w:r>
        <w:r w:rsidR="007D4CCC">
          <w:rPr>
            <w:noProof/>
            <w:webHidden/>
          </w:rPr>
          <w:t>16</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90" w:history="1">
        <w:r w:rsidR="007D4CCC" w:rsidRPr="00F43E43">
          <w:rPr>
            <w:rStyle w:val="Hyperlink"/>
            <w:noProof/>
          </w:rPr>
          <w:t>Autres activités de supervision</w:t>
        </w:r>
        <w:r w:rsidR="007D4CCC">
          <w:rPr>
            <w:noProof/>
            <w:webHidden/>
          </w:rPr>
          <w:tab/>
        </w:r>
        <w:r w:rsidR="007D4CCC">
          <w:rPr>
            <w:noProof/>
            <w:webHidden/>
          </w:rPr>
          <w:fldChar w:fldCharType="begin"/>
        </w:r>
        <w:r w:rsidR="007D4CCC">
          <w:rPr>
            <w:noProof/>
            <w:webHidden/>
          </w:rPr>
          <w:instrText xml:space="preserve"> PAGEREF _Toc488139090 \h </w:instrText>
        </w:r>
        <w:r w:rsidR="007D4CCC">
          <w:rPr>
            <w:noProof/>
            <w:webHidden/>
          </w:rPr>
        </w:r>
        <w:r w:rsidR="007D4CCC">
          <w:rPr>
            <w:noProof/>
            <w:webHidden/>
          </w:rPr>
          <w:fldChar w:fldCharType="separate"/>
        </w:r>
        <w:r w:rsidR="007D4CCC">
          <w:rPr>
            <w:noProof/>
            <w:webHidden/>
          </w:rPr>
          <w:t>16</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91" w:history="1">
        <w:r w:rsidR="007D4CCC" w:rsidRPr="00F43E43">
          <w:rPr>
            <w:rStyle w:val="Hyperlink"/>
            <w:noProof/>
          </w:rPr>
          <w:t>Indépendance des activités de la DSI</w:t>
        </w:r>
        <w:r w:rsidR="007D4CCC">
          <w:rPr>
            <w:noProof/>
            <w:webHidden/>
          </w:rPr>
          <w:tab/>
        </w:r>
        <w:r w:rsidR="007D4CCC">
          <w:rPr>
            <w:noProof/>
            <w:webHidden/>
          </w:rPr>
          <w:fldChar w:fldCharType="begin"/>
        </w:r>
        <w:r w:rsidR="007D4CCC">
          <w:rPr>
            <w:noProof/>
            <w:webHidden/>
          </w:rPr>
          <w:instrText xml:space="preserve"> PAGEREF _Toc488139091 \h </w:instrText>
        </w:r>
        <w:r w:rsidR="007D4CCC">
          <w:rPr>
            <w:noProof/>
            <w:webHidden/>
          </w:rPr>
        </w:r>
        <w:r w:rsidR="007D4CCC">
          <w:rPr>
            <w:noProof/>
            <w:webHidden/>
          </w:rPr>
          <w:fldChar w:fldCharType="separate"/>
        </w:r>
        <w:r w:rsidR="007D4CCC">
          <w:rPr>
            <w:noProof/>
            <w:webHidden/>
          </w:rPr>
          <w:t>17</w:t>
        </w:r>
        <w:r w:rsidR="007D4CCC">
          <w:rPr>
            <w:noProof/>
            <w:webHidden/>
          </w:rPr>
          <w:fldChar w:fldCharType="end"/>
        </w:r>
      </w:hyperlink>
    </w:p>
    <w:p w:rsidR="007D4CCC" w:rsidRDefault="00F77457" w:rsidP="007D4CCC">
      <w:pPr>
        <w:pStyle w:val="TOC1"/>
        <w:rPr>
          <w:rFonts w:asciiTheme="minorHAnsi" w:eastAsiaTheme="minorEastAsia" w:hAnsiTheme="minorHAnsi" w:cstheme="minorBidi"/>
          <w:noProof/>
          <w:szCs w:val="22"/>
          <w:lang w:val="fr-FR" w:eastAsia="fr-FR"/>
        </w:rPr>
      </w:pPr>
      <w:hyperlink w:anchor="_Toc488139092" w:history="1">
        <w:r w:rsidR="007D4CCC" w:rsidRPr="00F43E43">
          <w:rPr>
            <w:rStyle w:val="Hyperlink"/>
            <w:noProof/>
          </w:rPr>
          <w:t>Ressources en matière de supervision</w:t>
        </w:r>
        <w:r w:rsidR="007D4CCC">
          <w:rPr>
            <w:noProof/>
            <w:webHidden/>
          </w:rPr>
          <w:tab/>
        </w:r>
        <w:r w:rsidR="007D4CCC">
          <w:rPr>
            <w:noProof/>
            <w:webHidden/>
          </w:rPr>
          <w:fldChar w:fldCharType="begin"/>
        </w:r>
        <w:r w:rsidR="007D4CCC">
          <w:rPr>
            <w:noProof/>
            <w:webHidden/>
          </w:rPr>
          <w:instrText xml:space="preserve"> PAGEREF _Toc488139092 \h </w:instrText>
        </w:r>
        <w:r w:rsidR="007D4CCC">
          <w:rPr>
            <w:noProof/>
            <w:webHidden/>
          </w:rPr>
        </w:r>
        <w:r w:rsidR="007D4CCC">
          <w:rPr>
            <w:noProof/>
            <w:webHidden/>
          </w:rPr>
          <w:fldChar w:fldCharType="separate"/>
        </w:r>
        <w:r w:rsidR="007D4CCC">
          <w:rPr>
            <w:noProof/>
            <w:webHidden/>
          </w:rPr>
          <w:t>17</w:t>
        </w:r>
        <w:r w:rsidR="007D4CCC">
          <w:rPr>
            <w:noProof/>
            <w:webHidden/>
          </w:rPr>
          <w:fldChar w:fldCharType="end"/>
        </w:r>
      </w:hyperlink>
    </w:p>
    <w:p w:rsidR="00C55FF8" w:rsidRPr="007D4CCC" w:rsidRDefault="004B6701" w:rsidP="003B5D17">
      <w:pPr>
        <w:keepLines/>
        <w:tabs>
          <w:tab w:val="left" w:leader="dot" w:pos="8910"/>
        </w:tabs>
        <w:spacing w:before="240" w:after="120"/>
        <w:rPr>
          <w:lang w:val="fr-FR"/>
        </w:rPr>
      </w:pPr>
      <w:r w:rsidRPr="007D4CCC">
        <w:rPr>
          <w:lang w:val="fr-FR"/>
        </w:rPr>
        <w:fldChar w:fldCharType="end"/>
      </w:r>
    </w:p>
    <w:p w:rsidR="00C55FF8" w:rsidRPr="007D4CCC" w:rsidRDefault="00AF5E57" w:rsidP="003B5D17">
      <w:pPr>
        <w:keepLines/>
        <w:tabs>
          <w:tab w:val="left" w:leader="dot" w:pos="8910"/>
        </w:tabs>
        <w:spacing w:after="220"/>
        <w:rPr>
          <w:b/>
          <w:lang w:val="fr-FR"/>
        </w:rPr>
      </w:pPr>
      <w:r w:rsidRPr="007D4CCC">
        <w:rPr>
          <w:b/>
          <w:lang w:val="fr-FR"/>
        </w:rPr>
        <w:t>ANNEXES</w:t>
      </w:r>
    </w:p>
    <w:p w:rsidR="00B84CCD" w:rsidRPr="007D4CCC" w:rsidRDefault="00AF5E57" w:rsidP="003B5D17">
      <w:pPr>
        <w:keepLines/>
        <w:tabs>
          <w:tab w:val="left" w:pos="1418"/>
          <w:tab w:val="left" w:pos="1985"/>
        </w:tabs>
        <w:rPr>
          <w:lang w:val="fr-FR"/>
        </w:rPr>
      </w:pPr>
      <w:r w:rsidRPr="007D4CCC">
        <w:rPr>
          <w:lang w:val="fr-FR"/>
        </w:rPr>
        <w:t xml:space="preserve">ANNEXE I </w:t>
      </w:r>
      <w:r w:rsidRPr="007D4CCC">
        <w:rPr>
          <w:lang w:val="fr-FR"/>
        </w:rPr>
        <w:tab/>
        <w:t xml:space="preserve">– </w:t>
      </w:r>
      <w:r w:rsidRPr="007D4CCC">
        <w:rPr>
          <w:lang w:val="fr-FR"/>
        </w:rPr>
        <w:tab/>
        <w:t>Liste des rapports établis par</w:t>
      </w:r>
      <w:r w:rsidR="00B84CCD" w:rsidRPr="007D4CCC">
        <w:rPr>
          <w:lang w:val="fr-FR"/>
        </w:rPr>
        <w:t xml:space="preserve"> la </w:t>
      </w:r>
      <w:proofErr w:type="spellStart"/>
      <w:r w:rsidR="00B84CCD" w:rsidRPr="007D4CCC">
        <w:rPr>
          <w:lang w:val="fr-FR"/>
        </w:rPr>
        <w:t>DSI</w:t>
      </w:r>
      <w:proofErr w:type="spellEnd"/>
    </w:p>
    <w:p w:rsidR="00C55FF8" w:rsidRPr="007D4CCC" w:rsidRDefault="00AF5E57" w:rsidP="003B5D17">
      <w:pPr>
        <w:keepLines/>
        <w:tabs>
          <w:tab w:val="left" w:pos="1418"/>
          <w:tab w:val="left" w:pos="1985"/>
        </w:tabs>
        <w:rPr>
          <w:lang w:val="fr-FR"/>
        </w:rPr>
      </w:pPr>
      <w:r w:rsidRPr="007D4CCC">
        <w:rPr>
          <w:lang w:val="fr-FR"/>
        </w:rPr>
        <w:t>ANNEXE</w:t>
      </w:r>
      <w:r w:rsidR="00B65F3C" w:rsidRPr="007D4CCC">
        <w:rPr>
          <w:lang w:val="fr-FR"/>
        </w:rPr>
        <w:t> </w:t>
      </w:r>
      <w:r w:rsidRPr="007D4CCC">
        <w:rPr>
          <w:lang w:val="fr-FR"/>
        </w:rPr>
        <w:t xml:space="preserve">II </w:t>
      </w:r>
      <w:r w:rsidRPr="007D4CCC">
        <w:rPr>
          <w:lang w:val="fr-FR"/>
        </w:rPr>
        <w:tab/>
        <w:t xml:space="preserve">– </w:t>
      </w:r>
      <w:r w:rsidRPr="007D4CCC">
        <w:rPr>
          <w:lang w:val="fr-FR"/>
        </w:rPr>
        <w:tab/>
        <w:t>Liste des activités de consultation et de conseil menées par</w:t>
      </w:r>
      <w:r w:rsidR="00B84CCD" w:rsidRPr="007D4CCC">
        <w:rPr>
          <w:lang w:val="fr-FR"/>
        </w:rPr>
        <w:t xml:space="preserve"> la </w:t>
      </w:r>
      <w:proofErr w:type="spellStart"/>
      <w:r w:rsidR="00B84CCD" w:rsidRPr="007D4CCC">
        <w:rPr>
          <w:lang w:val="fr-FR"/>
        </w:rPr>
        <w:t>DSI</w:t>
      </w:r>
      <w:proofErr w:type="spellEnd"/>
    </w:p>
    <w:p w:rsidR="00C55FF8" w:rsidRPr="007D4CCC" w:rsidRDefault="00C55FF8" w:rsidP="003B5D17">
      <w:pPr>
        <w:keepLines/>
        <w:tabs>
          <w:tab w:val="left" w:pos="1134"/>
          <w:tab w:val="left" w:pos="1560"/>
        </w:tabs>
        <w:rPr>
          <w:lang w:val="fr-FR"/>
        </w:rPr>
      </w:pPr>
    </w:p>
    <w:p w:rsidR="00C55FF8" w:rsidRPr="007D4CCC" w:rsidRDefault="00907F45" w:rsidP="003B5D17">
      <w:pPr>
        <w:rPr>
          <w:b/>
          <w:bCs/>
          <w:caps/>
          <w:kern w:val="32"/>
          <w:szCs w:val="32"/>
          <w:lang w:val="fr-FR"/>
        </w:rPr>
      </w:pPr>
      <w:r w:rsidRPr="007D4CCC">
        <w:rPr>
          <w:lang w:val="fr-FR"/>
        </w:rPr>
        <w:br w:type="page"/>
      </w:r>
    </w:p>
    <w:p w:rsidR="002928D3" w:rsidRPr="007D4CCC" w:rsidRDefault="00AF5E57" w:rsidP="008122AE">
      <w:pPr>
        <w:pStyle w:val="Heading1"/>
        <w:rPr>
          <w:lang w:val="fr-FR"/>
        </w:rPr>
      </w:pPr>
      <w:bookmarkStart w:id="14" w:name="_Toc488139078"/>
      <w:r w:rsidRPr="007D4CCC">
        <w:rPr>
          <w:lang w:val="fr-FR"/>
        </w:rPr>
        <w:lastRenderedPageBreak/>
        <w:t>Liste des sigles</w:t>
      </w:r>
      <w:bookmarkEnd w:id="14"/>
    </w:p>
    <w:tbl>
      <w:tblPr>
        <w:tblStyle w:val="TableGrid"/>
        <w:tblW w:w="5000" w:type="pct"/>
        <w:tblInd w:w="0" w:type="dxa"/>
        <w:tblCellMar>
          <w:top w:w="57" w:type="dxa"/>
          <w:bottom w:w="57" w:type="dxa"/>
        </w:tblCellMar>
        <w:tblLook w:val="01E0" w:firstRow="1" w:lastRow="1" w:firstColumn="1" w:lastColumn="1" w:noHBand="0" w:noVBand="0"/>
      </w:tblPr>
      <w:tblGrid>
        <w:gridCol w:w="1523"/>
        <w:gridCol w:w="8049"/>
      </w:tblGrid>
      <w:tr w:rsidR="00E802E0" w:rsidRPr="007D4CCC" w:rsidTr="008122AE">
        <w:trPr>
          <w:cantSplit/>
        </w:trPr>
        <w:tc>
          <w:tcPr>
            <w:tcW w:w="1526" w:type="dxa"/>
          </w:tcPr>
          <w:p w:rsidR="00E802E0" w:rsidRPr="007D4CCC" w:rsidRDefault="00E802E0" w:rsidP="008122AE">
            <w:pPr>
              <w:spacing w:after="0" w:line="240" w:lineRule="auto"/>
              <w:ind w:left="0"/>
              <w:rPr>
                <w:b/>
              </w:rPr>
            </w:pPr>
            <w:proofErr w:type="spellStart"/>
            <w:r w:rsidRPr="007D4CCC">
              <w:rPr>
                <w:b/>
              </w:rPr>
              <w:t>AIMS</w:t>
            </w:r>
            <w:proofErr w:type="spellEnd"/>
            <w:r w:rsidRPr="007D4CCC">
              <w:rPr>
                <w:b/>
              </w:rPr>
              <w:t xml:space="preserve"> </w:t>
            </w:r>
            <w:proofErr w:type="spellStart"/>
            <w:r w:rsidRPr="007D4CCC">
              <w:rPr>
                <w:b/>
              </w:rPr>
              <w:t>HR</w:t>
            </w:r>
            <w:proofErr w:type="spellEnd"/>
          </w:p>
        </w:tc>
        <w:tc>
          <w:tcPr>
            <w:tcW w:w="8079" w:type="dxa"/>
          </w:tcPr>
          <w:p w:rsidR="00E802E0" w:rsidRPr="007D4CCC" w:rsidRDefault="00E802E0" w:rsidP="008122AE">
            <w:pPr>
              <w:spacing w:after="0" w:line="240" w:lineRule="auto"/>
              <w:ind w:left="0"/>
            </w:pPr>
            <w:r w:rsidRPr="007D4CCC">
              <w:t>Système de gestion de l</w:t>
            </w:r>
            <w:r w:rsidR="00A25F29">
              <w:t>’</w:t>
            </w:r>
            <w:r w:rsidRPr="007D4CCC">
              <w:t>information administrative pour les ressources humaines</w:t>
            </w:r>
          </w:p>
        </w:tc>
      </w:tr>
      <w:tr w:rsidR="00E802E0" w:rsidRPr="007D4CCC" w:rsidTr="008122AE">
        <w:trPr>
          <w:cantSplit/>
        </w:trPr>
        <w:tc>
          <w:tcPr>
            <w:tcW w:w="1526" w:type="dxa"/>
          </w:tcPr>
          <w:p w:rsidR="00E802E0" w:rsidRPr="007D4CCC" w:rsidRDefault="00E802E0" w:rsidP="008122AE">
            <w:pPr>
              <w:spacing w:after="0" w:line="240" w:lineRule="auto"/>
              <w:ind w:left="0"/>
              <w:rPr>
                <w:b/>
              </w:rPr>
            </w:pPr>
            <w:r w:rsidRPr="007D4CCC">
              <w:rPr>
                <w:b/>
              </w:rPr>
              <w:t>CCI</w:t>
            </w:r>
          </w:p>
        </w:tc>
        <w:tc>
          <w:tcPr>
            <w:tcW w:w="8079" w:type="dxa"/>
          </w:tcPr>
          <w:p w:rsidR="00E802E0" w:rsidRPr="007D4CCC" w:rsidRDefault="00E802E0" w:rsidP="008122AE">
            <w:pPr>
              <w:spacing w:after="0" w:line="240" w:lineRule="auto"/>
              <w:ind w:left="0"/>
            </w:pPr>
            <w:r w:rsidRPr="007D4CCC">
              <w:t>Corps commun d</w:t>
            </w:r>
            <w:r w:rsidR="00A25F29">
              <w:t>’</w:t>
            </w:r>
            <w:r w:rsidRPr="007D4CCC">
              <w:t>inspection</w:t>
            </w:r>
          </w:p>
        </w:tc>
      </w:tr>
      <w:tr w:rsidR="00E802E0" w:rsidRPr="007D4CCC" w:rsidTr="008122AE">
        <w:trPr>
          <w:cantSplit/>
        </w:trPr>
        <w:tc>
          <w:tcPr>
            <w:tcW w:w="1526" w:type="dxa"/>
          </w:tcPr>
          <w:p w:rsidR="00E802E0" w:rsidRPr="007D4CCC" w:rsidRDefault="00E802E0" w:rsidP="008122AE">
            <w:pPr>
              <w:spacing w:after="0" w:line="240" w:lineRule="auto"/>
              <w:ind w:left="0"/>
              <w:rPr>
                <w:b/>
              </w:rPr>
            </w:pPr>
            <w:proofErr w:type="spellStart"/>
            <w:r w:rsidRPr="007D4CCC">
              <w:rPr>
                <w:b/>
              </w:rPr>
              <w:t>CDIP</w:t>
            </w:r>
            <w:proofErr w:type="spellEnd"/>
          </w:p>
        </w:tc>
        <w:tc>
          <w:tcPr>
            <w:tcW w:w="8079" w:type="dxa"/>
          </w:tcPr>
          <w:p w:rsidR="00E802E0" w:rsidRPr="007D4CCC" w:rsidRDefault="00E802E0" w:rsidP="008122AE">
            <w:pPr>
              <w:spacing w:after="0" w:line="240" w:lineRule="auto"/>
              <w:ind w:left="0"/>
            </w:pPr>
            <w:r w:rsidRPr="007D4CCC">
              <w:t>Comité du développement et de la propriété intellectuelle</w:t>
            </w:r>
          </w:p>
        </w:tc>
      </w:tr>
      <w:tr w:rsidR="00E802E0" w:rsidRPr="007D4CCC" w:rsidTr="008122AE">
        <w:trPr>
          <w:cantSplit/>
        </w:trPr>
        <w:tc>
          <w:tcPr>
            <w:tcW w:w="1526" w:type="dxa"/>
          </w:tcPr>
          <w:p w:rsidR="00E802E0" w:rsidRPr="007D4CCC" w:rsidRDefault="00E802E0" w:rsidP="008122AE">
            <w:pPr>
              <w:spacing w:after="0" w:line="240" w:lineRule="auto"/>
              <w:ind w:left="0"/>
              <w:rPr>
                <w:b/>
              </w:rPr>
            </w:pPr>
            <w:r w:rsidRPr="007D4CCC">
              <w:rPr>
                <w:b/>
              </w:rPr>
              <w:t>CII</w:t>
            </w:r>
          </w:p>
        </w:tc>
        <w:tc>
          <w:tcPr>
            <w:tcW w:w="8079" w:type="dxa"/>
          </w:tcPr>
          <w:p w:rsidR="00E802E0" w:rsidRPr="007D4CCC" w:rsidRDefault="00E802E0" w:rsidP="008122AE">
            <w:pPr>
              <w:spacing w:after="0" w:line="240" w:lineRule="auto"/>
              <w:ind w:left="0"/>
            </w:pPr>
            <w:r w:rsidRPr="007D4CCC">
              <w:t>Conférence des enquêteurs internationaux</w:t>
            </w:r>
          </w:p>
        </w:tc>
      </w:tr>
      <w:tr w:rsidR="00E802E0" w:rsidRPr="007D4CCC" w:rsidTr="008122AE">
        <w:trPr>
          <w:cantSplit/>
        </w:trPr>
        <w:tc>
          <w:tcPr>
            <w:tcW w:w="1526" w:type="dxa"/>
          </w:tcPr>
          <w:p w:rsidR="00E802E0" w:rsidRPr="007D4CCC" w:rsidRDefault="00E802E0" w:rsidP="008122AE">
            <w:pPr>
              <w:spacing w:after="0" w:line="240" w:lineRule="auto"/>
              <w:ind w:left="0"/>
              <w:rPr>
                <w:b/>
              </w:rPr>
            </w:pPr>
            <w:proofErr w:type="spellStart"/>
            <w:r w:rsidRPr="007D4CCC">
              <w:rPr>
                <w:b/>
              </w:rPr>
              <w:t>DGRH</w:t>
            </w:r>
            <w:proofErr w:type="spellEnd"/>
          </w:p>
        </w:tc>
        <w:tc>
          <w:tcPr>
            <w:tcW w:w="8079" w:type="dxa"/>
          </w:tcPr>
          <w:p w:rsidR="00E802E0" w:rsidRPr="007D4CCC" w:rsidRDefault="00E802E0" w:rsidP="008122AE">
            <w:pPr>
              <w:spacing w:after="0" w:line="240" w:lineRule="auto"/>
              <w:ind w:left="0"/>
            </w:pPr>
            <w:r w:rsidRPr="007D4CCC">
              <w:t>Département de la gestion des ressources humaines</w:t>
            </w:r>
          </w:p>
        </w:tc>
      </w:tr>
      <w:tr w:rsidR="00E802E0" w:rsidRPr="007D4CCC" w:rsidTr="008122AE">
        <w:trPr>
          <w:cantSplit/>
        </w:trPr>
        <w:tc>
          <w:tcPr>
            <w:tcW w:w="1526" w:type="dxa"/>
          </w:tcPr>
          <w:p w:rsidR="00E802E0" w:rsidRPr="007D4CCC" w:rsidRDefault="00E802E0" w:rsidP="008122AE">
            <w:pPr>
              <w:spacing w:after="0" w:line="240" w:lineRule="auto"/>
              <w:ind w:left="0"/>
              <w:rPr>
                <w:b/>
              </w:rPr>
            </w:pPr>
            <w:proofErr w:type="spellStart"/>
            <w:r w:rsidRPr="007D4CCC">
              <w:rPr>
                <w:b/>
              </w:rPr>
              <w:t>DSI</w:t>
            </w:r>
            <w:proofErr w:type="spellEnd"/>
          </w:p>
        </w:tc>
        <w:tc>
          <w:tcPr>
            <w:tcW w:w="8079" w:type="dxa"/>
          </w:tcPr>
          <w:p w:rsidR="00E802E0" w:rsidRPr="007D4CCC" w:rsidRDefault="00E802E0" w:rsidP="008122AE">
            <w:pPr>
              <w:spacing w:after="0" w:line="240" w:lineRule="auto"/>
              <w:ind w:left="0"/>
            </w:pPr>
            <w:r w:rsidRPr="007D4CCC">
              <w:t>Division de la supervision interne</w:t>
            </w:r>
          </w:p>
        </w:tc>
      </w:tr>
      <w:tr w:rsidR="00E802E0" w:rsidRPr="007D4CCC" w:rsidTr="008122AE">
        <w:trPr>
          <w:cantSplit/>
        </w:trPr>
        <w:tc>
          <w:tcPr>
            <w:tcW w:w="1526" w:type="dxa"/>
          </w:tcPr>
          <w:p w:rsidR="00E802E0" w:rsidRPr="007D4CCC" w:rsidRDefault="00E802E0" w:rsidP="008122AE">
            <w:pPr>
              <w:spacing w:after="0" w:line="240" w:lineRule="auto"/>
              <w:ind w:left="0"/>
              <w:rPr>
                <w:b/>
              </w:rPr>
            </w:pPr>
            <w:proofErr w:type="spellStart"/>
            <w:r w:rsidRPr="007D4CCC">
              <w:rPr>
                <w:b/>
              </w:rPr>
              <w:t>GNUE</w:t>
            </w:r>
            <w:proofErr w:type="spellEnd"/>
          </w:p>
        </w:tc>
        <w:tc>
          <w:tcPr>
            <w:tcW w:w="8079" w:type="dxa"/>
          </w:tcPr>
          <w:p w:rsidR="00E802E0" w:rsidRPr="007D4CCC" w:rsidRDefault="00E802E0" w:rsidP="008122AE">
            <w:pPr>
              <w:spacing w:after="0" w:line="240" w:lineRule="auto"/>
              <w:ind w:left="0"/>
            </w:pPr>
            <w:r w:rsidRPr="007D4CCC">
              <w:t xml:space="preserve">Groupe des </w:t>
            </w:r>
            <w:r w:rsidR="00A25F29">
              <w:t>Nations Unies</w:t>
            </w:r>
            <w:r w:rsidRPr="007D4CCC">
              <w:t xml:space="preserve"> pour l</w:t>
            </w:r>
            <w:r w:rsidR="00A25F29">
              <w:t>’</w:t>
            </w:r>
            <w:r w:rsidRPr="007D4CCC">
              <w:t>évaluation</w:t>
            </w:r>
          </w:p>
        </w:tc>
      </w:tr>
      <w:tr w:rsidR="00E802E0" w:rsidRPr="007D4CCC" w:rsidTr="008122AE">
        <w:tblPrEx>
          <w:tblLook w:val="04A0" w:firstRow="1" w:lastRow="0" w:firstColumn="1" w:lastColumn="0" w:noHBand="0" w:noVBand="1"/>
        </w:tblPrEx>
        <w:trPr>
          <w:cantSplit/>
        </w:trPr>
        <w:tc>
          <w:tcPr>
            <w:tcW w:w="1526" w:type="dxa"/>
          </w:tcPr>
          <w:p w:rsidR="00E802E0" w:rsidRPr="007D4CCC" w:rsidRDefault="00E802E0" w:rsidP="008122AE">
            <w:pPr>
              <w:spacing w:after="0" w:line="240" w:lineRule="auto"/>
              <w:ind w:left="0"/>
              <w:rPr>
                <w:b/>
              </w:rPr>
            </w:pPr>
            <w:r w:rsidRPr="007D4CCC">
              <w:rPr>
                <w:b/>
              </w:rPr>
              <w:t>IIA</w:t>
            </w:r>
          </w:p>
        </w:tc>
        <w:tc>
          <w:tcPr>
            <w:tcW w:w="8079" w:type="dxa"/>
          </w:tcPr>
          <w:p w:rsidR="00E802E0" w:rsidRPr="007D4CCC" w:rsidRDefault="00E802E0" w:rsidP="008122AE">
            <w:pPr>
              <w:spacing w:after="0" w:line="240" w:lineRule="auto"/>
              <w:ind w:left="0"/>
            </w:pPr>
            <w:r w:rsidRPr="007D4CCC">
              <w:t>Institut des auditeurs internes</w:t>
            </w:r>
          </w:p>
        </w:tc>
      </w:tr>
      <w:tr w:rsidR="00E802E0" w:rsidRPr="007D4CCC" w:rsidTr="008122AE">
        <w:trPr>
          <w:cantSplit/>
        </w:trPr>
        <w:tc>
          <w:tcPr>
            <w:tcW w:w="1526" w:type="dxa"/>
          </w:tcPr>
          <w:p w:rsidR="00E802E0" w:rsidRPr="007D4CCC" w:rsidRDefault="00E802E0" w:rsidP="008122AE">
            <w:pPr>
              <w:spacing w:after="0" w:line="240" w:lineRule="auto"/>
              <w:ind w:left="0"/>
              <w:rPr>
                <w:b/>
              </w:rPr>
            </w:pPr>
            <w:r w:rsidRPr="007D4CCC">
              <w:rPr>
                <w:b/>
              </w:rPr>
              <w:t>ISO</w:t>
            </w:r>
          </w:p>
        </w:tc>
        <w:tc>
          <w:tcPr>
            <w:tcW w:w="8079" w:type="dxa"/>
          </w:tcPr>
          <w:p w:rsidR="00E802E0" w:rsidRPr="007D4CCC" w:rsidRDefault="00E802E0" w:rsidP="008122AE">
            <w:pPr>
              <w:spacing w:after="0" w:line="240" w:lineRule="auto"/>
              <w:ind w:left="0"/>
            </w:pPr>
            <w:r w:rsidRPr="007D4CCC">
              <w:t>Organisation internationale de normalisation</w:t>
            </w:r>
          </w:p>
        </w:tc>
      </w:tr>
      <w:tr w:rsidR="00E802E0" w:rsidRPr="007D4CCC" w:rsidTr="008122AE">
        <w:trPr>
          <w:cantSplit/>
        </w:trPr>
        <w:tc>
          <w:tcPr>
            <w:tcW w:w="1526" w:type="dxa"/>
          </w:tcPr>
          <w:p w:rsidR="00E802E0" w:rsidRPr="007D4CCC" w:rsidRDefault="00E802E0" w:rsidP="008122AE">
            <w:pPr>
              <w:spacing w:after="0" w:line="240" w:lineRule="auto"/>
              <w:ind w:left="0"/>
              <w:rPr>
                <w:b/>
              </w:rPr>
            </w:pPr>
            <w:proofErr w:type="spellStart"/>
            <w:r w:rsidRPr="007D4CCC">
              <w:rPr>
                <w:b/>
              </w:rPr>
              <w:t>MIRIS</w:t>
            </w:r>
            <w:proofErr w:type="spellEnd"/>
          </w:p>
        </w:tc>
        <w:tc>
          <w:tcPr>
            <w:tcW w:w="8079" w:type="dxa"/>
          </w:tcPr>
          <w:p w:rsidR="00E802E0" w:rsidRPr="007D4CCC" w:rsidRDefault="00E802E0" w:rsidP="008122AE">
            <w:pPr>
              <w:spacing w:after="0" w:line="240" w:lineRule="auto"/>
              <w:ind w:left="0"/>
            </w:pPr>
            <w:r w:rsidRPr="007D4CCC">
              <w:t>Madrid International Registrations Information System</w:t>
            </w:r>
          </w:p>
        </w:tc>
      </w:tr>
      <w:tr w:rsidR="00E802E0" w:rsidRPr="007D4CCC" w:rsidTr="008122AE">
        <w:trPr>
          <w:cantSplit/>
        </w:trPr>
        <w:tc>
          <w:tcPr>
            <w:tcW w:w="1526" w:type="dxa"/>
          </w:tcPr>
          <w:p w:rsidR="00E802E0" w:rsidRPr="007D4CCC" w:rsidRDefault="00E802E0" w:rsidP="008122AE">
            <w:pPr>
              <w:spacing w:after="0" w:line="240" w:lineRule="auto"/>
              <w:ind w:left="0"/>
              <w:rPr>
                <w:b/>
              </w:rPr>
            </w:pPr>
            <w:proofErr w:type="spellStart"/>
            <w:r w:rsidRPr="007D4CCC">
              <w:rPr>
                <w:b/>
              </w:rPr>
              <w:t>OCIS</w:t>
            </w:r>
            <w:proofErr w:type="spellEnd"/>
          </w:p>
        </w:tc>
        <w:tc>
          <w:tcPr>
            <w:tcW w:w="8079" w:type="dxa"/>
          </w:tcPr>
          <w:p w:rsidR="00E802E0" w:rsidRPr="007D4CCC" w:rsidRDefault="00E802E0" w:rsidP="008122AE">
            <w:pPr>
              <w:spacing w:after="0" w:line="240" w:lineRule="auto"/>
              <w:ind w:left="0"/>
            </w:pPr>
            <w:r w:rsidRPr="007D4CCC">
              <w:t>Organe consultatif indépendant de surveillance</w:t>
            </w:r>
          </w:p>
        </w:tc>
      </w:tr>
      <w:tr w:rsidR="00E802E0" w:rsidRPr="007D4CCC" w:rsidTr="008122AE">
        <w:trPr>
          <w:cantSplit/>
        </w:trPr>
        <w:tc>
          <w:tcPr>
            <w:tcW w:w="1526" w:type="dxa"/>
          </w:tcPr>
          <w:p w:rsidR="00E802E0" w:rsidRPr="007D4CCC" w:rsidRDefault="00E802E0" w:rsidP="008122AE">
            <w:pPr>
              <w:spacing w:after="0" w:line="240" w:lineRule="auto"/>
              <w:ind w:left="0"/>
              <w:rPr>
                <w:b/>
              </w:rPr>
            </w:pPr>
            <w:proofErr w:type="spellStart"/>
            <w:r w:rsidRPr="007D4CCC">
              <w:rPr>
                <w:b/>
              </w:rPr>
              <w:t>OMPI</w:t>
            </w:r>
            <w:proofErr w:type="spellEnd"/>
          </w:p>
        </w:tc>
        <w:tc>
          <w:tcPr>
            <w:tcW w:w="8079" w:type="dxa"/>
          </w:tcPr>
          <w:p w:rsidR="00E802E0" w:rsidRPr="007D4CCC" w:rsidRDefault="00E802E0" w:rsidP="008122AE">
            <w:pPr>
              <w:spacing w:after="0" w:line="240" w:lineRule="auto"/>
              <w:ind w:left="0"/>
            </w:pPr>
            <w:r w:rsidRPr="007D4CCC">
              <w:t>Organisation Mondiale de la Propriété Intellectuelle</w:t>
            </w:r>
          </w:p>
        </w:tc>
      </w:tr>
      <w:tr w:rsidR="00E802E0" w:rsidRPr="007D4CCC" w:rsidTr="008122AE">
        <w:trPr>
          <w:cantSplit/>
        </w:trPr>
        <w:tc>
          <w:tcPr>
            <w:tcW w:w="1526" w:type="dxa"/>
          </w:tcPr>
          <w:p w:rsidR="00E802E0" w:rsidRPr="007D4CCC" w:rsidRDefault="00E802E0" w:rsidP="008122AE">
            <w:pPr>
              <w:spacing w:after="0" w:line="240" w:lineRule="auto"/>
              <w:ind w:left="0"/>
              <w:rPr>
                <w:b/>
              </w:rPr>
            </w:pPr>
            <w:r w:rsidRPr="007D4CCC">
              <w:rPr>
                <w:b/>
              </w:rPr>
              <w:t>ONU</w:t>
            </w:r>
          </w:p>
        </w:tc>
        <w:tc>
          <w:tcPr>
            <w:tcW w:w="8079" w:type="dxa"/>
          </w:tcPr>
          <w:p w:rsidR="00E802E0" w:rsidRPr="007D4CCC" w:rsidRDefault="00E802E0" w:rsidP="008122AE">
            <w:pPr>
              <w:spacing w:after="0" w:line="240" w:lineRule="auto"/>
              <w:ind w:left="0"/>
            </w:pPr>
            <w:r w:rsidRPr="007D4CCC">
              <w:t xml:space="preserve">Organisation des </w:t>
            </w:r>
            <w:r w:rsidR="00A25F29">
              <w:t>Nations Unies</w:t>
            </w:r>
          </w:p>
        </w:tc>
      </w:tr>
      <w:tr w:rsidR="00E802E0" w:rsidRPr="007D4CCC" w:rsidTr="008122AE">
        <w:trPr>
          <w:cantSplit/>
        </w:trPr>
        <w:tc>
          <w:tcPr>
            <w:tcW w:w="1526" w:type="dxa"/>
          </w:tcPr>
          <w:p w:rsidR="00E802E0" w:rsidRPr="007D4CCC" w:rsidRDefault="00E802E0" w:rsidP="008122AE">
            <w:pPr>
              <w:spacing w:after="0" w:line="240" w:lineRule="auto"/>
              <w:ind w:left="0"/>
              <w:rPr>
                <w:b/>
              </w:rPr>
            </w:pPr>
            <w:r w:rsidRPr="007D4CCC">
              <w:rPr>
                <w:b/>
              </w:rPr>
              <w:t>PAM</w:t>
            </w:r>
          </w:p>
        </w:tc>
        <w:tc>
          <w:tcPr>
            <w:tcW w:w="8079" w:type="dxa"/>
          </w:tcPr>
          <w:p w:rsidR="00E802E0" w:rsidRPr="007D4CCC" w:rsidRDefault="00E802E0" w:rsidP="008122AE">
            <w:pPr>
              <w:spacing w:after="0" w:line="240" w:lineRule="auto"/>
              <w:ind w:left="0"/>
            </w:pPr>
            <w:r w:rsidRPr="007D4CCC">
              <w:t>Programme alimentaire mondial</w:t>
            </w:r>
          </w:p>
        </w:tc>
      </w:tr>
      <w:tr w:rsidR="00E802E0" w:rsidRPr="007D4CCC" w:rsidTr="008122AE">
        <w:trPr>
          <w:cantSplit/>
        </w:trPr>
        <w:tc>
          <w:tcPr>
            <w:tcW w:w="1526" w:type="dxa"/>
          </w:tcPr>
          <w:p w:rsidR="00E802E0" w:rsidRPr="007D4CCC" w:rsidRDefault="00E802E0" w:rsidP="008122AE">
            <w:pPr>
              <w:spacing w:after="0" w:line="240" w:lineRule="auto"/>
              <w:ind w:left="0"/>
              <w:rPr>
                <w:b/>
              </w:rPr>
            </w:pPr>
            <w:proofErr w:type="spellStart"/>
            <w:r w:rsidRPr="007D4CCC">
              <w:rPr>
                <w:b/>
              </w:rPr>
              <w:t>PBC</w:t>
            </w:r>
            <w:proofErr w:type="spellEnd"/>
          </w:p>
        </w:tc>
        <w:tc>
          <w:tcPr>
            <w:tcW w:w="8079" w:type="dxa"/>
          </w:tcPr>
          <w:p w:rsidR="00E802E0" w:rsidRPr="007D4CCC" w:rsidRDefault="00E802E0" w:rsidP="008122AE">
            <w:pPr>
              <w:spacing w:after="0" w:line="240" w:lineRule="auto"/>
              <w:ind w:left="0"/>
            </w:pPr>
            <w:r w:rsidRPr="007D4CCC">
              <w:t>Comité du programme et budget</w:t>
            </w:r>
          </w:p>
        </w:tc>
      </w:tr>
      <w:tr w:rsidR="00E802E0" w:rsidRPr="007D4CCC" w:rsidTr="008122AE">
        <w:tblPrEx>
          <w:tblLook w:val="04A0" w:firstRow="1" w:lastRow="0" w:firstColumn="1" w:lastColumn="0" w:noHBand="0" w:noVBand="1"/>
        </w:tblPrEx>
        <w:trPr>
          <w:cantSplit/>
        </w:trPr>
        <w:tc>
          <w:tcPr>
            <w:tcW w:w="1526" w:type="dxa"/>
          </w:tcPr>
          <w:p w:rsidR="00E802E0" w:rsidRPr="007D4CCC" w:rsidRDefault="00E802E0" w:rsidP="008122AE">
            <w:pPr>
              <w:spacing w:after="0" w:line="240" w:lineRule="auto"/>
              <w:ind w:left="0"/>
              <w:rPr>
                <w:b/>
              </w:rPr>
            </w:pPr>
            <w:r w:rsidRPr="007D4CCC">
              <w:rPr>
                <w:b/>
              </w:rPr>
              <w:t>TIC</w:t>
            </w:r>
          </w:p>
        </w:tc>
        <w:tc>
          <w:tcPr>
            <w:tcW w:w="8079" w:type="dxa"/>
          </w:tcPr>
          <w:p w:rsidR="00E802E0" w:rsidRPr="007D4CCC" w:rsidRDefault="00E802E0" w:rsidP="008122AE">
            <w:pPr>
              <w:spacing w:after="0" w:line="240" w:lineRule="auto"/>
              <w:ind w:left="0"/>
            </w:pPr>
            <w:r w:rsidRPr="007D4CCC">
              <w:t>Technologies de l</w:t>
            </w:r>
            <w:r w:rsidR="00A25F29">
              <w:t>’</w:t>
            </w:r>
            <w:r w:rsidRPr="007D4CCC">
              <w:t>information et de la communication</w:t>
            </w:r>
          </w:p>
        </w:tc>
      </w:tr>
      <w:tr w:rsidR="00E802E0" w:rsidRPr="007D4CCC" w:rsidTr="008122AE">
        <w:trPr>
          <w:cantSplit/>
        </w:trPr>
        <w:tc>
          <w:tcPr>
            <w:tcW w:w="1526" w:type="dxa"/>
          </w:tcPr>
          <w:p w:rsidR="00E802E0" w:rsidRPr="007D4CCC" w:rsidRDefault="00E802E0" w:rsidP="008122AE">
            <w:pPr>
              <w:spacing w:after="0" w:line="240" w:lineRule="auto"/>
              <w:ind w:left="0"/>
              <w:rPr>
                <w:b/>
              </w:rPr>
            </w:pPr>
            <w:proofErr w:type="spellStart"/>
            <w:r w:rsidRPr="007D4CCC">
              <w:rPr>
                <w:b/>
              </w:rPr>
              <w:t>UPOV</w:t>
            </w:r>
            <w:proofErr w:type="spellEnd"/>
          </w:p>
        </w:tc>
        <w:tc>
          <w:tcPr>
            <w:tcW w:w="8079" w:type="dxa"/>
          </w:tcPr>
          <w:p w:rsidR="00E802E0" w:rsidRPr="007D4CCC" w:rsidRDefault="00E802E0" w:rsidP="008122AE">
            <w:pPr>
              <w:spacing w:after="0" w:line="240" w:lineRule="auto"/>
              <w:ind w:left="0"/>
            </w:pPr>
            <w:r w:rsidRPr="007D4CCC">
              <w:t>Union internationale pour la protection des obtentions végétales</w:t>
            </w:r>
          </w:p>
        </w:tc>
      </w:tr>
    </w:tbl>
    <w:p w:rsidR="00C55FF8" w:rsidRPr="007D4CCC" w:rsidRDefault="003651AC" w:rsidP="008122AE">
      <w:pPr>
        <w:pStyle w:val="Heading1"/>
        <w:rPr>
          <w:lang w:val="fr-FR"/>
        </w:rPr>
      </w:pPr>
      <w:bookmarkStart w:id="15" w:name="_Toc392160703"/>
      <w:bookmarkStart w:id="16" w:name="_Toc392160740"/>
      <w:bookmarkStart w:id="17" w:name="_Toc423530309"/>
      <w:bookmarkStart w:id="18" w:name="_Toc423533365"/>
      <w:bookmarkStart w:id="19" w:name="_Toc423533509"/>
      <w:bookmarkStart w:id="20" w:name="_Toc452648468"/>
      <w:r w:rsidRPr="007D4CCC">
        <w:rPr>
          <w:lang w:val="fr-FR"/>
        </w:rPr>
        <w:br w:type="page"/>
      </w:r>
    </w:p>
    <w:p w:rsidR="00C55FF8" w:rsidRPr="007D4CCC" w:rsidRDefault="00FE5A1C" w:rsidP="008122AE">
      <w:pPr>
        <w:pStyle w:val="Heading1"/>
        <w:rPr>
          <w:lang w:val="fr-FR"/>
        </w:rPr>
      </w:pPr>
      <w:bookmarkStart w:id="21" w:name="_Toc488139079"/>
      <w:bookmarkEnd w:id="15"/>
      <w:bookmarkEnd w:id="16"/>
      <w:bookmarkEnd w:id="17"/>
      <w:bookmarkEnd w:id="18"/>
      <w:bookmarkEnd w:id="19"/>
      <w:bookmarkEnd w:id="20"/>
      <w:r w:rsidRPr="007D4CCC">
        <w:rPr>
          <w:lang w:val="fr-FR"/>
        </w:rPr>
        <w:lastRenderedPageBreak/>
        <w:t>Informations générales</w:t>
      </w:r>
      <w:bookmarkEnd w:id="21"/>
    </w:p>
    <w:p w:rsidR="008122AE" w:rsidRPr="007D4CCC" w:rsidRDefault="008122AE" w:rsidP="008122AE">
      <w:pPr>
        <w:rPr>
          <w:lang w:val="fr-FR"/>
        </w:rPr>
      </w:pPr>
    </w:p>
    <w:p w:rsidR="00C55FF8" w:rsidRPr="007D4CCC" w:rsidRDefault="00FE5A1C" w:rsidP="008122AE">
      <w:pPr>
        <w:pStyle w:val="ONUMFS"/>
        <w:numPr>
          <w:ilvl w:val="0"/>
          <w:numId w:val="45"/>
        </w:numPr>
        <w:rPr>
          <w:lang w:val="fr-FR"/>
        </w:rPr>
      </w:pPr>
      <w:r w:rsidRPr="007D4CCC">
        <w:rPr>
          <w:lang w:val="fr-FR"/>
        </w:rPr>
        <w:t>La Division de la supervision interne de l</w:t>
      </w:r>
      <w:r w:rsidR="00A25F29">
        <w:rPr>
          <w:lang w:val="fr-FR"/>
        </w:rPr>
        <w:t>’</w:t>
      </w:r>
      <w:r w:rsidRPr="007D4CCC">
        <w:rPr>
          <w:lang w:val="fr-FR"/>
        </w:rPr>
        <w:t>OMPI (ci</w:t>
      </w:r>
      <w:r w:rsidR="00F77457">
        <w:rPr>
          <w:lang w:val="fr-FR"/>
        </w:rPr>
        <w:noBreakHyphen/>
      </w:r>
      <w:r w:rsidRPr="007D4CCC">
        <w:rPr>
          <w:lang w:val="fr-FR"/>
        </w:rPr>
        <w:t>après dénommée “</w:t>
      </w:r>
      <w:proofErr w:type="spellStart"/>
      <w:r w:rsidRPr="007D4CCC">
        <w:rPr>
          <w:lang w:val="fr-FR"/>
        </w:rPr>
        <w:t>DSI</w:t>
      </w:r>
      <w:proofErr w:type="spellEnd"/>
      <w:r w:rsidRPr="007D4CCC">
        <w:rPr>
          <w:lang w:val="fr-FR"/>
        </w:rPr>
        <w:t>”) a pour mission d</w:t>
      </w:r>
      <w:r w:rsidR="00A25F29">
        <w:rPr>
          <w:lang w:val="fr-FR"/>
        </w:rPr>
        <w:t>’</w:t>
      </w:r>
      <w:r w:rsidRPr="007D4CCC">
        <w:rPr>
          <w:lang w:val="fr-FR"/>
        </w:rPr>
        <w:t>assurer à l</w:t>
      </w:r>
      <w:r w:rsidR="00A25F29">
        <w:rPr>
          <w:lang w:val="fr-FR"/>
        </w:rPr>
        <w:t>’</w:t>
      </w:r>
      <w:r w:rsidRPr="007D4CCC">
        <w:rPr>
          <w:lang w:val="fr-FR"/>
        </w:rPr>
        <w:t>Organisation une supervision interne indépendante et efficace, conformément aux dispositions de la Charte de la supervision interne.</w:t>
      </w:r>
    </w:p>
    <w:p w:rsidR="00C55FF8" w:rsidRPr="007D4CCC" w:rsidRDefault="00FE5A1C" w:rsidP="008122AE">
      <w:pPr>
        <w:pStyle w:val="ONUMFS"/>
        <w:rPr>
          <w:lang w:val="fr-FR"/>
        </w:rPr>
      </w:pPr>
      <w:r w:rsidRPr="007D4CCC">
        <w:rPr>
          <w:lang w:val="fr-FR"/>
        </w:rPr>
        <w:t>En vertu de la Charte de la supervision interne de l</w:t>
      </w:r>
      <w:r w:rsidR="00A25F29">
        <w:rPr>
          <w:lang w:val="fr-FR"/>
        </w:rPr>
        <w:t>’</w:t>
      </w:r>
      <w:r w:rsidRPr="007D4CCC">
        <w:rPr>
          <w:lang w:val="fr-FR"/>
        </w:rPr>
        <w:t>OMPI</w:t>
      </w:r>
      <w:r w:rsidRPr="007D4CCC">
        <w:rPr>
          <w:rStyle w:val="FootnoteReference"/>
          <w:lang w:val="fr-FR"/>
        </w:rPr>
        <w:footnoteReference w:id="2"/>
      </w:r>
      <w:r w:rsidRPr="007D4CCC">
        <w:rPr>
          <w:lang w:val="fr-FR"/>
        </w:rPr>
        <w:t>, le directeur de</w:t>
      </w:r>
      <w:r w:rsidR="00B84CCD" w:rsidRPr="007D4CCC">
        <w:rPr>
          <w:lang w:val="fr-FR"/>
        </w:rPr>
        <w:t xml:space="preserve"> la </w:t>
      </w:r>
      <w:proofErr w:type="spellStart"/>
      <w:r w:rsidR="00B84CCD" w:rsidRPr="007D4CCC">
        <w:rPr>
          <w:lang w:val="fr-FR"/>
        </w:rPr>
        <w:t>DSI</w:t>
      </w:r>
      <w:proofErr w:type="spellEnd"/>
      <w:r w:rsidRPr="007D4CCC">
        <w:rPr>
          <w:lang w:val="fr-FR"/>
        </w:rPr>
        <w:t xml:space="preserve"> soumet chaque année un rapport de synthèse à l</w:t>
      </w:r>
      <w:r w:rsidR="00A25F29">
        <w:rPr>
          <w:lang w:val="fr-FR"/>
        </w:rPr>
        <w:t>’</w:t>
      </w:r>
      <w:r w:rsidRPr="007D4CCC">
        <w:rPr>
          <w:lang w:val="fr-FR"/>
        </w:rPr>
        <w:t>Assemblée générale de l</w:t>
      </w:r>
      <w:r w:rsidR="00A25F29">
        <w:rPr>
          <w:lang w:val="fr-FR"/>
        </w:rPr>
        <w:t>’</w:t>
      </w:r>
      <w:r w:rsidRPr="007D4CCC">
        <w:rPr>
          <w:lang w:val="fr-FR"/>
        </w:rPr>
        <w:t>OMPI, dans le cadre du Comit</w:t>
      </w:r>
      <w:r w:rsidR="00A65A9D">
        <w:rPr>
          <w:lang w:val="fr-FR"/>
        </w:rPr>
        <w:t>é du programme et budget (</w:t>
      </w:r>
      <w:proofErr w:type="spellStart"/>
      <w:r w:rsidR="00A65A9D">
        <w:rPr>
          <w:lang w:val="fr-FR"/>
        </w:rPr>
        <w:t>PBC</w:t>
      </w:r>
      <w:proofErr w:type="spellEnd"/>
      <w:r w:rsidR="00A65A9D">
        <w:rPr>
          <w:lang w:val="fr-FR"/>
        </w:rPr>
        <w:t>)</w:t>
      </w:r>
      <w:r w:rsidR="002F0495" w:rsidRPr="007D4CCC">
        <w:rPr>
          <w:lang w:val="fr-FR"/>
        </w:rPr>
        <w:t xml:space="preserve">.  </w:t>
      </w:r>
      <w:bookmarkStart w:id="22" w:name="_Toc420663566"/>
      <w:bookmarkStart w:id="23" w:name="_Toc328920434"/>
      <w:r w:rsidR="002F0495" w:rsidRPr="007D4CCC">
        <w:rPr>
          <w:lang w:val="fr-FR"/>
        </w:rPr>
        <w:t>Ce</w:t>
      </w:r>
      <w:r w:rsidRPr="007D4CCC">
        <w:rPr>
          <w:lang w:val="fr-FR"/>
        </w:rPr>
        <w:t xml:space="preserve"> rapport annuel rend compte des activités de supervision interne menées au cours de la période considérée, </w:t>
      </w:r>
      <w:r w:rsidR="00A25F29">
        <w:rPr>
          <w:lang w:val="fr-FR"/>
        </w:rPr>
        <w:t>y compris</w:t>
      </w:r>
      <w:r w:rsidRPr="007D4CCC">
        <w:rPr>
          <w:lang w:val="fr-FR"/>
        </w:rPr>
        <w:t xml:space="preserve"> de la portée et des objectifs de celles</w:t>
      </w:r>
      <w:r w:rsidR="00F77457">
        <w:rPr>
          <w:lang w:val="fr-FR"/>
        </w:rPr>
        <w:noBreakHyphen/>
      </w:r>
      <w:r w:rsidRPr="007D4CCC">
        <w:rPr>
          <w:lang w:val="fr-FR"/>
        </w:rPr>
        <w:t>ci, du calendrier des travaux ainsi que des progrès réalisés dans la mise en œuvre des recommandations de supervision interne.</w:t>
      </w:r>
    </w:p>
    <w:p w:rsidR="00C55FF8" w:rsidRPr="007D4CCC" w:rsidRDefault="00C20E93" w:rsidP="008122AE">
      <w:pPr>
        <w:pStyle w:val="ONUMFS"/>
        <w:rPr>
          <w:bCs/>
          <w:caps/>
          <w:kern w:val="32"/>
          <w:szCs w:val="32"/>
          <w:lang w:val="fr-FR"/>
        </w:rPr>
      </w:pPr>
      <w:r w:rsidRPr="007D4CCC">
        <w:rPr>
          <w:bCs/>
          <w:kern w:val="32"/>
          <w:szCs w:val="32"/>
          <w:lang w:val="fr-FR"/>
        </w:rPr>
        <w:t>Conformément à la Charte de la supervision interne, une version préliminaire du rapport annuel a été fournie au Directeur général et à l</w:t>
      </w:r>
      <w:r w:rsidR="00A25F29">
        <w:rPr>
          <w:bCs/>
          <w:kern w:val="32"/>
          <w:szCs w:val="32"/>
          <w:lang w:val="fr-FR"/>
        </w:rPr>
        <w:t>’</w:t>
      </w:r>
      <w:r w:rsidRPr="007D4CCC">
        <w:rPr>
          <w:bCs/>
          <w:kern w:val="32"/>
          <w:szCs w:val="32"/>
          <w:lang w:val="fr-FR"/>
        </w:rPr>
        <w:t>Organe consultatif indépendant de surveillance (</w:t>
      </w:r>
      <w:proofErr w:type="spellStart"/>
      <w:r w:rsidRPr="007D4CCC">
        <w:rPr>
          <w:bCs/>
          <w:kern w:val="32"/>
          <w:szCs w:val="32"/>
          <w:lang w:val="fr-FR"/>
        </w:rPr>
        <w:t>OCIS</w:t>
      </w:r>
      <w:proofErr w:type="spellEnd"/>
      <w:r w:rsidRPr="007D4CCC">
        <w:rPr>
          <w:bCs/>
          <w:kern w:val="32"/>
          <w:szCs w:val="32"/>
          <w:lang w:val="fr-FR"/>
        </w:rPr>
        <w:t>) pour qu</w:t>
      </w:r>
      <w:r w:rsidR="00A25F29">
        <w:rPr>
          <w:bCs/>
          <w:kern w:val="32"/>
          <w:szCs w:val="32"/>
          <w:lang w:val="fr-FR"/>
        </w:rPr>
        <w:t>’</w:t>
      </w:r>
      <w:r w:rsidRPr="007D4CCC">
        <w:rPr>
          <w:bCs/>
          <w:kern w:val="32"/>
          <w:szCs w:val="32"/>
          <w:lang w:val="fr-FR"/>
        </w:rPr>
        <w:t>ils formulent des observations;  il a été tenu compte des observations reçues pour établir la version définitive du rapport.</w:t>
      </w:r>
    </w:p>
    <w:p w:rsidR="00C55FF8" w:rsidRPr="007D4CCC" w:rsidRDefault="00FE5A1C" w:rsidP="003B5D17">
      <w:pPr>
        <w:pStyle w:val="Heading1"/>
        <w:rPr>
          <w:lang w:val="fr-FR"/>
        </w:rPr>
      </w:pPr>
      <w:bookmarkStart w:id="24" w:name="_Toc488139080"/>
      <w:bookmarkEnd w:id="22"/>
      <w:bookmarkEnd w:id="23"/>
      <w:r w:rsidRPr="007D4CCC">
        <w:rPr>
          <w:lang w:val="fr-FR"/>
        </w:rPr>
        <w:t>Principes de planification</w:t>
      </w:r>
      <w:bookmarkEnd w:id="24"/>
    </w:p>
    <w:p w:rsidR="008122AE" w:rsidRPr="007D4CCC" w:rsidRDefault="008122AE" w:rsidP="008122AE">
      <w:pPr>
        <w:rPr>
          <w:lang w:val="fr-FR"/>
        </w:rPr>
      </w:pPr>
    </w:p>
    <w:p w:rsidR="00C55FF8" w:rsidRPr="007D4CCC" w:rsidRDefault="00FE5A1C" w:rsidP="008122AE">
      <w:pPr>
        <w:pStyle w:val="ONUMFS"/>
        <w:rPr>
          <w:lang w:val="fr-FR"/>
        </w:rPr>
      </w:pPr>
      <w:r w:rsidRPr="007D4CCC">
        <w:rPr>
          <w:lang w:val="fr-FR"/>
        </w:rPr>
        <w:t xml:space="preserve">La </w:t>
      </w:r>
      <w:proofErr w:type="spellStart"/>
      <w:r w:rsidRPr="007D4CCC">
        <w:rPr>
          <w:lang w:val="fr-FR"/>
        </w:rPr>
        <w:t>DSI</w:t>
      </w:r>
      <w:proofErr w:type="spellEnd"/>
      <w:r w:rsidRPr="007D4CCC">
        <w:rPr>
          <w:lang w:val="fr-FR"/>
        </w:rPr>
        <w:t xml:space="preserve"> a tenu compte d</w:t>
      </w:r>
      <w:r w:rsidR="00A25F29">
        <w:rPr>
          <w:lang w:val="fr-FR"/>
        </w:rPr>
        <w:t>’</w:t>
      </w:r>
      <w:r w:rsidRPr="007D4CCC">
        <w:rPr>
          <w:lang w:val="fr-FR"/>
        </w:rPr>
        <w:t>un certain nombre de facteurs dans l</w:t>
      </w:r>
      <w:r w:rsidR="00A25F29">
        <w:rPr>
          <w:lang w:val="fr-FR"/>
        </w:rPr>
        <w:t>’</w:t>
      </w:r>
      <w:r w:rsidRPr="007D4CCC">
        <w:rPr>
          <w:lang w:val="fr-FR"/>
        </w:rPr>
        <w:t>établissement de son programme de travail, tels que</w:t>
      </w:r>
      <w:r w:rsidR="00A25F29">
        <w:rPr>
          <w:lang w:val="fr-FR"/>
        </w:rPr>
        <w:t> </w:t>
      </w:r>
      <w:proofErr w:type="gramStart"/>
      <w:r w:rsidR="00A25F29">
        <w:rPr>
          <w:lang w:val="fr-FR"/>
        </w:rPr>
        <w:t>:</w:t>
      </w:r>
      <w:r w:rsidRPr="007D4CCC">
        <w:rPr>
          <w:lang w:val="fr-FR"/>
        </w:rPr>
        <w:t xml:space="preserve"> évaluation</w:t>
      </w:r>
      <w:proofErr w:type="gramEnd"/>
      <w:r w:rsidRPr="007D4CCC">
        <w:rPr>
          <w:lang w:val="fr-FR"/>
        </w:rPr>
        <w:t xml:space="preserve"> des risques, pertinence, incidence au niveau national, cycle de supervision, observations présentées par la direction de l</w:t>
      </w:r>
      <w:r w:rsidR="00A25F29">
        <w:rPr>
          <w:lang w:val="fr-FR"/>
        </w:rPr>
        <w:t>’</w:t>
      </w:r>
      <w:r w:rsidRPr="007D4CCC">
        <w:rPr>
          <w:lang w:val="fr-FR"/>
        </w:rPr>
        <w:t>OMPI, observations formulées par les États membres et ressources disponibl</w:t>
      </w:r>
      <w:r w:rsidR="00186C7F" w:rsidRPr="007D4CCC">
        <w:rPr>
          <w:lang w:val="fr-FR"/>
        </w:rPr>
        <w:t>es</w:t>
      </w:r>
      <w:r w:rsidR="00186C7F">
        <w:rPr>
          <w:lang w:val="fr-FR"/>
        </w:rPr>
        <w:t xml:space="preserve">.  </w:t>
      </w:r>
      <w:r w:rsidR="00186C7F" w:rsidRPr="007D4CCC">
        <w:rPr>
          <w:lang w:val="fr-FR"/>
        </w:rPr>
        <w:t>Le</w:t>
      </w:r>
      <w:r w:rsidRPr="007D4CCC">
        <w:rPr>
          <w:lang w:val="fr-FR"/>
        </w:rPr>
        <w:t xml:space="preserve"> projet de programme de travail de supervision a également été examiné par l</w:t>
      </w:r>
      <w:r w:rsidR="00A25F29">
        <w:rPr>
          <w:lang w:val="fr-FR"/>
        </w:rPr>
        <w:t>’</w:t>
      </w:r>
      <w:proofErr w:type="spellStart"/>
      <w:r w:rsidRPr="007D4CCC">
        <w:rPr>
          <w:lang w:val="fr-FR"/>
        </w:rPr>
        <w:t>OCIS</w:t>
      </w:r>
      <w:proofErr w:type="spellEnd"/>
      <w:r w:rsidRPr="007D4CCC">
        <w:rPr>
          <w:lang w:val="fr-FR"/>
        </w:rPr>
        <w:t xml:space="preserve"> et a bénéficié des conseils de ce dernier avant d</w:t>
      </w:r>
      <w:r w:rsidR="00A25F29">
        <w:rPr>
          <w:lang w:val="fr-FR"/>
        </w:rPr>
        <w:t>’</w:t>
      </w:r>
      <w:r w:rsidRPr="007D4CCC">
        <w:rPr>
          <w:lang w:val="fr-FR"/>
        </w:rPr>
        <w:t xml:space="preserve">être finalisé, conformément au </w:t>
      </w:r>
      <w:r w:rsidR="00B84CCD" w:rsidRPr="007D4CCC">
        <w:rPr>
          <w:lang w:val="fr-FR"/>
        </w:rPr>
        <w:t>paragraphe </w:t>
      </w:r>
      <w:proofErr w:type="spellStart"/>
      <w:r w:rsidR="00B84CCD" w:rsidRPr="007D4CCC">
        <w:rPr>
          <w:lang w:val="fr-FR"/>
        </w:rPr>
        <w:t>2</w:t>
      </w:r>
      <w:r w:rsidRPr="007D4CCC">
        <w:rPr>
          <w:lang w:val="fr-FR"/>
        </w:rPr>
        <w:t>6.a</w:t>
      </w:r>
      <w:proofErr w:type="spellEnd"/>
      <w:r w:rsidRPr="007D4CCC">
        <w:rPr>
          <w:lang w:val="fr-FR"/>
        </w:rPr>
        <w:t>) de la Charte de la supervision interne.</w:t>
      </w:r>
    </w:p>
    <w:p w:rsidR="00B84CCD" w:rsidRPr="007D4CCC" w:rsidRDefault="00FE5A1C" w:rsidP="008122AE">
      <w:pPr>
        <w:pStyle w:val="ONUMFS"/>
        <w:rPr>
          <w:lang w:val="fr-FR"/>
        </w:rPr>
      </w:pPr>
      <w:r w:rsidRPr="007D4CCC">
        <w:rPr>
          <w:lang w:val="fr-FR"/>
        </w:rPr>
        <w:t>Afin d</w:t>
      </w:r>
      <w:r w:rsidR="00A25F29">
        <w:rPr>
          <w:lang w:val="fr-FR"/>
        </w:rPr>
        <w:t>’</w:t>
      </w:r>
      <w:r w:rsidRPr="007D4CCC">
        <w:rPr>
          <w:lang w:val="fr-FR"/>
        </w:rPr>
        <w:t>assurer une couverture efficace de la supervision grâce à l</w:t>
      </w:r>
      <w:r w:rsidR="00A25F29">
        <w:rPr>
          <w:lang w:val="fr-FR"/>
        </w:rPr>
        <w:t>’</w:t>
      </w:r>
      <w:r w:rsidRPr="007D4CCC">
        <w:rPr>
          <w:lang w:val="fr-FR"/>
        </w:rPr>
        <w:t>utilisation rationnelle des ressources limitées à disposition, tout en évitant les éventuels chevauchements,</w:t>
      </w:r>
      <w:r w:rsidR="00B84CCD" w:rsidRPr="007D4CCC">
        <w:rPr>
          <w:lang w:val="fr-FR"/>
        </w:rPr>
        <w:t xml:space="preserve"> la </w:t>
      </w:r>
      <w:proofErr w:type="spellStart"/>
      <w:r w:rsidR="00B84CCD" w:rsidRPr="007D4CCC">
        <w:rPr>
          <w:lang w:val="fr-FR"/>
        </w:rPr>
        <w:t>DSI</w:t>
      </w:r>
      <w:proofErr w:type="spellEnd"/>
      <w:r w:rsidRPr="007D4CCC">
        <w:rPr>
          <w:lang w:val="fr-FR"/>
        </w:rPr>
        <w:t xml:space="preserve"> a également pris en considération les travaux effectués par le vérificateur externe des comptes et d</w:t>
      </w:r>
      <w:r w:rsidR="00A25F29">
        <w:rPr>
          <w:lang w:val="fr-FR"/>
        </w:rPr>
        <w:t>’</w:t>
      </w:r>
      <w:r w:rsidRPr="007D4CCC">
        <w:rPr>
          <w:lang w:val="fr-FR"/>
        </w:rPr>
        <w:t>autres organes de supervision, tels que le Corps commun d</w:t>
      </w:r>
      <w:r w:rsidR="00A25F29">
        <w:rPr>
          <w:lang w:val="fr-FR"/>
        </w:rPr>
        <w:t>’</w:t>
      </w:r>
      <w:r w:rsidRPr="007D4CCC">
        <w:rPr>
          <w:lang w:val="fr-FR"/>
        </w:rPr>
        <w:t>inspection (CCI), ainsi que les évaluations que le Comité du développement et de la propriété intellectuelle (</w:t>
      </w:r>
      <w:proofErr w:type="spellStart"/>
      <w:r w:rsidRPr="007D4CCC">
        <w:rPr>
          <w:lang w:val="fr-FR"/>
        </w:rPr>
        <w:t>CDIP</w:t>
      </w:r>
      <w:proofErr w:type="spellEnd"/>
      <w:r w:rsidRPr="007D4CCC">
        <w:rPr>
          <w:lang w:val="fr-FR"/>
        </w:rPr>
        <w:t>) a fait réaliser.</w:t>
      </w:r>
    </w:p>
    <w:p w:rsidR="00B84CCD" w:rsidRPr="007D4CCC" w:rsidRDefault="00FE5A1C" w:rsidP="008122AE">
      <w:pPr>
        <w:pStyle w:val="ONUMFS"/>
        <w:rPr>
          <w:lang w:val="fr-FR"/>
        </w:rPr>
      </w:pPr>
      <w:r w:rsidRPr="007D4CCC">
        <w:rPr>
          <w:lang w:val="fr-FR"/>
        </w:rPr>
        <w:t xml:space="preserve">Le programme de supervision </w:t>
      </w:r>
      <w:r w:rsidR="00B84CCD" w:rsidRPr="007D4CCC">
        <w:rPr>
          <w:lang w:val="fr-FR"/>
        </w:rPr>
        <w:t>pour 2017</w:t>
      </w:r>
      <w:r w:rsidRPr="007D4CCC">
        <w:rPr>
          <w:lang w:val="fr-FR"/>
        </w:rPr>
        <w:t xml:space="preserve"> a été diffusé auprès de tous les chefs de programme et porté à la connaissance des fonctionnaires de l</w:t>
      </w:r>
      <w:r w:rsidR="00A25F29">
        <w:rPr>
          <w:lang w:val="fr-FR"/>
        </w:rPr>
        <w:t>’</w:t>
      </w:r>
      <w:r w:rsidRPr="007D4CCC">
        <w:rPr>
          <w:lang w:val="fr-FR"/>
        </w:rPr>
        <w:t>OMPI sur le site Intranet de l</w:t>
      </w:r>
      <w:r w:rsidR="00A25F29">
        <w:rPr>
          <w:lang w:val="fr-FR"/>
        </w:rPr>
        <w:t>’</w:t>
      </w:r>
      <w:r w:rsidRPr="007D4CCC">
        <w:rPr>
          <w:lang w:val="fr-FR"/>
        </w:rPr>
        <w:t>Organisati</w:t>
      </w:r>
      <w:r w:rsidR="00186C7F" w:rsidRPr="007D4CCC">
        <w:rPr>
          <w:lang w:val="fr-FR"/>
        </w:rPr>
        <w:t>on</w:t>
      </w:r>
      <w:r w:rsidR="00186C7F">
        <w:rPr>
          <w:lang w:val="fr-FR"/>
        </w:rPr>
        <w:t xml:space="preserve">.  </w:t>
      </w:r>
      <w:r w:rsidR="00186C7F" w:rsidRPr="007D4CCC">
        <w:rPr>
          <w:lang w:val="fr-FR"/>
        </w:rPr>
        <w:t>Le</w:t>
      </w:r>
      <w:r w:rsidRPr="007D4CCC">
        <w:rPr>
          <w:lang w:val="fr-FR"/>
        </w:rPr>
        <w:t xml:space="preserve"> programme </w:t>
      </w:r>
      <w:r w:rsidR="00B84CCD" w:rsidRPr="007D4CCC">
        <w:rPr>
          <w:lang w:val="fr-FR"/>
        </w:rPr>
        <w:t>pour 2016</w:t>
      </w:r>
      <w:r w:rsidRPr="007D4CCC">
        <w:rPr>
          <w:lang w:val="fr-FR"/>
        </w:rPr>
        <w:t xml:space="preserve"> a été mené à bien dans les délais et les limites du budget.</w:t>
      </w:r>
    </w:p>
    <w:p w:rsidR="00C55FF8" w:rsidRPr="007D4CCC" w:rsidRDefault="00FE5A1C" w:rsidP="003B5D17">
      <w:pPr>
        <w:pStyle w:val="Heading1"/>
        <w:rPr>
          <w:lang w:val="fr-FR"/>
        </w:rPr>
      </w:pPr>
      <w:bookmarkStart w:id="25" w:name="_Toc488139081"/>
      <w:r w:rsidRPr="007D4CCC">
        <w:rPr>
          <w:lang w:val="fr-FR"/>
        </w:rPr>
        <w:t>Normes professionnelles</w:t>
      </w:r>
      <w:bookmarkEnd w:id="25"/>
    </w:p>
    <w:p w:rsidR="008122AE" w:rsidRPr="007D4CCC" w:rsidRDefault="008122AE" w:rsidP="008122AE">
      <w:pPr>
        <w:rPr>
          <w:lang w:val="fr-FR"/>
        </w:rPr>
      </w:pPr>
    </w:p>
    <w:p w:rsidR="00C55FF8" w:rsidRPr="007D4CCC" w:rsidRDefault="00FE5A1C" w:rsidP="008122AE">
      <w:pPr>
        <w:pStyle w:val="ONUMFS"/>
        <w:rPr>
          <w:lang w:val="fr-FR"/>
        </w:rPr>
      </w:pPr>
      <w:r w:rsidRPr="007D4CCC">
        <w:rPr>
          <w:lang w:val="fr-FR"/>
        </w:rPr>
        <w:t>Pour ses activités d</w:t>
      </w:r>
      <w:r w:rsidR="00A25F29">
        <w:rPr>
          <w:lang w:val="fr-FR"/>
        </w:rPr>
        <w:t>’</w:t>
      </w:r>
      <w:r w:rsidRPr="007D4CCC">
        <w:rPr>
          <w:lang w:val="fr-FR"/>
        </w:rPr>
        <w:t>audit,</w:t>
      </w:r>
      <w:r w:rsidR="00B84CCD" w:rsidRPr="007D4CCC">
        <w:rPr>
          <w:lang w:val="fr-FR"/>
        </w:rPr>
        <w:t xml:space="preserve"> la </w:t>
      </w:r>
      <w:proofErr w:type="spellStart"/>
      <w:r w:rsidR="00B84CCD" w:rsidRPr="007D4CCC">
        <w:rPr>
          <w:lang w:val="fr-FR"/>
        </w:rPr>
        <w:t>DSI</w:t>
      </w:r>
      <w:proofErr w:type="spellEnd"/>
      <w:r w:rsidRPr="007D4CCC">
        <w:rPr>
          <w:lang w:val="fr-FR"/>
        </w:rPr>
        <w:t xml:space="preserve"> adhère au cadre de référence international des pratiques professionnelles promulgué par l</w:t>
      </w:r>
      <w:r w:rsidR="00A25F29">
        <w:rPr>
          <w:lang w:val="fr-FR"/>
        </w:rPr>
        <w:t>’</w:t>
      </w:r>
      <w:r w:rsidRPr="007D4CCC">
        <w:rPr>
          <w:lang w:val="fr-FR"/>
        </w:rPr>
        <w:t>Institut des auditeurs internes (IIA).</w:t>
      </w:r>
      <w:r w:rsidR="00E32ADE" w:rsidRPr="007D4CCC">
        <w:rPr>
          <w:lang w:val="fr-FR"/>
        </w:rPr>
        <w:t xml:space="preserve">  </w:t>
      </w:r>
      <w:r w:rsidRPr="007D4CCC">
        <w:rPr>
          <w:lang w:val="fr-FR"/>
        </w:rPr>
        <w:t>Le travail d</w:t>
      </w:r>
      <w:r w:rsidR="00A25F29">
        <w:rPr>
          <w:lang w:val="fr-FR"/>
        </w:rPr>
        <w:t>’</w:t>
      </w:r>
      <w:r w:rsidRPr="007D4CCC">
        <w:rPr>
          <w:lang w:val="fr-FR"/>
        </w:rPr>
        <w:t>enquête de</w:t>
      </w:r>
      <w:r w:rsidR="00B84CCD" w:rsidRPr="007D4CCC">
        <w:rPr>
          <w:lang w:val="fr-FR"/>
        </w:rPr>
        <w:t xml:space="preserve"> la </w:t>
      </w:r>
      <w:proofErr w:type="spellStart"/>
      <w:r w:rsidR="00B84CCD" w:rsidRPr="007D4CCC">
        <w:rPr>
          <w:lang w:val="fr-FR"/>
        </w:rPr>
        <w:t>DSI</w:t>
      </w:r>
      <w:proofErr w:type="spellEnd"/>
      <w:r w:rsidRPr="007D4CCC">
        <w:rPr>
          <w:lang w:val="fr-FR"/>
        </w:rPr>
        <w:t xml:space="preserve"> s</w:t>
      </w:r>
      <w:r w:rsidR="00A25F29">
        <w:rPr>
          <w:lang w:val="fr-FR"/>
        </w:rPr>
        <w:t>’</w:t>
      </w:r>
      <w:r w:rsidRPr="007D4CCC">
        <w:rPr>
          <w:lang w:val="fr-FR"/>
        </w:rPr>
        <w:t>inspire également des principes et lignes directrices uniformes en matière d</w:t>
      </w:r>
      <w:r w:rsidR="00A25F29">
        <w:rPr>
          <w:lang w:val="fr-FR"/>
        </w:rPr>
        <w:t>’</w:t>
      </w:r>
      <w:r w:rsidRPr="007D4CCC">
        <w:rPr>
          <w:lang w:val="fr-FR"/>
        </w:rPr>
        <w:t>enquête adoptés par la Conférence des enquêteurs internationaux (CII).</w:t>
      </w:r>
      <w:r w:rsidR="00E32ADE" w:rsidRPr="007D4CCC">
        <w:rPr>
          <w:lang w:val="fr-FR"/>
        </w:rPr>
        <w:t xml:space="preserve">  </w:t>
      </w:r>
      <w:r w:rsidR="00A75B95" w:rsidRPr="007D4CCC">
        <w:rPr>
          <w:lang w:val="fr-FR"/>
        </w:rPr>
        <w:t>Pour les activités d</w:t>
      </w:r>
      <w:r w:rsidR="00A25F29">
        <w:rPr>
          <w:lang w:val="fr-FR"/>
        </w:rPr>
        <w:t>’</w:t>
      </w:r>
      <w:r w:rsidR="00A75B95" w:rsidRPr="007D4CCC">
        <w:rPr>
          <w:lang w:val="fr-FR"/>
        </w:rPr>
        <w:t>évaluation,</w:t>
      </w:r>
      <w:r w:rsidR="00B84CCD" w:rsidRPr="007D4CCC">
        <w:rPr>
          <w:lang w:val="fr-FR"/>
        </w:rPr>
        <w:t xml:space="preserve"> la </w:t>
      </w:r>
      <w:proofErr w:type="spellStart"/>
      <w:r w:rsidR="00B84CCD" w:rsidRPr="007D4CCC">
        <w:rPr>
          <w:lang w:val="fr-FR"/>
        </w:rPr>
        <w:t>DSI</w:t>
      </w:r>
      <w:proofErr w:type="spellEnd"/>
      <w:r w:rsidR="00A75B95" w:rsidRPr="007D4CCC">
        <w:rPr>
          <w:lang w:val="fr-FR"/>
        </w:rPr>
        <w:t xml:space="preserve"> suit les normes internationales en la matière élaborées par le Groupe des </w:t>
      </w:r>
      <w:r w:rsidR="00A25F29">
        <w:rPr>
          <w:lang w:val="fr-FR"/>
        </w:rPr>
        <w:t>Nations Unies</w:t>
      </w:r>
      <w:r w:rsidR="00A75B95" w:rsidRPr="007D4CCC">
        <w:rPr>
          <w:lang w:val="fr-FR"/>
        </w:rPr>
        <w:t xml:space="preserve"> pour l</w:t>
      </w:r>
      <w:r w:rsidR="00A25F29">
        <w:rPr>
          <w:lang w:val="fr-FR"/>
        </w:rPr>
        <w:t>’</w:t>
      </w:r>
      <w:r w:rsidR="00A75B95" w:rsidRPr="007D4CCC">
        <w:rPr>
          <w:lang w:val="fr-FR"/>
        </w:rPr>
        <w:t>évaluation (</w:t>
      </w:r>
      <w:proofErr w:type="spellStart"/>
      <w:r w:rsidR="00A75B95" w:rsidRPr="007D4CCC">
        <w:rPr>
          <w:lang w:val="fr-FR"/>
        </w:rPr>
        <w:t>GNUE</w:t>
      </w:r>
      <w:proofErr w:type="spellEnd"/>
      <w:r w:rsidR="00A75B95" w:rsidRPr="007D4CCC">
        <w:rPr>
          <w:lang w:val="fr-FR"/>
        </w:rPr>
        <w:t>).</w:t>
      </w:r>
    </w:p>
    <w:p w:rsidR="00C55FF8" w:rsidRPr="007D4CCC" w:rsidRDefault="00034607" w:rsidP="008122AE">
      <w:pPr>
        <w:pStyle w:val="ONUMFS"/>
        <w:rPr>
          <w:lang w:val="fr-FR"/>
        </w:rPr>
      </w:pPr>
      <w:r w:rsidRPr="007D4CCC">
        <w:rPr>
          <w:lang w:val="fr-FR"/>
        </w:rPr>
        <w:t>S</w:t>
      </w:r>
      <w:r w:rsidR="00A75B95" w:rsidRPr="007D4CCC">
        <w:rPr>
          <w:lang w:val="fr-FR"/>
        </w:rPr>
        <w:t xml:space="preserve">uite </w:t>
      </w:r>
      <w:r w:rsidRPr="007D4CCC">
        <w:rPr>
          <w:lang w:val="fr-FR"/>
        </w:rPr>
        <w:t xml:space="preserve">à </w:t>
      </w:r>
      <w:r w:rsidR="002046A3" w:rsidRPr="007D4CCC">
        <w:rPr>
          <w:lang w:val="fr-FR"/>
        </w:rPr>
        <w:t>la révision</w:t>
      </w:r>
      <w:r w:rsidR="00A75B95" w:rsidRPr="007D4CCC">
        <w:rPr>
          <w:lang w:val="fr-FR"/>
        </w:rPr>
        <w:t xml:space="preserve"> de la Charte de la supervision interne réalisé</w:t>
      </w:r>
      <w:r w:rsidR="002046A3" w:rsidRPr="007D4CCC">
        <w:rPr>
          <w:lang w:val="fr-FR"/>
        </w:rPr>
        <w:t>e</w:t>
      </w:r>
      <w:r w:rsidR="00A75B95" w:rsidRPr="007D4CCC">
        <w:rPr>
          <w:lang w:val="fr-FR"/>
        </w:rPr>
        <w:t xml:space="preserve"> le 1</w:t>
      </w:r>
      <w:r w:rsidR="00B84CCD" w:rsidRPr="007D4CCC">
        <w:rPr>
          <w:lang w:val="fr-FR"/>
        </w:rPr>
        <w:t>1 octobre 20</w:t>
      </w:r>
      <w:r w:rsidR="00A75B95" w:rsidRPr="007D4CCC">
        <w:rPr>
          <w:lang w:val="fr-FR"/>
        </w:rPr>
        <w:t xml:space="preserve">16, de nouveaux ajustements ont été apportés à la politique et </w:t>
      </w:r>
      <w:proofErr w:type="gramStart"/>
      <w:r w:rsidR="00A75B95" w:rsidRPr="007D4CCC">
        <w:rPr>
          <w:lang w:val="fr-FR"/>
        </w:rPr>
        <w:t>au manuel relatifs</w:t>
      </w:r>
      <w:proofErr w:type="gramEnd"/>
      <w:r w:rsidR="00A75B95" w:rsidRPr="007D4CCC">
        <w:rPr>
          <w:lang w:val="fr-FR"/>
        </w:rPr>
        <w:t xml:space="preserve"> aux enquêtes en vue </w:t>
      </w:r>
      <w:r w:rsidR="00A75B95" w:rsidRPr="007D4CCC">
        <w:rPr>
          <w:lang w:val="fr-FR"/>
        </w:rPr>
        <w:lastRenderedPageBreak/>
        <w:t>de les aligner sur la version modifiée de la char</w:t>
      </w:r>
      <w:r w:rsidR="00186C7F" w:rsidRPr="007D4CCC">
        <w:rPr>
          <w:lang w:val="fr-FR"/>
        </w:rPr>
        <w:t>te</w:t>
      </w:r>
      <w:r w:rsidR="00186C7F">
        <w:rPr>
          <w:lang w:val="fr-FR"/>
        </w:rPr>
        <w:t xml:space="preserve">.  </w:t>
      </w:r>
      <w:r w:rsidR="00186C7F" w:rsidRPr="007D4CCC">
        <w:rPr>
          <w:lang w:val="fr-FR"/>
        </w:rPr>
        <w:t>Le</w:t>
      </w:r>
      <w:r w:rsidR="00A75B95" w:rsidRPr="007D4CCC">
        <w:rPr>
          <w:lang w:val="fr-FR"/>
        </w:rPr>
        <w:t>s deux</w:t>
      </w:r>
      <w:r w:rsidR="005165AE" w:rsidRPr="007D4CCC">
        <w:rPr>
          <w:lang w:val="fr-FR"/>
        </w:rPr>
        <w:t> </w:t>
      </w:r>
      <w:r w:rsidR="00A75B95" w:rsidRPr="007D4CCC">
        <w:rPr>
          <w:lang w:val="fr-FR"/>
        </w:rPr>
        <w:t>documents ont été adoptés le 2</w:t>
      </w:r>
      <w:r w:rsidR="00B84CCD" w:rsidRPr="007D4CCC">
        <w:rPr>
          <w:lang w:val="fr-FR"/>
        </w:rPr>
        <w:t>8 février 20</w:t>
      </w:r>
      <w:r w:rsidR="00A75B95" w:rsidRPr="007D4CCC">
        <w:rPr>
          <w:lang w:val="fr-FR"/>
        </w:rPr>
        <w:t>17.</w:t>
      </w:r>
    </w:p>
    <w:p w:rsidR="00C55FF8" w:rsidRPr="007D4CCC" w:rsidRDefault="00A75B95" w:rsidP="008122AE">
      <w:pPr>
        <w:pStyle w:val="ONUMFS"/>
        <w:rPr>
          <w:lang w:val="fr-FR"/>
        </w:rPr>
      </w:pPr>
      <w:r w:rsidRPr="007D4CCC">
        <w:rPr>
          <w:lang w:val="fr-FR"/>
        </w:rPr>
        <w:t>La politique en matière de publication des rapports de</w:t>
      </w:r>
      <w:r w:rsidR="00B84CCD" w:rsidRPr="007D4CCC">
        <w:rPr>
          <w:lang w:val="fr-FR"/>
        </w:rPr>
        <w:t xml:space="preserve"> la </w:t>
      </w:r>
      <w:proofErr w:type="spellStart"/>
      <w:r w:rsidR="00B84CCD" w:rsidRPr="007D4CCC">
        <w:rPr>
          <w:lang w:val="fr-FR"/>
        </w:rPr>
        <w:t>DSI</w:t>
      </w:r>
      <w:proofErr w:type="spellEnd"/>
      <w:r w:rsidRPr="007D4CCC">
        <w:rPr>
          <w:lang w:val="fr-FR"/>
        </w:rPr>
        <w:t xml:space="preserve"> a été publiée le </w:t>
      </w:r>
      <w:r w:rsidR="00B84CCD" w:rsidRPr="007D4CCC">
        <w:rPr>
          <w:lang w:val="fr-FR"/>
        </w:rPr>
        <w:t>7 juin 20</w:t>
      </w:r>
      <w:r w:rsidRPr="007D4CCC">
        <w:rPr>
          <w:lang w:val="fr-FR"/>
        </w:rPr>
        <w:t xml:space="preserve">17, après que les observations formulées par les États membres </w:t>
      </w:r>
      <w:r w:rsidR="00034607" w:rsidRPr="007D4CCC">
        <w:rPr>
          <w:lang w:val="fr-FR"/>
        </w:rPr>
        <w:t>ont</w:t>
      </w:r>
      <w:r w:rsidRPr="007D4CCC">
        <w:rPr>
          <w:lang w:val="fr-FR"/>
        </w:rPr>
        <w:t xml:space="preserve"> été traitées.</w:t>
      </w:r>
    </w:p>
    <w:p w:rsidR="00C55FF8" w:rsidRPr="007D4CCC" w:rsidRDefault="00A75B95" w:rsidP="003B5D17">
      <w:pPr>
        <w:pStyle w:val="Heading1"/>
        <w:rPr>
          <w:lang w:val="fr-FR"/>
        </w:rPr>
      </w:pPr>
      <w:bookmarkStart w:id="26" w:name="_Toc488139082"/>
      <w:r w:rsidRPr="007D4CCC">
        <w:rPr>
          <w:lang w:val="fr-FR"/>
        </w:rPr>
        <w:t>Questions importantes et recommandations de supervision jugées prioritaires</w:t>
      </w:r>
      <w:bookmarkEnd w:id="26"/>
    </w:p>
    <w:p w:rsidR="008122AE" w:rsidRPr="007D4CCC" w:rsidRDefault="008122AE" w:rsidP="008122AE">
      <w:pPr>
        <w:rPr>
          <w:lang w:val="fr-FR"/>
        </w:rPr>
      </w:pPr>
    </w:p>
    <w:p w:rsidR="00C55FF8" w:rsidRPr="007D4CCC" w:rsidRDefault="00A75B95" w:rsidP="008122AE">
      <w:pPr>
        <w:pStyle w:val="ONUMFS"/>
        <w:rPr>
          <w:lang w:val="fr-FR"/>
        </w:rPr>
      </w:pPr>
      <w:r w:rsidRPr="007D4CCC">
        <w:rPr>
          <w:lang w:val="fr-FR"/>
        </w:rPr>
        <w:t>La présente section contient des informations sur les principales conclusions et recommandations, relatives aux principaux risques, contenues dans les rapports de supervision interne (audit</w:t>
      </w:r>
      <w:r w:rsidR="005E7744" w:rsidRPr="007D4CCC">
        <w:rPr>
          <w:lang w:val="fr-FR"/>
        </w:rPr>
        <w:t>,</w:t>
      </w:r>
      <w:r w:rsidRPr="007D4CCC">
        <w:rPr>
          <w:lang w:val="fr-FR"/>
        </w:rPr>
        <w:t xml:space="preserve"> évaluation</w:t>
      </w:r>
      <w:r w:rsidR="005E7744" w:rsidRPr="007D4CCC">
        <w:rPr>
          <w:lang w:val="fr-FR"/>
        </w:rPr>
        <w:t xml:space="preserve"> et rapport à l</w:t>
      </w:r>
      <w:r w:rsidR="00A25F29">
        <w:rPr>
          <w:lang w:val="fr-FR"/>
        </w:rPr>
        <w:t>’</w:t>
      </w:r>
      <w:r w:rsidR="005E7744" w:rsidRPr="007D4CCC">
        <w:rPr>
          <w:lang w:val="fr-FR"/>
        </w:rPr>
        <w:t>intention de la direction</w:t>
      </w:r>
      <w:r w:rsidRPr="007D4CCC">
        <w:rPr>
          <w:lang w:val="fr-FR"/>
        </w:rPr>
        <w:t>) établis pendant la période considérée.</w:t>
      </w:r>
    </w:p>
    <w:p w:rsidR="00B84CCD" w:rsidRPr="007D4CCC" w:rsidRDefault="00A75B95" w:rsidP="008122AE">
      <w:pPr>
        <w:pStyle w:val="ONUMFS"/>
        <w:rPr>
          <w:lang w:val="fr-FR"/>
        </w:rPr>
      </w:pPr>
      <w:r w:rsidRPr="007D4CCC">
        <w:rPr>
          <w:lang w:val="fr-FR"/>
        </w:rPr>
        <w:t>Les principales conclusions et recommandations concernent les rapports suivants qui ont été établis durant la période considérée</w:t>
      </w:r>
      <w:r w:rsidRPr="007D4CCC">
        <w:rPr>
          <w:rStyle w:val="FootnoteReference"/>
          <w:lang w:val="fr-FR"/>
        </w:rPr>
        <w:footnoteReference w:id="3"/>
      </w:r>
      <w:r w:rsidR="00A25F29">
        <w:rPr>
          <w:lang w:val="fr-FR"/>
        </w:rPr>
        <w:t> :</w:t>
      </w:r>
    </w:p>
    <w:p w:rsidR="00C55FF8" w:rsidRPr="007D4CCC" w:rsidRDefault="00A75B95" w:rsidP="008122AE">
      <w:pPr>
        <w:pStyle w:val="ONUMFS"/>
        <w:numPr>
          <w:ilvl w:val="1"/>
          <w:numId w:val="43"/>
        </w:numPr>
        <w:rPr>
          <w:lang w:val="fr-FR"/>
        </w:rPr>
      </w:pPr>
      <w:proofErr w:type="spellStart"/>
      <w:r w:rsidRPr="007D4CCC">
        <w:rPr>
          <w:lang w:val="fr-FR"/>
        </w:rPr>
        <w:t>WIPO</w:t>
      </w:r>
      <w:proofErr w:type="spellEnd"/>
      <w:r w:rsidRPr="007D4CCC">
        <w:rPr>
          <w:lang w:val="fr-FR"/>
        </w:rPr>
        <w:t xml:space="preserve"> </w:t>
      </w:r>
      <w:proofErr w:type="spellStart"/>
      <w:r w:rsidRPr="007D4CCC">
        <w:rPr>
          <w:lang w:val="fr-FR"/>
        </w:rPr>
        <w:t>Lex</w:t>
      </w:r>
      <w:proofErr w:type="spellEnd"/>
      <w:r w:rsidRPr="007D4CCC">
        <w:rPr>
          <w:lang w:val="fr-FR"/>
        </w:rPr>
        <w:t>;</w:t>
      </w:r>
    </w:p>
    <w:p w:rsidR="00B84CCD" w:rsidRPr="007D4CCC" w:rsidRDefault="00A75B95" w:rsidP="008122AE">
      <w:pPr>
        <w:pStyle w:val="ONUMFS"/>
        <w:numPr>
          <w:ilvl w:val="1"/>
          <w:numId w:val="43"/>
        </w:numPr>
        <w:rPr>
          <w:lang w:val="fr-FR"/>
        </w:rPr>
      </w:pPr>
      <w:r w:rsidRPr="007D4CCC">
        <w:rPr>
          <w:lang w:val="fr-FR"/>
        </w:rPr>
        <w:t>Gestion d</w:t>
      </w:r>
      <w:r w:rsidR="002046A3" w:rsidRPr="007D4CCC">
        <w:rPr>
          <w:lang w:val="fr-FR"/>
        </w:rPr>
        <w:t>e</w:t>
      </w:r>
      <w:r w:rsidRPr="007D4CCC">
        <w:rPr>
          <w:lang w:val="fr-FR"/>
        </w:rPr>
        <w:t xml:space="preserve"> projet;</w:t>
      </w:r>
    </w:p>
    <w:p w:rsidR="00C55FF8" w:rsidRPr="007D4CCC" w:rsidRDefault="00A75B95" w:rsidP="008122AE">
      <w:pPr>
        <w:pStyle w:val="ONUMFS"/>
        <w:numPr>
          <w:ilvl w:val="1"/>
          <w:numId w:val="43"/>
        </w:numPr>
        <w:rPr>
          <w:lang w:val="fr-FR"/>
        </w:rPr>
      </w:pPr>
      <w:r w:rsidRPr="007D4CCC">
        <w:rPr>
          <w:lang w:val="fr-FR"/>
        </w:rPr>
        <w:t>Gestion des risques à l</w:t>
      </w:r>
      <w:r w:rsidR="00A25F29">
        <w:rPr>
          <w:lang w:val="fr-FR"/>
        </w:rPr>
        <w:t>’</w:t>
      </w:r>
      <w:r w:rsidRPr="007D4CCC">
        <w:rPr>
          <w:lang w:val="fr-FR"/>
        </w:rPr>
        <w:t>échelle de l</w:t>
      </w:r>
      <w:r w:rsidR="00A25F29">
        <w:rPr>
          <w:lang w:val="fr-FR"/>
        </w:rPr>
        <w:t>’</w:t>
      </w:r>
      <w:r w:rsidRPr="007D4CCC">
        <w:rPr>
          <w:lang w:val="fr-FR"/>
        </w:rPr>
        <w:t>Organisation;</w:t>
      </w:r>
    </w:p>
    <w:p w:rsidR="00C55FF8" w:rsidRPr="007D4CCC" w:rsidRDefault="00A75B95" w:rsidP="008122AE">
      <w:pPr>
        <w:pStyle w:val="ONUMFS"/>
        <w:numPr>
          <w:ilvl w:val="1"/>
          <w:numId w:val="43"/>
        </w:numPr>
        <w:rPr>
          <w:lang w:val="fr-FR"/>
        </w:rPr>
      </w:pPr>
      <w:r w:rsidRPr="007D4CCC">
        <w:rPr>
          <w:lang w:val="fr-FR"/>
        </w:rPr>
        <w:t xml:space="preserve">Cadre </w:t>
      </w:r>
      <w:r w:rsidR="00011BF3" w:rsidRPr="007D4CCC">
        <w:rPr>
          <w:lang w:val="fr-FR"/>
        </w:rPr>
        <w:t>de l</w:t>
      </w:r>
      <w:r w:rsidR="00A25F29">
        <w:rPr>
          <w:lang w:val="fr-FR"/>
        </w:rPr>
        <w:t>’</w:t>
      </w:r>
      <w:r w:rsidR="00011BF3" w:rsidRPr="007D4CCC">
        <w:rPr>
          <w:lang w:val="fr-FR"/>
        </w:rPr>
        <w:t>OMPI en matière d</w:t>
      </w:r>
      <w:r w:rsidR="00A25F29">
        <w:rPr>
          <w:lang w:val="fr-FR"/>
        </w:rPr>
        <w:t>’</w:t>
      </w:r>
      <w:r w:rsidR="00011BF3" w:rsidRPr="007D4CCC">
        <w:rPr>
          <w:lang w:val="fr-FR"/>
        </w:rPr>
        <w:t>éthique</w:t>
      </w:r>
      <w:r w:rsidRPr="007D4CCC">
        <w:rPr>
          <w:lang w:val="fr-FR"/>
        </w:rPr>
        <w:t>;</w:t>
      </w:r>
    </w:p>
    <w:p w:rsidR="00C55FF8" w:rsidRPr="007D4CCC" w:rsidRDefault="00A75B95" w:rsidP="008122AE">
      <w:pPr>
        <w:pStyle w:val="ONUMFS"/>
        <w:numPr>
          <w:ilvl w:val="1"/>
          <w:numId w:val="43"/>
        </w:numPr>
        <w:rPr>
          <w:lang w:val="fr-FR"/>
        </w:rPr>
      </w:pPr>
      <w:r w:rsidRPr="007D4CCC">
        <w:rPr>
          <w:lang w:val="fr-FR"/>
        </w:rPr>
        <w:t>Service d</w:t>
      </w:r>
      <w:r w:rsidR="00A25F29">
        <w:rPr>
          <w:lang w:val="fr-FR"/>
        </w:rPr>
        <w:t>’</w:t>
      </w:r>
      <w:r w:rsidRPr="007D4CCC">
        <w:rPr>
          <w:lang w:val="fr-FR"/>
        </w:rPr>
        <w:t>enregistrement de Madrid;</w:t>
      </w:r>
    </w:p>
    <w:p w:rsidR="00C55FF8" w:rsidRPr="007D4CCC" w:rsidRDefault="005E7744" w:rsidP="008122AE">
      <w:pPr>
        <w:pStyle w:val="ONUMFS"/>
        <w:numPr>
          <w:ilvl w:val="1"/>
          <w:numId w:val="43"/>
        </w:numPr>
        <w:rPr>
          <w:lang w:val="fr-FR"/>
        </w:rPr>
      </w:pPr>
      <w:r w:rsidRPr="007D4CCC">
        <w:rPr>
          <w:lang w:val="fr-FR"/>
        </w:rPr>
        <w:t>Groupe de la</w:t>
      </w:r>
      <w:r w:rsidR="00A75B95" w:rsidRPr="007D4CCC">
        <w:rPr>
          <w:lang w:val="fr-FR"/>
        </w:rPr>
        <w:t xml:space="preserve"> paie;</w:t>
      </w:r>
    </w:p>
    <w:p w:rsidR="00B84CCD" w:rsidRPr="007D4CCC" w:rsidRDefault="00A75B95" w:rsidP="008122AE">
      <w:pPr>
        <w:pStyle w:val="ONUMFS"/>
        <w:numPr>
          <w:ilvl w:val="1"/>
          <w:numId w:val="43"/>
        </w:numPr>
        <w:rPr>
          <w:lang w:val="fr-FR"/>
        </w:rPr>
      </w:pPr>
      <w:r w:rsidRPr="007D4CCC">
        <w:rPr>
          <w:lang w:val="fr-FR"/>
        </w:rPr>
        <w:t>Révision des politiques et procédures en matière d</w:t>
      </w:r>
      <w:r w:rsidR="00A25F29">
        <w:rPr>
          <w:lang w:val="fr-FR"/>
        </w:rPr>
        <w:t>’</w:t>
      </w:r>
      <w:r w:rsidRPr="007D4CCC">
        <w:rPr>
          <w:lang w:val="fr-FR"/>
        </w:rPr>
        <w:t>achats;</w:t>
      </w:r>
    </w:p>
    <w:p w:rsidR="00B84CCD" w:rsidRPr="007D4CCC" w:rsidRDefault="006F6C4A" w:rsidP="008122AE">
      <w:pPr>
        <w:pStyle w:val="ONUMFS"/>
        <w:numPr>
          <w:ilvl w:val="1"/>
          <w:numId w:val="43"/>
        </w:numPr>
        <w:rPr>
          <w:lang w:val="fr-FR"/>
        </w:rPr>
      </w:pPr>
      <w:r w:rsidRPr="007D4CCC">
        <w:rPr>
          <w:lang w:val="fr-FR"/>
        </w:rPr>
        <w:t>Union internationale pour la protection des obtentions végétales (</w:t>
      </w:r>
      <w:proofErr w:type="spellStart"/>
      <w:r w:rsidRPr="007D4CCC">
        <w:rPr>
          <w:lang w:val="fr-FR"/>
        </w:rPr>
        <w:t>UPOV</w:t>
      </w:r>
      <w:proofErr w:type="spellEnd"/>
      <w:r w:rsidRPr="007D4CCC">
        <w:rPr>
          <w:lang w:val="fr-FR"/>
        </w:rPr>
        <w:t>)</w:t>
      </w:r>
      <w:r w:rsidR="005165AE" w:rsidRPr="007D4CCC">
        <w:rPr>
          <w:lang w:val="fr-FR"/>
        </w:rPr>
        <w:t>;</w:t>
      </w:r>
    </w:p>
    <w:p w:rsidR="00C55FF8" w:rsidRPr="007D4CCC" w:rsidRDefault="006F6C4A" w:rsidP="008122AE">
      <w:pPr>
        <w:pStyle w:val="ONUMFS"/>
        <w:numPr>
          <w:ilvl w:val="1"/>
          <w:numId w:val="43"/>
        </w:numPr>
        <w:rPr>
          <w:lang w:val="fr-FR"/>
        </w:rPr>
      </w:pPr>
      <w:r w:rsidRPr="007D4CCC">
        <w:rPr>
          <w:lang w:val="fr-FR"/>
        </w:rPr>
        <w:t>Programme</w:t>
      </w:r>
      <w:r w:rsidR="00B65F3C" w:rsidRPr="007D4CCC">
        <w:rPr>
          <w:lang w:val="fr-FR"/>
        </w:rPr>
        <w:t> </w:t>
      </w:r>
      <w:r w:rsidRPr="007D4CCC">
        <w:rPr>
          <w:lang w:val="fr-FR"/>
        </w:rPr>
        <w:t>13 ‏– ‎Bases de données mondiales de l</w:t>
      </w:r>
      <w:r w:rsidR="00A25F29">
        <w:rPr>
          <w:lang w:val="fr-FR"/>
        </w:rPr>
        <w:t>’</w:t>
      </w:r>
      <w:r w:rsidRPr="007D4CCC">
        <w:rPr>
          <w:lang w:val="fr-FR"/>
        </w:rPr>
        <w:t>OMPI;</w:t>
      </w:r>
    </w:p>
    <w:p w:rsidR="00C55FF8" w:rsidRPr="007D4CCC" w:rsidRDefault="006F6C4A" w:rsidP="008122AE">
      <w:pPr>
        <w:pStyle w:val="ONUMFS"/>
        <w:numPr>
          <w:ilvl w:val="1"/>
          <w:numId w:val="43"/>
        </w:numPr>
        <w:rPr>
          <w:lang w:val="fr-FR"/>
        </w:rPr>
      </w:pPr>
      <w:r w:rsidRPr="007D4CCC">
        <w:rPr>
          <w:lang w:val="fr-FR"/>
        </w:rPr>
        <w:t>Programme</w:t>
      </w:r>
      <w:r w:rsidR="00B65F3C" w:rsidRPr="007D4CCC">
        <w:rPr>
          <w:lang w:val="fr-FR"/>
        </w:rPr>
        <w:t> </w:t>
      </w:r>
      <w:r w:rsidRPr="007D4CCC">
        <w:rPr>
          <w:lang w:val="fr-FR"/>
        </w:rPr>
        <w:t>12</w:t>
      </w:r>
      <w:r w:rsidR="00B84CCD" w:rsidRPr="007D4CCC">
        <w:rPr>
          <w:lang w:val="fr-FR"/>
        </w:rPr>
        <w:t xml:space="preserve"> – </w:t>
      </w:r>
      <w:r w:rsidRPr="007D4CCC">
        <w:rPr>
          <w:lang w:val="fr-FR"/>
        </w:rPr>
        <w:t>‎Classifications internationales et normes;</w:t>
      </w:r>
    </w:p>
    <w:p w:rsidR="00C55FF8" w:rsidRPr="007D4CCC" w:rsidRDefault="006F6C4A" w:rsidP="008122AE">
      <w:pPr>
        <w:pStyle w:val="ONUMFS"/>
        <w:numPr>
          <w:ilvl w:val="1"/>
          <w:numId w:val="43"/>
        </w:numPr>
        <w:rPr>
          <w:lang w:val="fr-FR"/>
        </w:rPr>
      </w:pPr>
      <w:r w:rsidRPr="007D4CCC">
        <w:rPr>
          <w:lang w:val="fr-FR"/>
        </w:rPr>
        <w:t>Rapport sur l</w:t>
      </w:r>
      <w:r w:rsidR="00A25F29">
        <w:rPr>
          <w:lang w:val="fr-FR"/>
        </w:rPr>
        <w:t>’</w:t>
      </w:r>
      <w:r w:rsidRPr="007D4CCC">
        <w:rPr>
          <w:lang w:val="fr-FR"/>
        </w:rPr>
        <w:t>imprimerie</w:t>
      </w:r>
      <w:r w:rsidR="00011BF3" w:rsidRPr="007D4CCC">
        <w:rPr>
          <w:lang w:val="fr-FR"/>
        </w:rPr>
        <w:t xml:space="preserve"> à l</w:t>
      </w:r>
      <w:r w:rsidR="00A25F29">
        <w:rPr>
          <w:lang w:val="fr-FR"/>
        </w:rPr>
        <w:t>’</w:t>
      </w:r>
      <w:r w:rsidR="00011BF3" w:rsidRPr="007D4CCC">
        <w:rPr>
          <w:lang w:val="fr-FR"/>
        </w:rPr>
        <w:t>intention de la direction</w:t>
      </w:r>
      <w:r w:rsidRPr="007D4CCC">
        <w:rPr>
          <w:lang w:val="fr-FR"/>
        </w:rPr>
        <w:t>;</w:t>
      </w:r>
    </w:p>
    <w:p w:rsidR="00C55FF8" w:rsidRPr="007D4CCC" w:rsidRDefault="00011BF3" w:rsidP="008122AE">
      <w:pPr>
        <w:pStyle w:val="ONUMFS"/>
        <w:numPr>
          <w:ilvl w:val="1"/>
          <w:numId w:val="43"/>
        </w:numPr>
        <w:rPr>
          <w:lang w:val="fr-FR"/>
        </w:rPr>
      </w:pPr>
      <w:r w:rsidRPr="007D4CCC">
        <w:rPr>
          <w:lang w:val="fr-FR"/>
        </w:rPr>
        <w:t>Rapport sur l</w:t>
      </w:r>
      <w:r w:rsidR="006F6C4A" w:rsidRPr="007D4CCC">
        <w:rPr>
          <w:lang w:val="fr-FR"/>
        </w:rPr>
        <w:t>es procédures de recrutement</w:t>
      </w:r>
      <w:r w:rsidRPr="007D4CCC">
        <w:rPr>
          <w:lang w:val="fr-FR"/>
        </w:rPr>
        <w:t xml:space="preserve"> à l</w:t>
      </w:r>
      <w:r w:rsidR="00A25F29">
        <w:rPr>
          <w:lang w:val="fr-FR"/>
        </w:rPr>
        <w:t>’</w:t>
      </w:r>
      <w:r w:rsidRPr="007D4CCC">
        <w:rPr>
          <w:lang w:val="fr-FR"/>
        </w:rPr>
        <w:t>intention de la direction</w:t>
      </w:r>
      <w:r w:rsidR="005165AE" w:rsidRPr="007D4CCC">
        <w:rPr>
          <w:lang w:val="fr-FR"/>
        </w:rPr>
        <w:t xml:space="preserve">; </w:t>
      </w:r>
      <w:r w:rsidR="006F6C4A" w:rsidRPr="007D4CCC">
        <w:rPr>
          <w:lang w:val="fr-FR"/>
        </w:rPr>
        <w:t xml:space="preserve"> et</w:t>
      </w:r>
    </w:p>
    <w:p w:rsidR="00C55FF8" w:rsidRPr="007D4CCC" w:rsidRDefault="006F6C4A" w:rsidP="008122AE">
      <w:pPr>
        <w:pStyle w:val="ONUMFS"/>
        <w:numPr>
          <w:ilvl w:val="1"/>
          <w:numId w:val="43"/>
        </w:numPr>
        <w:rPr>
          <w:lang w:val="fr-FR"/>
        </w:rPr>
      </w:pPr>
      <w:r w:rsidRPr="007D4CCC">
        <w:rPr>
          <w:lang w:val="fr-FR"/>
        </w:rPr>
        <w:t xml:space="preserve">Rapport sur </w:t>
      </w:r>
      <w:r w:rsidR="00011BF3" w:rsidRPr="007D4CCC">
        <w:rPr>
          <w:lang w:val="fr-FR"/>
        </w:rPr>
        <w:t>le</w:t>
      </w:r>
      <w:r w:rsidRPr="007D4CCC">
        <w:rPr>
          <w:lang w:val="fr-FR"/>
        </w:rPr>
        <w:t xml:space="preserve"> droit </w:t>
      </w:r>
      <w:r w:rsidR="00011BF3" w:rsidRPr="007D4CCC">
        <w:rPr>
          <w:lang w:val="fr-FR"/>
        </w:rPr>
        <w:t>au</w:t>
      </w:r>
      <w:r w:rsidRPr="007D4CCC">
        <w:rPr>
          <w:lang w:val="fr-FR"/>
        </w:rPr>
        <w:t xml:space="preserve"> congé dans les foyers</w:t>
      </w:r>
      <w:r w:rsidR="00011BF3" w:rsidRPr="007D4CCC">
        <w:rPr>
          <w:lang w:val="fr-FR"/>
        </w:rPr>
        <w:t xml:space="preserve"> à l</w:t>
      </w:r>
      <w:r w:rsidR="00A25F29">
        <w:rPr>
          <w:lang w:val="fr-FR"/>
        </w:rPr>
        <w:t>’</w:t>
      </w:r>
      <w:r w:rsidR="00011BF3" w:rsidRPr="007D4CCC">
        <w:rPr>
          <w:lang w:val="fr-FR"/>
        </w:rPr>
        <w:t>intention de la direction</w:t>
      </w:r>
      <w:r w:rsidRPr="007D4CCC">
        <w:rPr>
          <w:lang w:val="fr-FR"/>
        </w:rPr>
        <w:t>.</w:t>
      </w:r>
    </w:p>
    <w:p w:rsidR="00B84CCD" w:rsidRPr="007D4CCC" w:rsidRDefault="006F6C4A" w:rsidP="008122AE">
      <w:pPr>
        <w:pStyle w:val="ONUMFS"/>
        <w:rPr>
          <w:lang w:val="fr-FR"/>
        </w:rPr>
      </w:pPr>
      <w:r w:rsidRPr="007D4CCC">
        <w:rPr>
          <w:lang w:val="fr-FR"/>
        </w:rPr>
        <w:t xml:space="preserve">La </w:t>
      </w:r>
      <w:proofErr w:type="spellStart"/>
      <w:r w:rsidRPr="007D4CCC">
        <w:rPr>
          <w:lang w:val="fr-FR"/>
        </w:rPr>
        <w:t>DSI</w:t>
      </w:r>
      <w:proofErr w:type="spellEnd"/>
      <w:r w:rsidRPr="007D4CCC">
        <w:rPr>
          <w:lang w:val="fr-FR"/>
        </w:rPr>
        <w:t xml:space="preserve"> a poursuivi son dialogue avec la direction en vue de faire régulièrement le point sur la mise en œuvre des recommandations en suspens et d</w:t>
      </w:r>
      <w:r w:rsidR="00A25F29">
        <w:rPr>
          <w:lang w:val="fr-FR"/>
        </w:rPr>
        <w:t>’</w:t>
      </w:r>
      <w:r w:rsidRPr="007D4CCC">
        <w:rPr>
          <w:lang w:val="fr-FR"/>
        </w:rPr>
        <w:t>actualiser les données y relativ</w:t>
      </w:r>
      <w:r w:rsidR="00186C7F" w:rsidRPr="007D4CCC">
        <w:rPr>
          <w:lang w:val="fr-FR"/>
        </w:rPr>
        <w:t>es</w:t>
      </w:r>
      <w:r w:rsidR="00186C7F">
        <w:rPr>
          <w:lang w:val="fr-FR"/>
        </w:rPr>
        <w:t xml:space="preserve">.  </w:t>
      </w:r>
      <w:r w:rsidR="00186C7F" w:rsidRPr="007D4CCC">
        <w:rPr>
          <w:lang w:val="fr-FR"/>
        </w:rPr>
        <w:t>To</w:t>
      </w:r>
      <w:r w:rsidRPr="007D4CCC">
        <w:rPr>
          <w:lang w:val="fr-FR"/>
        </w:rPr>
        <w:t>utes les recommandations sont mises en œuvre par la direction sous la forme d</w:t>
      </w:r>
      <w:r w:rsidR="00A25F29">
        <w:rPr>
          <w:lang w:val="fr-FR"/>
        </w:rPr>
        <w:t>’</w:t>
      </w:r>
      <w:r w:rsidRPr="007D4CCC">
        <w:rPr>
          <w:lang w:val="fr-FR"/>
        </w:rPr>
        <w:t>un plan d</w:t>
      </w:r>
      <w:r w:rsidR="00A25F29">
        <w:rPr>
          <w:lang w:val="fr-FR"/>
        </w:rPr>
        <w:t>’</w:t>
      </w:r>
      <w:r w:rsidRPr="007D4CCC">
        <w:rPr>
          <w:lang w:val="fr-FR"/>
        </w:rPr>
        <w:t>action comprenant les suggestions d</w:t>
      </w:r>
      <w:r w:rsidR="00A25F29">
        <w:rPr>
          <w:lang w:val="fr-FR"/>
        </w:rPr>
        <w:t>’</w:t>
      </w:r>
      <w:r w:rsidRPr="007D4CCC">
        <w:rPr>
          <w:lang w:val="fr-FR"/>
        </w:rPr>
        <w:t>activités, les noms des membres du personnel responsables de la mise en œuvre de la recommandation et une date</w:t>
      </w:r>
      <w:r w:rsidR="00F77457">
        <w:rPr>
          <w:lang w:val="fr-FR"/>
        </w:rPr>
        <w:noBreakHyphen/>
      </w:r>
      <w:r w:rsidRPr="007D4CCC">
        <w:rPr>
          <w:lang w:val="fr-FR"/>
        </w:rPr>
        <w:t>buto</w:t>
      </w:r>
      <w:r w:rsidR="00186C7F" w:rsidRPr="007D4CCC">
        <w:rPr>
          <w:lang w:val="fr-FR"/>
        </w:rPr>
        <w:t>ir</w:t>
      </w:r>
      <w:r w:rsidR="00186C7F">
        <w:rPr>
          <w:lang w:val="fr-FR"/>
        </w:rPr>
        <w:t xml:space="preserve">.  </w:t>
      </w:r>
      <w:r w:rsidR="00186C7F" w:rsidRPr="007D4CCC">
        <w:rPr>
          <w:lang w:val="fr-FR"/>
        </w:rPr>
        <w:t>Le</w:t>
      </w:r>
      <w:r w:rsidRPr="007D4CCC">
        <w:rPr>
          <w:lang w:val="fr-FR"/>
        </w:rPr>
        <w:t xml:space="preserve">s recommandations de supervision sont gérées au moyen du système </w:t>
      </w:r>
      <w:proofErr w:type="spellStart"/>
      <w:r w:rsidRPr="007D4CCC">
        <w:rPr>
          <w:lang w:val="fr-FR"/>
        </w:rPr>
        <w:t>TeamCentral</w:t>
      </w:r>
      <w:proofErr w:type="spellEnd"/>
      <w:r w:rsidRPr="007D4CCC">
        <w:rPr>
          <w:lang w:val="fr-FR"/>
        </w:rPr>
        <w:t>©</w:t>
      </w:r>
      <w:r w:rsidRPr="007D4CCC">
        <w:rPr>
          <w:rStyle w:val="FootnoteReference"/>
          <w:lang w:val="fr-FR"/>
        </w:rPr>
        <w:footnoteReference w:id="4"/>
      </w:r>
      <w:r w:rsidRPr="007D4CCC">
        <w:rPr>
          <w:lang w:val="fr-FR"/>
        </w:rPr>
        <w:t>, accessible par</w:t>
      </w:r>
      <w:r w:rsidR="00B84CCD" w:rsidRPr="007D4CCC">
        <w:rPr>
          <w:lang w:val="fr-FR"/>
        </w:rPr>
        <w:t xml:space="preserve"> la </w:t>
      </w:r>
      <w:proofErr w:type="spellStart"/>
      <w:r w:rsidR="00B84CCD" w:rsidRPr="007D4CCC">
        <w:rPr>
          <w:lang w:val="fr-FR"/>
        </w:rPr>
        <w:t>DSI</w:t>
      </w:r>
      <w:proofErr w:type="spellEnd"/>
      <w:r w:rsidRPr="007D4CCC">
        <w:rPr>
          <w:lang w:val="fr-FR"/>
        </w:rPr>
        <w:t>, la direction de l</w:t>
      </w:r>
      <w:r w:rsidR="00A25F29">
        <w:rPr>
          <w:lang w:val="fr-FR"/>
        </w:rPr>
        <w:t>’</w:t>
      </w:r>
      <w:r w:rsidRPr="007D4CCC">
        <w:rPr>
          <w:lang w:val="fr-FR"/>
        </w:rPr>
        <w:t>OMPI et les vérificateurs externes des comptes.</w:t>
      </w:r>
    </w:p>
    <w:p w:rsidR="00C55FF8" w:rsidRPr="007D4CCC" w:rsidRDefault="00F77457" w:rsidP="008122AE">
      <w:pPr>
        <w:pStyle w:val="Heading2"/>
        <w:rPr>
          <w:lang w:val="fr-FR"/>
        </w:rPr>
      </w:pPr>
      <w:bookmarkStart w:id="27" w:name="_Toc476745977"/>
      <w:r>
        <w:rPr>
          <w:lang w:val="fr-FR"/>
        </w:rPr>
        <w:lastRenderedPageBreak/>
        <w:t xml:space="preserve">Audit de </w:t>
      </w:r>
      <w:proofErr w:type="spellStart"/>
      <w:r>
        <w:rPr>
          <w:lang w:val="fr-FR"/>
        </w:rPr>
        <w:t>WIPO</w:t>
      </w:r>
      <w:proofErr w:type="spellEnd"/>
      <w:r>
        <w:rPr>
          <w:lang w:val="fr-FR"/>
        </w:rPr>
        <w:t> </w:t>
      </w:r>
      <w:proofErr w:type="spellStart"/>
      <w:r w:rsidR="006F6C4A" w:rsidRPr="007D4CCC">
        <w:rPr>
          <w:lang w:val="fr-FR"/>
        </w:rPr>
        <w:t>Lex</w:t>
      </w:r>
      <w:proofErr w:type="spellEnd"/>
    </w:p>
    <w:p w:rsidR="008122AE" w:rsidRPr="007D4CCC" w:rsidRDefault="008122AE" w:rsidP="008122AE">
      <w:pPr>
        <w:rPr>
          <w:lang w:val="fr-FR"/>
        </w:rPr>
      </w:pPr>
    </w:p>
    <w:p w:rsidR="00C55FF8" w:rsidRPr="007D4CCC" w:rsidRDefault="009A2A5F" w:rsidP="008122AE">
      <w:pPr>
        <w:pStyle w:val="ONUMFS"/>
        <w:rPr>
          <w:lang w:val="fr-FR"/>
        </w:rPr>
      </w:pPr>
      <w:r w:rsidRPr="007D4CCC">
        <w:rPr>
          <w:lang w:val="fr-FR"/>
        </w:rPr>
        <w:t xml:space="preserve">La </w:t>
      </w:r>
      <w:proofErr w:type="spellStart"/>
      <w:r w:rsidRPr="007D4CCC">
        <w:rPr>
          <w:lang w:val="fr-FR"/>
        </w:rPr>
        <w:t>DSI</w:t>
      </w:r>
      <w:proofErr w:type="spellEnd"/>
      <w:r w:rsidRPr="007D4CCC">
        <w:rPr>
          <w:lang w:val="fr-FR"/>
        </w:rPr>
        <w:t xml:space="preserve"> a constaté que la qualité des données figura</w:t>
      </w:r>
      <w:r w:rsidR="00F77457">
        <w:rPr>
          <w:lang w:val="fr-FR"/>
        </w:rPr>
        <w:t xml:space="preserve">nt dans la base de données </w:t>
      </w:r>
      <w:proofErr w:type="spellStart"/>
      <w:r w:rsidR="00F77457">
        <w:rPr>
          <w:lang w:val="fr-FR"/>
        </w:rPr>
        <w:t>WIPO</w:t>
      </w:r>
      <w:proofErr w:type="spellEnd"/>
      <w:r w:rsidR="00F77457">
        <w:rPr>
          <w:lang w:val="fr-FR"/>
        </w:rPr>
        <w:t> </w:t>
      </w:r>
      <w:proofErr w:type="spellStart"/>
      <w:r w:rsidRPr="007D4CCC">
        <w:rPr>
          <w:lang w:val="fr-FR"/>
        </w:rPr>
        <w:t>Lex</w:t>
      </w:r>
      <w:proofErr w:type="spellEnd"/>
      <w:r w:rsidRPr="007D4CCC">
        <w:rPr>
          <w:lang w:val="fr-FR"/>
        </w:rPr>
        <w:t xml:space="preserve"> était très préoccupan</w:t>
      </w:r>
      <w:r w:rsidR="00186C7F" w:rsidRPr="007D4CCC">
        <w:rPr>
          <w:lang w:val="fr-FR"/>
        </w:rPr>
        <w:t>te</w:t>
      </w:r>
      <w:r w:rsidR="00186C7F">
        <w:rPr>
          <w:lang w:val="fr-FR"/>
        </w:rPr>
        <w:t xml:space="preserve">.  </w:t>
      </w:r>
      <w:r w:rsidR="00186C7F" w:rsidRPr="007D4CCC">
        <w:rPr>
          <w:lang w:val="fr-FR"/>
        </w:rPr>
        <w:t>Le</w:t>
      </w:r>
      <w:r w:rsidR="00122E6B" w:rsidRPr="007D4CCC">
        <w:rPr>
          <w:lang w:val="fr-FR"/>
        </w:rPr>
        <w:t>s erreurs de données pourraient, si elles n</w:t>
      </w:r>
      <w:r w:rsidR="00A25F29">
        <w:rPr>
          <w:lang w:val="fr-FR"/>
        </w:rPr>
        <w:t>’</w:t>
      </w:r>
      <w:r w:rsidR="00122E6B" w:rsidRPr="007D4CCC">
        <w:rPr>
          <w:lang w:val="fr-FR"/>
        </w:rPr>
        <w:t>étaient pas corrigées, avoir des répercussions sur la réputation de l</w:t>
      </w:r>
      <w:r w:rsidR="00A25F29">
        <w:rPr>
          <w:lang w:val="fr-FR"/>
        </w:rPr>
        <w:t>’</w:t>
      </w:r>
      <w:r w:rsidR="00122E6B" w:rsidRPr="007D4CCC">
        <w:rPr>
          <w:lang w:val="fr-FR"/>
        </w:rPr>
        <w:t>OMPI en tant que fournisseur d</w:t>
      </w:r>
      <w:r w:rsidR="00A25F29">
        <w:rPr>
          <w:lang w:val="fr-FR"/>
        </w:rPr>
        <w:t>’</w:t>
      </w:r>
      <w:r w:rsidR="00122E6B" w:rsidRPr="007D4CCC">
        <w:rPr>
          <w:lang w:val="fr-FR"/>
        </w:rPr>
        <w:t xml:space="preserve">outils de référence </w:t>
      </w:r>
      <w:r w:rsidR="005E7744" w:rsidRPr="007D4CCC">
        <w:rPr>
          <w:lang w:val="fr-FR"/>
        </w:rPr>
        <w:t xml:space="preserve">de qualité </w:t>
      </w:r>
      <w:r w:rsidR="00122E6B" w:rsidRPr="007D4CCC">
        <w:rPr>
          <w:lang w:val="fr-FR"/>
        </w:rPr>
        <w:t>en matière de propriété intellectuel</w:t>
      </w:r>
      <w:r w:rsidR="00186C7F" w:rsidRPr="007D4CCC">
        <w:rPr>
          <w:lang w:val="fr-FR"/>
        </w:rPr>
        <w:t>le</w:t>
      </w:r>
      <w:r w:rsidR="00186C7F">
        <w:rPr>
          <w:lang w:val="fr-FR"/>
        </w:rPr>
        <w:t xml:space="preserve">.  </w:t>
      </w:r>
      <w:r w:rsidR="00186C7F" w:rsidRPr="007D4CCC">
        <w:rPr>
          <w:lang w:val="fr-FR"/>
        </w:rPr>
        <w:t>De</w:t>
      </w:r>
      <w:r w:rsidR="00122E6B" w:rsidRPr="007D4CCC">
        <w:rPr>
          <w:lang w:val="fr-FR"/>
        </w:rPr>
        <w:t xml:space="preserve">s efforts systématiques soumis à un calendrier </w:t>
      </w:r>
      <w:r w:rsidR="002046A3" w:rsidRPr="007D4CCC">
        <w:rPr>
          <w:lang w:val="fr-FR"/>
        </w:rPr>
        <w:t>d</w:t>
      </w:r>
      <w:r w:rsidR="004E11B9" w:rsidRPr="007D4CCC">
        <w:rPr>
          <w:lang w:val="fr-FR"/>
        </w:rPr>
        <w:t>oi</w:t>
      </w:r>
      <w:r w:rsidR="002046A3" w:rsidRPr="007D4CCC">
        <w:rPr>
          <w:lang w:val="fr-FR"/>
        </w:rPr>
        <w:t>vent</w:t>
      </w:r>
      <w:r w:rsidR="00122E6B" w:rsidRPr="007D4CCC">
        <w:rPr>
          <w:lang w:val="fr-FR"/>
        </w:rPr>
        <w:t xml:space="preserve"> être entrepris afin de répondre aux préoccupations en matière de qualité des données concernant la base de données </w:t>
      </w:r>
      <w:proofErr w:type="spellStart"/>
      <w:r w:rsidR="00122E6B" w:rsidRPr="007D4CCC">
        <w:rPr>
          <w:lang w:val="fr-FR"/>
        </w:rPr>
        <w:t>WIPO</w:t>
      </w:r>
      <w:proofErr w:type="spellEnd"/>
      <w:r w:rsidR="00F77457">
        <w:rPr>
          <w:lang w:val="fr-FR"/>
        </w:rPr>
        <w:t> </w:t>
      </w:r>
      <w:proofErr w:type="spellStart"/>
      <w:r w:rsidR="00122E6B" w:rsidRPr="007D4CCC">
        <w:rPr>
          <w:lang w:val="fr-FR"/>
        </w:rPr>
        <w:t>Lex</w:t>
      </w:r>
      <w:proofErr w:type="spellEnd"/>
      <w:r w:rsidR="00122E6B" w:rsidRPr="007D4CCC">
        <w:rPr>
          <w:lang w:val="fr-FR"/>
        </w:rPr>
        <w:t>.</w:t>
      </w:r>
    </w:p>
    <w:p w:rsidR="00C55FF8" w:rsidRPr="007D4CCC" w:rsidRDefault="00A17B6B" w:rsidP="008122AE">
      <w:pPr>
        <w:pStyle w:val="ONUMFS"/>
        <w:rPr>
          <w:lang w:val="fr-FR"/>
        </w:rPr>
      </w:pPr>
      <w:r w:rsidRPr="007D4CCC">
        <w:rPr>
          <w:lang w:val="fr-FR"/>
        </w:rPr>
        <w:t xml:space="preserve">Mettre au point une fonction de contrôle de la qualité solide et élaborer des procédures opérationnelles standard à cet égard </w:t>
      </w:r>
      <w:proofErr w:type="gramStart"/>
      <w:r w:rsidR="00FC2EA8" w:rsidRPr="007D4CCC">
        <w:rPr>
          <w:lang w:val="fr-FR"/>
        </w:rPr>
        <w:t>permettrai</w:t>
      </w:r>
      <w:r w:rsidR="00A1435C" w:rsidRPr="007D4CCC">
        <w:rPr>
          <w:lang w:val="fr-FR"/>
        </w:rPr>
        <w:t>t</w:t>
      </w:r>
      <w:proofErr w:type="gramEnd"/>
      <w:r w:rsidRPr="007D4CCC">
        <w:rPr>
          <w:lang w:val="fr-FR"/>
        </w:rPr>
        <w:t xml:space="preserve"> de repérer et de rectifier rapidement les données incorrectes, et d</w:t>
      </w:r>
      <w:r w:rsidR="00A25F29">
        <w:rPr>
          <w:lang w:val="fr-FR"/>
        </w:rPr>
        <w:t>’</w:t>
      </w:r>
      <w:r w:rsidRPr="007D4CCC">
        <w:rPr>
          <w:lang w:val="fr-FR"/>
        </w:rPr>
        <w:t>améliorer la qualité globale des données.</w:t>
      </w:r>
    </w:p>
    <w:p w:rsidR="00C55FF8" w:rsidRPr="007D4CCC" w:rsidRDefault="00A17B6B" w:rsidP="008122AE">
      <w:pPr>
        <w:pStyle w:val="ONUMFS"/>
        <w:rPr>
          <w:lang w:val="fr-FR"/>
        </w:rPr>
      </w:pPr>
      <w:r w:rsidRPr="007D4CCC">
        <w:rPr>
          <w:lang w:val="fr-FR"/>
        </w:rPr>
        <w:t>Enfin, les exigences en matière de ressources humaines pour l</w:t>
      </w:r>
      <w:r w:rsidR="00A25F29">
        <w:rPr>
          <w:lang w:val="fr-FR"/>
        </w:rPr>
        <w:t>’</w:t>
      </w:r>
      <w:r w:rsidRPr="007D4CCC">
        <w:rPr>
          <w:lang w:val="fr-FR"/>
        </w:rPr>
        <w:t xml:space="preserve">équipe </w:t>
      </w:r>
      <w:proofErr w:type="spellStart"/>
      <w:r w:rsidRPr="007D4CCC">
        <w:rPr>
          <w:lang w:val="fr-FR"/>
        </w:rPr>
        <w:t>WIPO</w:t>
      </w:r>
      <w:proofErr w:type="spellEnd"/>
      <w:r w:rsidR="00F77457">
        <w:rPr>
          <w:lang w:val="fr-FR"/>
        </w:rPr>
        <w:t> </w:t>
      </w:r>
      <w:proofErr w:type="spellStart"/>
      <w:r w:rsidRPr="007D4CCC">
        <w:rPr>
          <w:lang w:val="fr-FR"/>
        </w:rPr>
        <w:t>Lex</w:t>
      </w:r>
      <w:proofErr w:type="spellEnd"/>
      <w:r w:rsidRPr="007D4CCC">
        <w:rPr>
          <w:lang w:val="fr-FR"/>
        </w:rPr>
        <w:t xml:space="preserve"> doivent être évaluées en vue d</w:t>
      </w:r>
      <w:r w:rsidR="00A25F29">
        <w:rPr>
          <w:lang w:val="fr-FR"/>
        </w:rPr>
        <w:t>’</w:t>
      </w:r>
      <w:r w:rsidRPr="007D4CCC">
        <w:rPr>
          <w:lang w:val="fr-FR"/>
        </w:rPr>
        <w:t xml:space="preserve">accroître ses capacités, </w:t>
      </w:r>
      <w:r w:rsidR="00FC2EA8" w:rsidRPr="007D4CCC">
        <w:rPr>
          <w:lang w:val="fr-FR"/>
        </w:rPr>
        <w:t>dans l</w:t>
      </w:r>
      <w:r w:rsidR="00A25F29">
        <w:rPr>
          <w:lang w:val="fr-FR"/>
        </w:rPr>
        <w:t>’</w:t>
      </w:r>
      <w:r w:rsidR="00FC2EA8" w:rsidRPr="007D4CCC">
        <w:rPr>
          <w:lang w:val="fr-FR"/>
        </w:rPr>
        <w:t>optique des</w:t>
      </w:r>
      <w:r w:rsidRPr="007D4CCC">
        <w:rPr>
          <w:lang w:val="fr-FR"/>
        </w:rPr>
        <w:t xml:space="preserve"> futurs programmes de travail.</w:t>
      </w:r>
    </w:p>
    <w:bookmarkEnd w:id="27"/>
    <w:p w:rsidR="00C55FF8" w:rsidRPr="007D4CCC" w:rsidRDefault="00A17B6B" w:rsidP="003B5D17">
      <w:pPr>
        <w:pStyle w:val="Heading2"/>
        <w:rPr>
          <w:lang w:val="fr-FR"/>
        </w:rPr>
      </w:pPr>
      <w:r w:rsidRPr="007D4CCC">
        <w:rPr>
          <w:lang w:val="fr-FR"/>
        </w:rPr>
        <w:t>Audit de la gestion de projet</w:t>
      </w:r>
    </w:p>
    <w:p w:rsidR="008122AE" w:rsidRPr="007D4CCC" w:rsidRDefault="008122AE" w:rsidP="008122AE">
      <w:pPr>
        <w:rPr>
          <w:lang w:val="fr-FR"/>
        </w:rPr>
      </w:pPr>
    </w:p>
    <w:p w:rsidR="00B84CCD" w:rsidRPr="007D4CCC" w:rsidRDefault="00A17B6B" w:rsidP="008122AE">
      <w:pPr>
        <w:pStyle w:val="ONUMFS"/>
        <w:rPr>
          <w:lang w:val="fr-FR"/>
        </w:rPr>
      </w:pPr>
      <w:r w:rsidRPr="007D4CCC">
        <w:rPr>
          <w:lang w:val="fr-FR"/>
        </w:rPr>
        <w:t>L</w:t>
      </w:r>
      <w:r w:rsidR="00A25F29">
        <w:rPr>
          <w:lang w:val="fr-FR"/>
        </w:rPr>
        <w:t>’</w:t>
      </w:r>
      <w:r w:rsidRPr="007D4CCC">
        <w:rPr>
          <w:lang w:val="fr-FR"/>
        </w:rPr>
        <w:t>audit a mis en évidence la nécessité d</w:t>
      </w:r>
      <w:r w:rsidR="00A25F29">
        <w:rPr>
          <w:lang w:val="fr-FR"/>
        </w:rPr>
        <w:t>’</w:t>
      </w:r>
      <w:r w:rsidRPr="007D4CCC">
        <w:rPr>
          <w:lang w:val="fr-FR"/>
        </w:rPr>
        <w:t>établir un cadre de gestion de projet à l</w:t>
      </w:r>
      <w:r w:rsidR="00A25F29">
        <w:rPr>
          <w:lang w:val="fr-FR"/>
        </w:rPr>
        <w:t>’</w:t>
      </w:r>
      <w:r w:rsidRPr="007D4CCC">
        <w:rPr>
          <w:lang w:val="fr-FR"/>
        </w:rPr>
        <w:t>OMPI, aligné sur la culture de gestion de projets, la structure institutionnelle actuelle en matière de technologies de l</w:t>
      </w:r>
      <w:r w:rsidR="00A25F29">
        <w:rPr>
          <w:lang w:val="fr-FR"/>
        </w:rPr>
        <w:t>’</w:t>
      </w:r>
      <w:r w:rsidRPr="007D4CCC">
        <w:rPr>
          <w:lang w:val="fr-FR"/>
        </w:rPr>
        <w:t>information et la grille d</w:t>
      </w:r>
      <w:r w:rsidR="00A25F29">
        <w:rPr>
          <w:lang w:val="fr-FR"/>
        </w:rPr>
        <w:t>’</w:t>
      </w:r>
      <w:r w:rsidRPr="007D4CCC">
        <w:rPr>
          <w:lang w:val="fr-FR"/>
        </w:rPr>
        <w:t>évaluation des résultats de l</w:t>
      </w:r>
      <w:r w:rsidR="00A25F29">
        <w:rPr>
          <w:lang w:val="fr-FR"/>
        </w:rPr>
        <w:t>’</w:t>
      </w:r>
      <w:r w:rsidRPr="007D4CCC">
        <w:rPr>
          <w:lang w:val="fr-FR"/>
        </w:rPr>
        <w:t>Organisation.</w:t>
      </w:r>
    </w:p>
    <w:p w:rsidR="00B84CCD" w:rsidRPr="007D4CCC" w:rsidRDefault="006D7A52" w:rsidP="008122AE">
      <w:pPr>
        <w:pStyle w:val="ONUMFS"/>
        <w:rPr>
          <w:lang w:val="fr-FR"/>
        </w:rPr>
      </w:pPr>
      <w:r w:rsidRPr="007D4CCC">
        <w:rPr>
          <w:lang w:val="fr-FR"/>
        </w:rPr>
        <w:t xml:space="preserve">Par ailleurs, pour parvenir à une gestion efficace et </w:t>
      </w:r>
      <w:r w:rsidR="00A1435C" w:rsidRPr="007D4CCC">
        <w:rPr>
          <w:lang w:val="fr-FR"/>
        </w:rPr>
        <w:t>efficiente</w:t>
      </w:r>
      <w:r w:rsidRPr="007D4CCC">
        <w:rPr>
          <w:lang w:val="fr-FR"/>
        </w:rPr>
        <w:t xml:space="preserve"> des projets dans l</w:t>
      </w:r>
      <w:r w:rsidR="00A25F29">
        <w:rPr>
          <w:lang w:val="fr-FR"/>
        </w:rPr>
        <w:t>’</w:t>
      </w:r>
      <w:r w:rsidRPr="007D4CCC">
        <w:rPr>
          <w:lang w:val="fr-FR"/>
        </w:rPr>
        <w:t>Organisation, il est nécessaire de sélectionner la structure la plus adaptée, telle qu</w:t>
      </w:r>
      <w:r w:rsidR="00A25F29">
        <w:rPr>
          <w:lang w:val="fr-FR"/>
        </w:rPr>
        <w:t>’</w:t>
      </w:r>
      <w:r w:rsidRPr="007D4CCC">
        <w:rPr>
          <w:lang w:val="fr-FR"/>
        </w:rPr>
        <w:t>un bureau de gestion de projet, avec des rôles et des responsabilités clairement définis.</w:t>
      </w:r>
    </w:p>
    <w:p w:rsidR="00B84CCD" w:rsidRPr="007D4CCC" w:rsidRDefault="006D7A52" w:rsidP="008122AE">
      <w:pPr>
        <w:pStyle w:val="ONUMFS"/>
        <w:rPr>
          <w:lang w:val="fr-FR"/>
        </w:rPr>
      </w:pPr>
      <w:r w:rsidRPr="007D4CCC">
        <w:rPr>
          <w:lang w:val="fr-FR"/>
        </w:rPr>
        <w:t>Enfin, le succès et la durabilité d</w:t>
      </w:r>
      <w:r w:rsidR="00A25F29">
        <w:rPr>
          <w:lang w:val="fr-FR"/>
        </w:rPr>
        <w:t>’</w:t>
      </w:r>
      <w:r w:rsidRPr="007D4CCC">
        <w:rPr>
          <w:lang w:val="fr-FR"/>
        </w:rPr>
        <w:t>un cadre de gestion de projet reposerai</w:t>
      </w:r>
      <w:r w:rsidR="00B65F3C" w:rsidRPr="007D4CCC">
        <w:rPr>
          <w:lang w:val="fr-FR"/>
        </w:rPr>
        <w:t>ent</w:t>
      </w:r>
      <w:r w:rsidRPr="007D4CCC">
        <w:rPr>
          <w:lang w:val="fr-FR"/>
        </w:rPr>
        <w:t xml:space="preserve"> sur une communication efficace et un programme de formation générale adapté aux besoins de l</w:t>
      </w:r>
      <w:r w:rsidR="00A25F29">
        <w:rPr>
          <w:lang w:val="fr-FR"/>
        </w:rPr>
        <w:t>’</w:t>
      </w:r>
      <w:r w:rsidRPr="007D4CCC">
        <w:rPr>
          <w:lang w:val="fr-FR"/>
        </w:rPr>
        <w:t>OMPI, ainsi que sur des systèmes et outils</w:t>
      </w:r>
      <w:r w:rsidR="00FC2EA8" w:rsidRPr="007D4CCC">
        <w:rPr>
          <w:lang w:val="fr-FR"/>
        </w:rPr>
        <w:t xml:space="preserve"> appropriés</w:t>
      </w:r>
      <w:r w:rsidRPr="007D4CCC">
        <w:rPr>
          <w:lang w:val="fr-FR"/>
        </w:rPr>
        <w:t xml:space="preserve"> conçus pour soutenir pleinement la gestion de projet à l</w:t>
      </w:r>
      <w:r w:rsidR="00A25F29">
        <w:rPr>
          <w:lang w:val="fr-FR"/>
        </w:rPr>
        <w:t>’</w:t>
      </w:r>
      <w:r w:rsidRPr="007D4CCC">
        <w:rPr>
          <w:lang w:val="fr-FR"/>
        </w:rPr>
        <w:t>OMPI.</w:t>
      </w:r>
    </w:p>
    <w:p w:rsidR="00C55FF8" w:rsidRPr="007D4CCC" w:rsidRDefault="006D7A52" w:rsidP="008122AE">
      <w:pPr>
        <w:pStyle w:val="Heading2"/>
        <w:rPr>
          <w:lang w:val="fr-FR"/>
        </w:rPr>
      </w:pPr>
      <w:r w:rsidRPr="007D4CCC">
        <w:rPr>
          <w:lang w:val="fr-FR"/>
        </w:rPr>
        <w:t>Audit de la gestion des risques à l</w:t>
      </w:r>
      <w:r w:rsidR="00A25F29">
        <w:rPr>
          <w:lang w:val="fr-FR"/>
        </w:rPr>
        <w:t>’</w:t>
      </w:r>
      <w:r w:rsidRPr="007D4CCC">
        <w:rPr>
          <w:lang w:val="fr-FR"/>
        </w:rPr>
        <w:t>échelle de l</w:t>
      </w:r>
      <w:r w:rsidR="00A25F29">
        <w:rPr>
          <w:lang w:val="fr-FR"/>
        </w:rPr>
        <w:t>’</w:t>
      </w:r>
      <w:r w:rsidRPr="007D4CCC">
        <w:rPr>
          <w:lang w:val="fr-FR"/>
        </w:rPr>
        <w:t>Organisation</w:t>
      </w:r>
    </w:p>
    <w:p w:rsidR="008122AE" w:rsidRPr="007D4CCC" w:rsidRDefault="008122AE" w:rsidP="008122AE">
      <w:pPr>
        <w:rPr>
          <w:lang w:val="fr-FR"/>
        </w:rPr>
      </w:pPr>
    </w:p>
    <w:p w:rsidR="00C55FF8" w:rsidRPr="007D4CCC" w:rsidRDefault="006D7A52" w:rsidP="008122AE">
      <w:pPr>
        <w:pStyle w:val="ONUMFS"/>
        <w:rPr>
          <w:lang w:val="fr-FR"/>
        </w:rPr>
      </w:pPr>
      <w:r w:rsidRPr="007D4CCC">
        <w:rPr>
          <w:lang w:val="fr-FR"/>
        </w:rPr>
        <w:t xml:space="preserve">La </w:t>
      </w:r>
      <w:proofErr w:type="spellStart"/>
      <w:r w:rsidRPr="007D4CCC">
        <w:rPr>
          <w:lang w:val="fr-FR"/>
        </w:rPr>
        <w:t>DSI</w:t>
      </w:r>
      <w:proofErr w:type="spellEnd"/>
      <w:r w:rsidRPr="007D4CCC">
        <w:rPr>
          <w:lang w:val="fr-FR"/>
        </w:rPr>
        <w:t xml:space="preserve"> a constaté que des progrès considérables avaient été réalisés dans la mise en place d</w:t>
      </w:r>
      <w:r w:rsidR="00A25F29">
        <w:rPr>
          <w:lang w:val="fr-FR"/>
        </w:rPr>
        <w:t>’</w:t>
      </w:r>
      <w:r w:rsidRPr="007D4CCC">
        <w:rPr>
          <w:lang w:val="fr-FR"/>
        </w:rPr>
        <w:t>une procédure formelle de gestion des risques à l</w:t>
      </w:r>
      <w:r w:rsidR="00A25F29">
        <w:rPr>
          <w:lang w:val="fr-FR"/>
        </w:rPr>
        <w:t>’</w:t>
      </w:r>
      <w:r w:rsidRPr="007D4CCC">
        <w:rPr>
          <w:lang w:val="fr-FR"/>
        </w:rPr>
        <w:t>échelle de l</w:t>
      </w:r>
      <w:r w:rsidR="00A25F29">
        <w:rPr>
          <w:lang w:val="fr-FR"/>
        </w:rPr>
        <w:t>’</w:t>
      </w:r>
      <w:r w:rsidRPr="007D4CCC">
        <w:rPr>
          <w:lang w:val="fr-FR"/>
        </w:rPr>
        <w:t xml:space="preserve">Organisation </w:t>
      </w:r>
      <w:r w:rsidR="00A25F29" w:rsidRPr="007D4CCC">
        <w:rPr>
          <w:lang w:val="fr-FR"/>
        </w:rPr>
        <w:t>depuis</w:t>
      </w:r>
      <w:r w:rsidR="00A25F29">
        <w:rPr>
          <w:lang w:val="fr-FR"/>
        </w:rPr>
        <w:t> </w:t>
      </w:r>
      <w:r w:rsidR="00A25F29" w:rsidRPr="007D4CCC">
        <w:rPr>
          <w:lang w:val="fr-FR"/>
        </w:rPr>
        <w:t>2014</w:t>
      </w:r>
      <w:r w:rsidR="00A65A9D">
        <w:rPr>
          <w:lang w:val="fr-FR"/>
        </w:rPr>
        <w:t xml:space="preserve"> et l</w:t>
      </w:r>
      <w:r w:rsidR="00A25F29">
        <w:rPr>
          <w:lang w:val="fr-FR"/>
        </w:rPr>
        <w:t>’</w:t>
      </w:r>
      <w:r w:rsidR="00A65A9D">
        <w:rPr>
          <w:lang w:val="fr-FR"/>
        </w:rPr>
        <w:t>intensification</w:t>
      </w:r>
      <w:r w:rsidRPr="007D4CCC">
        <w:rPr>
          <w:lang w:val="fr-FR"/>
        </w:rPr>
        <w:t xml:space="preserve"> </w:t>
      </w:r>
      <w:r w:rsidR="00A65A9D">
        <w:rPr>
          <w:lang w:val="fr-FR"/>
        </w:rPr>
        <w:t>des</w:t>
      </w:r>
      <w:r w:rsidRPr="007D4CCC">
        <w:rPr>
          <w:lang w:val="fr-FR"/>
        </w:rPr>
        <w:t xml:space="preserve"> efforts</w:t>
      </w:r>
      <w:r w:rsidR="00A65A9D">
        <w:rPr>
          <w:lang w:val="fr-FR"/>
        </w:rPr>
        <w:t xml:space="preserve"> déployés</w:t>
      </w:r>
      <w:r w:rsidRPr="007D4CCC">
        <w:rPr>
          <w:lang w:val="fr-FR"/>
        </w:rPr>
        <w:t xml:space="preserve"> en ce sens.</w:t>
      </w:r>
    </w:p>
    <w:p w:rsidR="00C55FF8" w:rsidRPr="007D4CCC" w:rsidRDefault="00677970" w:rsidP="008122AE">
      <w:pPr>
        <w:pStyle w:val="ONUMFS"/>
        <w:rPr>
          <w:lang w:val="fr-FR"/>
        </w:rPr>
      </w:pPr>
      <w:r w:rsidRPr="007D4CCC">
        <w:rPr>
          <w:lang w:val="fr-FR"/>
        </w:rPr>
        <w:t>Le rôle de surveillance des fonctions de l</w:t>
      </w:r>
      <w:r w:rsidR="00A25F29">
        <w:rPr>
          <w:lang w:val="fr-FR"/>
        </w:rPr>
        <w:t>’</w:t>
      </w:r>
      <w:r w:rsidRPr="007D4CCC">
        <w:rPr>
          <w:lang w:val="fr-FR"/>
        </w:rPr>
        <w:t xml:space="preserve">OMPI </w:t>
      </w:r>
      <w:r w:rsidR="005165AE" w:rsidRPr="007D4CCC">
        <w:rPr>
          <w:lang w:val="fr-FR"/>
        </w:rPr>
        <w:t>“</w:t>
      </w:r>
      <w:r w:rsidRPr="007D4CCC">
        <w:rPr>
          <w:lang w:val="fr-FR"/>
        </w:rPr>
        <w:t xml:space="preserve">de </w:t>
      </w:r>
      <w:r w:rsidR="005E7744" w:rsidRPr="007D4CCC">
        <w:rPr>
          <w:lang w:val="fr-FR"/>
        </w:rPr>
        <w:t>deuxième</w:t>
      </w:r>
      <w:r w:rsidRPr="007D4CCC">
        <w:rPr>
          <w:lang w:val="fr-FR"/>
        </w:rPr>
        <w:t xml:space="preserve"> ligne</w:t>
      </w:r>
      <w:r w:rsidR="005165AE" w:rsidRPr="007D4CCC">
        <w:rPr>
          <w:lang w:val="fr-FR"/>
        </w:rPr>
        <w:t>”</w:t>
      </w:r>
      <w:r w:rsidRPr="007D4CCC">
        <w:rPr>
          <w:lang w:val="fr-FR"/>
        </w:rPr>
        <w:t xml:space="preserve"> dans l</w:t>
      </w:r>
      <w:r w:rsidR="00A25F29">
        <w:rPr>
          <w:lang w:val="fr-FR"/>
        </w:rPr>
        <w:t>’</w:t>
      </w:r>
      <w:r w:rsidRPr="007D4CCC">
        <w:rPr>
          <w:lang w:val="fr-FR"/>
        </w:rPr>
        <w:t>évaluation de l</w:t>
      </w:r>
      <w:r w:rsidR="00A25F29">
        <w:rPr>
          <w:lang w:val="fr-FR"/>
        </w:rPr>
        <w:t>’</w:t>
      </w:r>
      <w:r w:rsidRPr="007D4CCC">
        <w:rPr>
          <w:lang w:val="fr-FR"/>
        </w:rPr>
        <w:t>efficacité d</w:t>
      </w:r>
      <w:r w:rsidR="00011BF3" w:rsidRPr="007D4CCC">
        <w:rPr>
          <w:lang w:val="fr-FR"/>
        </w:rPr>
        <w:t>es mécanismes de</w:t>
      </w:r>
      <w:r w:rsidRPr="007D4CCC">
        <w:rPr>
          <w:lang w:val="fr-FR"/>
        </w:rPr>
        <w:t xml:space="preserve"> contrôle interne peut être renforcé </w:t>
      </w:r>
      <w:r w:rsidR="004E11B9" w:rsidRPr="007D4CCC">
        <w:rPr>
          <w:lang w:val="fr-FR"/>
        </w:rPr>
        <w:t>en chargeant</w:t>
      </w:r>
      <w:r w:rsidRPr="007D4CCC">
        <w:rPr>
          <w:lang w:val="fr-FR"/>
        </w:rPr>
        <w:t xml:space="preserve"> </w:t>
      </w:r>
      <w:r w:rsidR="004E11B9" w:rsidRPr="007D4CCC">
        <w:rPr>
          <w:lang w:val="fr-FR"/>
        </w:rPr>
        <w:t xml:space="preserve">le Groupe de gestion des risques de </w:t>
      </w:r>
      <w:r w:rsidRPr="007D4CCC">
        <w:rPr>
          <w:lang w:val="fr-FR"/>
        </w:rPr>
        <w:t>l</w:t>
      </w:r>
      <w:r w:rsidR="00A25F29">
        <w:rPr>
          <w:lang w:val="fr-FR"/>
        </w:rPr>
        <w:t>’</w:t>
      </w:r>
      <w:r w:rsidR="00A1435C" w:rsidRPr="007D4CCC">
        <w:rPr>
          <w:lang w:val="fr-FR"/>
        </w:rPr>
        <w:t>attribution</w:t>
      </w:r>
      <w:r w:rsidRPr="007D4CCC">
        <w:rPr>
          <w:lang w:val="fr-FR"/>
        </w:rPr>
        <w:t xml:space="preserve"> formelle des responsabilités.</w:t>
      </w:r>
    </w:p>
    <w:p w:rsidR="00C55FF8" w:rsidRPr="007D4CCC" w:rsidRDefault="00677970" w:rsidP="008122AE">
      <w:pPr>
        <w:pStyle w:val="ONUMFS"/>
        <w:rPr>
          <w:lang w:val="fr-FR"/>
        </w:rPr>
      </w:pPr>
      <w:r w:rsidRPr="007D4CCC">
        <w:rPr>
          <w:lang w:val="fr-FR"/>
        </w:rPr>
        <w:t>Il est nécessaire de procéder à un examen de tous les documents du cadre de politique générale de l</w:t>
      </w:r>
      <w:r w:rsidR="00A25F29">
        <w:rPr>
          <w:lang w:val="fr-FR"/>
        </w:rPr>
        <w:t>’</w:t>
      </w:r>
      <w:r w:rsidRPr="007D4CCC">
        <w:rPr>
          <w:lang w:val="fr-FR"/>
        </w:rPr>
        <w:t>OMPI tels que le Règlement financier et règlement d</w:t>
      </w:r>
      <w:r w:rsidR="00A25F29">
        <w:rPr>
          <w:lang w:val="fr-FR"/>
        </w:rPr>
        <w:t>’</w:t>
      </w:r>
      <w:r w:rsidRPr="007D4CCC">
        <w:rPr>
          <w:lang w:val="fr-FR"/>
        </w:rPr>
        <w:t>exécution du Règlement financier de l</w:t>
      </w:r>
      <w:r w:rsidR="00A25F29">
        <w:rPr>
          <w:lang w:val="fr-FR"/>
        </w:rPr>
        <w:t>’</w:t>
      </w:r>
      <w:r w:rsidRPr="007D4CCC">
        <w:rPr>
          <w:lang w:val="fr-FR"/>
        </w:rPr>
        <w:t xml:space="preserve">OMPI, le Statut et Règlement du personnel et les ordres de service, de manière à établir un inventaire des </w:t>
      </w:r>
      <w:r w:rsidR="00011BF3" w:rsidRPr="007D4CCC">
        <w:rPr>
          <w:lang w:val="fr-FR"/>
        </w:rPr>
        <w:t>systèmes de contrôle</w:t>
      </w:r>
      <w:r w:rsidRPr="007D4CCC">
        <w:rPr>
          <w:lang w:val="fr-FR"/>
        </w:rPr>
        <w:t>.</w:t>
      </w:r>
    </w:p>
    <w:p w:rsidR="00C55FF8" w:rsidRPr="007D4CCC" w:rsidRDefault="00B94C46" w:rsidP="008122AE">
      <w:pPr>
        <w:pStyle w:val="ONUMFS"/>
        <w:rPr>
          <w:lang w:val="fr-FR"/>
        </w:rPr>
      </w:pPr>
      <w:r w:rsidRPr="007D4CCC">
        <w:rPr>
          <w:lang w:val="fr-FR"/>
        </w:rPr>
        <w:t>Dans la conception des systèmes de gestion des risques à l</w:t>
      </w:r>
      <w:r w:rsidR="00A25F29">
        <w:rPr>
          <w:lang w:val="fr-FR"/>
        </w:rPr>
        <w:t>’</w:t>
      </w:r>
      <w:r w:rsidRPr="007D4CCC">
        <w:rPr>
          <w:lang w:val="fr-FR"/>
        </w:rPr>
        <w:t>échelle de l</w:t>
      </w:r>
      <w:r w:rsidR="00A25F29">
        <w:rPr>
          <w:lang w:val="fr-FR"/>
        </w:rPr>
        <w:t>’</w:t>
      </w:r>
      <w:r w:rsidRPr="007D4CCC">
        <w:rPr>
          <w:lang w:val="fr-FR"/>
        </w:rPr>
        <w:t>Organisation en vue d</w:t>
      </w:r>
      <w:r w:rsidR="00A25F29">
        <w:rPr>
          <w:lang w:val="fr-FR"/>
        </w:rPr>
        <w:t>’</w:t>
      </w:r>
      <w:r w:rsidRPr="007D4CCC">
        <w:rPr>
          <w:lang w:val="fr-FR"/>
        </w:rPr>
        <w:t xml:space="preserve">obtenir </w:t>
      </w:r>
      <w:r w:rsidR="00011BF3" w:rsidRPr="007D4CCC">
        <w:rPr>
          <w:lang w:val="fr-FR"/>
        </w:rPr>
        <w:t>l</w:t>
      </w:r>
      <w:r w:rsidR="00A25F29">
        <w:rPr>
          <w:lang w:val="fr-FR"/>
        </w:rPr>
        <w:t>’</w:t>
      </w:r>
      <w:r w:rsidR="00011BF3" w:rsidRPr="007D4CCC">
        <w:rPr>
          <w:lang w:val="fr-FR"/>
        </w:rPr>
        <w:t>information en matière de contrôle</w:t>
      </w:r>
      <w:r w:rsidRPr="007D4CCC">
        <w:rPr>
          <w:lang w:val="fr-FR"/>
        </w:rPr>
        <w:t>, il convien</w:t>
      </w:r>
      <w:r w:rsidR="005E7744" w:rsidRPr="007D4CCC">
        <w:rPr>
          <w:lang w:val="fr-FR"/>
        </w:rPr>
        <w:t>t</w:t>
      </w:r>
      <w:r w:rsidRPr="007D4CCC">
        <w:rPr>
          <w:lang w:val="fr-FR"/>
        </w:rPr>
        <w:t xml:space="preserve"> de porter l</w:t>
      </w:r>
      <w:r w:rsidR="00A25F29">
        <w:rPr>
          <w:lang w:val="fr-FR"/>
        </w:rPr>
        <w:t>’</w:t>
      </w:r>
      <w:r w:rsidRPr="007D4CCC">
        <w:rPr>
          <w:lang w:val="fr-FR"/>
        </w:rPr>
        <w:t xml:space="preserve">attention nécessaire à </w:t>
      </w:r>
      <w:r w:rsidR="005E7744" w:rsidRPr="007D4CCC">
        <w:rPr>
          <w:lang w:val="fr-FR"/>
        </w:rPr>
        <w:t>l</w:t>
      </w:r>
      <w:r w:rsidR="00A25F29">
        <w:rPr>
          <w:lang w:val="fr-FR"/>
        </w:rPr>
        <w:t>’</w:t>
      </w:r>
      <w:r w:rsidR="005E7744" w:rsidRPr="007D4CCC">
        <w:rPr>
          <w:lang w:val="fr-FR"/>
        </w:rPr>
        <w:t>inscription des paramètres correspondants</w:t>
      </w:r>
      <w:r w:rsidRPr="007D4CCC">
        <w:rPr>
          <w:lang w:val="fr-FR"/>
        </w:rPr>
        <w:t>.</w:t>
      </w:r>
    </w:p>
    <w:p w:rsidR="00C55FF8" w:rsidRPr="007D4CCC" w:rsidRDefault="008A3734" w:rsidP="008122AE">
      <w:pPr>
        <w:pStyle w:val="ONUMFS"/>
        <w:rPr>
          <w:lang w:val="fr-FR"/>
        </w:rPr>
      </w:pPr>
      <w:r w:rsidRPr="007D4CCC">
        <w:rPr>
          <w:lang w:val="fr-FR"/>
        </w:rPr>
        <w:t>Les résultats d</w:t>
      </w:r>
      <w:r w:rsidR="00A25F29">
        <w:rPr>
          <w:lang w:val="fr-FR"/>
        </w:rPr>
        <w:t>’</w:t>
      </w:r>
      <w:r w:rsidRPr="007D4CCC">
        <w:rPr>
          <w:lang w:val="fr-FR"/>
        </w:rPr>
        <w:t>une enquête de référence réalisée auprès de 32</w:t>
      </w:r>
      <w:r w:rsidR="00B65F3C" w:rsidRPr="007D4CCC">
        <w:rPr>
          <w:lang w:val="fr-FR"/>
        </w:rPr>
        <w:t> </w:t>
      </w:r>
      <w:r w:rsidRPr="007D4CCC">
        <w:rPr>
          <w:lang w:val="fr-FR"/>
        </w:rPr>
        <w:t xml:space="preserve">organismes des </w:t>
      </w:r>
      <w:r w:rsidR="00A25F29">
        <w:rPr>
          <w:lang w:val="fr-FR"/>
        </w:rPr>
        <w:t>Nations Unies</w:t>
      </w:r>
      <w:r w:rsidRPr="007D4CCC">
        <w:rPr>
          <w:lang w:val="fr-FR"/>
        </w:rPr>
        <w:t xml:space="preserve"> et autres organisations internationales montraient que les pratiques de l</w:t>
      </w:r>
      <w:r w:rsidR="00A25F29">
        <w:rPr>
          <w:lang w:val="fr-FR"/>
        </w:rPr>
        <w:t>’</w:t>
      </w:r>
      <w:r w:rsidRPr="007D4CCC">
        <w:rPr>
          <w:lang w:val="fr-FR"/>
        </w:rPr>
        <w:t>OMPI en matière de gestion des risques à l</w:t>
      </w:r>
      <w:r w:rsidR="00A25F29">
        <w:rPr>
          <w:lang w:val="fr-FR"/>
        </w:rPr>
        <w:t>’</w:t>
      </w:r>
      <w:r w:rsidRPr="007D4CCC">
        <w:rPr>
          <w:lang w:val="fr-FR"/>
        </w:rPr>
        <w:t>échelle de l</w:t>
      </w:r>
      <w:r w:rsidR="00A25F29">
        <w:rPr>
          <w:lang w:val="fr-FR"/>
        </w:rPr>
        <w:t>’</w:t>
      </w:r>
      <w:r w:rsidR="00B3153A" w:rsidRPr="007D4CCC">
        <w:rPr>
          <w:lang w:val="fr-FR"/>
        </w:rPr>
        <w:t>O</w:t>
      </w:r>
      <w:r w:rsidRPr="007D4CCC">
        <w:rPr>
          <w:lang w:val="fr-FR"/>
        </w:rPr>
        <w:t>rganisation étaient sur le même niveau que celles des organisations les plus attentives aux risques.</w:t>
      </w:r>
    </w:p>
    <w:p w:rsidR="00C55FF8" w:rsidRPr="007D4CCC" w:rsidRDefault="008A3734" w:rsidP="003B5D17">
      <w:pPr>
        <w:pStyle w:val="Heading2"/>
        <w:rPr>
          <w:lang w:val="fr-FR"/>
        </w:rPr>
      </w:pPr>
      <w:r w:rsidRPr="007D4CCC">
        <w:rPr>
          <w:lang w:val="fr-FR"/>
        </w:rPr>
        <w:lastRenderedPageBreak/>
        <w:t>Examen du cadre de l</w:t>
      </w:r>
      <w:r w:rsidR="00A25F29">
        <w:rPr>
          <w:lang w:val="fr-FR"/>
        </w:rPr>
        <w:t>’</w:t>
      </w:r>
      <w:r w:rsidRPr="007D4CCC">
        <w:rPr>
          <w:lang w:val="fr-FR"/>
        </w:rPr>
        <w:t>OMPI</w:t>
      </w:r>
      <w:r w:rsidR="00011BF3" w:rsidRPr="007D4CCC">
        <w:rPr>
          <w:lang w:val="fr-FR"/>
        </w:rPr>
        <w:t xml:space="preserve"> en matière d</w:t>
      </w:r>
      <w:r w:rsidR="00A25F29">
        <w:rPr>
          <w:lang w:val="fr-FR"/>
        </w:rPr>
        <w:t>’</w:t>
      </w:r>
      <w:r w:rsidR="00011BF3" w:rsidRPr="007D4CCC">
        <w:rPr>
          <w:lang w:val="fr-FR"/>
        </w:rPr>
        <w:t>éthique</w:t>
      </w:r>
    </w:p>
    <w:p w:rsidR="008122AE" w:rsidRPr="007D4CCC" w:rsidRDefault="008122AE" w:rsidP="008122AE">
      <w:pPr>
        <w:rPr>
          <w:lang w:val="fr-FR"/>
        </w:rPr>
      </w:pPr>
    </w:p>
    <w:p w:rsidR="00B84CCD" w:rsidRPr="007D4CCC" w:rsidRDefault="008B44F0" w:rsidP="008122AE">
      <w:pPr>
        <w:pStyle w:val="ONUMFS"/>
        <w:rPr>
          <w:lang w:val="fr-FR"/>
        </w:rPr>
      </w:pPr>
      <w:r w:rsidRPr="007D4CCC">
        <w:rPr>
          <w:lang w:val="fr-FR"/>
        </w:rPr>
        <w:t xml:space="preserve">La conception et la structure du cadre </w:t>
      </w:r>
      <w:r w:rsidR="00011BF3" w:rsidRPr="007D4CCC">
        <w:rPr>
          <w:lang w:val="fr-FR"/>
        </w:rPr>
        <w:t>de l</w:t>
      </w:r>
      <w:r w:rsidR="00A25F29">
        <w:rPr>
          <w:lang w:val="fr-FR"/>
        </w:rPr>
        <w:t>’</w:t>
      </w:r>
      <w:r w:rsidR="00011BF3" w:rsidRPr="007D4CCC">
        <w:rPr>
          <w:lang w:val="fr-FR"/>
        </w:rPr>
        <w:t>OMPI en matière d</w:t>
      </w:r>
      <w:r w:rsidR="00A25F29">
        <w:rPr>
          <w:lang w:val="fr-FR"/>
        </w:rPr>
        <w:t>’</w:t>
      </w:r>
      <w:r w:rsidR="00011BF3" w:rsidRPr="007D4CCC">
        <w:rPr>
          <w:lang w:val="fr-FR"/>
        </w:rPr>
        <w:t xml:space="preserve">éthique </w:t>
      </w:r>
      <w:r w:rsidRPr="007D4CCC">
        <w:rPr>
          <w:lang w:val="fr-FR"/>
        </w:rPr>
        <w:t xml:space="preserve">ont été considérées comme </w:t>
      </w:r>
      <w:r w:rsidR="00B3153A" w:rsidRPr="007D4CCC">
        <w:rPr>
          <w:lang w:val="fr-FR"/>
        </w:rPr>
        <w:t xml:space="preserve">tout à fait </w:t>
      </w:r>
      <w:r w:rsidRPr="007D4CCC">
        <w:rPr>
          <w:lang w:val="fr-FR"/>
        </w:rPr>
        <w:t>adéquates en termes de positionnement des unités institutionnelles, de l</w:t>
      </w:r>
      <w:r w:rsidR="00A25F29">
        <w:rPr>
          <w:lang w:val="fr-FR"/>
        </w:rPr>
        <w:t>’</w:t>
      </w:r>
      <w:r w:rsidRPr="007D4CCC">
        <w:rPr>
          <w:lang w:val="fr-FR"/>
        </w:rPr>
        <w:t>ensemble de contrôle</w:t>
      </w:r>
      <w:r w:rsidR="00B3153A" w:rsidRPr="007D4CCC">
        <w:rPr>
          <w:lang w:val="fr-FR"/>
        </w:rPr>
        <w:t>s</w:t>
      </w:r>
      <w:r w:rsidRPr="007D4CCC">
        <w:rPr>
          <w:lang w:val="fr-FR"/>
        </w:rPr>
        <w:t xml:space="preserve"> et procédures internes et du socle solide de règles, réglementations, politiques et directiv</w:t>
      </w:r>
      <w:r w:rsidR="00186C7F" w:rsidRPr="007D4CCC">
        <w:rPr>
          <w:lang w:val="fr-FR"/>
        </w:rPr>
        <w:t>es</w:t>
      </w:r>
      <w:r w:rsidR="00186C7F">
        <w:rPr>
          <w:lang w:val="fr-FR"/>
        </w:rPr>
        <w:t xml:space="preserve">.  </w:t>
      </w:r>
      <w:r w:rsidR="00186C7F" w:rsidRPr="007D4CCC">
        <w:rPr>
          <w:lang w:val="fr-FR"/>
        </w:rPr>
        <w:t>L</w:t>
      </w:r>
      <w:r w:rsidR="00186C7F">
        <w:rPr>
          <w:lang w:val="fr-FR"/>
        </w:rPr>
        <w:t>’</w:t>
      </w:r>
      <w:r w:rsidR="00186C7F" w:rsidRPr="007D4CCC">
        <w:rPr>
          <w:lang w:val="fr-FR"/>
        </w:rPr>
        <w:t>e</w:t>
      </w:r>
      <w:r w:rsidRPr="007D4CCC">
        <w:rPr>
          <w:lang w:val="fr-FR"/>
        </w:rPr>
        <w:t>nquête menée dans l</w:t>
      </w:r>
      <w:r w:rsidR="00B3153A" w:rsidRPr="007D4CCC">
        <w:rPr>
          <w:lang w:val="fr-FR"/>
        </w:rPr>
        <w:t>e</w:t>
      </w:r>
      <w:r w:rsidRPr="007D4CCC">
        <w:rPr>
          <w:lang w:val="fr-FR"/>
        </w:rPr>
        <w:t xml:space="preserve"> cadre de cet audit montrait aussi que la conception et la structure du cadre </w:t>
      </w:r>
      <w:r w:rsidR="00011BF3" w:rsidRPr="007D4CCC">
        <w:rPr>
          <w:lang w:val="fr-FR"/>
        </w:rPr>
        <w:t>de l</w:t>
      </w:r>
      <w:r w:rsidR="00A25F29">
        <w:rPr>
          <w:lang w:val="fr-FR"/>
        </w:rPr>
        <w:t>’</w:t>
      </w:r>
      <w:r w:rsidR="00011BF3" w:rsidRPr="007D4CCC">
        <w:rPr>
          <w:lang w:val="fr-FR"/>
        </w:rPr>
        <w:t>OMPI en matière d</w:t>
      </w:r>
      <w:r w:rsidR="00A25F29">
        <w:rPr>
          <w:lang w:val="fr-FR"/>
        </w:rPr>
        <w:t>’</w:t>
      </w:r>
      <w:r w:rsidR="00011BF3" w:rsidRPr="007D4CCC">
        <w:rPr>
          <w:lang w:val="fr-FR"/>
        </w:rPr>
        <w:t xml:space="preserve">éthique </w:t>
      </w:r>
      <w:r w:rsidRPr="007D4CCC">
        <w:rPr>
          <w:lang w:val="fr-FR"/>
        </w:rPr>
        <w:t xml:space="preserve">sont conformes aux normes appliquées dans le système des </w:t>
      </w:r>
      <w:r w:rsidR="00A25F29">
        <w:rPr>
          <w:lang w:val="fr-FR"/>
        </w:rPr>
        <w:t>Nations Unies</w:t>
      </w:r>
      <w:r w:rsidRPr="007D4CCC">
        <w:rPr>
          <w:lang w:val="fr-FR"/>
        </w:rPr>
        <w:t xml:space="preserve"> et d</w:t>
      </w:r>
      <w:r w:rsidR="00A25F29">
        <w:rPr>
          <w:lang w:val="fr-FR"/>
        </w:rPr>
        <w:t>’</w:t>
      </w:r>
      <w:r w:rsidRPr="007D4CCC">
        <w:rPr>
          <w:lang w:val="fr-FR"/>
        </w:rPr>
        <w:t>autres organisations internationales.</w:t>
      </w:r>
    </w:p>
    <w:p w:rsidR="00B84CCD" w:rsidRPr="007D4CCC" w:rsidRDefault="0049344D" w:rsidP="008122AE">
      <w:pPr>
        <w:pStyle w:val="ONUMFS"/>
        <w:rPr>
          <w:lang w:val="fr-FR"/>
        </w:rPr>
      </w:pPr>
      <w:r w:rsidRPr="007D4CCC">
        <w:rPr>
          <w:lang w:val="fr-FR"/>
        </w:rPr>
        <w:t>Parmi les possibilités d</w:t>
      </w:r>
      <w:r w:rsidR="00A25F29">
        <w:rPr>
          <w:lang w:val="fr-FR"/>
        </w:rPr>
        <w:t>’</w:t>
      </w:r>
      <w:r w:rsidRPr="007D4CCC">
        <w:rPr>
          <w:lang w:val="fr-FR"/>
        </w:rPr>
        <w:t xml:space="preserve">amélioration du cadre </w:t>
      </w:r>
      <w:r w:rsidR="00011BF3" w:rsidRPr="007D4CCC">
        <w:rPr>
          <w:lang w:val="fr-FR"/>
        </w:rPr>
        <w:t>en matière d</w:t>
      </w:r>
      <w:r w:rsidR="00A25F29">
        <w:rPr>
          <w:lang w:val="fr-FR"/>
        </w:rPr>
        <w:t>’</w:t>
      </w:r>
      <w:r w:rsidRPr="007D4CCC">
        <w:rPr>
          <w:lang w:val="fr-FR"/>
        </w:rPr>
        <w:t>éthique,</w:t>
      </w:r>
      <w:r w:rsidR="00B84CCD" w:rsidRPr="007D4CCC">
        <w:rPr>
          <w:lang w:val="fr-FR"/>
        </w:rPr>
        <w:t xml:space="preserve"> la </w:t>
      </w:r>
      <w:proofErr w:type="spellStart"/>
      <w:r w:rsidR="00B84CCD" w:rsidRPr="007D4CCC">
        <w:rPr>
          <w:lang w:val="fr-FR"/>
        </w:rPr>
        <w:t>DSI</w:t>
      </w:r>
      <w:proofErr w:type="spellEnd"/>
      <w:r w:rsidRPr="007D4CCC">
        <w:rPr>
          <w:lang w:val="fr-FR"/>
        </w:rPr>
        <w:t xml:space="preserve"> accordait un rang de priorité élevé à la formulation d</w:t>
      </w:r>
      <w:r w:rsidR="00A25F29">
        <w:rPr>
          <w:lang w:val="fr-FR"/>
        </w:rPr>
        <w:t>’</w:t>
      </w:r>
      <w:r w:rsidRPr="007D4CCC">
        <w:rPr>
          <w:lang w:val="fr-FR"/>
        </w:rPr>
        <w:t xml:space="preserve">un mandat détaillé pour le Bureau de la déontologie et </w:t>
      </w:r>
      <w:r w:rsidR="00B3153A" w:rsidRPr="007D4CCC">
        <w:rPr>
          <w:lang w:val="fr-FR"/>
        </w:rPr>
        <w:t xml:space="preserve">à </w:t>
      </w:r>
      <w:r w:rsidRPr="007D4CCC">
        <w:rPr>
          <w:lang w:val="fr-FR"/>
        </w:rPr>
        <w:t xml:space="preserve">la mise en </w:t>
      </w:r>
      <w:r w:rsidR="00A1435C" w:rsidRPr="007D4CCC">
        <w:rPr>
          <w:lang w:val="fr-FR"/>
        </w:rPr>
        <w:t>œuvre</w:t>
      </w:r>
      <w:r w:rsidRPr="007D4CCC">
        <w:rPr>
          <w:lang w:val="fr-FR"/>
        </w:rPr>
        <w:t xml:space="preserve"> de la </w:t>
      </w:r>
      <w:r w:rsidR="00A1435C" w:rsidRPr="007D4CCC">
        <w:rPr>
          <w:lang w:val="fr-FR"/>
        </w:rPr>
        <w:t>stratégie</w:t>
      </w:r>
      <w:r w:rsidRPr="007D4CCC">
        <w:rPr>
          <w:lang w:val="fr-FR"/>
        </w:rPr>
        <w:t xml:space="preserve"> </w:t>
      </w:r>
      <w:r w:rsidR="00B3153A" w:rsidRPr="007D4CCC">
        <w:rPr>
          <w:lang w:val="fr-FR"/>
        </w:rPr>
        <w:t>de celui</w:t>
      </w:r>
      <w:r w:rsidR="00F77457">
        <w:rPr>
          <w:lang w:val="fr-FR"/>
        </w:rPr>
        <w:noBreakHyphen/>
      </w:r>
      <w:r w:rsidR="00186C7F" w:rsidRPr="007D4CCC">
        <w:rPr>
          <w:lang w:val="fr-FR"/>
        </w:rPr>
        <w:t>ci</w:t>
      </w:r>
      <w:r w:rsidR="00186C7F">
        <w:rPr>
          <w:lang w:val="fr-FR"/>
        </w:rPr>
        <w:t xml:space="preserve">.  </w:t>
      </w:r>
      <w:r w:rsidR="00186C7F" w:rsidRPr="007D4CCC">
        <w:rPr>
          <w:lang w:val="fr-FR"/>
        </w:rPr>
        <w:t>Le</w:t>
      </w:r>
      <w:r w:rsidRPr="007D4CCC">
        <w:rPr>
          <w:lang w:val="fr-FR"/>
        </w:rPr>
        <w:t>s risques en matière de déontologie devraient aussi être intégrés au registre des risques au niveau de l</w:t>
      </w:r>
      <w:r w:rsidR="00A25F29">
        <w:rPr>
          <w:lang w:val="fr-FR"/>
        </w:rPr>
        <w:t>’</w:t>
      </w:r>
      <w:r w:rsidRPr="007D4CCC">
        <w:rPr>
          <w:lang w:val="fr-FR"/>
        </w:rPr>
        <w:t xml:space="preserve">Organisation, tandis que les ressources humaines et financières devraient être réévaluées </w:t>
      </w:r>
      <w:r w:rsidR="00A1435C" w:rsidRPr="007D4CCC">
        <w:rPr>
          <w:lang w:val="fr-FR"/>
        </w:rPr>
        <w:t>afin</w:t>
      </w:r>
      <w:r w:rsidRPr="007D4CCC">
        <w:rPr>
          <w:lang w:val="fr-FR"/>
        </w:rPr>
        <w:t xml:space="preserve"> </w:t>
      </w:r>
      <w:r w:rsidR="00A1435C" w:rsidRPr="007D4CCC">
        <w:rPr>
          <w:lang w:val="fr-FR"/>
        </w:rPr>
        <w:t>d</w:t>
      </w:r>
      <w:r w:rsidRPr="007D4CCC">
        <w:rPr>
          <w:lang w:val="fr-FR"/>
        </w:rPr>
        <w:t>e</w:t>
      </w:r>
      <w:r w:rsidR="00A1435C" w:rsidRPr="007D4CCC">
        <w:rPr>
          <w:lang w:val="fr-FR"/>
        </w:rPr>
        <w:t xml:space="preserve"> </w:t>
      </w:r>
      <w:r w:rsidRPr="007D4CCC">
        <w:rPr>
          <w:lang w:val="fr-FR"/>
        </w:rPr>
        <w:t>permettre au bureau d</w:t>
      </w:r>
      <w:r w:rsidR="00A25F29">
        <w:rPr>
          <w:lang w:val="fr-FR"/>
        </w:rPr>
        <w:t>’</w:t>
      </w:r>
      <w:r w:rsidRPr="007D4CCC">
        <w:rPr>
          <w:lang w:val="fr-FR"/>
        </w:rPr>
        <w:t>obtenir les résultats escomptés.</w:t>
      </w:r>
    </w:p>
    <w:p w:rsidR="00B84CCD" w:rsidRPr="007D4CCC" w:rsidRDefault="00D537F7" w:rsidP="008122AE">
      <w:pPr>
        <w:pStyle w:val="ONUMFS"/>
        <w:rPr>
          <w:lang w:val="fr-FR"/>
        </w:rPr>
      </w:pPr>
      <w:r w:rsidRPr="007D4CCC">
        <w:rPr>
          <w:lang w:val="fr-FR"/>
        </w:rPr>
        <w:t>Par ailleurs</w:t>
      </w:r>
      <w:r w:rsidR="0049344D" w:rsidRPr="007D4CCC">
        <w:rPr>
          <w:lang w:val="fr-FR"/>
        </w:rPr>
        <w:t>, la qualité et la fréquence des formations adaptées aux besoins spécifiques de l</w:t>
      </w:r>
      <w:r w:rsidR="00A25F29">
        <w:rPr>
          <w:lang w:val="fr-FR"/>
        </w:rPr>
        <w:t>’</w:t>
      </w:r>
      <w:r w:rsidR="0049344D" w:rsidRPr="007D4CCC">
        <w:rPr>
          <w:lang w:val="fr-FR"/>
        </w:rPr>
        <w:t>OMPI ainsi qu</w:t>
      </w:r>
      <w:r w:rsidR="00A25F29">
        <w:rPr>
          <w:lang w:val="fr-FR"/>
        </w:rPr>
        <w:t>’</w:t>
      </w:r>
      <w:r w:rsidR="0049344D" w:rsidRPr="007D4CCC">
        <w:rPr>
          <w:lang w:val="fr-FR"/>
        </w:rPr>
        <w:t>une communication plus efficace permettraient de soutenir davantage le cadre</w:t>
      </w:r>
      <w:r w:rsidRPr="007D4CCC">
        <w:rPr>
          <w:lang w:val="fr-FR"/>
        </w:rPr>
        <w:t xml:space="preserve"> </w:t>
      </w:r>
      <w:r w:rsidR="00011BF3" w:rsidRPr="007D4CCC">
        <w:rPr>
          <w:lang w:val="fr-FR"/>
        </w:rPr>
        <w:t>de l</w:t>
      </w:r>
      <w:r w:rsidR="00A25F29">
        <w:rPr>
          <w:lang w:val="fr-FR"/>
        </w:rPr>
        <w:t>’</w:t>
      </w:r>
      <w:r w:rsidR="00011BF3" w:rsidRPr="007D4CCC">
        <w:rPr>
          <w:lang w:val="fr-FR"/>
        </w:rPr>
        <w:t>Organisation en matière d</w:t>
      </w:r>
      <w:r w:rsidR="00A25F29">
        <w:rPr>
          <w:lang w:val="fr-FR"/>
        </w:rPr>
        <w:t>’</w:t>
      </w:r>
      <w:r w:rsidRPr="007D4CCC">
        <w:rPr>
          <w:lang w:val="fr-FR"/>
        </w:rPr>
        <w:t>éthiq</w:t>
      </w:r>
      <w:r w:rsidR="00186C7F" w:rsidRPr="007D4CCC">
        <w:rPr>
          <w:lang w:val="fr-FR"/>
        </w:rPr>
        <w:t>ue</w:t>
      </w:r>
      <w:r w:rsidR="00186C7F">
        <w:rPr>
          <w:lang w:val="fr-FR"/>
        </w:rPr>
        <w:t xml:space="preserve">.  </w:t>
      </w:r>
      <w:r w:rsidR="00186C7F" w:rsidRPr="007D4CCC">
        <w:rPr>
          <w:lang w:val="fr-FR"/>
        </w:rPr>
        <w:t>En</w:t>
      </w:r>
      <w:r w:rsidR="00683A5B" w:rsidRPr="007D4CCC">
        <w:rPr>
          <w:lang w:val="fr-FR"/>
        </w:rPr>
        <w:t xml:space="preserve">fin, il est </w:t>
      </w:r>
      <w:r w:rsidR="00A1435C" w:rsidRPr="007D4CCC">
        <w:rPr>
          <w:lang w:val="fr-FR"/>
        </w:rPr>
        <w:t>nécessaire</w:t>
      </w:r>
      <w:r w:rsidR="00683A5B" w:rsidRPr="007D4CCC">
        <w:rPr>
          <w:lang w:val="fr-FR"/>
        </w:rPr>
        <w:t xml:space="preserve"> de mettre à jour la politique d</w:t>
      </w:r>
      <w:r w:rsidR="00A25F29">
        <w:rPr>
          <w:lang w:val="fr-FR"/>
        </w:rPr>
        <w:t>’</w:t>
      </w:r>
      <w:r w:rsidR="00683A5B" w:rsidRPr="007D4CCC">
        <w:rPr>
          <w:lang w:val="fr-FR"/>
        </w:rPr>
        <w:t>information financière et la politique en matière de pro</w:t>
      </w:r>
      <w:r w:rsidR="002717F7" w:rsidRPr="007D4CCC">
        <w:rPr>
          <w:lang w:val="fr-FR"/>
        </w:rPr>
        <w:t>tection contre les représailles</w:t>
      </w:r>
      <w:r w:rsidR="00683A5B" w:rsidRPr="007D4CCC">
        <w:rPr>
          <w:lang w:val="fr-FR"/>
        </w:rPr>
        <w:t xml:space="preserve"> afin d</w:t>
      </w:r>
      <w:r w:rsidR="00A25F29">
        <w:rPr>
          <w:lang w:val="fr-FR"/>
        </w:rPr>
        <w:t>’</w:t>
      </w:r>
      <w:r w:rsidR="00683A5B" w:rsidRPr="007D4CCC">
        <w:rPr>
          <w:lang w:val="fr-FR"/>
        </w:rPr>
        <w:t xml:space="preserve">améliorer encore </w:t>
      </w:r>
      <w:r w:rsidRPr="007D4CCC">
        <w:rPr>
          <w:lang w:val="fr-FR"/>
        </w:rPr>
        <w:t>c</w:t>
      </w:r>
      <w:r w:rsidR="00683A5B" w:rsidRPr="007D4CCC">
        <w:rPr>
          <w:lang w:val="fr-FR"/>
        </w:rPr>
        <w:t>e cadre.</w:t>
      </w:r>
    </w:p>
    <w:p w:rsidR="00B84CCD" w:rsidRPr="007D4CCC" w:rsidRDefault="00683A5B" w:rsidP="003B5D17">
      <w:pPr>
        <w:pStyle w:val="Heading2"/>
        <w:rPr>
          <w:lang w:val="fr-FR"/>
        </w:rPr>
      </w:pPr>
      <w:r w:rsidRPr="007D4CCC">
        <w:rPr>
          <w:lang w:val="fr-FR"/>
        </w:rPr>
        <w:t xml:space="preserve">Audit de la mise en </w:t>
      </w:r>
      <w:r w:rsidR="00B84CCD" w:rsidRPr="007D4CCC">
        <w:rPr>
          <w:lang w:val="fr-FR"/>
        </w:rPr>
        <w:t>œuvre</w:t>
      </w:r>
      <w:r w:rsidRPr="007D4CCC">
        <w:rPr>
          <w:lang w:val="fr-FR"/>
        </w:rPr>
        <w:t xml:space="preserve"> dans le Service d</w:t>
      </w:r>
      <w:r w:rsidR="00A25F29">
        <w:rPr>
          <w:lang w:val="fr-FR"/>
        </w:rPr>
        <w:t>’</w:t>
      </w:r>
      <w:r w:rsidRPr="007D4CCC">
        <w:rPr>
          <w:lang w:val="fr-FR"/>
        </w:rPr>
        <w:t>enregistrement de Madrid</w:t>
      </w:r>
    </w:p>
    <w:p w:rsidR="008122AE" w:rsidRPr="007D4CCC" w:rsidRDefault="008122AE" w:rsidP="008122AE">
      <w:pPr>
        <w:rPr>
          <w:lang w:val="fr-FR"/>
        </w:rPr>
      </w:pPr>
    </w:p>
    <w:p w:rsidR="00C55FF8" w:rsidRPr="007D4CCC" w:rsidRDefault="00683A5B" w:rsidP="008122AE">
      <w:pPr>
        <w:pStyle w:val="ONUMFS"/>
        <w:rPr>
          <w:lang w:val="fr-FR"/>
        </w:rPr>
      </w:pPr>
      <w:r w:rsidRPr="007D4CCC">
        <w:rPr>
          <w:lang w:val="fr-FR"/>
        </w:rPr>
        <w:t>Le</w:t>
      </w:r>
      <w:r w:rsidR="002717F7" w:rsidRPr="007D4CCC">
        <w:rPr>
          <w:lang w:val="fr-FR"/>
        </w:rPr>
        <w:t xml:space="preserve"> fonctionnement du</w:t>
      </w:r>
      <w:r w:rsidRPr="007D4CCC">
        <w:rPr>
          <w:lang w:val="fr-FR"/>
        </w:rPr>
        <w:t xml:space="preserve"> Service d</w:t>
      </w:r>
      <w:r w:rsidR="00A25F29">
        <w:rPr>
          <w:lang w:val="fr-FR"/>
        </w:rPr>
        <w:t>’</w:t>
      </w:r>
      <w:r w:rsidRPr="007D4CCC">
        <w:rPr>
          <w:lang w:val="fr-FR"/>
        </w:rPr>
        <w:t xml:space="preserve">enregistrement de Madrid a connu des changements notables depuis le début </w:t>
      </w:r>
      <w:r w:rsidR="00B84CCD" w:rsidRPr="007D4CCC">
        <w:rPr>
          <w:lang w:val="fr-FR"/>
        </w:rPr>
        <w:t>de 2016</w:t>
      </w:r>
      <w:r w:rsidRPr="007D4CCC">
        <w:rPr>
          <w:lang w:val="fr-FR"/>
        </w:rPr>
        <w:t>.</w:t>
      </w:r>
      <w:r w:rsidR="00554024" w:rsidRPr="007D4CCC">
        <w:rPr>
          <w:lang w:val="fr-FR"/>
        </w:rPr>
        <w:t xml:space="preserve">  </w:t>
      </w:r>
      <w:r w:rsidR="004D690A" w:rsidRPr="007D4CCC">
        <w:rPr>
          <w:lang w:val="fr-FR"/>
        </w:rPr>
        <w:t xml:space="preserve">Le plus important était le </w:t>
      </w:r>
      <w:r w:rsidR="00D537F7" w:rsidRPr="007D4CCC">
        <w:rPr>
          <w:lang w:val="fr-FR"/>
        </w:rPr>
        <w:t>déploiement</w:t>
      </w:r>
      <w:r w:rsidR="004D690A" w:rsidRPr="007D4CCC">
        <w:rPr>
          <w:lang w:val="fr-FR"/>
        </w:rPr>
        <w:t xml:space="preserve">, en </w:t>
      </w:r>
      <w:r w:rsidR="00B84CCD" w:rsidRPr="007D4CCC">
        <w:rPr>
          <w:lang w:val="fr-FR"/>
        </w:rPr>
        <w:t>mars 20</w:t>
      </w:r>
      <w:r w:rsidR="004D690A" w:rsidRPr="007D4CCC">
        <w:rPr>
          <w:lang w:val="fr-FR"/>
        </w:rPr>
        <w:t>16, d</w:t>
      </w:r>
      <w:r w:rsidR="00A25F29">
        <w:rPr>
          <w:lang w:val="fr-FR"/>
        </w:rPr>
        <w:t>’</w:t>
      </w:r>
      <w:r w:rsidR="004D690A" w:rsidRPr="007D4CCC">
        <w:rPr>
          <w:lang w:val="fr-FR"/>
        </w:rPr>
        <w:t xml:space="preserve">une nouvelle </w:t>
      </w:r>
      <w:proofErr w:type="spellStart"/>
      <w:r w:rsidR="004D690A" w:rsidRPr="007D4CCC">
        <w:rPr>
          <w:lang w:val="fr-FR"/>
        </w:rPr>
        <w:t>plateforme</w:t>
      </w:r>
      <w:proofErr w:type="spellEnd"/>
      <w:r w:rsidR="004D690A" w:rsidRPr="007D4CCC">
        <w:rPr>
          <w:lang w:val="fr-FR"/>
        </w:rPr>
        <w:t xml:space="preserve"> informatique connue sous le nom de Madrid International Registrations Information System (</w:t>
      </w:r>
      <w:proofErr w:type="spellStart"/>
      <w:r w:rsidR="004D690A" w:rsidRPr="007D4CCC">
        <w:rPr>
          <w:lang w:val="fr-FR"/>
        </w:rPr>
        <w:t>MIRIS</w:t>
      </w:r>
      <w:proofErr w:type="spellEnd"/>
      <w:r w:rsidR="004D690A" w:rsidRPr="007D4CCC">
        <w:rPr>
          <w:lang w:val="fr-FR"/>
        </w:rPr>
        <w:t xml:space="preserve">), après </w:t>
      </w:r>
      <w:r w:rsidR="00A1435C" w:rsidRPr="007D4CCC">
        <w:rPr>
          <w:lang w:val="fr-FR"/>
        </w:rPr>
        <w:t>plusieurs</w:t>
      </w:r>
      <w:r w:rsidR="004D690A" w:rsidRPr="007D4CCC">
        <w:rPr>
          <w:lang w:val="fr-FR"/>
        </w:rPr>
        <w:t xml:space="preserve"> années d</w:t>
      </w:r>
      <w:r w:rsidR="00A25F29">
        <w:rPr>
          <w:lang w:val="fr-FR"/>
        </w:rPr>
        <w:t>’</w:t>
      </w:r>
      <w:r w:rsidR="004D690A" w:rsidRPr="007D4CCC">
        <w:rPr>
          <w:lang w:val="fr-FR"/>
        </w:rPr>
        <w:t xml:space="preserve">efforts de mise en </w:t>
      </w:r>
      <w:r w:rsidR="00A1435C" w:rsidRPr="007D4CCC">
        <w:rPr>
          <w:lang w:val="fr-FR"/>
        </w:rPr>
        <w:t>œuv</w:t>
      </w:r>
      <w:r w:rsidR="00186C7F" w:rsidRPr="007D4CCC">
        <w:rPr>
          <w:lang w:val="fr-FR"/>
        </w:rPr>
        <w:t>re</w:t>
      </w:r>
      <w:r w:rsidR="00186C7F">
        <w:rPr>
          <w:lang w:val="fr-FR"/>
        </w:rPr>
        <w:t xml:space="preserve">.  </w:t>
      </w:r>
      <w:r w:rsidR="00186C7F" w:rsidRPr="007D4CCC">
        <w:rPr>
          <w:lang w:val="fr-FR"/>
        </w:rPr>
        <w:t>Ce</w:t>
      </w:r>
      <w:r w:rsidR="004D690A" w:rsidRPr="007D4CCC">
        <w:rPr>
          <w:lang w:val="fr-FR"/>
        </w:rPr>
        <w:t>tte période a aussi été marquée par des changements de dirigeants à certains postes clés du Service d</w:t>
      </w:r>
      <w:r w:rsidR="00A25F29">
        <w:rPr>
          <w:lang w:val="fr-FR"/>
        </w:rPr>
        <w:t>’</w:t>
      </w:r>
      <w:r w:rsidR="004D690A" w:rsidRPr="007D4CCC">
        <w:rPr>
          <w:lang w:val="fr-FR"/>
        </w:rPr>
        <w:t xml:space="preserve">enregistrement de Madrid ainsi que par des </w:t>
      </w:r>
      <w:r w:rsidR="00A1435C" w:rsidRPr="007D4CCC">
        <w:rPr>
          <w:lang w:val="fr-FR"/>
        </w:rPr>
        <w:t>modifications</w:t>
      </w:r>
      <w:r w:rsidR="004D690A" w:rsidRPr="007D4CCC">
        <w:rPr>
          <w:lang w:val="fr-FR"/>
        </w:rPr>
        <w:t xml:space="preserve"> de la structure organisationnelle.</w:t>
      </w:r>
    </w:p>
    <w:p w:rsidR="00B84CCD" w:rsidRPr="007D4CCC" w:rsidRDefault="009827BB" w:rsidP="008122AE">
      <w:pPr>
        <w:pStyle w:val="ONUMFS"/>
        <w:rPr>
          <w:lang w:val="fr-FR"/>
        </w:rPr>
      </w:pPr>
      <w:r w:rsidRPr="007D4CCC">
        <w:rPr>
          <w:lang w:val="fr-FR"/>
        </w:rPr>
        <w:t xml:space="preserve">Suite au </w:t>
      </w:r>
      <w:r w:rsidR="00D537F7" w:rsidRPr="007D4CCC">
        <w:rPr>
          <w:lang w:val="fr-FR"/>
        </w:rPr>
        <w:t>lancement</w:t>
      </w:r>
      <w:r w:rsidR="00BE2A25" w:rsidRPr="007D4CCC">
        <w:rPr>
          <w:lang w:val="fr-FR"/>
        </w:rPr>
        <w:t xml:space="preserve"> du système </w:t>
      </w:r>
      <w:proofErr w:type="spellStart"/>
      <w:r w:rsidR="00BE2A25" w:rsidRPr="007D4CCC">
        <w:rPr>
          <w:lang w:val="fr-FR"/>
        </w:rPr>
        <w:t>MIRIS</w:t>
      </w:r>
      <w:proofErr w:type="spellEnd"/>
      <w:r w:rsidR="00BE2A25" w:rsidRPr="007D4CCC">
        <w:rPr>
          <w:lang w:val="fr-FR"/>
        </w:rPr>
        <w:t xml:space="preserve"> en </w:t>
      </w:r>
      <w:r w:rsidR="00B84CCD" w:rsidRPr="007D4CCC">
        <w:rPr>
          <w:lang w:val="fr-FR"/>
        </w:rPr>
        <w:t>mars 20</w:t>
      </w:r>
      <w:r w:rsidR="00BE2A25" w:rsidRPr="007D4CCC">
        <w:rPr>
          <w:lang w:val="fr-FR"/>
        </w:rPr>
        <w:t xml:space="preserve">16, </w:t>
      </w:r>
      <w:r w:rsidRPr="007D4CCC">
        <w:rPr>
          <w:lang w:val="fr-FR"/>
        </w:rPr>
        <w:t>ce dernier</w:t>
      </w:r>
      <w:r w:rsidR="00BE2A25" w:rsidRPr="007D4CCC">
        <w:rPr>
          <w:lang w:val="fr-FR"/>
        </w:rPr>
        <w:t xml:space="preserve"> a connu plusieurs problèmes, qui ont aussi contribué à </w:t>
      </w:r>
      <w:r w:rsidRPr="007D4CCC">
        <w:rPr>
          <w:lang w:val="fr-FR"/>
        </w:rPr>
        <w:t>la constitution d</w:t>
      </w:r>
      <w:r w:rsidR="00A25F29">
        <w:rPr>
          <w:lang w:val="fr-FR"/>
        </w:rPr>
        <w:t>’</w:t>
      </w:r>
      <w:r w:rsidRPr="007D4CCC">
        <w:rPr>
          <w:lang w:val="fr-FR"/>
        </w:rPr>
        <w:t>un volume élevé de transactions à traiter par</w:t>
      </w:r>
      <w:r w:rsidR="00BE2A25" w:rsidRPr="007D4CCC">
        <w:rPr>
          <w:lang w:val="fr-FR"/>
        </w:rPr>
        <w:t xml:space="preserve"> la Division des opératio</w:t>
      </w:r>
      <w:r w:rsidR="00186C7F" w:rsidRPr="007D4CCC">
        <w:rPr>
          <w:lang w:val="fr-FR"/>
        </w:rPr>
        <w:t>ns</w:t>
      </w:r>
      <w:r w:rsidR="00186C7F">
        <w:rPr>
          <w:lang w:val="fr-FR"/>
        </w:rPr>
        <w:t xml:space="preserve">.  </w:t>
      </w:r>
      <w:r w:rsidR="00186C7F" w:rsidRPr="007D4CCC">
        <w:rPr>
          <w:lang w:val="fr-FR"/>
        </w:rPr>
        <w:t>Pa</w:t>
      </w:r>
      <w:r w:rsidR="00323652" w:rsidRPr="007D4CCC">
        <w:rPr>
          <w:lang w:val="fr-FR"/>
        </w:rPr>
        <w:t>r ailleurs, un rapport de c</w:t>
      </w:r>
      <w:r w:rsidR="002717F7" w:rsidRPr="007D4CCC">
        <w:rPr>
          <w:lang w:val="fr-FR"/>
        </w:rPr>
        <w:t>lôture officielle du projet do</w:t>
      </w:r>
      <w:r w:rsidR="00323652" w:rsidRPr="007D4CCC">
        <w:rPr>
          <w:lang w:val="fr-FR"/>
        </w:rPr>
        <w:t xml:space="preserve">it encore être finalisé suite </w:t>
      </w:r>
      <w:r w:rsidRPr="007D4CCC">
        <w:rPr>
          <w:lang w:val="fr-FR"/>
        </w:rPr>
        <w:t>a</w:t>
      </w:r>
      <w:r w:rsidR="00323652" w:rsidRPr="007D4CCC">
        <w:rPr>
          <w:lang w:val="fr-FR"/>
        </w:rPr>
        <w:t xml:space="preserve">u </w:t>
      </w:r>
      <w:r w:rsidR="00D537F7" w:rsidRPr="007D4CCC">
        <w:rPr>
          <w:lang w:val="fr-FR"/>
        </w:rPr>
        <w:t>déploiement</w:t>
      </w:r>
      <w:r w:rsidR="00323652" w:rsidRPr="007D4CCC">
        <w:rPr>
          <w:lang w:val="fr-FR"/>
        </w:rPr>
        <w:t xml:space="preserve"> du nouveau système</w:t>
      </w:r>
      <w:r w:rsidRPr="007D4CCC">
        <w:rPr>
          <w:lang w:val="fr-FR"/>
        </w:rPr>
        <w:t>, ce qui peut compromettre</w:t>
      </w:r>
      <w:r w:rsidR="00323652" w:rsidRPr="007D4CCC">
        <w:rPr>
          <w:lang w:val="fr-FR"/>
        </w:rPr>
        <w:t xml:space="preserve"> la capacité </w:t>
      </w:r>
      <w:r w:rsidRPr="007D4CCC">
        <w:rPr>
          <w:lang w:val="fr-FR"/>
        </w:rPr>
        <w:t>de tirer d</w:t>
      </w:r>
      <w:r w:rsidR="00323652" w:rsidRPr="007D4CCC">
        <w:rPr>
          <w:lang w:val="fr-FR"/>
        </w:rPr>
        <w:t>es enseignements pour les projets futu</w:t>
      </w:r>
      <w:r w:rsidR="00186C7F" w:rsidRPr="007D4CCC">
        <w:rPr>
          <w:lang w:val="fr-FR"/>
        </w:rPr>
        <w:t>rs</w:t>
      </w:r>
      <w:r w:rsidR="00186C7F">
        <w:rPr>
          <w:lang w:val="fr-FR"/>
        </w:rPr>
        <w:t xml:space="preserve">.  </w:t>
      </w:r>
      <w:r w:rsidR="00186C7F" w:rsidRPr="007D4CCC">
        <w:rPr>
          <w:lang w:val="fr-FR"/>
        </w:rPr>
        <w:t>En</w:t>
      </w:r>
      <w:r w:rsidR="00323652" w:rsidRPr="007D4CCC">
        <w:rPr>
          <w:lang w:val="fr-FR"/>
        </w:rPr>
        <w:t xml:space="preserve">fin, le projet </w:t>
      </w:r>
      <w:proofErr w:type="spellStart"/>
      <w:r w:rsidR="00323652" w:rsidRPr="007D4CCC">
        <w:rPr>
          <w:lang w:val="fr-FR"/>
        </w:rPr>
        <w:t>MIRIS</w:t>
      </w:r>
      <w:proofErr w:type="spellEnd"/>
      <w:r w:rsidR="00323652" w:rsidRPr="007D4CCC">
        <w:rPr>
          <w:lang w:val="fr-FR"/>
        </w:rPr>
        <w:t xml:space="preserve"> </w:t>
      </w:r>
      <w:r w:rsidR="002717F7" w:rsidRPr="007D4CCC">
        <w:rPr>
          <w:lang w:val="fr-FR"/>
        </w:rPr>
        <w:t xml:space="preserve">a manqué </w:t>
      </w:r>
      <w:r w:rsidR="00323652" w:rsidRPr="007D4CCC">
        <w:rPr>
          <w:lang w:val="fr-FR"/>
        </w:rPr>
        <w:t>une occasion de favoriser l</w:t>
      </w:r>
      <w:r w:rsidR="00A25F29">
        <w:rPr>
          <w:lang w:val="fr-FR"/>
        </w:rPr>
        <w:t>’</w:t>
      </w:r>
      <w:r w:rsidR="00323652" w:rsidRPr="007D4CCC">
        <w:rPr>
          <w:lang w:val="fr-FR"/>
        </w:rPr>
        <w:t>automatisation partielle de certaines procédures qui sont actuellement réalisées en dehors du système, telles que le contrôle de la qualité et la certification.</w:t>
      </w:r>
    </w:p>
    <w:p w:rsidR="00B84CCD" w:rsidRPr="007D4CCC" w:rsidRDefault="00FB7292" w:rsidP="008122AE">
      <w:pPr>
        <w:pStyle w:val="ONUMFS"/>
        <w:rPr>
          <w:lang w:val="fr-FR"/>
        </w:rPr>
      </w:pPr>
      <w:r w:rsidRPr="007D4CCC">
        <w:rPr>
          <w:lang w:val="fr-FR"/>
        </w:rPr>
        <w:t>Il est nécessaire de repenser la mise en valeur des ressources humaines dans la Division des opérations, en vue d</w:t>
      </w:r>
      <w:r w:rsidR="00A25F29">
        <w:rPr>
          <w:lang w:val="fr-FR"/>
        </w:rPr>
        <w:t>’</w:t>
      </w:r>
      <w:r w:rsidRPr="007D4CCC">
        <w:rPr>
          <w:lang w:val="fr-FR"/>
        </w:rPr>
        <w:t xml:space="preserve">obtenir un meilleur équilibre entre les contrats fixes et flexibles des fonctionnaires, dans le but de remédier à la pratique actuelle consistant à se reposer davantage sur les contrats flexibles avec un taux de </w:t>
      </w:r>
      <w:r w:rsidR="00A1435C" w:rsidRPr="007D4CCC">
        <w:rPr>
          <w:lang w:val="fr-FR"/>
        </w:rPr>
        <w:t>renouvellement</w:t>
      </w:r>
      <w:r w:rsidRPr="007D4CCC">
        <w:rPr>
          <w:lang w:val="fr-FR"/>
        </w:rPr>
        <w:t xml:space="preserve"> relativement élevé, qui p</w:t>
      </w:r>
      <w:r w:rsidR="00D537F7" w:rsidRPr="007D4CCC">
        <w:rPr>
          <w:lang w:val="fr-FR"/>
        </w:rPr>
        <w:t>eut</w:t>
      </w:r>
      <w:r w:rsidRPr="007D4CCC">
        <w:rPr>
          <w:lang w:val="fr-FR"/>
        </w:rPr>
        <w:t xml:space="preserve"> avoir </w:t>
      </w:r>
      <w:r w:rsidR="005476FC" w:rsidRPr="007D4CCC">
        <w:rPr>
          <w:lang w:val="fr-FR"/>
        </w:rPr>
        <w:t>des conséquences</w:t>
      </w:r>
      <w:r w:rsidRPr="007D4CCC">
        <w:rPr>
          <w:lang w:val="fr-FR"/>
        </w:rPr>
        <w:t xml:space="preserve"> sur la capacité de la </w:t>
      </w:r>
      <w:r w:rsidR="00A1435C" w:rsidRPr="007D4CCC">
        <w:rPr>
          <w:lang w:val="fr-FR"/>
        </w:rPr>
        <w:t>Division</w:t>
      </w:r>
      <w:r w:rsidRPr="007D4CCC">
        <w:rPr>
          <w:lang w:val="fr-FR"/>
        </w:rPr>
        <w:t xml:space="preserve"> à travailler de manière efficace et efficiente.</w:t>
      </w:r>
    </w:p>
    <w:p w:rsidR="00B84CCD" w:rsidRPr="007D4CCC" w:rsidRDefault="00DC12BC" w:rsidP="008122AE">
      <w:pPr>
        <w:pStyle w:val="ONUMFS"/>
        <w:rPr>
          <w:lang w:val="fr-FR"/>
        </w:rPr>
      </w:pPr>
      <w:r w:rsidRPr="007D4CCC">
        <w:rPr>
          <w:lang w:val="fr-FR"/>
        </w:rPr>
        <w:t>D</w:t>
      </w:r>
      <w:r w:rsidR="00A25F29">
        <w:rPr>
          <w:lang w:val="fr-FR"/>
        </w:rPr>
        <w:t>’</w:t>
      </w:r>
      <w:r w:rsidRPr="007D4CCC">
        <w:rPr>
          <w:lang w:val="fr-FR"/>
        </w:rPr>
        <w:t>autres améliorations peuvent être apportées au Service d</w:t>
      </w:r>
      <w:r w:rsidR="00A25F29">
        <w:rPr>
          <w:lang w:val="fr-FR"/>
        </w:rPr>
        <w:t>’</w:t>
      </w:r>
      <w:r w:rsidRPr="007D4CCC">
        <w:rPr>
          <w:lang w:val="fr-FR"/>
        </w:rPr>
        <w:t>enregistrement de Madrid</w:t>
      </w:r>
      <w:r w:rsidR="00A25F29">
        <w:rPr>
          <w:lang w:val="fr-FR"/>
        </w:rPr>
        <w:t> :</w:t>
      </w:r>
      <w:r w:rsidRPr="007D4CCC">
        <w:rPr>
          <w:lang w:val="fr-FR"/>
        </w:rPr>
        <w:t xml:space="preserve"> i)</w:t>
      </w:r>
      <w:r w:rsidR="005165AE" w:rsidRPr="007D4CCC">
        <w:rPr>
          <w:lang w:val="fr-FR"/>
        </w:rPr>
        <w:t> </w:t>
      </w:r>
      <w:r w:rsidR="005476FC" w:rsidRPr="007D4CCC">
        <w:rPr>
          <w:lang w:val="fr-FR"/>
        </w:rPr>
        <w:t xml:space="preserve">en </w:t>
      </w:r>
      <w:r w:rsidRPr="007D4CCC">
        <w:rPr>
          <w:lang w:val="fr-FR"/>
        </w:rPr>
        <w:t>mettant au point des plans à long terme afin d</w:t>
      </w:r>
      <w:r w:rsidR="00A25F29">
        <w:rPr>
          <w:lang w:val="fr-FR"/>
        </w:rPr>
        <w:t>’</w:t>
      </w:r>
      <w:r w:rsidRPr="007D4CCC">
        <w:rPr>
          <w:lang w:val="fr-FR"/>
        </w:rPr>
        <w:t>atténuer les risques liés au fait que l</w:t>
      </w:r>
      <w:r w:rsidR="00A25F29">
        <w:rPr>
          <w:lang w:val="fr-FR"/>
        </w:rPr>
        <w:t>’</w:t>
      </w:r>
      <w:r w:rsidRPr="007D4CCC">
        <w:rPr>
          <w:lang w:val="fr-FR"/>
        </w:rPr>
        <w:t>Organisation se repose beaucoup sur certains fonctionnaires clés, dont l</w:t>
      </w:r>
      <w:r w:rsidR="00A25F29">
        <w:rPr>
          <w:lang w:val="fr-FR"/>
        </w:rPr>
        <w:t>’</w:t>
      </w:r>
      <w:r w:rsidRPr="007D4CCC">
        <w:rPr>
          <w:lang w:val="fr-FR"/>
        </w:rPr>
        <w:t xml:space="preserve">absence pourrait conduire à une détérioration de la qualité des services proposés; </w:t>
      </w:r>
      <w:r w:rsidR="005165AE" w:rsidRPr="007D4CCC">
        <w:rPr>
          <w:lang w:val="fr-FR"/>
        </w:rPr>
        <w:t xml:space="preserve"> </w:t>
      </w:r>
      <w:r w:rsidRPr="007D4CCC">
        <w:rPr>
          <w:lang w:val="fr-FR"/>
        </w:rPr>
        <w:t>ii)</w:t>
      </w:r>
      <w:r w:rsidR="005165AE" w:rsidRPr="007D4CCC">
        <w:rPr>
          <w:lang w:val="fr-FR"/>
        </w:rPr>
        <w:t> </w:t>
      </w:r>
      <w:r w:rsidR="005476FC" w:rsidRPr="007D4CCC">
        <w:rPr>
          <w:lang w:val="fr-FR"/>
        </w:rPr>
        <w:t xml:space="preserve">en </w:t>
      </w:r>
      <w:r w:rsidRPr="007D4CCC">
        <w:rPr>
          <w:lang w:val="fr-FR"/>
        </w:rPr>
        <w:t xml:space="preserve">achevant le processus de recrutement pour le poste de </w:t>
      </w:r>
      <w:r w:rsidR="00D537F7" w:rsidRPr="007D4CCC">
        <w:rPr>
          <w:lang w:val="fr-FR"/>
        </w:rPr>
        <w:t>d</w:t>
      </w:r>
      <w:r w:rsidRPr="007D4CCC">
        <w:rPr>
          <w:lang w:val="fr-FR"/>
        </w:rPr>
        <w:t>irecteur du Service d</w:t>
      </w:r>
      <w:r w:rsidR="00A25F29">
        <w:rPr>
          <w:lang w:val="fr-FR"/>
        </w:rPr>
        <w:t>’</w:t>
      </w:r>
      <w:r w:rsidRPr="007D4CCC">
        <w:rPr>
          <w:lang w:val="fr-FR"/>
        </w:rPr>
        <w:t xml:space="preserve">enregistrement de Madrid; </w:t>
      </w:r>
      <w:r w:rsidR="005165AE" w:rsidRPr="007D4CCC">
        <w:rPr>
          <w:lang w:val="fr-FR"/>
        </w:rPr>
        <w:t xml:space="preserve"> </w:t>
      </w:r>
      <w:r w:rsidRPr="007D4CCC">
        <w:rPr>
          <w:lang w:val="fr-FR"/>
        </w:rPr>
        <w:t>iii)</w:t>
      </w:r>
      <w:r w:rsidR="005165AE" w:rsidRPr="007D4CCC">
        <w:rPr>
          <w:lang w:val="fr-FR"/>
        </w:rPr>
        <w:t> </w:t>
      </w:r>
      <w:r w:rsidR="005476FC" w:rsidRPr="007D4CCC">
        <w:rPr>
          <w:lang w:val="fr-FR"/>
        </w:rPr>
        <w:t xml:space="preserve">en </w:t>
      </w:r>
      <w:r w:rsidRPr="007D4CCC">
        <w:rPr>
          <w:lang w:val="fr-FR"/>
        </w:rPr>
        <w:t>faisant en sorte que les fonctionnaires qui participent aux essais à des fins de contrôle de la qualité reçoivent une formation adéquate en ce qui concerne les principes de l</w:t>
      </w:r>
      <w:r w:rsidR="00A25F29">
        <w:rPr>
          <w:lang w:val="fr-FR"/>
        </w:rPr>
        <w:t>’</w:t>
      </w:r>
      <w:r w:rsidRPr="007D4CCC">
        <w:rPr>
          <w:lang w:val="fr-FR"/>
        </w:rPr>
        <w:t xml:space="preserve">Organisation internationale de normalisation (ISO); </w:t>
      </w:r>
      <w:r w:rsidR="005165AE" w:rsidRPr="007D4CCC">
        <w:rPr>
          <w:lang w:val="fr-FR"/>
        </w:rPr>
        <w:t xml:space="preserve"> </w:t>
      </w:r>
      <w:r w:rsidRPr="007D4CCC">
        <w:rPr>
          <w:lang w:val="fr-FR"/>
        </w:rPr>
        <w:t>et iv)</w:t>
      </w:r>
      <w:r w:rsidR="005165AE" w:rsidRPr="007D4CCC">
        <w:rPr>
          <w:lang w:val="fr-FR"/>
        </w:rPr>
        <w:t> </w:t>
      </w:r>
      <w:r w:rsidR="005476FC" w:rsidRPr="007D4CCC">
        <w:rPr>
          <w:lang w:val="fr-FR"/>
        </w:rPr>
        <w:t xml:space="preserve">en </w:t>
      </w:r>
      <w:r w:rsidRPr="007D4CCC">
        <w:rPr>
          <w:lang w:val="fr-FR"/>
        </w:rPr>
        <w:t>s</w:t>
      </w:r>
      <w:r w:rsidR="00A25F29">
        <w:rPr>
          <w:lang w:val="fr-FR"/>
        </w:rPr>
        <w:t>’</w:t>
      </w:r>
      <w:r w:rsidRPr="007D4CCC">
        <w:rPr>
          <w:lang w:val="fr-FR"/>
        </w:rPr>
        <w:t>assurant que les documents relatifs aux flux de processus opérationnels</w:t>
      </w:r>
      <w:r w:rsidR="00067FCF" w:rsidRPr="007D4CCC">
        <w:rPr>
          <w:lang w:val="fr-FR"/>
        </w:rPr>
        <w:t>,</w:t>
      </w:r>
      <w:r w:rsidRPr="007D4CCC">
        <w:rPr>
          <w:lang w:val="fr-FR"/>
        </w:rPr>
        <w:t xml:space="preserve"> le manuel d</w:t>
      </w:r>
      <w:r w:rsidR="00A25F29">
        <w:rPr>
          <w:lang w:val="fr-FR"/>
        </w:rPr>
        <w:t>’</w:t>
      </w:r>
      <w:r w:rsidRPr="007D4CCC">
        <w:rPr>
          <w:lang w:val="fr-FR"/>
        </w:rPr>
        <w:t>examen et d</w:t>
      </w:r>
      <w:r w:rsidR="00A25F29">
        <w:rPr>
          <w:lang w:val="fr-FR"/>
        </w:rPr>
        <w:t>’</w:t>
      </w:r>
      <w:r w:rsidRPr="007D4CCC">
        <w:rPr>
          <w:lang w:val="fr-FR"/>
        </w:rPr>
        <w:t>autres documents d</w:t>
      </w:r>
      <w:r w:rsidR="00A25F29">
        <w:rPr>
          <w:lang w:val="fr-FR"/>
        </w:rPr>
        <w:t>’</w:t>
      </w:r>
      <w:r w:rsidRPr="007D4CCC">
        <w:rPr>
          <w:lang w:val="fr-FR"/>
        </w:rPr>
        <w:t xml:space="preserve">orientation soient </w:t>
      </w:r>
      <w:proofErr w:type="spellStart"/>
      <w:r w:rsidRPr="007D4CCC">
        <w:rPr>
          <w:lang w:val="fr-FR"/>
        </w:rPr>
        <w:t>complètement</w:t>
      </w:r>
      <w:proofErr w:type="spellEnd"/>
      <w:r w:rsidRPr="007D4CCC">
        <w:rPr>
          <w:lang w:val="fr-FR"/>
        </w:rPr>
        <w:t xml:space="preserve"> alignés.</w:t>
      </w:r>
    </w:p>
    <w:p w:rsidR="00C55FF8" w:rsidRPr="007D4CCC" w:rsidRDefault="00DC12BC" w:rsidP="003B5D17">
      <w:pPr>
        <w:pStyle w:val="Heading2"/>
        <w:rPr>
          <w:lang w:val="fr-FR"/>
        </w:rPr>
      </w:pPr>
      <w:r w:rsidRPr="007D4CCC">
        <w:rPr>
          <w:lang w:val="fr-FR"/>
        </w:rPr>
        <w:lastRenderedPageBreak/>
        <w:t xml:space="preserve">Audit </w:t>
      </w:r>
      <w:r w:rsidR="00067FCF" w:rsidRPr="007D4CCC">
        <w:rPr>
          <w:lang w:val="fr-FR"/>
        </w:rPr>
        <w:t>d</w:t>
      </w:r>
      <w:r w:rsidRPr="007D4CCC">
        <w:rPr>
          <w:lang w:val="fr-FR"/>
        </w:rPr>
        <w:t>e</w:t>
      </w:r>
      <w:r w:rsidR="005E7744" w:rsidRPr="007D4CCC">
        <w:rPr>
          <w:lang w:val="fr-FR"/>
        </w:rPr>
        <w:t xml:space="preserve"> La</w:t>
      </w:r>
      <w:r w:rsidRPr="007D4CCC">
        <w:rPr>
          <w:lang w:val="fr-FR"/>
        </w:rPr>
        <w:t xml:space="preserve"> paie</w:t>
      </w:r>
    </w:p>
    <w:p w:rsidR="008122AE" w:rsidRPr="007D4CCC" w:rsidRDefault="008122AE" w:rsidP="008122AE">
      <w:pPr>
        <w:rPr>
          <w:lang w:val="fr-FR"/>
        </w:rPr>
      </w:pPr>
    </w:p>
    <w:p w:rsidR="00B84CCD" w:rsidRPr="007D4CCC" w:rsidRDefault="006E77AA" w:rsidP="008122AE">
      <w:pPr>
        <w:pStyle w:val="ONUMFS"/>
        <w:rPr>
          <w:lang w:val="fr-FR"/>
        </w:rPr>
      </w:pPr>
      <w:r w:rsidRPr="007D4CCC">
        <w:rPr>
          <w:lang w:val="fr-FR"/>
        </w:rPr>
        <w:t>L</w:t>
      </w:r>
      <w:r w:rsidR="00A25F29">
        <w:rPr>
          <w:lang w:val="fr-FR"/>
        </w:rPr>
        <w:t>’</w:t>
      </w:r>
      <w:r w:rsidRPr="007D4CCC">
        <w:rPr>
          <w:lang w:val="fr-FR"/>
        </w:rPr>
        <w:t>audit a révélé que l</w:t>
      </w:r>
      <w:r w:rsidR="00A25F29">
        <w:rPr>
          <w:lang w:val="fr-FR"/>
        </w:rPr>
        <w:t>’</w:t>
      </w:r>
      <w:r w:rsidRPr="007D4CCC">
        <w:rPr>
          <w:lang w:val="fr-FR"/>
        </w:rPr>
        <w:t xml:space="preserve">OMPI avait réussi à mettre en </w:t>
      </w:r>
      <w:r w:rsidR="00A1435C" w:rsidRPr="007D4CCC">
        <w:rPr>
          <w:lang w:val="fr-FR"/>
        </w:rPr>
        <w:t>œuvre</w:t>
      </w:r>
      <w:r w:rsidRPr="007D4CCC">
        <w:rPr>
          <w:lang w:val="fr-FR"/>
        </w:rPr>
        <w:t xml:space="preserve"> sans heurts la </w:t>
      </w:r>
      <w:r w:rsidR="009827BB" w:rsidRPr="007D4CCC">
        <w:rPr>
          <w:lang w:val="fr-FR"/>
        </w:rPr>
        <w:t>révision</w:t>
      </w:r>
      <w:r w:rsidRPr="007D4CCC">
        <w:rPr>
          <w:lang w:val="fr-FR"/>
        </w:rPr>
        <w:t xml:space="preserve"> de l</w:t>
      </w:r>
      <w:r w:rsidR="00A25F29">
        <w:rPr>
          <w:lang w:val="fr-FR"/>
        </w:rPr>
        <w:t>’</w:t>
      </w:r>
      <w:r w:rsidRPr="007D4CCC">
        <w:rPr>
          <w:lang w:val="fr-FR"/>
        </w:rPr>
        <w:t xml:space="preserve">ensemble des prestations offertes par les organisations des </w:t>
      </w:r>
      <w:r w:rsidR="00A25F29">
        <w:rPr>
          <w:lang w:val="fr-FR"/>
        </w:rPr>
        <w:t>Nations Unies</w:t>
      </w:r>
      <w:r w:rsidRPr="007D4CCC">
        <w:rPr>
          <w:lang w:val="fr-FR"/>
        </w:rPr>
        <w:t xml:space="preserve"> aux administrateurs et aux fonctionnaires de rang supérie</w:t>
      </w:r>
      <w:r w:rsidR="00186C7F" w:rsidRPr="007D4CCC">
        <w:rPr>
          <w:lang w:val="fr-FR"/>
        </w:rPr>
        <w:t>ur</w:t>
      </w:r>
      <w:r w:rsidR="00186C7F">
        <w:rPr>
          <w:lang w:val="fr-FR"/>
        </w:rPr>
        <w:t xml:space="preserve">.  </w:t>
      </w:r>
      <w:r w:rsidR="00186C7F" w:rsidRPr="007D4CCC">
        <w:rPr>
          <w:lang w:val="fr-FR"/>
        </w:rPr>
        <w:t>L</w:t>
      </w:r>
      <w:r w:rsidR="00186C7F">
        <w:rPr>
          <w:lang w:val="fr-FR"/>
        </w:rPr>
        <w:t>’</w:t>
      </w:r>
      <w:r w:rsidR="00186C7F" w:rsidRPr="007D4CCC">
        <w:rPr>
          <w:lang w:val="fr-FR"/>
        </w:rPr>
        <w:t>e</w:t>
      </w:r>
      <w:r w:rsidR="00EF3AEE" w:rsidRPr="007D4CCC">
        <w:rPr>
          <w:lang w:val="fr-FR"/>
        </w:rPr>
        <w:t>xamen par</w:t>
      </w:r>
      <w:r w:rsidR="00B84CCD" w:rsidRPr="007D4CCC">
        <w:rPr>
          <w:lang w:val="fr-FR"/>
        </w:rPr>
        <w:t xml:space="preserve"> la </w:t>
      </w:r>
      <w:proofErr w:type="spellStart"/>
      <w:r w:rsidR="00B84CCD" w:rsidRPr="007D4CCC">
        <w:rPr>
          <w:lang w:val="fr-FR"/>
        </w:rPr>
        <w:t>DSI</w:t>
      </w:r>
      <w:proofErr w:type="spellEnd"/>
      <w:r w:rsidR="00EF3AEE" w:rsidRPr="007D4CCC">
        <w:rPr>
          <w:lang w:val="fr-FR"/>
        </w:rPr>
        <w:t xml:space="preserve"> d</w:t>
      </w:r>
      <w:r w:rsidR="00A25F29">
        <w:rPr>
          <w:lang w:val="fr-FR"/>
        </w:rPr>
        <w:t>’</w:t>
      </w:r>
      <w:r w:rsidR="00EF3AEE" w:rsidRPr="007D4CCC">
        <w:rPr>
          <w:lang w:val="fr-FR"/>
        </w:rPr>
        <w:t xml:space="preserve">un échantillon des </w:t>
      </w:r>
      <w:r w:rsidR="009827BB" w:rsidRPr="007D4CCC">
        <w:rPr>
          <w:lang w:val="fr-FR"/>
        </w:rPr>
        <w:t>fiche</w:t>
      </w:r>
      <w:r w:rsidR="00B65F3C" w:rsidRPr="007D4CCC">
        <w:rPr>
          <w:lang w:val="fr-FR"/>
        </w:rPr>
        <w:t xml:space="preserve">s </w:t>
      </w:r>
      <w:r w:rsidR="009827BB" w:rsidRPr="007D4CCC">
        <w:rPr>
          <w:lang w:val="fr-FR"/>
        </w:rPr>
        <w:t>de paie</w:t>
      </w:r>
      <w:r w:rsidR="00EF3AEE" w:rsidRPr="007D4CCC">
        <w:rPr>
          <w:lang w:val="fr-FR"/>
        </w:rPr>
        <w:t xml:space="preserve"> des salariés pour </w:t>
      </w:r>
      <w:r w:rsidR="009827BB" w:rsidRPr="007D4CCC">
        <w:rPr>
          <w:lang w:val="fr-FR"/>
        </w:rPr>
        <w:t>vérifier qu</w:t>
      </w:r>
      <w:r w:rsidR="00A25F29">
        <w:rPr>
          <w:lang w:val="fr-FR"/>
        </w:rPr>
        <w:t>’</w:t>
      </w:r>
      <w:r w:rsidR="009827BB" w:rsidRPr="007D4CCC">
        <w:rPr>
          <w:lang w:val="fr-FR"/>
        </w:rPr>
        <w:t>elles étaient conformes à la révision,</w:t>
      </w:r>
      <w:r w:rsidR="00EF3AEE" w:rsidRPr="007D4CCC">
        <w:rPr>
          <w:lang w:val="fr-FR"/>
        </w:rPr>
        <w:t xml:space="preserve"> suite </w:t>
      </w:r>
      <w:r w:rsidR="009827BB" w:rsidRPr="007D4CCC">
        <w:rPr>
          <w:lang w:val="fr-FR"/>
        </w:rPr>
        <w:t>à s</w:t>
      </w:r>
      <w:r w:rsidR="00EF3AEE" w:rsidRPr="007D4CCC">
        <w:rPr>
          <w:lang w:val="fr-FR"/>
        </w:rPr>
        <w:t xml:space="preserve">a mise en </w:t>
      </w:r>
      <w:r w:rsidR="00A1435C" w:rsidRPr="007D4CCC">
        <w:rPr>
          <w:lang w:val="fr-FR"/>
        </w:rPr>
        <w:t>œuvre</w:t>
      </w:r>
      <w:r w:rsidR="009827BB" w:rsidRPr="007D4CCC">
        <w:rPr>
          <w:lang w:val="fr-FR"/>
        </w:rPr>
        <w:t>,</w:t>
      </w:r>
      <w:r w:rsidR="00EF3AEE" w:rsidRPr="007D4CCC">
        <w:rPr>
          <w:lang w:val="fr-FR"/>
        </w:rPr>
        <w:t xml:space="preserve"> n</w:t>
      </w:r>
      <w:r w:rsidR="00A25F29">
        <w:rPr>
          <w:lang w:val="fr-FR"/>
        </w:rPr>
        <w:t>’</w:t>
      </w:r>
      <w:r w:rsidR="00EF3AEE" w:rsidRPr="007D4CCC">
        <w:rPr>
          <w:lang w:val="fr-FR"/>
        </w:rPr>
        <w:t>a pas mis au jour d</w:t>
      </w:r>
      <w:r w:rsidR="00A25F29">
        <w:rPr>
          <w:lang w:val="fr-FR"/>
        </w:rPr>
        <w:t>’</w:t>
      </w:r>
      <w:r w:rsidR="00EF3AEE" w:rsidRPr="007D4CCC">
        <w:rPr>
          <w:lang w:val="fr-FR"/>
        </w:rPr>
        <w:t>anomalies notables.</w:t>
      </w:r>
    </w:p>
    <w:p w:rsidR="00B84CCD" w:rsidRPr="007D4CCC" w:rsidRDefault="000C4254" w:rsidP="008122AE">
      <w:pPr>
        <w:pStyle w:val="ONUMFS"/>
        <w:rPr>
          <w:lang w:val="fr-FR"/>
        </w:rPr>
      </w:pPr>
      <w:r w:rsidRPr="007D4CCC">
        <w:rPr>
          <w:lang w:val="fr-FR"/>
        </w:rPr>
        <w:t>S</w:t>
      </w:r>
      <w:r w:rsidR="00A25F29">
        <w:rPr>
          <w:lang w:val="fr-FR"/>
        </w:rPr>
        <w:t>’</w:t>
      </w:r>
      <w:r w:rsidRPr="007D4CCC">
        <w:rPr>
          <w:lang w:val="fr-FR"/>
        </w:rPr>
        <w:t xml:space="preserve">agissant des processus opérationnels relatifs aux états de paie, certaines activités de contrôle et procédures manuelles mises en place afin de fournir des garanties </w:t>
      </w:r>
      <w:r w:rsidR="00067FCF" w:rsidRPr="007D4CCC">
        <w:rPr>
          <w:lang w:val="fr-FR"/>
        </w:rPr>
        <w:t>étaient</w:t>
      </w:r>
      <w:r w:rsidRPr="007D4CCC">
        <w:rPr>
          <w:lang w:val="fr-FR"/>
        </w:rPr>
        <w:t xml:space="preserve"> considérées comme redondantes</w:t>
      </w:r>
      <w:r w:rsidR="005165AE" w:rsidRPr="007D4CCC">
        <w:rPr>
          <w:lang w:val="fr-FR"/>
        </w:rPr>
        <w:t xml:space="preserve">; </w:t>
      </w:r>
      <w:r w:rsidRPr="007D4CCC">
        <w:rPr>
          <w:lang w:val="fr-FR"/>
        </w:rPr>
        <w:t xml:space="preserve"> par conséquent, le processus de paie global ne bénéficie pas pleinement des fonctionnalités efficaces de contrôle déjà disponibles dans le Système de gestion de l</w:t>
      </w:r>
      <w:r w:rsidR="00A25F29">
        <w:rPr>
          <w:lang w:val="fr-FR"/>
        </w:rPr>
        <w:t>’</w:t>
      </w:r>
      <w:r w:rsidRPr="007D4CCC">
        <w:rPr>
          <w:lang w:val="fr-FR"/>
        </w:rPr>
        <w:t>information administrative des ressources humaines (</w:t>
      </w:r>
      <w:proofErr w:type="spellStart"/>
      <w:r w:rsidRPr="007D4CCC">
        <w:rPr>
          <w:lang w:val="fr-FR"/>
        </w:rPr>
        <w:t>AIMS</w:t>
      </w:r>
      <w:proofErr w:type="spellEnd"/>
      <w:r w:rsidRPr="007D4CCC">
        <w:rPr>
          <w:lang w:val="fr-FR"/>
        </w:rPr>
        <w:t xml:space="preserve"> </w:t>
      </w:r>
      <w:proofErr w:type="spellStart"/>
      <w:r w:rsidRPr="007D4CCC">
        <w:rPr>
          <w:lang w:val="fr-FR"/>
        </w:rPr>
        <w:t>HR</w:t>
      </w:r>
      <w:proofErr w:type="spellEnd"/>
      <w:r w:rsidRPr="007D4CCC">
        <w:rPr>
          <w:lang w:val="fr-FR"/>
        </w:rPr>
        <w:t>).</w:t>
      </w:r>
    </w:p>
    <w:p w:rsidR="00B84CCD" w:rsidRPr="007D4CCC" w:rsidRDefault="005406AE" w:rsidP="008122AE">
      <w:pPr>
        <w:pStyle w:val="ONUMFS"/>
        <w:rPr>
          <w:lang w:val="fr-FR"/>
        </w:rPr>
      </w:pPr>
      <w:r w:rsidRPr="007D4CCC">
        <w:rPr>
          <w:lang w:val="fr-FR"/>
        </w:rPr>
        <w:t>De nouvelles adaptations et automatisations de certains processus opérationnels pourraient aider à renforcer les principaux contrôles et à régler certain</w:t>
      </w:r>
      <w:r w:rsidR="00067FCF" w:rsidRPr="007D4CCC">
        <w:rPr>
          <w:lang w:val="fr-FR"/>
        </w:rPr>
        <w:t>e</w:t>
      </w:r>
      <w:r w:rsidRPr="007D4CCC">
        <w:rPr>
          <w:lang w:val="fr-FR"/>
        </w:rPr>
        <w:t xml:space="preserve">s questions systémiques; </w:t>
      </w:r>
      <w:r w:rsidR="005165AE" w:rsidRPr="007D4CCC">
        <w:rPr>
          <w:lang w:val="fr-FR"/>
        </w:rPr>
        <w:t xml:space="preserve"> </w:t>
      </w:r>
      <w:r w:rsidRPr="007D4CCC">
        <w:rPr>
          <w:lang w:val="fr-FR"/>
        </w:rPr>
        <w:t>et le respect des processus opérationnels ainsi que leur alignement sur les règles, réglementations et ordres de service respectifs amélioreraient encore l</w:t>
      </w:r>
      <w:r w:rsidR="00A25F29">
        <w:rPr>
          <w:lang w:val="fr-FR"/>
        </w:rPr>
        <w:t>’</w:t>
      </w:r>
      <w:r w:rsidRPr="007D4CCC">
        <w:rPr>
          <w:lang w:val="fr-FR"/>
        </w:rPr>
        <w:t>efficacité et l</w:t>
      </w:r>
      <w:r w:rsidR="00A25F29">
        <w:rPr>
          <w:lang w:val="fr-FR"/>
        </w:rPr>
        <w:t>’</w:t>
      </w:r>
      <w:r w:rsidRPr="007D4CCC">
        <w:rPr>
          <w:lang w:val="fr-FR"/>
        </w:rPr>
        <w:t>efficien</w:t>
      </w:r>
      <w:r w:rsidR="00067FCF" w:rsidRPr="007D4CCC">
        <w:rPr>
          <w:lang w:val="fr-FR"/>
        </w:rPr>
        <w:t>ce</w:t>
      </w:r>
      <w:r w:rsidRPr="007D4CCC">
        <w:rPr>
          <w:lang w:val="fr-FR"/>
        </w:rPr>
        <w:t xml:space="preserve"> du processus de paie.</w:t>
      </w:r>
    </w:p>
    <w:p w:rsidR="00C55FF8" w:rsidRPr="007D4CCC" w:rsidRDefault="005406AE" w:rsidP="003B5D17">
      <w:pPr>
        <w:pStyle w:val="Heading2"/>
        <w:rPr>
          <w:lang w:val="fr-FR"/>
        </w:rPr>
      </w:pPr>
      <w:r w:rsidRPr="007D4CCC">
        <w:rPr>
          <w:lang w:val="fr-FR"/>
        </w:rPr>
        <w:t>Révision des politiques et procédures en matière d</w:t>
      </w:r>
      <w:r w:rsidR="00A25F29">
        <w:rPr>
          <w:lang w:val="fr-FR"/>
        </w:rPr>
        <w:t>’</w:t>
      </w:r>
      <w:r w:rsidRPr="007D4CCC">
        <w:rPr>
          <w:lang w:val="fr-FR"/>
        </w:rPr>
        <w:t>achats</w:t>
      </w:r>
    </w:p>
    <w:p w:rsidR="008122AE" w:rsidRPr="007D4CCC" w:rsidRDefault="008122AE" w:rsidP="008122AE">
      <w:pPr>
        <w:rPr>
          <w:lang w:val="fr-FR"/>
        </w:rPr>
      </w:pPr>
    </w:p>
    <w:p w:rsidR="00C55FF8" w:rsidRPr="007D4CCC" w:rsidRDefault="005406AE" w:rsidP="008122AE">
      <w:pPr>
        <w:pStyle w:val="ONUMFS"/>
        <w:rPr>
          <w:lang w:val="fr-FR"/>
        </w:rPr>
      </w:pPr>
      <w:r w:rsidRPr="007D4CCC">
        <w:rPr>
          <w:lang w:val="fr-FR"/>
        </w:rPr>
        <w:t>Les assemblées des États membres ont approuvé</w:t>
      </w:r>
      <w:r w:rsidRPr="007D4CCC">
        <w:rPr>
          <w:rStyle w:val="FootnoteReference"/>
          <w:szCs w:val="22"/>
          <w:lang w:val="fr-FR"/>
        </w:rPr>
        <w:footnoteReference w:id="5"/>
      </w:r>
      <w:r w:rsidRPr="007D4CCC">
        <w:rPr>
          <w:lang w:val="fr-FR"/>
        </w:rPr>
        <w:t xml:space="preserve"> la recommandation du Comité de coordination, faite à sa session </w:t>
      </w:r>
      <w:r w:rsidR="00B84CCD" w:rsidRPr="007D4CCC">
        <w:rPr>
          <w:lang w:val="fr-FR"/>
        </w:rPr>
        <w:t>de 2016</w:t>
      </w:r>
      <w:r w:rsidRPr="007D4CCC">
        <w:rPr>
          <w:lang w:val="fr-FR"/>
        </w:rPr>
        <w:t>, dans laquelle le directeur de</w:t>
      </w:r>
      <w:r w:rsidR="00B84CCD" w:rsidRPr="007D4CCC">
        <w:rPr>
          <w:lang w:val="fr-FR"/>
        </w:rPr>
        <w:t xml:space="preserve"> la </w:t>
      </w:r>
      <w:proofErr w:type="spellStart"/>
      <w:r w:rsidR="00B84CCD" w:rsidRPr="007D4CCC">
        <w:rPr>
          <w:lang w:val="fr-FR"/>
        </w:rPr>
        <w:t>DSI</w:t>
      </w:r>
      <w:proofErr w:type="spellEnd"/>
      <w:r w:rsidRPr="007D4CCC">
        <w:rPr>
          <w:lang w:val="fr-FR"/>
        </w:rPr>
        <w:t xml:space="preserve"> était notamment prié “de réviser les politiques et procédures de l</w:t>
      </w:r>
      <w:r w:rsidR="00A25F29">
        <w:rPr>
          <w:lang w:val="fr-FR"/>
        </w:rPr>
        <w:t>’</w:t>
      </w:r>
      <w:r w:rsidRPr="007D4CCC">
        <w:rPr>
          <w:lang w:val="fr-FR"/>
        </w:rPr>
        <w:t>OMPI en matière d</w:t>
      </w:r>
      <w:r w:rsidR="00A25F29">
        <w:rPr>
          <w:lang w:val="fr-FR"/>
        </w:rPr>
        <w:t>’</w:t>
      </w:r>
      <w:r w:rsidRPr="007D4CCC">
        <w:rPr>
          <w:lang w:val="fr-FR"/>
        </w:rPr>
        <w:t>achats après l</w:t>
      </w:r>
      <w:r w:rsidR="00A25F29">
        <w:rPr>
          <w:lang w:val="fr-FR"/>
        </w:rPr>
        <w:t>’</w:t>
      </w:r>
      <w:r w:rsidRPr="007D4CCC">
        <w:rPr>
          <w:lang w:val="fr-FR"/>
        </w:rPr>
        <w:t>examen actuellement entrepris par le Directeur général, conformément à la recommandation des présidents de l</w:t>
      </w:r>
      <w:r w:rsidR="00A25F29">
        <w:rPr>
          <w:lang w:val="fr-FR"/>
        </w:rPr>
        <w:t>’</w:t>
      </w:r>
      <w:r w:rsidRPr="007D4CCC">
        <w:rPr>
          <w:lang w:val="fr-FR"/>
        </w:rPr>
        <w:t>Assemblée générale et du Comité de coordination, afin de garantir la clarté et la transparence des procédures de passation de marchés de l</w:t>
      </w:r>
      <w:r w:rsidR="00A25F29">
        <w:rPr>
          <w:lang w:val="fr-FR"/>
        </w:rPr>
        <w:t>’</w:t>
      </w:r>
      <w:r w:rsidRPr="007D4CCC">
        <w:rPr>
          <w:lang w:val="fr-FR"/>
        </w:rPr>
        <w:t>OMPI, de façon à soumettre des conclusions ou recommandations</w:t>
      </w:r>
      <w:r w:rsidR="00B84CCD" w:rsidRPr="007D4CCC">
        <w:rPr>
          <w:lang w:val="fr-FR"/>
        </w:rPr>
        <w:t xml:space="preserve"> au </w:t>
      </w:r>
      <w:proofErr w:type="spellStart"/>
      <w:r w:rsidR="00B84CCD" w:rsidRPr="007D4CCC">
        <w:rPr>
          <w:lang w:val="fr-FR"/>
        </w:rPr>
        <w:t>PBC</w:t>
      </w:r>
      <w:proofErr w:type="spellEnd"/>
      <w:r w:rsidRPr="007D4CCC">
        <w:rPr>
          <w:lang w:val="fr-FR"/>
        </w:rPr>
        <w:t xml:space="preserve"> pour examen par les États membres”.</w:t>
      </w:r>
    </w:p>
    <w:p w:rsidR="00B84CCD" w:rsidRPr="007D4CCC" w:rsidRDefault="00F23A99" w:rsidP="008122AE">
      <w:pPr>
        <w:pStyle w:val="ONUMFS"/>
        <w:rPr>
          <w:lang w:val="fr-FR"/>
        </w:rPr>
      </w:pPr>
      <w:r w:rsidRPr="007D4CCC">
        <w:rPr>
          <w:lang w:val="fr-FR"/>
        </w:rPr>
        <w:t>En s</w:t>
      </w:r>
      <w:r w:rsidR="00A25F29">
        <w:rPr>
          <w:lang w:val="fr-FR"/>
        </w:rPr>
        <w:t>’</w:t>
      </w:r>
      <w:r w:rsidRPr="007D4CCC">
        <w:rPr>
          <w:lang w:val="fr-FR"/>
        </w:rPr>
        <w:t>appuyant sur les observations de</w:t>
      </w:r>
      <w:r w:rsidR="00B84CCD" w:rsidRPr="007D4CCC">
        <w:rPr>
          <w:lang w:val="fr-FR"/>
        </w:rPr>
        <w:t xml:space="preserve"> la </w:t>
      </w:r>
      <w:proofErr w:type="spellStart"/>
      <w:r w:rsidR="00B84CCD" w:rsidRPr="007D4CCC">
        <w:rPr>
          <w:lang w:val="fr-FR"/>
        </w:rPr>
        <w:t>DSI</w:t>
      </w:r>
      <w:proofErr w:type="spellEnd"/>
      <w:r w:rsidRPr="007D4CCC">
        <w:rPr>
          <w:lang w:val="fr-FR"/>
        </w:rPr>
        <w:t>, la direction de l</w:t>
      </w:r>
      <w:r w:rsidR="00A25F29">
        <w:rPr>
          <w:lang w:val="fr-FR"/>
        </w:rPr>
        <w:t>’</w:t>
      </w:r>
      <w:r w:rsidRPr="007D4CCC">
        <w:rPr>
          <w:lang w:val="fr-FR"/>
        </w:rPr>
        <w:t>OMPI a finalisé les modifications apportées aux politiques en matière d</w:t>
      </w:r>
      <w:r w:rsidR="00A25F29">
        <w:rPr>
          <w:lang w:val="fr-FR"/>
        </w:rPr>
        <w:t>’</w:t>
      </w:r>
      <w:r w:rsidRPr="007D4CCC">
        <w:rPr>
          <w:lang w:val="fr-FR"/>
        </w:rPr>
        <w:t>achats ainsi qu</w:t>
      </w:r>
      <w:r w:rsidR="00A25F29">
        <w:rPr>
          <w:lang w:val="fr-FR"/>
        </w:rPr>
        <w:t>’</w:t>
      </w:r>
      <w:r w:rsidRPr="007D4CCC">
        <w:rPr>
          <w:lang w:val="fr-FR"/>
        </w:rPr>
        <w:t>au Règlement financier et règlement d</w:t>
      </w:r>
      <w:r w:rsidR="00A25F29">
        <w:rPr>
          <w:lang w:val="fr-FR"/>
        </w:rPr>
        <w:t>’</w:t>
      </w:r>
      <w:r w:rsidRPr="007D4CCC">
        <w:rPr>
          <w:lang w:val="fr-FR"/>
        </w:rPr>
        <w:t>exécution du Règlement financier de l</w:t>
      </w:r>
      <w:r w:rsidR="00A25F29">
        <w:rPr>
          <w:lang w:val="fr-FR"/>
        </w:rPr>
        <w:t>’</w:t>
      </w:r>
      <w:r w:rsidRPr="007D4CCC">
        <w:rPr>
          <w:lang w:val="fr-FR"/>
        </w:rPr>
        <w:t>O</w:t>
      </w:r>
      <w:r w:rsidR="00186C7F" w:rsidRPr="007D4CCC">
        <w:rPr>
          <w:lang w:val="fr-FR"/>
        </w:rPr>
        <w:t>MPI</w:t>
      </w:r>
      <w:r w:rsidR="00186C7F">
        <w:rPr>
          <w:lang w:val="fr-FR"/>
        </w:rPr>
        <w:t xml:space="preserve">.  </w:t>
      </w:r>
      <w:r w:rsidR="00186C7F" w:rsidRPr="007D4CCC">
        <w:rPr>
          <w:lang w:val="fr-FR"/>
        </w:rPr>
        <w:t>Le</w:t>
      </w:r>
      <w:r w:rsidRPr="007D4CCC">
        <w:rPr>
          <w:lang w:val="fr-FR"/>
        </w:rPr>
        <w:t xml:space="preserve">s modifications proposées </w:t>
      </w:r>
      <w:r w:rsidR="00114FC8" w:rsidRPr="007D4CCC">
        <w:rPr>
          <w:lang w:val="fr-FR"/>
        </w:rPr>
        <w:t>concernant</w:t>
      </w:r>
      <w:r w:rsidRPr="007D4CCC">
        <w:rPr>
          <w:lang w:val="fr-FR"/>
        </w:rPr>
        <w:t xml:space="preserve"> </w:t>
      </w:r>
      <w:r w:rsidR="00114FC8" w:rsidRPr="007D4CCC">
        <w:rPr>
          <w:lang w:val="fr-FR"/>
        </w:rPr>
        <w:t>ces</w:t>
      </w:r>
      <w:r w:rsidRPr="007D4CCC">
        <w:rPr>
          <w:lang w:val="fr-FR"/>
        </w:rPr>
        <w:t xml:space="preserve"> règlement</w:t>
      </w:r>
      <w:r w:rsidR="00114FC8" w:rsidRPr="007D4CCC">
        <w:rPr>
          <w:lang w:val="fr-FR"/>
        </w:rPr>
        <w:t>s</w:t>
      </w:r>
      <w:r w:rsidRPr="007D4CCC">
        <w:rPr>
          <w:lang w:val="fr-FR"/>
        </w:rPr>
        <w:t xml:space="preserve"> seront présentées lors des prochaines sessions</w:t>
      </w:r>
      <w:r w:rsidR="00B84CCD" w:rsidRPr="007D4CCC">
        <w:rPr>
          <w:lang w:val="fr-FR"/>
        </w:rPr>
        <w:t xml:space="preserve"> du </w:t>
      </w:r>
      <w:proofErr w:type="spellStart"/>
      <w:r w:rsidR="00B84CCD" w:rsidRPr="007D4CCC">
        <w:rPr>
          <w:lang w:val="fr-FR"/>
        </w:rPr>
        <w:t>PBC</w:t>
      </w:r>
      <w:proofErr w:type="spellEnd"/>
      <w:r w:rsidRPr="007D4CCC">
        <w:rPr>
          <w:lang w:val="fr-FR"/>
        </w:rPr>
        <w:t xml:space="preserve"> et de l</w:t>
      </w:r>
      <w:r w:rsidR="00A25F29">
        <w:rPr>
          <w:lang w:val="fr-FR"/>
        </w:rPr>
        <w:t>’</w:t>
      </w:r>
      <w:r w:rsidRPr="007D4CCC">
        <w:rPr>
          <w:lang w:val="fr-FR"/>
        </w:rPr>
        <w:t>Assemblée générale de l</w:t>
      </w:r>
      <w:r w:rsidR="00A25F29">
        <w:rPr>
          <w:lang w:val="fr-FR"/>
        </w:rPr>
        <w:t>’</w:t>
      </w:r>
      <w:r w:rsidRPr="007D4CCC">
        <w:rPr>
          <w:lang w:val="fr-FR"/>
        </w:rPr>
        <w:t>OMPI pour approbation.</w:t>
      </w:r>
    </w:p>
    <w:p w:rsidR="00C55FF8" w:rsidRPr="007D4CCC" w:rsidRDefault="009827BB" w:rsidP="003B5D17">
      <w:pPr>
        <w:pStyle w:val="Heading2"/>
        <w:rPr>
          <w:lang w:val="fr-FR"/>
        </w:rPr>
      </w:pPr>
      <w:r w:rsidRPr="007D4CCC">
        <w:rPr>
          <w:lang w:val="fr-FR"/>
        </w:rPr>
        <w:t>questions diverses – audit continu</w:t>
      </w:r>
    </w:p>
    <w:p w:rsidR="008122AE" w:rsidRPr="007D4CCC" w:rsidRDefault="008122AE" w:rsidP="008122AE">
      <w:pPr>
        <w:rPr>
          <w:lang w:val="fr-FR"/>
        </w:rPr>
      </w:pPr>
    </w:p>
    <w:p w:rsidR="00B84CCD" w:rsidRPr="007D4CCC" w:rsidRDefault="00C8548A" w:rsidP="008122AE">
      <w:pPr>
        <w:pStyle w:val="ONUMFS"/>
        <w:rPr>
          <w:lang w:val="fr-FR"/>
        </w:rPr>
      </w:pPr>
      <w:r w:rsidRPr="007D4CCC">
        <w:rPr>
          <w:lang w:val="fr-FR"/>
        </w:rPr>
        <w:t xml:space="preserve">La </w:t>
      </w:r>
      <w:proofErr w:type="spellStart"/>
      <w:r w:rsidRPr="007D4CCC">
        <w:rPr>
          <w:lang w:val="fr-FR"/>
        </w:rPr>
        <w:t>DSI</w:t>
      </w:r>
      <w:proofErr w:type="spellEnd"/>
      <w:r w:rsidRPr="007D4CCC">
        <w:rPr>
          <w:lang w:val="fr-FR"/>
        </w:rPr>
        <w:t xml:space="preserve"> a publié trois</w:t>
      </w:r>
      <w:r w:rsidR="005165AE" w:rsidRPr="007D4CCC">
        <w:rPr>
          <w:lang w:val="fr-FR"/>
        </w:rPr>
        <w:t> </w:t>
      </w:r>
      <w:proofErr w:type="spellStart"/>
      <w:r w:rsidRPr="007D4CCC">
        <w:rPr>
          <w:lang w:val="fr-FR"/>
        </w:rPr>
        <w:t>mémorandums</w:t>
      </w:r>
      <w:proofErr w:type="spellEnd"/>
      <w:r w:rsidRPr="007D4CCC">
        <w:rPr>
          <w:lang w:val="fr-FR"/>
        </w:rPr>
        <w:t xml:space="preserve"> internes résumant les travaux réalisés en utilisant des analyses de données dans le cadre de </w:t>
      </w:r>
      <w:r w:rsidR="009827BB" w:rsidRPr="007D4CCC">
        <w:rPr>
          <w:lang w:val="fr-FR"/>
        </w:rPr>
        <w:t>ses activités</w:t>
      </w:r>
      <w:r w:rsidRPr="007D4CCC">
        <w:rPr>
          <w:lang w:val="fr-FR"/>
        </w:rPr>
        <w:t xml:space="preserve"> d</w:t>
      </w:r>
      <w:r w:rsidR="00A25F29">
        <w:rPr>
          <w:lang w:val="fr-FR"/>
        </w:rPr>
        <w:t>’</w:t>
      </w:r>
      <w:r w:rsidRPr="007D4CCC">
        <w:rPr>
          <w:lang w:val="fr-FR"/>
        </w:rPr>
        <w:t>audit</w:t>
      </w:r>
      <w:r w:rsidR="009827BB" w:rsidRPr="007D4CCC">
        <w:rPr>
          <w:lang w:val="fr-FR"/>
        </w:rPr>
        <w:t xml:space="preserve"> continu</w:t>
      </w:r>
      <w:r w:rsidR="007C3D84">
        <w:rPr>
          <w:lang w:val="fr-FR"/>
        </w:rPr>
        <w:t>, dont</w:t>
      </w:r>
      <w:r w:rsidR="005165AE" w:rsidRPr="007D4CCC">
        <w:rPr>
          <w:lang w:val="fr-FR"/>
        </w:rPr>
        <w:t xml:space="preserve"> </w:t>
      </w:r>
      <w:r w:rsidRPr="007D4CCC">
        <w:rPr>
          <w:lang w:val="fr-FR"/>
        </w:rPr>
        <w:t>les résu</w:t>
      </w:r>
      <w:r w:rsidR="00011BF3" w:rsidRPr="007D4CCC">
        <w:rPr>
          <w:lang w:val="fr-FR"/>
        </w:rPr>
        <w:t>ltats ont été communiqués à la d</w:t>
      </w:r>
      <w:r w:rsidRPr="007D4CCC">
        <w:rPr>
          <w:lang w:val="fr-FR"/>
        </w:rPr>
        <w:t>irecti</w:t>
      </w:r>
      <w:r w:rsidR="00186C7F" w:rsidRPr="007D4CCC">
        <w:rPr>
          <w:lang w:val="fr-FR"/>
        </w:rPr>
        <w:t>on</w:t>
      </w:r>
      <w:r w:rsidR="00186C7F">
        <w:rPr>
          <w:lang w:val="fr-FR"/>
        </w:rPr>
        <w:t xml:space="preserve">.  </w:t>
      </w:r>
      <w:r w:rsidR="00186C7F" w:rsidRPr="007D4CCC">
        <w:rPr>
          <w:lang w:val="fr-FR"/>
        </w:rPr>
        <w:t>Ce</w:t>
      </w:r>
      <w:r w:rsidRPr="007D4CCC">
        <w:rPr>
          <w:lang w:val="fr-FR"/>
        </w:rPr>
        <w:t xml:space="preserve">s </w:t>
      </w:r>
      <w:proofErr w:type="spellStart"/>
      <w:r w:rsidRPr="007D4CCC">
        <w:rPr>
          <w:lang w:val="fr-FR"/>
        </w:rPr>
        <w:t>mémorandums</w:t>
      </w:r>
      <w:proofErr w:type="spellEnd"/>
      <w:r w:rsidRPr="007D4CCC">
        <w:rPr>
          <w:lang w:val="fr-FR"/>
        </w:rPr>
        <w:t xml:space="preserve"> portaient sur les </w:t>
      </w:r>
      <w:r w:rsidR="00011BF3" w:rsidRPr="007D4CCC">
        <w:rPr>
          <w:lang w:val="fr-FR"/>
        </w:rPr>
        <w:t>systèmes de contrôle interne</w:t>
      </w:r>
      <w:r w:rsidRPr="007D4CCC">
        <w:rPr>
          <w:lang w:val="fr-FR"/>
        </w:rPr>
        <w:t xml:space="preserve"> dans les </w:t>
      </w:r>
      <w:r w:rsidR="00C36388" w:rsidRPr="007D4CCC">
        <w:rPr>
          <w:lang w:val="fr-FR"/>
        </w:rPr>
        <w:t>modules</w:t>
      </w:r>
      <w:r w:rsidRPr="007D4CCC">
        <w:rPr>
          <w:lang w:val="fr-FR"/>
        </w:rPr>
        <w:t xml:space="preserve"> de gestion des finances et des achats</w:t>
      </w:r>
      <w:r w:rsidR="00C36388" w:rsidRPr="007D4CCC">
        <w:rPr>
          <w:lang w:val="fr-FR"/>
        </w:rPr>
        <w:t xml:space="preserve"> et</w:t>
      </w:r>
      <w:r w:rsidRPr="007D4CCC">
        <w:rPr>
          <w:lang w:val="fr-FR"/>
        </w:rPr>
        <w:t xml:space="preserve"> de gestion des voyages </w:t>
      </w:r>
      <w:r w:rsidR="00C36388" w:rsidRPr="007D4CCC">
        <w:rPr>
          <w:lang w:val="fr-FR"/>
        </w:rPr>
        <w:t>du</w:t>
      </w:r>
      <w:r w:rsidRPr="007D4CCC">
        <w:rPr>
          <w:lang w:val="fr-FR"/>
        </w:rPr>
        <w:t xml:space="preserve"> système </w:t>
      </w:r>
      <w:proofErr w:type="spellStart"/>
      <w:r w:rsidRPr="007D4CCC">
        <w:rPr>
          <w:lang w:val="fr-FR"/>
        </w:rPr>
        <w:t>eWork</w:t>
      </w:r>
      <w:proofErr w:type="spellEnd"/>
      <w:r w:rsidR="00C36388" w:rsidRPr="007D4CCC">
        <w:rPr>
          <w:lang w:val="fr-FR"/>
        </w:rPr>
        <w:t xml:space="preserve"> d</w:t>
      </w:r>
      <w:r w:rsidR="00A25F29">
        <w:rPr>
          <w:lang w:val="fr-FR"/>
        </w:rPr>
        <w:t>’</w:t>
      </w:r>
      <w:proofErr w:type="spellStart"/>
      <w:r w:rsidR="00C36388" w:rsidRPr="007D4CCC">
        <w:rPr>
          <w:lang w:val="fr-FR"/>
        </w:rPr>
        <w:t>AIMS</w:t>
      </w:r>
      <w:proofErr w:type="spellEnd"/>
      <w:r w:rsidRPr="007D4CCC">
        <w:rPr>
          <w:lang w:val="fr-FR"/>
        </w:rPr>
        <w:t xml:space="preserve">, et </w:t>
      </w:r>
      <w:r w:rsidR="00114FC8" w:rsidRPr="007D4CCC">
        <w:rPr>
          <w:lang w:val="fr-FR"/>
        </w:rPr>
        <w:t xml:space="preserve">dans le module </w:t>
      </w:r>
      <w:r w:rsidR="00C36388" w:rsidRPr="007D4CCC">
        <w:rPr>
          <w:lang w:val="fr-FR"/>
        </w:rPr>
        <w:t>de</w:t>
      </w:r>
      <w:r w:rsidRPr="007D4CCC">
        <w:rPr>
          <w:lang w:val="fr-FR"/>
        </w:rPr>
        <w:t xml:space="preserve"> gestion des informations au personnel</w:t>
      </w:r>
      <w:r w:rsidR="00114FC8" w:rsidRPr="007D4CCC">
        <w:rPr>
          <w:lang w:val="fr-FR"/>
        </w:rPr>
        <w:t xml:space="preserve"> du</w:t>
      </w:r>
      <w:r w:rsidR="00C36388" w:rsidRPr="007D4CCC">
        <w:rPr>
          <w:lang w:val="fr-FR"/>
        </w:rPr>
        <w:t xml:space="preserve"> système </w:t>
      </w:r>
      <w:proofErr w:type="spellStart"/>
      <w:r w:rsidRPr="007D4CCC">
        <w:rPr>
          <w:lang w:val="fr-FR"/>
        </w:rPr>
        <w:t>AIMS</w:t>
      </w:r>
      <w:proofErr w:type="spellEnd"/>
      <w:r w:rsidRPr="007D4CCC">
        <w:rPr>
          <w:lang w:val="fr-FR"/>
        </w:rPr>
        <w:t xml:space="preserve"> </w:t>
      </w:r>
      <w:proofErr w:type="spellStart"/>
      <w:r w:rsidRPr="007D4CCC">
        <w:rPr>
          <w:lang w:val="fr-FR"/>
        </w:rPr>
        <w:t>HR</w:t>
      </w:r>
      <w:proofErr w:type="spellEnd"/>
      <w:r w:rsidRPr="007D4CCC">
        <w:rPr>
          <w:lang w:val="fr-FR"/>
        </w:rPr>
        <w:t>.</w:t>
      </w:r>
    </w:p>
    <w:p w:rsidR="00B84CCD" w:rsidRPr="007D4CCC" w:rsidRDefault="00C8548A" w:rsidP="008122AE">
      <w:pPr>
        <w:pStyle w:val="ONUMFS"/>
        <w:rPr>
          <w:lang w:val="fr-FR"/>
        </w:rPr>
      </w:pPr>
      <w:r w:rsidRPr="007D4CCC">
        <w:rPr>
          <w:lang w:val="fr-FR"/>
        </w:rPr>
        <w:t xml:space="preserve">La </w:t>
      </w:r>
      <w:proofErr w:type="spellStart"/>
      <w:r w:rsidRPr="007D4CCC">
        <w:rPr>
          <w:lang w:val="fr-FR"/>
        </w:rPr>
        <w:t>DSI</w:t>
      </w:r>
      <w:proofErr w:type="spellEnd"/>
      <w:r w:rsidRPr="007D4CCC">
        <w:rPr>
          <w:lang w:val="fr-FR"/>
        </w:rPr>
        <w:t xml:space="preserve"> ne fait pas de recommandations formelles sur la base des travaux relatifs à l</w:t>
      </w:r>
      <w:r w:rsidR="00A25F29">
        <w:rPr>
          <w:lang w:val="fr-FR"/>
        </w:rPr>
        <w:t>’</w:t>
      </w:r>
      <w:r w:rsidRPr="007D4CCC">
        <w:rPr>
          <w:lang w:val="fr-FR"/>
        </w:rPr>
        <w:t xml:space="preserve">audit </w:t>
      </w:r>
      <w:r w:rsidR="00A65A9D">
        <w:rPr>
          <w:lang w:val="fr-FR"/>
        </w:rPr>
        <w:t>qu</w:t>
      </w:r>
      <w:r w:rsidR="00A25F29">
        <w:rPr>
          <w:lang w:val="fr-FR"/>
        </w:rPr>
        <w:t>’</w:t>
      </w:r>
      <w:r w:rsidR="00A65A9D">
        <w:rPr>
          <w:lang w:val="fr-FR"/>
        </w:rPr>
        <w:t xml:space="preserve">elle effectue de manière </w:t>
      </w:r>
      <w:r w:rsidR="00114FC8" w:rsidRPr="007D4CCC">
        <w:rPr>
          <w:lang w:val="fr-FR"/>
        </w:rPr>
        <w:t>conti</w:t>
      </w:r>
      <w:r w:rsidR="002F0495" w:rsidRPr="007D4CCC">
        <w:rPr>
          <w:lang w:val="fr-FR"/>
        </w:rPr>
        <w:t>n</w:t>
      </w:r>
      <w:r w:rsidR="00186C7F" w:rsidRPr="007D4CCC">
        <w:rPr>
          <w:lang w:val="fr-FR"/>
        </w:rPr>
        <w:t>u</w:t>
      </w:r>
      <w:r w:rsidR="00186C7F">
        <w:rPr>
          <w:lang w:val="fr-FR"/>
        </w:rPr>
        <w:t xml:space="preserve">e.  </w:t>
      </w:r>
      <w:r w:rsidR="00186C7F" w:rsidRPr="007D4CCC">
        <w:rPr>
          <w:lang w:val="fr-FR"/>
        </w:rPr>
        <w:t>En</w:t>
      </w:r>
      <w:r w:rsidRPr="007D4CCC">
        <w:rPr>
          <w:lang w:val="fr-FR"/>
        </w:rPr>
        <w:t xml:space="preserve"> revanche, une réunion a été organisée avec les représentants de la direction du Secteur administration et gestion et du Département de la </w:t>
      </w:r>
      <w:r w:rsidRPr="007D4CCC">
        <w:rPr>
          <w:lang w:val="fr-FR"/>
        </w:rPr>
        <w:lastRenderedPageBreak/>
        <w:t>gestion des ressources humaines (</w:t>
      </w:r>
      <w:proofErr w:type="spellStart"/>
      <w:r w:rsidRPr="007D4CCC">
        <w:rPr>
          <w:lang w:val="fr-FR"/>
        </w:rPr>
        <w:t>DGRH</w:t>
      </w:r>
      <w:proofErr w:type="spellEnd"/>
      <w:r w:rsidRPr="007D4CCC">
        <w:rPr>
          <w:lang w:val="fr-FR"/>
        </w:rPr>
        <w:t>) afin d</w:t>
      </w:r>
      <w:r w:rsidR="00A25F29">
        <w:rPr>
          <w:lang w:val="fr-FR"/>
        </w:rPr>
        <w:t>’</w:t>
      </w:r>
      <w:r w:rsidRPr="007D4CCC">
        <w:rPr>
          <w:lang w:val="fr-FR"/>
        </w:rPr>
        <w:t>étudier les observations et suggestions formulées par</w:t>
      </w:r>
      <w:r w:rsidR="00B84CCD" w:rsidRPr="007D4CCC">
        <w:rPr>
          <w:lang w:val="fr-FR"/>
        </w:rPr>
        <w:t xml:space="preserve"> la </w:t>
      </w:r>
      <w:proofErr w:type="spellStart"/>
      <w:r w:rsidR="00B84CCD" w:rsidRPr="007D4CCC">
        <w:rPr>
          <w:lang w:val="fr-FR"/>
        </w:rPr>
        <w:t>DSI</w:t>
      </w:r>
      <w:proofErr w:type="spellEnd"/>
      <w:r w:rsidRPr="007D4CCC">
        <w:rPr>
          <w:lang w:val="fr-FR"/>
        </w:rPr>
        <w:t>.</w:t>
      </w:r>
    </w:p>
    <w:p w:rsidR="00B84CCD" w:rsidRPr="007D4CCC" w:rsidRDefault="00B2446A" w:rsidP="00A65A9D">
      <w:pPr>
        <w:pStyle w:val="ONUMFS"/>
        <w:rPr>
          <w:lang w:val="fr-FR"/>
        </w:rPr>
      </w:pPr>
      <w:r w:rsidRPr="007D4CCC">
        <w:rPr>
          <w:lang w:val="fr-FR"/>
        </w:rPr>
        <w:t>L</w:t>
      </w:r>
      <w:r w:rsidR="00A65A9D">
        <w:rPr>
          <w:lang w:val="fr-FR"/>
        </w:rPr>
        <w:t xml:space="preserve">a </w:t>
      </w:r>
      <w:proofErr w:type="spellStart"/>
      <w:r w:rsidR="00A65A9D">
        <w:rPr>
          <w:lang w:val="fr-FR"/>
        </w:rPr>
        <w:t>DSI</w:t>
      </w:r>
      <w:proofErr w:type="spellEnd"/>
      <w:r w:rsidR="00A65A9D">
        <w:rPr>
          <w:lang w:val="fr-FR"/>
        </w:rPr>
        <w:t xml:space="preserve"> </w:t>
      </w:r>
      <w:r w:rsidR="00A65A9D" w:rsidRPr="00A65A9D">
        <w:rPr>
          <w:lang w:val="fr-FR"/>
        </w:rPr>
        <w:t>est en mesure d</w:t>
      </w:r>
      <w:r w:rsidR="00A25F29">
        <w:rPr>
          <w:lang w:val="fr-FR"/>
        </w:rPr>
        <w:t>’</w:t>
      </w:r>
      <w:r w:rsidR="00A65A9D" w:rsidRPr="00A65A9D">
        <w:rPr>
          <w:lang w:val="fr-FR"/>
        </w:rPr>
        <w:t xml:space="preserve">indiquer </w:t>
      </w:r>
      <w:r w:rsidR="00A65A9D">
        <w:rPr>
          <w:lang w:val="fr-FR"/>
        </w:rPr>
        <w:t>que l</w:t>
      </w:r>
      <w:r w:rsidRPr="007D4CCC">
        <w:rPr>
          <w:lang w:val="fr-FR"/>
        </w:rPr>
        <w:t xml:space="preserve">a direction a apprécié les observations </w:t>
      </w:r>
      <w:r w:rsidR="00A65A9D">
        <w:rPr>
          <w:lang w:val="fr-FR"/>
        </w:rPr>
        <w:t>faites par la division</w:t>
      </w:r>
      <w:r w:rsidRPr="007D4CCC">
        <w:rPr>
          <w:lang w:val="fr-FR"/>
        </w:rPr>
        <w:t xml:space="preserve"> et s</w:t>
      </w:r>
      <w:r w:rsidR="00A25F29">
        <w:rPr>
          <w:lang w:val="fr-FR"/>
        </w:rPr>
        <w:t>’</w:t>
      </w:r>
      <w:r w:rsidRPr="007D4CCC">
        <w:rPr>
          <w:lang w:val="fr-FR"/>
        </w:rPr>
        <w:t>est félicité</w:t>
      </w:r>
      <w:r w:rsidR="00C36388" w:rsidRPr="007D4CCC">
        <w:rPr>
          <w:lang w:val="fr-FR"/>
        </w:rPr>
        <w:t>e</w:t>
      </w:r>
      <w:r w:rsidRPr="007D4CCC">
        <w:rPr>
          <w:lang w:val="fr-FR"/>
        </w:rPr>
        <w:t xml:space="preserve"> de la possibilité d</w:t>
      </w:r>
      <w:r w:rsidR="00A25F29">
        <w:rPr>
          <w:lang w:val="fr-FR"/>
        </w:rPr>
        <w:t>’</w:t>
      </w:r>
      <w:r w:rsidRPr="007D4CCC">
        <w:rPr>
          <w:lang w:val="fr-FR"/>
        </w:rPr>
        <w:t xml:space="preserve">apporter de nouvelles améliorations </w:t>
      </w:r>
      <w:r w:rsidR="00011BF3" w:rsidRPr="007D4CCC">
        <w:rPr>
          <w:lang w:val="fr-FR"/>
        </w:rPr>
        <w:t>aux mécanismes de</w:t>
      </w:r>
      <w:r w:rsidRPr="007D4CCC">
        <w:rPr>
          <w:lang w:val="fr-FR"/>
        </w:rPr>
        <w:t xml:space="preserve"> contrôle</w:t>
      </w:r>
      <w:r w:rsidR="00011BF3" w:rsidRPr="007D4CCC">
        <w:rPr>
          <w:lang w:val="fr-FR"/>
        </w:rPr>
        <w:t xml:space="preserve"> interne</w:t>
      </w:r>
      <w:r w:rsidRPr="007D4CCC">
        <w:rPr>
          <w:lang w:val="fr-FR"/>
        </w:rPr>
        <w:t>.</w:t>
      </w:r>
    </w:p>
    <w:p w:rsidR="00B84CCD" w:rsidRPr="007D4CCC" w:rsidRDefault="00B2446A" w:rsidP="003B5D17">
      <w:pPr>
        <w:pStyle w:val="Heading2"/>
        <w:rPr>
          <w:lang w:val="fr-FR"/>
        </w:rPr>
      </w:pPr>
      <w:r w:rsidRPr="007D4CCC">
        <w:rPr>
          <w:lang w:val="fr-FR"/>
        </w:rPr>
        <w:t>Évaluation de l</w:t>
      </w:r>
      <w:r w:rsidR="00A25F29">
        <w:rPr>
          <w:lang w:val="fr-FR"/>
        </w:rPr>
        <w:t>’</w:t>
      </w:r>
      <w:r w:rsidRPr="007D4CCC">
        <w:rPr>
          <w:lang w:val="fr-FR"/>
        </w:rPr>
        <w:t>Union internationale pour la protection des obtentions végétales (</w:t>
      </w:r>
      <w:proofErr w:type="spellStart"/>
      <w:r w:rsidRPr="007D4CCC">
        <w:rPr>
          <w:lang w:val="fr-FR"/>
        </w:rPr>
        <w:t>UPOV</w:t>
      </w:r>
      <w:proofErr w:type="spellEnd"/>
      <w:r w:rsidRPr="007D4CCC">
        <w:rPr>
          <w:lang w:val="fr-FR"/>
        </w:rPr>
        <w:t>)</w:t>
      </w:r>
    </w:p>
    <w:p w:rsidR="008122AE" w:rsidRPr="007D4CCC" w:rsidRDefault="008122AE" w:rsidP="008122AE">
      <w:pPr>
        <w:rPr>
          <w:lang w:val="fr-FR"/>
        </w:rPr>
      </w:pPr>
    </w:p>
    <w:p w:rsidR="00B84CCD" w:rsidRPr="007D4CCC" w:rsidRDefault="00B2446A" w:rsidP="008122AE">
      <w:pPr>
        <w:pStyle w:val="ONUMFS"/>
        <w:rPr>
          <w:lang w:val="fr-FR"/>
        </w:rPr>
      </w:pPr>
      <w:r w:rsidRPr="007D4CCC">
        <w:rPr>
          <w:lang w:val="fr-FR"/>
        </w:rPr>
        <w:t>À sa quatre</w:t>
      </w:r>
      <w:r w:rsidR="00F77457">
        <w:rPr>
          <w:lang w:val="fr-FR"/>
        </w:rPr>
        <w:noBreakHyphen/>
      </w:r>
      <w:r w:rsidRPr="007D4CCC">
        <w:rPr>
          <w:lang w:val="fr-FR"/>
        </w:rPr>
        <w:t>vingt</w:t>
      </w:r>
      <w:r w:rsidR="00F77457">
        <w:rPr>
          <w:lang w:val="fr-FR"/>
        </w:rPr>
        <w:noBreakHyphen/>
      </w:r>
      <w:r w:rsidRPr="007D4CCC">
        <w:rPr>
          <w:lang w:val="fr-FR"/>
        </w:rPr>
        <w:t>dix</w:t>
      </w:r>
      <w:r w:rsidR="00A25F29">
        <w:rPr>
          <w:lang w:val="fr-FR"/>
        </w:rPr>
        <w:t>ième session</w:t>
      </w:r>
      <w:r w:rsidRPr="007D4CCC">
        <w:rPr>
          <w:lang w:val="fr-FR"/>
        </w:rPr>
        <w:t xml:space="preserve"> (Genève, 28 et 2</w:t>
      </w:r>
      <w:r w:rsidR="00B84CCD" w:rsidRPr="007D4CCC">
        <w:rPr>
          <w:lang w:val="fr-FR"/>
        </w:rPr>
        <w:t>9 octobre 20</w:t>
      </w:r>
      <w:r w:rsidRPr="007D4CCC">
        <w:rPr>
          <w:lang w:val="fr-FR"/>
        </w:rPr>
        <w:t>15), le Comité consultatif de l</w:t>
      </w:r>
      <w:r w:rsidR="00A25F29">
        <w:rPr>
          <w:lang w:val="fr-FR"/>
        </w:rPr>
        <w:t>’</w:t>
      </w:r>
      <w:proofErr w:type="spellStart"/>
      <w:r w:rsidRPr="007D4CCC">
        <w:rPr>
          <w:lang w:val="fr-FR"/>
        </w:rPr>
        <w:t>UPOV</w:t>
      </w:r>
      <w:proofErr w:type="spellEnd"/>
      <w:r w:rsidRPr="007D4CCC">
        <w:rPr>
          <w:lang w:val="fr-FR"/>
        </w:rPr>
        <w:t xml:space="preserve"> est convenu de demander à</w:t>
      </w:r>
      <w:r w:rsidR="00B84CCD" w:rsidRPr="007D4CCC">
        <w:rPr>
          <w:lang w:val="fr-FR"/>
        </w:rPr>
        <w:t xml:space="preserve"> la </w:t>
      </w:r>
      <w:proofErr w:type="spellStart"/>
      <w:r w:rsidR="00B84CCD" w:rsidRPr="007D4CCC">
        <w:rPr>
          <w:lang w:val="fr-FR"/>
        </w:rPr>
        <w:t>DSI</w:t>
      </w:r>
      <w:proofErr w:type="spellEnd"/>
      <w:r w:rsidRPr="007D4CCC">
        <w:rPr>
          <w:lang w:val="fr-FR"/>
        </w:rPr>
        <w:t xml:space="preserve"> de mener une évaluation du programme d</w:t>
      </w:r>
      <w:r w:rsidR="00A25F29">
        <w:rPr>
          <w:lang w:val="fr-FR"/>
        </w:rPr>
        <w:t>’</w:t>
      </w:r>
      <w:r w:rsidRPr="007D4CCC">
        <w:rPr>
          <w:lang w:val="fr-FR"/>
        </w:rPr>
        <w:t>activités de l</w:t>
      </w:r>
      <w:r w:rsidR="00A25F29">
        <w:rPr>
          <w:lang w:val="fr-FR"/>
        </w:rPr>
        <w:t>’</w:t>
      </w:r>
      <w:proofErr w:type="spellStart"/>
      <w:r w:rsidRPr="007D4CCC">
        <w:rPr>
          <w:lang w:val="fr-FR"/>
        </w:rPr>
        <w:t>UPOV</w:t>
      </w:r>
      <w:proofErr w:type="spellEnd"/>
      <w:r w:rsidRPr="007D4CCC">
        <w:rPr>
          <w:lang w:val="fr-FR"/>
        </w:rPr>
        <w:t xml:space="preserve"> </w:t>
      </w:r>
      <w:r w:rsidR="00B84CCD" w:rsidRPr="007D4CCC">
        <w:rPr>
          <w:lang w:val="fr-FR"/>
        </w:rPr>
        <w:t>en 2016</w:t>
      </w:r>
      <w:r w:rsidR="00F77457">
        <w:rPr>
          <w:lang w:val="fr-FR"/>
        </w:rPr>
        <w:noBreakHyphen/>
      </w:r>
      <w:r w:rsidRPr="007D4CCC">
        <w:rPr>
          <w:lang w:val="fr-FR"/>
        </w:rPr>
        <w:t xml:space="preserve">2017. </w:t>
      </w:r>
      <w:r w:rsidR="005165AE" w:rsidRPr="007D4CCC">
        <w:rPr>
          <w:lang w:val="fr-FR"/>
        </w:rPr>
        <w:t xml:space="preserve"> </w:t>
      </w:r>
      <w:r w:rsidRPr="007D4CCC">
        <w:rPr>
          <w:lang w:val="fr-FR"/>
        </w:rPr>
        <w:t>Le rapport d</w:t>
      </w:r>
      <w:r w:rsidR="00A25F29">
        <w:rPr>
          <w:lang w:val="fr-FR"/>
        </w:rPr>
        <w:t>’</w:t>
      </w:r>
      <w:r w:rsidRPr="007D4CCC">
        <w:rPr>
          <w:lang w:val="fr-FR"/>
        </w:rPr>
        <w:t>évaluation a été présenté par</w:t>
      </w:r>
      <w:r w:rsidR="00B84CCD" w:rsidRPr="007D4CCC">
        <w:rPr>
          <w:lang w:val="fr-FR"/>
        </w:rPr>
        <w:t xml:space="preserve"> la </w:t>
      </w:r>
      <w:proofErr w:type="spellStart"/>
      <w:r w:rsidR="00B84CCD" w:rsidRPr="007D4CCC">
        <w:rPr>
          <w:lang w:val="fr-FR"/>
        </w:rPr>
        <w:t>DSI</w:t>
      </w:r>
      <w:proofErr w:type="spellEnd"/>
      <w:r w:rsidRPr="007D4CCC">
        <w:rPr>
          <w:lang w:val="fr-FR"/>
        </w:rPr>
        <w:t xml:space="preserve"> à la cinquant</w:t>
      </w:r>
      <w:r w:rsidR="00A25F29">
        <w:rPr>
          <w:lang w:val="fr-FR"/>
        </w:rPr>
        <w:t>ième session</w:t>
      </w:r>
      <w:r w:rsidRPr="007D4CCC">
        <w:rPr>
          <w:lang w:val="fr-FR"/>
        </w:rPr>
        <w:t xml:space="preserve"> ordinaire de Conseil de l</w:t>
      </w:r>
      <w:r w:rsidR="00A25F29">
        <w:rPr>
          <w:lang w:val="fr-FR"/>
        </w:rPr>
        <w:t>’</w:t>
      </w:r>
      <w:proofErr w:type="spellStart"/>
      <w:r w:rsidRPr="007D4CCC">
        <w:rPr>
          <w:lang w:val="fr-FR"/>
        </w:rPr>
        <w:t>UPOV</w:t>
      </w:r>
      <w:proofErr w:type="spellEnd"/>
      <w:r w:rsidRPr="007D4CCC">
        <w:rPr>
          <w:lang w:val="fr-FR"/>
        </w:rPr>
        <w:t>, le 2</w:t>
      </w:r>
      <w:r w:rsidR="00B84CCD" w:rsidRPr="007D4CCC">
        <w:rPr>
          <w:lang w:val="fr-FR"/>
        </w:rPr>
        <w:t>8 octobre 20</w:t>
      </w:r>
      <w:r w:rsidRPr="007D4CCC">
        <w:rPr>
          <w:lang w:val="fr-FR"/>
        </w:rPr>
        <w:t>16.</w:t>
      </w:r>
    </w:p>
    <w:p w:rsidR="00B84CCD" w:rsidRPr="007D4CCC" w:rsidRDefault="00E02497" w:rsidP="008122AE">
      <w:pPr>
        <w:pStyle w:val="ONUMFS"/>
        <w:rPr>
          <w:lang w:val="fr-FR"/>
        </w:rPr>
      </w:pPr>
      <w:r w:rsidRPr="007D4CCC">
        <w:rPr>
          <w:lang w:val="fr-FR"/>
        </w:rPr>
        <w:t xml:space="preserve">Le principal objectif de cette évaluation était </w:t>
      </w:r>
      <w:r w:rsidR="00C36388" w:rsidRPr="007D4CCC">
        <w:rPr>
          <w:lang w:val="fr-FR"/>
        </w:rPr>
        <w:t>d</w:t>
      </w:r>
      <w:r w:rsidR="00A25F29">
        <w:rPr>
          <w:lang w:val="fr-FR"/>
        </w:rPr>
        <w:t>’</w:t>
      </w:r>
      <w:r w:rsidR="00114FC8" w:rsidRPr="007D4CCC">
        <w:rPr>
          <w:lang w:val="fr-FR"/>
        </w:rPr>
        <w:t>apprécier</w:t>
      </w:r>
      <w:r w:rsidRPr="007D4CCC">
        <w:rPr>
          <w:lang w:val="fr-FR"/>
        </w:rPr>
        <w:t xml:space="preserve"> la pertinence, l</w:t>
      </w:r>
      <w:r w:rsidR="00A25F29">
        <w:rPr>
          <w:lang w:val="fr-FR"/>
        </w:rPr>
        <w:t>’</w:t>
      </w:r>
      <w:r w:rsidRPr="007D4CCC">
        <w:rPr>
          <w:lang w:val="fr-FR"/>
        </w:rPr>
        <w:t>efficacité, l</w:t>
      </w:r>
      <w:r w:rsidR="00A25F29">
        <w:rPr>
          <w:lang w:val="fr-FR"/>
        </w:rPr>
        <w:t>’</w:t>
      </w:r>
      <w:r w:rsidRPr="007D4CCC">
        <w:rPr>
          <w:lang w:val="fr-FR"/>
        </w:rPr>
        <w:t>efficience, l</w:t>
      </w:r>
      <w:r w:rsidR="00A25F29">
        <w:rPr>
          <w:lang w:val="fr-FR"/>
        </w:rPr>
        <w:t>’</w:t>
      </w:r>
      <w:r w:rsidRPr="007D4CCC">
        <w:rPr>
          <w:lang w:val="fr-FR"/>
        </w:rPr>
        <w:t xml:space="preserve">incidence et la viabilité des activités mises en </w:t>
      </w:r>
      <w:r w:rsidR="006A1B40" w:rsidRPr="007D4CCC">
        <w:rPr>
          <w:lang w:val="fr-FR"/>
        </w:rPr>
        <w:t>œuvre</w:t>
      </w:r>
      <w:r w:rsidRPr="007D4CCC">
        <w:rPr>
          <w:lang w:val="fr-FR"/>
        </w:rPr>
        <w:t xml:space="preserve"> par le Bureau de l</w:t>
      </w:r>
      <w:r w:rsidR="00A25F29">
        <w:rPr>
          <w:lang w:val="fr-FR"/>
        </w:rPr>
        <w:t>’</w:t>
      </w:r>
      <w:r w:rsidRPr="007D4CCC">
        <w:rPr>
          <w:lang w:val="fr-FR"/>
        </w:rPr>
        <w:t>Union pour remplir son mand</w:t>
      </w:r>
      <w:r w:rsidR="00186C7F" w:rsidRPr="007D4CCC">
        <w:rPr>
          <w:lang w:val="fr-FR"/>
        </w:rPr>
        <w:t>at</w:t>
      </w:r>
      <w:r w:rsidR="00186C7F">
        <w:rPr>
          <w:lang w:val="fr-FR"/>
        </w:rPr>
        <w:t xml:space="preserve">.  </w:t>
      </w:r>
      <w:r w:rsidR="00186C7F" w:rsidRPr="007D4CCC">
        <w:rPr>
          <w:lang w:val="fr-FR"/>
        </w:rPr>
        <w:t>L</w:t>
      </w:r>
      <w:r w:rsidR="00186C7F">
        <w:rPr>
          <w:lang w:val="fr-FR"/>
        </w:rPr>
        <w:t>’</w:t>
      </w:r>
      <w:r w:rsidR="00186C7F" w:rsidRPr="007D4CCC">
        <w:rPr>
          <w:lang w:val="fr-FR"/>
        </w:rPr>
        <w:t>é</w:t>
      </w:r>
      <w:r w:rsidRPr="007D4CCC">
        <w:rPr>
          <w:lang w:val="fr-FR"/>
        </w:rPr>
        <w:t xml:space="preserve">valuation portait sur les stratégies de coopération et les pratiques de mise en </w:t>
      </w:r>
      <w:r w:rsidR="006A1B40" w:rsidRPr="007D4CCC">
        <w:rPr>
          <w:lang w:val="fr-FR"/>
        </w:rPr>
        <w:t>œuvre</w:t>
      </w:r>
      <w:r w:rsidRPr="007D4CCC">
        <w:rPr>
          <w:lang w:val="fr-FR"/>
        </w:rPr>
        <w:t xml:space="preserve">, </w:t>
      </w:r>
      <w:r w:rsidR="00A25F29">
        <w:rPr>
          <w:lang w:val="fr-FR"/>
        </w:rPr>
        <w:t>y compris</w:t>
      </w:r>
      <w:r w:rsidRPr="007D4CCC">
        <w:rPr>
          <w:lang w:val="fr-FR"/>
        </w:rPr>
        <w:t xml:space="preserve"> toutes les activités et modalités, au cours de la pério</w:t>
      </w:r>
      <w:r w:rsidR="00B84CCD" w:rsidRPr="007D4CCC">
        <w:rPr>
          <w:lang w:val="fr-FR"/>
        </w:rPr>
        <w:t>de 2012</w:t>
      </w:r>
      <w:r w:rsidR="00F77457">
        <w:rPr>
          <w:lang w:val="fr-FR"/>
        </w:rPr>
        <w:noBreakHyphen/>
      </w:r>
      <w:r w:rsidRPr="007D4CCC">
        <w:rPr>
          <w:lang w:val="fr-FR"/>
        </w:rPr>
        <w:t>2015.</w:t>
      </w:r>
    </w:p>
    <w:p w:rsidR="00C55FF8" w:rsidRPr="007D4CCC" w:rsidRDefault="00E02497" w:rsidP="008122AE">
      <w:pPr>
        <w:pStyle w:val="ONUMFS"/>
        <w:rPr>
          <w:lang w:val="fr-FR"/>
        </w:rPr>
      </w:pPr>
      <w:r w:rsidRPr="007D4CCC">
        <w:rPr>
          <w:lang w:val="fr-FR"/>
        </w:rPr>
        <w:t xml:space="preserve">Des activités de suivi pour la mise en </w:t>
      </w:r>
      <w:r w:rsidR="006A1B40" w:rsidRPr="007D4CCC">
        <w:rPr>
          <w:lang w:val="fr-FR"/>
        </w:rPr>
        <w:t>œuvre</w:t>
      </w:r>
      <w:r w:rsidRPr="007D4CCC">
        <w:rPr>
          <w:lang w:val="fr-FR"/>
        </w:rPr>
        <w:t xml:space="preserve"> des recommandations seront présentées par l</w:t>
      </w:r>
      <w:r w:rsidR="00A25F29">
        <w:rPr>
          <w:lang w:val="fr-FR"/>
        </w:rPr>
        <w:t>’</w:t>
      </w:r>
      <w:proofErr w:type="spellStart"/>
      <w:r w:rsidRPr="007D4CCC">
        <w:rPr>
          <w:lang w:val="fr-FR"/>
        </w:rPr>
        <w:t>UPOV</w:t>
      </w:r>
      <w:proofErr w:type="spellEnd"/>
      <w:r w:rsidRPr="007D4CCC">
        <w:rPr>
          <w:lang w:val="fr-FR"/>
        </w:rPr>
        <w:t xml:space="preserve"> au Conseil</w:t>
      </w:r>
      <w:r w:rsidR="00C36388" w:rsidRPr="007D4CCC">
        <w:rPr>
          <w:lang w:val="fr-FR"/>
        </w:rPr>
        <w:t>,</w:t>
      </w:r>
      <w:r w:rsidRPr="007D4CCC">
        <w:rPr>
          <w:lang w:val="fr-FR"/>
        </w:rPr>
        <w:t xml:space="preserve"> </w:t>
      </w:r>
      <w:r w:rsidR="00C36388" w:rsidRPr="007D4CCC">
        <w:rPr>
          <w:lang w:val="fr-FR"/>
        </w:rPr>
        <w:t>à</w:t>
      </w:r>
      <w:r w:rsidRPr="007D4CCC">
        <w:rPr>
          <w:lang w:val="fr-FR"/>
        </w:rPr>
        <w:t xml:space="preserve"> sa session d</w:t>
      </w:r>
      <w:r w:rsidR="00A25F29">
        <w:rPr>
          <w:lang w:val="fr-FR"/>
        </w:rPr>
        <w:t>’</w:t>
      </w:r>
      <w:r w:rsidR="00B84CCD" w:rsidRPr="007D4CCC">
        <w:rPr>
          <w:lang w:val="fr-FR"/>
        </w:rPr>
        <w:t>octobre 20</w:t>
      </w:r>
      <w:r w:rsidRPr="007D4CCC">
        <w:rPr>
          <w:lang w:val="fr-FR"/>
        </w:rPr>
        <w:t>17.</w:t>
      </w:r>
    </w:p>
    <w:p w:rsidR="00C55FF8" w:rsidRPr="007D4CCC" w:rsidRDefault="00E02497" w:rsidP="003B5D17">
      <w:pPr>
        <w:pStyle w:val="Heading2"/>
        <w:rPr>
          <w:lang w:val="fr-FR"/>
        </w:rPr>
      </w:pPr>
      <w:r w:rsidRPr="007D4CCC">
        <w:rPr>
          <w:lang w:val="fr-FR"/>
        </w:rPr>
        <w:t>Évaluation de la Division des bases de données mondiales de l</w:t>
      </w:r>
      <w:r w:rsidR="00A25F29">
        <w:rPr>
          <w:lang w:val="fr-FR"/>
        </w:rPr>
        <w:t>’</w:t>
      </w:r>
      <w:r w:rsidRPr="007D4CCC">
        <w:rPr>
          <w:lang w:val="fr-FR"/>
        </w:rPr>
        <w:t>OMPI</w:t>
      </w:r>
      <w:r w:rsidR="00B84CCD" w:rsidRPr="007D4CCC">
        <w:rPr>
          <w:lang w:val="fr-FR"/>
        </w:rPr>
        <w:t xml:space="preserve"> – </w:t>
      </w:r>
      <w:r w:rsidRPr="007D4CCC">
        <w:rPr>
          <w:lang w:val="fr-FR"/>
        </w:rPr>
        <w:t>Programme</w:t>
      </w:r>
      <w:r w:rsidR="00B65F3C" w:rsidRPr="007D4CCC">
        <w:rPr>
          <w:lang w:val="fr-FR"/>
        </w:rPr>
        <w:t> </w:t>
      </w:r>
      <w:r w:rsidRPr="007D4CCC">
        <w:rPr>
          <w:lang w:val="fr-FR"/>
        </w:rPr>
        <w:t>13</w:t>
      </w:r>
    </w:p>
    <w:p w:rsidR="008122AE" w:rsidRPr="007D4CCC" w:rsidRDefault="008122AE" w:rsidP="008122AE">
      <w:pPr>
        <w:rPr>
          <w:lang w:val="fr-FR"/>
        </w:rPr>
      </w:pPr>
    </w:p>
    <w:p w:rsidR="00B84CCD" w:rsidRPr="007D4CCC" w:rsidRDefault="00017918" w:rsidP="008122AE">
      <w:pPr>
        <w:pStyle w:val="ONUMFS"/>
        <w:rPr>
          <w:lang w:val="fr-FR"/>
        </w:rPr>
      </w:pPr>
      <w:r w:rsidRPr="007D4CCC">
        <w:rPr>
          <w:lang w:val="fr-FR"/>
        </w:rPr>
        <w:t>Cette évaluation avait pour principal objectif d</w:t>
      </w:r>
      <w:r w:rsidR="00A25F29">
        <w:rPr>
          <w:lang w:val="fr-FR"/>
        </w:rPr>
        <w:t>’</w:t>
      </w:r>
      <w:r w:rsidRPr="007D4CCC">
        <w:rPr>
          <w:lang w:val="fr-FR"/>
        </w:rPr>
        <w:t>apprécier l</w:t>
      </w:r>
      <w:r w:rsidR="00A25F29">
        <w:rPr>
          <w:lang w:val="fr-FR"/>
        </w:rPr>
        <w:t>’</w:t>
      </w:r>
      <w:r w:rsidRPr="007D4CCC">
        <w:rPr>
          <w:lang w:val="fr-FR"/>
        </w:rPr>
        <w:t>efficacité, l</w:t>
      </w:r>
      <w:r w:rsidR="00A25F29">
        <w:rPr>
          <w:lang w:val="fr-FR"/>
        </w:rPr>
        <w:t>’</w:t>
      </w:r>
      <w:r w:rsidRPr="007D4CCC">
        <w:rPr>
          <w:lang w:val="fr-FR"/>
        </w:rPr>
        <w:t>efficience, l</w:t>
      </w:r>
      <w:r w:rsidR="00A25F29">
        <w:rPr>
          <w:lang w:val="fr-FR"/>
        </w:rPr>
        <w:t>’</w:t>
      </w:r>
      <w:r w:rsidRPr="007D4CCC">
        <w:rPr>
          <w:lang w:val="fr-FR"/>
        </w:rPr>
        <w:t>incidence et la viabilité du programme</w:t>
      </w:r>
      <w:r w:rsidR="00B65F3C" w:rsidRPr="007D4CCC">
        <w:rPr>
          <w:lang w:val="fr-FR"/>
        </w:rPr>
        <w:t> </w:t>
      </w:r>
      <w:r w:rsidRPr="007D4CCC">
        <w:rPr>
          <w:lang w:val="fr-FR"/>
        </w:rPr>
        <w:t>13 (Division des bases de données mondiales) dans l</w:t>
      </w:r>
      <w:r w:rsidR="00A25F29">
        <w:rPr>
          <w:lang w:val="fr-FR"/>
        </w:rPr>
        <w:t>’</w:t>
      </w:r>
      <w:r w:rsidRPr="007D4CCC">
        <w:rPr>
          <w:lang w:val="fr-FR"/>
        </w:rPr>
        <w:t>accomplissement de son mandat.</w:t>
      </w:r>
    </w:p>
    <w:p w:rsidR="00C55FF8" w:rsidRPr="007D4CCC" w:rsidRDefault="00793EF8" w:rsidP="008122AE">
      <w:pPr>
        <w:pStyle w:val="ONUMFS"/>
        <w:rPr>
          <w:lang w:val="fr-FR"/>
        </w:rPr>
      </w:pPr>
      <w:r w:rsidRPr="007D4CCC">
        <w:rPr>
          <w:lang w:val="fr-FR"/>
        </w:rPr>
        <w:t>Le programme investissait en permanence dans le développement du contenu et des fonction</w:t>
      </w:r>
      <w:r w:rsidR="00C36388" w:rsidRPr="007D4CCC">
        <w:rPr>
          <w:lang w:val="fr-FR"/>
        </w:rPr>
        <w:t>nalité</w:t>
      </w:r>
      <w:r w:rsidRPr="007D4CCC">
        <w:rPr>
          <w:lang w:val="fr-FR"/>
        </w:rPr>
        <w:t>s des Bases de données mondiales, ce qui a permis d</w:t>
      </w:r>
      <w:r w:rsidR="00A25F29">
        <w:rPr>
          <w:lang w:val="fr-FR"/>
        </w:rPr>
        <w:t>’</w:t>
      </w:r>
      <w:r w:rsidRPr="007D4CCC">
        <w:rPr>
          <w:lang w:val="fr-FR"/>
        </w:rPr>
        <w:t xml:space="preserve">atteindre les résultats escomptés </w:t>
      </w:r>
      <w:proofErr w:type="spellStart"/>
      <w:r w:rsidRPr="007D4CCC">
        <w:rPr>
          <w:lang w:val="fr-FR"/>
        </w:rPr>
        <w:t>IV.2</w:t>
      </w:r>
      <w:proofErr w:type="spellEnd"/>
      <w:r w:rsidRPr="007D4CCC">
        <w:rPr>
          <w:lang w:val="fr-FR"/>
        </w:rPr>
        <w:t xml:space="preserve"> et </w:t>
      </w:r>
      <w:proofErr w:type="spellStart"/>
      <w:r w:rsidRPr="007D4CCC">
        <w:rPr>
          <w:lang w:val="fr-FR"/>
        </w:rPr>
        <w:t>IV.3</w:t>
      </w:r>
      <w:proofErr w:type="spellEnd"/>
      <w:r w:rsidRPr="007D4CCC">
        <w:rPr>
          <w:lang w:val="fr-FR"/>
        </w:rPr>
        <w:t xml:space="preserve"> de l</w:t>
      </w:r>
      <w:r w:rsidR="00A25F29">
        <w:rPr>
          <w:lang w:val="fr-FR"/>
        </w:rPr>
        <w:t>’</w:t>
      </w:r>
      <w:r w:rsidRPr="007D4CCC">
        <w:rPr>
          <w:lang w:val="fr-FR"/>
        </w:rPr>
        <w:t>O</w:t>
      </w:r>
      <w:r w:rsidR="00186C7F" w:rsidRPr="007D4CCC">
        <w:rPr>
          <w:lang w:val="fr-FR"/>
        </w:rPr>
        <w:t>MPI</w:t>
      </w:r>
      <w:r w:rsidR="00186C7F">
        <w:rPr>
          <w:lang w:val="fr-FR"/>
        </w:rPr>
        <w:t xml:space="preserve">.  </w:t>
      </w:r>
      <w:r w:rsidR="00186C7F" w:rsidRPr="007D4CCC">
        <w:rPr>
          <w:lang w:val="fr-FR"/>
        </w:rPr>
        <w:t>Le</w:t>
      </w:r>
      <w:r w:rsidRPr="007D4CCC">
        <w:rPr>
          <w:lang w:val="fr-FR"/>
        </w:rPr>
        <w:t xml:space="preserve"> contenu et les fonction</w:t>
      </w:r>
      <w:r w:rsidR="00C36388" w:rsidRPr="007D4CCC">
        <w:rPr>
          <w:lang w:val="fr-FR"/>
        </w:rPr>
        <w:t>nalité</w:t>
      </w:r>
      <w:r w:rsidRPr="007D4CCC">
        <w:rPr>
          <w:lang w:val="fr-FR"/>
        </w:rPr>
        <w:t>s des Bases de données mondiales de l</w:t>
      </w:r>
      <w:r w:rsidR="00A25F29">
        <w:rPr>
          <w:lang w:val="fr-FR"/>
        </w:rPr>
        <w:t>’</w:t>
      </w:r>
      <w:r w:rsidRPr="007D4CCC">
        <w:rPr>
          <w:lang w:val="fr-FR"/>
        </w:rPr>
        <w:t>OMPI (notamment l</w:t>
      </w:r>
      <w:r w:rsidR="00A25F29">
        <w:rPr>
          <w:lang w:val="fr-FR"/>
        </w:rPr>
        <w:t>’</w:t>
      </w:r>
      <w:r w:rsidRPr="007D4CCC">
        <w:rPr>
          <w:lang w:val="fr-FR"/>
        </w:rPr>
        <w:t xml:space="preserve">appui multilingue offert par la base de données </w:t>
      </w:r>
      <w:proofErr w:type="spellStart"/>
      <w:r w:rsidRPr="007D4CCC">
        <w:rPr>
          <w:lang w:val="fr-FR"/>
        </w:rPr>
        <w:t>PATENTSCOPE</w:t>
      </w:r>
      <w:proofErr w:type="spellEnd"/>
      <w:r w:rsidRPr="007D4CCC">
        <w:rPr>
          <w:lang w:val="fr-FR"/>
        </w:rPr>
        <w:t>) ont fait l</w:t>
      </w:r>
      <w:r w:rsidR="00A25F29">
        <w:rPr>
          <w:lang w:val="fr-FR"/>
        </w:rPr>
        <w:t>’</w:t>
      </w:r>
      <w:r w:rsidRPr="007D4CCC">
        <w:rPr>
          <w:lang w:val="fr-FR"/>
        </w:rPr>
        <w:t>objet d</w:t>
      </w:r>
      <w:r w:rsidR="00A25F29">
        <w:rPr>
          <w:lang w:val="fr-FR"/>
        </w:rPr>
        <w:t>’</w:t>
      </w:r>
      <w:r w:rsidRPr="007D4CCC">
        <w:rPr>
          <w:lang w:val="fr-FR"/>
        </w:rPr>
        <w:t>évaluations positives de la part de plus de 80% des utilisateurs interrogés et l</w:t>
      </w:r>
      <w:r w:rsidR="00A25F29">
        <w:rPr>
          <w:lang w:val="fr-FR"/>
        </w:rPr>
        <w:t>’</w:t>
      </w:r>
      <w:r w:rsidRPr="007D4CCC">
        <w:rPr>
          <w:lang w:val="fr-FR"/>
        </w:rPr>
        <w:t>usage</w:t>
      </w:r>
      <w:r w:rsidR="00B84CCD" w:rsidRPr="007D4CCC">
        <w:rPr>
          <w:lang w:val="fr-FR"/>
        </w:rPr>
        <w:t xml:space="preserve"> du </w:t>
      </w:r>
      <w:proofErr w:type="spellStart"/>
      <w:r w:rsidR="00B84CCD" w:rsidRPr="007D4CCC">
        <w:rPr>
          <w:lang w:val="fr-FR"/>
        </w:rPr>
        <w:t>PAT</w:t>
      </w:r>
      <w:r w:rsidRPr="007D4CCC">
        <w:rPr>
          <w:lang w:val="fr-FR"/>
        </w:rPr>
        <w:t>ENTSCOPE</w:t>
      </w:r>
      <w:proofErr w:type="spellEnd"/>
      <w:r w:rsidRPr="007D4CCC">
        <w:rPr>
          <w:lang w:val="fr-FR"/>
        </w:rPr>
        <w:t xml:space="preserve"> et de la Base de données mondiale sur les marques a connu une augmentation progressive au cours des deux</w:t>
      </w:r>
      <w:r w:rsidR="005165AE" w:rsidRPr="007D4CCC">
        <w:rPr>
          <w:lang w:val="fr-FR"/>
        </w:rPr>
        <w:t> </w:t>
      </w:r>
      <w:r w:rsidRPr="007D4CCC">
        <w:rPr>
          <w:lang w:val="fr-FR"/>
        </w:rPr>
        <w:t>derniers exercices biennaux.</w:t>
      </w:r>
    </w:p>
    <w:p w:rsidR="00C55FF8" w:rsidRPr="007D4CCC" w:rsidRDefault="00A631F4" w:rsidP="008122AE">
      <w:pPr>
        <w:pStyle w:val="ONUMFS"/>
        <w:rPr>
          <w:lang w:val="fr-FR"/>
        </w:rPr>
      </w:pPr>
      <w:r w:rsidRPr="007D4CCC">
        <w:rPr>
          <w:lang w:val="fr-FR"/>
        </w:rPr>
        <w:t>Une évaluation d</w:t>
      </w:r>
      <w:r w:rsidR="00A25F29">
        <w:rPr>
          <w:lang w:val="fr-FR"/>
        </w:rPr>
        <w:t>’</w:t>
      </w:r>
      <w:r w:rsidRPr="007D4CCC">
        <w:rPr>
          <w:lang w:val="fr-FR"/>
        </w:rPr>
        <w:t>impact sur les opérations a été réalisée dans le cadre du programme, bien que le plan de continuité des opérations et le plan anti</w:t>
      </w:r>
      <w:r w:rsidR="00F77457">
        <w:rPr>
          <w:lang w:val="fr-FR"/>
        </w:rPr>
        <w:noBreakHyphen/>
      </w:r>
      <w:r w:rsidRPr="007D4CCC">
        <w:rPr>
          <w:lang w:val="fr-FR"/>
        </w:rPr>
        <w:t>catastrophes n</w:t>
      </w:r>
      <w:r w:rsidR="00A25F29">
        <w:rPr>
          <w:lang w:val="fr-FR"/>
        </w:rPr>
        <w:t>’</w:t>
      </w:r>
      <w:r w:rsidRPr="007D4CCC">
        <w:rPr>
          <w:lang w:val="fr-FR"/>
        </w:rPr>
        <w:t xml:space="preserve">aient pas encore été mis au point afin de garantir la pleine capacité de </w:t>
      </w:r>
      <w:r w:rsidR="009827BB" w:rsidRPr="007D4CCC">
        <w:rPr>
          <w:lang w:val="fr-FR"/>
        </w:rPr>
        <w:t xml:space="preserve">récupération de </w:t>
      </w:r>
      <w:r w:rsidRPr="007D4CCC">
        <w:rPr>
          <w:lang w:val="fr-FR"/>
        </w:rPr>
        <w:t>la Divisi</w:t>
      </w:r>
      <w:r w:rsidR="00186C7F" w:rsidRPr="007D4CCC">
        <w:rPr>
          <w:lang w:val="fr-FR"/>
        </w:rPr>
        <w:t>on</w:t>
      </w:r>
      <w:r w:rsidR="00186C7F">
        <w:rPr>
          <w:lang w:val="fr-FR"/>
        </w:rPr>
        <w:t xml:space="preserve">.  </w:t>
      </w:r>
      <w:r w:rsidR="00186C7F" w:rsidRPr="007D4CCC">
        <w:rPr>
          <w:lang w:val="fr-FR"/>
        </w:rPr>
        <w:t>Au</w:t>
      </w:r>
      <w:r w:rsidRPr="007D4CCC">
        <w:rPr>
          <w:lang w:val="fr-FR"/>
        </w:rPr>
        <w:t>cune ressource n</w:t>
      </w:r>
      <w:r w:rsidR="00A25F29">
        <w:rPr>
          <w:lang w:val="fr-FR"/>
        </w:rPr>
        <w:t>’</w:t>
      </w:r>
      <w:r w:rsidRPr="007D4CCC">
        <w:rPr>
          <w:lang w:val="fr-FR"/>
        </w:rPr>
        <w:t xml:space="preserve">est affectée au suivi des communications de données nationales, ou au suivi avec les offices de propriété intellectuelle en cas de besoin, ce qui cause des </w:t>
      </w:r>
      <w:r w:rsidR="006A1B40" w:rsidRPr="007D4CCC">
        <w:rPr>
          <w:lang w:val="fr-FR"/>
        </w:rPr>
        <w:t>retards</w:t>
      </w:r>
      <w:r w:rsidRPr="007D4CCC">
        <w:rPr>
          <w:lang w:val="fr-FR"/>
        </w:rPr>
        <w:t xml:space="preserve"> dans les échanges d</w:t>
      </w:r>
      <w:r w:rsidR="00A25F29">
        <w:rPr>
          <w:lang w:val="fr-FR"/>
        </w:rPr>
        <w:t>’</w:t>
      </w:r>
      <w:r w:rsidRPr="007D4CCC">
        <w:rPr>
          <w:lang w:val="fr-FR"/>
        </w:rPr>
        <w:t>informatio</w:t>
      </w:r>
      <w:r w:rsidR="00186C7F" w:rsidRPr="007D4CCC">
        <w:rPr>
          <w:lang w:val="fr-FR"/>
        </w:rPr>
        <w:t>ns</w:t>
      </w:r>
      <w:r w:rsidR="00186C7F">
        <w:rPr>
          <w:lang w:val="fr-FR"/>
        </w:rPr>
        <w:t xml:space="preserve">.  </w:t>
      </w:r>
      <w:r w:rsidR="00186C7F" w:rsidRPr="007D4CCC">
        <w:rPr>
          <w:lang w:val="fr-FR"/>
        </w:rPr>
        <w:t>Le</w:t>
      </w:r>
      <w:r w:rsidRPr="007D4CCC">
        <w:rPr>
          <w:lang w:val="fr-FR"/>
        </w:rPr>
        <w:t>s indicateurs r</w:t>
      </w:r>
      <w:r w:rsidR="006A1B40" w:rsidRPr="007D4CCC">
        <w:rPr>
          <w:lang w:val="fr-FR"/>
        </w:rPr>
        <w:t>e</w:t>
      </w:r>
      <w:r w:rsidRPr="007D4CCC">
        <w:rPr>
          <w:lang w:val="fr-FR"/>
        </w:rPr>
        <w:t>latifs à l</w:t>
      </w:r>
      <w:r w:rsidR="00A25F29">
        <w:rPr>
          <w:lang w:val="fr-FR"/>
        </w:rPr>
        <w:t>’</w:t>
      </w:r>
      <w:r w:rsidRPr="007D4CCC">
        <w:rPr>
          <w:lang w:val="fr-FR"/>
        </w:rPr>
        <w:t>égalité des sexes n</w:t>
      </w:r>
      <w:r w:rsidR="00A25F29">
        <w:rPr>
          <w:lang w:val="fr-FR"/>
        </w:rPr>
        <w:t>’</w:t>
      </w:r>
      <w:r w:rsidRPr="007D4CCC">
        <w:rPr>
          <w:lang w:val="fr-FR"/>
        </w:rPr>
        <w:t>ont pas encore été incorporés dans</w:t>
      </w:r>
      <w:r w:rsidR="009827BB" w:rsidRPr="007D4CCC">
        <w:rPr>
          <w:lang w:val="fr-FR"/>
        </w:rPr>
        <w:t xml:space="preserve"> la grille d</w:t>
      </w:r>
      <w:r w:rsidR="00A25F29">
        <w:rPr>
          <w:lang w:val="fr-FR"/>
        </w:rPr>
        <w:t>’</w:t>
      </w:r>
      <w:r w:rsidR="009827BB" w:rsidRPr="007D4CCC">
        <w:rPr>
          <w:lang w:val="fr-FR"/>
        </w:rPr>
        <w:t xml:space="preserve">évaluation </w:t>
      </w:r>
      <w:r w:rsidRPr="007D4CCC">
        <w:rPr>
          <w:lang w:val="fr-FR"/>
        </w:rPr>
        <w:t>des résultats du programme pour la période considérée.</w:t>
      </w:r>
    </w:p>
    <w:p w:rsidR="00C55FF8" w:rsidRPr="007D4CCC" w:rsidRDefault="00EC4C12" w:rsidP="008122AE">
      <w:pPr>
        <w:pStyle w:val="ONUMFS"/>
        <w:rPr>
          <w:lang w:val="fr-FR"/>
        </w:rPr>
      </w:pPr>
      <w:r w:rsidRPr="007D4CCC">
        <w:rPr>
          <w:lang w:val="fr-FR"/>
        </w:rPr>
        <w:t>Des améliorations supplémentaires pourraient être apportées</w:t>
      </w:r>
      <w:r w:rsidR="00A25F29">
        <w:rPr>
          <w:lang w:val="fr-FR"/>
        </w:rPr>
        <w:t> :</w:t>
      </w:r>
      <w:r w:rsidRPr="007D4CCC">
        <w:rPr>
          <w:lang w:val="fr-FR"/>
        </w:rPr>
        <w:t xml:space="preserve"> i)</w:t>
      </w:r>
      <w:r w:rsidR="005165AE" w:rsidRPr="007D4CCC">
        <w:rPr>
          <w:lang w:val="fr-FR"/>
        </w:rPr>
        <w:t> </w:t>
      </w:r>
      <w:r w:rsidR="00C8012C" w:rsidRPr="007D4CCC">
        <w:rPr>
          <w:lang w:val="fr-FR"/>
        </w:rPr>
        <w:t xml:space="preserve">en </w:t>
      </w:r>
      <w:r w:rsidRPr="007D4CCC">
        <w:rPr>
          <w:lang w:val="fr-FR"/>
        </w:rPr>
        <w:t>révisant les plans relatifs aux ressources humaines afin d</w:t>
      </w:r>
      <w:r w:rsidR="00A25F29">
        <w:rPr>
          <w:lang w:val="fr-FR"/>
        </w:rPr>
        <w:t>’</w:t>
      </w:r>
      <w:r w:rsidRPr="007D4CCC">
        <w:rPr>
          <w:lang w:val="fr-FR"/>
        </w:rPr>
        <w:t>être en mesure de tenir suffisamment compte des besoins en matière de développement (notamment en améliorant les fonctionnalités d</w:t>
      </w:r>
      <w:r w:rsidR="00A25F29">
        <w:rPr>
          <w:lang w:val="fr-FR"/>
        </w:rPr>
        <w:t>’</w:t>
      </w:r>
      <w:r w:rsidRPr="007D4CCC">
        <w:rPr>
          <w:lang w:val="fr-FR"/>
        </w:rPr>
        <w:t xml:space="preserve">appui multilingue) de chaque base de données et </w:t>
      </w:r>
      <w:r w:rsidR="00C8012C" w:rsidRPr="007D4CCC">
        <w:rPr>
          <w:lang w:val="fr-FR"/>
        </w:rPr>
        <w:t xml:space="preserve">de </w:t>
      </w:r>
      <w:r w:rsidRPr="007D4CCC">
        <w:rPr>
          <w:lang w:val="fr-FR"/>
        </w:rPr>
        <w:t xml:space="preserve">fournir une </w:t>
      </w:r>
      <w:r w:rsidR="009827BB" w:rsidRPr="007D4CCC">
        <w:rPr>
          <w:lang w:val="fr-FR"/>
        </w:rPr>
        <w:t>équipe de remplacement</w:t>
      </w:r>
      <w:r w:rsidRPr="007D4CCC">
        <w:rPr>
          <w:lang w:val="fr-FR"/>
        </w:rPr>
        <w:t xml:space="preserve">; </w:t>
      </w:r>
      <w:r w:rsidR="005165AE" w:rsidRPr="007D4CCC">
        <w:rPr>
          <w:lang w:val="fr-FR"/>
        </w:rPr>
        <w:t xml:space="preserve"> </w:t>
      </w:r>
      <w:r w:rsidRPr="007D4CCC">
        <w:rPr>
          <w:lang w:val="fr-FR"/>
        </w:rPr>
        <w:t>ii)</w:t>
      </w:r>
      <w:r w:rsidR="005165AE" w:rsidRPr="007D4CCC">
        <w:rPr>
          <w:lang w:val="fr-FR"/>
        </w:rPr>
        <w:t> </w:t>
      </w:r>
      <w:r w:rsidR="00C8012C" w:rsidRPr="007D4CCC">
        <w:rPr>
          <w:lang w:val="fr-FR"/>
        </w:rPr>
        <w:t xml:space="preserve">en </w:t>
      </w:r>
      <w:r w:rsidRPr="007D4CCC">
        <w:rPr>
          <w:lang w:val="fr-FR"/>
        </w:rPr>
        <w:t>envisageant la création d</w:t>
      </w:r>
      <w:r w:rsidR="00A25F29">
        <w:rPr>
          <w:lang w:val="fr-FR"/>
        </w:rPr>
        <w:t>’</w:t>
      </w:r>
      <w:r w:rsidRPr="007D4CCC">
        <w:rPr>
          <w:lang w:val="fr-FR"/>
        </w:rPr>
        <w:t>un système complet de contrôle de la qualité des données pour appliquer au même titre des composantes réactives et proactives du système de qualité des données grâce à une approche de qualité à la source et de suivi et d</w:t>
      </w:r>
      <w:r w:rsidR="00A25F29">
        <w:rPr>
          <w:lang w:val="fr-FR"/>
        </w:rPr>
        <w:t>’</w:t>
      </w:r>
      <w:r w:rsidRPr="007D4CCC">
        <w:rPr>
          <w:lang w:val="fr-FR"/>
        </w:rPr>
        <w:t xml:space="preserve">harmonisation; </w:t>
      </w:r>
      <w:r w:rsidR="005165AE" w:rsidRPr="007D4CCC">
        <w:rPr>
          <w:lang w:val="fr-FR"/>
        </w:rPr>
        <w:t xml:space="preserve"> </w:t>
      </w:r>
      <w:r w:rsidRPr="007D4CCC">
        <w:rPr>
          <w:lang w:val="fr-FR"/>
        </w:rPr>
        <w:t>et iii)</w:t>
      </w:r>
      <w:r w:rsidR="005165AE" w:rsidRPr="007D4CCC">
        <w:rPr>
          <w:lang w:val="fr-FR"/>
        </w:rPr>
        <w:t> </w:t>
      </w:r>
      <w:r w:rsidR="00C8012C" w:rsidRPr="007D4CCC">
        <w:rPr>
          <w:lang w:val="fr-FR"/>
        </w:rPr>
        <w:t xml:space="preserve">en </w:t>
      </w:r>
      <w:r w:rsidRPr="007D4CCC">
        <w:rPr>
          <w:lang w:val="fr-FR"/>
        </w:rPr>
        <w:lastRenderedPageBreak/>
        <w:t>s</w:t>
      </w:r>
      <w:r w:rsidR="00A25F29">
        <w:rPr>
          <w:lang w:val="fr-FR"/>
        </w:rPr>
        <w:t>’</w:t>
      </w:r>
      <w:r w:rsidRPr="007D4CCC">
        <w:rPr>
          <w:lang w:val="fr-FR"/>
        </w:rPr>
        <w:t>intéressant à la composante de la qualité de service du programme par la synchronisation et l</w:t>
      </w:r>
      <w:r w:rsidR="00A25F29">
        <w:rPr>
          <w:lang w:val="fr-FR"/>
        </w:rPr>
        <w:t>’</w:t>
      </w:r>
      <w:r w:rsidRPr="007D4CCC">
        <w:rPr>
          <w:lang w:val="fr-FR"/>
        </w:rPr>
        <w:t xml:space="preserve">enrichissement </w:t>
      </w:r>
      <w:r w:rsidR="00C8012C" w:rsidRPr="007D4CCC">
        <w:rPr>
          <w:lang w:val="fr-FR"/>
        </w:rPr>
        <w:t>de l</w:t>
      </w:r>
      <w:r w:rsidR="00A25F29">
        <w:rPr>
          <w:lang w:val="fr-FR"/>
        </w:rPr>
        <w:t>’</w:t>
      </w:r>
      <w:r w:rsidRPr="007D4CCC">
        <w:rPr>
          <w:lang w:val="fr-FR"/>
        </w:rPr>
        <w:t xml:space="preserve">option </w:t>
      </w:r>
      <w:r w:rsidR="005165AE" w:rsidRPr="007D4CCC">
        <w:rPr>
          <w:lang w:val="fr-FR"/>
        </w:rPr>
        <w:t>“</w:t>
      </w:r>
      <w:r w:rsidRPr="007D4CCC">
        <w:rPr>
          <w:lang w:val="fr-FR"/>
        </w:rPr>
        <w:t>Aide</w:t>
      </w:r>
      <w:r w:rsidR="005165AE" w:rsidRPr="007D4CCC">
        <w:rPr>
          <w:lang w:val="fr-FR"/>
        </w:rPr>
        <w:t>”</w:t>
      </w:r>
      <w:r w:rsidR="00C8012C" w:rsidRPr="007D4CCC">
        <w:rPr>
          <w:lang w:val="fr-FR"/>
        </w:rPr>
        <w:t xml:space="preserve"> multilingue des bases de données</w:t>
      </w:r>
      <w:r w:rsidRPr="007D4CCC">
        <w:rPr>
          <w:lang w:val="fr-FR"/>
        </w:rPr>
        <w:t>.</w:t>
      </w:r>
    </w:p>
    <w:p w:rsidR="00C55FF8" w:rsidRPr="007D4CCC" w:rsidRDefault="00C55FF8" w:rsidP="003B5D17">
      <w:pPr>
        <w:pStyle w:val="Heading2"/>
        <w:rPr>
          <w:lang w:val="fr-FR"/>
        </w:rPr>
      </w:pPr>
      <w:r w:rsidRPr="007D4CCC">
        <w:rPr>
          <w:lang w:val="fr-FR"/>
        </w:rPr>
        <w:t>Évaluation de la Division des classifications internationales et des normes</w:t>
      </w:r>
      <w:r w:rsidR="00B84CCD" w:rsidRPr="007D4CCC">
        <w:rPr>
          <w:lang w:val="fr-FR"/>
        </w:rPr>
        <w:t xml:space="preserve"> – </w:t>
      </w:r>
      <w:r w:rsidRPr="007D4CCC">
        <w:rPr>
          <w:lang w:val="fr-FR"/>
        </w:rPr>
        <w:t>Programme</w:t>
      </w:r>
      <w:r w:rsidR="00B65F3C" w:rsidRPr="007D4CCC">
        <w:rPr>
          <w:lang w:val="fr-FR"/>
        </w:rPr>
        <w:t> </w:t>
      </w:r>
      <w:r w:rsidRPr="007D4CCC">
        <w:rPr>
          <w:lang w:val="fr-FR"/>
        </w:rPr>
        <w:t>12</w:t>
      </w:r>
    </w:p>
    <w:p w:rsidR="008122AE" w:rsidRPr="007D4CCC" w:rsidRDefault="008122AE" w:rsidP="008122AE">
      <w:pPr>
        <w:rPr>
          <w:lang w:val="fr-FR"/>
        </w:rPr>
      </w:pPr>
    </w:p>
    <w:p w:rsidR="00C55FF8" w:rsidRPr="007D4CCC" w:rsidRDefault="00C55FF8" w:rsidP="008122AE">
      <w:pPr>
        <w:pStyle w:val="ONUMFS"/>
        <w:rPr>
          <w:lang w:val="fr-FR"/>
        </w:rPr>
      </w:pPr>
      <w:r w:rsidRPr="007D4CCC">
        <w:rPr>
          <w:lang w:val="fr-FR"/>
        </w:rPr>
        <w:t>L</w:t>
      </w:r>
      <w:r w:rsidR="00A25F29">
        <w:rPr>
          <w:lang w:val="fr-FR"/>
        </w:rPr>
        <w:t>’</w:t>
      </w:r>
      <w:r w:rsidRPr="007D4CCC">
        <w:rPr>
          <w:lang w:val="fr-FR"/>
        </w:rPr>
        <w:t>évaluation du programme</w:t>
      </w:r>
      <w:r w:rsidR="00B65F3C" w:rsidRPr="007D4CCC">
        <w:rPr>
          <w:lang w:val="fr-FR"/>
        </w:rPr>
        <w:t> </w:t>
      </w:r>
      <w:r w:rsidRPr="007D4CCC">
        <w:rPr>
          <w:lang w:val="fr-FR"/>
        </w:rPr>
        <w:t xml:space="preserve">12 a été réalisée entre janvier et </w:t>
      </w:r>
      <w:r w:rsidR="00B84CCD" w:rsidRPr="007D4CCC">
        <w:rPr>
          <w:lang w:val="fr-FR"/>
        </w:rPr>
        <w:t>juin 20</w:t>
      </w:r>
      <w:r w:rsidRPr="007D4CCC">
        <w:rPr>
          <w:lang w:val="fr-FR"/>
        </w:rPr>
        <w:t>17.</w:t>
      </w:r>
      <w:r w:rsidR="00345A77" w:rsidRPr="007D4CCC">
        <w:rPr>
          <w:lang w:val="fr-FR"/>
        </w:rPr>
        <w:t xml:space="preserve"> </w:t>
      </w:r>
      <w:r w:rsidR="002B105E" w:rsidRPr="007D4CCC">
        <w:rPr>
          <w:lang w:val="fr-FR"/>
        </w:rPr>
        <w:t xml:space="preserve"> </w:t>
      </w:r>
      <w:r w:rsidRPr="007D4CCC">
        <w:rPr>
          <w:lang w:val="fr-FR"/>
        </w:rPr>
        <w:t>Elle avait pour principal objectif d</w:t>
      </w:r>
      <w:r w:rsidR="00A25F29">
        <w:rPr>
          <w:lang w:val="fr-FR"/>
        </w:rPr>
        <w:t>’</w:t>
      </w:r>
      <w:r w:rsidRPr="007D4CCC">
        <w:rPr>
          <w:lang w:val="fr-FR"/>
        </w:rPr>
        <w:t>évaluer la pertinence, l</w:t>
      </w:r>
      <w:r w:rsidR="00A25F29">
        <w:rPr>
          <w:lang w:val="fr-FR"/>
        </w:rPr>
        <w:t>’</w:t>
      </w:r>
      <w:r w:rsidRPr="007D4CCC">
        <w:rPr>
          <w:lang w:val="fr-FR"/>
        </w:rPr>
        <w:t>efficacité, l</w:t>
      </w:r>
      <w:r w:rsidR="00A25F29">
        <w:rPr>
          <w:lang w:val="fr-FR"/>
        </w:rPr>
        <w:t>’</w:t>
      </w:r>
      <w:r w:rsidRPr="007D4CCC">
        <w:rPr>
          <w:lang w:val="fr-FR"/>
        </w:rPr>
        <w:t>efficience, l</w:t>
      </w:r>
      <w:r w:rsidR="00A25F29">
        <w:rPr>
          <w:lang w:val="fr-FR"/>
        </w:rPr>
        <w:t>’</w:t>
      </w:r>
      <w:r w:rsidRPr="007D4CCC">
        <w:rPr>
          <w:lang w:val="fr-FR"/>
        </w:rPr>
        <w:t>incidence et la viabilité du programme</w:t>
      </w:r>
      <w:r w:rsidR="00B65F3C" w:rsidRPr="007D4CCC">
        <w:rPr>
          <w:lang w:val="fr-FR"/>
        </w:rPr>
        <w:t> </w:t>
      </w:r>
      <w:r w:rsidRPr="007D4CCC">
        <w:rPr>
          <w:lang w:val="fr-FR"/>
        </w:rPr>
        <w:t>12 (Division des classifications internationales et des normes) pour ce qui était de s</w:t>
      </w:r>
      <w:r w:rsidR="00A25F29">
        <w:rPr>
          <w:lang w:val="fr-FR"/>
        </w:rPr>
        <w:t>’</w:t>
      </w:r>
      <w:r w:rsidRPr="007D4CCC">
        <w:rPr>
          <w:lang w:val="fr-FR"/>
        </w:rPr>
        <w:t xml:space="preserve">acquitter de son mandat dans le domaine des classifications et de fournir des </w:t>
      </w:r>
      <w:r w:rsidR="00C13213" w:rsidRPr="007D4CCC">
        <w:rPr>
          <w:lang w:val="fr-FR"/>
        </w:rPr>
        <w:t>éclairages</w:t>
      </w:r>
      <w:r w:rsidRPr="007D4CCC">
        <w:rPr>
          <w:lang w:val="fr-FR"/>
        </w:rPr>
        <w:t xml:space="preserve"> en matière d</w:t>
      </w:r>
      <w:r w:rsidR="00A25F29">
        <w:rPr>
          <w:lang w:val="fr-FR"/>
        </w:rPr>
        <w:t>’</w:t>
      </w:r>
      <w:r w:rsidRPr="007D4CCC">
        <w:rPr>
          <w:lang w:val="fr-FR"/>
        </w:rPr>
        <w:t>évaluation afin d</w:t>
      </w:r>
      <w:r w:rsidR="00A25F29">
        <w:rPr>
          <w:lang w:val="fr-FR"/>
        </w:rPr>
        <w:t>’</w:t>
      </w:r>
      <w:r w:rsidRPr="007D4CCC">
        <w:rPr>
          <w:lang w:val="fr-FR"/>
        </w:rPr>
        <w:t>aider la direction à prendre des décisions en connaissance de cause.</w:t>
      </w:r>
    </w:p>
    <w:p w:rsidR="00C55FF8" w:rsidRPr="007D4CCC" w:rsidRDefault="00C55FF8" w:rsidP="008122AE">
      <w:pPr>
        <w:pStyle w:val="ONUMFS"/>
        <w:rPr>
          <w:lang w:val="fr-FR"/>
        </w:rPr>
      </w:pPr>
      <w:r w:rsidRPr="007D4CCC">
        <w:rPr>
          <w:lang w:val="fr-FR"/>
        </w:rPr>
        <w:t>Les activités de programme répondaient aux besoins et aux priorités de tous les pays bénéficiair</w:t>
      </w:r>
      <w:r w:rsidR="00186C7F" w:rsidRPr="007D4CCC">
        <w:rPr>
          <w:lang w:val="fr-FR"/>
        </w:rPr>
        <w:t>es</w:t>
      </w:r>
      <w:r w:rsidR="00186C7F">
        <w:rPr>
          <w:lang w:val="fr-FR"/>
        </w:rPr>
        <w:t xml:space="preserve">.  </w:t>
      </w:r>
      <w:r w:rsidR="00186C7F" w:rsidRPr="007D4CCC">
        <w:rPr>
          <w:lang w:val="fr-FR"/>
        </w:rPr>
        <w:t>El</w:t>
      </w:r>
      <w:r w:rsidRPr="007D4CCC">
        <w:rPr>
          <w:lang w:val="fr-FR"/>
        </w:rPr>
        <w:t>les contribuaient à atteindre l</w:t>
      </w:r>
      <w:r w:rsidR="00A25F29">
        <w:rPr>
          <w:lang w:val="fr-FR"/>
        </w:rPr>
        <w:t>’</w:t>
      </w:r>
      <w:r w:rsidRPr="007D4CCC">
        <w:rPr>
          <w:lang w:val="fr-FR"/>
        </w:rPr>
        <w:t>objectif stratégique</w:t>
      </w:r>
      <w:r w:rsidR="00B65F3C" w:rsidRPr="007D4CCC">
        <w:rPr>
          <w:lang w:val="fr-FR"/>
        </w:rPr>
        <w:t> </w:t>
      </w:r>
      <w:r w:rsidRPr="007D4CCC">
        <w:rPr>
          <w:lang w:val="fr-FR"/>
        </w:rPr>
        <w:t xml:space="preserve">IV en créant des </w:t>
      </w:r>
      <w:proofErr w:type="spellStart"/>
      <w:r w:rsidRPr="007D4CCC">
        <w:rPr>
          <w:lang w:val="fr-FR"/>
        </w:rPr>
        <w:t>plateformes</w:t>
      </w:r>
      <w:proofErr w:type="spellEnd"/>
      <w:r w:rsidRPr="007D4CCC">
        <w:rPr>
          <w:lang w:val="fr-FR"/>
        </w:rPr>
        <w:t xml:space="preserve"> de coopération entre les offices de propriété intellectuelle afin de renforcer la coopération internationale technique et volontaire sur les questions de classificati</w:t>
      </w:r>
      <w:r w:rsidR="00186C7F" w:rsidRPr="007D4CCC">
        <w:rPr>
          <w:lang w:val="fr-FR"/>
        </w:rPr>
        <w:t>on</w:t>
      </w:r>
      <w:r w:rsidR="00186C7F">
        <w:rPr>
          <w:lang w:val="fr-FR"/>
        </w:rPr>
        <w:t xml:space="preserve">.  </w:t>
      </w:r>
      <w:r w:rsidR="00186C7F" w:rsidRPr="007D4CCC">
        <w:rPr>
          <w:lang w:val="fr-FR"/>
        </w:rPr>
        <w:t>Le</w:t>
      </w:r>
      <w:r w:rsidR="0041268F" w:rsidRPr="007D4CCC">
        <w:rPr>
          <w:lang w:val="fr-FR"/>
        </w:rPr>
        <w:t xml:space="preserve"> programme traitait généralement les demandes de formation des pays en développement au cas par cas et proposait régulièrement l</w:t>
      </w:r>
      <w:r w:rsidR="009827BB" w:rsidRPr="007D4CCC">
        <w:rPr>
          <w:lang w:val="fr-FR"/>
        </w:rPr>
        <w:t>e</w:t>
      </w:r>
      <w:r w:rsidR="0041268F" w:rsidRPr="007D4CCC">
        <w:rPr>
          <w:lang w:val="fr-FR"/>
        </w:rPr>
        <w:t xml:space="preserve"> </w:t>
      </w:r>
      <w:r w:rsidR="009827BB" w:rsidRPr="007D4CCC">
        <w:rPr>
          <w:lang w:val="fr-FR"/>
        </w:rPr>
        <w:t>modèle statique</w:t>
      </w:r>
      <w:r w:rsidR="0041268F" w:rsidRPr="007D4CCC">
        <w:rPr>
          <w:lang w:val="fr-FR"/>
        </w:rPr>
        <w:t xml:space="preserve"> de formation</w:t>
      </w:r>
      <w:r w:rsidR="009827BB" w:rsidRPr="007D4CCC">
        <w:rPr>
          <w:lang w:val="fr-FR"/>
        </w:rPr>
        <w:t xml:space="preserve"> </w:t>
      </w:r>
      <w:r w:rsidR="00A65A9D">
        <w:rPr>
          <w:lang w:val="fr-FR"/>
        </w:rPr>
        <w:t xml:space="preserve">précédemment </w:t>
      </w:r>
      <w:r w:rsidR="00011BF3" w:rsidRPr="007D4CCC">
        <w:rPr>
          <w:lang w:val="fr-FR"/>
        </w:rPr>
        <w:t>étab</w:t>
      </w:r>
      <w:r w:rsidR="00186C7F" w:rsidRPr="007D4CCC">
        <w:rPr>
          <w:lang w:val="fr-FR"/>
        </w:rPr>
        <w:t>li</w:t>
      </w:r>
      <w:r w:rsidR="00186C7F">
        <w:rPr>
          <w:lang w:val="fr-FR"/>
        </w:rPr>
        <w:t xml:space="preserve">.  </w:t>
      </w:r>
      <w:r w:rsidR="00186C7F" w:rsidRPr="007D4CCC">
        <w:rPr>
          <w:szCs w:val="22"/>
          <w:lang w:val="fr-FR"/>
        </w:rPr>
        <w:t>La</w:t>
      </w:r>
      <w:r w:rsidR="00A01625" w:rsidRPr="007D4CCC">
        <w:rPr>
          <w:szCs w:val="22"/>
          <w:lang w:val="fr-FR"/>
        </w:rPr>
        <w:t xml:space="preserve"> plu</w:t>
      </w:r>
      <w:r w:rsidR="006A1B40" w:rsidRPr="007D4CCC">
        <w:rPr>
          <w:szCs w:val="22"/>
          <w:lang w:val="fr-FR"/>
        </w:rPr>
        <w:t>s</w:t>
      </w:r>
      <w:r w:rsidR="00A01625" w:rsidRPr="007D4CCC">
        <w:rPr>
          <w:szCs w:val="22"/>
          <w:lang w:val="fr-FR"/>
        </w:rPr>
        <w:t xml:space="preserve"> grande partie de son budget </w:t>
      </w:r>
      <w:r w:rsidR="00C13213" w:rsidRPr="007D4CCC">
        <w:rPr>
          <w:szCs w:val="22"/>
          <w:lang w:val="fr-FR"/>
        </w:rPr>
        <w:t xml:space="preserve">était consacrée </w:t>
      </w:r>
      <w:r w:rsidR="00A01625" w:rsidRPr="007D4CCC">
        <w:rPr>
          <w:szCs w:val="22"/>
          <w:lang w:val="fr-FR"/>
        </w:rPr>
        <w:t xml:space="preserve">aux services contractuels destinés à mettre au point et utiliser des outils numériques et </w:t>
      </w:r>
      <w:r w:rsidR="009827BB" w:rsidRPr="007D4CCC">
        <w:rPr>
          <w:szCs w:val="22"/>
          <w:lang w:val="fr-FR"/>
        </w:rPr>
        <w:t>informatiques</w:t>
      </w:r>
      <w:r w:rsidR="00A01625" w:rsidRPr="007D4CCC">
        <w:rPr>
          <w:szCs w:val="22"/>
          <w:lang w:val="fr-FR"/>
        </w:rPr>
        <w:t xml:space="preserve"> pour partager les informations, bien que certains projets anticipés relatifs</w:t>
      </w:r>
      <w:r w:rsidR="00B84CCD" w:rsidRPr="007D4CCC">
        <w:rPr>
          <w:szCs w:val="22"/>
          <w:lang w:val="fr-FR"/>
        </w:rPr>
        <w:t xml:space="preserve"> aux TIC</w:t>
      </w:r>
      <w:r w:rsidR="00A01625" w:rsidRPr="007D4CCC">
        <w:rPr>
          <w:szCs w:val="22"/>
          <w:lang w:val="fr-FR"/>
        </w:rPr>
        <w:t xml:space="preserve"> aient été retardés ou supprimés en raison des ressources limitées.</w:t>
      </w:r>
    </w:p>
    <w:p w:rsidR="00B84CCD" w:rsidRPr="007D4CCC" w:rsidRDefault="006A1B40" w:rsidP="008122AE">
      <w:pPr>
        <w:pStyle w:val="ONUMFS"/>
        <w:rPr>
          <w:lang w:val="fr-FR"/>
        </w:rPr>
      </w:pPr>
      <w:r w:rsidRPr="007D4CCC">
        <w:rPr>
          <w:lang w:val="fr-FR"/>
        </w:rPr>
        <w:t>D</w:t>
      </w:r>
      <w:r w:rsidR="00A25F29">
        <w:rPr>
          <w:lang w:val="fr-FR"/>
        </w:rPr>
        <w:t>’</w:t>
      </w:r>
      <w:r w:rsidRPr="007D4CCC">
        <w:rPr>
          <w:lang w:val="fr-FR"/>
        </w:rPr>
        <w:t>autres améliorations peuvent être apportées</w:t>
      </w:r>
      <w:r w:rsidR="00A25F29">
        <w:rPr>
          <w:lang w:val="fr-FR"/>
        </w:rPr>
        <w:t> :</w:t>
      </w:r>
      <w:r w:rsidRPr="007D4CCC">
        <w:rPr>
          <w:lang w:val="fr-FR"/>
        </w:rPr>
        <w:t xml:space="preserve"> i)</w:t>
      </w:r>
      <w:r w:rsidR="005165AE" w:rsidRPr="007D4CCC">
        <w:rPr>
          <w:lang w:val="fr-FR"/>
        </w:rPr>
        <w:t> </w:t>
      </w:r>
      <w:r w:rsidR="00C13213" w:rsidRPr="007D4CCC">
        <w:rPr>
          <w:lang w:val="fr-FR"/>
        </w:rPr>
        <w:t xml:space="preserve">en </w:t>
      </w:r>
      <w:r w:rsidRPr="007D4CCC">
        <w:rPr>
          <w:lang w:val="fr-FR"/>
        </w:rPr>
        <w:t>prenant</w:t>
      </w:r>
      <w:r w:rsidR="00C13213" w:rsidRPr="007D4CCC">
        <w:rPr>
          <w:lang w:val="fr-FR"/>
        </w:rPr>
        <w:t xml:space="preserve"> des initiatives afin d</w:t>
      </w:r>
      <w:r w:rsidR="00A25F29">
        <w:rPr>
          <w:lang w:val="fr-FR"/>
        </w:rPr>
        <w:t>’</w:t>
      </w:r>
      <w:r w:rsidR="00C13213" w:rsidRPr="007D4CCC">
        <w:rPr>
          <w:lang w:val="fr-FR"/>
        </w:rPr>
        <w:t>étudier la question de la fréquence</w:t>
      </w:r>
      <w:r w:rsidRPr="007D4CCC">
        <w:rPr>
          <w:lang w:val="fr-FR"/>
        </w:rPr>
        <w:t xml:space="preserve"> des session</w:t>
      </w:r>
      <w:r w:rsidR="00C13213" w:rsidRPr="007D4CCC">
        <w:rPr>
          <w:lang w:val="fr-FR"/>
        </w:rPr>
        <w:t>s</w:t>
      </w:r>
      <w:r w:rsidRPr="007D4CCC">
        <w:rPr>
          <w:lang w:val="fr-FR"/>
        </w:rPr>
        <w:t xml:space="preserve"> du Comité d</w:t>
      </w:r>
      <w:r w:rsidR="00A25F29">
        <w:rPr>
          <w:lang w:val="fr-FR"/>
        </w:rPr>
        <w:t>’</w:t>
      </w:r>
      <w:r w:rsidRPr="007D4CCC">
        <w:rPr>
          <w:lang w:val="fr-FR"/>
        </w:rPr>
        <w:t xml:space="preserve">experts pour les classifications de Locarno et de Vienne; </w:t>
      </w:r>
      <w:r w:rsidR="005165AE" w:rsidRPr="007D4CCC">
        <w:rPr>
          <w:lang w:val="fr-FR"/>
        </w:rPr>
        <w:t xml:space="preserve"> </w:t>
      </w:r>
      <w:r w:rsidRPr="007D4CCC">
        <w:rPr>
          <w:lang w:val="fr-FR"/>
        </w:rPr>
        <w:t>ii)</w:t>
      </w:r>
      <w:r w:rsidR="005165AE" w:rsidRPr="007D4CCC">
        <w:rPr>
          <w:lang w:val="fr-FR"/>
        </w:rPr>
        <w:t> </w:t>
      </w:r>
      <w:r w:rsidR="00C13213" w:rsidRPr="007D4CCC">
        <w:rPr>
          <w:lang w:val="fr-FR"/>
        </w:rPr>
        <w:t xml:space="preserve">en </w:t>
      </w:r>
      <w:r w:rsidRPr="007D4CCC">
        <w:rPr>
          <w:lang w:val="fr-FR"/>
        </w:rPr>
        <w:t>participant à l</w:t>
      </w:r>
      <w:r w:rsidR="00A25F29">
        <w:rPr>
          <w:lang w:val="fr-FR"/>
        </w:rPr>
        <w:t>’</w:t>
      </w:r>
      <w:r w:rsidRPr="007D4CCC">
        <w:rPr>
          <w:lang w:val="fr-FR"/>
        </w:rPr>
        <w:t>exercice d</w:t>
      </w:r>
      <w:r w:rsidR="00A25F29">
        <w:rPr>
          <w:lang w:val="fr-FR"/>
        </w:rPr>
        <w:t>’</w:t>
      </w:r>
      <w:r w:rsidRPr="007D4CCC">
        <w:rPr>
          <w:lang w:val="fr-FR"/>
        </w:rPr>
        <w:t>évaluation des besoins en formation prévu</w:t>
      </w:r>
      <w:r w:rsidR="00C04AD0" w:rsidRPr="007D4CCC">
        <w:rPr>
          <w:lang w:val="fr-FR"/>
        </w:rPr>
        <w:t>s</w:t>
      </w:r>
      <w:r w:rsidRPr="007D4CCC">
        <w:rPr>
          <w:lang w:val="fr-FR"/>
        </w:rPr>
        <w:t xml:space="preserve"> </w:t>
      </w:r>
      <w:r w:rsidR="00C04AD0" w:rsidRPr="007D4CCC">
        <w:rPr>
          <w:lang w:val="fr-FR"/>
        </w:rPr>
        <w:t xml:space="preserve">par la mise </w:t>
      </w:r>
      <w:r w:rsidRPr="007D4CCC">
        <w:rPr>
          <w:lang w:val="fr-FR"/>
        </w:rPr>
        <w:t xml:space="preserve">au point </w:t>
      </w:r>
      <w:r w:rsidR="00C04AD0" w:rsidRPr="007D4CCC">
        <w:rPr>
          <w:lang w:val="fr-FR"/>
        </w:rPr>
        <w:t>d</w:t>
      </w:r>
      <w:r w:rsidR="00A25F29">
        <w:rPr>
          <w:lang w:val="fr-FR"/>
        </w:rPr>
        <w:t>’</w:t>
      </w:r>
      <w:r w:rsidRPr="007D4CCC">
        <w:rPr>
          <w:lang w:val="fr-FR"/>
        </w:rPr>
        <w:t xml:space="preserve">un cadre de compétences plus complet; </w:t>
      </w:r>
      <w:r w:rsidR="005165AE" w:rsidRPr="007D4CCC">
        <w:rPr>
          <w:lang w:val="fr-FR"/>
        </w:rPr>
        <w:t xml:space="preserve"> </w:t>
      </w:r>
      <w:r w:rsidRPr="007D4CCC">
        <w:rPr>
          <w:lang w:val="fr-FR"/>
        </w:rPr>
        <w:t>et iii)</w:t>
      </w:r>
      <w:r w:rsidR="005165AE" w:rsidRPr="007D4CCC">
        <w:rPr>
          <w:lang w:val="fr-FR"/>
        </w:rPr>
        <w:t> </w:t>
      </w:r>
      <w:r w:rsidR="00C13213" w:rsidRPr="007D4CCC">
        <w:rPr>
          <w:lang w:val="fr-FR"/>
        </w:rPr>
        <w:t xml:space="preserve">en </w:t>
      </w:r>
      <w:r w:rsidRPr="007D4CCC">
        <w:rPr>
          <w:lang w:val="fr-FR"/>
        </w:rPr>
        <w:t>remodelant les plans du programme en matière de ressources humaines afin de recruter pour la Section des classifications pour les marques et les dessins et modèles en commençant par embaucher un chef de section.</w:t>
      </w:r>
    </w:p>
    <w:p w:rsidR="007D4CCC" w:rsidRPr="007D4CCC" w:rsidRDefault="007D4CCC" w:rsidP="007D4CCC">
      <w:pPr>
        <w:pStyle w:val="Heading1"/>
      </w:pPr>
      <w:bookmarkStart w:id="28" w:name="_Toc488139083"/>
      <w:bookmarkStart w:id="29" w:name="_Toc328920437"/>
      <w:r w:rsidRPr="007D4CCC">
        <w:t>Activités d</w:t>
      </w:r>
      <w:r w:rsidR="00A25F29">
        <w:t>’</w:t>
      </w:r>
      <w:r w:rsidRPr="007D4CCC">
        <w:t>enquête</w:t>
      </w:r>
      <w:bookmarkEnd w:id="28"/>
    </w:p>
    <w:p w:rsidR="007D4CCC" w:rsidRDefault="007D4CCC" w:rsidP="007D4CCC">
      <w:pPr>
        <w:pStyle w:val="Heading2"/>
      </w:pPr>
      <w:r w:rsidRPr="007D4CCC">
        <w:t>Aperçu des dossiers traités</w:t>
      </w:r>
    </w:p>
    <w:p w:rsidR="007D4CCC" w:rsidRPr="007D4CCC" w:rsidRDefault="007D4CCC" w:rsidP="007D4CCC"/>
    <w:p w:rsidR="007D4CCC" w:rsidRPr="007D4CCC" w:rsidRDefault="007D4CCC" w:rsidP="007D4CCC">
      <w:pPr>
        <w:pStyle w:val="ONUMFS"/>
      </w:pPr>
      <w:r w:rsidRPr="007D4CCC">
        <w:t>Au cours de la période considérée, 24 affaires nouvelles ont été enregistrées et 27 ont été clôturé</w:t>
      </w:r>
      <w:r w:rsidR="00186C7F" w:rsidRPr="007D4CCC">
        <w:t>es</w:t>
      </w:r>
      <w:r w:rsidR="00186C7F">
        <w:t xml:space="preserve">.  </w:t>
      </w:r>
      <w:r w:rsidR="00186C7F" w:rsidRPr="007D4CCC">
        <w:t>Au</w:t>
      </w:r>
      <w:r w:rsidRPr="007D4CCC">
        <w:t xml:space="preserve"> 30 juin 2017, 14 dossiers étaient en cours d</w:t>
      </w:r>
      <w:r w:rsidR="00A25F29">
        <w:t>’</w:t>
      </w:r>
      <w:r w:rsidRPr="007D4CCC">
        <w:t>enquête, dont un au stade de l</w:t>
      </w:r>
      <w:r w:rsidR="00A25F29">
        <w:t>’</w:t>
      </w:r>
      <w:r w:rsidRPr="007D4CCC">
        <w:t>évaluation préliminaire, huit au stade de l</w:t>
      </w:r>
      <w:r w:rsidR="00A25F29">
        <w:t>’</w:t>
      </w:r>
      <w:r w:rsidRPr="007D4CCC">
        <w:t>enquête complète et cinq en suspens du fait de l</w:t>
      </w:r>
      <w:r w:rsidR="00A25F29">
        <w:t>’</w:t>
      </w:r>
      <w:r w:rsidRPr="007D4CCC">
        <w:t>absence prolongée d</w:t>
      </w:r>
      <w:r w:rsidR="00A25F29">
        <w:t>’</w:t>
      </w:r>
      <w:r w:rsidRPr="007D4CCC">
        <w:t>un fonctionnaire concerné ou d</w:t>
      </w:r>
      <w:r w:rsidR="00A25F29">
        <w:t>’</w:t>
      </w:r>
      <w:r w:rsidRPr="007D4CCC">
        <w:t>une procédure en cours par une autre enti</w:t>
      </w:r>
      <w:r w:rsidR="00186C7F" w:rsidRPr="007D4CCC">
        <w:t>té</w:t>
      </w:r>
      <w:r w:rsidR="00186C7F">
        <w:t xml:space="preserve">.  </w:t>
      </w:r>
      <w:r w:rsidR="00186C7F" w:rsidRPr="007D4CCC">
        <w:t>Pa</w:t>
      </w:r>
      <w:r w:rsidRPr="007D4CCC">
        <w:t xml:space="preserve">rmi les affaires en cours, huit ont été ouvertes en 2017, cinq en 2016 et une en 2014.  Au 30 juin 2017, </w:t>
      </w:r>
      <w:r w:rsidR="00A65A9D">
        <w:t xml:space="preserve">la durée </w:t>
      </w:r>
      <w:r w:rsidRPr="007D4CCC">
        <w:t>moyen</w:t>
      </w:r>
      <w:r w:rsidR="00A65A9D">
        <w:t>ne des enquêtes</w:t>
      </w:r>
      <w:r w:rsidRPr="007D4CCC">
        <w:t xml:space="preserve"> était de 6,3 mois.</w:t>
      </w:r>
    </w:p>
    <w:p w:rsidR="007D4CCC" w:rsidRPr="007D4CCC" w:rsidRDefault="007D4CCC" w:rsidP="007D4CCC">
      <w:pPr>
        <w:pStyle w:val="Heading6"/>
      </w:pPr>
      <w:r w:rsidRPr="007D4CCC">
        <w:lastRenderedPageBreak/>
        <w:t>Diagramme 1 – Analyse comparée des enquêtes – période du 30 juin 2014 au 30 juin 2017</w:t>
      </w:r>
    </w:p>
    <w:p w:rsidR="007D4CCC" w:rsidRPr="007D4CCC" w:rsidRDefault="007D4CCC" w:rsidP="007D4CCC">
      <w:pPr>
        <w:pStyle w:val="ONUMFS"/>
        <w:numPr>
          <w:ilvl w:val="0"/>
          <w:numId w:val="0"/>
        </w:numPr>
        <w:jc w:val="center"/>
      </w:pPr>
      <w:r w:rsidRPr="007D4CCC">
        <w:rPr>
          <w:noProof/>
          <w:lang w:val="fr-FR" w:eastAsia="fr-FR"/>
        </w:rPr>
        <w:drawing>
          <wp:inline distT="0" distB="0" distL="0" distR="0" wp14:anchorId="69C93667" wp14:editId="673903E1">
            <wp:extent cx="5940425" cy="3306158"/>
            <wp:effectExtent l="0" t="0" r="317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306158"/>
                    </a:xfrm>
                    <a:prstGeom prst="rect">
                      <a:avLst/>
                    </a:prstGeom>
                    <a:noFill/>
                    <a:ln>
                      <a:noFill/>
                    </a:ln>
                  </pic:spPr>
                </pic:pic>
              </a:graphicData>
            </a:graphic>
          </wp:inline>
        </w:drawing>
      </w:r>
    </w:p>
    <w:p w:rsidR="007D4CCC" w:rsidRPr="007D4CCC" w:rsidRDefault="007D4CCC" w:rsidP="007D4CCC">
      <w:pPr>
        <w:pStyle w:val="ONUMFS"/>
      </w:pPr>
      <w:r w:rsidRPr="007D4CCC">
        <w:t>Parmi les affaires ouvertes durant la période considérée, quatre ont été transmises à l</w:t>
      </w:r>
      <w:r w:rsidR="00A25F29">
        <w:t>’</w:t>
      </w:r>
      <w:proofErr w:type="spellStart"/>
      <w:r w:rsidRPr="007D4CCC">
        <w:t>OCIS</w:t>
      </w:r>
      <w:proofErr w:type="spellEnd"/>
      <w:r w:rsidRPr="007D4CCC">
        <w:t xml:space="preserve"> en vue de recueillir son avis, conformément aux dispositions applicables de la Charte de la supervision interne</w:t>
      </w:r>
      <w:r w:rsidRPr="007D4CCC">
        <w:rPr>
          <w:rStyle w:val="FootnoteReference"/>
        </w:rPr>
        <w:footnoteReference w:id="6"/>
      </w:r>
      <w:r w:rsidRPr="007D4CCC">
        <w:t>.</w:t>
      </w:r>
    </w:p>
    <w:p w:rsidR="007D4CCC" w:rsidRDefault="007D4CCC" w:rsidP="007D4CCC">
      <w:pPr>
        <w:pStyle w:val="Heading2"/>
      </w:pPr>
      <w:r w:rsidRPr="007D4CCC">
        <w:t>Résultats des activités d</w:t>
      </w:r>
      <w:r w:rsidR="00A25F29">
        <w:t>’</w:t>
      </w:r>
      <w:r w:rsidRPr="007D4CCC">
        <w:t>enquête</w:t>
      </w:r>
    </w:p>
    <w:p w:rsidR="007D4CCC" w:rsidRPr="007D4CCC" w:rsidRDefault="007D4CCC" w:rsidP="007D4CCC"/>
    <w:p w:rsidR="007D4CCC" w:rsidRPr="007D4CCC" w:rsidRDefault="007D4CCC" w:rsidP="007D4CCC">
      <w:pPr>
        <w:pStyle w:val="ONUMFS"/>
      </w:pPr>
      <w:r w:rsidRPr="007D4CCC">
        <w:t>Conformément à la Charte de la supervision interne, le rapport annuel contient une description des investigations sur les cas considérés comme fondés, ainsi que de leur iss</w:t>
      </w:r>
      <w:r w:rsidR="00186C7F" w:rsidRPr="007D4CCC">
        <w:t>ue</w:t>
      </w:r>
      <w:r w:rsidR="00186C7F">
        <w:t xml:space="preserve">.  </w:t>
      </w:r>
      <w:r w:rsidR="00186C7F" w:rsidRPr="007D4CCC">
        <w:t>Da</w:t>
      </w:r>
      <w:r w:rsidRPr="007D4CCC">
        <w:t>ns cinq des affaires ayant fait l</w:t>
      </w:r>
      <w:r w:rsidR="00A25F29">
        <w:t>’</w:t>
      </w:r>
      <w:r w:rsidRPr="007D4CCC">
        <w:t>objet d</w:t>
      </w:r>
      <w:r w:rsidR="00A25F29">
        <w:t>’</w:t>
      </w:r>
      <w:r w:rsidRPr="007D4CCC">
        <w:t>une enquête, la </w:t>
      </w:r>
      <w:proofErr w:type="spellStart"/>
      <w:r w:rsidRPr="007D4CCC">
        <w:t>DSI</w:t>
      </w:r>
      <w:proofErr w:type="spellEnd"/>
      <w:r w:rsidRPr="007D4CCC">
        <w:t xml:space="preserve"> a jugé les allégations fondées et a recommandé d</w:t>
      </w:r>
      <w:r w:rsidR="00A25F29">
        <w:t>’</w:t>
      </w:r>
      <w:r w:rsidRPr="007D4CCC">
        <w:t>intenter une procédure disciplinaire à l</w:t>
      </w:r>
      <w:r w:rsidR="00A25F29">
        <w:t>’</w:t>
      </w:r>
      <w:r w:rsidRPr="007D4CCC">
        <w:t>encontre d</w:t>
      </w:r>
      <w:r w:rsidR="00A25F29">
        <w:t>’</w:t>
      </w:r>
      <w:r w:rsidRPr="007D4CCC">
        <w:t>un fonctionnai</w:t>
      </w:r>
      <w:r w:rsidR="00186C7F" w:rsidRPr="007D4CCC">
        <w:t>re</w:t>
      </w:r>
      <w:r w:rsidR="00186C7F">
        <w:t xml:space="preserve">.  </w:t>
      </w:r>
      <w:r w:rsidR="00186C7F" w:rsidRPr="007D4CCC">
        <w:t>Pl</w:t>
      </w:r>
      <w:r w:rsidRPr="007D4CCC">
        <w:t>us précisément</w:t>
      </w:r>
      <w:r w:rsidR="00A25F29">
        <w:t> :</w:t>
      </w:r>
    </w:p>
    <w:p w:rsidR="007D4CCC" w:rsidRPr="007D4CCC" w:rsidRDefault="007D4CCC" w:rsidP="007D4CCC">
      <w:pPr>
        <w:pStyle w:val="ONUMFS"/>
        <w:numPr>
          <w:ilvl w:val="1"/>
          <w:numId w:val="43"/>
        </w:numPr>
      </w:pPr>
      <w:r w:rsidRPr="007D4CCC">
        <w:t>une affaire a abouti au renvoi du fonctionnaire;</w:t>
      </w:r>
    </w:p>
    <w:p w:rsidR="007D4CCC" w:rsidRPr="007D4CCC" w:rsidRDefault="007D4CCC" w:rsidP="007D4CCC">
      <w:pPr>
        <w:pStyle w:val="ONUMFS"/>
        <w:numPr>
          <w:ilvl w:val="1"/>
          <w:numId w:val="43"/>
        </w:numPr>
      </w:pPr>
      <w:r w:rsidRPr="007D4CCC">
        <w:t>dans une affaire, le fonctionnaire intéressé a quitté l</w:t>
      </w:r>
      <w:r w:rsidR="00A25F29">
        <w:t>’</w:t>
      </w:r>
      <w:r w:rsidRPr="007D4CCC">
        <w:t>Organisation avant qu</w:t>
      </w:r>
      <w:r w:rsidR="00A25F29">
        <w:t>’</w:t>
      </w:r>
      <w:r w:rsidRPr="007D4CCC">
        <w:t>une procédure disciplinaire puisse être intentée;  et</w:t>
      </w:r>
    </w:p>
    <w:p w:rsidR="007D4CCC" w:rsidRPr="007D4CCC" w:rsidRDefault="007D4CCC" w:rsidP="007D4CCC">
      <w:pPr>
        <w:pStyle w:val="ONUMFS"/>
        <w:numPr>
          <w:ilvl w:val="1"/>
          <w:numId w:val="43"/>
        </w:numPr>
      </w:pPr>
      <w:r w:rsidRPr="007D4CCC">
        <w:t>dans trois affaires, la direction n</w:t>
      </w:r>
      <w:r w:rsidR="00A25F29">
        <w:t>’</w:t>
      </w:r>
      <w:r w:rsidRPr="007D4CCC">
        <w:t>a pas encore rendu sa décision définitive au 30 juin 2017.</w:t>
      </w:r>
    </w:p>
    <w:p w:rsidR="007D4CCC" w:rsidRPr="007D4CCC" w:rsidRDefault="007D4CCC" w:rsidP="007D4CCC">
      <w:pPr>
        <w:pStyle w:val="ONUMFS"/>
      </w:pPr>
      <w:r w:rsidRPr="007D4CCC">
        <w:t>Par ailleurs, les activités d</w:t>
      </w:r>
      <w:r w:rsidR="00A25F29">
        <w:t>’</w:t>
      </w:r>
      <w:r w:rsidRPr="007D4CCC">
        <w:t>enquête menées au cours de la période considérée ont amené la </w:t>
      </w:r>
      <w:proofErr w:type="spellStart"/>
      <w:r w:rsidRPr="007D4CCC">
        <w:t>DSI</w:t>
      </w:r>
      <w:proofErr w:type="spellEnd"/>
      <w:r w:rsidRPr="007D4CCC">
        <w:t xml:space="preserve"> à tirer un certain nombre d</w:t>
      </w:r>
      <w:r w:rsidR="00A25F29">
        <w:t>’</w:t>
      </w:r>
      <w:r w:rsidRPr="007D4CCC">
        <w:t>enseignemen</w:t>
      </w:r>
      <w:r w:rsidR="00186C7F" w:rsidRPr="007D4CCC">
        <w:t>ts</w:t>
      </w:r>
      <w:r w:rsidR="00186C7F">
        <w:t xml:space="preserve">.  </w:t>
      </w:r>
      <w:r w:rsidR="00186C7F" w:rsidRPr="007D4CCC">
        <w:t>En</w:t>
      </w:r>
      <w:r w:rsidRPr="007D4CCC">
        <w:t xml:space="preserve"> particulier, trois rapports sur la gestion ont été établis, contenant des recommandations portant sur</w:t>
      </w:r>
      <w:r w:rsidR="00A25F29">
        <w:t> </w:t>
      </w:r>
      <w:proofErr w:type="gramStart"/>
      <w:r w:rsidR="00A25F29">
        <w:t>:</w:t>
      </w:r>
      <w:r w:rsidRPr="007D4CCC">
        <w:t xml:space="preserve"> i</w:t>
      </w:r>
      <w:proofErr w:type="gramEnd"/>
      <w:r w:rsidRPr="007D4CCC">
        <w:t>) la vérification des prestations dues au personnel;  ii) la réaffectation des fonctionnaires dont les compétences n</w:t>
      </w:r>
      <w:r w:rsidR="00A25F29">
        <w:t>’</w:t>
      </w:r>
      <w:r w:rsidRPr="007D4CCC">
        <w:t>ont pas répondu aux exigences de leur fonction;  et iii) la clarification des qualifications académiques requises dans les avis de vacance d</w:t>
      </w:r>
      <w:r w:rsidR="00A25F29">
        <w:t>’</w:t>
      </w:r>
      <w:r w:rsidRPr="007D4CCC">
        <w:t>emploi.</w:t>
      </w:r>
    </w:p>
    <w:p w:rsidR="007D4CCC" w:rsidRPr="007D4CCC" w:rsidRDefault="007D4CCC" w:rsidP="007D4CCC">
      <w:pPr>
        <w:pStyle w:val="ONUMFS"/>
      </w:pPr>
      <w:r w:rsidRPr="007D4CCC">
        <w:t>Une analyse comparée des affaires enregistrées pendant la période allant du</w:t>
      </w:r>
      <w:r w:rsidR="00A25F29">
        <w:t xml:space="preserve"> 1</w:t>
      </w:r>
      <w:r w:rsidR="00A25F29" w:rsidRPr="00A25F29">
        <w:rPr>
          <w:vertAlign w:val="superscript"/>
        </w:rPr>
        <w:t>er</w:t>
      </w:r>
      <w:r w:rsidR="00A25F29">
        <w:t> </w:t>
      </w:r>
      <w:r w:rsidRPr="007D4CCC">
        <w:t>juillet 2014 au 30 juin 2017 est présentée dans le tableau ci</w:t>
      </w:r>
      <w:r w:rsidR="00F77457">
        <w:noBreakHyphen/>
      </w:r>
      <w:r w:rsidRPr="007D4CCC">
        <w:t>dessous</w:t>
      </w:r>
      <w:r w:rsidR="00A25F29">
        <w:t> :</w:t>
      </w:r>
    </w:p>
    <w:p w:rsidR="007D4CCC" w:rsidRPr="007D4CCC" w:rsidRDefault="007D4CCC" w:rsidP="007D4CCC">
      <w:pPr>
        <w:pStyle w:val="Heading6"/>
      </w:pPr>
      <w:r w:rsidRPr="007D4CCC">
        <w:lastRenderedPageBreak/>
        <w:t>Tableau 1 – Analyse des plaintes reçues entre le</w:t>
      </w:r>
      <w:r w:rsidR="00A25F29">
        <w:t xml:space="preserve"> 1</w:t>
      </w:r>
      <w:r w:rsidR="00A25F29" w:rsidRPr="00A25F29">
        <w:rPr>
          <w:vertAlign w:val="superscript"/>
        </w:rPr>
        <w:t>er</w:t>
      </w:r>
      <w:r w:rsidR="00A25F29">
        <w:t> </w:t>
      </w:r>
      <w:r w:rsidRPr="007D4CCC">
        <w:t>juillet 2014 et le 30 juin 2017</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548"/>
        <w:gridCol w:w="283"/>
        <w:gridCol w:w="671"/>
        <w:gridCol w:w="283"/>
        <w:gridCol w:w="671"/>
        <w:gridCol w:w="283"/>
        <w:gridCol w:w="673"/>
      </w:tblGrid>
      <w:tr w:rsidR="007D4CCC" w:rsidRPr="007D4CCC" w:rsidTr="007D4CCC">
        <w:trPr>
          <w:cantSplit/>
        </w:trPr>
        <w:tc>
          <w:tcPr>
            <w:tcW w:w="6547" w:type="dxa"/>
            <w:tcBorders>
              <w:top w:val="nil"/>
              <w:left w:val="nil"/>
              <w:bottom w:val="single" w:sz="4" w:space="0" w:color="000000"/>
              <w:right w:val="single" w:sz="4" w:space="0" w:color="000000"/>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 </w:t>
            </w:r>
          </w:p>
        </w:tc>
        <w:tc>
          <w:tcPr>
            <w:tcW w:w="95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D4CCC" w:rsidRPr="007D4CCC" w:rsidRDefault="007D4CCC" w:rsidP="007D4CCC">
            <w:pPr>
              <w:jc w:val="center"/>
              <w:rPr>
                <w:rFonts w:eastAsia="Times New Roman"/>
                <w:b/>
                <w:bCs/>
                <w:sz w:val="16"/>
                <w:szCs w:val="16"/>
                <w:lang w:val="fr-FR" w:eastAsia="fr-FR"/>
              </w:rPr>
            </w:pPr>
            <w:r w:rsidRPr="007D4CCC">
              <w:rPr>
                <w:rFonts w:eastAsia="Times New Roman"/>
                <w:b/>
                <w:bCs/>
                <w:sz w:val="16"/>
                <w:szCs w:val="16"/>
                <w:lang w:val="fr-FR" w:eastAsia="fr-FR"/>
              </w:rPr>
              <w:t>2014</w:t>
            </w:r>
            <w:r w:rsidR="00F77457">
              <w:rPr>
                <w:rFonts w:eastAsia="Times New Roman"/>
                <w:b/>
                <w:bCs/>
                <w:sz w:val="16"/>
                <w:szCs w:val="16"/>
                <w:lang w:val="fr-FR" w:eastAsia="fr-FR"/>
              </w:rPr>
              <w:noBreakHyphen/>
            </w:r>
            <w:r w:rsidRPr="007D4CCC">
              <w:rPr>
                <w:rFonts w:eastAsia="Times New Roman"/>
                <w:b/>
                <w:bCs/>
                <w:sz w:val="16"/>
                <w:szCs w:val="16"/>
                <w:lang w:val="fr-FR" w:eastAsia="fr-FR"/>
              </w:rPr>
              <w:t>2015</w:t>
            </w:r>
          </w:p>
        </w:tc>
        <w:tc>
          <w:tcPr>
            <w:tcW w:w="954" w:type="dxa"/>
            <w:gridSpan w:val="2"/>
            <w:tcBorders>
              <w:top w:val="single" w:sz="4" w:space="0" w:color="000000"/>
              <w:left w:val="nil"/>
              <w:bottom w:val="single" w:sz="4" w:space="0" w:color="000000"/>
              <w:right w:val="nil"/>
            </w:tcBorders>
            <w:shd w:val="clear" w:color="auto" w:fill="auto"/>
            <w:noWrap/>
            <w:vAlign w:val="center"/>
            <w:hideMark/>
          </w:tcPr>
          <w:p w:rsidR="007D4CCC" w:rsidRPr="007D4CCC" w:rsidRDefault="007D4CCC" w:rsidP="007D4CCC">
            <w:pPr>
              <w:jc w:val="center"/>
              <w:rPr>
                <w:rFonts w:eastAsia="Times New Roman"/>
                <w:b/>
                <w:bCs/>
                <w:sz w:val="16"/>
                <w:szCs w:val="16"/>
                <w:lang w:val="fr-FR" w:eastAsia="fr-FR"/>
              </w:rPr>
            </w:pPr>
            <w:r w:rsidRPr="007D4CCC">
              <w:rPr>
                <w:rFonts w:eastAsia="Times New Roman"/>
                <w:b/>
                <w:bCs/>
                <w:sz w:val="16"/>
                <w:szCs w:val="16"/>
                <w:lang w:val="fr-FR" w:eastAsia="fr-FR"/>
              </w:rPr>
              <w:t>2015</w:t>
            </w:r>
            <w:r w:rsidR="00F77457">
              <w:rPr>
                <w:rFonts w:eastAsia="Times New Roman"/>
                <w:b/>
                <w:bCs/>
                <w:sz w:val="16"/>
                <w:szCs w:val="16"/>
                <w:lang w:val="fr-FR" w:eastAsia="fr-FR"/>
              </w:rPr>
              <w:noBreakHyphen/>
            </w:r>
            <w:r w:rsidRPr="007D4CCC">
              <w:rPr>
                <w:rFonts w:eastAsia="Times New Roman"/>
                <w:b/>
                <w:bCs/>
                <w:sz w:val="16"/>
                <w:szCs w:val="16"/>
                <w:lang w:val="fr-FR" w:eastAsia="fr-FR"/>
              </w:rPr>
              <w:t>2016</w:t>
            </w:r>
          </w:p>
        </w:tc>
        <w:tc>
          <w:tcPr>
            <w:tcW w:w="956"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D4CCC" w:rsidRPr="007D4CCC" w:rsidRDefault="007D4CCC" w:rsidP="007D4CCC">
            <w:pPr>
              <w:jc w:val="center"/>
              <w:rPr>
                <w:rFonts w:eastAsia="Times New Roman"/>
                <w:b/>
                <w:bCs/>
                <w:sz w:val="16"/>
                <w:szCs w:val="16"/>
                <w:lang w:val="fr-FR" w:eastAsia="fr-FR"/>
              </w:rPr>
            </w:pPr>
            <w:r w:rsidRPr="007D4CCC">
              <w:rPr>
                <w:rFonts w:eastAsia="Times New Roman"/>
                <w:b/>
                <w:bCs/>
                <w:sz w:val="16"/>
                <w:szCs w:val="16"/>
                <w:lang w:val="fr-FR" w:eastAsia="fr-FR"/>
              </w:rPr>
              <w:t>2016</w:t>
            </w:r>
            <w:r w:rsidR="00F77457">
              <w:rPr>
                <w:rFonts w:eastAsia="Times New Roman"/>
                <w:b/>
                <w:bCs/>
                <w:sz w:val="16"/>
                <w:szCs w:val="16"/>
                <w:lang w:val="fr-FR" w:eastAsia="fr-FR"/>
              </w:rPr>
              <w:noBreakHyphen/>
            </w:r>
            <w:r w:rsidRPr="007D4CCC">
              <w:rPr>
                <w:rFonts w:eastAsia="Times New Roman"/>
                <w:b/>
                <w:bCs/>
                <w:sz w:val="16"/>
                <w:szCs w:val="16"/>
                <w:lang w:val="fr-FR" w:eastAsia="fr-FR"/>
              </w:rPr>
              <w:t>2017</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Abus concernant les horaires de travail</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5</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(20%)</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3</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(10%)</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3</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(13%)</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Activités non autorisées en dehors du Bureau international</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(3%)</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3</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(13%)</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Insubordination ou autre comportement inapproprié</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(4%)</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3</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(10%)</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5</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(21%)</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Autre manquement aux normes de conduite requises des fonctionnaires internationaux</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(8%)</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(3%)</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(8%)</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Harcèlement (non sexuel)/discrimination</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5</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(20%)</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4</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(13%)</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(8%)</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Irrégularités dans la passation de marchés</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(6%)</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(4%)</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Violation de la confidentialité</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(8%)</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4</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(13%)</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(8%)</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Irrégularités commises par un candidat au cours de la procédure de recrutement</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4</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(16%)</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(3%)</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Conflit d</w:t>
            </w:r>
            <w:r w:rsidR="00A25F29">
              <w:rPr>
                <w:rFonts w:eastAsia="Times New Roman"/>
                <w:sz w:val="16"/>
                <w:szCs w:val="16"/>
                <w:lang w:val="fr-FR" w:eastAsia="fr-FR"/>
              </w:rPr>
              <w:t>’</w:t>
            </w:r>
            <w:r w:rsidRPr="007D4CCC">
              <w:rPr>
                <w:rFonts w:eastAsia="Times New Roman"/>
                <w:sz w:val="16"/>
                <w:szCs w:val="16"/>
                <w:lang w:val="fr-FR" w:eastAsia="fr-FR"/>
              </w:rPr>
              <w:t>intérêts</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(3%)</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Utilisation abusive des fonds ou des actifs de l</w:t>
            </w:r>
            <w:r w:rsidR="00A25F29">
              <w:rPr>
                <w:rFonts w:eastAsia="Times New Roman"/>
                <w:sz w:val="16"/>
                <w:szCs w:val="16"/>
                <w:lang w:val="fr-FR" w:eastAsia="fr-FR"/>
              </w:rPr>
              <w:t>’</w:t>
            </w:r>
            <w:r w:rsidRPr="007D4CCC">
              <w:rPr>
                <w:rFonts w:eastAsia="Times New Roman"/>
                <w:sz w:val="16"/>
                <w:szCs w:val="16"/>
                <w:lang w:val="fr-FR" w:eastAsia="fr-FR"/>
              </w:rPr>
              <w:t>OMPI</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(4%)</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(3%)</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Représailles</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(4%)</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Harcèlement sexuel</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(4%)</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Irrégularités commises lors du recrutement</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(6%)</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Négligence professionnelle, obstruction aux activités de l</w:t>
            </w:r>
            <w:r w:rsidR="00A25F29">
              <w:rPr>
                <w:rFonts w:eastAsia="Times New Roman"/>
                <w:sz w:val="16"/>
                <w:szCs w:val="16"/>
                <w:lang w:val="fr-FR" w:eastAsia="fr-FR"/>
              </w:rPr>
              <w:t>’</w:t>
            </w:r>
            <w:r w:rsidRPr="007D4CCC">
              <w:rPr>
                <w:rFonts w:eastAsia="Times New Roman"/>
                <w:sz w:val="16"/>
                <w:szCs w:val="16"/>
                <w:lang w:val="fr-FR" w:eastAsia="fr-FR"/>
              </w:rPr>
              <w:t>OMPI</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(6%)</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(4%)</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Irrégularité commise par un fournisseur ou une autre partie externe</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(4%)</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(3%)</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(8%)</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Déclarations non autorisées</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(3%)</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1</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(4%)</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Abus de position ou de statut</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(6%)</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 </w:t>
            </w:r>
          </w:p>
        </w:tc>
      </w:tr>
      <w:tr w:rsidR="007D4CCC" w:rsidRPr="007D4CCC" w:rsidTr="007D4CCC">
        <w:trPr>
          <w:cantSplit/>
        </w:trPr>
        <w:tc>
          <w:tcPr>
            <w:tcW w:w="6547" w:type="dxa"/>
            <w:tcBorders>
              <w:top w:val="nil"/>
              <w:left w:val="single" w:sz="4" w:space="0" w:color="000000"/>
              <w:bottom w:val="nil"/>
              <w:right w:val="nil"/>
            </w:tcBorders>
            <w:shd w:val="clear" w:color="auto" w:fill="auto"/>
            <w:noWrap/>
            <w:vAlign w:val="center"/>
            <w:hideMark/>
          </w:tcPr>
          <w:p w:rsidR="007D4CCC" w:rsidRPr="007D4CCC" w:rsidRDefault="007D4CCC" w:rsidP="007D4CCC">
            <w:pPr>
              <w:rPr>
                <w:rFonts w:eastAsia="Times New Roman"/>
                <w:sz w:val="16"/>
                <w:szCs w:val="16"/>
                <w:lang w:val="fr-FR" w:eastAsia="fr-FR"/>
              </w:rPr>
            </w:pPr>
            <w:r w:rsidRPr="007D4CCC">
              <w:rPr>
                <w:rFonts w:eastAsia="Times New Roman"/>
                <w:sz w:val="16"/>
                <w:szCs w:val="16"/>
                <w:lang w:val="fr-FR" w:eastAsia="fr-FR"/>
              </w:rPr>
              <w:t>Fraude ou abus en relation avec des prestations ou des droits</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(8%)</w:t>
            </w:r>
          </w:p>
        </w:tc>
        <w:tc>
          <w:tcPr>
            <w:tcW w:w="283" w:type="dxa"/>
            <w:tcBorders>
              <w:top w:val="nil"/>
              <w:left w:val="single" w:sz="4" w:space="0" w:color="000000"/>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71" w:type="dxa"/>
            <w:tcBorders>
              <w:top w:val="nil"/>
              <w:left w:val="nil"/>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(6%)</w:t>
            </w:r>
          </w:p>
        </w:tc>
        <w:tc>
          <w:tcPr>
            <w:tcW w:w="283" w:type="dxa"/>
            <w:tcBorders>
              <w:top w:val="nil"/>
              <w:left w:val="single" w:sz="4" w:space="0" w:color="auto"/>
              <w:bottom w:val="nil"/>
              <w:right w:val="nil"/>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2</w:t>
            </w:r>
          </w:p>
        </w:tc>
        <w:tc>
          <w:tcPr>
            <w:tcW w:w="669" w:type="dxa"/>
            <w:tcBorders>
              <w:top w:val="nil"/>
              <w:left w:val="nil"/>
              <w:bottom w:val="nil"/>
              <w:right w:val="single" w:sz="4" w:space="0" w:color="auto"/>
            </w:tcBorders>
            <w:shd w:val="clear" w:color="auto" w:fill="auto"/>
            <w:noWrap/>
            <w:vAlign w:val="bottom"/>
            <w:hideMark/>
          </w:tcPr>
          <w:p w:rsidR="007D4CCC" w:rsidRPr="007D4CCC" w:rsidRDefault="007D4CCC" w:rsidP="007D4CCC">
            <w:pPr>
              <w:jc w:val="right"/>
              <w:rPr>
                <w:rFonts w:eastAsia="Times New Roman"/>
                <w:sz w:val="16"/>
                <w:szCs w:val="16"/>
                <w:lang w:val="fr-FR" w:eastAsia="fr-FR"/>
              </w:rPr>
            </w:pPr>
            <w:r w:rsidRPr="007D4CCC">
              <w:rPr>
                <w:rFonts w:eastAsia="Times New Roman"/>
                <w:sz w:val="16"/>
                <w:szCs w:val="16"/>
                <w:lang w:val="fr-FR" w:eastAsia="fr-FR"/>
              </w:rPr>
              <w:t>(8%)</w:t>
            </w:r>
          </w:p>
        </w:tc>
      </w:tr>
      <w:tr w:rsidR="007D4CCC" w:rsidRPr="007D4CCC" w:rsidTr="007D4CCC">
        <w:trPr>
          <w:cantSplit/>
        </w:trPr>
        <w:tc>
          <w:tcPr>
            <w:tcW w:w="6547" w:type="dxa"/>
            <w:tcBorders>
              <w:top w:val="single" w:sz="4" w:space="0" w:color="000000"/>
              <w:left w:val="single" w:sz="4" w:space="0" w:color="000000"/>
              <w:bottom w:val="single" w:sz="4" w:space="0" w:color="000000"/>
              <w:right w:val="nil"/>
            </w:tcBorders>
            <w:shd w:val="clear" w:color="auto" w:fill="auto"/>
            <w:noWrap/>
            <w:vAlign w:val="center"/>
            <w:hideMark/>
          </w:tcPr>
          <w:p w:rsidR="007D4CCC" w:rsidRPr="007D4CCC" w:rsidRDefault="007D4CCC" w:rsidP="007D4CCC">
            <w:pPr>
              <w:rPr>
                <w:rFonts w:eastAsia="Times New Roman"/>
                <w:b/>
                <w:bCs/>
                <w:sz w:val="16"/>
                <w:szCs w:val="16"/>
                <w:lang w:val="fr-FR" w:eastAsia="fr-FR"/>
              </w:rPr>
            </w:pPr>
            <w:r w:rsidRPr="007D4CCC">
              <w:rPr>
                <w:rFonts w:eastAsia="Times New Roman"/>
                <w:b/>
                <w:bCs/>
                <w:sz w:val="16"/>
                <w:szCs w:val="16"/>
                <w:lang w:val="fr-FR" w:eastAsia="fr-FR"/>
              </w:rPr>
              <w:t>Total</w:t>
            </w:r>
          </w:p>
        </w:tc>
        <w:tc>
          <w:tcPr>
            <w:tcW w:w="283" w:type="dxa"/>
            <w:tcBorders>
              <w:top w:val="single" w:sz="4" w:space="0" w:color="000000"/>
              <w:left w:val="single" w:sz="4" w:space="0" w:color="000000"/>
              <w:bottom w:val="single" w:sz="4" w:space="0" w:color="000000"/>
              <w:right w:val="nil"/>
            </w:tcBorders>
            <w:shd w:val="clear" w:color="auto" w:fill="auto"/>
            <w:noWrap/>
            <w:vAlign w:val="bottom"/>
            <w:hideMark/>
          </w:tcPr>
          <w:p w:rsidR="007D4CCC" w:rsidRPr="007D4CCC" w:rsidRDefault="007D4CCC" w:rsidP="007D4CCC">
            <w:pPr>
              <w:jc w:val="right"/>
              <w:rPr>
                <w:rFonts w:eastAsia="Times New Roman"/>
                <w:b/>
                <w:bCs/>
                <w:sz w:val="16"/>
                <w:szCs w:val="16"/>
                <w:lang w:val="fr-FR" w:eastAsia="fr-FR"/>
              </w:rPr>
            </w:pPr>
            <w:r w:rsidRPr="007D4CCC">
              <w:rPr>
                <w:rFonts w:eastAsia="Times New Roman"/>
                <w:b/>
                <w:bCs/>
                <w:sz w:val="16"/>
                <w:szCs w:val="16"/>
                <w:lang w:val="fr-FR" w:eastAsia="fr-FR"/>
              </w:rPr>
              <w:t>25</w:t>
            </w:r>
          </w:p>
        </w:tc>
        <w:tc>
          <w:tcPr>
            <w:tcW w:w="671" w:type="dxa"/>
            <w:tcBorders>
              <w:top w:val="single" w:sz="4" w:space="0" w:color="000000"/>
              <w:left w:val="nil"/>
              <w:bottom w:val="single" w:sz="4" w:space="0" w:color="000000"/>
              <w:right w:val="nil"/>
            </w:tcBorders>
            <w:shd w:val="clear" w:color="auto" w:fill="auto"/>
            <w:noWrap/>
            <w:vAlign w:val="bottom"/>
            <w:hideMark/>
          </w:tcPr>
          <w:p w:rsidR="007D4CCC" w:rsidRPr="007D4CCC" w:rsidRDefault="007D4CCC" w:rsidP="007D4CCC">
            <w:pPr>
              <w:jc w:val="right"/>
              <w:rPr>
                <w:rFonts w:eastAsia="Times New Roman"/>
                <w:b/>
                <w:bCs/>
                <w:sz w:val="16"/>
                <w:szCs w:val="16"/>
                <w:lang w:val="fr-FR" w:eastAsia="fr-FR"/>
              </w:rPr>
            </w:pPr>
            <w:r w:rsidRPr="007D4CCC">
              <w:rPr>
                <w:rFonts w:eastAsia="Times New Roman"/>
                <w:b/>
                <w:bCs/>
                <w:sz w:val="16"/>
                <w:szCs w:val="16"/>
                <w:lang w:val="fr-FR" w:eastAsia="fr-FR"/>
              </w:rPr>
              <w:t>(100%)</w:t>
            </w:r>
          </w:p>
        </w:tc>
        <w:tc>
          <w:tcPr>
            <w:tcW w:w="283" w:type="dxa"/>
            <w:tcBorders>
              <w:top w:val="single" w:sz="4" w:space="0" w:color="000000"/>
              <w:left w:val="single" w:sz="4" w:space="0" w:color="000000"/>
              <w:bottom w:val="single" w:sz="4" w:space="0" w:color="000000"/>
              <w:right w:val="nil"/>
            </w:tcBorders>
            <w:shd w:val="clear" w:color="auto" w:fill="auto"/>
            <w:noWrap/>
            <w:vAlign w:val="bottom"/>
            <w:hideMark/>
          </w:tcPr>
          <w:p w:rsidR="007D4CCC" w:rsidRPr="007D4CCC" w:rsidRDefault="007D4CCC" w:rsidP="007D4CCC">
            <w:pPr>
              <w:jc w:val="right"/>
              <w:rPr>
                <w:rFonts w:eastAsia="Times New Roman"/>
                <w:b/>
                <w:bCs/>
                <w:sz w:val="16"/>
                <w:szCs w:val="16"/>
                <w:lang w:val="fr-FR" w:eastAsia="fr-FR"/>
              </w:rPr>
            </w:pPr>
            <w:r w:rsidRPr="007D4CCC">
              <w:rPr>
                <w:rFonts w:eastAsia="Times New Roman"/>
                <w:b/>
                <w:bCs/>
                <w:sz w:val="16"/>
                <w:szCs w:val="16"/>
                <w:lang w:val="fr-FR" w:eastAsia="fr-FR"/>
              </w:rPr>
              <w:t>31</w:t>
            </w:r>
          </w:p>
        </w:tc>
        <w:tc>
          <w:tcPr>
            <w:tcW w:w="671" w:type="dxa"/>
            <w:tcBorders>
              <w:top w:val="single" w:sz="4" w:space="0" w:color="000000"/>
              <w:left w:val="nil"/>
              <w:bottom w:val="single" w:sz="4" w:space="0" w:color="000000"/>
              <w:right w:val="nil"/>
            </w:tcBorders>
            <w:shd w:val="clear" w:color="auto" w:fill="auto"/>
            <w:noWrap/>
            <w:vAlign w:val="bottom"/>
            <w:hideMark/>
          </w:tcPr>
          <w:p w:rsidR="007D4CCC" w:rsidRPr="007D4CCC" w:rsidRDefault="007D4CCC" w:rsidP="007D4CCC">
            <w:pPr>
              <w:jc w:val="right"/>
              <w:rPr>
                <w:rFonts w:eastAsia="Times New Roman"/>
                <w:b/>
                <w:bCs/>
                <w:sz w:val="16"/>
                <w:szCs w:val="16"/>
                <w:lang w:val="fr-FR" w:eastAsia="fr-FR"/>
              </w:rPr>
            </w:pPr>
            <w:r w:rsidRPr="007D4CCC">
              <w:rPr>
                <w:rFonts w:eastAsia="Times New Roman"/>
                <w:b/>
                <w:bCs/>
                <w:sz w:val="16"/>
                <w:szCs w:val="16"/>
                <w:lang w:val="fr-FR" w:eastAsia="fr-FR"/>
              </w:rPr>
              <w:t>(100%)</w:t>
            </w:r>
          </w:p>
        </w:tc>
        <w:tc>
          <w:tcPr>
            <w:tcW w:w="283" w:type="dxa"/>
            <w:tcBorders>
              <w:top w:val="single" w:sz="4" w:space="0" w:color="000000"/>
              <w:left w:val="single" w:sz="4" w:space="0" w:color="auto"/>
              <w:bottom w:val="single" w:sz="4" w:space="0" w:color="auto"/>
              <w:right w:val="nil"/>
            </w:tcBorders>
            <w:shd w:val="clear" w:color="auto" w:fill="auto"/>
            <w:noWrap/>
            <w:vAlign w:val="bottom"/>
            <w:hideMark/>
          </w:tcPr>
          <w:p w:rsidR="007D4CCC" w:rsidRPr="007D4CCC" w:rsidRDefault="007D4CCC" w:rsidP="007D4CCC">
            <w:pPr>
              <w:jc w:val="right"/>
              <w:rPr>
                <w:rFonts w:eastAsia="Times New Roman"/>
                <w:b/>
                <w:bCs/>
                <w:sz w:val="16"/>
                <w:szCs w:val="16"/>
                <w:lang w:val="fr-FR" w:eastAsia="fr-FR"/>
              </w:rPr>
            </w:pPr>
            <w:r w:rsidRPr="007D4CCC">
              <w:rPr>
                <w:rFonts w:eastAsia="Times New Roman"/>
                <w:b/>
                <w:bCs/>
                <w:sz w:val="16"/>
                <w:szCs w:val="16"/>
                <w:lang w:val="fr-FR" w:eastAsia="fr-FR"/>
              </w:rPr>
              <w:t>24</w:t>
            </w:r>
          </w:p>
        </w:tc>
        <w:tc>
          <w:tcPr>
            <w:tcW w:w="669" w:type="dxa"/>
            <w:tcBorders>
              <w:top w:val="single" w:sz="4" w:space="0" w:color="000000"/>
              <w:left w:val="nil"/>
              <w:bottom w:val="single" w:sz="4" w:space="0" w:color="auto"/>
              <w:right w:val="single" w:sz="4" w:space="0" w:color="auto"/>
            </w:tcBorders>
            <w:shd w:val="clear" w:color="auto" w:fill="auto"/>
            <w:noWrap/>
            <w:vAlign w:val="bottom"/>
            <w:hideMark/>
          </w:tcPr>
          <w:p w:rsidR="007D4CCC" w:rsidRPr="007D4CCC" w:rsidRDefault="007D4CCC" w:rsidP="007D4CCC">
            <w:pPr>
              <w:jc w:val="right"/>
              <w:rPr>
                <w:rFonts w:eastAsia="Times New Roman"/>
                <w:b/>
                <w:bCs/>
                <w:sz w:val="16"/>
                <w:szCs w:val="16"/>
                <w:lang w:val="fr-FR" w:eastAsia="fr-FR"/>
              </w:rPr>
            </w:pPr>
            <w:r w:rsidRPr="007D4CCC">
              <w:rPr>
                <w:rFonts w:eastAsia="Times New Roman"/>
                <w:b/>
                <w:bCs/>
                <w:sz w:val="16"/>
                <w:szCs w:val="16"/>
                <w:lang w:val="fr-FR" w:eastAsia="fr-FR"/>
              </w:rPr>
              <w:t>(100%)</w:t>
            </w:r>
          </w:p>
        </w:tc>
      </w:tr>
    </w:tbl>
    <w:p w:rsidR="007D4CCC" w:rsidRDefault="007D4CCC" w:rsidP="007D4CCC"/>
    <w:p w:rsidR="007D4CCC" w:rsidRPr="007D4CCC" w:rsidRDefault="007D4CCC" w:rsidP="007D4CCC">
      <w:pPr>
        <w:pStyle w:val="Heading6"/>
      </w:pPr>
      <w:r w:rsidRPr="007D4CCC">
        <w:t>Diagramme 2 – Analyse des affaires clôturées entre le</w:t>
      </w:r>
      <w:r w:rsidR="00A25F29">
        <w:t xml:space="preserve"> 1</w:t>
      </w:r>
      <w:r w:rsidR="00A25F29" w:rsidRPr="00A25F29">
        <w:rPr>
          <w:vertAlign w:val="superscript"/>
        </w:rPr>
        <w:t>er</w:t>
      </w:r>
      <w:r w:rsidR="00A25F29">
        <w:t> </w:t>
      </w:r>
      <w:r w:rsidRPr="007D4CCC">
        <w:t>juillet 2014 et le 30 juin 2017</w:t>
      </w:r>
    </w:p>
    <w:p w:rsidR="007D4CCC" w:rsidRPr="007D4CCC" w:rsidRDefault="007D4CCC" w:rsidP="007D4CCC">
      <w:pPr>
        <w:pStyle w:val="ONUMFS"/>
        <w:numPr>
          <w:ilvl w:val="0"/>
          <w:numId w:val="0"/>
        </w:numPr>
        <w:jc w:val="center"/>
      </w:pPr>
      <w:r w:rsidRPr="007D4CCC">
        <w:rPr>
          <w:noProof/>
          <w:lang w:val="fr-FR" w:eastAsia="fr-FR"/>
        </w:rPr>
        <w:drawing>
          <wp:inline distT="0" distB="0" distL="0" distR="0" wp14:anchorId="1156AF40" wp14:editId="458DDBED">
            <wp:extent cx="4700905" cy="2830830"/>
            <wp:effectExtent l="0" t="0" r="444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0905" cy="2830830"/>
                    </a:xfrm>
                    <a:prstGeom prst="rect">
                      <a:avLst/>
                    </a:prstGeom>
                    <a:noFill/>
                    <a:ln>
                      <a:noFill/>
                    </a:ln>
                  </pic:spPr>
                </pic:pic>
              </a:graphicData>
            </a:graphic>
          </wp:inline>
        </w:drawing>
      </w:r>
    </w:p>
    <w:p w:rsidR="007D4CCC" w:rsidRDefault="007D4CCC" w:rsidP="007D4CCC">
      <w:pPr>
        <w:pStyle w:val="Heading1"/>
      </w:pPr>
      <w:bookmarkStart w:id="30" w:name="_Toc488139084"/>
      <w:r w:rsidRPr="007D4CCC">
        <w:t>Cas dans lesquels des demandes d</w:t>
      </w:r>
      <w:r w:rsidR="00A25F29">
        <w:t>’</w:t>
      </w:r>
      <w:r w:rsidRPr="007D4CCC">
        <w:t>information ou d</w:t>
      </w:r>
      <w:r w:rsidR="00A25F29">
        <w:t>’</w:t>
      </w:r>
      <w:r w:rsidRPr="007D4CCC">
        <w:t>assistance ont été rejetées</w:t>
      </w:r>
      <w:bookmarkEnd w:id="30"/>
    </w:p>
    <w:p w:rsidR="007D4CCC" w:rsidRPr="007D4CCC" w:rsidRDefault="007D4CCC" w:rsidP="007D4CCC"/>
    <w:p w:rsidR="007D4CCC" w:rsidRPr="007D4CCC" w:rsidRDefault="007D4CCC" w:rsidP="007D4CCC">
      <w:pPr>
        <w:pStyle w:val="ONUMFS"/>
      </w:pPr>
      <w:r w:rsidRPr="007D4CCC">
        <w:t>Conformément au paragraphe </w:t>
      </w:r>
      <w:proofErr w:type="spellStart"/>
      <w:r w:rsidRPr="007D4CCC">
        <w:t>45.g</w:t>
      </w:r>
      <w:proofErr w:type="spellEnd"/>
      <w:r w:rsidRPr="007D4CCC">
        <w:t>) de la Charte de la supervision interne, le directeur de la </w:t>
      </w:r>
      <w:proofErr w:type="spellStart"/>
      <w:r w:rsidRPr="007D4CCC">
        <w:t>DSI</w:t>
      </w:r>
      <w:proofErr w:type="spellEnd"/>
      <w:r w:rsidRPr="007D4CCC">
        <w:t xml:space="preserve"> doit établir un rapport dans tous les cas où l</w:t>
      </w:r>
      <w:r w:rsidR="00A25F29">
        <w:t>’</w:t>
      </w:r>
      <w:r w:rsidRPr="007D4CCC">
        <w:t>accès de la </w:t>
      </w:r>
      <w:proofErr w:type="spellStart"/>
      <w:r w:rsidRPr="007D4CCC">
        <w:t>DSI</w:t>
      </w:r>
      <w:proofErr w:type="spellEnd"/>
      <w:r w:rsidRPr="007D4CCC">
        <w:t xml:space="preserve"> aux dossiers, fonctionnaires ou agents contractuels et locaux de l</w:t>
      </w:r>
      <w:r w:rsidR="00A25F29">
        <w:t>’</w:t>
      </w:r>
      <w:proofErr w:type="spellStart"/>
      <w:r w:rsidRPr="007D4CCC">
        <w:t>OMPI</w:t>
      </w:r>
      <w:proofErr w:type="spellEnd"/>
      <w:r w:rsidRPr="007D4CCC">
        <w:t xml:space="preserve"> a été limité au cours de la période considérée.</w:t>
      </w:r>
    </w:p>
    <w:p w:rsidR="007D4CCC" w:rsidRPr="007D4CCC" w:rsidRDefault="007D4CCC" w:rsidP="007D4CCC">
      <w:pPr>
        <w:pStyle w:val="ONUMFS"/>
      </w:pPr>
      <w:r w:rsidRPr="007D4CCC">
        <w:t xml:space="preserve">La </w:t>
      </w:r>
      <w:proofErr w:type="spellStart"/>
      <w:r w:rsidRPr="007D4CCC">
        <w:t>DSI</w:t>
      </w:r>
      <w:proofErr w:type="spellEnd"/>
      <w:r w:rsidRPr="007D4CCC">
        <w:t xml:space="preserve"> signale qu</w:t>
      </w:r>
      <w:r w:rsidR="00A25F29">
        <w:t>’</w:t>
      </w:r>
      <w:r w:rsidRPr="007D4CCC">
        <w:t>aucun membre du personnel n</w:t>
      </w:r>
      <w:r w:rsidR="00A25F29">
        <w:t>’</w:t>
      </w:r>
      <w:r w:rsidRPr="007D4CCC">
        <w:t>a refusé de fournir des informations ou de prêter assistance à un processus de surveillance en cours pendant la période considérée.</w:t>
      </w:r>
    </w:p>
    <w:p w:rsidR="007D4CCC" w:rsidRDefault="007D4CCC" w:rsidP="007D4CCC">
      <w:pPr>
        <w:pStyle w:val="Heading1"/>
      </w:pPr>
      <w:bookmarkStart w:id="31" w:name="_Toc488139085"/>
      <w:bookmarkEnd w:id="29"/>
      <w:r w:rsidRPr="007D4CCC">
        <w:lastRenderedPageBreak/>
        <w:t>État d</w:t>
      </w:r>
      <w:r w:rsidR="00A25F29">
        <w:t>’</w:t>
      </w:r>
      <w:r w:rsidRPr="007D4CCC">
        <w:t>avancement de la mise en œuvre des recommandations en matière de supervision</w:t>
      </w:r>
      <w:bookmarkEnd w:id="31"/>
    </w:p>
    <w:p w:rsidR="007D4CCC" w:rsidRPr="007D4CCC" w:rsidRDefault="007D4CCC" w:rsidP="007D4CCC">
      <w:pPr>
        <w:keepNext/>
      </w:pPr>
    </w:p>
    <w:p w:rsidR="007D4CCC" w:rsidRPr="007D4CCC" w:rsidRDefault="007D4CCC" w:rsidP="007D4CCC">
      <w:pPr>
        <w:pStyle w:val="ONUMFS"/>
      </w:pPr>
      <w:r w:rsidRPr="007D4CCC">
        <w:t>Le Directeur général a la responsabilité de veiller à ce qu</w:t>
      </w:r>
      <w:r w:rsidR="00A25F29">
        <w:t>’</w:t>
      </w:r>
      <w:r w:rsidRPr="007D4CCC">
        <w:t>il soit donné effet sans tarder à toutes les recommandations du directeur de la </w:t>
      </w:r>
      <w:proofErr w:type="spellStart"/>
      <w:r w:rsidRPr="007D4CCC">
        <w:t>DSI</w:t>
      </w:r>
      <w:proofErr w:type="spellEnd"/>
      <w:r w:rsidRPr="007D4CCC">
        <w:t xml:space="preserve"> et des autres organes de surveillance et d</w:t>
      </w:r>
      <w:r w:rsidR="00A25F29">
        <w:t>’</w:t>
      </w:r>
      <w:r w:rsidRPr="007D4CCC">
        <w:t xml:space="preserve">indiquer les mesures prises </w:t>
      </w:r>
      <w:r w:rsidR="00A25F29">
        <w:t>à l’égard</w:t>
      </w:r>
      <w:r w:rsidRPr="007D4CCC">
        <w:t xml:space="preserve"> des différentes conclusions et recommandations figurant dans les rapports</w:t>
      </w:r>
      <w:r w:rsidRPr="007D4CCC">
        <w:rPr>
          <w:rStyle w:val="FootnoteReference"/>
        </w:rPr>
        <w:footnoteReference w:id="7"/>
      </w:r>
      <w:r w:rsidRPr="007D4CCC">
        <w:t>.  Le Directeur général s</w:t>
      </w:r>
      <w:r w:rsidR="00A25F29">
        <w:t>’</w:t>
      </w:r>
      <w:r w:rsidRPr="007D4CCC">
        <w:t>acquitte de cette responsabilité par l</w:t>
      </w:r>
      <w:r w:rsidR="00A25F29">
        <w:t>’</w:t>
      </w:r>
      <w:r w:rsidRPr="007D4CCC">
        <w:t>intermédiaire des chefs de programme chargés des différents secteurs opérationnels de l</w:t>
      </w:r>
      <w:r w:rsidR="00A25F29">
        <w:t>’</w:t>
      </w:r>
      <w:r w:rsidRPr="007D4CCC">
        <w:t>Organisation</w:t>
      </w:r>
      <w:r w:rsidRPr="007D4CCC">
        <w:rPr>
          <w:rStyle w:val="FootnoteReference"/>
        </w:rPr>
        <w:footnoteReference w:id="8"/>
      </w:r>
      <w:r w:rsidRPr="007D4CCC">
        <w:t>.  La mise en œuvre de toutes les recommandations relatives à la supervision par les chefs de programme de l</w:t>
      </w:r>
      <w:r w:rsidR="00A25F29">
        <w:t>’</w:t>
      </w:r>
      <w:proofErr w:type="spellStart"/>
      <w:r w:rsidRPr="007D4CCC">
        <w:t>OMPI</w:t>
      </w:r>
      <w:proofErr w:type="spellEnd"/>
      <w:r w:rsidRPr="007D4CCC">
        <w:t xml:space="preserve"> fait l</w:t>
      </w:r>
      <w:r w:rsidR="00A25F29">
        <w:t>’</w:t>
      </w:r>
      <w:r w:rsidRPr="007D4CCC">
        <w:t>objet d</w:t>
      </w:r>
      <w:r w:rsidR="00A25F29">
        <w:t>’</w:t>
      </w:r>
      <w:r w:rsidRPr="007D4CCC">
        <w:t>un suivi régulier de la part de la </w:t>
      </w:r>
      <w:proofErr w:type="spellStart"/>
      <w:r w:rsidRPr="007D4CCC">
        <w:t>DSI</w:t>
      </w:r>
      <w:proofErr w:type="spellEnd"/>
      <w:r w:rsidRPr="007D4CCC">
        <w:rPr>
          <w:rStyle w:val="FootnoteReference"/>
        </w:rPr>
        <w:footnoteReference w:id="9"/>
      </w:r>
      <w:r w:rsidRPr="007D4CCC">
        <w:t>.</w:t>
      </w:r>
    </w:p>
    <w:p w:rsidR="007D4CCC" w:rsidRPr="007D4CCC" w:rsidRDefault="007D4CCC" w:rsidP="007D4CCC">
      <w:pPr>
        <w:pStyle w:val="ONUMFS"/>
      </w:pPr>
      <w:r w:rsidRPr="007D4CCC">
        <w:t xml:space="preserve">La </w:t>
      </w:r>
      <w:proofErr w:type="spellStart"/>
      <w:r w:rsidRPr="007D4CCC">
        <w:t>DSI</w:t>
      </w:r>
      <w:proofErr w:type="spellEnd"/>
      <w:r w:rsidRPr="007D4CCC">
        <w:t xml:space="preserve"> continue de gérer les recommandations et d</w:t>
      </w:r>
      <w:r w:rsidR="00A25F29">
        <w:t>’</w:t>
      </w:r>
      <w:r w:rsidRPr="007D4CCC">
        <w:t xml:space="preserve">en rendre compte au moyen du système </w:t>
      </w:r>
      <w:proofErr w:type="spellStart"/>
      <w:r w:rsidRPr="007D4CCC">
        <w:t>TeamCentral</w:t>
      </w:r>
      <w:proofErr w:type="spellEnd"/>
      <w:r w:rsidRPr="007D4CCC">
        <w:t>©, qui facilite le dialogue avec les chefs de programme et leurs délégués en vue d</w:t>
      </w:r>
      <w:r w:rsidR="00A25F29">
        <w:t>’</w:t>
      </w:r>
      <w:r w:rsidRPr="007D4CCC">
        <w:t>un suivi efficace de la mise en œuvre des recommandations ouvertes.</w:t>
      </w:r>
    </w:p>
    <w:p w:rsidR="007D4CCC" w:rsidRPr="007D4CCC" w:rsidRDefault="007D4CCC" w:rsidP="007D4CCC">
      <w:pPr>
        <w:pStyle w:val="ONUMFS"/>
      </w:pPr>
      <w:r w:rsidRPr="007D4CCC">
        <w:t>À la date d</w:t>
      </w:r>
      <w:r w:rsidR="00A25F29">
        <w:t>’</w:t>
      </w:r>
      <w:r w:rsidRPr="007D4CCC">
        <w:t>établissement du présent rapport, on comptait 193 recommandations ouvertes, dont 99 étaient jugées prioritaires et 94 présentaient un degré de priorité moy</w:t>
      </w:r>
      <w:r w:rsidR="00186C7F" w:rsidRPr="007D4CCC">
        <w:t>en</w:t>
      </w:r>
      <w:r w:rsidR="00186C7F">
        <w:t xml:space="preserve">.  </w:t>
      </w:r>
      <w:r w:rsidR="00186C7F" w:rsidRPr="007D4CCC">
        <w:t>Le</w:t>
      </w:r>
      <w:r w:rsidRPr="007D4CCC">
        <w:t>s recommandations de la </w:t>
      </w:r>
      <w:proofErr w:type="spellStart"/>
      <w:r w:rsidRPr="007D4CCC">
        <w:t>DSI</w:t>
      </w:r>
      <w:proofErr w:type="spellEnd"/>
      <w:r w:rsidRPr="007D4CCC">
        <w:t xml:space="preserve"> représentent 75% de l</w:t>
      </w:r>
      <w:r w:rsidR="00A25F29">
        <w:t>’</w:t>
      </w:r>
      <w:r w:rsidRPr="007D4CCC">
        <w:t>ensemble des recommandations de supervision ouvertes.</w:t>
      </w:r>
    </w:p>
    <w:p w:rsidR="007D4CCC" w:rsidRPr="007D4CCC" w:rsidRDefault="007D4CCC" w:rsidP="007D4CCC">
      <w:pPr>
        <w:pStyle w:val="Heading6"/>
      </w:pPr>
      <w:r w:rsidRPr="007D4CCC">
        <w:t>Diagramme 3 – Recommandations par priorité</w:t>
      </w:r>
    </w:p>
    <w:p w:rsidR="007D4CCC" w:rsidRPr="007D4CCC" w:rsidRDefault="007D4CCC" w:rsidP="007D4CCC">
      <w:pPr>
        <w:pStyle w:val="ONUMFS"/>
        <w:numPr>
          <w:ilvl w:val="0"/>
          <w:numId w:val="0"/>
        </w:numPr>
        <w:jc w:val="center"/>
      </w:pPr>
      <w:r w:rsidRPr="007D4CCC">
        <w:rPr>
          <w:noProof/>
          <w:lang w:val="fr-FR" w:eastAsia="fr-FR"/>
        </w:rPr>
        <w:drawing>
          <wp:inline distT="0" distB="0" distL="0" distR="0" wp14:anchorId="47FA1EFA" wp14:editId="61833349">
            <wp:extent cx="4676775" cy="2133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4CCC" w:rsidRPr="007D4CCC" w:rsidRDefault="007D4CCC" w:rsidP="007D4CCC">
      <w:pPr>
        <w:pStyle w:val="ONUMFS"/>
      </w:pPr>
      <w:r w:rsidRPr="007D4CCC">
        <w:t>Le tableau ci</w:t>
      </w:r>
      <w:r w:rsidR="00F77457">
        <w:noBreakHyphen/>
      </w:r>
      <w:r w:rsidRPr="007D4CCC">
        <w:t>dessous montre l</w:t>
      </w:r>
      <w:r w:rsidR="00A25F29">
        <w:t>’</w:t>
      </w:r>
      <w:r w:rsidRPr="007D4CCC">
        <w:t>évolution des recommandations par source, entre le</w:t>
      </w:r>
      <w:r w:rsidR="00A25F29">
        <w:t xml:space="preserve"> 1</w:t>
      </w:r>
      <w:r w:rsidR="00A25F29" w:rsidRPr="00A25F29">
        <w:rPr>
          <w:vertAlign w:val="superscript"/>
        </w:rPr>
        <w:t>er</w:t>
      </w:r>
      <w:r w:rsidR="00A25F29">
        <w:t> </w:t>
      </w:r>
      <w:r w:rsidRPr="007D4CCC">
        <w:t>juillet 2016 et le 30 juin 2017.</w:t>
      </w:r>
    </w:p>
    <w:p w:rsidR="007D4CCC" w:rsidRPr="007D4CCC" w:rsidRDefault="007D4CCC" w:rsidP="007D4CCC">
      <w:pPr>
        <w:pStyle w:val="Heading6"/>
      </w:pPr>
      <w:r w:rsidRPr="007D4CCC">
        <w:t>Tableau 2 – Évolution des recommandations entre le</w:t>
      </w:r>
      <w:r w:rsidR="00A25F29">
        <w:t xml:space="preserve"> 1</w:t>
      </w:r>
      <w:r w:rsidR="00A25F29" w:rsidRPr="00A25F29">
        <w:rPr>
          <w:vertAlign w:val="superscript"/>
        </w:rPr>
        <w:t>er</w:t>
      </w:r>
      <w:r w:rsidR="00A25F29">
        <w:t> </w:t>
      </w:r>
      <w:r w:rsidRPr="007D4CCC">
        <w:t>juillet 2016 et le 30 juin 2017</w:t>
      </w:r>
    </w:p>
    <w:tbl>
      <w:tblPr>
        <w:tblW w:w="47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92"/>
        <w:gridCol w:w="1778"/>
        <w:gridCol w:w="1778"/>
        <w:gridCol w:w="1778"/>
        <w:gridCol w:w="1779"/>
      </w:tblGrid>
      <w:tr w:rsidR="007D4CCC" w:rsidRPr="007D4CCC" w:rsidTr="007D4CCC">
        <w:trPr>
          <w:cantSplit/>
        </w:trPr>
        <w:tc>
          <w:tcPr>
            <w:tcW w:w="1892" w:type="dxa"/>
            <w:shd w:val="clear" w:color="000000" w:fill="C5D9F1"/>
            <w:noWrap/>
            <w:vAlign w:val="center"/>
            <w:hideMark/>
          </w:tcPr>
          <w:p w:rsidR="007D4CCC" w:rsidRPr="007D4CCC" w:rsidRDefault="007D4CCC" w:rsidP="007D4CCC">
            <w:pPr>
              <w:keepNext/>
              <w:rPr>
                <w:rFonts w:eastAsia="Times New Roman"/>
                <w:b/>
                <w:bCs/>
                <w:sz w:val="18"/>
                <w:lang w:eastAsia="en-US"/>
              </w:rPr>
            </w:pPr>
            <w:r w:rsidRPr="007D4CCC">
              <w:rPr>
                <w:rFonts w:eastAsia="Times New Roman"/>
                <w:b/>
                <w:bCs/>
                <w:sz w:val="18"/>
                <w:lang w:eastAsia="en-US"/>
              </w:rPr>
              <w:t>Source</w:t>
            </w:r>
          </w:p>
        </w:tc>
        <w:tc>
          <w:tcPr>
            <w:tcW w:w="1778" w:type="dxa"/>
            <w:shd w:val="clear" w:color="000000" w:fill="D9D9D9"/>
            <w:vAlign w:val="center"/>
            <w:hideMark/>
          </w:tcPr>
          <w:p w:rsidR="007D4CCC" w:rsidRPr="007D4CCC" w:rsidRDefault="007D4CCC" w:rsidP="007D4CCC">
            <w:pPr>
              <w:keepNext/>
              <w:jc w:val="center"/>
              <w:rPr>
                <w:rFonts w:eastAsia="Times New Roman"/>
                <w:b/>
                <w:bCs/>
                <w:sz w:val="18"/>
                <w:lang w:eastAsia="en-US"/>
              </w:rPr>
            </w:pPr>
            <w:r w:rsidRPr="007D4CCC">
              <w:rPr>
                <w:rFonts w:eastAsia="Times New Roman"/>
                <w:b/>
                <w:bCs/>
                <w:sz w:val="18"/>
                <w:lang w:eastAsia="en-US"/>
              </w:rPr>
              <w:t>Ouverte au</w:t>
            </w:r>
            <w:r w:rsidR="00A25F29">
              <w:rPr>
                <w:rFonts w:eastAsia="Times New Roman"/>
                <w:b/>
                <w:bCs/>
                <w:sz w:val="18"/>
                <w:lang w:eastAsia="en-US"/>
              </w:rPr>
              <w:t xml:space="preserve"> 1</w:t>
            </w:r>
            <w:r w:rsidR="00A25F29" w:rsidRPr="00A25F29">
              <w:rPr>
                <w:rFonts w:eastAsia="Times New Roman"/>
                <w:b/>
                <w:bCs/>
                <w:sz w:val="18"/>
                <w:vertAlign w:val="superscript"/>
                <w:lang w:eastAsia="en-US"/>
              </w:rPr>
              <w:t>er</w:t>
            </w:r>
            <w:r w:rsidR="00A25F29">
              <w:rPr>
                <w:rFonts w:eastAsia="Times New Roman"/>
                <w:b/>
                <w:bCs/>
                <w:sz w:val="18"/>
                <w:lang w:eastAsia="en-US"/>
              </w:rPr>
              <w:t> </w:t>
            </w:r>
            <w:r w:rsidRPr="007D4CCC">
              <w:rPr>
                <w:rFonts w:eastAsia="Times New Roman"/>
                <w:b/>
                <w:bCs/>
                <w:sz w:val="18"/>
                <w:lang w:eastAsia="en-US"/>
              </w:rPr>
              <w:t>juillet 2016</w:t>
            </w:r>
          </w:p>
        </w:tc>
        <w:tc>
          <w:tcPr>
            <w:tcW w:w="1778" w:type="dxa"/>
            <w:shd w:val="clear" w:color="000000" w:fill="D9D9D9"/>
            <w:vAlign w:val="center"/>
            <w:hideMark/>
          </w:tcPr>
          <w:p w:rsidR="007D4CCC" w:rsidRPr="007D4CCC" w:rsidRDefault="007D4CCC" w:rsidP="007D4CCC">
            <w:pPr>
              <w:keepNext/>
              <w:jc w:val="center"/>
              <w:rPr>
                <w:rFonts w:eastAsia="Times New Roman"/>
                <w:b/>
                <w:bCs/>
                <w:sz w:val="18"/>
                <w:lang w:eastAsia="en-US"/>
              </w:rPr>
            </w:pPr>
            <w:r w:rsidRPr="007D4CCC">
              <w:rPr>
                <w:rFonts w:eastAsia="Times New Roman"/>
                <w:b/>
                <w:bCs/>
                <w:sz w:val="18"/>
                <w:lang w:eastAsia="en-US"/>
              </w:rPr>
              <w:t>Ajoutée pendant l</w:t>
            </w:r>
            <w:r w:rsidR="00A25F29">
              <w:rPr>
                <w:rFonts w:eastAsia="Times New Roman"/>
                <w:b/>
                <w:bCs/>
                <w:sz w:val="18"/>
                <w:lang w:eastAsia="en-US"/>
              </w:rPr>
              <w:t>’</w:t>
            </w:r>
            <w:r w:rsidRPr="007D4CCC">
              <w:rPr>
                <w:rFonts w:eastAsia="Times New Roman"/>
                <w:b/>
                <w:bCs/>
                <w:sz w:val="18"/>
                <w:lang w:eastAsia="en-US"/>
              </w:rPr>
              <w:t>année</w:t>
            </w:r>
          </w:p>
        </w:tc>
        <w:tc>
          <w:tcPr>
            <w:tcW w:w="1778" w:type="dxa"/>
            <w:shd w:val="clear" w:color="000000" w:fill="D9D9D9"/>
            <w:vAlign w:val="center"/>
            <w:hideMark/>
          </w:tcPr>
          <w:p w:rsidR="007D4CCC" w:rsidRPr="007D4CCC" w:rsidRDefault="007D4CCC" w:rsidP="007D4CCC">
            <w:pPr>
              <w:keepNext/>
              <w:jc w:val="center"/>
              <w:rPr>
                <w:rFonts w:eastAsia="Times New Roman"/>
                <w:b/>
                <w:bCs/>
                <w:sz w:val="18"/>
                <w:lang w:eastAsia="en-US"/>
              </w:rPr>
            </w:pPr>
            <w:r w:rsidRPr="007D4CCC">
              <w:rPr>
                <w:rFonts w:eastAsia="Times New Roman"/>
                <w:b/>
                <w:bCs/>
                <w:sz w:val="18"/>
                <w:lang w:eastAsia="en-US"/>
              </w:rPr>
              <w:t>Close pendant l</w:t>
            </w:r>
            <w:r w:rsidR="00A25F29">
              <w:rPr>
                <w:rFonts w:eastAsia="Times New Roman"/>
                <w:b/>
                <w:bCs/>
                <w:sz w:val="18"/>
                <w:lang w:eastAsia="en-US"/>
              </w:rPr>
              <w:t>’</w:t>
            </w:r>
            <w:r w:rsidRPr="007D4CCC">
              <w:rPr>
                <w:rFonts w:eastAsia="Times New Roman"/>
                <w:b/>
                <w:bCs/>
                <w:sz w:val="18"/>
                <w:lang w:eastAsia="en-US"/>
              </w:rPr>
              <w:t>année</w:t>
            </w:r>
            <w:r w:rsidRPr="007D4CCC">
              <w:rPr>
                <w:rStyle w:val="FootnoteReference"/>
                <w:rFonts w:eastAsia="Times New Roman"/>
                <w:b/>
                <w:bCs/>
                <w:sz w:val="18"/>
                <w:lang w:eastAsia="en-US"/>
              </w:rPr>
              <w:footnoteReference w:id="10"/>
            </w:r>
          </w:p>
        </w:tc>
        <w:tc>
          <w:tcPr>
            <w:tcW w:w="1779" w:type="dxa"/>
            <w:shd w:val="clear" w:color="000000" w:fill="D9D9D9"/>
            <w:vAlign w:val="center"/>
            <w:hideMark/>
          </w:tcPr>
          <w:p w:rsidR="007D4CCC" w:rsidRPr="007D4CCC" w:rsidRDefault="007D4CCC" w:rsidP="007D4CCC">
            <w:pPr>
              <w:keepNext/>
              <w:jc w:val="center"/>
              <w:rPr>
                <w:rFonts w:eastAsia="Times New Roman"/>
                <w:b/>
                <w:bCs/>
                <w:sz w:val="18"/>
                <w:lang w:eastAsia="en-US"/>
              </w:rPr>
            </w:pPr>
            <w:r w:rsidRPr="007D4CCC">
              <w:rPr>
                <w:rFonts w:eastAsia="Times New Roman"/>
                <w:b/>
                <w:bCs/>
                <w:sz w:val="18"/>
                <w:lang w:eastAsia="en-US"/>
              </w:rPr>
              <w:t xml:space="preserve">Ouverte au </w:t>
            </w:r>
            <w:r w:rsidRPr="007D4CCC">
              <w:rPr>
                <w:rFonts w:eastAsia="Times New Roman"/>
                <w:b/>
                <w:bCs/>
                <w:sz w:val="18"/>
                <w:lang w:eastAsia="en-US"/>
              </w:rPr>
              <w:br/>
              <w:t>30 juin 2017</w:t>
            </w:r>
          </w:p>
        </w:tc>
      </w:tr>
      <w:tr w:rsidR="007D4CCC" w:rsidRPr="007D4CCC" w:rsidTr="007D4CCC">
        <w:trPr>
          <w:cantSplit/>
        </w:trPr>
        <w:tc>
          <w:tcPr>
            <w:tcW w:w="1892" w:type="dxa"/>
            <w:shd w:val="clear" w:color="000000" w:fill="C5D9F1"/>
            <w:noWrap/>
            <w:vAlign w:val="center"/>
            <w:hideMark/>
          </w:tcPr>
          <w:p w:rsidR="007D4CCC" w:rsidRPr="007D4CCC" w:rsidRDefault="007D4CCC" w:rsidP="007D4CCC">
            <w:pPr>
              <w:keepNext/>
              <w:rPr>
                <w:rFonts w:eastAsia="Times New Roman"/>
                <w:sz w:val="18"/>
                <w:lang w:eastAsia="en-US"/>
              </w:rPr>
            </w:pPr>
            <w:proofErr w:type="spellStart"/>
            <w:r w:rsidRPr="007D4CCC">
              <w:rPr>
                <w:rFonts w:eastAsia="Times New Roman"/>
                <w:sz w:val="18"/>
                <w:lang w:eastAsia="en-US"/>
              </w:rPr>
              <w:t>DSI</w:t>
            </w:r>
            <w:proofErr w:type="spellEnd"/>
          </w:p>
        </w:tc>
        <w:tc>
          <w:tcPr>
            <w:tcW w:w="1778"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129</w:t>
            </w:r>
          </w:p>
        </w:tc>
        <w:tc>
          <w:tcPr>
            <w:tcW w:w="1778"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61</w:t>
            </w:r>
          </w:p>
        </w:tc>
        <w:tc>
          <w:tcPr>
            <w:tcW w:w="1778"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45</w:t>
            </w:r>
          </w:p>
        </w:tc>
        <w:tc>
          <w:tcPr>
            <w:tcW w:w="1779"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145</w:t>
            </w:r>
          </w:p>
        </w:tc>
      </w:tr>
      <w:tr w:rsidR="007D4CCC" w:rsidRPr="007D4CCC" w:rsidTr="007D4CCC">
        <w:trPr>
          <w:cantSplit/>
        </w:trPr>
        <w:tc>
          <w:tcPr>
            <w:tcW w:w="1892" w:type="dxa"/>
            <w:shd w:val="clear" w:color="000000" w:fill="C5D9F1"/>
            <w:noWrap/>
            <w:vAlign w:val="center"/>
            <w:hideMark/>
          </w:tcPr>
          <w:p w:rsidR="007D4CCC" w:rsidRPr="007D4CCC" w:rsidRDefault="007D4CCC" w:rsidP="007D4CCC">
            <w:pPr>
              <w:keepNext/>
              <w:rPr>
                <w:rFonts w:eastAsia="Times New Roman"/>
                <w:sz w:val="18"/>
                <w:lang w:eastAsia="en-US"/>
              </w:rPr>
            </w:pPr>
            <w:r w:rsidRPr="007D4CCC">
              <w:rPr>
                <w:rFonts w:eastAsia="Times New Roman"/>
                <w:sz w:val="18"/>
                <w:lang w:eastAsia="en-US"/>
              </w:rPr>
              <w:t>Vérificateur externe des comptes</w:t>
            </w:r>
          </w:p>
        </w:tc>
        <w:tc>
          <w:tcPr>
            <w:tcW w:w="1778"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31</w:t>
            </w:r>
          </w:p>
        </w:tc>
        <w:tc>
          <w:tcPr>
            <w:tcW w:w="1778"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30</w:t>
            </w:r>
          </w:p>
        </w:tc>
        <w:tc>
          <w:tcPr>
            <w:tcW w:w="1778"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13</w:t>
            </w:r>
          </w:p>
        </w:tc>
        <w:tc>
          <w:tcPr>
            <w:tcW w:w="1779"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48</w:t>
            </w:r>
          </w:p>
        </w:tc>
      </w:tr>
      <w:tr w:rsidR="007D4CCC" w:rsidRPr="007D4CCC" w:rsidTr="007D4CCC">
        <w:trPr>
          <w:cantSplit/>
        </w:trPr>
        <w:tc>
          <w:tcPr>
            <w:tcW w:w="1892" w:type="dxa"/>
            <w:shd w:val="clear" w:color="000000" w:fill="C5D9F1"/>
            <w:noWrap/>
            <w:vAlign w:val="center"/>
            <w:hideMark/>
          </w:tcPr>
          <w:p w:rsidR="007D4CCC" w:rsidRPr="007D4CCC" w:rsidRDefault="007D4CCC" w:rsidP="007D4CCC">
            <w:pPr>
              <w:keepNext/>
              <w:rPr>
                <w:rFonts w:eastAsia="Times New Roman"/>
                <w:sz w:val="18"/>
                <w:lang w:eastAsia="en-US"/>
              </w:rPr>
            </w:pPr>
            <w:proofErr w:type="spellStart"/>
            <w:r w:rsidRPr="007D4CCC">
              <w:rPr>
                <w:rFonts w:eastAsia="Times New Roman"/>
                <w:sz w:val="18"/>
                <w:lang w:eastAsia="en-US"/>
              </w:rPr>
              <w:t>OCIS</w:t>
            </w:r>
            <w:proofErr w:type="spellEnd"/>
          </w:p>
        </w:tc>
        <w:tc>
          <w:tcPr>
            <w:tcW w:w="1778"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1</w:t>
            </w:r>
          </w:p>
        </w:tc>
        <w:tc>
          <w:tcPr>
            <w:tcW w:w="1778"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0</w:t>
            </w:r>
          </w:p>
        </w:tc>
        <w:tc>
          <w:tcPr>
            <w:tcW w:w="1778"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1</w:t>
            </w:r>
          </w:p>
        </w:tc>
        <w:tc>
          <w:tcPr>
            <w:tcW w:w="1779" w:type="dxa"/>
            <w:shd w:val="clear" w:color="auto" w:fill="auto"/>
            <w:noWrap/>
            <w:vAlign w:val="center"/>
            <w:hideMark/>
          </w:tcPr>
          <w:p w:rsidR="007D4CCC" w:rsidRPr="007D4CCC" w:rsidRDefault="007D4CCC" w:rsidP="007D4CCC">
            <w:pPr>
              <w:keepNext/>
              <w:jc w:val="center"/>
              <w:rPr>
                <w:rFonts w:eastAsia="Times New Roman"/>
                <w:sz w:val="18"/>
                <w:lang w:eastAsia="en-US"/>
              </w:rPr>
            </w:pPr>
            <w:r w:rsidRPr="007D4CCC">
              <w:rPr>
                <w:sz w:val="18"/>
              </w:rPr>
              <w:t>0</w:t>
            </w:r>
          </w:p>
        </w:tc>
      </w:tr>
      <w:tr w:rsidR="007D4CCC" w:rsidRPr="007D4CCC" w:rsidTr="007D4CCC">
        <w:trPr>
          <w:cantSplit/>
        </w:trPr>
        <w:tc>
          <w:tcPr>
            <w:tcW w:w="1892" w:type="dxa"/>
            <w:shd w:val="clear" w:color="000000" w:fill="C5D9F1"/>
            <w:noWrap/>
            <w:vAlign w:val="center"/>
            <w:hideMark/>
          </w:tcPr>
          <w:p w:rsidR="007D4CCC" w:rsidRPr="007D4CCC" w:rsidRDefault="007D4CCC" w:rsidP="007D4CCC">
            <w:pPr>
              <w:rPr>
                <w:rFonts w:eastAsia="Times New Roman"/>
                <w:b/>
                <w:bCs/>
                <w:sz w:val="18"/>
                <w:lang w:eastAsia="en-US"/>
              </w:rPr>
            </w:pPr>
            <w:r w:rsidRPr="007D4CCC">
              <w:rPr>
                <w:rFonts w:eastAsia="Times New Roman"/>
                <w:b/>
                <w:bCs/>
                <w:sz w:val="18"/>
                <w:lang w:eastAsia="en-US"/>
              </w:rPr>
              <w:t>Total</w:t>
            </w:r>
          </w:p>
        </w:tc>
        <w:tc>
          <w:tcPr>
            <w:tcW w:w="1778" w:type="dxa"/>
            <w:shd w:val="clear" w:color="auto" w:fill="auto"/>
            <w:noWrap/>
            <w:vAlign w:val="center"/>
            <w:hideMark/>
          </w:tcPr>
          <w:p w:rsidR="007D4CCC" w:rsidRPr="007D4CCC" w:rsidRDefault="007D4CCC" w:rsidP="007D4CCC">
            <w:pPr>
              <w:jc w:val="center"/>
              <w:rPr>
                <w:rFonts w:eastAsia="Times New Roman"/>
                <w:b/>
                <w:bCs/>
                <w:sz w:val="18"/>
                <w:lang w:eastAsia="en-US"/>
              </w:rPr>
            </w:pPr>
            <w:r w:rsidRPr="007D4CCC">
              <w:rPr>
                <w:rFonts w:eastAsia="Times New Roman"/>
                <w:b/>
                <w:bCs/>
                <w:sz w:val="18"/>
                <w:lang w:eastAsia="en-US"/>
              </w:rPr>
              <w:t>161</w:t>
            </w:r>
          </w:p>
        </w:tc>
        <w:tc>
          <w:tcPr>
            <w:tcW w:w="1778" w:type="dxa"/>
            <w:shd w:val="clear" w:color="auto" w:fill="auto"/>
            <w:noWrap/>
            <w:vAlign w:val="center"/>
            <w:hideMark/>
          </w:tcPr>
          <w:p w:rsidR="007D4CCC" w:rsidRPr="007D4CCC" w:rsidRDefault="007D4CCC" w:rsidP="007D4CCC">
            <w:pPr>
              <w:jc w:val="center"/>
              <w:rPr>
                <w:rFonts w:eastAsia="Times New Roman"/>
                <w:b/>
                <w:bCs/>
                <w:sz w:val="18"/>
                <w:lang w:eastAsia="en-US"/>
              </w:rPr>
            </w:pPr>
            <w:r w:rsidRPr="007D4CCC">
              <w:rPr>
                <w:rFonts w:eastAsia="Times New Roman"/>
                <w:b/>
                <w:bCs/>
                <w:sz w:val="18"/>
                <w:lang w:eastAsia="en-US"/>
              </w:rPr>
              <w:t>91</w:t>
            </w:r>
          </w:p>
        </w:tc>
        <w:tc>
          <w:tcPr>
            <w:tcW w:w="1778" w:type="dxa"/>
            <w:shd w:val="clear" w:color="auto" w:fill="auto"/>
            <w:noWrap/>
            <w:vAlign w:val="center"/>
            <w:hideMark/>
          </w:tcPr>
          <w:p w:rsidR="007D4CCC" w:rsidRPr="007D4CCC" w:rsidRDefault="007D4CCC" w:rsidP="007D4CCC">
            <w:pPr>
              <w:jc w:val="center"/>
              <w:rPr>
                <w:rFonts w:eastAsia="Times New Roman"/>
                <w:b/>
                <w:bCs/>
                <w:sz w:val="18"/>
                <w:lang w:eastAsia="en-US"/>
              </w:rPr>
            </w:pPr>
            <w:r w:rsidRPr="007D4CCC">
              <w:rPr>
                <w:rFonts w:eastAsia="Times New Roman"/>
                <w:b/>
                <w:bCs/>
                <w:sz w:val="18"/>
                <w:lang w:eastAsia="en-US"/>
              </w:rPr>
              <w:t>59</w:t>
            </w:r>
          </w:p>
        </w:tc>
        <w:tc>
          <w:tcPr>
            <w:tcW w:w="1779" w:type="dxa"/>
            <w:shd w:val="clear" w:color="auto" w:fill="auto"/>
            <w:noWrap/>
            <w:vAlign w:val="center"/>
            <w:hideMark/>
          </w:tcPr>
          <w:p w:rsidR="007D4CCC" w:rsidRPr="007D4CCC" w:rsidRDefault="007D4CCC" w:rsidP="007D4CCC">
            <w:pPr>
              <w:jc w:val="center"/>
              <w:rPr>
                <w:rFonts w:eastAsia="Times New Roman"/>
                <w:b/>
                <w:bCs/>
                <w:sz w:val="18"/>
                <w:lang w:eastAsia="en-US"/>
              </w:rPr>
            </w:pPr>
            <w:r w:rsidRPr="007D4CCC">
              <w:rPr>
                <w:rFonts w:eastAsia="Times New Roman"/>
                <w:b/>
                <w:bCs/>
                <w:sz w:val="18"/>
                <w:lang w:eastAsia="en-US"/>
              </w:rPr>
              <w:t>193</w:t>
            </w:r>
          </w:p>
        </w:tc>
      </w:tr>
    </w:tbl>
    <w:p w:rsidR="007D4CCC" w:rsidRPr="007D4CCC" w:rsidRDefault="007D4CCC" w:rsidP="007D4CCC">
      <w:pPr>
        <w:pStyle w:val="ONUMFS"/>
      </w:pPr>
      <w:r w:rsidRPr="007D4CCC">
        <w:lastRenderedPageBreak/>
        <w:t>Le diagramme ci</w:t>
      </w:r>
      <w:r w:rsidR="00F77457">
        <w:noBreakHyphen/>
      </w:r>
      <w:r w:rsidRPr="007D4CCC">
        <w:t>dessous montre la source des recommandations ouvertes au 30 juin 2017.</w:t>
      </w:r>
    </w:p>
    <w:p w:rsidR="007D4CCC" w:rsidRPr="007D4CCC" w:rsidRDefault="007D4CCC" w:rsidP="007D4CCC">
      <w:pPr>
        <w:pStyle w:val="Heading6"/>
      </w:pPr>
      <w:r w:rsidRPr="007D4CCC">
        <w:t>Diagramme 4 – Recommandations ouvertes relatives à la supervision, par source</w:t>
      </w:r>
    </w:p>
    <w:p w:rsidR="007D4CCC" w:rsidRPr="007D4CCC" w:rsidRDefault="007D4CCC" w:rsidP="007D4CCC">
      <w:pPr>
        <w:pStyle w:val="ONUMFS"/>
        <w:numPr>
          <w:ilvl w:val="0"/>
          <w:numId w:val="0"/>
        </w:numPr>
        <w:jc w:val="center"/>
      </w:pPr>
      <w:r w:rsidRPr="007D4CCC">
        <w:rPr>
          <w:noProof/>
          <w:lang w:val="fr-FR" w:eastAsia="fr-FR"/>
        </w:rPr>
        <w:drawing>
          <wp:inline distT="0" distB="0" distL="0" distR="0" wp14:anchorId="64EA5678" wp14:editId="0D0420D9">
            <wp:extent cx="3390900" cy="15335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4CCC" w:rsidRPr="007D4CCC" w:rsidRDefault="007D4CCC" w:rsidP="007D4CCC">
      <w:pPr>
        <w:pStyle w:val="ONUMFS"/>
      </w:pPr>
      <w:r w:rsidRPr="007D4CCC">
        <w:t>Le tableau ci</w:t>
      </w:r>
      <w:r w:rsidR="00F77457">
        <w:noBreakHyphen/>
      </w:r>
      <w:r w:rsidRPr="007D4CCC">
        <w:t>dessous résume l</w:t>
      </w:r>
      <w:r w:rsidR="00A25F29">
        <w:t>’</w:t>
      </w:r>
      <w:r w:rsidRPr="007D4CCC">
        <w:t>évolution des recommandations ouvertes au 30 juin 2017.</w:t>
      </w:r>
    </w:p>
    <w:p w:rsidR="007D4CCC" w:rsidRPr="007D4CCC" w:rsidRDefault="007D4CCC" w:rsidP="007D4CCC">
      <w:pPr>
        <w:pStyle w:val="Heading6"/>
      </w:pPr>
      <w:r w:rsidRPr="007D4CCC">
        <w:t>Diagramme 5 – Suivi des recommandations ouvertes relatives à la supervision, par priorité</w:t>
      </w:r>
    </w:p>
    <w:p w:rsidR="007D4CCC" w:rsidRPr="007D4CCC" w:rsidRDefault="007D4CCC" w:rsidP="007D4CCC">
      <w:pPr>
        <w:pStyle w:val="ONUMFS"/>
        <w:numPr>
          <w:ilvl w:val="0"/>
          <w:numId w:val="0"/>
        </w:numPr>
        <w:jc w:val="center"/>
      </w:pPr>
      <w:r w:rsidRPr="007D4CCC">
        <w:rPr>
          <w:noProof/>
          <w:lang w:val="fr-FR" w:eastAsia="fr-FR"/>
        </w:rPr>
        <w:drawing>
          <wp:inline distT="0" distB="0" distL="0" distR="0" wp14:anchorId="5D3079BB" wp14:editId="27BAEFC0">
            <wp:extent cx="5133975" cy="21050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4CCC" w:rsidRPr="007D4CCC" w:rsidRDefault="007D4CCC" w:rsidP="007D4CCC">
      <w:pPr>
        <w:pStyle w:val="ONUMFS"/>
      </w:pPr>
      <w:r w:rsidRPr="007D4CCC">
        <w:t>Une recommandation jugée prioritaire et une recommandation présentant un degré de priorité moyen sont ouvertes depuis 2011.  Au total, 41 recommandations faites entre 2011 et 2014 demeurent aujourd</w:t>
      </w:r>
      <w:r w:rsidR="00A25F29">
        <w:t>’</w:t>
      </w:r>
      <w:r w:rsidRPr="007D4CCC">
        <w:t>hui en suspens.</w:t>
      </w:r>
    </w:p>
    <w:p w:rsidR="007D4CCC" w:rsidRPr="007D4CCC" w:rsidRDefault="007D4CCC" w:rsidP="007D4CCC">
      <w:pPr>
        <w:pStyle w:val="ONUMFS"/>
        <w:rPr>
          <w:noProof/>
          <w:lang w:eastAsia="en-US"/>
        </w:rPr>
      </w:pPr>
      <w:r w:rsidRPr="007D4CCC">
        <w:rPr>
          <w:noProof/>
          <w:lang w:eastAsia="en-US"/>
        </w:rPr>
        <w:t>Le nombre de recommandations par programme de l</w:t>
      </w:r>
      <w:r w:rsidR="00A25F29">
        <w:rPr>
          <w:noProof/>
          <w:lang w:eastAsia="en-US"/>
        </w:rPr>
        <w:t>’</w:t>
      </w:r>
      <w:r w:rsidRPr="007D4CCC">
        <w:rPr>
          <w:noProof/>
          <w:lang w:eastAsia="en-US"/>
        </w:rPr>
        <w:t>OMPI</w:t>
      </w:r>
      <w:r w:rsidRPr="007D4CCC">
        <w:rPr>
          <w:rStyle w:val="FootnoteReference"/>
          <w:noProof/>
          <w:lang w:eastAsia="en-US"/>
        </w:rPr>
        <w:footnoteReference w:id="11"/>
      </w:r>
      <w:r w:rsidRPr="007D4CCC">
        <w:rPr>
          <w:noProof/>
          <w:lang w:eastAsia="en-US"/>
        </w:rPr>
        <w:t xml:space="preserve"> et par priorité au 30 juin 2017 est indiqué ci</w:t>
      </w:r>
      <w:r w:rsidR="00F77457">
        <w:rPr>
          <w:noProof/>
          <w:lang w:eastAsia="en-US"/>
        </w:rPr>
        <w:noBreakHyphen/>
      </w:r>
      <w:r w:rsidRPr="007D4CCC">
        <w:rPr>
          <w:noProof/>
          <w:lang w:eastAsia="en-US"/>
        </w:rPr>
        <w:t>après.</w:t>
      </w:r>
    </w:p>
    <w:p w:rsidR="007D4CCC" w:rsidRPr="007D4CCC" w:rsidRDefault="007D4CCC" w:rsidP="007D4CCC">
      <w:pPr>
        <w:pStyle w:val="Heading6"/>
      </w:pPr>
      <w:r w:rsidRPr="007D4CCC">
        <w:lastRenderedPageBreak/>
        <w:t>Diagramme 6 – Recommandations par programme et priorité</w:t>
      </w:r>
    </w:p>
    <w:p w:rsidR="007D4CCC" w:rsidRPr="007D4CCC" w:rsidRDefault="007D4CCC" w:rsidP="007D4CCC">
      <w:pPr>
        <w:pStyle w:val="ONUMFS"/>
        <w:numPr>
          <w:ilvl w:val="0"/>
          <w:numId w:val="0"/>
        </w:numPr>
        <w:jc w:val="center"/>
      </w:pPr>
      <w:r w:rsidRPr="007D4CCC">
        <w:rPr>
          <w:noProof/>
          <w:lang w:val="fr-FR" w:eastAsia="fr-FR"/>
        </w:rPr>
        <w:drawing>
          <wp:inline distT="0" distB="0" distL="0" distR="0" wp14:anchorId="28F0D0FA" wp14:editId="398DD3D9">
            <wp:extent cx="5940425" cy="2667130"/>
            <wp:effectExtent l="0" t="0" r="317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4CCC" w:rsidRPr="007D4CCC" w:rsidRDefault="007D4CCC" w:rsidP="007D4CCC">
      <w:pPr>
        <w:pStyle w:val="ONUMFS"/>
      </w:pPr>
      <w:r w:rsidRPr="007D4CCC">
        <w:t xml:space="preserve">Cinq programmes représentent 48% des 99 recommandations jugées prioritaires et le nombre le plus élevé de recommandations </w:t>
      </w:r>
      <w:r w:rsidRPr="00AC5823">
        <w:rPr>
          <w:szCs w:val="22"/>
        </w:rPr>
        <w:t xml:space="preserve">ouvertes revient </w:t>
      </w:r>
      <w:r w:rsidR="00AC5823" w:rsidRPr="00AC5823">
        <w:rPr>
          <w:szCs w:val="22"/>
        </w:rPr>
        <w:t xml:space="preserve">au </w:t>
      </w:r>
      <w:r w:rsidR="00AC5823" w:rsidRPr="00AC5823">
        <w:rPr>
          <w:rStyle w:val="Emphasis"/>
          <w:b w:val="0"/>
          <w:szCs w:val="22"/>
        </w:rPr>
        <w:t>Département de la gestion</w:t>
      </w:r>
      <w:r w:rsidR="00AC5823" w:rsidRPr="00AC5823">
        <w:rPr>
          <w:rStyle w:val="st1"/>
          <w:szCs w:val="22"/>
        </w:rPr>
        <w:t xml:space="preserve"> des ressources humaines </w:t>
      </w:r>
      <w:r w:rsidR="00AC5823">
        <w:rPr>
          <w:rStyle w:val="st1"/>
          <w:szCs w:val="22"/>
        </w:rPr>
        <w:t xml:space="preserve">avec le </w:t>
      </w:r>
      <w:r w:rsidRPr="00AC5823">
        <w:rPr>
          <w:szCs w:val="22"/>
        </w:rPr>
        <w:t>programme 23, suivi du programme 22 (Gestion du programme</w:t>
      </w:r>
      <w:r w:rsidRPr="00AC5823">
        <w:t xml:space="preserve"> </w:t>
      </w:r>
      <w:r w:rsidRPr="007D4CCC">
        <w:t>et des ressources) et du programme 9 (Afrique, pays arabes, Asie et Pacifique, pays d</w:t>
      </w:r>
      <w:r w:rsidR="00A25F29">
        <w:t>’</w:t>
      </w:r>
      <w:r w:rsidRPr="007D4CCC">
        <w:t>Amérique latine et des Caraïbes, pays les moins avancés).</w:t>
      </w:r>
    </w:p>
    <w:p w:rsidR="007D4CCC" w:rsidRDefault="007D4CCC" w:rsidP="007D4CCC">
      <w:pPr>
        <w:pStyle w:val="Heading1"/>
      </w:pPr>
      <w:bookmarkStart w:id="32" w:name="_Toc488139086"/>
      <w:r w:rsidRPr="007D4CCC">
        <w:t>Évaluation externe de la qualité de la fonction d</w:t>
      </w:r>
      <w:r w:rsidR="00A25F29">
        <w:t>’</w:t>
      </w:r>
      <w:r w:rsidRPr="007D4CCC">
        <w:t>enquête</w:t>
      </w:r>
      <w:bookmarkEnd w:id="32"/>
    </w:p>
    <w:p w:rsidR="007D4CCC" w:rsidRPr="007D4CCC" w:rsidRDefault="007D4CCC" w:rsidP="007D4CCC"/>
    <w:p w:rsidR="007D4CCC" w:rsidRPr="007D4CCC" w:rsidRDefault="007D4CCC" w:rsidP="007D4CCC">
      <w:pPr>
        <w:pStyle w:val="ONUMFS"/>
      </w:pPr>
      <w:r w:rsidRPr="007D4CCC">
        <w:t>Sur les 13 recommandations issues de l</w:t>
      </w:r>
      <w:r w:rsidR="00A25F29">
        <w:t>’</w:t>
      </w:r>
      <w:r w:rsidRPr="007D4CCC">
        <w:t>évaluation externe de la qualité de la fonction d</w:t>
      </w:r>
      <w:r w:rsidR="00A25F29">
        <w:t>’</w:t>
      </w:r>
      <w:r w:rsidRPr="007D4CCC">
        <w:t>enquête, neuf ont déjà été mises en œuv</w:t>
      </w:r>
      <w:r w:rsidR="00186C7F" w:rsidRPr="007D4CCC">
        <w:t>re</w:t>
      </w:r>
      <w:r w:rsidR="00186C7F">
        <w:t xml:space="preserve">.  </w:t>
      </w:r>
      <w:r w:rsidR="00186C7F" w:rsidRPr="007D4CCC">
        <w:t>Su</w:t>
      </w:r>
      <w:r w:rsidRPr="007D4CCC">
        <w:t>r les quatre recommandations restantes, deux seront mises en œuvre à travers l</w:t>
      </w:r>
      <w:r w:rsidR="00A25F29">
        <w:t>’</w:t>
      </w:r>
      <w:r w:rsidRPr="007D4CCC">
        <w:t>élaboration d</w:t>
      </w:r>
      <w:r w:rsidR="00A25F29">
        <w:t>’</w:t>
      </w:r>
      <w:r w:rsidRPr="007D4CCC">
        <w:t>un outil de formation en ligne pour sensibiliser à la fraude, qui sera finalisé au troisième trimestre de 2017;  les deux autres portent sur des questions d</w:t>
      </w:r>
      <w:r w:rsidR="00A25F29">
        <w:t>’</w:t>
      </w:r>
      <w:r w:rsidRPr="007D4CCC">
        <w:t>effectifs que la </w:t>
      </w:r>
      <w:proofErr w:type="spellStart"/>
      <w:r w:rsidRPr="007D4CCC">
        <w:t>DSI</w:t>
      </w:r>
      <w:proofErr w:type="spellEnd"/>
      <w:r w:rsidRPr="007D4CCC">
        <w:t xml:space="preserve"> continue d</w:t>
      </w:r>
      <w:r w:rsidR="00A25F29">
        <w:t>’</w:t>
      </w:r>
      <w:r w:rsidRPr="007D4CCC">
        <w:t>examiner avec la direction.</w:t>
      </w:r>
    </w:p>
    <w:p w:rsidR="007D4CCC" w:rsidRDefault="007D4CCC" w:rsidP="007D4CCC">
      <w:pPr>
        <w:pStyle w:val="Heading1"/>
      </w:pPr>
      <w:bookmarkStart w:id="33" w:name="_Toc488139087"/>
      <w:r w:rsidRPr="007D4CCC">
        <w:t>Activités consultatives et de conseil en matière de supervision</w:t>
      </w:r>
      <w:bookmarkEnd w:id="33"/>
    </w:p>
    <w:p w:rsidR="007D4CCC" w:rsidRPr="007D4CCC" w:rsidRDefault="007D4CCC" w:rsidP="007D4CCC"/>
    <w:p w:rsidR="007D4CCC" w:rsidRPr="007D4CCC" w:rsidRDefault="007D4CCC" w:rsidP="007D4CCC">
      <w:pPr>
        <w:pStyle w:val="ONUMFS"/>
      </w:pPr>
      <w:r w:rsidRPr="007D4CCC">
        <w:t>En plus de ses activités de supervision prévues, la </w:t>
      </w:r>
      <w:proofErr w:type="spellStart"/>
      <w:r w:rsidRPr="007D4CCC">
        <w:t>DSI</w:t>
      </w:r>
      <w:proofErr w:type="spellEnd"/>
      <w:r w:rsidRPr="007D4CCC">
        <w:t xml:space="preserve"> a continué à donner des conseils professionnels sur les politiques et procédures de l</w:t>
      </w:r>
      <w:r w:rsidR="00A25F29">
        <w:t>’</w:t>
      </w:r>
      <w:r w:rsidRPr="007D4CCC">
        <w:t>Organisation, la gestion des risques et les contrôles intern</w:t>
      </w:r>
      <w:r w:rsidR="00186C7F" w:rsidRPr="007D4CCC">
        <w:t>es</w:t>
      </w:r>
      <w:r w:rsidR="00186C7F">
        <w:t xml:space="preserve">.  </w:t>
      </w:r>
      <w:r w:rsidR="00186C7F" w:rsidRPr="007D4CCC">
        <w:t>La</w:t>
      </w:r>
      <w:r w:rsidRPr="007D4CCC">
        <w:t xml:space="preserve"> liste des politiques et procédures sur lesquelles la </w:t>
      </w:r>
      <w:proofErr w:type="spellStart"/>
      <w:r w:rsidRPr="007D4CCC">
        <w:t>DSI</w:t>
      </w:r>
      <w:proofErr w:type="spellEnd"/>
      <w:r w:rsidRPr="007D4CCC">
        <w:t xml:space="preserve"> a formulé des avis dans neuf domaines </w:t>
      </w:r>
      <w:proofErr w:type="gramStart"/>
      <w:r w:rsidRPr="007D4CCC">
        <w:t>figure</w:t>
      </w:r>
      <w:proofErr w:type="gramEnd"/>
      <w:r w:rsidRPr="007D4CCC">
        <w:t xml:space="preserve"> dans l</w:t>
      </w:r>
      <w:r w:rsidR="00A25F29">
        <w:t>’</w:t>
      </w:r>
      <w:r w:rsidRPr="007D4CCC">
        <w:t>annexe du présent rapport (annexe II).</w:t>
      </w:r>
    </w:p>
    <w:p w:rsidR="007D4CCC" w:rsidRPr="007D4CCC" w:rsidRDefault="007D4CCC" w:rsidP="007D4CCC">
      <w:pPr>
        <w:pStyle w:val="Heading1"/>
      </w:pPr>
      <w:bookmarkStart w:id="34" w:name="_Toc488139088"/>
      <w:r w:rsidRPr="007D4CCC">
        <w:t>Coordination avec les organismes de supervision externes</w:t>
      </w:r>
      <w:bookmarkEnd w:id="34"/>
    </w:p>
    <w:p w:rsidR="007D4CCC" w:rsidRDefault="007D4CCC" w:rsidP="007D4CCC">
      <w:pPr>
        <w:pStyle w:val="Heading2"/>
      </w:pPr>
      <w:r w:rsidRPr="007D4CCC">
        <w:t>L</w:t>
      </w:r>
      <w:r w:rsidR="00A25F29">
        <w:t>’</w:t>
      </w:r>
      <w:r w:rsidRPr="007D4CCC">
        <w:t>Organe consultatif indépendant de surveillance (</w:t>
      </w:r>
      <w:proofErr w:type="spellStart"/>
      <w:r w:rsidRPr="007D4CCC">
        <w:t>OCIS</w:t>
      </w:r>
      <w:proofErr w:type="spellEnd"/>
      <w:r w:rsidRPr="007D4CCC">
        <w:t>)</w:t>
      </w:r>
    </w:p>
    <w:p w:rsidR="007D4CCC" w:rsidRPr="007D4CCC" w:rsidRDefault="007D4CCC" w:rsidP="007D4CCC"/>
    <w:p w:rsidR="007D4CCC" w:rsidRPr="007D4CCC" w:rsidRDefault="007D4CCC" w:rsidP="007D4CCC">
      <w:pPr>
        <w:pStyle w:val="ONUMFS"/>
      </w:pPr>
      <w:r w:rsidRPr="007D4CCC">
        <w:t xml:space="preserve">La </w:t>
      </w:r>
      <w:proofErr w:type="spellStart"/>
      <w:r w:rsidRPr="007D4CCC">
        <w:t>DSI</w:t>
      </w:r>
      <w:proofErr w:type="spellEnd"/>
      <w:r w:rsidRPr="007D4CCC">
        <w:t xml:space="preserve"> a assisté régulièrement aux sessions de l</w:t>
      </w:r>
      <w:r w:rsidR="00A25F29">
        <w:t>’</w:t>
      </w:r>
      <w:proofErr w:type="spellStart"/>
      <w:r w:rsidRPr="007D4CCC">
        <w:t>OCIS</w:t>
      </w:r>
      <w:proofErr w:type="spellEnd"/>
      <w:r w:rsidRPr="007D4CCC">
        <w:t>, faisant rapport sur la mise en œuvre du plan de supervision interne, examinant les résultats de la supervision et d</w:t>
      </w:r>
      <w:r w:rsidR="00A25F29">
        <w:t>’</w:t>
      </w:r>
      <w:r w:rsidRPr="007D4CCC">
        <w:t>autres aspects concernant le travail et le fonctionnement de la Division et sollicitant l</w:t>
      </w:r>
      <w:r w:rsidR="00A25F29">
        <w:t>’</w:t>
      </w:r>
      <w:r w:rsidRPr="007D4CCC">
        <w:t>avis de l</w:t>
      </w:r>
      <w:r w:rsidR="00A25F29">
        <w:t>’</w:t>
      </w:r>
      <w:proofErr w:type="spellStart"/>
      <w:r w:rsidRPr="007D4CCC">
        <w:t>OCIS</w:t>
      </w:r>
      <w:proofErr w:type="spellEnd"/>
      <w:r w:rsidRPr="007D4CCC">
        <w:t>.  L</w:t>
      </w:r>
      <w:r w:rsidR="00A25F29">
        <w:t>’</w:t>
      </w:r>
      <w:proofErr w:type="spellStart"/>
      <w:r w:rsidRPr="007D4CCC">
        <w:t>OCIS</w:t>
      </w:r>
      <w:proofErr w:type="spellEnd"/>
      <w:r w:rsidRPr="007D4CCC">
        <w:t xml:space="preserve"> a tenu </w:t>
      </w:r>
      <w:proofErr w:type="gramStart"/>
      <w:r w:rsidRPr="007D4CCC">
        <w:t>ses quarante</w:t>
      </w:r>
      <w:r w:rsidR="00F77457">
        <w:noBreakHyphen/>
      </w:r>
      <w:r w:rsidRPr="007D4CCC">
        <w:t>deuxième à quarante</w:t>
      </w:r>
      <w:r w:rsidR="00F77457">
        <w:noBreakHyphen/>
      </w:r>
      <w:r w:rsidRPr="007D4CCC">
        <w:t>quatr</w:t>
      </w:r>
      <w:r w:rsidR="00A25F29">
        <w:t>ième session</w:t>
      </w:r>
      <w:r w:rsidRPr="007D4CCC">
        <w:t>s pendant</w:t>
      </w:r>
      <w:proofErr w:type="gramEnd"/>
      <w:r w:rsidRPr="007D4CCC">
        <w:t xml:space="preserve"> la période couverte par le présent rapport.</w:t>
      </w:r>
    </w:p>
    <w:p w:rsidR="007D4CCC" w:rsidRDefault="007D4CCC" w:rsidP="007D4CCC">
      <w:pPr>
        <w:pStyle w:val="Heading2"/>
      </w:pPr>
      <w:r w:rsidRPr="007D4CCC">
        <w:lastRenderedPageBreak/>
        <w:t>Le vérificateur externe des comptes</w:t>
      </w:r>
    </w:p>
    <w:p w:rsidR="007D4CCC" w:rsidRPr="007D4CCC" w:rsidRDefault="007D4CCC" w:rsidP="007D4CCC">
      <w:pPr>
        <w:keepNext/>
      </w:pPr>
    </w:p>
    <w:p w:rsidR="007D4CCC" w:rsidRPr="007D4CCC" w:rsidRDefault="007D4CCC" w:rsidP="007D4CCC">
      <w:pPr>
        <w:pStyle w:val="ONUMFS"/>
      </w:pPr>
      <w:r w:rsidRPr="007D4CCC">
        <w:t xml:space="preserve">La </w:t>
      </w:r>
      <w:proofErr w:type="spellStart"/>
      <w:r w:rsidRPr="007D4CCC">
        <w:t>DSI</w:t>
      </w:r>
      <w:proofErr w:type="spellEnd"/>
      <w:r w:rsidRPr="007D4CCC">
        <w:t xml:space="preserve"> entretient de bonnes relations de travail avec le vérificateur externe des comptes au moyen de réunions régulières sur les questions d</w:t>
      </w:r>
      <w:r w:rsidR="00A25F29">
        <w:t>’</w:t>
      </w:r>
      <w:r w:rsidRPr="007D4CCC">
        <w:t>audit, de contrôle interne et de gestion des risqu</w:t>
      </w:r>
      <w:r w:rsidR="00186C7F" w:rsidRPr="007D4CCC">
        <w:t>es</w:t>
      </w:r>
      <w:r w:rsidR="00186C7F">
        <w:t xml:space="preserve">.  </w:t>
      </w:r>
      <w:r w:rsidR="00186C7F" w:rsidRPr="007D4CCC">
        <w:t>Le</w:t>
      </w:r>
      <w:r w:rsidRPr="007D4CCC">
        <w:t xml:space="preserve"> vérificateur externe des comptes et la </w:t>
      </w:r>
      <w:proofErr w:type="spellStart"/>
      <w:r w:rsidRPr="007D4CCC">
        <w:t>DSI</w:t>
      </w:r>
      <w:proofErr w:type="spellEnd"/>
      <w:r w:rsidRPr="007D4CCC">
        <w:t xml:space="preserve"> ont partagé leurs stratégies, programmes de travail et rapports individuels en vue d</w:t>
      </w:r>
      <w:r w:rsidR="00A25F29">
        <w:t>’</w:t>
      </w:r>
      <w:r w:rsidRPr="007D4CCC">
        <w:t>assurer une couverture de supervision efficace et d</w:t>
      </w:r>
      <w:r w:rsidR="00A25F29">
        <w:t>’</w:t>
      </w:r>
      <w:r w:rsidRPr="007D4CCC">
        <w:t>éviter tout chevauchement inutile et toute lassitude en matière de supervision.</w:t>
      </w:r>
    </w:p>
    <w:p w:rsidR="007D4CCC" w:rsidRDefault="007D4CCC" w:rsidP="007D4CCC">
      <w:pPr>
        <w:pStyle w:val="Heading1"/>
      </w:pPr>
      <w:bookmarkStart w:id="35" w:name="_Toc488139089"/>
      <w:r w:rsidRPr="007D4CCC">
        <w:t>Coopération avec le Bureau du médiateur et le Bureau de la déontologie</w:t>
      </w:r>
      <w:bookmarkEnd w:id="35"/>
    </w:p>
    <w:p w:rsidR="007D4CCC" w:rsidRPr="007D4CCC" w:rsidRDefault="007D4CCC" w:rsidP="007D4CCC"/>
    <w:p w:rsidR="007D4CCC" w:rsidRPr="007D4CCC" w:rsidRDefault="007D4CCC" w:rsidP="007D4CCC">
      <w:pPr>
        <w:pStyle w:val="ONUMFS"/>
      </w:pPr>
      <w:r w:rsidRPr="007D4CCC">
        <w:t>Durant la période considérée, le directeur de la </w:t>
      </w:r>
      <w:proofErr w:type="spellStart"/>
      <w:r w:rsidRPr="007D4CCC">
        <w:t>DSI</w:t>
      </w:r>
      <w:proofErr w:type="spellEnd"/>
      <w:r w:rsidRPr="007D4CCC">
        <w:t xml:space="preserve"> s</w:t>
      </w:r>
      <w:r w:rsidR="00A25F29">
        <w:t>’</w:t>
      </w:r>
      <w:r w:rsidRPr="007D4CCC">
        <w:t>est entretenu régulièrement avec le médiateur et le chef du Bureau de la déontologie pour assurer une bonne coordination et apporter un appui supplémentaire.</w:t>
      </w:r>
    </w:p>
    <w:p w:rsidR="007D4CCC" w:rsidRPr="007D4CCC" w:rsidRDefault="007D4CCC" w:rsidP="007D4CCC">
      <w:pPr>
        <w:pStyle w:val="Heading1"/>
      </w:pPr>
      <w:bookmarkStart w:id="36" w:name="_Toc488139090"/>
      <w:r w:rsidRPr="007D4CCC">
        <w:t>Autres activités de supervision</w:t>
      </w:r>
      <w:bookmarkEnd w:id="36"/>
    </w:p>
    <w:p w:rsidR="007D4CCC" w:rsidRDefault="007D4CCC" w:rsidP="007D4CCC">
      <w:pPr>
        <w:pStyle w:val="Heading2"/>
      </w:pPr>
      <w:r w:rsidRPr="007D4CCC">
        <w:t>Activités de sensibilisation au sein de l</w:t>
      </w:r>
      <w:r w:rsidR="00A25F29">
        <w:t>’</w:t>
      </w:r>
      <w:r w:rsidRPr="007D4CCC">
        <w:t>Organisation</w:t>
      </w:r>
    </w:p>
    <w:p w:rsidR="007D4CCC" w:rsidRPr="007D4CCC" w:rsidRDefault="007D4CCC" w:rsidP="007D4CCC"/>
    <w:p w:rsidR="007D4CCC" w:rsidRPr="007D4CCC" w:rsidRDefault="007D4CCC" w:rsidP="007D4CCC">
      <w:pPr>
        <w:pStyle w:val="ONUMFS"/>
      </w:pPr>
      <w:r w:rsidRPr="007D4CCC">
        <w:t>Au titre des efforts qu</w:t>
      </w:r>
      <w:r w:rsidR="00A25F29">
        <w:t>’</w:t>
      </w:r>
      <w:r w:rsidRPr="007D4CCC">
        <w:t>elle déploie pour mieux expliquer et faire comprendre la fonction de supervision interne, la </w:t>
      </w:r>
      <w:proofErr w:type="spellStart"/>
      <w:r w:rsidRPr="007D4CCC">
        <w:t>DSI</w:t>
      </w:r>
      <w:proofErr w:type="spellEnd"/>
      <w:r w:rsidRPr="007D4CCC">
        <w:t xml:space="preserve"> a poursuivi son travail de sensibilisation à l</w:t>
      </w:r>
      <w:r w:rsidR="00A25F29">
        <w:t>’</w:t>
      </w:r>
      <w:r w:rsidRPr="007D4CCC">
        <w:t>intention du personnel de l</w:t>
      </w:r>
      <w:r w:rsidR="00A25F29">
        <w:t>’</w:t>
      </w:r>
      <w:proofErr w:type="spellStart"/>
      <w:r w:rsidRPr="007D4CCC">
        <w:t>OMPI</w:t>
      </w:r>
      <w:proofErr w:type="spellEnd"/>
      <w:r w:rsidRPr="007D4CCC">
        <w:t xml:space="preserve"> à travers l</w:t>
      </w:r>
      <w:r w:rsidR="00A25F29">
        <w:t>’</w:t>
      </w:r>
      <w:r w:rsidRPr="007D4CCC">
        <w:t>organisation de cours d</w:t>
      </w:r>
      <w:r w:rsidR="00A25F29">
        <w:t>’</w:t>
      </w:r>
      <w:r w:rsidRPr="007D4CCC">
        <w:t>initiation à l</w:t>
      </w:r>
      <w:r w:rsidR="00A25F29">
        <w:t>’</w:t>
      </w:r>
      <w:r w:rsidRPr="007D4CCC">
        <w:t>intention des nouveaux fonctionnaires, le bulletin de la </w:t>
      </w:r>
      <w:proofErr w:type="spellStart"/>
      <w:r w:rsidRPr="007D4CCC">
        <w:t>DSI</w:t>
      </w:r>
      <w:proofErr w:type="spellEnd"/>
      <w:r w:rsidRPr="007D4CCC">
        <w:t>, le tableau de bord de la </w:t>
      </w:r>
      <w:proofErr w:type="spellStart"/>
      <w:r w:rsidRPr="007D4CCC">
        <w:t>DSI</w:t>
      </w:r>
      <w:proofErr w:type="spellEnd"/>
      <w:r w:rsidRPr="007D4CCC">
        <w:t xml:space="preserve"> et les exposés présentés aux directeurs et à la haute direction selon que de besoin.</w:t>
      </w:r>
    </w:p>
    <w:p w:rsidR="007D4CCC" w:rsidRDefault="007D4CCC" w:rsidP="007D4CCC">
      <w:pPr>
        <w:pStyle w:val="Heading2"/>
      </w:pPr>
      <w:r w:rsidRPr="007D4CCC">
        <w:t>Enquête de satisfaction</w:t>
      </w:r>
    </w:p>
    <w:p w:rsidR="007D4CCC" w:rsidRPr="007D4CCC" w:rsidRDefault="007D4CCC" w:rsidP="007D4CCC"/>
    <w:p w:rsidR="007D4CCC" w:rsidRPr="007D4CCC" w:rsidRDefault="007D4CCC" w:rsidP="007D4CCC">
      <w:pPr>
        <w:pStyle w:val="ONUMFS"/>
      </w:pPr>
      <w:r w:rsidRPr="007D4CCC">
        <w:t xml:space="preserve">La </w:t>
      </w:r>
      <w:proofErr w:type="spellStart"/>
      <w:r w:rsidRPr="007D4CCC">
        <w:t>DSI</w:t>
      </w:r>
      <w:proofErr w:type="spellEnd"/>
      <w:r w:rsidRPr="007D4CCC">
        <w:t xml:space="preserve"> a continué à recueillir les avis des collègues de l</w:t>
      </w:r>
      <w:r w:rsidR="00A25F29">
        <w:t>’</w:t>
      </w:r>
      <w:proofErr w:type="spellStart"/>
      <w:r w:rsidRPr="007D4CCC">
        <w:t>OMPI</w:t>
      </w:r>
      <w:proofErr w:type="spellEnd"/>
      <w:r w:rsidRPr="007D4CCC">
        <w:t xml:space="preserve"> dans les services ayant fait l</w:t>
      </w:r>
      <w:r w:rsidR="00A25F29">
        <w:t>’</w:t>
      </w:r>
      <w:r w:rsidRPr="007D4CCC">
        <w:t>objet d</w:t>
      </w:r>
      <w:r w:rsidR="00A25F29">
        <w:t>’</w:t>
      </w:r>
      <w:r w:rsidRPr="007D4CCC">
        <w:t>audits ou d</w:t>
      </w:r>
      <w:r w:rsidR="00A25F29">
        <w:t>’</w:t>
      </w:r>
      <w:r w:rsidRPr="007D4CCC">
        <w:t>évaluations au moyen d</w:t>
      </w:r>
      <w:r w:rsidR="00A25F29">
        <w:t>’</w:t>
      </w:r>
      <w:r w:rsidRPr="007D4CCC">
        <w:t>enquêtes sur le niveau de satisfaction des clients après chaque missi</w:t>
      </w:r>
      <w:r w:rsidR="00186C7F" w:rsidRPr="007D4CCC">
        <w:t>on</w:t>
      </w:r>
      <w:r w:rsidR="00186C7F">
        <w:t xml:space="preserve">.  </w:t>
      </w:r>
      <w:r w:rsidR="00186C7F" w:rsidRPr="007D4CCC">
        <w:t>Ce</w:t>
      </w:r>
      <w:r w:rsidRPr="007D4CCC">
        <w:t>la permet d</w:t>
      </w:r>
      <w:r w:rsidR="00A25F29">
        <w:t>’</w:t>
      </w:r>
      <w:r w:rsidRPr="007D4CCC">
        <w:t>analyser efficacement les avis recueillis auprès des collègues sur les activités de supervisi</w:t>
      </w:r>
      <w:r w:rsidR="00186C7F" w:rsidRPr="007D4CCC">
        <w:t>on</w:t>
      </w:r>
      <w:r w:rsidR="00186C7F">
        <w:t xml:space="preserve">.  </w:t>
      </w:r>
      <w:r w:rsidR="00186C7F" w:rsidRPr="007D4CCC">
        <w:t>L</w:t>
      </w:r>
      <w:r w:rsidR="00186C7F">
        <w:t>’</w:t>
      </w:r>
      <w:r w:rsidR="00186C7F" w:rsidRPr="007D4CCC">
        <w:t>a</w:t>
      </w:r>
      <w:r w:rsidRPr="007D4CCC">
        <w:t>nalyse globale des résultats d</w:t>
      </w:r>
      <w:r w:rsidR="00A25F29">
        <w:t>’</w:t>
      </w:r>
      <w:r w:rsidRPr="007D4CCC">
        <w:t>enquête fait état d</w:t>
      </w:r>
      <w:r w:rsidR="00A25F29">
        <w:t>’</w:t>
      </w:r>
      <w:r w:rsidRPr="007D4CCC">
        <w:t>un taux de satisfaction de 86%.</w:t>
      </w:r>
    </w:p>
    <w:p w:rsidR="007D4CCC" w:rsidRPr="007D4CCC" w:rsidRDefault="007D4CCC" w:rsidP="007D4CCC">
      <w:pPr>
        <w:pStyle w:val="ONUMFS"/>
      </w:pPr>
      <w:r w:rsidRPr="007D4CCC">
        <w:t>Les résultats des enquêtes effectuées un an après les missions, qui sont utilisés pour mesurer les incidences des activités de supervision, indiquaient un taux moyen de satisfaction de 85%.  La </w:t>
      </w:r>
      <w:proofErr w:type="spellStart"/>
      <w:r w:rsidRPr="007D4CCC">
        <w:t>DSI</w:t>
      </w:r>
      <w:proofErr w:type="spellEnd"/>
      <w:r w:rsidRPr="007D4CCC">
        <w:t xml:space="preserve"> s</w:t>
      </w:r>
      <w:r w:rsidR="00A25F29">
        <w:t>’</w:t>
      </w:r>
      <w:r w:rsidRPr="007D4CCC">
        <w:t>emploiera à améliorer encore l</w:t>
      </w:r>
      <w:r w:rsidR="00A25F29">
        <w:t>’</w:t>
      </w:r>
      <w:r w:rsidRPr="007D4CCC">
        <w:t>impact de ses activités de supervision compte tenu des observations transmises par les collègues.</w:t>
      </w:r>
    </w:p>
    <w:p w:rsidR="007D4CCC" w:rsidRPr="007D4CCC" w:rsidRDefault="007D4CCC" w:rsidP="007D4CCC">
      <w:pPr>
        <w:pStyle w:val="ONUMFS"/>
      </w:pPr>
      <w:r w:rsidRPr="007D4CCC">
        <w:t>Les observations supplémentaires communiquées par les services ayant fait l</w:t>
      </w:r>
      <w:r w:rsidR="00A25F29">
        <w:t>’</w:t>
      </w:r>
      <w:r w:rsidRPr="007D4CCC">
        <w:t>objet d</w:t>
      </w:r>
      <w:r w:rsidR="00A25F29">
        <w:t>’</w:t>
      </w:r>
      <w:r w:rsidRPr="007D4CCC">
        <w:t>audits ou d</w:t>
      </w:r>
      <w:r w:rsidR="00A25F29">
        <w:t>’</w:t>
      </w:r>
      <w:r w:rsidRPr="007D4CCC">
        <w:t>évaluations ont aidé la </w:t>
      </w:r>
      <w:proofErr w:type="spellStart"/>
      <w:r w:rsidRPr="007D4CCC">
        <w:t>DSI</w:t>
      </w:r>
      <w:proofErr w:type="spellEnd"/>
      <w:r w:rsidRPr="007D4CCC">
        <w:t xml:space="preserve"> à recenser les lacunes et à prendre des mesures correctrices.</w:t>
      </w:r>
    </w:p>
    <w:p w:rsidR="007D4CCC" w:rsidRDefault="007D4CCC" w:rsidP="007D4CCC">
      <w:pPr>
        <w:pStyle w:val="Heading2"/>
      </w:pPr>
      <w:r w:rsidRPr="007D4CCC">
        <w:t>Création de réseaux avec d</w:t>
      </w:r>
      <w:r w:rsidR="00A25F29">
        <w:t>’</w:t>
      </w:r>
      <w:r w:rsidRPr="007D4CCC">
        <w:t>autres fonctions de supervision</w:t>
      </w:r>
    </w:p>
    <w:p w:rsidR="00BA5FB0" w:rsidRPr="00BA5FB0" w:rsidRDefault="00BA5FB0" w:rsidP="00BA5FB0"/>
    <w:p w:rsidR="007D4CCC" w:rsidRPr="007D4CCC" w:rsidRDefault="007D4CCC" w:rsidP="00BA5FB0">
      <w:pPr>
        <w:pStyle w:val="ONUMFS"/>
      </w:pPr>
      <w:r w:rsidRPr="007D4CCC">
        <w:t>La Charte de la supervision interne fait expressément mention</w:t>
      </w:r>
      <w:r w:rsidRPr="007D4CCC">
        <w:rPr>
          <w:rStyle w:val="FootnoteReference"/>
        </w:rPr>
        <w:footnoteReference w:id="12"/>
      </w:r>
      <w:r w:rsidRPr="007D4CCC">
        <w:t xml:space="preserve"> d</w:t>
      </w:r>
      <w:r w:rsidR="00A25F29">
        <w:t>’</w:t>
      </w:r>
      <w:r w:rsidRPr="007D4CCC">
        <w:t>assurer la liaison et la coopération avec les services de supervision interne d</w:t>
      </w:r>
      <w:r w:rsidR="00A25F29">
        <w:t>’</w:t>
      </w:r>
      <w:r w:rsidRPr="007D4CCC">
        <w:t xml:space="preserve">autres organisations du système des </w:t>
      </w:r>
      <w:r w:rsidR="00A25F29">
        <w:t>Nations Unies</w:t>
      </w:r>
      <w:r w:rsidRPr="007D4CCC">
        <w:t xml:space="preserve"> et d</w:t>
      </w:r>
      <w:r w:rsidR="00A25F29">
        <w:t>’</w:t>
      </w:r>
      <w:r w:rsidRPr="007D4CCC">
        <w:t>institutions financières multilatéral</w:t>
      </w:r>
      <w:r w:rsidR="00186C7F" w:rsidRPr="007D4CCC">
        <w:t>es</w:t>
      </w:r>
      <w:r w:rsidR="00186C7F">
        <w:t xml:space="preserve">.  </w:t>
      </w:r>
      <w:r w:rsidR="00186C7F" w:rsidRPr="007D4CCC">
        <w:t>La</w:t>
      </w:r>
      <w:r w:rsidRPr="007D4CCC">
        <w:t> </w:t>
      </w:r>
      <w:proofErr w:type="spellStart"/>
      <w:r w:rsidRPr="007D4CCC">
        <w:t>DSI</w:t>
      </w:r>
      <w:proofErr w:type="spellEnd"/>
      <w:r w:rsidRPr="007D4CCC">
        <w:t xml:space="preserve"> est consciente de la valeur et de l</w:t>
      </w:r>
      <w:r w:rsidR="00A25F29">
        <w:t>’</w:t>
      </w:r>
      <w:r w:rsidRPr="007D4CCC">
        <w:t>importance que revêt l</w:t>
      </w:r>
      <w:r w:rsidR="00A25F29">
        <w:t>’</w:t>
      </w:r>
      <w:r w:rsidRPr="007D4CCC">
        <w:t>établissement de relations de travail avec ses homologu</w:t>
      </w:r>
      <w:r w:rsidR="00186C7F" w:rsidRPr="007D4CCC">
        <w:t>es</w:t>
      </w:r>
      <w:r w:rsidR="00186C7F">
        <w:t xml:space="preserve">.  </w:t>
      </w:r>
      <w:r w:rsidR="00186C7F" w:rsidRPr="007D4CCC">
        <w:t>Pe</w:t>
      </w:r>
      <w:r w:rsidRPr="007D4CCC">
        <w:t xml:space="preserve">ndant </w:t>
      </w:r>
      <w:r w:rsidRPr="007D4CCC">
        <w:lastRenderedPageBreak/>
        <w:t>la période considérée, la </w:t>
      </w:r>
      <w:proofErr w:type="spellStart"/>
      <w:r w:rsidRPr="007D4CCC">
        <w:t>DSI</w:t>
      </w:r>
      <w:proofErr w:type="spellEnd"/>
      <w:r w:rsidRPr="007D4CCC">
        <w:t xml:space="preserve"> a poursuivi activement et utilement ses activités de collaboration et de création de réseaux avec les autres organisations et entités des </w:t>
      </w:r>
      <w:r w:rsidR="00A25F29">
        <w:t>Nations Uni</w:t>
      </w:r>
      <w:r w:rsidR="00186C7F">
        <w:t xml:space="preserve">es.  </w:t>
      </w:r>
      <w:r w:rsidR="00186C7F" w:rsidRPr="007D4CCC">
        <w:t>La</w:t>
      </w:r>
      <w:r w:rsidRPr="007D4CCC">
        <w:t> </w:t>
      </w:r>
      <w:proofErr w:type="spellStart"/>
      <w:r w:rsidRPr="007D4CCC">
        <w:t>DSI</w:t>
      </w:r>
      <w:proofErr w:type="spellEnd"/>
      <w:r w:rsidRPr="007D4CCC">
        <w:t xml:space="preserve"> a notamment participé aux activités suivantes</w:t>
      </w:r>
      <w:r w:rsidR="00A25F29">
        <w:t> :</w:t>
      </w:r>
    </w:p>
    <w:p w:rsidR="007D4CCC" w:rsidRPr="007D4CCC" w:rsidRDefault="007D4CCC" w:rsidP="00BA5FB0">
      <w:pPr>
        <w:pStyle w:val="ONUMFS"/>
        <w:numPr>
          <w:ilvl w:val="1"/>
          <w:numId w:val="43"/>
        </w:numPr>
        <w:rPr>
          <w:lang w:eastAsia="en-GB"/>
        </w:rPr>
      </w:pPr>
      <w:r w:rsidRPr="007D4CCC">
        <w:rPr>
          <w:lang w:eastAsia="en-GB"/>
        </w:rPr>
        <w:t xml:space="preserve">la Conférence internationale annuelle et la réunion du Public </w:t>
      </w:r>
      <w:proofErr w:type="spellStart"/>
      <w:r w:rsidRPr="007D4CCC">
        <w:rPr>
          <w:lang w:eastAsia="en-GB"/>
        </w:rPr>
        <w:t>Sector</w:t>
      </w:r>
      <w:proofErr w:type="spellEnd"/>
      <w:r w:rsidRPr="007D4CCC">
        <w:rPr>
          <w:lang w:eastAsia="en-GB"/>
        </w:rPr>
        <w:t xml:space="preserve"> </w:t>
      </w:r>
      <w:proofErr w:type="spellStart"/>
      <w:r w:rsidRPr="007D4CCC">
        <w:rPr>
          <w:lang w:eastAsia="en-GB"/>
        </w:rPr>
        <w:t>Committee</w:t>
      </w:r>
      <w:proofErr w:type="spellEnd"/>
      <w:r w:rsidRPr="007D4CCC">
        <w:rPr>
          <w:lang w:eastAsia="en-GB"/>
        </w:rPr>
        <w:t xml:space="preserve"> de l</w:t>
      </w:r>
      <w:r w:rsidR="00A25F29">
        <w:rPr>
          <w:lang w:eastAsia="en-GB"/>
        </w:rPr>
        <w:t>’</w:t>
      </w:r>
      <w:r w:rsidRPr="007D4CCC">
        <w:rPr>
          <w:lang w:eastAsia="en-GB"/>
        </w:rPr>
        <w:t>Institut des auditeurs internes, qui se sont tenues à New York (États</w:t>
      </w:r>
      <w:r w:rsidR="00F77457">
        <w:rPr>
          <w:lang w:eastAsia="en-GB"/>
        </w:rPr>
        <w:noBreakHyphen/>
      </w:r>
      <w:r w:rsidRPr="007D4CCC">
        <w:rPr>
          <w:lang w:eastAsia="en-GB"/>
        </w:rPr>
        <w:t>Unis d</w:t>
      </w:r>
      <w:r w:rsidR="00A25F29">
        <w:rPr>
          <w:lang w:eastAsia="en-GB"/>
        </w:rPr>
        <w:t>’</w:t>
      </w:r>
      <w:r w:rsidRPr="007D4CCC">
        <w:rPr>
          <w:lang w:eastAsia="en-GB"/>
        </w:rPr>
        <w:t>Amérique) du 17 au 20 juillet 2016;</w:t>
      </w:r>
    </w:p>
    <w:p w:rsidR="007D4CCC" w:rsidRPr="007D4CCC" w:rsidRDefault="007D4CCC" w:rsidP="00BA5FB0">
      <w:pPr>
        <w:pStyle w:val="ONUMFS"/>
        <w:numPr>
          <w:ilvl w:val="1"/>
          <w:numId w:val="43"/>
        </w:numPr>
        <w:rPr>
          <w:lang w:eastAsia="en-GB"/>
        </w:rPr>
      </w:pPr>
      <w:r w:rsidRPr="007D4CCC">
        <w:rPr>
          <w:lang w:eastAsia="en-GB"/>
        </w:rPr>
        <w:t>la réunion annuelle des représentants des services d</w:t>
      </w:r>
      <w:r w:rsidR="00A25F29">
        <w:rPr>
          <w:lang w:eastAsia="en-GB"/>
        </w:rPr>
        <w:t>’</w:t>
      </w:r>
      <w:r w:rsidRPr="007D4CCC">
        <w:rPr>
          <w:lang w:eastAsia="en-GB"/>
        </w:rPr>
        <w:t xml:space="preserve">audit interne des organismes des </w:t>
      </w:r>
      <w:r w:rsidR="00A25F29">
        <w:rPr>
          <w:lang w:eastAsia="en-GB"/>
        </w:rPr>
        <w:t>Nations Unies</w:t>
      </w:r>
      <w:r w:rsidRPr="007D4CCC">
        <w:rPr>
          <w:lang w:eastAsia="en-GB"/>
        </w:rPr>
        <w:t>, tenue à New York (États</w:t>
      </w:r>
      <w:r w:rsidR="00F77457">
        <w:rPr>
          <w:lang w:eastAsia="en-GB"/>
        </w:rPr>
        <w:noBreakHyphen/>
      </w:r>
      <w:r w:rsidRPr="007D4CCC">
        <w:rPr>
          <w:lang w:eastAsia="en-GB"/>
        </w:rPr>
        <w:t>Unis d</w:t>
      </w:r>
      <w:r w:rsidR="00A25F29">
        <w:rPr>
          <w:lang w:eastAsia="en-GB"/>
        </w:rPr>
        <w:t>’</w:t>
      </w:r>
      <w:r w:rsidRPr="007D4CCC">
        <w:rPr>
          <w:lang w:eastAsia="en-GB"/>
        </w:rPr>
        <w:t>Amérique) du 6 au 9 septembre 2016;</w:t>
      </w:r>
    </w:p>
    <w:p w:rsidR="007D4CCC" w:rsidRPr="007D4CCC" w:rsidRDefault="007D4CCC" w:rsidP="00BA5FB0">
      <w:pPr>
        <w:pStyle w:val="ONUMFS"/>
        <w:numPr>
          <w:ilvl w:val="1"/>
          <w:numId w:val="43"/>
        </w:numPr>
        <w:rPr>
          <w:lang w:eastAsia="en-GB"/>
        </w:rPr>
      </w:pPr>
      <w:r w:rsidRPr="007D4CCC">
        <w:rPr>
          <w:lang w:eastAsia="en-GB"/>
        </w:rPr>
        <w:t>la réunion annuelle des représentants des services d</w:t>
      </w:r>
      <w:r w:rsidR="00A25F29">
        <w:rPr>
          <w:lang w:eastAsia="en-GB"/>
        </w:rPr>
        <w:t>’</w:t>
      </w:r>
      <w:r w:rsidRPr="007D4CCC">
        <w:rPr>
          <w:lang w:eastAsia="en-GB"/>
        </w:rPr>
        <w:t xml:space="preserve">enquête des </w:t>
      </w:r>
      <w:r w:rsidR="00A25F29">
        <w:rPr>
          <w:lang w:eastAsia="en-GB"/>
        </w:rPr>
        <w:t>Nations Unies</w:t>
      </w:r>
      <w:r w:rsidRPr="007D4CCC">
        <w:rPr>
          <w:lang w:eastAsia="en-GB"/>
        </w:rPr>
        <w:t xml:space="preserve">, tenue à </w:t>
      </w:r>
      <w:proofErr w:type="spellStart"/>
      <w:r w:rsidRPr="007D4CCC">
        <w:rPr>
          <w:lang w:eastAsia="en-GB"/>
        </w:rPr>
        <w:t>Laxenburg</w:t>
      </w:r>
      <w:proofErr w:type="spellEnd"/>
      <w:r w:rsidRPr="007D4CCC">
        <w:rPr>
          <w:lang w:eastAsia="en-GB"/>
        </w:rPr>
        <w:t xml:space="preserve"> (Autriche) le 4 octobre 2016;</w:t>
      </w:r>
    </w:p>
    <w:p w:rsidR="007D4CCC" w:rsidRPr="007D4CCC" w:rsidRDefault="007D4CCC" w:rsidP="00BA5FB0">
      <w:pPr>
        <w:pStyle w:val="ONUMFS"/>
        <w:numPr>
          <w:ilvl w:val="1"/>
          <w:numId w:val="43"/>
        </w:numPr>
        <w:rPr>
          <w:lang w:eastAsia="en-GB"/>
        </w:rPr>
      </w:pPr>
      <w:r w:rsidRPr="007D4CCC">
        <w:rPr>
          <w:lang w:eastAsia="en-GB"/>
        </w:rPr>
        <w:t>la réunion annuelle des chefs des services d</w:t>
      </w:r>
      <w:r w:rsidR="00A25F29">
        <w:rPr>
          <w:lang w:eastAsia="en-GB"/>
        </w:rPr>
        <w:t>’</w:t>
      </w:r>
      <w:r w:rsidRPr="007D4CCC">
        <w:rPr>
          <w:lang w:eastAsia="en-GB"/>
        </w:rPr>
        <w:t>audit interne des organisations internationales ayant leur siège en Europe, tenue au Mécanisme européen de stabilité à Luxembourg, du 26 au 29 avril 2017;</w:t>
      </w:r>
    </w:p>
    <w:p w:rsidR="007D4CCC" w:rsidRPr="007D4CCC" w:rsidRDefault="007D4CCC" w:rsidP="00BA5FB0">
      <w:pPr>
        <w:pStyle w:val="ONUMFS"/>
        <w:numPr>
          <w:ilvl w:val="1"/>
          <w:numId w:val="43"/>
        </w:numPr>
        <w:rPr>
          <w:lang w:eastAsia="en-GB"/>
        </w:rPr>
      </w:pPr>
      <w:r w:rsidRPr="007D4CCC">
        <w:rPr>
          <w:lang w:eastAsia="en-GB"/>
        </w:rPr>
        <w:t>l</w:t>
      </w:r>
      <w:r w:rsidR="00A25F29">
        <w:rPr>
          <w:lang w:eastAsia="en-GB"/>
        </w:rPr>
        <w:t>’</w:t>
      </w:r>
      <w:proofErr w:type="spellStart"/>
      <w:r w:rsidRPr="007D4CCC">
        <w:rPr>
          <w:lang w:eastAsia="en-GB"/>
        </w:rPr>
        <w:t>OMPI</w:t>
      </w:r>
      <w:proofErr w:type="spellEnd"/>
      <w:r w:rsidRPr="007D4CCC">
        <w:rPr>
          <w:lang w:eastAsia="en-GB"/>
        </w:rPr>
        <w:t xml:space="preserve"> a participé à la semaine d</w:t>
      </w:r>
      <w:r w:rsidR="00A25F29">
        <w:rPr>
          <w:lang w:eastAsia="en-GB"/>
        </w:rPr>
        <w:t>’</w:t>
      </w:r>
      <w:r w:rsidRPr="007D4CCC">
        <w:rPr>
          <w:lang w:eastAsia="en-GB"/>
        </w:rPr>
        <w:t xml:space="preserve">évaluation du Groupe des </w:t>
      </w:r>
      <w:r w:rsidR="00A25F29">
        <w:rPr>
          <w:lang w:eastAsia="en-GB"/>
        </w:rPr>
        <w:t>Nations Unies</w:t>
      </w:r>
      <w:r w:rsidRPr="007D4CCC">
        <w:rPr>
          <w:lang w:eastAsia="en-GB"/>
        </w:rPr>
        <w:t xml:space="preserve"> sur l</w:t>
      </w:r>
      <w:r w:rsidR="00A25F29">
        <w:rPr>
          <w:lang w:eastAsia="en-GB"/>
        </w:rPr>
        <w:t>’</w:t>
      </w:r>
      <w:r w:rsidRPr="007D4CCC">
        <w:rPr>
          <w:lang w:eastAsia="en-GB"/>
        </w:rPr>
        <w:t>évaluation (</w:t>
      </w:r>
      <w:proofErr w:type="spellStart"/>
      <w:r w:rsidRPr="007D4CCC">
        <w:rPr>
          <w:lang w:eastAsia="en-GB"/>
        </w:rPr>
        <w:t>GNUE</w:t>
      </w:r>
      <w:proofErr w:type="spellEnd"/>
      <w:r w:rsidRPr="007D4CCC">
        <w:rPr>
          <w:lang w:eastAsia="en-GB"/>
        </w:rPr>
        <w:t>), tenue à Vienne (Autriche) du 15 au 19 mai 2017;</w:t>
      </w:r>
    </w:p>
    <w:p w:rsidR="007D4CCC" w:rsidRPr="007D4CCC" w:rsidRDefault="007D4CCC" w:rsidP="00BA5FB0">
      <w:pPr>
        <w:pStyle w:val="ONUMFS"/>
        <w:numPr>
          <w:ilvl w:val="1"/>
          <w:numId w:val="43"/>
        </w:numPr>
        <w:rPr>
          <w:lang w:eastAsia="en-GB"/>
        </w:rPr>
      </w:pPr>
      <w:r w:rsidRPr="007D4CCC">
        <w:rPr>
          <w:lang w:eastAsia="en-GB"/>
        </w:rPr>
        <w:t>l</w:t>
      </w:r>
      <w:r w:rsidR="00A25F29">
        <w:rPr>
          <w:lang w:eastAsia="en-GB"/>
        </w:rPr>
        <w:t>’</w:t>
      </w:r>
      <w:r w:rsidRPr="007D4CCC">
        <w:rPr>
          <w:lang w:eastAsia="en-GB"/>
        </w:rPr>
        <w:t>évaluation externe de la qualité de la fonction d</w:t>
      </w:r>
      <w:r w:rsidR="00A25F29">
        <w:rPr>
          <w:lang w:eastAsia="en-GB"/>
        </w:rPr>
        <w:t>’</w:t>
      </w:r>
      <w:r w:rsidRPr="007D4CCC">
        <w:rPr>
          <w:lang w:eastAsia="en-GB"/>
        </w:rPr>
        <w:t>enquête du Programme alimentaire mondial (PAM), qui a débuté en juin 2017 et devrait s</w:t>
      </w:r>
      <w:r w:rsidR="00A25F29">
        <w:rPr>
          <w:lang w:eastAsia="en-GB"/>
        </w:rPr>
        <w:t>’</w:t>
      </w:r>
      <w:r w:rsidRPr="007D4CCC">
        <w:rPr>
          <w:lang w:eastAsia="en-GB"/>
        </w:rPr>
        <w:t>achever en septembre 2017.</w:t>
      </w:r>
    </w:p>
    <w:p w:rsidR="007D4CCC" w:rsidRDefault="007D4CCC" w:rsidP="007D4CCC">
      <w:pPr>
        <w:pStyle w:val="Heading1"/>
      </w:pPr>
      <w:bookmarkStart w:id="37" w:name="_Toc488139091"/>
      <w:r w:rsidRPr="007D4CCC">
        <w:t>Indépendance des activités de la </w:t>
      </w:r>
      <w:proofErr w:type="spellStart"/>
      <w:r w:rsidRPr="007D4CCC">
        <w:t>DSI</w:t>
      </w:r>
      <w:bookmarkEnd w:id="37"/>
      <w:proofErr w:type="spellEnd"/>
    </w:p>
    <w:p w:rsidR="00BA5FB0" w:rsidRPr="00BA5FB0" w:rsidRDefault="00BA5FB0" w:rsidP="00BA5FB0"/>
    <w:p w:rsidR="007D4CCC" w:rsidRPr="007D4CCC" w:rsidRDefault="007D4CCC" w:rsidP="00BA5FB0">
      <w:pPr>
        <w:pStyle w:val="ONUMFS"/>
      </w:pPr>
      <w:r w:rsidRPr="007D4CCC">
        <w:t>En vertu de la Charte de la supervision interne</w:t>
      </w:r>
      <w:r w:rsidRPr="007D4CCC">
        <w:rPr>
          <w:rStyle w:val="FootnoteReference"/>
        </w:rPr>
        <w:footnoteReference w:id="13"/>
      </w:r>
      <w:r w:rsidRPr="007D4CCC">
        <w:t>, le directeur de la </w:t>
      </w:r>
      <w:proofErr w:type="spellStart"/>
      <w:r w:rsidRPr="007D4CCC">
        <w:t>DSI</w:t>
      </w:r>
      <w:proofErr w:type="spellEnd"/>
      <w:r w:rsidRPr="007D4CCC">
        <w:t xml:space="preserve"> confirme l</w:t>
      </w:r>
      <w:r w:rsidR="00A25F29">
        <w:t>’</w:t>
      </w:r>
      <w:r w:rsidRPr="007D4CCC">
        <w:t>indépendance de ses activités et fait part de ses observations sur la portée de celles</w:t>
      </w:r>
      <w:r w:rsidR="00F77457">
        <w:noBreakHyphen/>
      </w:r>
      <w:r w:rsidRPr="007D4CCC">
        <w:t>ci et la question de savoir si les ressources allouées à la fonction de supervision interne sont adaptées.</w:t>
      </w:r>
    </w:p>
    <w:p w:rsidR="007D4CCC" w:rsidRPr="007D4CCC" w:rsidRDefault="007D4CCC" w:rsidP="00BA5FB0">
      <w:pPr>
        <w:pStyle w:val="ONUMFS"/>
      </w:pPr>
      <w:bookmarkStart w:id="38" w:name="_Toc420663573"/>
      <w:r w:rsidRPr="007D4CCC">
        <w:t>Au cours de la période considérée, aucun cas ni aucune activité n</w:t>
      </w:r>
      <w:r w:rsidR="00A25F29">
        <w:t>’</w:t>
      </w:r>
      <w:r w:rsidRPr="007D4CCC">
        <w:t>ont été observés qui auraient pu mettre en péril l</w:t>
      </w:r>
      <w:r w:rsidR="00A25F29">
        <w:t>’</w:t>
      </w:r>
      <w:r w:rsidRPr="007D4CCC">
        <w:t>indépendance des activités de la </w:t>
      </w:r>
      <w:proofErr w:type="spellStart"/>
      <w:r w:rsidR="00186C7F" w:rsidRPr="007D4CCC">
        <w:t>DSI</w:t>
      </w:r>
      <w:proofErr w:type="spellEnd"/>
      <w:r w:rsidR="00186C7F">
        <w:t xml:space="preserve">.  </w:t>
      </w:r>
      <w:r w:rsidR="00186C7F" w:rsidRPr="007D4CCC">
        <w:t>La</w:t>
      </w:r>
      <w:r w:rsidRPr="007D4CCC">
        <w:t xml:space="preserve"> portée des activités de supervision a été déterminée par la Division, compte tenu de l</w:t>
      </w:r>
      <w:r w:rsidR="00A25F29">
        <w:t>’</w:t>
      </w:r>
      <w:r w:rsidRPr="007D4CCC">
        <w:t>évaluation des risques, des commentaires et des observations formulés, le cas échéant, par la direction de l</w:t>
      </w:r>
      <w:r w:rsidR="00A25F29">
        <w:t>’</w:t>
      </w:r>
      <w:proofErr w:type="spellStart"/>
      <w:r w:rsidRPr="007D4CCC">
        <w:t>OMPI</w:t>
      </w:r>
      <w:proofErr w:type="spellEnd"/>
      <w:r w:rsidRPr="007D4CCC">
        <w:t>, l</w:t>
      </w:r>
      <w:r w:rsidR="00A25F29">
        <w:t>’</w:t>
      </w:r>
      <w:proofErr w:type="spellStart"/>
      <w:r w:rsidRPr="007D4CCC">
        <w:t>OCIS</w:t>
      </w:r>
      <w:proofErr w:type="spellEnd"/>
      <w:r w:rsidRPr="007D4CCC">
        <w:t xml:space="preserve"> et les États membres.</w:t>
      </w:r>
    </w:p>
    <w:p w:rsidR="007D4CCC" w:rsidRPr="007D4CCC" w:rsidRDefault="007D4CCC" w:rsidP="007D4CCC">
      <w:pPr>
        <w:pStyle w:val="Heading1"/>
      </w:pPr>
      <w:bookmarkStart w:id="39" w:name="_Toc488139092"/>
      <w:bookmarkEnd w:id="38"/>
      <w:r w:rsidRPr="007D4CCC">
        <w:t>Ressources en matière de supervision</w:t>
      </w:r>
      <w:bookmarkEnd w:id="39"/>
    </w:p>
    <w:p w:rsidR="007D4CCC" w:rsidRDefault="007D4CCC" w:rsidP="007D4CCC">
      <w:pPr>
        <w:pStyle w:val="Heading2"/>
      </w:pPr>
      <w:r w:rsidRPr="007D4CCC">
        <w:t>Budget et effectifs</w:t>
      </w:r>
    </w:p>
    <w:p w:rsidR="00BA5FB0" w:rsidRPr="00BA5FB0" w:rsidRDefault="00BA5FB0" w:rsidP="00BA5FB0"/>
    <w:p w:rsidR="007D4CCC" w:rsidRPr="007D4CCC" w:rsidRDefault="007D4CCC" w:rsidP="00BA5FB0">
      <w:pPr>
        <w:pStyle w:val="ONUMFS"/>
      </w:pPr>
      <w:r w:rsidRPr="007D4CCC">
        <w:t>Aux fins de l</w:t>
      </w:r>
      <w:r w:rsidR="00A25F29">
        <w:t>’</w:t>
      </w:r>
      <w:r w:rsidRPr="007D4CCC">
        <w:t>exécution de son mandat, la </w:t>
      </w:r>
      <w:proofErr w:type="spellStart"/>
      <w:r w:rsidRPr="007D4CCC">
        <w:t>DSI</w:t>
      </w:r>
      <w:proofErr w:type="spellEnd"/>
      <w:r w:rsidRPr="007D4CCC">
        <w:t xml:space="preserve"> s</w:t>
      </w:r>
      <w:r w:rsidR="00A25F29">
        <w:t>’</w:t>
      </w:r>
      <w:r w:rsidRPr="007D4CCC">
        <w:t xml:space="preserve">est vu allouer un budget </w:t>
      </w:r>
      <w:r w:rsidR="008528C2">
        <w:t xml:space="preserve">biennal </w:t>
      </w:r>
      <w:r w:rsidRPr="007D4CCC">
        <w:t>de 5,45 millions de francs suisses, soit 0,77% du budget de l</w:t>
      </w:r>
      <w:r w:rsidR="00A25F29">
        <w:t>’</w:t>
      </w:r>
      <w:proofErr w:type="spellStart"/>
      <w:r w:rsidRPr="007D4CCC">
        <w:t>OMPI</w:t>
      </w:r>
      <w:proofErr w:type="spellEnd"/>
      <w:r w:rsidR="008528C2">
        <w:t xml:space="preserve"> pour l</w:t>
      </w:r>
      <w:r w:rsidR="00A25F29">
        <w:t>’</w:t>
      </w:r>
      <w:r w:rsidR="008528C2">
        <w:t xml:space="preserve">exercice </w:t>
      </w:r>
      <w:r w:rsidR="00A25F29">
        <w:t>biennal 2016</w:t>
      </w:r>
      <w:r w:rsidR="00F77457">
        <w:noBreakHyphen/>
      </w:r>
      <w:r w:rsidR="008528C2">
        <w:t>2017</w:t>
      </w:r>
      <w:r w:rsidRPr="007D4CCC">
        <w:t>.  Globalement, le niveau actuel des ressources humaines et financières a été suffisant pour permettre à la </w:t>
      </w:r>
      <w:proofErr w:type="spellStart"/>
      <w:r w:rsidRPr="007D4CCC">
        <w:t>DSI</w:t>
      </w:r>
      <w:proofErr w:type="spellEnd"/>
      <w:r w:rsidRPr="007D4CCC">
        <w:t xml:space="preserve"> d</w:t>
      </w:r>
      <w:r w:rsidR="00A25F29">
        <w:t>’</w:t>
      </w:r>
      <w:r w:rsidRPr="007D4CCC">
        <w:t>englober efficacement les secteurs prioritaires recensés dans ses programmes de trava</w:t>
      </w:r>
      <w:r w:rsidR="00186C7F" w:rsidRPr="007D4CCC">
        <w:t>il</w:t>
      </w:r>
      <w:r w:rsidR="00186C7F">
        <w:t xml:space="preserve">.  </w:t>
      </w:r>
      <w:r w:rsidR="00186C7F" w:rsidRPr="007D4CCC">
        <w:t>L</w:t>
      </w:r>
      <w:r w:rsidR="00186C7F">
        <w:t>’</w:t>
      </w:r>
      <w:r w:rsidR="00186C7F" w:rsidRPr="007D4CCC">
        <w:t>é</w:t>
      </w:r>
      <w:r w:rsidRPr="007D4CCC">
        <w:t>change de plans de supervision et la coordination permanente des activités de supervision avec le vérificateur externe des comptes, ainsi que l</w:t>
      </w:r>
      <w:r w:rsidR="00A25F29">
        <w:t>’</w:t>
      </w:r>
      <w:r w:rsidRPr="007D4CCC">
        <w:t>utilisation rationnelle des outils informatiques, ont également contribué à l</w:t>
      </w:r>
      <w:r w:rsidR="00A25F29">
        <w:t>’</w:t>
      </w:r>
      <w:r w:rsidRPr="007D4CCC">
        <w:t>efficacité accrue des activités menées et à une meilleure couverture des secteurs à risque.</w:t>
      </w:r>
    </w:p>
    <w:p w:rsidR="007D4CCC" w:rsidRPr="007D4CCC" w:rsidRDefault="007D4CCC" w:rsidP="00BA5FB0">
      <w:pPr>
        <w:pStyle w:val="Heading6"/>
      </w:pPr>
      <w:r w:rsidRPr="007D4CCC">
        <w:lastRenderedPageBreak/>
        <w:t>Tableau 3 – Budget et dépenses 2016</w:t>
      </w:r>
      <w:r w:rsidR="00F77457">
        <w:noBreakHyphen/>
      </w:r>
      <w:r w:rsidRPr="007D4CCC">
        <w:t>2017 de la </w:t>
      </w:r>
      <w:proofErr w:type="spellStart"/>
      <w:r w:rsidRPr="007D4CCC">
        <w:t>DSI</w:t>
      </w:r>
      <w:proofErr w:type="spellEnd"/>
      <w:r w:rsidRPr="007D4CCC">
        <w:rPr>
          <w:rStyle w:val="FootnoteReference"/>
          <w:b w:val="0"/>
          <w:bCs/>
        </w:rPr>
        <w:footnoteReference w:id="14"/>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577"/>
        <w:gridCol w:w="1577"/>
        <w:gridCol w:w="1438"/>
        <w:gridCol w:w="1160"/>
      </w:tblGrid>
      <w:tr w:rsidR="007D4CCC" w:rsidRPr="007D4CCC" w:rsidTr="00565F7A">
        <w:trPr>
          <w:trHeight w:val="720"/>
          <w:jc w:val="center"/>
        </w:trPr>
        <w:tc>
          <w:tcPr>
            <w:tcW w:w="2470" w:type="dxa"/>
            <w:shd w:val="clear" w:color="000000" w:fill="CCFFFF"/>
            <w:noWrap/>
            <w:vAlign w:val="center"/>
            <w:hideMark/>
          </w:tcPr>
          <w:p w:rsidR="007D4CCC" w:rsidRPr="007D4CCC" w:rsidRDefault="007D4CCC" w:rsidP="007D4CCC">
            <w:pPr>
              <w:rPr>
                <w:sz w:val="16"/>
                <w:szCs w:val="16"/>
              </w:rPr>
            </w:pPr>
            <w:r w:rsidRPr="007D4CCC">
              <w:rPr>
                <w:sz w:val="16"/>
                <w:szCs w:val="16"/>
              </w:rPr>
              <w:t> </w:t>
            </w:r>
          </w:p>
        </w:tc>
        <w:tc>
          <w:tcPr>
            <w:tcW w:w="1438" w:type="dxa"/>
            <w:shd w:val="clear" w:color="000000" w:fill="CCFFFF"/>
            <w:vAlign w:val="center"/>
            <w:hideMark/>
          </w:tcPr>
          <w:p w:rsidR="007D4CCC" w:rsidRPr="007D4CCC" w:rsidRDefault="007D4CCC" w:rsidP="007D4CCC">
            <w:pPr>
              <w:jc w:val="center"/>
              <w:rPr>
                <w:b/>
                <w:bCs/>
                <w:sz w:val="16"/>
                <w:szCs w:val="16"/>
              </w:rPr>
            </w:pPr>
            <w:r w:rsidRPr="007D4CCC">
              <w:rPr>
                <w:b/>
                <w:bCs/>
                <w:sz w:val="16"/>
                <w:szCs w:val="16"/>
              </w:rPr>
              <w:t>Budget 2016</w:t>
            </w:r>
            <w:r w:rsidR="00F77457">
              <w:rPr>
                <w:b/>
                <w:bCs/>
                <w:sz w:val="16"/>
                <w:szCs w:val="16"/>
              </w:rPr>
              <w:noBreakHyphen/>
            </w:r>
            <w:r w:rsidRPr="007D4CCC">
              <w:rPr>
                <w:b/>
                <w:bCs/>
                <w:sz w:val="16"/>
                <w:szCs w:val="16"/>
              </w:rPr>
              <w:t>2017 approuvé</w:t>
            </w:r>
          </w:p>
        </w:tc>
        <w:tc>
          <w:tcPr>
            <w:tcW w:w="1438" w:type="dxa"/>
            <w:shd w:val="clear" w:color="000000" w:fill="CCFFFF"/>
            <w:vAlign w:val="center"/>
            <w:hideMark/>
          </w:tcPr>
          <w:p w:rsidR="007D4CCC" w:rsidRPr="007D4CCC" w:rsidRDefault="007D4CCC" w:rsidP="007D4CCC">
            <w:pPr>
              <w:jc w:val="center"/>
              <w:rPr>
                <w:b/>
                <w:bCs/>
                <w:sz w:val="16"/>
                <w:szCs w:val="16"/>
              </w:rPr>
            </w:pPr>
            <w:r w:rsidRPr="007D4CCC">
              <w:rPr>
                <w:b/>
                <w:bCs/>
                <w:sz w:val="16"/>
                <w:szCs w:val="16"/>
              </w:rPr>
              <w:t>Budget 2016</w:t>
            </w:r>
            <w:r w:rsidR="00F77457">
              <w:rPr>
                <w:b/>
                <w:bCs/>
                <w:sz w:val="16"/>
                <w:szCs w:val="16"/>
              </w:rPr>
              <w:noBreakHyphen/>
            </w:r>
            <w:r w:rsidRPr="007D4CCC">
              <w:rPr>
                <w:b/>
                <w:bCs/>
                <w:sz w:val="16"/>
                <w:szCs w:val="16"/>
              </w:rPr>
              <w:t>2017 après virements</w:t>
            </w:r>
          </w:p>
        </w:tc>
        <w:tc>
          <w:tcPr>
            <w:tcW w:w="1438" w:type="dxa"/>
            <w:shd w:val="clear" w:color="000000" w:fill="CCFFFF"/>
            <w:vAlign w:val="center"/>
            <w:hideMark/>
          </w:tcPr>
          <w:p w:rsidR="007D4CCC" w:rsidRPr="007D4CCC" w:rsidRDefault="007D4CCC" w:rsidP="007D4CCC">
            <w:pPr>
              <w:jc w:val="center"/>
              <w:rPr>
                <w:b/>
                <w:bCs/>
                <w:sz w:val="16"/>
                <w:szCs w:val="16"/>
              </w:rPr>
            </w:pPr>
            <w:r w:rsidRPr="007D4CCC">
              <w:rPr>
                <w:b/>
                <w:bCs/>
                <w:sz w:val="16"/>
                <w:szCs w:val="16"/>
              </w:rPr>
              <w:t>Dépenses 2016</w:t>
            </w:r>
          </w:p>
        </w:tc>
        <w:tc>
          <w:tcPr>
            <w:tcW w:w="1438" w:type="dxa"/>
            <w:shd w:val="clear" w:color="000000" w:fill="CCFFFF"/>
            <w:vAlign w:val="center"/>
            <w:hideMark/>
          </w:tcPr>
          <w:p w:rsidR="007D4CCC" w:rsidRPr="007D4CCC" w:rsidRDefault="007D4CCC" w:rsidP="007D4CCC">
            <w:pPr>
              <w:jc w:val="center"/>
              <w:rPr>
                <w:b/>
                <w:bCs/>
                <w:sz w:val="16"/>
                <w:szCs w:val="16"/>
              </w:rPr>
            </w:pPr>
            <w:r w:rsidRPr="007D4CCC">
              <w:rPr>
                <w:b/>
                <w:bCs/>
                <w:sz w:val="16"/>
                <w:szCs w:val="16"/>
              </w:rPr>
              <w:t>Taux d</w:t>
            </w:r>
            <w:r w:rsidR="00A25F29">
              <w:rPr>
                <w:b/>
                <w:bCs/>
                <w:sz w:val="16"/>
                <w:szCs w:val="16"/>
              </w:rPr>
              <w:t>’</w:t>
            </w:r>
            <w:r w:rsidRPr="007D4CCC">
              <w:rPr>
                <w:b/>
                <w:bCs/>
                <w:sz w:val="16"/>
                <w:szCs w:val="16"/>
              </w:rPr>
              <w:t>utilisation (%)</w:t>
            </w:r>
          </w:p>
        </w:tc>
      </w:tr>
      <w:tr w:rsidR="007D4CCC" w:rsidRPr="007D4CCC" w:rsidTr="00565F7A">
        <w:trPr>
          <w:trHeight w:val="315"/>
          <w:jc w:val="center"/>
        </w:trPr>
        <w:tc>
          <w:tcPr>
            <w:tcW w:w="2470" w:type="dxa"/>
            <w:shd w:val="clear" w:color="auto" w:fill="auto"/>
            <w:noWrap/>
            <w:vAlign w:val="center"/>
            <w:hideMark/>
          </w:tcPr>
          <w:p w:rsidR="007D4CCC" w:rsidRPr="007D4CCC" w:rsidRDefault="007D4CCC" w:rsidP="007D4CCC">
            <w:pPr>
              <w:rPr>
                <w:sz w:val="16"/>
                <w:szCs w:val="16"/>
              </w:rPr>
            </w:pPr>
            <w:r w:rsidRPr="007D4CCC">
              <w:rPr>
                <w:sz w:val="16"/>
                <w:szCs w:val="16"/>
              </w:rPr>
              <w:t xml:space="preserve">Dépenses de personnel </w:t>
            </w:r>
          </w:p>
        </w:tc>
        <w:tc>
          <w:tcPr>
            <w:tcW w:w="1438" w:type="dxa"/>
            <w:shd w:val="clear" w:color="auto" w:fill="auto"/>
            <w:vAlign w:val="center"/>
            <w:hideMark/>
          </w:tcPr>
          <w:p w:rsidR="007D4CCC" w:rsidRPr="007D4CCC" w:rsidRDefault="007D4CCC" w:rsidP="007D4CCC">
            <w:pPr>
              <w:jc w:val="center"/>
              <w:rPr>
                <w:sz w:val="16"/>
                <w:szCs w:val="16"/>
              </w:rPr>
            </w:pPr>
            <w:r w:rsidRPr="007D4CCC">
              <w:rPr>
                <w:sz w:val="16"/>
                <w:szCs w:val="16"/>
              </w:rPr>
              <w:t xml:space="preserve">4 658 </w:t>
            </w:r>
          </w:p>
        </w:tc>
        <w:tc>
          <w:tcPr>
            <w:tcW w:w="1438" w:type="dxa"/>
            <w:shd w:val="clear" w:color="auto" w:fill="auto"/>
            <w:vAlign w:val="center"/>
            <w:hideMark/>
          </w:tcPr>
          <w:p w:rsidR="007D4CCC" w:rsidRPr="007D4CCC" w:rsidRDefault="007D4CCC" w:rsidP="007D4CCC">
            <w:pPr>
              <w:jc w:val="center"/>
              <w:rPr>
                <w:sz w:val="16"/>
                <w:szCs w:val="16"/>
              </w:rPr>
            </w:pPr>
            <w:r w:rsidRPr="007D4CCC">
              <w:rPr>
                <w:sz w:val="16"/>
                <w:szCs w:val="16"/>
              </w:rPr>
              <w:t xml:space="preserve">4 790 </w:t>
            </w:r>
          </w:p>
        </w:tc>
        <w:tc>
          <w:tcPr>
            <w:tcW w:w="1438" w:type="dxa"/>
            <w:shd w:val="clear" w:color="auto" w:fill="auto"/>
            <w:vAlign w:val="center"/>
            <w:hideMark/>
          </w:tcPr>
          <w:p w:rsidR="007D4CCC" w:rsidRPr="007D4CCC" w:rsidRDefault="007D4CCC" w:rsidP="007D4CCC">
            <w:pPr>
              <w:jc w:val="center"/>
              <w:rPr>
                <w:sz w:val="16"/>
                <w:szCs w:val="16"/>
              </w:rPr>
            </w:pPr>
            <w:r w:rsidRPr="007D4CCC">
              <w:rPr>
                <w:sz w:val="16"/>
                <w:szCs w:val="16"/>
              </w:rPr>
              <w:t xml:space="preserve">1 847 </w:t>
            </w:r>
          </w:p>
        </w:tc>
        <w:tc>
          <w:tcPr>
            <w:tcW w:w="1438" w:type="dxa"/>
            <w:shd w:val="clear" w:color="auto" w:fill="auto"/>
            <w:vAlign w:val="center"/>
            <w:hideMark/>
          </w:tcPr>
          <w:p w:rsidR="007D4CCC" w:rsidRPr="007D4CCC" w:rsidRDefault="007D4CCC" w:rsidP="007D4CCC">
            <w:pPr>
              <w:jc w:val="center"/>
              <w:rPr>
                <w:sz w:val="16"/>
                <w:szCs w:val="16"/>
              </w:rPr>
            </w:pPr>
            <w:r w:rsidRPr="007D4CCC">
              <w:rPr>
                <w:sz w:val="16"/>
                <w:szCs w:val="16"/>
              </w:rPr>
              <w:t>39%</w:t>
            </w:r>
          </w:p>
        </w:tc>
      </w:tr>
      <w:tr w:rsidR="007D4CCC" w:rsidRPr="007D4CCC" w:rsidTr="00565F7A">
        <w:trPr>
          <w:trHeight w:val="315"/>
          <w:jc w:val="center"/>
        </w:trPr>
        <w:tc>
          <w:tcPr>
            <w:tcW w:w="2470" w:type="dxa"/>
            <w:tcBorders>
              <w:bottom w:val="single" w:sz="4" w:space="0" w:color="auto"/>
            </w:tcBorders>
            <w:shd w:val="clear" w:color="auto" w:fill="auto"/>
            <w:noWrap/>
            <w:vAlign w:val="center"/>
            <w:hideMark/>
          </w:tcPr>
          <w:p w:rsidR="007D4CCC" w:rsidRPr="007D4CCC" w:rsidRDefault="007D4CCC" w:rsidP="007D4CCC">
            <w:pPr>
              <w:rPr>
                <w:sz w:val="16"/>
                <w:szCs w:val="16"/>
              </w:rPr>
            </w:pPr>
            <w:r w:rsidRPr="007D4CCC">
              <w:rPr>
                <w:sz w:val="16"/>
                <w:szCs w:val="16"/>
              </w:rPr>
              <w:t xml:space="preserve">Autres dépenses </w:t>
            </w:r>
          </w:p>
        </w:tc>
        <w:tc>
          <w:tcPr>
            <w:tcW w:w="1438" w:type="dxa"/>
            <w:tcBorders>
              <w:bottom w:val="single" w:sz="4" w:space="0" w:color="auto"/>
            </w:tcBorders>
            <w:shd w:val="clear" w:color="auto" w:fill="auto"/>
            <w:vAlign w:val="center"/>
            <w:hideMark/>
          </w:tcPr>
          <w:p w:rsidR="007D4CCC" w:rsidRPr="007D4CCC" w:rsidRDefault="007D4CCC" w:rsidP="007D4CCC">
            <w:pPr>
              <w:jc w:val="center"/>
              <w:rPr>
                <w:sz w:val="16"/>
                <w:szCs w:val="16"/>
              </w:rPr>
            </w:pPr>
            <w:r w:rsidRPr="007D4CCC">
              <w:rPr>
                <w:sz w:val="16"/>
                <w:szCs w:val="16"/>
              </w:rPr>
              <w:t xml:space="preserve">700 </w:t>
            </w:r>
          </w:p>
        </w:tc>
        <w:tc>
          <w:tcPr>
            <w:tcW w:w="1438" w:type="dxa"/>
            <w:tcBorders>
              <w:bottom w:val="single" w:sz="4" w:space="0" w:color="auto"/>
            </w:tcBorders>
            <w:shd w:val="clear" w:color="auto" w:fill="auto"/>
            <w:vAlign w:val="center"/>
            <w:hideMark/>
          </w:tcPr>
          <w:p w:rsidR="007D4CCC" w:rsidRPr="007D4CCC" w:rsidRDefault="007D4CCC" w:rsidP="007D4CCC">
            <w:pPr>
              <w:jc w:val="center"/>
              <w:rPr>
                <w:sz w:val="16"/>
                <w:szCs w:val="16"/>
              </w:rPr>
            </w:pPr>
            <w:r w:rsidRPr="007D4CCC">
              <w:rPr>
                <w:sz w:val="16"/>
                <w:szCs w:val="16"/>
              </w:rPr>
              <w:t xml:space="preserve">659 </w:t>
            </w:r>
          </w:p>
        </w:tc>
        <w:tc>
          <w:tcPr>
            <w:tcW w:w="1438" w:type="dxa"/>
            <w:tcBorders>
              <w:bottom w:val="single" w:sz="4" w:space="0" w:color="auto"/>
            </w:tcBorders>
            <w:shd w:val="clear" w:color="auto" w:fill="auto"/>
            <w:vAlign w:val="center"/>
            <w:hideMark/>
          </w:tcPr>
          <w:p w:rsidR="007D4CCC" w:rsidRPr="007D4CCC" w:rsidRDefault="007D4CCC" w:rsidP="007D4CCC">
            <w:pPr>
              <w:jc w:val="center"/>
              <w:rPr>
                <w:sz w:val="16"/>
                <w:szCs w:val="16"/>
              </w:rPr>
            </w:pPr>
            <w:r w:rsidRPr="007D4CCC">
              <w:rPr>
                <w:sz w:val="16"/>
                <w:szCs w:val="16"/>
              </w:rPr>
              <w:t xml:space="preserve">202 </w:t>
            </w:r>
          </w:p>
        </w:tc>
        <w:tc>
          <w:tcPr>
            <w:tcW w:w="1438" w:type="dxa"/>
            <w:tcBorders>
              <w:bottom w:val="single" w:sz="4" w:space="0" w:color="auto"/>
            </w:tcBorders>
            <w:shd w:val="clear" w:color="auto" w:fill="auto"/>
            <w:vAlign w:val="center"/>
            <w:hideMark/>
          </w:tcPr>
          <w:p w:rsidR="007D4CCC" w:rsidRPr="007D4CCC" w:rsidRDefault="007D4CCC" w:rsidP="007D4CCC">
            <w:pPr>
              <w:jc w:val="center"/>
              <w:rPr>
                <w:sz w:val="16"/>
                <w:szCs w:val="16"/>
              </w:rPr>
            </w:pPr>
            <w:r w:rsidRPr="007D4CCC">
              <w:rPr>
                <w:sz w:val="16"/>
                <w:szCs w:val="16"/>
              </w:rPr>
              <w:t>31%</w:t>
            </w:r>
          </w:p>
        </w:tc>
      </w:tr>
      <w:tr w:rsidR="007D4CCC" w:rsidRPr="007D4CCC" w:rsidTr="00565F7A">
        <w:trPr>
          <w:trHeight w:val="225"/>
          <w:jc w:val="center"/>
        </w:trPr>
        <w:tc>
          <w:tcPr>
            <w:tcW w:w="2470" w:type="dxa"/>
            <w:tcBorders>
              <w:bottom w:val="single" w:sz="4" w:space="0" w:color="auto"/>
            </w:tcBorders>
            <w:shd w:val="clear" w:color="000000" w:fill="CCFFFF"/>
            <w:noWrap/>
            <w:vAlign w:val="center"/>
            <w:hideMark/>
          </w:tcPr>
          <w:p w:rsidR="007D4CCC" w:rsidRPr="007D4CCC" w:rsidRDefault="007D4CCC" w:rsidP="007D4CCC">
            <w:pPr>
              <w:jc w:val="right"/>
              <w:rPr>
                <w:b/>
                <w:bCs/>
                <w:sz w:val="16"/>
                <w:szCs w:val="16"/>
              </w:rPr>
            </w:pPr>
            <w:r w:rsidRPr="007D4CCC">
              <w:rPr>
                <w:b/>
                <w:bCs/>
                <w:sz w:val="16"/>
                <w:szCs w:val="16"/>
              </w:rPr>
              <w:t xml:space="preserve">Total </w:t>
            </w:r>
          </w:p>
        </w:tc>
        <w:tc>
          <w:tcPr>
            <w:tcW w:w="1438" w:type="dxa"/>
            <w:tcBorders>
              <w:bottom w:val="single" w:sz="4" w:space="0" w:color="auto"/>
            </w:tcBorders>
            <w:shd w:val="clear" w:color="000000" w:fill="CCFFFF"/>
            <w:vAlign w:val="center"/>
            <w:hideMark/>
          </w:tcPr>
          <w:p w:rsidR="007D4CCC" w:rsidRPr="007D4CCC" w:rsidRDefault="007D4CCC" w:rsidP="007D4CCC">
            <w:pPr>
              <w:jc w:val="center"/>
              <w:rPr>
                <w:b/>
                <w:bCs/>
                <w:sz w:val="16"/>
                <w:szCs w:val="16"/>
              </w:rPr>
            </w:pPr>
            <w:r w:rsidRPr="007D4CCC">
              <w:rPr>
                <w:b/>
                <w:bCs/>
                <w:sz w:val="16"/>
                <w:szCs w:val="16"/>
              </w:rPr>
              <w:t xml:space="preserve">5 358 </w:t>
            </w:r>
          </w:p>
        </w:tc>
        <w:tc>
          <w:tcPr>
            <w:tcW w:w="1438" w:type="dxa"/>
            <w:tcBorders>
              <w:bottom w:val="single" w:sz="4" w:space="0" w:color="auto"/>
            </w:tcBorders>
            <w:shd w:val="clear" w:color="000000" w:fill="CCFFFF"/>
            <w:vAlign w:val="center"/>
            <w:hideMark/>
          </w:tcPr>
          <w:p w:rsidR="007D4CCC" w:rsidRPr="007D4CCC" w:rsidRDefault="007D4CCC" w:rsidP="007D4CCC">
            <w:pPr>
              <w:jc w:val="center"/>
              <w:rPr>
                <w:b/>
                <w:bCs/>
                <w:sz w:val="16"/>
                <w:szCs w:val="16"/>
              </w:rPr>
            </w:pPr>
            <w:r w:rsidRPr="007D4CCC">
              <w:rPr>
                <w:b/>
                <w:bCs/>
                <w:sz w:val="16"/>
                <w:szCs w:val="16"/>
              </w:rPr>
              <w:t xml:space="preserve">5 450 </w:t>
            </w:r>
          </w:p>
        </w:tc>
        <w:tc>
          <w:tcPr>
            <w:tcW w:w="1438" w:type="dxa"/>
            <w:tcBorders>
              <w:bottom w:val="single" w:sz="4" w:space="0" w:color="auto"/>
            </w:tcBorders>
            <w:shd w:val="clear" w:color="000000" w:fill="CCFFFF"/>
            <w:vAlign w:val="center"/>
            <w:hideMark/>
          </w:tcPr>
          <w:p w:rsidR="007D4CCC" w:rsidRPr="007D4CCC" w:rsidRDefault="007D4CCC" w:rsidP="007D4CCC">
            <w:pPr>
              <w:jc w:val="center"/>
              <w:rPr>
                <w:b/>
                <w:bCs/>
                <w:sz w:val="16"/>
                <w:szCs w:val="16"/>
              </w:rPr>
            </w:pPr>
            <w:r w:rsidRPr="007D4CCC">
              <w:rPr>
                <w:b/>
                <w:bCs/>
                <w:sz w:val="16"/>
                <w:szCs w:val="16"/>
              </w:rPr>
              <w:t xml:space="preserve">2 049 </w:t>
            </w:r>
          </w:p>
        </w:tc>
        <w:tc>
          <w:tcPr>
            <w:tcW w:w="1438" w:type="dxa"/>
            <w:tcBorders>
              <w:bottom w:val="single" w:sz="4" w:space="0" w:color="auto"/>
            </w:tcBorders>
            <w:shd w:val="clear" w:color="000000" w:fill="CCFFFF"/>
            <w:vAlign w:val="center"/>
            <w:hideMark/>
          </w:tcPr>
          <w:p w:rsidR="007D4CCC" w:rsidRPr="007D4CCC" w:rsidRDefault="007D4CCC" w:rsidP="007D4CCC">
            <w:pPr>
              <w:jc w:val="center"/>
              <w:rPr>
                <w:b/>
                <w:bCs/>
                <w:sz w:val="16"/>
                <w:szCs w:val="16"/>
              </w:rPr>
            </w:pPr>
            <w:r w:rsidRPr="007D4CCC">
              <w:rPr>
                <w:b/>
                <w:bCs/>
                <w:sz w:val="16"/>
                <w:szCs w:val="16"/>
              </w:rPr>
              <w:t>38%</w:t>
            </w:r>
          </w:p>
        </w:tc>
      </w:tr>
      <w:tr w:rsidR="007D4CCC" w:rsidRPr="007D4CCC" w:rsidTr="00565F7A">
        <w:trPr>
          <w:trHeight w:val="300"/>
          <w:jc w:val="center"/>
        </w:trPr>
        <w:tc>
          <w:tcPr>
            <w:tcW w:w="8222" w:type="dxa"/>
            <w:gridSpan w:val="5"/>
            <w:tcBorders>
              <w:left w:val="nil"/>
              <w:bottom w:val="nil"/>
              <w:right w:val="nil"/>
            </w:tcBorders>
            <w:shd w:val="clear" w:color="auto" w:fill="auto"/>
            <w:noWrap/>
            <w:vAlign w:val="center"/>
            <w:hideMark/>
          </w:tcPr>
          <w:p w:rsidR="007D4CCC" w:rsidRPr="007D4CCC" w:rsidRDefault="007D4CCC" w:rsidP="007D4CCC">
            <w:pPr>
              <w:rPr>
                <w:i/>
                <w:iCs/>
                <w:sz w:val="16"/>
                <w:szCs w:val="16"/>
              </w:rPr>
            </w:pPr>
            <w:r w:rsidRPr="007D4CCC">
              <w:rPr>
                <w:i/>
                <w:iCs/>
                <w:sz w:val="16"/>
                <w:szCs w:val="16"/>
              </w:rPr>
              <w:t>*Les chiffres des dépenses pour 2016 sont préliminaires, sous réserve d</w:t>
            </w:r>
            <w:r w:rsidR="00A25F29">
              <w:rPr>
                <w:i/>
                <w:iCs/>
                <w:sz w:val="16"/>
                <w:szCs w:val="16"/>
              </w:rPr>
              <w:t>’</w:t>
            </w:r>
            <w:r w:rsidRPr="007D4CCC">
              <w:rPr>
                <w:i/>
                <w:iCs/>
                <w:sz w:val="16"/>
                <w:szCs w:val="16"/>
              </w:rPr>
              <w:t>audit par les vérificateurs externes des comptes</w:t>
            </w:r>
          </w:p>
        </w:tc>
      </w:tr>
    </w:tbl>
    <w:p w:rsidR="007D4CCC" w:rsidRPr="007D4CCC" w:rsidRDefault="007D4CCC" w:rsidP="007D4CCC">
      <w:pPr>
        <w:rPr>
          <w:sz w:val="20"/>
        </w:rPr>
      </w:pPr>
    </w:p>
    <w:p w:rsidR="007D4CCC" w:rsidRPr="007D4CCC" w:rsidRDefault="007D4CCC" w:rsidP="007D4CCC">
      <w:pPr>
        <w:keepNext/>
        <w:keepLines/>
        <w:ind w:left="567" w:right="282"/>
        <w:rPr>
          <w:i/>
          <w:sz w:val="16"/>
          <w:szCs w:val="16"/>
        </w:rPr>
      </w:pPr>
      <w:r w:rsidRPr="007D4CCC">
        <w:rPr>
          <w:i/>
          <w:sz w:val="16"/>
          <w:szCs w:val="16"/>
        </w:rPr>
        <w:t>NOTE</w:t>
      </w:r>
      <w:r w:rsidR="00A25F29">
        <w:rPr>
          <w:i/>
          <w:sz w:val="16"/>
          <w:szCs w:val="16"/>
        </w:rPr>
        <w:t> </w:t>
      </w:r>
      <w:proofErr w:type="gramStart"/>
      <w:r w:rsidR="00A25F29">
        <w:rPr>
          <w:i/>
          <w:sz w:val="16"/>
          <w:szCs w:val="16"/>
        </w:rPr>
        <w:t>:</w:t>
      </w:r>
      <w:r w:rsidRPr="007D4CCC">
        <w:rPr>
          <w:i/>
          <w:sz w:val="16"/>
          <w:szCs w:val="16"/>
        </w:rPr>
        <w:t xml:space="preserve"> Le</w:t>
      </w:r>
      <w:proofErr w:type="gramEnd"/>
      <w:r w:rsidRPr="007D4CCC">
        <w:rPr>
          <w:i/>
          <w:sz w:val="16"/>
          <w:szCs w:val="16"/>
        </w:rPr>
        <w:t xml:space="preserve"> budget 2016</w:t>
      </w:r>
      <w:r w:rsidR="00F77457">
        <w:rPr>
          <w:i/>
          <w:sz w:val="16"/>
          <w:szCs w:val="16"/>
        </w:rPr>
        <w:noBreakHyphen/>
      </w:r>
      <w:r w:rsidRPr="007D4CCC">
        <w:rPr>
          <w:i/>
          <w:sz w:val="16"/>
          <w:szCs w:val="16"/>
        </w:rPr>
        <w:t>2017 après virements tient compte des virements effectués au 8 mars 2017 pour répondre aux besoins durant l</w:t>
      </w:r>
      <w:r w:rsidR="00A25F29">
        <w:rPr>
          <w:i/>
          <w:sz w:val="16"/>
          <w:szCs w:val="16"/>
        </w:rPr>
        <w:t>’</w:t>
      </w:r>
      <w:r w:rsidRPr="007D4CCC">
        <w:rPr>
          <w:i/>
          <w:sz w:val="16"/>
          <w:szCs w:val="16"/>
        </w:rPr>
        <w:t>exercice biennal 2016</w:t>
      </w:r>
      <w:r w:rsidR="00F77457">
        <w:rPr>
          <w:i/>
          <w:sz w:val="16"/>
          <w:szCs w:val="16"/>
        </w:rPr>
        <w:noBreakHyphen/>
      </w:r>
      <w:r w:rsidRPr="007D4CCC">
        <w:rPr>
          <w:i/>
          <w:sz w:val="16"/>
          <w:szCs w:val="16"/>
        </w:rPr>
        <w:t>2017 conformément à l</w:t>
      </w:r>
      <w:r w:rsidR="00A25F29">
        <w:rPr>
          <w:i/>
          <w:sz w:val="16"/>
          <w:szCs w:val="16"/>
        </w:rPr>
        <w:t>’</w:t>
      </w:r>
      <w:r w:rsidRPr="007D4CCC">
        <w:rPr>
          <w:i/>
          <w:sz w:val="16"/>
          <w:szCs w:val="16"/>
        </w:rPr>
        <w:t>article 5.5 du Règlement financier.</w:t>
      </w:r>
    </w:p>
    <w:p w:rsidR="007D4CCC" w:rsidRPr="007D4CCC" w:rsidRDefault="007D4CCC" w:rsidP="007D4CCC">
      <w:pPr>
        <w:pStyle w:val="ONUME"/>
        <w:numPr>
          <w:ilvl w:val="0"/>
          <w:numId w:val="0"/>
        </w:numPr>
      </w:pPr>
    </w:p>
    <w:p w:rsidR="007D4CCC" w:rsidRPr="007D4CCC" w:rsidRDefault="007D4CCC" w:rsidP="00BA5FB0">
      <w:pPr>
        <w:pStyle w:val="ONUMFS"/>
      </w:pPr>
      <w:r w:rsidRPr="007D4CCC">
        <w:t>Le recrutement du directeur de la </w:t>
      </w:r>
      <w:proofErr w:type="spellStart"/>
      <w:r w:rsidRPr="007D4CCC">
        <w:t>DSI</w:t>
      </w:r>
      <w:proofErr w:type="spellEnd"/>
      <w:r w:rsidRPr="007D4CCC">
        <w:t xml:space="preserve"> a été mené à bien et le titulaire retenu a pris ses fonctions le</w:t>
      </w:r>
      <w:r w:rsidR="00A25F29">
        <w:t xml:space="preserve"> 1</w:t>
      </w:r>
      <w:r w:rsidR="00A25F29" w:rsidRPr="00A25F29">
        <w:rPr>
          <w:vertAlign w:val="superscript"/>
        </w:rPr>
        <w:t>er</w:t>
      </w:r>
      <w:r w:rsidR="00A25F29">
        <w:t> </w:t>
      </w:r>
      <w:r w:rsidRPr="007D4CCC">
        <w:t>février 2017.</w:t>
      </w:r>
    </w:p>
    <w:p w:rsidR="007D4CCC" w:rsidRPr="007D4CCC" w:rsidRDefault="007D4CCC" w:rsidP="00BA5FB0">
      <w:pPr>
        <w:pStyle w:val="ONUMFS"/>
      </w:pPr>
      <w:r w:rsidRPr="007D4CCC">
        <w:t>Le processus de recrutement pour les postes de chef de la Section de l</w:t>
      </w:r>
      <w:r w:rsidR="00A25F29">
        <w:t>’</w:t>
      </w:r>
      <w:r w:rsidRPr="007D4CCC">
        <w:t>évaluation et d</w:t>
      </w:r>
      <w:r w:rsidR="00A25F29">
        <w:t>’</w:t>
      </w:r>
      <w:r w:rsidRPr="007D4CCC">
        <w:t>auditeur interne a été achevé et les titulaires retenus devraient entrer en fonction le</w:t>
      </w:r>
      <w:r w:rsidR="00A25F29">
        <w:t xml:space="preserve"> 1</w:t>
      </w:r>
      <w:r w:rsidR="00A25F29" w:rsidRPr="00A25F29">
        <w:rPr>
          <w:vertAlign w:val="superscript"/>
        </w:rPr>
        <w:t>er</w:t>
      </w:r>
      <w:r w:rsidR="00A25F29">
        <w:t> </w:t>
      </w:r>
      <w:r w:rsidRPr="007D4CCC">
        <w:t>septembre 2017 et le</w:t>
      </w:r>
      <w:r w:rsidR="00A25F29">
        <w:t xml:space="preserve"> 1</w:t>
      </w:r>
      <w:r w:rsidR="00A25F29" w:rsidRPr="00A25F29">
        <w:rPr>
          <w:vertAlign w:val="superscript"/>
        </w:rPr>
        <w:t>er</w:t>
      </w:r>
      <w:r w:rsidR="00A25F29">
        <w:t> </w:t>
      </w:r>
      <w:r w:rsidRPr="007D4CCC">
        <w:t>août 2017, respectivement.</w:t>
      </w:r>
    </w:p>
    <w:p w:rsidR="007D4CCC" w:rsidRPr="007D4CCC" w:rsidRDefault="007D4CCC" w:rsidP="00BA5FB0">
      <w:pPr>
        <w:pStyle w:val="ONUMFS"/>
      </w:pPr>
      <w:r w:rsidRPr="007D4CCC">
        <w:t>Suite au transfert du chef de la Section de l</w:t>
      </w:r>
      <w:r w:rsidR="00A25F29">
        <w:t>’</w:t>
      </w:r>
      <w:r w:rsidRPr="007D4CCC">
        <w:t>audit interne dans une autre organisation internationale, en qualité de directeur de la Supervision interne, le processus de recrutement pour ce poste a été lancé.</w:t>
      </w:r>
    </w:p>
    <w:p w:rsidR="007D4CCC" w:rsidRDefault="007D4CCC" w:rsidP="007D4CCC">
      <w:pPr>
        <w:pStyle w:val="Heading2"/>
      </w:pPr>
      <w:r w:rsidRPr="007D4CCC">
        <w:t>Formation</w:t>
      </w:r>
    </w:p>
    <w:p w:rsidR="00BA5FB0" w:rsidRPr="00BA5FB0" w:rsidRDefault="00BA5FB0" w:rsidP="00BA5FB0"/>
    <w:p w:rsidR="007D4CCC" w:rsidRPr="007D4CCC" w:rsidRDefault="007D4CCC" w:rsidP="00BA5FB0">
      <w:pPr>
        <w:pStyle w:val="ONUMFS"/>
      </w:pPr>
      <w:r w:rsidRPr="007D4CCC">
        <w:t>Dans une perspective de formation professionnelle continue et conformément à la politique de l</w:t>
      </w:r>
      <w:r w:rsidR="00A25F29">
        <w:t>’</w:t>
      </w:r>
      <w:proofErr w:type="spellStart"/>
      <w:r w:rsidRPr="007D4CCC">
        <w:t>OMPI</w:t>
      </w:r>
      <w:proofErr w:type="spellEnd"/>
      <w:r w:rsidRPr="007D4CCC">
        <w:t xml:space="preserve"> en matière de formation, les membres du personnel de la </w:t>
      </w:r>
      <w:proofErr w:type="spellStart"/>
      <w:r w:rsidRPr="007D4CCC">
        <w:t>DSI</w:t>
      </w:r>
      <w:proofErr w:type="spellEnd"/>
      <w:r w:rsidRPr="007D4CCC">
        <w:t xml:space="preserve"> ont participé à diverses activités de formation afin d</w:t>
      </w:r>
      <w:r w:rsidR="00A25F29">
        <w:t>’</w:t>
      </w:r>
      <w:r w:rsidRPr="007D4CCC">
        <w:t>acquérir de nouvelles connaissances, des compétences techniques et d</w:t>
      </w:r>
      <w:r w:rsidR="00A25F29">
        <w:t>’</w:t>
      </w:r>
      <w:r w:rsidRPr="007D4CCC">
        <w:t>autres compétences et de renforcer ainsi l</w:t>
      </w:r>
      <w:r w:rsidR="00A25F29">
        <w:t>’</w:t>
      </w:r>
      <w:r w:rsidRPr="007D4CCC">
        <w:t>efficacité opérationnelle de la Division dans le cadre de ses missions de supervision.</w:t>
      </w:r>
    </w:p>
    <w:p w:rsidR="007D4CCC" w:rsidRPr="007D4CCC" w:rsidRDefault="007D4CCC" w:rsidP="00BA5FB0">
      <w:pPr>
        <w:pStyle w:val="ONUMFS"/>
      </w:pPr>
      <w:r w:rsidRPr="007D4CCC">
        <w:t>En moyenne, les membres du personnel de la </w:t>
      </w:r>
      <w:proofErr w:type="spellStart"/>
      <w:r w:rsidRPr="007D4CCC">
        <w:t>DSI</w:t>
      </w:r>
      <w:proofErr w:type="spellEnd"/>
      <w:r w:rsidRPr="007D4CCC">
        <w:t xml:space="preserve"> ont suivi 10 jours de formation qui ont notamment porté sur la gestion de la fonction d</w:t>
      </w:r>
      <w:r w:rsidR="00A25F29">
        <w:t>’</w:t>
      </w:r>
      <w:r w:rsidRPr="007D4CCC">
        <w:t>audit, la prévention et la détection des fraudes, les techniques de recherche en matière d</w:t>
      </w:r>
      <w:r w:rsidR="00A25F29">
        <w:t>’</w:t>
      </w:r>
      <w:r w:rsidRPr="007D4CCC">
        <w:t>enquête, l</w:t>
      </w:r>
      <w:r w:rsidR="00A25F29">
        <w:t>’</w:t>
      </w:r>
      <w:r w:rsidRPr="007D4CCC">
        <w:t>analyse des données, l</w:t>
      </w:r>
      <w:r w:rsidR="00A25F29">
        <w:t>’</w:t>
      </w:r>
      <w:r w:rsidRPr="007D4CCC">
        <w:t xml:space="preserve">analyse des causes profondes, la saisie des données numériques, la </w:t>
      </w:r>
      <w:proofErr w:type="spellStart"/>
      <w:r w:rsidRPr="007D4CCC">
        <w:t>cybersécurité</w:t>
      </w:r>
      <w:proofErr w:type="spellEnd"/>
      <w:r w:rsidRPr="007D4CCC">
        <w:t>, les aptitudes en matière de présentation et d</w:t>
      </w:r>
      <w:r w:rsidR="00A25F29">
        <w:t>’</w:t>
      </w:r>
      <w:r w:rsidRPr="007D4CCC">
        <w:t>animation et la planificati</w:t>
      </w:r>
      <w:bookmarkStart w:id="40" w:name="_GoBack"/>
      <w:bookmarkEnd w:id="40"/>
      <w:r w:rsidRPr="007D4CCC">
        <w:t>on des audits.</w:t>
      </w:r>
    </w:p>
    <w:p w:rsidR="007D4CCC" w:rsidRDefault="007D4CCC" w:rsidP="00BA5FB0"/>
    <w:p w:rsidR="00BA5FB0" w:rsidRPr="007D4CCC" w:rsidRDefault="00BA5FB0" w:rsidP="00BA5FB0"/>
    <w:p w:rsidR="007D4CCC" w:rsidRPr="007D4CCC" w:rsidRDefault="007D4CCC" w:rsidP="007D4CCC">
      <w:pPr>
        <w:keepLines/>
        <w:tabs>
          <w:tab w:val="left" w:pos="5529"/>
        </w:tabs>
        <w:ind w:firstLine="5529"/>
      </w:pPr>
      <w:r w:rsidRPr="007D4CCC">
        <w:t>[Les annexes suivent]</w:t>
      </w:r>
    </w:p>
    <w:p w:rsidR="007D4CCC" w:rsidRPr="007D4CCC" w:rsidRDefault="007D4CCC" w:rsidP="007D4CCC">
      <w:pPr>
        <w:keepLines/>
        <w:tabs>
          <w:tab w:val="left" w:pos="5529"/>
        </w:tabs>
        <w:ind w:firstLine="5529"/>
      </w:pPr>
    </w:p>
    <w:p w:rsidR="007D4CCC" w:rsidRPr="007D4CCC" w:rsidRDefault="007D4CCC" w:rsidP="007D4CCC">
      <w:pPr>
        <w:keepLines/>
        <w:tabs>
          <w:tab w:val="left" w:pos="5529"/>
        </w:tabs>
      </w:pPr>
    </w:p>
    <w:p w:rsidR="007D4CCC" w:rsidRPr="007D4CCC" w:rsidRDefault="007D4CCC" w:rsidP="007D4CCC">
      <w:pPr>
        <w:pStyle w:val="ONUME"/>
        <w:keepLines/>
        <w:numPr>
          <w:ilvl w:val="0"/>
          <w:numId w:val="0"/>
        </w:numPr>
        <w:jc w:val="right"/>
        <w:sectPr w:rsidR="007D4CCC" w:rsidRPr="007D4CCC" w:rsidSect="007D4CCC">
          <w:headerReference w:type="default" r:id="rId16"/>
          <w:footerReference w:type="first" r:id="rId17"/>
          <w:endnotePr>
            <w:numFmt w:val="decimal"/>
          </w:endnotePr>
          <w:pgSz w:w="11907" w:h="16840" w:code="9"/>
          <w:pgMar w:top="567" w:right="1134" w:bottom="1417" w:left="1417" w:header="510" w:footer="1020" w:gutter="0"/>
          <w:pgNumType w:start="1"/>
          <w:cols w:space="720"/>
          <w:titlePg/>
          <w:docGrid w:linePitch="299"/>
        </w:sectPr>
      </w:pPr>
    </w:p>
    <w:p w:rsidR="007D4CCC" w:rsidRPr="007D4CCC" w:rsidRDefault="007D4CCC" w:rsidP="007D4CCC">
      <w:pPr>
        <w:keepLines/>
        <w:jc w:val="center"/>
        <w:rPr>
          <w:b/>
          <w:bCs/>
        </w:rPr>
      </w:pPr>
      <w:r w:rsidRPr="007D4CCC">
        <w:rPr>
          <w:b/>
          <w:bCs/>
        </w:rPr>
        <w:lastRenderedPageBreak/>
        <w:t>Liste des rapports établis par la </w:t>
      </w:r>
      <w:proofErr w:type="spellStart"/>
      <w:r w:rsidRPr="007D4CCC">
        <w:rPr>
          <w:b/>
          <w:bCs/>
        </w:rPr>
        <w:t>DSI</w:t>
      </w:r>
      <w:proofErr w:type="spellEnd"/>
      <w:r w:rsidRPr="007D4CCC">
        <w:rPr>
          <w:b/>
          <w:bCs/>
        </w:rPr>
        <w:t xml:space="preserve"> du</w:t>
      </w:r>
      <w:r w:rsidR="00A25F29">
        <w:rPr>
          <w:b/>
          <w:bCs/>
        </w:rPr>
        <w:t xml:space="preserve"> 1</w:t>
      </w:r>
      <w:r w:rsidR="00A25F29" w:rsidRPr="00A25F29">
        <w:rPr>
          <w:b/>
          <w:bCs/>
          <w:vertAlign w:val="superscript"/>
        </w:rPr>
        <w:t>er</w:t>
      </w:r>
      <w:r w:rsidR="00A25F29">
        <w:rPr>
          <w:b/>
          <w:bCs/>
        </w:rPr>
        <w:t> </w:t>
      </w:r>
      <w:r w:rsidRPr="007D4CCC">
        <w:rPr>
          <w:b/>
          <w:bCs/>
        </w:rPr>
        <w:t>juillet 2016 au 30 juin 2017</w:t>
      </w:r>
    </w:p>
    <w:p w:rsidR="007D4CCC" w:rsidRPr="007D4CCC" w:rsidRDefault="007D4CCC" w:rsidP="007D4CCC">
      <w:pPr>
        <w:keepLines/>
        <w:jc w:val="center"/>
        <w:rPr>
          <w:b/>
          <w:bCs/>
        </w:rPr>
      </w:pPr>
    </w:p>
    <w:tbl>
      <w:tblPr>
        <w:tblStyle w:val="TableGrid"/>
        <w:tblW w:w="5000" w:type="pct"/>
        <w:tblInd w:w="0" w:type="dxa"/>
        <w:tblCellMar>
          <w:top w:w="57" w:type="dxa"/>
          <w:bottom w:w="57" w:type="dxa"/>
        </w:tblCellMar>
        <w:tblLook w:val="04A0" w:firstRow="1" w:lastRow="0" w:firstColumn="1" w:lastColumn="0" w:noHBand="0" w:noVBand="1"/>
      </w:tblPr>
      <w:tblGrid>
        <w:gridCol w:w="7456"/>
        <w:gridCol w:w="2116"/>
      </w:tblGrid>
      <w:tr w:rsidR="007D4CCC" w:rsidRPr="007D4CCC" w:rsidTr="00BA5FB0">
        <w:trPr>
          <w:cantSplit/>
        </w:trPr>
        <w:tc>
          <w:tcPr>
            <w:tcW w:w="7456" w:type="dxa"/>
          </w:tcPr>
          <w:p w:rsidR="007D4CCC" w:rsidRPr="007D4CCC" w:rsidRDefault="007D4CCC" w:rsidP="00BA5FB0">
            <w:pPr>
              <w:spacing w:after="0" w:line="240" w:lineRule="auto"/>
              <w:ind w:left="0"/>
            </w:pPr>
            <w:r w:rsidRPr="007D4CCC">
              <w:t xml:space="preserve">Audit de </w:t>
            </w:r>
            <w:proofErr w:type="spellStart"/>
            <w:r w:rsidRPr="007D4CCC">
              <w:t>WIPO</w:t>
            </w:r>
            <w:proofErr w:type="spellEnd"/>
            <w:r w:rsidRPr="007D4CCC">
              <w:t xml:space="preserve"> </w:t>
            </w:r>
            <w:proofErr w:type="spellStart"/>
            <w:r w:rsidRPr="007D4CCC">
              <w:t>Lex</w:t>
            </w:r>
            <w:proofErr w:type="spellEnd"/>
          </w:p>
        </w:tc>
        <w:tc>
          <w:tcPr>
            <w:tcW w:w="2116" w:type="dxa"/>
          </w:tcPr>
          <w:p w:rsidR="007D4CCC" w:rsidRPr="007D4CCC" w:rsidRDefault="007D4CCC" w:rsidP="00BA5FB0">
            <w:pPr>
              <w:spacing w:after="0" w:line="240" w:lineRule="auto"/>
              <w:ind w:left="0"/>
            </w:pPr>
            <w:r w:rsidRPr="007D4CCC">
              <w:t>IA 2016</w:t>
            </w:r>
            <w:r w:rsidR="00F77457">
              <w:noBreakHyphen/>
            </w:r>
            <w:r w:rsidRPr="007D4CCC">
              <w:t>07</w:t>
            </w:r>
          </w:p>
        </w:tc>
      </w:tr>
      <w:tr w:rsidR="007D4CCC" w:rsidRPr="007D4CCC" w:rsidTr="00BA5FB0">
        <w:trPr>
          <w:cantSplit/>
        </w:trPr>
        <w:tc>
          <w:tcPr>
            <w:tcW w:w="7456" w:type="dxa"/>
          </w:tcPr>
          <w:p w:rsidR="007D4CCC" w:rsidRPr="007D4CCC" w:rsidRDefault="007D4CCC" w:rsidP="00BA5FB0">
            <w:pPr>
              <w:spacing w:after="0" w:line="240" w:lineRule="auto"/>
              <w:ind w:left="0"/>
            </w:pPr>
            <w:r w:rsidRPr="007D4CCC">
              <w:t>Audit de la gestion de projets</w:t>
            </w:r>
          </w:p>
        </w:tc>
        <w:tc>
          <w:tcPr>
            <w:tcW w:w="2116" w:type="dxa"/>
          </w:tcPr>
          <w:p w:rsidR="007D4CCC" w:rsidRPr="007D4CCC" w:rsidRDefault="007D4CCC" w:rsidP="00BA5FB0">
            <w:pPr>
              <w:spacing w:after="0" w:line="240" w:lineRule="auto"/>
              <w:ind w:left="0"/>
            </w:pPr>
            <w:r w:rsidRPr="007D4CCC">
              <w:t>IA 2016</w:t>
            </w:r>
            <w:r w:rsidR="00F77457">
              <w:noBreakHyphen/>
            </w:r>
            <w:r w:rsidRPr="007D4CCC">
              <w:t>04</w:t>
            </w:r>
          </w:p>
        </w:tc>
      </w:tr>
      <w:tr w:rsidR="007D4CCC" w:rsidRPr="007D4CCC" w:rsidTr="00BA5FB0">
        <w:trPr>
          <w:cantSplit/>
        </w:trPr>
        <w:tc>
          <w:tcPr>
            <w:tcW w:w="7456" w:type="dxa"/>
          </w:tcPr>
          <w:p w:rsidR="007D4CCC" w:rsidRPr="007D4CCC" w:rsidRDefault="007D4CCC" w:rsidP="00BA5FB0">
            <w:pPr>
              <w:spacing w:after="0" w:line="240" w:lineRule="auto"/>
              <w:ind w:left="0"/>
            </w:pPr>
            <w:r w:rsidRPr="007D4CCC">
              <w:t>Audit de la gestion des risques à l</w:t>
            </w:r>
            <w:r w:rsidR="00A25F29">
              <w:t>’</w:t>
            </w:r>
            <w:r w:rsidRPr="007D4CCC">
              <w:t>échelle de l</w:t>
            </w:r>
            <w:r w:rsidR="00A25F29">
              <w:t>’</w:t>
            </w:r>
            <w:r w:rsidRPr="007D4CCC">
              <w:t>Organisation</w:t>
            </w:r>
          </w:p>
        </w:tc>
        <w:tc>
          <w:tcPr>
            <w:tcW w:w="2116" w:type="dxa"/>
          </w:tcPr>
          <w:p w:rsidR="007D4CCC" w:rsidRPr="007D4CCC" w:rsidRDefault="007D4CCC" w:rsidP="00BA5FB0">
            <w:pPr>
              <w:spacing w:after="0" w:line="240" w:lineRule="auto"/>
              <w:ind w:left="0"/>
            </w:pPr>
            <w:r w:rsidRPr="007D4CCC">
              <w:t>IA 2016</w:t>
            </w:r>
            <w:r w:rsidR="00F77457">
              <w:noBreakHyphen/>
            </w:r>
            <w:r w:rsidRPr="007D4CCC">
              <w:t>08</w:t>
            </w:r>
          </w:p>
        </w:tc>
      </w:tr>
      <w:tr w:rsidR="007D4CCC" w:rsidRPr="007D4CCC" w:rsidTr="00BA5FB0">
        <w:trPr>
          <w:cantSplit/>
        </w:trPr>
        <w:tc>
          <w:tcPr>
            <w:tcW w:w="7456" w:type="dxa"/>
          </w:tcPr>
          <w:p w:rsidR="007D4CCC" w:rsidRPr="007D4CCC" w:rsidRDefault="007D4CCC" w:rsidP="00BA5FB0">
            <w:pPr>
              <w:spacing w:after="0" w:line="240" w:lineRule="auto"/>
              <w:ind w:left="0"/>
            </w:pPr>
            <w:r w:rsidRPr="007D4CCC">
              <w:t>Audit du cadre de l</w:t>
            </w:r>
            <w:r w:rsidR="00A25F29">
              <w:t>’</w:t>
            </w:r>
            <w:proofErr w:type="spellStart"/>
            <w:r w:rsidRPr="007D4CCC">
              <w:t>OMPI</w:t>
            </w:r>
            <w:proofErr w:type="spellEnd"/>
            <w:r w:rsidRPr="007D4CCC">
              <w:t xml:space="preserve"> en matière d</w:t>
            </w:r>
            <w:r w:rsidR="00A25F29">
              <w:t>’</w:t>
            </w:r>
            <w:r w:rsidRPr="007D4CCC">
              <w:t>éthique</w:t>
            </w:r>
          </w:p>
        </w:tc>
        <w:tc>
          <w:tcPr>
            <w:tcW w:w="2116" w:type="dxa"/>
          </w:tcPr>
          <w:p w:rsidR="007D4CCC" w:rsidRPr="007D4CCC" w:rsidRDefault="007D4CCC" w:rsidP="00BA5FB0">
            <w:pPr>
              <w:spacing w:after="0" w:line="240" w:lineRule="auto"/>
              <w:ind w:left="0"/>
            </w:pPr>
            <w:r w:rsidRPr="007D4CCC">
              <w:t>IA 2015</w:t>
            </w:r>
            <w:r w:rsidR="00F77457">
              <w:noBreakHyphen/>
            </w:r>
            <w:r w:rsidRPr="007D4CCC">
              <w:t>04</w:t>
            </w:r>
          </w:p>
        </w:tc>
      </w:tr>
      <w:tr w:rsidR="007D4CCC" w:rsidRPr="007D4CCC" w:rsidTr="00BA5FB0">
        <w:trPr>
          <w:cantSplit/>
        </w:trPr>
        <w:tc>
          <w:tcPr>
            <w:tcW w:w="7456" w:type="dxa"/>
          </w:tcPr>
          <w:p w:rsidR="007D4CCC" w:rsidRPr="007D4CCC" w:rsidRDefault="007D4CCC" w:rsidP="00BA5FB0">
            <w:pPr>
              <w:spacing w:after="0" w:line="240" w:lineRule="auto"/>
              <w:ind w:left="0"/>
            </w:pPr>
            <w:r w:rsidRPr="007D4CCC">
              <w:t>Audit du Service d</w:t>
            </w:r>
            <w:r w:rsidR="00A25F29">
              <w:t>’</w:t>
            </w:r>
            <w:r w:rsidRPr="007D4CCC">
              <w:t>enregistrement de Madrid</w:t>
            </w:r>
          </w:p>
        </w:tc>
        <w:tc>
          <w:tcPr>
            <w:tcW w:w="2116" w:type="dxa"/>
          </w:tcPr>
          <w:p w:rsidR="007D4CCC" w:rsidRPr="007D4CCC" w:rsidRDefault="007D4CCC" w:rsidP="00BA5FB0">
            <w:pPr>
              <w:spacing w:after="0" w:line="240" w:lineRule="auto"/>
              <w:ind w:left="0"/>
            </w:pPr>
            <w:r w:rsidRPr="007D4CCC">
              <w:t>IA 2016</w:t>
            </w:r>
            <w:r w:rsidR="00F77457">
              <w:noBreakHyphen/>
            </w:r>
            <w:r w:rsidRPr="007D4CCC">
              <w:t>03</w:t>
            </w:r>
          </w:p>
        </w:tc>
      </w:tr>
      <w:tr w:rsidR="007D4CCC" w:rsidRPr="007D4CCC" w:rsidTr="00BA5FB0">
        <w:trPr>
          <w:cantSplit/>
        </w:trPr>
        <w:tc>
          <w:tcPr>
            <w:tcW w:w="7456" w:type="dxa"/>
          </w:tcPr>
          <w:p w:rsidR="007D4CCC" w:rsidRPr="007D4CCC" w:rsidRDefault="007D4CCC" w:rsidP="00BA5FB0">
            <w:pPr>
              <w:spacing w:after="0" w:line="240" w:lineRule="auto"/>
              <w:ind w:left="0"/>
            </w:pPr>
            <w:r w:rsidRPr="007D4CCC">
              <w:t>Audit de la paie</w:t>
            </w:r>
          </w:p>
        </w:tc>
        <w:tc>
          <w:tcPr>
            <w:tcW w:w="2116" w:type="dxa"/>
          </w:tcPr>
          <w:p w:rsidR="007D4CCC" w:rsidRPr="007D4CCC" w:rsidRDefault="007D4CCC" w:rsidP="00BA5FB0">
            <w:pPr>
              <w:spacing w:after="0" w:line="240" w:lineRule="auto"/>
              <w:ind w:left="0"/>
            </w:pPr>
            <w:r w:rsidRPr="007D4CCC">
              <w:t>IA 2017</w:t>
            </w:r>
            <w:r w:rsidR="00F77457">
              <w:noBreakHyphen/>
            </w:r>
            <w:r w:rsidRPr="007D4CCC">
              <w:t>05</w:t>
            </w:r>
          </w:p>
        </w:tc>
      </w:tr>
      <w:tr w:rsidR="007D4CCC" w:rsidRPr="007D4CCC" w:rsidTr="00BA5FB0">
        <w:trPr>
          <w:cantSplit/>
        </w:trPr>
        <w:tc>
          <w:tcPr>
            <w:tcW w:w="7456" w:type="dxa"/>
          </w:tcPr>
          <w:p w:rsidR="007D4CCC" w:rsidRPr="007D4CCC" w:rsidRDefault="007D4CCC" w:rsidP="00BA5FB0">
            <w:pPr>
              <w:spacing w:after="0" w:line="240" w:lineRule="auto"/>
              <w:ind w:left="0"/>
            </w:pPr>
            <w:r w:rsidRPr="007D4CCC">
              <w:t>Révision des politiques et procédures en matière d</w:t>
            </w:r>
            <w:r w:rsidR="00A25F29">
              <w:t>’</w:t>
            </w:r>
            <w:r w:rsidRPr="007D4CCC">
              <w:t>achats</w:t>
            </w:r>
          </w:p>
        </w:tc>
        <w:tc>
          <w:tcPr>
            <w:tcW w:w="2116" w:type="dxa"/>
          </w:tcPr>
          <w:p w:rsidR="007D4CCC" w:rsidRPr="007D4CCC" w:rsidRDefault="007D4CCC" w:rsidP="00BA5FB0">
            <w:pPr>
              <w:spacing w:after="0" w:line="240" w:lineRule="auto"/>
              <w:ind w:left="0"/>
            </w:pPr>
          </w:p>
        </w:tc>
      </w:tr>
      <w:tr w:rsidR="007D4CCC" w:rsidRPr="007D4CCC" w:rsidTr="00BA5FB0">
        <w:trPr>
          <w:cantSplit/>
        </w:trPr>
        <w:tc>
          <w:tcPr>
            <w:tcW w:w="7456" w:type="dxa"/>
          </w:tcPr>
          <w:p w:rsidR="007D4CCC" w:rsidRPr="007D4CCC" w:rsidRDefault="007D4CCC" w:rsidP="00BA5FB0">
            <w:pPr>
              <w:spacing w:after="0" w:line="240" w:lineRule="auto"/>
              <w:ind w:left="0"/>
            </w:pPr>
            <w:proofErr w:type="spellStart"/>
            <w:r w:rsidRPr="007D4CCC">
              <w:t>Mémorandums</w:t>
            </w:r>
            <w:proofErr w:type="spellEnd"/>
            <w:r w:rsidRPr="007D4CCC">
              <w:t xml:space="preserve"> sur les activités d</w:t>
            </w:r>
            <w:r w:rsidR="00A25F29">
              <w:t>’</w:t>
            </w:r>
            <w:r w:rsidRPr="007D4CCC">
              <w:t>audit continu menées en 2016</w:t>
            </w:r>
          </w:p>
        </w:tc>
        <w:tc>
          <w:tcPr>
            <w:tcW w:w="2116" w:type="dxa"/>
          </w:tcPr>
          <w:p w:rsidR="007D4CCC" w:rsidRPr="007D4CCC" w:rsidRDefault="007D4CCC" w:rsidP="00BA5FB0">
            <w:pPr>
              <w:spacing w:after="0" w:line="240" w:lineRule="auto"/>
              <w:ind w:left="0"/>
            </w:pPr>
            <w:r w:rsidRPr="007D4CCC">
              <w:t>CA 2016</w:t>
            </w:r>
            <w:r w:rsidR="00F77457">
              <w:noBreakHyphen/>
            </w:r>
            <w:r w:rsidRPr="007D4CCC">
              <w:t>01</w:t>
            </w:r>
          </w:p>
          <w:p w:rsidR="007D4CCC" w:rsidRPr="007D4CCC" w:rsidRDefault="007D4CCC" w:rsidP="00BA5FB0">
            <w:pPr>
              <w:spacing w:after="0" w:line="240" w:lineRule="auto"/>
              <w:ind w:left="0"/>
            </w:pPr>
            <w:r w:rsidRPr="007D4CCC">
              <w:t>CA 2016</w:t>
            </w:r>
            <w:r w:rsidR="00F77457">
              <w:noBreakHyphen/>
            </w:r>
            <w:r w:rsidRPr="007D4CCC">
              <w:t>02</w:t>
            </w:r>
          </w:p>
        </w:tc>
      </w:tr>
      <w:tr w:rsidR="007D4CCC" w:rsidRPr="007D4CCC" w:rsidTr="00BA5FB0">
        <w:trPr>
          <w:cantSplit/>
        </w:trPr>
        <w:tc>
          <w:tcPr>
            <w:tcW w:w="7456" w:type="dxa"/>
          </w:tcPr>
          <w:p w:rsidR="007D4CCC" w:rsidRPr="007D4CCC" w:rsidRDefault="007D4CCC" w:rsidP="00BA5FB0">
            <w:pPr>
              <w:spacing w:after="0" w:line="240" w:lineRule="auto"/>
              <w:ind w:left="0"/>
            </w:pPr>
            <w:r w:rsidRPr="007D4CCC">
              <w:t>Mémorandum sur les activités d</w:t>
            </w:r>
            <w:r w:rsidR="00A25F29">
              <w:t>’</w:t>
            </w:r>
            <w:r w:rsidRPr="007D4CCC">
              <w:t>audit continu menées en 2017</w:t>
            </w:r>
          </w:p>
        </w:tc>
        <w:tc>
          <w:tcPr>
            <w:tcW w:w="2116" w:type="dxa"/>
          </w:tcPr>
          <w:p w:rsidR="007D4CCC" w:rsidRPr="007D4CCC" w:rsidRDefault="007D4CCC" w:rsidP="00BA5FB0">
            <w:pPr>
              <w:spacing w:after="0" w:line="240" w:lineRule="auto"/>
              <w:ind w:left="0"/>
            </w:pPr>
            <w:r w:rsidRPr="007D4CCC">
              <w:t>CA 2017</w:t>
            </w:r>
            <w:r w:rsidR="00F77457">
              <w:noBreakHyphen/>
            </w:r>
            <w:r w:rsidRPr="007D4CCC">
              <w:t>01</w:t>
            </w:r>
          </w:p>
        </w:tc>
      </w:tr>
      <w:tr w:rsidR="007D4CCC" w:rsidRPr="007D4CCC" w:rsidTr="00BA5FB0">
        <w:trPr>
          <w:cantSplit/>
        </w:trPr>
        <w:tc>
          <w:tcPr>
            <w:tcW w:w="7456" w:type="dxa"/>
          </w:tcPr>
          <w:p w:rsidR="007D4CCC" w:rsidRPr="007D4CCC" w:rsidRDefault="007D4CCC" w:rsidP="00BA5FB0">
            <w:pPr>
              <w:spacing w:after="0" w:line="240" w:lineRule="auto"/>
              <w:ind w:left="0"/>
            </w:pPr>
            <w:r w:rsidRPr="007D4CCC">
              <w:t>Évaluation de l</w:t>
            </w:r>
            <w:r w:rsidR="00A25F29">
              <w:t>’</w:t>
            </w:r>
            <w:r w:rsidRPr="007D4CCC">
              <w:t>Union internationale pour la protection des obtentions végétales (</w:t>
            </w:r>
            <w:proofErr w:type="spellStart"/>
            <w:r w:rsidRPr="007D4CCC">
              <w:t>UPOV</w:t>
            </w:r>
            <w:proofErr w:type="spellEnd"/>
            <w:r w:rsidRPr="007D4CCC">
              <w:t>)</w:t>
            </w:r>
          </w:p>
        </w:tc>
        <w:tc>
          <w:tcPr>
            <w:tcW w:w="2116" w:type="dxa"/>
          </w:tcPr>
          <w:p w:rsidR="007D4CCC" w:rsidRPr="007D4CCC" w:rsidRDefault="007D4CCC" w:rsidP="00BA5FB0">
            <w:pPr>
              <w:spacing w:after="0" w:line="240" w:lineRule="auto"/>
              <w:ind w:left="0"/>
            </w:pPr>
            <w:proofErr w:type="spellStart"/>
            <w:r w:rsidRPr="007D4CCC">
              <w:t>EVAL</w:t>
            </w:r>
            <w:proofErr w:type="spellEnd"/>
            <w:r w:rsidRPr="007D4CCC">
              <w:t> 2016–01</w:t>
            </w:r>
          </w:p>
        </w:tc>
      </w:tr>
      <w:tr w:rsidR="007D4CCC" w:rsidRPr="007D4CCC" w:rsidTr="00BA5FB0">
        <w:trPr>
          <w:cantSplit/>
        </w:trPr>
        <w:tc>
          <w:tcPr>
            <w:tcW w:w="7456" w:type="dxa"/>
          </w:tcPr>
          <w:p w:rsidR="007D4CCC" w:rsidRPr="007D4CCC" w:rsidRDefault="007D4CCC" w:rsidP="00BA5FB0">
            <w:pPr>
              <w:spacing w:after="0" w:line="240" w:lineRule="auto"/>
              <w:ind w:left="0"/>
            </w:pPr>
            <w:r w:rsidRPr="007D4CCC">
              <w:t>Évaluation du programme 13</w:t>
            </w:r>
            <w:r w:rsidR="00A25F29">
              <w:t> </w:t>
            </w:r>
            <w:proofErr w:type="gramStart"/>
            <w:r w:rsidR="00A25F29">
              <w:t>:</w:t>
            </w:r>
            <w:r w:rsidRPr="007D4CCC">
              <w:t xml:space="preserve"> Bases</w:t>
            </w:r>
            <w:proofErr w:type="gramEnd"/>
            <w:r w:rsidRPr="007D4CCC">
              <w:t xml:space="preserve"> de données mondiales de l</w:t>
            </w:r>
            <w:r w:rsidR="00A25F29">
              <w:t>’</w:t>
            </w:r>
            <w:proofErr w:type="spellStart"/>
            <w:r w:rsidRPr="007D4CCC">
              <w:t>OMPI</w:t>
            </w:r>
            <w:proofErr w:type="spellEnd"/>
            <w:r w:rsidRPr="007D4CCC">
              <w:t xml:space="preserve"> </w:t>
            </w:r>
          </w:p>
        </w:tc>
        <w:tc>
          <w:tcPr>
            <w:tcW w:w="2116" w:type="dxa"/>
          </w:tcPr>
          <w:p w:rsidR="007D4CCC" w:rsidRPr="007D4CCC" w:rsidRDefault="007D4CCC" w:rsidP="00BA5FB0">
            <w:pPr>
              <w:spacing w:after="0" w:line="240" w:lineRule="auto"/>
              <w:ind w:left="0"/>
            </w:pPr>
            <w:proofErr w:type="spellStart"/>
            <w:r w:rsidRPr="007D4CCC">
              <w:t>EVAL</w:t>
            </w:r>
            <w:proofErr w:type="spellEnd"/>
            <w:r w:rsidRPr="007D4CCC">
              <w:t> 2016–05</w:t>
            </w:r>
          </w:p>
        </w:tc>
      </w:tr>
      <w:tr w:rsidR="007D4CCC" w:rsidRPr="007D4CCC" w:rsidTr="00BA5FB0">
        <w:trPr>
          <w:cantSplit/>
        </w:trPr>
        <w:tc>
          <w:tcPr>
            <w:tcW w:w="7456" w:type="dxa"/>
          </w:tcPr>
          <w:p w:rsidR="007D4CCC" w:rsidRPr="007D4CCC" w:rsidRDefault="007D4CCC" w:rsidP="00BA5FB0">
            <w:pPr>
              <w:spacing w:after="0" w:line="240" w:lineRule="auto"/>
              <w:ind w:left="0"/>
            </w:pPr>
            <w:r w:rsidRPr="007D4CCC">
              <w:t>Évaluation du programme 12</w:t>
            </w:r>
            <w:r w:rsidR="00A25F29">
              <w:t> </w:t>
            </w:r>
            <w:proofErr w:type="gramStart"/>
            <w:r w:rsidR="00A25F29">
              <w:t>:</w:t>
            </w:r>
            <w:r w:rsidRPr="007D4CCC">
              <w:t xml:space="preserve"> Classifications</w:t>
            </w:r>
            <w:proofErr w:type="gramEnd"/>
            <w:r w:rsidRPr="007D4CCC">
              <w:t xml:space="preserve"> internationales et normes</w:t>
            </w:r>
          </w:p>
        </w:tc>
        <w:tc>
          <w:tcPr>
            <w:tcW w:w="2116" w:type="dxa"/>
          </w:tcPr>
          <w:p w:rsidR="007D4CCC" w:rsidRPr="007D4CCC" w:rsidRDefault="007D4CCC" w:rsidP="00BA5FB0">
            <w:pPr>
              <w:spacing w:after="0" w:line="240" w:lineRule="auto"/>
              <w:ind w:left="0"/>
            </w:pPr>
            <w:proofErr w:type="spellStart"/>
            <w:r w:rsidRPr="007D4CCC">
              <w:t>EVAL</w:t>
            </w:r>
            <w:proofErr w:type="spellEnd"/>
            <w:r w:rsidRPr="007D4CCC">
              <w:t> 2017–02</w:t>
            </w:r>
          </w:p>
        </w:tc>
      </w:tr>
      <w:tr w:rsidR="007D4CCC" w:rsidRPr="007D4CCC" w:rsidTr="00BA5FB0">
        <w:trPr>
          <w:cantSplit/>
        </w:trPr>
        <w:tc>
          <w:tcPr>
            <w:tcW w:w="7456" w:type="dxa"/>
          </w:tcPr>
          <w:p w:rsidR="007D4CCC" w:rsidRPr="007D4CCC" w:rsidRDefault="007D4CCC" w:rsidP="00BA5FB0">
            <w:pPr>
              <w:spacing w:after="0" w:line="240" w:lineRule="auto"/>
              <w:ind w:left="0"/>
            </w:pPr>
            <w:r w:rsidRPr="007D4CCC">
              <w:t>Rapport sur l</w:t>
            </w:r>
            <w:r w:rsidR="00A25F29">
              <w:t>’</w:t>
            </w:r>
            <w:r w:rsidRPr="007D4CCC">
              <w:t>imprimerie à l</w:t>
            </w:r>
            <w:r w:rsidR="00A25F29">
              <w:t>’</w:t>
            </w:r>
            <w:r w:rsidRPr="007D4CCC">
              <w:t>intention de la direction</w:t>
            </w:r>
          </w:p>
        </w:tc>
        <w:tc>
          <w:tcPr>
            <w:tcW w:w="2116" w:type="dxa"/>
          </w:tcPr>
          <w:p w:rsidR="007D4CCC" w:rsidRPr="007D4CCC" w:rsidRDefault="007D4CCC" w:rsidP="00BA5FB0">
            <w:pPr>
              <w:spacing w:after="0" w:line="240" w:lineRule="auto"/>
              <w:ind w:left="0"/>
            </w:pPr>
            <w:r w:rsidRPr="007D4CCC">
              <w:t>MIR 2016</w:t>
            </w:r>
            <w:r w:rsidR="00F77457">
              <w:noBreakHyphen/>
            </w:r>
            <w:r w:rsidRPr="007D4CCC">
              <w:t>01</w:t>
            </w:r>
          </w:p>
        </w:tc>
      </w:tr>
      <w:tr w:rsidR="007D4CCC" w:rsidRPr="007D4CCC" w:rsidTr="00BA5FB0">
        <w:trPr>
          <w:cantSplit/>
        </w:trPr>
        <w:tc>
          <w:tcPr>
            <w:tcW w:w="7456" w:type="dxa"/>
            <w:tcBorders>
              <w:bottom w:val="single" w:sz="4" w:space="0" w:color="auto"/>
            </w:tcBorders>
          </w:tcPr>
          <w:p w:rsidR="007D4CCC" w:rsidRPr="007D4CCC" w:rsidRDefault="007D4CCC" w:rsidP="00BA5FB0">
            <w:pPr>
              <w:spacing w:after="0" w:line="240" w:lineRule="auto"/>
              <w:ind w:left="0"/>
            </w:pPr>
            <w:r w:rsidRPr="007D4CCC">
              <w:t>Rapport sur les procédures de recrutement à l</w:t>
            </w:r>
            <w:r w:rsidR="00A25F29">
              <w:t>’</w:t>
            </w:r>
            <w:r w:rsidRPr="007D4CCC">
              <w:t>intention de la direction</w:t>
            </w:r>
          </w:p>
        </w:tc>
        <w:tc>
          <w:tcPr>
            <w:tcW w:w="2116" w:type="dxa"/>
            <w:tcBorders>
              <w:bottom w:val="single" w:sz="4" w:space="0" w:color="auto"/>
            </w:tcBorders>
          </w:tcPr>
          <w:p w:rsidR="007D4CCC" w:rsidRPr="007D4CCC" w:rsidRDefault="007D4CCC" w:rsidP="00BA5FB0">
            <w:pPr>
              <w:spacing w:after="0" w:line="240" w:lineRule="auto"/>
              <w:ind w:left="0"/>
            </w:pPr>
            <w:r w:rsidRPr="007D4CCC">
              <w:t>MIR 2016</w:t>
            </w:r>
            <w:r w:rsidR="00F77457">
              <w:noBreakHyphen/>
            </w:r>
            <w:r w:rsidRPr="007D4CCC">
              <w:t>09</w:t>
            </w:r>
          </w:p>
        </w:tc>
      </w:tr>
      <w:tr w:rsidR="007D4CCC" w:rsidRPr="007D4CCC" w:rsidTr="00BA5FB0">
        <w:trPr>
          <w:cantSplit/>
        </w:trPr>
        <w:tc>
          <w:tcPr>
            <w:tcW w:w="7456" w:type="dxa"/>
            <w:shd w:val="clear" w:color="auto" w:fill="auto"/>
          </w:tcPr>
          <w:p w:rsidR="007D4CCC" w:rsidRPr="007D4CCC" w:rsidRDefault="007D4CCC" w:rsidP="00BA5FB0">
            <w:pPr>
              <w:spacing w:after="0" w:line="240" w:lineRule="auto"/>
              <w:ind w:left="0"/>
            </w:pPr>
            <w:r w:rsidRPr="007D4CCC">
              <w:t>Rapport sur le droit au congé dans les foyers à l</w:t>
            </w:r>
            <w:r w:rsidR="00A25F29">
              <w:t>’</w:t>
            </w:r>
            <w:r w:rsidRPr="007D4CCC">
              <w:t>intention de la direction</w:t>
            </w:r>
          </w:p>
        </w:tc>
        <w:tc>
          <w:tcPr>
            <w:tcW w:w="2116" w:type="dxa"/>
            <w:shd w:val="clear" w:color="auto" w:fill="auto"/>
          </w:tcPr>
          <w:p w:rsidR="007D4CCC" w:rsidRPr="007D4CCC" w:rsidRDefault="007D4CCC" w:rsidP="00BA5FB0">
            <w:pPr>
              <w:spacing w:after="0" w:line="240" w:lineRule="auto"/>
              <w:ind w:left="0"/>
            </w:pPr>
            <w:r w:rsidRPr="007D4CCC">
              <w:t>MIR 2017</w:t>
            </w:r>
            <w:r w:rsidR="00F77457">
              <w:noBreakHyphen/>
            </w:r>
            <w:r w:rsidRPr="007D4CCC">
              <w:t>01</w:t>
            </w:r>
          </w:p>
        </w:tc>
      </w:tr>
    </w:tbl>
    <w:p w:rsidR="007D4CCC" w:rsidRPr="007D4CCC" w:rsidRDefault="007D4CCC" w:rsidP="00BA5FB0"/>
    <w:p w:rsidR="007D4CCC" w:rsidRPr="007D4CCC" w:rsidRDefault="007D4CCC" w:rsidP="00BA5FB0"/>
    <w:p w:rsidR="007D4CCC" w:rsidRPr="007D4CCC" w:rsidRDefault="007D4CCC" w:rsidP="00BA5FB0"/>
    <w:p w:rsidR="007D4CCC" w:rsidRPr="007D4CCC" w:rsidRDefault="007D4CCC" w:rsidP="007D4CCC">
      <w:pPr>
        <w:keepLines/>
        <w:ind w:left="5533"/>
      </w:pPr>
      <w:r w:rsidRPr="007D4CCC">
        <w:t>[L</w:t>
      </w:r>
      <w:r w:rsidR="00A25F29">
        <w:t>’</w:t>
      </w:r>
      <w:r w:rsidRPr="007D4CCC">
        <w:t>annexe II suit]</w:t>
      </w:r>
    </w:p>
    <w:p w:rsidR="007D4CCC" w:rsidRPr="007D4CCC" w:rsidRDefault="007D4CCC" w:rsidP="007D4CCC">
      <w:pPr>
        <w:keepLines/>
      </w:pPr>
    </w:p>
    <w:p w:rsidR="007D4CCC" w:rsidRPr="007D4CCC" w:rsidRDefault="007D4CCC" w:rsidP="007D4CCC">
      <w:pPr>
        <w:keepLines/>
        <w:sectPr w:rsidR="007D4CCC" w:rsidRPr="007D4CCC" w:rsidSect="007D4CCC">
          <w:headerReference w:type="first" r:id="rId18"/>
          <w:footnotePr>
            <w:numRestart w:val="eachPage"/>
          </w:footnotePr>
          <w:endnotePr>
            <w:numFmt w:val="decimal"/>
          </w:endnotePr>
          <w:pgSz w:w="11907" w:h="16840" w:code="9"/>
          <w:pgMar w:top="567" w:right="1134" w:bottom="1417" w:left="1417" w:header="510" w:footer="1020" w:gutter="0"/>
          <w:cols w:space="720"/>
          <w:titlePg/>
          <w:docGrid w:linePitch="299"/>
        </w:sectPr>
      </w:pPr>
    </w:p>
    <w:p w:rsidR="007D4CCC" w:rsidRPr="007D4CCC" w:rsidRDefault="007D4CCC" w:rsidP="007D4CCC">
      <w:pPr>
        <w:keepLines/>
        <w:jc w:val="center"/>
        <w:rPr>
          <w:b/>
          <w:bCs/>
        </w:rPr>
      </w:pPr>
      <w:r w:rsidRPr="007D4CCC">
        <w:rPr>
          <w:b/>
          <w:bCs/>
        </w:rPr>
        <w:lastRenderedPageBreak/>
        <w:t xml:space="preserve">LISTE DES ACTIVITÉS DE CONSULTATION ET DE CONSEIL MENÉES PAR LA </w:t>
      </w:r>
      <w:proofErr w:type="spellStart"/>
      <w:r w:rsidRPr="007D4CCC">
        <w:rPr>
          <w:b/>
          <w:bCs/>
        </w:rPr>
        <w:t>DSI</w:t>
      </w:r>
      <w:proofErr w:type="spellEnd"/>
    </w:p>
    <w:p w:rsidR="007D4CCC" w:rsidRPr="007D4CCC" w:rsidRDefault="007D4CCC" w:rsidP="00BA5FB0"/>
    <w:p w:rsidR="007D4CCC" w:rsidRPr="007D4CCC" w:rsidRDefault="007D4CCC" w:rsidP="00BA5FB0"/>
    <w:p w:rsidR="007D4CCC" w:rsidRPr="007D4CCC" w:rsidRDefault="007D4CCC" w:rsidP="00BA5FB0">
      <w:pPr>
        <w:keepLines/>
        <w:numPr>
          <w:ilvl w:val="0"/>
          <w:numId w:val="4"/>
        </w:numPr>
        <w:tabs>
          <w:tab w:val="left" w:pos="1134"/>
        </w:tabs>
        <w:spacing w:after="220"/>
      </w:pPr>
      <w:r w:rsidRPr="007D4CCC">
        <w:t>Ordre de service sur les événements et les activités d</w:t>
      </w:r>
      <w:r w:rsidR="00A25F29">
        <w:t>’</w:t>
      </w:r>
      <w:r w:rsidRPr="007D4CCC">
        <w:t>accueil et réceptions</w:t>
      </w:r>
    </w:p>
    <w:p w:rsidR="007D4CCC" w:rsidRPr="007D4CCC" w:rsidRDefault="007D4CCC" w:rsidP="00BA5FB0">
      <w:pPr>
        <w:keepLines/>
        <w:numPr>
          <w:ilvl w:val="0"/>
          <w:numId w:val="4"/>
        </w:numPr>
        <w:tabs>
          <w:tab w:val="left" w:pos="1134"/>
        </w:tabs>
        <w:spacing w:after="220"/>
      </w:pPr>
      <w:r w:rsidRPr="007D4CCC">
        <w:t>Modifications apportées aux contrats de l</w:t>
      </w:r>
      <w:r w:rsidR="00A25F29">
        <w:t>’</w:t>
      </w:r>
      <w:proofErr w:type="spellStart"/>
      <w:r w:rsidRPr="007D4CCC">
        <w:t>OMPI</w:t>
      </w:r>
      <w:proofErr w:type="spellEnd"/>
    </w:p>
    <w:p w:rsidR="007D4CCC" w:rsidRPr="007D4CCC" w:rsidRDefault="007D4CCC" w:rsidP="00BA5FB0">
      <w:pPr>
        <w:keepLines/>
        <w:numPr>
          <w:ilvl w:val="0"/>
          <w:numId w:val="4"/>
        </w:numPr>
        <w:tabs>
          <w:tab w:val="left" w:pos="1134"/>
        </w:tabs>
        <w:spacing w:after="220"/>
      </w:pPr>
      <w:r w:rsidRPr="007D4CCC">
        <w:t>Examen stratégique en matière de sécurité</w:t>
      </w:r>
    </w:p>
    <w:p w:rsidR="007D4CCC" w:rsidRPr="007D4CCC" w:rsidRDefault="007D4CCC" w:rsidP="00BA5FB0">
      <w:pPr>
        <w:keepLines/>
        <w:numPr>
          <w:ilvl w:val="0"/>
          <w:numId w:val="4"/>
        </w:numPr>
        <w:tabs>
          <w:tab w:val="left" w:pos="1134"/>
        </w:tabs>
        <w:spacing w:after="220"/>
      </w:pPr>
      <w:r w:rsidRPr="007D4CCC">
        <w:t>Procédure d</w:t>
      </w:r>
      <w:r w:rsidR="00A25F29">
        <w:t>’</w:t>
      </w:r>
      <w:r w:rsidRPr="007D4CCC">
        <w:t>évaluation du mécanisme de contrôle</w:t>
      </w:r>
    </w:p>
    <w:p w:rsidR="007D4CCC" w:rsidRPr="007D4CCC" w:rsidRDefault="007D4CCC" w:rsidP="00BA5FB0">
      <w:pPr>
        <w:keepLines/>
        <w:numPr>
          <w:ilvl w:val="0"/>
          <w:numId w:val="4"/>
        </w:numPr>
        <w:tabs>
          <w:tab w:val="left" w:pos="1134"/>
        </w:tabs>
        <w:spacing w:after="220"/>
      </w:pPr>
      <w:r w:rsidRPr="007D4CCC">
        <w:t>Définition de la fraude et de la présomption de fraude</w:t>
      </w:r>
    </w:p>
    <w:p w:rsidR="007D4CCC" w:rsidRPr="007D4CCC" w:rsidRDefault="007D4CCC" w:rsidP="00BA5FB0">
      <w:pPr>
        <w:keepLines/>
        <w:numPr>
          <w:ilvl w:val="0"/>
          <w:numId w:val="4"/>
        </w:numPr>
        <w:tabs>
          <w:tab w:val="left" w:pos="1134"/>
        </w:tabs>
        <w:spacing w:after="220"/>
      </w:pPr>
      <w:r w:rsidRPr="007D4CCC">
        <w:t>Ordre de service sur un environnement de travail harmonieux</w:t>
      </w:r>
    </w:p>
    <w:p w:rsidR="007D4CCC" w:rsidRPr="007D4CCC" w:rsidRDefault="007D4CCC" w:rsidP="00BA5FB0">
      <w:pPr>
        <w:keepLines/>
        <w:numPr>
          <w:ilvl w:val="0"/>
          <w:numId w:val="4"/>
        </w:numPr>
        <w:tabs>
          <w:tab w:val="left" w:pos="1134"/>
        </w:tabs>
        <w:spacing w:after="220"/>
      </w:pPr>
      <w:r w:rsidRPr="007D4CCC">
        <w:t>Politique relative aux sanctions applicables aux fournisseurs</w:t>
      </w:r>
    </w:p>
    <w:p w:rsidR="007D4CCC" w:rsidRPr="007D4CCC" w:rsidRDefault="007D4CCC" w:rsidP="00BA5FB0">
      <w:pPr>
        <w:keepLines/>
        <w:numPr>
          <w:ilvl w:val="0"/>
          <w:numId w:val="4"/>
        </w:numPr>
        <w:tabs>
          <w:tab w:val="left" w:pos="1134"/>
        </w:tabs>
        <w:spacing w:after="220"/>
      </w:pPr>
      <w:r w:rsidRPr="007D4CCC">
        <w:t>Révision de la politique en matière de classement de l</w:t>
      </w:r>
      <w:r w:rsidR="00A25F29">
        <w:t>’</w:t>
      </w:r>
      <w:r w:rsidRPr="007D4CCC">
        <w:t>information</w:t>
      </w:r>
    </w:p>
    <w:p w:rsidR="007D4CCC" w:rsidRPr="007D4CCC" w:rsidRDefault="007D4CCC" w:rsidP="007D4CCC">
      <w:pPr>
        <w:keepLines/>
        <w:numPr>
          <w:ilvl w:val="0"/>
          <w:numId w:val="4"/>
        </w:numPr>
        <w:tabs>
          <w:tab w:val="left" w:pos="1134"/>
        </w:tabs>
      </w:pPr>
      <w:r w:rsidRPr="007D4CCC">
        <w:t>Modèle de maturité concernant la fraude à l</w:t>
      </w:r>
      <w:r w:rsidR="00A25F29">
        <w:t>’</w:t>
      </w:r>
      <w:proofErr w:type="spellStart"/>
      <w:r w:rsidRPr="007D4CCC">
        <w:t>OMPI</w:t>
      </w:r>
      <w:proofErr w:type="spellEnd"/>
    </w:p>
    <w:p w:rsidR="007D4CCC" w:rsidRDefault="007D4CCC" w:rsidP="00BA5FB0"/>
    <w:p w:rsidR="00BA5FB0" w:rsidRDefault="00BA5FB0" w:rsidP="00BA5FB0"/>
    <w:p w:rsidR="00BA5FB0" w:rsidRPr="007D4CCC" w:rsidRDefault="00BA5FB0" w:rsidP="00BA5FB0"/>
    <w:p w:rsidR="007D4CCC" w:rsidRPr="007D4CCC" w:rsidRDefault="007D4CCC" w:rsidP="007D4CCC">
      <w:pPr>
        <w:keepLines/>
        <w:ind w:left="5533"/>
      </w:pPr>
      <w:r w:rsidRPr="007D4CCC">
        <w:t>[Fin de l</w:t>
      </w:r>
      <w:r w:rsidR="00A25F29">
        <w:t>’</w:t>
      </w:r>
      <w:r w:rsidRPr="007D4CCC">
        <w:t>annexe II et du document]</w:t>
      </w:r>
    </w:p>
    <w:sectPr w:rsidR="007D4CCC" w:rsidRPr="007D4CCC" w:rsidSect="007D4CCC">
      <w:headerReference w:type="default" r:id="rId19"/>
      <w:headerReference w:type="first" r:id="rId20"/>
      <w:endnotePr>
        <w:numFmt w:val="decimal"/>
      </w:endnotePr>
      <w:pgSz w:w="11907" w:h="16840" w:code="9"/>
      <w:pgMar w:top="567" w:right="1134" w:bottom="1417" w:left="1417" w:header="510" w:footer="1020" w:gutter="0"/>
      <w:pgNumType w:star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D32C7" w15:done="0"/>
  <w15:commentEx w15:paraId="6541E26B" w15:done="0"/>
  <w15:commentEx w15:paraId="2B9812D1" w15:done="0"/>
  <w15:commentEx w15:paraId="04169DA4" w15:done="0"/>
  <w15:commentEx w15:paraId="0C85C6F9" w15:done="0"/>
  <w15:commentEx w15:paraId="032F0737" w15:done="0"/>
  <w15:commentEx w15:paraId="3E348AC5" w15:done="0"/>
  <w15:commentEx w15:paraId="00BC6D7B" w15:done="0"/>
  <w15:commentEx w15:paraId="57C0BDDB" w15:done="0"/>
  <w15:commentEx w15:paraId="19DC558F" w15:done="0"/>
  <w15:commentEx w15:paraId="034B4EEE" w15:done="0"/>
  <w15:commentEx w15:paraId="615F5E9E" w15:done="0"/>
  <w15:commentEx w15:paraId="184060EA" w15:done="0"/>
  <w15:commentEx w15:paraId="78D2B497" w15:done="0"/>
  <w15:commentEx w15:paraId="4666FEEA" w15:done="0"/>
  <w15:commentEx w15:paraId="784E2CCC" w15:done="0"/>
  <w15:commentEx w15:paraId="6A198D7C" w15:done="0"/>
  <w15:commentEx w15:paraId="7155C627" w15:done="0"/>
  <w15:commentEx w15:paraId="47841115" w15:done="0"/>
  <w15:commentEx w15:paraId="7B60F774" w15:paraIdParent="47841115" w15:done="0"/>
  <w15:commentEx w15:paraId="30902CB2" w15:done="0"/>
  <w15:commentEx w15:paraId="3BA9C510" w15:done="0"/>
  <w15:commentEx w15:paraId="7AF9C6FC" w15:done="0"/>
  <w15:commentEx w15:paraId="5B539906" w15:done="0"/>
  <w15:commentEx w15:paraId="31224F2D" w15:done="0"/>
  <w15:commentEx w15:paraId="0C443C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9D" w:rsidRDefault="00A65A9D">
      <w:r>
        <w:separator/>
      </w:r>
    </w:p>
  </w:endnote>
  <w:endnote w:type="continuationSeparator" w:id="0">
    <w:p w:rsidR="00A65A9D" w:rsidRDefault="00A65A9D" w:rsidP="003B38C1">
      <w:r>
        <w:separator/>
      </w:r>
    </w:p>
    <w:p w:rsidR="00A65A9D" w:rsidRPr="00A65A9D" w:rsidRDefault="00A65A9D" w:rsidP="003B38C1">
      <w:pPr>
        <w:spacing w:after="60"/>
        <w:rPr>
          <w:sz w:val="17"/>
          <w:lang w:val="en-US"/>
        </w:rPr>
      </w:pPr>
      <w:r w:rsidRPr="00A65A9D">
        <w:rPr>
          <w:sz w:val="17"/>
          <w:lang w:val="en-US"/>
        </w:rPr>
        <w:t>[Endnote continued from previous page]</w:t>
      </w:r>
    </w:p>
  </w:endnote>
  <w:endnote w:type="continuationNotice" w:id="1">
    <w:p w:rsidR="00A65A9D" w:rsidRPr="00A65A9D" w:rsidRDefault="00A65A9D" w:rsidP="003B38C1">
      <w:pPr>
        <w:spacing w:before="60"/>
        <w:jc w:val="right"/>
        <w:rPr>
          <w:sz w:val="17"/>
          <w:szCs w:val="17"/>
          <w:lang w:val="en-US"/>
        </w:rPr>
      </w:pPr>
      <w:r w:rsidRPr="00A65A9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9D" w:rsidRPr="00BA5FB0" w:rsidRDefault="00A65A9D" w:rsidP="00BA5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9D" w:rsidRDefault="00A65A9D">
      <w:r>
        <w:separator/>
      </w:r>
    </w:p>
  </w:footnote>
  <w:footnote w:type="continuationSeparator" w:id="0">
    <w:p w:rsidR="00A65A9D" w:rsidRDefault="00A65A9D" w:rsidP="008B60B2">
      <w:r>
        <w:separator/>
      </w:r>
    </w:p>
    <w:p w:rsidR="00A65A9D" w:rsidRPr="00A65A9D" w:rsidRDefault="00A65A9D" w:rsidP="008B60B2">
      <w:pPr>
        <w:spacing w:after="60"/>
        <w:rPr>
          <w:sz w:val="17"/>
          <w:szCs w:val="17"/>
          <w:lang w:val="en-US"/>
        </w:rPr>
      </w:pPr>
      <w:r w:rsidRPr="00A65A9D">
        <w:rPr>
          <w:sz w:val="17"/>
          <w:szCs w:val="17"/>
          <w:lang w:val="en-US"/>
        </w:rPr>
        <w:t>[Footnote continued from previous page]</w:t>
      </w:r>
    </w:p>
  </w:footnote>
  <w:footnote w:type="continuationNotice" w:id="1">
    <w:p w:rsidR="00A65A9D" w:rsidRPr="00A65A9D" w:rsidRDefault="00A65A9D" w:rsidP="008B60B2">
      <w:pPr>
        <w:spacing w:before="60"/>
        <w:jc w:val="right"/>
        <w:rPr>
          <w:sz w:val="17"/>
          <w:szCs w:val="17"/>
          <w:lang w:val="en-US"/>
        </w:rPr>
      </w:pPr>
      <w:r w:rsidRPr="00A65A9D">
        <w:rPr>
          <w:sz w:val="17"/>
          <w:szCs w:val="17"/>
          <w:lang w:val="en-US"/>
        </w:rPr>
        <w:t>[Footnote continued on next page]</w:t>
      </w:r>
    </w:p>
  </w:footnote>
  <w:footnote w:id="2">
    <w:p w:rsidR="00A65A9D" w:rsidRPr="007D4CCC" w:rsidRDefault="00A65A9D" w:rsidP="007D4CCC">
      <w:pPr>
        <w:pStyle w:val="FootnoteText"/>
      </w:pPr>
      <w:r w:rsidRPr="007D4CCC">
        <w:rPr>
          <w:rStyle w:val="FootnoteReference"/>
        </w:rPr>
        <w:footnoteRef/>
      </w:r>
      <w:r w:rsidRPr="007D4CCC">
        <w:t xml:space="preserve"> </w:t>
      </w:r>
      <w:r w:rsidRPr="007D4CCC">
        <w:tab/>
        <w:t>Voir les paragraphes 44 et 45 de la Charte de la supervision interne.</w:t>
      </w:r>
    </w:p>
  </w:footnote>
  <w:footnote w:id="3">
    <w:p w:rsidR="00A65A9D" w:rsidRPr="007D4CCC" w:rsidRDefault="00A65A9D" w:rsidP="007D4CCC">
      <w:pPr>
        <w:pStyle w:val="FootnoteText"/>
      </w:pPr>
      <w:r w:rsidRPr="007D4CCC">
        <w:rPr>
          <w:rStyle w:val="FootnoteReference"/>
        </w:rPr>
        <w:footnoteRef/>
      </w:r>
      <w:r w:rsidRPr="007D4CCC">
        <w:t xml:space="preserve"> </w:t>
      </w:r>
      <w:r w:rsidRPr="007D4CCC">
        <w:tab/>
        <w:t>La liste des rapports figure à l</w:t>
      </w:r>
      <w:r w:rsidR="00593799">
        <w:t>’</w:t>
      </w:r>
      <w:r w:rsidRPr="007D4CCC">
        <w:t>annexe I.</w:t>
      </w:r>
    </w:p>
  </w:footnote>
  <w:footnote w:id="4">
    <w:p w:rsidR="00A65A9D" w:rsidRPr="007D4CCC" w:rsidRDefault="00A65A9D" w:rsidP="007D4CCC">
      <w:pPr>
        <w:pStyle w:val="FootnoteText"/>
      </w:pPr>
      <w:r w:rsidRPr="007D4CCC">
        <w:rPr>
          <w:rStyle w:val="FootnoteReference"/>
        </w:rPr>
        <w:footnoteRef/>
      </w:r>
      <w:r w:rsidRPr="007D4CCC">
        <w:t xml:space="preserve"> </w:t>
      </w:r>
      <w:r w:rsidRPr="007D4CCC">
        <w:tab/>
      </w:r>
      <w:proofErr w:type="spellStart"/>
      <w:r w:rsidRPr="007D4CCC">
        <w:t>TeamCentral</w:t>
      </w:r>
      <w:proofErr w:type="spellEnd"/>
      <w:r w:rsidRPr="007D4CCC">
        <w:t xml:space="preserve">© est un module de </w:t>
      </w:r>
      <w:proofErr w:type="spellStart"/>
      <w:r w:rsidRPr="007D4CCC">
        <w:t>TeamMate</w:t>
      </w:r>
      <w:proofErr w:type="spellEnd"/>
      <w:r w:rsidRPr="007D4CCC">
        <w:t>, un logiciel spécialisé pour les missions d</w:t>
      </w:r>
      <w:r w:rsidR="00593799">
        <w:t>’</w:t>
      </w:r>
      <w:r w:rsidRPr="007D4CCC">
        <w:t>audit qui comprend divers modules, notamment pour les documents de travail électroniques, le suivi des recommandations, l</w:t>
      </w:r>
      <w:r w:rsidR="00593799">
        <w:t>’</w:t>
      </w:r>
      <w:r w:rsidRPr="007D4CCC">
        <w:t>évaluation des risques et la planification.</w:t>
      </w:r>
    </w:p>
  </w:footnote>
  <w:footnote w:id="5">
    <w:p w:rsidR="00A65A9D" w:rsidRPr="007D4CCC" w:rsidRDefault="00A65A9D" w:rsidP="007D4CCC">
      <w:pPr>
        <w:pStyle w:val="FootnoteText"/>
      </w:pPr>
      <w:r w:rsidRPr="007D4CCC">
        <w:rPr>
          <w:rStyle w:val="FootnoteReference"/>
        </w:rPr>
        <w:footnoteRef/>
      </w:r>
      <w:r w:rsidRPr="007D4CCC">
        <w:t xml:space="preserve"> </w:t>
      </w:r>
      <w:r w:rsidRPr="007D4CCC">
        <w:tab/>
        <w:t>A/56/13 (Proposition concernant l</w:t>
      </w:r>
      <w:r w:rsidR="00593799">
        <w:t>’</w:t>
      </w:r>
      <w:r w:rsidRPr="007D4CCC">
        <w:t>inscription à l</w:t>
      </w:r>
      <w:r w:rsidR="00593799">
        <w:t>’</w:t>
      </w:r>
      <w:r w:rsidRPr="007D4CCC">
        <w:t>ordre du jour d</w:t>
      </w:r>
      <w:r w:rsidR="00593799">
        <w:t>’</w:t>
      </w:r>
      <w:r w:rsidRPr="007D4CCC">
        <w:t>un point supplémentaire intitulé “Examen du rapport du Bureau des services de contrôle interne (</w:t>
      </w:r>
      <w:proofErr w:type="spellStart"/>
      <w:r w:rsidRPr="007D4CCC">
        <w:t>BSCI</w:t>
      </w:r>
      <w:proofErr w:type="spellEnd"/>
      <w:r w:rsidRPr="007D4CCC">
        <w:t xml:space="preserve">)”) et </w:t>
      </w:r>
      <w:proofErr w:type="spellStart"/>
      <w:r w:rsidRPr="007D4CCC">
        <w:t>WO</w:t>
      </w:r>
      <w:proofErr w:type="spellEnd"/>
      <w:r w:rsidRPr="007D4CCC">
        <w:t>/GA/48/15 (Décisions prises par le Comité de coordination de l</w:t>
      </w:r>
      <w:r w:rsidR="00593799">
        <w:t>’</w:t>
      </w:r>
      <w:proofErr w:type="spellStart"/>
      <w:r w:rsidRPr="007D4CCC">
        <w:t>OMPI</w:t>
      </w:r>
      <w:proofErr w:type="spellEnd"/>
      <w:r w:rsidRPr="007D4CCC">
        <w:t>).</w:t>
      </w:r>
    </w:p>
  </w:footnote>
  <w:footnote w:id="6">
    <w:p w:rsidR="00A65A9D" w:rsidRPr="007D4CCC" w:rsidRDefault="00A65A9D" w:rsidP="007D4CCC">
      <w:pPr>
        <w:pStyle w:val="FootnoteText"/>
      </w:pPr>
      <w:r w:rsidRPr="007D4CCC">
        <w:rPr>
          <w:rStyle w:val="FootnoteReference"/>
        </w:rPr>
        <w:footnoteRef/>
      </w:r>
      <w:r w:rsidRPr="007D4CCC">
        <w:t xml:space="preserve"> </w:t>
      </w:r>
      <w:r w:rsidRPr="007D4CCC">
        <w:tab/>
        <w:t>Paragraphes 18, 19, 21, 22 et 23 de la Charte de la supervision interne.</w:t>
      </w:r>
    </w:p>
  </w:footnote>
  <w:footnote w:id="7">
    <w:p w:rsidR="00A65A9D" w:rsidRPr="007D4CCC" w:rsidRDefault="00A65A9D" w:rsidP="007D4CCC">
      <w:pPr>
        <w:pStyle w:val="FootnoteText"/>
      </w:pPr>
      <w:r w:rsidRPr="007D4CCC">
        <w:rPr>
          <w:rStyle w:val="FootnoteReference"/>
        </w:rPr>
        <w:footnoteRef/>
      </w:r>
      <w:r w:rsidRPr="007D4CCC">
        <w:t xml:space="preserve"> </w:t>
      </w:r>
      <w:r w:rsidRPr="007D4CCC">
        <w:tab/>
        <w:t>Paragraphe 36 de la Charte de la supervision interne.</w:t>
      </w:r>
    </w:p>
  </w:footnote>
  <w:footnote w:id="8">
    <w:p w:rsidR="00A65A9D" w:rsidRPr="007D4CCC" w:rsidRDefault="00A65A9D" w:rsidP="007D4CCC">
      <w:pPr>
        <w:pStyle w:val="FootnoteText"/>
      </w:pPr>
      <w:r w:rsidRPr="007D4CCC">
        <w:rPr>
          <w:rStyle w:val="FootnoteReference"/>
        </w:rPr>
        <w:footnoteRef/>
      </w:r>
      <w:r w:rsidRPr="007D4CCC">
        <w:t xml:space="preserve"> </w:t>
      </w:r>
      <w:r w:rsidRPr="007D4CCC">
        <w:tab/>
        <w:t>Paragraphe 7 de l</w:t>
      </w:r>
      <w:r w:rsidR="00593799">
        <w:t>’</w:t>
      </w:r>
      <w:r w:rsidRPr="007D4CCC">
        <w:t>ordre de service n° 16/2010.</w:t>
      </w:r>
    </w:p>
  </w:footnote>
  <w:footnote w:id="9">
    <w:p w:rsidR="00A65A9D" w:rsidRPr="007D4CCC" w:rsidRDefault="00A65A9D" w:rsidP="007D4CCC">
      <w:pPr>
        <w:pStyle w:val="FootnoteText"/>
      </w:pPr>
      <w:r w:rsidRPr="007D4CCC">
        <w:rPr>
          <w:rStyle w:val="FootnoteReference"/>
        </w:rPr>
        <w:footnoteRef/>
      </w:r>
      <w:r w:rsidRPr="007D4CCC">
        <w:t xml:space="preserve"> </w:t>
      </w:r>
      <w:r w:rsidRPr="007D4CCC">
        <w:tab/>
        <w:t>Paragraphe 8 de l</w:t>
      </w:r>
      <w:r w:rsidR="00593799">
        <w:t>’</w:t>
      </w:r>
      <w:r w:rsidRPr="007D4CCC">
        <w:t>ordre de service n° 16/2010.</w:t>
      </w:r>
    </w:p>
  </w:footnote>
  <w:footnote w:id="10">
    <w:p w:rsidR="00A65A9D" w:rsidRPr="007D4CCC" w:rsidRDefault="00A65A9D" w:rsidP="007D4CCC">
      <w:pPr>
        <w:pStyle w:val="FootnoteText"/>
      </w:pPr>
      <w:r w:rsidRPr="007D4CCC">
        <w:rPr>
          <w:rStyle w:val="FootnoteReference"/>
        </w:rPr>
        <w:footnoteRef/>
      </w:r>
      <w:r w:rsidRPr="007D4CCC">
        <w:t xml:space="preserve"> </w:t>
      </w:r>
      <w:r w:rsidRPr="007D4CCC">
        <w:tab/>
        <w:t>Une recommandation de la </w:t>
      </w:r>
      <w:proofErr w:type="spellStart"/>
      <w:r w:rsidRPr="007D4CCC">
        <w:t>DSI</w:t>
      </w:r>
      <w:proofErr w:type="spellEnd"/>
      <w:r w:rsidRPr="007D4CCC">
        <w:t xml:space="preserve"> a été close, la direction ayant accepté le risque (</w:t>
      </w:r>
      <w:proofErr w:type="spellStart"/>
      <w:r w:rsidRPr="007D4CCC">
        <w:t>INV</w:t>
      </w:r>
      <w:proofErr w:type="spellEnd"/>
      <w:r w:rsidRPr="007D4CCC">
        <w:t> 2017</w:t>
      </w:r>
      <w:r w:rsidR="00593799">
        <w:t>-</w:t>
      </w:r>
      <w:r w:rsidRPr="007D4CCC">
        <w:t>01 droit au congé dans les foyers).</w:t>
      </w:r>
    </w:p>
  </w:footnote>
  <w:footnote w:id="11">
    <w:p w:rsidR="00A65A9D" w:rsidRPr="007D4CCC" w:rsidRDefault="00A65A9D" w:rsidP="007D4CCC">
      <w:pPr>
        <w:pStyle w:val="FootnoteText"/>
      </w:pPr>
      <w:r w:rsidRPr="007D4CCC">
        <w:rPr>
          <w:rStyle w:val="FootnoteReference"/>
        </w:rPr>
        <w:footnoteRef/>
      </w:r>
      <w:r w:rsidRPr="007D4CCC">
        <w:t xml:space="preserve"> </w:t>
      </w:r>
      <w:r w:rsidRPr="007D4CCC">
        <w:tab/>
      </w:r>
      <w:r w:rsidRPr="007D4CCC">
        <w:rPr>
          <w:b/>
        </w:rPr>
        <w:t>Programme 1</w:t>
      </w:r>
      <w:r w:rsidRPr="007D4CCC">
        <w:t xml:space="preserve"> ‏Droit des brevets, </w:t>
      </w:r>
      <w:r w:rsidRPr="007D4CCC">
        <w:rPr>
          <w:b/>
        </w:rPr>
        <w:t>programme 3</w:t>
      </w:r>
      <w:r w:rsidRPr="007D4CCC">
        <w:t> ‎Droit d‏</w:t>
      </w:r>
      <w:r w:rsidR="00593799">
        <w:t>’</w:t>
      </w:r>
      <w:r w:rsidRPr="007D4CCC">
        <w:t xml:space="preserve">‎auteur et droits connexes, </w:t>
      </w:r>
      <w:r w:rsidRPr="007D4CCC">
        <w:rPr>
          <w:b/>
        </w:rPr>
        <w:t>programme 5</w:t>
      </w:r>
      <w:r w:rsidRPr="007D4CCC">
        <w:t> Système du </w:t>
      </w:r>
      <w:proofErr w:type="spellStart"/>
      <w:r w:rsidRPr="007D4CCC">
        <w:t>PCT</w:t>
      </w:r>
      <w:proofErr w:type="spellEnd"/>
      <w:r w:rsidRPr="007D4CCC">
        <w:t xml:space="preserve">, </w:t>
      </w:r>
      <w:r w:rsidRPr="007D4CCC">
        <w:rPr>
          <w:b/>
        </w:rPr>
        <w:t>programme 6</w:t>
      </w:r>
      <w:r w:rsidRPr="007D4CCC">
        <w:t xml:space="preserve"> ‎Système de Madrid, </w:t>
      </w:r>
      <w:r w:rsidRPr="007D4CCC">
        <w:rPr>
          <w:b/>
        </w:rPr>
        <w:t>programme 7</w:t>
      </w:r>
      <w:r w:rsidRPr="007D4CCC">
        <w:t> Centre d</w:t>
      </w:r>
      <w:r w:rsidR="00593799">
        <w:t>’</w:t>
      </w:r>
      <w:r w:rsidRPr="007D4CCC">
        <w:t>arbitrage et de médiation de l</w:t>
      </w:r>
      <w:r w:rsidR="00593799">
        <w:t>’</w:t>
      </w:r>
      <w:proofErr w:type="spellStart"/>
      <w:r w:rsidRPr="007D4CCC">
        <w:t>OMPI</w:t>
      </w:r>
      <w:proofErr w:type="spellEnd"/>
      <w:r w:rsidRPr="007D4CCC">
        <w:t xml:space="preserve">, </w:t>
      </w:r>
      <w:r w:rsidRPr="007D4CCC">
        <w:rPr>
          <w:b/>
        </w:rPr>
        <w:t>programme 9</w:t>
      </w:r>
      <w:r w:rsidRPr="007D4CCC">
        <w:t xml:space="preserve"> Afrique, pays arabes, Asie et Pacifique, pays d</w:t>
      </w:r>
      <w:r w:rsidR="00593799">
        <w:t>’</w:t>
      </w:r>
      <w:r w:rsidRPr="007D4CCC">
        <w:t xml:space="preserve">Amérique latine et des Caraïbes, pays les moins avancés, </w:t>
      </w:r>
      <w:r w:rsidRPr="007D4CCC">
        <w:rPr>
          <w:b/>
        </w:rPr>
        <w:t>programme 11</w:t>
      </w:r>
      <w:r w:rsidRPr="007D4CCC">
        <w:t> Académie de l</w:t>
      </w:r>
      <w:r w:rsidR="00593799">
        <w:t>’</w:t>
      </w:r>
      <w:proofErr w:type="spellStart"/>
      <w:r w:rsidRPr="007D4CCC">
        <w:t>OMPI</w:t>
      </w:r>
      <w:proofErr w:type="spellEnd"/>
      <w:r w:rsidRPr="007D4CCC">
        <w:t xml:space="preserve">, </w:t>
      </w:r>
      <w:r w:rsidRPr="007D4CCC">
        <w:rPr>
          <w:b/>
        </w:rPr>
        <w:t>programme 13</w:t>
      </w:r>
      <w:r w:rsidRPr="007D4CCC">
        <w:t xml:space="preserve"> Bases de données mondiales, </w:t>
      </w:r>
      <w:r w:rsidRPr="007D4CCC">
        <w:rPr>
          <w:b/>
        </w:rPr>
        <w:t>programme 15</w:t>
      </w:r>
      <w:r w:rsidRPr="007D4CCC">
        <w:t xml:space="preserve"> ‎Solutions opérationnelles pour les offices de propriété intellectuelle, </w:t>
      </w:r>
      <w:r w:rsidRPr="007D4CCC">
        <w:rPr>
          <w:b/>
        </w:rPr>
        <w:t>programme 19</w:t>
      </w:r>
      <w:r w:rsidRPr="007D4CCC">
        <w:t xml:space="preserve"> ‏‎Communications, </w:t>
      </w:r>
      <w:r w:rsidRPr="007D4CCC">
        <w:rPr>
          <w:b/>
        </w:rPr>
        <w:t>programme 21</w:t>
      </w:r>
      <w:r w:rsidRPr="007D4CCC">
        <w:t xml:space="preserve"> ‎Direction générale, </w:t>
      </w:r>
      <w:r w:rsidRPr="007D4CCC">
        <w:rPr>
          <w:b/>
        </w:rPr>
        <w:t>programme 22</w:t>
      </w:r>
      <w:r w:rsidRPr="007D4CCC">
        <w:t xml:space="preserve"> ‏Gestion des programmes et des ressources, </w:t>
      </w:r>
      <w:r w:rsidRPr="007D4CCC">
        <w:rPr>
          <w:b/>
        </w:rPr>
        <w:t>programme 23</w:t>
      </w:r>
      <w:r w:rsidR="00AC5823">
        <w:t> ‏Département de la g</w:t>
      </w:r>
      <w:r w:rsidRPr="007D4CCC">
        <w:t xml:space="preserve">estion des ressources humaines, </w:t>
      </w:r>
      <w:r w:rsidRPr="007D4CCC">
        <w:rPr>
          <w:b/>
        </w:rPr>
        <w:t>programme 24</w:t>
      </w:r>
      <w:r w:rsidRPr="007D4CCC">
        <w:t> ‎Services d‏</w:t>
      </w:r>
      <w:r w:rsidR="00593799">
        <w:t>’</w:t>
      </w:r>
      <w:r w:rsidRPr="007D4CCC">
        <w:t xml:space="preserve">‎appui généraux, </w:t>
      </w:r>
      <w:r w:rsidRPr="007D4CCC">
        <w:rPr>
          <w:b/>
        </w:rPr>
        <w:t>programme 25</w:t>
      </w:r>
      <w:r w:rsidRPr="007D4CCC">
        <w:t xml:space="preserve"> ‎Technologies de </w:t>
      </w:r>
      <w:proofErr w:type="spellStart"/>
      <w:r w:rsidRPr="007D4CCC">
        <w:t>l</w:t>
      </w:r>
      <w:proofErr w:type="spellEnd"/>
      <w:r w:rsidRPr="007D4CCC">
        <w:t>‏</w:t>
      </w:r>
      <w:r w:rsidR="00593799">
        <w:t>’</w:t>
      </w:r>
      <w:r w:rsidRPr="007D4CCC">
        <w:t xml:space="preserve">‎information et de la communication, </w:t>
      </w:r>
      <w:r w:rsidRPr="007D4CCC">
        <w:rPr>
          <w:b/>
        </w:rPr>
        <w:t>programme 27</w:t>
      </w:r>
      <w:r w:rsidRPr="007D4CCC">
        <w:t xml:space="preserve"> ‎Services de conférence et services linguistiques, </w:t>
      </w:r>
      <w:r w:rsidRPr="007D4CCC">
        <w:rPr>
          <w:b/>
        </w:rPr>
        <w:t>programme 28</w:t>
      </w:r>
      <w:r w:rsidRPr="007D4CCC">
        <w:t> Sécurité de l</w:t>
      </w:r>
      <w:r w:rsidR="00593799">
        <w:t>’</w:t>
      </w:r>
      <w:r w:rsidRPr="007D4CCC">
        <w:t>information, des biens et des personnes</w:t>
      </w:r>
      <w:r w:rsidRPr="007D4CCC">
        <w:rPr>
          <w:b/>
        </w:rPr>
        <w:t>, programme 30</w:t>
      </w:r>
      <w:r w:rsidRPr="007D4CCC">
        <w:t> Appui aux petites et moyennes entreprises (PME) et à la création d</w:t>
      </w:r>
      <w:r w:rsidR="00593799">
        <w:t>’</w:t>
      </w:r>
      <w:r w:rsidRPr="007D4CCC">
        <w:t xml:space="preserve">entreprises, </w:t>
      </w:r>
      <w:r w:rsidRPr="007D4CCC">
        <w:rPr>
          <w:b/>
        </w:rPr>
        <w:t>programme 31</w:t>
      </w:r>
      <w:r w:rsidRPr="007D4CCC">
        <w:t xml:space="preserve"> Système de </w:t>
      </w:r>
      <w:r w:rsidR="00593799">
        <w:t>La Haye</w:t>
      </w:r>
      <w:r w:rsidRPr="007D4CCC">
        <w:t>.</w:t>
      </w:r>
    </w:p>
  </w:footnote>
  <w:footnote w:id="12">
    <w:p w:rsidR="00A65A9D" w:rsidRPr="007D4CCC" w:rsidRDefault="00A65A9D" w:rsidP="007D4CCC">
      <w:pPr>
        <w:pStyle w:val="FootnoteText"/>
      </w:pPr>
      <w:r w:rsidRPr="007D4CCC">
        <w:rPr>
          <w:rStyle w:val="FootnoteReference"/>
        </w:rPr>
        <w:footnoteRef/>
      </w:r>
      <w:r w:rsidRPr="007D4CCC">
        <w:t xml:space="preserve"> </w:t>
      </w:r>
      <w:r w:rsidRPr="007D4CCC">
        <w:tab/>
        <w:t>Paragraphe </w:t>
      </w:r>
      <w:proofErr w:type="spellStart"/>
      <w:r w:rsidRPr="007D4CCC">
        <w:t>26.g</w:t>
      </w:r>
      <w:proofErr w:type="spellEnd"/>
      <w:r w:rsidRPr="007D4CCC">
        <w:t>) de la Charte de la supervision interne.</w:t>
      </w:r>
    </w:p>
  </w:footnote>
  <w:footnote w:id="13">
    <w:p w:rsidR="00A65A9D" w:rsidRPr="007D4CCC" w:rsidRDefault="00A65A9D" w:rsidP="007D4CCC">
      <w:pPr>
        <w:pStyle w:val="FootnoteText"/>
      </w:pPr>
      <w:r w:rsidRPr="007D4CCC">
        <w:rPr>
          <w:rStyle w:val="FootnoteReference"/>
        </w:rPr>
        <w:footnoteRef/>
      </w:r>
      <w:r w:rsidRPr="007D4CCC">
        <w:t xml:space="preserve"> </w:t>
      </w:r>
      <w:r w:rsidRPr="007D4CCC">
        <w:tab/>
        <w:t>Paragraphe </w:t>
      </w:r>
      <w:proofErr w:type="spellStart"/>
      <w:r w:rsidRPr="007D4CCC">
        <w:t>45.i</w:t>
      </w:r>
      <w:proofErr w:type="spellEnd"/>
      <w:r w:rsidRPr="007D4CCC">
        <w:t>) de la Charte de la supervision interne.</w:t>
      </w:r>
    </w:p>
  </w:footnote>
  <w:footnote w:id="14">
    <w:p w:rsidR="00A65A9D" w:rsidRPr="007D4CCC" w:rsidRDefault="00A65A9D" w:rsidP="007D4CCC">
      <w:pPr>
        <w:pStyle w:val="FootnoteText"/>
      </w:pPr>
      <w:r w:rsidRPr="007D4CCC">
        <w:rPr>
          <w:rStyle w:val="FootnoteReference"/>
        </w:rPr>
        <w:footnoteRef/>
      </w:r>
      <w:r w:rsidRPr="007D4CCC">
        <w:t xml:space="preserve"> </w:t>
      </w:r>
      <w:r w:rsidRPr="007D4CCC">
        <w:tab/>
        <w:t>Source</w:t>
      </w:r>
      <w:r w:rsidR="00593799">
        <w:t> </w:t>
      </w:r>
      <w:proofErr w:type="gramStart"/>
      <w:r w:rsidR="00593799">
        <w:t>:</w:t>
      </w:r>
      <w:r w:rsidRPr="007D4CCC">
        <w:t xml:space="preserve"> chiffres</w:t>
      </w:r>
      <w:proofErr w:type="gramEnd"/>
      <w:r w:rsidRPr="007D4CCC">
        <w:t xml:space="preserve"> tirés du Rapport sur l</w:t>
      </w:r>
      <w:r w:rsidR="00593799">
        <w:t>’</w:t>
      </w:r>
      <w:r w:rsidRPr="007D4CCC">
        <w:t>exécution du programme pour 2016, en milliers de francs suisses.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9D" w:rsidRPr="00F87303" w:rsidRDefault="00A65A9D" w:rsidP="00E365E6">
    <w:pPr>
      <w:jc w:val="right"/>
    </w:pPr>
    <w:proofErr w:type="spellStart"/>
    <w:r>
      <w:t>WO</w:t>
    </w:r>
    <w:proofErr w:type="spellEnd"/>
    <w:r>
      <w:t>/</w:t>
    </w:r>
    <w:proofErr w:type="spellStart"/>
    <w:r>
      <w:t>PBC</w:t>
    </w:r>
    <w:proofErr w:type="spellEnd"/>
    <w:r>
      <w:t>/27</w:t>
    </w:r>
    <w:r w:rsidRPr="00E204EC">
      <w:t>/</w:t>
    </w:r>
    <w:r>
      <w:t>4</w:t>
    </w:r>
  </w:p>
  <w:p w:rsidR="00A65A9D" w:rsidRDefault="00A65A9D" w:rsidP="001B5644">
    <w:pPr>
      <w:pStyle w:val="Header"/>
      <w:jc w:val="right"/>
      <w:rPr>
        <w:noProof/>
      </w:rPr>
    </w:pPr>
    <w:proofErr w:type="gramStart"/>
    <w:r>
      <w:t>page</w:t>
    </w:r>
    <w:proofErr w:type="gramEnd"/>
    <w:r>
      <w:t> </w:t>
    </w:r>
    <w:r>
      <w:fldChar w:fldCharType="begin"/>
    </w:r>
    <w:r>
      <w:instrText xml:space="preserve"> PAGE   \* MERGEFORMAT </w:instrText>
    </w:r>
    <w:r>
      <w:fldChar w:fldCharType="separate"/>
    </w:r>
    <w:r w:rsidR="00F77457">
      <w:rPr>
        <w:noProof/>
      </w:rPr>
      <w:t>18</w:t>
    </w:r>
    <w:r>
      <w:rPr>
        <w:noProof/>
      </w:rPr>
      <w:fldChar w:fldCharType="end"/>
    </w:r>
  </w:p>
  <w:p w:rsidR="00A65A9D" w:rsidRPr="00E365E6" w:rsidRDefault="00A65A9D" w:rsidP="001B564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9D" w:rsidRPr="00F87303" w:rsidRDefault="00A65A9D" w:rsidP="007D4CCC">
    <w:pPr>
      <w:jc w:val="right"/>
    </w:pPr>
    <w:proofErr w:type="spellStart"/>
    <w:r>
      <w:t>WO</w:t>
    </w:r>
    <w:proofErr w:type="spellEnd"/>
    <w:r>
      <w:t>/</w:t>
    </w:r>
    <w:proofErr w:type="spellStart"/>
    <w:r>
      <w:t>PBC</w:t>
    </w:r>
    <w:proofErr w:type="spellEnd"/>
    <w:r>
      <w:t>/27/4</w:t>
    </w:r>
  </w:p>
  <w:p w:rsidR="00A65A9D" w:rsidRDefault="00A65A9D" w:rsidP="007D4CCC">
    <w:pPr>
      <w:pStyle w:val="Header"/>
      <w:jc w:val="right"/>
    </w:pPr>
    <w:r>
      <w:t>ANNEXE</w:t>
    </w:r>
    <w:r w:rsidR="00F77457">
      <w:t> </w:t>
    </w:r>
    <w:r>
      <w:t>I</w:t>
    </w:r>
  </w:p>
  <w:p w:rsidR="00A65A9D" w:rsidRDefault="00A65A9D" w:rsidP="007D4CC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9D" w:rsidRDefault="00A65A9D" w:rsidP="003B5D17">
    <w:pPr>
      <w:pStyle w:val="Header"/>
      <w:jc w:val="right"/>
    </w:pPr>
    <w:proofErr w:type="spellStart"/>
    <w:r>
      <w:t>WO</w:t>
    </w:r>
    <w:proofErr w:type="spellEnd"/>
    <w:r>
      <w:t>/</w:t>
    </w:r>
    <w:proofErr w:type="spellStart"/>
    <w:r>
      <w:t>PBC</w:t>
    </w:r>
    <w:proofErr w:type="spellEnd"/>
    <w:r>
      <w:t>/27/4</w:t>
    </w:r>
  </w:p>
  <w:p w:rsidR="00A65A9D" w:rsidRDefault="00A65A9D" w:rsidP="003B5D17">
    <w:pPr>
      <w:pStyle w:val="Header"/>
      <w:jc w:val="right"/>
    </w:pPr>
    <w:proofErr w:type="gramStart"/>
    <w:r>
      <w:t>page</w:t>
    </w:r>
    <w:proofErr w:type="gramEnd"/>
    <w:r>
      <w:t xml:space="preserve"> </w:t>
    </w:r>
    <w:r>
      <w:fldChar w:fldCharType="begin"/>
    </w:r>
    <w:r>
      <w:instrText>PAGE   \* MERGEFORMAT</w:instrText>
    </w:r>
    <w:r>
      <w:fldChar w:fldCharType="separate"/>
    </w:r>
    <w:r>
      <w:rPr>
        <w:noProof/>
      </w:rPr>
      <w:t>10</w:t>
    </w:r>
    <w:r>
      <w:fldChar w:fldCharType="end"/>
    </w:r>
  </w:p>
  <w:p w:rsidR="00A65A9D" w:rsidRDefault="00A65A9D" w:rsidP="003B5D1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9D" w:rsidRPr="00F87303" w:rsidRDefault="00A65A9D" w:rsidP="007D4CCC">
    <w:pPr>
      <w:jc w:val="right"/>
    </w:pPr>
    <w:proofErr w:type="spellStart"/>
    <w:r>
      <w:t>WO</w:t>
    </w:r>
    <w:proofErr w:type="spellEnd"/>
    <w:r>
      <w:t>/</w:t>
    </w:r>
    <w:proofErr w:type="spellStart"/>
    <w:r>
      <w:t>PBC</w:t>
    </w:r>
    <w:proofErr w:type="spellEnd"/>
    <w:r>
      <w:t>/27/4</w:t>
    </w:r>
  </w:p>
  <w:p w:rsidR="00A65A9D" w:rsidRDefault="00A65A9D" w:rsidP="007D4CCC">
    <w:pPr>
      <w:pStyle w:val="Header"/>
      <w:jc w:val="right"/>
    </w:pPr>
    <w:r>
      <w:t>ANNEXE</w:t>
    </w:r>
    <w:r w:rsidR="00F77457">
      <w:t> </w:t>
    </w:r>
    <w:r>
      <w:t>II</w:t>
    </w:r>
  </w:p>
  <w:p w:rsidR="00A65A9D" w:rsidRDefault="00A65A9D" w:rsidP="007D4CC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A5F"/>
    <w:multiLevelType w:val="multilevel"/>
    <w:tmpl w:val="1032A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8A0C23"/>
    <w:multiLevelType w:val="hybridMultilevel"/>
    <w:tmpl w:val="87381990"/>
    <w:lvl w:ilvl="0" w:tplc="F07EB8DA">
      <w:start w:val="1"/>
      <w:numFmt w:val="lowerLetter"/>
      <w:lvlText w:val="(%1)"/>
      <w:lvlJc w:val="left"/>
      <w:pPr>
        <w:ind w:left="720" w:hanging="360"/>
      </w:pPr>
      <w:rPr>
        <w:rFonts w:ascii="Arial" w:hAnsi="Arial" w:hint="default"/>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B196DCA"/>
    <w:multiLevelType w:val="hybridMultilevel"/>
    <w:tmpl w:val="975C0DF2"/>
    <w:lvl w:ilvl="0" w:tplc="6C00B15C">
      <w:start w:val="1"/>
      <w:numFmt w:val="decimal"/>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D3BE7"/>
    <w:multiLevelType w:val="hybridMultilevel"/>
    <w:tmpl w:val="85DA6CBC"/>
    <w:lvl w:ilvl="0" w:tplc="F07EB8DA">
      <w:start w:val="1"/>
      <w:numFmt w:val="lowerLetter"/>
      <w:lvlText w:val="(%1)"/>
      <w:lvlJc w:val="left"/>
      <w:pPr>
        <w:ind w:left="644" w:hanging="360"/>
      </w:pPr>
      <w:rPr>
        <w:rFonts w:ascii="Arial" w:hAnsi="Arial" w:hint="default"/>
        <w:sz w:val="22"/>
        <w:szCs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68DC08B8"/>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74D15747"/>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6"/>
  </w:num>
  <w:num w:numId="2">
    <w:abstractNumId w:val="3"/>
  </w:num>
  <w:num w:numId="3">
    <w:abstractNumId w:val="8"/>
  </w:num>
  <w:num w:numId="4">
    <w:abstractNumId w:val="5"/>
  </w:num>
  <w:num w:numId="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
  </w:num>
  <w:num w:numId="11">
    <w:abstractNumId w:val="0"/>
  </w:num>
  <w:num w:numId="12">
    <w:abstractNumId w:val="4"/>
  </w:num>
  <w:num w:numId="13">
    <w:abstractNumId w:val="8"/>
  </w:num>
  <w:num w:numId="14">
    <w:abstractNumId w:val="8"/>
  </w:num>
  <w:num w:numId="15">
    <w:abstractNumId w:val="8"/>
  </w:num>
  <w:num w:numId="16">
    <w:abstractNumId w:val="8"/>
  </w:num>
  <w:num w:numId="17">
    <w:abstractNumId w:val="9"/>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10"/>
  </w:num>
  <w:num w:numId="37">
    <w:abstractNumId w:val="8"/>
  </w:num>
  <w:num w:numId="38">
    <w:abstractNumId w:val="8"/>
  </w:num>
  <w:num w:numId="39">
    <w:abstractNumId w:val="8"/>
  </w:num>
  <w:num w:numId="40">
    <w:abstractNumId w:val="8"/>
  </w:num>
  <w:num w:numId="41">
    <w:abstractNumId w:val="6"/>
  </w:num>
  <w:num w:numId="42">
    <w:abstractNumId w:val="1"/>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e Sam">
    <w15:presenceInfo w15:providerId="Windows Live" w15:userId="09a8aa9967347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4B6701"/>
    <w:rsid w:val="000003AE"/>
    <w:rsid w:val="000056C0"/>
    <w:rsid w:val="00011BF3"/>
    <w:rsid w:val="00013805"/>
    <w:rsid w:val="00017918"/>
    <w:rsid w:val="0002296B"/>
    <w:rsid w:val="00023B92"/>
    <w:rsid w:val="00027B5D"/>
    <w:rsid w:val="000307E4"/>
    <w:rsid w:val="00034607"/>
    <w:rsid w:val="000348C4"/>
    <w:rsid w:val="00034D49"/>
    <w:rsid w:val="00037502"/>
    <w:rsid w:val="00042A50"/>
    <w:rsid w:val="00043795"/>
    <w:rsid w:val="00043CAA"/>
    <w:rsid w:val="000526EA"/>
    <w:rsid w:val="0005323C"/>
    <w:rsid w:val="00054C7F"/>
    <w:rsid w:val="00055010"/>
    <w:rsid w:val="000573E8"/>
    <w:rsid w:val="00067FCF"/>
    <w:rsid w:val="00072495"/>
    <w:rsid w:val="00074C9A"/>
    <w:rsid w:val="00075432"/>
    <w:rsid w:val="000802B5"/>
    <w:rsid w:val="00085B45"/>
    <w:rsid w:val="00091C15"/>
    <w:rsid w:val="0009210D"/>
    <w:rsid w:val="000921A9"/>
    <w:rsid w:val="00096403"/>
    <w:rsid w:val="0009671F"/>
    <w:rsid w:val="000968ED"/>
    <w:rsid w:val="000A00F5"/>
    <w:rsid w:val="000A2FB8"/>
    <w:rsid w:val="000A646E"/>
    <w:rsid w:val="000B0098"/>
    <w:rsid w:val="000B0A9C"/>
    <w:rsid w:val="000C4254"/>
    <w:rsid w:val="000C4448"/>
    <w:rsid w:val="000D0188"/>
    <w:rsid w:val="000E150E"/>
    <w:rsid w:val="000E2FC8"/>
    <w:rsid w:val="000E713C"/>
    <w:rsid w:val="000E787F"/>
    <w:rsid w:val="000F04D4"/>
    <w:rsid w:val="000F14DE"/>
    <w:rsid w:val="000F3F26"/>
    <w:rsid w:val="000F5A9D"/>
    <w:rsid w:val="000F5E56"/>
    <w:rsid w:val="001040AF"/>
    <w:rsid w:val="0011018F"/>
    <w:rsid w:val="001118B4"/>
    <w:rsid w:val="00113834"/>
    <w:rsid w:val="00113C89"/>
    <w:rsid w:val="00114FC8"/>
    <w:rsid w:val="0011516C"/>
    <w:rsid w:val="00122E6B"/>
    <w:rsid w:val="00124878"/>
    <w:rsid w:val="00124918"/>
    <w:rsid w:val="00126719"/>
    <w:rsid w:val="0012688E"/>
    <w:rsid w:val="00126C5A"/>
    <w:rsid w:val="0013256A"/>
    <w:rsid w:val="0013389F"/>
    <w:rsid w:val="001362EE"/>
    <w:rsid w:val="00137082"/>
    <w:rsid w:val="00140A13"/>
    <w:rsid w:val="00141877"/>
    <w:rsid w:val="001428AC"/>
    <w:rsid w:val="0014516E"/>
    <w:rsid w:val="00154A6C"/>
    <w:rsid w:val="00161942"/>
    <w:rsid w:val="001625B3"/>
    <w:rsid w:val="00163813"/>
    <w:rsid w:val="0016490F"/>
    <w:rsid w:val="00164C2D"/>
    <w:rsid w:val="00170578"/>
    <w:rsid w:val="00173108"/>
    <w:rsid w:val="0017311D"/>
    <w:rsid w:val="001733CC"/>
    <w:rsid w:val="00174A63"/>
    <w:rsid w:val="00176141"/>
    <w:rsid w:val="001811CF"/>
    <w:rsid w:val="001832A6"/>
    <w:rsid w:val="0018495B"/>
    <w:rsid w:val="001858C9"/>
    <w:rsid w:val="00186C7F"/>
    <w:rsid w:val="0019399A"/>
    <w:rsid w:val="00194341"/>
    <w:rsid w:val="00194920"/>
    <w:rsid w:val="001962C0"/>
    <w:rsid w:val="00196956"/>
    <w:rsid w:val="001A00E9"/>
    <w:rsid w:val="001A12DA"/>
    <w:rsid w:val="001A141A"/>
    <w:rsid w:val="001A243B"/>
    <w:rsid w:val="001A39ED"/>
    <w:rsid w:val="001A56A8"/>
    <w:rsid w:val="001B314B"/>
    <w:rsid w:val="001B5644"/>
    <w:rsid w:val="001B7B59"/>
    <w:rsid w:val="001C0542"/>
    <w:rsid w:val="001C1E16"/>
    <w:rsid w:val="001C3690"/>
    <w:rsid w:val="001C3954"/>
    <w:rsid w:val="001C3C72"/>
    <w:rsid w:val="001C4B61"/>
    <w:rsid w:val="001D1C20"/>
    <w:rsid w:val="001D2703"/>
    <w:rsid w:val="001D28C2"/>
    <w:rsid w:val="001D59E5"/>
    <w:rsid w:val="001D5DAB"/>
    <w:rsid w:val="001E109C"/>
    <w:rsid w:val="001E2D32"/>
    <w:rsid w:val="001E3E19"/>
    <w:rsid w:val="001E429A"/>
    <w:rsid w:val="001F25F0"/>
    <w:rsid w:val="00202EAB"/>
    <w:rsid w:val="002046A3"/>
    <w:rsid w:val="00214569"/>
    <w:rsid w:val="002172DD"/>
    <w:rsid w:val="002222ED"/>
    <w:rsid w:val="00222EE0"/>
    <w:rsid w:val="0022315B"/>
    <w:rsid w:val="002278BC"/>
    <w:rsid w:val="0023557C"/>
    <w:rsid w:val="002355F5"/>
    <w:rsid w:val="00240678"/>
    <w:rsid w:val="00246761"/>
    <w:rsid w:val="00246BD1"/>
    <w:rsid w:val="002527CE"/>
    <w:rsid w:val="0025317E"/>
    <w:rsid w:val="002539F1"/>
    <w:rsid w:val="00261946"/>
    <w:rsid w:val="00263055"/>
    <w:rsid w:val="002634C4"/>
    <w:rsid w:val="002717F7"/>
    <w:rsid w:val="00272E85"/>
    <w:rsid w:val="00273442"/>
    <w:rsid w:val="00273C2A"/>
    <w:rsid w:val="00274518"/>
    <w:rsid w:val="00274898"/>
    <w:rsid w:val="00277318"/>
    <w:rsid w:val="00277898"/>
    <w:rsid w:val="00280C9A"/>
    <w:rsid w:val="002813D0"/>
    <w:rsid w:val="00283187"/>
    <w:rsid w:val="002861F4"/>
    <w:rsid w:val="00286D46"/>
    <w:rsid w:val="00287160"/>
    <w:rsid w:val="002918FE"/>
    <w:rsid w:val="002928D3"/>
    <w:rsid w:val="00294DD2"/>
    <w:rsid w:val="00294F58"/>
    <w:rsid w:val="00296563"/>
    <w:rsid w:val="002A3468"/>
    <w:rsid w:val="002A5FC3"/>
    <w:rsid w:val="002A6CA2"/>
    <w:rsid w:val="002B05D3"/>
    <w:rsid w:val="002B0C17"/>
    <w:rsid w:val="002B105E"/>
    <w:rsid w:val="002B1D11"/>
    <w:rsid w:val="002C535F"/>
    <w:rsid w:val="002D3262"/>
    <w:rsid w:val="002D78A6"/>
    <w:rsid w:val="002E3B12"/>
    <w:rsid w:val="002F0495"/>
    <w:rsid w:val="002F1FE6"/>
    <w:rsid w:val="002F33DE"/>
    <w:rsid w:val="002F4E68"/>
    <w:rsid w:val="00303667"/>
    <w:rsid w:val="00311117"/>
    <w:rsid w:val="00311A89"/>
    <w:rsid w:val="00312F7F"/>
    <w:rsid w:val="00317621"/>
    <w:rsid w:val="003228B7"/>
    <w:rsid w:val="00323652"/>
    <w:rsid w:val="0033099D"/>
    <w:rsid w:val="0034349C"/>
    <w:rsid w:val="0034511F"/>
    <w:rsid w:val="00345A77"/>
    <w:rsid w:val="00345ACB"/>
    <w:rsid w:val="00352817"/>
    <w:rsid w:val="00353977"/>
    <w:rsid w:val="00356B4A"/>
    <w:rsid w:val="00356D2C"/>
    <w:rsid w:val="0036105F"/>
    <w:rsid w:val="00361369"/>
    <w:rsid w:val="00364DFA"/>
    <w:rsid w:val="003651AC"/>
    <w:rsid w:val="003655A0"/>
    <w:rsid w:val="003673CF"/>
    <w:rsid w:val="00382453"/>
    <w:rsid w:val="003825EE"/>
    <w:rsid w:val="00383328"/>
    <w:rsid w:val="003845C1"/>
    <w:rsid w:val="00390583"/>
    <w:rsid w:val="00392212"/>
    <w:rsid w:val="00392CD6"/>
    <w:rsid w:val="003A0F03"/>
    <w:rsid w:val="003A18B5"/>
    <w:rsid w:val="003A38B8"/>
    <w:rsid w:val="003A4009"/>
    <w:rsid w:val="003A6F89"/>
    <w:rsid w:val="003B1DC0"/>
    <w:rsid w:val="003B2337"/>
    <w:rsid w:val="003B38C1"/>
    <w:rsid w:val="003B3A6F"/>
    <w:rsid w:val="003B5424"/>
    <w:rsid w:val="003B5D17"/>
    <w:rsid w:val="003B75C2"/>
    <w:rsid w:val="003C08B2"/>
    <w:rsid w:val="003C1B55"/>
    <w:rsid w:val="003D2D3F"/>
    <w:rsid w:val="003D3C87"/>
    <w:rsid w:val="003D48BB"/>
    <w:rsid w:val="003D6176"/>
    <w:rsid w:val="003D7121"/>
    <w:rsid w:val="003E2852"/>
    <w:rsid w:val="003E3840"/>
    <w:rsid w:val="003F279E"/>
    <w:rsid w:val="003F2B38"/>
    <w:rsid w:val="003F6191"/>
    <w:rsid w:val="00400A50"/>
    <w:rsid w:val="00403514"/>
    <w:rsid w:val="00411FE7"/>
    <w:rsid w:val="0041268F"/>
    <w:rsid w:val="0042259D"/>
    <w:rsid w:val="00422BE0"/>
    <w:rsid w:val="00423E3E"/>
    <w:rsid w:val="00427AF4"/>
    <w:rsid w:val="00432034"/>
    <w:rsid w:val="0043332A"/>
    <w:rsid w:val="00435704"/>
    <w:rsid w:val="004400E2"/>
    <w:rsid w:val="00442DAA"/>
    <w:rsid w:val="00444503"/>
    <w:rsid w:val="00447F00"/>
    <w:rsid w:val="00450E42"/>
    <w:rsid w:val="00451660"/>
    <w:rsid w:val="0045744D"/>
    <w:rsid w:val="00457615"/>
    <w:rsid w:val="004647DA"/>
    <w:rsid w:val="00464E49"/>
    <w:rsid w:val="00470AE4"/>
    <w:rsid w:val="00473D0B"/>
    <w:rsid w:val="00474062"/>
    <w:rsid w:val="004744AC"/>
    <w:rsid w:val="00477D6B"/>
    <w:rsid w:val="0048012B"/>
    <w:rsid w:val="00480D6E"/>
    <w:rsid w:val="004826DB"/>
    <w:rsid w:val="00482E6D"/>
    <w:rsid w:val="00486BDE"/>
    <w:rsid w:val="0048750A"/>
    <w:rsid w:val="00491DF6"/>
    <w:rsid w:val="0049344D"/>
    <w:rsid w:val="004934E6"/>
    <w:rsid w:val="00494D02"/>
    <w:rsid w:val="004974F2"/>
    <w:rsid w:val="004975A1"/>
    <w:rsid w:val="004A0CBF"/>
    <w:rsid w:val="004A0DF7"/>
    <w:rsid w:val="004A40CC"/>
    <w:rsid w:val="004B2173"/>
    <w:rsid w:val="004B5ABF"/>
    <w:rsid w:val="004B5E7B"/>
    <w:rsid w:val="004B6701"/>
    <w:rsid w:val="004C18BD"/>
    <w:rsid w:val="004C21B1"/>
    <w:rsid w:val="004C3B1D"/>
    <w:rsid w:val="004C43F9"/>
    <w:rsid w:val="004C58F9"/>
    <w:rsid w:val="004D040E"/>
    <w:rsid w:val="004D2C55"/>
    <w:rsid w:val="004D4463"/>
    <w:rsid w:val="004D51EE"/>
    <w:rsid w:val="004D61CD"/>
    <w:rsid w:val="004D66A2"/>
    <w:rsid w:val="004D690A"/>
    <w:rsid w:val="004D6A1C"/>
    <w:rsid w:val="004D7376"/>
    <w:rsid w:val="004E11B9"/>
    <w:rsid w:val="004E146D"/>
    <w:rsid w:val="004E6D94"/>
    <w:rsid w:val="004F2207"/>
    <w:rsid w:val="004F4929"/>
    <w:rsid w:val="004F7D58"/>
    <w:rsid w:val="00503543"/>
    <w:rsid w:val="00503788"/>
    <w:rsid w:val="00507279"/>
    <w:rsid w:val="005165AE"/>
    <w:rsid w:val="00520B9C"/>
    <w:rsid w:val="0052116C"/>
    <w:rsid w:val="00521A52"/>
    <w:rsid w:val="00521F24"/>
    <w:rsid w:val="00523528"/>
    <w:rsid w:val="005242EE"/>
    <w:rsid w:val="005243EF"/>
    <w:rsid w:val="0053057A"/>
    <w:rsid w:val="00537B8D"/>
    <w:rsid w:val="005402FC"/>
    <w:rsid w:val="005406AE"/>
    <w:rsid w:val="00543F36"/>
    <w:rsid w:val="00543FB7"/>
    <w:rsid w:val="00544A7D"/>
    <w:rsid w:val="005455F1"/>
    <w:rsid w:val="005476FC"/>
    <w:rsid w:val="005525E8"/>
    <w:rsid w:val="00553DFF"/>
    <w:rsid w:val="00554024"/>
    <w:rsid w:val="00554E76"/>
    <w:rsid w:val="00556F0B"/>
    <w:rsid w:val="00560A29"/>
    <w:rsid w:val="0056383E"/>
    <w:rsid w:val="00565EAF"/>
    <w:rsid w:val="00565F1D"/>
    <w:rsid w:val="00565F7A"/>
    <w:rsid w:val="005737F8"/>
    <w:rsid w:val="0057775C"/>
    <w:rsid w:val="00580EE4"/>
    <w:rsid w:val="00581412"/>
    <w:rsid w:val="0058548F"/>
    <w:rsid w:val="00593799"/>
    <w:rsid w:val="005A5FB1"/>
    <w:rsid w:val="005B1EB4"/>
    <w:rsid w:val="005B5683"/>
    <w:rsid w:val="005B76E1"/>
    <w:rsid w:val="005C1F3E"/>
    <w:rsid w:val="005C2D6D"/>
    <w:rsid w:val="005D08C1"/>
    <w:rsid w:val="005D5305"/>
    <w:rsid w:val="005D7088"/>
    <w:rsid w:val="005D7F4E"/>
    <w:rsid w:val="005E23AC"/>
    <w:rsid w:val="005E6584"/>
    <w:rsid w:val="005E7744"/>
    <w:rsid w:val="005F4F3A"/>
    <w:rsid w:val="005F794E"/>
    <w:rsid w:val="00604F9D"/>
    <w:rsid w:val="00605540"/>
    <w:rsid w:val="00605827"/>
    <w:rsid w:val="0061246C"/>
    <w:rsid w:val="00615416"/>
    <w:rsid w:val="006177CA"/>
    <w:rsid w:val="00621AB2"/>
    <w:rsid w:val="00621D9A"/>
    <w:rsid w:val="006220DA"/>
    <w:rsid w:val="00627867"/>
    <w:rsid w:val="006303BE"/>
    <w:rsid w:val="006312EC"/>
    <w:rsid w:val="006355AD"/>
    <w:rsid w:val="00637708"/>
    <w:rsid w:val="0064277F"/>
    <w:rsid w:val="00646050"/>
    <w:rsid w:val="006636E1"/>
    <w:rsid w:val="00664407"/>
    <w:rsid w:val="00671015"/>
    <w:rsid w:val="006713CA"/>
    <w:rsid w:val="00674A65"/>
    <w:rsid w:val="00676C5C"/>
    <w:rsid w:val="00677970"/>
    <w:rsid w:val="00677F67"/>
    <w:rsid w:val="00683A5B"/>
    <w:rsid w:val="006850DA"/>
    <w:rsid w:val="006855B9"/>
    <w:rsid w:val="00685DC4"/>
    <w:rsid w:val="006873F1"/>
    <w:rsid w:val="006923BC"/>
    <w:rsid w:val="006923C8"/>
    <w:rsid w:val="00694CBF"/>
    <w:rsid w:val="00697C6E"/>
    <w:rsid w:val="00697E35"/>
    <w:rsid w:val="006A0D3F"/>
    <w:rsid w:val="006A1B40"/>
    <w:rsid w:val="006A6EDF"/>
    <w:rsid w:val="006B1D7D"/>
    <w:rsid w:val="006B2AFA"/>
    <w:rsid w:val="006C25ED"/>
    <w:rsid w:val="006C33EA"/>
    <w:rsid w:val="006D08AA"/>
    <w:rsid w:val="006D6866"/>
    <w:rsid w:val="006D7A52"/>
    <w:rsid w:val="006E1A95"/>
    <w:rsid w:val="006E5C22"/>
    <w:rsid w:val="006E5D14"/>
    <w:rsid w:val="006E6DAD"/>
    <w:rsid w:val="006E7669"/>
    <w:rsid w:val="006E77AA"/>
    <w:rsid w:val="006F0553"/>
    <w:rsid w:val="006F2073"/>
    <w:rsid w:val="006F23BA"/>
    <w:rsid w:val="006F4C15"/>
    <w:rsid w:val="006F517F"/>
    <w:rsid w:val="006F6B4A"/>
    <w:rsid w:val="006F6C4A"/>
    <w:rsid w:val="007058FB"/>
    <w:rsid w:val="007168AC"/>
    <w:rsid w:val="00722A93"/>
    <w:rsid w:val="00723B24"/>
    <w:rsid w:val="00730971"/>
    <w:rsid w:val="00745A6E"/>
    <w:rsid w:val="00750446"/>
    <w:rsid w:val="00752430"/>
    <w:rsid w:val="0075596C"/>
    <w:rsid w:val="00755DDD"/>
    <w:rsid w:val="00757E8E"/>
    <w:rsid w:val="00760E95"/>
    <w:rsid w:val="00767B72"/>
    <w:rsid w:val="00770E2E"/>
    <w:rsid w:val="00777C41"/>
    <w:rsid w:val="007830CB"/>
    <w:rsid w:val="00785724"/>
    <w:rsid w:val="007874B0"/>
    <w:rsid w:val="007875E8"/>
    <w:rsid w:val="00787E03"/>
    <w:rsid w:val="00791391"/>
    <w:rsid w:val="00793EF8"/>
    <w:rsid w:val="00795104"/>
    <w:rsid w:val="007A32C5"/>
    <w:rsid w:val="007A4088"/>
    <w:rsid w:val="007B0574"/>
    <w:rsid w:val="007B19BA"/>
    <w:rsid w:val="007B2EFB"/>
    <w:rsid w:val="007B38D4"/>
    <w:rsid w:val="007B6A58"/>
    <w:rsid w:val="007C0069"/>
    <w:rsid w:val="007C20E0"/>
    <w:rsid w:val="007C234D"/>
    <w:rsid w:val="007C30B5"/>
    <w:rsid w:val="007C3D84"/>
    <w:rsid w:val="007C5559"/>
    <w:rsid w:val="007C6C2E"/>
    <w:rsid w:val="007D1613"/>
    <w:rsid w:val="007D1669"/>
    <w:rsid w:val="007D2421"/>
    <w:rsid w:val="007D4CCC"/>
    <w:rsid w:val="007D5A9A"/>
    <w:rsid w:val="007D6A22"/>
    <w:rsid w:val="007D6FF0"/>
    <w:rsid w:val="007D746C"/>
    <w:rsid w:val="007E1F14"/>
    <w:rsid w:val="007E687F"/>
    <w:rsid w:val="007E70D8"/>
    <w:rsid w:val="007F16F9"/>
    <w:rsid w:val="007F4181"/>
    <w:rsid w:val="00800194"/>
    <w:rsid w:val="00801AB1"/>
    <w:rsid w:val="008022F1"/>
    <w:rsid w:val="008052E6"/>
    <w:rsid w:val="0080585B"/>
    <w:rsid w:val="008122AE"/>
    <w:rsid w:val="0081363B"/>
    <w:rsid w:val="00817B79"/>
    <w:rsid w:val="00817DBF"/>
    <w:rsid w:val="00823BF1"/>
    <w:rsid w:val="00824023"/>
    <w:rsid w:val="00824916"/>
    <w:rsid w:val="00833F5F"/>
    <w:rsid w:val="008400D1"/>
    <w:rsid w:val="008404B7"/>
    <w:rsid w:val="00840A87"/>
    <w:rsid w:val="008414E9"/>
    <w:rsid w:val="00846A49"/>
    <w:rsid w:val="00847021"/>
    <w:rsid w:val="008478F6"/>
    <w:rsid w:val="00851762"/>
    <w:rsid w:val="008528C2"/>
    <w:rsid w:val="00853C67"/>
    <w:rsid w:val="0085532A"/>
    <w:rsid w:val="00862FFA"/>
    <w:rsid w:val="008675D9"/>
    <w:rsid w:val="008676BD"/>
    <w:rsid w:val="0087184D"/>
    <w:rsid w:val="00871CAE"/>
    <w:rsid w:val="00880153"/>
    <w:rsid w:val="00881C5C"/>
    <w:rsid w:val="00882C1D"/>
    <w:rsid w:val="00893464"/>
    <w:rsid w:val="008954E3"/>
    <w:rsid w:val="008A0FBE"/>
    <w:rsid w:val="008A3734"/>
    <w:rsid w:val="008A7961"/>
    <w:rsid w:val="008B2CC1"/>
    <w:rsid w:val="008B44F0"/>
    <w:rsid w:val="008B5B1A"/>
    <w:rsid w:val="008B60B2"/>
    <w:rsid w:val="008C3DED"/>
    <w:rsid w:val="008C74E8"/>
    <w:rsid w:val="008C7722"/>
    <w:rsid w:val="008D26CB"/>
    <w:rsid w:val="008D3C31"/>
    <w:rsid w:val="008D55B2"/>
    <w:rsid w:val="008D5C16"/>
    <w:rsid w:val="008D7D70"/>
    <w:rsid w:val="008E3D48"/>
    <w:rsid w:val="008E435C"/>
    <w:rsid w:val="008E7480"/>
    <w:rsid w:val="008F00DC"/>
    <w:rsid w:val="008F3B49"/>
    <w:rsid w:val="008F7EBD"/>
    <w:rsid w:val="009031E7"/>
    <w:rsid w:val="009071A9"/>
    <w:rsid w:val="0090731E"/>
    <w:rsid w:val="00907451"/>
    <w:rsid w:val="00907F45"/>
    <w:rsid w:val="00907F8E"/>
    <w:rsid w:val="00910E73"/>
    <w:rsid w:val="00913903"/>
    <w:rsid w:val="00914A26"/>
    <w:rsid w:val="00916269"/>
    <w:rsid w:val="00916A9B"/>
    <w:rsid w:val="00916EE2"/>
    <w:rsid w:val="00920E74"/>
    <w:rsid w:val="00923496"/>
    <w:rsid w:val="00924E1D"/>
    <w:rsid w:val="00935C1C"/>
    <w:rsid w:val="00942C01"/>
    <w:rsid w:val="00962758"/>
    <w:rsid w:val="00963387"/>
    <w:rsid w:val="00963981"/>
    <w:rsid w:val="0096577B"/>
    <w:rsid w:val="00966A22"/>
    <w:rsid w:val="0096722F"/>
    <w:rsid w:val="00976B2B"/>
    <w:rsid w:val="009802E1"/>
    <w:rsid w:val="00980843"/>
    <w:rsid w:val="009819BE"/>
    <w:rsid w:val="00981D2A"/>
    <w:rsid w:val="009827BB"/>
    <w:rsid w:val="00987739"/>
    <w:rsid w:val="009910F7"/>
    <w:rsid w:val="00995A2D"/>
    <w:rsid w:val="009A12FE"/>
    <w:rsid w:val="009A2A5F"/>
    <w:rsid w:val="009B13E1"/>
    <w:rsid w:val="009B5E66"/>
    <w:rsid w:val="009C37FB"/>
    <w:rsid w:val="009C3BD4"/>
    <w:rsid w:val="009C6F7D"/>
    <w:rsid w:val="009D1993"/>
    <w:rsid w:val="009D4121"/>
    <w:rsid w:val="009D59E5"/>
    <w:rsid w:val="009E0EA2"/>
    <w:rsid w:val="009E2791"/>
    <w:rsid w:val="009E3F6F"/>
    <w:rsid w:val="009E56F9"/>
    <w:rsid w:val="009F00DC"/>
    <w:rsid w:val="009F0C09"/>
    <w:rsid w:val="009F499F"/>
    <w:rsid w:val="00A00E8D"/>
    <w:rsid w:val="00A010A4"/>
    <w:rsid w:val="00A01236"/>
    <w:rsid w:val="00A01625"/>
    <w:rsid w:val="00A029DD"/>
    <w:rsid w:val="00A06AB5"/>
    <w:rsid w:val="00A070CA"/>
    <w:rsid w:val="00A077C3"/>
    <w:rsid w:val="00A10659"/>
    <w:rsid w:val="00A122D2"/>
    <w:rsid w:val="00A12BF4"/>
    <w:rsid w:val="00A1435C"/>
    <w:rsid w:val="00A17B6B"/>
    <w:rsid w:val="00A24569"/>
    <w:rsid w:val="00A25F29"/>
    <w:rsid w:val="00A2657B"/>
    <w:rsid w:val="00A26B19"/>
    <w:rsid w:val="00A30B9C"/>
    <w:rsid w:val="00A35CE7"/>
    <w:rsid w:val="00A35E3C"/>
    <w:rsid w:val="00A36303"/>
    <w:rsid w:val="00A36E63"/>
    <w:rsid w:val="00A41DD8"/>
    <w:rsid w:val="00A42DAF"/>
    <w:rsid w:val="00A45BD8"/>
    <w:rsid w:val="00A50C12"/>
    <w:rsid w:val="00A50EE0"/>
    <w:rsid w:val="00A51ED7"/>
    <w:rsid w:val="00A52D34"/>
    <w:rsid w:val="00A57AE4"/>
    <w:rsid w:val="00A613D8"/>
    <w:rsid w:val="00A61FE3"/>
    <w:rsid w:val="00A631F4"/>
    <w:rsid w:val="00A6502F"/>
    <w:rsid w:val="00A65A9D"/>
    <w:rsid w:val="00A74323"/>
    <w:rsid w:val="00A7488C"/>
    <w:rsid w:val="00A75B95"/>
    <w:rsid w:val="00A75E8D"/>
    <w:rsid w:val="00A76884"/>
    <w:rsid w:val="00A77BA6"/>
    <w:rsid w:val="00A8346E"/>
    <w:rsid w:val="00A84B73"/>
    <w:rsid w:val="00A85B8E"/>
    <w:rsid w:val="00A87220"/>
    <w:rsid w:val="00A87CA6"/>
    <w:rsid w:val="00AA228C"/>
    <w:rsid w:val="00AA321B"/>
    <w:rsid w:val="00AA57A9"/>
    <w:rsid w:val="00AB3585"/>
    <w:rsid w:val="00AB4929"/>
    <w:rsid w:val="00AB7EB2"/>
    <w:rsid w:val="00AC0349"/>
    <w:rsid w:val="00AC0825"/>
    <w:rsid w:val="00AC205C"/>
    <w:rsid w:val="00AC514F"/>
    <w:rsid w:val="00AC5823"/>
    <w:rsid w:val="00AC5DA6"/>
    <w:rsid w:val="00AD3A61"/>
    <w:rsid w:val="00AD6512"/>
    <w:rsid w:val="00AE00DB"/>
    <w:rsid w:val="00AE5ACD"/>
    <w:rsid w:val="00AE7BE4"/>
    <w:rsid w:val="00AF3F18"/>
    <w:rsid w:val="00AF4A4E"/>
    <w:rsid w:val="00AF5E57"/>
    <w:rsid w:val="00AF61EE"/>
    <w:rsid w:val="00B05A69"/>
    <w:rsid w:val="00B10E74"/>
    <w:rsid w:val="00B14DE4"/>
    <w:rsid w:val="00B15787"/>
    <w:rsid w:val="00B1779C"/>
    <w:rsid w:val="00B2126A"/>
    <w:rsid w:val="00B21ACA"/>
    <w:rsid w:val="00B23382"/>
    <w:rsid w:val="00B23BAA"/>
    <w:rsid w:val="00B2446A"/>
    <w:rsid w:val="00B277A4"/>
    <w:rsid w:val="00B311E6"/>
    <w:rsid w:val="00B3153A"/>
    <w:rsid w:val="00B324A9"/>
    <w:rsid w:val="00B34E17"/>
    <w:rsid w:val="00B35165"/>
    <w:rsid w:val="00B36A98"/>
    <w:rsid w:val="00B44123"/>
    <w:rsid w:val="00B50A74"/>
    <w:rsid w:val="00B532CB"/>
    <w:rsid w:val="00B55F8F"/>
    <w:rsid w:val="00B56438"/>
    <w:rsid w:val="00B570D2"/>
    <w:rsid w:val="00B61C1B"/>
    <w:rsid w:val="00B64202"/>
    <w:rsid w:val="00B65F3C"/>
    <w:rsid w:val="00B66F63"/>
    <w:rsid w:val="00B70D87"/>
    <w:rsid w:val="00B74E9E"/>
    <w:rsid w:val="00B77ADE"/>
    <w:rsid w:val="00B84CCD"/>
    <w:rsid w:val="00B93272"/>
    <w:rsid w:val="00B94C46"/>
    <w:rsid w:val="00B95ADC"/>
    <w:rsid w:val="00B96DD9"/>
    <w:rsid w:val="00B9734B"/>
    <w:rsid w:val="00BA43CF"/>
    <w:rsid w:val="00BA45A3"/>
    <w:rsid w:val="00BA5FB0"/>
    <w:rsid w:val="00BB08EC"/>
    <w:rsid w:val="00BB22C4"/>
    <w:rsid w:val="00BB29B9"/>
    <w:rsid w:val="00BB6D15"/>
    <w:rsid w:val="00BC209B"/>
    <w:rsid w:val="00BC39C3"/>
    <w:rsid w:val="00BC5DBD"/>
    <w:rsid w:val="00BC7865"/>
    <w:rsid w:val="00BD2E40"/>
    <w:rsid w:val="00BD52CD"/>
    <w:rsid w:val="00BD6396"/>
    <w:rsid w:val="00BE2A25"/>
    <w:rsid w:val="00BE4D05"/>
    <w:rsid w:val="00BE55B5"/>
    <w:rsid w:val="00BE57CA"/>
    <w:rsid w:val="00BE6712"/>
    <w:rsid w:val="00BF0144"/>
    <w:rsid w:val="00BF10AA"/>
    <w:rsid w:val="00BF1C77"/>
    <w:rsid w:val="00C04AD0"/>
    <w:rsid w:val="00C101FD"/>
    <w:rsid w:val="00C11BFE"/>
    <w:rsid w:val="00C1232B"/>
    <w:rsid w:val="00C13213"/>
    <w:rsid w:val="00C15F00"/>
    <w:rsid w:val="00C17856"/>
    <w:rsid w:val="00C20E93"/>
    <w:rsid w:val="00C32551"/>
    <w:rsid w:val="00C36388"/>
    <w:rsid w:val="00C37A90"/>
    <w:rsid w:val="00C42A85"/>
    <w:rsid w:val="00C46641"/>
    <w:rsid w:val="00C519A8"/>
    <w:rsid w:val="00C529CB"/>
    <w:rsid w:val="00C535B2"/>
    <w:rsid w:val="00C555B4"/>
    <w:rsid w:val="00C55A7B"/>
    <w:rsid w:val="00C55FF8"/>
    <w:rsid w:val="00C5679F"/>
    <w:rsid w:val="00C606E6"/>
    <w:rsid w:val="00C620A2"/>
    <w:rsid w:val="00C622AD"/>
    <w:rsid w:val="00C640F7"/>
    <w:rsid w:val="00C66FD6"/>
    <w:rsid w:val="00C71859"/>
    <w:rsid w:val="00C71B45"/>
    <w:rsid w:val="00C72F9D"/>
    <w:rsid w:val="00C73263"/>
    <w:rsid w:val="00C744B3"/>
    <w:rsid w:val="00C765F0"/>
    <w:rsid w:val="00C76638"/>
    <w:rsid w:val="00C76D8B"/>
    <w:rsid w:val="00C77961"/>
    <w:rsid w:val="00C8012C"/>
    <w:rsid w:val="00C8548A"/>
    <w:rsid w:val="00C86B27"/>
    <w:rsid w:val="00C86C3E"/>
    <w:rsid w:val="00C916F9"/>
    <w:rsid w:val="00C94629"/>
    <w:rsid w:val="00C9704E"/>
    <w:rsid w:val="00CA0611"/>
    <w:rsid w:val="00CA0EC1"/>
    <w:rsid w:val="00CA196F"/>
    <w:rsid w:val="00CB3F81"/>
    <w:rsid w:val="00CB556C"/>
    <w:rsid w:val="00CB6AED"/>
    <w:rsid w:val="00CC11C5"/>
    <w:rsid w:val="00CC2A95"/>
    <w:rsid w:val="00CC3861"/>
    <w:rsid w:val="00CD65BE"/>
    <w:rsid w:val="00CD66D6"/>
    <w:rsid w:val="00CE033F"/>
    <w:rsid w:val="00CE0AF5"/>
    <w:rsid w:val="00CE2815"/>
    <w:rsid w:val="00CE4629"/>
    <w:rsid w:val="00CE52C9"/>
    <w:rsid w:val="00CF1116"/>
    <w:rsid w:val="00CF1A6B"/>
    <w:rsid w:val="00CF1CBF"/>
    <w:rsid w:val="00CF286F"/>
    <w:rsid w:val="00CF3B66"/>
    <w:rsid w:val="00D05F94"/>
    <w:rsid w:val="00D067C8"/>
    <w:rsid w:val="00D12A8F"/>
    <w:rsid w:val="00D14130"/>
    <w:rsid w:val="00D14B75"/>
    <w:rsid w:val="00D16DD9"/>
    <w:rsid w:val="00D20104"/>
    <w:rsid w:val="00D2056B"/>
    <w:rsid w:val="00D27037"/>
    <w:rsid w:val="00D304AD"/>
    <w:rsid w:val="00D43B70"/>
    <w:rsid w:val="00D45252"/>
    <w:rsid w:val="00D457B3"/>
    <w:rsid w:val="00D510AC"/>
    <w:rsid w:val="00D516E7"/>
    <w:rsid w:val="00D52C86"/>
    <w:rsid w:val="00D537F7"/>
    <w:rsid w:val="00D54476"/>
    <w:rsid w:val="00D575A5"/>
    <w:rsid w:val="00D64007"/>
    <w:rsid w:val="00D646CA"/>
    <w:rsid w:val="00D6562D"/>
    <w:rsid w:val="00D65E5F"/>
    <w:rsid w:val="00D71B4D"/>
    <w:rsid w:val="00D741E5"/>
    <w:rsid w:val="00D7508D"/>
    <w:rsid w:val="00D751FA"/>
    <w:rsid w:val="00D7575C"/>
    <w:rsid w:val="00D80BB7"/>
    <w:rsid w:val="00D82B01"/>
    <w:rsid w:val="00D830F1"/>
    <w:rsid w:val="00D8524D"/>
    <w:rsid w:val="00D93D55"/>
    <w:rsid w:val="00DA6ADF"/>
    <w:rsid w:val="00DA77DB"/>
    <w:rsid w:val="00DB0525"/>
    <w:rsid w:val="00DB09C2"/>
    <w:rsid w:val="00DB76B2"/>
    <w:rsid w:val="00DC12BC"/>
    <w:rsid w:val="00DC48E2"/>
    <w:rsid w:val="00DD130E"/>
    <w:rsid w:val="00DD5EA8"/>
    <w:rsid w:val="00DD60F0"/>
    <w:rsid w:val="00DE390D"/>
    <w:rsid w:val="00DE4AA9"/>
    <w:rsid w:val="00DE54E6"/>
    <w:rsid w:val="00DF27E3"/>
    <w:rsid w:val="00DF7C4C"/>
    <w:rsid w:val="00E019B0"/>
    <w:rsid w:val="00E02497"/>
    <w:rsid w:val="00E03902"/>
    <w:rsid w:val="00E0398F"/>
    <w:rsid w:val="00E04B15"/>
    <w:rsid w:val="00E07818"/>
    <w:rsid w:val="00E14B47"/>
    <w:rsid w:val="00E16E2A"/>
    <w:rsid w:val="00E1764A"/>
    <w:rsid w:val="00E204EC"/>
    <w:rsid w:val="00E218C9"/>
    <w:rsid w:val="00E2310A"/>
    <w:rsid w:val="00E2643D"/>
    <w:rsid w:val="00E32ADE"/>
    <w:rsid w:val="00E32C97"/>
    <w:rsid w:val="00E335FE"/>
    <w:rsid w:val="00E365E6"/>
    <w:rsid w:val="00E40F81"/>
    <w:rsid w:val="00E412BD"/>
    <w:rsid w:val="00E4156D"/>
    <w:rsid w:val="00E5021F"/>
    <w:rsid w:val="00E534BA"/>
    <w:rsid w:val="00E54B0B"/>
    <w:rsid w:val="00E557FD"/>
    <w:rsid w:val="00E613EE"/>
    <w:rsid w:val="00E6391F"/>
    <w:rsid w:val="00E647AC"/>
    <w:rsid w:val="00E65EF4"/>
    <w:rsid w:val="00E71E89"/>
    <w:rsid w:val="00E73E24"/>
    <w:rsid w:val="00E740BE"/>
    <w:rsid w:val="00E763B9"/>
    <w:rsid w:val="00E802E0"/>
    <w:rsid w:val="00E871AA"/>
    <w:rsid w:val="00E87B71"/>
    <w:rsid w:val="00E9204A"/>
    <w:rsid w:val="00E9606C"/>
    <w:rsid w:val="00E975E7"/>
    <w:rsid w:val="00EA2EF2"/>
    <w:rsid w:val="00EA4F60"/>
    <w:rsid w:val="00EA5E97"/>
    <w:rsid w:val="00EB06DD"/>
    <w:rsid w:val="00EB3B20"/>
    <w:rsid w:val="00EC02FD"/>
    <w:rsid w:val="00EC0EAE"/>
    <w:rsid w:val="00EC291B"/>
    <w:rsid w:val="00EC2D3E"/>
    <w:rsid w:val="00EC3D5D"/>
    <w:rsid w:val="00EC4C12"/>
    <w:rsid w:val="00EC4E49"/>
    <w:rsid w:val="00ED1829"/>
    <w:rsid w:val="00ED1AFE"/>
    <w:rsid w:val="00ED25C9"/>
    <w:rsid w:val="00ED2D59"/>
    <w:rsid w:val="00ED77FB"/>
    <w:rsid w:val="00EE1950"/>
    <w:rsid w:val="00EE2819"/>
    <w:rsid w:val="00EE5737"/>
    <w:rsid w:val="00EE7BCE"/>
    <w:rsid w:val="00EF17CB"/>
    <w:rsid w:val="00EF3AEE"/>
    <w:rsid w:val="00EF524D"/>
    <w:rsid w:val="00EF631C"/>
    <w:rsid w:val="00EF72F8"/>
    <w:rsid w:val="00F021A6"/>
    <w:rsid w:val="00F028B6"/>
    <w:rsid w:val="00F102B3"/>
    <w:rsid w:val="00F119C5"/>
    <w:rsid w:val="00F13049"/>
    <w:rsid w:val="00F154F9"/>
    <w:rsid w:val="00F15737"/>
    <w:rsid w:val="00F21A32"/>
    <w:rsid w:val="00F23A99"/>
    <w:rsid w:val="00F321BB"/>
    <w:rsid w:val="00F3226B"/>
    <w:rsid w:val="00F410AE"/>
    <w:rsid w:val="00F415B1"/>
    <w:rsid w:val="00F426D1"/>
    <w:rsid w:val="00F45986"/>
    <w:rsid w:val="00F505DD"/>
    <w:rsid w:val="00F5085B"/>
    <w:rsid w:val="00F50E35"/>
    <w:rsid w:val="00F55836"/>
    <w:rsid w:val="00F563BB"/>
    <w:rsid w:val="00F57BF6"/>
    <w:rsid w:val="00F61554"/>
    <w:rsid w:val="00F64205"/>
    <w:rsid w:val="00F64B45"/>
    <w:rsid w:val="00F66152"/>
    <w:rsid w:val="00F72029"/>
    <w:rsid w:val="00F737AB"/>
    <w:rsid w:val="00F73A5E"/>
    <w:rsid w:val="00F7489E"/>
    <w:rsid w:val="00F765FD"/>
    <w:rsid w:val="00F76F40"/>
    <w:rsid w:val="00F77457"/>
    <w:rsid w:val="00F812A1"/>
    <w:rsid w:val="00F82B5B"/>
    <w:rsid w:val="00F902B3"/>
    <w:rsid w:val="00F9030B"/>
    <w:rsid w:val="00FA1093"/>
    <w:rsid w:val="00FB11DF"/>
    <w:rsid w:val="00FB238F"/>
    <w:rsid w:val="00FB6A25"/>
    <w:rsid w:val="00FB70C5"/>
    <w:rsid w:val="00FB7292"/>
    <w:rsid w:val="00FC2EA8"/>
    <w:rsid w:val="00FC42F8"/>
    <w:rsid w:val="00FD2537"/>
    <w:rsid w:val="00FD5B85"/>
    <w:rsid w:val="00FD7E68"/>
    <w:rsid w:val="00FE0C8E"/>
    <w:rsid w:val="00FE199D"/>
    <w:rsid w:val="00FE1F9A"/>
    <w:rsid w:val="00FE2EAA"/>
    <w:rsid w:val="00FE4CE5"/>
    <w:rsid w:val="00FE591A"/>
    <w:rsid w:val="00FE5A1C"/>
    <w:rsid w:val="00FF43B6"/>
    <w:rsid w:val="00FF6721"/>
    <w:rsid w:val="00FF7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17"/>
    <w:rPr>
      <w:rFonts w:ascii="Arial" w:eastAsia="SimSun" w:hAnsi="Arial" w:cs="Arial"/>
      <w:sz w:val="22"/>
      <w:lang w:val="fr-CH" w:eastAsia="zh-CN"/>
    </w:rPr>
  </w:style>
  <w:style w:type="paragraph" w:styleId="Heading1">
    <w:name w:val="heading 1"/>
    <w:basedOn w:val="Normal"/>
    <w:next w:val="Normal"/>
    <w:qFormat/>
    <w:rsid w:val="003B5D17"/>
    <w:pPr>
      <w:keepNext/>
      <w:spacing w:before="240" w:after="60"/>
      <w:outlineLvl w:val="0"/>
    </w:pPr>
    <w:rPr>
      <w:b/>
      <w:bCs/>
      <w:caps/>
      <w:kern w:val="32"/>
      <w:szCs w:val="32"/>
    </w:rPr>
  </w:style>
  <w:style w:type="paragraph" w:styleId="Heading2">
    <w:name w:val="heading 2"/>
    <w:basedOn w:val="Normal"/>
    <w:next w:val="Normal"/>
    <w:link w:val="Heading2Char"/>
    <w:qFormat/>
    <w:rsid w:val="003B5D17"/>
    <w:pPr>
      <w:keepNext/>
      <w:spacing w:before="240" w:after="60"/>
      <w:outlineLvl w:val="1"/>
    </w:pPr>
    <w:rPr>
      <w:bCs/>
      <w:iCs/>
      <w:caps/>
      <w:szCs w:val="28"/>
    </w:rPr>
  </w:style>
  <w:style w:type="paragraph" w:styleId="Heading3">
    <w:name w:val="heading 3"/>
    <w:basedOn w:val="Normal"/>
    <w:next w:val="Normal"/>
    <w:qFormat/>
    <w:rsid w:val="003B5D17"/>
    <w:pPr>
      <w:keepNext/>
      <w:spacing w:before="240" w:after="60"/>
      <w:outlineLvl w:val="2"/>
    </w:pPr>
    <w:rPr>
      <w:bCs/>
      <w:szCs w:val="26"/>
      <w:u w:val="single"/>
    </w:rPr>
  </w:style>
  <w:style w:type="paragraph" w:styleId="Heading4">
    <w:name w:val="heading 4"/>
    <w:basedOn w:val="Normal"/>
    <w:next w:val="Normal"/>
    <w:qFormat/>
    <w:rsid w:val="003B5D17"/>
    <w:pPr>
      <w:keepNext/>
      <w:spacing w:before="240" w:after="60"/>
      <w:outlineLvl w:val="3"/>
    </w:pPr>
    <w:rPr>
      <w:bCs/>
      <w:i/>
      <w:szCs w:val="28"/>
    </w:rPr>
  </w:style>
  <w:style w:type="paragraph" w:styleId="Heading5">
    <w:name w:val="heading 5"/>
    <w:basedOn w:val="Normal"/>
    <w:next w:val="Normal"/>
    <w:link w:val="Heading5Char"/>
    <w:unhideWhenUsed/>
    <w:qFormat/>
    <w:rsid w:val="007D4C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D4CCC"/>
    <w:pPr>
      <w:keepNext/>
      <w:spacing w:before="240" w:after="60"/>
      <w:jc w:val="center"/>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B5D17"/>
    <w:pPr>
      <w:ind w:left="5534"/>
    </w:pPr>
    <w:rPr>
      <w:lang w:val="en-US"/>
    </w:rPr>
  </w:style>
  <w:style w:type="paragraph" w:styleId="BodyText">
    <w:name w:val="Body Text"/>
    <w:basedOn w:val="Normal"/>
    <w:link w:val="BodyTextChar"/>
    <w:rsid w:val="003B5D17"/>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3B5D17"/>
    <w:rPr>
      <w:sz w:val="18"/>
    </w:rPr>
  </w:style>
  <w:style w:type="paragraph" w:styleId="EndnoteText">
    <w:name w:val="endnote text"/>
    <w:basedOn w:val="Normal"/>
    <w:link w:val="EndnoteTextChar"/>
    <w:semiHidden/>
    <w:rsid w:val="003B5D17"/>
    <w:rPr>
      <w:sz w:val="18"/>
    </w:rPr>
  </w:style>
  <w:style w:type="paragraph" w:styleId="Footer">
    <w:name w:val="footer"/>
    <w:basedOn w:val="Normal"/>
    <w:semiHidden/>
    <w:rsid w:val="003B5D17"/>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rsid w:val="003B5D17"/>
    <w:rPr>
      <w:sz w:val="18"/>
    </w:rPr>
  </w:style>
  <w:style w:type="paragraph" w:styleId="Header">
    <w:name w:val="header"/>
    <w:basedOn w:val="Normal"/>
    <w:link w:val="HeaderChar"/>
    <w:uiPriority w:val="99"/>
    <w:rsid w:val="003B5D17"/>
    <w:pPr>
      <w:tabs>
        <w:tab w:val="center" w:pos="4536"/>
        <w:tab w:val="right" w:pos="9072"/>
      </w:tabs>
    </w:pPr>
  </w:style>
  <w:style w:type="paragraph" w:styleId="ListNumber">
    <w:name w:val="List Number"/>
    <w:basedOn w:val="Normal"/>
    <w:semiHidden/>
    <w:rsid w:val="003B5D17"/>
    <w:pPr>
      <w:numPr>
        <w:numId w:val="41"/>
      </w:numPr>
    </w:pPr>
  </w:style>
  <w:style w:type="paragraph" w:customStyle="1" w:styleId="ONUME">
    <w:name w:val="ONUM E"/>
    <w:basedOn w:val="BodyText"/>
    <w:link w:val="ONUMEChar"/>
    <w:rsid w:val="003B5D17"/>
    <w:pPr>
      <w:numPr>
        <w:numId w:val="42"/>
      </w:numPr>
    </w:pPr>
  </w:style>
  <w:style w:type="paragraph" w:customStyle="1" w:styleId="ONUMFS">
    <w:name w:val="ONUM FS"/>
    <w:basedOn w:val="BodyText"/>
    <w:rsid w:val="003B5D17"/>
    <w:pPr>
      <w:numPr>
        <w:numId w:val="43"/>
      </w:numPr>
    </w:pPr>
  </w:style>
  <w:style w:type="paragraph" w:styleId="Salutation">
    <w:name w:val="Salutation"/>
    <w:basedOn w:val="Normal"/>
    <w:next w:val="Normal"/>
    <w:semiHidden/>
    <w:rsid w:val="003B5D17"/>
  </w:style>
  <w:style w:type="paragraph" w:styleId="Signature">
    <w:name w:val="Signature"/>
    <w:basedOn w:val="Normal"/>
    <w:semiHidden/>
    <w:rsid w:val="003B5D17"/>
    <w:pPr>
      <w:ind w:left="5250"/>
    </w:pPr>
  </w:style>
  <w:style w:type="paragraph" w:styleId="TOC1">
    <w:name w:val="toc 1"/>
    <w:basedOn w:val="Normal"/>
    <w:next w:val="Normal"/>
    <w:autoRedefine/>
    <w:uiPriority w:val="39"/>
    <w:qFormat/>
    <w:rsid w:val="007D4CCC"/>
    <w:pPr>
      <w:tabs>
        <w:tab w:val="left" w:pos="440"/>
        <w:tab w:val="right" w:leader="dot" w:pos="9345"/>
      </w:tabs>
      <w:spacing w:after="220"/>
      <w:ind w:right="567"/>
    </w:pPr>
    <w:rPr>
      <w:caps/>
    </w:rPr>
  </w:style>
  <w:style w:type="character" w:customStyle="1" w:styleId="ONUMEChar">
    <w:name w:val="ONUM E Char"/>
    <w:link w:val="ONUME"/>
    <w:locked/>
    <w:rsid w:val="004B6701"/>
    <w:rPr>
      <w:rFonts w:ascii="Arial" w:eastAsia="SimSun" w:hAnsi="Arial" w:cs="Arial"/>
      <w:sz w:val="22"/>
      <w:lang w:val="fr-CH"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val="fr-CH"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locked/>
    <w:rsid w:val="00E365E6"/>
    <w:rPr>
      <w:rFonts w:ascii="Arial" w:eastAsia="SimSun" w:hAnsi="Arial" w:cs="Arial"/>
      <w:sz w:val="18"/>
      <w:lang w:val="fr-CH" w:eastAsia="zh-CN"/>
    </w:rPr>
  </w:style>
  <w:style w:type="paragraph" w:styleId="Caption">
    <w:name w:val="caption"/>
    <w:basedOn w:val="Normal"/>
    <w:next w:val="Normal"/>
    <w:link w:val="CaptionChar"/>
    <w:qFormat/>
    <w:rsid w:val="003B5D17"/>
    <w:rPr>
      <w:b/>
      <w:bCs/>
      <w:sz w:val="18"/>
    </w:rPr>
  </w:style>
  <w:style w:type="character" w:customStyle="1" w:styleId="CaptionChar">
    <w:name w:val="Caption Char"/>
    <w:basedOn w:val="DefaultParagraphFont"/>
    <w:link w:val="Caption"/>
    <w:rsid w:val="008414E9"/>
    <w:rPr>
      <w:rFonts w:ascii="Arial" w:eastAsia="SimSun" w:hAnsi="Arial" w:cs="Arial"/>
      <w:b/>
      <w:bCs/>
      <w:sz w:val="18"/>
      <w:lang w:val="fr-CH" w:eastAsia="zh-CN"/>
    </w:rPr>
  </w:style>
  <w:style w:type="character" w:customStyle="1" w:styleId="HeaderChar">
    <w:name w:val="Header Char"/>
    <w:link w:val="Header"/>
    <w:uiPriority w:val="99"/>
    <w:locked/>
    <w:rsid w:val="00E412BD"/>
    <w:rPr>
      <w:rFonts w:ascii="Arial" w:eastAsia="SimSun" w:hAnsi="Arial" w:cs="Arial"/>
      <w:sz w:val="22"/>
      <w:lang w:val="fr-CH"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3B5D17"/>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val="fr-CH"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val="fr-CH"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val="fr-CH"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val="fr-CH"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uiPriority w:val="99"/>
    <w:locked/>
    <w:rsid w:val="002C535F"/>
    <w:rPr>
      <w:rFonts w:ascii="Arial" w:hAnsi="Arial"/>
      <w:sz w:val="22"/>
      <w:lang w:val="x-none" w:eastAsia="x-none"/>
    </w:rPr>
  </w:style>
  <w:style w:type="paragraph" w:styleId="Revision">
    <w:name w:val="Revision"/>
    <w:hidden/>
    <w:uiPriority w:val="99"/>
    <w:semiHidden/>
    <w:rsid w:val="00B10E74"/>
    <w:rPr>
      <w:rFonts w:ascii="Arial" w:eastAsia="SimSun" w:hAnsi="Arial" w:cs="Arial"/>
      <w:sz w:val="22"/>
      <w:lang w:eastAsia="zh-CN"/>
    </w:rPr>
  </w:style>
  <w:style w:type="character" w:customStyle="1" w:styleId="apple-converted-space">
    <w:name w:val="apple-converted-space"/>
    <w:basedOn w:val="DefaultParagraphFont"/>
    <w:rsid w:val="0016490F"/>
  </w:style>
  <w:style w:type="paragraph" w:customStyle="1" w:styleId="Default">
    <w:name w:val="Default"/>
    <w:rsid w:val="008D5C16"/>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2F0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uiPriority w:val="99"/>
    <w:rsid w:val="002F0495"/>
    <w:rPr>
      <w:rFonts w:ascii="Courier New" w:hAnsi="Courier New" w:cs="Courier New"/>
    </w:rPr>
  </w:style>
  <w:style w:type="paragraph" w:customStyle="1" w:styleId="Meetingplacedate">
    <w:name w:val="Meeting place &amp; date"/>
    <w:basedOn w:val="Normal"/>
    <w:next w:val="Normal"/>
    <w:rsid w:val="003B5D17"/>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B5D17"/>
    <w:pPr>
      <w:spacing w:line="336" w:lineRule="exact"/>
      <w:ind w:left="1021"/>
    </w:pPr>
    <w:rPr>
      <w:rFonts w:eastAsia="Times New Roman" w:cs="Times New Roman"/>
      <w:b/>
      <w:sz w:val="28"/>
      <w:lang w:val="fr-FR" w:eastAsia="en-US"/>
    </w:rPr>
  </w:style>
  <w:style w:type="character" w:customStyle="1" w:styleId="Heading6Char">
    <w:name w:val="Heading 6 Char"/>
    <w:basedOn w:val="DefaultParagraphFont"/>
    <w:link w:val="Heading6"/>
    <w:rsid w:val="007D4CCC"/>
    <w:rPr>
      <w:rFonts w:ascii="Arial" w:eastAsia="SimSun" w:hAnsi="Arial" w:cs="Arial"/>
      <w:b/>
      <w:sz w:val="18"/>
      <w:lang w:val="fr-CH" w:eastAsia="zh-CN"/>
    </w:rPr>
  </w:style>
  <w:style w:type="character" w:customStyle="1" w:styleId="Heading5Char">
    <w:name w:val="Heading 5 Char"/>
    <w:basedOn w:val="DefaultParagraphFont"/>
    <w:link w:val="Heading5"/>
    <w:rsid w:val="007D4CCC"/>
    <w:rPr>
      <w:rFonts w:asciiTheme="majorHAnsi" w:eastAsiaTheme="majorEastAsia" w:hAnsiTheme="majorHAnsi" w:cstheme="majorBidi"/>
      <w:color w:val="243F60" w:themeColor="accent1" w:themeShade="7F"/>
      <w:sz w:val="22"/>
      <w:lang w:val="fr-CH" w:eastAsia="zh-CN"/>
    </w:rPr>
  </w:style>
  <w:style w:type="character" w:styleId="Emphasis">
    <w:name w:val="Emphasis"/>
    <w:basedOn w:val="DefaultParagraphFont"/>
    <w:uiPriority w:val="20"/>
    <w:qFormat/>
    <w:rsid w:val="00AC5823"/>
    <w:rPr>
      <w:b/>
      <w:bCs/>
      <w:i w:val="0"/>
      <w:iCs w:val="0"/>
    </w:rPr>
  </w:style>
  <w:style w:type="character" w:customStyle="1" w:styleId="st1">
    <w:name w:val="st1"/>
    <w:basedOn w:val="DefaultParagraphFont"/>
    <w:rsid w:val="00AC5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17"/>
    <w:rPr>
      <w:rFonts w:ascii="Arial" w:eastAsia="SimSun" w:hAnsi="Arial" w:cs="Arial"/>
      <w:sz w:val="22"/>
      <w:lang w:val="fr-CH" w:eastAsia="zh-CN"/>
    </w:rPr>
  </w:style>
  <w:style w:type="paragraph" w:styleId="Heading1">
    <w:name w:val="heading 1"/>
    <w:basedOn w:val="Normal"/>
    <w:next w:val="Normal"/>
    <w:qFormat/>
    <w:rsid w:val="003B5D17"/>
    <w:pPr>
      <w:keepNext/>
      <w:spacing w:before="240" w:after="60"/>
      <w:outlineLvl w:val="0"/>
    </w:pPr>
    <w:rPr>
      <w:b/>
      <w:bCs/>
      <w:caps/>
      <w:kern w:val="32"/>
      <w:szCs w:val="32"/>
    </w:rPr>
  </w:style>
  <w:style w:type="paragraph" w:styleId="Heading2">
    <w:name w:val="heading 2"/>
    <w:basedOn w:val="Normal"/>
    <w:next w:val="Normal"/>
    <w:link w:val="Heading2Char"/>
    <w:qFormat/>
    <w:rsid w:val="003B5D17"/>
    <w:pPr>
      <w:keepNext/>
      <w:spacing w:before="240" w:after="60"/>
      <w:outlineLvl w:val="1"/>
    </w:pPr>
    <w:rPr>
      <w:bCs/>
      <w:iCs/>
      <w:caps/>
      <w:szCs w:val="28"/>
    </w:rPr>
  </w:style>
  <w:style w:type="paragraph" w:styleId="Heading3">
    <w:name w:val="heading 3"/>
    <w:basedOn w:val="Normal"/>
    <w:next w:val="Normal"/>
    <w:qFormat/>
    <w:rsid w:val="003B5D17"/>
    <w:pPr>
      <w:keepNext/>
      <w:spacing w:before="240" w:after="60"/>
      <w:outlineLvl w:val="2"/>
    </w:pPr>
    <w:rPr>
      <w:bCs/>
      <w:szCs w:val="26"/>
      <w:u w:val="single"/>
    </w:rPr>
  </w:style>
  <w:style w:type="paragraph" w:styleId="Heading4">
    <w:name w:val="heading 4"/>
    <w:basedOn w:val="Normal"/>
    <w:next w:val="Normal"/>
    <w:qFormat/>
    <w:rsid w:val="003B5D17"/>
    <w:pPr>
      <w:keepNext/>
      <w:spacing w:before="240" w:after="60"/>
      <w:outlineLvl w:val="3"/>
    </w:pPr>
    <w:rPr>
      <w:bCs/>
      <w:i/>
      <w:szCs w:val="28"/>
    </w:rPr>
  </w:style>
  <w:style w:type="paragraph" w:styleId="Heading5">
    <w:name w:val="heading 5"/>
    <w:basedOn w:val="Normal"/>
    <w:next w:val="Normal"/>
    <w:link w:val="Heading5Char"/>
    <w:unhideWhenUsed/>
    <w:qFormat/>
    <w:rsid w:val="007D4C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D4CCC"/>
    <w:pPr>
      <w:keepNext/>
      <w:spacing w:before="240" w:after="60"/>
      <w:jc w:val="center"/>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B5D17"/>
    <w:pPr>
      <w:ind w:left="5534"/>
    </w:pPr>
    <w:rPr>
      <w:lang w:val="en-US"/>
    </w:rPr>
  </w:style>
  <w:style w:type="paragraph" w:styleId="BodyText">
    <w:name w:val="Body Text"/>
    <w:basedOn w:val="Normal"/>
    <w:link w:val="BodyTextChar"/>
    <w:rsid w:val="003B5D17"/>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3B5D17"/>
    <w:rPr>
      <w:sz w:val="18"/>
    </w:rPr>
  </w:style>
  <w:style w:type="paragraph" w:styleId="EndnoteText">
    <w:name w:val="endnote text"/>
    <w:basedOn w:val="Normal"/>
    <w:link w:val="EndnoteTextChar"/>
    <w:semiHidden/>
    <w:rsid w:val="003B5D17"/>
    <w:rPr>
      <w:sz w:val="18"/>
    </w:rPr>
  </w:style>
  <w:style w:type="paragraph" w:styleId="Footer">
    <w:name w:val="footer"/>
    <w:basedOn w:val="Normal"/>
    <w:semiHidden/>
    <w:rsid w:val="003B5D17"/>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rsid w:val="003B5D17"/>
    <w:rPr>
      <w:sz w:val="18"/>
    </w:rPr>
  </w:style>
  <w:style w:type="paragraph" w:styleId="Header">
    <w:name w:val="header"/>
    <w:basedOn w:val="Normal"/>
    <w:link w:val="HeaderChar"/>
    <w:uiPriority w:val="99"/>
    <w:rsid w:val="003B5D17"/>
    <w:pPr>
      <w:tabs>
        <w:tab w:val="center" w:pos="4536"/>
        <w:tab w:val="right" w:pos="9072"/>
      </w:tabs>
    </w:pPr>
  </w:style>
  <w:style w:type="paragraph" w:styleId="ListNumber">
    <w:name w:val="List Number"/>
    <w:basedOn w:val="Normal"/>
    <w:semiHidden/>
    <w:rsid w:val="003B5D17"/>
    <w:pPr>
      <w:numPr>
        <w:numId w:val="41"/>
      </w:numPr>
    </w:pPr>
  </w:style>
  <w:style w:type="paragraph" w:customStyle="1" w:styleId="ONUME">
    <w:name w:val="ONUM E"/>
    <w:basedOn w:val="BodyText"/>
    <w:link w:val="ONUMEChar"/>
    <w:rsid w:val="003B5D17"/>
    <w:pPr>
      <w:numPr>
        <w:numId w:val="42"/>
      </w:numPr>
    </w:pPr>
  </w:style>
  <w:style w:type="paragraph" w:customStyle="1" w:styleId="ONUMFS">
    <w:name w:val="ONUM FS"/>
    <w:basedOn w:val="BodyText"/>
    <w:rsid w:val="003B5D17"/>
    <w:pPr>
      <w:numPr>
        <w:numId w:val="43"/>
      </w:numPr>
    </w:pPr>
  </w:style>
  <w:style w:type="paragraph" w:styleId="Salutation">
    <w:name w:val="Salutation"/>
    <w:basedOn w:val="Normal"/>
    <w:next w:val="Normal"/>
    <w:semiHidden/>
    <w:rsid w:val="003B5D17"/>
  </w:style>
  <w:style w:type="paragraph" w:styleId="Signature">
    <w:name w:val="Signature"/>
    <w:basedOn w:val="Normal"/>
    <w:semiHidden/>
    <w:rsid w:val="003B5D17"/>
    <w:pPr>
      <w:ind w:left="5250"/>
    </w:pPr>
  </w:style>
  <w:style w:type="paragraph" w:styleId="TOC1">
    <w:name w:val="toc 1"/>
    <w:basedOn w:val="Normal"/>
    <w:next w:val="Normal"/>
    <w:autoRedefine/>
    <w:uiPriority w:val="39"/>
    <w:qFormat/>
    <w:rsid w:val="007D4CCC"/>
    <w:pPr>
      <w:tabs>
        <w:tab w:val="left" w:pos="440"/>
        <w:tab w:val="right" w:leader="dot" w:pos="9345"/>
      </w:tabs>
      <w:spacing w:after="220"/>
      <w:ind w:right="567"/>
    </w:pPr>
    <w:rPr>
      <w:caps/>
    </w:rPr>
  </w:style>
  <w:style w:type="character" w:customStyle="1" w:styleId="ONUMEChar">
    <w:name w:val="ONUM E Char"/>
    <w:link w:val="ONUME"/>
    <w:locked/>
    <w:rsid w:val="004B6701"/>
    <w:rPr>
      <w:rFonts w:ascii="Arial" w:eastAsia="SimSun" w:hAnsi="Arial" w:cs="Arial"/>
      <w:sz w:val="22"/>
      <w:lang w:val="fr-CH"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val="fr-CH"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locked/>
    <w:rsid w:val="00E365E6"/>
    <w:rPr>
      <w:rFonts w:ascii="Arial" w:eastAsia="SimSun" w:hAnsi="Arial" w:cs="Arial"/>
      <w:sz w:val="18"/>
      <w:lang w:val="fr-CH" w:eastAsia="zh-CN"/>
    </w:rPr>
  </w:style>
  <w:style w:type="paragraph" w:styleId="Caption">
    <w:name w:val="caption"/>
    <w:basedOn w:val="Normal"/>
    <w:next w:val="Normal"/>
    <w:link w:val="CaptionChar"/>
    <w:qFormat/>
    <w:rsid w:val="003B5D17"/>
    <w:rPr>
      <w:b/>
      <w:bCs/>
      <w:sz w:val="18"/>
    </w:rPr>
  </w:style>
  <w:style w:type="character" w:customStyle="1" w:styleId="CaptionChar">
    <w:name w:val="Caption Char"/>
    <w:basedOn w:val="DefaultParagraphFont"/>
    <w:link w:val="Caption"/>
    <w:rsid w:val="008414E9"/>
    <w:rPr>
      <w:rFonts w:ascii="Arial" w:eastAsia="SimSun" w:hAnsi="Arial" w:cs="Arial"/>
      <w:b/>
      <w:bCs/>
      <w:sz w:val="18"/>
      <w:lang w:val="fr-CH" w:eastAsia="zh-CN"/>
    </w:rPr>
  </w:style>
  <w:style w:type="character" w:customStyle="1" w:styleId="HeaderChar">
    <w:name w:val="Header Char"/>
    <w:link w:val="Header"/>
    <w:uiPriority w:val="99"/>
    <w:locked/>
    <w:rsid w:val="00E412BD"/>
    <w:rPr>
      <w:rFonts w:ascii="Arial" w:eastAsia="SimSun" w:hAnsi="Arial" w:cs="Arial"/>
      <w:sz w:val="22"/>
      <w:lang w:val="fr-CH"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3B5D17"/>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val="fr-CH"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val="fr-CH"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val="fr-CH"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val="fr-CH"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uiPriority w:val="99"/>
    <w:locked/>
    <w:rsid w:val="002C535F"/>
    <w:rPr>
      <w:rFonts w:ascii="Arial" w:hAnsi="Arial"/>
      <w:sz w:val="22"/>
      <w:lang w:val="x-none" w:eastAsia="x-none"/>
    </w:rPr>
  </w:style>
  <w:style w:type="paragraph" w:styleId="Revision">
    <w:name w:val="Revision"/>
    <w:hidden/>
    <w:uiPriority w:val="99"/>
    <w:semiHidden/>
    <w:rsid w:val="00B10E74"/>
    <w:rPr>
      <w:rFonts w:ascii="Arial" w:eastAsia="SimSun" w:hAnsi="Arial" w:cs="Arial"/>
      <w:sz w:val="22"/>
      <w:lang w:eastAsia="zh-CN"/>
    </w:rPr>
  </w:style>
  <w:style w:type="character" w:customStyle="1" w:styleId="apple-converted-space">
    <w:name w:val="apple-converted-space"/>
    <w:basedOn w:val="DefaultParagraphFont"/>
    <w:rsid w:val="0016490F"/>
  </w:style>
  <w:style w:type="paragraph" w:customStyle="1" w:styleId="Default">
    <w:name w:val="Default"/>
    <w:rsid w:val="008D5C16"/>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2F0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uiPriority w:val="99"/>
    <w:rsid w:val="002F0495"/>
    <w:rPr>
      <w:rFonts w:ascii="Courier New" w:hAnsi="Courier New" w:cs="Courier New"/>
    </w:rPr>
  </w:style>
  <w:style w:type="paragraph" w:customStyle="1" w:styleId="Meetingplacedate">
    <w:name w:val="Meeting place &amp; date"/>
    <w:basedOn w:val="Normal"/>
    <w:next w:val="Normal"/>
    <w:rsid w:val="003B5D17"/>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B5D17"/>
    <w:pPr>
      <w:spacing w:line="336" w:lineRule="exact"/>
      <w:ind w:left="1021"/>
    </w:pPr>
    <w:rPr>
      <w:rFonts w:eastAsia="Times New Roman" w:cs="Times New Roman"/>
      <w:b/>
      <w:sz w:val="28"/>
      <w:lang w:val="fr-FR" w:eastAsia="en-US"/>
    </w:rPr>
  </w:style>
  <w:style w:type="character" w:customStyle="1" w:styleId="Heading6Char">
    <w:name w:val="Heading 6 Char"/>
    <w:basedOn w:val="DefaultParagraphFont"/>
    <w:link w:val="Heading6"/>
    <w:rsid w:val="007D4CCC"/>
    <w:rPr>
      <w:rFonts w:ascii="Arial" w:eastAsia="SimSun" w:hAnsi="Arial" w:cs="Arial"/>
      <w:b/>
      <w:sz w:val="18"/>
      <w:lang w:val="fr-CH" w:eastAsia="zh-CN"/>
    </w:rPr>
  </w:style>
  <w:style w:type="character" w:customStyle="1" w:styleId="Heading5Char">
    <w:name w:val="Heading 5 Char"/>
    <w:basedOn w:val="DefaultParagraphFont"/>
    <w:link w:val="Heading5"/>
    <w:rsid w:val="007D4CCC"/>
    <w:rPr>
      <w:rFonts w:asciiTheme="majorHAnsi" w:eastAsiaTheme="majorEastAsia" w:hAnsiTheme="majorHAnsi" w:cstheme="majorBidi"/>
      <w:color w:val="243F60" w:themeColor="accent1" w:themeShade="7F"/>
      <w:sz w:val="22"/>
      <w:lang w:val="fr-CH" w:eastAsia="zh-CN"/>
    </w:rPr>
  </w:style>
  <w:style w:type="character" w:styleId="Emphasis">
    <w:name w:val="Emphasis"/>
    <w:basedOn w:val="DefaultParagraphFont"/>
    <w:uiPriority w:val="20"/>
    <w:qFormat/>
    <w:rsid w:val="00AC5823"/>
    <w:rPr>
      <w:b/>
      <w:bCs/>
      <w:i w:val="0"/>
      <w:iCs w:val="0"/>
    </w:rPr>
  </w:style>
  <w:style w:type="character" w:customStyle="1" w:styleId="st1">
    <w:name w:val="st1"/>
    <w:basedOn w:val="DefaultParagraphFont"/>
    <w:rsid w:val="00AC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2810">
      <w:bodyDiv w:val="1"/>
      <w:marLeft w:val="0"/>
      <w:marRight w:val="0"/>
      <w:marTop w:val="0"/>
      <w:marBottom w:val="0"/>
      <w:divBdr>
        <w:top w:val="none" w:sz="0" w:space="0" w:color="auto"/>
        <w:left w:val="none" w:sz="0" w:space="0" w:color="auto"/>
        <w:bottom w:val="none" w:sz="0" w:space="0" w:color="auto"/>
        <w:right w:val="none" w:sz="0" w:space="0" w:color="auto"/>
      </w:divBdr>
    </w:div>
    <w:div w:id="248387329">
      <w:bodyDiv w:val="1"/>
      <w:marLeft w:val="0"/>
      <w:marRight w:val="0"/>
      <w:marTop w:val="0"/>
      <w:marBottom w:val="0"/>
      <w:divBdr>
        <w:top w:val="none" w:sz="0" w:space="0" w:color="auto"/>
        <w:left w:val="none" w:sz="0" w:space="0" w:color="auto"/>
        <w:bottom w:val="none" w:sz="0" w:space="0" w:color="auto"/>
        <w:right w:val="none" w:sz="0" w:space="0" w:color="auto"/>
      </w:divBdr>
    </w:div>
    <w:div w:id="456996221">
      <w:bodyDiv w:val="1"/>
      <w:marLeft w:val="0"/>
      <w:marRight w:val="0"/>
      <w:marTop w:val="0"/>
      <w:marBottom w:val="0"/>
      <w:divBdr>
        <w:top w:val="none" w:sz="0" w:space="0" w:color="auto"/>
        <w:left w:val="none" w:sz="0" w:space="0" w:color="auto"/>
        <w:bottom w:val="none" w:sz="0" w:space="0" w:color="auto"/>
        <w:right w:val="none" w:sz="0" w:space="0" w:color="auto"/>
      </w:divBdr>
    </w:div>
    <w:div w:id="555356643">
      <w:bodyDiv w:val="1"/>
      <w:marLeft w:val="0"/>
      <w:marRight w:val="0"/>
      <w:marTop w:val="0"/>
      <w:marBottom w:val="0"/>
      <w:divBdr>
        <w:top w:val="none" w:sz="0" w:space="0" w:color="auto"/>
        <w:left w:val="none" w:sz="0" w:space="0" w:color="auto"/>
        <w:bottom w:val="none" w:sz="0" w:space="0" w:color="auto"/>
        <w:right w:val="none" w:sz="0" w:space="0" w:color="auto"/>
      </w:divBdr>
    </w:div>
    <w:div w:id="591934274">
      <w:bodyDiv w:val="1"/>
      <w:marLeft w:val="0"/>
      <w:marRight w:val="0"/>
      <w:marTop w:val="0"/>
      <w:marBottom w:val="0"/>
      <w:divBdr>
        <w:top w:val="none" w:sz="0" w:space="0" w:color="auto"/>
        <w:left w:val="none" w:sz="0" w:space="0" w:color="auto"/>
        <w:bottom w:val="none" w:sz="0" w:space="0" w:color="auto"/>
        <w:right w:val="none" w:sz="0" w:space="0" w:color="auto"/>
      </w:divBdr>
    </w:div>
    <w:div w:id="641692350">
      <w:bodyDiv w:val="1"/>
      <w:marLeft w:val="0"/>
      <w:marRight w:val="0"/>
      <w:marTop w:val="0"/>
      <w:marBottom w:val="0"/>
      <w:divBdr>
        <w:top w:val="none" w:sz="0" w:space="0" w:color="auto"/>
        <w:left w:val="none" w:sz="0" w:space="0" w:color="auto"/>
        <w:bottom w:val="none" w:sz="0" w:space="0" w:color="auto"/>
        <w:right w:val="none" w:sz="0" w:space="0" w:color="auto"/>
      </w:divBdr>
    </w:div>
    <w:div w:id="815689020">
      <w:bodyDiv w:val="1"/>
      <w:marLeft w:val="0"/>
      <w:marRight w:val="0"/>
      <w:marTop w:val="0"/>
      <w:marBottom w:val="0"/>
      <w:divBdr>
        <w:top w:val="none" w:sz="0" w:space="0" w:color="auto"/>
        <w:left w:val="none" w:sz="0" w:space="0" w:color="auto"/>
        <w:bottom w:val="none" w:sz="0" w:space="0" w:color="auto"/>
        <w:right w:val="none" w:sz="0" w:space="0" w:color="auto"/>
      </w:divBdr>
    </w:div>
    <w:div w:id="1075279655">
      <w:bodyDiv w:val="1"/>
      <w:marLeft w:val="0"/>
      <w:marRight w:val="0"/>
      <w:marTop w:val="0"/>
      <w:marBottom w:val="0"/>
      <w:divBdr>
        <w:top w:val="none" w:sz="0" w:space="0" w:color="auto"/>
        <w:left w:val="none" w:sz="0" w:space="0" w:color="auto"/>
        <w:bottom w:val="none" w:sz="0" w:space="0" w:color="auto"/>
        <w:right w:val="none" w:sz="0" w:space="0" w:color="auto"/>
      </w:divBdr>
    </w:div>
    <w:div w:id="1260063137">
      <w:bodyDiv w:val="1"/>
      <w:marLeft w:val="0"/>
      <w:marRight w:val="0"/>
      <w:marTop w:val="0"/>
      <w:marBottom w:val="0"/>
      <w:divBdr>
        <w:top w:val="none" w:sz="0" w:space="0" w:color="auto"/>
        <w:left w:val="none" w:sz="0" w:space="0" w:color="auto"/>
        <w:bottom w:val="none" w:sz="0" w:space="0" w:color="auto"/>
        <w:right w:val="none" w:sz="0" w:space="0" w:color="auto"/>
      </w:divBdr>
    </w:div>
    <w:div w:id="1386181304">
      <w:bodyDiv w:val="1"/>
      <w:marLeft w:val="0"/>
      <w:marRight w:val="0"/>
      <w:marTop w:val="0"/>
      <w:marBottom w:val="0"/>
      <w:divBdr>
        <w:top w:val="none" w:sz="0" w:space="0" w:color="auto"/>
        <w:left w:val="none" w:sz="0" w:space="0" w:color="auto"/>
        <w:bottom w:val="none" w:sz="0" w:space="0" w:color="auto"/>
        <w:right w:val="none" w:sz="0" w:space="0" w:color="auto"/>
      </w:divBdr>
    </w:div>
    <w:div w:id="1424183143">
      <w:bodyDiv w:val="1"/>
      <w:marLeft w:val="0"/>
      <w:marRight w:val="0"/>
      <w:marTop w:val="0"/>
      <w:marBottom w:val="0"/>
      <w:divBdr>
        <w:top w:val="none" w:sz="0" w:space="0" w:color="auto"/>
        <w:left w:val="none" w:sz="0" w:space="0" w:color="auto"/>
        <w:bottom w:val="none" w:sz="0" w:space="0" w:color="auto"/>
        <w:right w:val="none" w:sz="0" w:space="0" w:color="auto"/>
      </w:divBdr>
    </w:div>
    <w:div w:id="1440367529">
      <w:bodyDiv w:val="1"/>
      <w:marLeft w:val="0"/>
      <w:marRight w:val="0"/>
      <w:marTop w:val="0"/>
      <w:marBottom w:val="0"/>
      <w:divBdr>
        <w:top w:val="none" w:sz="0" w:space="0" w:color="auto"/>
        <w:left w:val="none" w:sz="0" w:space="0" w:color="auto"/>
        <w:bottom w:val="none" w:sz="0" w:space="0" w:color="auto"/>
        <w:right w:val="none" w:sz="0" w:space="0" w:color="auto"/>
      </w:divBdr>
    </w:div>
    <w:div w:id="1524519728">
      <w:bodyDiv w:val="1"/>
      <w:marLeft w:val="0"/>
      <w:marRight w:val="0"/>
      <w:marTop w:val="0"/>
      <w:marBottom w:val="0"/>
      <w:divBdr>
        <w:top w:val="none" w:sz="0" w:space="0" w:color="auto"/>
        <w:left w:val="none" w:sz="0" w:space="0" w:color="auto"/>
        <w:bottom w:val="none" w:sz="0" w:space="0" w:color="auto"/>
        <w:right w:val="none" w:sz="0" w:space="0" w:color="auto"/>
      </w:divBdr>
    </w:div>
    <w:div w:id="1864594365">
      <w:bodyDiv w:val="1"/>
      <w:marLeft w:val="0"/>
      <w:marRight w:val="0"/>
      <w:marTop w:val="0"/>
      <w:marBottom w:val="0"/>
      <w:divBdr>
        <w:top w:val="none" w:sz="0" w:space="0" w:color="auto"/>
        <w:left w:val="none" w:sz="0" w:space="0" w:color="auto"/>
        <w:bottom w:val="none" w:sz="0" w:space="0" w:color="auto"/>
        <w:right w:val="none" w:sz="0" w:space="0" w:color="auto"/>
      </w:divBdr>
    </w:div>
    <w:div w:id="19779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emf"/><Relationship Id="rId19" Type="http://schemas.openxmlformats.org/officeDocument/2006/relationships/header" Target="header3.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theme" Target="theme/theme1.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garba\Desktop\2017\Recommendations\IAOC%20June%202017\TeamCentral%20Analysis%20_June_1_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garba\Desktop\2017\Recommendations\IAOC%20June%202017\TeamCentral%20Analysis%20_June_1_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garba\Desktop\2017\Recommendations\IAOC%20June%202017\TeamCentral%20Analysis%20_June_1_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garba\Desktop\2017\Recommendations\IAOC%20June%202017\TeamCentral%20Analysis%20_June_1_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8"/>
    </mc:Choice>
    <mc:Fallback>
      <c:style val="28"/>
    </mc:Fallback>
  </mc:AlternateContent>
  <c:pivotSource>
    <c:name>[TeamCentral Analysis _June_30_2017.xlsx]by priority!PivotTable2</c:name>
    <c:fmtId val="-1"/>
  </c:pivotSource>
  <c:chart>
    <c:autoTitleDeleted val="1"/>
    <c:pivotFmts>
      <c:pivotFmt>
        <c:idx val="0"/>
        <c:marker>
          <c:symbol val="none"/>
        </c:marker>
        <c:dLbl>
          <c:idx val="0"/>
          <c:showLegendKey val="0"/>
          <c:showVal val="1"/>
          <c:showCatName val="0"/>
          <c:showSerName val="0"/>
          <c:showPercent val="0"/>
          <c:showBubbleSize val="0"/>
        </c:dLbl>
      </c:pivotFmt>
      <c:pivotFmt>
        <c:idx val="1"/>
        <c:spPr>
          <a:solidFill>
            <a:schemeClr val="accent3"/>
          </a:solidFill>
        </c:spPr>
      </c:pivotFmt>
      <c:pivotFmt>
        <c:idx val="2"/>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3"/>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
        <c:idx val="4"/>
        <c:marker>
          <c:symbol val="none"/>
        </c:marker>
        <c:dLbl>
          <c:idx val="0"/>
          <c:spPr/>
          <c:txPr>
            <a:bodyPr/>
            <a:lstStyle/>
            <a:p>
              <a:pPr>
                <a:defRPr/>
              </a:pPr>
              <a:endParaRPr lang="fr-FR"/>
            </a:p>
          </c:txPr>
          <c:showLegendKey val="0"/>
          <c:showVal val="1"/>
          <c:showCatName val="0"/>
          <c:showSerName val="0"/>
          <c:showPercent val="0"/>
          <c:showBubbleSize val="0"/>
        </c:dLbl>
      </c:pivotFmt>
      <c:pivotFmt>
        <c:idx val="5"/>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6"/>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
        <c:idx val="7"/>
        <c:marker>
          <c:symbol val="none"/>
        </c:marker>
        <c:dLbl>
          <c:idx val="0"/>
          <c:spPr/>
          <c:txPr>
            <a:bodyPr/>
            <a:lstStyle/>
            <a:p>
              <a:pPr>
                <a:defRPr/>
              </a:pPr>
              <a:endParaRPr lang="fr-FR"/>
            </a:p>
          </c:txPr>
          <c:showLegendKey val="0"/>
          <c:showVal val="1"/>
          <c:showCatName val="0"/>
          <c:showSerName val="0"/>
          <c:showPercent val="0"/>
          <c:showBubbleSize val="0"/>
        </c:dLbl>
      </c:pivotFmt>
      <c:pivotFmt>
        <c:idx val="8"/>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9"/>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s>
    <c:view3D>
      <c:rotX val="15"/>
      <c:rotY val="20"/>
      <c:rAngAx val="1"/>
    </c:view3D>
    <c:floor>
      <c:thickness val="0"/>
    </c:floor>
    <c:sideWall>
      <c:thickness val="0"/>
    </c:sideWall>
    <c:backWall>
      <c:thickness val="0"/>
    </c:backWall>
    <c:plotArea>
      <c:layout>
        <c:manualLayout>
          <c:layoutTarget val="inner"/>
          <c:xMode val="edge"/>
          <c:yMode val="edge"/>
          <c:x val="0.13545716621487888"/>
          <c:y val="0.12703014018982223"/>
          <c:w val="0.8164554020911321"/>
          <c:h val="0.71466557201676806"/>
        </c:manualLayout>
      </c:layout>
      <c:bar3DChart>
        <c:barDir val="col"/>
        <c:grouping val="clustered"/>
        <c:varyColors val="0"/>
        <c:ser>
          <c:idx val="0"/>
          <c:order val="0"/>
          <c:tx>
            <c:strRef>
              <c:f>'by priority'!$B$3</c:f>
              <c:strCache>
                <c:ptCount val="1"/>
                <c:pt idx="0">
                  <c:v>Total</c:v>
                </c:pt>
              </c:strCache>
            </c:strRef>
          </c:tx>
          <c:invertIfNegative val="0"/>
          <c:dPt>
            <c:idx val="0"/>
            <c:invertIfNegative val="0"/>
            <c:bubble3D val="0"/>
            <c:spPr>
              <a:solidFill>
                <a:schemeClr val="accent1"/>
              </a:solidFill>
            </c:spPr>
          </c:dPt>
          <c:dPt>
            <c:idx val="1"/>
            <c:invertIfNegative val="0"/>
            <c:bubble3D val="0"/>
            <c:spPr>
              <a:solidFill>
                <a:schemeClr val="accent2"/>
              </a:solidFill>
            </c:spPr>
          </c:dPt>
          <c:dPt>
            <c:idx val="2"/>
            <c:invertIfNegative val="0"/>
            <c:bubble3D val="0"/>
          </c:dPt>
          <c:dLbls>
            <c:dLbl>
              <c:idx val="0"/>
              <c:layout>
                <c:manualLayout>
                  <c:x val="3.0889589505537159E-2"/>
                  <c:y val="-7.1162305585164301E-2"/>
                </c:manualLayout>
              </c:layout>
              <c:showLegendKey val="0"/>
              <c:showVal val="1"/>
              <c:showCatName val="0"/>
              <c:showSerName val="0"/>
              <c:showPercent val="0"/>
              <c:showBubbleSize val="0"/>
            </c:dLbl>
            <c:dLbl>
              <c:idx val="1"/>
              <c:layout>
                <c:manualLayout>
                  <c:x val="4.2924211938296444E-2"/>
                  <c:y val="-8.2982727595731706E-2"/>
                </c:manualLayout>
              </c:layout>
              <c:showLegendKey val="0"/>
              <c:showVal val="1"/>
              <c:showCatName val="0"/>
              <c:showSerName val="0"/>
              <c:showPercent val="0"/>
              <c:showBubbleSize val="0"/>
            </c:dLbl>
            <c:txPr>
              <a:bodyPr/>
              <a:lstStyle/>
              <a:p>
                <a:pPr>
                  <a:defRPr/>
                </a:pPr>
                <a:endParaRPr lang="fr-FR"/>
              </a:p>
            </c:txPr>
            <c:showLegendKey val="0"/>
            <c:showVal val="1"/>
            <c:showCatName val="0"/>
            <c:showSerName val="0"/>
            <c:showPercent val="0"/>
            <c:showBubbleSize val="0"/>
            <c:showLeaderLines val="0"/>
          </c:dLbls>
          <c:cat>
            <c:strRef>
              <c:f>'by priority'!$A$4:$A$6</c:f>
              <c:strCache>
                <c:ptCount val="2"/>
                <c:pt idx="0">
                  <c:v>Élevée</c:v>
                </c:pt>
                <c:pt idx="1">
                  <c:v>Moyenne</c:v>
                </c:pt>
              </c:strCache>
            </c:strRef>
          </c:cat>
          <c:val>
            <c:numRef>
              <c:f>'by priority'!$B$4:$B$6</c:f>
              <c:numCache>
                <c:formatCode>General</c:formatCode>
                <c:ptCount val="2"/>
                <c:pt idx="0">
                  <c:v>99</c:v>
                </c:pt>
                <c:pt idx="1">
                  <c:v>94</c:v>
                </c:pt>
              </c:numCache>
            </c:numRef>
          </c:val>
        </c:ser>
        <c:dLbls>
          <c:showLegendKey val="0"/>
          <c:showVal val="1"/>
          <c:showCatName val="0"/>
          <c:showSerName val="0"/>
          <c:showPercent val="0"/>
          <c:showBubbleSize val="0"/>
        </c:dLbls>
        <c:gapWidth val="75"/>
        <c:shape val="box"/>
        <c:axId val="129920000"/>
        <c:axId val="132636032"/>
        <c:axId val="0"/>
      </c:bar3DChart>
      <c:catAx>
        <c:axId val="129920000"/>
        <c:scaling>
          <c:orientation val="minMax"/>
        </c:scaling>
        <c:delete val="0"/>
        <c:axPos val="b"/>
        <c:majorTickMark val="none"/>
        <c:minorTickMark val="none"/>
        <c:tickLblPos val="nextTo"/>
        <c:crossAx val="132636032"/>
        <c:crosses val="autoZero"/>
        <c:auto val="1"/>
        <c:lblAlgn val="ctr"/>
        <c:lblOffset val="100"/>
        <c:noMultiLvlLbl val="0"/>
      </c:catAx>
      <c:valAx>
        <c:axId val="132636032"/>
        <c:scaling>
          <c:orientation val="minMax"/>
        </c:scaling>
        <c:delete val="0"/>
        <c:axPos val="l"/>
        <c:numFmt formatCode="General" sourceLinked="1"/>
        <c:majorTickMark val="none"/>
        <c:minorTickMark val="none"/>
        <c:tickLblPos val="nextTo"/>
        <c:crossAx val="129920000"/>
        <c:crosses val="autoZero"/>
        <c:crossBetween val="between"/>
      </c:valAx>
    </c:plotArea>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80275480885224"/>
          <c:y val="0.2307529352425253"/>
          <c:w val="0.5555344022108657"/>
          <c:h val="0.70973968111637287"/>
        </c:manualLayout>
      </c:layout>
      <c:pieChart>
        <c:varyColors val="1"/>
        <c:ser>
          <c:idx val="0"/>
          <c:order val="0"/>
          <c:dLbls>
            <c:showLegendKey val="0"/>
            <c:showVal val="1"/>
            <c:showCatName val="1"/>
            <c:showSerName val="0"/>
            <c:showPercent val="0"/>
            <c:showBubbleSize val="0"/>
            <c:showLeaderLines val="1"/>
          </c:dLbls>
          <c:cat>
            <c:strRef>
              <c:f>source!$A$17:$A$18</c:f>
              <c:strCache>
                <c:ptCount val="2"/>
                <c:pt idx="0">
                  <c:v>Audit externe</c:v>
                </c:pt>
                <c:pt idx="1">
                  <c:v>DSI</c:v>
                </c:pt>
              </c:strCache>
            </c:strRef>
          </c:cat>
          <c:val>
            <c:numRef>
              <c:f>source!$B$17:$B$18</c:f>
              <c:numCache>
                <c:formatCode>General</c:formatCode>
                <c:ptCount val="2"/>
                <c:pt idx="0">
                  <c:v>48</c:v>
                </c:pt>
                <c:pt idx="1">
                  <c:v>145</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[TeamCentral Analysis _June_30_2017.xlsx]priority by year!PivotTable6</c:name>
    <c:fmtId val="-1"/>
  </c:pivotSource>
  <c:chart>
    <c:autoTitleDeleted val="1"/>
    <c:pivotFmts>
      <c:pivotFmt>
        <c:idx val="0"/>
        <c:spPr>
          <a:solidFill>
            <a:srgbClr val="C00000"/>
          </a:solidFill>
        </c:spPr>
        <c:marker>
          <c:symbol val="none"/>
        </c:marker>
        <c:dLbl>
          <c:idx val="0"/>
          <c:spPr/>
          <c:txPr>
            <a:bodyPr/>
            <a:lstStyle/>
            <a:p>
              <a:pPr>
                <a:defRPr/>
              </a:pPr>
              <a:endParaRPr lang="fr-FR"/>
            </a:p>
          </c:txPr>
          <c:showLegendKey val="0"/>
          <c:showVal val="1"/>
          <c:showCatName val="0"/>
          <c:showSerName val="0"/>
          <c:showPercent val="0"/>
          <c:showBubbleSize val="0"/>
        </c:dLbl>
      </c:pivotFmt>
      <c:pivotFmt>
        <c:idx val="1"/>
        <c:spPr>
          <a:solidFill>
            <a:schemeClr val="accent1"/>
          </a:solidFill>
        </c:spPr>
        <c:marker>
          <c:symbol val="none"/>
        </c:marker>
        <c:dLbl>
          <c:idx val="0"/>
          <c:spPr/>
          <c:txPr>
            <a:bodyPr/>
            <a:lstStyle/>
            <a:p>
              <a:pPr>
                <a:defRPr/>
              </a:pPr>
              <a:endParaRPr lang="fr-FR"/>
            </a:p>
          </c:txPr>
          <c:showLegendKey val="0"/>
          <c:showVal val="1"/>
          <c:showCatName val="0"/>
          <c:showSerName val="0"/>
          <c:showPercent val="0"/>
          <c:showBubbleSize val="0"/>
        </c:dLbl>
      </c:pivotFmt>
      <c:pivotFmt>
        <c:idx val="2"/>
        <c:marker>
          <c:symbol val="none"/>
        </c:marker>
        <c:dLbl>
          <c:idx val="0"/>
          <c:spPr/>
          <c:txPr>
            <a:bodyPr/>
            <a:lstStyle/>
            <a:p>
              <a:pPr>
                <a:defRPr/>
              </a:pPr>
              <a:endParaRPr lang="fr-FR"/>
            </a:p>
          </c:txPr>
          <c:showLegendKey val="0"/>
          <c:showVal val="1"/>
          <c:showCatName val="0"/>
          <c:showSerName val="0"/>
          <c:showPercent val="0"/>
          <c:showBubbleSize val="0"/>
        </c:dLbl>
      </c:pivotFmt>
      <c:pivotFmt>
        <c:idx val="3"/>
        <c:dLbl>
          <c:idx val="0"/>
          <c:layout>
            <c:manualLayout>
              <c:x val="1.8171493469619535E-2"/>
              <c:y val="0"/>
            </c:manualLayout>
          </c:layout>
          <c:showLegendKey val="0"/>
          <c:showVal val="1"/>
          <c:showCatName val="0"/>
          <c:showSerName val="0"/>
          <c:showPercent val="0"/>
          <c:showBubbleSize val="0"/>
        </c:dLbl>
      </c:pivotFmt>
      <c:pivotFmt>
        <c:idx val="4"/>
        <c:dLbl>
          <c:idx val="0"/>
          <c:layout>
            <c:manualLayout>
              <c:x val="1.3628620102214568E-2"/>
              <c:y val="0"/>
            </c:manualLayout>
          </c:layout>
          <c:showLegendKey val="0"/>
          <c:showVal val="1"/>
          <c:showCatName val="0"/>
          <c:showSerName val="0"/>
          <c:showPercent val="0"/>
          <c:showBubbleSize val="0"/>
        </c:dLbl>
      </c:pivotFmt>
      <c:pivotFmt>
        <c:idx val="5"/>
        <c:dLbl>
          <c:idx val="0"/>
          <c:layout>
            <c:manualLayout>
              <c:x val="6.8143100511073255E-3"/>
              <c:y val="0"/>
            </c:manualLayout>
          </c:layout>
          <c:showLegendKey val="0"/>
          <c:showVal val="1"/>
          <c:showCatName val="0"/>
          <c:showSerName val="0"/>
          <c:showPercent val="0"/>
          <c:showBubbleSize val="0"/>
        </c:dLbl>
      </c:pivotFmt>
      <c:pivotFmt>
        <c:idx val="6"/>
        <c:dLbl>
          <c:idx val="0"/>
          <c:layout>
            <c:manualLayout>
              <c:x val="9.2378752886836026E-3"/>
              <c:y val="-8.8887895983494385E-17"/>
            </c:manualLayout>
          </c:layout>
          <c:showLegendKey val="0"/>
          <c:showVal val="1"/>
          <c:showCatName val="0"/>
          <c:showSerName val="0"/>
          <c:showPercent val="0"/>
          <c:showBubbleSize val="0"/>
        </c:dLbl>
      </c:pivotFmt>
      <c:pivotFmt>
        <c:idx val="7"/>
        <c:dLbl>
          <c:idx val="0"/>
          <c:layout>
            <c:manualLayout>
              <c:x val="9.2378752886836026E-3"/>
              <c:y val="0"/>
            </c:manualLayout>
          </c:layout>
          <c:showLegendKey val="0"/>
          <c:showVal val="1"/>
          <c:showCatName val="0"/>
          <c:showSerName val="0"/>
          <c:showPercent val="0"/>
          <c:showBubbleSize val="0"/>
        </c:dLbl>
      </c:pivotFmt>
      <c:pivotFmt>
        <c:idx val="8"/>
        <c:dLbl>
          <c:idx val="0"/>
          <c:layout>
            <c:manualLayout>
              <c:x val="1.8475750577367205E-2"/>
              <c:y val="0"/>
            </c:manualLayout>
          </c:layout>
          <c:showLegendKey val="0"/>
          <c:showVal val="1"/>
          <c:showCatName val="0"/>
          <c:showSerName val="0"/>
          <c:showPercent val="0"/>
          <c:showBubbleSize val="0"/>
        </c:dLbl>
      </c:pivotFmt>
      <c:pivotFmt>
        <c:idx val="9"/>
        <c:dLbl>
          <c:idx val="0"/>
          <c:layout>
            <c:manualLayout>
              <c:x val="1.5396458814472672E-2"/>
              <c:y val="0"/>
            </c:manualLayout>
          </c:layout>
          <c:showLegendKey val="0"/>
          <c:showVal val="1"/>
          <c:showCatName val="0"/>
          <c:showSerName val="0"/>
          <c:showPercent val="0"/>
          <c:showBubbleSize val="0"/>
        </c:dLbl>
      </c:pivotFmt>
      <c:pivotFmt>
        <c:idx val="10"/>
        <c:spPr>
          <a:solidFill>
            <a:srgbClr val="C00000"/>
          </a:solidFill>
        </c:spPr>
        <c:marker>
          <c:symbol val="none"/>
        </c:marker>
        <c:dLbl>
          <c:idx val="0"/>
          <c:spPr/>
          <c:txPr>
            <a:bodyPr/>
            <a:lstStyle/>
            <a:p>
              <a:pPr>
                <a:defRPr/>
              </a:pPr>
              <a:endParaRPr lang="fr-FR"/>
            </a:p>
          </c:txPr>
          <c:showLegendKey val="0"/>
          <c:showVal val="1"/>
          <c:showCatName val="0"/>
          <c:showSerName val="0"/>
          <c:showPercent val="0"/>
          <c:showBubbleSize val="0"/>
        </c:dLbl>
      </c:pivotFmt>
      <c:pivotFmt>
        <c:idx val="11"/>
        <c:spPr>
          <a:solidFill>
            <a:schemeClr val="accent1"/>
          </a:solidFill>
        </c:spPr>
        <c:marker>
          <c:symbol val="none"/>
        </c:marker>
        <c:dLbl>
          <c:idx val="0"/>
          <c:spPr/>
          <c:txPr>
            <a:bodyPr/>
            <a:lstStyle/>
            <a:p>
              <a:pPr>
                <a:defRPr/>
              </a:pPr>
              <a:endParaRPr lang="fr-FR"/>
            </a:p>
          </c:txPr>
          <c:showLegendKey val="0"/>
          <c:showVal val="1"/>
          <c:showCatName val="0"/>
          <c:showSerName val="0"/>
          <c:showPercent val="0"/>
          <c:showBubbleSize val="0"/>
        </c:dLbl>
      </c:pivotFmt>
      <c:pivotFmt>
        <c:idx val="12"/>
        <c:dLbl>
          <c:idx val="0"/>
          <c:layout>
            <c:manualLayout>
              <c:x val="9.2378752886836026E-3"/>
              <c:y val="-8.8887895983494385E-17"/>
            </c:manualLayout>
          </c:layout>
          <c:showLegendKey val="0"/>
          <c:showVal val="1"/>
          <c:showCatName val="0"/>
          <c:showSerName val="0"/>
          <c:showPercent val="0"/>
          <c:showBubbleSize val="0"/>
        </c:dLbl>
      </c:pivotFmt>
      <c:pivotFmt>
        <c:idx val="13"/>
        <c:dLbl>
          <c:idx val="0"/>
          <c:layout>
            <c:manualLayout>
              <c:x val="9.2378752886836026E-3"/>
              <c:y val="0"/>
            </c:manualLayout>
          </c:layout>
          <c:showLegendKey val="0"/>
          <c:showVal val="1"/>
          <c:showCatName val="0"/>
          <c:showSerName val="0"/>
          <c:showPercent val="0"/>
          <c:showBubbleSize val="0"/>
        </c:dLbl>
      </c:pivotFmt>
      <c:pivotFmt>
        <c:idx val="14"/>
        <c:dLbl>
          <c:idx val="0"/>
          <c:layout>
            <c:manualLayout>
              <c:x val="1.5396458814472672E-2"/>
              <c:y val="0"/>
            </c:manualLayout>
          </c:layout>
          <c:showLegendKey val="0"/>
          <c:showVal val="1"/>
          <c:showCatName val="0"/>
          <c:showSerName val="0"/>
          <c:showPercent val="0"/>
          <c:showBubbleSize val="0"/>
        </c:dLbl>
      </c:pivotFmt>
      <c:pivotFmt>
        <c:idx val="15"/>
        <c:dLbl>
          <c:idx val="0"/>
          <c:layout>
            <c:manualLayout>
              <c:x val="1.8475750577367205E-2"/>
              <c:y val="0"/>
            </c:manualLayout>
          </c:layout>
          <c:showLegendKey val="0"/>
          <c:showVal val="1"/>
          <c:showCatName val="0"/>
          <c:showSerName val="0"/>
          <c:showPercent val="0"/>
          <c:showBubbleSize val="0"/>
        </c:dLbl>
      </c:pivotFmt>
      <c:pivotFmt>
        <c:idx val="16"/>
        <c:spPr>
          <a:solidFill>
            <a:srgbClr val="C00000"/>
          </a:solidFill>
        </c:spPr>
        <c:marker>
          <c:symbol val="none"/>
        </c:marker>
        <c:dLbl>
          <c:idx val="0"/>
          <c:spPr/>
          <c:txPr>
            <a:bodyPr/>
            <a:lstStyle/>
            <a:p>
              <a:pPr>
                <a:defRPr/>
              </a:pPr>
              <a:endParaRPr lang="fr-FR"/>
            </a:p>
          </c:txPr>
          <c:showLegendKey val="0"/>
          <c:showVal val="1"/>
          <c:showCatName val="0"/>
          <c:showSerName val="0"/>
          <c:showPercent val="0"/>
          <c:showBubbleSize val="0"/>
        </c:dLbl>
      </c:pivotFmt>
      <c:pivotFmt>
        <c:idx val="17"/>
        <c:spPr>
          <a:solidFill>
            <a:schemeClr val="accent1"/>
          </a:solidFill>
        </c:spPr>
        <c:marker>
          <c:symbol val="none"/>
        </c:marker>
        <c:dLbl>
          <c:idx val="0"/>
          <c:spPr/>
          <c:txPr>
            <a:bodyPr/>
            <a:lstStyle/>
            <a:p>
              <a:pPr>
                <a:defRPr/>
              </a:pPr>
              <a:endParaRPr lang="fr-FR"/>
            </a:p>
          </c:txPr>
          <c:showLegendKey val="0"/>
          <c:showVal val="1"/>
          <c:showCatName val="0"/>
          <c:showSerName val="0"/>
          <c:showPercent val="0"/>
          <c:showBubbleSize val="0"/>
        </c:dLbl>
      </c:pivotFmt>
      <c:pivotFmt>
        <c:idx val="18"/>
        <c:dLbl>
          <c:idx val="0"/>
          <c:layout>
            <c:manualLayout>
              <c:x val="9.2378752886836026E-3"/>
              <c:y val="-8.8887895983494385E-17"/>
            </c:manualLayout>
          </c:layout>
          <c:showLegendKey val="0"/>
          <c:showVal val="1"/>
          <c:showCatName val="0"/>
          <c:showSerName val="0"/>
          <c:showPercent val="0"/>
          <c:showBubbleSize val="0"/>
        </c:dLbl>
      </c:pivotFmt>
      <c:pivotFmt>
        <c:idx val="19"/>
        <c:dLbl>
          <c:idx val="0"/>
          <c:layout>
            <c:manualLayout>
              <c:x val="9.2378752886836026E-3"/>
              <c:y val="0"/>
            </c:manualLayout>
          </c:layout>
          <c:showLegendKey val="0"/>
          <c:showVal val="1"/>
          <c:showCatName val="0"/>
          <c:showSerName val="0"/>
          <c:showPercent val="0"/>
          <c:showBubbleSize val="0"/>
        </c:dLbl>
      </c:pivotFmt>
      <c:pivotFmt>
        <c:idx val="20"/>
        <c:dLbl>
          <c:idx val="0"/>
          <c:layout>
            <c:manualLayout>
              <c:x val="1.5396458814472672E-2"/>
              <c:y val="0"/>
            </c:manualLayout>
          </c:layout>
          <c:showLegendKey val="0"/>
          <c:showVal val="1"/>
          <c:showCatName val="0"/>
          <c:showSerName val="0"/>
          <c:showPercent val="0"/>
          <c:showBubbleSize val="0"/>
        </c:dLbl>
      </c:pivotFmt>
      <c:pivotFmt>
        <c:idx val="21"/>
        <c:dLbl>
          <c:idx val="0"/>
          <c:layout>
            <c:manualLayout>
              <c:x val="1.8475750577367205E-2"/>
              <c:y val="0"/>
            </c:manualLayout>
          </c:layout>
          <c:showLegendKey val="0"/>
          <c:showVal val="1"/>
          <c:showCatName val="0"/>
          <c:showSerName val="0"/>
          <c:showPercent val="0"/>
          <c:showBubbleSize val="0"/>
        </c:dLbl>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'priority by year'!$B$3:$B$4</c:f>
              <c:strCache>
                <c:ptCount val="1"/>
                <c:pt idx="0">
                  <c:v>Élevée</c:v>
                </c:pt>
              </c:strCache>
            </c:strRef>
          </c:tx>
          <c:spPr>
            <a:solidFill>
              <a:srgbClr val="C00000"/>
            </a:solidFill>
          </c:spPr>
          <c:invertIfNegative val="0"/>
          <c:cat>
            <c:strRef>
              <c:f>'priority by year'!$A$5:$A$11</c:f>
              <c:strCache>
                <c:ptCount val="6"/>
                <c:pt idx="0">
                  <c:v>2011</c:v>
                </c:pt>
                <c:pt idx="1">
                  <c:v>2013</c:v>
                </c:pt>
                <c:pt idx="2">
                  <c:v>2014</c:v>
                </c:pt>
                <c:pt idx="3">
                  <c:v>2015</c:v>
                </c:pt>
                <c:pt idx="4">
                  <c:v>2016</c:v>
                </c:pt>
                <c:pt idx="5">
                  <c:v>2017</c:v>
                </c:pt>
              </c:strCache>
            </c:strRef>
          </c:cat>
          <c:val>
            <c:numRef>
              <c:f>'priority by year'!$B$5:$B$11</c:f>
              <c:numCache>
                <c:formatCode>General</c:formatCode>
                <c:ptCount val="6"/>
                <c:pt idx="0">
                  <c:v>1</c:v>
                </c:pt>
                <c:pt idx="1">
                  <c:v>10</c:v>
                </c:pt>
                <c:pt idx="2">
                  <c:v>17</c:v>
                </c:pt>
                <c:pt idx="3">
                  <c:v>25</c:v>
                </c:pt>
                <c:pt idx="4">
                  <c:v>18</c:v>
                </c:pt>
                <c:pt idx="5">
                  <c:v>28</c:v>
                </c:pt>
              </c:numCache>
            </c:numRef>
          </c:val>
        </c:ser>
        <c:ser>
          <c:idx val="1"/>
          <c:order val="1"/>
          <c:tx>
            <c:strRef>
              <c:f>'priority by year'!$C$3:$C$4</c:f>
              <c:strCache>
                <c:ptCount val="1"/>
                <c:pt idx="0">
                  <c:v>Moyenne</c:v>
                </c:pt>
              </c:strCache>
            </c:strRef>
          </c:tx>
          <c:spPr>
            <a:solidFill>
              <a:schemeClr val="accent1"/>
            </a:solidFill>
          </c:spPr>
          <c:invertIfNegative val="0"/>
          <c:dLbls>
            <c:dLbl>
              <c:idx val="1"/>
              <c:layout>
                <c:manualLayout>
                  <c:x val="9.2378752886836026E-3"/>
                  <c:y val="-8.8887895983494385E-17"/>
                </c:manualLayout>
              </c:layout>
              <c:showLegendKey val="0"/>
              <c:showVal val="1"/>
              <c:showCatName val="0"/>
              <c:showSerName val="0"/>
              <c:showPercent val="0"/>
              <c:showBubbleSize val="0"/>
            </c:dLbl>
            <c:dLbl>
              <c:idx val="2"/>
              <c:layout>
                <c:manualLayout>
                  <c:x val="9.2378752886836026E-3"/>
                  <c:y val="0"/>
                </c:manualLayout>
              </c:layout>
              <c:showLegendKey val="0"/>
              <c:showVal val="1"/>
              <c:showCatName val="0"/>
              <c:showSerName val="0"/>
              <c:showPercent val="0"/>
              <c:showBubbleSize val="0"/>
            </c:dLbl>
            <c:dLbl>
              <c:idx val="3"/>
              <c:layout>
                <c:manualLayout>
                  <c:x val="1.5396458814472672E-2"/>
                  <c:y val="0"/>
                </c:manualLayout>
              </c:layout>
              <c:showLegendKey val="0"/>
              <c:showVal val="1"/>
              <c:showCatName val="0"/>
              <c:showSerName val="0"/>
              <c:showPercent val="0"/>
              <c:showBubbleSize val="0"/>
            </c:dLbl>
            <c:dLbl>
              <c:idx val="4"/>
              <c:layout>
                <c:manualLayout>
                  <c:x val="1.8475750577367205E-2"/>
                  <c:y val="0"/>
                </c:manualLayout>
              </c:layout>
              <c:showLegendKey val="0"/>
              <c:showVal val="1"/>
              <c:showCatName val="0"/>
              <c:showSerName val="0"/>
              <c:showPercent val="0"/>
              <c:showBubbleSize val="0"/>
            </c:dLbl>
            <c:txPr>
              <a:bodyPr/>
              <a:lstStyle/>
              <a:p>
                <a:pPr>
                  <a:defRPr/>
                </a:pPr>
                <a:endParaRPr lang="fr-FR"/>
              </a:p>
            </c:txPr>
            <c:showLegendKey val="0"/>
            <c:showVal val="1"/>
            <c:showCatName val="0"/>
            <c:showSerName val="0"/>
            <c:showPercent val="0"/>
            <c:showBubbleSize val="0"/>
            <c:showLeaderLines val="0"/>
          </c:dLbls>
          <c:cat>
            <c:strRef>
              <c:f>'priority by year'!$A$5:$A$11</c:f>
              <c:strCache>
                <c:ptCount val="6"/>
                <c:pt idx="0">
                  <c:v>2011</c:v>
                </c:pt>
                <c:pt idx="1">
                  <c:v>2013</c:v>
                </c:pt>
                <c:pt idx="2">
                  <c:v>2014</c:v>
                </c:pt>
                <c:pt idx="3">
                  <c:v>2015</c:v>
                </c:pt>
                <c:pt idx="4">
                  <c:v>2016</c:v>
                </c:pt>
                <c:pt idx="5">
                  <c:v>2017</c:v>
                </c:pt>
              </c:strCache>
            </c:strRef>
          </c:cat>
          <c:val>
            <c:numRef>
              <c:f>'priority by year'!$C$5:$C$11</c:f>
              <c:numCache>
                <c:formatCode>General</c:formatCode>
                <c:ptCount val="6"/>
                <c:pt idx="0">
                  <c:v>1</c:v>
                </c:pt>
                <c:pt idx="1">
                  <c:v>3</c:v>
                </c:pt>
                <c:pt idx="2">
                  <c:v>9</c:v>
                </c:pt>
                <c:pt idx="3">
                  <c:v>22</c:v>
                </c:pt>
                <c:pt idx="4">
                  <c:v>21</c:v>
                </c:pt>
                <c:pt idx="5">
                  <c:v>38</c:v>
                </c:pt>
              </c:numCache>
            </c:numRef>
          </c:val>
        </c:ser>
        <c:dLbls>
          <c:showLegendKey val="0"/>
          <c:showVal val="1"/>
          <c:showCatName val="0"/>
          <c:showSerName val="0"/>
          <c:showPercent val="0"/>
          <c:showBubbleSize val="0"/>
        </c:dLbls>
        <c:gapWidth val="150"/>
        <c:shape val="box"/>
        <c:axId val="251743616"/>
        <c:axId val="242311936"/>
        <c:axId val="0"/>
      </c:bar3DChart>
      <c:catAx>
        <c:axId val="251743616"/>
        <c:scaling>
          <c:orientation val="minMax"/>
        </c:scaling>
        <c:delete val="0"/>
        <c:axPos val="b"/>
        <c:majorTickMark val="out"/>
        <c:minorTickMark val="none"/>
        <c:tickLblPos val="nextTo"/>
        <c:crossAx val="242311936"/>
        <c:crosses val="autoZero"/>
        <c:auto val="1"/>
        <c:lblAlgn val="ctr"/>
        <c:lblOffset val="100"/>
        <c:noMultiLvlLbl val="0"/>
      </c:catAx>
      <c:valAx>
        <c:axId val="242311936"/>
        <c:scaling>
          <c:orientation val="minMax"/>
        </c:scaling>
        <c:delete val="0"/>
        <c:axPos val="l"/>
        <c:majorGridlines/>
        <c:numFmt formatCode="General" sourceLinked="1"/>
        <c:majorTickMark val="out"/>
        <c:minorTickMark val="none"/>
        <c:tickLblPos val="nextTo"/>
        <c:crossAx val="251743616"/>
        <c:crosses val="autoZero"/>
        <c:crossBetween val="between"/>
      </c:valAx>
    </c:plotArea>
    <c:legend>
      <c:legendPos val="r"/>
      <c:layout/>
      <c:overlay val="0"/>
    </c:legend>
    <c:plotVisOnly val="1"/>
    <c:dispBlanksAs val="gap"/>
    <c:showDLblsOverMax val="0"/>
  </c:chart>
  <c:spPr>
    <a:noFill/>
    <a:ln>
      <a:noFill/>
    </a:ln>
  </c:sp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[TeamCentral Analysis _June_30_2017.xlsx]by programs by priority!PivotTable5</c:name>
    <c:fmtId val="-1"/>
  </c:pivotSource>
  <c:chart>
    <c:autoTitleDeleted val="1"/>
    <c:pivotFmts>
      <c:pivotFmt>
        <c:idx val="0"/>
        <c:marker>
          <c:symbol val="none"/>
        </c:marker>
        <c:dLbl>
          <c:idx val="0"/>
          <c:spPr/>
          <c:txPr>
            <a:bodyPr/>
            <a:lstStyle/>
            <a:p>
              <a:pPr>
                <a:defRPr/>
              </a:pPr>
              <a:endParaRPr lang="fr-FR"/>
            </a:p>
          </c:txPr>
          <c:showLegendKey val="0"/>
          <c:showVal val="1"/>
          <c:showCatName val="0"/>
          <c:showSerName val="0"/>
          <c:showPercent val="0"/>
          <c:showBubbleSize val="0"/>
        </c:dLbl>
      </c:pivotFmt>
      <c:pivotFmt>
        <c:idx val="1"/>
      </c:pivotFmt>
      <c:pivotFmt>
        <c:idx val="2"/>
        <c:marker>
          <c:symbol val="none"/>
        </c:marker>
        <c:dLbl>
          <c:idx val="0"/>
          <c:spPr/>
          <c:txPr>
            <a:bodyPr/>
            <a:lstStyle/>
            <a:p>
              <a:pPr>
                <a:defRPr/>
              </a:pPr>
              <a:endParaRPr lang="fr-FR"/>
            </a:p>
          </c:txPr>
          <c:showLegendKey val="0"/>
          <c:showVal val="1"/>
          <c:showCatName val="0"/>
          <c:showSerName val="0"/>
          <c:showPercent val="0"/>
          <c:showBubbleSize val="0"/>
        </c:dLbl>
      </c:pivotFmt>
      <c:pivotFmt>
        <c:idx val="3"/>
        <c:marker>
          <c:symbol val="none"/>
        </c:marker>
        <c:dLbl>
          <c:idx val="0"/>
          <c:spPr/>
          <c:txPr>
            <a:bodyPr/>
            <a:lstStyle/>
            <a:p>
              <a:pPr>
                <a:defRPr/>
              </a:pPr>
              <a:endParaRPr lang="fr-FR"/>
            </a:p>
          </c:txPr>
          <c:showLegendKey val="0"/>
          <c:showVal val="1"/>
          <c:showCatName val="0"/>
          <c:showSerName val="0"/>
          <c:showPercent val="0"/>
          <c:showBubbleSize val="0"/>
        </c:dLbl>
      </c:pivotFmt>
      <c:pivotFmt>
        <c:idx val="4"/>
        <c:marker>
          <c:symbol val="none"/>
        </c:marker>
        <c:dLbl>
          <c:idx val="0"/>
          <c:spPr/>
          <c:txPr>
            <a:bodyPr/>
            <a:lstStyle/>
            <a:p>
              <a:pPr>
                <a:defRPr/>
              </a:pPr>
              <a:endParaRPr lang="fr-FR"/>
            </a:p>
          </c:txPr>
          <c:showLegendKey val="0"/>
          <c:showVal val="1"/>
          <c:showCatName val="0"/>
          <c:showSerName val="0"/>
          <c:showPercent val="0"/>
          <c:showBubbleSize val="0"/>
        </c:dLbl>
      </c:pivotFmt>
      <c:pivotFmt>
        <c:idx val="5"/>
        <c:marker>
          <c:symbol val="none"/>
        </c:marker>
        <c:dLbl>
          <c:idx val="0"/>
          <c:spPr/>
          <c:txPr>
            <a:bodyPr/>
            <a:lstStyle/>
            <a:p>
              <a:pPr>
                <a:defRPr/>
              </a:pPr>
              <a:endParaRPr lang="fr-FR"/>
            </a:p>
          </c:txPr>
          <c:showLegendKey val="0"/>
          <c:showVal val="1"/>
          <c:showCatName val="0"/>
          <c:showSerName val="0"/>
          <c:showPercent val="0"/>
          <c:showBubbleSize val="0"/>
        </c:dLbl>
      </c:pivotFmt>
      <c:pivotFmt>
        <c:idx val="6"/>
        <c:marker>
          <c:symbol val="none"/>
        </c:marker>
        <c:dLbl>
          <c:idx val="0"/>
          <c:spPr/>
          <c:txPr>
            <a:bodyPr/>
            <a:lstStyle/>
            <a:p>
              <a:pPr>
                <a:defRPr/>
              </a:pPr>
              <a:endParaRPr lang="fr-FR"/>
            </a:p>
          </c:txPr>
          <c:showLegendKey val="0"/>
          <c:showVal val="1"/>
          <c:showCatName val="0"/>
          <c:showSerName val="0"/>
          <c:showPercent val="0"/>
          <c:showBubbleSize val="0"/>
        </c:dLbl>
      </c:pivotFmt>
      <c:pivotFmt>
        <c:idx val="7"/>
        <c:marker>
          <c:symbol val="none"/>
        </c:marker>
      </c:pivotFmt>
      <c:pivotFmt>
        <c:idx val="8"/>
        <c:spPr>
          <a:solidFill>
            <a:srgbClr val="C00000"/>
          </a:solidFill>
        </c:spPr>
        <c:marker>
          <c:symbol val="none"/>
        </c:marker>
        <c:dLbl>
          <c:idx val="0"/>
          <c:spPr/>
          <c:txPr>
            <a:bodyPr/>
            <a:lstStyle/>
            <a:p>
              <a:pPr>
                <a:defRPr/>
              </a:pPr>
              <a:endParaRPr lang="fr-FR"/>
            </a:p>
          </c:txPr>
          <c:dLblPos val="outEnd"/>
          <c:showLegendKey val="0"/>
          <c:showVal val="1"/>
          <c:showCatName val="0"/>
          <c:showSerName val="0"/>
          <c:showPercent val="0"/>
          <c:showBubbleSize val="0"/>
        </c:dLbl>
      </c:pivotFmt>
      <c:pivotFmt>
        <c:idx val="9"/>
        <c:spPr>
          <a:solidFill>
            <a:schemeClr val="accent1"/>
          </a:solidFill>
        </c:spPr>
        <c:marker>
          <c:symbol val="none"/>
        </c:marker>
        <c:dLbl>
          <c:idx val="0"/>
          <c:dLblPos val="outEnd"/>
          <c:showLegendKey val="0"/>
          <c:showVal val="1"/>
          <c:showCatName val="0"/>
          <c:showSerName val="0"/>
          <c:showPercent val="0"/>
          <c:showBubbleSize val="0"/>
        </c:dLbl>
      </c:pivotFmt>
      <c:pivotFmt>
        <c:idx val="10"/>
        <c:spPr>
          <a:solidFill>
            <a:srgbClr val="C00000"/>
          </a:solidFill>
        </c:spPr>
        <c:marker>
          <c:symbol val="none"/>
        </c:marker>
        <c:dLbl>
          <c:idx val="0"/>
          <c:spPr/>
          <c:txPr>
            <a:bodyPr/>
            <a:lstStyle/>
            <a:p>
              <a:pPr>
                <a:defRPr/>
              </a:pPr>
              <a:endParaRPr lang="fr-FR"/>
            </a:p>
          </c:txPr>
          <c:dLblPos val="outEnd"/>
          <c:showLegendKey val="0"/>
          <c:showVal val="1"/>
          <c:showCatName val="0"/>
          <c:showSerName val="0"/>
          <c:showPercent val="0"/>
          <c:showBubbleSize val="0"/>
        </c:dLbl>
      </c:pivotFmt>
      <c:pivotFmt>
        <c:idx val="11"/>
        <c:spPr>
          <a:solidFill>
            <a:schemeClr val="accent1"/>
          </a:solidFill>
        </c:spPr>
        <c:marker>
          <c:symbol val="none"/>
        </c:marker>
        <c:dLbl>
          <c:idx val="0"/>
          <c:spPr/>
          <c:txPr>
            <a:bodyPr/>
            <a:lstStyle/>
            <a:p>
              <a:pPr>
                <a:defRPr/>
              </a:pPr>
              <a:endParaRPr lang="fr-FR"/>
            </a:p>
          </c:txPr>
          <c:dLblPos val="outEnd"/>
          <c:showLegendKey val="0"/>
          <c:showVal val="1"/>
          <c:showCatName val="0"/>
          <c:showSerName val="0"/>
          <c:showPercent val="0"/>
          <c:showBubbleSize val="0"/>
        </c:dLbl>
      </c:pivotFmt>
      <c:pivotFmt>
        <c:idx val="12"/>
        <c:spPr>
          <a:solidFill>
            <a:srgbClr val="C00000"/>
          </a:solidFill>
        </c:spPr>
        <c:marker>
          <c:symbol val="none"/>
        </c:marker>
        <c:dLbl>
          <c:idx val="0"/>
          <c:spPr/>
          <c:txPr>
            <a:bodyPr/>
            <a:lstStyle/>
            <a:p>
              <a:pPr>
                <a:defRPr/>
              </a:pPr>
              <a:endParaRPr lang="fr-FR"/>
            </a:p>
          </c:txPr>
          <c:dLblPos val="outEnd"/>
          <c:showLegendKey val="0"/>
          <c:showVal val="1"/>
          <c:showCatName val="0"/>
          <c:showSerName val="0"/>
          <c:showPercent val="0"/>
          <c:showBubbleSize val="0"/>
        </c:dLbl>
      </c:pivotFmt>
      <c:pivotFmt>
        <c:idx val="13"/>
        <c:spPr>
          <a:solidFill>
            <a:schemeClr val="accent1"/>
          </a:solidFill>
        </c:spPr>
        <c:marker>
          <c:symbol val="none"/>
        </c:marker>
        <c:dLbl>
          <c:idx val="0"/>
          <c:spPr/>
          <c:txPr>
            <a:bodyPr/>
            <a:lstStyle/>
            <a:p>
              <a:pPr>
                <a:defRPr/>
              </a:pPr>
              <a:endParaRPr lang="fr-FR"/>
            </a:p>
          </c:txPr>
          <c:dLblPos val="outEnd"/>
          <c:showLegendKey val="0"/>
          <c:showVal val="1"/>
          <c:showCatName val="0"/>
          <c:showSerName val="0"/>
          <c:showPercent val="0"/>
          <c:showBubbleSize val="0"/>
        </c:dLbl>
      </c:pivotFmt>
    </c:pivotFmts>
    <c:plotArea>
      <c:layout/>
      <c:barChart>
        <c:barDir val="col"/>
        <c:grouping val="clustered"/>
        <c:varyColors val="0"/>
        <c:ser>
          <c:idx val="0"/>
          <c:order val="0"/>
          <c:tx>
            <c:strRef>
              <c:f>'by programs by priority'!$B$3:$B$4</c:f>
              <c:strCache>
                <c:ptCount val="1"/>
                <c:pt idx="0">
                  <c:v>Élevée</c:v>
                </c:pt>
              </c:strCache>
            </c:strRef>
          </c:tx>
          <c:spPr>
            <a:solidFill>
              <a:srgbClr val="C00000"/>
            </a:solidFill>
          </c:spPr>
          <c:invertIfNegative val="0"/>
          <c:cat>
            <c:strRef>
              <c:f>'by programs by priority'!$A$5:$A$26</c:f>
              <c:strCache>
                <c:ptCount val="21"/>
                <c:pt idx="0">
                  <c:v>Programme 1</c:v>
                </c:pt>
                <c:pt idx="1">
                  <c:v>Programme 11</c:v>
                </c:pt>
                <c:pt idx="2">
                  <c:v>Programme 19</c:v>
                </c:pt>
                <c:pt idx="3">
                  <c:v>Programme 21</c:v>
                </c:pt>
                <c:pt idx="4">
                  <c:v>Programme 22</c:v>
                </c:pt>
                <c:pt idx="5">
                  <c:v>Programme 23</c:v>
                </c:pt>
                <c:pt idx="6">
                  <c:v>Programme 24</c:v>
                </c:pt>
                <c:pt idx="7">
                  <c:v>Programme 25</c:v>
                </c:pt>
                <c:pt idx="8">
                  <c:v>Programme 27</c:v>
                </c:pt>
                <c:pt idx="9">
                  <c:v>Programme 28</c:v>
                </c:pt>
                <c:pt idx="10">
                  <c:v>Programme 31</c:v>
                </c:pt>
                <c:pt idx="11">
                  <c:v>Programme 5</c:v>
                </c:pt>
                <c:pt idx="12">
                  <c:v>Programmes 6 et 31</c:v>
                </c:pt>
                <c:pt idx="13">
                  <c:v>Programme 9</c:v>
                </c:pt>
                <c:pt idx="14">
                  <c:v>Programme 30</c:v>
                </c:pt>
                <c:pt idx="15">
                  <c:v>Programme 3</c:v>
                </c:pt>
                <c:pt idx="16">
                  <c:v>Programme 15</c:v>
                </c:pt>
                <c:pt idx="17">
                  <c:v>Programme 6</c:v>
                </c:pt>
                <c:pt idx="18">
                  <c:v>Programme 13</c:v>
                </c:pt>
                <c:pt idx="19">
                  <c:v>Programme 7</c:v>
                </c:pt>
                <c:pt idx="20">
                  <c:v>Programme 12</c:v>
                </c:pt>
              </c:strCache>
            </c:strRef>
          </c:cat>
          <c:val>
            <c:numRef>
              <c:f>'by programs by priority'!$B$5:$B$26</c:f>
              <c:numCache>
                <c:formatCode>General</c:formatCode>
                <c:ptCount val="21"/>
                <c:pt idx="0">
                  <c:v>1</c:v>
                </c:pt>
                <c:pt idx="1">
                  <c:v>3</c:v>
                </c:pt>
                <c:pt idx="2">
                  <c:v>5</c:v>
                </c:pt>
                <c:pt idx="3">
                  <c:v>7</c:v>
                </c:pt>
                <c:pt idx="4">
                  <c:v>11</c:v>
                </c:pt>
                <c:pt idx="5">
                  <c:v>12</c:v>
                </c:pt>
                <c:pt idx="6">
                  <c:v>7</c:v>
                </c:pt>
                <c:pt idx="7">
                  <c:v>4</c:v>
                </c:pt>
                <c:pt idx="8">
                  <c:v>1</c:v>
                </c:pt>
                <c:pt idx="11">
                  <c:v>6</c:v>
                </c:pt>
                <c:pt idx="12">
                  <c:v>3</c:v>
                </c:pt>
                <c:pt idx="13">
                  <c:v>11</c:v>
                </c:pt>
                <c:pt idx="14">
                  <c:v>3</c:v>
                </c:pt>
                <c:pt idx="15">
                  <c:v>3</c:v>
                </c:pt>
                <c:pt idx="16">
                  <c:v>7</c:v>
                </c:pt>
                <c:pt idx="17">
                  <c:v>3</c:v>
                </c:pt>
                <c:pt idx="18">
                  <c:v>4</c:v>
                </c:pt>
                <c:pt idx="19">
                  <c:v>5</c:v>
                </c:pt>
                <c:pt idx="20">
                  <c:v>3</c:v>
                </c:pt>
              </c:numCache>
            </c:numRef>
          </c:val>
        </c:ser>
        <c:ser>
          <c:idx val="1"/>
          <c:order val="1"/>
          <c:tx>
            <c:strRef>
              <c:f>'by programs by priority'!$C$3:$C$4</c:f>
              <c:strCache>
                <c:ptCount val="1"/>
                <c:pt idx="0">
                  <c:v>Moyenne</c:v>
                </c:pt>
              </c:strCache>
            </c:strRef>
          </c:tx>
          <c:spPr>
            <a:solidFill>
              <a:schemeClr val="accent1"/>
            </a:solidFill>
          </c:spPr>
          <c:invertIfNegative val="0"/>
          <c:cat>
            <c:strRef>
              <c:f>'by programs by priority'!$A$5:$A$26</c:f>
              <c:strCache>
                <c:ptCount val="21"/>
                <c:pt idx="0">
                  <c:v>Programme 1</c:v>
                </c:pt>
                <c:pt idx="1">
                  <c:v>Programme 11</c:v>
                </c:pt>
                <c:pt idx="2">
                  <c:v>Programme 19</c:v>
                </c:pt>
                <c:pt idx="3">
                  <c:v>Programme 21</c:v>
                </c:pt>
                <c:pt idx="4">
                  <c:v>Programme 22</c:v>
                </c:pt>
                <c:pt idx="5">
                  <c:v>Programme 23</c:v>
                </c:pt>
                <c:pt idx="6">
                  <c:v>Programme 24</c:v>
                </c:pt>
                <c:pt idx="7">
                  <c:v>Programme 25</c:v>
                </c:pt>
                <c:pt idx="8">
                  <c:v>Programme 27</c:v>
                </c:pt>
                <c:pt idx="9">
                  <c:v>Programme 28</c:v>
                </c:pt>
                <c:pt idx="10">
                  <c:v>Programme 31</c:v>
                </c:pt>
                <c:pt idx="11">
                  <c:v>Programme 5</c:v>
                </c:pt>
                <c:pt idx="12">
                  <c:v>Programme 6&amp;31</c:v>
                </c:pt>
                <c:pt idx="13">
                  <c:v>Programme 9</c:v>
                </c:pt>
                <c:pt idx="14">
                  <c:v>Programme 30</c:v>
                </c:pt>
                <c:pt idx="15">
                  <c:v>Programme 3</c:v>
                </c:pt>
                <c:pt idx="16">
                  <c:v>Programme 15</c:v>
                </c:pt>
                <c:pt idx="17">
                  <c:v>Programme 6</c:v>
                </c:pt>
                <c:pt idx="18">
                  <c:v>Programme 13</c:v>
                </c:pt>
                <c:pt idx="19">
                  <c:v>Programme 7</c:v>
                </c:pt>
                <c:pt idx="20">
                  <c:v>Programme 12</c:v>
                </c:pt>
              </c:strCache>
            </c:strRef>
          </c:cat>
          <c:val>
            <c:numRef>
              <c:f>'by programs by priority'!$C$5:$C$26</c:f>
              <c:numCache>
                <c:formatCode>General</c:formatCode>
                <c:ptCount val="21"/>
                <c:pt idx="0">
                  <c:v>1</c:v>
                </c:pt>
                <c:pt idx="1">
                  <c:v>3</c:v>
                </c:pt>
                <c:pt idx="2">
                  <c:v>5</c:v>
                </c:pt>
                <c:pt idx="3">
                  <c:v>10</c:v>
                </c:pt>
                <c:pt idx="4">
                  <c:v>6</c:v>
                </c:pt>
                <c:pt idx="5">
                  <c:v>16</c:v>
                </c:pt>
                <c:pt idx="6">
                  <c:v>7</c:v>
                </c:pt>
                <c:pt idx="7">
                  <c:v>3</c:v>
                </c:pt>
                <c:pt idx="9">
                  <c:v>2</c:v>
                </c:pt>
                <c:pt idx="10">
                  <c:v>1</c:v>
                </c:pt>
                <c:pt idx="12">
                  <c:v>1</c:v>
                </c:pt>
                <c:pt idx="13">
                  <c:v>1</c:v>
                </c:pt>
                <c:pt idx="14">
                  <c:v>1</c:v>
                </c:pt>
                <c:pt idx="15">
                  <c:v>1</c:v>
                </c:pt>
                <c:pt idx="16">
                  <c:v>6</c:v>
                </c:pt>
                <c:pt idx="17">
                  <c:v>6</c:v>
                </c:pt>
                <c:pt idx="18">
                  <c:v>13</c:v>
                </c:pt>
                <c:pt idx="19">
                  <c:v>7</c:v>
                </c:pt>
                <c:pt idx="20">
                  <c:v>4</c:v>
                </c:pt>
              </c:numCache>
            </c:numRef>
          </c:val>
        </c:ser>
        <c:dLbls>
          <c:dLblPos val="outEnd"/>
          <c:showLegendKey val="0"/>
          <c:showVal val="1"/>
          <c:showCatName val="0"/>
          <c:showSerName val="0"/>
          <c:showPercent val="0"/>
          <c:showBubbleSize val="0"/>
        </c:dLbls>
        <c:gapWidth val="75"/>
        <c:axId val="29181824"/>
        <c:axId val="29183360"/>
      </c:barChart>
      <c:catAx>
        <c:axId val="29181824"/>
        <c:scaling>
          <c:orientation val="minMax"/>
        </c:scaling>
        <c:delete val="0"/>
        <c:axPos val="b"/>
        <c:majorGridlines/>
        <c:majorTickMark val="none"/>
        <c:minorTickMark val="none"/>
        <c:tickLblPos val="nextTo"/>
        <c:crossAx val="29183360"/>
        <c:crosses val="autoZero"/>
        <c:auto val="1"/>
        <c:lblAlgn val="ctr"/>
        <c:lblOffset val="100"/>
        <c:noMultiLvlLbl val="0"/>
      </c:catAx>
      <c:valAx>
        <c:axId val="29183360"/>
        <c:scaling>
          <c:orientation val="minMax"/>
        </c:scaling>
        <c:delete val="0"/>
        <c:axPos val="l"/>
        <c:majorGridlines/>
        <c:numFmt formatCode="General" sourceLinked="1"/>
        <c:majorTickMark val="none"/>
        <c:minorTickMark val="none"/>
        <c:tickLblPos val="nextTo"/>
        <c:crossAx val="29181824"/>
        <c:crosses val="autoZero"/>
        <c:crossBetween val="between"/>
      </c:valAx>
    </c:plotArea>
    <c:legend>
      <c:legendPos val="r"/>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E1D44-1165-4CE6-9BF9-84E159C6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6568</Words>
  <Characters>36705</Characters>
  <Application>Microsoft Office Word</Application>
  <DocSecurity>0</DocSecurity>
  <Lines>305</Lines>
  <Paragraphs>86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WO/GA/46/</vt:lpstr>
      <vt:lpstr>WO/GA/46/</vt:lpstr>
      <vt:lpstr>WO/GA/46/</vt:lpstr>
    </vt:vector>
  </TitlesOfParts>
  <Company>WIPO</Company>
  <LinksUpToDate>false</LinksUpToDate>
  <CharactersWithSpaces>43187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SCHWOB Lise</dc:creator>
  <cp:keywords>LC/cc</cp:keywords>
  <cp:lastModifiedBy>OLIVIÉ Karen</cp:lastModifiedBy>
  <cp:revision>7</cp:revision>
  <cp:lastPrinted>2017-07-17T13:02:00Z</cp:lastPrinted>
  <dcterms:created xsi:type="dcterms:W3CDTF">2017-08-02T12:08:00Z</dcterms:created>
  <dcterms:modified xsi:type="dcterms:W3CDTF">2017-08-02T12:33:00Z</dcterms:modified>
</cp:coreProperties>
</file>