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159C5" w:rsidRPr="003159C5" w:rsidTr="000618AA">
        <w:tc>
          <w:tcPr>
            <w:tcW w:w="4513" w:type="dxa"/>
            <w:tcBorders>
              <w:bottom w:val="single" w:sz="4" w:space="0" w:color="auto"/>
            </w:tcBorders>
            <w:tcMar>
              <w:bottom w:w="170" w:type="dxa"/>
            </w:tcMar>
          </w:tcPr>
          <w:p w:rsidR="000618AA" w:rsidRPr="003159C5" w:rsidRDefault="000618AA" w:rsidP="006D570C">
            <w:pPr>
              <w:rPr>
                <w:lang w:val="fr-FR"/>
              </w:rPr>
            </w:pPr>
          </w:p>
        </w:tc>
        <w:tc>
          <w:tcPr>
            <w:tcW w:w="4337" w:type="dxa"/>
            <w:tcBorders>
              <w:bottom w:val="single" w:sz="4" w:space="0" w:color="auto"/>
            </w:tcBorders>
            <w:tcMar>
              <w:left w:w="0" w:type="dxa"/>
              <w:right w:w="0" w:type="dxa"/>
            </w:tcMar>
          </w:tcPr>
          <w:p w:rsidR="000618AA" w:rsidRPr="003159C5" w:rsidRDefault="000618AA" w:rsidP="006D570C">
            <w:pPr>
              <w:rPr>
                <w:lang w:val="fr-FR"/>
              </w:rPr>
            </w:pPr>
            <w:r w:rsidRPr="003159C5">
              <w:rPr>
                <w:noProof/>
                <w:lang w:eastAsia="en-US"/>
              </w:rPr>
              <w:drawing>
                <wp:inline distT="0" distB="0" distL="0" distR="0" wp14:anchorId="39DDEA06" wp14:editId="1167A912">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0618AA" w:rsidRPr="003159C5" w:rsidRDefault="000618AA" w:rsidP="006D570C">
            <w:pPr>
              <w:jc w:val="right"/>
              <w:rPr>
                <w:lang w:val="fr-FR"/>
              </w:rPr>
            </w:pPr>
            <w:r w:rsidRPr="003159C5">
              <w:rPr>
                <w:b/>
                <w:sz w:val="40"/>
                <w:szCs w:val="40"/>
                <w:lang w:val="fr-FR"/>
              </w:rPr>
              <w:t>F</w:t>
            </w:r>
          </w:p>
        </w:tc>
      </w:tr>
      <w:tr w:rsidR="003159C5" w:rsidRPr="003159C5" w:rsidTr="00991F2A">
        <w:trPr>
          <w:trHeight w:hRule="exact" w:val="340"/>
        </w:trPr>
        <w:tc>
          <w:tcPr>
            <w:tcW w:w="9356" w:type="dxa"/>
            <w:gridSpan w:val="3"/>
            <w:tcBorders>
              <w:top w:val="single" w:sz="4" w:space="0" w:color="auto"/>
            </w:tcBorders>
            <w:tcMar>
              <w:top w:w="170" w:type="dxa"/>
              <w:left w:w="0" w:type="dxa"/>
              <w:right w:w="0" w:type="dxa"/>
            </w:tcMar>
            <w:vAlign w:val="bottom"/>
          </w:tcPr>
          <w:p w:rsidR="000618AA" w:rsidRPr="003159C5" w:rsidRDefault="000618AA" w:rsidP="00272B75">
            <w:pPr>
              <w:jc w:val="right"/>
              <w:rPr>
                <w:rFonts w:ascii="Arial Black" w:hAnsi="Arial Black"/>
                <w:caps/>
                <w:sz w:val="15"/>
                <w:lang w:val="fr-FR"/>
              </w:rPr>
            </w:pPr>
            <w:r w:rsidRPr="003159C5">
              <w:rPr>
                <w:rFonts w:ascii="Arial Black" w:hAnsi="Arial Black"/>
                <w:caps/>
                <w:sz w:val="15"/>
                <w:lang w:val="fr-FR"/>
              </w:rPr>
              <w:t>WO/GA/48/</w:t>
            </w:r>
            <w:bookmarkStart w:id="0" w:name="Code"/>
            <w:bookmarkEnd w:id="0"/>
            <w:r w:rsidRPr="003159C5">
              <w:rPr>
                <w:rFonts w:ascii="Arial Black" w:hAnsi="Arial Black"/>
                <w:caps/>
                <w:sz w:val="15"/>
                <w:lang w:val="fr-FR"/>
              </w:rPr>
              <w:t>12</w:t>
            </w:r>
            <w:r w:rsidR="00272B75">
              <w:rPr>
                <w:rFonts w:ascii="Arial Black" w:hAnsi="Arial Black"/>
                <w:caps/>
                <w:sz w:val="15"/>
                <w:lang w:val="fr-FR"/>
              </w:rPr>
              <w:t> Rev</w:t>
            </w:r>
            <w:r w:rsidR="0076445E">
              <w:rPr>
                <w:rFonts w:ascii="Arial Black" w:hAnsi="Arial Black"/>
                <w:caps/>
                <w:sz w:val="15"/>
                <w:lang w:val="fr-FR"/>
              </w:rPr>
              <w:t>.</w:t>
            </w:r>
            <w:r w:rsidRPr="003159C5">
              <w:rPr>
                <w:rFonts w:ascii="Arial Black" w:hAnsi="Arial Black"/>
                <w:caps/>
                <w:sz w:val="15"/>
                <w:lang w:val="fr-FR"/>
              </w:rPr>
              <w:t xml:space="preserve"> </w:t>
            </w:r>
          </w:p>
        </w:tc>
      </w:tr>
      <w:tr w:rsidR="003159C5" w:rsidRPr="003159C5" w:rsidTr="00991F2A">
        <w:trPr>
          <w:trHeight w:hRule="exact" w:val="170"/>
        </w:trPr>
        <w:tc>
          <w:tcPr>
            <w:tcW w:w="9356" w:type="dxa"/>
            <w:gridSpan w:val="3"/>
            <w:noWrap/>
            <w:tcMar>
              <w:left w:w="0" w:type="dxa"/>
              <w:right w:w="0" w:type="dxa"/>
            </w:tcMar>
            <w:vAlign w:val="bottom"/>
          </w:tcPr>
          <w:p w:rsidR="000618AA" w:rsidRPr="003159C5" w:rsidRDefault="000618AA" w:rsidP="006D570C">
            <w:pPr>
              <w:jc w:val="right"/>
              <w:rPr>
                <w:rFonts w:ascii="Arial Black" w:hAnsi="Arial Black"/>
                <w:caps/>
                <w:sz w:val="15"/>
                <w:lang w:val="fr-FR"/>
              </w:rPr>
            </w:pPr>
            <w:r w:rsidRPr="003159C5">
              <w:rPr>
                <w:rFonts w:ascii="Arial Black" w:hAnsi="Arial Black"/>
                <w:caps/>
                <w:sz w:val="15"/>
                <w:lang w:val="fr-FR"/>
              </w:rPr>
              <w:t>ORIGINAL</w:t>
            </w:r>
            <w:r w:rsidR="0067439A" w:rsidRPr="003159C5">
              <w:rPr>
                <w:rFonts w:ascii="Arial Black" w:hAnsi="Arial Black"/>
                <w:caps/>
                <w:sz w:val="15"/>
                <w:lang w:val="fr-FR"/>
              </w:rPr>
              <w:t> </w:t>
            </w:r>
            <w:r w:rsidRPr="003159C5">
              <w:rPr>
                <w:rFonts w:ascii="Arial Black" w:hAnsi="Arial Black"/>
                <w:caps/>
                <w:sz w:val="15"/>
                <w:lang w:val="fr-FR"/>
              </w:rPr>
              <w:t xml:space="preserve">: </w:t>
            </w:r>
            <w:bookmarkStart w:id="1" w:name="Original"/>
            <w:bookmarkEnd w:id="1"/>
            <w:r w:rsidRPr="003159C5">
              <w:rPr>
                <w:rFonts w:ascii="Arial Black" w:hAnsi="Arial Black"/>
                <w:caps/>
                <w:sz w:val="15"/>
                <w:lang w:val="fr-FR"/>
              </w:rPr>
              <w:t>anglais</w:t>
            </w:r>
          </w:p>
        </w:tc>
      </w:tr>
      <w:tr w:rsidR="000618AA" w:rsidRPr="003159C5" w:rsidTr="00991F2A">
        <w:trPr>
          <w:trHeight w:hRule="exact" w:val="198"/>
        </w:trPr>
        <w:tc>
          <w:tcPr>
            <w:tcW w:w="9356" w:type="dxa"/>
            <w:gridSpan w:val="3"/>
            <w:tcMar>
              <w:left w:w="0" w:type="dxa"/>
              <w:right w:w="0" w:type="dxa"/>
            </w:tcMar>
            <w:vAlign w:val="bottom"/>
          </w:tcPr>
          <w:p w:rsidR="000618AA" w:rsidRPr="003159C5" w:rsidRDefault="000618AA" w:rsidP="00570479">
            <w:pPr>
              <w:jc w:val="right"/>
              <w:rPr>
                <w:rFonts w:ascii="Arial Black" w:hAnsi="Arial Black"/>
                <w:caps/>
                <w:sz w:val="15"/>
                <w:lang w:val="fr-FR"/>
              </w:rPr>
            </w:pPr>
            <w:r w:rsidRPr="003159C5">
              <w:rPr>
                <w:rFonts w:ascii="Arial Black" w:hAnsi="Arial Black"/>
                <w:caps/>
                <w:sz w:val="15"/>
                <w:lang w:val="fr-FR"/>
              </w:rPr>
              <w:t>DATE</w:t>
            </w:r>
            <w:r w:rsidR="0067439A" w:rsidRPr="003159C5">
              <w:rPr>
                <w:rFonts w:ascii="Arial Black" w:hAnsi="Arial Black"/>
                <w:caps/>
                <w:sz w:val="15"/>
                <w:lang w:val="fr-FR"/>
              </w:rPr>
              <w:t> </w:t>
            </w:r>
            <w:r w:rsidRPr="003159C5">
              <w:rPr>
                <w:rFonts w:ascii="Arial Black" w:hAnsi="Arial Black"/>
                <w:caps/>
                <w:sz w:val="15"/>
                <w:lang w:val="fr-FR"/>
              </w:rPr>
              <w:t xml:space="preserve">: </w:t>
            </w:r>
            <w:bookmarkStart w:id="2" w:name="Date"/>
            <w:bookmarkEnd w:id="2"/>
            <w:r w:rsidR="00570479">
              <w:rPr>
                <w:rFonts w:ascii="Arial Black" w:hAnsi="Arial Black"/>
                <w:caps/>
                <w:sz w:val="15"/>
                <w:lang w:val="fr-FR"/>
              </w:rPr>
              <w:t>9</w:t>
            </w:r>
            <w:r w:rsidRPr="003159C5">
              <w:rPr>
                <w:rFonts w:ascii="Arial Black" w:hAnsi="Arial Black"/>
                <w:caps/>
                <w:sz w:val="15"/>
                <w:lang w:val="fr-FR"/>
              </w:rPr>
              <w:t> </w:t>
            </w:r>
            <w:r w:rsidR="0076445E">
              <w:rPr>
                <w:rFonts w:ascii="Arial Black" w:hAnsi="Arial Black"/>
                <w:caps/>
                <w:sz w:val="15"/>
                <w:lang w:val="fr-FR"/>
              </w:rPr>
              <w:t>septembre</w:t>
            </w:r>
            <w:r w:rsidRPr="003159C5">
              <w:rPr>
                <w:rFonts w:ascii="Arial Black" w:hAnsi="Arial Black"/>
                <w:caps/>
                <w:sz w:val="15"/>
                <w:lang w:val="fr-FR"/>
              </w:rPr>
              <w:t> 2016</w:t>
            </w:r>
          </w:p>
        </w:tc>
      </w:tr>
    </w:tbl>
    <w:p w:rsidR="000618AA" w:rsidRPr="003159C5" w:rsidRDefault="000618AA" w:rsidP="006D570C">
      <w:pPr>
        <w:rPr>
          <w:lang w:val="fr-FR"/>
        </w:rPr>
      </w:pPr>
    </w:p>
    <w:p w:rsidR="000618AA" w:rsidRPr="003159C5" w:rsidRDefault="000618AA" w:rsidP="006D570C">
      <w:pPr>
        <w:rPr>
          <w:lang w:val="fr-FR"/>
        </w:rPr>
      </w:pPr>
    </w:p>
    <w:p w:rsidR="000618AA" w:rsidRPr="003159C5" w:rsidRDefault="000618AA" w:rsidP="006D570C">
      <w:pPr>
        <w:rPr>
          <w:lang w:val="fr-FR"/>
        </w:rPr>
      </w:pPr>
    </w:p>
    <w:p w:rsidR="000618AA" w:rsidRPr="003159C5" w:rsidRDefault="000618AA" w:rsidP="006D570C">
      <w:pPr>
        <w:rPr>
          <w:lang w:val="fr-FR"/>
        </w:rPr>
      </w:pPr>
    </w:p>
    <w:p w:rsidR="000618AA" w:rsidRPr="003159C5" w:rsidRDefault="000618AA" w:rsidP="006D570C">
      <w:pPr>
        <w:rPr>
          <w:lang w:val="fr-FR"/>
        </w:rPr>
      </w:pPr>
    </w:p>
    <w:p w:rsidR="000618AA" w:rsidRPr="003159C5" w:rsidRDefault="000618AA" w:rsidP="006D570C">
      <w:pPr>
        <w:rPr>
          <w:lang w:val="fr-FR"/>
        </w:rPr>
      </w:pPr>
      <w:r w:rsidRPr="003159C5">
        <w:rPr>
          <w:b/>
          <w:sz w:val="28"/>
          <w:szCs w:val="28"/>
          <w:lang w:val="fr-FR"/>
        </w:rPr>
        <w:t>Assemblée générale de l’OMPI</w:t>
      </w:r>
    </w:p>
    <w:p w:rsidR="000618AA" w:rsidRDefault="000618AA" w:rsidP="006D570C">
      <w:pPr>
        <w:rPr>
          <w:lang w:val="fr-FR"/>
        </w:rPr>
      </w:pPr>
    </w:p>
    <w:p w:rsidR="00272B75" w:rsidRPr="003159C5" w:rsidRDefault="00272B75" w:rsidP="006D570C">
      <w:pPr>
        <w:rPr>
          <w:lang w:val="fr-FR"/>
        </w:rPr>
      </w:pPr>
    </w:p>
    <w:p w:rsidR="000618AA" w:rsidRPr="003159C5" w:rsidRDefault="000618AA" w:rsidP="006D570C">
      <w:pPr>
        <w:rPr>
          <w:b/>
          <w:sz w:val="24"/>
          <w:szCs w:val="24"/>
          <w:lang w:val="fr-FR"/>
        </w:rPr>
      </w:pPr>
      <w:r w:rsidRPr="003159C5">
        <w:rPr>
          <w:b/>
          <w:sz w:val="24"/>
          <w:szCs w:val="24"/>
          <w:lang w:val="fr-FR"/>
        </w:rPr>
        <w:t>Quarante</w:t>
      </w:r>
      <w:r w:rsidR="00AF611F">
        <w:rPr>
          <w:b/>
          <w:sz w:val="24"/>
          <w:szCs w:val="24"/>
          <w:lang w:val="fr-FR"/>
        </w:rPr>
        <w:t>-</w:t>
      </w:r>
      <w:r w:rsidRPr="003159C5">
        <w:rPr>
          <w:b/>
          <w:sz w:val="24"/>
          <w:szCs w:val="24"/>
          <w:lang w:val="fr-FR"/>
        </w:rPr>
        <w:t>huitième</w:t>
      </w:r>
      <w:r w:rsidR="0067439A" w:rsidRPr="003159C5">
        <w:rPr>
          <w:b/>
          <w:sz w:val="24"/>
          <w:szCs w:val="24"/>
          <w:lang w:val="fr-FR"/>
        </w:rPr>
        <w:t> </w:t>
      </w:r>
      <w:r w:rsidRPr="003159C5">
        <w:rPr>
          <w:b/>
          <w:sz w:val="24"/>
          <w:szCs w:val="24"/>
          <w:lang w:val="fr-FR"/>
        </w:rPr>
        <w:t>session (26</w:t>
      </w:r>
      <w:r w:rsidRPr="003159C5">
        <w:rPr>
          <w:b/>
          <w:sz w:val="24"/>
          <w:szCs w:val="24"/>
          <w:vertAlign w:val="superscript"/>
          <w:lang w:val="fr-FR"/>
        </w:rPr>
        <w:t>e</w:t>
      </w:r>
      <w:r w:rsidR="00C805BC">
        <w:rPr>
          <w:b/>
          <w:sz w:val="24"/>
          <w:szCs w:val="24"/>
          <w:lang w:val="fr-FR"/>
        </w:rPr>
        <w:t> </w:t>
      </w:r>
      <w:r w:rsidRPr="003159C5">
        <w:rPr>
          <w:b/>
          <w:sz w:val="24"/>
          <w:szCs w:val="24"/>
          <w:lang w:val="fr-FR"/>
        </w:rPr>
        <w:t>session extraordinaire)</w:t>
      </w:r>
    </w:p>
    <w:p w:rsidR="000618AA" w:rsidRPr="003159C5" w:rsidRDefault="000618AA" w:rsidP="006D570C">
      <w:pPr>
        <w:rPr>
          <w:b/>
          <w:sz w:val="24"/>
          <w:szCs w:val="24"/>
          <w:lang w:val="fr-FR"/>
        </w:rPr>
      </w:pPr>
      <w:r w:rsidRPr="003159C5">
        <w:rPr>
          <w:b/>
          <w:sz w:val="24"/>
          <w:szCs w:val="24"/>
          <w:lang w:val="fr-FR"/>
        </w:rPr>
        <w:t>Genève, 3 – 11 octobre 2016</w:t>
      </w:r>
    </w:p>
    <w:p w:rsidR="000618AA" w:rsidRPr="003159C5" w:rsidRDefault="000618AA" w:rsidP="006D570C">
      <w:pPr>
        <w:rPr>
          <w:lang w:val="fr-FR"/>
        </w:rPr>
      </w:pPr>
    </w:p>
    <w:p w:rsidR="000618AA" w:rsidRPr="003159C5" w:rsidRDefault="000618AA" w:rsidP="006D570C">
      <w:pPr>
        <w:rPr>
          <w:lang w:val="fr-FR"/>
        </w:rPr>
      </w:pPr>
    </w:p>
    <w:p w:rsidR="000618AA" w:rsidRPr="003159C5" w:rsidRDefault="000618AA" w:rsidP="006D570C">
      <w:pPr>
        <w:rPr>
          <w:lang w:val="fr-FR"/>
        </w:rPr>
      </w:pPr>
    </w:p>
    <w:p w:rsidR="00994782" w:rsidRPr="003159C5" w:rsidRDefault="003159C5" w:rsidP="006D570C">
      <w:pPr>
        <w:rPr>
          <w:caps/>
          <w:sz w:val="24"/>
          <w:lang w:val="fr-FR"/>
        </w:rPr>
      </w:pPr>
      <w:r w:rsidRPr="003159C5">
        <w:rPr>
          <w:caps/>
          <w:sz w:val="24"/>
          <w:lang w:val="fr-FR"/>
        </w:rPr>
        <w:t>Centre d’arbitrage et de médiation de l’OMPI, y compris les noms de domaine</w:t>
      </w:r>
    </w:p>
    <w:p w:rsidR="00994782" w:rsidRPr="003159C5" w:rsidRDefault="00994782" w:rsidP="006D570C">
      <w:pPr>
        <w:rPr>
          <w:lang w:val="fr-FR"/>
        </w:rPr>
      </w:pPr>
    </w:p>
    <w:p w:rsidR="00994782" w:rsidRPr="003159C5" w:rsidRDefault="00FD32F2" w:rsidP="006D570C">
      <w:pPr>
        <w:rPr>
          <w:i/>
          <w:lang w:val="fr-FR"/>
        </w:rPr>
      </w:pPr>
      <w:bookmarkStart w:id="3" w:name="Prepared"/>
      <w:bookmarkEnd w:id="3"/>
      <w:r w:rsidRPr="003159C5">
        <w:rPr>
          <w:i/>
          <w:lang w:val="fr-FR"/>
        </w:rPr>
        <w:t>Document établi par le Secrétariat</w:t>
      </w:r>
    </w:p>
    <w:p w:rsidR="00994782" w:rsidRPr="003159C5" w:rsidRDefault="00994782" w:rsidP="006D570C">
      <w:pPr>
        <w:rPr>
          <w:lang w:val="fr-FR"/>
        </w:rPr>
      </w:pPr>
    </w:p>
    <w:p w:rsidR="00994782" w:rsidRPr="003159C5" w:rsidRDefault="00994782" w:rsidP="006D570C">
      <w:pPr>
        <w:rPr>
          <w:lang w:val="fr-FR"/>
        </w:rPr>
      </w:pPr>
    </w:p>
    <w:p w:rsidR="00994782" w:rsidRPr="003159C5" w:rsidRDefault="00994782" w:rsidP="006D570C">
      <w:pPr>
        <w:rPr>
          <w:lang w:val="fr-FR"/>
        </w:rPr>
      </w:pPr>
    </w:p>
    <w:p w:rsidR="00994782" w:rsidRPr="003159C5" w:rsidRDefault="00994782" w:rsidP="006D570C">
      <w:pPr>
        <w:rPr>
          <w:lang w:val="fr-FR"/>
        </w:rPr>
      </w:pPr>
    </w:p>
    <w:p w:rsidR="003159C5" w:rsidRPr="003159C5" w:rsidRDefault="00FD32F2" w:rsidP="006D570C">
      <w:pPr>
        <w:pStyle w:val="ONUMFS"/>
        <w:rPr>
          <w:snapToGrid w:val="0"/>
          <w:lang w:val="fr-FR"/>
        </w:rPr>
      </w:pPr>
      <w:r w:rsidRPr="003159C5">
        <w:rPr>
          <w:snapToGrid w:val="0"/>
          <w:lang w:val="fr-FR"/>
        </w:rPr>
        <w:t>Le présent document fait le point sur les activités du Centre d</w:t>
      </w:r>
      <w:r w:rsidR="000618AA" w:rsidRPr="003159C5">
        <w:rPr>
          <w:snapToGrid w:val="0"/>
          <w:lang w:val="fr-FR"/>
        </w:rPr>
        <w:t>’</w:t>
      </w:r>
      <w:r w:rsidRPr="003159C5">
        <w:rPr>
          <w:snapToGrid w:val="0"/>
          <w:lang w:val="fr-FR"/>
        </w:rPr>
        <w:t>arbitrage et de médiation de l</w:t>
      </w:r>
      <w:r w:rsidR="000618AA" w:rsidRPr="003159C5">
        <w:rPr>
          <w:snapToGrid w:val="0"/>
          <w:lang w:val="fr-FR"/>
        </w:rPr>
        <w:t>’</w:t>
      </w:r>
      <w:r w:rsidRPr="003159C5">
        <w:rPr>
          <w:snapToGrid w:val="0"/>
          <w:lang w:val="fr-FR"/>
        </w:rPr>
        <w:t>OMPI (ci</w:t>
      </w:r>
      <w:r w:rsidR="003159C5" w:rsidRPr="003159C5">
        <w:rPr>
          <w:snapToGrid w:val="0"/>
          <w:lang w:val="fr-FR"/>
        </w:rPr>
        <w:noBreakHyphen/>
      </w:r>
      <w:r w:rsidRPr="003159C5">
        <w:rPr>
          <w:snapToGrid w:val="0"/>
          <w:lang w:val="fr-FR"/>
        </w:rPr>
        <w:t>après dénommé “Centre”) en tant que prestataire international de services extrajudiciaires rapides et économiques de règlement des litiges de propriété intellectuelle, proposant à la fois des services d</w:t>
      </w:r>
      <w:r w:rsidR="000618AA" w:rsidRPr="003159C5">
        <w:rPr>
          <w:snapToGrid w:val="0"/>
          <w:lang w:val="fr-FR"/>
        </w:rPr>
        <w:t>’</w:t>
      </w:r>
      <w:r w:rsidRPr="003159C5">
        <w:rPr>
          <w:snapToGrid w:val="0"/>
          <w:lang w:val="fr-FR"/>
        </w:rPr>
        <w:t>administration de litiges et des services d</w:t>
      </w:r>
      <w:r w:rsidR="000618AA" w:rsidRPr="003159C5">
        <w:rPr>
          <w:snapToGrid w:val="0"/>
          <w:lang w:val="fr-FR"/>
        </w:rPr>
        <w:t>’</w:t>
      </w:r>
      <w:r w:rsidRPr="003159C5">
        <w:rPr>
          <w:snapToGrid w:val="0"/>
          <w:lang w:val="fr-FR"/>
        </w:rPr>
        <w:t>expertise juridique et d</w:t>
      </w:r>
      <w:r w:rsidR="000618AA" w:rsidRPr="003159C5">
        <w:rPr>
          <w:snapToGrid w:val="0"/>
          <w:lang w:val="fr-FR"/>
        </w:rPr>
        <w:t>’</w:t>
      </w:r>
      <w:r w:rsidRPr="003159C5">
        <w:rPr>
          <w:snapToGrid w:val="0"/>
          <w:lang w:val="fr-FR"/>
        </w:rPr>
        <w:t>organisation en matière de modes extrajudiciaires de règlement des litiges.</w:t>
      </w:r>
    </w:p>
    <w:p w:rsidR="003159C5" w:rsidRPr="003159C5" w:rsidRDefault="00FD32F2" w:rsidP="006D570C">
      <w:pPr>
        <w:pStyle w:val="ONUMFS"/>
        <w:rPr>
          <w:rStyle w:val="ONUMEChar"/>
          <w:lang w:val="fr-FR"/>
        </w:rPr>
      </w:pPr>
      <w:r w:rsidRPr="003159C5">
        <w:rPr>
          <w:rStyle w:val="ONUMEChar"/>
          <w:szCs w:val="22"/>
          <w:lang w:val="fr-FR"/>
        </w:rPr>
        <w:t>Il contient également des informations actualisées sur les activités de l</w:t>
      </w:r>
      <w:r w:rsidR="000618AA" w:rsidRPr="003159C5">
        <w:rPr>
          <w:rStyle w:val="ONUMEChar"/>
          <w:szCs w:val="22"/>
          <w:lang w:val="fr-FR"/>
        </w:rPr>
        <w:t>’</w:t>
      </w:r>
      <w:r w:rsidRPr="003159C5">
        <w:rPr>
          <w:rStyle w:val="ONUMEChar"/>
          <w:szCs w:val="22"/>
          <w:lang w:val="fr-FR"/>
        </w:rPr>
        <w:t>OMPI relatives aux noms de domaine dont il a précédemment été rendu compte dans le document WO/GA/47/14</w:t>
      </w:r>
      <w:r w:rsidRPr="003159C5">
        <w:rPr>
          <w:rStyle w:val="FootnoteReference"/>
          <w:szCs w:val="22"/>
          <w:lang w:val="fr-FR"/>
        </w:rPr>
        <w:footnoteReference w:id="2"/>
      </w:r>
      <w:r w:rsidRPr="003159C5">
        <w:rPr>
          <w:rStyle w:val="ONUMEChar"/>
          <w:szCs w:val="22"/>
          <w:lang w:val="fr-FR"/>
        </w:rPr>
        <w:t>.</w:t>
      </w:r>
      <w:r w:rsidR="00796EAB" w:rsidRPr="003159C5">
        <w:rPr>
          <w:rStyle w:val="ONUMEChar"/>
          <w:szCs w:val="22"/>
          <w:lang w:val="fr-FR"/>
        </w:rPr>
        <w:t xml:space="preserve">  </w:t>
      </w:r>
      <w:r w:rsidRPr="003159C5">
        <w:rPr>
          <w:rStyle w:val="ONUMEChar"/>
          <w:szCs w:val="22"/>
          <w:lang w:val="fr-FR"/>
        </w:rPr>
        <w:t>Il traite des litiges relatifs aux noms de domaine administrés par le Centre en vertu des différents principes directeurs et des aspects connexes du système des noms de domaine de l</w:t>
      </w:r>
      <w:r w:rsidR="000618AA" w:rsidRPr="003159C5">
        <w:rPr>
          <w:rStyle w:val="ONUMEChar"/>
          <w:szCs w:val="22"/>
          <w:lang w:val="fr-FR"/>
        </w:rPr>
        <w:t>’</w:t>
      </w:r>
      <w:r w:rsidRPr="003159C5">
        <w:rPr>
          <w:rStyle w:val="ONUMEChar"/>
          <w:szCs w:val="22"/>
          <w:lang w:val="fr-FR"/>
        </w:rPr>
        <w:t>Internet (DNS), ainsi que de certains faits de politique générale, en particulier les mécanismes de protection des droits pour l</w:t>
      </w:r>
      <w:r w:rsidR="000618AA" w:rsidRPr="003159C5">
        <w:rPr>
          <w:rStyle w:val="ONUMEChar"/>
          <w:szCs w:val="22"/>
          <w:lang w:val="fr-FR"/>
        </w:rPr>
        <w:t>’</w:t>
      </w:r>
      <w:r w:rsidRPr="003159C5">
        <w:rPr>
          <w:rStyle w:val="ONUMEChar"/>
          <w:szCs w:val="22"/>
          <w:lang w:val="fr-FR"/>
        </w:rPr>
        <w:t>introduction de nouveaux domaines génériques de premier niveau (gTLD), l</w:t>
      </w:r>
      <w:r w:rsidR="000618AA" w:rsidRPr="003159C5">
        <w:rPr>
          <w:rStyle w:val="ONUMEChar"/>
          <w:szCs w:val="22"/>
          <w:lang w:val="fr-FR"/>
        </w:rPr>
        <w:t>’</w:t>
      </w:r>
      <w:r w:rsidRPr="003159C5">
        <w:rPr>
          <w:rStyle w:val="ONUMEChar"/>
          <w:szCs w:val="22"/>
          <w:lang w:val="fr-FR"/>
        </w:rPr>
        <w:t>émergence des noms de domaine internationalisés dans les gTLD, la future révision par l</w:t>
      </w:r>
      <w:r w:rsidR="000618AA" w:rsidRPr="003159C5">
        <w:rPr>
          <w:rStyle w:val="ONUMEChar"/>
          <w:szCs w:val="22"/>
          <w:lang w:val="fr-FR"/>
        </w:rPr>
        <w:t>’</w:t>
      </w:r>
      <w:r w:rsidRPr="003159C5">
        <w:rPr>
          <w:rStyle w:val="ONUMEChar"/>
          <w:szCs w:val="22"/>
          <w:lang w:val="fr-FR"/>
        </w:rPr>
        <w:t>Internet Corporation for Assigned Names and Numbers (ICANN) des Principes directeurs concernant le règlement uniforme des litiges relatifs</w:t>
      </w:r>
      <w:r w:rsidR="006D570C">
        <w:rPr>
          <w:rStyle w:val="ONUMEChar"/>
          <w:szCs w:val="22"/>
          <w:lang w:val="fr-FR"/>
        </w:rPr>
        <w:t xml:space="preserve"> aux noms de domaine (principes UDRP</w:t>
      </w:r>
      <w:r w:rsidRPr="003159C5">
        <w:rPr>
          <w:rStyle w:val="ONUMEChar"/>
          <w:szCs w:val="22"/>
          <w:lang w:val="fr-FR"/>
        </w:rPr>
        <w:t>) et la suite donnée aux recommandations faites par les États membres de l</w:t>
      </w:r>
      <w:r w:rsidR="000618AA" w:rsidRPr="003159C5">
        <w:rPr>
          <w:rStyle w:val="ONUMEChar"/>
          <w:szCs w:val="22"/>
          <w:lang w:val="fr-FR"/>
        </w:rPr>
        <w:t>’</w:t>
      </w:r>
      <w:r w:rsidRPr="003159C5">
        <w:rPr>
          <w:rStyle w:val="ONUMEChar"/>
          <w:szCs w:val="22"/>
          <w:lang w:val="fr-FR"/>
        </w:rPr>
        <w:t>OMPI dans le contexte du deuxième processus de consultations de l</w:t>
      </w:r>
      <w:r w:rsidR="000618AA" w:rsidRPr="003159C5">
        <w:rPr>
          <w:rStyle w:val="ONUMEChar"/>
          <w:szCs w:val="22"/>
          <w:lang w:val="fr-FR"/>
        </w:rPr>
        <w:t>’</w:t>
      </w:r>
      <w:r w:rsidRPr="003159C5">
        <w:rPr>
          <w:rStyle w:val="ONUMEChar"/>
          <w:szCs w:val="22"/>
          <w:lang w:val="fr-FR"/>
        </w:rPr>
        <w:t>OMPI sur les noms de domaine de l</w:t>
      </w:r>
      <w:r w:rsidR="000618AA" w:rsidRPr="003159C5">
        <w:rPr>
          <w:rStyle w:val="ONUMEChar"/>
          <w:szCs w:val="22"/>
          <w:lang w:val="fr-FR"/>
        </w:rPr>
        <w:t>’</w:t>
      </w:r>
      <w:r w:rsidRPr="003159C5">
        <w:rPr>
          <w:rStyle w:val="ONUMEChar"/>
          <w:szCs w:val="22"/>
          <w:lang w:val="fr-FR"/>
        </w:rPr>
        <w:t>Internet.</w:t>
      </w:r>
    </w:p>
    <w:p w:rsidR="003159C5" w:rsidRPr="003159C5" w:rsidRDefault="00FD32F2" w:rsidP="006D570C">
      <w:pPr>
        <w:pStyle w:val="Heading1"/>
        <w:keepLines/>
      </w:pPr>
      <w:r w:rsidRPr="003159C5">
        <w:lastRenderedPageBreak/>
        <w:t>Arbitrage et médiation des litiges de propriété intellectuelle</w:t>
      </w:r>
    </w:p>
    <w:p w:rsidR="003159C5" w:rsidRPr="003159C5" w:rsidRDefault="003159C5" w:rsidP="006D570C">
      <w:pPr>
        <w:pStyle w:val="Heading2"/>
        <w:keepLines/>
      </w:pPr>
      <w:r w:rsidRPr="003159C5">
        <w:t>Administration des procédures d’arbitrage et de médiation</w:t>
      </w:r>
    </w:p>
    <w:p w:rsidR="003159C5" w:rsidRPr="003159C5" w:rsidRDefault="003159C5" w:rsidP="006D570C">
      <w:pPr>
        <w:rPr>
          <w:lang w:val="fr-FR"/>
        </w:rPr>
      </w:pPr>
    </w:p>
    <w:p w:rsidR="003159C5" w:rsidRPr="003159C5" w:rsidRDefault="00FD32F2" w:rsidP="006D570C">
      <w:pPr>
        <w:pStyle w:val="ONUMFS"/>
        <w:rPr>
          <w:lang w:val="fr-FR"/>
        </w:rPr>
      </w:pPr>
      <w:r w:rsidRPr="003159C5">
        <w:rPr>
          <w:lang w:val="fr-FR"/>
        </w:rPr>
        <w:t>Les procédures d</w:t>
      </w:r>
      <w:r w:rsidR="000618AA" w:rsidRPr="003159C5">
        <w:rPr>
          <w:lang w:val="fr-FR"/>
        </w:rPr>
        <w:t>’</w:t>
      </w:r>
      <w:r w:rsidRPr="003159C5">
        <w:rPr>
          <w:lang w:val="fr-FR"/>
        </w:rPr>
        <w:t>arbitrage et de médiation proposées par le Centre visent à répondre aux besoins des parties en matière de rapidité et de rentabilité dans le règlement des litiges relatifs aux droits de propriété intellectuelle.</w:t>
      </w:r>
      <w:r w:rsidR="0067439A" w:rsidRPr="003159C5">
        <w:rPr>
          <w:lang w:val="fr-FR"/>
        </w:rPr>
        <w:t xml:space="preserve"> </w:t>
      </w:r>
      <w:r w:rsidR="00B312F7" w:rsidRPr="003159C5">
        <w:rPr>
          <w:lang w:val="fr-FR"/>
        </w:rPr>
        <w:t xml:space="preserve"> </w:t>
      </w:r>
      <w:r w:rsidRPr="003159C5">
        <w:rPr>
          <w:lang w:val="fr-FR"/>
        </w:rPr>
        <w:t>Le Centre est chargé de l</w:t>
      </w:r>
      <w:r w:rsidR="000618AA" w:rsidRPr="003159C5">
        <w:rPr>
          <w:lang w:val="fr-FR"/>
        </w:rPr>
        <w:t>’</w:t>
      </w:r>
      <w:r w:rsidRPr="003159C5">
        <w:rPr>
          <w:lang w:val="fr-FR"/>
        </w:rPr>
        <w:t>administration et du règlement des litiges instruits dans le cadre de ces procédures, ce qui passe par la formation</w:t>
      </w:r>
      <w:r w:rsidRPr="003159C5">
        <w:rPr>
          <w:rStyle w:val="FootnoteReference"/>
          <w:lang w:val="fr-FR"/>
        </w:rPr>
        <w:footnoteReference w:id="3"/>
      </w:r>
      <w:r w:rsidRPr="003159C5">
        <w:rPr>
          <w:lang w:val="fr-FR"/>
        </w:rPr>
        <w:t>, la désignation d</w:t>
      </w:r>
      <w:r w:rsidR="000618AA" w:rsidRPr="003159C5">
        <w:rPr>
          <w:lang w:val="fr-FR"/>
        </w:rPr>
        <w:t>’</w:t>
      </w:r>
      <w:r w:rsidRPr="003159C5">
        <w:rPr>
          <w:lang w:val="fr-FR"/>
        </w:rPr>
        <w:t>arbitres et de médiateurs qualifiés et le maintien d</w:t>
      </w:r>
      <w:r w:rsidR="000618AA" w:rsidRPr="003159C5">
        <w:rPr>
          <w:lang w:val="fr-FR"/>
        </w:rPr>
        <w:t>’</w:t>
      </w:r>
      <w:r w:rsidRPr="003159C5">
        <w:rPr>
          <w:lang w:val="fr-FR"/>
        </w:rPr>
        <w:t>une infrastructure moderne d</w:t>
      </w:r>
      <w:r w:rsidR="000618AA" w:rsidRPr="003159C5">
        <w:rPr>
          <w:lang w:val="fr-FR"/>
        </w:rPr>
        <w:t>’</w:t>
      </w:r>
      <w:r w:rsidRPr="003159C5">
        <w:rPr>
          <w:lang w:val="fr-FR"/>
        </w:rPr>
        <w:t>administration des litiges, grâce notamment à des solutions informatiques telles que le système OMPI de gestion électronique des litiges (ECAF)</w:t>
      </w:r>
      <w:r w:rsidRPr="00307AA6">
        <w:rPr>
          <w:rStyle w:val="FootnoteReference"/>
          <w:lang w:val="fr-FR"/>
        </w:rPr>
        <w:footnoteReference w:id="4"/>
      </w:r>
      <w:r w:rsidR="0067439A" w:rsidRPr="003159C5">
        <w:rPr>
          <w:lang w:val="fr-FR"/>
        </w:rPr>
        <w:t>.</w:t>
      </w:r>
      <w:r w:rsidR="00B312F7" w:rsidRPr="003159C5">
        <w:rPr>
          <w:lang w:val="fr-FR"/>
        </w:rPr>
        <w:t xml:space="preserve">  </w:t>
      </w:r>
      <w:r w:rsidRPr="003159C5">
        <w:rPr>
          <w:lang w:val="fr-FR"/>
        </w:rPr>
        <w:t>Les litiges administrés par l</w:t>
      </w:r>
      <w:r w:rsidR="000618AA" w:rsidRPr="003159C5">
        <w:rPr>
          <w:lang w:val="fr-FR"/>
        </w:rPr>
        <w:t>’</w:t>
      </w:r>
      <w:r w:rsidRPr="003159C5">
        <w:rPr>
          <w:lang w:val="fr-FR"/>
        </w:rPr>
        <w:t>OMPI pendant l</w:t>
      </w:r>
      <w:r w:rsidR="000618AA" w:rsidRPr="003159C5">
        <w:rPr>
          <w:lang w:val="fr-FR"/>
        </w:rPr>
        <w:t>’</w:t>
      </w:r>
      <w:r w:rsidRPr="003159C5">
        <w:rPr>
          <w:lang w:val="fr-FR"/>
        </w:rPr>
        <w:t>année écoulée ont notamment porté sur des brevets, des marques, des logiciels, des activités de recherche</w:t>
      </w:r>
      <w:r w:rsidR="003159C5" w:rsidRPr="003159C5">
        <w:rPr>
          <w:lang w:val="fr-FR"/>
        </w:rPr>
        <w:noBreakHyphen/>
      </w:r>
      <w:r w:rsidRPr="003159C5">
        <w:rPr>
          <w:lang w:val="fr-FR"/>
        </w:rPr>
        <w:t>développement (R</w:t>
      </w:r>
      <w:r w:rsidR="003159C5" w:rsidRPr="003159C5">
        <w:rPr>
          <w:lang w:val="fr-FR"/>
        </w:rPr>
        <w:noBreakHyphen/>
      </w:r>
      <w:r w:rsidRPr="003159C5">
        <w:rPr>
          <w:lang w:val="fr-FR"/>
        </w:rPr>
        <w:t>D) et des accords de franchise, et ont été soumis au Centre par les parties sur la base de clauses contractuelles ou de conventions ad</w:t>
      </w:r>
      <w:r w:rsidR="0067439A" w:rsidRPr="003159C5">
        <w:rPr>
          <w:lang w:val="fr-FR"/>
        </w:rPr>
        <w:t> </w:t>
      </w:r>
      <w:r w:rsidRPr="003159C5">
        <w:rPr>
          <w:lang w:val="fr-FR"/>
        </w:rPr>
        <w:t>hoc préalabl</w:t>
      </w:r>
      <w:r w:rsidR="00C9393A" w:rsidRPr="003159C5">
        <w:rPr>
          <w:lang w:val="fr-FR"/>
        </w:rPr>
        <w:t>es.  Pl</w:t>
      </w:r>
      <w:r w:rsidR="00F65F5B" w:rsidRPr="003159C5">
        <w:rPr>
          <w:lang w:val="fr-FR"/>
        </w:rPr>
        <w:t>us de la moitié des parties concernées sont des utilisateurs des services du PCT et du système de Madrid de l</w:t>
      </w:r>
      <w:r w:rsidR="000618AA" w:rsidRPr="003159C5">
        <w:rPr>
          <w:lang w:val="fr-FR"/>
        </w:rPr>
        <w:t>’</w:t>
      </w:r>
      <w:r w:rsidR="00F65F5B" w:rsidRPr="003159C5">
        <w:rPr>
          <w:lang w:val="fr-FR"/>
        </w:rPr>
        <w:t>O</w:t>
      </w:r>
      <w:r w:rsidR="00C9393A" w:rsidRPr="003159C5">
        <w:rPr>
          <w:lang w:val="fr-FR"/>
        </w:rPr>
        <w:t>MPI.  Qu</w:t>
      </w:r>
      <w:r w:rsidR="001A0559" w:rsidRPr="003159C5">
        <w:rPr>
          <w:lang w:val="fr-FR"/>
        </w:rPr>
        <w:t>elque 70% des médiations de l</w:t>
      </w:r>
      <w:r w:rsidR="000618AA" w:rsidRPr="003159C5">
        <w:rPr>
          <w:lang w:val="fr-FR"/>
        </w:rPr>
        <w:t>’</w:t>
      </w:r>
      <w:r w:rsidR="001A0559" w:rsidRPr="003159C5">
        <w:rPr>
          <w:lang w:val="fr-FR"/>
        </w:rPr>
        <w:t>OMPI aboutissent et avec un taux de réussite de 40%, même la soumission d</w:t>
      </w:r>
      <w:r w:rsidR="000618AA" w:rsidRPr="003159C5">
        <w:rPr>
          <w:lang w:val="fr-FR"/>
        </w:rPr>
        <w:t>’</w:t>
      </w:r>
      <w:r w:rsidR="001A0559" w:rsidRPr="003159C5">
        <w:rPr>
          <w:lang w:val="fr-FR"/>
        </w:rPr>
        <w:t>un litige à la médiation de l</w:t>
      </w:r>
      <w:r w:rsidR="000618AA" w:rsidRPr="003159C5">
        <w:rPr>
          <w:lang w:val="fr-FR"/>
        </w:rPr>
        <w:t>’</w:t>
      </w:r>
      <w:r w:rsidR="001A0559" w:rsidRPr="003159C5">
        <w:rPr>
          <w:lang w:val="fr-FR"/>
        </w:rPr>
        <w:t>OMPI peut favoriser un accord entre les parties.</w:t>
      </w:r>
    </w:p>
    <w:p w:rsidR="003159C5" w:rsidRPr="003159C5" w:rsidRDefault="007B42A5" w:rsidP="006D570C">
      <w:pPr>
        <w:pStyle w:val="ONUMFS"/>
        <w:rPr>
          <w:lang w:val="fr-FR"/>
        </w:rPr>
      </w:pPr>
      <w:r w:rsidRPr="003159C5">
        <w:rPr>
          <w:lang w:val="fr-FR"/>
        </w:rPr>
        <w:t>Afin de réduire les obstacles qui se posent aux utilisateurs potentiels du règlement extrajudiciaire des litiges</w:t>
      </w:r>
      <w:r w:rsidR="008B79FB" w:rsidRPr="003159C5">
        <w:rPr>
          <w:lang w:val="fr-FR"/>
        </w:rPr>
        <w:t xml:space="preserve"> de l</w:t>
      </w:r>
      <w:r w:rsidR="000618AA" w:rsidRPr="003159C5">
        <w:rPr>
          <w:lang w:val="fr-FR"/>
        </w:rPr>
        <w:t>’</w:t>
      </w:r>
      <w:r w:rsidR="008B79FB" w:rsidRPr="003159C5">
        <w:rPr>
          <w:lang w:val="fr-FR"/>
        </w:rPr>
        <w:t>OMPI</w:t>
      </w:r>
      <w:r w:rsidRPr="003159C5">
        <w:rPr>
          <w:lang w:val="fr-FR"/>
        </w:rPr>
        <w:t>, un règlement de médiation révisé</w:t>
      </w:r>
      <w:r w:rsidR="008B79FB" w:rsidRPr="003159C5">
        <w:rPr>
          <w:lang w:val="fr-FR"/>
        </w:rPr>
        <w:t>, en vigueur à compter du </w:t>
      </w:r>
      <w:r w:rsidRPr="003159C5">
        <w:rPr>
          <w:lang w:val="fr-FR"/>
        </w:rPr>
        <w:t>1</w:t>
      </w:r>
      <w:r w:rsidRPr="003159C5">
        <w:rPr>
          <w:vertAlign w:val="superscript"/>
          <w:lang w:val="fr-FR"/>
        </w:rPr>
        <w:t>er</w:t>
      </w:r>
      <w:r w:rsidR="00C805BC">
        <w:rPr>
          <w:lang w:val="fr-FR"/>
        </w:rPr>
        <w:t> </w:t>
      </w:r>
      <w:r w:rsidR="000618AA" w:rsidRPr="003159C5">
        <w:rPr>
          <w:lang w:val="fr-FR"/>
        </w:rPr>
        <w:t>janvier 20</w:t>
      </w:r>
      <w:r w:rsidRPr="003159C5">
        <w:rPr>
          <w:lang w:val="fr-FR"/>
        </w:rPr>
        <w:t>16</w:t>
      </w:r>
      <w:r w:rsidR="008B79FB" w:rsidRPr="003159C5">
        <w:rPr>
          <w:lang w:val="fr-FR"/>
        </w:rPr>
        <w:t>, offre aux parties</w:t>
      </w:r>
      <w:r w:rsidRPr="003159C5">
        <w:rPr>
          <w:lang w:val="fr-FR"/>
        </w:rPr>
        <w:t xml:space="preserve"> la possibilité de soumett</w:t>
      </w:r>
      <w:r w:rsidR="008B79FB" w:rsidRPr="003159C5">
        <w:rPr>
          <w:lang w:val="fr-FR"/>
        </w:rPr>
        <w:t>re au Centre, en l</w:t>
      </w:r>
      <w:r w:rsidR="000618AA" w:rsidRPr="003159C5">
        <w:rPr>
          <w:lang w:val="fr-FR"/>
        </w:rPr>
        <w:t>’</w:t>
      </w:r>
      <w:r w:rsidR="008B79FB" w:rsidRPr="003159C5">
        <w:rPr>
          <w:lang w:val="fr-FR"/>
        </w:rPr>
        <w:t>absence d</w:t>
      </w:r>
      <w:r w:rsidR="000618AA" w:rsidRPr="003159C5">
        <w:rPr>
          <w:lang w:val="fr-FR"/>
        </w:rPr>
        <w:t>’</w:t>
      </w:r>
      <w:r w:rsidR="008B79FB" w:rsidRPr="003159C5">
        <w:rPr>
          <w:lang w:val="fr-FR"/>
        </w:rPr>
        <w:t xml:space="preserve">une convention </w:t>
      </w:r>
      <w:r w:rsidRPr="003159C5">
        <w:rPr>
          <w:lang w:val="fr-FR"/>
        </w:rPr>
        <w:t>de médiation préalable, une demande unilatérale de médiation</w:t>
      </w:r>
      <w:r w:rsidRPr="003159C5">
        <w:rPr>
          <w:rStyle w:val="FootnoteReference"/>
          <w:szCs w:val="22"/>
          <w:lang w:val="fr-FR"/>
        </w:rPr>
        <w:footnoteReference w:id="5"/>
      </w:r>
      <w:r w:rsidRPr="003159C5">
        <w:rPr>
          <w:lang w:val="fr-FR"/>
        </w:rPr>
        <w:t>.</w:t>
      </w:r>
      <w:r w:rsidR="00B312F7" w:rsidRPr="003159C5">
        <w:rPr>
          <w:lang w:val="fr-FR"/>
        </w:rPr>
        <w:t xml:space="preserve">  </w:t>
      </w:r>
      <w:r w:rsidR="007D0EBE" w:rsidRPr="003159C5">
        <w:rPr>
          <w:lang w:val="fr-FR"/>
        </w:rPr>
        <w:t>À</w:t>
      </w:r>
      <w:r w:rsidRPr="003159C5">
        <w:rPr>
          <w:lang w:val="fr-FR"/>
        </w:rPr>
        <w:t xml:space="preserve"> la réception de cette demande, le Centre peut aider les parties à envisager </w:t>
      </w:r>
      <w:r w:rsidR="008B79FB" w:rsidRPr="003159C5">
        <w:rPr>
          <w:lang w:val="fr-FR"/>
        </w:rPr>
        <w:t>de soumettre le litige à la</w:t>
      </w:r>
      <w:r w:rsidRPr="003159C5">
        <w:rPr>
          <w:lang w:val="fr-FR"/>
        </w:rPr>
        <w:t xml:space="preserve"> médiation </w:t>
      </w:r>
      <w:r w:rsidR="008B79FB" w:rsidRPr="003159C5">
        <w:rPr>
          <w:lang w:val="fr-FR"/>
        </w:rPr>
        <w:t>de</w:t>
      </w:r>
      <w:r w:rsidRPr="003159C5">
        <w:rPr>
          <w:lang w:val="fr-FR"/>
        </w:rPr>
        <w:t xml:space="preserve"> l</w:t>
      </w:r>
      <w:r w:rsidR="000618AA" w:rsidRPr="003159C5">
        <w:rPr>
          <w:lang w:val="fr-FR"/>
        </w:rPr>
        <w:t>’</w:t>
      </w:r>
      <w:r w:rsidRPr="003159C5">
        <w:rPr>
          <w:lang w:val="fr-FR"/>
        </w:rPr>
        <w:t xml:space="preserve">OMPI, </w:t>
      </w:r>
      <w:r w:rsidR="000618AA" w:rsidRPr="003159C5">
        <w:rPr>
          <w:lang w:val="fr-FR"/>
        </w:rPr>
        <w:t>y compris</w:t>
      </w:r>
      <w:r w:rsidRPr="003159C5">
        <w:rPr>
          <w:lang w:val="fr-FR"/>
        </w:rPr>
        <w:t xml:space="preserve"> en fournissant des informations concernant la procédure de l</w:t>
      </w:r>
      <w:r w:rsidR="000618AA" w:rsidRPr="003159C5">
        <w:rPr>
          <w:lang w:val="fr-FR"/>
        </w:rPr>
        <w:t>’</w:t>
      </w:r>
      <w:r w:rsidRPr="003159C5">
        <w:rPr>
          <w:lang w:val="fr-FR"/>
        </w:rPr>
        <w:t>O</w:t>
      </w:r>
      <w:r w:rsidR="00C9393A" w:rsidRPr="003159C5">
        <w:rPr>
          <w:lang w:val="fr-FR"/>
        </w:rPr>
        <w:t>MPI.  Pa</w:t>
      </w:r>
      <w:r w:rsidR="007D0EBE" w:rsidRPr="003159C5">
        <w:rPr>
          <w:lang w:val="fr-FR"/>
        </w:rPr>
        <w:t xml:space="preserve">r ailleurs, un </w:t>
      </w:r>
      <w:r w:rsidR="008B79FB" w:rsidRPr="003159C5">
        <w:rPr>
          <w:lang w:val="fr-FR"/>
        </w:rPr>
        <w:t>générateur de clauses de l</w:t>
      </w:r>
      <w:r w:rsidR="000618AA" w:rsidRPr="003159C5">
        <w:rPr>
          <w:lang w:val="fr-FR"/>
        </w:rPr>
        <w:t>’</w:t>
      </w:r>
      <w:r w:rsidR="008B79FB" w:rsidRPr="003159C5">
        <w:rPr>
          <w:lang w:val="fr-FR"/>
        </w:rPr>
        <w:t>OMPI</w:t>
      </w:r>
      <w:r w:rsidR="00B171A1" w:rsidRPr="003159C5">
        <w:rPr>
          <w:lang w:val="fr-FR"/>
        </w:rPr>
        <w:t xml:space="preserve"> récemment créé </w:t>
      </w:r>
      <w:r w:rsidR="007D0EBE" w:rsidRPr="003159C5">
        <w:rPr>
          <w:lang w:val="fr-FR"/>
        </w:rPr>
        <w:t>permet aux parties d</w:t>
      </w:r>
      <w:r w:rsidR="000618AA" w:rsidRPr="003159C5">
        <w:rPr>
          <w:lang w:val="fr-FR"/>
        </w:rPr>
        <w:t>’</w:t>
      </w:r>
      <w:r w:rsidR="007D0EBE" w:rsidRPr="003159C5">
        <w:rPr>
          <w:lang w:val="fr-FR"/>
        </w:rPr>
        <w:t xml:space="preserve">élaborer des </w:t>
      </w:r>
      <w:r w:rsidR="00B171A1" w:rsidRPr="003159C5">
        <w:rPr>
          <w:lang w:val="fr-FR"/>
        </w:rPr>
        <w:t>clauses</w:t>
      </w:r>
      <w:r w:rsidR="007D0EBE" w:rsidRPr="003159C5">
        <w:rPr>
          <w:lang w:val="fr-FR"/>
        </w:rPr>
        <w:t xml:space="preserve"> et des </w:t>
      </w:r>
      <w:r w:rsidR="008B79FB" w:rsidRPr="003159C5">
        <w:rPr>
          <w:lang w:val="fr-FR"/>
        </w:rPr>
        <w:t>conventions ad</w:t>
      </w:r>
      <w:r w:rsidR="0067439A" w:rsidRPr="003159C5">
        <w:rPr>
          <w:lang w:val="fr-FR"/>
        </w:rPr>
        <w:t> </w:t>
      </w:r>
      <w:r w:rsidR="008B79FB" w:rsidRPr="003159C5">
        <w:rPr>
          <w:lang w:val="fr-FR"/>
        </w:rPr>
        <w:t>hoc</w:t>
      </w:r>
      <w:r w:rsidR="007D0EBE" w:rsidRPr="003159C5">
        <w:rPr>
          <w:lang w:val="fr-FR"/>
        </w:rPr>
        <w:t xml:space="preserve"> en </w:t>
      </w:r>
      <w:r w:rsidR="008B79FB" w:rsidRPr="003159C5">
        <w:rPr>
          <w:lang w:val="fr-FR"/>
        </w:rPr>
        <w:t>sélectionnant une</w:t>
      </w:r>
      <w:r w:rsidR="007D0EBE" w:rsidRPr="003159C5">
        <w:rPr>
          <w:lang w:val="fr-FR"/>
        </w:rPr>
        <w:t xml:space="preserve"> procédure de règlement extrajudiciaire des litiges de l</w:t>
      </w:r>
      <w:r w:rsidR="000618AA" w:rsidRPr="003159C5">
        <w:rPr>
          <w:lang w:val="fr-FR"/>
        </w:rPr>
        <w:t>’</w:t>
      </w:r>
      <w:r w:rsidR="007D0EBE" w:rsidRPr="003159C5">
        <w:rPr>
          <w:lang w:val="fr-FR"/>
        </w:rPr>
        <w:t xml:space="preserve">OMPI et en </w:t>
      </w:r>
      <w:r w:rsidR="008B79FB" w:rsidRPr="003159C5">
        <w:rPr>
          <w:lang w:val="fr-FR"/>
        </w:rPr>
        <w:t>choisissant</w:t>
      </w:r>
      <w:r w:rsidR="007D0EBE" w:rsidRPr="003159C5">
        <w:rPr>
          <w:lang w:val="fr-FR"/>
        </w:rPr>
        <w:t xml:space="preserve"> des éléments tels que le lieu et la langue de la pr</w:t>
      </w:r>
      <w:r w:rsidR="00B171A1" w:rsidRPr="003159C5">
        <w:rPr>
          <w:lang w:val="fr-FR"/>
        </w:rPr>
        <w:t xml:space="preserve">océdure et les qualifications des </w:t>
      </w:r>
      <w:r w:rsidR="007D0EBE" w:rsidRPr="003159C5">
        <w:rPr>
          <w:lang w:val="fr-FR"/>
        </w:rPr>
        <w:t>intermédiaires neutres</w:t>
      </w:r>
      <w:r w:rsidR="007D0EBE" w:rsidRPr="003159C5">
        <w:rPr>
          <w:rStyle w:val="FootnoteReference"/>
          <w:szCs w:val="22"/>
          <w:lang w:val="fr-FR"/>
        </w:rPr>
        <w:footnoteReference w:id="6"/>
      </w:r>
      <w:r w:rsidR="007D0EBE" w:rsidRPr="003159C5">
        <w:rPr>
          <w:lang w:val="fr-FR"/>
        </w:rPr>
        <w:t>.</w:t>
      </w:r>
    </w:p>
    <w:p w:rsidR="003159C5" w:rsidRPr="003159C5" w:rsidRDefault="00B171A1" w:rsidP="006609E0">
      <w:pPr>
        <w:pStyle w:val="Heading2"/>
        <w:ind w:left="567" w:hanging="567"/>
      </w:pPr>
      <w:r w:rsidRPr="003159C5">
        <w:t>Services de règlement extrajudiciaire des litiges dans des secteurs particuliers</w:t>
      </w:r>
    </w:p>
    <w:p w:rsidR="003159C5" w:rsidRPr="00360CF6" w:rsidRDefault="00360CF6" w:rsidP="006D570C">
      <w:pPr>
        <w:pStyle w:val="Heading3"/>
      </w:pPr>
      <w:r w:rsidRPr="00360CF6">
        <w:rPr>
          <w:u w:val="none"/>
        </w:rPr>
        <w:t>a)</w:t>
      </w:r>
      <w:r w:rsidRPr="00360CF6">
        <w:rPr>
          <w:u w:val="none"/>
        </w:rPr>
        <w:tab/>
      </w:r>
      <w:r w:rsidR="00B171A1" w:rsidRPr="00360CF6">
        <w:t>Collaboration avec les offices de propriété intellectuelle</w:t>
      </w:r>
    </w:p>
    <w:p w:rsidR="003159C5" w:rsidRPr="003159C5" w:rsidRDefault="003159C5" w:rsidP="006D570C">
      <w:pPr>
        <w:rPr>
          <w:lang w:val="fr-FR"/>
        </w:rPr>
      </w:pPr>
    </w:p>
    <w:p w:rsidR="003159C5" w:rsidRPr="003159C5" w:rsidRDefault="00B171A1" w:rsidP="006D570C">
      <w:pPr>
        <w:pStyle w:val="ONUMFS"/>
        <w:rPr>
          <w:lang w:val="fr-FR"/>
        </w:rPr>
      </w:pPr>
      <w:r w:rsidRPr="003159C5">
        <w:rPr>
          <w:lang w:val="fr-FR"/>
        </w:rPr>
        <w:t>Depuis peu, le Centre offre aux offices de propriété intellectuelle des services d</w:t>
      </w:r>
      <w:r w:rsidR="000618AA" w:rsidRPr="003159C5">
        <w:rPr>
          <w:lang w:val="fr-FR"/>
        </w:rPr>
        <w:t>’</w:t>
      </w:r>
      <w:r w:rsidRPr="003159C5">
        <w:rPr>
          <w:lang w:val="fr-FR"/>
        </w:rPr>
        <w:t>aide à l</w:t>
      </w:r>
      <w:r w:rsidR="000618AA" w:rsidRPr="003159C5">
        <w:rPr>
          <w:lang w:val="fr-FR"/>
        </w:rPr>
        <w:t>’</w:t>
      </w:r>
      <w:r w:rsidRPr="003159C5">
        <w:rPr>
          <w:lang w:val="fr-FR"/>
        </w:rPr>
        <w:t>établissement de leurs propres cadres facultatifs de règlement extrajudiciaire des litig</w:t>
      </w:r>
      <w:r w:rsidR="00C9393A" w:rsidRPr="003159C5">
        <w:rPr>
          <w:lang w:val="fr-FR"/>
        </w:rPr>
        <w:t>es.  Ce</w:t>
      </w:r>
      <w:r w:rsidR="00163CFC" w:rsidRPr="003159C5">
        <w:rPr>
          <w:lang w:val="fr-FR"/>
        </w:rPr>
        <w:t>tte collaboration, qui peut comporter des activités de formation, de promotion et d</w:t>
      </w:r>
      <w:r w:rsidR="000618AA" w:rsidRPr="003159C5">
        <w:rPr>
          <w:lang w:val="fr-FR"/>
        </w:rPr>
        <w:t>’</w:t>
      </w:r>
      <w:r w:rsidR="00163CFC" w:rsidRPr="003159C5">
        <w:rPr>
          <w:lang w:val="fr-FR"/>
        </w:rPr>
        <w:t>administration des litiges, vise à mettre à la disposition des parties des solutions souples et économiques pour le règlement de leurs litiges devant les offices de propriété intellectuelle en ce qui concerne des droits octroyés ou en instance</w:t>
      </w:r>
      <w:r w:rsidR="00163CFC" w:rsidRPr="003159C5">
        <w:rPr>
          <w:rStyle w:val="FootnoteReference"/>
          <w:lang w:val="fr-FR"/>
        </w:rPr>
        <w:footnoteReference w:id="7"/>
      </w:r>
      <w:r w:rsidR="00163CFC" w:rsidRPr="003159C5">
        <w:rPr>
          <w:lang w:val="fr-FR"/>
        </w:rPr>
        <w:t>.</w:t>
      </w:r>
    </w:p>
    <w:p w:rsidR="003159C5" w:rsidRPr="003159C5" w:rsidRDefault="00A1078F" w:rsidP="006D570C">
      <w:pPr>
        <w:pStyle w:val="ONUMFS"/>
        <w:rPr>
          <w:lang w:val="fr-FR"/>
        </w:rPr>
      </w:pPr>
      <w:r w:rsidRPr="003159C5">
        <w:rPr>
          <w:lang w:val="fr-FR"/>
        </w:rPr>
        <w:t>Suite à l</w:t>
      </w:r>
      <w:r w:rsidR="000618AA" w:rsidRPr="003159C5">
        <w:rPr>
          <w:lang w:val="fr-FR"/>
        </w:rPr>
        <w:t>’</w:t>
      </w:r>
      <w:r w:rsidRPr="003159C5">
        <w:rPr>
          <w:lang w:val="fr-FR"/>
        </w:rPr>
        <w:t>établissement en</w:t>
      </w:r>
      <w:r w:rsidR="0067439A" w:rsidRPr="003159C5">
        <w:rPr>
          <w:lang w:val="fr-FR"/>
        </w:rPr>
        <w:t> </w:t>
      </w:r>
      <w:r w:rsidRPr="003159C5">
        <w:rPr>
          <w:lang w:val="fr-FR"/>
        </w:rPr>
        <w:t>2011 d</w:t>
      </w:r>
      <w:r w:rsidR="000618AA" w:rsidRPr="003159C5">
        <w:rPr>
          <w:lang w:val="fr-FR"/>
        </w:rPr>
        <w:t>’</w:t>
      </w:r>
      <w:r w:rsidRPr="003159C5">
        <w:rPr>
          <w:lang w:val="fr-FR"/>
        </w:rPr>
        <w:t>une procédure conjointe de règlement des litiges pour faciliter la médiation des litiges en matière de marques soumis à l</w:t>
      </w:r>
      <w:r w:rsidR="000618AA" w:rsidRPr="003159C5">
        <w:rPr>
          <w:lang w:val="fr-FR"/>
        </w:rPr>
        <w:t>’</w:t>
      </w:r>
      <w:r w:rsidRPr="003159C5">
        <w:rPr>
          <w:lang w:val="fr-FR"/>
        </w:rPr>
        <w:t>Office de la propriété intellectuelle de Singapour (IPOS), le Centre a participé à l</w:t>
      </w:r>
      <w:r w:rsidR="000618AA" w:rsidRPr="003159C5">
        <w:rPr>
          <w:lang w:val="fr-FR"/>
        </w:rPr>
        <w:t>’</w:t>
      </w:r>
      <w:r w:rsidRPr="003159C5">
        <w:rPr>
          <w:lang w:val="fr-FR"/>
        </w:rPr>
        <w:t>élaboration d</w:t>
      </w:r>
      <w:r w:rsidR="000618AA" w:rsidRPr="003159C5">
        <w:rPr>
          <w:lang w:val="fr-FR"/>
        </w:rPr>
        <w:t>’</w:t>
      </w:r>
      <w:r w:rsidRPr="003159C5">
        <w:rPr>
          <w:lang w:val="fr-FR"/>
        </w:rPr>
        <w:t xml:space="preserve">une procédure </w:t>
      </w:r>
      <w:r w:rsidRPr="003159C5">
        <w:rPr>
          <w:lang w:val="fr-FR"/>
        </w:rPr>
        <w:lastRenderedPageBreak/>
        <w:t>optionnelle de médiation pour les procédures en matière de marques intentées devant l</w:t>
      </w:r>
      <w:r w:rsidR="000618AA" w:rsidRPr="003159C5">
        <w:rPr>
          <w:lang w:val="fr-FR"/>
        </w:rPr>
        <w:t>’</w:t>
      </w:r>
      <w:r w:rsidRPr="003159C5">
        <w:rPr>
          <w:lang w:val="fr-FR"/>
        </w:rPr>
        <w:t>Institut national brésilien de la propriété industrielle (INPI</w:t>
      </w:r>
      <w:r w:rsidR="003159C5" w:rsidRPr="003159C5">
        <w:rPr>
          <w:lang w:val="fr-FR"/>
        </w:rPr>
        <w:noBreakHyphen/>
      </w:r>
      <w:r w:rsidRPr="003159C5">
        <w:rPr>
          <w:lang w:val="fr-FR"/>
        </w:rPr>
        <w:t>BR), qui a désigné le Centre comme institution de médiation lorsque l</w:t>
      </w:r>
      <w:r w:rsidR="000618AA" w:rsidRPr="003159C5">
        <w:rPr>
          <w:lang w:val="fr-FR"/>
        </w:rPr>
        <w:t>’</w:t>
      </w:r>
      <w:r w:rsidRPr="003159C5">
        <w:rPr>
          <w:lang w:val="fr-FR"/>
        </w:rPr>
        <w:t>une des parties ou les deux ont leur siège en dehors du Brésil.</w:t>
      </w:r>
      <w:r w:rsidR="00C9393A" w:rsidRPr="003159C5">
        <w:rPr>
          <w:lang w:val="fr-FR"/>
        </w:rPr>
        <w:t xml:space="preserve">  </w:t>
      </w:r>
      <w:r w:rsidRPr="003159C5">
        <w:rPr>
          <w:lang w:val="fr-FR"/>
        </w:rPr>
        <w:t xml:space="preserve">En outre, à compter de </w:t>
      </w:r>
      <w:r w:rsidR="000618AA" w:rsidRPr="003159C5">
        <w:rPr>
          <w:lang w:val="fr-FR"/>
        </w:rPr>
        <w:t>mai 20</w:t>
      </w:r>
      <w:r w:rsidRPr="003159C5">
        <w:rPr>
          <w:lang w:val="fr-FR"/>
        </w:rPr>
        <w:t>15, l</w:t>
      </w:r>
      <w:r w:rsidR="000618AA" w:rsidRPr="003159C5">
        <w:rPr>
          <w:lang w:val="fr-FR"/>
        </w:rPr>
        <w:t>’</w:t>
      </w:r>
      <w:r w:rsidRPr="003159C5">
        <w:rPr>
          <w:lang w:val="fr-FR"/>
        </w:rPr>
        <w:t>Office de la propriété intellectuelle des Philippines (IPOPHL) a désigné le Centre comme institution de médiation potentielle, au choix des parties, pour les litiges portés devant l</w:t>
      </w:r>
      <w:r w:rsidR="000618AA" w:rsidRPr="003159C5">
        <w:rPr>
          <w:lang w:val="fr-FR"/>
        </w:rPr>
        <w:t>’</w:t>
      </w:r>
      <w:r w:rsidRPr="003159C5">
        <w:rPr>
          <w:lang w:val="fr-FR"/>
        </w:rPr>
        <w:t>IPOPHL impliquant une ou plusieurs parties ayant leur siège en dehors des Philippin</w:t>
      </w:r>
      <w:r w:rsidR="00C9393A" w:rsidRPr="003159C5">
        <w:rPr>
          <w:lang w:val="fr-FR"/>
        </w:rPr>
        <w:t>es.  Su</w:t>
      </w:r>
      <w:r w:rsidRPr="003159C5">
        <w:rPr>
          <w:lang w:val="fr-FR"/>
        </w:rPr>
        <w:t>ite à la conclusion d</w:t>
      </w:r>
      <w:r w:rsidR="000618AA" w:rsidRPr="003159C5">
        <w:rPr>
          <w:lang w:val="fr-FR"/>
        </w:rPr>
        <w:t>’</w:t>
      </w:r>
      <w:r w:rsidRPr="003159C5">
        <w:rPr>
          <w:lang w:val="fr-FR"/>
        </w:rPr>
        <w:t>accords, la Commission coréenne du droit d</w:t>
      </w:r>
      <w:r w:rsidR="000618AA" w:rsidRPr="003159C5">
        <w:rPr>
          <w:lang w:val="fr-FR"/>
        </w:rPr>
        <w:t>’</w:t>
      </w:r>
      <w:r w:rsidRPr="003159C5">
        <w:rPr>
          <w:lang w:val="fr-FR"/>
        </w:rPr>
        <w:t>auteur (KCC) et l</w:t>
      </w:r>
      <w:r w:rsidR="000618AA" w:rsidRPr="003159C5">
        <w:rPr>
          <w:lang w:val="fr-FR"/>
        </w:rPr>
        <w:t>’</w:t>
      </w:r>
      <w:r w:rsidRPr="003159C5">
        <w:rPr>
          <w:lang w:val="fr-FR"/>
        </w:rPr>
        <w:t>Agence coréenne du contenu créatif (KOCCA) proposent une procédure optionnelle de médiation de l</w:t>
      </w:r>
      <w:r w:rsidR="000618AA" w:rsidRPr="003159C5">
        <w:rPr>
          <w:lang w:val="fr-FR"/>
        </w:rPr>
        <w:t>’</w:t>
      </w:r>
      <w:r w:rsidRPr="003159C5">
        <w:rPr>
          <w:lang w:val="fr-FR"/>
        </w:rPr>
        <w:t xml:space="preserve">OMPI aux parties potentielles à des litiges impliquant une partie internationale depuis les mois de février et </w:t>
      </w:r>
      <w:r w:rsidR="000618AA" w:rsidRPr="003159C5">
        <w:rPr>
          <w:lang w:val="fr-FR"/>
        </w:rPr>
        <w:t>mai 20</w:t>
      </w:r>
      <w:r w:rsidRPr="003159C5">
        <w:rPr>
          <w:lang w:val="fr-FR"/>
        </w:rPr>
        <w:t>15 respectivement.</w:t>
      </w:r>
    </w:p>
    <w:p w:rsidR="003159C5" w:rsidRPr="003159C5" w:rsidRDefault="00A1078F" w:rsidP="006D570C">
      <w:pPr>
        <w:pStyle w:val="ONUMFS"/>
        <w:rPr>
          <w:lang w:val="fr-FR"/>
        </w:rPr>
      </w:pPr>
      <w:r w:rsidRPr="003159C5">
        <w:rPr>
          <w:lang w:val="fr-FR"/>
        </w:rPr>
        <w:t>Suite à la conclusion d</w:t>
      </w:r>
      <w:r w:rsidR="000618AA" w:rsidRPr="003159C5">
        <w:rPr>
          <w:lang w:val="fr-FR"/>
        </w:rPr>
        <w:t>’</w:t>
      </w:r>
      <w:r w:rsidRPr="003159C5">
        <w:rPr>
          <w:lang w:val="fr-FR"/>
        </w:rPr>
        <w:t>un accord avec l</w:t>
      </w:r>
      <w:r w:rsidR="000618AA" w:rsidRPr="003159C5">
        <w:rPr>
          <w:lang w:val="fr-FR"/>
        </w:rPr>
        <w:t>’</w:t>
      </w:r>
      <w:r w:rsidRPr="003159C5">
        <w:rPr>
          <w:lang w:val="fr-FR"/>
        </w:rPr>
        <w:t>Institut mexicain de la propriété industrielle (IMPI), le Centre collabore avec cet office à l</w:t>
      </w:r>
      <w:r w:rsidR="000618AA" w:rsidRPr="003159C5">
        <w:rPr>
          <w:lang w:val="fr-FR"/>
        </w:rPr>
        <w:t>’</w:t>
      </w:r>
      <w:r w:rsidRPr="003159C5">
        <w:rPr>
          <w:lang w:val="fr-FR"/>
        </w:rPr>
        <w:t>élaboration de procédures et de services de règlement extrajudiciaire des litiges en instance devant l</w:t>
      </w:r>
      <w:r w:rsidR="000618AA" w:rsidRPr="003159C5">
        <w:rPr>
          <w:lang w:val="fr-FR"/>
        </w:rPr>
        <w:t>’</w:t>
      </w:r>
      <w:r w:rsidRPr="003159C5">
        <w:rPr>
          <w:lang w:val="fr-FR"/>
        </w:rPr>
        <w:t>I</w:t>
      </w:r>
      <w:r w:rsidR="00C9393A" w:rsidRPr="003159C5">
        <w:rPr>
          <w:lang w:val="fr-FR"/>
        </w:rPr>
        <w:t>MPI.  En</w:t>
      </w:r>
      <w:r w:rsidRPr="003159C5">
        <w:rPr>
          <w:lang w:val="fr-FR"/>
        </w:rPr>
        <w:t xml:space="preserve"> vertu d</w:t>
      </w:r>
      <w:r w:rsidR="000618AA" w:rsidRPr="003159C5">
        <w:rPr>
          <w:lang w:val="fr-FR"/>
        </w:rPr>
        <w:t>’</w:t>
      </w:r>
      <w:r w:rsidRPr="003159C5">
        <w:rPr>
          <w:lang w:val="fr-FR"/>
        </w:rPr>
        <w:t>un accord avec la Direction nationale du droit d</w:t>
      </w:r>
      <w:r w:rsidR="000618AA" w:rsidRPr="003159C5">
        <w:rPr>
          <w:lang w:val="fr-FR"/>
        </w:rPr>
        <w:t>’</w:t>
      </w:r>
      <w:r w:rsidRPr="003159C5">
        <w:rPr>
          <w:lang w:val="fr-FR"/>
        </w:rPr>
        <w:t>auteur de la République de Colombie et avec la Direction générale des droits de propriété intellectuelle en Indonésie (DGIPR), le Centre collabore également à l</w:t>
      </w:r>
      <w:r w:rsidR="000618AA" w:rsidRPr="003159C5">
        <w:rPr>
          <w:lang w:val="fr-FR"/>
        </w:rPr>
        <w:t>’</w:t>
      </w:r>
      <w:r w:rsidRPr="003159C5">
        <w:rPr>
          <w:lang w:val="fr-FR"/>
        </w:rPr>
        <w:t>élaboration de procédures et de services de règlement extrajudiciaire des litiges relatifs à certains droits dans ces ressorts juridiques.</w:t>
      </w:r>
    </w:p>
    <w:p w:rsidR="003159C5" w:rsidRPr="003159C5" w:rsidRDefault="00A146FA" w:rsidP="006D570C">
      <w:pPr>
        <w:pStyle w:val="ONUMFS"/>
        <w:rPr>
          <w:lang w:val="fr-FR"/>
        </w:rPr>
      </w:pPr>
      <w:r w:rsidRPr="003159C5">
        <w:rPr>
          <w:lang w:val="fr-FR"/>
        </w:rPr>
        <w:t>La Commission des audiences et recours en matière de marques (TTAB) et la Commission des audiences et recours en matière de brevets (PTAB) de l</w:t>
      </w:r>
      <w:r w:rsidR="000618AA" w:rsidRPr="003159C5">
        <w:rPr>
          <w:lang w:val="fr-FR"/>
        </w:rPr>
        <w:t>’</w:t>
      </w:r>
      <w:r w:rsidRPr="003159C5">
        <w:rPr>
          <w:lang w:val="fr-FR"/>
        </w:rPr>
        <w:t>Office des brevets et des marques des États</w:t>
      </w:r>
      <w:r w:rsidR="003159C5" w:rsidRPr="003159C5">
        <w:rPr>
          <w:lang w:val="fr-FR"/>
        </w:rPr>
        <w:noBreakHyphen/>
      </w:r>
      <w:r w:rsidRPr="003159C5">
        <w:rPr>
          <w:lang w:val="fr-FR"/>
        </w:rPr>
        <w:t>Unis d</w:t>
      </w:r>
      <w:r w:rsidR="000618AA" w:rsidRPr="003159C5">
        <w:rPr>
          <w:lang w:val="fr-FR"/>
        </w:rPr>
        <w:t>’</w:t>
      </w:r>
      <w:r w:rsidRPr="003159C5">
        <w:rPr>
          <w:lang w:val="fr-FR"/>
        </w:rPr>
        <w:t>Amérique (USPTO) encouragent les parties à considérer le règlement extrajudiciaire des litiges comme un moyen de régler des questions soulevées devant l</w:t>
      </w:r>
      <w:r w:rsidR="000618AA" w:rsidRPr="003159C5">
        <w:rPr>
          <w:lang w:val="fr-FR"/>
        </w:rPr>
        <w:t>’</w:t>
      </w:r>
      <w:r w:rsidRPr="003159C5">
        <w:rPr>
          <w:lang w:val="fr-FR"/>
        </w:rPr>
        <w:t>une ou l</w:t>
      </w:r>
      <w:r w:rsidR="000618AA" w:rsidRPr="003159C5">
        <w:rPr>
          <w:lang w:val="fr-FR"/>
        </w:rPr>
        <w:t>’</w:t>
      </w:r>
      <w:r w:rsidRPr="003159C5">
        <w:rPr>
          <w:lang w:val="fr-FR"/>
        </w:rPr>
        <w:t>autre commissi</w:t>
      </w:r>
      <w:r w:rsidR="00C9393A" w:rsidRPr="003159C5">
        <w:rPr>
          <w:lang w:val="fr-FR"/>
        </w:rPr>
        <w:t>on.  De</w:t>
      </w:r>
      <w:r w:rsidRPr="003159C5">
        <w:rPr>
          <w:lang w:val="fr-FR"/>
        </w:rPr>
        <w:t xml:space="preserve">puis </w:t>
      </w:r>
      <w:r w:rsidR="000618AA" w:rsidRPr="003159C5">
        <w:rPr>
          <w:lang w:val="fr-FR"/>
        </w:rPr>
        <w:t>janvier 20</w:t>
      </w:r>
      <w:r w:rsidRPr="003159C5">
        <w:rPr>
          <w:lang w:val="fr-FR"/>
        </w:rPr>
        <w:t>16, le Centre figure sur la liste des fournisseurs de services de règlement extrajudiciaire des litiges qui peuvent être choisis pour les procédures devant</w:t>
      </w:r>
      <w:r w:rsidR="000618AA" w:rsidRPr="003159C5">
        <w:rPr>
          <w:lang w:val="fr-FR"/>
        </w:rPr>
        <w:t xml:space="preserve"> le TTA</w:t>
      </w:r>
      <w:r w:rsidRPr="003159C5">
        <w:rPr>
          <w:lang w:val="fr-FR"/>
        </w:rPr>
        <w:t>B et</w:t>
      </w:r>
      <w:r w:rsidR="000618AA" w:rsidRPr="003159C5">
        <w:rPr>
          <w:lang w:val="fr-FR"/>
        </w:rPr>
        <w:t xml:space="preserve"> le PTA</w:t>
      </w:r>
      <w:r w:rsidRPr="003159C5">
        <w:rPr>
          <w:lang w:val="fr-FR"/>
        </w:rPr>
        <w:t>B.</w:t>
      </w:r>
    </w:p>
    <w:p w:rsidR="003159C5" w:rsidRPr="003159C5" w:rsidRDefault="00A146FA" w:rsidP="006D570C">
      <w:pPr>
        <w:pStyle w:val="ONUMFS"/>
        <w:rPr>
          <w:lang w:val="fr-FR"/>
        </w:rPr>
      </w:pPr>
      <w:r w:rsidRPr="003159C5">
        <w:rPr>
          <w:lang w:val="fr-FR"/>
        </w:rPr>
        <w:t>En 2015, le Centre a publié le Guide de l</w:t>
      </w:r>
      <w:r w:rsidR="000618AA" w:rsidRPr="003159C5">
        <w:rPr>
          <w:lang w:val="fr-FR"/>
        </w:rPr>
        <w:t>’</w:t>
      </w:r>
      <w:r w:rsidRPr="003159C5">
        <w:rPr>
          <w:lang w:val="fr-FR"/>
        </w:rPr>
        <w:t xml:space="preserve">OMPI sur les modes extrajudiciaires de règlement des litiges pour les </w:t>
      </w:r>
      <w:r w:rsidRPr="003159C5">
        <w:rPr>
          <w:sz w:val="24"/>
          <w:lang w:val="fr-FR"/>
        </w:rPr>
        <w:t xml:space="preserve">offices de propriété intellectuelle </w:t>
      </w:r>
      <w:r w:rsidRPr="003159C5">
        <w:rPr>
          <w:lang w:val="fr-FR"/>
        </w:rPr>
        <w:t>et les tribunaux</w:t>
      </w:r>
      <w:r w:rsidRPr="003159C5">
        <w:rPr>
          <w:rStyle w:val="FootnoteReference"/>
          <w:lang w:val="fr-FR"/>
        </w:rPr>
        <w:footnoteReference w:id="8"/>
      </w:r>
      <w:r w:rsidRPr="003159C5">
        <w:rPr>
          <w:lang w:val="fr-FR"/>
        </w:rPr>
        <w:t>.</w:t>
      </w:r>
      <w:r w:rsidR="00E012D1" w:rsidRPr="003159C5">
        <w:rPr>
          <w:lang w:val="fr-FR"/>
        </w:rPr>
        <w:t xml:space="preserve">  </w:t>
      </w:r>
      <w:r w:rsidRPr="003159C5">
        <w:rPr>
          <w:lang w:val="fr-FR"/>
        </w:rPr>
        <w:t>Compte tenu de l</w:t>
      </w:r>
      <w:r w:rsidR="000618AA" w:rsidRPr="003159C5">
        <w:rPr>
          <w:lang w:val="fr-FR"/>
        </w:rPr>
        <w:t>’</w:t>
      </w:r>
      <w:r w:rsidRPr="003159C5">
        <w:rPr>
          <w:lang w:val="fr-FR"/>
        </w:rPr>
        <w:t>expérience préalable de l</w:t>
      </w:r>
      <w:r w:rsidR="000618AA" w:rsidRPr="003159C5">
        <w:rPr>
          <w:lang w:val="fr-FR"/>
        </w:rPr>
        <w:t>’</w:t>
      </w:r>
      <w:r w:rsidRPr="003159C5">
        <w:rPr>
          <w:lang w:val="fr-FR"/>
        </w:rPr>
        <w:t>OMPI dans ce domaine, ce guide présente une vue d</w:t>
      </w:r>
      <w:r w:rsidR="000618AA" w:rsidRPr="003159C5">
        <w:rPr>
          <w:lang w:val="fr-FR"/>
        </w:rPr>
        <w:t>’</w:t>
      </w:r>
      <w:r w:rsidRPr="003159C5">
        <w:rPr>
          <w:lang w:val="fr-FR"/>
        </w:rPr>
        <w:t>ensemble des modes extrajudiciaires de règlement des litiges relatifs à la propriété intellectuelle et les différentes options permettant aux offices de propriété intellectuelle et aux tribunaux d</w:t>
      </w:r>
      <w:r w:rsidR="000618AA" w:rsidRPr="003159C5">
        <w:rPr>
          <w:lang w:val="fr-FR"/>
        </w:rPr>
        <w:t>’</w:t>
      </w:r>
      <w:r w:rsidRPr="003159C5">
        <w:rPr>
          <w:lang w:val="fr-FR"/>
        </w:rPr>
        <w:t>intégrer les modes extrajudiciaires de règlement des litiges à leurs procédur</w:t>
      </w:r>
      <w:r w:rsidR="00C9393A" w:rsidRPr="003159C5">
        <w:rPr>
          <w:lang w:val="fr-FR"/>
        </w:rPr>
        <w:t>es.  Le</w:t>
      </w:r>
      <w:r w:rsidRPr="003159C5">
        <w:rPr>
          <w:lang w:val="fr-FR"/>
        </w:rPr>
        <w:t xml:space="preserve"> guide comprend un aperçu des collaborations du Centre avec les offices de propriété intellectuelle et des documents types connexes.</w:t>
      </w:r>
    </w:p>
    <w:p w:rsidR="003159C5" w:rsidRDefault="00360CF6" w:rsidP="006D570C">
      <w:pPr>
        <w:pStyle w:val="Heading3"/>
      </w:pPr>
      <w:r w:rsidRPr="00360CF6">
        <w:rPr>
          <w:u w:val="none"/>
        </w:rPr>
        <w:t>b)</w:t>
      </w:r>
      <w:r w:rsidRPr="00360CF6">
        <w:rPr>
          <w:u w:val="none"/>
        </w:rPr>
        <w:tab/>
      </w:r>
      <w:r w:rsidR="00A146FA" w:rsidRPr="003159C5">
        <w:t>Procédure d</w:t>
      </w:r>
      <w:r w:rsidR="000618AA" w:rsidRPr="003159C5">
        <w:t>’</w:t>
      </w:r>
      <w:r w:rsidR="00A146FA" w:rsidRPr="003159C5">
        <w:t>urgence</w:t>
      </w:r>
    </w:p>
    <w:p w:rsidR="00360CF6" w:rsidRPr="00360CF6" w:rsidRDefault="00360CF6" w:rsidP="006D570C">
      <w:pPr>
        <w:rPr>
          <w:lang w:val="fr-FR"/>
        </w:rPr>
      </w:pPr>
    </w:p>
    <w:p w:rsidR="003159C5" w:rsidRPr="003159C5" w:rsidRDefault="00A146FA" w:rsidP="006D570C">
      <w:pPr>
        <w:pStyle w:val="ONUMFS"/>
        <w:rPr>
          <w:lang w:val="fr-FR"/>
        </w:rPr>
      </w:pPr>
      <w:r w:rsidRPr="003159C5">
        <w:rPr>
          <w:lang w:val="fr-FR"/>
        </w:rPr>
        <w:t>Le Centre a maintenu ses relations avec les organisateurs de salons et les associations en vue d</w:t>
      </w:r>
      <w:r w:rsidR="000618AA" w:rsidRPr="003159C5">
        <w:rPr>
          <w:lang w:val="fr-FR"/>
        </w:rPr>
        <w:t>’</w:t>
      </w:r>
      <w:r w:rsidRPr="003159C5">
        <w:rPr>
          <w:lang w:val="fr-FR"/>
        </w:rPr>
        <w:t>explorer les possibilités d</w:t>
      </w:r>
      <w:r w:rsidR="000618AA" w:rsidRPr="003159C5">
        <w:rPr>
          <w:lang w:val="fr-FR"/>
        </w:rPr>
        <w:t>’</w:t>
      </w:r>
      <w:r w:rsidRPr="003159C5">
        <w:rPr>
          <w:lang w:val="fr-FR"/>
        </w:rPr>
        <w:t>utilisation de mécanismes extrajudiciaires de règlement des litiges survenant à l</w:t>
      </w:r>
      <w:r w:rsidR="000618AA" w:rsidRPr="003159C5">
        <w:rPr>
          <w:lang w:val="fr-FR"/>
        </w:rPr>
        <w:t>’</w:t>
      </w:r>
      <w:r w:rsidRPr="003159C5">
        <w:rPr>
          <w:lang w:val="fr-FR"/>
        </w:rPr>
        <w:t>occasion de salo</w:t>
      </w:r>
      <w:r w:rsidR="00C9393A" w:rsidRPr="003159C5">
        <w:rPr>
          <w:lang w:val="fr-FR"/>
        </w:rPr>
        <w:t>ns.  En</w:t>
      </w:r>
      <w:r w:rsidR="0067439A" w:rsidRPr="003159C5">
        <w:rPr>
          <w:lang w:val="fr-FR"/>
        </w:rPr>
        <w:t> </w:t>
      </w:r>
      <w:r w:rsidRPr="003159C5">
        <w:rPr>
          <w:lang w:val="fr-FR"/>
        </w:rPr>
        <w:t>2015, le Centre a établi la procédure d</w:t>
      </w:r>
      <w:r w:rsidR="000618AA" w:rsidRPr="003159C5">
        <w:rPr>
          <w:lang w:val="fr-FR"/>
        </w:rPr>
        <w:t>’</w:t>
      </w:r>
      <w:r w:rsidRPr="003159C5">
        <w:rPr>
          <w:lang w:val="fr-FR"/>
        </w:rPr>
        <w:t>urgence pour le règlement des litiges de propriété intellectuelle survenant dans le cadre de salons organisés à Palex</w:t>
      </w:r>
      <w:r w:rsidR="00C9393A" w:rsidRPr="003159C5">
        <w:rPr>
          <w:lang w:val="fr-FR"/>
        </w:rPr>
        <w:t>po.  Ce</w:t>
      </w:r>
      <w:r w:rsidR="00D764D6" w:rsidRPr="003159C5">
        <w:rPr>
          <w:lang w:val="fr-FR"/>
        </w:rPr>
        <w:t>tte procédure vise à protéger dans les meilleurs délais et au meilleur coût les droits de propriété intellectuelle des exposants et des non</w:t>
      </w:r>
      <w:r w:rsidR="003159C5" w:rsidRPr="003159C5">
        <w:rPr>
          <w:lang w:val="fr-FR"/>
        </w:rPr>
        <w:noBreakHyphen/>
      </w:r>
      <w:r w:rsidR="00D764D6" w:rsidRPr="003159C5">
        <w:rPr>
          <w:lang w:val="fr-FR"/>
        </w:rPr>
        <w:t>exposants contre toute atteinte au droit d</w:t>
      </w:r>
      <w:r w:rsidR="000618AA" w:rsidRPr="003159C5">
        <w:rPr>
          <w:lang w:val="fr-FR"/>
        </w:rPr>
        <w:t>’</w:t>
      </w:r>
      <w:r w:rsidR="00D764D6" w:rsidRPr="003159C5">
        <w:rPr>
          <w:lang w:val="fr-FR"/>
        </w:rPr>
        <w:t>auteur ou aux droits attachés à des marques ou à des dessins ou modèles ou contre toute violation de la législation suisse sur la concurrence déloyale survenant à l</w:t>
      </w:r>
      <w:r w:rsidR="000618AA" w:rsidRPr="003159C5">
        <w:rPr>
          <w:lang w:val="fr-FR"/>
        </w:rPr>
        <w:t>’</w:t>
      </w:r>
      <w:r w:rsidR="00D764D6" w:rsidRPr="003159C5">
        <w:rPr>
          <w:lang w:val="fr-FR"/>
        </w:rPr>
        <w:t>occasion de salons tenus au centre Palexpo de Genè</w:t>
      </w:r>
      <w:r w:rsidR="00C9393A" w:rsidRPr="003159C5">
        <w:rPr>
          <w:lang w:val="fr-FR"/>
        </w:rPr>
        <w:t>ve.  Le</w:t>
      </w:r>
      <w:r w:rsidR="00D764D6" w:rsidRPr="003159C5">
        <w:rPr>
          <w:lang w:val="fr-FR"/>
        </w:rPr>
        <w:t>s décisions en vertu de la procédure sont rendues par un expert unique dans les 24</w:t>
      </w:r>
      <w:r w:rsidR="00C805BC">
        <w:rPr>
          <w:lang w:val="fr-FR"/>
        </w:rPr>
        <w:t> </w:t>
      </w:r>
      <w:r w:rsidR="00D764D6" w:rsidRPr="003159C5">
        <w:rPr>
          <w:lang w:val="fr-FR"/>
        </w:rPr>
        <w:t>heures suivant la requête et sont exécutoires avec effet immédiat dans l</w:t>
      </w:r>
      <w:r w:rsidR="000618AA" w:rsidRPr="003159C5">
        <w:rPr>
          <w:lang w:val="fr-FR"/>
        </w:rPr>
        <w:t>’</w:t>
      </w:r>
      <w:r w:rsidR="00D764D6" w:rsidRPr="003159C5">
        <w:rPr>
          <w:lang w:val="fr-FR"/>
        </w:rPr>
        <w:t>enceinte du sal</w:t>
      </w:r>
      <w:r w:rsidR="00C9393A" w:rsidRPr="003159C5">
        <w:rPr>
          <w:lang w:val="fr-FR"/>
        </w:rPr>
        <w:t>on.  Ch</w:t>
      </w:r>
      <w:r w:rsidR="00D764D6" w:rsidRPr="003159C5">
        <w:rPr>
          <w:lang w:val="fr-FR"/>
        </w:rPr>
        <w:t>aque partie peut former recours contre la décision de l</w:t>
      </w:r>
      <w:r w:rsidR="000618AA" w:rsidRPr="003159C5">
        <w:rPr>
          <w:lang w:val="fr-FR"/>
        </w:rPr>
        <w:t>’</w:t>
      </w:r>
      <w:r w:rsidR="00D764D6" w:rsidRPr="003159C5">
        <w:rPr>
          <w:lang w:val="fr-FR"/>
        </w:rPr>
        <w:t>expert dans le cadre d</w:t>
      </w:r>
      <w:r w:rsidR="000618AA" w:rsidRPr="003159C5">
        <w:rPr>
          <w:lang w:val="fr-FR"/>
        </w:rPr>
        <w:t>’</w:t>
      </w:r>
      <w:r w:rsidR="00D764D6" w:rsidRPr="003159C5">
        <w:rPr>
          <w:lang w:val="fr-FR"/>
        </w:rPr>
        <w:t>un arbitrage accéléré de l</w:t>
      </w:r>
      <w:r w:rsidR="000618AA" w:rsidRPr="003159C5">
        <w:rPr>
          <w:lang w:val="fr-FR"/>
        </w:rPr>
        <w:t>’</w:t>
      </w:r>
      <w:r w:rsidR="00D764D6" w:rsidRPr="003159C5">
        <w:rPr>
          <w:lang w:val="fr-FR"/>
        </w:rPr>
        <w:t>OMPI ou devant un tribun</w:t>
      </w:r>
      <w:r w:rsidR="00C9393A" w:rsidRPr="003159C5">
        <w:rPr>
          <w:lang w:val="fr-FR"/>
        </w:rPr>
        <w:t>al.  La</w:t>
      </w:r>
      <w:r w:rsidR="00D764D6" w:rsidRPr="003159C5">
        <w:rPr>
          <w:lang w:val="fr-FR"/>
        </w:rPr>
        <w:t xml:space="preserve"> procédure d</w:t>
      </w:r>
      <w:r w:rsidR="000618AA" w:rsidRPr="003159C5">
        <w:rPr>
          <w:lang w:val="fr-FR"/>
        </w:rPr>
        <w:t>’</w:t>
      </w:r>
      <w:r w:rsidR="00D764D6" w:rsidRPr="003159C5">
        <w:rPr>
          <w:lang w:val="fr-FR"/>
        </w:rPr>
        <w:t>urgence a été utilisée au Salon international de l</w:t>
      </w:r>
      <w:r w:rsidR="000618AA" w:rsidRPr="003159C5">
        <w:rPr>
          <w:lang w:val="fr-FR"/>
        </w:rPr>
        <w:t>’</w:t>
      </w:r>
      <w:r w:rsidR="00D764D6" w:rsidRPr="003159C5">
        <w:rPr>
          <w:lang w:val="fr-FR"/>
        </w:rPr>
        <w:t>auto de Genève en</w:t>
      </w:r>
      <w:r w:rsidR="0067439A" w:rsidRPr="003159C5">
        <w:rPr>
          <w:lang w:val="fr-FR"/>
        </w:rPr>
        <w:t> </w:t>
      </w:r>
      <w:r w:rsidR="00D764D6" w:rsidRPr="003159C5">
        <w:rPr>
          <w:lang w:val="fr-FR"/>
        </w:rPr>
        <w:t>2015 et 2016.</w:t>
      </w:r>
    </w:p>
    <w:p w:rsidR="003159C5" w:rsidRDefault="00360CF6" w:rsidP="006D570C">
      <w:pPr>
        <w:pStyle w:val="Heading3"/>
      </w:pPr>
      <w:r w:rsidRPr="00360CF6">
        <w:rPr>
          <w:u w:val="none"/>
        </w:rPr>
        <w:lastRenderedPageBreak/>
        <w:t>c)</w:t>
      </w:r>
      <w:r w:rsidRPr="00360CF6">
        <w:rPr>
          <w:u w:val="none"/>
        </w:rPr>
        <w:tab/>
      </w:r>
      <w:r w:rsidR="00D764D6" w:rsidRPr="003159C5">
        <w:t>Règlement des litiges portant sur les brevets dans les normes</w:t>
      </w:r>
    </w:p>
    <w:p w:rsidR="006D570C" w:rsidRPr="006D570C" w:rsidRDefault="006D570C" w:rsidP="006D570C">
      <w:pPr>
        <w:rPr>
          <w:lang w:val="fr-FR"/>
        </w:rPr>
      </w:pPr>
    </w:p>
    <w:p w:rsidR="003159C5" w:rsidRPr="003159C5" w:rsidRDefault="00D764D6" w:rsidP="006D570C">
      <w:pPr>
        <w:pStyle w:val="ONUMFS"/>
        <w:rPr>
          <w:lang w:val="fr-FR"/>
        </w:rPr>
      </w:pPr>
      <w:r w:rsidRPr="003159C5">
        <w:rPr>
          <w:lang w:val="fr-FR"/>
        </w:rPr>
        <w:t>Le Centre a poursuivi sa collaboration avec l</w:t>
      </w:r>
      <w:r w:rsidR="000618AA" w:rsidRPr="003159C5">
        <w:rPr>
          <w:lang w:val="fr-FR"/>
        </w:rPr>
        <w:t>’</w:t>
      </w:r>
      <w:r w:rsidRPr="003159C5">
        <w:rPr>
          <w:lang w:val="fr-FR"/>
        </w:rPr>
        <w:t>Institut européen des normes de télécommunications (IENT) pour élaborer et promouvoir des conventions ad</w:t>
      </w:r>
      <w:r w:rsidR="0067439A" w:rsidRPr="003159C5">
        <w:rPr>
          <w:lang w:val="fr-FR"/>
        </w:rPr>
        <w:t> </w:t>
      </w:r>
      <w:r w:rsidRPr="003159C5">
        <w:rPr>
          <w:lang w:val="fr-FR"/>
        </w:rPr>
        <w:t>hoc types sur mesure en matière d</w:t>
      </w:r>
      <w:r w:rsidR="000618AA" w:rsidRPr="003159C5">
        <w:rPr>
          <w:lang w:val="fr-FR"/>
        </w:rPr>
        <w:t>’</w:t>
      </w:r>
      <w:r w:rsidRPr="003159C5">
        <w:rPr>
          <w:lang w:val="fr-FR"/>
        </w:rPr>
        <w:t>arbitrage qui offrent un cadre pour un règlement des litiges efficace impliquant la concession de licences dans des conditions équitables, raisonnables et non discriminatoires (conditions FRAND)</w:t>
      </w:r>
      <w:r w:rsidRPr="003159C5">
        <w:rPr>
          <w:rStyle w:val="FootnoteReference"/>
          <w:szCs w:val="22"/>
          <w:lang w:val="fr-FR"/>
        </w:rPr>
        <w:footnoteReference w:id="9"/>
      </w:r>
      <w:r w:rsidRPr="003159C5">
        <w:rPr>
          <w:lang w:val="fr-FR"/>
        </w:rPr>
        <w:t>.</w:t>
      </w:r>
      <w:r w:rsidR="00B312F7" w:rsidRPr="003159C5">
        <w:rPr>
          <w:lang w:val="fr-FR"/>
        </w:rPr>
        <w:t xml:space="preserve">  </w:t>
      </w:r>
      <w:r w:rsidR="00EB74DB" w:rsidRPr="003159C5">
        <w:rPr>
          <w:lang w:val="fr-FR"/>
        </w:rPr>
        <w:t>En vertu d</w:t>
      </w:r>
      <w:r w:rsidR="000618AA" w:rsidRPr="003159C5">
        <w:rPr>
          <w:lang w:val="fr-FR"/>
        </w:rPr>
        <w:t>’</w:t>
      </w:r>
      <w:r w:rsidR="00EB74DB" w:rsidRPr="003159C5">
        <w:rPr>
          <w:lang w:val="fr-FR"/>
        </w:rPr>
        <w:t>un accord conclu en</w:t>
      </w:r>
      <w:r w:rsidR="0067439A" w:rsidRPr="003159C5">
        <w:rPr>
          <w:lang w:val="fr-FR"/>
        </w:rPr>
        <w:t> </w:t>
      </w:r>
      <w:r w:rsidR="00EB74DB" w:rsidRPr="003159C5">
        <w:rPr>
          <w:lang w:val="fr-FR"/>
        </w:rPr>
        <w:t>2015, l</w:t>
      </w:r>
      <w:r w:rsidR="000618AA" w:rsidRPr="003159C5">
        <w:rPr>
          <w:lang w:val="fr-FR"/>
        </w:rPr>
        <w:t>’</w:t>
      </w:r>
      <w:r w:rsidR="00EB74DB" w:rsidRPr="003159C5">
        <w:rPr>
          <w:lang w:val="fr-FR"/>
        </w:rPr>
        <w:t>OMPI collabore également dans ce domaine avec l</w:t>
      </w:r>
      <w:r w:rsidR="000618AA" w:rsidRPr="003159C5">
        <w:rPr>
          <w:lang w:val="fr-FR"/>
        </w:rPr>
        <w:t>’</w:t>
      </w:r>
      <w:r w:rsidR="00EB74DB" w:rsidRPr="003159C5">
        <w:rPr>
          <w:lang w:val="fr-FR"/>
        </w:rPr>
        <w:t>Institute of Electrical and Electronics Engineers (IEEE).</w:t>
      </w:r>
      <w:r w:rsidR="00B312F7" w:rsidRPr="003159C5">
        <w:rPr>
          <w:lang w:val="fr-FR"/>
        </w:rPr>
        <w:t xml:space="preserve">  </w:t>
      </w:r>
      <w:r w:rsidR="00EB74DB" w:rsidRPr="003159C5">
        <w:rPr>
          <w:lang w:val="fr-FR"/>
        </w:rPr>
        <w:t>Le recours au règlement extrajudiciaire pour ce type de litiges a été encouragé par les administrations chargées de la concurrence dans certains pays, et plusieurs organismes de normalisation intègrent les procédures de règlement extrajudiciaire des litiges dans leurs politiques en matière de propriété intellectuel</w:t>
      </w:r>
      <w:r w:rsidR="00C9393A" w:rsidRPr="003159C5">
        <w:rPr>
          <w:lang w:val="fr-FR"/>
        </w:rPr>
        <w:t>le.  Le</w:t>
      </w:r>
      <w:r w:rsidR="00EB74DB" w:rsidRPr="003159C5">
        <w:rPr>
          <w:lang w:val="fr-FR"/>
        </w:rPr>
        <w:t>s conventions types OMPI FRAND s</w:t>
      </w:r>
      <w:r w:rsidR="000618AA" w:rsidRPr="003159C5">
        <w:rPr>
          <w:lang w:val="fr-FR"/>
        </w:rPr>
        <w:t>’</w:t>
      </w:r>
      <w:r w:rsidR="00EB74DB" w:rsidRPr="003159C5">
        <w:rPr>
          <w:lang w:val="fr-FR"/>
        </w:rPr>
        <w:t>appuient sur l</w:t>
      </w:r>
      <w:r w:rsidR="000618AA" w:rsidRPr="003159C5">
        <w:rPr>
          <w:lang w:val="fr-FR"/>
        </w:rPr>
        <w:t>’</w:t>
      </w:r>
      <w:r w:rsidR="00EB74DB" w:rsidRPr="003159C5">
        <w:rPr>
          <w:lang w:val="fr-FR"/>
        </w:rPr>
        <w:t>expérience du Centre en matière d</w:t>
      </w:r>
      <w:r w:rsidR="000618AA" w:rsidRPr="003159C5">
        <w:rPr>
          <w:lang w:val="fr-FR"/>
        </w:rPr>
        <w:t>’</w:t>
      </w:r>
      <w:r w:rsidR="00EB74DB" w:rsidRPr="003159C5">
        <w:rPr>
          <w:lang w:val="fr-FR"/>
        </w:rPr>
        <w:t>arbitrages complexes dans le domaine des brevets et offrent une série de clauses spécialement adaptées aux conditions FRAND</w:t>
      </w:r>
      <w:r w:rsidR="00EB74DB" w:rsidRPr="003159C5">
        <w:rPr>
          <w:rStyle w:val="FootnoteReference"/>
          <w:lang w:val="fr-FR"/>
        </w:rPr>
        <w:footnoteReference w:id="10"/>
      </w:r>
      <w:r w:rsidR="00EB74DB" w:rsidRPr="003159C5">
        <w:rPr>
          <w:lang w:val="fr-FR"/>
        </w:rPr>
        <w:t>.</w:t>
      </w:r>
    </w:p>
    <w:p w:rsidR="003159C5" w:rsidRDefault="00360CF6" w:rsidP="006D570C">
      <w:pPr>
        <w:pStyle w:val="Heading3"/>
      </w:pPr>
      <w:r w:rsidRPr="00360CF6">
        <w:rPr>
          <w:u w:val="none"/>
        </w:rPr>
        <w:t>d)</w:t>
      </w:r>
      <w:r w:rsidRPr="00360CF6">
        <w:rPr>
          <w:u w:val="none"/>
        </w:rPr>
        <w:tab/>
      </w:r>
      <w:r w:rsidR="00E10C83" w:rsidRPr="003159C5">
        <w:t>Règlement des litiges en matière de recherche</w:t>
      </w:r>
      <w:r w:rsidR="003159C5" w:rsidRPr="003159C5">
        <w:noBreakHyphen/>
      </w:r>
      <w:r w:rsidR="00E10C83" w:rsidRPr="003159C5">
        <w:t>développement</w:t>
      </w:r>
    </w:p>
    <w:p w:rsidR="003159C5" w:rsidRPr="003159C5" w:rsidRDefault="003159C5" w:rsidP="006D570C">
      <w:pPr>
        <w:rPr>
          <w:lang w:val="fr-FR"/>
        </w:rPr>
      </w:pPr>
    </w:p>
    <w:p w:rsidR="003159C5" w:rsidRPr="003159C5" w:rsidRDefault="00E10C83" w:rsidP="006D570C">
      <w:pPr>
        <w:pStyle w:val="ONUMFS"/>
        <w:rPr>
          <w:lang w:val="fr-FR"/>
        </w:rPr>
      </w:pPr>
      <w:r w:rsidRPr="003159C5">
        <w:rPr>
          <w:lang w:val="fr-FR"/>
        </w:rPr>
        <w:t xml:space="preserve">Suite à </w:t>
      </w:r>
      <w:r w:rsidR="00C7472E" w:rsidRPr="003159C5">
        <w:rPr>
          <w:lang w:val="fr-FR"/>
        </w:rPr>
        <w:t>une coopération</w:t>
      </w:r>
      <w:r w:rsidRPr="003159C5">
        <w:rPr>
          <w:lang w:val="fr-FR"/>
        </w:rPr>
        <w:t xml:space="preserve"> </w:t>
      </w:r>
      <w:r w:rsidR="001D3AA8" w:rsidRPr="003159C5">
        <w:rPr>
          <w:lang w:val="fr-FR"/>
        </w:rPr>
        <w:t xml:space="preserve">précédente </w:t>
      </w:r>
      <w:r w:rsidRPr="003159C5">
        <w:rPr>
          <w:lang w:val="fr-FR"/>
        </w:rPr>
        <w:t>avec les parties prenantes à la recherche</w:t>
      </w:r>
      <w:r w:rsidR="003159C5" w:rsidRPr="003159C5">
        <w:rPr>
          <w:lang w:val="fr-FR"/>
        </w:rPr>
        <w:noBreakHyphen/>
      </w:r>
      <w:r w:rsidRPr="003159C5">
        <w:rPr>
          <w:lang w:val="fr-FR"/>
        </w:rPr>
        <w:t>développement européenne</w:t>
      </w:r>
      <w:r w:rsidRPr="003159C5">
        <w:rPr>
          <w:rStyle w:val="FootnoteReference"/>
          <w:lang w:val="fr-FR"/>
        </w:rPr>
        <w:footnoteReference w:id="11"/>
      </w:r>
      <w:r w:rsidRPr="003159C5">
        <w:rPr>
          <w:lang w:val="fr-FR"/>
        </w:rPr>
        <w:t>, des institutions allemandes</w:t>
      </w:r>
      <w:r w:rsidRPr="003159C5">
        <w:rPr>
          <w:rStyle w:val="FootnoteReference"/>
          <w:lang w:val="fr-FR"/>
        </w:rPr>
        <w:footnoteReference w:id="12"/>
      </w:r>
      <w:r w:rsidRPr="003159C5">
        <w:rPr>
          <w:lang w:val="fr-FR"/>
        </w:rPr>
        <w:t xml:space="preserve"> et des entités autrichiennes</w:t>
      </w:r>
      <w:r w:rsidRPr="003159C5">
        <w:rPr>
          <w:rStyle w:val="FootnoteReference"/>
          <w:lang w:val="fr-FR"/>
        </w:rPr>
        <w:footnoteReference w:id="13"/>
      </w:r>
      <w:r w:rsidRPr="003159C5">
        <w:rPr>
          <w:lang w:val="fr-FR"/>
        </w:rPr>
        <w:t>, le Centre a continué d</w:t>
      </w:r>
      <w:r w:rsidR="000618AA" w:rsidRPr="003159C5">
        <w:rPr>
          <w:lang w:val="fr-FR"/>
        </w:rPr>
        <w:t>’</w:t>
      </w:r>
      <w:r w:rsidRPr="003159C5">
        <w:rPr>
          <w:lang w:val="fr-FR"/>
        </w:rPr>
        <w:t>apporter son aide à l</w:t>
      </w:r>
      <w:r w:rsidR="000618AA" w:rsidRPr="003159C5">
        <w:rPr>
          <w:lang w:val="fr-FR"/>
        </w:rPr>
        <w:t>’</w:t>
      </w:r>
      <w:r w:rsidRPr="003159C5">
        <w:rPr>
          <w:lang w:val="fr-FR"/>
        </w:rPr>
        <w:t>élaboration d</w:t>
      </w:r>
      <w:r w:rsidR="000618AA" w:rsidRPr="003159C5">
        <w:rPr>
          <w:lang w:val="fr-FR"/>
        </w:rPr>
        <w:t>’</w:t>
      </w:r>
      <w:r w:rsidRPr="003159C5">
        <w:rPr>
          <w:lang w:val="fr-FR"/>
        </w:rPr>
        <w:t>accords types visant à favoriser une transmission efficace du savoir et de la technolog</w:t>
      </w:r>
      <w:r w:rsidR="00C9393A" w:rsidRPr="003159C5">
        <w:rPr>
          <w:lang w:val="fr-FR"/>
        </w:rPr>
        <w:t>ie.  Il</w:t>
      </w:r>
      <w:r w:rsidRPr="003159C5">
        <w:rPr>
          <w:lang w:val="fr-FR"/>
        </w:rPr>
        <w:t xml:space="preserve"> s</w:t>
      </w:r>
      <w:r w:rsidR="000618AA" w:rsidRPr="003159C5">
        <w:rPr>
          <w:lang w:val="fr-FR"/>
        </w:rPr>
        <w:t>’</w:t>
      </w:r>
      <w:r w:rsidRPr="003159C5">
        <w:rPr>
          <w:lang w:val="fr-FR"/>
        </w:rPr>
        <w:t>est notamment agi de la poursuite de la collaboration avec l</w:t>
      </w:r>
      <w:r w:rsidR="000618AA" w:rsidRPr="003159C5">
        <w:rPr>
          <w:lang w:val="fr-FR"/>
        </w:rPr>
        <w:t>’</w:t>
      </w:r>
      <w:r w:rsidRPr="003159C5">
        <w:rPr>
          <w:lang w:val="fr-FR"/>
        </w:rPr>
        <w:t>Office espagnol des brevets et des marques (OEPM) pour l</w:t>
      </w:r>
      <w:r w:rsidR="000618AA" w:rsidRPr="003159C5">
        <w:rPr>
          <w:lang w:val="fr-FR"/>
        </w:rPr>
        <w:t>’</w:t>
      </w:r>
      <w:r w:rsidRPr="003159C5">
        <w:rPr>
          <w:lang w:val="fr-FR"/>
        </w:rPr>
        <w:t>élaboration d</w:t>
      </w:r>
      <w:r w:rsidR="000618AA" w:rsidRPr="003159C5">
        <w:rPr>
          <w:lang w:val="fr-FR"/>
        </w:rPr>
        <w:t>’</w:t>
      </w:r>
      <w:r w:rsidRPr="003159C5">
        <w:rPr>
          <w:lang w:val="fr-FR"/>
        </w:rPr>
        <w:t>accords types supplémentaires de recherche</w:t>
      </w:r>
      <w:r w:rsidR="003159C5" w:rsidRPr="003159C5">
        <w:rPr>
          <w:lang w:val="fr-FR"/>
        </w:rPr>
        <w:noBreakHyphen/>
      </w:r>
      <w:r w:rsidRPr="003159C5">
        <w:rPr>
          <w:lang w:val="fr-FR"/>
        </w:rPr>
        <w:t>développement prévoyant des options de médiation et d</w:t>
      </w:r>
      <w:r w:rsidR="000618AA" w:rsidRPr="003159C5">
        <w:rPr>
          <w:lang w:val="fr-FR"/>
        </w:rPr>
        <w:t>’</w:t>
      </w:r>
      <w:r w:rsidRPr="003159C5">
        <w:rPr>
          <w:lang w:val="fr-FR"/>
        </w:rPr>
        <w:t>arbitrage accéléré de l</w:t>
      </w:r>
      <w:r w:rsidR="000618AA" w:rsidRPr="003159C5">
        <w:rPr>
          <w:lang w:val="fr-FR"/>
        </w:rPr>
        <w:t>’</w:t>
      </w:r>
      <w:r w:rsidRPr="003159C5">
        <w:rPr>
          <w:lang w:val="fr-FR"/>
        </w:rPr>
        <w:t>OMPI, ainsi que de guides connexes pour les utilisateurs</w:t>
      </w:r>
      <w:r w:rsidRPr="003159C5">
        <w:rPr>
          <w:rStyle w:val="FootnoteReference"/>
          <w:lang w:val="fr-FR"/>
        </w:rPr>
        <w:footnoteReference w:id="14"/>
      </w:r>
      <w:r w:rsidRPr="003159C5">
        <w:rPr>
          <w:lang w:val="fr-FR"/>
        </w:rPr>
        <w:t>.</w:t>
      </w:r>
    </w:p>
    <w:p w:rsidR="003159C5" w:rsidRPr="003159C5" w:rsidRDefault="00B61D15" w:rsidP="006D570C">
      <w:pPr>
        <w:pStyle w:val="ONUMFS"/>
        <w:rPr>
          <w:lang w:val="fr-FR"/>
        </w:rPr>
      </w:pPr>
      <w:r w:rsidRPr="003159C5">
        <w:rPr>
          <w:lang w:val="fr-FR"/>
        </w:rPr>
        <w:t>En outre, dans le cadre d</w:t>
      </w:r>
      <w:r w:rsidR="000618AA" w:rsidRPr="003159C5">
        <w:rPr>
          <w:lang w:val="fr-FR"/>
        </w:rPr>
        <w:t>’</w:t>
      </w:r>
      <w:r w:rsidRPr="003159C5">
        <w:rPr>
          <w:lang w:val="fr-FR"/>
        </w:rPr>
        <w:t>une initiative plus vaste faisant l</w:t>
      </w:r>
      <w:r w:rsidR="000618AA" w:rsidRPr="003159C5">
        <w:rPr>
          <w:lang w:val="fr-FR"/>
        </w:rPr>
        <w:t>’</w:t>
      </w:r>
      <w:r w:rsidRPr="003159C5">
        <w:rPr>
          <w:lang w:val="fr-FR"/>
        </w:rPr>
        <w:t>objet d</w:t>
      </w:r>
      <w:r w:rsidR="000618AA" w:rsidRPr="003159C5">
        <w:rPr>
          <w:lang w:val="fr-FR"/>
        </w:rPr>
        <w:t>’</w:t>
      </w:r>
      <w:r w:rsidRPr="003159C5">
        <w:rPr>
          <w:lang w:val="fr-FR"/>
        </w:rPr>
        <w:t>un mémorandum d</w:t>
      </w:r>
      <w:r w:rsidR="000618AA" w:rsidRPr="003159C5">
        <w:rPr>
          <w:lang w:val="fr-FR"/>
        </w:rPr>
        <w:t>’</w:t>
      </w:r>
      <w:r w:rsidRPr="003159C5">
        <w:rPr>
          <w:lang w:val="fr-FR"/>
        </w:rPr>
        <w:t xml:space="preserve">accord, le Centre a </w:t>
      </w:r>
      <w:r w:rsidR="001D3AA8" w:rsidRPr="003159C5">
        <w:rPr>
          <w:lang w:val="fr-FR"/>
        </w:rPr>
        <w:t>fourni</w:t>
      </w:r>
      <w:r w:rsidRPr="003159C5">
        <w:rPr>
          <w:lang w:val="fr-FR"/>
        </w:rPr>
        <w:t xml:space="preserve"> des orientations supplémentaires à l</w:t>
      </w:r>
      <w:r w:rsidR="000618AA" w:rsidRPr="003159C5">
        <w:rPr>
          <w:lang w:val="fr-FR"/>
        </w:rPr>
        <w:t>’</w:t>
      </w:r>
      <w:r w:rsidRPr="003159C5">
        <w:rPr>
          <w:lang w:val="fr-FR"/>
        </w:rPr>
        <w:t>Association of University Technology Managers (AUTM) pour promouvoir un règlement efficace des litiges à l</w:t>
      </w:r>
      <w:r w:rsidR="000618AA" w:rsidRPr="003159C5">
        <w:rPr>
          <w:lang w:val="fr-FR"/>
        </w:rPr>
        <w:t>’</w:t>
      </w:r>
      <w:r w:rsidRPr="003159C5">
        <w:rPr>
          <w:lang w:val="fr-FR"/>
        </w:rPr>
        <w:t>intention des services de transfert de technologie des universités du monde enti</w:t>
      </w:r>
      <w:r w:rsidR="00C9393A" w:rsidRPr="003159C5">
        <w:rPr>
          <w:lang w:val="fr-FR"/>
        </w:rPr>
        <w:t>er.  Su</w:t>
      </w:r>
      <w:r w:rsidRPr="003159C5">
        <w:rPr>
          <w:lang w:val="fr-FR"/>
        </w:rPr>
        <w:t>ite à la conclusion d</w:t>
      </w:r>
      <w:r w:rsidR="000618AA" w:rsidRPr="003159C5">
        <w:rPr>
          <w:lang w:val="fr-FR"/>
        </w:rPr>
        <w:t>’</w:t>
      </w:r>
      <w:r w:rsidRPr="003159C5">
        <w:rPr>
          <w:lang w:val="fr-FR"/>
        </w:rPr>
        <w:t>un précédent mémorandum d</w:t>
      </w:r>
      <w:r w:rsidR="000618AA" w:rsidRPr="003159C5">
        <w:rPr>
          <w:lang w:val="fr-FR"/>
        </w:rPr>
        <w:t>’</w:t>
      </w:r>
      <w:r w:rsidRPr="003159C5">
        <w:rPr>
          <w:lang w:val="fr-FR"/>
        </w:rPr>
        <w:t>accord sur les technologies vertes entre l</w:t>
      </w:r>
      <w:r w:rsidR="000618AA" w:rsidRPr="003159C5">
        <w:rPr>
          <w:lang w:val="fr-FR"/>
        </w:rPr>
        <w:t>’</w:t>
      </w:r>
      <w:r w:rsidRPr="003159C5">
        <w:rPr>
          <w:lang w:val="fr-FR"/>
        </w:rPr>
        <w:t>OMPI et la Korea Technology Finance Corporation (KOTEC), institution financière sans but lucratif qui fournit aux petites et moyennes entreprises (PME) de la République de Corée des garanties pour le développement technologique, le Centre et</w:t>
      </w:r>
      <w:r w:rsidR="000618AA" w:rsidRPr="003159C5">
        <w:rPr>
          <w:lang w:val="fr-FR"/>
        </w:rPr>
        <w:t xml:space="preserve"> la KOT</w:t>
      </w:r>
      <w:r w:rsidRPr="003159C5">
        <w:rPr>
          <w:lang w:val="fr-FR"/>
        </w:rPr>
        <w:t>EC sont convenus en</w:t>
      </w:r>
      <w:r w:rsidR="0067439A" w:rsidRPr="003159C5">
        <w:rPr>
          <w:lang w:val="fr-FR"/>
        </w:rPr>
        <w:t> </w:t>
      </w:r>
      <w:r w:rsidRPr="003159C5">
        <w:rPr>
          <w:lang w:val="fr-FR"/>
        </w:rPr>
        <w:t>2015 de collaborer à la promotion de l</w:t>
      </w:r>
      <w:r w:rsidR="000618AA" w:rsidRPr="003159C5">
        <w:rPr>
          <w:lang w:val="fr-FR"/>
        </w:rPr>
        <w:t>’</w:t>
      </w:r>
      <w:r w:rsidRPr="003159C5">
        <w:rPr>
          <w:lang w:val="fr-FR"/>
        </w:rPr>
        <w:t>utilisation par les clients de</w:t>
      </w:r>
      <w:r w:rsidR="000618AA" w:rsidRPr="003159C5">
        <w:rPr>
          <w:lang w:val="fr-FR"/>
        </w:rPr>
        <w:t xml:space="preserve"> la KOT</w:t>
      </w:r>
      <w:r w:rsidRPr="003159C5">
        <w:rPr>
          <w:lang w:val="fr-FR"/>
        </w:rPr>
        <w:t>EC des mécanismes extrajudiciaires de règlement des litiges proposés par l</w:t>
      </w:r>
      <w:r w:rsidR="000618AA" w:rsidRPr="003159C5">
        <w:rPr>
          <w:lang w:val="fr-FR"/>
        </w:rPr>
        <w:t>’</w:t>
      </w:r>
      <w:r w:rsidRPr="003159C5">
        <w:rPr>
          <w:lang w:val="fr-FR"/>
        </w:rPr>
        <w:t>OMPI.</w:t>
      </w:r>
    </w:p>
    <w:p w:rsidR="003159C5" w:rsidRDefault="00360CF6" w:rsidP="006D570C">
      <w:pPr>
        <w:pStyle w:val="Heading3"/>
      </w:pPr>
      <w:r w:rsidRPr="00360CF6">
        <w:rPr>
          <w:u w:val="none"/>
        </w:rPr>
        <w:t>e)</w:t>
      </w:r>
      <w:r w:rsidRPr="00360CF6">
        <w:rPr>
          <w:u w:val="none"/>
        </w:rPr>
        <w:tab/>
      </w:r>
      <w:r w:rsidR="00B61D15" w:rsidRPr="003159C5">
        <w:t>Règlement des litiges de franchisage</w:t>
      </w:r>
    </w:p>
    <w:p w:rsidR="003159C5" w:rsidRPr="003159C5" w:rsidRDefault="003159C5" w:rsidP="006D570C">
      <w:pPr>
        <w:rPr>
          <w:lang w:val="fr-FR"/>
        </w:rPr>
      </w:pPr>
    </w:p>
    <w:p w:rsidR="003159C5" w:rsidRDefault="00C60780" w:rsidP="006D570C">
      <w:pPr>
        <w:pStyle w:val="ONUMFS"/>
        <w:rPr>
          <w:rStyle w:val="ONUMEChar"/>
          <w:szCs w:val="22"/>
          <w:lang w:val="fr-FR"/>
        </w:rPr>
      </w:pPr>
      <w:r w:rsidRPr="003159C5">
        <w:rPr>
          <w:rStyle w:val="ONUMEChar"/>
          <w:szCs w:val="22"/>
          <w:lang w:val="fr-FR"/>
        </w:rPr>
        <w:t>Dans le cadre des services de règlement extrajudiciaire des litiges proposés dans des secteurs particuliers, et compte tenu de l</w:t>
      </w:r>
      <w:r w:rsidR="000618AA" w:rsidRPr="003159C5">
        <w:rPr>
          <w:rStyle w:val="ONUMEChar"/>
          <w:szCs w:val="22"/>
          <w:lang w:val="fr-FR"/>
        </w:rPr>
        <w:t>’</w:t>
      </w:r>
      <w:r w:rsidRPr="003159C5">
        <w:rPr>
          <w:rStyle w:val="ONUMEChar"/>
          <w:szCs w:val="22"/>
          <w:lang w:val="fr-FR"/>
        </w:rPr>
        <w:t xml:space="preserve">augmentation de nombre de litiges en matière de </w:t>
      </w:r>
      <w:r w:rsidRPr="003159C5">
        <w:rPr>
          <w:rStyle w:val="ONUMEChar"/>
          <w:szCs w:val="22"/>
          <w:lang w:val="fr-FR"/>
        </w:rPr>
        <w:lastRenderedPageBreak/>
        <w:t>franchises et d</w:t>
      </w:r>
      <w:r w:rsidR="000618AA" w:rsidRPr="003159C5">
        <w:rPr>
          <w:rStyle w:val="ONUMEChar"/>
          <w:szCs w:val="22"/>
          <w:lang w:val="fr-FR"/>
        </w:rPr>
        <w:t>’</w:t>
      </w:r>
      <w:r w:rsidRPr="003159C5">
        <w:rPr>
          <w:rStyle w:val="ONUMEChar"/>
          <w:szCs w:val="22"/>
          <w:lang w:val="fr-FR"/>
        </w:rPr>
        <w:t>accords de distribution, le Centre offre des services de conseil sur mesure et d</w:t>
      </w:r>
      <w:r w:rsidR="000618AA" w:rsidRPr="003159C5">
        <w:rPr>
          <w:rStyle w:val="ONUMEChar"/>
          <w:szCs w:val="22"/>
          <w:lang w:val="fr-FR"/>
        </w:rPr>
        <w:t>’</w:t>
      </w:r>
      <w:r w:rsidRPr="003159C5">
        <w:rPr>
          <w:rStyle w:val="ONUMEChar"/>
          <w:szCs w:val="22"/>
          <w:lang w:val="fr-FR"/>
        </w:rPr>
        <w:t>administration des litiges pour régler les litig</w:t>
      </w:r>
      <w:r w:rsidR="00C9393A" w:rsidRPr="003159C5">
        <w:rPr>
          <w:rStyle w:val="ONUMEChar"/>
          <w:szCs w:val="22"/>
          <w:lang w:val="fr-FR"/>
        </w:rPr>
        <w:t>es.  Le</w:t>
      </w:r>
      <w:r w:rsidR="008F48E8" w:rsidRPr="003159C5">
        <w:rPr>
          <w:rStyle w:val="ONUMEChar"/>
          <w:szCs w:val="22"/>
          <w:lang w:val="fr-FR"/>
        </w:rPr>
        <w:t xml:space="preserve"> Centre coopère notamment avec la Franchising and Licensing Association (FLA) de Singapour, la Fédération suisse de la franchise (FSF) et l</w:t>
      </w:r>
      <w:r w:rsidR="000618AA" w:rsidRPr="003159C5">
        <w:rPr>
          <w:rStyle w:val="ONUMEChar"/>
          <w:szCs w:val="22"/>
          <w:lang w:val="fr-FR"/>
        </w:rPr>
        <w:t>’</w:t>
      </w:r>
      <w:r w:rsidR="008F48E8" w:rsidRPr="003159C5">
        <w:rPr>
          <w:rStyle w:val="ONUMEChar"/>
          <w:szCs w:val="22"/>
          <w:lang w:val="fr-FR"/>
        </w:rPr>
        <w:t>Association espagnole des franchiseurs (AEF) pour mieux faire connaître les mécanismes extrajudiciaires de règlement des litiges proposés aux parties prenantes dans ces</w:t>
      </w:r>
      <w:r w:rsidR="001D3AA8" w:rsidRPr="003159C5">
        <w:rPr>
          <w:rStyle w:val="ONUMEChar"/>
          <w:szCs w:val="22"/>
          <w:lang w:val="fr-FR"/>
        </w:rPr>
        <w:t xml:space="preserve"> domain</w:t>
      </w:r>
      <w:r w:rsidR="00C9393A" w:rsidRPr="003159C5">
        <w:rPr>
          <w:rStyle w:val="ONUMEChar"/>
          <w:szCs w:val="22"/>
          <w:lang w:val="fr-FR"/>
        </w:rPr>
        <w:t>es.  En</w:t>
      </w:r>
      <w:r w:rsidR="0067439A" w:rsidRPr="003159C5">
        <w:rPr>
          <w:rStyle w:val="ONUMEChar"/>
          <w:szCs w:val="22"/>
          <w:lang w:val="fr-FR"/>
        </w:rPr>
        <w:t> </w:t>
      </w:r>
      <w:r w:rsidR="008F48E8" w:rsidRPr="003159C5">
        <w:rPr>
          <w:rStyle w:val="ONUMEChar"/>
          <w:szCs w:val="22"/>
          <w:lang w:val="fr-FR"/>
        </w:rPr>
        <w:t>2015, le Centre et l</w:t>
      </w:r>
      <w:r w:rsidR="000618AA" w:rsidRPr="003159C5">
        <w:rPr>
          <w:rStyle w:val="ONUMEChar"/>
          <w:szCs w:val="22"/>
          <w:lang w:val="fr-FR"/>
        </w:rPr>
        <w:t>’</w:t>
      </w:r>
      <w:r w:rsidR="008F48E8" w:rsidRPr="003159C5">
        <w:rPr>
          <w:rStyle w:val="ONUMEChar"/>
          <w:szCs w:val="22"/>
          <w:lang w:val="fr-FR"/>
        </w:rPr>
        <w:t>Association brésilienne de la franchise (ABF) ont conclu un accord pour travailler ensemble à l</w:t>
      </w:r>
      <w:r w:rsidR="000618AA" w:rsidRPr="003159C5">
        <w:rPr>
          <w:rStyle w:val="ONUMEChar"/>
          <w:szCs w:val="22"/>
          <w:lang w:val="fr-FR"/>
        </w:rPr>
        <w:t>’</w:t>
      </w:r>
      <w:r w:rsidR="008F48E8" w:rsidRPr="003159C5">
        <w:rPr>
          <w:rStyle w:val="ONUMEChar"/>
          <w:szCs w:val="22"/>
          <w:lang w:val="fr-FR"/>
        </w:rPr>
        <w:t>établissement de procédures et de services OMPI de règlement extrajudiciaire des litiges impliquant des membres de l</w:t>
      </w:r>
      <w:r w:rsidR="000618AA" w:rsidRPr="003159C5">
        <w:rPr>
          <w:rStyle w:val="ONUMEChar"/>
          <w:szCs w:val="22"/>
          <w:lang w:val="fr-FR"/>
        </w:rPr>
        <w:t>’</w:t>
      </w:r>
      <w:r w:rsidR="008F48E8" w:rsidRPr="003159C5">
        <w:rPr>
          <w:rStyle w:val="ONUMEChar"/>
          <w:szCs w:val="22"/>
          <w:lang w:val="fr-FR"/>
        </w:rPr>
        <w:t>ABF</w:t>
      </w:r>
      <w:r w:rsidR="008F48E8" w:rsidRPr="003159C5">
        <w:rPr>
          <w:rStyle w:val="FootnoteReference"/>
          <w:szCs w:val="22"/>
          <w:lang w:val="fr-FR"/>
        </w:rPr>
        <w:footnoteReference w:id="15"/>
      </w:r>
      <w:r w:rsidR="008F48E8" w:rsidRPr="003159C5">
        <w:rPr>
          <w:rStyle w:val="ONUMEChar"/>
          <w:szCs w:val="22"/>
          <w:lang w:val="fr-FR"/>
        </w:rPr>
        <w:t>.</w:t>
      </w:r>
    </w:p>
    <w:p w:rsidR="003159C5" w:rsidRDefault="00360CF6" w:rsidP="006D570C">
      <w:pPr>
        <w:pStyle w:val="Heading3"/>
        <w:rPr>
          <w:rStyle w:val="ONUMEChar"/>
          <w:szCs w:val="22"/>
        </w:rPr>
      </w:pPr>
      <w:r w:rsidRPr="00360CF6">
        <w:rPr>
          <w:rStyle w:val="ONUMEChar"/>
          <w:szCs w:val="22"/>
          <w:u w:val="none"/>
        </w:rPr>
        <w:t>f)</w:t>
      </w:r>
      <w:r w:rsidRPr="00360CF6">
        <w:rPr>
          <w:rStyle w:val="ONUMEChar"/>
          <w:szCs w:val="22"/>
          <w:u w:val="none"/>
        </w:rPr>
        <w:tab/>
      </w:r>
      <w:r w:rsidR="008F48E8" w:rsidRPr="003159C5">
        <w:rPr>
          <w:rStyle w:val="ONUMEChar"/>
          <w:szCs w:val="22"/>
        </w:rPr>
        <w:t>Films et médias</w:t>
      </w:r>
    </w:p>
    <w:p w:rsidR="003159C5" w:rsidRPr="003159C5" w:rsidRDefault="003159C5" w:rsidP="006D570C">
      <w:pPr>
        <w:rPr>
          <w:lang w:val="fr-FR"/>
        </w:rPr>
      </w:pPr>
    </w:p>
    <w:p w:rsidR="003159C5" w:rsidRPr="003159C5" w:rsidRDefault="008F48E8" w:rsidP="006D570C">
      <w:pPr>
        <w:pStyle w:val="ONUMFS"/>
        <w:rPr>
          <w:rStyle w:val="ONUMEChar"/>
          <w:rFonts w:eastAsia="Times New Roman"/>
          <w:szCs w:val="22"/>
          <w:lang w:val="fr-FR" w:eastAsia="en-US"/>
        </w:rPr>
      </w:pPr>
      <w:r w:rsidRPr="003159C5">
        <w:rPr>
          <w:rStyle w:val="ONUMEChar"/>
          <w:szCs w:val="22"/>
          <w:lang w:val="fr-FR"/>
        </w:rPr>
        <w:t>Le Centre a po</w:t>
      </w:r>
      <w:r w:rsidR="00A33390">
        <w:rPr>
          <w:rStyle w:val="ONUMEChar"/>
          <w:szCs w:val="22"/>
          <w:lang w:val="fr-FR"/>
        </w:rPr>
        <w:t>u</w:t>
      </w:r>
      <w:r w:rsidRPr="003159C5">
        <w:rPr>
          <w:rStyle w:val="ONUMEChar"/>
          <w:szCs w:val="22"/>
          <w:lang w:val="fr-FR"/>
        </w:rPr>
        <w:t>rsuivi sa coopération avec l</w:t>
      </w:r>
      <w:r w:rsidR="007707EC">
        <w:rPr>
          <w:rStyle w:val="ONUMEChar"/>
          <w:szCs w:val="22"/>
          <w:lang w:val="fr-FR"/>
        </w:rPr>
        <w:t>a</w:t>
      </w:r>
      <w:r w:rsidRPr="003159C5">
        <w:rPr>
          <w:rStyle w:val="ONUMEChar"/>
          <w:szCs w:val="22"/>
          <w:lang w:val="fr-FR"/>
        </w:rPr>
        <w:t xml:space="preserve"> Format Recognition and Protection Association (FRAPA) au sujet du règlement extrajudiciaire dans le domaine des litiges liés au format des programmes de télévisi</w:t>
      </w:r>
      <w:r w:rsidR="00C9393A" w:rsidRPr="003159C5">
        <w:rPr>
          <w:rStyle w:val="ONUMEChar"/>
          <w:szCs w:val="22"/>
          <w:lang w:val="fr-FR"/>
        </w:rPr>
        <w:t>on.  Le</w:t>
      </w:r>
      <w:r w:rsidRPr="003159C5">
        <w:rPr>
          <w:rStyle w:val="ONUMEChar"/>
          <w:szCs w:val="22"/>
          <w:lang w:val="fr-FR"/>
        </w:rPr>
        <w:t xml:space="preserve"> Centre a traité les litiges relatifs aux formats télévisuels administrés en vertu du Règlement de médiation et d</w:t>
      </w:r>
      <w:r w:rsidR="000618AA" w:rsidRPr="003159C5">
        <w:rPr>
          <w:rStyle w:val="ONUMEChar"/>
          <w:szCs w:val="22"/>
          <w:lang w:val="fr-FR"/>
        </w:rPr>
        <w:t>’</w:t>
      </w:r>
      <w:r w:rsidRPr="003159C5">
        <w:rPr>
          <w:rStyle w:val="ONUMEChar"/>
          <w:szCs w:val="22"/>
          <w:lang w:val="fr-FR"/>
        </w:rPr>
        <w:t>arbitrage accéléré de l</w:t>
      </w:r>
      <w:r w:rsidR="000618AA" w:rsidRPr="003159C5">
        <w:rPr>
          <w:rStyle w:val="ONUMEChar"/>
          <w:szCs w:val="22"/>
          <w:lang w:val="fr-FR"/>
        </w:rPr>
        <w:t>’</w:t>
      </w:r>
      <w:r w:rsidRPr="003159C5">
        <w:rPr>
          <w:rStyle w:val="ONUMEChar"/>
          <w:szCs w:val="22"/>
          <w:lang w:val="fr-FR"/>
        </w:rPr>
        <w:t>OMPI pour le secteur du film et des médi</w:t>
      </w:r>
      <w:r w:rsidR="00C9393A" w:rsidRPr="003159C5">
        <w:rPr>
          <w:rStyle w:val="ONUMEChar"/>
          <w:szCs w:val="22"/>
          <w:lang w:val="fr-FR"/>
        </w:rPr>
        <w:t>as.  De</w:t>
      </w:r>
      <w:r w:rsidRPr="003159C5">
        <w:rPr>
          <w:rStyle w:val="ONUMEChar"/>
          <w:szCs w:val="22"/>
          <w:lang w:val="fr-FR"/>
        </w:rPr>
        <w:t>puis</w:t>
      </w:r>
      <w:r w:rsidR="0067439A" w:rsidRPr="003159C5">
        <w:rPr>
          <w:rStyle w:val="ONUMEChar"/>
          <w:szCs w:val="22"/>
          <w:lang w:val="fr-FR"/>
        </w:rPr>
        <w:t> </w:t>
      </w:r>
      <w:r w:rsidRPr="003159C5">
        <w:rPr>
          <w:rStyle w:val="ONUMEChar"/>
          <w:szCs w:val="22"/>
          <w:lang w:val="fr-FR"/>
        </w:rPr>
        <w:t>2015, le Centre collabore également avec l</w:t>
      </w:r>
      <w:r w:rsidR="007707EC">
        <w:rPr>
          <w:rStyle w:val="ONUMEChar"/>
          <w:szCs w:val="22"/>
          <w:lang w:val="fr-FR"/>
        </w:rPr>
        <w:t>’</w:t>
      </w:r>
      <w:r w:rsidRPr="003159C5">
        <w:rPr>
          <w:rStyle w:val="ONUMEChar"/>
          <w:szCs w:val="22"/>
          <w:lang w:val="fr-FR"/>
        </w:rPr>
        <w:t>Arbeitsgemeinschaft Dokumentarfilm (AGDOK), en Allemagne, au sujet des litiges relatifs aux documentaires et il a administré des litiges dans ces domaines en vertu du Règlement de médiation de l</w:t>
      </w:r>
      <w:r w:rsidR="000618AA" w:rsidRPr="003159C5">
        <w:rPr>
          <w:rStyle w:val="ONUMEChar"/>
          <w:szCs w:val="22"/>
          <w:lang w:val="fr-FR"/>
        </w:rPr>
        <w:t>’</w:t>
      </w:r>
      <w:r w:rsidRPr="003159C5">
        <w:rPr>
          <w:rStyle w:val="ONUMEChar"/>
          <w:szCs w:val="22"/>
          <w:lang w:val="fr-FR"/>
        </w:rPr>
        <w:t>OMPI</w:t>
      </w:r>
      <w:r w:rsidRPr="003159C5">
        <w:rPr>
          <w:rStyle w:val="FootnoteReference"/>
          <w:szCs w:val="22"/>
          <w:lang w:val="fr-FR"/>
        </w:rPr>
        <w:footnoteReference w:id="16"/>
      </w:r>
      <w:r w:rsidRPr="003159C5">
        <w:rPr>
          <w:rStyle w:val="ONUMEChar"/>
          <w:szCs w:val="22"/>
          <w:lang w:val="fr-FR"/>
        </w:rPr>
        <w:t>.</w:t>
      </w:r>
    </w:p>
    <w:p w:rsidR="003159C5" w:rsidRPr="003159C5" w:rsidRDefault="003159C5" w:rsidP="006D570C">
      <w:pPr>
        <w:pStyle w:val="Heading1"/>
      </w:pPr>
      <w:r>
        <w:t>A</w:t>
      </w:r>
      <w:r w:rsidRPr="003159C5">
        <w:t>dministration des litiges relatifs aux noms de domaine</w:t>
      </w:r>
    </w:p>
    <w:p w:rsidR="003159C5" w:rsidRDefault="004C16C1" w:rsidP="006D570C">
      <w:pPr>
        <w:pStyle w:val="Heading2"/>
      </w:pPr>
      <w:r w:rsidRPr="003159C5">
        <w:t>Principes</w:t>
      </w:r>
      <w:r w:rsidR="003159C5">
        <w:t> </w:t>
      </w:r>
      <w:r w:rsidRPr="003159C5">
        <w:t>UDRP</w:t>
      </w:r>
    </w:p>
    <w:p w:rsidR="003159C5" w:rsidRPr="003159C5" w:rsidRDefault="003159C5" w:rsidP="006D570C">
      <w:pPr>
        <w:rPr>
          <w:lang w:val="fr-FR"/>
        </w:rPr>
      </w:pPr>
    </w:p>
    <w:p w:rsidR="003159C5" w:rsidRPr="003159C5" w:rsidRDefault="004C16C1" w:rsidP="006D570C">
      <w:pPr>
        <w:pStyle w:val="ONUMFS"/>
        <w:rPr>
          <w:szCs w:val="24"/>
          <w:lang w:val="fr-FR"/>
        </w:rPr>
      </w:pPr>
      <w:r w:rsidRPr="003159C5">
        <w:rPr>
          <w:szCs w:val="24"/>
          <w:lang w:val="fr-FR"/>
        </w:rPr>
        <w:t>Le système de noms de domaine (DNS) soulève sur le plan de la protection de la propriété intellectuelle un certain nombre de défis qui, compte tenu de la nature planétaire de l</w:t>
      </w:r>
      <w:r w:rsidR="000618AA" w:rsidRPr="003159C5">
        <w:rPr>
          <w:szCs w:val="24"/>
          <w:lang w:val="fr-FR"/>
        </w:rPr>
        <w:t>’</w:t>
      </w:r>
      <w:r w:rsidRPr="003159C5">
        <w:rPr>
          <w:szCs w:val="24"/>
          <w:lang w:val="fr-FR"/>
        </w:rPr>
        <w:t>Internet, appellent une action internationale.</w:t>
      </w:r>
      <w:r w:rsidR="00796EAB" w:rsidRPr="003159C5">
        <w:rPr>
          <w:szCs w:val="24"/>
          <w:lang w:val="fr-FR"/>
        </w:rPr>
        <w:t xml:space="preserve">  </w:t>
      </w:r>
      <w:r w:rsidRPr="003159C5">
        <w:rPr>
          <w:szCs w:val="24"/>
          <w:lang w:val="fr-FR"/>
        </w:rPr>
        <w:t>L</w:t>
      </w:r>
      <w:r w:rsidR="000618AA" w:rsidRPr="003159C5">
        <w:rPr>
          <w:szCs w:val="24"/>
          <w:lang w:val="fr-FR"/>
        </w:rPr>
        <w:t>’</w:t>
      </w:r>
      <w:r w:rsidRPr="003159C5">
        <w:rPr>
          <w:szCs w:val="24"/>
          <w:lang w:val="fr-FR"/>
        </w:rPr>
        <w:t>OMPI répond à ces défis depuis</w:t>
      </w:r>
      <w:r w:rsidR="0067439A" w:rsidRPr="003159C5">
        <w:rPr>
          <w:szCs w:val="24"/>
          <w:lang w:val="fr-FR"/>
        </w:rPr>
        <w:t> </w:t>
      </w:r>
      <w:r w:rsidRPr="003159C5">
        <w:rPr>
          <w:szCs w:val="24"/>
          <w:lang w:val="fr-FR"/>
        </w:rPr>
        <w:t>1998, en élaborant des solutions sur mesure, notamment dans le cadre des premier</w:t>
      </w:r>
      <w:r w:rsidRPr="003159C5">
        <w:rPr>
          <w:rStyle w:val="FootnoteReference"/>
          <w:szCs w:val="24"/>
          <w:lang w:val="fr-FR"/>
        </w:rPr>
        <w:footnoteReference w:id="17"/>
      </w:r>
      <w:r w:rsidRPr="003159C5">
        <w:rPr>
          <w:szCs w:val="24"/>
          <w:lang w:val="fr-FR"/>
        </w:rPr>
        <w:t xml:space="preserve"> et deuxième</w:t>
      </w:r>
      <w:r w:rsidRPr="003159C5">
        <w:rPr>
          <w:rStyle w:val="FootnoteReference"/>
          <w:szCs w:val="24"/>
          <w:lang w:val="fr-FR"/>
        </w:rPr>
        <w:footnoteReference w:id="18"/>
      </w:r>
      <w:r w:rsidRPr="003159C5">
        <w:rPr>
          <w:szCs w:val="24"/>
          <w:lang w:val="fr-FR"/>
        </w:rPr>
        <w:t xml:space="preserve"> processus de consultations de l</w:t>
      </w:r>
      <w:r w:rsidR="000618AA" w:rsidRPr="003159C5">
        <w:rPr>
          <w:szCs w:val="24"/>
          <w:lang w:val="fr-FR"/>
        </w:rPr>
        <w:t>’</w:t>
      </w:r>
      <w:r w:rsidRPr="003159C5">
        <w:rPr>
          <w:szCs w:val="24"/>
          <w:lang w:val="fr-FR"/>
        </w:rPr>
        <w:t>OMPI sur les noms de domaine de l</w:t>
      </w:r>
      <w:r w:rsidR="000618AA" w:rsidRPr="003159C5">
        <w:rPr>
          <w:szCs w:val="24"/>
          <w:lang w:val="fr-FR"/>
        </w:rPr>
        <w:t>’</w:t>
      </w:r>
      <w:r w:rsidRPr="003159C5">
        <w:rPr>
          <w:szCs w:val="24"/>
          <w:lang w:val="fr-FR"/>
        </w:rPr>
        <w:t>Intern</w:t>
      </w:r>
      <w:r w:rsidR="00C9393A" w:rsidRPr="003159C5">
        <w:rPr>
          <w:szCs w:val="24"/>
          <w:lang w:val="fr-FR"/>
        </w:rPr>
        <w:t>et.  Pa</w:t>
      </w:r>
      <w:r w:rsidRPr="003159C5">
        <w:rPr>
          <w:szCs w:val="24"/>
          <w:lang w:val="fr-FR"/>
        </w:rPr>
        <w:t>r l</w:t>
      </w:r>
      <w:r w:rsidR="000618AA" w:rsidRPr="003159C5">
        <w:rPr>
          <w:szCs w:val="24"/>
          <w:lang w:val="fr-FR"/>
        </w:rPr>
        <w:t>’</w:t>
      </w:r>
      <w:r w:rsidRPr="003159C5">
        <w:rPr>
          <w:szCs w:val="24"/>
          <w:lang w:val="fr-FR"/>
        </w:rPr>
        <w:t>intermédiaire du Centre, l</w:t>
      </w:r>
      <w:r w:rsidR="000618AA" w:rsidRPr="003159C5">
        <w:rPr>
          <w:szCs w:val="24"/>
          <w:lang w:val="fr-FR"/>
        </w:rPr>
        <w:t>’</w:t>
      </w:r>
      <w:r w:rsidRPr="003159C5">
        <w:rPr>
          <w:szCs w:val="24"/>
          <w:lang w:val="fr-FR"/>
        </w:rPr>
        <w:t>OMPI met à la disposition des propriétaires de marques des mécanismes internationaux efficaces contre l</w:t>
      </w:r>
      <w:r w:rsidR="000618AA" w:rsidRPr="003159C5">
        <w:rPr>
          <w:szCs w:val="24"/>
          <w:lang w:val="fr-FR"/>
        </w:rPr>
        <w:t>’</w:t>
      </w:r>
      <w:r w:rsidRPr="003159C5">
        <w:rPr>
          <w:szCs w:val="24"/>
          <w:lang w:val="fr-FR"/>
        </w:rPr>
        <w:t>enregistrement et l</w:t>
      </w:r>
      <w:r w:rsidR="000618AA" w:rsidRPr="003159C5">
        <w:rPr>
          <w:szCs w:val="24"/>
          <w:lang w:val="fr-FR"/>
        </w:rPr>
        <w:t>’</w:t>
      </w:r>
      <w:r w:rsidRPr="003159C5">
        <w:rPr>
          <w:szCs w:val="24"/>
          <w:lang w:val="fr-FR"/>
        </w:rPr>
        <w:t>utilisation de mauvaise foi de noms de domaine correspondant à leurs marqu</w:t>
      </w:r>
      <w:r w:rsidR="00C9393A" w:rsidRPr="003159C5">
        <w:rPr>
          <w:szCs w:val="24"/>
          <w:lang w:val="fr-FR"/>
        </w:rPr>
        <w:t>es.  Le</w:t>
      </w:r>
      <w:r w:rsidRPr="003159C5">
        <w:rPr>
          <w:szCs w:val="24"/>
          <w:lang w:val="fr-FR"/>
        </w:rPr>
        <w:t xml:space="preserve"> principal mécanisme administré par le Centre, </w:t>
      </w:r>
      <w:r w:rsidR="000618AA" w:rsidRPr="003159C5">
        <w:rPr>
          <w:szCs w:val="24"/>
          <w:lang w:val="fr-FR"/>
        </w:rPr>
        <w:t>à savoir</w:t>
      </w:r>
      <w:r w:rsidRPr="003159C5">
        <w:rPr>
          <w:szCs w:val="24"/>
          <w:lang w:val="fr-FR"/>
        </w:rPr>
        <w:t xml:space="preserve"> les principes</w:t>
      </w:r>
      <w:r w:rsidR="007707EC">
        <w:rPr>
          <w:szCs w:val="24"/>
          <w:lang w:val="fr-FR"/>
        </w:rPr>
        <w:t> </w:t>
      </w:r>
      <w:r w:rsidRPr="003159C5">
        <w:rPr>
          <w:szCs w:val="24"/>
          <w:lang w:val="fr-FR"/>
        </w:rPr>
        <w:t>UDRP, a été adopté par l</w:t>
      </w:r>
      <w:r w:rsidR="000618AA" w:rsidRPr="003159C5">
        <w:rPr>
          <w:szCs w:val="24"/>
          <w:lang w:val="fr-FR"/>
        </w:rPr>
        <w:t>’</w:t>
      </w:r>
      <w:r w:rsidRPr="003159C5">
        <w:rPr>
          <w:szCs w:val="24"/>
          <w:lang w:val="fr-FR"/>
        </w:rPr>
        <w:t>ICANN sur la base des recommandations faites par l</w:t>
      </w:r>
      <w:r w:rsidR="000618AA" w:rsidRPr="003159C5">
        <w:rPr>
          <w:szCs w:val="24"/>
          <w:lang w:val="fr-FR"/>
        </w:rPr>
        <w:t>’</w:t>
      </w:r>
      <w:r w:rsidRPr="003159C5">
        <w:rPr>
          <w:szCs w:val="24"/>
          <w:lang w:val="fr-FR"/>
        </w:rPr>
        <w:t>OMPI à l</w:t>
      </w:r>
      <w:r w:rsidR="000618AA" w:rsidRPr="003159C5">
        <w:rPr>
          <w:szCs w:val="24"/>
          <w:lang w:val="fr-FR"/>
        </w:rPr>
        <w:t>’</w:t>
      </w:r>
      <w:r w:rsidRPr="003159C5">
        <w:rPr>
          <w:szCs w:val="24"/>
          <w:lang w:val="fr-FR"/>
        </w:rPr>
        <w:t>issue du premier processus de consultations sur les noms de domaine de l</w:t>
      </w:r>
      <w:r w:rsidR="000618AA" w:rsidRPr="003159C5">
        <w:rPr>
          <w:szCs w:val="24"/>
          <w:lang w:val="fr-FR"/>
        </w:rPr>
        <w:t>’</w:t>
      </w:r>
      <w:r w:rsidRPr="003159C5">
        <w:rPr>
          <w:szCs w:val="24"/>
          <w:lang w:val="fr-FR"/>
        </w:rPr>
        <w:t>Internet.</w:t>
      </w:r>
    </w:p>
    <w:p w:rsidR="00272B75" w:rsidRPr="00272B75" w:rsidRDefault="004C16C1" w:rsidP="00272B75">
      <w:pPr>
        <w:pStyle w:val="ONUMFS"/>
        <w:rPr>
          <w:szCs w:val="24"/>
          <w:lang w:val="fr-FR"/>
        </w:rPr>
      </w:pPr>
      <w:r w:rsidRPr="00272B75">
        <w:rPr>
          <w:szCs w:val="24"/>
          <w:lang w:val="fr-FR"/>
        </w:rPr>
        <w:t xml:space="preserve">Les </w:t>
      </w:r>
      <w:r w:rsidR="006D570C" w:rsidRPr="00272B75">
        <w:rPr>
          <w:szCs w:val="24"/>
          <w:lang w:val="fr-FR"/>
        </w:rPr>
        <w:t>principes UDRP</w:t>
      </w:r>
      <w:r w:rsidRPr="00272B75">
        <w:rPr>
          <w:szCs w:val="24"/>
          <w:lang w:val="fr-FR"/>
        </w:rPr>
        <w:t xml:space="preserve"> s</w:t>
      </w:r>
      <w:r w:rsidR="000618AA" w:rsidRPr="00272B75">
        <w:rPr>
          <w:szCs w:val="24"/>
          <w:lang w:val="fr-FR"/>
        </w:rPr>
        <w:t>’</w:t>
      </w:r>
      <w:r w:rsidRPr="00272B75">
        <w:rPr>
          <w:szCs w:val="24"/>
          <w:lang w:val="fr-FR"/>
        </w:rPr>
        <w:t>appliquent exclusivement aux cas manifestes d</w:t>
      </w:r>
      <w:r w:rsidR="000618AA" w:rsidRPr="00272B75">
        <w:rPr>
          <w:szCs w:val="24"/>
          <w:lang w:val="fr-FR"/>
        </w:rPr>
        <w:t>’</w:t>
      </w:r>
      <w:r w:rsidRPr="00272B75">
        <w:rPr>
          <w:szCs w:val="24"/>
          <w:lang w:val="fr-FR"/>
        </w:rPr>
        <w:t>enregistrement et d</w:t>
      </w:r>
      <w:r w:rsidR="000618AA" w:rsidRPr="00272B75">
        <w:rPr>
          <w:szCs w:val="24"/>
          <w:lang w:val="fr-FR"/>
        </w:rPr>
        <w:t>’</w:t>
      </w:r>
      <w:r w:rsidRPr="00272B75">
        <w:rPr>
          <w:szCs w:val="24"/>
          <w:lang w:val="fr-FR"/>
        </w:rPr>
        <w:t xml:space="preserve">usage abusifs ou de mauvaise foi de noms de domaine et sont très </w:t>
      </w:r>
      <w:r w:rsidR="0076445E" w:rsidRPr="00272B75">
        <w:rPr>
          <w:szCs w:val="24"/>
          <w:lang w:val="fr-FR"/>
        </w:rPr>
        <w:t>utiles aux</w:t>
      </w:r>
      <w:r w:rsidRPr="00272B75">
        <w:rPr>
          <w:szCs w:val="24"/>
          <w:lang w:val="fr-FR"/>
        </w:rPr>
        <w:t xml:space="preserve"> propriétaires de marques</w:t>
      </w:r>
      <w:r w:rsidRPr="003159C5">
        <w:rPr>
          <w:rStyle w:val="FootnoteReference"/>
          <w:szCs w:val="24"/>
          <w:lang w:val="fr-FR"/>
        </w:rPr>
        <w:footnoteReference w:id="19"/>
      </w:r>
      <w:r w:rsidRPr="00272B75">
        <w:rPr>
          <w:szCs w:val="24"/>
          <w:lang w:val="fr-FR"/>
        </w:rPr>
        <w:t>.</w:t>
      </w:r>
      <w:r w:rsidR="00395D12" w:rsidRPr="00272B75">
        <w:rPr>
          <w:szCs w:val="24"/>
          <w:lang w:val="fr-FR"/>
        </w:rPr>
        <w:t xml:space="preserve">  </w:t>
      </w:r>
      <w:r w:rsidRPr="00272B75">
        <w:rPr>
          <w:szCs w:val="24"/>
          <w:lang w:val="fr-FR"/>
        </w:rPr>
        <w:t xml:space="preserve">Depuis </w:t>
      </w:r>
      <w:r w:rsidR="000618AA" w:rsidRPr="00272B75">
        <w:rPr>
          <w:szCs w:val="24"/>
          <w:lang w:val="fr-FR"/>
        </w:rPr>
        <w:t>décembre 19</w:t>
      </w:r>
      <w:r w:rsidRPr="00272B75">
        <w:rPr>
          <w:szCs w:val="24"/>
          <w:lang w:val="fr-FR"/>
        </w:rPr>
        <w:t>99, le Centre a administré plus de 34</w:t>
      </w:r>
      <w:r w:rsidR="0067439A" w:rsidRPr="00272B75">
        <w:rPr>
          <w:szCs w:val="24"/>
          <w:lang w:val="fr-FR"/>
        </w:rPr>
        <w:t> </w:t>
      </w:r>
      <w:r w:rsidRPr="00272B75">
        <w:rPr>
          <w:szCs w:val="24"/>
          <w:lang w:val="fr-FR"/>
        </w:rPr>
        <w:t>000</w:t>
      </w:r>
      <w:r w:rsidR="00C9393A" w:rsidRPr="00272B75">
        <w:rPr>
          <w:szCs w:val="24"/>
          <w:lang w:val="fr-FR"/>
        </w:rPr>
        <w:t> </w:t>
      </w:r>
      <w:r w:rsidRPr="00272B75">
        <w:rPr>
          <w:szCs w:val="24"/>
          <w:lang w:val="fr-FR"/>
        </w:rPr>
        <w:t xml:space="preserve">litiges sur la base </w:t>
      </w:r>
      <w:r w:rsidR="00272B75" w:rsidRPr="00272B75">
        <w:rPr>
          <w:szCs w:val="24"/>
          <w:lang w:val="fr-FR"/>
        </w:rPr>
        <w:br/>
      </w:r>
      <w:r w:rsidR="00272B75" w:rsidRPr="00272B75">
        <w:rPr>
          <w:szCs w:val="24"/>
          <w:lang w:val="fr-FR"/>
        </w:rPr>
        <w:br w:type="page"/>
      </w:r>
    </w:p>
    <w:p w:rsidR="003159C5" w:rsidRPr="00272B75" w:rsidRDefault="004C16C1" w:rsidP="00272B75">
      <w:pPr>
        <w:pStyle w:val="ONUMFS"/>
        <w:numPr>
          <w:ilvl w:val="0"/>
          <w:numId w:val="0"/>
        </w:numPr>
        <w:rPr>
          <w:szCs w:val="24"/>
          <w:lang w:val="fr-FR"/>
        </w:rPr>
      </w:pPr>
      <w:r w:rsidRPr="00272B75">
        <w:rPr>
          <w:szCs w:val="24"/>
          <w:lang w:val="fr-FR"/>
        </w:rPr>
        <w:lastRenderedPageBreak/>
        <w:t xml:space="preserve">des </w:t>
      </w:r>
      <w:r w:rsidR="006D570C" w:rsidRPr="00272B75">
        <w:rPr>
          <w:szCs w:val="24"/>
          <w:lang w:val="fr-FR"/>
        </w:rPr>
        <w:t>principes UDRP</w:t>
      </w:r>
      <w:r w:rsidRPr="003159C5">
        <w:rPr>
          <w:rStyle w:val="FootnoteReference"/>
          <w:szCs w:val="24"/>
          <w:lang w:val="fr-FR"/>
        </w:rPr>
        <w:footnoteReference w:id="20"/>
      </w:r>
      <w:r w:rsidRPr="00272B75">
        <w:rPr>
          <w:szCs w:val="24"/>
          <w:lang w:val="fr-FR"/>
        </w:rPr>
        <w:t>.</w:t>
      </w:r>
      <w:r w:rsidR="00395D12" w:rsidRPr="00272B75">
        <w:rPr>
          <w:szCs w:val="24"/>
          <w:lang w:val="fr-FR"/>
        </w:rPr>
        <w:t xml:space="preserve">  </w:t>
      </w:r>
      <w:r w:rsidRPr="00272B75">
        <w:rPr>
          <w:szCs w:val="24"/>
          <w:lang w:val="fr-FR"/>
        </w:rPr>
        <w:t>En</w:t>
      </w:r>
      <w:r w:rsidR="0067439A" w:rsidRPr="00272B75">
        <w:rPr>
          <w:szCs w:val="24"/>
          <w:lang w:val="fr-FR"/>
        </w:rPr>
        <w:t> </w:t>
      </w:r>
      <w:r w:rsidRPr="00272B75">
        <w:rPr>
          <w:szCs w:val="24"/>
          <w:lang w:val="fr-FR"/>
        </w:rPr>
        <w:t xml:space="preserve">2015, les propriétaires de marques ont déposé auprès du Centre 2754 </w:t>
      </w:r>
      <w:r w:rsidR="007707EC" w:rsidRPr="00272B75">
        <w:rPr>
          <w:szCs w:val="24"/>
          <w:lang w:val="fr-FR"/>
        </w:rPr>
        <w:t xml:space="preserve">plaintes en vertu des </w:t>
      </w:r>
      <w:r w:rsidR="006D570C" w:rsidRPr="00272B75">
        <w:rPr>
          <w:szCs w:val="24"/>
          <w:lang w:val="fr-FR"/>
        </w:rPr>
        <w:t>principes UDRP</w:t>
      </w:r>
      <w:r w:rsidRPr="00272B75">
        <w:rPr>
          <w:szCs w:val="24"/>
          <w:lang w:val="fr-FR"/>
        </w:rPr>
        <w:t>, en augmentation de 4,6% par rapport à 2014.</w:t>
      </w:r>
      <w:r w:rsidR="00395D12" w:rsidRPr="00272B75">
        <w:rPr>
          <w:szCs w:val="24"/>
          <w:lang w:val="fr-FR"/>
        </w:rPr>
        <w:t xml:space="preserve">  </w:t>
      </w:r>
      <w:r w:rsidRPr="00272B75">
        <w:rPr>
          <w:szCs w:val="24"/>
          <w:lang w:val="fr-FR"/>
        </w:rPr>
        <w:t xml:space="preserve">Au mois </w:t>
      </w:r>
      <w:r w:rsidR="00233B23" w:rsidRPr="00272B75">
        <w:rPr>
          <w:szCs w:val="24"/>
          <w:lang w:val="fr-FR"/>
        </w:rPr>
        <w:t>d’août</w:t>
      </w:r>
      <w:r w:rsidR="000618AA" w:rsidRPr="00272B75">
        <w:rPr>
          <w:szCs w:val="24"/>
          <w:lang w:val="fr-FR"/>
        </w:rPr>
        <w:t> 20</w:t>
      </w:r>
      <w:r w:rsidRPr="00272B75">
        <w:rPr>
          <w:szCs w:val="24"/>
          <w:lang w:val="fr-FR"/>
        </w:rPr>
        <w:t>16, le nombre total de noms de domaine en cause dans les litiges administrés par l</w:t>
      </w:r>
      <w:r w:rsidR="000618AA" w:rsidRPr="00272B75">
        <w:rPr>
          <w:szCs w:val="24"/>
          <w:lang w:val="fr-FR"/>
        </w:rPr>
        <w:t>’</w:t>
      </w:r>
      <w:r w:rsidR="007707EC" w:rsidRPr="00272B75">
        <w:rPr>
          <w:szCs w:val="24"/>
          <w:lang w:val="fr-FR"/>
        </w:rPr>
        <w:t xml:space="preserve">OMPI en vertu des </w:t>
      </w:r>
      <w:r w:rsidR="006D570C" w:rsidRPr="00272B75">
        <w:rPr>
          <w:szCs w:val="24"/>
          <w:lang w:val="fr-FR"/>
        </w:rPr>
        <w:t>principes UDRP</w:t>
      </w:r>
      <w:r w:rsidRPr="00272B75">
        <w:rPr>
          <w:szCs w:val="24"/>
          <w:lang w:val="fr-FR"/>
        </w:rPr>
        <w:t xml:space="preserve"> a dépassé les 6</w:t>
      </w:r>
      <w:r w:rsidR="00233B23" w:rsidRPr="00272B75">
        <w:rPr>
          <w:szCs w:val="24"/>
          <w:lang w:val="fr-FR"/>
        </w:rPr>
        <w:t>5</w:t>
      </w:r>
      <w:r w:rsidR="0067439A" w:rsidRPr="00272B75">
        <w:rPr>
          <w:szCs w:val="24"/>
          <w:lang w:val="fr-FR"/>
        </w:rPr>
        <w:t> </w:t>
      </w:r>
      <w:r w:rsidRPr="00272B75">
        <w:rPr>
          <w:szCs w:val="24"/>
          <w:lang w:val="fr-FR"/>
        </w:rPr>
        <w:t>000.</w:t>
      </w:r>
    </w:p>
    <w:p w:rsidR="003159C5" w:rsidRPr="003159C5" w:rsidRDefault="004C16C1" w:rsidP="006D570C">
      <w:pPr>
        <w:pStyle w:val="ONUMFS"/>
        <w:rPr>
          <w:szCs w:val="24"/>
          <w:lang w:val="fr-FR"/>
        </w:rPr>
      </w:pPr>
      <w:r w:rsidRPr="003159C5">
        <w:rPr>
          <w:szCs w:val="24"/>
          <w:lang w:val="fr-FR"/>
        </w:rPr>
        <w:t>Un mélange d</w:t>
      </w:r>
      <w:r w:rsidR="000618AA" w:rsidRPr="003159C5">
        <w:rPr>
          <w:szCs w:val="24"/>
          <w:lang w:val="fr-FR"/>
        </w:rPr>
        <w:t>’</w:t>
      </w:r>
      <w:r w:rsidRPr="003159C5">
        <w:rPr>
          <w:szCs w:val="24"/>
          <w:lang w:val="fr-FR"/>
        </w:rPr>
        <w:t>entreprises, d</w:t>
      </w:r>
      <w:r w:rsidR="000618AA" w:rsidRPr="003159C5">
        <w:rPr>
          <w:szCs w:val="24"/>
          <w:lang w:val="fr-FR"/>
        </w:rPr>
        <w:t>’</w:t>
      </w:r>
      <w:r w:rsidRPr="003159C5">
        <w:rPr>
          <w:szCs w:val="24"/>
          <w:lang w:val="fr-FR"/>
        </w:rPr>
        <w:t>institutions et de particuliers ont fait appel aux procédures de règlement des litiges du Centre en</w:t>
      </w:r>
      <w:r w:rsidR="0067439A" w:rsidRPr="003159C5">
        <w:rPr>
          <w:szCs w:val="24"/>
          <w:lang w:val="fr-FR"/>
        </w:rPr>
        <w:t> </w:t>
      </w:r>
      <w:r w:rsidRPr="003159C5">
        <w:rPr>
          <w:szCs w:val="24"/>
          <w:lang w:val="fr-FR"/>
        </w:rPr>
        <w:t>2015.</w:t>
      </w:r>
      <w:r w:rsidR="0067439A" w:rsidRPr="003159C5">
        <w:rPr>
          <w:szCs w:val="24"/>
          <w:lang w:val="fr-FR"/>
        </w:rPr>
        <w:t xml:space="preserve"> </w:t>
      </w:r>
      <w:r w:rsidR="001142B5" w:rsidRPr="003159C5">
        <w:rPr>
          <w:szCs w:val="24"/>
          <w:lang w:val="fr-FR"/>
        </w:rPr>
        <w:t xml:space="preserve"> </w:t>
      </w:r>
      <w:r w:rsidRPr="003159C5">
        <w:rPr>
          <w:szCs w:val="24"/>
          <w:lang w:val="fr-FR"/>
        </w:rPr>
        <w:t>Les cinq</w:t>
      </w:r>
      <w:r w:rsidR="0067439A" w:rsidRPr="003159C5">
        <w:rPr>
          <w:szCs w:val="24"/>
          <w:lang w:val="fr-FR"/>
        </w:rPr>
        <w:t> </w:t>
      </w:r>
      <w:r w:rsidRPr="003159C5">
        <w:rPr>
          <w:szCs w:val="24"/>
          <w:lang w:val="fr-FR"/>
        </w:rPr>
        <w:t>principaux secteurs d</w:t>
      </w:r>
      <w:r w:rsidR="000618AA" w:rsidRPr="003159C5">
        <w:rPr>
          <w:szCs w:val="24"/>
          <w:lang w:val="fr-FR"/>
        </w:rPr>
        <w:t>’</w:t>
      </w:r>
      <w:r w:rsidRPr="003159C5">
        <w:rPr>
          <w:szCs w:val="24"/>
          <w:lang w:val="fr-FR"/>
        </w:rPr>
        <w:t>activité des requérants étaient la mode, la banque et la finance, l</w:t>
      </w:r>
      <w:r w:rsidR="000618AA" w:rsidRPr="003159C5">
        <w:rPr>
          <w:szCs w:val="24"/>
          <w:lang w:val="fr-FR"/>
        </w:rPr>
        <w:t>’</w:t>
      </w:r>
      <w:r w:rsidRPr="003159C5">
        <w:rPr>
          <w:szCs w:val="24"/>
          <w:lang w:val="fr-FR"/>
        </w:rPr>
        <w:t>Internet et les technologies de l</w:t>
      </w:r>
      <w:r w:rsidR="000618AA" w:rsidRPr="003159C5">
        <w:rPr>
          <w:szCs w:val="24"/>
          <w:lang w:val="fr-FR"/>
        </w:rPr>
        <w:t>’</w:t>
      </w:r>
      <w:r w:rsidRPr="003159C5">
        <w:rPr>
          <w:szCs w:val="24"/>
          <w:lang w:val="fr-FR"/>
        </w:rPr>
        <w:t>information, le commerce de détail, ainsi que la biotechnologie et les médicamen</w:t>
      </w:r>
      <w:r w:rsidR="00C9393A" w:rsidRPr="003159C5">
        <w:rPr>
          <w:szCs w:val="24"/>
          <w:lang w:val="fr-FR"/>
        </w:rPr>
        <w:t>ts.  Le</w:t>
      </w:r>
      <w:r w:rsidR="007655C2" w:rsidRPr="003159C5">
        <w:rPr>
          <w:szCs w:val="24"/>
          <w:lang w:val="fr-FR"/>
        </w:rPr>
        <w:t>s plaintes relatives aux marques de luxe sous lesquelles sont commercialisé</w:t>
      </w:r>
      <w:r w:rsidR="00A33390">
        <w:rPr>
          <w:szCs w:val="24"/>
          <w:lang w:val="fr-FR"/>
        </w:rPr>
        <w:t>s</w:t>
      </w:r>
      <w:r w:rsidR="007655C2" w:rsidRPr="003159C5">
        <w:rPr>
          <w:szCs w:val="24"/>
          <w:lang w:val="fr-FR"/>
        </w:rPr>
        <w:t xml:space="preserve"> les produits ou services en interaction directe avec les consommateurs sont souvent déposées par des propriétaires de marques pour des contrefaçons proposées sur les pages</w:t>
      </w:r>
      <w:r w:rsidR="0067439A" w:rsidRPr="003159C5">
        <w:rPr>
          <w:szCs w:val="24"/>
          <w:lang w:val="fr-FR"/>
        </w:rPr>
        <w:t> </w:t>
      </w:r>
      <w:r w:rsidR="007655C2" w:rsidRPr="003159C5">
        <w:rPr>
          <w:szCs w:val="24"/>
          <w:lang w:val="fr-FR"/>
        </w:rPr>
        <w:t>Web du domaine en liti</w:t>
      </w:r>
      <w:r w:rsidR="00C9393A" w:rsidRPr="003159C5">
        <w:rPr>
          <w:szCs w:val="24"/>
          <w:lang w:val="fr-FR"/>
        </w:rPr>
        <w:t>ge.  Si</w:t>
      </w:r>
      <w:r w:rsidR="007655C2" w:rsidRPr="003159C5">
        <w:rPr>
          <w:szCs w:val="24"/>
          <w:lang w:val="fr-FR"/>
        </w:rPr>
        <w:t>gne de la portée globale de ce mécanisme de règlement des litiges, les parties nommément désignées dans les procédures administrées par l</w:t>
      </w:r>
      <w:r w:rsidR="000618AA" w:rsidRPr="003159C5">
        <w:rPr>
          <w:szCs w:val="24"/>
          <w:lang w:val="fr-FR"/>
        </w:rPr>
        <w:t>’</w:t>
      </w:r>
      <w:r w:rsidR="007655C2" w:rsidRPr="003159C5">
        <w:rPr>
          <w:szCs w:val="24"/>
          <w:lang w:val="fr-FR"/>
        </w:rPr>
        <w:t>OMPI en</w:t>
      </w:r>
      <w:r w:rsidR="0067439A" w:rsidRPr="003159C5">
        <w:rPr>
          <w:szCs w:val="24"/>
          <w:lang w:val="fr-FR"/>
        </w:rPr>
        <w:t> </w:t>
      </w:r>
      <w:r w:rsidR="007655C2" w:rsidRPr="003159C5">
        <w:rPr>
          <w:szCs w:val="24"/>
          <w:lang w:val="fr-FR"/>
        </w:rPr>
        <w:t>2015 représentaient 177</w:t>
      </w:r>
      <w:r w:rsidR="00C805BC">
        <w:rPr>
          <w:szCs w:val="24"/>
          <w:lang w:val="fr-FR"/>
        </w:rPr>
        <w:t> </w:t>
      </w:r>
      <w:r w:rsidR="007655C2" w:rsidRPr="003159C5">
        <w:rPr>
          <w:szCs w:val="24"/>
          <w:lang w:val="fr-FR"/>
        </w:rPr>
        <w:t>pa</w:t>
      </w:r>
      <w:r w:rsidR="00C9393A" w:rsidRPr="003159C5">
        <w:rPr>
          <w:szCs w:val="24"/>
          <w:lang w:val="fr-FR"/>
        </w:rPr>
        <w:t>ys.  En</w:t>
      </w:r>
      <w:r w:rsidR="007655C2" w:rsidRPr="003159C5">
        <w:rPr>
          <w:szCs w:val="24"/>
          <w:lang w:val="fr-FR"/>
        </w:rPr>
        <w:t xml:space="preserve"> fonction de la langue du contrat d</w:t>
      </w:r>
      <w:r w:rsidR="000618AA" w:rsidRPr="003159C5">
        <w:rPr>
          <w:szCs w:val="24"/>
          <w:lang w:val="fr-FR"/>
        </w:rPr>
        <w:t>’</w:t>
      </w:r>
      <w:r w:rsidR="007655C2" w:rsidRPr="003159C5">
        <w:rPr>
          <w:szCs w:val="24"/>
          <w:lang w:val="fr-FR"/>
        </w:rPr>
        <w:t>enregistrement applicable au nom de domaine en cause, l</w:t>
      </w:r>
      <w:r w:rsidR="000618AA" w:rsidRPr="003159C5">
        <w:rPr>
          <w:szCs w:val="24"/>
          <w:lang w:val="fr-FR"/>
        </w:rPr>
        <w:t>’</w:t>
      </w:r>
      <w:r w:rsidR="007655C2" w:rsidRPr="003159C5">
        <w:rPr>
          <w:szCs w:val="24"/>
          <w:lang w:val="fr-FR"/>
        </w:rPr>
        <w:t>OMPI a conduit jusqu</w:t>
      </w:r>
      <w:r w:rsidR="000618AA" w:rsidRPr="003159C5">
        <w:rPr>
          <w:szCs w:val="24"/>
          <w:lang w:val="fr-FR"/>
        </w:rPr>
        <w:t>’</w:t>
      </w:r>
      <w:r w:rsidR="007655C2" w:rsidRPr="003159C5">
        <w:rPr>
          <w:szCs w:val="24"/>
          <w:lang w:val="fr-FR"/>
        </w:rPr>
        <w:t xml:space="preserve">ici des procédures en vertu des </w:t>
      </w:r>
      <w:r w:rsidR="006D570C">
        <w:rPr>
          <w:szCs w:val="24"/>
          <w:lang w:val="fr-FR"/>
        </w:rPr>
        <w:t>principes UDRP</w:t>
      </w:r>
      <w:r w:rsidR="007655C2" w:rsidRPr="003159C5">
        <w:rPr>
          <w:szCs w:val="24"/>
          <w:lang w:val="fr-FR"/>
        </w:rPr>
        <w:t xml:space="preserve"> dans 21</w:t>
      </w:r>
      <w:r w:rsidR="00C805BC">
        <w:rPr>
          <w:szCs w:val="24"/>
          <w:lang w:val="fr-FR"/>
        </w:rPr>
        <w:t> </w:t>
      </w:r>
      <w:r w:rsidR="007655C2" w:rsidRPr="003159C5">
        <w:rPr>
          <w:szCs w:val="24"/>
          <w:lang w:val="fr-FR"/>
        </w:rPr>
        <w:t>langues</w:t>
      </w:r>
      <w:r w:rsidR="007655C2" w:rsidRPr="003159C5">
        <w:rPr>
          <w:rStyle w:val="FootnoteReference"/>
          <w:szCs w:val="24"/>
          <w:lang w:val="fr-FR"/>
        </w:rPr>
        <w:footnoteReference w:id="21"/>
      </w:r>
      <w:r w:rsidR="007655C2" w:rsidRPr="003159C5">
        <w:rPr>
          <w:szCs w:val="24"/>
          <w:lang w:val="fr-FR"/>
        </w:rPr>
        <w:t>.</w:t>
      </w:r>
    </w:p>
    <w:p w:rsidR="003159C5" w:rsidRPr="003159C5" w:rsidRDefault="007655C2" w:rsidP="006D570C">
      <w:pPr>
        <w:pStyle w:val="ONUMFS"/>
        <w:rPr>
          <w:szCs w:val="24"/>
          <w:lang w:val="fr-FR"/>
        </w:rPr>
      </w:pPr>
      <w:r w:rsidRPr="003159C5">
        <w:rPr>
          <w:szCs w:val="24"/>
          <w:lang w:val="fr-FR"/>
        </w:rPr>
        <w:t>Toutes les décisions rendues par les commissions administratives de l</w:t>
      </w:r>
      <w:r w:rsidR="000618AA" w:rsidRPr="003159C5">
        <w:rPr>
          <w:szCs w:val="24"/>
          <w:lang w:val="fr-FR"/>
        </w:rPr>
        <w:t>’</w:t>
      </w:r>
      <w:r w:rsidRPr="003159C5">
        <w:rPr>
          <w:szCs w:val="24"/>
          <w:lang w:val="fr-FR"/>
        </w:rPr>
        <w:t>OMPI sont publiées sur le site</w:t>
      </w:r>
      <w:r w:rsidR="0067439A" w:rsidRPr="003159C5">
        <w:rPr>
          <w:szCs w:val="24"/>
          <w:lang w:val="fr-FR"/>
        </w:rPr>
        <w:t> </w:t>
      </w:r>
      <w:r w:rsidRPr="003159C5">
        <w:rPr>
          <w:szCs w:val="24"/>
          <w:lang w:val="fr-FR"/>
        </w:rPr>
        <w:t>Web du Cent</w:t>
      </w:r>
      <w:r w:rsidR="00C9393A" w:rsidRPr="003159C5">
        <w:rPr>
          <w:szCs w:val="24"/>
          <w:lang w:val="fr-FR"/>
        </w:rPr>
        <w:t>re.  Le</w:t>
      </w:r>
      <w:r w:rsidRPr="003159C5">
        <w:rPr>
          <w:szCs w:val="24"/>
          <w:lang w:val="fr-FR"/>
        </w:rPr>
        <w:t xml:space="preserve"> Centre propose également une synthèse unique des tendances générales des décisions rendues sur certaines questions importantes dans le cadre d</w:t>
      </w:r>
      <w:r w:rsidR="000618AA" w:rsidRPr="003159C5">
        <w:rPr>
          <w:szCs w:val="24"/>
          <w:lang w:val="fr-FR"/>
        </w:rPr>
        <w:t>’</w:t>
      </w:r>
      <w:r w:rsidRPr="003159C5">
        <w:rPr>
          <w:szCs w:val="24"/>
          <w:lang w:val="fr-FR"/>
        </w:rPr>
        <w:t>une rubrique intitulée “Synthèse des avis des commissions administratives de l</w:t>
      </w:r>
      <w:r w:rsidR="000618AA" w:rsidRPr="003159C5">
        <w:rPr>
          <w:szCs w:val="24"/>
          <w:lang w:val="fr-FR"/>
        </w:rPr>
        <w:t>’</w:t>
      </w:r>
      <w:r w:rsidRPr="003159C5">
        <w:rPr>
          <w:szCs w:val="24"/>
          <w:lang w:val="fr-FR"/>
        </w:rPr>
        <w:t>OMPI sur certaines questions re</w:t>
      </w:r>
      <w:r w:rsidR="007707EC">
        <w:rPr>
          <w:szCs w:val="24"/>
          <w:lang w:val="fr-FR"/>
        </w:rPr>
        <w:t xml:space="preserve">latives aux </w:t>
      </w:r>
      <w:r w:rsidR="006D570C">
        <w:rPr>
          <w:szCs w:val="24"/>
          <w:lang w:val="fr-FR"/>
        </w:rPr>
        <w:t>principes UDRP</w:t>
      </w:r>
      <w:r w:rsidR="007707EC">
        <w:rPr>
          <w:szCs w:val="24"/>
          <w:lang w:val="fr-FR"/>
        </w:rPr>
        <w:t>” (</w:t>
      </w:r>
      <w:r w:rsidR="00565026">
        <w:rPr>
          <w:szCs w:val="24"/>
          <w:lang w:val="fr-FR"/>
        </w:rPr>
        <w:t xml:space="preserve">synthèse OMPI 2.0).  </w:t>
      </w:r>
      <w:r w:rsidRPr="003159C5">
        <w:rPr>
          <w:szCs w:val="24"/>
          <w:lang w:val="fr-FR"/>
        </w:rPr>
        <w:t>Résultat de l</w:t>
      </w:r>
      <w:r w:rsidR="000618AA" w:rsidRPr="003159C5">
        <w:rPr>
          <w:szCs w:val="24"/>
          <w:lang w:val="fr-FR"/>
        </w:rPr>
        <w:t>’</w:t>
      </w:r>
      <w:r w:rsidRPr="003159C5">
        <w:rPr>
          <w:szCs w:val="24"/>
          <w:lang w:val="fr-FR"/>
        </w:rPr>
        <w:t>examen de milliers de litiges administrés par l</w:t>
      </w:r>
      <w:r w:rsidR="007707EC">
        <w:rPr>
          <w:szCs w:val="24"/>
          <w:lang w:val="fr-FR"/>
        </w:rPr>
        <w:t xml:space="preserve">e Centre en vertu des </w:t>
      </w:r>
      <w:r w:rsidR="006D570C">
        <w:rPr>
          <w:szCs w:val="24"/>
          <w:lang w:val="fr-FR"/>
        </w:rPr>
        <w:t>principes UDRP</w:t>
      </w:r>
      <w:r w:rsidRPr="003159C5">
        <w:rPr>
          <w:szCs w:val="24"/>
          <w:lang w:val="fr-FR"/>
        </w:rPr>
        <w:t>, cet instrument de portée mondiale a été créé pour contribuer à dégager et à favoriser la cohérence de la jurisprudence UDRP de l</w:t>
      </w:r>
      <w:r w:rsidR="000618AA" w:rsidRPr="003159C5">
        <w:rPr>
          <w:szCs w:val="24"/>
          <w:lang w:val="fr-FR"/>
        </w:rPr>
        <w:t>’</w:t>
      </w:r>
      <w:r w:rsidRPr="003159C5">
        <w:rPr>
          <w:szCs w:val="24"/>
          <w:lang w:val="fr-FR"/>
        </w:rPr>
        <w:t>OMPI</w:t>
      </w:r>
      <w:r w:rsidRPr="003159C5">
        <w:rPr>
          <w:rStyle w:val="FootnoteReference"/>
          <w:szCs w:val="24"/>
          <w:lang w:val="fr-FR"/>
        </w:rPr>
        <w:footnoteReference w:id="22"/>
      </w:r>
      <w:r w:rsidRPr="003159C5">
        <w:rPr>
          <w:szCs w:val="24"/>
          <w:lang w:val="fr-FR"/>
        </w:rPr>
        <w:t>.</w:t>
      </w:r>
      <w:r w:rsidR="00A33390">
        <w:rPr>
          <w:szCs w:val="24"/>
          <w:lang w:val="fr-FR"/>
        </w:rPr>
        <w:t xml:space="preserve">  </w:t>
      </w:r>
      <w:r w:rsidRPr="003159C5">
        <w:rPr>
          <w:szCs w:val="24"/>
          <w:lang w:val="fr-FR"/>
        </w:rPr>
        <w:t>Pour faciliter l</w:t>
      </w:r>
      <w:r w:rsidR="000618AA" w:rsidRPr="003159C5">
        <w:rPr>
          <w:szCs w:val="24"/>
          <w:lang w:val="fr-FR"/>
        </w:rPr>
        <w:t>’</w:t>
      </w:r>
      <w:r w:rsidRPr="003159C5">
        <w:rPr>
          <w:szCs w:val="24"/>
          <w:lang w:val="fr-FR"/>
        </w:rPr>
        <w:t>accès thématique à ces décisions, le Centre met aussi à disposition un index juridique des décisions</w:t>
      </w:r>
      <w:r w:rsidR="007707EC">
        <w:rPr>
          <w:szCs w:val="24"/>
          <w:lang w:val="fr-FR"/>
        </w:rPr>
        <w:t xml:space="preserve"> rendues en vertu des </w:t>
      </w:r>
      <w:r w:rsidR="006D570C">
        <w:rPr>
          <w:szCs w:val="24"/>
          <w:lang w:val="fr-FR"/>
        </w:rPr>
        <w:t>principes UDRP</w:t>
      </w:r>
      <w:r w:rsidRPr="003159C5">
        <w:rPr>
          <w:szCs w:val="24"/>
          <w:lang w:val="fr-FR"/>
        </w:rPr>
        <w:t>, qui permet d</w:t>
      </w:r>
      <w:r w:rsidR="000618AA" w:rsidRPr="003159C5">
        <w:rPr>
          <w:szCs w:val="24"/>
          <w:lang w:val="fr-FR"/>
        </w:rPr>
        <w:t>’</w:t>
      </w:r>
      <w:r w:rsidRPr="003159C5">
        <w:rPr>
          <w:szCs w:val="24"/>
          <w:lang w:val="fr-FR"/>
        </w:rPr>
        <w:t>effectuer des recherches en ligne et qui est largement utilisé</w:t>
      </w:r>
      <w:r w:rsidRPr="003159C5">
        <w:rPr>
          <w:rStyle w:val="FootnoteReference"/>
          <w:szCs w:val="24"/>
          <w:lang w:val="fr-FR"/>
        </w:rPr>
        <w:footnoteReference w:id="23"/>
      </w:r>
      <w:r w:rsidRPr="003159C5">
        <w:rPr>
          <w:szCs w:val="24"/>
          <w:lang w:val="fr-FR"/>
        </w:rPr>
        <w:t>.</w:t>
      </w:r>
      <w:r w:rsidR="007707EC">
        <w:rPr>
          <w:lang w:val="fr-FR"/>
        </w:rPr>
        <w:t xml:space="preserve">  </w:t>
      </w:r>
      <w:r w:rsidRPr="003159C5">
        <w:rPr>
          <w:lang w:val="fr-FR"/>
        </w:rPr>
        <w:t>Ces ressources de l</w:t>
      </w:r>
      <w:r w:rsidR="000618AA" w:rsidRPr="003159C5">
        <w:rPr>
          <w:lang w:val="fr-FR"/>
        </w:rPr>
        <w:t>’</w:t>
      </w:r>
      <w:r w:rsidRPr="003159C5">
        <w:rPr>
          <w:lang w:val="fr-FR"/>
        </w:rPr>
        <w:t>OMPI sont accessibles gratuitement dans le monde entier.</w:t>
      </w:r>
    </w:p>
    <w:p w:rsidR="003159C5" w:rsidRPr="003159C5" w:rsidRDefault="007655C2" w:rsidP="006D570C">
      <w:pPr>
        <w:pStyle w:val="ONUMFS"/>
        <w:rPr>
          <w:szCs w:val="24"/>
          <w:lang w:val="fr-FR"/>
        </w:rPr>
      </w:pPr>
      <w:r w:rsidRPr="003159C5">
        <w:rPr>
          <w:szCs w:val="24"/>
          <w:lang w:val="fr-FR"/>
        </w:rPr>
        <w:t>Conscient du rôle moteur joué par l</w:t>
      </w:r>
      <w:r w:rsidR="000618AA" w:rsidRPr="003159C5">
        <w:rPr>
          <w:szCs w:val="24"/>
          <w:lang w:val="fr-FR"/>
        </w:rPr>
        <w:t>’</w:t>
      </w:r>
      <w:r w:rsidRPr="003159C5">
        <w:rPr>
          <w:szCs w:val="24"/>
          <w:lang w:val="fr-FR"/>
        </w:rPr>
        <w:t xml:space="preserve">OMPI en ce qui concerne les </w:t>
      </w:r>
      <w:r w:rsidR="006D570C">
        <w:rPr>
          <w:szCs w:val="24"/>
          <w:lang w:val="fr-FR"/>
        </w:rPr>
        <w:t>principes UDRP</w:t>
      </w:r>
      <w:r w:rsidRPr="003159C5">
        <w:rPr>
          <w:szCs w:val="24"/>
          <w:lang w:val="fr-FR"/>
        </w:rPr>
        <w:t>, le Centre se tient informé des évolutions à l</w:t>
      </w:r>
      <w:r w:rsidR="000618AA" w:rsidRPr="003159C5">
        <w:rPr>
          <w:szCs w:val="24"/>
          <w:lang w:val="fr-FR"/>
        </w:rPr>
        <w:t>’</w:t>
      </w:r>
      <w:r w:rsidRPr="003159C5">
        <w:rPr>
          <w:szCs w:val="24"/>
          <w:lang w:val="fr-FR"/>
        </w:rPr>
        <w:t>œuvre dans</w:t>
      </w:r>
      <w:r w:rsidR="000618AA" w:rsidRPr="003159C5">
        <w:rPr>
          <w:szCs w:val="24"/>
          <w:lang w:val="fr-FR"/>
        </w:rPr>
        <w:t xml:space="preserve"> le DNS</w:t>
      </w:r>
      <w:r w:rsidRPr="003159C5">
        <w:rPr>
          <w:szCs w:val="24"/>
          <w:lang w:val="fr-FR"/>
        </w:rPr>
        <w:t xml:space="preserve"> afin d</w:t>
      </w:r>
      <w:r w:rsidR="000618AA" w:rsidRPr="003159C5">
        <w:rPr>
          <w:szCs w:val="24"/>
          <w:lang w:val="fr-FR"/>
        </w:rPr>
        <w:t>’</w:t>
      </w:r>
      <w:r w:rsidRPr="003159C5">
        <w:rPr>
          <w:szCs w:val="24"/>
          <w:lang w:val="fr-FR"/>
        </w:rPr>
        <w:t>ajuster ses ressources et ses pratiques</w:t>
      </w:r>
      <w:r w:rsidRPr="003159C5">
        <w:rPr>
          <w:rStyle w:val="FootnoteReference"/>
          <w:szCs w:val="24"/>
          <w:lang w:val="fr-FR"/>
        </w:rPr>
        <w:footnoteReference w:id="24"/>
      </w:r>
      <w:r w:rsidRPr="003159C5">
        <w:rPr>
          <w:szCs w:val="24"/>
          <w:lang w:val="fr-FR"/>
        </w:rPr>
        <w:t>.</w:t>
      </w:r>
      <w:r w:rsidR="00796EAB" w:rsidRPr="003159C5">
        <w:rPr>
          <w:szCs w:val="24"/>
          <w:lang w:val="fr-FR"/>
        </w:rPr>
        <w:t xml:space="preserve">  </w:t>
      </w:r>
      <w:r w:rsidRPr="003159C5">
        <w:rPr>
          <w:szCs w:val="24"/>
          <w:lang w:val="fr-FR"/>
        </w:rPr>
        <w:t>Le Centre organise régulièrement des ateliers sur le règlement des litiges relatifs aux noms de domaine pour informer les parties intéressées</w:t>
      </w:r>
      <w:r w:rsidRPr="003159C5">
        <w:rPr>
          <w:rStyle w:val="FootnoteReference"/>
          <w:szCs w:val="24"/>
          <w:lang w:val="fr-FR"/>
        </w:rPr>
        <w:footnoteReference w:id="25"/>
      </w:r>
      <w:r w:rsidRPr="003159C5">
        <w:rPr>
          <w:szCs w:val="24"/>
          <w:lang w:val="fr-FR"/>
        </w:rPr>
        <w:t>, ainsi que des réunions à l</w:t>
      </w:r>
      <w:r w:rsidR="000618AA" w:rsidRPr="003159C5">
        <w:rPr>
          <w:szCs w:val="24"/>
          <w:lang w:val="fr-FR"/>
        </w:rPr>
        <w:t>’</w:t>
      </w:r>
      <w:r w:rsidRPr="003159C5">
        <w:rPr>
          <w:szCs w:val="24"/>
          <w:lang w:val="fr-FR"/>
        </w:rPr>
        <w:t>intention de ses experts des noms de domaine.</w:t>
      </w:r>
      <w:r w:rsidR="00796EAB" w:rsidRPr="003159C5">
        <w:rPr>
          <w:lang w:val="fr-FR"/>
        </w:rPr>
        <w:t xml:space="preserve">  </w:t>
      </w:r>
    </w:p>
    <w:p w:rsidR="003159C5" w:rsidRDefault="003159C5" w:rsidP="006D570C">
      <w:pPr>
        <w:pStyle w:val="Heading2"/>
      </w:pPr>
      <w:r>
        <w:t>Domaines de premier </w:t>
      </w:r>
      <w:r w:rsidRPr="003159C5">
        <w:t>niveau qui sont des codes de pays (cc</w:t>
      </w:r>
      <w:r>
        <w:t>TLD</w:t>
      </w:r>
      <w:r w:rsidRPr="003159C5">
        <w:t>)</w:t>
      </w:r>
    </w:p>
    <w:p w:rsidR="003159C5" w:rsidRPr="003159C5" w:rsidRDefault="003159C5" w:rsidP="006D570C">
      <w:pPr>
        <w:rPr>
          <w:lang w:val="fr-FR"/>
        </w:rPr>
      </w:pPr>
    </w:p>
    <w:p w:rsidR="003159C5" w:rsidRPr="003159C5" w:rsidRDefault="007655C2" w:rsidP="006D570C">
      <w:pPr>
        <w:pStyle w:val="ONUMFS"/>
        <w:rPr>
          <w:lang w:val="fr-FR"/>
        </w:rPr>
      </w:pPr>
      <w:r w:rsidRPr="003159C5">
        <w:rPr>
          <w:lang w:val="fr-FR"/>
        </w:rPr>
        <w:t>L</w:t>
      </w:r>
      <w:r w:rsidR="000618AA" w:rsidRPr="003159C5">
        <w:rPr>
          <w:lang w:val="fr-FR"/>
        </w:rPr>
        <w:t>’</w:t>
      </w:r>
      <w:r w:rsidRPr="003159C5">
        <w:rPr>
          <w:lang w:val="fr-FR"/>
        </w:rPr>
        <w:t xml:space="preserve">application obligatoire des </w:t>
      </w:r>
      <w:r w:rsidR="006D570C">
        <w:rPr>
          <w:lang w:val="fr-FR"/>
        </w:rPr>
        <w:t>principes UDRP</w:t>
      </w:r>
      <w:r w:rsidRPr="003159C5">
        <w:rPr>
          <w:lang w:val="fr-FR"/>
        </w:rPr>
        <w:t xml:space="preserve"> est limitée aux noms de domaine enregistrés dans les gTLD traditionnels, tels que .com, et les nouveaux gTLD introduits plus récemment, mais le Centre aide également de nombreux services d</w:t>
      </w:r>
      <w:r w:rsidR="000618AA" w:rsidRPr="003159C5">
        <w:rPr>
          <w:lang w:val="fr-FR"/>
        </w:rPr>
        <w:t>’</w:t>
      </w:r>
      <w:r w:rsidRPr="003159C5">
        <w:rPr>
          <w:lang w:val="fr-FR"/>
        </w:rPr>
        <w:t>enregistrement de ccTLD à établir des conditions d</w:t>
      </w:r>
      <w:r w:rsidR="000618AA" w:rsidRPr="003159C5">
        <w:rPr>
          <w:lang w:val="fr-FR"/>
        </w:rPr>
        <w:t>’</w:t>
      </w:r>
      <w:r w:rsidRPr="003159C5">
        <w:rPr>
          <w:lang w:val="fr-FR"/>
        </w:rPr>
        <w:t xml:space="preserve">enregistrement et des procédures de règlement des litiges conformes aux </w:t>
      </w:r>
      <w:r w:rsidRPr="003159C5">
        <w:rPr>
          <w:lang w:val="fr-FR"/>
        </w:rPr>
        <w:lastRenderedPageBreak/>
        <w:t>pratiques recommandées en matière de gestion des services d</w:t>
      </w:r>
      <w:r w:rsidR="000618AA" w:rsidRPr="003159C5">
        <w:rPr>
          <w:lang w:val="fr-FR"/>
        </w:rPr>
        <w:t>’</w:t>
      </w:r>
      <w:r w:rsidRPr="003159C5">
        <w:rPr>
          <w:lang w:val="fr-FR"/>
        </w:rPr>
        <w:t>enregistrement et de protection de la propriété intellectuel</w:t>
      </w:r>
      <w:r w:rsidR="00C9393A" w:rsidRPr="003159C5">
        <w:rPr>
          <w:lang w:val="fr-FR"/>
        </w:rPr>
        <w:t>le.  Ce</w:t>
      </w:r>
      <w:r w:rsidRPr="003159C5">
        <w:rPr>
          <w:lang w:val="fr-FR"/>
        </w:rPr>
        <w:t xml:space="preserve">s procédures sont pour la plupart calquées sur les </w:t>
      </w:r>
      <w:r w:rsidR="006D570C">
        <w:rPr>
          <w:lang w:val="fr-FR"/>
        </w:rPr>
        <w:t>principes UDRP</w:t>
      </w:r>
      <w:r w:rsidRPr="003159C5">
        <w:rPr>
          <w:lang w:val="fr-FR"/>
        </w:rPr>
        <w:t xml:space="preserve"> mais peuvent tenir compte de la situation et des besoins particuliers des différents cc</w:t>
      </w:r>
      <w:r w:rsidR="00C9393A" w:rsidRPr="003159C5">
        <w:rPr>
          <w:lang w:val="fr-FR"/>
        </w:rPr>
        <w:t>TLD.  Le</w:t>
      </w:r>
      <w:r w:rsidRPr="003159C5">
        <w:rPr>
          <w:lang w:val="fr-FR"/>
        </w:rPr>
        <w:t xml:space="preserve"> Centre assure actuellement des services de règlement des litiges relatifs aux noms de domaine à l</w:t>
      </w:r>
      <w:r w:rsidR="000618AA" w:rsidRPr="003159C5">
        <w:rPr>
          <w:lang w:val="fr-FR"/>
        </w:rPr>
        <w:t>’</w:t>
      </w:r>
      <w:r w:rsidRPr="003159C5">
        <w:rPr>
          <w:lang w:val="fr-FR"/>
        </w:rPr>
        <w:t>intention de 7</w:t>
      </w:r>
      <w:r w:rsidR="0037397C">
        <w:rPr>
          <w:lang w:val="fr-FR"/>
        </w:rPr>
        <w:t>5</w:t>
      </w:r>
      <w:r w:rsidR="00C805BC">
        <w:rPr>
          <w:lang w:val="fr-FR"/>
        </w:rPr>
        <w:t> </w:t>
      </w:r>
      <w:r w:rsidRPr="003159C5">
        <w:rPr>
          <w:lang w:val="fr-FR"/>
        </w:rPr>
        <w:t>services d</w:t>
      </w:r>
      <w:r w:rsidR="000618AA" w:rsidRPr="003159C5">
        <w:rPr>
          <w:lang w:val="fr-FR"/>
        </w:rPr>
        <w:t>’</w:t>
      </w:r>
      <w:r w:rsidRPr="003159C5">
        <w:rPr>
          <w:lang w:val="fr-FR"/>
        </w:rPr>
        <w:t>enregistrement pour des ccTLD</w:t>
      </w:r>
      <w:r w:rsidR="00E21124">
        <w:rPr>
          <w:lang w:val="fr-FR"/>
        </w:rPr>
        <w:t>, sur la base d’une procédure actualisée de règlement des litiges relatifs aux noms de domaine pour les ccTLD .FR (France) et .RE (île de la Réunion), étendue récemment aux ccTLD .PM (Saint</w:t>
      </w:r>
      <w:r w:rsidR="00E21124">
        <w:rPr>
          <w:lang w:val="fr-FR"/>
        </w:rPr>
        <w:noBreakHyphen/>
        <w:t>Pierre et Miquelon), .TF (Terres australes françaises), .WF (Wallis et Futuna) et .YT (Mayotte)</w:t>
      </w:r>
      <w:r w:rsidR="00E21124" w:rsidRPr="003159C5">
        <w:rPr>
          <w:rStyle w:val="FootnoteReference"/>
          <w:lang w:val="fr-FR"/>
        </w:rPr>
        <w:footnoteReference w:id="26"/>
      </w:r>
      <w:r w:rsidR="00E21124">
        <w:rPr>
          <w:lang w:val="fr-FR"/>
        </w:rPr>
        <w:t>.</w:t>
      </w:r>
    </w:p>
    <w:p w:rsidR="003159C5" w:rsidRDefault="00C9393A" w:rsidP="006D570C">
      <w:pPr>
        <w:pStyle w:val="Heading1"/>
      </w:pPr>
      <w:r w:rsidRPr="003159C5">
        <w:t>Fa</w:t>
      </w:r>
      <w:r w:rsidR="007655C2" w:rsidRPr="003159C5">
        <w:t>its nouveaux de politique générale dans le système des noms de domaine</w:t>
      </w:r>
    </w:p>
    <w:p w:rsidR="003159C5" w:rsidRPr="003159C5" w:rsidRDefault="003159C5" w:rsidP="006D570C">
      <w:pPr>
        <w:rPr>
          <w:lang w:val="fr-FR"/>
        </w:rPr>
      </w:pPr>
    </w:p>
    <w:p w:rsidR="003159C5" w:rsidRPr="003159C5" w:rsidRDefault="007655C2" w:rsidP="006D570C">
      <w:pPr>
        <w:pStyle w:val="ONUMFS"/>
        <w:rPr>
          <w:lang w:val="fr-FR"/>
        </w:rPr>
      </w:pPr>
      <w:r w:rsidRPr="003159C5">
        <w:rPr>
          <w:lang w:val="fr-FR"/>
        </w:rPr>
        <w:t>Plusieurs initiatives de politique générale de l</w:t>
      </w:r>
      <w:r w:rsidR="000618AA" w:rsidRPr="003159C5">
        <w:rPr>
          <w:lang w:val="fr-FR"/>
        </w:rPr>
        <w:t>’</w:t>
      </w:r>
      <w:r w:rsidRPr="003159C5">
        <w:rPr>
          <w:lang w:val="fr-FR"/>
        </w:rPr>
        <w:t>ICANN créent non seulement des opportunités mais également des difficultés pour les titulaires de droits de propriété intellectuelle et les utilisateu</w:t>
      </w:r>
      <w:r w:rsidR="00C9393A" w:rsidRPr="003159C5">
        <w:rPr>
          <w:lang w:val="fr-FR"/>
        </w:rPr>
        <w:t>rs.  La</w:t>
      </w:r>
      <w:r w:rsidRPr="003159C5">
        <w:rPr>
          <w:lang w:val="fr-FR"/>
        </w:rPr>
        <w:t xml:space="preserve"> première concerne l</w:t>
      </w:r>
      <w:r w:rsidR="000618AA" w:rsidRPr="003159C5">
        <w:rPr>
          <w:lang w:val="fr-FR"/>
        </w:rPr>
        <w:t>’</w:t>
      </w:r>
      <w:r w:rsidRPr="003159C5">
        <w:rPr>
          <w:lang w:val="fr-FR"/>
        </w:rPr>
        <w:t>introduction de</w:t>
      </w:r>
      <w:r w:rsidR="0067439A" w:rsidRPr="003159C5">
        <w:rPr>
          <w:lang w:val="fr-FR"/>
        </w:rPr>
        <w:t> </w:t>
      </w:r>
      <w:r w:rsidR="00C9393A" w:rsidRPr="003159C5">
        <w:rPr>
          <w:lang w:val="fr-FR"/>
        </w:rPr>
        <w:t>1400 </w:t>
      </w:r>
      <w:r w:rsidRPr="003159C5">
        <w:rPr>
          <w:lang w:val="fr-FR"/>
        </w:rPr>
        <w:t>nouveaux gTLD par l</w:t>
      </w:r>
      <w:r w:rsidR="000618AA" w:rsidRPr="003159C5">
        <w:rPr>
          <w:lang w:val="fr-FR"/>
        </w:rPr>
        <w:t>’</w:t>
      </w:r>
      <w:r w:rsidRPr="003159C5">
        <w:rPr>
          <w:lang w:val="fr-FR"/>
        </w:rPr>
        <w:t>IC</w:t>
      </w:r>
      <w:r w:rsidR="00C9393A" w:rsidRPr="003159C5">
        <w:rPr>
          <w:lang w:val="fr-FR"/>
        </w:rPr>
        <w:t>ANN.  Ce</w:t>
      </w:r>
      <w:r w:rsidRPr="003159C5">
        <w:rPr>
          <w:lang w:val="fr-FR"/>
        </w:rPr>
        <w:t>s nouveaux domaines génériques de premier niveau peuvent être de nature “ouverte” (similaires à .com), ou plus spécifique ou restrictive, par exemple .[marque], .[ville], .[collectivité], .[culture], .[industrie] o</w:t>
      </w:r>
      <w:r w:rsidR="00A33390">
        <w:rPr>
          <w:lang w:val="fr-FR"/>
        </w:rPr>
        <w:t>u</w:t>
      </w:r>
      <w:r w:rsidRPr="003159C5">
        <w:rPr>
          <w:lang w:val="fr-FR"/>
        </w:rPr>
        <w:t xml:space="preserve"> .[langue].</w:t>
      </w:r>
      <w:r w:rsidR="00B70317" w:rsidRPr="003159C5">
        <w:rPr>
          <w:lang w:val="fr-FR"/>
        </w:rPr>
        <w:t xml:space="preserve">  </w:t>
      </w:r>
      <w:r w:rsidRPr="003159C5">
        <w:rPr>
          <w:lang w:val="fr-FR"/>
        </w:rPr>
        <w:t>La deuxième initiative importante concerne l</w:t>
      </w:r>
      <w:r w:rsidR="000618AA" w:rsidRPr="003159C5">
        <w:rPr>
          <w:lang w:val="fr-FR"/>
        </w:rPr>
        <w:t>’</w:t>
      </w:r>
      <w:r w:rsidRPr="003159C5">
        <w:rPr>
          <w:lang w:val="fr-FR"/>
        </w:rPr>
        <w:t>introduction de noms de domaine internationalisés au premier nive</w:t>
      </w:r>
      <w:r w:rsidR="00C9393A" w:rsidRPr="003159C5">
        <w:rPr>
          <w:lang w:val="fr-FR"/>
        </w:rPr>
        <w:t>au.  En</w:t>
      </w:r>
      <w:r w:rsidRPr="003159C5">
        <w:rPr>
          <w:lang w:val="fr-FR"/>
        </w:rPr>
        <w:t xml:space="preserve"> outre, l</w:t>
      </w:r>
      <w:r w:rsidR="000618AA" w:rsidRPr="003159C5">
        <w:rPr>
          <w:lang w:val="fr-FR"/>
        </w:rPr>
        <w:t>’</w:t>
      </w:r>
      <w:r w:rsidRPr="003159C5">
        <w:rPr>
          <w:lang w:val="fr-FR"/>
        </w:rPr>
        <w:t>expansion du système des noms de domaine (DNS) envisagée par l</w:t>
      </w:r>
      <w:r w:rsidR="000618AA" w:rsidRPr="003159C5">
        <w:rPr>
          <w:lang w:val="fr-FR"/>
        </w:rPr>
        <w:t>’</w:t>
      </w:r>
      <w:r w:rsidRPr="003159C5">
        <w:rPr>
          <w:lang w:val="fr-FR"/>
        </w:rPr>
        <w:t>ICANN soulève des questions de protection des droits en rapport avec le deuxième processus de consultations de l</w:t>
      </w:r>
      <w:r w:rsidR="000618AA" w:rsidRPr="003159C5">
        <w:rPr>
          <w:lang w:val="fr-FR"/>
        </w:rPr>
        <w:t>’</w:t>
      </w:r>
      <w:r w:rsidRPr="003159C5">
        <w:rPr>
          <w:lang w:val="fr-FR"/>
        </w:rPr>
        <w:t>OMPI sur les noms de domaine de l</w:t>
      </w:r>
      <w:r w:rsidR="000618AA" w:rsidRPr="003159C5">
        <w:rPr>
          <w:lang w:val="fr-FR"/>
        </w:rPr>
        <w:t>’</w:t>
      </w:r>
      <w:r w:rsidRPr="003159C5">
        <w:rPr>
          <w:lang w:val="fr-FR"/>
        </w:rPr>
        <w:t>Internet.</w:t>
      </w:r>
    </w:p>
    <w:p w:rsidR="003159C5" w:rsidRDefault="007655C2" w:rsidP="006D570C">
      <w:pPr>
        <w:pStyle w:val="Heading2"/>
      </w:pPr>
      <w:r w:rsidRPr="003159C5">
        <w:t>Nouveaux gTLD</w:t>
      </w:r>
    </w:p>
    <w:p w:rsidR="003159C5" w:rsidRPr="003159C5" w:rsidRDefault="003159C5" w:rsidP="006D570C">
      <w:pPr>
        <w:rPr>
          <w:lang w:val="fr-FR"/>
        </w:rPr>
      </w:pPr>
    </w:p>
    <w:p w:rsidR="003159C5" w:rsidRPr="003159C5" w:rsidRDefault="007655C2" w:rsidP="006D570C">
      <w:pPr>
        <w:pStyle w:val="ONUMFS"/>
        <w:rPr>
          <w:lang w:val="fr-FR"/>
        </w:rPr>
      </w:pPr>
      <w:r w:rsidRPr="003159C5">
        <w:rPr>
          <w:lang w:val="fr-FR"/>
        </w:rPr>
        <w:t>La mise en œuvre du programme de l</w:t>
      </w:r>
      <w:r w:rsidR="000618AA" w:rsidRPr="003159C5">
        <w:rPr>
          <w:lang w:val="fr-FR"/>
        </w:rPr>
        <w:t>’</w:t>
      </w:r>
      <w:r w:rsidRPr="003159C5">
        <w:rPr>
          <w:lang w:val="fr-FR"/>
        </w:rPr>
        <w:t xml:space="preserve">ICANN relatif aux nouveaux gTLD a été officiellement approuvée en </w:t>
      </w:r>
      <w:r w:rsidR="000618AA" w:rsidRPr="003159C5">
        <w:rPr>
          <w:lang w:val="fr-FR"/>
        </w:rPr>
        <w:t>juin 20</w:t>
      </w:r>
      <w:r w:rsidRPr="003159C5">
        <w:rPr>
          <w:lang w:val="fr-FR"/>
        </w:rPr>
        <w:t>11</w:t>
      </w:r>
      <w:r w:rsidRPr="003159C5">
        <w:rPr>
          <w:rStyle w:val="FootnoteReference"/>
          <w:szCs w:val="22"/>
          <w:lang w:val="fr-FR"/>
        </w:rPr>
        <w:footnoteReference w:id="27"/>
      </w:r>
      <w:r w:rsidRPr="003159C5">
        <w:rPr>
          <w:lang w:val="fr-FR"/>
        </w:rPr>
        <w:t>.</w:t>
      </w:r>
      <w:r w:rsidR="00B70317" w:rsidRPr="003159C5">
        <w:rPr>
          <w:lang w:val="fr-FR"/>
        </w:rPr>
        <w:t xml:space="preserve">  </w:t>
      </w:r>
      <w:r w:rsidRPr="003159C5">
        <w:rPr>
          <w:lang w:val="fr-FR"/>
        </w:rPr>
        <w:t>Des informations ont été publiées dans le “Guide de candidature” de l</w:t>
      </w:r>
      <w:r w:rsidR="000618AA" w:rsidRPr="003159C5">
        <w:rPr>
          <w:lang w:val="fr-FR"/>
        </w:rPr>
        <w:t>’</w:t>
      </w:r>
      <w:r w:rsidRPr="003159C5">
        <w:rPr>
          <w:lang w:val="fr-FR"/>
        </w:rPr>
        <w:t>ICANN, qui a fait l</w:t>
      </w:r>
      <w:r w:rsidR="000618AA" w:rsidRPr="003159C5">
        <w:rPr>
          <w:lang w:val="fr-FR"/>
        </w:rPr>
        <w:t>’</w:t>
      </w:r>
      <w:r w:rsidRPr="003159C5">
        <w:rPr>
          <w:lang w:val="fr-FR"/>
        </w:rPr>
        <w:t>objet de nombreuses révisions</w:t>
      </w:r>
      <w:r w:rsidRPr="003159C5">
        <w:rPr>
          <w:rStyle w:val="FootnoteReference"/>
          <w:szCs w:val="22"/>
          <w:lang w:val="fr-FR"/>
        </w:rPr>
        <w:footnoteReference w:id="28"/>
      </w:r>
      <w:r w:rsidRPr="003159C5">
        <w:rPr>
          <w:lang w:val="fr-FR"/>
        </w:rPr>
        <w:t>.</w:t>
      </w:r>
      <w:r w:rsidR="00B70317" w:rsidRPr="003159C5">
        <w:rPr>
          <w:lang w:val="fr-FR"/>
        </w:rPr>
        <w:t xml:space="preserve">  </w:t>
      </w:r>
      <w:r w:rsidRPr="003159C5">
        <w:rPr>
          <w:lang w:val="fr-FR"/>
        </w:rPr>
        <w:t>L</w:t>
      </w:r>
      <w:r w:rsidR="000618AA" w:rsidRPr="003159C5">
        <w:rPr>
          <w:lang w:val="fr-FR"/>
        </w:rPr>
        <w:t>’</w:t>
      </w:r>
      <w:r w:rsidRPr="003159C5">
        <w:rPr>
          <w:lang w:val="fr-FR"/>
        </w:rPr>
        <w:t>attribution des premiers nouveaux gTLD dans la zone racine de l</w:t>
      </w:r>
      <w:r w:rsidR="000618AA" w:rsidRPr="003159C5">
        <w:rPr>
          <w:lang w:val="fr-FR"/>
        </w:rPr>
        <w:t>’</w:t>
      </w:r>
      <w:r w:rsidRPr="003159C5">
        <w:rPr>
          <w:lang w:val="fr-FR"/>
        </w:rPr>
        <w:t xml:space="preserve">Internet est intervenue en </w:t>
      </w:r>
      <w:r w:rsidR="000618AA" w:rsidRPr="003159C5">
        <w:rPr>
          <w:lang w:val="fr-FR"/>
        </w:rPr>
        <w:t>octobre 20</w:t>
      </w:r>
      <w:r w:rsidRPr="003159C5">
        <w:rPr>
          <w:lang w:val="fr-FR"/>
        </w:rPr>
        <w:t xml:space="preserve">13 et on dénombrait plus de </w:t>
      </w:r>
      <w:r w:rsidR="0067439A" w:rsidRPr="003159C5">
        <w:rPr>
          <w:lang w:val="fr-FR"/>
        </w:rPr>
        <w:t>1</w:t>
      </w:r>
      <w:r w:rsidR="00C6005A">
        <w:rPr>
          <w:lang w:val="fr-FR"/>
        </w:rPr>
        <w:t>1</w:t>
      </w:r>
      <w:r w:rsidR="0067439A" w:rsidRPr="003159C5">
        <w:rPr>
          <w:lang w:val="fr-FR"/>
        </w:rPr>
        <w:t>00</w:t>
      </w:r>
      <w:r w:rsidR="00C9393A" w:rsidRPr="003159C5">
        <w:rPr>
          <w:lang w:val="fr-FR"/>
        </w:rPr>
        <w:t> </w:t>
      </w:r>
      <w:r w:rsidRPr="003159C5">
        <w:rPr>
          <w:lang w:val="fr-FR"/>
        </w:rPr>
        <w:t>gTLD suppl</w:t>
      </w:r>
      <w:r w:rsidR="00C6005A">
        <w:rPr>
          <w:lang w:val="fr-FR"/>
        </w:rPr>
        <w:t>émentaires attribués au mois d’août</w:t>
      </w:r>
      <w:r w:rsidR="000B6556">
        <w:rPr>
          <w:lang w:val="fr-FR"/>
        </w:rPr>
        <w:t> </w:t>
      </w:r>
      <w:r w:rsidR="000618AA" w:rsidRPr="003159C5">
        <w:rPr>
          <w:lang w:val="fr-FR"/>
        </w:rPr>
        <w:t>20</w:t>
      </w:r>
      <w:r w:rsidRPr="003159C5">
        <w:rPr>
          <w:lang w:val="fr-FR"/>
        </w:rPr>
        <w:t>16</w:t>
      </w:r>
      <w:r w:rsidRPr="003159C5">
        <w:rPr>
          <w:rStyle w:val="FootnoteReference"/>
          <w:szCs w:val="22"/>
          <w:lang w:val="fr-FR"/>
        </w:rPr>
        <w:footnoteReference w:id="29"/>
      </w:r>
      <w:r w:rsidRPr="003159C5">
        <w:rPr>
          <w:lang w:val="fr-FR"/>
        </w:rPr>
        <w:t>.</w:t>
      </w:r>
    </w:p>
    <w:p w:rsidR="003159C5" w:rsidRPr="003159C5" w:rsidRDefault="0027667C" w:rsidP="006D570C">
      <w:pPr>
        <w:pStyle w:val="ONUMFS"/>
        <w:rPr>
          <w:lang w:val="fr-FR"/>
        </w:rPr>
      </w:pPr>
      <w:r w:rsidRPr="003159C5">
        <w:rPr>
          <w:lang w:val="fr-FR"/>
        </w:rPr>
        <w:t>Le Centre reste déterminé à travailler avec les parties prenantes pour tenter de préserver l</w:t>
      </w:r>
      <w:r w:rsidR="000618AA" w:rsidRPr="003159C5">
        <w:rPr>
          <w:lang w:val="fr-FR"/>
        </w:rPr>
        <w:t>’</w:t>
      </w:r>
      <w:r w:rsidRPr="003159C5">
        <w:rPr>
          <w:lang w:val="fr-FR"/>
        </w:rPr>
        <w:t>observation des principes généraux de la protection de la propriété intellectuelle dans les nouveaux g</w:t>
      </w:r>
      <w:r w:rsidR="00C9393A" w:rsidRPr="003159C5">
        <w:rPr>
          <w:lang w:val="fr-FR"/>
        </w:rPr>
        <w:t>TLD.  Ce</w:t>
      </w:r>
      <w:r w:rsidRPr="003159C5">
        <w:rPr>
          <w:lang w:val="fr-FR"/>
        </w:rPr>
        <w:t>rtains mécanismes de protection des droits ont émergé d</w:t>
      </w:r>
      <w:r w:rsidR="000618AA" w:rsidRPr="003159C5">
        <w:rPr>
          <w:lang w:val="fr-FR"/>
        </w:rPr>
        <w:t>’</w:t>
      </w:r>
      <w:r w:rsidRPr="003159C5">
        <w:rPr>
          <w:lang w:val="fr-FR"/>
        </w:rPr>
        <w:t>une série de comités et processus de l</w:t>
      </w:r>
      <w:r w:rsidR="000618AA" w:rsidRPr="003159C5">
        <w:rPr>
          <w:lang w:val="fr-FR"/>
        </w:rPr>
        <w:t>’</w:t>
      </w:r>
      <w:r w:rsidRPr="003159C5">
        <w:rPr>
          <w:lang w:val="fr-FR"/>
        </w:rPr>
        <w:t>ICANN relatifs aux nouveaux gTLD</w:t>
      </w:r>
      <w:r w:rsidRPr="003159C5">
        <w:rPr>
          <w:rStyle w:val="FootnoteReference"/>
          <w:szCs w:val="22"/>
          <w:lang w:val="fr-FR"/>
        </w:rPr>
        <w:footnoteReference w:id="30"/>
      </w:r>
      <w:r w:rsidRPr="003159C5">
        <w:rPr>
          <w:lang w:val="fr-FR"/>
        </w:rPr>
        <w:t>.</w:t>
      </w:r>
      <w:r w:rsidR="00B70317" w:rsidRPr="003159C5">
        <w:rPr>
          <w:lang w:val="fr-FR"/>
        </w:rPr>
        <w:t xml:space="preserve">  </w:t>
      </w:r>
      <w:r w:rsidRPr="003159C5">
        <w:rPr>
          <w:lang w:val="fr-FR"/>
        </w:rPr>
        <w:t>On trouvera ci</w:t>
      </w:r>
      <w:r w:rsidR="003159C5" w:rsidRPr="003159C5">
        <w:rPr>
          <w:lang w:val="fr-FR"/>
        </w:rPr>
        <w:noBreakHyphen/>
      </w:r>
      <w:r w:rsidRPr="003159C5">
        <w:rPr>
          <w:lang w:val="fr-FR"/>
        </w:rPr>
        <w:t>après une description générale des mécanismes de protection des droits de l</w:t>
      </w:r>
      <w:r w:rsidR="000618AA" w:rsidRPr="003159C5">
        <w:rPr>
          <w:lang w:val="fr-FR"/>
        </w:rPr>
        <w:t>’</w:t>
      </w:r>
      <w:r w:rsidRPr="003159C5">
        <w:rPr>
          <w:lang w:val="fr-FR"/>
        </w:rPr>
        <w:t>ICANN, pour les premier et deuxième niveaux respectivement.</w:t>
      </w:r>
    </w:p>
    <w:p w:rsidR="003159C5" w:rsidRPr="003159C5" w:rsidRDefault="00360CF6" w:rsidP="006D570C">
      <w:pPr>
        <w:pStyle w:val="Heading3"/>
        <w:keepLines/>
      </w:pPr>
      <w:r w:rsidRPr="00360CF6">
        <w:rPr>
          <w:u w:val="none"/>
        </w:rPr>
        <w:lastRenderedPageBreak/>
        <w:t>a)</w:t>
      </w:r>
      <w:r w:rsidRPr="00360CF6">
        <w:rPr>
          <w:u w:val="none"/>
        </w:rPr>
        <w:tab/>
      </w:r>
      <w:r w:rsidR="0027667C" w:rsidRPr="003159C5">
        <w:t>Mécanismes de protection des droits de premier niveau</w:t>
      </w:r>
    </w:p>
    <w:p w:rsidR="003159C5" w:rsidRPr="00D43DA1" w:rsidRDefault="003159C5" w:rsidP="006D570C">
      <w:pPr>
        <w:pStyle w:val="Heading4"/>
        <w:keepLines/>
        <w:rPr>
          <w:lang w:val="fr-CH"/>
        </w:rPr>
      </w:pPr>
      <w:r w:rsidRPr="00D43DA1">
        <w:rPr>
          <w:u w:val="none"/>
          <w:lang w:val="fr-CH"/>
        </w:rPr>
        <w:t>i)</w:t>
      </w:r>
      <w:r w:rsidRPr="00D43DA1">
        <w:rPr>
          <w:u w:val="none"/>
          <w:lang w:val="fr-CH"/>
        </w:rPr>
        <w:tab/>
      </w:r>
      <w:r w:rsidR="0027667C" w:rsidRPr="00D43DA1">
        <w:rPr>
          <w:lang w:val="fr-CH"/>
        </w:rPr>
        <w:t>Procédure de règlement des litiges préalable à l</w:t>
      </w:r>
      <w:r w:rsidR="000618AA" w:rsidRPr="00D43DA1">
        <w:rPr>
          <w:lang w:val="fr-CH"/>
        </w:rPr>
        <w:t>’</w:t>
      </w:r>
      <w:r w:rsidR="0027667C" w:rsidRPr="00D43DA1">
        <w:rPr>
          <w:lang w:val="fr-CH"/>
        </w:rPr>
        <w:t>attribution d</w:t>
      </w:r>
      <w:r w:rsidR="000618AA" w:rsidRPr="00D43DA1">
        <w:rPr>
          <w:lang w:val="fr-CH"/>
        </w:rPr>
        <w:t>’</w:t>
      </w:r>
      <w:r w:rsidR="0027667C" w:rsidRPr="00D43DA1">
        <w:rPr>
          <w:lang w:val="fr-CH"/>
        </w:rPr>
        <w:t>un domaine de premier</w:t>
      </w:r>
      <w:r w:rsidR="00C805BC" w:rsidRPr="00D43DA1">
        <w:rPr>
          <w:lang w:val="fr-CH"/>
        </w:rPr>
        <w:t> </w:t>
      </w:r>
      <w:r w:rsidR="0027667C" w:rsidRPr="00D43DA1">
        <w:rPr>
          <w:lang w:val="fr-CH"/>
        </w:rPr>
        <w:t>niveau</w:t>
      </w:r>
    </w:p>
    <w:p w:rsidR="003159C5" w:rsidRPr="00D43DA1" w:rsidRDefault="003159C5" w:rsidP="006D570C">
      <w:pPr>
        <w:keepNext/>
        <w:keepLines/>
        <w:rPr>
          <w:lang w:val="fr-CH"/>
        </w:rPr>
      </w:pPr>
    </w:p>
    <w:p w:rsidR="003159C5" w:rsidRPr="003159C5" w:rsidRDefault="0027667C" w:rsidP="006D570C">
      <w:pPr>
        <w:pStyle w:val="ONUMFS"/>
        <w:keepNext/>
        <w:keepLines/>
        <w:rPr>
          <w:lang w:val="fr-FR"/>
        </w:rPr>
      </w:pPr>
      <w:r w:rsidRPr="003159C5">
        <w:rPr>
          <w:lang w:val="fr-FR"/>
        </w:rPr>
        <w:t>Ce mécanisme permettait aux propriétaires de marques d</w:t>
      </w:r>
      <w:r w:rsidR="000618AA" w:rsidRPr="003159C5">
        <w:rPr>
          <w:lang w:val="fr-FR"/>
        </w:rPr>
        <w:t>’</w:t>
      </w:r>
      <w:r w:rsidRPr="003159C5">
        <w:rPr>
          <w:lang w:val="fr-FR"/>
        </w:rPr>
        <w:t>opposer aux demandes de nouveaux gTLD au premier niveau des objections pour atteinte aux droits lorsque certains critères matériels étaient réunis</w:t>
      </w:r>
      <w:r w:rsidRPr="003159C5">
        <w:rPr>
          <w:rStyle w:val="FootnoteReference"/>
          <w:szCs w:val="22"/>
          <w:lang w:val="fr-FR"/>
        </w:rPr>
        <w:footnoteReference w:id="31"/>
      </w:r>
      <w:r w:rsidRPr="003159C5">
        <w:rPr>
          <w:lang w:val="fr-FR"/>
        </w:rPr>
        <w:t>.</w:t>
      </w:r>
      <w:r w:rsidR="00B70317" w:rsidRPr="003159C5">
        <w:rPr>
          <w:lang w:val="fr-FR"/>
        </w:rPr>
        <w:t xml:space="preserve">  </w:t>
      </w:r>
      <w:r w:rsidRPr="003159C5">
        <w:rPr>
          <w:lang w:val="fr-FR"/>
        </w:rPr>
        <w:t>Le Centre a apporté à l</w:t>
      </w:r>
      <w:r w:rsidR="000618AA" w:rsidRPr="003159C5">
        <w:rPr>
          <w:lang w:val="fr-FR"/>
        </w:rPr>
        <w:t>’</w:t>
      </w:r>
      <w:r w:rsidRPr="003159C5">
        <w:rPr>
          <w:lang w:val="fr-FR"/>
        </w:rPr>
        <w:t>ICANN une assistance pour l</w:t>
      </w:r>
      <w:r w:rsidR="000618AA" w:rsidRPr="003159C5">
        <w:rPr>
          <w:lang w:val="fr-FR"/>
        </w:rPr>
        <w:t>’</w:t>
      </w:r>
      <w:r w:rsidRPr="003159C5">
        <w:rPr>
          <w:lang w:val="fr-FR"/>
        </w:rPr>
        <w:t>élaboration de ces critères sur la base de la “Recommandation commune de l</w:t>
      </w:r>
      <w:r w:rsidR="000618AA" w:rsidRPr="003159C5">
        <w:rPr>
          <w:lang w:val="fr-FR"/>
        </w:rPr>
        <w:t>’</w:t>
      </w:r>
      <w:r w:rsidRPr="003159C5">
        <w:rPr>
          <w:lang w:val="fr-FR"/>
        </w:rPr>
        <w:t>OMPI concernant la protection des marques, et autres droits de propriété industrielle relatifs à des signes, sur l</w:t>
      </w:r>
      <w:r w:rsidR="000618AA" w:rsidRPr="003159C5">
        <w:rPr>
          <w:lang w:val="fr-FR"/>
        </w:rPr>
        <w:t>’</w:t>
      </w:r>
      <w:r w:rsidRPr="003159C5">
        <w:rPr>
          <w:lang w:val="fr-FR"/>
        </w:rPr>
        <w:t>Internet”</w:t>
      </w:r>
      <w:r w:rsidRPr="003159C5">
        <w:rPr>
          <w:rStyle w:val="FootnoteReference"/>
          <w:szCs w:val="22"/>
          <w:lang w:val="fr-FR"/>
        </w:rPr>
        <w:footnoteReference w:id="32"/>
      </w:r>
      <w:r w:rsidRPr="003159C5">
        <w:rPr>
          <w:lang w:val="fr-FR"/>
        </w:rPr>
        <w:t>.</w:t>
      </w:r>
    </w:p>
    <w:p w:rsidR="003159C5" w:rsidRPr="003159C5" w:rsidRDefault="0027667C" w:rsidP="006D570C">
      <w:pPr>
        <w:pStyle w:val="ONUMFS"/>
        <w:rPr>
          <w:lang w:val="fr-FR"/>
        </w:rPr>
      </w:pPr>
      <w:r w:rsidRPr="003159C5">
        <w:rPr>
          <w:lang w:val="fr-FR"/>
        </w:rPr>
        <w:t>Désigné par l</w:t>
      </w:r>
      <w:r w:rsidR="000618AA" w:rsidRPr="003159C5">
        <w:rPr>
          <w:lang w:val="fr-FR"/>
        </w:rPr>
        <w:t>’</w:t>
      </w:r>
      <w:r w:rsidRPr="003159C5">
        <w:rPr>
          <w:lang w:val="fr-FR"/>
        </w:rPr>
        <w:t>ICANN comme prestataire exclusif de services de règlement des litiges relatifs aux objections pour atteinte aux droits</w:t>
      </w:r>
      <w:r w:rsidRPr="003159C5">
        <w:rPr>
          <w:rStyle w:val="FootnoteReference"/>
          <w:szCs w:val="22"/>
          <w:lang w:val="fr-FR"/>
        </w:rPr>
        <w:footnoteReference w:id="33"/>
      </w:r>
      <w:r w:rsidRPr="003159C5">
        <w:rPr>
          <w:lang w:val="fr-FR"/>
        </w:rPr>
        <w:t>, le Centre a reçu à ce titre 69</w:t>
      </w:r>
      <w:r w:rsidR="00C9393A" w:rsidRPr="003159C5">
        <w:rPr>
          <w:lang w:val="fr-FR"/>
        </w:rPr>
        <w:t> </w:t>
      </w:r>
      <w:r w:rsidRPr="003159C5">
        <w:rPr>
          <w:lang w:val="fr-FR"/>
        </w:rPr>
        <w:t>plaintes en bonne et due forme, dont il a achevé l</w:t>
      </w:r>
      <w:r w:rsidR="000618AA" w:rsidRPr="003159C5">
        <w:rPr>
          <w:lang w:val="fr-FR"/>
        </w:rPr>
        <w:t>’</w:t>
      </w:r>
      <w:r w:rsidRPr="003159C5">
        <w:rPr>
          <w:lang w:val="fr-FR"/>
        </w:rPr>
        <w:t xml:space="preserve">instruction en </w:t>
      </w:r>
      <w:r w:rsidR="000618AA" w:rsidRPr="003159C5">
        <w:rPr>
          <w:lang w:val="fr-FR"/>
        </w:rPr>
        <w:t>septembre 20</w:t>
      </w:r>
      <w:r w:rsidRPr="003159C5">
        <w:rPr>
          <w:lang w:val="fr-FR"/>
        </w:rPr>
        <w:t>13</w:t>
      </w:r>
      <w:r w:rsidRPr="003159C5">
        <w:rPr>
          <w:rStyle w:val="FootnoteReference"/>
          <w:szCs w:val="22"/>
          <w:lang w:val="fr-FR"/>
        </w:rPr>
        <w:footnoteReference w:id="34"/>
      </w:r>
      <w:r w:rsidRPr="003159C5">
        <w:rPr>
          <w:lang w:val="fr-FR"/>
        </w:rPr>
        <w:t>.</w:t>
      </w:r>
      <w:r w:rsidR="00B70317" w:rsidRPr="003159C5">
        <w:rPr>
          <w:lang w:val="fr-FR"/>
        </w:rPr>
        <w:t xml:space="preserve">  </w:t>
      </w:r>
      <w:r w:rsidRPr="003159C5">
        <w:rPr>
          <w:lang w:val="fr-FR"/>
        </w:rPr>
        <w:t>Toutes les décisions rendues par les commissions administratives de l</w:t>
      </w:r>
      <w:r w:rsidR="000618AA" w:rsidRPr="003159C5">
        <w:rPr>
          <w:lang w:val="fr-FR"/>
        </w:rPr>
        <w:t>’</w:t>
      </w:r>
      <w:r w:rsidRPr="003159C5">
        <w:rPr>
          <w:lang w:val="fr-FR"/>
        </w:rPr>
        <w:t>OMPI sont disponibles sur le site Internet du Centre</w:t>
      </w:r>
      <w:r w:rsidRPr="003159C5">
        <w:rPr>
          <w:rStyle w:val="FootnoteReference"/>
          <w:szCs w:val="22"/>
          <w:lang w:val="fr-FR"/>
        </w:rPr>
        <w:footnoteReference w:id="35"/>
      </w:r>
      <w:r w:rsidRPr="003159C5">
        <w:rPr>
          <w:lang w:val="fr-FR"/>
        </w:rPr>
        <w:t>, de même que le rapport établi sur les procédures d</w:t>
      </w:r>
      <w:r w:rsidR="000618AA" w:rsidRPr="003159C5">
        <w:rPr>
          <w:lang w:val="fr-FR"/>
        </w:rPr>
        <w:t>’</w:t>
      </w:r>
      <w:r w:rsidRPr="003159C5">
        <w:rPr>
          <w:lang w:val="fr-FR"/>
        </w:rPr>
        <w:t>objection pour atteinte aux droits</w:t>
      </w:r>
      <w:r w:rsidRPr="003159C5">
        <w:rPr>
          <w:rStyle w:val="FootnoteReference"/>
          <w:szCs w:val="22"/>
          <w:lang w:val="fr-FR"/>
        </w:rPr>
        <w:footnoteReference w:id="36"/>
      </w:r>
      <w:r w:rsidRPr="003159C5">
        <w:rPr>
          <w:lang w:val="fr-FR"/>
        </w:rPr>
        <w:t>.</w:t>
      </w:r>
    </w:p>
    <w:p w:rsidR="003159C5" w:rsidRDefault="003C2D72" w:rsidP="006D570C">
      <w:pPr>
        <w:pStyle w:val="Heading4"/>
        <w:rPr>
          <w:lang w:val="fr-FR"/>
        </w:rPr>
      </w:pPr>
      <w:r w:rsidRPr="00416D47">
        <w:rPr>
          <w:u w:val="none"/>
          <w:lang w:val="fr-FR"/>
        </w:rPr>
        <w:t>ii)</w:t>
      </w:r>
      <w:r w:rsidRPr="00416D47">
        <w:rPr>
          <w:u w:val="none"/>
          <w:lang w:val="fr-FR"/>
        </w:rPr>
        <w:tab/>
      </w:r>
      <w:r w:rsidR="0027667C" w:rsidRPr="003159C5">
        <w:rPr>
          <w:lang w:val="fr-FR"/>
        </w:rPr>
        <w:t>Procédure de règlement des litiges postérieure à l</w:t>
      </w:r>
      <w:r w:rsidR="000618AA" w:rsidRPr="003159C5">
        <w:rPr>
          <w:lang w:val="fr-FR"/>
        </w:rPr>
        <w:t>’</w:t>
      </w:r>
      <w:r w:rsidR="0027667C" w:rsidRPr="003159C5">
        <w:rPr>
          <w:lang w:val="fr-FR"/>
        </w:rPr>
        <w:t>attribution d</w:t>
      </w:r>
      <w:r w:rsidR="000618AA" w:rsidRPr="003159C5">
        <w:rPr>
          <w:lang w:val="fr-FR"/>
        </w:rPr>
        <w:t>’</w:t>
      </w:r>
      <w:r w:rsidR="0027667C" w:rsidRPr="003159C5">
        <w:rPr>
          <w:lang w:val="fr-FR"/>
        </w:rPr>
        <w:t>un domaine de premier niveau</w:t>
      </w:r>
    </w:p>
    <w:p w:rsidR="00416D47" w:rsidRPr="00416D47" w:rsidRDefault="00416D47" w:rsidP="006D570C">
      <w:pPr>
        <w:rPr>
          <w:lang w:val="fr-FR"/>
        </w:rPr>
      </w:pPr>
    </w:p>
    <w:p w:rsidR="003159C5" w:rsidRPr="003159C5" w:rsidRDefault="00C805BC" w:rsidP="006D570C">
      <w:pPr>
        <w:pStyle w:val="ONUMFS"/>
        <w:rPr>
          <w:lang w:val="fr-FR"/>
        </w:rPr>
      </w:pPr>
      <w:r>
        <w:rPr>
          <w:lang w:val="fr-FR"/>
        </w:rPr>
        <w:t>Début </w:t>
      </w:r>
      <w:r w:rsidR="0027667C" w:rsidRPr="003159C5">
        <w:rPr>
          <w:lang w:val="fr-FR"/>
        </w:rPr>
        <w:t>2009, le Centre a communiqué à l</w:t>
      </w:r>
      <w:r w:rsidR="000618AA" w:rsidRPr="003159C5">
        <w:rPr>
          <w:lang w:val="fr-FR"/>
        </w:rPr>
        <w:t>’</w:t>
      </w:r>
      <w:r w:rsidR="0027667C" w:rsidRPr="003159C5">
        <w:rPr>
          <w:lang w:val="fr-FR"/>
        </w:rPr>
        <w:t>ICANN une proposition concrète en faveur d</w:t>
      </w:r>
      <w:r w:rsidR="000618AA" w:rsidRPr="003159C5">
        <w:rPr>
          <w:lang w:val="fr-FR"/>
        </w:rPr>
        <w:t>’</w:t>
      </w:r>
      <w:r w:rsidR="0027667C" w:rsidRPr="003159C5">
        <w:rPr>
          <w:lang w:val="fr-FR"/>
        </w:rPr>
        <w:t>une option administrative permanente qui permettrait le dépôt d</w:t>
      </w:r>
      <w:r w:rsidR="000618AA" w:rsidRPr="003159C5">
        <w:rPr>
          <w:lang w:val="fr-FR"/>
        </w:rPr>
        <w:t>’</w:t>
      </w:r>
      <w:r w:rsidR="0027667C" w:rsidRPr="003159C5">
        <w:rPr>
          <w:lang w:val="fr-FR"/>
        </w:rPr>
        <w:t>une plainte contre l</w:t>
      </w:r>
      <w:r w:rsidR="000618AA" w:rsidRPr="003159C5">
        <w:rPr>
          <w:lang w:val="fr-FR"/>
        </w:rPr>
        <w:t>’</w:t>
      </w:r>
      <w:r w:rsidR="0027667C" w:rsidRPr="003159C5">
        <w:rPr>
          <w:lang w:val="fr-FR"/>
        </w:rPr>
        <w:t>administrateur d</w:t>
      </w:r>
      <w:r w:rsidR="000618AA" w:rsidRPr="003159C5">
        <w:rPr>
          <w:lang w:val="fr-FR"/>
        </w:rPr>
        <w:t>’</w:t>
      </w:r>
      <w:r w:rsidR="0027667C" w:rsidRPr="003159C5">
        <w:rPr>
          <w:lang w:val="fr-FR"/>
        </w:rPr>
        <w:t>un service d</w:t>
      </w:r>
      <w:r w:rsidR="000618AA" w:rsidRPr="003159C5">
        <w:rPr>
          <w:lang w:val="fr-FR"/>
        </w:rPr>
        <w:t>’</w:t>
      </w:r>
      <w:r w:rsidR="0027667C" w:rsidRPr="003159C5">
        <w:rPr>
          <w:lang w:val="fr-FR"/>
        </w:rPr>
        <w:t>enregistrement pour un gTLD nouvellement approuvé dont le mode de fonctionnement ou l</w:t>
      </w:r>
      <w:r w:rsidR="000618AA" w:rsidRPr="003159C5">
        <w:rPr>
          <w:lang w:val="fr-FR"/>
        </w:rPr>
        <w:t>’</w:t>
      </w:r>
      <w:r w:rsidR="0027667C" w:rsidRPr="003159C5">
        <w:rPr>
          <w:lang w:val="fr-FR"/>
        </w:rPr>
        <w:t>utilisation de son service porterait atteinte ou contribuerait matériellement à porter atteinte à une marque</w:t>
      </w:r>
      <w:r w:rsidR="0027667C" w:rsidRPr="003159C5">
        <w:rPr>
          <w:rStyle w:val="FootnoteReference"/>
          <w:szCs w:val="22"/>
          <w:lang w:val="fr-FR"/>
        </w:rPr>
        <w:footnoteReference w:id="37"/>
      </w:r>
      <w:r w:rsidR="0027667C" w:rsidRPr="003159C5">
        <w:rPr>
          <w:lang w:val="fr-FR"/>
        </w:rPr>
        <w:t>.</w:t>
      </w:r>
      <w:r w:rsidR="00B70317" w:rsidRPr="003159C5">
        <w:rPr>
          <w:lang w:val="fr-FR"/>
        </w:rPr>
        <w:t xml:space="preserve">  </w:t>
      </w:r>
      <w:r w:rsidR="0027667C" w:rsidRPr="003159C5">
        <w:rPr>
          <w:lang w:val="fr-FR"/>
        </w:rPr>
        <w:t>L</w:t>
      </w:r>
      <w:r w:rsidR="000618AA" w:rsidRPr="003159C5">
        <w:rPr>
          <w:lang w:val="fr-FR"/>
        </w:rPr>
        <w:t>’</w:t>
      </w:r>
      <w:r w:rsidR="0027667C" w:rsidRPr="003159C5">
        <w:rPr>
          <w:lang w:val="fr-FR"/>
        </w:rPr>
        <w:t>intention était de procurer une forme d</w:t>
      </w:r>
      <w:r w:rsidR="000618AA" w:rsidRPr="003159C5">
        <w:rPr>
          <w:lang w:val="fr-FR"/>
        </w:rPr>
        <w:t>’</w:t>
      </w:r>
      <w:r w:rsidR="0027667C" w:rsidRPr="003159C5">
        <w:rPr>
          <w:lang w:val="fr-FR"/>
        </w:rPr>
        <w:t>assistance normalisée à l</w:t>
      </w:r>
      <w:r w:rsidR="000618AA" w:rsidRPr="003159C5">
        <w:rPr>
          <w:lang w:val="fr-FR"/>
        </w:rPr>
        <w:t>’</w:t>
      </w:r>
      <w:r w:rsidR="0027667C" w:rsidRPr="003159C5">
        <w:rPr>
          <w:lang w:val="fr-FR"/>
        </w:rPr>
        <w:t>ICANN pour lui permettre de s</w:t>
      </w:r>
      <w:r w:rsidR="000618AA" w:rsidRPr="003159C5">
        <w:rPr>
          <w:lang w:val="fr-FR"/>
        </w:rPr>
        <w:t>’</w:t>
      </w:r>
      <w:r w:rsidR="0027667C" w:rsidRPr="003159C5">
        <w:rPr>
          <w:lang w:val="fr-FR"/>
        </w:rPr>
        <w:t>acquitter de ses responsabilités en matière de supervision, en prévoyant une voie de règlement administrative pouvant se substituer à l</w:t>
      </w:r>
      <w:r w:rsidR="000618AA" w:rsidRPr="003159C5">
        <w:rPr>
          <w:lang w:val="fr-FR"/>
        </w:rPr>
        <w:t>’</w:t>
      </w:r>
      <w:r w:rsidR="0027667C" w:rsidRPr="003159C5">
        <w:rPr>
          <w:lang w:val="fr-FR"/>
        </w:rPr>
        <w:t xml:space="preserve">action en justice et en </w:t>
      </w:r>
      <w:r w:rsidR="0027667C" w:rsidRPr="003159C5">
        <w:rPr>
          <w:lang w:val="fr-FR"/>
        </w:rPr>
        <w:lastRenderedPageBreak/>
        <w:t>encourageant les acteurs concernés à se comporter de manière responsable, le tout assorti de clauses d</w:t>
      </w:r>
      <w:r w:rsidR="000618AA" w:rsidRPr="003159C5">
        <w:rPr>
          <w:lang w:val="fr-FR"/>
        </w:rPr>
        <w:t>’</w:t>
      </w:r>
      <w:r w:rsidR="0027667C" w:rsidRPr="003159C5">
        <w:rPr>
          <w:lang w:val="fr-FR"/>
        </w:rPr>
        <w:t>exonération de responsabilité</w:t>
      </w:r>
      <w:r w:rsidR="0027667C" w:rsidRPr="003159C5">
        <w:rPr>
          <w:rStyle w:val="FootnoteReference"/>
          <w:szCs w:val="22"/>
          <w:lang w:val="fr-FR"/>
        </w:rPr>
        <w:footnoteReference w:id="38"/>
      </w:r>
      <w:r w:rsidR="0027667C" w:rsidRPr="003159C5">
        <w:rPr>
          <w:lang w:val="fr-FR"/>
        </w:rPr>
        <w:t>.</w:t>
      </w:r>
    </w:p>
    <w:p w:rsidR="003159C5" w:rsidRPr="003159C5" w:rsidRDefault="0027667C" w:rsidP="006D570C">
      <w:pPr>
        <w:pStyle w:val="ONUMFS"/>
        <w:rPr>
          <w:lang w:val="fr-FR"/>
        </w:rPr>
      </w:pPr>
      <w:r w:rsidRPr="003159C5">
        <w:rPr>
          <w:lang w:val="fr-FR"/>
        </w:rPr>
        <w:t>À la suite de différentes procédures de l</w:t>
      </w:r>
      <w:r w:rsidR="000618AA" w:rsidRPr="003159C5">
        <w:rPr>
          <w:lang w:val="fr-FR"/>
        </w:rPr>
        <w:t>’</w:t>
      </w:r>
      <w:r w:rsidRPr="003159C5">
        <w:rPr>
          <w:lang w:val="fr-FR"/>
        </w:rPr>
        <w:t>ICANN, notamment les consultations avec les administrateurs de services d</w:t>
      </w:r>
      <w:r w:rsidR="000618AA" w:rsidRPr="003159C5">
        <w:rPr>
          <w:lang w:val="fr-FR"/>
        </w:rPr>
        <w:t>’</w:t>
      </w:r>
      <w:r w:rsidRPr="003159C5">
        <w:rPr>
          <w:lang w:val="fr-FR"/>
        </w:rPr>
        <w:t>enregistrement, l</w:t>
      </w:r>
      <w:r w:rsidR="000618AA" w:rsidRPr="003159C5">
        <w:rPr>
          <w:lang w:val="fr-FR"/>
        </w:rPr>
        <w:t>’</w:t>
      </w:r>
      <w:r w:rsidRPr="003159C5">
        <w:rPr>
          <w:lang w:val="fr-FR"/>
        </w:rPr>
        <w:t>efficacité de la procédure de règlement des litiges postérieure à l</w:t>
      </w:r>
      <w:r w:rsidR="000618AA" w:rsidRPr="003159C5">
        <w:rPr>
          <w:lang w:val="fr-FR"/>
        </w:rPr>
        <w:t>’</w:t>
      </w:r>
      <w:r w:rsidRPr="003159C5">
        <w:rPr>
          <w:lang w:val="fr-FR"/>
        </w:rPr>
        <w:t>attribution reste incertaine, compte tenu en particulier de la superposition de différentes couches procédurales et des problèmes concernant le champ d</w:t>
      </w:r>
      <w:r w:rsidR="000618AA" w:rsidRPr="003159C5">
        <w:rPr>
          <w:lang w:val="fr-FR"/>
        </w:rPr>
        <w:t>’</w:t>
      </w:r>
      <w:r w:rsidRPr="003159C5">
        <w:rPr>
          <w:lang w:val="fr-FR"/>
        </w:rPr>
        <w:t>application de ce mécanis</w:t>
      </w:r>
      <w:r w:rsidR="00C9393A" w:rsidRPr="003159C5">
        <w:rPr>
          <w:lang w:val="fr-FR"/>
        </w:rPr>
        <w:t>me.  Co</w:t>
      </w:r>
      <w:r w:rsidRPr="003159C5">
        <w:rPr>
          <w:lang w:val="fr-FR"/>
        </w:rPr>
        <w:t>mpte tenu de certains intérêts plus généraux, le Centre est convenu en</w:t>
      </w:r>
      <w:r w:rsidR="0067439A" w:rsidRPr="003159C5">
        <w:rPr>
          <w:lang w:val="fr-FR"/>
        </w:rPr>
        <w:t> </w:t>
      </w:r>
      <w:r w:rsidRPr="003159C5">
        <w:rPr>
          <w:lang w:val="fr-FR"/>
        </w:rPr>
        <w:t>2013 avec l</w:t>
      </w:r>
      <w:r w:rsidR="000618AA" w:rsidRPr="003159C5">
        <w:rPr>
          <w:lang w:val="fr-FR"/>
        </w:rPr>
        <w:t>’</w:t>
      </w:r>
      <w:r w:rsidRPr="003159C5">
        <w:rPr>
          <w:lang w:val="fr-FR"/>
        </w:rPr>
        <w:t>ICANN de devenir prestataire de services dans le cadre de la procédure de règlement des litiges postérieure à l</w:t>
      </w:r>
      <w:r w:rsidR="000618AA" w:rsidRPr="003159C5">
        <w:rPr>
          <w:lang w:val="fr-FR"/>
        </w:rPr>
        <w:t>’</w:t>
      </w:r>
      <w:r w:rsidRPr="003159C5">
        <w:rPr>
          <w:lang w:val="fr-FR"/>
        </w:rPr>
        <w:t>attribution en ce qui concerne les marques.</w:t>
      </w:r>
    </w:p>
    <w:p w:rsidR="00994782" w:rsidRPr="003159C5" w:rsidRDefault="00360CF6" w:rsidP="006D570C">
      <w:pPr>
        <w:pStyle w:val="Heading3"/>
      </w:pPr>
      <w:r w:rsidRPr="00360CF6">
        <w:rPr>
          <w:u w:val="none"/>
        </w:rPr>
        <w:t>b)</w:t>
      </w:r>
      <w:r w:rsidRPr="00360CF6">
        <w:rPr>
          <w:u w:val="none"/>
        </w:rPr>
        <w:tab/>
      </w:r>
      <w:r w:rsidR="0027667C" w:rsidRPr="003159C5">
        <w:t>Mécanismes de protection des droits au deuxième niveau</w:t>
      </w:r>
    </w:p>
    <w:p w:rsidR="003159C5" w:rsidRDefault="00416D47" w:rsidP="006D570C">
      <w:pPr>
        <w:pStyle w:val="Heading4"/>
        <w:rPr>
          <w:lang w:val="fr-FR"/>
        </w:rPr>
      </w:pPr>
      <w:r w:rsidRPr="00416D47">
        <w:rPr>
          <w:u w:val="none"/>
          <w:lang w:val="fr-FR"/>
        </w:rPr>
        <w:t>i)</w:t>
      </w:r>
      <w:r w:rsidRPr="00416D47">
        <w:rPr>
          <w:u w:val="none"/>
          <w:lang w:val="fr-FR"/>
        </w:rPr>
        <w:tab/>
      </w:r>
      <w:r w:rsidR="0027667C" w:rsidRPr="003159C5">
        <w:rPr>
          <w:lang w:val="fr-FR"/>
        </w:rPr>
        <w:t>Base de données centrale sur les marques</w:t>
      </w:r>
    </w:p>
    <w:p w:rsidR="00416D47" w:rsidRPr="00416D47" w:rsidRDefault="00416D47" w:rsidP="006D570C">
      <w:pPr>
        <w:rPr>
          <w:lang w:val="fr-FR"/>
        </w:rPr>
      </w:pPr>
    </w:p>
    <w:p w:rsidR="003159C5" w:rsidRPr="003159C5" w:rsidRDefault="0027667C" w:rsidP="006D570C">
      <w:pPr>
        <w:pStyle w:val="ONUMFS"/>
        <w:rPr>
          <w:lang w:val="fr-FR"/>
        </w:rPr>
      </w:pPr>
      <w:r w:rsidRPr="003159C5">
        <w:rPr>
          <w:lang w:val="fr-FR"/>
        </w:rPr>
        <w:t>Le programme de l</w:t>
      </w:r>
      <w:r w:rsidR="000618AA" w:rsidRPr="003159C5">
        <w:rPr>
          <w:lang w:val="fr-FR"/>
        </w:rPr>
        <w:t>’</w:t>
      </w:r>
      <w:r w:rsidRPr="003159C5">
        <w:rPr>
          <w:lang w:val="fr-FR"/>
        </w:rPr>
        <w:t>ICANN relatif aux nouveaux gTLD prévoit l</w:t>
      </w:r>
      <w:r w:rsidR="000618AA" w:rsidRPr="003159C5">
        <w:rPr>
          <w:lang w:val="fr-FR"/>
        </w:rPr>
        <w:t>’</w:t>
      </w:r>
      <w:r w:rsidRPr="003159C5">
        <w:rPr>
          <w:lang w:val="fr-FR"/>
        </w:rPr>
        <w:t>établissement d</w:t>
      </w:r>
      <w:r w:rsidR="000618AA" w:rsidRPr="003159C5">
        <w:rPr>
          <w:lang w:val="fr-FR"/>
        </w:rPr>
        <w:t>’</w:t>
      </w:r>
      <w:r w:rsidRPr="003159C5">
        <w:rPr>
          <w:lang w:val="fr-FR"/>
        </w:rPr>
        <w:t>une base de données centrale sur les marques pouvant être invoquée en vertu des mécanismes de protection des droits relatifs aux nouveaux gTLD</w:t>
      </w:r>
      <w:r w:rsidRPr="003159C5">
        <w:rPr>
          <w:rStyle w:val="FootnoteReference"/>
          <w:lang w:val="fr-FR"/>
        </w:rPr>
        <w:footnoteReference w:id="39"/>
      </w:r>
      <w:r w:rsidRPr="003159C5">
        <w:rPr>
          <w:lang w:val="fr-FR"/>
        </w:rPr>
        <w:t>.</w:t>
      </w:r>
      <w:r w:rsidR="00B70317" w:rsidRPr="003159C5">
        <w:rPr>
          <w:lang w:val="fr-FR"/>
        </w:rPr>
        <w:t xml:space="preserve">  </w:t>
      </w:r>
      <w:r w:rsidR="005F0E47" w:rsidRPr="003159C5">
        <w:rPr>
          <w:lang w:val="fr-FR"/>
        </w:rPr>
        <w:t>Le Centre a fait valoir que toute base de données centrale devrait éviter d</w:t>
      </w:r>
      <w:r w:rsidR="000618AA" w:rsidRPr="003159C5">
        <w:rPr>
          <w:lang w:val="fr-FR"/>
        </w:rPr>
        <w:t>’</w:t>
      </w:r>
      <w:r w:rsidR="005F0E47" w:rsidRPr="003159C5">
        <w:rPr>
          <w:lang w:val="fr-FR"/>
        </w:rPr>
        <w:t>alourdir la charge de travail des titulaires de droits en matière de traitement des enregistrements de marques légitimement obtenus dans le cadre des systèmes d</w:t>
      </w:r>
      <w:r w:rsidR="000618AA" w:rsidRPr="003159C5">
        <w:rPr>
          <w:lang w:val="fr-FR"/>
        </w:rPr>
        <w:t>’</w:t>
      </w:r>
      <w:r w:rsidR="005F0E47" w:rsidRPr="003159C5">
        <w:rPr>
          <w:lang w:val="fr-FR"/>
        </w:rPr>
        <w:t>examen et d</w:t>
      </w:r>
      <w:r w:rsidR="000618AA" w:rsidRPr="003159C5">
        <w:rPr>
          <w:lang w:val="fr-FR"/>
        </w:rPr>
        <w:t>’</w:t>
      </w:r>
      <w:r w:rsidR="005F0E47" w:rsidRPr="003159C5">
        <w:rPr>
          <w:lang w:val="fr-FR"/>
        </w:rPr>
        <w:t>enregistrement appliqués dans de nombreux ressorts juridiques et qu</w:t>
      </w:r>
      <w:r w:rsidR="000618AA" w:rsidRPr="003159C5">
        <w:rPr>
          <w:lang w:val="fr-FR"/>
        </w:rPr>
        <w:t>’</w:t>
      </w:r>
      <w:r w:rsidR="005F0E47" w:rsidRPr="003159C5">
        <w:rPr>
          <w:lang w:val="fr-FR"/>
        </w:rPr>
        <w:t>il conviendrait, le cas échéant, d</w:t>
      </w:r>
      <w:r w:rsidR="000618AA" w:rsidRPr="003159C5">
        <w:rPr>
          <w:lang w:val="fr-FR"/>
        </w:rPr>
        <w:t>’</w:t>
      </w:r>
      <w:r w:rsidR="005F0E47" w:rsidRPr="003159C5">
        <w:rPr>
          <w:lang w:val="fr-FR"/>
        </w:rPr>
        <w:t>envisager des mesures pratiques pour recenser toute invocation inappropriée de droits dans certains context</w:t>
      </w:r>
      <w:r w:rsidR="00C9393A" w:rsidRPr="003159C5">
        <w:rPr>
          <w:lang w:val="fr-FR"/>
        </w:rPr>
        <w:t>es.  Il</w:t>
      </w:r>
      <w:r w:rsidR="005F0E47" w:rsidRPr="003159C5">
        <w:rPr>
          <w:lang w:val="fr-FR"/>
        </w:rPr>
        <w:t xml:space="preserve"> apparaît qu</w:t>
      </w:r>
      <w:r w:rsidR="000618AA" w:rsidRPr="003159C5">
        <w:rPr>
          <w:lang w:val="fr-FR"/>
        </w:rPr>
        <w:t>’</w:t>
      </w:r>
      <w:r w:rsidR="005F0E47" w:rsidRPr="003159C5">
        <w:rPr>
          <w:lang w:val="fr-FR"/>
        </w:rPr>
        <w:t xml:space="preserve">en </w:t>
      </w:r>
      <w:r w:rsidR="000618AA" w:rsidRPr="003159C5">
        <w:rPr>
          <w:lang w:val="fr-FR"/>
        </w:rPr>
        <w:t>avril 20</w:t>
      </w:r>
      <w:r w:rsidR="005F0E47" w:rsidRPr="003159C5">
        <w:rPr>
          <w:lang w:val="fr-FR"/>
        </w:rPr>
        <w:t xml:space="preserve">15, le Centre avait reçu </w:t>
      </w:r>
      <w:r w:rsidR="00140A00">
        <w:rPr>
          <w:lang w:val="fr-FR"/>
        </w:rPr>
        <w:t>plus de</w:t>
      </w:r>
      <w:r w:rsidR="005F0E47" w:rsidRPr="003159C5">
        <w:rPr>
          <w:lang w:val="fr-FR"/>
        </w:rPr>
        <w:t xml:space="preserve"> 40</w:t>
      </w:r>
      <w:r w:rsidR="00565026">
        <w:rPr>
          <w:lang w:val="fr-FR"/>
        </w:rPr>
        <w:t> </w:t>
      </w:r>
      <w:r w:rsidR="005F0E47" w:rsidRPr="003159C5">
        <w:rPr>
          <w:lang w:val="fr-FR"/>
        </w:rPr>
        <w:t>500 entrées</w:t>
      </w:r>
      <w:r w:rsidR="005F0E47" w:rsidRPr="003159C5">
        <w:rPr>
          <w:rStyle w:val="FootnoteReference"/>
          <w:lang w:val="fr-FR"/>
        </w:rPr>
        <w:footnoteReference w:id="40"/>
      </w:r>
      <w:r w:rsidR="005F0E47" w:rsidRPr="003159C5">
        <w:rPr>
          <w:lang w:val="fr-FR"/>
        </w:rPr>
        <w:t>.</w:t>
      </w:r>
    </w:p>
    <w:p w:rsidR="00C805BC" w:rsidRDefault="00C805BC" w:rsidP="006D570C">
      <w:pPr>
        <w:rPr>
          <w:bCs/>
          <w:szCs w:val="28"/>
          <w:lang w:val="fr-FR"/>
        </w:rPr>
      </w:pPr>
      <w:r>
        <w:rPr>
          <w:lang w:val="fr-FR"/>
        </w:rPr>
        <w:br w:type="page"/>
      </w:r>
    </w:p>
    <w:p w:rsidR="003159C5" w:rsidRDefault="00416D47" w:rsidP="006D570C">
      <w:pPr>
        <w:pStyle w:val="Heading4"/>
        <w:rPr>
          <w:lang w:val="fr-FR"/>
        </w:rPr>
      </w:pPr>
      <w:r w:rsidRPr="00416D47">
        <w:rPr>
          <w:u w:val="none"/>
          <w:lang w:val="fr-FR"/>
        </w:rPr>
        <w:lastRenderedPageBreak/>
        <w:t>ii)</w:t>
      </w:r>
      <w:r w:rsidRPr="00416D47">
        <w:rPr>
          <w:u w:val="none"/>
          <w:lang w:val="fr-FR"/>
        </w:rPr>
        <w:tab/>
      </w:r>
      <w:r w:rsidR="005F0E47" w:rsidRPr="003159C5">
        <w:rPr>
          <w:lang w:val="fr-FR"/>
        </w:rPr>
        <w:t>Système de suspension uniforme rapide</w:t>
      </w:r>
    </w:p>
    <w:p w:rsidR="00416D47" w:rsidRPr="00416D47" w:rsidRDefault="00416D47" w:rsidP="006D570C">
      <w:pPr>
        <w:rPr>
          <w:lang w:val="fr-FR"/>
        </w:rPr>
      </w:pPr>
    </w:p>
    <w:p w:rsidR="003159C5" w:rsidRPr="003159C5" w:rsidRDefault="005F0E47" w:rsidP="006D570C">
      <w:pPr>
        <w:pStyle w:val="ONUMFS"/>
        <w:rPr>
          <w:lang w:val="fr-FR"/>
        </w:rPr>
      </w:pPr>
      <w:r w:rsidRPr="003159C5">
        <w:rPr>
          <w:lang w:val="fr-FR"/>
        </w:rPr>
        <w:t xml:space="preserve">Les </w:t>
      </w:r>
      <w:r w:rsidR="006D570C">
        <w:rPr>
          <w:lang w:val="fr-FR"/>
        </w:rPr>
        <w:t>principes UDRP</w:t>
      </w:r>
      <w:r w:rsidRPr="003159C5">
        <w:rPr>
          <w:lang w:val="fr-FR"/>
        </w:rPr>
        <w:t xml:space="preserve"> resteront un important instrument défensif pour certains litiges qui appellent le transfert du nom de domaine contesté au propriétaire de la marque, et l</w:t>
      </w:r>
      <w:r w:rsidR="000618AA" w:rsidRPr="003159C5">
        <w:rPr>
          <w:lang w:val="fr-FR"/>
        </w:rPr>
        <w:t>’</w:t>
      </w:r>
      <w:r w:rsidRPr="003159C5">
        <w:rPr>
          <w:lang w:val="fr-FR"/>
        </w:rPr>
        <w:t>ICANN a mis en place un mécanisme allégé de protection des droits de deuxième niveau dans certains cas</w:t>
      </w:r>
      <w:r w:rsidRPr="003159C5">
        <w:rPr>
          <w:rStyle w:val="FootnoteReference"/>
          <w:lang w:val="fr-FR"/>
        </w:rPr>
        <w:footnoteReference w:id="41"/>
      </w:r>
      <w:r w:rsidRPr="003159C5">
        <w:rPr>
          <w:lang w:val="fr-FR"/>
        </w:rPr>
        <w:t>.</w:t>
      </w:r>
    </w:p>
    <w:p w:rsidR="003159C5" w:rsidRPr="003159C5" w:rsidRDefault="005F0E47" w:rsidP="006D570C">
      <w:pPr>
        <w:pStyle w:val="ONUMFS"/>
        <w:rPr>
          <w:lang w:val="fr-FR"/>
        </w:rPr>
      </w:pPr>
      <w:r w:rsidRPr="003159C5">
        <w:rPr>
          <w:lang w:val="fr-FR"/>
        </w:rPr>
        <w:t>Issu d</w:t>
      </w:r>
      <w:r w:rsidR="000618AA" w:rsidRPr="003159C5">
        <w:rPr>
          <w:lang w:val="fr-FR"/>
        </w:rPr>
        <w:t>’</w:t>
      </w:r>
      <w:r w:rsidRPr="003159C5">
        <w:rPr>
          <w:lang w:val="fr-FR"/>
        </w:rPr>
        <w:t>une série de procédures et de comités de l</w:t>
      </w:r>
      <w:r w:rsidR="000618AA" w:rsidRPr="003159C5">
        <w:rPr>
          <w:lang w:val="fr-FR"/>
        </w:rPr>
        <w:t>’</w:t>
      </w:r>
      <w:r w:rsidRPr="003159C5">
        <w:rPr>
          <w:lang w:val="fr-FR"/>
        </w:rPr>
        <w:t xml:space="preserve">ICANN, le système de suspension uniforme rapide continue de soulever un certain nombre de questions, concernant en particulier son lien avec les </w:t>
      </w:r>
      <w:r w:rsidR="006D570C">
        <w:rPr>
          <w:lang w:val="fr-FR"/>
        </w:rPr>
        <w:t>principes UDRP</w:t>
      </w:r>
      <w:r w:rsidRPr="003159C5">
        <w:rPr>
          <w:rStyle w:val="FootnoteReference"/>
          <w:lang w:val="fr-FR"/>
        </w:rPr>
        <w:footnoteReference w:id="42"/>
      </w:r>
      <w:r w:rsidRPr="003159C5">
        <w:rPr>
          <w:lang w:val="fr-FR"/>
        </w:rPr>
        <w:t>.</w:t>
      </w:r>
      <w:r w:rsidR="00B70317" w:rsidRPr="003159C5">
        <w:rPr>
          <w:lang w:val="fr-FR"/>
        </w:rPr>
        <w:t xml:space="preserve">  </w:t>
      </w:r>
      <w:r w:rsidRPr="003159C5">
        <w:rPr>
          <w:lang w:val="fr-FR"/>
        </w:rPr>
        <w:t>L</w:t>
      </w:r>
      <w:r w:rsidR="000618AA" w:rsidRPr="003159C5">
        <w:rPr>
          <w:lang w:val="fr-FR"/>
        </w:rPr>
        <w:t>’</w:t>
      </w:r>
      <w:r w:rsidRPr="003159C5">
        <w:rPr>
          <w:lang w:val="fr-FR"/>
        </w:rPr>
        <w:t>ICANN a adressé aux prestataires potentiels de services de suspension uniforme rapide un appel d</w:t>
      </w:r>
      <w:r w:rsidR="000618AA" w:rsidRPr="003159C5">
        <w:rPr>
          <w:lang w:val="fr-FR"/>
        </w:rPr>
        <w:t>’</w:t>
      </w:r>
      <w:r w:rsidRPr="003159C5">
        <w:rPr>
          <w:lang w:val="fr-FR"/>
        </w:rPr>
        <w:t>offres auquel, à l</w:t>
      </w:r>
      <w:r w:rsidR="000618AA" w:rsidRPr="003159C5">
        <w:rPr>
          <w:lang w:val="fr-FR"/>
        </w:rPr>
        <w:t>’</w:t>
      </w:r>
      <w:r w:rsidRPr="003159C5">
        <w:rPr>
          <w:lang w:val="fr-FR"/>
        </w:rPr>
        <w:t>issue d</w:t>
      </w:r>
      <w:r w:rsidR="000618AA" w:rsidRPr="003159C5">
        <w:rPr>
          <w:lang w:val="fr-FR"/>
        </w:rPr>
        <w:t>’</w:t>
      </w:r>
      <w:r w:rsidRPr="003159C5">
        <w:rPr>
          <w:lang w:val="fr-FR"/>
        </w:rPr>
        <w:t>un examen approfondi du modèle de suspension uniforme rapide de l</w:t>
      </w:r>
      <w:r w:rsidR="000618AA" w:rsidRPr="003159C5">
        <w:rPr>
          <w:lang w:val="fr-FR"/>
        </w:rPr>
        <w:t>’</w:t>
      </w:r>
      <w:r w:rsidRPr="003159C5">
        <w:rPr>
          <w:lang w:val="fr-FR"/>
        </w:rPr>
        <w:t>ICANN et des ressources nécessaires, le Centre n</w:t>
      </w:r>
      <w:r w:rsidR="000618AA" w:rsidRPr="003159C5">
        <w:rPr>
          <w:lang w:val="fr-FR"/>
        </w:rPr>
        <w:t>’</w:t>
      </w:r>
      <w:r w:rsidRPr="003159C5">
        <w:rPr>
          <w:lang w:val="fr-FR"/>
        </w:rPr>
        <w:t>a pas été en mesure de participer</w:t>
      </w:r>
      <w:r w:rsidRPr="003159C5">
        <w:rPr>
          <w:rStyle w:val="FootnoteReference"/>
          <w:lang w:val="fr-FR"/>
        </w:rPr>
        <w:footnoteReference w:id="43"/>
      </w:r>
      <w:r w:rsidRPr="003159C5">
        <w:rPr>
          <w:lang w:val="fr-FR"/>
        </w:rPr>
        <w:t>.</w:t>
      </w:r>
      <w:r w:rsidR="00B70317" w:rsidRPr="003159C5">
        <w:rPr>
          <w:lang w:val="fr-FR"/>
        </w:rPr>
        <w:t xml:space="preserve">  </w:t>
      </w:r>
      <w:r w:rsidRPr="003159C5">
        <w:rPr>
          <w:lang w:val="fr-FR"/>
        </w:rPr>
        <w:t>Le Centre continue de suivre de près l</w:t>
      </w:r>
      <w:r w:rsidR="000618AA" w:rsidRPr="003159C5">
        <w:rPr>
          <w:lang w:val="fr-FR"/>
        </w:rPr>
        <w:t>’</w:t>
      </w:r>
      <w:r w:rsidRPr="003159C5">
        <w:rPr>
          <w:lang w:val="fr-FR"/>
        </w:rPr>
        <w:t>évolution de la situation.</w:t>
      </w:r>
    </w:p>
    <w:p w:rsidR="003159C5" w:rsidRDefault="005F0E47" w:rsidP="006609E0">
      <w:pPr>
        <w:pStyle w:val="Heading2"/>
        <w:ind w:left="567" w:hanging="567"/>
      </w:pPr>
      <w:r w:rsidRPr="003159C5">
        <w:t>Plans de l</w:t>
      </w:r>
      <w:r w:rsidR="000618AA" w:rsidRPr="003159C5">
        <w:t>’</w:t>
      </w:r>
      <w:r w:rsidRPr="003159C5">
        <w:t>ICANN en vue d</w:t>
      </w:r>
      <w:r w:rsidR="000618AA" w:rsidRPr="003159C5">
        <w:t>’</w:t>
      </w:r>
      <w:r w:rsidRPr="003159C5">
        <w:t xml:space="preserve">une révision future des </w:t>
      </w:r>
      <w:r w:rsidR="006D570C">
        <w:t>principes UDRP</w:t>
      </w:r>
      <w:r w:rsidRPr="003159C5">
        <w:t xml:space="preserve"> établis à l</w:t>
      </w:r>
      <w:r w:rsidR="000618AA" w:rsidRPr="003159C5">
        <w:t>’</w:t>
      </w:r>
      <w:r w:rsidRPr="003159C5">
        <w:t>initiative de l</w:t>
      </w:r>
      <w:r w:rsidR="000618AA" w:rsidRPr="003159C5">
        <w:t>’</w:t>
      </w:r>
      <w:r w:rsidRPr="003159C5">
        <w:t>OMPI</w:t>
      </w:r>
    </w:p>
    <w:p w:rsidR="00416D47" w:rsidRPr="00416D47" w:rsidRDefault="00416D47" w:rsidP="006D570C">
      <w:pPr>
        <w:rPr>
          <w:lang w:val="fr-FR"/>
        </w:rPr>
      </w:pPr>
    </w:p>
    <w:p w:rsidR="003159C5" w:rsidRPr="003159C5" w:rsidRDefault="005F0E47" w:rsidP="006D570C">
      <w:pPr>
        <w:pStyle w:val="ONUMFS"/>
        <w:rPr>
          <w:lang w:val="fr-FR"/>
        </w:rPr>
      </w:pPr>
      <w:r w:rsidRPr="003159C5">
        <w:rPr>
          <w:lang w:val="fr-FR"/>
        </w:rPr>
        <w:t>Adaptés à l</w:t>
      </w:r>
      <w:r w:rsidR="000618AA" w:rsidRPr="003159C5">
        <w:rPr>
          <w:lang w:val="fr-FR"/>
        </w:rPr>
        <w:t>’</w:t>
      </w:r>
      <w:r w:rsidRPr="003159C5">
        <w:rPr>
          <w:lang w:val="fr-FR"/>
        </w:rPr>
        <w:t>évolution dynamique</w:t>
      </w:r>
      <w:r w:rsidR="000618AA" w:rsidRPr="003159C5">
        <w:rPr>
          <w:lang w:val="fr-FR"/>
        </w:rPr>
        <w:t xml:space="preserve"> du DNS</w:t>
      </w:r>
      <w:r w:rsidRPr="003159C5">
        <w:rPr>
          <w:lang w:val="fr-FR"/>
        </w:rPr>
        <w:t xml:space="preserve">, les </w:t>
      </w:r>
      <w:r w:rsidR="006D570C">
        <w:rPr>
          <w:lang w:val="fr-FR"/>
        </w:rPr>
        <w:t>principes UDRP</w:t>
      </w:r>
      <w:r w:rsidRPr="003159C5">
        <w:rPr>
          <w:lang w:val="fr-FR"/>
        </w:rPr>
        <w:t xml:space="preserve"> offrent aux propriétaires de marques, aux détenteurs de noms de domaine et aux administrateurs de services d</w:t>
      </w:r>
      <w:r w:rsidR="000618AA" w:rsidRPr="003159C5">
        <w:rPr>
          <w:lang w:val="fr-FR"/>
        </w:rPr>
        <w:t>’</w:t>
      </w:r>
      <w:r w:rsidRPr="003159C5">
        <w:rPr>
          <w:lang w:val="fr-FR"/>
        </w:rPr>
        <w:t>enregistrement une solution remplaçant avantageusement l</w:t>
      </w:r>
      <w:r w:rsidR="000618AA" w:rsidRPr="003159C5">
        <w:rPr>
          <w:lang w:val="fr-FR"/>
        </w:rPr>
        <w:t>’</w:t>
      </w:r>
      <w:r w:rsidRPr="003159C5">
        <w:rPr>
          <w:lang w:val="fr-FR"/>
        </w:rPr>
        <w:t>action judiciai</w:t>
      </w:r>
      <w:r w:rsidR="00C9393A" w:rsidRPr="003159C5">
        <w:rPr>
          <w:lang w:val="fr-FR"/>
        </w:rPr>
        <w:t>re.  Or</w:t>
      </w:r>
      <w:r w:rsidRPr="003159C5">
        <w:rPr>
          <w:lang w:val="fr-FR"/>
        </w:rPr>
        <w:t>, à l</w:t>
      </w:r>
      <w:r w:rsidR="000618AA" w:rsidRPr="003159C5">
        <w:rPr>
          <w:lang w:val="fr-FR"/>
        </w:rPr>
        <w:t>’</w:t>
      </w:r>
      <w:r w:rsidRPr="003159C5">
        <w:rPr>
          <w:lang w:val="fr-FR"/>
        </w:rPr>
        <w:t>issue de discussions au cours desquelles une nette majorité des participants a estimé qu</w:t>
      </w:r>
      <w:r w:rsidR="000618AA" w:rsidRPr="003159C5">
        <w:rPr>
          <w:lang w:val="fr-FR"/>
        </w:rPr>
        <w:t>’</w:t>
      </w:r>
      <w:r w:rsidRPr="003159C5">
        <w:rPr>
          <w:lang w:val="fr-FR"/>
        </w:rPr>
        <w:t>une éventuelle révisio</w:t>
      </w:r>
      <w:r w:rsidR="00565026">
        <w:rPr>
          <w:lang w:val="fr-FR"/>
        </w:rPr>
        <w:t xml:space="preserve">n des </w:t>
      </w:r>
      <w:r w:rsidR="006D570C">
        <w:rPr>
          <w:lang w:val="fr-FR"/>
        </w:rPr>
        <w:t>principes UDRP</w:t>
      </w:r>
      <w:r w:rsidRPr="003159C5">
        <w:rPr>
          <w:lang w:val="fr-FR"/>
        </w:rPr>
        <w:t xml:space="preserve"> effectuée par l</w:t>
      </w:r>
      <w:r w:rsidR="000618AA" w:rsidRPr="003159C5">
        <w:rPr>
          <w:lang w:val="fr-FR"/>
        </w:rPr>
        <w:t>’</w:t>
      </w:r>
      <w:r w:rsidRPr="003159C5">
        <w:rPr>
          <w:lang w:val="fr-FR"/>
        </w:rPr>
        <w:t>ICANN en tant qu</w:t>
      </w:r>
      <w:r w:rsidR="000618AA" w:rsidRPr="003159C5">
        <w:rPr>
          <w:lang w:val="fr-FR"/>
        </w:rPr>
        <w:t>’</w:t>
      </w:r>
      <w:r w:rsidRPr="003159C5">
        <w:rPr>
          <w:lang w:val="fr-FR"/>
        </w:rPr>
        <w:t>organe axé sur les enregistrements ferait davantage de mal que de bien</w:t>
      </w:r>
      <w:r w:rsidRPr="003159C5">
        <w:rPr>
          <w:rStyle w:val="FootnoteReference"/>
          <w:lang w:val="fr-FR"/>
        </w:rPr>
        <w:footnoteReference w:id="44"/>
      </w:r>
      <w:r w:rsidRPr="003159C5">
        <w:rPr>
          <w:lang w:val="fr-FR"/>
        </w:rPr>
        <w:t>, l</w:t>
      </w:r>
      <w:r w:rsidR="000618AA" w:rsidRPr="003159C5">
        <w:rPr>
          <w:lang w:val="fr-FR"/>
        </w:rPr>
        <w:t>’</w:t>
      </w:r>
      <w:r w:rsidRPr="003159C5">
        <w:rPr>
          <w:lang w:val="fr-FR"/>
        </w:rPr>
        <w:t>Organisation de soutien en matière de noms de domaine génériques de l</w:t>
      </w:r>
      <w:r w:rsidR="000618AA" w:rsidRPr="003159C5">
        <w:rPr>
          <w:lang w:val="fr-FR"/>
        </w:rPr>
        <w:t>’</w:t>
      </w:r>
      <w:r w:rsidRPr="003159C5">
        <w:rPr>
          <w:lang w:val="fr-FR"/>
        </w:rPr>
        <w:t>Internet (GNSO) a pris la décision de procéder à la révision des principes</w:t>
      </w:r>
      <w:r w:rsidR="00565026">
        <w:rPr>
          <w:lang w:val="fr-FR"/>
        </w:rPr>
        <w:t> </w:t>
      </w:r>
      <w:r w:rsidRPr="003159C5">
        <w:rPr>
          <w:lang w:val="fr-FR"/>
        </w:rPr>
        <w:t>UDRP après le lancement de nouveaux g</w:t>
      </w:r>
      <w:r w:rsidR="00C9393A" w:rsidRPr="003159C5">
        <w:rPr>
          <w:lang w:val="fr-FR"/>
        </w:rPr>
        <w:t>TLD.  Le</w:t>
      </w:r>
      <w:r w:rsidRPr="003159C5">
        <w:rPr>
          <w:lang w:val="fr-FR"/>
        </w:rPr>
        <w:t xml:space="preserve"> rapport préliminaire de l</w:t>
      </w:r>
      <w:r w:rsidR="000618AA" w:rsidRPr="003159C5">
        <w:rPr>
          <w:lang w:val="fr-FR"/>
        </w:rPr>
        <w:t>’</w:t>
      </w:r>
      <w:r w:rsidRPr="003159C5">
        <w:rPr>
          <w:lang w:val="fr-FR"/>
        </w:rPr>
        <w:t xml:space="preserve">ICANN sur cette question qui a été publié en </w:t>
      </w:r>
      <w:r w:rsidR="000618AA" w:rsidRPr="003159C5">
        <w:rPr>
          <w:lang w:val="fr-FR"/>
        </w:rPr>
        <w:t>octobre 20</w:t>
      </w:r>
      <w:r w:rsidRPr="003159C5">
        <w:rPr>
          <w:lang w:val="fr-FR"/>
        </w:rPr>
        <w:t>15 présentait une série de questions complexes relatives au fond et à la procédure</w:t>
      </w:r>
      <w:r w:rsidRPr="003159C5">
        <w:rPr>
          <w:rStyle w:val="FootnoteReference"/>
          <w:lang w:val="fr-FR"/>
        </w:rPr>
        <w:footnoteReference w:id="45"/>
      </w:r>
      <w:r w:rsidRPr="003159C5">
        <w:rPr>
          <w:lang w:val="fr-FR"/>
        </w:rPr>
        <w:t>.</w:t>
      </w:r>
      <w:r w:rsidR="00B70317" w:rsidRPr="003159C5">
        <w:rPr>
          <w:lang w:val="fr-FR"/>
        </w:rPr>
        <w:t xml:space="preserve">  </w:t>
      </w:r>
      <w:r w:rsidR="001750B7" w:rsidRPr="003159C5">
        <w:rPr>
          <w:lang w:val="fr-FR"/>
        </w:rPr>
        <w:t xml:space="preserve">À cet égard, le Centre a formulé des observations soulignant le succès de longue date des </w:t>
      </w:r>
      <w:r w:rsidR="006D570C">
        <w:rPr>
          <w:lang w:val="fr-FR"/>
        </w:rPr>
        <w:t>principes UDRP</w:t>
      </w:r>
      <w:r w:rsidR="001750B7" w:rsidRPr="003159C5">
        <w:rPr>
          <w:lang w:val="fr-FR"/>
        </w:rPr>
        <w:t xml:space="preserve"> et les risques liés à toute tentative de révision des </w:t>
      </w:r>
      <w:r w:rsidR="006D570C">
        <w:rPr>
          <w:lang w:val="fr-FR"/>
        </w:rPr>
        <w:t>principes UDRP</w:t>
      </w:r>
      <w:r w:rsidR="001750B7" w:rsidRPr="003159C5">
        <w:rPr>
          <w:lang w:val="fr-FR"/>
        </w:rPr>
        <w:t xml:space="preserve"> par l</w:t>
      </w:r>
      <w:r w:rsidR="000618AA" w:rsidRPr="003159C5">
        <w:rPr>
          <w:lang w:val="fr-FR"/>
        </w:rPr>
        <w:t>’</w:t>
      </w:r>
      <w:r w:rsidR="001750B7" w:rsidRPr="003159C5">
        <w:rPr>
          <w:lang w:val="fr-FR"/>
        </w:rPr>
        <w:t>IC</w:t>
      </w:r>
      <w:r w:rsidR="00C9393A" w:rsidRPr="003159C5">
        <w:rPr>
          <w:lang w:val="fr-FR"/>
        </w:rPr>
        <w:t>ANN.  Ap</w:t>
      </w:r>
      <w:r w:rsidR="001750B7" w:rsidRPr="003159C5">
        <w:rPr>
          <w:lang w:val="fr-FR"/>
        </w:rPr>
        <w:t>rès l</w:t>
      </w:r>
      <w:r w:rsidR="000618AA" w:rsidRPr="003159C5">
        <w:rPr>
          <w:lang w:val="fr-FR"/>
        </w:rPr>
        <w:t>’</w:t>
      </w:r>
      <w:r w:rsidR="001750B7" w:rsidRPr="003159C5">
        <w:rPr>
          <w:lang w:val="fr-FR"/>
        </w:rPr>
        <w:t>ouverture d</w:t>
      </w:r>
      <w:r w:rsidR="000618AA" w:rsidRPr="003159C5">
        <w:rPr>
          <w:lang w:val="fr-FR"/>
        </w:rPr>
        <w:t>’</w:t>
      </w:r>
      <w:r w:rsidR="001750B7" w:rsidRPr="003159C5">
        <w:rPr>
          <w:lang w:val="fr-FR"/>
        </w:rPr>
        <w:t>un débat public, l</w:t>
      </w:r>
      <w:r w:rsidR="000618AA" w:rsidRPr="003159C5">
        <w:rPr>
          <w:lang w:val="fr-FR"/>
        </w:rPr>
        <w:t>’</w:t>
      </w:r>
      <w:r w:rsidR="001750B7" w:rsidRPr="003159C5">
        <w:rPr>
          <w:lang w:val="fr-FR"/>
        </w:rPr>
        <w:t xml:space="preserve">ICANN a publié son rapport final sur cette question en </w:t>
      </w:r>
      <w:r w:rsidR="000618AA" w:rsidRPr="003159C5">
        <w:rPr>
          <w:lang w:val="fr-FR"/>
        </w:rPr>
        <w:t>janvier 20</w:t>
      </w:r>
      <w:r w:rsidR="001750B7" w:rsidRPr="003159C5">
        <w:rPr>
          <w:lang w:val="fr-FR"/>
        </w:rPr>
        <w:t>16, recommandant que</w:t>
      </w:r>
      <w:r w:rsidR="000618AA" w:rsidRPr="003159C5">
        <w:rPr>
          <w:lang w:val="fr-FR"/>
        </w:rPr>
        <w:t xml:space="preserve"> la GNS</w:t>
      </w:r>
      <w:r w:rsidR="001750B7" w:rsidRPr="003159C5">
        <w:rPr>
          <w:lang w:val="fr-FR"/>
        </w:rPr>
        <w:t>O lance un processus d</w:t>
      </w:r>
      <w:r w:rsidR="000618AA" w:rsidRPr="003159C5">
        <w:rPr>
          <w:lang w:val="fr-FR"/>
        </w:rPr>
        <w:t>’</w:t>
      </w:r>
      <w:r w:rsidR="001750B7" w:rsidRPr="003159C5">
        <w:rPr>
          <w:lang w:val="fr-FR"/>
        </w:rPr>
        <w:t>élaboration de politique afin d</w:t>
      </w:r>
      <w:r w:rsidR="000618AA" w:rsidRPr="003159C5">
        <w:rPr>
          <w:lang w:val="fr-FR"/>
        </w:rPr>
        <w:t>’</w:t>
      </w:r>
      <w:r w:rsidR="001750B7" w:rsidRPr="003159C5">
        <w:rPr>
          <w:lang w:val="fr-FR"/>
        </w:rPr>
        <w:t>examiner tous les mécanismes de protection des droits en deux</w:t>
      </w:r>
      <w:r w:rsidR="0067439A" w:rsidRPr="003159C5">
        <w:rPr>
          <w:lang w:val="fr-FR"/>
        </w:rPr>
        <w:t> </w:t>
      </w:r>
      <w:r w:rsidR="001750B7" w:rsidRPr="003159C5">
        <w:rPr>
          <w:lang w:val="fr-FR"/>
        </w:rPr>
        <w:t>phas</w:t>
      </w:r>
      <w:r w:rsidR="00C9393A" w:rsidRPr="003159C5">
        <w:rPr>
          <w:lang w:val="fr-FR"/>
        </w:rPr>
        <w:t>es.  La</w:t>
      </w:r>
      <w:r w:rsidR="001750B7" w:rsidRPr="003159C5">
        <w:rPr>
          <w:lang w:val="fr-FR"/>
        </w:rPr>
        <w:t xml:space="preserve"> phase initiale porte </w:t>
      </w:r>
      <w:r w:rsidR="008206CE">
        <w:rPr>
          <w:lang w:val="fr-FR"/>
        </w:rPr>
        <w:t>actuellement</w:t>
      </w:r>
      <w:r w:rsidR="009569EA">
        <w:rPr>
          <w:lang w:val="fr-FR"/>
        </w:rPr>
        <w:t xml:space="preserve"> </w:t>
      </w:r>
      <w:r w:rsidR="001750B7" w:rsidRPr="003159C5">
        <w:rPr>
          <w:lang w:val="fr-FR"/>
        </w:rPr>
        <w:t xml:space="preserve">sur les mécanismes de protection des droits établis pour le programme relatif aux nouveaux gTLD et la deuxième </w:t>
      </w:r>
      <w:r w:rsidR="009569EA">
        <w:rPr>
          <w:lang w:val="fr-FR"/>
        </w:rPr>
        <w:t xml:space="preserve">portera </w:t>
      </w:r>
      <w:r w:rsidR="001750B7" w:rsidRPr="003159C5">
        <w:rPr>
          <w:lang w:val="fr-FR"/>
        </w:rPr>
        <w:t xml:space="preserve">sur les </w:t>
      </w:r>
      <w:r w:rsidR="006D570C">
        <w:rPr>
          <w:lang w:val="fr-FR"/>
        </w:rPr>
        <w:t>principes UDRP</w:t>
      </w:r>
      <w:r w:rsidR="001750B7" w:rsidRPr="003159C5">
        <w:rPr>
          <w:rStyle w:val="FootnoteReference"/>
          <w:lang w:val="fr-FR"/>
        </w:rPr>
        <w:footnoteReference w:id="46"/>
      </w:r>
      <w:r w:rsidR="001750B7" w:rsidRPr="003159C5">
        <w:rPr>
          <w:lang w:val="fr-FR"/>
        </w:rPr>
        <w:t>.</w:t>
      </w:r>
      <w:r w:rsidR="00B70317" w:rsidRPr="003159C5">
        <w:rPr>
          <w:lang w:val="fr-FR"/>
        </w:rPr>
        <w:t xml:space="preserve">  </w:t>
      </w:r>
      <w:r w:rsidR="001750B7" w:rsidRPr="003159C5">
        <w:rPr>
          <w:lang w:val="fr-FR"/>
        </w:rPr>
        <w:t>C</w:t>
      </w:r>
      <w:r w:rsidR="000618AA" w:rsidRPr="003159C5">
        <w:rPr>
          <w:lang w:val="fr-FR"/>
        </w:rPr>
        <w:t>’</w:t>
      </w:r>
      <w:r w:rsidR="001750B7" w:rsidRPr="003159C5">
        <w:rPr>
          <w:lang w:val="fr-FR"/>
        </w:rPr>
        <w:t xml:space="preserve">est un sujet de préoccupation </w:t>
      </w:r>
      <w:r w:rsidR="003C2D72" w:rsidRPr="003159C5">
        <w:rPr>
          <w:lang w:val="fr-FR"/>
        </w:rPr>
        <w:t xml:space="preserve">important </w:t>
      </w:r>
      <w:r w:rsidR="001750B7" w:rsidRPr="003159C5">
        <w:rPr>
          <w:lang w:val="fr-FR"/>
        </w:rPr>
        <w:t>et le Centre continue de se tenir activement informé des intentions des parties prenantes de l</w:t>
      </w:r>
      <w:r w:rsidR="000618AA" w:rsidRPr="003159C5">
        <w:rPr>
          <w:lang w:val="fr-FR"/>
        </w:rPr>
        <w:t>’</w:t>
      </w:r>
      <w:r w:rsidR="001750B7" w:rsidRPr="003159C5">
        <w:rPr>
          <w:lang w:val="fr-FR"/>
        </w:rPr>
        <w:t xml:space="preserve">ICANN concernant les </w:t>
      </w:r>
      <w:r w:rsidR="006D570C">
        <w:rPr>
          <w:lang w:val="fr-FR"/>
        </w:rPr>
        <w:t>principes UDRP</w:t>
      </w:r>
      <w:r w:rsidR="001750B7" w:rsidRPr="003159C5">
        <w:rPr>
          <w:lang w:val="fr-FR"/>
        </w:rPr>
        <w:t xml:space="preserve"> et des mécanismes de protection des droits attachés aux marques en général.</w:t>
      </w:r>
    </w:p>
    <w:p w:rsidR="003159C5" w:rsidRDefault="001750B7" w:rsidP="006D570C">
      <w:pPr>
        <w:pStyle w:val="Heading2"/>
      </w:pPr>
      <w:r w:rsidRPr="003159C5">
        <w:lastRenderedPageBreak/>
        <w:t>Noms de domaine internationalisés</w:t>
      </w:r>
    </w:p>
    <w:p w:rsidR="00416D47" w:rsidRPr="00416D47" w:rsidRDefault="00416D47" w:rsidP="006D570C">
      <w:pPr>
        <w:rPr>
          <w:lang w:val="fr-FR"/>
        </w:rPr>
      </w:pPr>
    </w:p>
    <w:p w:rsidR="003159C5" w:rsidRPr="003159C5" w:rsidRDefault="001750B7" w:rsidP="006D570C">
      <w:pPr>
        <w:pStyle w:val="ONUMFS"/>
        <w:rPr>
          <w:lang w:val="fr-FR"/>
        </w:rPr>
      </w:pPr>
      <w:r w:rsidRPr="003159C5">
        <w:rPr>
          <w:lang w:val="fr-FR"/>
        </w:rPr>
        <w:t>Ainsi qu</w:t>
      </w:r>
      <w:r w:rsidR="000618AA" w:rsidRPr="003159C5">
        <w:rPr>
          <w:lang w:val="fr-FR"/>
        </w:rPr>
        <w:t>’</w:t>
      </w:r>
      <w:r w:rsidRPr="003159C5">
        <w:rPr>
          <w:lang w:val="fr-FR"/>
        </w:rPr>
        <w:t>il est indiqué au paragraphe</w:t>
      </w:r>
      <w:r w:rsidR="0067439A" w:rsidRPr="003159C5">
        <w:rPr>
          <w:lang w:val="fr-FR"/>
        </w:rPr>
        <w:t> </w:t>
      </w:r>
      <w:r w:rsidRPr="003159C5">
        <w:rPr>
          <w:lang w:val="fr-FR"/>
        </w:rPr>
        <w:t>22, l</w:t>
      </w:r>
      <w:r w:rsidR="000618AA" w:rsidRPr="003159C5">
        <w:rPr>
          <w:lang w:val="fr-FR"/>
        </w:rPr>
        <w:t>’</w:t>
      </w:r>
      <w:r w:rsidRPr="003159C5">
        <w:rPr>
          <w:lang w:val="fr-FR"/>
        </w:rPr>
        <w:t>introduction de noms de domaine internationalisés (en caractères non latins) dans les domaines de premier niveau constitue une autre évolution importante</w:t>
      </w:r>
      <w:r w:rsidR="000618AA" w:rsidRPr="003159C5">
        <w:rPr>
          <w:lang w:val="fr-FR"/>
        </w:rPr>
        <w:t xml:space="preserve"> du DNS</w:t>
      </w:r>
      <w:r w:rsidRPr="003159C5">
        <w:rPr>
          <w:rStyle w:val="FootnoteReference"/>
          <w:szCs w:val="22"/>
          <w:lang w:val="fr-FR"/>
        </w:rPr>
        <w:footnoteReference w:id="47"/>
      </w:r>
      <w:r w:rsidRPr="003159C5">
        <w:rPr>
          <w:lang w:val="fr-FR"/>
        </w:rPr>
        <w:t>.</w:t>
      </w:r>
      <w:r w:rsidR="00B70317" w:rsidRPr="003159C5">
        <w:rPr>
          <w:lang w:val="fr-FR"/>
        </w:rPr>
        <w:t xml:space="preserve">  </w:t>
      </w:r>
      <w:r w:rsidRPr="003159C5">
        <w:rPr>
          <w:lang w:val="fr-FR"/>
        </w:rPr>
        <w:t>Ces domaines étaient nombreux parmi les premiers gTLD dont l</w:t>
      </w:r>
      <w:r w:rsidR="000618AA" w:rsidRPr="003159C5">
        <w:rPr>
          <w:lang w:val="fr-FR"/>
        </w:rPr>
        <w:t>’</w:t>
      </w:r>
      <w:r w:rsidRPr="003159C5">
        <w:rPr>
          <w:lang w:val="fr-FR"/>
        </w:rPr>
        <w:t>attribution dans la zone racine</w:t>
      </w:r>
      <w:r w:rsidR="000618AA" w:rsidRPr="003159C5">
        <w:rPr>
          <w:lang w:val="fr-FR"/>
        </w:rPr>
        <w:t xml:space="preserve"> du DNS</w:t>
      </w:r>
      <w:r w:rsidRPr="003159C5">
        <w:rPr>
          <w:lang w:val="fr-FR"/>
        </w:rPr>
        <w:t xml:space="preserve"> a été annoncée par l</w:t>
      </w:r>
      <w:r w:rsidR="000618AA" w:rsidRPr="003159C5">
        <w:rPr>
          <w:lang w:val="fr-FR"/>
        </w:rPr>
        <w:t>’</w:t>
      </w:r>
      <w:r w:rsidRPr="003159C5">
        <w:rPr>
          <w:lang w:val="fr-FR"/>
        </w:rPr>
        <w:t>ICANN.</w:t>
      </w:r>
    </w:p>
    <w:p w:rsidR="003159C5" w:rsidRDefault="001750B7" w:rsidP="006D570C">
      <w:pPr>
        <w:pStyle w:val="Heading2"/>
      </w:pPr>
      <w:r w:rsidRPr="003159C5">
        <w:t>Autres désignations</w:t>
      </w:r>
    </w:p>
    <w:p w:rsidR="00416D47" w:rsidRPr="00416D47" w:rsidRDefault="00416D47" w:rsidP="006D570C">
      <w:pPr>
        <w:rPr>
          <w:lang w:val="fr-FR"/>
        </w:rPr>
      </w:pPr>
    </w:p>
    <w:p w:rsidR="003159C5" w:rsidRPr="003159C5" w:rsidRDefault="001750B7" w:rsidP="006D570C">
      <w:pPr>
        <w:pStyle w:val="ONUMFS"/>
        <w:rPr>
          <w:lang w:val="fr-FR"/>
        </w:rPr>
      </w:pPr>
      <w:r w:rsidRPr="003159C5">
        <w:rPr>
          <w:lang w:val="fr-FR"/>
        </w:rPr>
        <w:t>Outre les évolutions susmentionnées et en relation avec celles</w:t>
      </w:r>
      <w:r w:rsidR="003159C5" w:rsidRPr="003159C5">
        <w:rPr>
          <w:lang w:val="fr-FR"/>
        </w:rPr>
        <w:noBreakHyphen/>
      </w:r>
      <w:r w:rsidRPr="003159C5">
        <w:rPr>
          <w:lang w:val="fr-FR"/>
        </w:rPr>
        <w:t>ci, d</w:t>
      </w:r>
      <w:r w:rsidR="000618AA" w:rsidRPr="003159C5">
        <w:rPr>
          <w:lang w:val="fr-FR"/>
        </w:rPr>
        <w:t>’</w:t>
      </w:r>
      <w:r w:rsidRPr="003159C5">
        <w:rPr>
          <w:lang w:val="fr-FR"/>
        </w:rPr>
        <w:t>autres activités déployées par l</w:t>
      </w:r>
      <w:r w:rsidR="000618AA" w:rsidRPr="003159C5">
        <w:rPr>
          <w:lang w:val="fr-FR"/>
        </w:rPr>
        <w:t>’</w:t>
      </w:r>
      <w:r w:rsidRPr="003159C5">
        <w:rPr>
          <w:lang w:val="fr-FR"/>
        </w:rPr>
        <w:t>ICANN touchent à la protection de désignations autres que les marques.</w:t>
      </w:r>
    </w:p>
    <w:p w:rsidR="003159C5" w:rsidRDefault="00360CF6" w:rsidP="006D570C">
      <w:pPr>
        <w:pStyle w:val="Heading3"/>
      </w:pPr>
      <w:r w:rsidRPr="00360CF6">
        <w:rPr>
          <w:u w:val="none"/>
        </w:rPr>
        <w:t>a)</w:t>
      </w:r>
      <w:r w:rsidRPr="00360CF6">
        <w:rPr>
          <w:u w:val="none"/>
        </w:rPr>
        <w:tab/>
      </w:r>
      <w:r w:rsidR="00744383" w:rsidRPr="003159C5">
        <w:t>Organisations intergouvernementales</w:t>
      </w:r>
    </w:p>
    <w:p w:rsidR="00416D47" w:rsidRPr="00416D47" w:rsidRDefault="00416D47" w:rsidP="006D570C">
      <w:pPr>
        <w:rPr>
          <w:lang w:val="fr-FR"/>
        </w:rPr>
      </w:pPr>
    </w:p>
    <w:p w:rsidR="003159C5" w:rsidRPr="003159C5" w:rsidRDefault="00744383" w:rsidP="006D570C">
      <w:pPr>
        <w:pStyle w:val="ONUMFS"/>
        <w:rPr>
          <w:lang w:val="fr-FR"/>
        </w:rPr>
      </w:pPr>
      <w:r w:rsidRPr="003159C5">
        <w:rPr>
          <w:lang w:val="fr-FR"/>
        </w:rPr>
        <w:t>Il est rappelé que le premier processus de consultations de l</w:t>
      </w:r>
      <w:r w:rsidR="000618AA" w:rsidRPr="003159C5">
        <w:rPr>
          <w:lang w:val="fr-FR"/>
        </w:rPr>
        <w:t>’</w:t>
      </w:r>
      <w:r w:rsidRPr="003159C5">
        <w:rPr>
          <w:lang w:val="fr-FR"/>
        </w:rPr>
        <w:t>OMPI sur les noms de domaine de l</w:t>
      </w:r>
      <w:r w:rsidR="000618AA" w:rsidRPr="003159C5">
        <w:rPr>
          <w:lang w:val="fr-FR"/>
        </w:rPr>
        <w:t>’</w:t>
      </w:r>
      <w:r w:rsidRPr="003159C5">
        <w:rPr>
          <w:lang w:val="fr-FR"/>
        </w:rPr>
        <w:t>Internet traitait du lien entre les noms de domaine et les marqu</w:t>
      </w:r>
      <w:r w:rsidR="00C9393A" w:rsidRPr="003159C5">
        <w:rPr>
          <w:lang w:val="fr-FR"/>
        </w:rPr>
        <w:t>es.  Le</w:t>
      </w:r>
      <w:r w:rsidRPr="003159C5">
        <w:rPr>
          <w:lang w:val="fr-FR"/>
        </w:rPr>
        <w:t xml:space="preserve"> second traitait du lien entre les noms de domaine et d</w:t>
      </w:r>
      <w:r w:rsidR="000618AA" w:rsidRPr="003159C5">
        <w:rPr>
          <w:lang w:val="fr-FR"/>
        </w:rPr>
        <w:t>’</w:t>
      </w:r>
      <w:r w:rsidRPr="003159C5">
        <w:rPr>
          <w:lang w:val="fr-FR"/>
        </w:rPr>
        <w:t>autres types de désignations, dont les noms de pays et les noms et sigles d</w:t>
      </w:r>
      <w:r w:rsidR="000618AA" w:rsidRPr="003159C5">
        <w:rPr>
          <w:lang w:val="fr-FR"/>
        </w:rPr>
        <w:t>’</w:t>
      </w:r>
      <w:r w:rsidRPr="003159C5">
        <w:rPr>
          <w:lang w:val="fr-FR"/>
        </w:rPr>
        <w:t>organisations intergouvernementales.</w:t>
      </w:r>
    </w:p>
    <w:p w:rsidR="003159C5" w:rsidRPr="003159C5" w:rsidRDefault="00744383" w:rsidP="006D570C">
      <w:pPr>
        <w:pStyle w:val="ONUMFS"/>
        <w:rPr>
          <w:lang w:val="fr-FR"/>
        </w:rPr>
      </w:pPr>
      <w:r w:rsidRPr="003159C5">
        <w:rPr>
          <w:lang w:val="fr-FR"/>
        </w:rPr>
        <w:t>En</w:t>
      </w:r>
      <w:r w:rsidR="0067439A" w:rsidRPr="003159C5">
        <w:rPr>
          <w:lang w:val="fr-FR"/>
        </w:rPr>
        <w:t> </w:t>
      </w:r>
      <w:r w:rsidRPr="003159C5">
        <w:rPr>
          <w:lang w:val="fr-FR"/>
        </w:rPr>
        <w:t>2002, l</w:t>
      </w:r>
      <w:r w:rsidR="000618AA" w:rsidRPr="003159C5">
        <w:rPr>
          <w:lang w:val="fr-FR"/>
        </w:rPr>
        <w:t>’</w:t>
      </w:r>
      <w:r w:rsidRPr="003159C5">
        <w:rPr>
          <w:lang w:val="fr-FR"/>
        </w:rPr>
        <w:t>Assemblée générale de l</w:t>
      </w:r>
      <w:r w:rsidR="000618AA" w:rsidRPr="003159C5">
        <w:rPr>
          <w:lang w:val="fr-FR"/>
        </w:rPr>
        <w:t>’</w:t>
      </w:r>
      <w:r w:rsidRPr="003159C5">
        <w:rPr>
          <w:lang w:val="fr-FR"/>
        </w:rPr>
        <w:t xml:space="preserve">OMPI a recommandé de modifier les </w:t>
      </w:r>
      <w:r w:rsidR="006D570C">
        <w:rPr>
          <w:lang w:val="fr-FR"/>
        </w:rPr>
        <w:t>principes UDRP</w:t>
      </w:r>
      <w:r w:rsidRPr="003159C5">
        <w:rPr>
          <w:lang w:val="fr-FR"/>
        </w:rPr>
        <w:t xml:space="preserve"> afin de protéger les noms de pays et les noms et sigles d</w:t>
      </w:r>
      <w:r w:rsidR="000618AA" w:rsidRPr="003159C5">
        <w:rPr>
          <w:lang w:val="fr-FR"/>
        </w:rPr>
        <w:t>’</w:t>
      </w:r>
      <w:r w:rsidRPr="003159C5">
        <w:rPr>
          <w:lang w:val="fr-FR"/>
        </w:rPr>
        <w:t>organisations intergouvernementales</w:t>
      </w:r>
      <w:r w:rsidRPr="003159C5">
        <w:rPr>
          <w:rStyle w:val="FootnoteReference"/>
          <w:szCs w:val="22"/>
          <w:lang w:val="fr-FR"/>
        </w:rPr>
        <w:footnoteReference w:id="48"/>
      </w:r>
      <w:r w:rsidRPr="003159C5">
        <w:rPr>
          <w:lang w:val="fr-FR"/>
        </w:rPr>
        <w:t>.</w:t>
      </w:r>
      <w:r w:rsidR="00B70317" w:rsidRPr="003159C5">
        <w:rPr>
          <w:lang w:val="fr-FR"/>
        </w:rPr>
        <w:t xml:space="preserve">  </w:t>
      </w:r>
      <w:r w:rsidRPr="003159C5">
        <w:rPr>
          <w:lang w:val="fr-FR"/>
        </w:rPr>
        <w:t>Le Secrétariat de l</w:t>
      </w:r>
      <w:r w:rsidR="000618AA" w:rsidRPr="003159C5">
        <w:rPr>
          <w:lang w:val="fr-FR"/>
        </w:rPr>
        <w:t>’</w:t>
      </w:r>
      <w:r w:rsidRPr="003159C5">
        <w:rPr>
          <w:lang w:val="fr-FR"/>
        </w:rPr>
        <w:t>OMPI a transmis ces recommandations à l</w:t>
      </w:r>
      <w:r w:rsidR="000618AA" w:rsidRPr="003159C5">
        <w:rPr>
          <w:lang w:val="fr-FR"/>
        </w:rPr>
        <w:t>’</w:t>
      </w:r>
      <w:r w:rsidRPr="003159C5">
        <w:rPr>
          <w:lang w:val="fr-FR"/>
        </w:rPr>
        <w:t xml:space="preserve">ICANN en </w:t>
      </w:r>
      <w:r w:rsidR="000618AA" w:rsidRPr="003159C5">
        <w:rPr>
          <w:lang w:val="fr-FR"/>
        </w:rPr>
        <w:t>février 20</w:t>
      </w:r>
      <w:r w:rsidRPr="003159C5">
        <w:rPr>
          <w:lang w:val="fr-FR"/>
        </w:rPr>
        <w:t>03</w:t>
      </w:r>
      <w:r w:rsidRPr="003159C5">
        <w:rPr>
          <w:rStyle w:val="FootnoteReference"/>
          <w:szCs w:val="22"/>
          <w:lang w:val="fr-FR"/>
        </w:rPr>
        <w:footnoteReference w:id="49"/>
      </w:r>
      <w:r w:rsidRPr="003159C5">
        <w:rPr>
          <w:lang w:val="fr-FR"/>
        </w:rPr>
        <w:t>.</w:t>
      </w:r>
    </w:p>
    <w:p w:rsidR="003159C5" w:rsidRPr="003159C5" w:rsidRDefault="00744383" w:rsidP="006D570C">
      <w:pPr>
        <w:pStyle w:val="ONUMFS"/>
        <w:rPr>
          <w:lang w:val="fr-FR"/>
        </w:rPr>
      </w:pPr>
      <w:r w:rsidRPr="003159C5">
        <w:rPr>
          <w:lang w:val="fr-FR"/>
        </w:rPr>
        <w:t>À l</w:t>
      </w:r>
      <w:r w:rsidR="000618AA" w:rsidRPr="003159C5">
        <w:rPr>
          <w:lang w:val="fr-FR"/>
        </w:rPr>
        <w:t>’</w:t>
      </w:r>
      <w:r w:rsidRPr="003159C5">
        <w:rPr>
          <w:lang w:val="fr-FR"/>
        </w:rPr>
        <w:t>issue des délibérations de l</w:t>
      </w:r>
      <w:r w:rsidR="000618AA" w:rsidRPr="003159C5">
        <w:rPr>
          <w:lang w:val="fr-FR"/>
        </w:rPr>
        <w:t>’</w:t>
      </w:r>
      <w:r w:rsidRPr="003159C5">
        <w:rPr>
          <w:lang w:val="fr-FR"/>
        </w:rPr>
        <w:t>ICANN</w:t>
      </w:r>
      <w:r w:rsidRPr="003159C5">
        <w:rPr>
          <w:rStyle w:val="FootnoteReference"/>
          <w:szCs w:val="22"/>
          <w:lang w:val="fr-FR"/>
        </w:rPr>
        <w:footnoteReference w:id="50"/>
      </w:r>
      <w:r w:rsidRPr="003159C5">
        <w:rPr>
          <w:lang w:val="fr-FR"/>
        </w:rPr>
        <w:t>, le Guide de candidature aux nouveaux gTLD de l</w:t>
      </w:r>
      <w:r w:rsidR="000618AA" w:rsidRPr="003159C5">
        <w:rPr>
          <w:lang w:val="fr-FR"/>
        </w:rPr>
        <w:t>’</w:t>
      </w:r>
      <w:r w:rsidRPr="003159C5">
        <w:rPr>
          <w:lang w:val="fr-FR"/>
        </w:rPr>
        <w:t>ICANN a limité la question de la protection des noms et sigles d</w:t>
      </w:r>
      <w:r w:rsidR="000618AA" w:rsidRPr="003159C5">
        <w:rPr>
          <w:lang w:val="fr-FR"/>
        </w:rPr>
        <w:t>’</w:t>
      </w:r>
      <w:r w:rsidRPr="003159C5">
        <w:rPr>
          <w:lang w:val="fr-FR"/>
        </w:rPr>
        <w:t>organisations intergouvernementales au recours prévu dans le cadre des procédures d</w:t>
      </w:r>
      <w:r w:rsidR="000618AA" w:rsidRPr="003159C5">
        <w:rPr>
          <w:lang w:val="fr-FR"/>
        </w:rPr>
        <w:t>’</w:t>
      </w:r>
      <w:r w:rsidRPr="003159C5">
        <w:rPr>
          <w:lang w:val="fr-FR"/>
        </w:rPr>
        <w:t>objection préalable à l</w:t>
      </w:r>
      <w:r w:rsidR="000618AA" w:rsidRPr="003159C5">
        <w:rPr>
          <w:lang w:val="fr-FR"/>
        </w:rPr>
        <w:t>’</w:t>
      </w:r>
      <w:r w:rsidRPr="003159C5">
        <w:rPr>
          <w:lang w:val="fr-FR"/>
        </w:rPr>
        <w:t>attribution des domaines de premier niveau (pour les domaines demandés), dont il est question aux paragraphes</w:t>
      </w:r>
      <w:r w:rsidR="0067439A" w:rsidRPr="003159C5">
        <w:rPr>
          <w:lang w:val="fr-FR"/>
        </w:rPr>
        <w:t> </w:t>
      </w:r>
      <w:r w:rsidRPr="003159C5">
        <w:rPr>
          <w:lang w:val="fr-FR"/>
        </w:rPr>
        <w:t>25 et</w:t>
      </w:r>
      <w:r w:rsidR="00C9393A" w:rsidRPr="003159C5">
        <w:rPr>
          <w:lang w:val="fr-FR"/>
        </w:rPr>
        <w:t> </w:t>
      </w:r>
      <w:r w:rsidRPr="003159C5">
        <w:rPr>
          <w:lang w:val="fr-FR"/>
        </w:rPr>
        <w:t>26 ci</w:t>
      </w:r>
      <w:r w:rsidR="003159C5" w:rsidRPr="003159C5">
        <w:rPr>
          <w:lang w:val="fr-FR"/>
        </w:rPr>
        <w:noBreakHyphen/>
      </w:r>
      <w:r w:rsidRPr="003159C5">
        <w:rPr>
          <w:lang w:val="fr-FR"/>
        </w:rPr>
        <w:t>dess</w:t>
      </w:r>
      <w:r w:rsidR="00C9393A" w:rsidRPr="003159C5">
        <w:rPr>
          <w:lang w:val="fr-FR"/>
        </w:rPr>
        <w:t>us.  To</w:t>
      </w:r>
      <w:r w:rsidRPr="003159C5">
        <w:rPr>
          <w:lang w:val="fr-FR"/>
        </w:rPr>
        <w:t>utefois, après des pressions soutenues des organisations intergouvernementales, le Comité consultatif gouvernemental (GAC) de l</w:t>
      </w:r>
      <w:r w:rsidR="000618AA" w:rsidRPr="003159C5">
        <w:rPr>
          <w:lang w:val="fr-FR"/>
        </w:rPr>
        <w:t>’</w:t>
      </w:r>
      <w:r w:rsidRPr="003159C5">
        <w:rPr>
          <w:lang w:val="fr-FR"/>
        </w:rPr>
        <w:t>ICANN a conseillé au Conseil d</w:t>
      </w:r>
      <w:r w:rsidR="000618AA" w:rsidRPr="003159C5">
        <w:rPr>
          <w:lang w:val="fr-FR"/>
        </w:rPr>
        <w:t>’</w:t>
      </w:r>
      <w:r w:rsidRPr="003159C5">
        <w:rPr>
          <w:lang w:val="fr-FR"/>
        </w:rPr>
        <w:t>administration de l</w:t>
      </w:r>
      <w:r w:rsidR="000618AA" w:rsidRPr="003159C5">
        <w:rPr>
          <w:lang w:val="fr-FR"/>
        </w:rPr>
        <w:t>’</w:t>
      </w:r>
      <w:r w:rsidRPr="003159C5">
        <w:rPr>
          <w:lang w:val="fr-FR"/>
        </w:rPr>
        <w:t>ICANN de protéger les désignations d</w:t>
      </w:r>
      <w:r w:rsidR="000618AA" w:rsidRPr="003159C5">
        <w:rPr>
          <w:lang w:val="fr-FR"/>
        </w:rPr>
        <w:t>’</w:t>
      </w:r>
      <w:r w:rsidRPr="003159C5">
        <w:rPr>
          <w:lang w:val="fr-FR"/>
        </w:rPr>
        <w:t>organisations intergouvernementales contre leur enregistrement abusif par des tiers dans</w:t>
      </w:r>
      <w:r w:rsidR="000618AA" w:rsidRPr="003159C5">
        <w:rPr>
          <w:lang w:val="fr-FR"/>
        </w:rPr>
        <w:t xml:space="preserve"> le DNS</w:t>
      </w:r>
      <w:r w:rsidRPr="003159C5">
        <w:rPr>
          <w:lang w:val="fr-FR"/>
        </w:rPr>
        <w:t xml:space="preserve"> avant l</w:t>
      </w:r>
      <w:r w:rsidR="000618AA" w:rsidRPr="003159C5">
        <w:rPr>
          <w:lang w:val="fr-FR"/>
        </w:rPr>
        <w:t>’</w:t>
      </w:r>
      <w:r w:rsidRPr="003159C5">
        <w:rPr>
          <w:lang w:val="fr-FR"/>
        </w:rPr>
        <w:t>attribution de tout nouveau gTLD</w:t>
      </w:r>
      <w:r w:rsidRPr="003159C5">
        <w:rPr>
          <w:rStyle w:val="FootnoteReference"/>
          <w:szCs w:val="22"/>
          <w:lang w:val="fr-FR"/>
        </w:rPr>
        <w:footnoteReference w:id="51"/>
      </w:r>
      <w:r w:rsidRPr="003159C5">
        <w:rPr>
          <w:lang w:val="fr-FR"/>
        </w:rPr>
        <w:t>.</w:t>
      </w:r>
      <w:r w:rsidR="00B70317" w:rsidRPr="003159C5">
        <w:rPr>
          <w:lang w:val="fr-FR"/>
        </w:rPr>
        <w:t xml:space="preserve"> </w:t>
      </w:r>
      <w:r w:rsidR="000618AA" w:rsidRPr="003159C5">
        <w:rPr>
          <w:lang w:val="fr-FR"/>
        </w:rPr>
        <w:t xml:space="preserve"> Le GAC</w:t>
      </w:r>
      <w:r w:rsidR="0055550F" w:rsidRPr="003159C5">
        <w:rPr>
          <w:lang w:val="fr-FR"/>
        </w:rPr>
        <w:t xml:space="preserve"> a également recommandé au Conseil d</w:t>
      </w:r>
      <w:r w:rsidR="000618AA" w:rsidRPr="003159C5">
        <w:rPr>
          <w:lang w:val="fr-FR"/>
        </w:rPr>
        <w:t>’</w:t>
      </w:r>
      <w:r w:rsidR="0055550F" w:rsidRPr="003159C5">
        <w:rPr>
          <w:lang w:val="fr-FR"/>
        </w:rPr>
        <w:t>administration de l</w:t>
      </w:r>
      <w:r w:rsidR="000618AA" w:rsidRPr="003159C5">
        <w:rPr>
          <w:lang w:val="fr-FR"/>
        </w:rPr>
        <w:t>’</w:t>
      </w:r>
      <w:r w:rsidR="0055550F" w:rsidRPr="003159C5">
        <w:rPr>
          <w:lang w:val="fr-FR"/>
        </w:rPr>
        <w:t>ICANN, sur la base des critères existants pour l</w:t>
      </w:r>
      <w:r w:rsidR="000618AA" w:rsidRPr="003159C5">
        <w:rPr>
          <w:lang w:val="fr-FR"/>
        </w:rPr>
        <w:t>’</w:t>
      </w:r>
      <w:r w:rsidR="0055550F" w:rsidRPr="003159C5">
        <w:rPr>
          <w:lang w:val="fr-FR"/>
        </w:rPr>
        <w:t>enregistrement sous le nom de domaine de premier niveau .int, de collaborer avec les organisations intergouvernementales afin d</w:t>
      </w:r>
      <w:r w:rsidR="000618AA" w:rsidRPr="003159C5">
        <w:rPr>
          <w:lang w:val="fr-FR"/>
        </w:rPr>
        <w:t>’</w:t>
      </w:r>
      <w:r w:rsidR="0055550F" w:rsidRPr="003159C5">
        <w:rPr>
          <w:lang w:val="fr-FR"/>
        </w:rPr>
        <w:t>établir une liste des noms et sigles d</w:t>
      </w:r>
      <w:r w:rsidR="000618AA" w:rsidRPr="003159C5">
        <w:rPr>
          <w:lang w:val="fr-FR"/>
        </w:rPr>
        <w:t>’</w:t>
      </w:r>
      <w:r w:rsidR="0055550F" w:rsidRPr="003159C5">
        <w:rPr>
          <w:lang w:val="fr-FR"/>
        </w:rPr>
        <w:t>organisations intergouvernementales à protéger au moins pour la série actuelle de nouveaux g</w:t>
      </w:r>
      <w:r w:rsidR="00C9393A" w:rsidRPr="003159C5">
        <w:rPr>
          <w:lang w:val="fr-FR"/>
        </w:rPr>
        <w:t>TLD.  Le</w:t>
      </w:r>
      <w:r w:rsidR="000618AA" w:rsidRPr="003159C5">
        <w:rPr>
          <w:lang w:val="fr-FR"/>
        </w:rPr>
        <w:t> GAC</w:t>
      </w:r>
      <w:r w:rsidR="0055550F" w:rsidRPr="003159C5">
        <w:rPr>
          <w:lang w:val="fr-FR"/>
        </w:rPr>
        <w:t xml:space="preserve"> a également recommandé au Conseil d</w:t>
      </w:r>
      <w:r w:rsidR="000618AA" w:rsidRPr="003159C5">
        <w:rPr>
          <w:lang w:val="fr-FR"/>
        </w:rPr>
        <w:t>’</w:t>
      </w:r>
      <w:r w:rsidR="0055550F" w:rsidRPr="003159C5">
        <w:rPr>
          <w:lang w:val="fr-FR"/>
        </w:rPr>
        <w:t>administration, dans l</w:t>
      </w:r>
      <w:r w:rsidR="000618AA" w:rsidRPr="003159C5">
        <w:rPr>
          <w:lang w:val="fr-FR"/>
        </w:rPr>
        <w:t>’</w:t>
      </w:r>
      <w:r w:rsidR="0055550F" w:rsidRPr="003159C5">
        <w:rPr>
          <w:lang w:val="fr-FR"/>
        </w:rPr>
        <w:t>attente des travaux complémentaires sur des mesures de mise en œuvre spécifiques, de prévoir la protection à titre provisoire des noms et sigles d</w:t>
      </w:r>
      <w:r w:rsidR="000618AA" w:rsidRPr="003159C5">
        <w:rPr>
          <w:lang w:val="fr-FR"/>
        </w:rPr>
        <w:t>’</w:t>
      </w:r>
      <w:r w:rsidR="0055550F" w:rsidRPr="003159C5">
        <w:rPr>
          <w:lang w:val="fr-FR"/>
        </w:rPr>
        <w:t>organisations intergouvernementales par le biais d</w:t>
      </w:r>
      <w:r w:rsidR="000618AA" w:rsidRPr="003159C5">
        <w:rPr>
          <w:lang w:val="fr-FR"/>
        </w:rPr>
        <w:t>’</w:t>
      </w:r>
      <w:r w:rsidR="0055550F" w:rsidRPr="003159C5">
        <w:rPr>
          <w:lang w:val="fr-FR"/>
        </w:rPr>
        <w:t>un moratoire contre l</w:t>
      </w:r>
      <w:r w:rsidR="000618AA" w:rsidRPr="003159C5">
        <w:rPr>
          <w:lang w:val="fr-FR"/>
        </w:rPr>
        <w:t>’</w:t>
      </w:r>
      <w:r w:rsidR="0055550F" w:rsidRPr="003159C5">
        <w:rPr>
          <w:lang w:val="fr-FR"/>
        </w:rPr>
        <w:t>enregistrement par un tiers, jusqu</w:t>
      </w:r>
      <w:r w:rsidR="000618AA" w:rsidRPr="003159C5">
        <w:rPr>
          <w:lang w:val="fr-FR"/>
        </w:rPr>
        <w:t>’</w:t>
      </w:r>
      <w:r w:rsidR="0055550F" w:rsidRPr="003159C5">
        <w:rPr>
          <w:lang w:val="fr-FR"/>
        </w:rPr>
        <w:t>au règlement de la question.</w:t>
      </w:r>
    </w:p>
    <w:p w:rsidR="003159C5" w:rsidRPr="003159C5" w:rsidRDefault="0055550F" w:rsidP="006D570C">
      <w:pPr>
        <w:pStyle w:val="ONUMFS"/>
        <w:rPr>
          <w:lang w:val="fr-FR"/>
        </w:rPr>
      </w:pPr>
      <w:r w:rsidRPr="003159C5">
        <w:rPr>
          <w:lang w:val="fr-FR"/>
        </w:rPr>
        <w:lastRenderedPageBreak/>
        <w:t>Dans sa réponse</w:t>
      </w:r>
      <w:r w:rsidR="000618AA" w:rsidRPr="003159C5">
        <w:rPr>
          <w:lang w:val="fr-FR"/>
        </w:rPr>
        <w:t xml:space="preserve"> au GAC</w:t>
      </w:r>
      <w:r w:rsidRPr="003159C5">
        <w:rPr>
          <w:lang w:val="fr-FR"/>
        </w:rPr>
        <w:t>, le Conseil d</w:t>
      </w:r>
      <w:r w:rsidR="000618AA" w:rsidRPr="003159C5">
        <w:rPr>
          <w:lang w:val="fr-FR"/>
        </w:rPr>
        <w:t>’</w:t>
      </w:r>
      <w:r w:rsidRPr="003159C5">
        <w:rPr>
          <w:lang w:val="fr-FR"/>
        </w:rPr>
        <w:t>administration de l</w:t>
      </w:r>
      <w:r w:rsidR="000618AA" w:rsidRPr="003159C5">
        <w:rPr>
          <w:lang w:val="fr-FR"/>
        </w:rPr>
        <w:t>’</w:t>
      </w:r>
      <w:r w:rsidRPr="003159C5">
        <w:rPr>
          <w:lang w:val="fr-FR"/>
        </w:rPr>
        <w:t>ICANN a indiqué qu</w:t>
      </w:r>
      <w:r w:rsidR="000618AA" w:rsidRPr="003159C5">
        <w:rPr>
          <w:lang w:val="fr-FR"/>
        </w:rPr>
        <w:t>’</w:t>
      </w:r>
      <w:r w:rsidRPr="003159C5">
        <w:rPr>
          <w:lang w:val="fr-FR"/>
        </w:rPr>
        <w:t>il avait adopté une résolution jetant les bases d</w:t>
      </w:r>
      <w:r w:rsidR="000618AA" w:rsidRPr="003159C5">
        <w:rPr>
          <w:lang w:val="fr-FR"/>
        </w:rPr>
        <w:t>’</w:t>
      </w:r>
      <w:r w:rsidRPr="003159C5">
        <w:rPr>
          <w:lang w:val="fr-FR"/>
        </w:rPr>
        <w:t>une telle protection à titre provisoire au deuxième niveau sur la base des critères existants pour l</w:t>
      </w:r>
      <w:r w:rsidR="000618AA" w:rsidRPr="003159C5">
        <w:rPr>
          <w:lang w:val="fr-FR"/>
        </w:rPr>
        <w:t>’</w:t>
      </w:r>
      <w:r w:rsidRPr="003159C5">
        <w:rPr>
          <w:lang w:val="fr-FR"/>
        </w:rPr>
        <w:t>enregistrement dans le nom de domaine de premier niveau .int, via une liste de réserve de l</w:t>
      </w:r>
      <w:r w:rsidR="000618AA" w:rsidRPr="003159C5">
        <w:rPr>
          <w:lang w:val="fr-FR"/>
        </w:rPr>
        <w:t>’</w:t>
      </w:r>
      <w:r w:rsidRPr="003159C5">
        <w:rPr>
          <w:lang w:val="fr-FR"/>
        </w:rPr>
        <w:t>ICANN dans laquelle étaient recensés les noms et sigles d</w:t>
      </w:r>
      <w:r w:rsidR="000618AA" w:rsidRPr="003159C5">
        <w:rPr>
          <w:lang w:val="fr-FR"/>
        </w:rPr>
        <w:t>’</w:t>
      </w:r>
      <w:r w:rsidRPr="003159C5">
        <w:rPr>
          <w:lang w:val="fr-FR"/>
        </w:rPr>
        <w:t>organisations intergouvernementales à protéger contre l</w:t>
      </w:r>
      <w:r w:rsidR="000618AA" w:rsidRPr="003159C5">
        <w:rPr>
          <w:lang w:val="fr-FR"/>
        </w:rPr>
        <w:t>’</w:t>
      </w:r>
      <w:r w:rsidRPr="003159C5">
        <w:rPr>
          <w:lang w:val="fr-FR"/>
        </w:rPr>
        <w:t>enregistrement par un tiers, dans le cadre du contrat avec les services d</w:t>
      </w:r>
      <w:r w:rsidR="000618AA" w:rsidRPr="003159C5">
        <w:rPr>
          <w:lang w:val="fr-FR"/>
        </w:rPr>
        <w:t>’</w:t>
      </w:r>
      <w:r w:rsidRPr="003159C5">
        <w:rPr>
          <w:lang w:val="fr-FR"/>
        </w:rPr>
        <w:t>enregistrement de TLD génériques.</w:t>
      </w:r>
      <w:r w:rsidR="00B70317" w:rsidRPr="003159C5">
        <w:rPr>
          <w:lang w:val="fr-FR"/>
        </w:rPr>
        <w:t xml:space="preserve">  </w:t>
      </w:r>
      <w:r w:rsidRPr="003159C5">
        <w:rPr>
          <w:lang w:val="fr-FR"/>
        </w:rPr>
        <w:t>L</w:t>
      </w:r>
      <w:r w:rsidR="000618AA" w:rsidRPr="003159C5">
        <w:rPr>
          <w:lang w:val="fr-FR"/>
        </w:rPr>
        <w:t>’</w:t>
      </w:r>
      <w:r w:rsidRPr="003159C5">
        <w:rPr>
          <w:lang w:val="fr-FR"/>
        </w:rPr>
        <w:t>ICANN a invité les organisations intergouvernementales remplissant les conditions requises à se faire connaître, tout en sollicitant de la part</w:t>
      </w:r>
      <w:r w:rsidR="000618AA" w:rsidRPr="003159C5">
        <w:rPr>
          <w:lang w:val="fr-FR"/>
        </w:rPr>
        <w:t xml:space="preserve"> du GAC</w:t>
      </w:r>
      <w:r w:rsidRPr="003159C5">
        <w:rPr>
          <w:lang w:val="fr-FR"/>
        </w:rPr>
        <w:t xml:space="preserve"> (et des organisations intergouvernementales) une synthèse comprenant les critères et la liste des noms et sigles d</w:t>
      </w:r>
      <w:r w:rsidR="000618AA" w:rsidRPr="003159C5">
        <w:rPr>
          <w:lang w:val="fr-FR"/>
        </w:rPr>
        <w:t>’</w:t>
      </w:r>
      <w:r w:rsidRPr="003159C5">
        <w:rPr>
          <w:lang w:val="fr-FR"/>
        </w:rPr>
        <w:t>organisations intergouvernementales dont</w:t>
      </w:r>
      <w:r w:rsidR="000618AA" w:rsidRPr="003159C5">
        <w:rPr>
          <w:lang w:val="fr-FR"/>
        </w:rPr>
        <w:t xml:space="preserve"> le GAC</w:t>
      </w:r>
      <w:r w:rsidRPr="003159C5">
        <w:rPr>
          <w:lang w:val="fr-FR"/>
        </w:rPr>
        <w:t xml:space="preserve"> recommandait la protection</w:t>
      </w:r>
      <w:r w:rsidRPr="003159C5">
        <w:rPr>
          <w:rStyle w:val="FootnoteReference"/>
          <w:szCs w:val="22"/>
          <w:lang w:val="fr-FR"/>
        </w:rPr>
        <w:footnoteReference w:id="52"/>
      </w:r>
      <w:r w:rsidRPr="003159C5">
        <w:rPr>
          <w:lang w:val="fr-FR"/>
        </w:rPr>
        <w:t>.</w:t>
      </w:r>
      <w:r w:rsidR="00B70317" w:rsidRPr="003159C5">
        <w:rPr>
          <w:lang w:val="fr-FR"/>
        </w:rPr>
        <w:t xml:space="preserve">  </w:t>
      </w:r>
      <w:r w:rsidRPr="003159C5">
        <w:rPr>
          <w:lang w:val="fr-FR"/>
        </w:rPr>
        <w:t>En réponse, une coalition d</w:t>
      </w:r>
      <w:r w:rsidR="000618AA" w:rsidRPr="003159C5">
        <w:rPr>
          <w:lang w:val="fr-FR"/>
        </w:rPr>
        <w:t>’</w:t>
      </w:r>
      <w:r w:rsidRPr="003159C5">
        <w:rPr>
          <w:lang w:val="fr-FR"/>
        </w:rPr>
        <w:t>organisations intergouvernementales a élaboré des critères fondés sur le domaine .int pour la protection des organisations intergouvernementales ainsi qu</w:t>
      </w:r>
      <w:r w:rsidR="000618AA" w:rsidRPr="003159C5">
        <w:rPr>
          <w:lang w:val="fr-FR"/>
        </w:rPr>
        <w:t>’</w:t>
      </w:r>
      <w:r w:rsidRPr="003159C5">
        <w:rPr>
          <w:lang w:val="fr-FR"/>
        </w:rPr>
        <w:t>une liste de ces organisations, qu</w:t>
      </w:r>
      <w:r w:rsidR="000618AA" w:rsidRPr="003159C5">
        <w:rPr>
          <w:lang w:val="fr-FR"/>
        </w:rPr>
        <w:t>’</w:t>
      </w:r>
      <w:r w:rsidRPr="003159C5">
        <w:rPr>
          <w:lang w:val="fr-FR"/>
        </w:rPr>
        <w:t>elle a transmis au Conseil d</w:t>
      </w:r>
      <w:r w:rsidR="000618AA" w:rsidRPr="003159C5">
        <w:rPr>
          <w:lang w:val="fr-FR"/>
        </w:rPr>
        <w:t>’</w:t>
      </w:r>
      <w:r w:rsidRPr="003159C5">
        <w:rPr>
          <w:lang w:val="fr-FR"/>
        </w:rPr>
        <w:t>administration de l</w:t>
      </w:r>
      <w:r w:rsidR="000618AA" w:rsidRPr="003159C5">
        <w:rPr>
          <w:lang w:val="fr-FR"/>
        </w:rPr>
        <w:t>’</w:t>
      </w:r>
      <w:r w:rsidRPr="003159C5">
        <w:rPr>
          <w:lang w:val="fr-FR"/>
        </w:rPr>
        <w:t xml:space="preserve">ICANN en </w:t>
      </w:r>
      <w:r w:rsidR="000618AA" w:rsidRPr="003159C5">
        <w:rPr>
          <w:lang w:val="fr-FR"/>
        </w:rPr>
        <w:t>février 20</w:t>
      </w:r>
      <w:r w:rsidRPr="003159C5">
        <w:rPr>
          <w:lang w:val="fr-FR"/>
        </w:rPr>
        <w:t>13.</w:t>
      </w:r>
      <w:r w:rsidR="00B70317" w:rsidRPr="003159C5">
        <w:rPr>
          <w:lang w:val="fr-FR"/>
        </w:rPr>
        <w:t xml:space="preserve">  </w:t>
      </w:r>
      <w:r w:rsidRPr="003159C5">
        <w:rPr>
          <w:lang w:val="fr-FR"/>
        </w:rPr>
        <w:t>Par la suite,</w:t>
      </w:r>
      <w:r w:rsidR="000618AA" w:rsidRPr="003159C5">
        <w:rPr>
          <w:lang w:val="fr-FR"/>
        </w:rPr>
        <w:t xml:space="preserve"> le GAC</w:t>
      </w:r>
      <w:r w:rsidRPr="003159C5">
        <w:rPr>
          <w:lang w:val="fr-FR"/>
        </w:rPr>
        <w:t xml:space="preserve"> a communiqué au Conseil d</w:t>
      </w:r>
      <w:r w:rsidR="000618AA" w:rsidRPr="003159C5">
        <w:rPr>
          <w:lang w:val="fr-FR"/>
        </w:rPr>
        <w:t>’</w:t>
      </w:r>
      <w:r w:rsidRPr="003159C5">
        <w:rPr>
          <w:lang w:val="fr-FR"/>
        </w:rPr>
        <w:t>administration de l</w:t>
      </w:r>
      <w:r w:rsidR="000618AA" w:rsidRPr="003159C5">
        <w:rPr>
          <w:lang w:val="fr-FR"/>
        </w:rPr>
        <w:t>’</w:t>
      </w:r>
      <w:r w:rsidRPr="003159C5">
        <w:rPr>
          <w:lang w:val="fr-FR"/>
        </w:rPr>
        <w:t>ICANN ses recommandations sur les conditions que devaient remplir les organisations intergouvernementales pour pouvoir bénéficier de la protection</w:t>
      </w:r>
      <w:r w:rsidRPr="003159C5">
        <w:rPr>
          <w:rStyle w:val="FootnoteReference"/>
          <w:szCs w:val="22"/>
          <w:lang w:val="fr-FR"/>
        </w:rPr>
        <w:footnoteReference w:id="53"/>
      </w:r>
      <w:r w:rsidRPr="003159C5">
        <w:rPr>
          <w:lang w:val="fr-FR"/>
        </w:rPr>
        <w:t>, ainsi qu</w:t>
      </w:r>
      <w:r w:rsidR="000618AA" w:rsidRPr="003159C5">
        <w:rPr>
          <w:lang w:val="fr-FR"/>
        </w:rPr>
        <w:t>’</w:t>
      </w:r>
      <w:r w:rsidRPr="003159C5">
        <w:rPr>
          <w:lang w:val="fr-FR"/>
        </w:rPr>
        <w:t>une liste des noms et sigles d</w:t>
      </w:r>
      <w:r w:rsidR="000618AA" w:rsidRPr="003159C5">
        <w:rPr>
          <w:lang w:val="fr-FR"/>
        </w:rPr>
        <w:t>’</w:t>
      </w:r>
      <w:r w:rsidRPr="003159C5">
        <w:rPr>
          <w:lang w:val="fr-FR"/>
        </w:rPr>
        <w:t>organisations intergouvernementales à protéger</w:t>
      </w:r>
      <w:r w:rsidRPr="003159C5">
        <w:rPr>
          <w:rStyle w:val="FootnoteReference"/>
          <w:szCs w:val="22"/>
          <w:lang w:val="fr-FR"/>
        </w:rPr>
        <w:footnoteReference w:id="54"/>
      </w:r>
      <w:r w:rsidRPr="003159C5">
        <w:rPr>
          <w:lang w:val="fr-FR"/>
        </w:rPr>
        <w:t>.</w:t>
      </w:r>
    </w:p>
    <w:p w:rsidR="003159C5" w:rsidRPr="003159C5" w:rsidRDefault="0055550F" w:rsidP="006D570C">
      <w:pPr>
        <w:pStyle w:val="ONUMFS"/>
        <w:rPr>
          <w:lang w:val="fr-FR"/>
        </w:rPr>
      </w:pPr>
      <w:r w:rsidRPr="003159C5">
        <w:rPr>
          <w:lang w:val="fr-FR"/>
        </w:rPr>
        <w:t>Le</w:t>
      </w:r>
      <w:r w:rsidR="000618AA" w:rsidRPr="003159C5">
        <w:rPr>
          <w:lang w:val="fr-FR"/>
        </w:rPr>
        <w:t xml:space="preserve"> 1</w:t>
      </w:r>
      <w:r w:rsidR="000618AA" w:rsidRPr="003159C5">
        <w:rPr>
          <w:vertAlign w:val="superscript"/>
          <w:lang w:val="fr-FR"/>
        </w:rPr>
        <w:t>er</w:t>
      </w:r>
      <w:r w:rsidR="000618AA" w:rsidRPr="003159C5">
        <w:rPr>
          <w:lang w:val="fr-FR"/>
        </w:rPr>
        <w:t> avril 20</w:t>
      </w:r>
      <w:r w:rsidRPr="003159C5">
        <w:rPr>
          <w:lang w:val="fr-FR"/>
        </w:rPr>
        <w:t>13, le Conseil d</w:t>
      </w:r>
      <w:r w:rsidR="000618AA" w:rsidRPr="003159C5">
        <w:rPr>
          <w:lang w:val="fr-FR"/>
        </w:rPr>
        <w:t>’</w:t>
      </w:r>
      <w:r w:rsidRPr="003159C5">
        <w:rPr>
          <w:lang w:val="fr-FR"/>
        </w:rPr>
        <w:t>administration a fait part</w:t>
      </w:r>
      <w:r w:rsidR="000618AA" w:rsidRPr="003159C5">
        <w:rPr>
          <w:lang w:val="fr-FR"/>
        </w:rPr>
        <w:t xml:space="preserve"> au GAC</w:t>
      </w:r>
      <w:r w:rsidRPr="003159C5">
        <w:rPr>
          <w:lang w:val="fr-FR"/>
        </w:rPr>
        <w:t xml:space="preserve"> de ses préoccupations quant à la manière dont la protection des sigles d</w:t>
      </w:r>
      <w:r w:rsidR="000618AA" w:rsidRPr="003159C5">
        <w:rPr>
          <w:lang w:val="fr-FR"/>
        </w:rPr>
        <w:t>’</w:t>
      </w:r>
      <w:r w:rsidRPr="003159C5">
        <w:rPr>
          <w:lang w:val="fr-FR"/>
        </w:rPr>
        <w:t>organisations intergouvernementales pourrait être conciliée avec les demandes d</w:t>
      </w:r>
      <w:r w:rsidR="000618AA" w:rsidRPr="003159C5">
        <w:rPr>
          <w:lang w:val="fr-FR"/>
        </w:rPr>
        <w:t>’</w:t>
      </w:r>
      <w:r w:rsidRPr="003159C5">
        <w:rPr>
          <w:lang w:val="fr-FR"/>
        </w:rPr>
        <w:t>enregistrement potentiellement légitimes de tiers portant sur des noms de domaine équivalant à des sigles d</w:t>
      </w:r>
      <w:r w:rsidR="000618AA" w:rsidRPr="003159C5">
        <w:rPr>
          <w:lang w:val="fr-FR"/>
        </w:rPr>
        <w:t>’</w:t>
      </w:r>
      <w:r w:rsidRPr="003159C5">
        <w:rPr>
          <w:lang w:val="fr-FR"/>
        </w:rPr>
        <w:t>organisations intergouvernementales protégés, et demandé des éclaircissements sur les moyens de gérer dans la pratique les cas potentiellement légitimes d</w:t>
      </w:r>
      <w:r w:rsidR="000618AA" w:rsidRPr="003159C5">
        <w:rPr>
          <w:lang w:val="fr-FR"/>
        </w:rPr>
        <w:t>’</w:t>
      </w:r>
      <w:r w:rsidRPr="003159C5">
        <w:rPr>
          <w:lang w:val="fr-FR"/>
        </w:rPr>
        <w:t>utilisation concomitante de ces sigles</w:t>
      </w:r>
      <w:r w:rsidRPr="003159C5">
        <w:rPr>
          <w:rStyle w:val="FootnoteReference"/>
          <w:szCs w:val="22"/>
          <w:lang w:val="fr-FR"/>
        </w:rPr>
        <w:footnoteReference w:id="55"/>
      </w:r>
      <w:r w:rsidRPr="003159C5">
        <w:rPr>
          <w:lang w:val="fr-FR"/>
        </w:rPr>
        <w:t>.</w:t>
      </w:r>
      <w:r w:rsidR="00B70317" w:rsidRPr="003159C5">
        <w:rPr>
          <w:lang w:val="fr-FR"/>
        </w:rPr>
        <w:t xml:space="preserve">  </w:t>
      </w:r>
      <w:r w:rsidRPr="003159C5">
        <w:rPr>
          <w:lang w:val="fr-FR"/>
        </w:rPr>
        <w:t>Dans sa réponse,</w:t>
      </w:r>
      <w:r w:rsidR="000618AA" w:rsidRPr="003159C5">
        <w:rPr>
          <w:lang w:val="fr-FR"/>
        </w:rPr>
        <w:t xml:space="preserve"> le GAC</w:t>
      </w:r>
      <w:r w:rsidRPr="003159C5">
        <w:rPr>
          <w:lang w:val="fr-FR"/>
        </w:rPr>
        <w:t xml:space="preserve"> soulignait l</w:t>
      </w:r>
      <w:r w:rsidR="000618AA" w:rsidRPr="003159C5">
        <w:rPr>
          <w:lang w:val="fr-FR"/>
        </w:rPr>
        <w:t>’</w:t>
      </w:r>
      <w:r w:rsidRPr="003159C5">
        <w:rPr>
          <w:lang w:val="fr-FR"/>
        </w:rPr>
        <w:t>importance de la mission d</w:t>
      </w:r>
      <w:r w:rsidR="000618AA" w:rsidRPr="003159C5">
        <w:rPr>
          <w:lang w:val="fr-FR"/>
        </w:rPr>
        <w:t>’</w:t>
      </w:r>
      <w:r w:rsidRPr="003159C5">
        <w:rPr>
          <w:lang w:val="fr-FR"/>
        </w:rPr>
        <w:t>intérêt général remplie par les organisations intergouvernementales, s</w:t>
      </w:r>
      <w:r w:rsidR="000618AA" w:rsidRPr="003159C5">
        <w:rPr>
          <w:lang w:val="fr-FR"/>
        </w:rPr>
        <w:t>’</w:t>
      </w:r>
      <w:r w:rsidRPr="003159C5">
        <w:rPr>
          <w:lang w:val="fr-FR"/>
        </w:rPr>
        <w:t>engageait à participer activement à la recherche d</w:t>
      </w:r>
      <w:r w:rsidR="000618AA" w:rsidRPr="003159C5">
        <w:rPr>
          <w:lang w:val="fr-FR"/>
        </w:rPr>
        <w:t>’</w:t>
      </w:r>
      <w:r w:rsidRPr="003159C5">
        <w:rPr>
          <w:lang w:val="fr-FR"/>
        </w:rPr>
        <w:t>une solution et réitérait sa recommandation à l</w:t>
      </w:r>
      <w:r w:rsidR="000618AA" w:rsidRPr="003159C5">
        <w:rPr>
          <w:lang w:val="fr-FR"/>
        </w:rPr>
        <w:t>’</w:t>
      </w:r>
      <w:r w:rsidRPr="003159C5">
        <w:rPr>
          <w:lang w:val="fr-FR"/>
        </w:rPr>
        <w:t>intention du Conseil d</w:t>
      </w:r>
      <w:r w:rsidR="000618AA" w:rsidRPr="003159C5">
        <w:rPr>
          <w:lang w:val="fr-FR"/>
        </w:rPr>
        <w:t>’</w:t>
      </w:r>
      <w:r w:rsidRPr="003159C5">
        <w:rPr>
          <w:lang w:val="fr-FR"/>
        </w:rPr>
        <w:t>administration de l</w:t>
      </w:r>
      <w:r w:rsidR="000618AA" w:rsidRPr="003159C5">
        <w:rPr>
          <w:lang w:val="fr-FR"/>
        </w:rPr>
        <w:t>’</w:t>
      </w:r>
      <w:r w:rsidRPr="003159C5">
        <w:rPr>
          <w:lang w:val="fr-FR"/>
        </w:rPr>
        <w:t>ICANN, en vue de la mise en place, avant le lancement de tout nouveau gTLD, d</w:t>
      </w:r>
      <w:r w:rsidR="000618AA" w:rsidRPr="003159C5">
        <w:rPr>
          <w:lang w:val="fr-FR"/>
        </w:rPr>
        <w:t>’</w:t>
      </w:r>
      <w:r w:rsidRPr="003159C5">
        <w:rPr>
          <w:lang w:val="fr-FR"/>
        </w:rPr>
        <w:t>une protection initiale de nature préventive qui soit appropriée pour les noms et sigles d</w:t>
      </w:r>
      <w:r w:rsidR="000618AA" w:rsidRPr="003159C5">
        <w:rPr>
          <w:lang w:val="fr-FR"/>
        </w:rPr>
        <w:t>’</w:t>
      </w:r>
      <w:r w:rsidRPr="003159C5">
        <w:rPr>
          <w:lang w:val="fr-FR"/>
        </w:rPr>
        <w:t>organisations intergouvernementales</w:t>
      </w:r>
      <w:r w:rsidRPr="003159C5">
        <w:rPr>
          <w:rStyle w:val="FootnoteReference"/>
          <w:szCs w:val="22"/>
          <w:lang w:val="fr-FR"/>
        </w:rPr>
        <w:footnoteReference w:id="56"/>
      </w:r>
      <w:r w:rsidRPr="003159C5">
        <w:rPr>
          <w:lang w:val="fr-FR"/>
        </w:rPr>
        <w:t>.</w:t>
      </w:r>
    </w:p>
    <w:p w:rsidR="003159C5" w:rsidRPr="003159C5" w:rsidRDefault="0055550F" w:rsidP="006D570C">
      <w:pPr>
        <w:pStyle w:val="ONUMFS"/>
        <w:rPr>
          <w:lang w:val="fr-FR"/>
        </w:rPr>
      </w:pPr>
      <w:r w:rsidRPr="003159C5">
        <w:rPr>
          <w:lang w:val="fr-FR"/>
        </w:rPr>
        <w:t xml:space="preserve">En </w:t>
      </w:r>
      <w:r w:rsidR="000618AA" w:rsidRPr="003159C5">
        <w:rPr>
          <w:lang w:val="fr-FR"/>
        </w:rPr>
        <w:t>juillet 20</w:t>
      </w:r>
      <w:r w:rsidRPr="003159C5">
        <w:rPr>
          <w:lang w:val="fr-FR"/>
        </w:rPr>
        <w:t>13, à la suite de délibérations approfondies avec l</w:t>
      </w:r>
      <w:r w:rsidR="000618AA" w:rsidRPr="003159C5">
        <w:rPr>
          <w:lang w:val="fr-FR"/>
        </w:rPr>
        <w:t>’</w:t>
      </w:r>
      <w:r w:rsidRPr="003159C5">
        <w:rPr>
          <w:lang w:val="fr-FR"/>
        </w:rPr>
        <w:t>ICANN et des efforts soutenus déployés par les organisations intergouvernementales,</w:t>
      </w:r>
      <w:r w:rsidR="000618AA" w:rsidRPr="003159C5">
        <w:rPr>
          <w:lang w:val="fr-FR"/>
        </w:rPr>
        <w:t xml:space="preserve"> le GAC</w:t>
      </w:r>
      <w:r w:rsidRPr="003159C5">
        <w:rPr>
          <w:lang w:val="fr-FR"/>
        </w:rPr>
        <w:t xml:space="preserve"> a fait des recommandations au Conseil d</w:t>
      </w:r>
      <w:r w:rsidR="000618AA" w:rsidRPr="003159C5">
        <w:rPr>
          <w:lang w:val="fr-FR"/>
        </w:rPr>
        <w:t>’</w:t>
      </w:r>
      <w:r w:rsidRPr="003159C5">
        <w:rPr>
          <w:lang w:val="fr-FR"/>
        </w:rPr>
        <w:t>administration de l</w:t>
      </w:r>
      <w:r w:rsidR="000618AA" w:rsidRPr="003159C5">
        <w:rPr>
          <w:lang w:val="fr-FR"/>
        </w:rPr>
        <w:t>’</w:t>
      </w:r>
      <w:r w:rsidRPr="003159C5">
        <w:rPr>
          <w:lang w:val="fr-FR"/>
        </w:rPr>
        <w:t>ICANN soulignant la nécessité d</w:t>
      </w:r>
      <w:r w:rsidR="000618AA" w:rsidRPr="003159C5">
        <w:rPr>
          <w:lang w:val="fr-FR"/>
        </w:rPr>
        <w:t>’</w:t>
      </w:r>
      <w:r w:rsidRPr="003159C5">
        <w:rPr>
          <w:lang w:val="fr-FR"/>
        </w:rPr>
        <w:t>une protection spéciale de nature préventive pour les noms et sigles d</w:t>
      </w:r>
      <w:r w:rsidR="000618AA" w:rsidRPr="003159C5">
        <w:rPr>
          <w:lang w:val="fr-FR"/>
        </w:rPr>
        <w:t>’</w:t>
      </w:r>
      <w:r w:rsidRPr="003159C5">
        <w:rPr>
          <w:lang w:val="fr-FR"/>
        </w:rPr>
        <w:t>organisations intergouvernementales dans</w:t>
      </w:r>
      <w:r w:rsidR="000618AA" w:rsidRPr="003159C5">
        <w:rPr>
          <w:lang w:val="fr-FR"/>
        </w:rPr>
        <w:t xml:space="preserve"> le DNS</w:t>
      </w:r>
      <w:r w:rsidRPr="003159C5">
        <w:rPr>
          <w:rStyle w:val="FootnoteReference"/>
          <w:szCs w:val="22"/>
          <w:lang w:val="fr-FR"/>
        </w:rPr>
        <w:footnoteReference w:id="57"/>
      </w:r>
      <w:r w:rsidRPr="003159C5">
        <w:rPr>
          <w:lang w:val="fr-FR"/>
        </w:rPr>
        <w:t>.</w:t>
      </w:r>
      <w:r w:rsidR="00B70317" w:rsidRPr="003159C5">
        <w:rPr>
          <w:lang w:val="fr-FR"/>
        </w:rPr>
        <w:t xml:space="preserve">  </w:t>
      </w:r>
      <w:r w:rsidRPr="003159C5">
        <w:rPr>
          <w:lang w:val="fr-FR"/>
        </w:rPr>
        <w:t>Dans ce contexte, le Conseil d</w:t>
      </w:r>
      <w:r w:rsidR="000618AA" w:rsidRPr="003159C5">
        <w:rPr>
          <w:lang w:val="fr-FR"/>
        </w:rPr>
        <w:t>’</w:t>
      </w:r>
      <w:r w:rsidRPr="003159C5">
        <w:rPr>
          <w:lang w:val="fr-FR"/>
        </w:rPr>
        <w:t>administration de l</w:t>
      </w:r>
      <w:r w:rsidR="000618AA" w:rsidRPr="003159C5">
        <w:rPr>
          <w:lang w:val="fr-FR"/>
        </w:rPr>
        <w:t>’</w:t>
      </w:r>
      <w:r w:rsidRPr="003159C5">
        <w:rPr>
          <w:lang w:val="fr-FR"/>
        </w:rPr>
        <w:t>ICANN a pris une résolution tendant à prolonger la période de protection provisoire jusqu</w:t>
      </w:r>
      <w:r w:rsidR="000618AA" w:rsidRPr="003159C5">
        <w:rPr>
          <w:lang w:val="fr-FR"/>
        </w:rPr>
        <w:t>’</w:t>
      </w:r>
      <w:r w:rsidRPr="003159C5">
        <w:rPr>
          <w:lang w:val="fr-FR"/>
        </w:rPr>
        <w:t xml:space="preserve">à la </w:t>
      </w:r>
      <w:r w:rsidRPr="003159C5">
        <w:rPr>
          <w:lang w:val="fr-FR"/>
        </w:rPr>
        <w:lastRenderedPageBreak/>
        <w:t>première réunion du comité chargé du programme de l</w:t>
      </w:r>
      <w:r w:rsidR="000618AA" w:rsidRPr="003159C5">
        <w:rPr>
          <w:lang w:val="fr-FR"/>
        </w:rPr>
        <w:t>’</w:t>
      </w:r>
      <w:r w:rsidRPr="003159C5">
        <w:rPr>
          <w:lang w:val="fr-FR"/>
        </w:rPr>
        <w:t>ICANN relatif aux nouveaux gTLD (NGPC), après la réunion de l</w:t>
      </w:r>
      <w:r w:rsidR="000618AA" w:rsidRPr="003159C5">
        <w:rPr>
          <w:lang w:val="fr-FR"/>
        </w:rPr>
        <w:t>’</w:t>
      </w:r>
      <w:r w:rsidRPr="003159C5">
        <w:rPr>
          <w:lang w:val="fr-FR"/>
        </w:rPr>
        <w:t xml:space="preserve">ICANN de </w:t>
      </w:r>
      <w:r w:rsidR="000618AA" w:rsidRPr="003159C5">
        <w:rPr>
          <w:lang w:val="fr-FR"/>
        </w:rPr>
        <w:t>novembre 20</w:t>
      </w:r>
      <w:r w:rsidRPr="003159C5">
        <w:rPr>
          <w:lang w:val="fr-FR"/>
        </w:rPr>
        <w:t>13</w:t>
      </w:r>
      <w:r w:rsidRPr="003159C5">
        <w:rPr>
          <w:rStyle w:val="FootnoteReference"/>
          <w:szCs w:val="22"/>
          <w:lang w:val="fr-FR"/>
        </w:rPr>
        <w:footnoteReference w:id="58"/>
      </w:r>
      <w:r w:rsidRPr="003159C5">
        <w:rPr>
          <w:lang w:val="fr-FR"/>
        </w:rPr>
        <w:t>.</w:t>
      </w:r>
    </w:p>
    <w:p w:rsidR="003159C5" w:rsidRPr="003159C5" w:rsidRDefault="0055550F" w:rsidP="006D570C">
      <w:pPr>
        <w:pStyle w:val="ONUMFS"/>
        <w:rPr>
          <w:lang w:val="fr-FR"/>
        </w:rPr>
      </w:pPr>
      <w:r w:rsidRPr="003159C5">
        <w:rPr>
          <w:lang w:val="fr-FR"/>
        </w:rPr>
        <w:t xml:space="preserve">En </w:t>
      </w:r>
      <w:r w:rsidR="000618AA" w:rsidRPr="003159C5">
        <w:rPr>
          <w:lang w:val="fr-FR"/>
        </w:rPr>
        <w:t>octobre 20</w:t>
      </w:r>
      <w:r w:rsidRPr="003159C5">
        <w:rPr>
          <w:lang w:val="fr-FR"/>
        </w:rPr>
        <w:t>13,</w:t>
      </w:r>
      <w:r w:rsidR="000618AA" w:rsidRPr="003159C5">
        <w:rPr>
          <w:lang w:val="fr-FR"/>
        </w:rPr>
        <w:t xml:space="preserve"> le NGP</w:t>
      </w:r>
      <w:r w:rsidRPr="003159C5">
        <w:rPr>
          <w:lang w:val="fr-FR"/>
        </w:rPr>
        <w:t>C a présenté une proposition de protection des sigles d</w:t>
      </w:r>
      <w:r w:rsidR="000618AA" w:rsidRPr="003159C5">
        <w:rPr>
          <w:lang w:val="fr-FR"/>
        </w:rPr>
        <w:t>’</w:t>
      </w:r>
      <w:r w:rsidRPr="003159C5">
        <w:rPr>
          <w:lang w:val="fr-FR"/>
        </w:rPr>
        <w:t>organisations intergouvernementales au deuxième niveau qui ne conférait pas auxdits sigles la protection permanente de nature préventive évoquée dans les précédents communiqués</w:t>
      </w:r>
      <w:r w:rsidR="000618AA" w:rsidRPr="003159C5">
        <w:rPr>
          <w:lang w:val="fr-FR"/>
        </w:rPr>
        <w:t xml:space="preserve"> du GAC</w:t>
      </w:r>
      <w:r w:rsidRPr="003159C5">
        <w:rPr>
          <w:rStyle w:val="FootnoteReference"/>
          <w:szCs w:val="22"/>
          <w:lang w:val="fr-FR"/>
        </w:rPr>
        <w:footnoteReference w:id="59"/>
      </w:r>
      <w:r w:rsidRPr="003159C5">
        <w:rPr>
          <w:lang w:val="fr-FR"/>
        </w:rPr>
        <w:t>.</w:t>
      </w:r>
      <w:r w:rsidR="00B70317" w:rsidRPr="003159C5">
        <w:rPr>
          <w:lang w:val="fr-FR"/>
        </w:rPr>
        <w:t xml:space="preserve">  </w:t>
      </w:r>
      <w:r w:rsidRPr="003159C5">
        <w:rPr>
          <w:lang w:val="fr-FR"/>
        </w:rPr>
        <w:t>Dans sa réponse</w:t>
      </w:r>
      <w:r w:rsidR="000618AA" w:rsidRPr="003159C5">
        <w:rPr>
          <w:lang w:val="fr-FR"/>
        </w:rPr>
        <w:t xml:space="preserve"> au NGP</w:t>
      </w:r>
      <w:r w:rsidRPr="003159C5">
        <w:rPr>
          <w:lang w:val="fr-FR"/>
        </w:rPr>
        <w:t xml:space="preserve">C, la coalition des organisations intergouvernementales a exprimé sa déception </w:t>
      </w:r>
      <w:r w:rsidR="000618AA" w:rsidRPr="003159C5">
        <w:rPr>
          <w:lang w:val="fr-FR"/>
        </w:rPr>
        <w:t>à l’égard</w:t>
      </w:r>
      <w:r w:rsidRPr="003159C5">
        <w:rPr>
          <w:lang w:val="fr-FR"/>
        </w:rPr>
        <w:t xml:space="preserve"> de la proposition qui était de nature strictement défensive et ne contribuait en rien à éviter qu</w:t>
      </w:r>
      <w:r w:rsidR="000618AA" w:rsidRPr="003159C5">
        <w:rPr>
          <w:lang w:val="fr-FR"/>
        </w:rPr>
        <w:t>’</w:t>
      </w:r>
      <w:r w:rsidRPr="003159C5">
        <w:rPr>
          <w:lang w:val="fr-FR"/>
        </w:rPr>
        <w:t>un préjudice survienne, et a fait part de ses inquiétudes</w:t>
      </w:r>
      <w:r w:rsidR="000618AA" w:rsidRPr="003159C5">
        <w:rPr>
          <w:lang w:val="fr-FR"/>
        </w:rPr>
        <w:t xml:space="preserve"> au GAC</w:t>
      </w:r>
      <w:r w:rsidRPr="003159C5">
        <w:rPr>
          <w:lang w:val="fr-FR"/>
        </w:rPr>
        <w:t>.</w:t>
      </w:r>
    </w:p>
    <w:p w:rsidR="003159C5" w:rsidRPr="003159C5" w:rsidRDefault="0055550F" w:rsidP="006D570C">
      <w:pPr>
        <w:pStyle w:val="ONUMFS"/>
        <w:rPr>
          <w:lang w:val="fr-FR"/>
        </w:rPr>
      </w:pPr>
      <w:r w:rsidRPr="003159C5">
        <w:rPr>
          <w:lang w:val="fr-FR"/>
        </w:rPr>
        <w:t>Le NGPC,</w:t>
      </w:r>
      <w:r w:rsidR="000618AA" w:rsidRPr="003159C5">
        <w:rPr>
          <w:lang w:val="fr-FR"/>
        </w:rPr>
        <w:t xml:space="preserve"> le GAC</w:t>
      </w:r>
      <w:r w:rsidRPr="003159C5">
        <w:rPr>
          <w:lang w:val="fr-FR"/>
        </w:rPr>
        <w:t xml:space="preserve"> et les organisations intergouvernementales se sont rencontrés en marge de la réunion tenue par l</w:t>
      </w:r>
      <w:r w:rsidR="000618AA" w:rsidRPr="003159C5">
        <w:rPr>
          <w:lang w:val="fr-FR"/>
        </w:rPr>
        <w:t>’</w:t>
      </w:r>
      <w:r w:rsidRPr="003159C5">
        <w:rPr>
          <w:lang w:val="fr-FR"/>
        </w:rPr>
        <w:t xml:space="preserve">ICANN en </w:t>
      </w:r>
      <w:r w:rsidR="000618AA" w:rsidRPr="003159C5">
        <w:rPr>
          <w:lang w:val="fr-FR"/>
        </w:rPr>
        <w:t>novembre 20</w:t>
      </w:r>
      <w:r w:rsidRPr="003159C5">
        <w:rPr>
          <w:lang w:val="fr-FR"/>
        </w:rPr>
        <w:t>13 à Buenos Air</w:t>
      </w:r>
      <w:r w:rsidR="00C9393A" w:rsidRPr="003159C5">
        <w:rPr>
          <w:lang w:val="fr-FR"/>
        </w:rPr>
        <w:t>es.  Le</w:t>
      </w:r>
      <w:r w:rsidR="000618AA" w:rsidRPr="003159C5">
        <w:rPr>
          <w:lang w:val="fr-FR"/>
        </w:rPr>
        <w:t> NGP</w:t>
      </w:r>
      <w:r w:rsidRPr="003159C5">
        <w:rPr>
          <w:lang w:val="fr-FR"/>
        </w:rPr>
        <w:t>C a indiqué que, bien qu</w:t>
      </w:r>
      <w:r w:rsidR="000618AA" w:rsidRPr="003159C5">
        <w:rPr>
          <w:lang w:val="fr-FR"/>
        </w:rPr>
        <w:t>’</w:t>
      </w:r>
      <w:r w:rsidRPr="003159C5">
        <w:rPr>
          <w:lang w:val="fr-FR"/>
        </w:rPr>
        <w:t>il soit possible d</w:t>
      </w:r>
      <w:r w:rsidR="000618AA" w:rsidRPr="003159C5">
        <w:rPr>
          <w:lang w:val="fr-FR"/>
        </w:rPr>
        <w:t>’</w:t>
      </w:r>
      <w:r w:rsidRPr="003159C5">
        <w:rPr>
          <w:lang w:val="fr-FR"/>
        </w:rPr>
        <w:t>examiner des points techniques précis de la proposition qu</w:t>
      </w:r>
      <w:r w:rsidR="000618AA" w:rsidRPr="003159C5">
        <w:rPr>
          <w:lang w:val="fr-FR"/>
        </w:rPr>
        <w:t>’</w:t>
      </w:r>
      <w:r w:rsidRPr="003159C5">
        <w:rPr>
          <w:lang w:val="fr-FR"/>
        </w:rPr>
        <w:t xml:space="preserve">il avait formulée en </w:t>
      </w:r>
      <w:r w:rsidR="000618AA" w:rsidRPr="003159C5">
        <w:rPr>
          <w:lang w:val="fr-FR"/>
        </w:rPr>
        <w:t>octobre 20</w:t>
      </w:r>
      <w:r w:rsidRPr="003159C5">
        <w:rPr>
          <w:lang w:val="fr-FR"/>
        </w:rPr>
        <w:t>13, une protection totale de nature préventive des sigles d</w:t>
      </w:r>
      <w:r w:rsidR="000618AA" w:rsidRPr="003159C5">
        <w:rPr>
          <w:lang w:val="fr-FR"/>
        </w:rPr>
        <w:t>’</w:t>
      </w:r>
      <w:r w:rsidRPr="003159C5">
        <w:rPr>
          <w:lang w:val="fr-FR"/>
        </w:rPr>
        <w:t>organisations intergouvernementales était volontairement excl</w:t>
      </w:r>
      <w:r w:rsidR="00C9393A" w:rsidRPr="003159C5">
        <w:rPr>
          <w:lang w:val="fr-FR"/>
        </w:rPr>
        <w:t>ue.  Le</w:t>
      </w:r>
      <w:r w:rsidR="000618AA" w:rsidRPr="003159C5">
        <w:rPr>
          <w:lang w:val="fr-FR"/>
        </w:rPr>
        <w:t> GAC</w:t>
      </w:r>
      <w:r w:rsidRPr="003159C5">
        <w:rPr>
          <w:lang w:val="fr-FR"/>
        </w:rPr>
        <w:t xml:space="preserve"> a recommandé au Conseil d</w:t>
      </w:r>
      <w:r w:rsidR="000618AA" w:rsidRPr="003159C5">
        <w:rPr>
          <w:lang w:val="fr-FR"/>
        </w:rPr>
        <w:t>’</w:t>
      </w:r>
      <w:r w:rsidRPr="003159C5">
        <w:rPr>
          <w:lang w:val="fr-FR"/>
        </w:rPr>
        <w:t>administration de l</w:t>
      </w:r>
      <w:r w:rsidR="000618AA" w:rsidRPr="003159C5">
        <w:rPr>
          <w:lang w:val="fr-FR"/>
        </w:rPr>
        <w:t>’</w:t>
      </w:r>
      <w:r w:rsidRPr="003159C5">
        <w:rPr>
          <w:lang w:val="fr-FR"/>
        </w:rPr>
        <w:t>ICANN que les mesures de protection provisoires pour les sigles d</w:t>
      </w:r>
      <w:r w:rsidR="000618AA" w:rsidRPr="003159C5">
        <w:rPr>
          <w:lang w:val="fr-FR"/>
        </w:rPr>
        <w:t>’</w:t>
      </w:r>
      <w:r w:rsidRPr="003159C5">
        <w:rPr>
          <w:lang w:val="fr-FR"/>
        </w:rPr>
        <w:t>organisations intergouvernementales restent en place jusqu</w:t>
      </w:r>
      <w:r w:rsidR="000618AA" w:rsidRPr="003159C5">
        <w:rPr>
          <w:lang w:val="fr-FR"/>
        </w:rPr>
        <w:t>’</w:t>
      </w:r>
      <w:r w:rsidRPr="003159C5">
        <w:rPr>
          <w:lang w:val="fr-FR"/>
        </w:rPr>
        <w:t>à la fin des échanges entre</w:t>
      </w:r>
      <w:r w:rsidR="000618AA" w:rsidRPr="003159C5">
        <w:rPr>
          <w:lang w:val="fr-FR"/>
        </w:rPr>
        <w:t xml:space="preserve"> le GAC</w:t>
      </w:r>
      <w:r w:rsidRPr="003159C5">
        <w:rPr>
          <w:lang w:val="fr-FR"/>
        </w:rPr>
        <w:t>,</w:t>
      </w:r>
      <w:r w:rsidR="000618AA" w:rsidRPr="003159C5">
        <w:rPr>
          <w:lang w:val="fr-FR"/>
        </w:rPr>
        <w:t xml:space="preserve"> le NGP</w:t>
      </w:r>
      <w:r w:rsidRPr="003159C5">
        <w:rPr>
          <w:lang w:val="fr-FR"/>
        </w:rPr>
        <w:t>C et les organisations intergouvernementales assurant la mise en œuvre de la protection, mais sans réitérer la position précédente</w:t>
      </w:r>
      <w:r w:rsidR="000618AA" w:rsidRPr="003159C5">
        <w:rPr>
          <w:lang w:val="fr-FR"/>
        </w:rPr>
        <w:t xml:space="preserve"> du GAC</w:t>
      </w:r>
      <w:r w:rsidRPr="003159C5">
        <w:rPr>
          <w:lang w:val="fr-FR"/>
        </w:rPr>
        <w:t xml:space="preserve"> concernant la nécessité d</w:t>
      </w:r>
      <w:r w:rsidR="000618AA" w:rsidRPr="003159C5">
        <w:rPr>
          <w:lang w:val="fr-FR"/>
        </w:rPr>
        <w:t>’</w:t>
      </w:r>
      <w:r w:rsidRPr="003159C5">
        <w:rPr>
          <w:lang w:val="fr-FR"/>
        </w:rPr>
        <w:t>une protection de nature préventive</w:t>
      </w:r>
      <w:r w:rsidRPr="003159C5">
        <w:rPr>
          <w:rStyle w:val="FootnoteReference"/>
          <w:szCs w:val="22"/>
          <w:lang w:val="fr-FR"/>
        </w:rPr>
        <w:footnoteReference w:id="60"/>
      </w:r>
      <w:r w:rsidRPr="003159C5">
        <w:rPr>
          <w:lang w:val="fr-FR"/>
        </w:rPr>
        <w:t>.</w:t>
      </w:r>
      <w:r w:rsidR="00B70317" w:rsidRPr="003159C5">
        <w:rPr>
          <w:lang w:val="fr-FR"/>
        </w:rPr>
        <w:t xml:space="preserve">  </w:t>
      </w:r>
      <w:r w:rsidRPr="003159C5">
        <w:rPr>
          <w:lang w:val="fr-FR"/>
        </w:rPr>
        <w:t xml:space="preserve">En </w:t>
      </w:r>
      <w:r w:rsidR="000618AA" w:rsidRPr="003159C5">
        <w:rPr>
          <w:lang w:val="fr-FR"/>
        </w:rPr>
        <w:t>janvier 20</w:t>
      </w:r>
      <w:r w:rsidRPr="003159C5">
        <w:rPr>
          <w:lang w:val="fr-FR"/>
        </w:rPr>
        <w:t>14,</w:t>
      </w:r>
      <w:r w:rsidR="000618AA" w:rsidRPr="003159C5">
        <w:rPr>
          <w:lang w:val="fr-FR"/>
        </w:rPr>
        <w:t xml:space="preserve"> le NGP</w:t>
      </w:r>
      <w:r w:rsidRPr="003159C5">
        <w:rPr>
          <w:lang w:val="fr-FR"/>
        </w:rPr>
        <w:t>C a décidé de prolonger la protection provisoire des sigles d</w:t>
      </w:r>
      <w:r w:rsidR="000618AA" w:rsidRPr="003159C5">
        <w:rPr>
          <w:lang w:val="fr-FR"/>
        </w:rPr>
        <w:t>’</w:t>
      </w:r>
      <w:r w:rsidRPr="003159C5">
        <w:rPr>
          <w:lang w:val="fr-FR"/>
        </w:rPr>
        <w:t>organisations intergouvernementales jusqu</w:t>
      </w:r>
      <w:r w:rsidR="000618AA" w:rsidRPr="003159C5">
        <w:rPr>
          <w:lang w:val="fr-FR"/>
        </w:rPr>
        <w:t>’</w:t>
      </w:r>
      <w:r w:rsidRPr="003159C5">
        <w:rPr>
          <w:lang w:val="fr-FR"/>
        </w:rPr>
        <w:t>à ce qu</w:t>
      </w:r>
      <w:r w:rsidR="000618AA" w:rsidRPr="003159C5">
        <w:rPr>
          <w:lang w:val="fr-FR"/>
        </w:rPr>
        <w:t>’</w:t>
      </w:r>
      <w:r w:rsidRPr="003159C5">
        <w:rPr>
          <w:lang w:val="fr-FR"/>
        </w:rPr>
        <w:t>il prenne une décision finale</w:t>
      </w:r>
      <w:r w:rsidRPr="003159C5">
        <w:rPr>
          <w:rStyle w:val="FootnoteReference"/>
          <w:szCs w:val="22"/>
          <w:lang w:val="fr-FR"/>
        </w:rPr>
        <w:footnoteReference w:id="61"/>
      </w:r>
      <w:r w:rsidRPr="003159C5">
        <w:rPr>
          <w:lang w:val="fr-FR"/>
        </w:rPr>
        <w:t>.</w:t>
      </w:r>
    </w:p>
    <w:p w:rsidR="003159C5" w:rsidRPr="003159C5" w:rsidRDefault="0055550F" w:rsidP="006D570C">
      <w:pPr>
        <w:pStyle w:val="ONUMFS"/>
        <w:rPr>
          <w:lang w:val="fr-FR"/>
        </w:rPr>
      </w:pPr>
      <w:r w:rsidRPr="003159C5">
        <w:rPr>
          <w:lang w:val="fr-FR"/>
        </w:rPr>
        <w:t>Parallèlement à ces efforts,</w:t>
      </w:r>
      <w:r w:rsidR="000618AA" w:rsidRPr="003159C5">
        <w:rPr>
          <w:lang w:val="fr-FR"/>
        </w:rPr>
        <w:t xml:space="preserve"> la GNS</w:t>
      </w:r>
      <w:r w:rsidRPr="003159C5">
        <w:rPr>
          <w:lang w:val="fr-FR"/>
        </w:rPr>
        <w:t>O avait lancé un “processus d</w:t>
      </w:r>
      <w:r w:rsidR="000618AA" w:rsidRPr="003159C5">
        <w:rPr>
          <w:lang w:val="fr-FR"/>
        </w:rPr>
        <w:t>’</w:t>
      </w:r>
      <w:r w:rsidRPr="003159C5">
        <w:rPr>
          <w:lang w:val="fr-FR"/>
        </w:rPr>
        <w:t>élaboration de politique” sur la protection des organisations intergouvernementales, auquel ont participé le Centre et des représentants d</w:t>
      </w:r>
      <w:r w:rsidR="000618AA" w:rsidRPr="003159C5">
        <w:rPr>
          <w:lang w:val="fr-FR"/>
        </w:rPr>
        <w:t>’</w:t>
      </w:r>
      <w:r w:rsidRPr="003159C5">
        <w:rPr>
          <w:lang w:val="fr-FR"/>
        </w:rPr>
        <w:t>autres organisations intergouvernemental</w:t>
      </w:r>
      <w:r w:rsidR="00C9393A" w:rsidRPr="003159C5">
        <w:rPr>
          <w:lang w:val="fr-FR"/>
        </w:rPr>
        <w:t>es.  Pa</w:t>
      </w:r>
      <w:r w:rsidRPr="003159C5">
        <w:rPr>
          <w:lang w:val="fr-FR"/>
        </w:rPr>
        <w:t xml:space="preserve">ssant outre les objections des organisations intergouvernementales, en </w:t>
      </w:r>
      <w:r w:rsidR="000618AA" w:rsidRPr="003159C5">
        <w:rPr>
          <w:lang w:val="fr-FR"/>
        </w:rPr>
        <w:t>novembre 20</w:t>
      </w:r>
      <w:r w:rsidRPr="003159C5">
        <w:rPr>
          <w:lang w:val="fr-FR"/>
        </w:rPr>
        <w:t>13, ce processus a largement rejeté la protection de nature préventive des sigles d</w:t>
      </w:r>
      <w:r w:rsidR="000618AA" w:rsidRPr="003159C5">
        <w:rPr>
          <w:lang w:val="fr-FR"/>
        </w:rPr>
        <w:t>’</w:t>
      </w:r>
      <w:r w:rsidRPr="003159C5">
        <w:rPr>
          <w:lang w:val="fr-FR"/>
        </w:rPr>
        <w:t>organisations intergouvernementales au deuxième nive</w:t>
      </w:r>
      <w:r w:rsidR="00C9393A" w:rsidRPr="003159C5">
        <w:rPr>
          <w:lang w:val="fr-FR"/>
        </w:rPr>
        <w:t xml:space="preserve">au.  À </w:t>
      </w:r>
      <w:r w:rsidRPr="003159C5">
        <w:rPr>
          <w:lang w:val="fr-FR"/>
        </w:rPr>
        <w:t>la place, il a préconisé la mise en œuvre de mécanismes de protection défensive pour les sigles des organisations intergouvernementales, conjuguée à la suppression des mesures de protection provisoires en place pour ces sigl</w:t>
      </w:r>
      <w:r w:rsidR="00C9393A" w:rsidRPr="003159C5">
        <w:rPr>
          <w:lang w:val="fr-FR"/>
        </w:rPr>
        <w:t>es.  Ce</w:t>
      </w:r>
      <w:r w:rsidRPr="003159C5">
        <w:rPr>
          <w:lang w:val="fr-FR"/>
        </w:rPr>
        <w:t>s recommandations ont été adoptées à l</w:t>
      </w:r>
      <w:r w:rsidR="000618AA" w:rsidRPr="003159C5">
        <w:rPr>
          <w:lang w:val="fr-FR"/>
        </w:rPr>
        <w:t>’</w:t>
      </w:r>
      <w:r w:rsidRPr="003159C5">
        <w:rPr>
          <w:lang w:val="fr-FR"/>
        </w:rPr>
        <w:t>unanimité par le Conseil de</w:t>
      </w:r>
      <w:r w:rsidR="000618AA" w:rsidRPr="003159C5">
        <w:rPr>
          <w:lang w:val="fr-FR"/>
        </w:rPr>
        <w:t xml:space="preserve"> la GNS</w:t>
      </w:r>
      <w:r w:rsidRPr="003159C5">
        <w:rPr>
          <w:lang w:val="fr-FR"/>
        </w:rPr>
        <w:t xml:space="preserve">O en </w:t>
      </w:r>
      <w:r w:rsidR="000618AA" w:rsidRPr="003159C5">
        <w:rPr>
          <w:lang w:val="fr-FR"/>
        </w:rPr>
        <w:t>novembre 20</w:t>
      </w:r>
      <w:r w:rsidRPr="003159C5">
        <w:rPr>
          <w:lang w:val="fr-FR"/>
        </w:rPr>
        <w:t>13.</w:t>
      </w:r>
      <w:r w:rsidR="00B70317" w:rsidRPr="003159C5">
        <w:rPr>
          <w:lang w:val="fr-FR"/>
        </w:rPr>
        <w:t xml:space="preserve">  </w:t>
      </w:r>
      <w:r w:rsidRPr="003159C5">
        <w:rPr>
          <w:lang w:val="fr-FR"/>
        </w:rPr>
        <w:t>En réponse à cette évolution, les organisations intergouverne</w:t>
      </w:r>
      <w:bookmarkStart w:id="4" w:name="_GoBack"/>
      <w:bookmarkEnd w:id="4"/>
      <w:r w:rsidRPr="003159C5">
        <w:rPr>
          <w:lang w:val="fr-FR"/>
        </w:rPr>
        <w:t>mentales ont exprimé leur préoccupation au moyen d</w:t>
      </w:r>
      <w:r w:rsidR="000618AA" w:rsidRPr="003159C5">
        <w:rPr>
          <w:lang w:val="fr-FR"/>
        </w:rPr>
        <w:t>’</w:t>
      </w:r>
      <w:r w:rsidRPr="003159C5">
        <w:rPr>
          <w:lang w:val="fr-FR"/>
        </w:rPr>
        <w:t>une lettre indiquant que les mécanismes qui étaient désormais prévus passeraient à côté d</w:t>
      </w:r>
      <w:r w:rsidR="000618AA" w:rsidRPr="003159C5">
        <w:rPr>
          <w:lang w:val="fr-FR"/>
        </w:rPr>
        <w:t>’</w:t>
      </w:r>
      <w:r w:rsidRPr="003159C5">
        <w:rPr>
          <w:lang w:val="fr-FR"/>
        </w:rPr>
        <w:t>une importante occasion de limiter l</w:t>
      </w:r>
      <w:r w:rsidR="000618AA" w:rsidRPr="003159C5">
        <w:rPr>
          <w:lang w:val="fr-FR"/>
        </w:rPr>
        <w:t>’</w:t>
      </w:r>
      <w:r w:rsidRPr="003159C5">
        <w:rPr>
          <w:lang w:val="fr-FR"/>
        </w:rPr>
        <w:t>utilisation abusive des sigles des organisations intergouvernementales dans</w:t>
      </w:r>
      <w:r w:rsidR="000618AA" w:rsidRPr="003159C5">
        <w:rPr>
          <w:lang w:val="fr-FR"/>
        </w:rPr>
        <w:t xml:space="preserve"> le DNS</w:t>
      </w:r>
      <w:r w:rsidRPr="003159C5">
        <w:rPr>
          <w:lang w:val="fr-FR"/>
        </w:rPr>
        <w:t xml:space="preserve"> avant qu</w:t>
      </w:r>
      <w:r w:rsidR="000618AA" w:rsidRPr="003159C5">
        <w:rPr>
          <w:lang w:val="fr-FR"/>
        </w:rPr>
        <w:t>’</w:t>
      </w:r>
      <w:r w:rsidRPr="003159C5">
        <w:rPr>
          <w:lang w:val="fr-FR"/>
        </w:rPr>
        <w:t>un préjudice ne soit causé</w:t>
      </w:r>
      <w:r w:rsidRPr="003159C5">
        <w:rPr>
          <w:rStyle w:val="FootnoteReference"/>
          <w:szCs w:val="22"/>
          <w:lang w:val="fr-FR"/>
        </w:rPr>
        <w:footnoteReference w:id="62"/>
      </w:r>
      <w:r w:rsidRPr="003159C5">
        <w:rPr>
          <w:lang w:val="fr-FR"/>
        </w:rPr>
        <w:t>.</w:t>
      </w:r>
    </w:p>
    <w:p w:rsidR="003159C5" w:rsidRPr="003159C5" w:rsidRDefault="00952784" w:rsidP="006D570C">
      <w:pPr>
        <w:pStyle w:val="ONUMFS"/>
        <w:rPr>
          <w:lang w:val="fr-FR"/>
        </w:rPr>
      </w:pPr>
      <w:r w:rsidRPr="003159C5">
        <w:rPr>
          <w:lang w:val="fr-FR"/>
        </w:rPr>
        <w:t xml:space="preserve">En </w:t>
      </w:r>
      <w:r w:rsidR="000618AA" w:rsidRPr="003159C5">
        <w:rPr>
          <w:lang w:val="fr-FR"/>
        </w:rPr>
        <w:t>février 20</w:t>
      </w:r>
      <w:r w:rsidRPr="003159C5">
        <w:rPr>
          <w:lang w:val="fr-FR"/>
        </w:rPr>
        <w:t>14, les organisations intergouvernementales se sont entretenues avec le représentant</w:t>
      </w:r>
      <w:r w:rsidR="000618AA" w:rsidRPr="003159C5">
        <w:rPr>
          <w:lang w:val="fr-FR"/>
        </w:rPr>
        <w:t xml:space="preserve"> du NGP</w:t>
      </w:r>
      <w:r w:rsidRPr="003159C5">
        <w:rPr>
          <w:lang w:val="fr-FR"/>
        </w:rPr>
        <w:t>C de la proposition d</w:t>
      </w:r>
      <w:r w:rsidR="000618AA" w:rsidRPr="003159C5">
        <w:rPr>
          <w:lang w:val="fr-FR"/>
        </w:rPr>
        <w:t>’octobre 20</w:t>
      </w:r>
      <w:r w:rsidRPr="003159C5">
        <w:rPr>
          <w:lang w:val="fr-FR"/>
        </w:rPr>
        <w:t>13</w:t>
      </w:r>
      <w:r w:rsidR="000618AA" w:rsidRPr="003159C5">
        <w:rPr>
          <w:lang w:val="fr-FR"/>
        </w:rPr>
        <w:t xml:space="preserve"> du N</w:t>
      </w:r>
      <w:r w:rsidR="00C9393A" w:rsidRPr="003159C5">
        <w:rPr>
          <w:lang w:val="fr-FR"/>
        </w:rPr>
        <w:t>GPC.  Pa</w:t>
      </w:r>
      <w:r w:rsidRPr="003159C5">
        <w:rPr>
          <w:lang w:val="fr-FR"/>
        </w:rPr>
        <w:t xml:space="preserve">r la suite, en </w:t>
      </w:r>
      <w:r w:rsidR="000618AA" w:rsidRPr="003159C5">
        <w:rPr>
          <w:lang w:val="fr-FR"/>
        </w:rPr>
        <w:t>mars 20</w:t>
      </w:r>
      <w:r w:rsidRPr="003159C5">
        <w:rPr>
          <w:lang w:val="fr-FR"/>
        </w:rPr>
        <w:t>14,</w:t>
      </w:r>
      <w:r w:rsidR="000618AA" w:rsidRPr="003159C5">
        <w:rPr>
          <w:lang w:val="fr-FR"/>
        </w:rPr>
        <w:t xml:space="preserve"> le NGP</w:t>
      </w:r>
      <w:r w:rsidRPr="003159C5">
        <w:rPr>
          <w:lang w:val="fr-FR"/>
        </w:rPr>
        <w:t>C a présenté un projet de proposition prévoyant une protection défensive pour les sigles d</w:t>
      </w:r>
      <w:r w:rsidR="000618AA" w:rsidRPr="003159C5">
        <w:rPr>
          <w:lang w:val="fr-FR"/>
        </w:rPr>
        <w:t>’</w:t>
      </w:r>
      <w:r w:rsidRPr="003159C5">
        <w:rPr>
          <w:lang w:val="fr-FR"/>
        </w:rPr>
        <w:t>organisations intergouvernemental</w:t>
      </w:r>
      <w:r w:rsidR="00C9393A" w:rsidRPr="003159C5">
        <w:rPr>
          <w:lang w:val="fr-FR"/>
        </w:rPr>
        <w:t>es.  De</w:t>
      </w:r>
      <w:r w:rsidRPr="003159C5">
        <w:rPr>
          <w:lang w:val="fr-FR"/>
        </w:rPr>
        <w:t xml:space="preserve"> nouvelles discussions ont été menées entre les organisations intergouvernementales et</w:t>
      </w:r>
      <w:r w:rsidR="000618AA" w:rsidRPr="003159C5">
        <w:rPr>
          <w:lang w:val="fr-FR"/>
        </w:rPr>
        <w:t xml:space="preserve"> le NGP</w:t>
      </w:r>
      <w:r w:rsidRPr="003159C5">
        <w:rPr>
          <w:lang w:val="fr-FR"/>
        </w:rPr>
        <w:t xml:space="preserve">C à la réunion de </w:t>
      </w:r>
      <w:r w:rsidR="000618AA" w:rsidRPr="003159C5">
        <w:rPr>
          <w:lang w:val="fr-FR"/>
        </w:rPr>
        <w:t>mars 20</w:t>
      </w:r>
      <w:r w:rsidRPr="003159C5">
        <w:rPr>
          <w:lang w:val="fr-FR"/>
        </w:rPr>
        <w:t>14 de l</w:t>
      </w:r>
      <w:r w:rsidR="000618AA" w:rsidRPr="003159C5">
        <w:rPr>
          <w:lang w:val="fr-FR"/>
        </w:rPr>
        <w:t>’</w:t>
      </w:r>
      <w:r w:rsidRPr="003159C5">
        <w:rPr>
          <w:lang w:val="fr-FR"/>
        </w:rPr>
        <w:t>ICANN, au cours de laquelle</w:t>
      </w:r>
      <w:r w:rsidR="000618AA" w:rsidRPr="003159C5">
        <w:rPr>
          <w:lang w:val="fr-FR"/>
        </w:rPr>
        <w:t xml:space="preserve"> le GAC</w:t>
      </w:r>
      <w:r w:rsidRPr="003159C5">
        <w:rPr>
          <w:lang w:val="fr-FR"/>
        </w:rPr>
        <w:t xml:space="preserve"> a également indiqué au Conseil d</w:t>
      </w:r>
      <w:r w:rsidR="000618AA" w:rsidRPr="003159C5">
        <w:rPr>
          <w:lang w:val="fr-FR"/>
        </w:rPr>
        <w:t>’</w:t>
      </w:r>
      <w:r w:rsidRPr="003159C5">
        <w:rPr>
          <w:lang w:val="fr-FR"/>
        </w:rPr>
        <w:t>administration de l</w:t>
      </w:r>
      <w:r w:rsidR="000618AA" w:rsidRPr="003159C5">
        <w:rPr>
          <w:lang w:val="fr-FR"/>
        </w:rPr>
        <w:t>’</w:t>
      </w:r>
      <w:r w:rsidRPr="003159C5">
        <w:rPr>
          <w:lang w:val="fr-FR"/>
        </w:rPr>
        <w:t>ICANN qu</w:t>
      </w:r>
      <w:r w:rsidR="000618AA" w:rsidRPr="003159C5">
        <w:rPr>
          <w:lang w:val="fr-FR"/>
        </w:rPr>
        <w:t>’</w:t>
      </w:r>
      <w:r w:rsidRPr="003159C5">
        <w:rPr>
          <w:lang w:val="fr-FR"/>
        </w:rPr>
        <w:t>il attendait la réponse du Conseil concernant la mise en œuvre de sa précédente recommandation.</w:t>
      </w:r>
    </w:p>
    <w:p w:rsidR="000B6556" w:rsidRDefault="00952784" w:rsidP="006D570C">
      <w:pPr>
        <w:pStyle w:val="ONUMFS"/>
        <w:rPr>
          <w:lang w:val="fr-FR"/>
        </w:rPr>
      </w:pPr>
      <w:r w:rsidRPr="003159C5">
        <w:rPr>
          <w:lang w:val="fr-FR"/>
        </w:rPr>
        <w:t xml:space="preserve">En </w:t>
      </w:r>
      <w:r w:rsidR="000618AA" w:rsidRPr="003159C5">
        <w:rPr>
          <w:lang w:val="fr-FR"/>
        </w:rPr>
        <w:t>avril 20</w:t>
      </w:r>
      <w:r w:rsidRPr="003159C5">
        <w:rPr>
          <w:lang w:val="fr-FR"/>
        </w:rPr>
        <w:t>14, le Conseil d</w:t>
      </w:r>
      <w:r w:rsidR="000618AA" w:rsidRPr="003159C5">
        <w:rPr>
          <w:lang w:val="fr-FR"/>
        </w:rPr>
        <w:t>’</w:t>
      </w:r>
      <w:r w:rsidRPr="003159C5">
        <w:rPr>
          <w:lang w:val="fr-FR"/>
        </w:rPr>
        <w:t>administration de l</w:t>
      </w:r>
      <w:r w:rsidR="000618AA" w:rsidRPr="003159C5">
        <w:rPr>
          <w:lang w:val="fr-FR"/>
        </w:rPr>
        <w:t>’</w:t>
      </w:r>
      <w:r w:rsidRPr="003159C5">
        <w:rPr>
          <w:lang w:val="fr-FR"/>
        </w:rPr>
        <w:t>ICANN a décidé d</w:t>
      </w:r>
      <w:r w:rsidR="000618AA" w:rsidRPr="003159C5">
        <w:rPr>
          <w:lang w:val="fr-FR"/>
        </w:rPr>
        <w:t>’</w:t>
      </w:r>
      <w:r w:rsidRPr="003159C5">
        <w:rPr>
          <w:lang w:val="fr-FR"/>
        </w:rPr>
        <w:t>adopter les recommandations du Conseil de</w:t>
      </w:r>
      <w:r w:rsidR="000618AA" w:rsidRPr="003159C5">
        <w:rPr>
          <w:lang w:val="fr-FR"/>
        </w:rPr>
        <w:t xml:space="preserve"> la GNS</w:t>
      </w:r>
      <w:r w:rsidRPr="003159C5">
        <w:rPr>
          <w:lang w:val="fr-FR"/>
        </w:rPr>
        <w:t>O qui n</w:t>
      </w:r>
      <w:r w:rsidR="000618AA" w:rsidRPr="003159C5">
        <w:rPr>
          <w:lang w:val="fr-FR"/>
        </w:rPr>
        <w:t>’</w:t>
      </w:r>
      <w:r w:rsidRPr="003159C5">
        <w:rPr>
          <w:lang w:val="fr-FR"/>
        </w:rPr>
        <w:t>allaient pas à l</w:t>
      </w:r>
      <w:r w:rsidR="000618AA" w:rsidRPr="003159C5">
        <w:rPr>
          <w:lang w:val="fr-FR"/>
        </w:rPr>
        <w:t>’</w:t>
      </w:r>
      <w:r w:rsidRPr="003159C5">
        <w:rPr>
          <w:lang w:val="fr-FR"/>
        </w:rPr>
        <w:t>encontre des recommandations</w:t>
      </w:r>
      <w:r w:rsidR="000618AA" w:rsidRPr="003159C5">
        <w:rPr>
          <w:lang w:val="fr-FR"/>
        </w:rPr>
        <w:t xml:space="preserve"> </w:t>
      </w:r>
      <w:r w:rsidR="000618AA" w:rsidRPr="003159C5">
        <w:rPr>
          <w:lang w:val="fr-FR"/>
        </w:rPr>
        <w:lastRenderedPageBreak/>
        <w:t>du GAC</w:t>
      </w:r>
      <w:r w:rsidRPr="003159C5">
        <w:rPr>
          <w:lang w:val="fr-FR"/>
        </w:rPr>
        <w:t xml:space="preserve"> (protéger contre l</w:t>
      </w:r>
      <w:r w:rsidR="000618AA" w:rsidRPr="003159C5">
        <w:rPr>
          <w:lang w:val="fr-FR"/>
        </w:rPr>
        <w:t>’</w:t>
      </w:r>
      <w:r w:rsidRPr="003159C5">
        <w:rPr>
          <w:lang w:val="fr-FR"/>
        </w:rPr>
        <w:t>enregistrement les noms complets des organisations intergouvernementales aux premier et deuxième niveaux, dans deux</w:t>
      </w:r>
      <w:r w:rsidR="0067439A" w:rsidRPr="003159C5">
        <w:rPr>
          <w:lang w:val="fr-FR"/>
        </w:rPr>
        <w:t> </w:t>
      </w:r>
      <w:r w:rsidRPr="003159C5">
        <w:rPr>
          <w:lang w:val="fr-FR"/>
        </w:rPr>
        <w:t>langues) tout en demandant un délai supplémentaire pour examiner les recommandations qui s</w:t>
      </w:r>
      <w:r w:rsidR="000618AA" w:rsidRPr="003159C5">
        <w:rPr>
          <w:lang w:val="fr-FR"/>
        </w:rPr>
        <w:t>’</w:t>
      </w:r>
      <w:r w:rsidRPr="003159C5">
        <w:rPr>
          <w:lang w:val="fr-FR"/>
        </w:rPr>
        <w:t>en écartaient alors (durée du “délai applicable aux contentieux”</w:t>
      </w:r>
      <w:r w:rsidRPr="003159C5">
        <w:rPr>
          <w:rStyle w:val="FootnoteReference"/>
          <w:szCs w:val="22"/>
          <w:lang w:val="fr-FR"/>
        </w:rPr>
        <w:footnoteReference w:id="63"/>
      </w:r>
      <w:r w:rsidRPr="003159C5">
        <w:rPr>
          <w:lang w:val="fr-FR"/>
        </w:rPr>
        <w:t xml:space="preserve"> et éventuel mécanisme défensif de protection des droi</w:t>
      </w:r>
      <w:r w:rsidR="00C9393A" w:rsidRPr="003159C5">
        <w:rPr>
          <w:lang w:val="fr-FR"/>
        </w:rPr>
        <w:t>ts).  No</w:t>
      </w:r>
      <w:r w:rsidRPr="003159C5">
        <w:rPr>
          <w:lang w:val="fr-FR"/>
        </w:rPr>
        <w:t>nobstant cette recommandation</w:t>
      </w:r>
      <w:r w:rsidR="000618AA" w:rsidRPr="003159C5">
        <w:rPr>
          <w:lang w:val="fr-FR"/>
        </w:rPr>
        <w:t xml:space="preserve"> du GAC</w:t>
      </w:r>
      <w:r w:rsidRPr="003159C5">
        <w:rPr>
          <w:lang w:val="fr-FR"/>
        </w:rPr>
        <w:t xml:space="preserve"> et la position des organisations intergouvernementales, en </w:t>
      </w:r>
      <w:r w:rsidR="000618AA" w:rsidRPr="003159C5">
        <w:rPr>
          <w:lang w:val="fr-FR"/>
        </w:rPr>
        <w:t>juin 20</w:t>
      </w:r>
      <w:r w:rsidRPr="003159C5">
        <w:rPr>
          <w:lang w:val="fr-FR"/>
        </w:rPr>
        <w:t>14 le Conseil de</w:t>
      </w:r>
      <w:r w:rsidR="000618AA" w:rsidRPr="003159C5">
        <w:rPr>
          <w:lang w:val="fr-FR"/>
        </w:rPr>
        <w:t xml:space="preserve"> la GNS</w:t>
      </w:r>
      <w:r w:rsidRPr="003159C5">
        <w:rPr>
          <w:lang w:val="fr-FR"/>
        </w:rPr>
        <w:t>O a voté en faveur du lancement d</w:t>
      </w:r>
      <w:r w:rsidR="000618AA" w:rsidRPr="003159C5">
        <w:rPr>
          <w:lang w:val="fr-FR"/>
        </w:rPr>
        <w:t>’</w:t>
      </w:r>
      <w:r w:rsidRPr="003159C5">
        <w:rPr>
          <w:lang w:val="fr-FR"/>
        </w:rPr>
        <w:t>un deuxième processus d</w:t>
      </w:r>
      <w:r w:rsidR="000618AA" w:rsidRPr="003159C5">
        <w:rPr>
          <w:lang w:val="fr-FR"/>
        </w:rPr>
        <w:t>’</w:t>
      </w:r>
      <w:r w:rsidRPr="003159C5">
        <w:rPr>
          <w:lang w:val="fr-FR"/>
        </w:rPr>
        <w:t>élaboration de politique sur l</w:t>
      </w:r>
      <w:r w:rsidR="000618AA" w:rsidRPr="003159C5">
        <w:rPr>
          <w:lang w:val="fr-FR"/>
        </w:rPr>
        <w:t>’</w:t>
      </w:r>
      <w:r w:rsidRPr="003159C5">
        <w:rPr>
          <w:lang w:val="fr-FR"/>
        </w:rPr>
        <w:t>opportunité de donner aux organisations intergouvernementales l</w:t>
      </w:r>
      <w:r w:rsidR="000618AA" w:rsidRPr="003159C5">
        <w:rPr>
          <w:lang w:val="fr-FR"/>
        </w:rPr>
        <w:t>’</w:t>
      </w:r>
      <w:r w:rsidRPr="003159C5">
        <w:rPr>
          <w:lang w:val="fr-FR"/>
        </w:rPr>
        <w:t>accès à des mécanismes défensifs de protection des</w:t>
      </w:r>
      <w:r w:rsidR="00565026">
        <w:rPr>
          <w:lang w:val="fr-FR"/>
        </w:rPr>
        <w:t xml:space="preserve"> droits (tels que les </w:t>
      </w:r>
      <w:r w:rsidR="006D570C">
        <w:rPr>
          <w:lang w:val="fr-FR"/>
        </w:rPr>
        <w:t>principes UDRP</w:t>
      </w:r>
      <w:r w:rsidRPr="003159C5">
        <w:rPr>
          <w:lang w:val="fr-FR"/>
        </w:rPr>
        <w:t xml:space="preserve"> ou les mécanismes de suspension uniforme rapi</w:t>
      </w:r>
      <w:r w:rsidR="00C9393A" w:rsidRPr="003159C5">
        <w:rPr>
          <w:lang w:val="fr-FR"/>
        </w:rPr>
        <w:t>de).  En</w:t>
      </w:r>
      <w:r w:rsidRPr="003159C5">
        <w:rPr>
          <w:lang w:val="fr-FR"/>
        </w:rPr>
        <w:t xml:space="preserve"> </w:t>
      </w:r>
      <w:r w:rsidR="000618AA" w:rsidRPr="003159C5">
        <w:rPr>
          <w:lang w:val="fr-FR"/>
        </w:rPr>
        <w:t>octobre 20</w:t>
      </w:r>
      <w:r w:rsidRPr="003159C5">
        <w:rPr>
          <w:lang w:val="fr-FR"/>
        </w:rPr>
        <w:t>14,</w:t>
      </w:r>
      <w:r w:rsidR="000618AA" w:rsidRPr="003159C5">
        <w:rPr>
          <w:lang w:val="fr-FR"/>
        </w:rPr>
        <w:t xml:space="preserve"> le GAC</w:t>
      </w:r>
      <w:r w:rsidRPr="003159C5">
        <w:rPr>
          <w:lang w:val="fr-FR"/>
        </w:rPr>
        <w:t xml:space="preserve"> a confirmé son avis précédent selon lequel il convenait de rechercher une solution pour protéger les désignations d</w:t>
      </w:r>
      <w:r w:rsidR="000618AA" w:rsidRPr="003159C5">
        <w:rPr>
          <w:lang w:val="fr-FR"/>
        </w:rPr>
        <w:t>’</w:t>
      </w:r>
      <w:r w:rsidRPr="003159C5">
        <w:rPr>
          <w:lang w:val="fr-FR"/>
        </w:rPr>
        <w:t>organisations intergouvernementales au deuxième niveau sans qu</w:t>
      </w:r>
      <w:r w:rsidR="000618AA" w:rsidRPr="003159C5">
        <w:rPr>
          <w:lang w:val="fr-FR"/>
        </w:rPr>
        <w:t>’</w:t>
      </w:r>
      <w:r w:rsidRPr="003159C5">
        <w:rPr>
          <w:lang w:val="fr-FR"/>
        </w:rPr>
        <w:t xml:space="preserve">il soit nécessaire de modifier les </w:t>
      </w:r>
      <w:r w:rsidR="006D570C">
        <w:rPr>
          <w:lang w:val="fr-FR"/>
        </w:rPr>
        <w:t>principes UDRP</w:t>
      </w:r>
      <w:r w:rsidRPr="003159C5">
        <w:rPr>
          <w:lang w:val="fr-FR"/>
        </w:rPr>
        <w:t xml:space="preserve"> existants</w:t>
      </w:r>
      <w:r w:rsidRPr="003159C5">
        <w:rPr>
          <w:rStyle w:val="FootnoteReference"/>
          <w:szCs w:val="22"/>
          <w:lang w:val="fr-FR"/>
        </w:rPr>
        <w:footnoteReference w:id="64"/>
      </w:r>
      <w:r w:rsidRPr="003159C5">
        <w:rPr>
          <w:lang w:val="fr-FR"/>
        </w:rPr>
        <w:t>.</w:t>
      </w:r>
      <w:r w:rsidR="00B70317" w:rsidRPr="003159C5">
        <w:rPr>
          <w:lang w:val="fr-FR"/>
        </w:rPr>
        <w:t xml:space="preserve">  </w:t>
      </w:r>
      <w:r w:rsidRPr="003159C5">
        <w:rPr>
          <w:lang w:val="fr-FR"/>
        </w:rPr>
        <w:t xml:space="preserve">En </w:t>
      </w:r>
      <w:r w:rsidR="000618AA" w:rsidRPr="003159C5">
        <w:rPr>
          <w:lang w:val="fr-FR"/>
        </w:rPr>
        <w:t>janvier 20</w:t>
      </w:r>
      <w:r w:rsidRPr="003159C5">
        <w:rPr>
          <w:lang w:val="fr-FR"/>
        </w:rPr>
        <w:t>15,</w:t>
      </w:r>
      <w:r w:rsidR="000618AA" w:rsidRPr="003159C5">
        <w:rPr>
          <w:lang w:val="fr-FR"/>
        </w:rPr>
        <w:t xml:space="preserve"> le NGP</w:t>
      </w:r>
      <w:r w:rsidRPr="003159C5">
        <w:rPr>
          <w:lang w:val="fr-FR"/>
        </w:rPr>
        <w:t>C a de nouveau demandé</w:t>
      </w:r>
      <w:r w:rsidR="000618AA" w:rsidRPr="003159C5">
        <w:rPr>
          <w:lang w:val="fr-FR"/>
        </w:rPr>
        <w:t xml:space="preserve"> au GAC</w:t>
      </w:r>
      <w:r w:rsidRPr="003159C5">
        <w:rPr>
          <w:lang w:val="fr-FR"/>
        </w:rPr>
        <w:t xml:space="preserve"> comment il interprétait “la nature et l</w:t>
      </w:r>
      <w:r w:rsidR="000618AA" w:rsidRPr="003159C5">
        <w:rPr>
          <w:lang w:val="fr-FR"/>
        </w:rPr>
        <w:t>’</w:t>
      </w:r>
      <w:r w:rsidRPr="003159C5">
        <w:rPr>
          <w:lang w:val="fr-FR"/>
        </w:rPr>
        <w:t>étendue des droits des organisations intergouvernementales concernant la protection défensive des droits sur les noms et sigles de ces organisations”</w:t>
      </w:r>
      <w:r w:rsidRPr="003159C5">
        <w:rPr>
          <w:rStyle w:val="FootnoteReference"/>
          <w:szCs w:val="22"/>
          <w:lang w:val="fr-FR"/>
        </w:rPr>
        <w:footnoteReference w:id="65"/>
      </w:r>
      <w:r w:rsidRPr="003159C5">
        <w:rPr>
          <w:lang w:val="fr-FR"/>
        </w:rPr>
        <w:t>.</w:t>
      </w:r>
      <w:r w:rsidR="00B70317" w:rsidRPr="003159C5">
        <w:rPr>
          <w:lang w:val="fr-FR"/>
        </w:rPr>
        <w:t xml:space="preserve">  </w:t>
      </w:r>
      <w:r w:rsidRPr="003159C5">
        <w:rPr>
          <w:lang w:val="fr-FR"/>
        </w:rPr>
        <w:t>Parallèlement,</w:t>
      </w:r>
      <w:r w:rsidR="000618AA" w:rsidRPr="003159C5">
        <w:rPr>
          <w:lang w:val="fr-FR"/>
        </w:rPr>
        <w:t xml:space="preserve"> le GAC</w:t>
      </w:r>
      <w:r w:rsidRPr="003159C5">
        <w:rPr>
          <w:lang w:val="fr-FR"/>
        </w:rPr>
        <w:t xml:space="preserve"> a précisé sa position sur la protection des organisations intergouvernementales au groupe de travail de</w:t>
      </w:r>
      <w:r w:rsidR="000618AA" w:rsidRPr="003159C5">
        <w:rPr>
          <w:lang w:val="fr-FR"/>
        </w:rPr>
        <w:t xml:space="preserve"> la GNS</w:t>
      </w:r>
      <w:r w:rsidRPr="003159C5">
        <w:rPr>
          <w:lang w:val="fr-FR"/>
        </w:rPr>
        <w:t>O chargé de cette question</w:t>
      </w:r>
      <w:r w:rsidRPr="003159C5">
        <w:rPr>
          <w:rStyle w:val="FootnoteReference"/>
          <w:szCs w:val="22"/>
          <w:lang w:val="fr-FR"/>
        </w:rPr>
        <w:footnoteReference w:id="66"/>
      </w:r>
      <w:r w:rsidRPr="003159C5">
        <w:rPr>
          <w:lang w:val="fr-FR"/>
        </w:rPr>
        <w:t>.</w:t>
      </w:r>
      <w:r w:rsidR="00B70317" w:rsidRPr="003159C5">
        <w:rPr>
          <w:lang w:val="fr-FR"/>
        </w:rPr>
        <w:t xml:space="preserve">  </w:t>
      </w:r>
    </w:p>
    <w:p w:rsidR="003159C5" w:rsidRPr="003159C5" w:rsidRDefault="000B6556" w:rsidP="006D570C">
      <w:pPr>
        <w:pStyle w:val="ONUMFS"/>
        <w:rPr>
          <w:lang w:val="fr-FR"/>
        </w:rPr>
      </w:pPr>
      <w:r>
        <w:rPr>
          <w:lang w:val="fr-FR"/>
        </w:rPr>
        <w:t>En juin 2015, les représentants des organisations intergouvernementales, du GAC et du Conseil d’administration de l’ICANN se sont rencontrés à la ré</w:t>
      </w:r>
      <w:r w:rsidR="00272B75">
        <w:rPr>
          <w:lang w:val="fr-FR"/>
        </w:rPr>
        <w:t>union de l’ICANN tenue à Buenos </w:t>
      </w:r>
      <w:r>
        <w:rPr>
          <w:lang w:val="fr-FR"/>
        </w:rPr>
        <w:t xml:space="preserve">Aires.  Le Conseil d’administration de l’ICANN a pris note des progrès accomplis vers l’établissement éventuel de mécanismes extrajudiciaires de règlement des litiges et de retrait rapide pour la protection des désignations d’organisations intergouvernementales et a suggéré qu’un </w:t>
      </w:r>
      <w:r w:rsidRPr="003159C5">
        <w:rPr>
          <w:lang w:val="fr-FR"/>
        </w:rPr>
        <w:t>“</w:t>
      </w:r>
      <w:r>
        <w:rPr>
          <w:lang w:val="fr-FR"/>
        </w:rPr>
        <w:t>groupe restreint</w:t>
      </w:r>
      <w:r w:rsidRPr="003159C5">
        <w:rPr>
          <w:lang w:val="fr-FR"/>
        </w:rPr>
        <w:t>”</w:t>
      </w:r>
      <w:r>
        <w:rPr>
          <w:lang w:val="fr-FR"/>
        </w:rPr>
        <w:t xml:space="preserve"> communique entre les sessions en vue d’élaborer une proposition concrète à cet égard</w:t>
      </w:r>
      <w:r>
        <w:rPr>
          <w:rStyle w:val="FootnoteReference"/>
          <w:lang w:val="fr-FR"/>
        </w:rPr>
        <w:footnoteReference w:id="67"/>
      </w:r>
      <w:r>
        <w:rPr>
          <w:lang w:val="fr-FR"/>
        </w:rPr>
        <w:t xml:space="preserve">.  Nonobstant </w:t>
      </w:r>
      <w:r w:rsidR="00272B75">
        <w:rPr>
          <w:lang w:val="fr-FR"/>
        </w:rPr>
        <w:t>la poursuite des discussions, y </w:t>
      </w:r>
      <w:r>
        <w:rPr>
          <w:lang w:val="fr-FR"/>
        </w:rPr>
        <w:t>compris lors de la réunion de l’ICANN tenue à Helsinki en juin 2016, plusieurs questions subsistent quant aux modalités de tels mécanismes;  il a toutefois été réaffirmé que tout mécanisme spécifiquement adapté aux organisations intergouvernementales ne devait pas modifier les principes UDRP actuels.  Avec les autres organisations intergouvernementales concernées, le Centre continue de suivre de près l’évolution de ce dossier de longue date de l’ICANN.</w:t>
      </w:r>
    </w:p>
    <w:p w:rsidR="003159C5" w:rsidRDefault="00360CF6" w:rsidP="006D570C">
      <w:pPr>
        <w:pStyle w:val="Heading3"/>
      </w:pPr>
      <w:r w:rsidRPr="00360CF6">
        <w:rPr>
          <w:u w:val="none"/>
        </w:rPr>
        <w:t>b)</w:t>
      </w:r>
      <w:r w:rsidRPr="00360CF6">
        <w:rPr>
          <w:u w:val="none"/>
        </w:rPr>
        <w:tab/>
      </w:r>
      <w:r w:rsidR="00952784" w:rsidRPr="003159C5">
        <w:t>Termes géographiques</w:t>
      </w:r>
    </w:p>
    <w:p w:rsidR="004F7EE8" w:rsidRPr="004F7EE8" w:rsidRDefault="004F7EE8" w:rsidP="006D570C">
      <w:pPr>
        <w:rPr>
          <w:lang w:val="fr-FR"/>
        </w:rPr>
      </w:pPr>
    </w:p>
    <w:p w:rsidR="003159C5" w:rsidRPr="003159C5" w:rsidRDefault="00952784" w:rsidP="006D570C">
      <w:pPr>
        <w:pStyle w:val="ONUMFS"/>
        <w:rPr>
          <w:lang w:val="fr-FR"/>
        </w:rPr>
      </w:pPr>
      <w:r w:rsidRPr="003159C5">
        <w:rPr>
          <w:lang w:val="fr-FR"/>
        </w:rPr>
        <w:t>En ce qui concerne les termes géographiques,</w:t>
      </w:r>
      <w:r w:rsidR="000618AA" w:rsidRPr="003159C5">
        <w:rPr>
          <w:lang w:val="fr-FR"/>
        </w:rPr>
        <w:t xml:space="preserve"> le GAC</w:t>
      </w:r>
      <w:r w:rsidRPr="003159C5">
        <w:rPr>
          <w:lang w:val="fr-FR"/>
        </w:rPr>
        <w:t xml:space="preserve"> en particulier a exprimé des préoccupations quant à leur utilisation et leur protection dans les nouveaux gTLD</w:t>
      </w:r>
      <w:r w:rsidRPr="003159C5">
        <w:rPr>
          <w:rStyle w:val="FootnoteReference"/>
          <w:szCs w:val="22"/>
          <w:lang w:val="fr-FR"/>
        </w:rPr>
        <w:footnoteReference w:id="68"/>
      </w:r>
      <w:r w:rsidRPr="003159C5">
        <w:rPr>
          <w:lang w:val="fr-FR"/>
        </w:rPr>
        <w:t>.</w:t>
      </w:r>
      <w:r w:rsidR="00B70317" w:rsidRPr="003159C5">
        <w:rPr>
          <w:lang w:val="fr-FR"/>
        </w:rPr>
        <w:t xml:space="preserve">  </w:t>
      </w:r>
      <w:r w:rsidRPr="003159C5">
        <w:rPr>
          <w:lang w:val="fr-FR"/>
        </w:rPr>
        <w:t>Pour le premier niveau</w:t>
      </w:r>
      <w:r w:rsidRPr="003159C5">
        <w:rPr>
          <w:rStyle w:val="FootnoteReference"/>
          <w:szCs w:val="22"/>
          <w:lang w:val="fr-FR"/>
        </w:rPr>
        <w:footnoteReference w:id="69"/>
      </w:r>
      <w:r w:rsidRPr="003159C5">
        <w:rPr>
          <w:lang w:val="fr-FR"/>
        </w:rPr>
        <w:t>, le Guide de candidature de l</w:t>
      </w:r>
      <w:r w:rsidR="000618AA" w:rsidRPr="003159C5">
        <w:rPr>
          <w:lang w:val="fr-FR"/>
        </w:rPr>
        <w:t>’</w:t>
      </w:r>
      <w:r w:rsidRPr="003159C5">
        <w:rPr>
          <w:lang w:val="fr-FR"/>
        </w:rPr>
        <w:t xml:space="preserve">ICANN stipule que “les demandes portant sur des chaînes de caractères qui sont des noms de pays ou de territoires ne seront pas </w:t>
      </w:r>
      <w:r w:rsidRPr="003159C5">
        <w:rPr>
          <w:lang w:val="fr-FR"/>
        </w:rPr>
        <w:lastRenderedPageBreak/>
        <w:t>approuvées car elles ne sont pas prévues dans le programme relatif aux nouveaux gTLD pour cette série de demandes”</w:t>
      </w:r>
      <w:r w:rsidRPr="003159C5">
        <w:rPr>
          <w:rStyle w:val="FootnoteReference"/>
          <w:szCs w:val="22"/>
          <w:lang w:val="fr-FR"/>
        </w:rPr>
        <w:footnoteReference w:id="70"/>
      </w:r>
      <w:r w:rsidRPr="003159C5">
        <w:rPr>
          <w:lang w:val="fr-FR"/>
        </w:rPr>
        <w:t>.  Les chaînes de caractères présentées à l</w:t>
      </w:r>
      <w:r w:rsidR="000618AA" w:rsidRPr="003159C5">
        <w:rPr>
          <w:lang w:val="fr-FR"/>
        </w:rPr>
        <w:t>’</w:t>
      </w:r>
      <w:r w:rsidRPr="003159C5">
        <w:rPr>
          <w:lang w:val="fr-FR"/>
        </w:rPr>
        <w:t>enregistrement que l</w:t>
      </w:r>
      <w:r w:rsidR="000618AA" w:rsidRPr="003159C5">
        <w:rPr>
          <w:lang w:val="fr-FR"/>
        </w:rPr>
        <w:t>’</w:t>
      </w:r>
      <w:r w:rsidRPr="003159C5">
        <w:rPr>
          <w:lang w:val="fr-FR"/>
        </w:rPr>
        <w:t>ICANN considère comme correspondant à d</w:t>
      </w:r>
      <w:r w:rsidR="000618AA" w:rsidRPr="003159C5">
        <w:rPr>
          <w:lang w:val="fr-FR"/>
        </w:rPr>
        <w:t>’</w:t>
      </w:r>
      <w:r w:rsidRPr="003159C5">
        <w:rPr>
          <w:lang w:val="fr-FR"/>
        </w:rPr>
        <w:t>autres désignations géographiques, par exemple des noms de capitales, doivent être accompagnées de pièces justificatives ou d</w:t>
      </w:r>
      <w:r w:rsidR="000618AA" w:rsidRPr="003159C5">
        <w:rPr>
          <w:lang w:val="fr-FR"/>
        </w:rPr>
        <w:t>’</w:t>
      </w:r>
      <w:r w:rsidRPr="003159C5">
        <w:rPr>
          <w:lang w:val="fr-FR"/>
        </w:rPr>
        <w:t>une attestation de non</w:t>
      </w:r>
      <w:r w:rsidR="003159C5" w:rsidRPr="003159C5">
        <w:rPr>
          <w:lang w:val="fr-FR"/>
        </w:rPr>
        <w:noBreakHyphen/>
      </w:r>
      <w:r w:rsidRPr="003159C5">
        <w:rPr>
          <w:lang w:val="fr-FR"/>
        </w:rPr>
        <w:t>objection des gouvernements ou autorités publiques concernés</w:t>
      </w:r>
      <w:r w:rsidRPr="003159C5">
        <w:rPr>
          <w:rStyle w:val="FootnoteReference"/>
          <w:szCs w:val="22"/>
          <w:lang w:val="fr-FR"/>
        </w:rPr>
        <w:footnoteReference w:id="71"/>
      </w:r>
      <w:r w:rsidRPr="003159C5">
        <w:rPr>
          <w:lang w:val="fr-FR"/>
        </w:rPr>
        <w:t>.</w:t>
      </w:r>
    </w:p>
    <w:p w:rsidR="003159C5" w:rsidRPr="003159C5" w:rsidRDefault="00952784" w:rsidP="006D570C">
      <w:pPr>
        <w:pStyle w:val="ONUMFS"/>
        <w:rPr>
          <w:lang w:val="fr-FR"/>
        </w:rPr>
      </w:pPr>
      <w:r w:rsidRPr="003159C5">
        <w:rPr>
          <w:lang w:val="fr-FR"/>
        </w:rPr>
        <w:t>Les membres</w:t>
      </w:r>
      <w:r w:rsidR="000618AA" w:rsidRPr="003159C5">
        <w:rPr>
          <w:lang w:val="fr-FR"/>
        </w:rPr>
        <w:t xml:space="preserve"> du GAC</w:t>
      </w:r>
      <w:r w:rsidRPr="003159C5">
        <w:rPr>
          <w:lang w:val="fr-FR"/>
        </w:rPr>
        <w:t xml:space="preserve"> ont exprimé d</w:t>
      </w:r>
      <w:r w:rsidR="000618AA" w:rsidRPr="003159C5">
        <w:rPr>
          <w:lang w:val="fr-FR"/>
        </w:rPr>
        <w:t>’</w:t>
      </w:r>
      <w:r w:rsidRPr="003159C5">
        <w:rPr>
          <w:lang w:val="fr-FR"/>
        </w:rPr>
        <w:t>autres réserves concernant un certain nombre de demandes portant sur de nouveaux gTLD pour cause de correspondance avec des termes géographiques ou d</w:t>
      </w:r>
      <w:r w:rsidR="000618AA" w:rsidRPr="003159C5">
        <w:rPr>
          <w:lang w:val="fr-FR"/>
        </w:rPr>
        <w:t>’</w:t>
      </w:r>
      <w:r w:rsidRPr="003159C5">
        <w:rPr>
          <w:lang w:val="fr-FR"/>
        </w:rPr>
        <w:t>autres termes “sensibles”, recommandant au Conseil d</w:t>
      </w:r>
      <w:r w:rsidR="000618AA" w:rsidRPr="003159C5">
        <w:rPr>
          <w:lang w:val="fr-FR"/>
        </w:rPr>
        <w:t>’</w:t>
      </w:r>
      <w:r w:rsidRPr="003159C5">
        <w:rPr>
          <w:lang w:val="fr-FR"/>
        </w:rPr>
        <w:t>administration de l</w:t>
      </w:r>
      <w:r w:rsidR="000618AA" w:rsidRPr="003159C5">
        <w:rPr>
          <w:lang w:val="fr-FR"/>
        </w:rPr>
        <w:t>’</w:t>
      </w:r>
      <w:r w:rsidRPr="003159C5">
        <w:rPr>
          <w:lang w:val="fr-FR"/>
        </w:rPr>
        <w:t>ICANN de ne pas aller au</w:t>
      </w:r>
      <w:r w:rsidR="003159C5" w:rsidRPr="003159C5">
        <w:rPr>
          <w:lang w:val="fr-FR"/>
        </w:rPr>
        <w:noBreakHyphen/>
      </w:r>
      <w:r w:rsidRPr="003159C5">
        <w:rPr>
          <w:lang w:val="fr-FR"/>
        </w:rPr>
        <w:t>delà d</w:t>
      </w:r>
      <w:r w:rsidR="000618AA" w:rsidRPr="003159C5">
        <w:rPr>
          <w:lang w:val="fr-FR"/>
        </w:rPr>
        <w:t>’</w:t>
      </w:r>
      <w:r w:rsidRPr="003159C5">
        <w:rPr>
          <w:lang w:val="fr-FR"/>
        </w:rPr>
        <w:t>une évaluation initiale et demandant des précisions au Conseil sur la possibilité pour les candidats de modifier les demandes portant sur de nouveaux gTLD afin de tenir compte des préoccupations particulières</w:t>
      </w:r>
      <w:r w:rsidR="000618AA" w:rsidRPr="003159C5">
        <w:rPr>
          <w:lang w:val="fr-FR"/>
        </w:rPr>
        <w:t xml:space="preserve"> du GAC</w:t>
      </w:r>
      <w:r w:rsidRPr="003159C5">
        <w:rPr>
          <w:rStyle w:val="FootnoteReference"/>
          <w:szCs w:val="22"/>
          <w:lang w:val="fr-FR"/>
        </w:rPr>
        <w:footnoteReference w:id="72"/>
      </w:r>
      <w:r w:rsidRPr="003159C5">
        <w:rPr>
          <w:lang w:val="fr-FR"/>
        </w:rPr>
        <w:t>.</w:t>
      </w:r>
    </w:p>
    <w:p w:rsidR="003159C5" w:rsidRPr="00565026" w:rsidRDefault="009B7BAC" w:rsidP="006D570C">
      <w:pPr>
        <w:pStyle w:val="ONUMFS"/>
        <w:rPr>
          <w:lang w:val="fr-FR"/>
        </w:rPr>
      </w:pPr>
      <w:r>
        <w:rPr>
          <w:lang w:val="fr-FR"/>
        </w:rPr>
        <w:t>L’ICANN gère également un processus permettant l’enregistrement éventuel de noms de domaine à deux caractères au deuxième niveau dans les nouveaux gTLD</w:t>
      </w:r>
      <w:r>
        <w:rPr>
          <w:rStyle w:val="FootnoteReference"/>
          <w:lang w:val="fr-FR"/>
        </w:rPr>
        <w:footnoteReference w:id="73"/>
      </w:r>
      <w:r>
        <w:rPr>
          <w:lang w:val="fr-FR"/>
        </w:rPr>
        <w:t xml:space="preserve">.  </w:t>
      </w:r>
      <w:r w:rsidR="0098329E" w:rsidRPr="003159C5">
        <w:rPr>
          <w:lang w:val="fr-FR"/>
        </w:rPr>
        <w:t>Dans le cadre de ce processus, lorsqu</w:t>
      </w:r>
      <w:r w:rsidR="000618AA" w:rsidRPr="003159C5">
        <w:rPr>
          <w:lang w:val="fr-FR"/>
        </w:rPr>
        <w:t>’</w:t>
      </w:r>
      <w:r w:rsidR="0098329E" w:rsidRPr="003159C5">
        <w:rPr>
          <w:lang w:val="fr-FR"/>
        </w:rPr>
        <w:t>un administrateur de service d</w:t>
      </w:r>
      <w:r w:rsidR="000618AA" w:rsidRPr="003159C5">
        <w:rPr>
          <w:lang w:val="fr-FR"/>
        </w:rPr>
        <w:t>’</w:t>
      </w:r>
      <w:r w:rsidR="0098329E" w:rsidRPr="003159C5">
        <w:rPr>
          <w:lang w:val="fr-FR"/>
        </w:rPr>
        <w:t>enregistrement demande à l</w:t>
      </w:r>
      <w:r w:rsidR="000618AA" w:rsidRPr="003159C5">
        <w:rPr>
          <w:lang w:val="fr-FR"/>
        </w:rPr>
        <w:t>’</w:t>
      </w:r>
      <w:r w:rsidR="0098329E" w:rsidRPr="003159C5">
        <w:rPr>
          <w:lang w:val="fr-FR"/>
        </w:rPr>
        <w:t>ICANN d</w:t>
      </w:r>
      <w:r w:rsidR="000618AA" w:rsidRPr="003159C5">
        <w:rPr>
          <w:lang w:val="fr-FR"/>
        </w:rPr>
        <w:t>’</w:t>
      </w:r>
      <w:r w:rsidR="0098329E" w:rsidRPr="003159C5">
        <w:rPr>
          <w:lang w:val="fr-FR"/>
        </w:rPr>
        <w:t>autoriser la publication de noms de domaine à deux</w:t>
      </w:r>
      <w:r w:rsidR="0067439A" w:rsidRPr="003159C5">
        <w:rPr>
          <w:lang w:val="fr-FR"/>
        </w:rPr>
        <w:t> </w:t>
      </w:r>
      <w:r w:rsidR="0098329E" w:rsidRPr="003159C5">
        <w:rPr>
          <w:lang w:val="fr-FR"/>
        </w:rPr>
        <w:t>caractères correspondant à un code de pays au deuxième niveau dans son domaine de premier niveau, l</w:t>
      </w:r>
      <w:r w:rsidR="000618AA" w:rsidRPr="003159C5">
        <w:rPr>
          <w:lang w:val="fr-FR"/>
        </w:rPr>
        <w:t>’</w:t>
      </w:r>
      <w:r w:rsidR="0098329E" w:rsidRPr="003159C5">
        <w:rPr>
          <w:lang w:val="fr-FR"/>
        </w:rPr>
        <w:t xml:space="preserve">ICANN alerte le </w:t>
      </w:r>
      <w:r w:rsidR="0008050F" w:rsidRPr="003159C5">
        <w:rPr>
          <w:lang w:val="fr-FR"/>
        </w:rPr>
        <w:t xml:space="preserve">gouvernement </w:t>
      </w:r>
      <w:r w:rsidR="0098329E" w:rsidRPr="003159C5">
        <w:rPr>
          <w:lang w:val="fr-FR"/>
        </w:rPr>
        <w:t xml:space="preserve">concerné et </w:t>
      </w:r>
      <w:r w:rsidR="0008050F" w:rsidRPr="003159C5">
        <w:rPr>
          <w:lang w:val="fr-FR"/>
        </w:rPr>
        <w:t>accorde</w:t>
      </w:r>
      <w:r w:rsidR="0098329E" w:rsidRPr="003159C5">
        <w:rPr>
          <w:lang w:val="fr-FR"/>
        </w:rPr>
        <w:t xml:space="preserve"> un délai de 60</w:t>
      </w:r>
      <w:r w:rsidR="00C805BC">
        <w:rPr>
          <w:lang w:val="fr-FR"/>
        </w:rPr>
        <w:t> </w:t>
      </w:r>
      <w:r w:rsidR="0098329E" w:rsidRPr="003159C5">
        <w:rPr>
          <w:lang w:val="fr-FR"/>
        </w:rPr>
        <w:t>jours pour</w:t>
      </w:r>
      <w:r w:rsidR="0008050F" w:rsidRPr="003159C5">
        <w:rPr>
          <w:lang w:val="fr-FR"/>
        </w:rPr>
        <w:t xml:space="preserve"> la</w:t>
      </w:r>
      <w:r w:rsidR="0098329E" w:rsidRPr="003159C5">
        <w:rPr>
          <w:lang w:val="fr-FR"/>
        </w:rPr>
        <w:t xml:space="preserve"> </w:t>
      </w:r>
      <w:r w:rsidR="0008050F" w:rsidRPr="003159C5">
        <w:rPr>
          <w:lang w:val="fr-FR"/>
        </w:rPr>
        <w:t>formulation de</w:t>
      </w:r>
      <w:r w:rsidR="0098329E" w:rsidRPr="003159C5">
        <w:rPr>
          <w:lang w:val="fr-FR"/>
        </w:rPr>
        <w:t xml:space="preserve"> commentair</w:t>
      </w:r>
      <w:r w:rsidR="00C9393A" w:rsidRPr="003159C5">
        <w:rPr>
          <w:lang w:val="fr-FR"/>
        </w:rPr>
        <w:t>es.  Si</w:t>
      </w:r>
      <w:r w:rsidR="0098329E" w:rsidRPr="003159C5">
        <w:rPr>
          <w:lang w:val="fr-FR"/>
        </w:rPr>
        <w:t xml:space="preserve"> le gouvernement ne soulève aucune objection, l</w:t>
      </w:r>
      <w:r w:rsidR="000618AA" w:rsidRPr="003159C5">
        <w:rPr>
          <w:lang w:val="fr-FR"/>
        </w:rPr>
        <w:t>’</w:t>
      </w:r>
      <w:r w:rsidR="0098329E" w:rsidRPr="003159C5">
        <w:rPr>
          <w:lang w:val="fr-FR"/>
        </w:rPr>
        <w:t>ICANN autorise la publication de ce code à deux</w:t>
      </w:r>
      <w:r w:rsidR="0067439A" w:rsidRPr="003159C5">
        <w:rPr>
          <w:lang w:val="fr-FR"/>
        </w:rPr>
        <w:t> </w:t>
      </w:r>
      <w:r w:rsidR="0098329E" w:rsidRPr="003159C5">
        <w:rPr>
          <w:lang w:val="fr-FR"/>
        </w:rPr>
        <w:t>caractères auprès de l</w:t>
      </w:r>
      <w:r w:rsidR="000618AA" w:rsidRPr="003159C5">
        <w:rPr>
          <w:lang w:val="fr-FR"/>
        </w:rPr>
        <w:t>’</w:t>
      </w:r>
      <w:r w:rsidR="0098329E" w:rsidRPr="003159C5">
        <w:rPr>
          <w:lang w:val="fr-FR"/>
        </w:rPr>
        <w:t>administrateur d</w:t>
      </w:r>
      <w:r w:rsidR="0008050F" w:rsidRPr="003159C5">
        <w:rPr>
          <w:lang w:val="fr-FR"/>
        </w:rPr>
        <w:t>u</w:t>
      </w:r>
      <w:r w:rsidR="0098329E" w:rsidRPr="003159C5">
        <w:rPr>
          <w:lang w:val="fr-FR"/>
        </w:rPr>
        <w:t xml:space="preserve"> service d</w:t>
      </w:r>
      <w:r w:rsidR="000618AA" w:rsidRPr="003159C5">
        <w:rPr>
          <w:lang w:val="fr-FR"/>
        </w:rPr>
        <w:t>’</w:t>
      </w:r>
      <w:r w:rsidR="0098329E" w:rsidRPr="003159C5">
        <w:rPr>
          <w:lang w:val="fr-FR"/>
        </w:rPr>
        <w:t>enregistreme</w:t>
      </w:r>
      <w:r w:rsidR="00C9393A" w:rsidRPr="003159C5">
        <w:rPr>
          <w:lang w:val="fr-FR"/>
        </w:rPr>
        <w:t>nt.  Ce</w:t>
      </w:r>
      <w:r w:rsidR="0098329E" w:rsidRPr="003159C5">
        <w:rPr>
          <w:lang w:val="fr-FR"/>
        </w:rPr>
        <w:t xml:space="preserve">pendant, si le </w:t>
      </w:r>
      <w:r w:rsidR="00994782" w:rsidRPr="003159C5">
        <w:rPr>
          <w:lang w:val="fr-FR"/>
        </w:rPr>
        <w:t xml:space="preserve">gouvernement </w:t>
      </w:r>
      <w:r w:rsidR="0098329E" w:rsidRPr="003159C5">
        <w:rPr>
          <w:lang w:val="fr-FR"/>
        </w:rPr>
        <w:t xml:space="preserve">soulève </w:t>
      </w:r>
      <w:r w:rsidR="0008050F" w:rsidRPr="003159C5">
        <w:rPr>
          <w:lang w:val="fr-FR"/>
        </w:rPr>
        <w:t>des</w:t>
      </w:r>
      <w:r w:rsidR="0098329E" w:rsidRPr="003159C5">
        <w:rPr>
          <w:lang w:val="fr-FR"/>
        </w:rPr>
        <w:t xml:space="preserve"> objection</w:t>
      </w:r>
      <w:r w:rsidR="0008050F" w:rsidRPr="003159C5">
        <w:rPr>
          <w:lang w:val="fr-FR"/>
        </w:rPr>
        <w:t>s</w:t>
      </w:r>
      <w:r w:rsidR="0098329E" w:rsidRPr="003159C5">
        <w:rPr>
          <w:lang w:val="fr-FR"/>
        </w:rPr>
        <w:t>, l</w:t>
      </w:r>
      <w:r w:rsidR="000618AA" w:rsidRPr="003159C5">
        <w:rPr>
          <w:lang w:val="fr-FR"/>
        </w:rPr>
        <w:t>’</w:t>
      </w:r>
      <w:r w:rsidR="0098329E" w:rsidRPr="003159C5">
        <w:rPr>
          <w:lang w:val="fr-FR"/>
        </w:rPr>
        <w:t>ICANN demande à l</w:t>
      </w:r>
      <w:r w:rsidR="000618AA" w:rsidRPr="003159C5">
        <w:rPr>
          <w:lang w:val="fr-FR"/>
        </w:rPr>
        <w:t>’</w:t>
      </w:r>
      <w:r w:rsidR="0098329E" w:rsidRPr="003159C5">
        <w:rPr>
          <w:lang w:val="fr-FR"/>
        </w:rPr>
        <w:t xml:space="preserve">administrateur de service </w:t>
      </w:r>
      <w:r w:rsidR="0098329E" w:rsidRPr="00565026">
        <w:rPr>
          <w:lang w:val="fr-FR"/>
        </w:rPr>
        <w:t>d</w:t>
      </w:r>
      <w:r w:rsidR="000618AA" w:rsidRPr="00565026">
        <w:rPr>
          <w:lang w:val="fr-FR"/>
        </w:rPr>
        <w:t>’</w:t>
      </w:r>
      <w:r w:rsidR="0098329E" w:rsidRPr="00565026">
        <w:rPr>
          <w:lang w:val="fr-FR"/>
        </w:rPr>
        <w:t xml:space="preserve">enregistrement de soumettre un </w:t>
      </w:r>
      <w:r w:rsidR="0067439A" w:rsidRPr="00565026">
        <w:rPr>
          <w:lang w:val="fr-FR"/>
        </w:rPr>
        <w:t>“</w:t>
      </w:r>
      <w:r w:rsidR="0098329E" w:rsidRPr="00565026">
        <w:rPr>
          <w:lang w:val="fr-FR"/>
        </w:rPr>
        <w:t xml:space="preserve">plan </w:t>
      </w:r>
      <w:r w:rsidR="0008050F" w:rsidRPr="00565026">
        <w:rPr>
          <w:lang w:val="fr-FR"/>
        </w:rPr>
        <w:t>visant à minimiser</w:t>
      </w:r>
      <w:r w:rsidR="0098329E" w:rsidRPr="00565026">
        <w:rPr>
          <w:lang w:val="fr-FR"/>
        </w:rPr>
        <w:t xml:space="preserve"> l</w:t>
      </w:r>
      <w:r w:rsidR="00565026" w:rsidRPr="00565026">
        <w:rPr>
          <w:lang w:val="fr-FR"/>
        </w:rPr>
        <w:t>es risques de</w:t>
      </w:r>
      <w:r w:rsidR="0098329E" w:rsidRPr="00565026">
        <w:rPr>
          <w:lang w:val="fr-FR"/>
        </w:rPr>
        <w:t xml:space="preserve"> confusion</w:t>
      </w:r>
      <w:r w:rsidR="0067439A" w:rsidRPr="00565026">
        <w:rPr>
          <w:lang w:val="fr-FR"/>
        </w:rPr>
        <w:t>”</w:t>
      </w:r>
      <w:r w:rsidR="0098329E" w:rsidRPr="00565026">
        <w:rPr>
          <w:lang w:val="fr-FR"/>
        </w:rPr>
        <w:t>.</w:t>
      </w:r>
      <w:r>
        <w:rPr>
          <w:lang w:val="fr-FR"/>
        </w:rPr>
        <w:t xml:space="preserve">  Le Centre a transmis des commentaires à l’ICANN, faisant observer que le deuxième processus de consultations de l’OMPI sur les noms de domaine de l’Internet prévoyait la possibilité d’examiner des mesures permettant d’appliquer les principes UDRP aux enregistrements de troisième niveau afin d’atténuer le risque d’atteinte aux marques</w:t>
      </w:r>
      <w:r>
        <w:rPr>
          <w:rStyle w:val="FootnoteReference"/>
          <w:lang w:val="fr-FR"/>
        </w:rPr>
        <w:footnoteReference w:id="74"/>
      </w:r>
      <w:r>
        <w:rPr>
          <w:lang w:val="fr-FR"/>
        </w:rPr>
        <w:t>.</w:t>
      </w:r>
    </w:p>
    <w:p w:rsidR="003159C5" w:rsidRPr="003159C5" w:rsidRDefault="00994782" w:rsidP="006D570C">
      <w:pPr>
        <w:pStyle w:val="ONUMFS"/>
        <w:rPr>
          <w:lang w:val="fr-FR"/>
        </w:rPr>
      </w:pPr>
      <w:r w:rsidRPr="003159C5">
        <w:rPr>
          <w:lang w:val="fr-FR"/>
        </w:rPr>
        <w:t xml:space="preserve">Compte tenu des objections du </w:t>
      </w:r>
      <w:r w:rsidR="0008050F" w:rsidRPr="003159C5">
        <w:rPr>
          <w:lang w:val="fr-FR"/>
        </w:rPr>
        <w:t xml:space="preserve">gouvernement </w:t>
      </w:r>
      <w:r w:rsidRPr="003159C5">
        <w:rPr>
          <w:lang w:val="fr-FR"/>
        </w:rPr>
        <w:t>et des plans proposé</w:t>
      </w:r>
      <w:r w:rsidR="0008050F" w:rsidRPr="003159C5">
        <w:rPr>
          <w:lang w:val="fr-FR"/>
        </w:rPr>
        <w:t>s</w:t>
      </w:r>
      <w:r w:rsidRPr="003159C5">
        <w:rPr>
          <w:lang w:val="fr-FR"/>
        </w:rPr>
        <w:t xml:space="preserve"> </w:t>
      </w:r>
      <w:r w:rsidR="0008050F" w:rsidRPr="003159C5">
        <w:rPr>
          <w:lang w:val="fr-FR"/>
        </w:rPr>
        <w:t>par l</w:t>
      </w:r>
      <w:r w:rsidR="000618AA" w:rsidRPr="003159C5">
        <w:rPr>
          <w:lang w:val="fr-FR"/>
        </w:rPr>
        <w:t>’</w:t>
      </w:r>
      <w:r w:rsidR="0008050F" w:rsidRPr="003159C5">
        <w:rPr>
          <w:lang w:val="fr-FR"/>
        </w:rPr>
        <w:t>administrateur du service d</w:t>
      </w:r>
      <w:r w:rsidR="000618AA" w:rsidRPr="003159C5">
        <w:rPr>
          <w:lang w:val="fr-FR"/>
        </w:rPr>
        <w:t>’</w:t>
      </w:r>
      <w:r w:rsidR="0008050F" w:rsidRPr="003159C5">
        <w:rPr>
          <w:lang w:val="fr-FR"/>
        </w:rPr>
        <w:t>enregistrement qui ont été</w:t>
      </w:r>
      <w:r w:rsidRPr="003159C5">
        <w:rPr>
          <w:lang w:val="fr-FR"/>
        </w:rPr>
        <w:t xml:space="preserve"> reçus, </w:t>
      </w:r>
      <w:r w:rsidR="0008050F" w:rsidRPr="003159C5">
        <w:rPr>
          <w:lang w:val="fr-FR"/>
        </w:rPr>
        <w:t xml:space="preserve">et </w:t>
      </w:r>
      <w:r w:rsidRPr="003159C5">
        <w:rPr>
          <w:lang w:val="fr-FR"/>
        </w:rPr>
        <w:t>qui sont tous publiés sur le site</w:t>
      </w:r>
      <w:r w:rsidR="0067439A" w:rsidRPr="003159C5">
        <w:rPr>
          <w:lang w:val="fr-FR"/>
        </w:rPr>
        <w:t> </w:t>
      </w:r>
      <w:r w:rsidRPr="003159C5">
        <w:rPr>
          <w:lang w:val="fr-FR"/>
        </w:rPr>
        <w:t xml:space="preserve">Web de </w:t>
      </w:r>
      <w:r w:rsidRPr="00565026">
        <w:rPr>
          <w:lang w:val="fr-FR"/>
        </w:rPr>
        <w:t>l</w:t>
      </w:r>
      <w:r w:rsidR="000618AA" w:rsidRPr="00565026">
        <w:rPr>
          <w:lang w:val="fr-FR"/>
        </w:rPr>
        <w:t>’</w:t>
      </w:r>
      <w:r w:rsidRPr="00565026">
        <w:rPr>
          <w:lang w:val="fr-FR"/>
        </w:rPr>
        <w:t>ICANN</w:t>
      </w:r>
      <w:r w:rsidRPr="00565026">
        <w:rPr>
          <w:rStyle w:val="FootnoteReference"/>
          <w:szCs w:val="22"/>
          <w:lang w:val="fr-FR"/>
        </w:rPr>
        <w:footnoteReference w:id="75"/>
      </w:r>
      <w:r w:rsidRPr="00565026">
        <w:rPr>
          <w:lang w:val="fr-FR"/>
        </w:rPr>
        <w:t>, l</w:t>
      </w:r>
      <w:r w:rsidR="000618AA" w:rsidRPr="00565026">
        <w:rPr>
          <w:lang w:val="fr-FR"/>
        </w:rPr>
        <w:t>’</w:t>
      </w:r>
      <w:r w:rsidRPr="00565026">
        <w:rPr>
          <w:lang w:val="fr-FR"/>
        </w:rPr>
        <w:t xml:space="preserve">ICANN prévoit de publier des critères </w:t>
      </w:r>
      <w:r w:rsidR="00565026" w:rsidRPr="00565026">
        <w:rPr>
          <w:lang w:val="fr-FR"/>
        </w:rPr>
        <w:t>afin de</w:t>
      </w:r>
      <w:r w:rsidRPr="00565026">
        <w:rPr>
          <w:lang w:val="fr-FR"/>
        </w:rPr>
        <w:t xml:space="preserve"> </w:t>
      </w:r>
      <w:r w:rsidR="0008050F" w:rsidRPr="00565026">
        <w:rPr>
          <w:lang w:val="fr-FR"/>
        </w:rPr>
        <w:t>minimiser</w:t>
      </w:r>
      <w:r w:rsidRPr="00565026">
        <w:rPr>
          <w:lang w:val="fr-FR"/>
        </w:rPr>
        <w:t xml:space="preserve"> l</w:t>
      </w:r>
      <w:r w:rsidR="00565026" w:rsidRPr="00565026">
        <w:rPr>
          <w:lang w:val="fr-FR"/>
        </w:rPr>
        <w:t>es risques de</w:t>
      </w:r>
      <w:r w:rsidRPr="00565026">
        <w:rPr>
          <w:lang w:val="fr-FR"/>
        </w:rPr>
        <w:t xml:space="preserve"> confusion à</w:t>
      </w:r>
      <w:r w:rsidRPr="003159C5">
        <w:rPr>
          <w:lang w:val="fr-FR"/>
        </w:rPr>
        <w:t xml:space="preserve"> l</w:t>
      </w:r>
      <w:r w:rsidR="000618AA" w:rsidRPr="003159C5">
        <w:rPr>
          <w:lang w:val="fr-FR"/>
        </w:rPr>
        <w:t>’</w:t>
      </w:r>
      <w:r w:rsidRPr="003159C5">
        <w:rPr>
          <w:lang w:val="fr-FR"/>
        </w:rPr>
        <w:t>issue d</w:t>
      </w:r>
      <w:r w:rsidR="00565026">
        <w:rPr>
          <w:lang w:val="fr-FR"/>
        </w:rPr>
        <w:t xml:space="preserve">’un </w:t>
      </w:r>
      <w:r w:rsidRPr="003159C5">
        <w:rPr>
          <w:lang w:val="fr-FR"/>
        </w:rPr>
        <w:t>appel public à commentaires.</w:t>
      </w:r>
    </w:p>
    <w:p w:rsidR="003159C5" w:rsidRPr="003159C5" w:rsidRDefault="00B21BB1" w:rsidP="006D570C">
      <w:pPr>
        <w:pStyle w:val="ONUMFS"/>
        <w:rPr>
          <w:szCs w:val="24"/>
          <w:lang w:val="fr-FR"/>
        </w:rPr>
      </w:pPr>
      <w:r w:rsidRPr="003159C5">
        <w:rPr>
          <w:szCs w:val="24"/>
          <w:lang w:val="fr-FR"/>
        </w:rPr>
        <w:t>Sur ces questions et d</w:t>
      </w:r>
      <w:r w:rsidR="000618AA" w:rsidRPr="003159C5">
        <w:rPr>
          <w:szCs w:val="24"/>
          <w:lang w:val="fr-FR"/>
        </w:rPr>
        <w:t>’</w:t>
      </w:r>
      <w:r w:rsidRPr="003159C5">
        <w:rPr>
          <w:szCs w:val="24"/>
          <w:lang w:val="fr-FR"/>
        </w:rPr>
        <w:t>autres questions concernant</w:t>
      </w:r>
      <w:r w:rsidR="000618AA" w:rsidRPr="003159C5">
        <w:rPr>
          <w:szCs w:val="24"/>
          <w:lang w:val="fr-FR"/>
        </w:rPr>
        <w:t xml:space="preserve"> le DNS</w:t>
      </w:r>
      <w:r w:rsidRPr="003159C5">
        <w:rPr>
          <w:szCs w:val="24"/>
          <w:lang w:val="fr-FR"/>
        </w:rPr>
        <w:t>, le Centre a tent</w:t>
      </w:r>
      <w:r w:rsidR="00F315E0" w:rsidRPr="003159C5">
        <w:rPr>
          <w:szCs w:val="24"/>
          <w:lang w:val="fr-FR"/>
        </w:rPr>
        <w:t>é</w:t>
      </w:r>
      <w:r w:rsidRPr="003159C5">
        <w:rPr>
          <w:szCs w:val="24"/>
          <w:lang w:val="fr-FR"/>
        </w:rPr>
        <w:t xml:space="preserve"> d</w:t>
      </w:r>
      <w:r w:rsidR="000618AA" w:rsidRPr="003159C5">
        <w:rPr>
          <w:szCs w:val="24"/>
          <w:lang w:val="fr-FR"/>
        </w:rPr>
        <w:t>’</w:t>
      </w:r>
      <w:r w:rsidRPr="003159C5">
        <w:rPr>
          <w:szCs w:val="24"/>
          <w:lang w:val="fr-FR"/>
        </w:rPr>
        <w:t xml:space="preserve">informer les secteurs concernés au sein du Secrétariat, notamment pour appuyer les travaux du Comité permanent du droit des marques, des dessins et modèles industriels et des indications </w:t>
      </w:r>
      <w:r w:rsidRPr="003159C5">
        <w:rPr>
          <w:szCs w:val="24"/>
          <w:lang w:val="fr-FR"/>
        </w:rPr>
        <w:lastRenderedPageBreak/>
        <w:t>géographiques (SCT)</w:t>
      </w:r>
      <w:r w:rsidR="00565026">
        <w:rPr>
          <w:rStyle w:val="FootnoteReference"/>
          <w:szCs w:val="24"/>
          <w:lang w:val="fr-FR"/>
        </w:rPr>
        <w:footnoteReference w:id="76"/>
      </w:r>
      <w:r w:rsidRPr="003159C5">
        <w:rPr>
          <w:szCs w:val="24"/>
          <w:lang w:val="fr-FR"/>
        </w:rPr>
        <w:t>.  Le Secrétariat cont</w:t>
      </w:r>
      <w:r w:rsidR="00F315E0" w:rsidRPr="003159C5">
        <w:rPr>
          <w:szCs w:val="24"/>
          <w:lang w:val="fr-FR"/>
        </w:rPr>
        <w:t>i</w:t>
      </w:r>
      <w:r w:rsidRPr="003159C5">
        <w:rPr>
          <w:szCs w:val="24"/>
          <w:lang w:val="fr-FR"/>
        </w:rPr>
        <w:t>nuera de suivre l</w:t>
      </w:r>
      <w:r w:rsidR="000618AA" w:rsidRPr="003159C5">
        <w:rPr>
          <w:szCs w:val="24"/>
          <w:lang w:val="fr-FR"/>
        </w:rPr>
        <w:t>’</w:t>
      </w:r>
      <w:r w:rsidRPr="003159C5">
        <w:rPr>
          <w:szCs w:val="24"/>
          <w:lang w:val="fr-FR"/>
        </w:rPr>
        <w:t>évolution de la situation et d</w:t>
      </w:r>
      <w:r w:rsidR="000618AA" w:rsidRPr="003159C5">
        <w:rPr>
          <w:szCs w:val="24"/>
          <w:lang w:val="fr-FR"/>
        </w:rPr>
        <w:t>’</w:t>
      </w:r>
      <w:r w:rsidRPr="003159C5">
        <w:rPr>
          <w:szCs w:val="24"/>
          <w:lang w:val="fr-FR"/>
        </w:rPr>
        <w:t xml:space="preserve">apporter sa contribution </w:t>
      </w:r>
      <w:r w:rsidR="00F315E0" w:rsidRPr="003159C5">
        <w:rPr>
          <w:szCs w:val="24"/>
          <w:lang w:val="fr-FR"/>
        </w:rPr>
        <w:t>si</w:t>
      </w:r>
      <w:r w:rsidRPr="003159C5">
        <w:rPr>
          <w:szCs w:val="24"/>
          <w:lang w:val="fr-FR"/>
        </w:rPr>
        <w:t xml:space="preserve"> </w:t>
      </w:r>
      <w:r w:rsidR="00565026">
        <w:rPr>
          <w:szCs w:val="24"/>
          <w:lang w:val="fr-FR"/>
        </w:rPr>
        <w:t xml:space="preserve">cela s’avère </w:t>
      </w:r>
      <w:r w:rsidRPr="003159C5">
        <w:rPr>
          <w:szCs w:val="24"/>
          <w:lang w:val="fr-FR"/>
        </w:rPr>
        <w:t>possible.</w:t>
      </w:r>
    </w:p>
    <w:p w:rsidR="00994782" w:rsidRPr="004F7EE8" w:rsidRDefault="00B21BB1" w:rsidP="006D570C">
      <w:pPr>
        <w:pStyle w:val="ONUMFS"/>
        <w:ind w:left="5533"/>
        <w:rPr>
          <w:i/>
          <w:lang w:val="fr-FR"/>
        </w:rPr>
      </w:pPr>
      <w:r w:rsidRPr="004F7EE8">
        <w:rPr>
          <w:i/>
          <w:lang w:val="fr-FR"/>
        </w:rPr>
        <w:t>L</w:t>
      </w:r>
      <w:r w:rsidR="000618AA" w:rsidRPr="004F7EE8">
        <w:rPr>
          <w:i/>
          <w:lang w:val="fr-FR"/>
        </w:rPr>
        <w:t>’</w:t>
      </w:r>
      <w:r w:rsidRPr="004F7EE8">
        <w:rPr>
          <w:i/>
          <w:lang w:val="fr-FR"/>
        </w:rPr>
        <w:t>Assemblée générale de l</w:t>
      </w:r>
      <w:r w:rsidR="000618AA" w:rsidRPr="004F7EE8">
        <w:rPr>
          <w:i/>
          <w:lang w:val="fr-FR"/>
        </w:rPr>
        <w:t>’</w:t>
      </w:r>
      <w:r w:rsidRPr="004F7EE8">
        <w:rPr>
          <w:i/>
          <w:lang w:val="fr-FR"/>
        </w:rPr>
        <w:t>OMPI est invitée à prendre note du contenu du document intitulé “Centre d</w:t>
      </w:r>
      <w:r w:rsidR="000618AA" w:rsidRPr="004F7EE8">
        <w:rPr>
          <w:i/>
          <w:lang w:val="fr-FR"/>
        </w:rPr>
        <w:t>’</w:t>
      </w:r>
      <w:r w:rsidRPr="004F7EE8">
        <w:rPr>
          <w:i/>
          <w:lang w:val="fr-FR"/>
        </w:rPr>
        <w:t>arbitrage et de médiation de l</w:t>
      </w:r>
      <w:r w:rsidR="000618AA" w:rsidRPr="004F7EE8">
        <w:rPr>
          <w:i/>
          <w:lang w:val="fr-FR"/>
        </w:rPr>
        <w:t>’</w:t>
      </w:r>
      <w:r w:rsidRPr="004F7EE8">
        <w:rPr>
          <w:i/>
          <w:lang w:val="fr-FR"/>
        </w:rPr>
        <w:t xml:space="preserve">OMPI, </w:t>
      </w:r>
      <w:r w:rsidR="000618AA" w:rsidRPr="004F7EE8">
        <w:rPr>
          <w:i/>
          <w:lang w:val="fr-FR"/>
        </w:rPr>
        <w:t>y compris</w:t>
      </w:r>
      <w:r w:rsidRPr="004F7EE8">
        <w:rPr>
          <w:i/>
          <w:lang w:val="fr-FR"/>
        </w:rPr>
        <w:t xml:space="preserve"> les noms de domaine” (document WO/GA/48/12).</w:t>
      </w:r>
    </w:p>
    <w:p w:rsidR="00994782" w:rsidRPr="003159C5" w:rsidRDefault="00994782" w:rsidP="006D570C">
      <w:pPr>
        <w:pStyle w:val="DecisionInvitingPara"/>
        <w:spacing w:after="0" w:line="240" w:lineRule="auto"/>
        <w:ind w:left="5533"/>
        <w:rPr>
          <w:i w:val="0"/>
          <w:sz w:val="22"/>
          <w:szCs w:val="22"/>
          <w:lang w:val="fr-FR"/>
        </w:rPr>
      </w:pPr>
    </w:p>
    <w:p w:rsidR="00994782" w:rsidRPr="003159C5" w:rsidRDefault="00994782" w:rsidP="006D570C">
      <w:pPr>
        <w:pStyle w:val="DecisionInvitingPara"/>
        <w:spacing w:after="0" w:line="240" w:lineRule="auto"/>
        <w:ind w:left="5533"/>
        <w:rPr>
          <w:i w:val="0"/>
          <w:sz w:val="22"/>
          <w:szCs w:val="22"/>
          <w:lang w:val="fr-FR"/>
        </w:rPr>
      </w:pPr>
    </w:p>
    <w:p w:rsidR="00E965AC" w:rsidRPr="003159C5" w:rsidRDefault="00B21BB1" w:rsidP="006D570C">
      <w:pPr>
        <w:ind w:left="5533"/>
        <w:rPr>
          <w:lang w:val="fr-FR"/>
        </w:rPr>
      </w:pPr>
      <w:r w:rsidRPr="003159C5">
        <w:rPr>
          <w:lang w:val="fr-FR"/>
        </w:rPr>
        <w:t>[Fin du document]</w:t>
      </w:r>
    </w:p>
    <w:sectPr w:rsidR="00E965AC" w:rsidRPr="003159C5" w:rsidSect="000618AA">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E47" w:rsidRDefault="005F0E47">
      <w:r>
        <w:separator/>
      </w:r>
    </w:p>
  </w:endnote>
  <w:endnote w:type="continuationSeparator" w:id="0">
    <w:p w:rsidR="005F0E47" w:rsidRDefault="005F0E47" w:rsidP="003B38C1">
      <w:r>
        <w:separator/>
      </w:r>
    </w:p>
    <w:p w:rsidR="005F0E47" w:rsidRPr="003B38C1" w:rsidRDefault="005F0E47" w:rsidP="003B38C1">
      <w:pPr>
        <w:spacing w:after="60"/>
        <w:rPr>
          <w:sz w:val="17"/>
        </w:rPr>
      </w:pPr>
      <w:r>
        <w:rPr>
          <w:sz w:val="17"/>
        </w:rPr>
        <w:t>[Endnote continued from previous page]</w:t>
      </w:r>
    </w:p>
  </w:endnote>
  <w:endnote w:type="continuationNotice" w:id="1">
    <w:p w:rsidR="005F0E47" w:rsidRPr="003B38C1" w:rsidRDefault="005F0E4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E47" w:rsidRDefault="005F0E47">
      <w:r>
        <w:separator/>
      </w:r>
    </w:p>
  </w:footnote>
  <w:footnote w:type="continuationSeparator" w:id="0">
    <w:p w:rsidR="005F0E47" w:rsidRDefault="005F0E47" w:rsidP="008B60B2">
      <w:r>
        <w:separator/>
      </w:r>
    </w:p>
    <w:p w:rsidR="005F0E47" w:rsidRPr="00ED77FB" w:rsidRDefault="005F0E47" w:rsidP="008B60B2">
      <w:pPr>
        <w:spacing w:after="60"/>
        <w:rPr>
          <w:sz w:val="17"/>
          <w:szCs w:val="17"/>
        </w:rPr>
      </w:pPr>
      <w:r w:rsidRPr="00ED77FB">
        <w:rPr>
          <w:sz w:val="17"/>
          <w:szCs w:val="17"/>
        </w:rPr>
        <w:t>[Footnote continued from previous page]</w:t>
      </w:r>
    </w:p>
  </w:footnote>
  <w:footnote w:type="continuationNotice" w:id="1">
    <w:p w:rsidR="005F0E47" w:rsidRPr="00ED77FB" w:rsidRDefault="005F0E47" w:rsidP="008B60B2">
      <w:pPr>
        <w:spacing w:before="60"/>
        <w:jc w:val="right"/>
        <w:rPr>
          <w:sz w:val="17"/>
          <w:szCs w:val="17"/>
        </w:rPr>
      </w:pPr>
      <w:r w:rsidRPr="00ED77FB">
        <w:rPr>
          <w:sz w:val="17"/>
          <w:szCs w:val="17"/>
        </w:rPr>
        <w:t>[Footnote continued on next page]</w:t>
      </w:r>
    </w:p>
  </w:footnote>
  <w:footnote w:id="2">
    <w:p w:rsidR="005F0E47" w:rsidRPr="009B7BAC" w:rsidRDefault="005F0E47" w:rsidP="006D570C">
      <w:pPr>
        <w:pStyle w:val="FootnoteText"/>
        <w:rPr>
          <w:lang w:val="fr-FR"/>
        </w:rPr>
      </w:pPr>
      <w:r w:rsidRPr="009B7BAC">
        <w:rPr>
          <w:rStyle w:val="FootnoteReference"/>
          <w:lang w:val="fr-FR"/>
        </w:rPr>
        <w:footnoteRef/>
      </w:r>
      <w:r w:rsidR="00C9393A" w:rsidRPr="009B7BAC">
        <w:rPr>
          <w:lang w:val="fr-FR"/>
        </w:rPr>
        <w:t xml:space="preserve"> </w:t>
      </w:r>
      <w:r w:rsidR="00C9393A" w:rsidRPr="009B7BAC">
        <w:rPr>
          <w:lang w:val="fr-FR"/>
        </w:rPr>
        <w:tab/>
      </w:r>
      <w:r w:rsidRPr="009B7BAC">
        <w:rPr>
          <w:lang w:val="fr-FR"/>
        </w:rPr>
        <w:t>Voir http://www</w:t>
      </w:r>
      <w:r w:rsidR="00C9393A" w:rsidRPr="009B7BAC">
        <w:rPr>
          <w:lang w:val="fr-FR"/>
        </w:rPr>
        <w:t>.wipo.int/edocs/mdocs/govbody/fr</w:t>
      </w:r>
      <w:r w:rsidRPr="009B7BAC">
        <w:rPr>
          <w:lang w:val="fr-FR"/>
        </w:rPr>
        <w:t>/wo_ga_47/wo_ga_47_14.pdf.</w:t>
      </w:r>
    </w:p>
  </w:footnote>
  <w:footnote w:id="3">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La liste des ateliers et autres manifestations organisés par le Centre figure à l</w:t>
      </w:r>
      <w:r w:rsidR="00C9393A" w:rsidRPr="009B7BAC">
        <w:rPr>
          <w:lang w:val="fr-FR"/>
        </w:rPr>
        <w:t>’</w:t>
      </w:r>
      <w:r w:rsidRPr="009B7BAC">
        <w:rPr>
          <w:lang w:val="fr-FR"/>
        </w:rPr>
        <w:t>adresse http://www.wipo.int/amc/</w:t>
      </w:r>
      <w:r w:rsidR="004F7EE8" w:rsidRPr="009B7BAC">
        <w:rPr>
          <w:lang w:val="fr-FR"/>
        </w:rPr>
        <w:t>fr</w:t>
      </w:r>
      <w:r w:rsidRPr="009B7BAC">
        <w:rPr>
          <w:lang w:val="fr-FR"/>
        </w:rPr>
        <w:t>/events.</w:t>
      </w:r>
    </w:p>
  </w:footnote>
  <w:footnote w:id="4">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Le système ECAF permet la communication et le stockage en ligne des documents, ce qui rend les procédures d</w:t>
      </w:r>
      <w:r w:rsidR="00C9393A" w:rsidRPr="009B7BAC">
        <w:rPr>
          <w:lang w:val="fr-FR"/>
        </w:rPr>
        <w:t>’</w:t>
      </w:r>
      <w:r w:rsidRPr="009B7BAC">
        <w:rPr>
          <w:lang w:val="fr-FR"/>
        </w:rPr>
        <w:t>arbitrage et de médiation plus rapides et plus économiques.</w:t>
      </w:r>
      <w:r w:rsidR="00D7499F" w:rsidRPr="009B7BAC">
        <w:rPr>
          <w:lang w:val="fr-FR"/>
        </w:rPr>
        <w:t xml:space="preserve"> </w:t>
      </w:r>
      <w:r w:rsidRPr="009B7BAC">
        <w:rPr>
          <w:lang w:val="fr-FR"/>
        </w:rPr>
        <w:t xml:space="preserve"> Voir http://www.wipo.int/amc/fr/ecaf/index.html.</w:t>
      </w:r>
    </w:p>
  </w:footnote>
  <w:footnote w:id="5">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 xml:space="preserve">Voir le nouvel article 4 du Règlement de </w:t>
      </w:r>
      <w:r w:rsidR="00A33390" w:rsidRPr="009B7BAC">
        <w:rPr>
          <w:lang w:val="fr-FR"/>
        </w:rPr>
        <w:t>m</w:t>
      </w:r>
      <w:r w:rsidRPr="009B7BAC">
        <w:rPr>
          <w:lang w:val="fr-FR"/>
        </w:rPr>
        <w:t>édiation de l</w:t>
      </w:r>
      <w:r w:rsidR="00C9393A" w:rsidRPr="009B7BAC">
        <w:rPr>
          <w:lang w:val="fr-FR"/>
        </w:rPr>
        <w:t>’</w:t>
      </w:r>
      <w:r w:rsidRPr="009B7BAC">
        <w:rPr>
          <w:lang w:val="fr-FR"/>
        </w:rPr>
        <w:t>OMPI, à l</w:t>
      </w:r>
      <w:r w:rsidR="00C9393A" w:rsidRPr="009B7BAC">
        <w:rPr>
          <w:lang w:val="fr-FR"/>
        </w:rPr>
        <w:t>’</w:t>
      </w:r>
      <w:r w:rsidRPr="009B7BAC">
        <w:rPr>
          <w:lang w:val="fr-FR"/>
        </w:rPr>
        <w:t>adresse http://www.wipo.int/amc/en/rules/.  Une option similaire existe dans le nouvel article</w:t>
      </w:r>
      <w:r w:rsidR="00D7499F" w:rsidRPr="009B7BAC">
        <w:rPr>
          <w:lang w:val="fr-FR"/>
        </w:rPr>
        <w:t> </w:t>
      </w:r>
      <w:r w:rsidRPr="009B7BAC">
        <w:rPr>
          <w:lang w:val="fr-FR"/>
        </w:rPr>
        <w:t>6 du Règlement de la procédure d</w:t>
      </w:r>
      <w:r w:rsidR="00C9393A" w:rsidRPr="009B7BAC">
        <w:rPr>
          <w:lang w:val="fr-FR"/>
        </w:rPr>
        <w:t>’</w:t>
      </w:r>
      <w:r w:rsidRPr="009B7BAC">
        <w:rPr>
          <w:lang w:val="fr-FR"/>
        </w:rPr>
        <w:t>expertise de l</w:t>
      </w:r>
      <w:r w:rsidR="00C9393A" w:rsidRPr="009B7BAC">
        <w:rPr>
          <w:lang w:val="fr-FR"/>
        </w:rPr>
        <w:t>’</w:t>
      </w:r>
      <w:r w:rsidRPr="009B7BAC">
        <w:rPr>
          <w:lang w:val="fr-FR"/>
        </w:rPr>
        <w:t xml:space="preserve">OMPI.  </w:t>
      </w:r>
    </w:p>
  </w:footnote>
  <w:footnote w:id="6">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r>
      <w:r w:rsidR="008B79FB" w:rsidRPr="009B7BAC">
        <w:rPr>
          <w:lang w:val="fr-FR"/>
        </w:rPr>
        <w:t>Voir</w:t>
      </w:r>
      <w:r w:rsidRPr="009B7BAC">
        <w:rPr>
          <w:lang w:val="fr-FR"/>
        </w:rPr>
        <w:t xml:space="preserve"> http://www.wipo.int/amc</w:t>
      </w:r>
      <w:r w:rsidR="00C9393A" w:rsidRPr="009B7BAC">
        <w:rPr>
          <w:lang w:val="fr-FR"/>
        </w:rPr>
        <w:t>-</w:t>
      </w:r>
      <w:r w:rsidRPr="009B7BAC">
        <w:rPr>
          <w:lang w:val="fr-FR"/>
        </w:rPr>
        <w:t>apps/clause</w:t>
      </w:r>
      <w:r w:rsidR="00C9393A" w:rsidRPr="009B7BAC">
        <w:rPr>
          <w:lang w:val="fr-FR"/>
        </w:rPr>
        <w:t>-</w:t>
      </w:r>
      <w:r w:rsidRPr="009B7BAC">
        <w:rPr>
          <w:lang w:val="fr-FR"/>
        </w:rPr>
        <w:t xml:space="preserve">generator/. </w:t>
      </w:r>
      <w:r w:rsidR="00D7499F" w:rsidRPr="009B7BAC">
        <w:rPr>
          <w:lang w:val="fr-FR"/>
        </w:rPr>
        <w:t xml:space="preserve"> </w:t>
      </w:r>
    </w:p>
  </w:footnote>
  <w:footnote w:id="7">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Voir http://www.wipo.int/amc/en/center/specific</w:t>
      </w:r>
      <w:r w:rsidR="00C9393A" w:rsidRPr="009B7BAC">
        <w:rPr>
          <w:lang w:val="fr-FR"/>
        </w:rPr>
        <w:t>-</w:t>
      </w:r>
      <w:r w:rsidRPr="009B7BAC">
        <w:rPr>
          <w:lang w:val="fr-FR"/>
        </w:rPr>
        <w:t xml:space="preserve">sectors/ipos/. </w:t>
      </w:r>
      <w:r w:rsidR="00D7499F" w:rsidRPr="009B7BAC">
        <w:rPr>
          <w:lang w:val="fr-FR"/>
        </w:rPr>
        <w:t xml:space="preserve"> </w:t>
      </w:r>
    </w:p>
  </w:footnote>
  <w:footnote w:id="8">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Le guide est disponible à l</w:t>
      </w:r>
      <w:r w:rsidR="00C9393A" w:rsidRPr="009B7BAC">
        <w:rPr>
          <w:lang w:val="fr-FR"/>
        </w:rPr>
        <w:t>’</w:t>
      </w:r>
      <w:r w:rsidRPr="009B7BAC">
        <w:rPr>
          <w:lang w:val="fr-FR"/>
        </w:rPr>
        <w:t xml:space="preserve">adresse http://www.wipo.int/export/sites/www/amc/en/docs/adrguidejuly2015.pdf. </w:t>
      </w:r>
      <w:r w:rsidR="00D7499F" w:rsidRPr="009B7BAC">
        <w:rPr>
          <w:lang w:val="fr-FR"/>
        </w:rPr>
        <w:t xml:space="preserve"> </w:t>
      </w:r>
    </w:p>
  </w:footnote>
  <w:footnote w:id="9">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Voir http://www.wipo.int/amc/en/center/specific</w:t>
      </w:r>
      <w:r w:rsidR="00C9393A" w:rsidRPr="009B7BAC">
        <w:rPr>
          <w:lang w:val="fr-FR"/>
        </w:rPr>
        <w:t>-</w:t>
      </w:r>
      <w:r w:rsidRPr="009B7BAC">
        <w:rPr>
          <w:lang w:val="fr-FR"/>
        </w:rPr>
        <w:t>sectors/ict/frand/.</w:t>
      </w:r>
    </w:p>
  </w:footnote>
  <w:footnote w:id="10">
    <w:p w:rsidR="005F0E47" w:rsidRPr="009B7BAC" w:rsidRDefault="005F0E47" w:rsidP="006D570C">
      <w:pPr>
        <w:pStyle w:val="FootnoteText"/>
        <w:rPr>
          <w:lang w:val="fr-FR"/>
        </w:rPr>
      </w:pPr>
      <w:r w:rsidRPr="009B7BAC">
        <w:rPr>
          <w:rStyle w:val="FootnoteReference"/>
          <w:lang w:val="fr-FR"/>
        </w:rPr>
        <w:footnoteRef/>
      </w:r>
      <w:r w:rsidR="004F7EE8" w:rsidRPr="009B7BAC">
        <w:rPr>
          <w:lang w:val="fr-FR"/>
        </w:rPr>
        <w:t xml:space="preserve"> </w:t>
      </w:r>
      <w:r w:rsidR="004F7EE8" w:rsidRPr="009B7BAC">
        <w:rPr>
          <w:lang w:val="fr-FR"/>
        </w:rPr>
        <w:tab/>
        <w:t>Deux </w:t>
      </w:r>
      <w:r w:rsidRPr="009B7BAC">
        <w:rPr>
          <w:lang w:val="fr-FR"/>
        </w:rPr>
        <w:t>modèles différents sont proposés</w:t>
      </w:r>
      <w:r w:rsidR="00D7499F" w:rsidRPr="009B7BAC">
        <w:rPr>
          <w:lang w:val="fr-FR"/>
        </w:rPr>
        <w:t> </w:t>
      </w:r>
      <w:r w:rsidRPr="009B7BAC">
        <w:rPr>
          <w:lang w:val="fr-FR"/>
        </w:rPr>
        <w:t>: i)</w:t>
      </w:r>
      <w:r w:rsidR="00D7499F" w:rsidRPr="009B7BAC">
        <w:rPr>
          <w:lang w:val="fr-FR"/>
        </w:rPr>
        <w:t> </w:t>
      </w:r>
      <w:r w:rsidRPr="009B7BAC">
        <w:rPr>
          <w:lang w:val="fr-FR"/>
        </w:rPr>
        <w:t>l</w:t>
      </w:r>
      <w:r w:rsidR="00C9393A" w:rsidRPr="009B7BAC">
        <w:rPr>
          <w:lang w:val="fr-FR"/>
        </w:rPr>
        <w:t>’</w:t>
      </w:r>
      <w:r w:rsidRPr="009B7BAC">
        <w:rPr>
          <w:lang w:val="fr-FR"/>
        </w:rPr>
        <w:t>arbitrage OMPI FRAND et</w:t>
      </w:r>
      <w:r w:rsidR="004F7EE8" w:rsidRPr="009B7BAC">
        <w:rPr>
          <w:lang w:val="fr-FR"/>
        </w:rPr>
        <w:t> </w:t>
      </w:r>
      <w:r w:rsidRPr="009B7BAC">
        <w:rPr>
          <w:lang w:val="fr-FR"/>
        </w:rPr>
        <w:t>ii), pour des cas moins complexes, notamment lorsque le nombre de brevets essentiels pour la norme soumis à arbitrage est limité, l</w:t>
      </w:r>
      <w:r w:rsidR="00C9393A" w:rsidRPr="009B7BAC">
        <w:rPr>
          <w:lang w:val="fr-FR"/>
        </w:rPr>
        <w:t>’</w:t>
      </w:r>
      <w:r w:rsidRPr="009B7BAC">
        <w:rPr>
          <w:lang w:val="fr-FR"/>
        </w:rPr>
        <w:t>arbitrage accéléré OMPI FRAND.  Ces deux</w:t>
      </w:r>
      <w:r w:rsidR="00D7499F" w:rsidRPr="009B7BAC">
        <w:rPr>
          <w:lang w:val="fr-FR"/>
        </w:rPr>
        <w:t> </w:t>
      </w:r>
      <w:r w:rsidRPr="009B7BAC">
        <w:rPr>
          <w:lang w:val="fr-FR"/>
        </w:rPr>
        <w:t>procédures peuvent être précédées de la médiation de l</w:t>
      </w:r>
      <w:r w:rsidR="00C9393A" w:rsidRPr="009B7BAC">
        <w:rPr>
          <w:lang w:val="fr-FR"/>
        </w:rPr>
        <w:t>’</w:t>
      </w:r>
      <w:r w:rsidRPr="009B7BAC">
        <w:rPr>
          <w:lang w:val="fr-FR"/>
        </w:rPr>
        <w:t xml:space="preserve">OMPI.  </w:t>
      </w:r>
    </w:p>
  </w:footnote>
  <w:footnote w:id="11">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On peut citer notamment les collaborations multipartites financées par le programme de financement de la recherche de l</w:t>
      </w:r>
      <w:r w:rsidR="00C9393A" w:rsidRPr="009B7BAC">
        <w:rPr>
          <w:lang w:val="fr-FR"/>
        </w:rPr>
        <w:t>’</w:t>
      </w:r>
      <w:r w:rsidRPr="009B7BAC">
        <w:rPr>
          <w:lang w:val="fr-FR"/>
        </w:rPr>
        <w:t>Union européenne</w:t>
      </w:r>
      <w:r w:rsidR="004F7EE8" w:rsidRPr="009B7BAC">
        <w:rPr>
          <w:lang w:val="fr-FR"/>
        </w:rPr>
        <w:t xml:space="preserve"> Horizon </w:t>
      </w:r>
      <w:r w:rsidRPr="009B7BAC">
        <w:rPr>
          <w:lang w:val="fr-FR"/>
        </w:rPr>
        <w:t>2020, dans le cadre desquelles les parties utilisent l</w:t>
      </w:r>
      <w:r w:rsidR="00C9393A" w:rsidRPr="009B7BAC">
        <w:rPr>
          <w:lang w:val="fr-FR"/>
        </w:rPr>
        <w:t>’</w:t>
      </w:r>
      <w:r w:rsidRPr="009B7BAC">
        <w:rPr>
          <w:lang w:val="fr-FR"/>
        </w:rPr>
        <w:t>a</w:t>
      </w:r>
      <w:r w:rsidR="004F7EE8" w:rsidRPr="009B7BAC">
        <w:rPr>
          <w:lang w:val="fr-FR"/>
        </w:rPr>
        <w:t>ccord type de consortium “DESCA </w:t>
      </w:r>
      <w:r w:rsidRPr="009B7BAC">
        <w:rPr>
          <w:lang w:val="fr-FR"/>
        </w:rPr>
        <w:t>2020”, qui préconise le recours aux procédures de médiation de l</w:t>
      </w:r>
      <w:r w:rsidR="00C9393A" w:rsidRPr="009B7BAC">
        <w:rPr>
          <w:lang w:val="fr-FR"/>
        </w:rPr>
        <w:t>’</w:t>
      </w:r>
      <w:r w:rsidRPr="009B7BAC">
        <w:rPr>
          <w:lang w:val="fr-FR"/>
        </w:rPr>
        <w:t>OMPI suivies, en l</w:t>
      </w:r>
      <w:r w:rsidR="00C9393A" w:rsidRPr="009B7BAC">
        <w:rPr>
          <w:lang w:val="fr-FR"/>
        </w:rPr>
        <w:t>’</w:t>
      </w:r>
      <w:r w:rsidRPr="009B7BAC">
        <w:rPr>
          <w:lang w:val="fr-FR"/>
        </w:rPr>
        <w:t>absence de règlement, de l</w:t>
      </w:r>
      <w:r w:rsidR="00C9393A" w:rsidRPr="009B7BAC">
        <w:rPr>
          <w:lang w:val="fr-FR"/>
        </w:rPr>
        <w:t>’</w:t>
      </w:r>
      <w:r w:rsidRPr="009B7BAC">
        <w:rPr>
          <w:lang w:val="fr-FR"/>
        </w:rPr>
        <w:t>arbitrage accéléré de l</w:t>
      </w:r>
      <w:r w:rsidR="00C9393A" w:rsidRPr="009B7BAC">
        <w:rPr>
          <w:lang w:val="fr-FR"/>
        </w:rPr>
        <w:t>’</w:t>
      </w:r>
      <w:r w:rsidRPr="009B7BAC">
        <w:rPr>
          <w:lang w:val="fr-FR"/>
        </w:rPr>
        <w:t>OMPI.  Voir http://www.desca</w:t>
      </w:r>
      <w:r w:rsidR="00C9393A" w:rsidRPr="009B7BAC">
        <w:rPr>
          <w:lang w:val="fr-FR"/>
        </w:rPr>
        <w:t>-</w:t>
      </w:r>
      <w:r w:rsidRPr="009B7BAC">
        <w:rPr>
          <w:lang w:val="fr-FR"/>
        </w:rPr>
        <w:t>2020.eu/.</w:t>
      </w:r>
    </w:p>
  </w:footnote>
  <w:footnote w:id="12">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Voir http://www.bmwi.de/English/Redaktion/Pdf/sample</w:t>
      </w:r>
      <w:r w:rsidR="00C9393A" w:rsidRPr="009B7BAC">
        <w:rPr>
          <w:lang w:val="fr-FR"/>
        </w:rPr>
        <w:t>-</w:t>
      </w:r>
      <w:r w:rsidRPr="009B7BAC">
        <w:rPr>
          <w:lang w:val="fr-FR"/>
        </w:rPr>
        <w:t>agreements</w:t>
      </w:r>
      <w:r w:rsidR="00C9393A" w:rsidRPr="009B7BAC">
        <w:rPr>
          <w:lang w:val="fr-FR"/>
        </w:rPr>
        <w:t>-</w:t>
      </w:r>
      <w:r w:rsidRPr="009B7BAC">
        <w:rPr>
          <w:lang w:val="fr-FR"/>
        </w:rPr>
        <w:t>for</w:t>
      </w:r>
      <w:r w:rsidR="00C9393A" w:rsidRPr="009B7BAC">
        <w:rPr>
          <w:lang w:val="fr-FR"/>
        </w:rPr>
        <w:t>-</w:t>
      </w:r>
      <w:r w:rsidRPr="009B7BAC">
        <w:rPr>
          <w:lang w:val="fr-FR"/>
        </w:rPr>
        <w:t>research</w:t>
      </w:r>
      <w:r w:rsidR="00C9393A" w:rsidRPr="009B7BAC">
        <w:rPr>
          <w:lang w:val="fr-FR"/>
        </w:rPr>
        <w:t>-</w:t>
      </w:r>
      <w:r w:rsidRPr="009B7BAC">
        <w:rPr>
          <w:lang w:val="fr-FR"/>
        </w:rPr>
        <w:t>and</w:t>
      </w:r>
      <w:r w:rsidR="00C9393A" w:rsidRPr="009B7BAC">
        <w:rPr>
          <w:lang w:val="fr-FR"/>
        </w:rPr>
        <w:t>-</w:t>
      </w:r>
      <w:r w:rsidRPr="009B7BAC">
        <w:rPr>
          <w:lang w:val="fr-FR"/>
        </w:rPr>
        <w:t>development</w:t>
      </w:r>
      <w:r w:rsidR="00C9393A" w:rsidRPr="009B7BAC">
        <w:rPr>
          <w:lang w:val="fr-FR"/>
        </w:rPr>
        <w:t>-</w:t>
      </w:r>
      <w:r w:rsidRPr="009B7BAC">
        <w:rPr>
          <w:lang w:val="fr-FR"/>
        </w:rPr>
        <w:t>cooperation,property=pdf,bereich=bmwi,sprache=en,rwb=true.pdf.</w:t>
      </w:r>
    </w:p>
  </w:footnote>
  <w:footnote w:id="13">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Voir http://www.wipo.int/amc/en/center/specific</w:t>
      </w:r>
      <w:r w:rsidR="00C9393A" w:rsidRPr="009B7BAC">
        <w:rPr>
          <w:lang w:val="fr-FR"/>
        </w:rPr>
        <w:t>-</w:t>
      </w:r>
      <w:r w:rsidRPr="009B7BAC">
        <w:rPr>
          <w:lang w:val="fr-FR"/>
        </w:rPr>
        <w:t xml:space="preserve">sectors/rd/ipag/.  </w:t>
      </w:r>
    </w:p>
  </w:footnote>
  <w:footnote w:id="14">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Les accords types sont disponibles à l</w:t>
      </w:r>
      <w:r w:rsidR="00C9393A" w:rsidRPr="009B7BAC">
        <w:rPr>
          <w:lang w:val="fr-FR"/>
        </w:rPr>
        <w:t>’</w:t>
      </w:r>
      <w:r w:rsidRPr="009B7BAC">
        <w:rPr>
          <w:lang w:val="fr-FR"/>
        </w:rPr>
        <w:t>adresse http://www.oepm.es/es/propiedad_industrial/transferencia_de_tecnologia/Modelos_de_Contratos/index.html.</w:t>
      </w:r>
    </w:p>
  </w:footnote>
  <w:footnote w:id="15">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Voir http://www.wipo.int/amc/en/center/specific</w:t>
      </w:r>
      <w:r w:rsidR="00C9393A" w:rsidRPr="009B7BAC">
        <w:rPr>
          <w:lang w:val="fr-FR"/>
        </w:rPr>
        <w:t>-</w:t>
      </w:r>
      <w:r w:rsidRPr="009B7BAC">
        <w:rPr>
          <w:lang w:val="fr-FR"/>
        </w:rPr>
        <w:t>sectors/franchising/.</w:t>
      </w:r>
    </w:p>
  </w:footnote>
  <w:footnote w:id="16">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r>
      <w:r w:rsidR="001D7CB8" w:rsidRPr="009B7BAC">
        <w:rPr>
          <w:lang w:val="fr-FR"/>
        </w:rPr>
        <w:t>Voir</w:t>
      </w:r>
      <w:r w:rsidRPr="009B7BAC">
        <w:rPr>
          <w:lang w:val="fr-FR"/>
        </w:rPr>
        <w:t xml:space="preserve"> http://www.wipo.int/amc/</w:t>
      </w:r>
      <w:r w:rsidR="004F7EE8" w:rsidRPr="009B7BAC">
        <w:rPr>
          <w:lang w:val="fr-FR"/>
        </w:rPr>
        <w:t>fr</w:t>
      </w:r>
      <w:r w:rsidRPr="009B7BAC">
        <w:rPr>
          <w:lang w:val="fr-FR"/>
        </w:rPr>
        <w:t xml:space="preserve">/film/. </w:t>
      </w:r>
      <w:r w:rsidR="00D7499F" w:rsidRPr="009B7BAC">
        <w:rPr>
          <w:lang w:val="fr-FR"/>
        </w:rPr>
        <w:t xml:space="preserve"> </w:t>
      </w:r>
    </w:p>
  </w:footnote>
  <w:footnote w:id="17">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La gestion des noms et adresses de l</w:t>
      </w:r>
      <w:r w:rsidR="00C9393A" w:rsidRPr="009B7BAC">
        <w:rPr>
          <w:lang w:val="fr-FR"/>
        </w:rPr>
        <w:t>’</w:t>
      </w:r>
      <w:r w:rsidRPr="009B7BAC">
        <w:rPr>
          <w:lang w:val="fr-FR"/>
        </w:rPr>
        <w:t>Internet – questions de propriété intellectuelle – rapport final concernant le premier processus de consultations de l</w:t>
      </w:r>
      <w:r w:rsidR="00C9393A" w:rsidRPr="009B7BAC">
        <w:rPr>
          <w:lang w:val="fr-FR"/>
        </w:rPr>
        <w:t>’</w:t>
      </w:r>
      <w:r w:rsidRPr="009B7BAC">
        <w:rPr>
          <w:lang w:val="fr-FR"/>
        </w:rPr>
        <w:t>OMPI sur les noms de domaine, publication de l</w:t>
      </w:r>
      <w:r w:rsidR="00C9393A" w:rsidRPr="009B7BAC">
        <w:rPr>
          <w:lang w:val="fr-FR"/>
        </w:rPr>
        <w:t>’</w:t>
      </w:r>
      <w:r w:rsidRPr="009B7BAC">
        <w:rPr>
          <w:lang w:val="fr-FR"/>
        </w:rPr>
        <w:t>OMPI n°</w:t>
      </w:r>
      <w:r w:rsidR="00D7499F" w:rsidRPr="009B7BAC">
        <w:rPr>
          <w:lang w:val="fr-FR"/>
        </w:rPr>
        <w:t> </w:t>
      </w:r>
      <w:r w:rsidRPr="009B7BAC">
        <w:rPr>
          <w:lang w:val="fr-FR"/>
        </w:rPr>
        <w:t>439, également disponible à l</w:t>
      </w:r>
      <w:r w:rsidR="00C9393A" w:rsidRPr="009B7BAC">
        <w:rPr>
          <w:lang w:val="fr-FR"/>
        </w:rPr>
        <w:t>’</w:t>
      </w:r>
      <w:r w:rsidRPr="009B7BAC">
        <w:rPr>
          <w:lang w:val="fr-FR"/>
        </w:rPr>
        <w:t>adresse http://www.wipo.int/amc/fr/processes/process1/report.</w:t>
      </w:r>
    </w:p>
  </w:footnote>
  <w:footnote w:id="18">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La reconnaissance des droits et l</w:t>
      </w:r>
      <w:r w:rsidR="00C9393A" w:rsidRPr="009B7BAC">
        <w:rPr>
          <w:lang w:val="fr-FR"/>
        </w:rPr>
        <w:t>’</w:t>
      </w:r>
      <w:r w:rsidRPr="009B7BAC">
        <w:rPr>
          <w:lang w:val="fr-FR"/>
        </w:rPr>
        <w:t>utilisation des noms dans le système des noms de domaine de l</w:t>
      </w:r>
      <w:r w:rsidR="00C9393A" w:rsidRPr="009B7BAC">
        <w:rPr>
          <w:lang w:val="fr-FR"/>
        </w:rPr>
        <w:t>’</w:t>
      </w:r>
      <w:r w:rsidRPr="009B7BAC">
        <w:rPr>
          <w:lang w:val="fr-FR"/>
        </w:rPr>
        <w:t>Internet – rapport concernant le deuxième processus de consultations de l</w:t>
      </w:r>
      <w:r w:rsidR="00C9393A" w:rsidRPr="009B7BAC">
        <w:rPr>
          <w:lang w:val="fr-FR"/>
        </w:rPr>
        <w:t>’</w:t>
      </w:r>
      <w:r w:rsidRPr="009B7BAC">
        <w:rPr>
          <w:lang w:val="fr-FR"/>
        </w:rPr>
        <w:t>OMPI sur les noms de domaine de l</w:t>
      </w:r>
      <w:r w:rsidR="00C9393A" w:rsidRPr="009B7BAC">
        <w:rPr>
          <w:lang w:val="fr-FR"/>
        </w:rPr>
        <w:t>’</w:t>
      </w:r>
      <w:r w:rsidRPr="009B7BAC">
        <w:rPr>
          <w:lang w:val="fr-FR"/>
        </w:rPr>
        <w:t>Internet, publication de l</w:t>
      </w:r>
      <w:r w:rsidR="00C9393A" w:rsidRPr="009B7BAC">
        <w:rPr>
          <w:lang w:val="fr-FR"/>
        </w:rPr>
        <w:t>’</w:t>
      </w:r>
      <w:r w:rsidRPr="009B7BAC">
        <w:rPr>
          <w:lang w:val="fr-FR"/>
        </w:rPr>
        <w:t>OMPI n°</w:t>
      </w:r>
      <w:r w:rsidR="00D7499F" w:rsidRPr="009B7BAC">
        <w:rPr>
          <w:lang w:val="fr-FR"/>
        </w:rPr>
        <w:t> </w:t>
      </w:r>
      <w:r w:rsidRPr="009B7BAC">
        <w:rPr>
          <w:lang w:val="fr-FR"/>
        </w:rPr>
        <w:t>843, également disponible à l</w:t>
      </w:r>
      <w:r w:rsidR="00C9393A" w:rsidRPr="009B7BAC">
        <w:rPr>
          <w:lang w:val="fr-FR"/>
        </w:rPr>
        <w:t>’</w:t>
      </w:r>
      <w:r w:rsidRPr="009B7BAC">
        <w:rPr>
          <w:lang w:val="fr-FR"/>
        </w:rPr>
        <w:t>adresse http://www.wipo.int/amc/fr/processes/process2/report.</w:t>
      </w:r>
    </w:p>
  </w:footnote>
  <w:footnote w:id="19">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 xml:space="preserve">Les </w:t>
      </w:r>
      <w:r w:rsidR="006D570C" w:rsidRPr="009B7BAC">
        <w:rPr>
          <w:lang w:val="fr-FR"/>
        </w:rPr>
        <w:t>principes UDRP</w:t>
      </w:r>
      <w:r w:rsidRPr="009B7BAC">
        <w:rPr>
          <w:lang w:val="fr-FR"/>
        </w:rPr>
        <w:t xml:space="preserve"> ne préjugent pas du droit des parties de saisir un tribunal compétent, mais rares sont les litiges ayant fait l</w:t>
      </w:r>
      <w:r w:rsidR="00C9393A" w:rsidRPr="009B7BAC">
        <w:rPr>
          <w:lang w:val="fr-FR"/>
        </w:rPr>
        <w:t>’</w:t>
      </w:r>
      <w:r w:rsidRPr="009B7BAC">
        <w:rPr>
          <w:lang w:val="fr-FR"/>
        </w:rPr>
        <w:t>objet d</w:t>
      </w:r>
      <w:r w:rsidR="00C9393A" w:rsidRPr="009B7BAC">
        <w:rPr>
          <w:lang w:val="fr-FR"/>
        </w:rPr>
        <w:t>’</w:t>
      </w:r>
      <w:r w:rsidRPr="009B7BAC">
        <w:rPr>
          <w:lang w:val="fr-FR"/>
        </w:rPr>
        <w:t xml:space="preserve">un règlement au titre de ces principes qui ont également été portés devant un tribunal national.  Voir le Recueil de jurisprudence en rapport avec les </w:t>
      </w:r>
      <w:r w:rsidR="006D570C" w:rsidRPr="009B7BAC">
        <w:rPr>
          <w:lang w:val="fr-FR"/>
        </w:rPr>
        <w:t>principes UDRP</w:t>
      </w:r>
      <w:r w:rsidRPr="009B7BAC">
        <w:rPr>
          <w:lang w:val="fr-FR"/>
        </w:rPr>
        <w:t xml:space="preserve"> à l</w:t>
      </w:r>
      <w:r w:rsidR="00C9393A" w:rsidRPr="009B7BAC">
        <w:rPr>
          <w:lang w:val="fr-FR"/>
        </w:rPr>
        <w:t>’</w:t>
      </w:r>
      <w:r w:rsidRPr="009B7BAC">
        <w:rPr>
          <w:lang w:val="fr-FR"/>
        </w:rPr>
        <w:t>adresse suivante</w:t>
      </w:r>
      <w:r w:rsidR="00D7499F" w:rsidRPr="009B7BAC">
        <w:rPr>
          <w:lang w:val="fr-FR"/>
        </w:rPr>
        <w:t> </w:t>
      </w:r>
      <w:r w:rsidRPr="009B7BAC">
        <w:rPr>
          <w:lang w:val="fr-FR"/>
        </w:rPr>
        <w:t>: http://www.wipo.int/amc/fr/domains/challenged.</w:t>
      </w:r>
    </w:p>
  </w:footnote>
  <w:footnote w:id="20">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Le Centre publie en ligne des statistiques actualisées pour aider les parties à un litige, les experts, les conseils en marques, les détenteurs de noms de domaine enregistrés, les responsables des politiques applicables aux noms de domaine, les journalistes et les chercheurs.  Les statistiques disponibles englobent de nombreuses catégories, dont le domaine d</w:t>
      </w:r>
      <w:r w:rsidR="00C9393A" w:rsidRPr="009B7BAC">
        <w:rPr>
          <w:lang w:val="fr-FR"/>
        </w:rPr>
        <w:t>’</w:t>
      </w:r>
      <w:r w:rsidRPr="009B7BAC">
        <w:rPr>
          <w:lang w:val="fr-FR"/>
        </w:rPr>
        <w:t>activité du requérant, les caractères de rédaction du nom de domaine et les 2</w:t>
      </w:r>
      <w:r w:rsidR="003159C5" w:rsidRPr="009B7BAC">
        <w:rPr>
          <w:lang w:val="fr-FR"/>
        </w:rPr>
        <w:t>5 </w:t>
      </w:r>
      <w:r w:rsidRPr="009B7BAC">
        <w:rPr>
          <w:lang w:val="fr-FR"/>
        </w:rPr>
        <w:t xml:space="preserve">décisions les plus souvent citées dans les plaintes.  Voir http://www.wipo.int/amc/en/domains/statistics. </w:t>
      </w:r>
      <w:r w:rsidR="00D7499F" w:rsidRPr="009B7BAC">
        <w:rPr>
          <w:lang w:val="fr-FR"/>
        </w:rPr>
        <w:t xml:space="preserve"> </w:t>
      </w:r>
    </w:p>
  </w:footnote>
  <w:footnote w:id="21">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Par ordre alphabétique</w:t>
      </w:r>
      <w:r w:rsidR="00D7499F" w:rsidRPr="009B7BAC">
        <w:rPr>
          <w:lang w:val="fr-FR"/>
        </w:rPr>
        <w:t> </w:t>
      </w:r>
      <w:r w:rsidRPr="009B7BAC">
        <w:rPr>
          <w:lang w:val="fr-FR"/>
        </w:rPr>
        <w:t>: allemand, anglais, chinois, coréen, danois, espagnol, français, hébreu, italien, japonais, néerlandais, norvégien, polonais, portugais, roumain, russe, slovaque, suédois, tchèque, turc et vietnamien.</w:t>
      </w:r>
    </w:p>
  </w:footnote>
  <w:footnote w:id="22">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L</w:t>
      </w:r>
      <w:r w:rsidR="00C9393A" w:rsidRPr="009B7BAC">
        <w:rPr>
          <w:lang w:val="fr-FR"/>
        </w:rPr>
        <w:t>’</w:t>
      </w:r>
      <w:r w:rsidRPr="009B7BAC">
        <w:rPr>
          <w:lang w:val="fr-FR"/>
        </w:rPr>
        <w:t>aperçu est disponible à l</w:t>
      </w:r>
      <w:r w:rsidR="00C9393A" w:rsidRPr="009B7BAC">
        <w:rPr>
          <w:lang w:val="fr-FR"/>
        </w:rPr>
        <w:t>’</w:t>
      </w:r>
      <w:r w:rsidRPr="009B7BAC">
        <w:rPr>
          <w:lang w:val="fr-FR"/>
        </w:rPr>
        <w:t>adresse suivante</w:t>
      </w:r>
      <w:r w:rsidR="00D7499F" w:rsidRPr="009B7BAC">
        <w:rPr>
          <w:lang w:val="fr-FR"/>
        </w:rPr>
        <w:t> </w:t>
      </w:r>
      <w:r w:rsidRPr="009B7BAC">
        <w:rPr>
          <w:lang w:val="fr-FR"/>
        </w:rPr>
        <w:t>: http://www.wipo.int/amc/en/domains/search/overview2.0.</w:t>
      </w:r>
    </w:p>
  </w:footnote>
  <w:footnote w:id="23">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Cette ressource professionnelle est disponible à l</w:t>
      </w:r>
      <w:r w:rsidR="00C9393A" w:rsidRPr="009B7BAC">
        <w:rPr>
          <w:lang w:val="fr-FR"/>
        </w:rPr>
        <w:t>’</w:t>
      </w:r>
      <w:r w:rsidRPr="009B7BAC">
        <w:rPr>
          <w:lang w:val="fr-FR"/>
        </w:rPr>
        <w:t>adresse suivante</w:t>
      </w:r>
      <w:r w:rsidR="00D7499F" w:rsidRPr="009B7BAC">
        <w:rPr>
          <w:lang w:val="fr-FR"/>
        </w:rPr>
        <w:t> </w:t>
      </w:r>
      <w:r w:rsidRPr="009B7BAC">
        <w:rPr>
          <w:lang w:val="fr-FR"/>
        </w:rPr>
        <w:t>: http://www.wipo.int/cgi</w:t>
      </w:r>
      <w:r w:rsidR="00C9393A" w:rsidRPr="009B7BAC">
        <w:rPr>
          <w:lang w:val="fr-FR"/>
        </w:rPr>
        <w:t>-</w:t>
      </w:r>
      <w:r w:rsidRPr="009B7BAC">
        <w:rPr>
          <w:lang w:val="fr-FR"/>
        </w:rPr>
        <w:t>bin/domains/search/legalindex.</w:t>
      </w:r>
    </w:p>
  </w:footnote>
  <w:footnote w:id="24">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Voir les paragraphes</w:t>
      </w:r>
      <w:r w:rsidR="00D7499F" w:rsidRPr="009B7BAC">
        <w:rPr>
          <w:lang w:val="fr-FR"/>
        </w:rPr>
        <w:t> </w:t>
      </w:r>
      <w:r w:rsidRPr="009B7BAC">
        <w:rPr>
          <w:lang w:val="fr-FR"/>
        </w:rPr>
        <w:t>14 à</w:t>
      </w:r>
      <w:r w:rsidR="003159C5" w:rsidRPr="009B7BAC">
        <w:rPr>
          <w:lang w:val="fr-FR"/>
        </w:rPr>
        <w:t> </w:t>
      </w:r>
      <w:r w:rsidRPr="009B7BAC">
        <w:rPr>
          <w:lang w:val="fr-FR"/>
        </w:rPr>
        <w:t>16 du document WO/GA/41/17</w:t>
      </w:r>
      <w:r w:rsidR="00D7499F" w:rsidRPr="009B7BAC">
        <w:rPr>
          <w:lang w:val="fr-FR"/>
        </w:rPr>
        <w:t> </w:t>
      </w:r>
      <w:r w:rsidRPr="009B7BAC">
        <w:rPr>
          <w:lang w:val="fr-FR"/>
        </w:rPr>
        <w:t>Rev.2.  En</w:t>
      </w:r>
      <w:r w:rsidR="00D7499F" w:rsidRPr="009B7BAC">
        <w:rPr>
          <w:lang w:val="fr-FR"/>
        </w:rPr>
        <w:t> </w:t>
      </w:r>
      <w:r w:rsidRPr="009B7BAC">
        <w:rPr>
          <w:lang w:val="fr-FR"/>
        </w:rPr>
        <w:t>2015, Le Centre a mis en œuvre une nouvelle pratique consistant à “verrouiller” les noms de domaine pour prévenir leur transfert frauduleux pour se soustraire à une procédure UDRP.</w:t>
      </w:r>
    </w:p>
  </w:footnote>
  <w:footnote w:id="25">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Voir la note</w:t>
      </w:r>
      <w:r w:rsidR="00C805BC" w:rsidRPr="009B7BAC">
        <w:rPr>
          <w:lang w:val="fr-FR"/>
        </w:rPr>
        <w:t> </w:t>
      </w:r>
      <w:r w:rsidRPr="009B7BAC">
        <w:rPr>
          <w:lang w:val="fr-FR"/>
        </w:rPr>
        <w:t>2 ci</w:t>
      </w:r>
      <w:r w:rsidR="00C805BC" w:rsidRPr="009B7BAC">
        <w:rPr>
          <w:lang w:val="fr-FR"/>
        </w:rPr>
        <w:noBreakHyphen/>
      </w:r>
      <w:r w:rsidRPr="009B7BAC">
        <w:rPr>
          <w:lang w:val="fr-FR"/>
        </w:rPr>
        <w:t>dessus.</w:t>
      </w:r>
    </w:p>
  </w:footnote>
  <w:footnote w:id="26">
    <w:p w:rsidR="00E21124" w:rsidRPr="009B7BAC" w:rsidRDefault="00E21124" w:rsidP="00E21124">
      <w:pPr>
        <w:pStyle w:val="FootnoteText"/>
        <w:rPr>
          <w:lang w:val="fr-FR"/>
        </w:rPr>
      </w:pPr>
      <w:r w:rsidRPr="009B7BAC">
        <w:rPr>
          <w:rStyle w:val="FootnoteReference"/>
          <w:lang w:val="fr-FR"/>
        </w:rPr>
        <w:footnoteRef/>
      </w:r>
      <w:r w:rsidRPr="009B7BAC">
        <w:rPr>
          <w:lang w:val="fr-FR"/>
        </w:rPr>
        <w:t xml:space="preserve"> </w:t>
      </w:r>
      <w:r w:rsidRPr="009B7BAC">
        <w:rPr>
          <w:lang w:val="fr-FR"/>
        </w:rPr>
        <w:tab/>
        <w:t>La liste complète des ccTLD qui ont désigné le Centre comme prestataire de services de règlement des litiges relatifs aux noms de domaine est disponible à l’adresse suivante : http://www.wipo.int/amc/fr/domains/cctld.</w:t>
      </w:r>
    </w:p>
  </w:footnote>
  <w:footnote w:id="27">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Voir http://www.icann.org/fr/minutes/resolutions</w:t>
      </w:r>
      <w:r w:rsidR="00C9393A" w:rsidRPr="009B7BAC">
        <w:rPr>
          <w:lang w:val="fr-FR"/>
        </w:rPr>
        <w:t>-</w:t>
      </w:r>
      <w:r w:rsidRPr="009B7BAC">
        <w:rPr>
          <w:lang w:val="fr-FR"/>
        </w:rPr>
        <w:t>20jun11</w:t>
      </w:r>
      <w:r w:rsidR="00C9393A" w:rsidRPr="009B7BAC">
        <w:rPr>
          <w:lang w:val="fr-FR"/>
        </w:rPr>
        <w:t>-</w:t>
      </w:r>
      <w:r w:rsidRPr="009B7BAC">
        <w:rPr>
          <w:lang w:val="fr-FR"/>
        </w:rPr>
        <w:t>fr.htm.  Pour davantage d</w:t>
      </w:r>
      <w:r w:rsidR="00C9393A" w:rsidRPr="009B7BAC">
        <w:rPr>
          <w:lang w:val="fr-FR"/>
        </w:rPr>
        <w:t>’</w:t>
      </w:r>
      <w:r w:rsidRPr="009B7BAC">
        <w:rPr>
          <w:lang w:val="fr-FR"/>
        </w:rPr>
        <w:t xml:space="preserve">informations, </w:t>
      </w:r>
      <w:r w:rsidR="00C9393A" w:rsidRPr="009B7BAC">
        <w:rPr>
          <w:lang w:val="fr-FR"/>
        </w:rPr>
        <w:t>y compris</w:t>
      </w:r>
      <w:r w:rsidRPr="009B7BAC">
        <w:rPr>
          <w:lang w:val="fr-FR"/>
        </w:rPr>
        <w:t xml:space="preserve"> des références, voir le document WO/GA/39/10, en particulier le paragraphe</w:t>
      </w:r>
      <w:r w:rsidR="00D7499F" w:rsidRPr="009B7BAC">
        <w:rPr>
          <w:lang w:val="fr-FR"/>
        </w:rPr>
        <w:t> </w:t>
      </w:r>
      <w:r w:rsidRPr="009B7BAC">
        <w:rPr>
          <w:lang w:val="fr-FR"/>
        </w:rPr>
        <w:t>14.</w:t>
      </w:r>
    </w:p>
  </w:footnote>
  <w:footnote w:id="28">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La version actuelle du “Guide de candidature” de l</w:t>
      </w:r>
      <w:r w:rsidR="00C9393A" w:rsidRPr="009B7BAC">
        <w:rPr>
          <w:lang w:val="fr-FR"/>
        </w:rPr>
        <w:t>’</w:t>
      </w:r>
      <w:r w:rsidRPr="009B7BAC">
        <w:rPr>
          <w:lang w:val="fr-FR"/>
        </w:rPr>
        <w:t>ICANN est publiée à l</w:t>
      </w:r>
      <w:r w:rsidR="00C9393A" w:rsidRPr="009B7BAC">
        <w:rPr>
          <w:lang w:val="fr-FR"/>
        </w:rPr>
        <w:t>’</w:t>
      </w:r>
      <w:r w:rsidRPr="009B7BAC">
        <w:rPr>
          <w:lang w:val="fr-FR"/>
        </w:rPr>
        <w:t xml:space="preserve">adresse http://newgtlds.icann.org/en/applicants/agb. </w:t>
      </w:r>
      <w:r w:rsidR="00D7499F" w:rsidRPr="009B7BAC">
        <w:rPr>
          <w:lang w:val="fr-FR"/>
        </w:rPr>
        <w:t xml:space="preserve"> </w:t>
      </w:r>
    </w:p>
  </w:footnote>
  <w:footnote w:id="29">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La liste des nouveaux gTLD attribués figure à l</w:t>
      </w:r>
      <w:r w:rsidR="00C9393A" w:rsidRPr="009B7BAC">
        <w:rPr>
          <w:lang w:val="fr-FR"/>
        </w:rPr>
        <w:t>’</w:t>
      </w:r>
      <w:r w:rsidRPr="009B7BAC">
        <w:rPr>
          <w:lang w:val="fr-FR"/>
        </w:rPr>
        <w:t>adresse http://newgtlds.icann.org/en/program</w:t>
      </w:r>
      <w:r w:rsidR="00C9393A" w:rsidRPr="009B7BAC">
        <w:rPr>
          <w:lang w:val="fr-FR"/>
        </w:rPr>
        <w:t>-</w:t>
      </w:r>
      <w:r w:rsidRPr="009B7BAC">
        <w:rPr>
          <w:lang w:val="fr-FR"/>
        </w:rPr>
        <w:t>status/delegated</w:t>
      </w:r>
      <w:r w:rsidR="00C9393A" w:rsidRPr="009B7BAC">
        <w:rPr>
          <w:lang w:val="fr-FR"/>
        </w:rPr>
        <w:t>-</w:t>
      </w:r>
      <w:r w:rsidRPr="009B7BAC">
        <w:rPr>
          <w:lang w:val="fr-FR"/>
        </w:rPr>
        <w:t xml:space="preserve">strings.  </w:t>
      </w:r>
    </w:p>
  </w:footnote>
  <w:footnote w:id="30">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Pour de plus amples informations générales</w:t>
      </w:r>
      <w:r w:rsidR="00A33390" w:rsidRPr="009B7BAC">
        <w:rPr>
          <w:lang w:val="fr-FR"/>
        </w:rPr>
        <w:t>,</w:t>
      </w:r>
      <w:r w:rsidRPr="009B7BAC">
        <w:rPr>
          <w:lang w:val="fr-FR"/>
        </w:rPr>
        <w:t xml:space="preserve"> dont des références, voir le document WO/GA/39/10, en p</w:t>
      </w:r>
      <w:r w:rsidR="004F7EE8" w:rsidRPr="009B7BAC">
        <w:rPr>
          <w:lang w:val="fr-FR"/>
        </w:rPr>
        <w:t>articulier les paragraphes 23 à </w:t>
      </w:r>
      <w:r w:rsidRPr="009B7BAC">
        <w:rPr>
          <w:lang w:val="fr-FR"/>
        </w:rPr>
        <w:t>30.  Il est noté ici que l</w:t>
      </w:r>
      <w:r w:rsidR="00C9393A" w:rsidRPr="009B7BAC">
        <w:rPr>
          <w:lang w:val="fr-FR"/>
        </w:rPr>
        <w:t>’</w:t>
      </w:r>
      <w:r w:rsidRPr="009B7BAC">
        <w:rPr>
          <w:lang w:val="fr-FR"/>
        </w:rPr>
        <w:t>ICANN a rejeté une proposition portant création d</w:t>
      </w:r>
      <w:r w:rsidR="00C9393A" w:rsidRPr="009B7BAC">
        <w:rPr>
          <w:lang w:val="fr-FR"/>
        </w:rPr>
        <w:t>’</w:t>
      </w:r>
      <w:r w:rsidRPr="009B7BAC">
        <w:rPr>
          <w:lang w:val="fr-FR"/>
        </w:rPr>
        <w:t>une “Liste de marques mondialement protégées”.</w:t>
      </w:r>
    </w:p>
  </w:footnote>
  <w:footnote w:id="31">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Les autres motifs d</w:t>
      </w:r>
      <w:r w:rsidR="00C9393A" w:rsidRPr="009B7BAC">
        <w:rPr>
          <w:lang w:val="fr-FR"/>
        </w:rPr>
        <w:t>’</w:t>
      </w:r>
      <w:r w:rsidRPr="009B7BAC">
        <w:rPr>
          <w:lang w:val="fr-FR"/>
        </w:rPr>
        <w:t>objection reconnus par l</w:t>
      </w:r>
      <w:r w:rsidR="00C9393A" w:rsidRPr="009B7BAC">
        <w:rPr>
          <w:lang w:val="fr-FR"/>
        </w:rPr>
        <w:t>’</w:t>
      </w:r>
      <w:r w:rsidRPr="009B7BAC">
        <w:rPr>
          <w:lang w:val="fr-FR"/>
        </w:rPr>
        <w:t>ICANN étaient</w:t>
      </w:r>
      <w:r w:rsidR="00D7499F" w:rsidRPr="009B7BAC">
        <w:rPr>
          <w:lang w:val="fr-FR"/>
        </w:rPr>
        <w:t> </w:t>
      </w:r>
      <w:r w:rsidRPr="009B7BAC">
        <w:rPr>
          <w:lang w:val="fr-FR"/>
        </w:rPr>
        <w:t>: “objections relatives aux chaînes de caractères prêtant à confusion”, “objections à titre communautaire” et “objections limitées à titre d</w:t>
      </w:r>
      <w:r w:rsidR="00C9393A" w:rsidRPr="009B7BAC">
        <w:rPr>
          <w:lang w:val="fr-FR"/>
        </w:rPr>
        <w:t>’</w:t>
      </w:r>
      <w:r w:rsidRPr="009B7BAC">
        <w:rPr>
          <w:lang w:val="fr-FR"/>
        </w:rPr>
        <w:t>intérêt public”.  Le Guide de candidature prévoit par ailleurs plusieurs autres procédures dont peuvent se prévaloir les gouvernements suite à l</w:t>
      </w:r>
      <w:r w:rsidR="00C9393A" w:rsidRPr="009B7BAC">
        <w:rPr>
          <w:lang w:val="fr-FR"/>
        </w:rPr>
        <w:t>’</w:t>
      </w:r>
      <w:r w:rsidRPr="009B7BAC">
        <w:rPr>
          <w:lang w:val="fr-FR"/>
        </w:rPr>
        <w:t>annonce par l</w:t>
      </w:r>
      <w:r w:rsidR="00C9393A" w:rsidRPr="009B7BAC">
        <w:rPr>
          <w:lang w:val="fr-FR"/>
        </w:rPr>
        <w:t>’</w:t>
      </w:r>
      <w:r w:rsidRPr="009B7BAC">
        <w:rPr>
          <w:lang w:val="fr-FR"/>
        </w:rPr>
        <w:t>ICANN de nouvelles demandes de gTLD.  À cet égard, la section</w:t>
      </w:r>
      <w:r w:rsidR="00D7499F" w:rsidRPr="009B7BAC">
        <w:rPr>
          <w:lang w:val="fr-FR"/>
        </w:rPr>
        <w:t> </w:t>
      </w:r>
      <w:r w:rsidRPr="009B7BAC">
        <w:rPr>
          <w:lang w:val="fr-FR"/>
        </w:rPr>
        <w:t>1.1.2.4 prévoit l</w:t>
      </w:r>
      <w:r w:rsidR="00C9393A" w:rsidRPr="009B7BAC">
        <w:rPr>
          <w:lang w:val="fr-FR"/>
        </w:rPr>
        <w:t>’</w:t>
      </w:r>
      <w:r w:rsidRPr="009B7BAC">
        <w:rPr>
          <w:lang w:val="fr-FR"/>
        </w:rPr>
        <w:t>“Avertissement anticipé</w:t>
      </w:r>
      <w:r w:rsidR="00C9393A" w:rsidRPr="009B7BAC">
        <w:rPr>
          <w:lang w:val="fr-FR"/>
        </w:rPr>
        <w:t xml:space="preserve"> du GAC</w:t>
      </w:r>
      <w:r w:rsidRPr="009B7BAC">
        <w:rPr>
          <w:lang w:val="fr-FR"/>
        </w:rPr>
        <w:t>” et la section</w:t>
      </w:r>
      <w:r w:rsidR="00D7499F" w:rsidRPr="009B7BAC">
        <w:rPr>
          <w:lang w:val="fr-FR"/>
        </w:rPr>
        <w:t> </w:t>
      </w:r>
      <w:r w:rsidRPr="009B7BAC">
        <w:rPr>
          <w:lang w:val="fr-FR"/>
        </w:rPr>
        <w:t>1.1.2.7 la “Réception d</w:t>
      </w:r>
      <w:r w:rsidR="00C9393A" w:rsidRPr="009B7BAC">
        <w:rPr>
          <w:lang w:val="fr-FR"/>
        </w:rPr>
        <w:t>’</w:t>
      </w:r>
      <w:r w:rsidRPr="009B7BAC">
        <w:rPr>
          <w:lang w:val="fr-FR"/>
        </w:rPr>
        <w:t>avis</w:t>
      </w:r>
      <w:r w:rsidR="00C9393A" w:rsidRPr="009B7BAC">
        <w:rPr>
          <w:lang w:val="fr-FR"/>
        </w:rPr>
        <w:t xml:space="preserve"> du GAC</w:t>
      </w:r>
      <w:r w:rsidRPr="009B7BAC">
        <w:rPr>
          <w:lang w:val="fr-FR"/>
        </w:rPr>
        <w:t xml:space="preserve"> sur les nouveaux gTLD” pour examen du Conseil d</w:t>
      </w:r>
      <w:r w:rsidR="00C9393A" w:rsidRPr="009B7BAC">
        <w:rPr>
          <w:lang w:val="fr-FR"/>
        </w:rPr>
        <w:t>’</w:t>
      </w:r>
      <w:r w:rsidRPr="009B7BAC">
        <w:rPr>
          <w:lang w:val="fr-FR"/>
        </w:rPr>
        <w:t>administration de l</w:t>
      </w:r>
      <w:r w:rsidR="00C9393A" w:rsidRPr="009B7BAC">
        <w:rPr>
          <w:lang w:val="fr-FR"/>
        </w:rPr>
        <w:t>’</w:t>
      </w:r>
      <w:r w:rsidRPr="009B7BAC">
        <w:rPr>
          <w:lang w:val="fr-FR"/>
        </w:rPr>
        <w:t>ICANN.</w:t>
      </w:r>
    </w:p>
  </w:footnote>
  <w:footnote w:id="32">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Adoptée par l</w:t>
      </w:r>
      <w:r w:rsidR="00C9393A" w:rsidRPr="009B7BAC">
        <w:rPr>
          <w:lang w:val="fr-FR"/>
        </w:rPr>
        <w:t>’</w:t>
      </w:r>
      <w:r w:rsidRPr="009B7BAC">
        <w:rPr>
          <w:lang w:val="fr-FR"/>
        </w:rPr>
        <w:t>Assemblée générale de l</w:t>
      </w:r>
      <w:r w:rsidR="00C9393A" w:rsidRPr="009B7BAC">
        <w:rPr>
          <w:lang w:val="fr-FR"/>
        </w:rPr>
        <w:t>’</w:t>
      </w:r>
      <w:r w:rsidRPr="009B7BAC">
        <w:rPr>
          <w:lang w:val="fr-FR"/>
        </w:rPr>
        <w:t xml:space="preserve">OMPI en </w:t>
      </w:r>
      <w:r w:rsidR="00C9393A" w:rsidRPr="009B7BAC">
        <w:rPr>
          <w:lang w:val="fr-FR"/>
        </w:rPr>
        <w:t>septembre 20</w:t>
      </w:r>
      <w:r w:rsidRPr="009B7BAC">
        <w:rPr>
          <w:lang w:val="fr-FR"/>
        </w:rPr>
        <w:t>01;  voir http://www.wipo.int/aboutip/en/development_iplaw/pub845</w:t>
      </w:r>
      <w:r w:rsidR="00C9393A" w:rsidRPr="009B7BAC">
        <w:rPr>
          <w:lang w:val="fr-FR"/>
        </w:rPr>
        <w:t>-</w:t>
      </w:r>
      <w:r w:rsidRPr="009B7BAC">
        <w:rPr>
          <w:lang w:val="fr-FR"/>
        </w:rPr>
        <w:t>toc.htm.</w:t>
      </w:r>
    </w:p>
  </w:footnote>
  <w:footnote w:id="33">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Voir la section</w:t>
      </w:r>
      <w:r w:rsidR="00D7499F" w:rsidRPr="009B7BAC">
        <w:rPr>
          <w:lang w:val="fr-FR"/>
        </w:rPr>
        <w:t> </w:t>
      </w:r>
      <w:r w:rsidRPr="009B7BAC">
        <w:rPr>
          <w:lang w:val="fr-FR"/>
        </w:rPr>
        <w:t>3.2 du Guide de candidature gTLD de l</w:t>
      </w:r>
      <w:r w:rsidR="00C9393A" w:rsidRPr="009B7BAC">
        <w:rPr>
          <w:lang w:val="fr-FR"/>
        </w:rPr>
        <w:t>’</w:t>
      </w:r>
      <w:r w:rsidRPr="009B7BAC">
        <w:rPr>
          <w:lang w:val="fr-FR"/>
        </w:rPr>
        <w:t>ICANN à l</w:t>
      </w:r>
      <w:r w:rsidR="00C9393A" w:rsidRPr="009B7BAC">
        <w:rPr>
          <w:lang w:val="fr-FR"/>
        </w:rPr>
        <w:t>’</w:t>
      </w:r>
      <w:r w:rsidRPr="009B7BAC">
        <w:rPr>
          <w:lang w:val="fr-FR"/>
        </w:rPr>
        <w:t>adresse suivante</w:t>
      </w:r>
      <w:r w:rsidR="00D7499F" w:rsidRPr="009B7BAC">
        <w:rPr>
          <w:lang w:val="fr-FR"/>
        </w:rPr>
        <w:t> </w:t>
      </w:r>
      <w:r w:rsidRPr="009B7BAC">
        <w:rPr>
          <w:lang w:val="fr-FR"/>
        </w:rPr>
        <w:t>: http://newgtlds.icann.org/en/applicants/agb/objection</w:t>
      </w:r>
      <w:r w:rsidR="00C9393A" w:rsidRPr="009B7BAC">
        <w:rPr>
          <w:lang w:val="fr-FR"/>
        </w:rPr>
        <w:t>-</w:t>
      </w:r>
      <w:r w:rsidRPr="009B7BAC">
        <w:rPr>
          <w:lang w:val="fr-FR"/>
        </w:rPr>
        <w:t>procedures</w:t>
      </w:r>
      <w:r w:rsidR="00C9393A" w:rsidRPr="009B7BAC">
        <w:rPr>
          <w:lang w:val="fr-FR"/>
        </w:rPr>
        <w:t>-</w:t>
      </w:r>
      <w:r w:rsidRPr="009B7BAC">
        <w:rPr>
          <w:lang w:val="fr-FR"/>
        </w:rPr>
        <w:t>04jun12</w:t>
      </w:r>
      <w:r w:rsidR="00C9393A" w:rsidRPr="009B7BAC">
        <w:rPr>
          <w:lang w:val="fr-FR"/>
        </w:rPr>
        <w:t>-</w:t>
      </w:r>
      <w:r w:rsidRPr="009B7BAC">
        <w:rPr>
          <w:lang w:val="fr-FR"/>
        </w:rPr>
        <w:t>en.pdf.</w:t>
      </w:r>
    </w:p>
  </w:footnote>
  <w:footnote w:id="34">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Voir les règles de l</w:t>
      </w:r>
      <w:r w:rsidR="00C9393A" w:rsidRPr="009B7BAC">
        <w:rPr>
          <w:lang w:val="fr-FR"/>
        </w:rPr>
        <w:t>’</w:t>
      </w:r>
      <w:r w:rsidRPr="009B7BAC">
        <w:rPr>
          <w:lang w:val="fr-FR"/>
        </w:rPr>
        <w:t>OMPI concernant le règlement des litiges relatifs aux nouveaux gTLD et le barème des taxes, honoraires et frais, respectivement aux adresses suivantes</w:t>
      </w:r>
      <w:r w:rsidR="00D7499F" w:rsidRPr="009B7BAC">
        <w:rPr>
          <w:lang w:val="fr-FR"/>
        </w:rPr>
        <w:t> </w:t>
      </w:r>
      <w:r w:rsidRPr="009B7BAC">
        <w:rPr>
          <w:lang w:val="fr-FR"/>
        </w:rPr>
        <w:t>: http://www.wipo.int/amc/en/docs/wipolrorules.pdf et http://www.wipo.int/amc/en/domains/lro/fees/;  voir les cas d</w:t>
      </w:r>
      <w:r w:rsidR="00C9393A" w:rsidRPr="009B7BAC">
        <w:rPr>
          <w:lang w:val="fr-FR"/>
        </w:rPr>
        <w:t>’</w:t>
      </w:r>
      <w:r w:rsidRPr="009B7BAC">
        <w:rPr>
          <w:lang w:val="fr-FR"/>
        </w:rPr>
        <w:t>objections déposés à l</w:t>
      </w:r>
      <w:r w:rsidR="00C9393A" w:rsidRPr="009B7BAC">
        <w:rPr>
          <w:lang w:val="fr-FR"/>
        </w:rPr>
        <w:t>’</w:t>
      </w:r>
      <w:r w:rsidRPr="009B7BAC">
        <w:rPr>
          <w:lang w:val="fr-FR"/>
        </w:rPr>
        <w:t>OMPI à l</w:t>
      </w:r>
      <w:r w:rsidR="00C9393A" w:rsidRPr="009B7BAC">
        <w:rPr>
          <w:lang w:val="fr-FR"/>
        </w:rPr>
        <w:t>’</w:t>
      </w:r>
      <w:r w:rsidRPr="009B7BAC">
        <w:rPr>
          <w:lang w:val="fr-FR"/>
        </w:rPr>
        <w:t>adresse suivante</w:t>
      </w:r>
      <w:r w:rsidR="00D7499F" w:rsidRPr="009B7BAC">
        <w:rPr>
          <w:lang w:val="fr-FR"/>
        </w:rPr>
        <w:t> </w:t>
      </w:r>
      <w:r w:rsidRPr="009B7BAC">
        <w:rPr>
          <w:lang w:val="fr-FR"/>
        </w:rPr>
        <w:t xml:space="preserve">: http://www.wipo.int/amc/en/domains/lro/cases/. </w:t>
      </w:r>
      <w:r w:rsidR="00D7499F" w:rsidRPr="009B7BAC">
        <w:rPr>
          <w:lang w:val="fr-FR"/>
        </w:rPr>
        <w:t xml:space="preserve"> </w:t>
      </w:r>
    </w:p>
  </w:footnote>
  <w:footnote w:id="35">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 xml:space="preserve">Voir http://www.wipo.int/amc/en/domains/lro/cases/. </w:t>
      </w:r>
      <w:r w:rsidR="00D7499F" w:rsidRPr="009B7BAC">
        <w:rPr>
          <w:lang w:val="fr-FR"/>
        </w:rPr>
        <w:t xml:space="preserve"> </w:t>
      </w:r>
    </w:p>
  </w:footnote>
  <w:footnote w:id="36">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Le rapport de l</w:t>
      </w:r>
      <w:r w:rsidR="00C9393A" w:rsidRPr="009B7BAC">
        <w:rPr>
          <w:lang w:val="fr-FR"/>
        </w:rPr>
        <w:t>’</w:t>
      </w:r>
      <w:r w:rsidRPr="009B7BAC">
        <w:rPr>
          <w:lang w:val="fr-FR"/>
        </w:rPr>
        <w:t>OMPI sur les objections pour atteinte aux droits note qu</w:t>
      </w:r>
      <w:r w:rsidR="00C9393A" w:rsidRPr="009B7BAC">
        <w:rPr>
          <w:lang w:val="fr-FR"/>
        </w:rPr>
        <w:t>’</w:t>
      </w:r>
      <w:r w:rsidRPr="009B7BAC">
        <w:rPr>
          <w:lang w:val="fr-FR"/>
        </w:rPr>
        <w:t>une forte majorité des objections ont été déposées contre des demandes de gTLD portant sur des extensions ayant un sens descriptif ou donné par le dictionnaire.  De nombreux groupes d</w:t>
      </w:r>
      <w:r w:rsidR="00C9393A" w:rsidRPr="009B7BAC">
        <w:rPr>
          <w:lang w:val="fr-FR"/>
        </w:rPr>
        <w:t>’</w:t>
      </w:r>
      <w:r w:rsidRPr="009B7BAC">
        <w:rPr>
          <w:lang w:val="fr-FR"/>
        </w:rPr>
        <w:t>experts sont parvenus à la conclusion que, lorsque le propriétaire d</w:t>
      </w:r>
      <w:r w:rsidR="00C9393A" w:rsidRPr="009B7BAC">
        <w:rPr>
          <w:lang w:val="fr-FR"/>
        </w:rPr>
        <w:t>’</w:t>
      </w:r>
      <w:r w:rsidRPr="009B7BAC">
        <w:rPr>
          <w:lang w:val="fr-FR"/>
        </w:rPr>
        <w:t>une marque a adopté un terme commun du dictionnaire comme nom de marque, une demande de gTLD visant uniquement à tirer avantage de ce sens commun ne violerait pas en soi les normes en matière de décisions applicables aux objections pour atteinte aux droits.  Dans certains cas, les groupes d</w:t>
      </w:r>
      <w:r w:rsidR="00C9393A" w:rsidRPr="009B7BAC">
        <w:rPr>
          <w:lang w:val="fr-FR"/>
        </w:rPr>
        <w:t>’</w:t>
      </w:r>
      <w:r w:rsidRPr="009B7BAC">
        <w:rPr>
          <w:lang w:val="fr-FR"/>
        </w:rPr>
        <w:t>experts se sont intéressés aux enregistrements de marques obtenus en premier lieu dans le but d</w:t>
      </w:r>
      <w:r w:rsidR="00C9393A" w:rsidRPr="009B7BAC">
        <w:rPr>
          <w:lang w:val="fr-FR"/>
        </w:rPr>
        <w:t>’</w:t>
      </w:r>
      <w:r w:rsidRPr="009B7BAC">
        <w:rPr>
          <w:lang w:val="fr-FR"/>
        </w:rPr>
        <w:t>appuyer une demande de nouveau gTLD ou une objection pour atteinte aux droits, avec peu ou pas d</w:t>
      </w:r>
      <w:r w:rsidR="00C9393A" w:rsidRPr="009B7BAC">
        <w:rPr>
          <w:lang w:val="fr-FR"/>
        </w:rPr>
        <w:t>’</w:t>
      </w:r>
      <w:r w:rsidRPr="009B7BAC">
        <w:rPr>
          <w:lang w:val="fr-FR"/>
        </w:rPr>
        <w:t xml:space="preserve">usage antérieur avéré.  Voir http://www.wipo.int/amc/en/docs/lroreport.pdf. </w:t>
      </w:r>
      <w:r w:rsidR="00D7499F" w:rsidRPr="009B7BAC">
        <w:rPr>
          <w:lang w:val="fr-FR"/>
        </w:rPr>
        <w:t xml:space="preserve"> </w:t>
      </w:r>
    </w:p>
  </w:footnote>
  <w:footnote w:id="37">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Voir http://www.wipo.int/amc/en/docs/icann130309.pdf.</w:t>
      </w:r>
    </w:p>
  </w:footnote>
  <w:footnote w:id="38">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Étant donné la convergence que l</w:t>
      </w:r>
      <w:r w:rsidR="00C9393A" w:rsidRPr="009B7BAC">
        <w:rPr>
          <w:lang w:val="fr-FR"/>
        </w:rPr>
        <w:t>’</w:t>
      </w:r>
      <w:r w:rsidRPr="009B7BAC">
        <w:rPr>
          <w:lang w:val="fr-FR"/>
        </w:rPr>
        <w:t>on perçoit entre les rôles du service d</w:t>
      </w:r>
      <w:r w:rsidR="00C9393A" w:rsidRPr="009B7BAC">
        <w:rPr>
          <w:lang w:val="fr-FR"/>
        </w:rPr>
        <w:t>’</w:t>
      </w:r>
      <w:r w:rsidRPr="009B7BAC">
        <w:rPr>
          <w:lang w:val="fr-FR"/>
        </w:rPr>
        <w:t>enregistrement, de l</w:t>
      </w:r>
      <w:r w:rsidR="00C9393A" w:rsidRPr="009B7BAC">
        <w:rPr>
          <w:lang w:val="fr-FR"/>
        </w:rPr>
        <w:t>’</w:t>
      </w:r>
      <w:r w:rsidRPr="009B7BAC">
        <w:rPr>
          <w:lang w:val="fr-FR"/>
        </w:rPr>
        <w:t>unité d</w:t>
      </w:r>
      <w:r w:rsidR="00C9393A" w:rsidRPr="009B7BAC">
        <w:rPr>
          <w:lang w:val="fr-FR"/>
        </w:rPr>
        <w:t>’</w:t>
      </w:r>
      <w:r w:rsidRPr="009B7BAC">
        <w:rPr>
          <w:lang w:val="fr-FR"/>
        </w:rPr>
        <w:t>enregistrement et du détenteur de l</w:t>
      </w:r>
      <w:r w:rsidR="00C9393A" w:rsidRPr="009B7BAC">
        <w:rPr>
          <w:lang w:val="fr-FR"/>
        </w:rPr>
        <w:t>’</w:t>
      </w:r>
      <w:r w:rsidRPr="009B7BAC">
        <w:rPr>
          <w:lang w:val="fr-FR"/>
        </w:rPr>
        <w:t>enregistrement au sein</w:t>
      </w:r>
      <w:r w:rsidR="00C9393A" w:rsidRPr="009B7BAC">
        <w:rPr>
          <w:lang w:val="fr-FR"/>
        </w:rPr>
        <w:t xml:space="preserve"> du DNS</w:t>
      </w:r>
      <w:r w:rsidRPr="009B7BAC">
        <w:rPr>
          <w:lang w:val="fr-FR"/>
        </w:rPr>
        <w:t>, le Centre a également recommandé à l</w:t>
      </w:r>
      <w:r w:rsidR="00C9393A" w:rsidRPr="009B7BAC">
        <w:rPr>
          <w:lang w:val="fr-FR"/>
        </w:rPr>
        <w:t>’</w:t>
      </w:r>
      <w:r w:rsidRPr="009B7BAC">
        <w:rPr>
          <w:lang w:val="fr-FR"/>
        </w:rPr>
        <w:t xml:space="preserve">ICANN, compte tenu notamment de son expérience des </w:t>
      </w:r>
      <w:r w:rsidR="006D570C" w:rsidRPr="009B7BAC">
        <w:rPr>
          <w:lang w:val="fr-FR"/>
        </w:rPr>
        <w:t>principes UDRP</w:t>
      </w:r>
      <w:r w:rsidRPr="009B7BAC">
        <w:rPr>
          <w:lang w:val="fr-FR"/>
        </w:rPr>
        <w:t xml:space="preserve"> et de la décision de l</w:t>
      </w:r>
      <w:r w:rsidR="00C9393A" w:rsidRPr="009B7BAC">
        <w:rPr>
          <w:lang w:val="fr-FR"/>
        </w:rPr>
        <w:t>’</w:t>
      </w:r>
      <w:r w:rsidRPr="009B7BAC">
        <w:rPr>
          <w:lang w:val="fr-FR"/>
        </w:rPr>
        <w:t>ICANN d</w:t>
      </w:r>
      <w:r w:rsidR="00C9393A" w:rsidRPr="009B7BAC">
        <w:rPr>
          <w:lang w:val="fr-FR"/>
        </w:rPr>
        <w:t>’</w:t>
      </w:r>
      <w:r w:rsidRPr="009B7BAC">
        <w:rPr>
          <w:lang w:val="fr-FR"/>
        </w:rPr>
        <w:t>autoriser la propriété croisée entre unités d</w:t>
      </w:r>
      <w:r w:rsidR="00C9393A" w:rsidRPr="009B7BAC">
        <w:rPr>
          <w:lang w:val="fr-FR"/>
        </w:rPr>
        <w:t>’</w:t>
      </w:r>
      <w:r w:rsidRPr="009B7BAC">
        <w:rPr>
          <w:lang w:val="fr-FR"/>
        </w:rPr>
        <w:t>enregistrement et services d</w:t>
      </w:r>
      <w:r w:rsidR="00C9393A" w:rsidRPr="009B7BAC">
        <w:rPr>
          <w:lang w:val="fr-FR"/>
        </w:rPr>
        <w:t>’</w:t>
      </w:r>
      <w:r w:rsidRPr="009B7BAC">
        <w:rPr>
          <w:lang w:val="fr-FR"/>
        </w:rPr>
        <w:t>enregistrement (voir http://www.icann.org/en/minutes/resolutions</w:t>
      </w:r>
      <w:r w:rsidR="00C9393A" w:rsidRPr="009B7BAC">
        <w:rPr>
          <w:lang w:val="fr-FR"/>
        </w:rPr>
        <w:t>-</w:t>
      </w:r>
      <w:r w:rsidRPr="009B7BAC">
        <w:rPr>
          <w:lang w:val="fr-FR"/>
        </w:rPr>
        <w:t>05nov10</w:t>
      </w:r>
      <w:r w:rsidR="00C9393A" w:rsidRPr="009B7BAC">
        <w:rPr>
          <w:lang w:val="fr-FR"/>
        </w:rPr>
        <w:t>-</w:t>
      </w:r>
      <w:r w:rsidRPr="009B7BAC">
        <w:rPr>
          <w:lang w:val="fr-FR"/>
        </w:rPr>
        <w:t>en.htm), d</w:t>
      </w:r>
      <w:r w:rsidR="00C9393A" w:rsidRPr="009B7BAC">
        <w:rPr>
          <w:lang w:val="fr-FR"/>
        </w:rPr>
        <w:t>’</w:t>
      </w:r>
      <w:r w:rsidRPr="009B7BAC">
        <w:rPr>
          <w:lang w:val="fr-FR"/>
        </w:rPr>
        <w:t>étudier la possibilité d</w:t>
      </w:r>
      <w:r w:rsidR="00C9393A" w:rsidRPr="009B7BAC">
        <w:rPr>
          <w:lang w:val="fr-FR"/>
        </w:rPr>
        <w:t>’</w:t>
      </w:r>
      <w:r w:rsidRPr="009B7BAC">
        <w:rPr>
          <w:lang w:val="fr-FR"/>
        </w:rPr>
        <w:t>étendre aux unités d</w:t>
      </w:r>
      <w:r w:rsidR="00C9393A" w:rsidRPr="009B7BAC">
        <w:rPr>
          <w:lang w:val="fr-FR"/>
        </w:rPr>
        <w:t>’</w:t>
      </w:r>
      <w:r w:rsidRPr="009B7BAC">
        <w:rPr>
          <w:lang w:val="fr-FR"/>
        </w:rPr>
        <w:t>enregistrement la procédure postérieure à l</w:t>
      </w:r>
      <w:r w:rsidR="00C9393A" w:rsidRPr="009B7BAC">
        <w:rPr>
          <w:lang w:val="fr-FR"/>
        </w:rPr>
        <w:t>’</w:t>
      </w:r>
      <w:r w:rsidRPr="009B7BAC">
        <w:rPr>
          <w:lang w:val="fr-FR"/>
        </w:rPr>
        <w:t>attribution à l</w:t>
      </w:r>
      <w:r w:rsidR="00C9393A" w:rsidRPr="009B7BAC">
        <w:rPr>
          <w:lang w:val="fr-FR"/>
        </w:rPr>
        <w:t>’</w:t>
      </w:r>
      <w:r w:rsidRPr="009B7BAC">
        <w:rPr>
          <w:lang w:val="fr-FR"/>
        </w:rPr>
        <w:t>intention des services d</w:t>
      </w:r>
      <w:r w:rsidR="00C9393A" w:rsidRPr="009B7BAC">
        <w:rPr>
          <w:lang w:val="fr-FR"/>
        </w:rPr>
        <w:t>’</w:t>
      </w:r>
      <w:r w:rsidRPr="009B7BAC">
        <w:rPr>
          <w:lang w:val="fr-FR"/>
        </w:rPr>
        <w:t>enregistrement (voir, notamment, http://www.wipo.int/amc/en/docs/icann260310rap.pdf).</w:t>
      </w:r>
    </w:p>
  </w:footnote>
  <w:footnote w:id="39">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La base de données permet l</w:t>
      </w:r>
      <w:r w:rsidR="00C9393A" w:rsidRPr="009B7BAC">
        <w:rPr>
          <w:lang w:val="fr-FR"/>
        </w:rPr>
        <w:t>’</w:t>
      </w:r>
      <w:r w:rsidRPr="009B7BAC">
        <w:rPr>
          <w:lang w:val="fr-FR"/>
        </w:rPr>
        <w:t>inclusion de toutes les marques textuelles enregistrées, de toutes marques textuelles protégées par un règlement ou un traité ou validées par un tribunal, ainsi que les “[a]utres marques constituant un objet de propriété intellectuelle” (cette dernière catégorie n</w:t>
      </w:r>
      <w:r w:rsidR="00C9393A" w:rsidRPr="009B7BAC">
        <w:rPr>
          <w:lang w:val="fr-FR"/>
        </w:rPr>
        <w:t>’</w:t>
      </w:r>
      <w:r w:rsidRPr="009B7BAC">
        <w:rPr>
          <w:lang w:val="fr-FR"/>
        </w:rPr>
        <w:t>étant pas définie).  En ce qui concerne les mécanismes de protection des droits fondés sur la base de données, l</w:t>
      </w:r>
      <w:r w:rsidR="00C9393A" w:rsidRPr="009B7BAC">
        <w:rPr>
          <w:lang w:val="fr-FR"/>
        </w:rPr>
        <w:t>’</w:t>
      </w:r>
      <w:r w:rsidRPr="009B7BAC">
        <w:rPr>
          <w:lang w:val="fr-FR"/>
        </w:rPr>
        <w:t>ICANN propose actuellement de limiter l</w:t>
      </w:r>
      <w:r w:rsidR="00C9393A" w:rsidRPr="009B7BAC">
        <w:rPr>
          <w:lang w:val="fr-FR"/>
        </w:rPr>
        <w:t>’</w:t>
      </w:r>
      <w:r w:rsidRPr="009B7BAC">
        <w:rPr>
          <w:lang w:val="fr-FR"/>
        </w:rPr>
        <w:t>application des services “préliminaires” (c</w:t>
      </w:r>
      <w:r w:rsidR="00C9393A" w:rsidRPr="009B7BAC">
        <w:rPr>
          <w:lang w:val="fr-FR"/>
        </w:rPr>
        <w:t>’</w:t>
      </w:r>
      <w:r w:rsidRPr="009B7BAC">
        <w:rPr>
          <w:lang w:val="fr-FR"/>
        </w:rPr>
        <w:t>est</w:t>
      </w:r>
      <w:r w:rsidR="004F7EE8" w:rsidRPr="009B7BAC">
        <w:rPr>
          <w:lang w:val="fr-FR"/>
        </w:rPr>
        <w:noBreakHyphen/>
      </w:r>
      <w:r w:rsidRPr="009B7BAC">
        <w:rPr>
          <w:lang w:val="fr-FR"/>
        </w:rPr>
        <w:t>à</w:t>
      </w:r>
      <w:r w:rsidR="004F7EE8" w:rsidRPr="009B7BAC">
        <w:rPr>
          <w:lang w:val="fr-FR"/>
        </w:rPr>
        <w:noBreakHyphen/>
      </w:r>
      <w:r w:rsidRPr="009B7BAC">
        <w:rPr>
          <w:lang w:val="fr-FR"/>
        </w:rPr>
        <w:t>dire, la possibilité pour un propriétaire de marque d</w:t>
      </w:r>
      <w:r w:rsidR="00C9393A" w:rsidRPr="009B7BAC">
        <w:rPr>
          <w:lang w:val="fr-FR"/>
        </w:rPr>
        <w:t>’</w:t>
      </w:r>
      <w:r w:rsidRPr="009B7BAC">
        <w:rPr>
          <w:lang w:val="fr-FR"/>
        </w:rPr>
        <w:t>enregistrer de manière préventive en tant que nom de domaine, contre paiement d</w:t>
      </w:r>
      <w:r w:rsidR="00C9393A" w:rsidRPr="009B7BAC">
        <w:rPr>
          <w:lang w:val="fr-FR"/>
        </w:rPr>
        <w:t>’</w:t>
      </w:r>
      <w:r w:rsidRPr="009B7BAC">
        <w:rPr>
          <w:lang w:val="fr-FR"/>
        </w:rPr>
        <w:t>une taxe, une chaîne de caractères correspondant exactement à sa marque) aux marques dont l</w:t>
      </w:r>
      <w:r w:rsidR="00C9393A" w:rsidRPr="009B7BAC">
        <w:rPr>
          <w:lang w:val="fr-FR"/>
        </w:rPr>
        <w:t>’</w:t>
      </w:r>
      <w:r w:rsidRPr="009B7BAC">
        <w:rPr>
          <w:lang w:val="fr-FR"/>
        </w:rPr>
        <w:t>usage actuel peut être prouvé.  Que l</w:t>
      </w:r>
      <w:r w:rsidR="00C9393A" w:rsidRPr="009B7BAC">
        <w:rPr>
          <w:lang w:val="fr-FR"/>
        </w:rPr>
        <w:t>’</w:t>
      </w:r>
      <w:r w:rsidRPr="009B7BAC">
        <w:rPr>
          <w:lang w:val="fr-FR"/>
        </w:rPr>
        <w:t>usage actuel soit ou non prouvé, les propriétaires de marques pourraient participer à un système de “contentieux” d</w:t>
      </w:r>
      <w:r w:rsidR="00C9393A" w:rsidRPr="009B7BAC">
        <w:rPr>
          <w:lang w:val="fr-FR"/>
        </w:rPr>
        <w:t>’</w:t>
      </w:r>
      <w:r w:rsidRPr="009B7BAC">
        <w:rPr>
          <w:lang w:val="fr-FR"/>
        </w:rPr>
        <w:t>une durée limitée (permettant de notifier au demandeur d</w:t>
      </w:r>
      <w:r w:rsidR="00C9393A" w:rsidRPr="009B7BAC">
        <w:rPr>
          <w:lang w:val="fr-FR"/>
        </w:rPr>
        <w:t>’</w:t>
      </w:r>
      <w:r w:rsidRPr="009B7BAC">
        <w:rPr>
          <w:lang w:val="fr-FR"/>
        </w:rPr>
        <w:t>un nom de domaine l</w:t>
      </w:r>
      <w:r w:rsidR="00C9393A" w:rsidRPr="009B7BAC">
        <w:rPr>
          <w:lang w:val="fr-FR"/>
        </w:rPr>
        <w:t>’</w:t>
      </w:r>
      <w:r w:rsidRPr="009B7BAC">
        <w:rPr>
          <w:lang w:val="fr-FR"/>
        </w:rPr>
        <w:t>existence d</w:t>
      </w:r>
      <w:r w:rsidR="00C9393A" w:rsidRPr="009B7BAC">
        <w:rPr>
          <w:lang w:val="fr-FR"/>
        </w:rPr>
        <w:t>’</w:t>
      </w:r>
      <w:r w:rsidRPr="009B7BAC">
        <w:rPr>
          <w:lang w:val="fr-FR"/>
        </w:rPr>
        <w:t>un conflit potentiel avec un droit attaché à une marque, et d</w:t>
      </w:r>
      <w:r w:rsidR="00C9393A" w:rsidRPr="009B7BAC">
        <w:rPr>
          <w:lang w:val="fr-FR"/>
        </w:rPr>
        <w:t>’</w:t>
      </w:r>
      <w:r w:rsidRPr="009B7BAC">
        <w:rPr>
          <w:lang w:val="fr-FR"/>
        </w:rPr>
        <w:t>informer les propriétaires de marques concernés dans le cas où le demandeur procéderait tout de même à l</w:t>
      </w:r>
      <w:r w:rsidR="00C9393A" w:rsidRPr="009B7BAC">
        <w:rPr>
          <w:lang w:val="fr-FR"/>
        </w:rPr>
        <w:t>’</w:t>
      </w:r>
      <w:r w:rsidRPr="009B7BAC">
        <w:rPr>
          <w:lang w:val="fr-FR"/>
        </w:rPr>
        <w:t>enregistrement du nom de domaine).  Comme le prescrit l</w:t>
      </w:r>
      <w:r w:rsidR="00C9393A" w:rsidRPr="009B7BAC">
        <w:rPr>
          <w:lang w:val="fr-FR"/>
        </w:rPr>
        <w:t>’</w:t>
      </w:r>
      <w:r w:rsidRPr="009B7BAC">
        <w:rPr>
          <w:lang w:val="fr-FR"/>
        </w:rPr>
        <w:t>ICANN, le système de “contentieux” est limité à une durée de 90</w:t>
      </w:r>
      <w:r w:rsidR="004F7EE8" w:rsidRPr="009B7BAC">
        <w:rPr>
          <w:lang w:val="fr-FR"/>
        </w:rPr>
        <w:t> </w:t>
      </w:r>
      <w:r w:rsidRPr="009B7BAC">
        <w:rPr>
          <w:lang w:val="fr-FR"/>
        </w:rPr>
        <w:t>jours à compter de la date d</w:t>
      </w:r>
      <w:r w:rsidR="00C9393A" w:rsidRPr="009B7BAC">
        <w:rPr>
          <w:lang w:val="fr-FR"/>
        </w:rPr>
        <w:t>’</w:t>
      </w:r>
      <w:r w:rsidRPr="009B7BAC">
        <w:rPr>
          <w:lang w:val="fr-FR"/>
        </w:rPr>
        <w:t>ouverture au public de l</w:t>
      </w:r>
      <w:r w:rsidR="00C9393A" w:rsidRPr="009B7BAC">
        <w:rPr>
          <w:lang w:val="fr-FR"/>
        </w:rPr>
        <w:t>’</w:t>
      </w:r>
      <w:r w:rsidRPr="009B7BAC">
        <w:rPr>
          <w:lang w:val="fr-FR"/>
        </w:rPr>
        <w:t>enregistrement d</w:t>
      </w:r>
      <w:r w:rsidR="00C9393A" w:rsidRPr="009B7BAC">
        <w:rPr>
          <w:lang w:val="fr-FR"/>
        </w:rPr>
        <w:t>’</w:t>
      </w:r>
      <w:r w:rsidRPr="009B7BAC">
        <w:rPr>
          <w:lang w:val="fr-FR"/>
        </w:rPr>
        <w:t>un nouveau gTLD, mais les utilisateurs de la base de données peuvent choisir de recevoir des notifications indéfiniment.  La preuve de l</w:t>
      </w:r>
      <w:r w:rsidR="00C9393A" w:rsidRPr="009B7BAC">
        <w:rPr>
          <w:lang w:val="fr-FR"/>
        </w:rPr>
        <w:t>’</w:t>
      </w:r>
      <w:r w:rsidRPr="009B7BAC">
        <w:rPr>
          <w:lang w:val="fr-FR"/>
        </w:rPr>
        <w:t>usage requise pour les services préliminaires s</w:t>
      </w:r>
      <w:r w:rsidR="00C9393A" w:rsidRPr="009B7BAC">
        <w:rPr>
          <w:lang w:val="fr-FR"/>
        </w:rPr>
        <w:t>’</w:t>
      </w:r>
      <w:r w:rsidRPr="009B7BAC">
        <w:rPr>
          <w:lang w:val="fr-FR"/>
        </w:rPr>
        <w:t>applique de la même manière à l</w:t>
      </w:r>
      <w:r w:rsidR="00C9393A" w:rsidRPr="009B7BAC">
        <w:rPr>
          <w:lang w:val="fr-FR"/>
        </w:rPr>
        <w:t>’</w:t>
      </w:r>
      <w:r w:rsidRPr="009B7BAC">
        <w:rPr>
          <w:lang w:val="fr-FR"/>
        </w:rPr>
        <w:t xml:space="preserve">invocation de marques comme motif de dépôt de plaintes en vertu du mécanisme de suspension uniforme rapide décrit dans </w:t>
      </w:r>
      <w:r w:rsidR="00FE5E57" w:rsidRPr="009B7BAC">
        <w:rPr>
          <w:lang w:val="fr-FR"/>
        </w:rPr>
        <w:t>le présent paragraphe</w:t>
      </w:r>
      <w:r w:rsidRPr="009B7BAC">
        <w:rPr>
          <w:lang w:val="fr-FR"/>
        </w:rPr>
        <w:t>.</w:t>
      </w:r>
    </w:p>
  </w:footnote>
  <w:footnote w:id="40">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Voir http://trademark</w:t>
      </w:r>
      <w:r w:rsidR="00C9393A" w:rsidRPr="009B7BAC">
        <w:rPr>
          <w:lang w:val="fr-FR"/>
        </w:rPr>
        <w:t>-</w:t>
      </w:r>
      <w:r w:rsidRPr="009B7BAC">
        <w:rPr>
          <w:lang w:val="fr-FR"/>
        </w:rPr>
        <w:t>clearinghouse.com/content/tmch</w:t>
      </w:r>
      <w:r w:rsidR="00C9393A" w:rsidRPr="009B7BAC">
        <w:rPr>
          <w:lang w:val="fr-FR"/>
        </w:rPr>
        <w:t>-</w:t>
      </w:r>
      <w:r w:rsidRPr="009B7BAC">
        <w:rPr>
          <w:lang w:val="fr-FR"/>
        </w:rPr>
        <w:t>stats.</w:t>
      </w:r>
    </w:p>
  </w:footnote>
  <w:footnote w:id="41">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Le Centre a pour sa part transmis à l</w:t>
      </w:r>
      <w:r w:rsidR="00C9393A" w:rsidRPr="009B7BAC">
        <w:rPr>
          <w:lang w:val="fr-FR"/>
        </w:rPr>
        <w:t>’</w:t>
      </w:r>
      <w:r w:rsidRPr="009B7BAC">
        <w:rPr>
          <w:lang w:val="fr-FR"/>
        </w:rPr>
        <w:t xml:space="preserve">ICANN, en </w:t>
      </w:r>
      <w:r w:rsidR="00C9393A" w:rsidRPr="009B7BAC">
        <w:rPr>
          <w:lang w:val="fr-FR"/>
        </w:rPr>
        <w:t>avril 20</w:t>
      </w:r>
      <w:r w:rsidRPr="009B7BAC">
        <w:rPr>
          <w:lang w:val="fr-FR"/>
        </w:rPr>
        <w:t>09, un projet concernant un “mécanisme de suspension accéléré (des noms de domaine)”, (voir http://www.wipo.int/amc/en/docs/icann030409.pdf) et a ensuite fait des propositions en faveur d</w:t>
      </w:r>
      <w:r w:rsidR="00C9393A" w:rsidRPr="009B7BAC">
        <w:rPr>
          <w:lang w:val="fr-FR"/>
        </w:rPr>
        <w:t>’</w:t>
      </w:r>
      <w:r w:rsidRPr="009B7BAC">
        <w:rPr>
          <w:lang w:val="fr-FR"/>
        </w:rPr>
        <w:t>un mécanisme simplifié reposant sur ce modèle lors des réunions de l</w:t>
      </w:r>
      <w:r w:rsidR="00C9393A" w:rsidRPr="009B7BAC">
        <w:rPr>
          <w:lang w:val="fr-FR"/>
        </w:rPr>
        <w:t>’</w:t>
      </w:r>
      <w:r w:rsidRPr="009B7BAC">
        <w:rPr>
          <w:lang w:val="fr-FR"/>
        </w:rPr>
        <w:t>ICANN (voir http://prague44.icann.org/node/31773 et http://toronto45.icann.org/node/34325).  Ces propositions tenaient compte de la nécessité d</w:t>
      </w:r>
      <w:r w:rsidR="00C9393A" w:rsidRPr="009B7BAC">
        <w:rPr>
          <w:lang w:val="fr-FR"/>
        </w:rPr>
        <w:t>’</w:t>
      </w:r>
      <w:r w:rsidRPr="009B7BAC">
        <w:rPr>
          <w:lang w:val="fr-FR"/>
        </w:rPr>
        <w:t>établir un équilibre entre la protection des droits sur les marques reconnus par la loi, les intérêts concrets des opérateurs de services d</w:t>
      </w:r>
      <w:r w:rsidR="00C9393A" w:rsidRPr="009B7BAC">
        <w:rPr>
          <w:lang w:val="fr-FR"/>
        </w:rPr>
        <w:t>’</w:t>
      </w:r>
      <w:r w:rsidRPr="009B7BAC">
        <w:rPr>
          <w:lang w:val="fr-FR"/>
        </w:rPr>
        <w:t xml:space="preserve">enregistrement respectueux des règles qui veulent réduire autant que possible leurs frais de fonctionnement, et les attentes légitimes des détenteurs de noms de domaine enregistrés de bonne foi.  </w:t>
      </w:r>
    </w:p>
  </w:footnote>
  <w:footnote w:id="42">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Une liste extensive de ces questions figure notamment dans la lettre du Centre adressée à l</w:t>
      </w:r>
      <w:r w:rsidR="00C9393A" w:rsidRPr="009B7BAC">
        <w:rPr>
          <w:lang w:val="fr-FR"/>
        </w:rPr>
        <w:t>’</w:t>
      </w:r>
      <w:r w:rsidRPr="009B7BAC">
        <w:rPr>
          <w:lang w:val="fr-FR"/>
        </w:rPr>
        <w:t xml:space="preserve">ICANN le </w:t>
      </w:r>
      <w:r w:rsidR="00C9393A" w:rsidRPr="009B7BAC">
        <w:rPr>
          <w:lang w:val="fr-FR"/>
        </w:rPr>
        <w:t>2 décembre 20</w:t>
      </w:r>
      <w:r w:rsidRPr="009B7BAC">
        <w:rPr>
          <w:lang w:val="fr-FR"/>
        </w:rPr>
        <w:t>10, publiée à l</w:t>
      </w:r>
      <w:r w:rsidR="00C9393A" w:rsidRPr="009B7BAC">
        <w:rPr>
          <w:lang w:val="fr-FR"/>
        </w:rPr>
        <w:t>’</w:t>
      </w:r>
      <w:r w:rsidRPr="009B7BAC">
        <w:rPr>
          <w:lang w:val="fr-FR"/>
        </w:rPr>
        <w:t xml:space="preserve">adresse http://www.wipo.int/amc/en/docs/icann021210.pdf.  </w:t>
      </w:r>
    </w:p>
  </w:footnote>
  <w:footnote w:id="43">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La question de l</w:t>
      </w:r>
      <w:r w:rsidR="00C9393A" w:rsidRPr="009B7BAC">
        <w:rPr>
          <w:lang w:val="fr-FR"/>
        </w:rPr>
        <w:t>’</w:t>
      </w:r>
      <w:r w:rsidRPr="009B7BAC">
        <w:rPr>
          <w:lang w:val="fr-FR"/>
        </w:rPr>
        <w:t>accréditation des prestataires suscite des craintes quant à la stabilité des mécanismes de protection des droits;  l</w:t>
      </w:r>
      <w:r w:rsidR="00C9393A" w:rsidRPr="009B7BAC">
        <w:rPr>
          <w:lang w:val="fr-FR"/>
        </w:rPr>
        <w:t>’</w:t>
      </w:r>
      <w:r w:rsidRPr="009B7BAC">
        <w:rPr>
          <w:lang w:val="fr-FR"/>
        </w:rPr>
        <w:t>OMPI s</w:t>
      </w:r>
      <w:r w:rsidR="00C9393A" w:rsidRPr="009B7BAC">
        <w:rPr>
          <w:lang w:val="fr-FR"/>
        </w:rPr>
        <w:t>’</w:t>
      </w:r>
      <w:r w:rsidRPr="009B7BAC">
        <w:rPr>
          <w:lang w:val="fr-FR"/>
        </w:rPr>
        <w:t xml:space="preserve">était inquiétée de cette question dès 2007, dans le cadre des </w:t>
      </w:r>
      <w:r w:rsidR="006D570C" w:rsidRPr="009B7BAC">
        <w:rPr>
          <w:lang w:val="fr-FR"/>
        </w:rPr>
        <w:t>principes UDRP</w:t>
      </w:r>
      <w:r w:rsidRPr="009B7BAC">
        <w:rPr>
          <w:lang w:val="fr-FR"/>
        </w:rPr>
        <w:t xml:space="preserve"> (voir http://www.wipo.int/amc/en/docs/icann040707.pdf).  </w:t>
      </w:r>
    </w:p>
  </w:footnote>
  <w:footnote w:id="44">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r>
      <w:r w:rsidR="001750B7" w:rsidRPr="009B7BAC">
        <w:rPr>
          <w:lang w:val="fr-FR"/>
        </w:rPr>
        <w:t>Voir https://community.icann.org/display/gnsoudrpdt/Webinar+on+the+Current+State+of+the+UDRP;  voir également de manière plus générale le paragraphe</w:t>
      </w:r>
      <w:r w:rsidR="00D7499F" w:rsidRPr="009B7BAC">
        <w:rPr>
          <w:lang w:val="fr-FR"/>
        </w:rPr>
        <w:t> </w:t>
      </w:r>
      <w:r w:rsidR="001750B7" w:rsidRPr="009B7BAC">
        <w:rPr>
          <w:lang w:val="fr-FR"/>
        </w:rPr>
        <w:t>31 du document WO/GA/39/10.</w:t>
      </w:r>
    </w:p>
  </w:footnote>
  <w:footnote w:id="45">
    <w:p w:rsidR="005F0E47" w:rsidRPr="009B7BAC" w:rsidRDefault="005F0E4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r>
      <w:r w:rsidR="001750B7" w:rsidRPr="009B7BAC">
        <w:rPr>
          <w:lang w:val="fr-FR"/>
        </w:rPr>
        <w:t>Voir http://gnso.icann.org/en/issues/new</w:t>
      </w:r>
      <w:r w:rsidR="00C9393A" w:rsidRPr="009B7BAC">
        <w:rPr>
          <w:lang w:val="fr-FR"/>
        </w:rPr>
        <w:t>-</w:t>
      </w:r>
      <w:r w:rsidR="001750B7" w:rsidRPr="009B7BAC">
        <w:rPr>
          <w:lang w:val="fr-FR"/>
        </w:rPr>
        <w:t>gtlds/rpm</w:t>
      </w:r>
      <w:r w:rsidR="00C9393A" w:rsidRPr="009B7BAC">
        <w:rPr>
          <w:lang w:val="fr-FR"/>
        </w:rPr>
        <w:t>-</w:t>
      </w:r>
      <w:r w:rsidR="001750B7" w:rsidRPr="009B7BAC">
        <w:rPr>
          <w:lang w:val="fr-FR"/>
        </w:rPr>
        <w:t>prelim</w:t>
      </w:r>
      <w:r w:rsidR="00C9393A" w:rsidRPr="009B7BAC">
        <w:rPr>
          <w:lang w:val="fr-FR"/>
        </w:rPr>
        <w:t>-</w:t>
      </w:r>
      <w:r w:rsidR="001750B7" w:rsidRPr="009B7BAC">
        <w:rPr>
          <w:lang w:val="fr-FR"/>
        </w:rPr>
        <w:t>issue</w:t>
      </w:r>
      <w:r w:rsidR="00C9393A" w:rsidRPr="009B7BAC">
        <w:rPr>
          <w:lang w:val="fr-FR"/>
        </w:rPr>
        <w:t>-</w:t>
      </w:r>
      <w:r w:rsidR="001750B7" w:rsidRPr="009B7BAC">
        <w:rPr>
          <w:lang w:val="fr-FR"/>
        </w:rPr>
        <w:t>09oct15</w:t>
      </w:r>
      <w:r w:rsidR="00C9393A" w:rsidRPr="009B7BAC">
        <w:rPr>
          <w:lang w:val="fr-FR"/>
        </w:rPr>
        <w:t>-</w:t>
      </w:r>
      <w:r w:rsidR="001750B7" w:rsidRPr="009B7BAC">
        <w:rPr>
          <w:lang w:val="fr-FR"/>
        </w:rPr>
        <w:t>en.pdf.</w:t>
      </w:r>
    </w:p>
  </w:footnote>
  <w:footnote w:id="46">
    <w:p w:rsidR="001750B7" w:rsidRPr="009B7BAC" w:rsidRDefault="001750B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Voir http://gnso.icann.org/en/issues/new</w:t>
      </w:r>
      <w:r w:rsidR="00C9393A" w:rsidRPr="009B7BAC">
        <w:rPr>
          <w:lang w:val="fr-FR"/>
        </w:rPr>
        <w:t>-</w:t>
      </w:r>
      <w:r w:rsidRPr="009B7BAC">
        <w:rPr>
          <w:lang w:val="fr-FR"/>
        </w:rPr>
        <w:t>gtlds/rpm</w:t>
      </w:r>
      <w:r w:rsidR="00C9393A" w:rsidRPr="009B7BAC">
        <w:rPr>
          <w:lang w:val="fr-FR"/>
        </w:rPr>
        <w:t>-</w:t>
      </w:r>
      <w:r w:rsidRPr="009B7BAC">
        <w:rPr>
          <w:lang w:val="fr-FR"/>
        </w:rPr>
        <w:t>final</w:t>
      </w:r>
      <w:r w:rsidR="00C9393A" w:rsidRPr="009B7BAC">
        <w:rPr>
          <w:lang w:val="fr-FR"/>
        </w:rPr>
        <w:t>-</w:t>
      </w:r>
      <w:r w:rsidRPr="009B7BAC">
        <w:rPr>
          <w:lang w:val="fr-FR"/>
        </w:rPr>
        <w:t>issue</w:t>
      </w:r>
      <w:r w:rsidR="00C9393A" w:rsidRPr="009B7BAC">
        <w:rPr>
          <w:lang w:val="fr-FR"/>
        </w:rPr>
        <w:t>-</w:t>
      </w:r>
      <w:r w:rsidRPr="009B7BAC">
        <w:rPr>
          <w:lang w:val="fr-FR"/>
        </w:rPr>
        <w:t>11jan16</w:t>
      </w:r>
      <w:r w:rsidR="00C9393A" w:rsidRPr="009B7BAC">
        <w:rPr>
          <w:lang w:val="fr-FR"/>
        </w:rPr>
        <w:t>-</w:t>
      </w:r>
      <w:r w:rsidRPr="009B7BAC">
        <w:rPr>
          <w:lang w:val="fr-FR"/>
        </w:rPr>
        <w:t>en.pdf.</w:t>
      </w:r>
    </w:p>
  </w:footnote>
  <w:footnote w:id="47">
    <w:p w:rsidR="001750B7" w:rsidRPr="009B7BAC" w:rsidRDefault="001750B7"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Voir également le plan final de l</w:t>
      </w:r>
      <w:r w:rsidR="00C9393A" w:rsidRPr="009B7BAC">
        <w:rPr>
          <w:lang w:val="fr-FR"/>
        </w:rPr>
        <w:t>’</w:t>
      </w:r>
      <w:r w:rsidRPr="009B7BAC">
        <w:rPr>
          <w:lang w:val="fr-FR"/>
        </w:rPr>
        <w:t>ICANN pour la mise en œuvre d</w:t>
      </w:r>
      <w:r w:rsidR="00C9393A" w:rsidRPr="009B7BAC">
        <w:rPr>
          <w:lang w:val="fr-FR"/>
        </w:rPr>
        <w:t>’</w:t>
      </w:r>
      <w:r w:rsidRPr="009B7BAC">
        <w:rPr>
          <w:lang w:val="fr-FR"/>
        </w:rPr>
        <w:t>un processus accéléré d</w:t>
      </w:r>
      <w:r w:rsidR="00C9393A" w:rsidRPr="009B7BAC">
        <w:rPr>
          <w:lang w:val="fr-FR"/>
        </w:rPr>
        <w:t>’</w:t>
      </w:r>
      <w:r w:rsidRPr="009B7BAC">
        <w:rPr>
          <w:lang w:val="fr-FR"/>
        </w:rPr>
        <w:t xml:space="preserve">établissement de noms de ccTLD internationalisés publié en </w:t>
      </w:r>
      <w:r w:rsidR="00C9393A" w:rsidRPr="009B7BAC">
        <w:rPr>
          <w:lang w:val="fr-FR"/>
        </w:rPr>
        <w:t>novembre 20</w:t>
      </w:r>
      <w:r w:rsidRPr="009B7BAC">
        <w:rPr>
          <w:lang w:val="fr-FR"/>
        </w:rPr>
        <w:t>09 (voir http://www.icann.org/en/topics/idn/fast</w:t>
      </w:r>
      <w:r w:rsidR="00C9393A" w:rsidRPr="009B7BAC">
        <w:rPr>
          <w:lang w:val="fr-FR"/>
        </w:rPr>
        <w:t>-</w:t>
      </w:r>
      <w:r w:rsidRPr="009B7BAC">
        <w:rPr>
          <w:lang w:val="fr-FR"/>
        </w:rPr>
        <w:t>track/idn</w:t>
      </w:r>
      <w:r w:rsidR="00C9393A" w:rsidRPr="009B7BAC">
        <w:rPr>
          <w:lang w:val="fr-FR"/>
        </w:rPr>
        <w:t>-</w:t>
      </w:r>
      <w:r w:rsidRPr="009B7BAC">
        <w:rPr>
          <w:lang w:val="fr-FR"/>
        </w:rPr>
        <w:t>cctld</w:t>
      </w:r>
      <w:r w:rsidR="00C9393A" w:rsidRPr="009B7BAC">
        <w:rPr>
          <w:lang w:val="fr-FR"/>
        </w:rPr>
        <w:t>-</w:t>
      </w:r>
      <w:r w:rsidRPr="009B7BAC">
        <w:rPr>
          <w:lang w:val="fr-FR"/>
        </w:rPr>
        <w:t>implementation</w:t>
      </w:r>
      <w:r w:rsidR="00C9393A" w:rsidRPr="009B7BAC">
        <w:rPr>
          <w:lang w:val="fr-FR"/>
        </w:rPr>
        <w:t>-</w:t>
      </w:r>
      <w:r w:rsidRPr="009B7BAC">
        <w:rPr>
          <w:lang w:val="fr-FR"/>
        </w:rPr>
        <w:t>plan</w:t>
      </w:r>
      <w:r w:rsidR="00C9393A" w:rsidRPr="009B7BAC">
        <w:rPr>
          <w:lang w:val="fr-FR"/>
        </w:rPr>
        <w:t>-</w:t>
      </w:r>
      <w:r w:rsidRPr="009B7BAC">
        <w:rPr>
          <w:lang w:val="fr-FR"/>
        </w:rPr>
        <w:t>16nov09</w:t>
      </w:r>
      <w:r w:rsidR="00C9393A" w:rsidRPr="009B7BAC">
        <w:rPr>
          <w:lang w:val="fr-FR"/>
        </w:rPr>
        <w:t>-</w:t>
      </w:r>
      <w:r w:rsidRPr="009B7BAC">
        <w:rPr>
          <w:lang w:val="fr-FR"/>
        </w:rPr>
        <w:t>en.pdf).  Depuis lors, cette procédure a permis d</w:t>
      </w:r>
      <w:r w:rsidR="00C9393A" w:rsidRPr="009B7BAC">
        <w:rPr>
          <w:lang w:val="fr-FR"/>
        </w:rPr>
        <w:t>’</w:t>
      </w:r>
      <w:r w:rsidRPr="009B7BAC">
        <w:rPr>
          <w:lang w:val="fr-FR"/>
        </w:rPr>
        <w:t>introduire plusieurs ccTLD internationalisés associés aux codes à deux</w:t>
      </w:r>
      <w:r w:rsidR="00D7499F" w:rsidRPr="009B7BAC">
        <w:rPr>
          <w:lang w:val="fr-FR"/>
        </w:rPr>
        <w:t> </w:t>
      </w:r>
      <w:r w:rsidRPr="009B7BAC">
        <w:rPr>
          <w:lang w:val="fr-FR"/>
        </w:rPr>
        <w:t>lettres figurant dans la norme</w:t>
      </w:r>
      <w:r w:rsidR="00D7499F" w:rsidRPr="009B7BAC">
        <w:rPr>
          <w:lang w:val="fr-FR"/>
        </w:rPr>
        <w:t> </w:t>
      </w:r>
      <w:r w:rsidRPr="009B7BAC">
        <w:rPr>
          <w:lang w:val="fr-FR"/>
        </w:rPr>
        <w:t>ISO</w:t>
      </w:r>
      <w:r w:rsidR="00C805BC" w:rsidRPr="009B7BAC">
        <w:rPr>
          <w:lang w:val="fr-FR"/>
        </w:rPr>
        <w:t> </w:t>
      </w:r>
      <w:r w:rsidRPr="009B7BAC">
        <w:rPr>
          <w:lang w:val="fr-FR"/>
        </w:rPr>
        <w:t>3166</w:t>
      </w:r>
      <w:r w:rsidR="00C9393A" w:rsidRPr="009B7BAC">
        <w:rPr>
          <w:lang w:val="fr-FR"/>
        </w:rPr>
        <w:t>-</w:t>
      </w:r>
      <w:r w:rsidRPr="009B7BAC">
        <w:rPr>
          <w:lang w:val="fr-FR"/>
        </w:rPr>
        <w:t xml:space="preserve">1 (voir http://www.iso.org/iso/english_country_names_and_code_elements).  </w:t>
      </w:r>
    </w:p>
  </w:footnote>
  <w:footnote w:id="48">
    <w:p w:rsidR="00744383" w:rsidRPr="009B7BAC" w:rsidRDefault="00744383"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Voir http://www.wipo.int/edocs/mdocs/govbody/fr/wo_ga_28/wo_ga_28_3.pdf;  voir également les paragraphes</w:t>
      </w:r>
      <w:r w:rsidR="00D7499F" w:rsidRPr="009B7BAC">
        <w:rPr>
          <w:lang w:val="fr-FR"/>
        </w:rPr>
        <w:t> </w:t>
      </w:r>
      <w:r w:rsidRPr="009B7BAC">
        <w:rPr>
          <w:lang w:val="fr-FR"/>
        </w:rPr>
        <w:t>6 à</w:t>
      </w:r>
      <w:r w:rsidR="003159C5" w:rsidRPr="009B7BAC">
        <w:rPr>
          <w:lang w:val="fr-FR"/>
        </w:rPr>
        <w:t> </w:t>
      </w:r>
      <w:r w:rsidRPr="009B7BAC">
        <w:rPr>
          <w:lang w:val="fr-FR"/>
        </w:rPr>
        <w:t>11 du document SCT/9/8, et le paragraphe</w:t>
      </w:r>
      <w:r w:rsidR="00D7499F" w:rsidRPr="009B7BAC">
        <w:rPr>
          <w:lang w:val="fr-FR"/>
        </w:rPr>
        <w:t> </w:t>
      </w:r>
      <w:r w:rsidRPr="009B7BAC">
        <w:rPr>
          <w:lang w:val="fr-FR"/>
        </w:rPr>
        <w:t>149 du document SCT/9/9.</w:t>
      </w:r>
    </w:p>
  </w:footnote>
  <w:footnote w:id="49">
    <w:p w:rsidR="00744383" w:rsidRPr="009B7BAC" w:rsidRDefault="00744383"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Voir http://www.wipo.int/amc/fr/docs/wipo.doc.</w:t>
      </w:r>
    </w:p>
  </w:footnote>
  <w:footnote w:id="50">
    <w:p w:rsidR="00744383" w:rsidRPr="009B7BAC" w:rsidRDefault="00744383"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r>
      <w:r w:rsidR="0055550F" w:rsidRPr="009B7BAC">
        <w:rPr>
          <w:lang w:val="fr-FR"/>
        </w:rPr>
        <w:t>À titre d</w:t>
      </w:r>
      <w:r w:rsidR="00C9393A" w:rsidRPr="009B7BAC">
        <w:rPr>
          <w:lang w:val="fr-FR"/>
        </w:rPr>
        <w:t>’</w:t>
      </w:r>
      <w:r w:rsidR="0055550F" w:rsidRPr="009B7BAC">
        <w:rPr>
          <w:lang w:val="fr-FR"/>
        </w:rPr>
        <w:t>information, voir le document WO/GA/41/17</w:t>
      </w:r>
      <w:r w:rsidR="00D7499F" w:rsidRPr="009B7BAC">
        <w:rPr>
          <w:lang w:val="fr-FR"/>
        </w:rPr>
        <w:t> </w:t>
      </w:r>
      <w:r w:rsidR="0055550F" w:rsidRPr="009B7BAC">
        <w:rPr>
          <w:lang w:val="fr-FR"/>
        </w:rPr>
        <w:t>Rev.2, notamment les paragraphes</w:t>
      </w:r>
      <w:r w:rsidR="00D7499F" w:rsidRPr="009B7BAC">
        <w:rPr>
          <w:lang w:val="fr-FR"/>
        </w:rPr>
        <w:t> </w:t>
      </w:r>
      <w:r w:rsidR="0055550F" w:rsidRPr="009B7BAC">
        <w:rPr>
          <w:lang w:val="fr-FR"/>
        </w:rPr>
        <w:t>40 et</w:t>
      </w:r>
      <w:r w:rsidR="003159C5" w:rsidRPr="009B7BAC">
        <w:rPr>
          <w:lang w:val="fr-FR"/>
        </w:rPr>
        <w:t> </w:t>
      </w:r>
      <w:r w:rsidR="0055550F" w:rsidRPr="009B7BAC">
        <w:rPr>
          <w:lang w:val="fr-FR"/>
        </w:rPr>
        <w:t>41.</w:t>
      </w:r>
    </w:p>
  </w:footnote>
  <w:footnote w:id="51">
    <w:p w:rsidR="00744383" w:rsidRPr="009B7BAC" w:rsidRDefault="00744383"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r>
      <w:r w:rsidR="0055550F" w:rsidRPr="009B7BAC">
        <w:rPr>
          <w:lang w:val="fr-FR"/>
        </w:rPr>
        <w:t>Voir https://gacweb.icann.org/download/attachments/27132070/FINAL_Toronto_Communique_20121017.pdf?version=1&amp;modificationDate=1354149148000&amp;api=v2.</w:t>
      </w:r>
      <w:r w:rsidRPr="009B7BAC">
        <w:rPr>
          <w:lang w:val="fr-FR"/>
        </w:rPr>
        <w:t xml:space="preserve"> </w:t>
      </w:r>
      <w:r w:rsidR="00D7499F" w:rsidRPr="009B7BAC">
        <w:rPr>
          <w:lang w:val="fr-FR"/>
        </w:rPr>
        <w:t xml:space="preserve"> </w:t>
      </w:r>
    </w:p>
  </w:footnote>
  <w:footnote w:id="52">
    <w:p w:rsidR="0055550F" w:rsidRPr="009B7BAC" w:rsidRDefault="0055550F"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 xml:space="preserve">Voir https://gacweb.icann.org/download/attachments/27132070/Board%20Response%20to%20GAC%20Toronto%20Communique.pdf?version=1&amp;modificationDate=1361909146000&amp;api=v2. </w:t>
      </w:r>
      <w:r w:rsidR="00D7499F" w:rsidRPr="009B7BAC">
        <w:rPr>
          <w:lang w:val="fr-FR"/>
        </w:rPr>
        <w:t xml:space="preserve"> </w:t>
      </w:r>
    </w:p>
  </w:footnote>
  <w:footnote w:id="53">
    <w:p w:rsidR="0055550F" w:rsidRPr="009B7BAC" w:rsidRDefault="0055550F"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Ces critères comprennent le statut d</w:t>
      </w:r>
      <w:r w:rsidR="00C9393A" w:rsidRPr="009B7BAC">
        <w:rPr>
          <w:lang w:val="fr-FR"/>
        </w:rPr>
        <w:t>’</w:t>
      </w:r>
      <w:r w:rsidRPr="009B7BAC">
        <w:rPr>
          <w:lang w:val="fr-FR"/>
        </w:rPr>
        <w:t>organisation intergouvernementale établie par un traité et dotée d</w:t>
      </w:r>
      <w:r w:rsidR="00C9393A" w:rsidRPr="009B7BAC">
        <w:rPr>
          <w:lang w:val="fr-FR"/>
        </w:rPr>
        <w:t>’</w:t>
      </w:r>
      <w:r w:rsidRPr="009B7BAC">
        <w:rPr>
          <w:lang w:val="fr-FR"/>
        </w:rPr>
        <w:t>une personnalité juridique internationale, le statut d</w:t>
      </w:r>
      <w:r w:rsidR="00C9393A" w:rsidRPr="009B7BAC">
        <w:rPr>
          <w:lang w:val="fr-FR"/>
        </w:rPr>
        <w:t>’</w:t>
      </w:r>
      <w:r w:rsidRPr="009B7BAC">
        <w:rPr>
          <w:lang w:val="fr-FR"/>
        </w:rPr>
        <w:t>observateur auprès de l</w:t>
      </w:r>
      <w:r w:rsidR="00C9393A" w:rsidRPr="009B7BAC">
        <w:rPr>
          <w:lang w:val="fr-FR"/>
        </w:rPr>
        <w:t>’</w:t>
      </w:r>
      <w:r w:rsidRPr="009B7BAC">
        <w:rPr>
          <w:lang w:val="fr-FR"/>
        </w:rPr>
        <w:t>ONU ou le statut de fonds ou de programme de l</w:t>
      </w:r>
      <w:r w:rsidR="00C9393A" w:rsidRPr="009B7BAC">
        <w:rPr>
          <w:lang w:val="fr-FR"/>
        </w:rPr>
        <w:t>’</w:t>
      </w:r>
      <w:r w:rsidRPr="009B7BAC">
        <w:rPr>
          <w:lang w:val="fr-FR"/>
        </w:rPr>
        <w:t>ONU.</w:t>
      </w:r>
    </w:p>
  </w:footnote>
  <w:footnote w:id="54">
    <w:p w:rsidR="0055550F" w:rsidRPr="009B7BAC" w:rsidRDefault="0055550F"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Voir http://www.icann.org/en/news/correspondence/dryden</w:t>
      </w:r>
      <w:r w:rsidR="00C9393A" w:rsidRPr="009B7BAC">
        <w:rPr>
          <w:lang w:val="fr-FR"/>
        </w:rPr>
        <w:t>-</w:t>
      </w:r>
      <w:r w:rsidRPr="009B7BAC">
        <w:rPr>
          <w:lang w:val="fr-FR"/>
        </w:rPr>
        <w:t>to</w:t>
      </w:r>
      <w:r w:rsidR="00C9393A" w:rsidRPr="009B7BAC">
        <w:rPr>
          <w:lang w:val="fr-FR"/>
        </w:rPr>
        <w:t>-</w:t>
      </w:r>
      <w:r w:rsidRPr="009B7BAC">
        <w:rPr>
          <w:lang w:val="fr-FR"/>
        </w:rPr>
        <w:t>crocker</w:t>
      </w:r>
      <w:r w:rsidR="00C9393A" w:rsidRPr="009B7BAC">
        <w:rPr>
          <w:lang w:val="fr-FR"/>
        </w:rPr>
        <w:t>-</w:t>
      </w:r>
      <w:r w:rsidRPr="009B7BAC">
        <w:rPr>
          <w:lang w:val="fr-FR"/>
        </w:rPr>
        <w:t>chalaby</w:t>
      </w:r>
      <w:r w:rsidR="00C9393A" w:rsidRPr="009B7BAC">
        <w:rPr>
          <w:lang w:val="fr-FR"/>
        </w:rPr>
        <w:t>-</w:t>
      </w:r>
      <w:r w:rsidRPr="009B7BAC">
        <w:rPr>
          <w:lang w:val="fr-FR"/>
        </w:rPr>
        <w:t>22mar13</w:t>
      </w:r>
      <w:r w:rsidR="00C9393A" w:rsidRPr="009B7BAC">
        <w:rPr>
          <w:lang w:val="fr-FR"/>
        </w:rPr>
        <w:t>-</w:t>
      </w:r>
      <w:r w:rsidRPr="009B7BAC">
        <w:rPr>
          <w:lang w:val="fr-FR"/>
        </w:rPr>
        <w:t xml:space="preserve">en. </w:t>
      </w:r>
      <w:r w:rsidR="00D7499F" w:rsidRPr="009B7BAC">
        <w:rPr>
          <w:lang w:val="fr-FR"/>
        </w:rPr>
        <w:t xml:space="preserve"> </w:t>
      </w:r>
    </w:p>
  </w:footnote>
  <w:footnote w:id="55">
    <w:p w:rsidR="0055550F" w:rsidRPr="009B7BAC" w:rsidRDefault="0055550F"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Le Conseil d</w:t>
      </w:r>
      <w:r w:rsidR="00C9393A" w:rsidRPr="009B7BAC">
        <w:rPr>
          <w:lang w:val="fr-FR"/>
        </w:rPr>
        <w:t>’</w:t>
      </w:r>
      <w:r w:rsidRPr="009B7BAC">
        <w:rPr>
          <w:lang w:val="fr-FR"/>
        </w:rPr>
        <w:t>administration a également demandé des éclaircissements sur les moyens de réviser périodiquement la liste et sur les langues additionnelles éventuelles dans lesquelles la protection des noms et sigles d</w:t>
      </w:r>
      <w:r w:rsidR="00C9393A" w:rsidRPr="009B7BAC">
        <w:rPr>
          <w:lang w:val="fr-FR"/>
        </w:rPr>
        <w:t>’</w:t>
      </w:r>
      <w:r w:rsidRPr="009B7BAC">
        <w:rPr>
          <w:lang w:val="fr-FR"/>
        </w:rPr>
        <w:t>organisations intergouvernementales pourrait être demandée.  Voir http://www.icann.org/en/news/correspondence/crocker</w:t>
      </w:r>
      <w:r w:rsidR="00C9393A" w:rsidRPr="009B7BAC">
        <w:rPr>
          <w:lang w:val="fr-FR"/>
        </w:rPr>
        <w:t>-</w:t>
      </w:r>
      <w:r w:rsidRPr="009B7BAC">
        <w:rPr>
          <w:lang w:val="fr-FR"/>
        </w:rPr>
        <w:t>to</w:t>
      </w:r>
      <w:r w:rsidR="00C9393A" w:rsidRPr="009B7BAC">
        <w:rPr>
          <w:lang w:val="fr-FR"/>
        </w:rPr>
        <w:t>-</w:t>
      </w:r>
      <w:r w:rsidRPr="009B7BAC">
        <w:rPr>
          <w:lang w:val="fr-FR"/>
        </w:rPr>
        <w:t>dryden</w:t>
      </w:r>
      <w:r w:rsidR="00C9393A" w:rsidRPr="009B7BAC">
        <w:rPr>
          <w:lang w:val="fr-FR"/>
        </w:rPr>
        <w:t>-</w:t>
      </w:r>
      <w:r w:rsidRPr="009B7BAC">
        <w:rPr>
          <w:lang w:val="fr-FR"/>
        </w:rPr>
        <w:t>01apr13</w:t>
      </w:r>
      <w:r w:rsidR="00C9393A" w:rsidRPr="009B7BAC">
        <w:rPr>
          <w:lang w:val="fr-FR"/>
        </w:rPr>
        <w:t>-</w:t>
      </w:r>
      <w:r w:rsidRPr="009B7BAC">
        <w:rPr>
          <w:lang w:val="fr-FR"/>
        </w:rPr>
        <w:t xml:space="preserve">en. </w:t>
      </w:r>
      <w:r w:rsidR="00D7499F" w:rsidRPr="009B7BAC">
        <w:rPr>
          <w:lang w:val="fr-FR"/>
        </w:rPr>
        <w:t xml:space="preserve"> </w:t>
      </w:r>
    </w:p>
  </w:footnote>
  <w:footnote w:id="56">
    <w:p w:rsidR="0055550F" w:rsidRPr="009B7BAC" w:rsidRDefault="0055550F"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Voir https://www.icann.org/en/system/files/correspondence/gac</w:t>
      </w:r>
      <w:r w:rsidR="00C9393A" w:rsidRPr="009B7BAC">
        <w:rPr>
          <w:lang w:val="fr-FR"/>
        </w:rPr>
        <w:t>-</w:t>
      </w:r>
      <w:r w:rsidRPr="009B7BAC">
        <w:rPr>
          <w:lang w:val="fr-FR"/>
        </w:rPr>
        <w:t>to</w:t>
      </w:r>
      <w:r w:rsidR="00C9393A" w:rsidRPr="009B7BAC">
        <w:rPr>
          <w:lang w:val="fr-FR"/>
        </w:rPr>
        <w:t>-</w:t>
      </w:r>
      <w:r w:rsidRPr="009B7BAC">
        <w:rPr>
          <w:lang w:val="fr-FR"/>
        </w:rPr>
        <w:t>board</w:t>
      </w:r>
      <w:r w:rsidR="00C9393A" w:rsidRPr="009B7BAC">
        <w:rPr>
          <w:lang w:val="fr-FR"/>
        </w:rPr>
        <w:t>-</w:t>
      </w:r>
      <w:r w:rsidRPr="009B7BAC">
        <w:rPr>
          <w:lang w:val="fr-FR"/>
        </w:rPr>
        <w:t>18apr13</w:t>
      </w:r>
      <w:r w:rsidR="00C9393A" w:rsidRPr="009B7BAC">
        <w:rPr>
          <w:lang w:val="fr-FR"/>
        </w:rPr>
        <w:t>-</w:t>
      </w:r>
      <w:r w:rsidRPr="009B7BAC">
        <w:rPr>
          <w:lang w:val="fr-FR"/>
        </w:rPr>
        <w:t xml:space="preserve">en.pdf. </w:t>
      </w:r>
      <w:r w:rsidR="00D7499F" w:rsidRPr="009B7BAC">
        <w:rPr>
          <w:lang w:val="fr-FR"/>
        </w:rPr>
        <w:t xml:space="preserve"> </w:t>
      </w:r>
    </w:p>
  </w:footnote>
  <w:footnote w:id="57">
    <w:p w:rsidR="0055550F" w:rsidRPr="009B7BAC" w:rsidRDefault="0055550F"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Le GAC a en outre indiqué qu</w:t>
      </w:r>
      <w:r w:rsidR="00C9393A" w:rsidRPr="009B7BAC">
        <w:rPr>
          <w:lang w:val="fr-FR"/>
        </w:rPr>
        <w:t>’</w:t>
      </w:r>
      <w:r w:rsidRPr="009B7BAC">
        <w:rPr>
          <w:lang w:val="fr-FR"/>
        </w:rPr>
        <w:t>il supposait expressément que le Conseil d</w:t>
      </w:r>
      <w:r w:rsidR="00C9393A" w:rsidRPr="009B7BAC">
        <w:rPr>
          <w:lang w:val="fr-FR"/>
        </w:rPr>
        <w:t>’</w:t>
      </w:r>
      <w:r w:rsidRPr="009B7BAC">
        <w:rPr>
          <w:lang w:val="fr-FR"/>
        </w:rPr>
        <w:t>administration de l</w:t>
      </w:r>
      <w:r w:rsidR="00C9393A" w:rsidRPr="009B7BAC">
        <w:rPr>
          <w:lang w:val="fr-FR"/>
        </w:rPr>
        <w:t>’</w:t>
      </w:r>
      <w:r w:rsidRPr="009B7BAC">
        <w:rPr>
          <w:lang w:val="fr-FR"/>
        </w:rPr>
        <w:t>ICANN était prêt à appliquer pleinement les recommandations</w:t>
      </w:r>
      <w:r w:rsidR="00C9393A" w:rsidRPr="009B7BAC">
        <w:rPr>
          <w:lang w:val="fr-FR"/>
        </w:rPr>
        <w:t xml:space="preserve"> du GAC</w:t>
      </w:r>
      <w:r w:rsidRPr="009B7BAC">
        <w:rPr>
          <w:lang w:val="fr-FR"/>
        </w:rPr>
        <w:t xml:space="preserve"> en vue d</w:t>
      </w:r>
      <w:r w:rsidR="00C9393A" w:rsidRPr="009B7BAC">
        <w:rPr>
          <w:lang w:val="fr-FR"/>
        </w:rPr>
        <w:t>’</w:t>
      </w:r>
      <w:r w:rsidRPr="009B7BAC">
        <w:rPr>
          <w:lang w:val="fr-FR"/>
        </w:rPr>
        <w:t>une mise en œuvre pratique et efficace de la protection de nature préventive au deuxième niveau dans les nouveaux gTLD, et a précisé que les mesures de protection provisoires pour les noms et sigles d</w:t>
      </w:r>
      <w:r w:rsidR="00C9393A" w:rsidRPr="009B7BAC">
        <w:rPr>
          <w:lang w:val="fr-FR"/>
        </w:rPr>
        <w:t>’</w:t>
      </w:r>
      <w:r w:rsidRPr="009B7BAC">
        <w:rPr>
          <w:lang w:val="fr-FR"/>
        </w:rPr>
        <w:t>organisations intergouvernementales devraient rester en place jusqu</w:t>
      </w:r>
      <w:r w:rsidR="00C9393A" w:rsidRPr="009B7BAC">
        <w:rPr>
          <w:lang w:val="fr-FR"/>
        </w:rPr>
        <w:t>’</w:t>
      </w:r>
      <w:r w:rsidRPr="009B7BAC">
        <w:rPr>
          <w:lang w:val="fr-FR"/>
        </w:rPr>
        <w:t>à la fin des échanges entre</w:t>
      </w:r>
      <w:r w:rsidR="00C9393A" w:rsidRPr="009B7BAC">
        <w:rPr>
          <w:lang w:val="fr-FR"/>
        </w:rPr>
        <w:t xml:space="preserve"> le GAC</w:t>
      </w:r>
      <w:r w:rsidRPr="009B7BAC">
        <w:rPr>
          <w:lang w:val="fr-FR"/>
        </w:rPr>
        <w:t>, l</w:t>
      </w:r>
      <w:r w:rsidR="00C9393A" w:rsidRPr="009B7BAC">
        <w:rPr>
          <w:lang w:val="fr-FR"/>
        </w:rPr>
        <w:t>’</w:t>
      </w:r>
      <w:r w:rsidRPr="009B7BAC">
        <w:rPr>
          <w:lang w:val="fr-FR"/>
        </w:rPr>
        <w:t>ICANN et les organisations intergouvernementales.  Voir http://durban47.icann.org/meetings/durban2013/presentation</w:t>
      </w:r>
      <w:r w:rsidR="00C9393A" w:rsidRPr="009B7BAC">
        <w:rPr>
          <w:lang w:val="fr-FR"/>
        </w:rPr>
        <w:t>-</w:t>
      </w:r>
      <w:r w:rsidRPr="009B7BAC">
        <w:rPr>
          <w:lang w:val="fr-FR"/>
        </w:rPr>
        <w:t>gac</w:t>
      </w:r>
      <w:r w:rsidR="00C9393A" w:rsidRPr="009B7BAC">
        <w:rPr>
          <w:lang w:val="fr-FR"/>
        </w:rPr>
        <w:t>-</w:t>
      </w:r>
      <w:r w:rsidRPr="009B7BAC">
        <w:rPr>
          <w:lang w:val="fr-FR"/>
        </w:rPr>
        <w:t>communique</w:t>
      </w:r>
      <w:r w:rsidR="00C9393A" w:rsidRPr="009B7BAC">
        <w:rPr>
          <w:lang w:val="fr-FR"/>
        </w:rPr>
        <w:t>-</w:t>
      </w:r>
      <w:r w:rsidRPr="009B7BAC">
        <w:rPr>
          <w:lang w:val="fr-FR"/>
        </w:rPr>
        <w:t>18jul13</w:t>
      </w:r>
      <w:r w:rsidR="00C9393A" w:rsidRPr="009B7BAC">
        <w:rPr>
          <w:lang w:val="fr-FR"/>
        </w:rPr>
        <w:t>-</w:t>
      </w:r>
      <w:r w:rsidRPr="009B7BAC">
        <w:rPr>
          <w:lang w:val="fr-FR"/>
        </w:rPr>
        <w:t xml:space="preserve">en.pdf. </w:t>
      </w:r>
      <w:r w:rsidR="00D7499F" w:rsidRPr="009B7BAC">
        <w:rPr>
          <w:lang w:val="fr-FR"/>
        </w:rPr>
        <w:t xml:space="preserve"> </w:t>
      </w:r>
    </w:p>
  </w:footnote>
  <w:footnote w:id="58">
    <w:p w:rsidR="0055550F" w:rsidRPr="009B7BAC" w:rsidRDefault="0055550F"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Voir http://www.icann.org/en/groups/board/documents/resolutions</w:t>
      </w:r>
      <w:r w:rsidR="00C9393A" w:rsidRPr="009B7BAC">
        <w:rPr>
          <w:lang w:val="fr-FR"/>
        </w:rPr>
        <w:t>-</w:t>
      </w:r>
      <w:r w:rsidRPr="009B7BAC">
        <w:rPr>
          <w:lang w:val="fr-FR"/>
        </w:rPr>
        <w:t>new</w:t>
      </w:r>
      <w:r w:rsidR="00C9393A" w:rsidRPr="009B7BAC">
        <w:rPr>
          <w:lang w:val="fr-FR"/>
        </w:rPr>
        <w:t>-</w:t>
      </w:r>
      <w:r w:rsidRPr="009B7BAC">
        <w:rPr>
          <w:lang w:val="fr-FR"/>
        </w:rPr>
        <w:t>gtld</w:t>
      </w:r>
      <w:r w:rsidR="00C9393A" w:rsidRPr="009B7BAC">
        <w:rPr>
          <w:lang w:val="fr-FR"/>
        </w:rPr>
        <w:t>-</w:t>
      </w:r>
      <w:r w:rsidRPr="009B7BAC">
        <w:rPr>
          <w:lang w:val="fr-FR"/>
        </w:rPr>
        <w:t>17jul13</w:t>
      </w:r>
      <w:r w:rsidR="00C9393A" w:rsidRPr="009B7BAC">
        <w:rPr>
          <w:lang w:val="fr-FR"/>
        </w:rPr>
        <w:t>-</w:t>
      </w:r>
      <w:r w:rsidRPr="009B7BAC">
        <w:rPr>
          <w:lang w:val="fr-FR"/>
        </w:rPr>
        <w:t>en.htm.</w:t>
      </w:r>
    </w:p>
  </w:footnote>
  <w:footnote w:id="59">
    <w:p w:rsidR="0055550F" w:rsidRPr="009B7BAC" w:rsidRDefault="0055550F"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Le GAC et</w:t>
      </w:r>
      <w:r w:rsidR="00C9393A" w:rsidRPr="009B7BAC">
        <w:rPr>
          <w:lang w:val="fr-FR"/>
        </w:rPr>
        <w:t xml:space="preserve"> le NGP</w:t>
      </w:r>
      <w:r w:rsidRPr="009B7BAC">
        <w:rPr>
          <w:lang w:val="fr-FR"/>
        </w:rPr>
        <w:t>C avaient annulé leur participation à une réunion proposée par les organisations intergouvernementales le 3</w:t>
      </w:r>
      <w:r w:rsidR="00C9393A" w:rsidRPr="009B7BAC">
        <w:rPr>
          <w:lang w:val="fr-FR"/>
        </w:rPr>
        <w:t>0 septembre</w:t>
      </w:r>
      <w:r w:rsidRPr="009B7BAC">
        <w:rPr>
          <w:lang w:val="fr-FR"/>
        </w:rPr>
        <w:t xml:space="preserve">.  </w:t>
      </w:r>
    </w:p>
  </w:footnote>
  <w:footnote w:id="60">
    <w:p w:rsidR="0055550F" w:rsidRPr="009B7BAC" w:rsidRDefault="0055550F"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Voir http://www.icann.org/en/news/correspondence/gac</w:t>
      </w:r>
      <w:r w:rsidR="00C9393A" w:rsidRPr="009B7BAC">
        <w:rPr>
          <w:lang w:val="fr-FR"/>
        </w:rPr>
        <w:t>-</w:t>
      </w:r>
      <w:r w:rsidRPr="009B7BAC">
        <w:rPr>
          <w:lang w:val="fr-FR"/>
        </w:rPr>
        <w:t>to</w:t>
      </w:r>
      <w:r w:rsidR="00C9393A" w:rsidRPr="009B7BAC">
        <w:rPr>
          <w:lang w:val="fr-FR"/>
        </w:rPr>
        <w:t>-</w:t>
      </w:r>
      <w:r w:rsidRPr="009B7BAC">
        <w:rPr>
          <w:lang w:val="fr-FR"/>
        </w:rPr>
        <w:t>board</w:t>
      </w:r>
      <w:r w:rsidR="00C9393A" w:rsidRPr="009B7BAC">
        <w:rPr>
          <w:lang w:val="fr-FR"/>
        </w:rPr>
        <w:t>-</w:t>
      </w:r>
      <w:r w:rsidRPr="009B7BAC">
        <w:rPr>
          <w:lang w:val="fr-FR"/>
        </w:rPr>
        <w:t>20nov13</w:t>
      </w:r>
      <w:r w:rsidR="00C9393A" w:rsidRPr="009B7BAC">
        <w:rPr>
          <w:lang w:val="fr-FR"/>
        </w:rPr>
        <w:t>-</w:t>
      </w:r>
      <w:r w:rsidRPr="009B7BAC">
        <w:rPr>
          <w:lang w:val="fr-FR"/>
        </w:rPr>
        <w:t xml:space="preserve">en.pdf. </w:t>
      </w:r>
      <w:r w:rsidR="00D7499F" w:rsidRPr="009B7BAC">
        <w:rPr>
          <w:lang w:val="fr-FR"/>
        </w:rPr>
        <w:t xml:space="preserve"> </w:t>
      </w:r>
    </w:p>
  </w:footnote>
  <w:footnote w:id="61">
    <w:p w:rsidR="0055550F" w:rsidRPr="009B7BAC" w:rsidRDefault="0055550F"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Voir http://www.icann.org/en/groups/board/documents/resolutions</w:t>
      </w:r>
      <w:r w:rsidR="00C9393A" w:rsidRPr="009B7BAC">
        <w:rPr>
          <w:lang w:val="fr-FR"/>
        </w:rPr>
        <w:t>-</w:t>
      </w:r>
      <w:r w:rsidRPr="009B7BAC">
        <w:rPr>
          <w:lang w:val="fr-FR"/>
        </w:rPr>
        <w:t>new</w:t>
      </w:r>
      <w:r w:rsidR="00C9393A" w:rsidRPr="009B7BAC">
        <w:rPr>
          <w:lang w:val="fr-FR"/>
        </w:rPr>
        <w:t>-</w:t>
      </w:r>
      <w:r w:rsidRPr="009B7BAC">
        <w:rPr>
          <w:lang w:val="fr-FR"/>
        </w:rPr>
        <w:t>gtld</w:t>
      </w:r>
      <w:r w:rsidR="00C9393A" w:rsidRPr="009B7BAC">
        <w:rPr>
          <w:lang w:val="fr-FR"/>
        </w:rPr>
        <w:t>-</w:t>
      </w:r>
      <w:r w:rsidRPr="009B7BAC">
        <w:rPr>
          <w:lang w:val="fr-FR"/>
        </w:rPr>
        <w:t>09jan14</w:t>
      </w:r>
      <w:r w:rsidR="00C9393A" w:rsidRPr="009B7BAC">
        <w:rPr>
          <w:lang w:val="fr-FR"/>
        </w:rPr>
        <w:t>-</w:t>
      </w:r>
      <w:r w:rsidRPr="009B7BAC">
        <w:rPr>
          <w:lang w:val="fr-FR"/>
        </w:rPr>
        <w:t xml:space="preserve">en.htm#2.d.i. </w:t>
      </w:r>
      <w:r w:rsidR="00D7499F" w:rsidRPr="009B7BAC">
        <w:rPr>
          <w:lang w:val="fr-FR"/>
        </w:rPr>
        <w:t xml:space="preserve"> </w:t>
      </w:r>
    </w:p>
  </w:footnote>
  <w:footnote w:id="62">
    <w:p w:rsidR="0055550F" w:rsidRPr="009B7BAC" w:rsidRDefault="0055550F"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r>
      <w:r w:rsidR="00952784" w:rsidRPr="009B7BAC">
        <w:rPr>
          <w:lang w:val="fr-FR"/>
        </w:rPr>
        <w:t>À titre d</w:t>
      </w:r>
      <w:r w:rsidR="00C9393A" w:rsidRPr="009B7BAC">
        <w:rPr>
          <w:lang w:val="fr-FR"/>
        </w:rPr>
        <w:t>’</w:t>
      </w:r>
      <w:r w:rsidR="00952784" w:rsidRPr="009B7BAC">
        <w:rPr>
          <w:lang w:val="fr-FR"/>
        </w:rPr>
        <w:t>exemple, la lettre des organisations intergouvernementales citait les bénéfices illicites tirés des campagnes de l</w:t>
      </w:r>
      <w:r w:rsidR="00C9393A" w:rsidRPr="009B7BAC">
        <w:rPr>
          <w:lang w:val="fr-FR"/>
        </w:rPr>
        <w:t>’</w:t>
      </w:r>
      <w:r w:rsidR="00952784" w:rsidRPr="009B7BAC">
        <w:rPr>
          <w:lang w:val="fr-FR"/>
        </w:rPr>
        <w:t>UNICEF visant à lever des fonds à la suite de catastrophes humanitaires.</w:t>
      </w:r>
      <w:r w:rsidRPr="009B7BAC">
        <w:rPr>
          <w:lang w:val="fr-FR"/>
        </w:rPr>
        <w:t xml:space="preserve">  </w:t>
      </w:r>
    </w:p>
  </w:footnote>
  <w:footnote w:id="63">
    <w:p w:rsidR="00952784" w:rsidRPr="009B7BAC" w:rsidRDefault="00952784"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Voir la note</w:t>
      </w:r>
      <w:r w:rsidR="00C805BC" w:rsidRPr="009B7BAC">
        <w:rPr>
          <w:lang w:val="fr-FR"/>
        </w:rPr>
        <w:t> </w:t>
      </w:r>
      <w:r w:rsidR="00D2220E">
        <w:rPr>
          <w:lang w:val="fr-FR"/>
        </w:rPr>
        <w:t>3</w:t>
      </w:r>
      <w:r w:rsidRPr="009B7BAC">
        <w:rPr>
          <w:lang w:val="fr-FR"/>
        </w:rPr>
        <w:t>8.</w:t>
      </w:r>
    </w:p>
  </w:footnote>
  <w:footnote w:id="64">
    <w:p w:rsidR="00952784" w:rsidRPr="009B7BAC" w:rsidRDefault="00952784"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Voir https://gacweb.icann.org/download/attachments/27132037/Los%20Angeles_GAC%20Communique_Final.pdf?version=1&amp;modificationDate=1413479079000&amp;api=v2.</w:t>
      </w:r>
    </w:p>
  </w:footnote>
  <w:footnote w:id="65">
    <w:p w:rsidR="00952784" w:rsidRPr="009B7BAC" w:rsidRDefault="00952784"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Voir https://www.icann.org/en/system/files/correspondence/chalaby</w:t>
      </w:r>
      <w:r w:rsidR="00C9393A" w:rsidRPr="009B7BAC">
        <w:rPr>
          <w:lang w:val="fr-FR"/>
        </w:rPr>
        <w:t>-</w:t>
      </w:r>
      <w:r w:rsidRPr="009B7BAC">
        <w:rPr>
          <w:lang w:val="fr-FR"/>
        </w:rPr>
        <w:t>to</w:t>
      </w:r>
      <w:r w:rsidR="00C9393A" w:rsidRPr="009B7BAC">
        <w:rPr>
          <w:lang w:val="fr-FR"/>
        </w:rPr>
        <w:t>-</w:t>
      </w:r>
      <w:r w:rsidRPr="009B7BAC">
        <w:rPr>
          <w:lang w:val="fr-FR"/>
        </w:rPr>
        <w:t>schneider</w:t>
      </w:r>
      <w:r w:rsidR="00C9393A" w:rsidRPr="009B7BAC">
        <w:rPr>
          <w:lang w:val="fr-FR"/>
        </w:rPr>
        <w:t>-</w:t>
      </w:r>
      <w:r w:rsidRPr="009B7BAC">
        <w:rPr>
          <w:lang w:val="fr-FR"/>
        </w:rPr>
        <w:t>22jan15</w:t>
      </w:r>
      <w:r w:rsidR="00C9393A" w:rsidRPr="009B7BAC">
        <w:rPr>
          <w:lang w:val="fr-FR"/>
        </w:rPr>
        <w:t>-</w:t>
      </w:r>
      <w:r w:rsidRPr="009B7BAC">
        <w:rPr>
          <w:lang w:val="fr-FR"/>
        </w:rPr>
        <w:t>en.pdf.</w:t>
      </w:r>
    </w:p>
  </w:footnote>
  <w:footnote w:id="66">
    <w:p w:rsidR="00952784" w:rsidRPr="009B7BAC" w:rsidRDefault="00952784"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Voir http://mm.icann.org/pipermail/gnso</w:t>
      </w:r>
      <w:r w:rsidR="00C9393A" w:rsidRPr="009B7BAC">
        <w:rPr>
          <w:lang w:val="fr-FR"/>
        </w:rPr>
        <w:t>-</w:t>
      </w:r>
      <w:r w:rsidRPr="009B7BAC">
        <w:rPr>
          <w:lang w:val="fr-FR"/>
        </w:rPr>
        <w:t>igo</w:t>
      </w:r>
      <w:r w:rsidR="00C9393A" w:rsidRPr="009B7BAC">
        <w:rPr>
          <w:lang w:val="fr-FR"/>
        </w:rPr>
        <w:t>-</w:t>
      </w:r>
      <w:r w:rsidRPr="009B7BAC">
        <w:rPr>
          <w:lang w:val="fr-FR"/>
        </w:rPr>
        <w:t>ingo</w:t>
      </w:r>
      <w:r w:rsidR="00C9393A" w:rsidRPr="009B7BAC">
        <w:rPr>
          <w:lang w:val="fr-FR"/>
        </w:rPr>
        <w:t>-</w:t>
      </w:r>
      <w:r w:rsidRPr="009B7BAC">
        <w:rPr>
          <w:lang w:val="fr-FR"/>
        </w:rPr>
        <w:t>crp/2015</w:t>
      </w:r>
      <w:r w:rsidR="00C9393A" w:rsidRPr="009B7BAC">
        <w:rPr>
          <w:lang w:val="fr-FR"/>
        </w:rPr>
        <w:t>-</w:t>
      </w:r>
      <w:r w:rsidRPr="009B7BAC">
        <w:rPr>
          <w:lang w:val="fr-FR"/>
        </w:rPr>
        <w:t>April/000345.html.</w:t>
      </w:r>
    </w:p>
  </w:footnote>
  <w:footnote w:id="67">
    <w:p w:rsidR="000B6556" w:rsidRPr="009B7BAC" w:rsidRDefault="000B6556">
      <w:pPr>
        <w:pStyle w:val="FootnoteText"/>
        <w:rPr>
          <w:lang w:val="fr-FR"/>
        </w:rPr>
      </w:pPr>
      <w:r w:rsidRPr="009B7BAC">
        <w:rPr>
          <w:rStyle w:val="FootnoteReference"/>
          <w:lang w:val="fr-FR"/>
        </w:rPr>
        <w:footnoteRef/>
      </w:r>
      <w:r w:rsidRPr="009B7BAC">
        <w:rPr>
          <w:lang w:val="fr-FR"/>
        </w:rPr>
        <w:t xml:space="preserve"> </w:t>
      </w:r>
      <w:r w:rsidRPr="009B7BAC">
        <w:rPr>
          <w:lang w:val="fr-FR"/>
        </w:rPr>
        <w:tab/>
      </w:r>
      <w:r w:rsidR="004B079C" w:rsidRPr="009B7BAC">
        <w:rPr>
          <w:lang w:val="fr-FR"/>
        </w:rPr>
        <w:t>Voir https://gacweb.icann.org/display/gacweb/Governmental+Advisory+Committee?preview=/27132037/39256324/BA%20MinutesFINAL.pdf.</w:t>
      </w:r>
    </w:p>
  </w:footnote>
  <w:footnote w:id="68">
    <w:p w:rsidR="00952784" w:rsidRPr="009B7BAC" w:rsidRDefault="00952784"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En</w:t>
      </w:r>
      <w:r w:rsidR="00D7499F" w:rsidRPr="009B7BAC">
        <w:rPr>
          <w:lang w:val="fr-FR"/>
        </w:rPr>
        <w:t> </w:t>
      </w:r>
      <w:r w:rsidRPr="009B7BAC">
        <w:rPr>
          <w:lang w:val="fr-FR"/>
        </w:rPr>
        <w:t>2007,</w:t>
      </w:r>
      <w:r w:rsidR="00C9393A" w:rsidRPr="009B7BAC">
        <w:rPr>
          <w:lang w:val="fr-FR"/>
        </w:rPr>
        <w:t xml:space="preserve"> le GAC</w:t>
      </w:r>
      <w:r w:rsidRPr="009B7BAC">
        <w:rPr>
          <w:lang w:val="fr-FR"/>
        </w:rPr>
        <w:t xml:space="preserve"> a publié les “Principes</w:t>
      </w:r>
      <w:r w:rsidR="00C9393A" w:rsidRPr="009B7BAC">
        <w:rPr>
          <w:lang w:val="fr-FR"/>
        </w:rPr>
        <w:t xml:space="preserve"> du GAC</w:t>
      </w:r>
      <w:r w:rsidRPr="009B7BAC">
        <w:rPr>
          <w:lang w:val="fr-FR"/>
        </w:rPr>
        <w:t xml:space="preserve"> concernant les nouveaux gTLD”, qui prévoient notamment que l</w:t>
      </w:r>
      <w:r w:rsidR="00C9393A" w:rsidRPr="009B7BAC">
        <w:rPr>
          <w:lang w:val="fr-FR"/>
        </w:rPr>
        <w:t>’</w:t>
      </w:r>
      <w:r w:rsidRPr="009B7BAC">
        <w:rPr>
          <w:lang w:val="fr-FR"/>
        </w:rPr>
        <w:t>ICANN devrait éviter d</w:t>
      </w:r>
      <w:r w:rsidR="00C9393A" w:rsidRPr="009B7BAC">
        <w:rPr>
          <w:lang w:val="fr-FR"/>
        </w:rPr>
        <w:t>’</w:t>
      </w:r>
      <w:r w:rsidRPr="009B7BAC">
        <w:rPr>
          <w:lang w:val="fr-FR"/>
        </w:rPr>
        <w:t>attribuer tout nouveau gTLD contenant le nom d</w:t>
      </w:r>
      <w:r w:rsidR="00C9393A" w:rsidRPr="009B7BAC">
        <w:rPr>
          <w:lang w:val="fr-FR"/>
        </w:rPr>
        <w:t>’</w:t>
      </w:r>
      <w:r w:rsidRPr="009B7BAC">
        <w:rPr>
          <w:lang w:val="fr-FR"/>
        </w:rPr>
        <w:t>un pays, d</w:t>
      </w:r>
      <w:r w:rsidR="00C9393A" w:rsidRPr="009B7BAC">
        <w:rPr>
          <w:lang w:val="fr-FR"/>
        </w:rPr>
        <w:t>’</w:t>
      </w:r>
      <w:r w:rsidRPr="009B7BAC">
        <w:rPr>
          <w:lang w:val="fr-FR"/>
        </w:rPr>
        <w:t>un territoire ou d</w:t>
      </w:r>
      <w:r w:rsidR="00C9393A" w:rsidRPr="009B7BAC">
        <w:rPr>
          <w:lang w:val="fr-FR"/>
        </w:rPr>
        <w:t>’</w:t>
      </w:r>
      <w:r w:rsidRPr="009B7BAC">
        <w:rPr>
          <w:lang w:val="fr-FR"/>
        </w:rPr>
        <w:t>un lieu ou la désignation d</w:t>
      </w:r>
      <w:r w:rsidR="00C9393A" w:rsidRPr="009B7BAC">
        <w:rPr>
          <w:lang w:val="fr-FR"/>
        </w:rPr>
        <w:t>’</w:t>
      </w:r>
      <w:r w:rsidRPr="009B7BAC">
        <w:rPr>
          <w:lang w:val="fr-FR"/>
        </w:rPr>
        <w:t>une langue régionale ou d</w:t>
      </w:r>
      <w:r w:rsidR="00C9393A" w:rsidRPr="009B7BAC">
        <w:rPr>
          <w:lang w:val="fr-FR"/>
        </w:rPr>
        <w:t>’</w:t>
      </w:r>
      <w:r w:rsidRPr="009B7BAC">
        <w:rPr>
          <w:lang w:val="fr-FR"/>
        </w:rPr>
        <w:t>une population, sauf accord des gouvernements ou autorités publiques concernés.  Ces principes</w:t>
      </w:r>
      <w:r w:rsidR="00C9393A" w:rsidRPr="009B7BAC">
        <w:rPr>
          <w:lang w:val="fr-FR"/>
        </w:rPr>
        <w:t xml:space="preserve"> du GAC</w:t>
      </w:r>
      <w:r w:rsidRPr="009B7BAC">
        <w:rPr>
          <w:lang w:val="fr-FR"/>
        </w:rPr>
        <w:t xml:space="preserve"> indiquent en outre que les nouveaux services d</w:t>
      </w:r>
      <w:r w:rsidR="00C9393A" w:rsidRPr="009B7BAC">
        <w:rPr>
          <w:lang w:val="fr-FR"/>
        </w:rPr>
        <w:t>’</w:t>
      </w:r>
      <w:r w:rsidRPr="009B7BAC">
        <w:rPr>
          <w:lang w:val="fr-FR"/>
        </w:rPr>
        <w:t>enregistrement devraient adopter des procédures pour bloquer/contester les noms ayant une signification nationale ou géographique au deuxième niveau sur demande des gouvernements.  Voir http://gac.icann.org/web/home/gTLD_principles.pdf.</w:t>
      </w:r>
    </w:p>
  </w:footnote>
  <w:footnote w:id="69">
    <w:p w:rsidR="00952784" w:rsidRPr="009B7BAC" w:rsidRDefault="00952784"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En ce qui concerne les enregistrements au deuxième niveau, le contrat de base de l</w:t>
      </w:r>
      <w:r w:rsidR="00C9393A" w:rsidRPr="009B7BAC">
        <w:rPr>
          <w:lang w:val="fr-FR"/>
        </w:rPr>
        <w:t>’</w:t>
      </w:r>
      <w:r w:rsidRPr="009B7BAC">
        <w:rPr>
          <w:lang w:val="fr-FR"/>
        </w:rPr>
        <w:t>ICANN avec les services d</w:t>
      </w:r>
      <w:r w:rsidR="00C9393A" w:rsidRPr="009B7BAC">
        <w:rPr>
          <w:lang w:val="fr-FR"/>
        </w:rPr>
        <w:t>’</w:t>
      </w:r>
      <w:r w:rsidRPr="009B7BAC">
        <w:rPr>
          <w:lang w:val="fr-FR"/>
        </w:rPr>
        <w:t>enregistrement contient un “Inventaire des noms réservés au deuxième niveau dans les services d</w:t>
      </w:r>
      <w:r w:rsidR="00C9393A" w:rsidRPr="009B7BAC">
        <w:rPr>
          <w:lang w:val="fr-FR"/>
        </w:rPr>
        <w:t>’</w:t>
      </w:r>
      <w:r w:rsidRPr="009B7BAC">
        <w:rPr>
          <w:lang w:val="fr-FR"/>
        </w:rPr>
        <w:t>enregistrement pour les gTLD” où figurent certains noms de pays et de territoires.  Voir http://newgtlds.icann.org/en/applicants/agb/base</w:t>
      </w:r>
      <w:r w:rsidR="00C9393A" w:rsidRPr="009B7BAC">
        <w:rPr>
          <w:lang w:val="fr-FR"/>
        </w:rPr>
        <w:t>-</w:t>
      </w:r>
      <w:r w:rsidRPr="009B7BAC">
        <w:rPr>
          <w:lang w:val="fr-FR"/>
        </w:rPr>
        <w:t>arrangement</w:t>
      </w:r>
      <w:r w:rsidR="00C9393A" w:rsidRPr="009B7BAC">
        <w:rPr>
          <w:lang w:val="fr-FR"/>
        </w:rPr>
        <w:t>-</w:t>
      </w:r>
      <w:r w:rsidRPr="009B7BAC">
        <w:rPr>
          <w:lang w:val="fr-FR"/>
        </w:rPr>
        <w:t>specs</w:t>
      </w:r>
      <w:r w:rsidR="00C9393A" w:rsidRPr="009B7BAC">
        <w:rPr>
          <w:lang w:val="fr-FR"/>
        </w:rPr>
        <w:t>-</w:t>
      </w:r>
      <w:r w:rsidRPr="009B7BAC">
        <w:rPr>
          <w:lang w:val="fr-FR"/>
        </w:rPr>
        <w:t>04jun12</w:t>
      </w:r>
      <w:r w:rsidR="00C9393A" w:rsidRPr="009B7BAC">
        <w:rPr>
          <w:lang w:val="fr-FR"/>
        </w:rPr>
        <w:t>-</w:t>
      </w:r>
      <w:r w:rsidRPr="009B7BAC">
        <w:rPr>
          <w:lang w:val="fr-FR"/>
        </w:rPr>
        <w:t xml:space="preserve">en.pdf, </w:t>
      </w:r>
      <w:r w:rsidR="00565026" w:rsidRPr="009B7BAC">
        <w:rPr>
          <w:lang w:val="fr-FR"/>
        </w:rPr>
        <w:t>s</w:t>
      </w:r>
      <w:r w:rsidRPr="009B7BAC">
        <w:rPr>
          <w:lang w:val="fr-FR"/>
        </w:rPr>
        <w:t>p</w:t>
      </w:r>
      <w:r w:rsidR="00565026" w:rsidRPr="009B7BAC">
        <w:rPr>
          <w:lang w:val="fr-FR"/>
        </w:rPr>
        <w:t>é</w:t>
      </w:r>
      <w:r w:rsidRPr="009B7BAC">
        <w:rPr>
          <w:lang w:val="fr-FR"/>
        </w:rPr>
        <w:t>cification</w:t>
      </w:r>
      <w:r w:rsidR="00C805BC" w:rsidRPr="009B7BAC">
        <w:rPr>
          <w:lang w:val="fr-FR"/>
        </w:rPr>
        <w:t> </w:t>
      </w:r>
      <w:r w:rsidRPr="009B7BAC">
        <w:rPr>
          <w:lang w:val="fr-FR"/>
        </w:rPr>
        <w:t>5.</w:t>
      </w:r>
    </w:p>
  </w:footnote>
  <w:footnote w:id="70">
    <w:p w:rsidR="00952784" w:rsidRPr="009B7BAC" w:rsidRDefault="00952784"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Voir http://newgtlds.icann.org/en/applicants/agb/evaluation</w:t>
      </w:r>
      <w:r w:rsidR="00C9393A" w:rsidRPr="009B7BAC">
        <w:rPr>
          <w:lang w:val="fr-FR"/>
        </w:rPr>
        <w:t>-</w:t>
      </w:r>
      <w:r w:rsidRPr="009B7BAC">
        <w:rPr>
          <w:lang w:val="fr-FR"/>
        </w:rPr>
        <w:t>procedures</w:t>
      </w:r>
      <w:r w:rsidR="00C9393A" w:rsidRPr="009B7BAC">
        <w:rPr>
          <w:lang w:val="fr-FR"/>
        </w:rPr>
        <w:t>-</w:t>
      </w:r>
      <w:r w:rsidRPr="009B7BAC">
        <w:rPr>
          <w:lang w:val="fr-FR"/>
        </w:rPr>
        <w:t>04jun12</w:t>
      </w:r>
      <w:r w:rsidR="00C9393A" w:rsidRPr="009B7BAC">
        <w:rPr>
          <w:lang w:val="fr-FR"/>
        </w:rPr>
        <w:t>-</w:t>
      </w:r>
      <w:r w:rsidRPr="009B7BAC">
        <w:rPr>
          <w:lang w:val="fr-FR"/>
        </w:rPr>
        <w:t>en.pdf, à partir de la section</w:t>
      </w:r>
      <w:r w:rsidR="00D7499F" w:rsidRPr="009B7BAC">
        <w:rPr>
          <w:lang w:val="fr-FR"/>
        </w:rPr>
        <w:t> </w:t>
      </w:r>
      <w:r w:rsidRPr="009B7BAC">
        <w:rPr>
          <w:lang w:val="fr-FR"/>
        </w:rPr>
        <w:t>2.2.1.4.1 “Treatment of Country or Territory Names”.</w:t>
      </w:r>
    </w:p>
  </w:footnote>
  <w:footnote w:id="71">
    <w:p w:rsidR="00952784" w:rsidRPr="009B7BAC" w:rsidRDefault="00952784"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Voir http://newgtlds.icann.org/en/applicants/agb/evaluation</w:t>
      </w:r>
      <w:r w:rsidR="00C9393A" w:rsidRPr="009B7BAC">
        <w:rPr>
          <w:lang w:val="fr-FR"/>
        </w:rPr>
        <w:t>-</w:t>
      </w:r>
      <w:r w:rsidRPr="009B7BAC">
        <w:rPr>
          <w:lang w:val="fr-FR"/>
        </w:rPr>
        <w:t>procedures</w:t>
      </w:r>
      <w:r w:rsidR="00C9393A" w:rsidRPr="009B7BAC">
        <w:rPr>
          <w:lang w:val="fr-FR"/>
        </w:rPr>
        <w:t>-</w:t>
      </w:r>
      <w:r w:rsidRPr="009B7BAC">
        <w:rPr>
          <w:lang w:val="fr-FR"/>
        </w:rPr>
        <w:t>04jun12</w:t>
      </w:r>
      <w:r w:rsidR="00C9393A" w:rsidRPr="009B7BAC">
        <w:rPr>
          <w:lang w:val="fr-FR"/>
        </w:rPr>
        <w:t>-</w:t>
      </w:r>
      <w:r w:rsidRPr="009B7BAC">
        <w:rPr>
          <w:lang w:val="fr-FR"/>
        </w:rPr>
        <w:t>en.pdf, à partir de la section</w:t>
      </w:r>
      <w:r w:rsidR="00D7499F" w:rsidRPr="009B7BAC">
        <w:rPr>
          <w:lang w:val="fr-FR"/>
        </w:rPr>
        <w:t> </w:t>
      </w:r>
      <w:r w:rsidRPr="009B7BAC">
        <w:rPr>
          <w:lang w:val="fr-FR"/>
        </w:rPr>
        <w:t xml:space="preserve">2.2.1.4.2 “Geographic Names Requiring Government Support”. </w:t>
      </w:r>
      <w:r w:rsidR="00D7499F" w:rsidRPr="009B7BAC">
        <w:rPr>
          <w:lang w:val="fr-FR"/>
        </w:rPr>
        <w:t xml:space="preserve"> </w:t>
      </w:r>
    </w:p>
  </w:footnote>
  <w:footnote w:id="72">
    <w:p w:rsidR="00952784" w:rsidRPr="009B7BAC" w:rsidRDefault="00952784"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Voir https://www.icann.org/en/system/files/correspondence/gac</w:t>
      </w:r>
      <w:r w:rsidR="00C9393A" w:rsidRPr="009B7BAC">
        <w:rPr>
          <w:lang w:val="fr-FR"/>
        </w:rPr>
        <w:t>-</w:t>
      </w:r>
      <w:r w:rsidRPr="009B7BAC">
        <w:rPr>
          <w:lang w:val="fr-FR"/>
        </w:rPr>
        <w:t>to</w:t>
      </w:r>
      <w:r w:rsidR="00C9393A" w:rsidRPr="009B7BAC">
        <w:rPr>
          <w:lang w:val="fr-FR"/>
        </w:rPr>
        <w:t>-</w:t>
      </w:r>
      <w:r w:rsidRPr="009B7BAC">
        <w:rPr>
          <w:lang w:val="fr-FR"/>
        </w:rPr>
        <w:t>board</w:t>
      </w:r>
      <w:r w:rsidR="00C9393A" w:rsidRPr="009B7BAC">
        <w:rPr>
          <w:lang w:val="fr-FR"/>
        </w:rPr>
        <w:t>-</w:t>
      </w:r>
      <w:r w:rsidRPr="009B7BAC">
        <w:rPr>
          <w:lang w:val="fr-FR"/>
        </w:rPr>
        <w:t>27mar14</w:t>
      </w:r>
      <w:r w:rsidR="00C9393A" w:rsidRPr="009B7BAC">
        <w:rPr>
          <w:lang w:val="fr-FR"/>
        </w:rPr>
        <w:t>-</w:t>
      </w:r>
      <w:r w:rsidR="004F7EE8" w:rsidRPr="009B7BAC">
        <w:rPr>
          <w:lang w:val="fr-FR"/>
        </w:rPr>
        <w:t>en.pdf, rubrique</w:t>
      </w:r>
      <w:r w:rsidR="00C805BC" w:rsidRPr="009B7BAC">
        <w:rPr>
          <w:lang w:val="fr-FR"/>
        </w:rPr>
        <w:t> </w:t>
      </w:r>
      <w:r w:rsidR="004F7EE8" w:rsidRPr="009B7BAC">
        <w:rPr>
          <w:lang w:val="fr-FR"/>
        </w:rPr>
        <w:t>“4. </w:t>
      </w:r>
      <w:r w:rsidRPr="009B7BAC">
        <w:rPr>
          <w:lang w:val="fr-FR"/>
        </w:rPr>
        <w:t>Specific Strings”.  Bien que le Conseil ait accepté la recommandation</w:t>
      </w:r>
      <w:r w:rsidR="00C9393A" w:rsidRPr="009B7BAC">
        <w:rPr>
          <w:lang w:val="fr-FR"/>
        </w:rPr>
        <w:t xml:space="preserve"> du GAC</w:t>
      </w:r>
      <w:r w:rsidRPr="009B7BAC">
        <w:rPr>
          <w:lang w:val="fr-FR"/>
        </w:rPr>
        <w:t xml:space="preserve"> tendant à ne pas donner suite à certaines demandes, il a sollicité des informations supplémentaires</w:t>
      </w:r>
      <w:r w:rsidR="00C9393A" w:rsidRPr="009B7BAC">
        <w:rPr>
          <w:lang w:val="fr-FR"/>
        </w:rPr>
        <w:t xml:space="preserve"> du GAC</w:t>
      </w:r>
      <w:r w:rsidRPr="009B7BAC">
        <w:rPr>
          <w:lang w:val="fr-FR"/>
        </w:rPr>
        <w:t>, ainsi que des commentaires du public, sur une série de garanties complémentaires demandées par</w:t>
      </w:r>
      <w:r w:rsidR="00C9393A" w:rsidRPr="009B7BAC">
        <w:rPr>
          <w:lang w:val="fr-FR"/>
        </w:rPr>
        <w:t xml:space="preserve"> le GAC</w:t>
      </w:r>
      <w:r w:rsidRPr="009B7BAC">
        <w:rPr>
          <w:lang w:val="fr-FR"/>
        </w:rPr>
        <w:t xml:space="preserve"> au sujet de plusieurs catégories de demandes portant sur de nouveaux gTLD correspondant à des secteurs réglementés ou à des termes du dictionnaire.  Voir https://gacweb.icann.org/download/attachments/27132037/Beijing%20Communique%20april2013_Final.pdf.  Un sous</w:t>
      </w:r>
      <w:r w:rsidR="004F7EE8" w:rsidRPr="009B7BAC">
        <w:rPr>
          <w:lang w:val="fr-FR"/>
        </w:rPr>
        <w:noBreakHyphen/>
      </w:r>
      <w:r w:rsidRPr="009B7BAC">
        <w:rPr>
          <w:lang w:val="fr-FR"/>
        </w:rPr>
        <w:t>groupe</w:t>
      </w:r>
      <w:r w:rsidR="00C9393A" w:rsidRPr="009B7BAC">
        <w:rPr>
          <w:lang w:val="fr-FR"/>
        </w:rPr>
        <w:t xml:space="preserve"> du GAC</w:t>
      </w:r>
      <w:r w:rsidRPr="009B7BAC">
        <w:rPr>
          <w:lang w:val="fr-FR"/>
        </w:rPr>
        <w:t xml:space="preserve"> sur les noms géographiques (relevant du Groupe de travail</w:t>
      </w:r>
      <w:r w:rsidR="00C9393A" w:rsidRPr="009B7BAC">
        <w:rPr>
          <w:lang w:val="fr-FR"/>
        </w:rPr>
        <w:t xml:space="preserve"> du GAC</w:t>
      </w:r>
      <w:r w:rsidRPr="009B7BAC">
        <w:rPr>
          <w:lang w:val="fr-FR"/>
        </w:rPr>
        <w:t xml:space="preserve"> sur les futurs gTLD) a établi un projet de document pour la prochaine série de gTLD mettant en évidence plusieurs questions d</w:t>
      </w:r>
      <w:r w:rsidR="00C9393A" w:rsidRPr="009B7BAC">
        <w:rPr>
          <w:lang w:val="fr-FR"/>
        </w:rPr>
        <w:t>’</w:t>
      </w:r>
      <w:r w:rsidRPr="009B7BAC">
        <w:rPr>
          <w:lang w:val="fr-FR"/>
        </w:rPr>
        <w:t>intérêt général en rapport avec les noms géographiques, qui fait actuellement l</w:t>
      </w:r>
      <w:r w:rsidR="00C9393A" w:rsidRPr="009B7BAC">
        <w:rPr>
          <w:lang w:val="fr-FR"/>
        </w:rPr>
        <w:t>’</w:t>
      </w:r>
      <w:r w:rsidRPr="009B7BAC">
        <w:rPr>
          <w:lang w:val="fr-FR"/>
        </w:rPr>
        <w:t>objet de discussions supplémentaires au sein de l</w:t>
      </w:r>
      <w:r w:rsidR="00C9393A" w:rsidRPr="009B7BAC">
        <w:rPr>
          <w:lang w:val="fr-FR"/>
        </w:rPr>
        <w:t>’</w:t>
      </w:r>
      <w:r w:rsidRPr="009B7BAC">
        <w:rPr>
          <w:lang w:val="fr-FR"/>
        </w:rPr>
        <w:t>ICANN.  Voir https://gacweb.icann.org/download/attachments/27132037/Geo%20names%20in%20new%20gTLDs%20Updated%20%20V3%20%2029%20august%202014%5B4%5D.pdf?version=1&amp;modificationDate=1411549935000&amp;api=v2.</w:t>
      </w:r>
    </w:p>
  </w:footnote>
  <w:footnote w:id="73">
    <w:p w:rsidR="009B7BAC" w:rsidRPr="009B7BAC" w:rsidRDefault="009B7BAC">
      <w:pPr>
        <w:pStyle w:val="FootnoteText"/>
        <w:rPr>
          <w:lang w:val="fr-FR"/>
        </w:rPr>
      </w:pPr>
      <w:r w:rsidRPr="009B7BAC">
        <w:rPr>
          <w:rStyle w:val="FootnoteReference"/>
          <w:lang w:val="fr-FR"/>
        </w:rPr>
        <w:footnoteRef/>
      </w:r>
      <w:r w:rsidRPr="009B7BAC">
        <w:rPr>
          <w:lang w:val="fr-FR"/>
        </w:rPr>
        <w:t xml:space="preserve"> </w:t>
      </w:r>
      <w:r w:rsidRPr="009B7BAC">
        <w:rPr>
          <w:lang w:val="fr-FR"/>
        </w:rPr>
        <w:tab/>
        <w:t>Mesures proposées par l’ICANN pour les codes ASCII à deux</w:t>
      </w:r>
      <w:r w:rsidR="005557F2">
        <w:rPr>
          <w:lang w:val="fr-FR"/>
        </w:rPr>
        <w:t> </w:t>
      </w:r>
      <w:r w:rsidRPr="009B7BAC">
        <w:rPr>
          <w:lang w:val="fr-FR"/>
        </w:rPr>
        <w:t xml:space="preserve">caractères lettre/lettre afin d’éviter toute confusion avec les codes de pays correspondants. </w:t>
      </w:r>
      <w:r w:rsidR="00FC1F45">
        <w:rPr>
          <w:lang w:val="fr-FR"/>
        </w:rPr>
        <w:t xml:space="preserve"> </w:t>
      </w:r>
      <w:r w:rsidRPr="009B7BAC">
        <w:rPr>
          <w:lang w:val="fr-FR"/>
        </w:rPr>
        <w:t>Voir https://www.icann.org/public-comments/proposed-measures-two-char-2016-07-08-en.</w:t>
      </w:r>
    </w:p>
  </w:footnote>
  <w:footnote w:id="74">
    <w:p w:rsidR="009B7BAC" w:rsidRPr="009B7BAC" w:rsidRDefault="009B7BAC">
      <w:pPr>
        <w:pStyle w:val="FootnoteText"/>
        <w:rPr>
          <w:lang w:val="fr-FR"/>
        </w:rPr>
      </w:pPr>
      <w:r w:rsidRPr="009B7BAC">
        <w:rPr>
          <w:rStyle w:val="FootnoteReference"/>
          <w:lang w:val="fr-FR"/>
        </w:rPr>
        <w:footnoteRef/>
      </w:r>
      <w:r w:rsidRPr="009B7BAC">
        <w:rPr>
          <w:lang w:val="fr-FR"/>
        </w:rPr>
        <w:t xml:space="preserve"> </w:t>
      </w:r>
      <w:r>
        <w:rPr>
          <w:lang w:val="fr-FR"/>
        </w:rPr>
        <w:tab/>
      </w:r>
      <w:r w:rsidRPr="009B7BAC">
        <w:rPr>
          <w:lang w:val="fr-FR"/>
        </w:rPr>
        <w:t>Voir https://forum.icann.org/lists/comments-proposed-measures-two-char-08jul16/pdfvt13ZDkPrS.pdf.</w:t>
      </w:r>
    </w:p>
  </w:footnote>
  <w:footnote w:id="75">
    <w:p w:rsidR="00994782" w:rsidRPr="009B7BAC" w:rsidRDefault="00994782"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Voir https://www.icann.org/resources/two</w:t>
      </w:r>
      <w:r w:rsidR="00C9393A" w:rsidRPr="009B7BAC">
        <w:rPr>
          <w:lang w:val="fr-FR"/>
        </w:rPr>
        <w:t>-</w:t>
      </w:r>
      <w:r w:rsidRPr="009B7BAC">
        <w:rPr>
          <w:lang w:val="fr-FR"/>
        </w:rPr>
        <w:t>character</w:t>
      </w:r>
      <w:r w:rsidR="00C9393A" w:rsidRPr="009B7BAC">
        <w:rPr>
          <w:lang w:val="fr-FR"/>
        </w:rPr>
        <w:t>-</w:t>
      </w:r>
      <w:r w:rsidRPr="009B7BAC">
        <w:rPr>
          <w:lang w:val="fr-FR"/>
        </w:rPr>
        <w:t>comments.</w:t>
      </w:r>
    </w:p>
  </w:footnote>
  <w:footnote w:id="76">
    <w:p w:rsidR="00565026" w:rsidRPr="009B7BAC" w:rsidRDefault="00565026" w:rsidP="006D570C">
      <w:pPr>
        <w:pStyle w:val="FootnoteText"/>
        <w:rPr>
          <w:lang w:val="fr-FR"/>
        </w:rPr>
      </w:pPr>
      <w:r w:rsidRPr="009B7BAC">
        <w:rPr>
          <w:rStyle w:val="FootnoteReference"/>
          <w:lang w:val="fr-FR"/>
        </w:rPr>
        <w:footnoteRef/>
      </w:r>
      <w:r w:rsidRPr="009B7BAC">
        <w:rPr>
          <w:lang w:val="fr-FR"/>
        </w:rPr>
        <w:t xml:space="preserve"> </w:t>
      </w:r>
      <w:r w:rsidRPr="009B7BAC">
        <w:rPr>
          <w:lang w:val="fr-FR"/>
        </w:rPr>
        <w:tab/>
        <w:t>Voir par exemple les documents SCT/24/4, SCT/25/3, SCT/26/6 et SCT/27/8</w:t>
      </w:r>
      <w:r w:rsidR="00332E76" w:rsidRPr="009B7BAC">
        <w:rPr>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E47" w:rsidRDefault="005F0E47" w:rsidP="00477D6B">
    <w:pPr>
      <w:jc w:val="right"/>
    </w:pPr>
    <w:bookmarkStart w:id="5" w:name="Code2"/>
    <w:bookmarkEnd w:id="5"/>
    <w:r>
      <w:t>WO/GA/48/12</w:t>
    </w:r>
    <w:r w:rsidR="00073FF1">
      <w:t> Rev.</w:t>
    </w:r>
  </w:p>
  <w:p w:rsidR="005F0E47" w:rsidRDefault="005F0E47" w:rsidP="00477D6B">
    <w:pPr>
      <w:jc w:val="right"/>
    </w:pPr>
    <w:r>
      <w:t>page</w:t>
    </w:r>
    <w:r w:rsidR="00C805BC">
      <w:t> </w:t>
    </w:r>
    <w:r>
      <w:fldChar w:fldCharType="begin"/>
    </w:r>
    <w:r>
      <w:instrText xml:space="preserve"> PAGE  \* MERGEFORMAT </w:instrText>
    </w:r>
    <w:r>
      <w:fldChar w:fldCharType="separate"/>
    </w:r>
    <w:r w:rsidR="00570479">
      <w:rPr>
        <w:noProof/>
      </w:rPr>
      <w:t>13</w:t>
    </w:r>
    <w:r>
      <w:fldChar w:fldCharType="end"/>
    </w:r>
  </w:p>
  <w:p w:rsidR="005F0E47" w:rsidRDefault="005F0E4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47E6B91"/>
    <w:multiLevelType w:val="multilevel"/>
    <w:tmpl w:val="0CDA56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2D7C6B34"/>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44B12FE"/>
    <w:multiLevelType w:val="hybridMultilevel"/>
    <w:tmpl w:val="F9F829BC"/>
    <w:lvl w:ilvl="0" w:tplc="B7664988">
      <w:start w:val="1"/>
      <w:numFmt w:val="decimal"/>
      <w:lvlText w:val="%1."/>
      <w:lvlJc w:val="left"/>
      <w:pPr>
        <w:ind w:left="720" w:hanging="360"/>
      </w:pPr>
      <w:rPr>
        <w:rFonts w:hint="default"/>
      </w:rPr>
    </w:lvl>
    <w:lvl w:ilvl="1" w:tplc="35F67E7C">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BE2461"/>
    <w:multiLevelType w:val="hybridMultilevel"/>
    <w:tmpl w:val="4FA27BB2"/>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9EA20E6"/>
    <w:multiLevelType w:val="hybridMultilevel"/>
    <w:tmpl w:val="AE7EBBC0"/>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nsid w:val="5B1F0C86"/>
    <w:multiLevelType w:val="hybridMultilevel"/>
    <w:tmpl w:val="CA1620FA"/>
    <w:lvl w:ilvl="0" w:tplc="C46E396A">
      <w:start w:val="1"/>
      <w:numFmt w:val="upperRoman"/>
      <w:pStyle w:val="Heading1"/>
      <w:lvlText w:val="%1."/>
      <w:lvlJc w:val="left"/>
      <w:pPr>
        <w:ind w:left="0" w:firstLine="0"/>
      </w:pPr>
      <w:rPr>
        <w:rFonts w:hint="default"/>
      </w:rPr>
    </w:lvl>
    <w:lvl w:ilvl="1" w:tplc="6784B594">
      <w:start w:val="1"/>
      <w:numFmt w:val="upperLetter"/>
      <w:pStyle w:val="Heading2"/>
      <w:lvlText w:val="%2."/>
      <w:lvlJc w:val="left"/>
      <w:pPr>
        <w:ind w:left="0" w:firstLine="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EEC14B3"/>
    <w:multiLevelType w:val="hybridMultilevel"/>
    <w:tmpl w:val="4C8E34C8"/>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nsid w:val="74454990"/>
    <w:multiLevelType w:val="hybridMultilevel"/>
    <w:tmpl w:val="CA8C07D6"/>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5"/>
  </w:num>
  <w:num w:numId="8">
    <w:abstractNumId w:val="2"/>
  </w:num>
  <w:num w:numId="9">
    <w:abstractNumId w:val="12"/>
  </w:num>
  <w:num w:numId="10">
    <w:abstractNumId w:val="11"/>
  </w:num>
  <w:num w:numId="11">
    <w:abstractNumId w:val="9"/>
  </w:num>
  <w:num w:numId="12">
    <w:abstractNumId w:val="6"/>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FTS_Glossary"/>
    <w:docVar w:name="TermBaseURL" w:val="empty"/>
    <w:docVar w:name="TextBases" w:val="TextBase TMs\WorkspaceFTS\EN-FR\Académie|TextBase TMs\WorkspaceFTS\EN-FR\ACE|TextBase TMs\WorkspaceFTS\EN-FR\Administratif|TextBase TMs\WorkspaceFTS\EN-FR\AMC|TextBase TMs\WorkspaceFTS\EN-FR\Assemblées|TextBase TMs\WorkspaceFTS\EN-FR\Budapest|TextBase TMs\WorkspaceFTS\EN-FR\CDIP|TextBase TMs\WorkspaceFTS\EN-FR\Communications|TextBase TMs\WorkspaceFTS\EN-FR\CWS|TextBase TMs\WorkspaceFTS\EN-FR\Divers|TextBase TMs\WorkspaceFTS\EN-FR\Glossaires|TextBase TMs\WorkspaceFTS\EN-FR\GRTKF|TextBase TMs\WorkspaceFTS\EN-FR\IPC|TextBase TMs\WorkspaceFTS\EN-FR\La_Haye|TextBase TMs\WorkspaceFTS\EN-FR\Lisbonne|TextBase TMs\WorkspaceFTS\EN-FR\Madrid|TextBase TMs\WorkspaceFTS\EN-FR\PBC|TextBase TMs\WorkspaceFTS\EN-FR\PCT|TextBase TMs\WorkspaceFTS\EN-FR\PLT|TextBase TMs\WorkspaceFTS\EN-FR\Publications|TextBase TMs\WorkspaceFTS\EN-FR\SCCR|TextBase TMs\WorkspaceFTS\EN-FR\SCP|TextBase TMs\WorkspaceFTS\EN-FR\SCT|TextBase TMs\WorkspaceFTS\EN-FR\traités|TextBase TMs\WorkspaceFTS\EN-FR\UPOV|Team Server TMs\Default|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Glossaries\EN-FR|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
    <w:docVar w:name="TextBaseURL" w:val="empty"/>
    <w:docVar w:name="UILng" w:val="en"/>
  </w:docVars>
  <w:rsids>
    <w:rsidRoot w:val="00834C57"/>
    <w:rsid w:val="00043CAA"/>
    <w:rsid w:val="000618AA"/>
    <w:rsid w:val="00073FF1"/>
    <w:rsid w:val="00075432"/>
    <w:rsid w:val="0008050F"/>
    <w:rsid w:val="000968ED"/>
    <w:rsid w:val="000B6556"/>
    <w:rsid w:val="000F5E56"/>
    <w:rsid w:val="001142B5"/>
    <w:rsid w:val="001362EE"/>
    <w:rsid w:val="00140A00"/>
    <w:rsid w:val="00151760"/>
    <w:rsid w:val="00163CFC"/>
    <w:rsid w:val="001750B7"/>
    <w:rsid w:val="001832A6"/>
    <w:rsid w:val="001A0559"/>
    <w:rsid w:val="001A5D93"/>
    <w:rsid w:val="001D3AA8"/>
    <w:rsid w:val="001D7CB8"/>
    <w:rsid w:val="001E745D"/>
    <w:rsid w:val="002224C6"/>
    <w:rsid w:val="00233B23"/>
    <w:rsid w:val="002634C4"/>
    <w:rsid w:val="00270085"/>
    <w:rsid w:val="00272B75"/>
    <w:rsid w:val="0027667C"/>
    <w:rsid w:val="002912CE"/>
    <w:rsid w:val="002928D3"/>
    <w:rsid w:val="002B2218"/>
    <w:rsid w:val="002B595B"/>
    <w:rsid w:val="002D2382"/>
    <w:rsid w:val="002E2933"/>
    <w:rsid w:val="002F1FE6"/>
    <w:rsid w:val="002F4E68"/>
    <w:rsid w:val="00301841"/>
    <w:rsid w:val="0030521B"/>
    <w:rsid w:val="00307AA6"/>
    <w:rsid w:val="00312F7F"/>
    <w:rsid w:val="003159C5"/>
    <w:rsid w:val="00322F4C"/>
    <w:rsid w:val="00332E76"/>
    <w:rsid w:val="00360CF6"/>
    <w:rsid w:val="00361450"/>
    <w:rsid w:val="00363E8B"/>
    <w:rsid w:val="003673CF"/>
    <w:rsid w:val="0037397C"/>
    <w:rsid w:val="003845C1"/>
    <w:rsid w:val="003952C6"/>
    <w:rsid w:val="00395D12"/>
    <w:rsid w:val="003A6F89"/>
    <w:rsid w:val="003B38C1"/>
    <w:rsid w:val="003C2D72"/>
    <w:rsid w:val="003D608C"/>
    <w:rsid w:val="003F10F0"/>
    <w:rsid w:val="003F6102"/>
    <w:rsid w:val="0041224B"/>
    <w:rsid w:val="00416D47"/>
    <w:rsid w:val="00423E3E"/>
    <w:rsid w:val="00427AF4"/>
    <w:rsid w:val="00455AD7"/>
    <w:rsid w:val="004647DA"/>
    <w:rsid w:val="00474062"/>
    <w:rsid w:val="00477D6B"/>
    <w:rsid w:val="00494B30"/>
    <w:rsid w:val="004A3EDA"/>
    <w:rsid w:val="004B079C"/>
    <w:rsid w:val="004C16C1"/>
    <w:rsid w:val="004D0184"/>
    <w:rsid w:val="004D0CC6"/>
    <w:rsid w:val="004E73D8"/>
    <w:rsid w:val="004F7EE8"/>
    <w:rsid w:val="005019FF"/>
    <w:rsid w:val="005059EE"/>
    <w:rsid w:val="00511C00"/>
    <w:rsid w:val="0053057A"/>
    <w:rsid w:val="00541174"/>
    <w:rsid w:val="00543AF9"/>
    <w:rsid w:val="0055550F"/>
    <w:rsid w:val="005557F2"/>
    <w:rsid w:val="00560A29"/>
    <w:rsid w:val="005610A3"/>
    <w:rsid w:val="00564C9D"/>
    <w:rsid w:val="00565026"/>
    <w:rsid w:val="00570479"/>
    <w:rsid w:val="00591B97"/>
    <w:rsid w:val="005C6649"/>
    <w:rsid w:val="005E525F"/>
    <w:rsid w:val="005F0E47"/>
    <w:rsid w:val="00605827"/>
    <w:rsid w:val="00626E71"/>
    <w:rsid w:val="00646050"/>
    <w:rsid w:val="0065171A"/>
    <w:rsid w:val="006526A2"/>
    <w:rsid w:val="006609E0"/>
    <w:rsid w:val="006713CA"/>
    <w:rsid w:val="0067439A"/>
    <w:rsid w:val="006764A2"/>
    <w:rsid w:val="00676C5C"/>
    <w:rsid w:val="006C06BE"/>
    <w:rsid w:val="006D4BE6"/>
    <w:rsid w:val="006D570C"/>
    <w:rsid w:val="00744383"/>
    <w:rsid w:val="0076445E"/>
    <w:rsid w:val="007655C2"/>
    <w:rsid w:val="007707EC"/>
    <w:rsid w:val="00796EAB"/>
    <w:rsid w:val="007B42A5"/>
    <w:rsid w:val="007D0EBE"/>
    <w:rsid w:val="007D1613"/>
    <w:rsid w:val="007D6B01"/>
    <w:rsid w:val="0080285E"/>
    <w:rsid w:val="008206CE"/>
    <w:rsid w:val="00834C57"/>
    <w:rsid w:val="00844853"/>
    <w:rsid w:val="0087597B"/>
    <w:rsid w:val="00882C65"/>
    <w:rsid w:val="00887C40"/>
    <w:rsid w:val="008911A5"/>
    <w:rsid w:val="008A36AF"/>
    <w:rsid w:val="008B2CC1"/>
    <w:rsid w:val="008B60B2"/>
    <w:rsid w:val="008B79FB"/>
    <w:rsid w:val="008C6E0A"/>
    <w:rsid w:val="008F48E8"/>
    <w:rsid w:val="009002E5"/>
    <w:rsid w:val="0090731E"/>
    <w:rsid w:val="00916EE2"/>
    <w:rsid w:val="00952784"/>
    <w:rsid w:val="009569EA"/>
    <w:rsid w:val="009658A2"/>
    <w:rsid w:val="00966A22"/>
    <w:rsid w:val="0096722F"/>
    <w:rsid w:val="00973618"/>
    <w:rsid w:val="00980843"/>
    <w:rsid w:val="0098329E"/>
    <w:rsid w:val="0099012C"/>
    <w:rsid w:val="009906C0"/>
    <w:rsid w:val="00994782"/>
    <w:rsid w:val="009B7BAC"/>
    <w:rsid w:val="009E2791"/>
    <w:rsid w:val="009E3F6F"/>
    <w:rsid w:val="009F499F"/>
    <w:rsid w:val="00A03AC5"/>
    <w:rsid w:val="00A1078F"/>
    <w:rsid w:val="00A146FA"/>
    <w:rsid w:val="00A33390"/>
    <w:rsid w:val="00A42DAF"/>
    <w:rsid w:val="00A45BD8"/>
    <w:rsid w:val="00A869B7"/>
    <w:rsid w:val="00AC205C"/>
    <w:rsid w:val="00AF0A6B"/>
    <w:rsid w:val="00AF3378"/>
    <w:rsid w:val="00AF611F"/>
    <w:rsid w:val="00B03540"/>
    <w:rsid w:val="00B05A69"/>
    <w:rsid w:val="00B171A1"/>
    <w:rsid w:val="00B21BB1"/>
    <w:rsid w:val="00B312F7"/>
    <w:rsid w:val="00B56DEE"/>
    <w:rsid w:val="00B61D15"/>
    <w:rsid w:val="00B70317"/>
    <w:rsid w:val="00B9734B"/>
    <w:rsid w:val="00BA30E2"/>
    <w:rsid w:val="00C11BFE"/>
    <w:rsid w:val="00C51805"/>
    <w:rsid w:val="00C6005A"/>
    <w:rsid w:val="00C60780"/>
    <w:rsid w:val="00C7472E"/>
    <w:rsid w:val="00C805BC"/>
    <w:rsid w:val="00C9393A"/>
    <w:rsid w:val="00CB05B1"/>
    <w:rsid w:val="00CD04F1"/>
    <w:rsid w:val="00D05BB8"/>
    <w:rsid w:val="00D07BC2"/>
    <w:rsid w:val="00D2220E"/>
    <w:rsid w:val="00D43DA1"/>
    <w:rsid w:val="00D45252"/>
    <w:rsid w:val="00D52398"/>
    <w:rsid w:val="00D71B4D"/>
    <w:rsid w:val="00D7499F"/>
    <w:rsid w:val="00D764D6"/>
    <w:rsid w:val="00D93D55"/>
    <w:rsid w:val="00DC1448"/>
    <w:rsid w:val="00E012D1"/>
    <w:rsid w:val="00E10C83"/>
    <w:rsid w:val="00E21124"/>
    <w:rsid w:val="00E335FE"/>
    <w:rsid w:val="00E4629F"/>
    <w:rsid w:val="00E53BC4"/>
    <w:rsid w:val="00E862D4"/>
    <w:rsid w:val="00E90B8A"/>
    <w:rsid w:val="00E965AC"/>
    <w:rsid w:val="00EB74DB"/>
    <w:rsid w:val="00EB75A1"/>
    <w:rsid w:val="00EC4E49"/>
    <w:rsid w:val="00ED77FB"/>
    <w:rsid w:val="00EE45FA"/>
    <w:rsid w:val="00F01AEA"/>
    <w:rsid w:val="00F14132"/>
    <w:rsid w:val="00F315E0"/>
    <w:rsid w:val="00F46E10"/>
    <w:rsid w:val="00F65F5B"/>
    <w:rsid w:val="00F66152"/>
    <w:rsid w:val="00F6707E"/>
    <w:rsid w:val="00FC1F45"/>
    <w:rsid w:val="00FD32F2"/>
    <w:rsid w:val="00FE190E"/>
    <w:rsid w:val="00FE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3159C5"/>
    <w:pPr>
      <w:keepNext/>
      <w:numPr>
        <w:numId w:val="13"/>
      </w:numPr>
      <w:spacing w:before="240" w:after="60"/>
      <w:outlineLvl w:val="0"/>
    </w:pPr>
    <w:rPr>
      <w:b/>
      <w:bCs/>
      <w:caps/>
      <w:kern w:val="32"/>
      <w:szCs w:val="32"/>
      <w:lang w:val="fr-FR"/>
    </w:rPr>
  </w:style>
  <w:style w:type="paragraph" w:styleId="Heading2">
    <w:name w:val="heading 2"/>
    <w:basedOn w:val="Normal"/>
    <w:next w:val="Normal"/>
    <w:link w:val="Heading2Char"/>
    <w:qFormat/>
    <w:rsid w:val="003159C5"/>
    <w:pPr>
      <w:keepNext/>
      <w:numPr>
        <w:ilvl w:val="1"/>
        <w:numId w:val="13"/>
      </w:numPr>
      <w:spacing w:before="240" w:after="60"/>
      <w:outlineLvl w:val="1"/>
    </w:pPr>
    <w:rPr>
      <w:bCs/>
      <w:iCs/>
      <w:caps/>
      <w:szCs w:val="28"/>
      <w:lang w:val="fr-FR"/>
    </w:rPr>
  </w:style>
  <w:style w:type="paragraph" w:styleId="Heading3">
    <w:name w:val="heading 3"/>
    <w:basedOn w:val="Normal"/>
    <w:next w:val="Normal"/>
    <w:link w:val="Heading3Char"/>
    <w:qFormat/>
    <w:rsid w:val="00360CF6"/>
    <w:pPr>
      <w:keepNext/>
      <w:spacing w:before="240" w:after="60"/>
      <w:ind w:left="567"/>
      <w:outlineLvl w:val="2"/>
    </w:pPr>
    <w:rPr>
      <w:bCs/>
      <w:szCs w:val="26"/>
      <w:u w:val="single"/>
      <w:lang w:val="fr-FR"/>
    </w:rPr>
  </w:style>
  <w:style w:type="paragraph" w:styleId="Heading4">
    <w:name w:val="heading 4"/>
    <w:basedOn w:val="Normal"/>
    <w:next w:val="Normal"/>
    <w:qFormat/>
    <w:rsid w:val="003159C5"/>
    <w:pPr>
      <w:keepNext/>
      <w:spacing w:before="240" w:after="60"/>
      <w:ind w:left="1134"/>
      <w:outlineLvl w:val="3"/>
    </w:pPr>
    <w:rPr>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character" w:customStyle="1" w:styleId="Heading1Char">
    <w:name w:val="Heading 1 Char"/>
    <w:basedOn w:val="DefaultParagraphFont"/>
    <w:link w:val="Heading1"/>
    <w:rsid w:val="003159C5"/>
    <w:rPr>
      <w:rFonts w:ascii="Arial" w:eastAsia="SimSun" w:hAnsi="Arial" w:cs="Arial"/>
      <w:b/>
      <w:bCs/>
      <w:caps/>
      <w:kern w:val="32"/>
      <w:sz w:val="22"/>
      <w:szCs w:val="32"/>
      <w:lang w:val="fr-FR" w:eastAsia="zh-CN"/>
    </w:rPr>
  </w:style>
  <w:style w:type="character" w:customStyle="1" w:styleId="Heading2Char">
    <w:name w:val="Heading 2 Char"/>
    <w:basedOn w:val="DefaultParagraphFont"/>
    <w:link w:val="Heading2"/>
    <w:rsid w:val="003159C5"/>
    <w:rPr>
      <w:rFonts w:ascii="Arial" w:eastAsia="SimSun" w:hAnsi="Arial" w:cs="Arial"/>
      <w:bCs/>
      <w:iCs/>
      <w:caps/>
      <w:sz w:val="22"/>
      <w:szCs w:val="28"/>
      <w:lang w:val="fr-FR" w:eastAsia="zh-CN"/>
    </w:rPr>
  </w:style>
  <w:style w:type="character" w:customStyle="1" w:styleId="Heading3Char">
    <w:name w:val="Heading 3 Char"/>
    <w:basedOn w:val="DefaultParagraphFont"/>
    <w:link w:val="Heading3"/>
    <w:rsid w:val="00360CF6"/>
    <w:rPr>
      <w:rFonts w:ascii="Arial" w:eastAsia="SimSun" w:hAnsi="Arial" w:cs="Arial"/>
      <w:bCs/>
      <w:sz w:val="22"/>
      <w:szCs w:val="26"/>
      <w:u w:val="single"/>
      <w:lang w:val="fr-FR" w:eastAsia="zh-CN"/>
    </w:rPr>
  </w:style>
  <w:style w:type="character" w:customStyle="1" w:styleId="FootnoteTextChar">
    <w:name w:val="Footnote Text Char"/>
    <w:basedOn w:val="DefaultParagraphFont"/>
    <w:link w:val="FootnoteText"/>
    <w:uiPriority w:val="99"/>
    <w:semiHidden/>
    <w:rsid w:val="00796EAB"/>
    <w:rPr>
      <w:rFonts w:ascii="Arial" w:eastAsia="SimSun" w:hAnsi="Arial" w:cs="Arial"/>
      <w:sz w:val="18"/>
      <w:lang w:eastAsia="zh-CN"/>
    </w:rPr>
  </w:style>
  <w:style w:type="paragraph" w:customStyle="1" w:styleId="DecisionInvitingPara">
    <w:name w:val="Decision Inviting Para."/>
    <w:basedOn w:val="Normal"/>
    <w:rsid w:val="00796EAB"/>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796EAB"/>
    <w:rPr>
      <w:vertAlign w:val="superscript"/>
    </w:rPr>
  </w:style>
  <w:style w:type="character" w:customStyle="1" w:styleId="ONUMEChar">
    <w:name w:val="ONUM E Char"/>
    <w:link w:val="ONUME"/>
    <w:rsid w:val="00796EAB"/>
    <w:rPr>
      <w:rFonts w:ascii="Arial" w:eastAsia="SimSun" w:hAnsi="Arial" w:cs="Arial"/>
      <w:sz w:val="22"/>
      <w:lang w:eastAsia="zh-CN"/>
    </w:rPr>
  </w:style>
  <w:style w:type="paragraph" w:styleId="NormalWeb">
    <w:name w:val="Normal (Web)"/>
    <w:basedOn w:val="Normal"/>
    <w:uiPriority w:val="99"/>
    <w:rsid w:val="00796EAB"/>
    <w:pPr>
      <w:spacing w:before="100" w:beforeAutospacing="1" w:after="100" w:afterAutospacing="1"/>
    </w:pPr>
    <w:rPr>
      <w:rFonts w:ascii="Times New Roman" w:eastAsia="Batang" w:hAnsi="Times New Roman" w:cs="Times New Roman"/>
      <w:sz w:val="24"/>
      <w:szCs w:val="24"/>
      <w:lang w:eastAsia="ko-KR"/>
    </w:rPr>
  </w:style>
  <w:style w:type="character" w:styleId="Hyperlink">
    <w:name w:val="Hyperlink"/>
    <w:basedOn w:val="DefaultParagraphFont"/>
    <w:uiPriority w:val="99"/>
    <w:rsid w:val="00796EAB"/>
    <w:rPr>
      <w:color w:val="0000FF" w:themeColor="hyperlink"/>
      <w:u w:val="single"/>
    </w:rPr>
  </w:style>
  <w:style w:type="paragraph" w:styleId="ListParagraph">
    <w:name w:val="List Paragraph"/>
    <w:basedOn w:val="Normal"/>
    <w:uiPriority w:val="34"/>
    <w:qFormat/>
    <w:rsid w:val="00796EAB"/>
    <w:pPr>
      <w:ind w:left="720"/>
      <w:contextualSpacing/>
    </w:pPr>
    <w:rPr>
      <w:rFonts w:eastAsia="Times New Roman" w:cs="Times New Roman"/>
      <w:lang w:eastAsia="en-US"/>
    </w:rPr>
  </w:style>
  <w:style w:type="character" w:styleId="CommentReference">
    <w:name w:val="annotation reference"/>
    <w:basedOn w:val="DefaultParagraphFont"/>
    <w:rsid w:val="001142B5"/>
    <w:rPr>
      <w:sz w:val="16"/>
      <w:szCs w:val="16"/>
    </w:rPr>
  </w:style>
  <w:style w:type="character" w:customStyle="1" w:styleId="CommentTextChar">
    <w:name w:val="Comment Text Char"/>
    <w:basedOn w:val="DefaultParagraphFont"/>
    <w:link w:val="CommentText"/>
    <w:semiHidden/>
    <w:rsid w:val="001142B5"/>
    <w:rPr>
      <w:rFonts w:ascii="Arial" w:eastAsia="SimSun" w:hAnsi="Arial" w:cs="Arial"/>
      <w:sz w:val="18"/>
      <w:lang w:eastAsia="zh-CN"/>
    </w:rPr>
  </w:style>
  <w:style w:type="character" w:styleId="EndnoteReference">
    <w:name w:val="endnote reference"/>
    <w:basedOn w:val="DefaultParagraphFont"/>
    <w:rsid w:val="00F315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3159C5"/>
    <w:pPr>
      <w:keepNext/>
      <w:numPr>
        <w:numId w:val="13"/>
      </w:numPr>
      <w:spacing w:before="240" w:after="60"/>
      <w:outlineLvl w:val="0"/>
    </w:pPr>
    <w:rPr>
      <w:b/>
      <w:bCs/>
      <w:caps/>
      <w:kern w:val="32"/>
      <w:szCs w:val="32"/>
      <w:lang w:val="fr-FR"/>
    </w:rPr>
  </w:style>
  <w:style w:type="paragraph" w:styleId="Heading2">
    <w:name w:val="heading 2"/>
    <w:basedOn w:val="Normal"/>
    <w:next w:val="Normal"/>
    <w:link w:val="Heading2Char"/>
    <w:qFormat/>
    <w:rsid w:val="003159C5"/>
    <w:pPr>
      <w:keepNext/>
      <w:numPr>
        <w:ilvl w:val="1"/>
        <w:numId w:val="13"/>
      </w:numPr>
      <w:spacing w:before="240" w:after="60"/>
      <w:outlineLvl w:val="1"/>
    </w:pPr>
    <w:rPr>
      <w:bCs/>
      <w:iCs/>
      <w:caps/>
      <w:szCs w:val="28"/>
      <w:lang w:val="fr-FR"/>
    </w:rPr>
  </w:style>
  <w:style w:type="paragraph" w:styleId="Heading3">
    <w:name w:val="heading 3"/>
    <w:basedOn w:val="Normal"/>
    <w:next w:val="Normal"/>
    <w:link w:val="Heading3Char"/>
    <w:qFormat/>
    <w:rsid w:val="00360CF6"/>
    <w:pPr>
      <w:keepNext/>
      <w:spacing w:before="240" w:after="60"/>
      <w:ind w:left="567"/>
      <w:outlineLvl w:val="2"/>
    </w:pPr>
    <w:rPr>
      <w:bCs/>
      <w:szCs w:val="26"/>
      <w:u w:val="single"/>
      <w:lang w:val="fr-FR"/>
    </w:rPr>
  </w:style>
  <w:style w:type="paragraph" w:styleId="Heading4">
    <w:name w:val="heading 4"/>
    <w:basedOn w:val="Normal"/>
    <w:next w:val="Normal"/>
    <w:qFormat/>
    <w:rsid w:val="003159C5"/>
    <w:pPr>
      <w:keepNext/>
      <w:spacing w:before="240" w:after="60"/>
      <w:ind w:left="1134"/>
      <w:outlineLvl w:val="3"/>
    </w:pPr>
    <w:rPr>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character" w:customStyle="1" w:styleId="Heading1Char">
    <w:name w:val="Heading 1 Char"/>
    <w:basedOn w:val="DefaultParagraphFont"/>
    <w:link w:val="Heading1"/>
    <w:rsid w:val="003159C5"/>
    <w:rPr>
      <w:rFonts w:ascii="Arial" w:eastAsia="SimSun" w:hAnsi="Arial" w:cs="Arial"/>
      <w:b/>
      <w:bCs/>
      <w:caps/>
      <w:kern w:val="32"/>
      <w:sz w:val="22"/>
      <w:szCs w:val="32"/>
      <w:lang w:val="fr-FR" w:eastAsia="zh-CN"/>
    </w:rPr>
  </w:style>
  <w:style w:type="character" w:customStyle="1" w:styleId="Heading2Char">
    <w:name w:val="Heading 2 Char"/>
    <w:basedOn w:val="DefaultParagraphFont"/>
    <w:link w:val="Heading2"/>
    <w:rsid w:val="003159C5"/>
    <w:rPr>
      <w:rFonts w:ascii="Arial" w:eastAsia="SimSun" w:hAnsi="Arial" w:cs="Arial"/>
      <w:bCs/>
      <w:iCs/>
      <w:caps/>
      <w:sz w:val="22"/>
      <w:szCs w:val="28"/>
      <w:lang w:val="fr-FR" w:eastAsia="zh-CN"/>
    </w:rPr>
  </w:style>
  <w:style w:type="character" w:customStyle="1" w:styleId="Heading3Char">
    <w:name w:val="Heading 3 Char"/>
    <w:basedOn w:val="DefaultParagraphFont"/>
    <w:link w:val="Heading3"/>
    <w:rsid w:val="00360CF6"/>
    <w:rPr>
      <w:rFonts w:ascii="Arial" w:eastAsia="SimSun" w:hAnsi="Arial" w:cs="Arial"/>
      <w:bCs/>
      <w:sz w:val="22"/>
      <w:szCs w:val="26"/>
      <w:u w:val="single"/>
      <w:lang w:val="fr-FR" w:eastAsia="zh-CN"/>
    </w:rPr>
  </w:style>
  <w:style w:type="character" w:customStyle="1" w:styleId="FootnoteTextChar">
    <w:name w:val="Footnote Text Char"/>
    <w:basedOn w:val="DefaultParagraphFont"/>
    <w:link w:val="FootnoteText"/>
    <w:uiPriority w:val="99"/>
    <w:semiHidden/>
    <w:rsid w:val="00796EAB"/>
    <w:rPr>
      <w:rFonts w:ascii="Arial" w:eastAsia="SimSun" w:hAnsi="Arial" w:cs="Arial"/>
      <w:sz w:val="18"/>
      <w:lang w:eastAsia="zh-CN"/>
    </w:rPr>
  </w:style>
  <w:style w:type="paragraph" w:customStyle="1" w:styleId="DecisionInvitingPara">
    <w:name w:val="Decision Inviting Para."/>
    <w:basedOn w:val="Normal"/>
    <w:rsid w:val="00796EAB"/>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796EAB"/>
    <w:rPr>
      <w:vertAlign w:val="superscript"/>
    </w:rPr>
  </w:style>
  <w:style w:type="character" w:customStyle="1" w:styleId="ONUMEChar">
    <w:name w:val="ONUM E Char"/>
    <w:link w:val="ONUME"/>
    <w:rsid w:val="00796EAB"/>
    <w:rPr>
      <w:rFonts w:ascii="Arial" w:eastAsia="SimSun" w:hAnsi="Arial" w:cs="Arial"/>
      <w:sz w:val="22"/>
      <w:lang w:eastAsia="zh-CN"/>
    </w:rPr>
  </w:style>
  <w:style w:type="paragraph" w:styleId="NormalWeb">
    <w:name w:val="Normal (Web)"/>
    <w:basedOn w:val="Normal"/>
    <w:uiPriority w:val="99"/>
    <w:rsid w:val="00796EAB"/>
    <w:pPr>
      <w:spacing w:before="100" w:beforeAutospacing="1" w:after="100" w:afterAutospacing="1"/>
    </w:pPr>
    <w:rPr>
      <w:rFonts w:ascii="Times New Roman" w:eastAsia="Batang" w:hAnsi="Times New Roman" w:cs="Times New Roman"/>
      <w:sz w:val="24"/>
      <w:szCs w:val="24"/>
      <w:lang w:eastAsia="ko-KR"/>
    </w:rPr>
  </w:style>
  <w:style w:type="character" w:styleId="Hyperlink">
    <w:name w:val="Hyperlink"/>
    <w:basedOn w:val="DefaultParagraphFont"/>
    <w:uiPriority w:val="99"/>
    <w:rsid w:val="00796EAB"/>
    <w:rPr>
      <w:color w:val="0000FF" w:themeColor="hyperlink"/>
      <w:u w:val="single"/>
    </w:rPr>
  </w:style>
  <w:style w:type="paragraph" w:styleId="ListParagraph">
    <w:name w:val="List Paragraph"/>
    <w:basedOn w:val="Normal"/>
    <w:uiPriority w:val="34"/>
    <w:qFormat/>
    <w:rsid w:val="00796EAB"/>
    <w:pPr>
      <w:ind w:left="720"/>
      <w:contextualSpacing/>
    </w:pPr>
    <w:rPr>
      <w:rFonts w:eastAsia="Times New Roman" w:cs="Times New Roman"/>
      <w:lang w:eastAsia="en-US"/>
    </w:rPr>
  </w:style>
  <w:style w:type="character" w:styleId="CommentReference">
    <w:name w:val="annotation reference"/>
    <w:basedOn w:val="DefaultParagraphFont"/>
    <w:rsid w:val="001142B5"/>
    <w:rPr>
      <w:sz w:val="16"/>
      <w:szCs w:val="16"/>
    </w:rPr>
  </w:style>
  <w:style w:type="character" w:customStyle="1" w:styleId="CommentTextChar">
    <w:name w:val="Comment Text Char"/>
    <w:basedOn w:val="DefaultParagraphFont"/>
    <w:link w:val="CommentText"/>
    <w:semiHidden/>
    <w:rsid w:val="001142B5"/>
    <w:rPr>
      <w:rFonts w:ascii="Arial" w:eastAsia="SimSun" w:hAnsi="Arial" w:cs="Arial"/>
      <w:sz w:val="18"/>
      <w:lang w:eastAsia="zh-CN"/>
    </w:rPr>
  </w:style>
  <w:style w:type="character" w:styleId="EndnoteReference">
    <w:name w:val="endnote reference"/>
    <w:basedOn w:val="DefaultParagraphFont"/>
    <w:rsid w:val="00F315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8BF77-4CC4-4CD6-BB47-827CF4205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48 (E)</Template>
  <TotalTime>10</TotalTime>
  <Pages>16</Pages>
  <Words>6260</Words>
  <Characters>35413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WO/GA/48/</vt:lpstr>
    </vt:vector>
  </TitlesOfParts>
  <Company>WIPO</Company>
  <LinksUpToDate>false</LinksUpToDate>
  <CharactersWithSpaces>41590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dc:title>
  <dc:creator>RATTRAY Adam</dc:creator>
  <cp:keywords>NGG/ko</cp:keywords>
  <cp:lastModifiedBy>MARIN-CUDRAZ DAVI Nicoletta</cp:lastModifiedBy>
  <cp:revision>5</cp:revision>
  <cp:lastPrinted>2016-06-22T10:02:00Z</cp:lastPrinted>
  <dcterms:created xsi:type="dcterms:W3CDTF">2016-09-07T12:40:00Z</dcterms:created>
  <dcterms:modified xsi:type="dcterms:W3CDTF">2016-09-12T09:03:00Z</dcterms:modified>
</cp:coreProperties>
</file>