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D22D4D" w:rsidRPr="004C0E7A" w:rsidTr="008E117E">
        <w:tc>
          <w:tcPr>
            <w:tcW w:w="4513" w:type="dxa"/>
            <w:tcBorders>
              <w:bottom w:val="single" w:sz="4" w:space="0" w:color="auto"/>
            </w:tcBorders>
            <w:tcMar>
              <w:bottom w:w="170" w:type="dxa"/>
            </w:tcMar>
          </w:tcPr>
          <w:p w:rsidR="00D22D4D" w:rsidRPr="004C0E7A" w:rsidRDefault="00D22D4D" w:rsidP="008E117E">
            <w:pPr>
              <w:rPr>
                <w:lang w:val="fr-FR"/>
              </w:rPr>
            </w:pPr>
            <w:bookmarkStart w:id="0" w:name="TitleOfDoc"/>
            <w:bookmarkStart w:id="1" w:name="_GoBack"/>
            <w:bookmarkEnd w:id="0"/>
            <w:bookmarkEnd w:id="1"/>
          </w:p>
        </w:tc>
        <w:tc>
          <w:tcPr>
            <w:tcW w:w="4337" w:type="dxa"/>
            <w:tcBorders>
              <w:bottom w:val="single" w:sz="4" w:space="0" w:color="auto"/>
            </w:tcBorders>
            <w:tcMar>
              <w:left w:w="0" w:type="dxa"/>
              <w:right w:w="0" w:type="dxa"/>
            </w:tcMar>
          </w:tcPr>
          <w:p w:rsidR="00D22D4D" w:rsidRPr="004C0E7A" w:rsidRDefault="00D22D4D" w:rsidP="008E117E">
            <w:pPr>
              <w:rPr>
                <w:lang w:val="fr-FR"/>
              </w:rPr>
            </w:pPr>
            <w:r w:rsidRPr="004C0E7A">
              <w:rPr>
                <w:noProof/>
                <w:lang w:eastAsia="en-US"/>
              </w:rPr>
              <w:drawing>
                <wp:inline distT="0" distB="0" distL="0" distR="0" wp14:anchorId="5FC982ED" wp14:editId="50B0AA38">
                  <wp:extent cx="1857375" cy="1323975"/>
                  <wp:effectExtent l="0" t="0" r="9525" b="9525"/>
                  <wp:docPr id="1" name="Picture 1" descr="WIPO-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D22D4D" w:rsidRPr="004C0E7A" w:rsidRDefault="00D22D4D" w:rsidP="008E117E">
            <w:pPr>
              <w:jc w:val="right"/>
              <w:rPr>
                <w:lang w:val="fr-FR"/>
              </w:rPr>
            </w:pPr>
            <w:r w:rsidRPr="004C0E7A">
              <w:rPr>
                <w:b/>
                <w:sz w:val="40"/>
                <w:szCs w:val="40"/>
                <w:lang w:val="fr-FR"/>
              </w:rPr>
              <w:t>F</w:t>
            </w:r>
          </w:p>
        </w:tc>
      </w:tr>
      <w:tr w:rsidR="00D22D4D" w:rsidRPr="004C0E7A" w:rsidTr="008E117E">
        <w:trPr>
          <w:trHeight w:hRule="exact" w:val="340"/>
        </w:trPr>
        <w:tc>
          <w:tcPr>
            <w:tcW w:w="9356" w:type="dxa"/>
            <w:gridSpan w:val="3"/>
            <w:tcBorders>
              <w:top w:val="single" w:sz="4" w:space="0" w:color="auto"/>
            </w:tcBorders>
            <w:tcMar>
              <w:top w:w="170" w:type="dxa"/>
              <w:left w:w="0" w:type="dxa"/>
              <w:right w:w="0" w:type="dxa"/>
            </w:tcMar>
            <w:vAlign w:val="bottom"/>
          </w:tcPr>
          <w:p w:rsidR="00D22D4D" w:rsidRPr="004C0E7A" w:rsidRDefault="00D22D4D" w:rsidP="008E117E">
            <w:pPr>
              <w:jc w:val="right"/>
              <w:rPr>
                <w:rFonts w:ascii="Arial Black" w:hAnsi="Arial Black"/>
                <w:caps/>
                <w:sz w:val="15"/>
                <w:lang w:val="fr-FR"/>
              </w:rPr>
            </w:pPr>
            <w:r w:rsidRPr="004C0E7A">
              <w:rPr>
                <w:rFonts w:ascii="Arial Black" w:hAnsi="Arial Black"/>
                <w:caps/>
                <w:sz w:val="15"/>
                <w:lang w:val="fr-FR"/>
              </w:rPr>
              <w:t>wo/ga/47/</w:t>
            </w:r>
            <w:bookmarkStart w:id="2" w:name="Code"/>
            <w:bookmarkEnd w:id="2"/>
            <w:r w:rsidRPr="004C0E7A">
              <w:rPr>
                <w:rFonts w:ascii="Arial Black" w:hAnsi="Arial Black"/>
                <w:caps/>
                <w:sz w:val="15"/>
                <w:lang w:val="fr-FR"/>
              </w:rPr>
              <w:t>4</w:t>
            </w:r>
          </w:p>
        </w:tc>
      </w:tr>
      <w:tr w:rsidR="00D22D4D" w:rsidRPr="004C0E7A" w:rsidTr="008E117E">
        <w:trPr>
          <w:trHeight w:hRule="exact" w:val="170"/>
        </w:trPr>
        <w:tc>
          <w:tcPr>
            <w:tcW w:w="9356" w:type="dxa"/>
            <w:gridSpan w:val="3"/>
            <w:noWrap/>
            <w:tcMar>
              <w:left w:w="0" w:type="dxa"/>
              <w:right w:w="0" w:type="dxa"/>
            </w:tcMar>
            <w:vAlign w:val="bottom"/>
          </w:tcPr>
          <w:p w:rsidR="00D22D4D" w:rsidRPr="004C0E7A" w:rsidRDefault="00D22D4D" w:rsidP="008E117E">
            <w:pPr>
              <w:jc w:val="right"/>
              <w:rPr>
                <w:rFonts w:ascii="Arial Black" w:hAnsi="Arial Black"/>
                <w:caps/>
                <w:sz w:val="15"/>
                <w:lang w:val="fr-FR"/>
              </w:rPr>
            </w:pPr>
            <w:r w:rsidRPr="004C0E7A">
              <w:rPr>
                <w:rFonts w:ascii="Arial Black" w:hAnsi="Arial Black"/>
                <w:caps/>
                <w:sz w:val="15"/>
                <w:lang w:val="fr-FR"/>
              </w:rPr>
              <w:t xml:space="preserve">ORIGINAL : </w:t>
            </w:r>
            <w:bookmarkStart w:id="3" w:name="Original"/>
            <w:bookmarkEnd w:id="3"/>
            <w:r w:rsidRPr="004C0E7A">
              <w:rPr>
                <w:rFonts w:ascii="Arial Black" w:hAnsi="Arial Black"/>
                <w:caps/>
                <w:sz w:val="15"/>
                <w:lang w:val="fr-FR"/>
              </w:rPr>
              <w:t>anglais</w:t>
            </w:r>
          </w:p>
        </w:tc>
      </w:tr>
      <w:tr w:rsidR="00D22D4D" w:rsidRPr="004C0E7A" w:rsidTr="008E117E">
        <w:trPr>
          <w:trHeight w:hRule="exact" w:val="198"/>
        </w:trPr>
        <w:tc>
          <w:tcPr>
            <w:tcW w:w="9356" w:type="dxa"/>
            <w:gridSpan w:val="3"/>
            <w:tcMar>
              <w:left w:w="0" w:type="dxa"/>
              <w:right w:w="0" w:type="dxa"/>
            </w:tcMar>
            <w:vAlign w:val="bottom"/>
          </w:tcPr>
          <w:p w:rsidR="00D22D4D" w:rsidRPr="004C0E7A" w:rsidRDefault="00D22D4D" w:rsidP="008E117E">
            <w:pPr>
              <w:jc w:val="right"/>
              <w:rPr>
                <w:rFonts w:ascii="Arial Black" w:hAnsi="Arial Black"/>
                <w:caps/>
                <w:sz w:val="15"/>
                <w:lang w:val="fr-FR"/>
              </w:rPr>
            </w:pPr>
            <w:r w:rsidRPr="004C0E7A">
              <w:rPr>
                <w:rFonts w:ascii="Arial Black" w:hAnsi="Arial Black"/>
                <w:caps/>
                <w:sz w:val="15"/>
                <w:lang w:val="fr-FR"/>
              </w:rPr>
              <w:t xml:space="preserve">DATE : </w:t>
            </w:r>
            <w:bookmarkStart w:id="4" w:name="Date"/>
            <w:bookmarkEnd w:id="4"/>
            <w:r w:rsidRPr="004C0E7A">
              <w:rPr>
                <w:rFonts w:ascii="Arial Black" w:hAnsi="Arial Black"/>
                <w:caps/>
                <w:sz w:val="15"/>
                <w:lang w:val="fr-FR"/>
              </w:rPr>
              <w:t>4 août 2015</w:t>
            </w:r>
          </w:p>
        </w:tc>
      </w:tr>
    </w:tbl>
    <w:p w:rsidR="00D22D4D" w:rsidRPr="004C0E7A" w:rsidRDefault="00D22D4D" w:rsidP="00D22D4D">
      <w:pPr>
        <w:rPr>
          <w:lang w:val="fr-FR"/>
        </w:rPr>
      </w:pPr>
    </w:p>
    <w:p w:rsidR="00D22D4D" w:rsidRPr="004C0E7A" w:rsidRDefault="00D22D4D" w:rsidP="00D22D4D">
      <w:pPr>
        <w:rPr>
          <w:lang w:val="fr-FR"/>
        </w:rPr>
      </w:pPr>
    </w:p>
    <w:p w:rsidR="00D22D4D" w:rsidRPr="004C0E7A" w:rsidRDefault="00D22D4D" w:rsidP="00D22D4D">
      <w:pPr>
        <w:rPr>
          <w:lang w:val="fr-FR"/>
        </w:rPr>
      </w:pPr>
    </w:p>
    <w:p w:rsidR="00D22D4D" w:rsidRPr="004C0E7A" w:rsidRDefault="00D22D4D" w:rsidP="00D22D4D">
      <w:pPr>
        <w:rPr>
          <w:lang w:val="fr-FR"/>
        </w:rPr>
      </w:pPr>
    </w:p>
    <w:p w:rsidR="00D22D4D" w:rsidRPr="004C0E7A" w:rsidRDefault="00D22D4D" w:rsidP="00D22D4D">
      <w:pPr>
        <w:rPr>
          <w:lang w:val="fr-FR"/>
        </w:rPr>
      </w:pPr>
    </w:p>
    <w:p w:rsidR="00D22D4D" w:rsidRPr="004C0E7A" w:rsidRDefault="00D22D4D" w:rsidP="00D22D4D">
      <w:pPr>
        <w:rPr>
          <w:lang w:val="fr-FR"/>
        </w:rPr>
      </w:pPr>
      <w:r w:rsidRPr="004C0E7A">
        <w:rPr>
          <w:b/>
          <w:sz w:val="28"/>
          <w:szCs w:val="28"/>
          <w:lang w:val="fr-FR"/>
        </w:rPr>
        <w:t xml:space="preserve">Assemblée générale de </w:t>
      </w:r>
      <w:r w:rsidR="00A60D71" w:rsidRPr="004C0E7A">
        <w:rPr>
          <w:b/>
          <w:sz w:val="28"/>
          <w:szCs w:val="28"/>
          <w:lang w:val="fr-FR"/>
        </w:rPr>
        <w:t>l</w:t>
      </w:r>
      <w:r w:rsidRPr="004C0E7A">
        <w:rPr>
          <w:b/>
          <w:sz w:val="28"/>
          <w:szCs w:val="28"/>
          <w:lang w:val="fr-FR"/>
        </w:rPr>
        <w:t>’OMPI</w:t>
      </w:r>
    </w:p>
    <w:p w:rsidR="00D22D4D" w:rsidRPr="004C0E7A" w:rsidRDefault="00D22D4D" w:rsidP="00D22D4D">
      <w:pPr>
        <w:rPr>
          <w:lang w:val="fr-FR"/>
        </w:rPr>
      </w:pPr>
    </w:p>
    <w:p w:rsidR="00D22D4D" w:rsidRPr="004C0E7A" w:rsidRDefault="00D22D4D" w:rsidP="00D22D4D">
      <w:pPr>
        <w:rPr>
          <w:lang w:val="fr-FR"/>
        </w:rPr>
      </w:pPr>
    </w:p>
    <w:p w:rsidR="00D22D4D" w:rsidRPr="004C0E7A" w:rsidRDefault="00D22D4D" w:rsidP="00D22D4D">
      <w:pPr>
        <w:rPr>
          <w:b/>
          <w:sz w:val="24"/>
          <w:szCs w:val="24"/>
          <w:lang w:val="fr-FR"/>
        </w:rPr>
      </w:pPr>
      <w:r w:rsidRPr="004C0E7A">
        <w:rPr>
          <w:b/>
          <w:sz w:val="24"/>
          <w:szCs w:val="24"/>
          <w:lang w:val="fr-FR"/>
        </w:rPr>
        <w:t>Quarante-septième session (22</w:t>
      </w:r>
      <w:r w:rsidRPr="004C0E7A">
        <w:rPr>
          <w:b/>
          <w:sz w:val="24"/>
          <w:szCs w:val="24"/>
          <w:vertAlign w:val="superscript"/>
          <w:lang w:val="fr-FR"/>
        </w:rPr>
        <w:t>e</w:t>
      </w:r>
      <w:r w:rsidRPr="004C0E7A">
        <w:rPr>
          <w:b/>
          <w:sz w:val="24"/>
          <w:szCs w:val="24"/>
          <w:lang w:val="fr-FR"/>
        </w:rPr>
        <w:t xml:space="preserve"> session ordinaire)</w:t>
      </w:r>
    </w:p>
    <w:p w:rsidR="00D22D4D" w:rsidRPr="004C0E7A" w:rsidRDefault="00D22D4D" w:rsidP="00D22D4D">
      <w:pPr>
        <w:rPr>
          <w:b/>
          <w:sz w:val="24"/>
          <w:szCs w:val="24"/>
          <w:lang w:val="fr-FR"/>
        </w:rPr>
      </w:pPr>
      <w:r w:rsidRPr="004C0E7A">
        <w:rPr>
          <w:b/>
          <w:sz w:val="24"/>
          <w:szCs w:val="24"/>
          <w:lang w:val="fr-FR"/>
        </w:rPr>
        <w:t xml:space="preserve">Genève, 5 – </w:t>
      </w:r>
      <w:r w:rsidR="00637FDD" w:rsidRPr="004C0E7A">
        <w:rPr>
          <w:b/>
          <w:sz w:val="24"/>
          <w:szCs w:val="24"/>
          <w:lang w:val="fr-FR"/>
        </w:rPr>
        <w:t>14 octobre </w:t>
      </w:r>
      <w:r w:rsidRPr="004C0E7A">
        <w:rPr>
          <w:b/>
          <w:sz w:val="24"/>
          <w:szCs w:val="24"/>
          <w:lang w:val="fr-FR"/>
        </w:rPr>
        <w:t>2015</w:t>
      </w:r>
    </w:p>
    <w:p w:rsidR="00D22D4D" w:rsidRPr="004C0E7A" w:rsidRDefault="00D22D4D" w:rsidP="00D22D4D">
      <w:pPr>
        <w:rPr>
          <w:lang w:val="fr-FR"/>
        </w:rPr>
      </w:pPr>
    </w:p>
    <w:p w:rsidR="00D22D4D" w:rsidRPr="004C0E7A" w:rsidRDefault="00D22D4D" w:rsidP="00D22D4D">
      <w:pPr>
        <w:rPr>
          <w:lang w:val="fr-FR"/>
        </w:rPr>
      </w:pPr>
    </w:p>
    <w:p w:rsidR="00D22D4D" w:rsidRPr="004C0E7A" w:rsidRDefault="00D22D4D" w:rsidP="00D22D4D">
      <w:pPr>
        <w:rPr>
          <w:lang w:val="fr-FR"/>
        </w:rPr>
      </w:pPr>
    </w:p>
    <w:p w:rsidR="007F4F40" w:rsidRPr="004C0E7A" w:rsidRDefault="0040317F" w:rsidP="0040317F">
      <w:pPr>
        <w:rPr>
          <w:caps/>
          <w:sz w:val="24"/>
          <w:lang w:val="fr-FR"/>
        </w:rPr>
      </w:pPr>
      <w:r w:rsidRPr="004C0E7A">
        <w:rPr>
          <w:caps/>
          <w:sz w:val="24"/>
          <w:lang w:val="fr-FR"/>
        </w:rPr>
        <w:t>Rapport annuel du directeur de la Division de la supervision interne</w:t>
      </w:r>
      <w:r w:rsidR="00826201" w:rsidRPr="004C0E7A">
        <w:rPr>
          <w:caps/>
          <w:sz w:val="24"/>
          <w:lang w:val="fr-FR"/>
        </w:rPr>
        <w:t xml:space="preserve"> (DSI)</w:t>
      </w:r>
    </w:p>
    <w:p w:rsidR="007F4F40" w:rsidRPr="004C0E7A" w:rsidRDefault="007F4F40" w:rsidP="004B5ABF">
      <w:pPr>
        <w:rPr>
          <w:lang w:val="fr-FR"/>
        </w:rPr>
      </w:pPr>
      <w:bookmarkStart w:id="5" w:name="Prepared"/>
      <w:bookmarkEnd w:id="5"/>
    </w:p>
    <w:p w:rsidR="007F4F40" w:rsidRPr="004C0E7A" w:rsidRDefault="0040317F" w:rsidP="0040317F">
      <w:pPr>
        <w:rPr>
          <w:i/>
          <w:lang w:val="fr-FR"/>
        </w:rPr>
      </w:pPr>
      <w:proofErr w:type="gramStart"/>
      <w:r w:rsidRPr="004C0E7A">
        <w:rPr>
          <w:i/>
          <w:lang w:val="fr-FR"/>
        </w:rPr>
        <w:t>établi</w:t>
      </w:r>
      <w:proofErr w:type="gramEnd"/>
      <w:r w:rsidRPr="004C0E7A">
        <w:rPr>
          <w:i/>
          <w:lang w:val="fr-FR"/>
        </w:rPr>
        <w:t xml:space="preserve"> par le Secrétariat</w:t>
      </w:r>
    </w:p>
    <w:p w:rsidR="007F4F40" w:rsidRPr="004C0E7A" w:rsidRDefault="007F4F40" w:rsidP="004B6701">
      <w:pPr>
        <w:rPr>
          <w:lang w:val="fr-FR"/>
        </w:rPr>
      </w:pPr>
    </w:p>
    <w:p w:rsidR="007F4F40" w:rsidRPr="004C0E7A" w:rsidRDefault="007F4F40" w:rsidP="004B6701">
      <w:pPr>
        <w:rPr>
          <w:lang w:val="fr-FR"/>
        </w:rPr>
      </w:pPr>
    </w:p>
    <w:p w:rsidR="007F4F40" w:rsidRPr="004C0E7A" w:rsidRDefault="007F4F40" w:rsidP="004B6701">
      <w:pPr>
        <w:rPr>
          <w:lang w:val="fr-FR"/>
        </w:rPr>
      </w:pPr>
    </w:p>
    <w:p w:rsidR="007F4F40" w:rsidRPr="004C0E7A" w:rsidRDefault="007F4F40" w:rsidP="004B6701">
      <w:pPr>
        <w:rPr>
          <w:lang w:val="fr-FR"/>
        </w:rPr>
      </w:pPr>
    </w:p>
    <w:p w:rsidR="007F4F40" w:rsidRPr="004C0E7A" w:rsidRDefault="0040317F" w:rsidP="004C0E7A">
      <w:pPr>
        <w:pStyle w:val="ONUMFS"/>
        <w:rPr>
          <w:lang w:val="fr-FR"/>
        </w:rPr>
      </w:pPr>
      <w:r w:rsidRPr="004C0E7A">
        <w:rPr>
          <w:lang w:val="fr-FR"/>
        </w:rPr>
        <w:t>Le présent document contient le rapport annuel établi par le directeur de la Division de la supervision interne (DSI) (document WO/PBC/24/6), qui sera examiné par le Comité du programme et budget de l</w:t>
      </w:r>
      <w:r w:rsidR="000055C7" w:rsidRPr="004C0E7A">
        <w:rPr>
          <w:lang w:val="fr-FR"/>
        </w:rPr>
        <w:t>’</w:t>
      </w:r>
      <w:r w:rsidRPr="004C0E7A">
        <w:rPr>
          <w:lang w:val="fr-FR"/>
        </w:rPr>
        <w:t>OMPI (PBC) à sa vingt</w:t>
      </w:r>
      <w:r w:rsidR="008E117E" w:rsidRPr="004C0E7A">
        <w:rPr>
          <w:lang w:val="fr-FR"/>
        </w:rPr>
        <w:noBreakHyphen/>
      </w:r>
      <w:r w:rsidRPr="004C0E7A">
        <w:rPr>
          <w:lang w:val="fr-FR"/>
        </w:rPr>
        <w:t>quatrième</w:t>
      </w:r>
      <w:r w:rsidR="00045FD8" w:rsidRPr="004C0E7A">
        <w:rPr>
          <w:lang w:val="fr-FR"/>
        </w:rPr>
        <w:t> </w:t>
      </w:r>
      <w:r w:rsidRPr="004C0E7A">
        <w:rPr>
          <w:lang w:val="fr-FR"/>
        </w:rPr>
        <w:t>session (14 – 1</w:t>
      </w:r>
      <w:r w:rsidR="000055C7" w:rsidRPr="004C0E7A">
        <w:rPr>
          <w:lang w:val="fr-FR"/>
        </w:rPr>
        <w:t>8 septembre 20</w:t>
      </w:r>
      <w:r w:rsidRPr="004C0E7A">
        <w:rPr>
          <w:lang w:val="fr-FR"/>
        </w:rPr>
        <w:t>15).</w:t>
      </w:r>
    </w:p>
    <w:p w:rsidR="000055C7" w:rsidRPr="004C0E7A" w:rsidRDefault="0040317F" w:rsidP="004C0E7A">
      <w:pPr>
        <w:pStyle w:val="ONUMFS"/>
        <w:rPr>
          <w:lang w:val="fr-FR"/>
        </w:rPr>
      </w:pPr>
      <w:r w:rsidRPr="004C0E7A">
        <w:rPr>
          <w:lang w:val="fr-FR"/>
        </w:rPr>
        <w:t>Toute décision</w:t>
      </w:r>
      <w:r w:rsidR="000055C7" w:rsidRPr="004C0E7A">
        <w:rPr>
          <w:lang w:val="fr-FR"/>
        </w:rPr>
        <w:t xml:space="preserve"> du PBC</w:t>
      </w:r>
      <w:r w:rsidRPr="004C0E7A">
        <w:rPr>
          <w:lang w:val="fr-FR"/>
        </w:rPr>
        <w:t xml:space="preserve"> </w:t>
      </w:r>
      <w:r w:rsidR="000055C7" w:rsidRPr="004C0E7A">
        <w:rPr>
          <w:lang w:val="fr-FR"/>
        </w:rPr>
        <w:t>à l’égard</w:t>
      </w:r>
      <w:r w:rsidRPr="004C0E7A">
        <w:rPr>
          <w:lang w:val="fr-FR"/>
        </w:rPr>
        <w:t xml:space="preserve"> de ce document figurera dans la liste des décisions prises par le Comité du programme et budget à sa vingt</w:t>
      </w:r>
      <w:r w:rsidR="008E117E" w:rsidRPr="004C0E7A">
        <w:rPr>
          <w:lang w:val="fr-FR"/>
        </w:rPr>
        <w:noBreakHyphen/>
      </w:r>
      <w:r w:rsidRPr="004C0E7A">
        <w:rPr>
          <w:lang w:val="fr-FR"/>
        </w:rPr>
        <w:t>quatrième</w:t>
      </w:r>
      <w:r w:rsidR="00045FD8" w:rsidRPr="004C0E7A">
        <w:rPr>
          <w:lang w:val="fr-FR"/>
        </w:rPr>
        <w:t> </w:t>
      </w:r>
      <w:r w:rsidRPr="004C0E7A">
        <w:rPr>
          <w:lang w:val="fr-FR"/>
        </w:rPr>
        <w:t xml:space="preserve">session </w:t>
      </w:r>
      <w:r w:rsidR="00817611">
        <w:rPr>
          <w:lang w:val="fr-FR"/>
        </w:rPr>
        <w:br/>
      </w:r>
      <w:r w:rsidRPr="004C0E7A">
        <w:rPr>
          <w:lang w:val="fr-FR"/>
        </w:rPr>
        <w:t>(14 – 1</w:t>
      </w:r>
      <w:r w:rsidR="000055C7" w:rsidRPr="004C0E7A">
        <w:rPr>
          <w:lang w:val="fr-FR"/>
        </w:rPr>
        <w:t>8 septembre 20</w:t>
      </w:r>
      <w:r w:rsidRPr="004C0E7A">
        <w:rPr>
          <w:lang w:val="fr-FR"/>
        </w:rPr>
        <w:t>15) (document A/55/4).</w:t>
      </w:r>
    </w:p>
    <w:p w:rsidR="007F4F40" w:rsidRDefault="007F4F40" w:rsidP="004B6701">
      <w:pPr>
        <w:pStyle w:val="ONUME"/>
        <w:numPr>
          <w:ilvl w:val="0"/>
          <w:numId w:val="0"/>
        </w:numPr>
        <w:tabs>
          <w:tab w:val="left" w:pos="6096"/>
        </w:tabs>
        <w:spacing w:after="0"/>
        <w:ind w:left="5533"/>
        <w:rPr>
          <w:lang w:val="fr-FR"/>
        </w:rPr>
      </w:pPr>
    </w:p>
    <w:p w:rsidR="004C0E7A" w:rsidRPr="004C0E7A" w:rsidRDefault="004C0E7A" w:rsidP="004B6701">
      <w:pPr>
        <w:pStyle w:val="ONUME"/>
        <w:numPr>
          <w:ilvl w:val="0"/>
          <w:numId w:val="0"/>
        </w:numPr>
        <w:tabs>
          <w:tab w:val="left" w:pos="6096"/>
        </w:tabs>
        <w:spacing w:after="0"/>
        <w:ind w:left="5533"/>
        <w:rPr>
          <w:lang w:val="fr-FR"/>
        </w:rPr>
      </w:pPr>
    </w:p>
    <w:p w:rsidR="007F4F40" w:rsidRPr="004C0E7A" w:rsidRDefault="0040317F" w:rsidP="0040317F">
      <w:pPr>
        <w:pStyle w:val="Endofdocument-Annex"/>
        <w:rPr>
          <w:lang w:val="fr-FR"/>
        </w:rPr>
      </w:pPr>
      <w:r w:rsidRPr="004C0E7A">
        <w:rPr>
          <w:lang w:val="fr-FR"/>
        </w:rPr>
        <w:t>[Le document WO/PBC/24/6 suit]</w:t>
      </w:r>
    </w:p>
    <w:p w:rsidR="00077661" w:rsidRPr="004C0E7A" w:rsidRDefault="00077661" w:rsidP="004B6701">
      <w:pPr>
        <w:pStyle w:val="ONUME"/>
        <w:numPr>
          <w:ilvl w:val="0"/>
          <w:numId w:val="0"/>
        </w:numPr>
        <w:tabs>
          <w:tab w:val="left" w:pos="6096"/>
        </w:tabs>
        <w:spacing w:after="0"/>
        <w:ind w:left="5533"/>
        <w:rPr>
          <w:lang w:val="fr-FR"/>
        </w:rPr>
      </w:pPr>
    </w:p>
    <w:p w:rsidR="00077661" w:rsidRPr="004C0E7A" w:rsidRDefault="00077661" w:rsidP="004B6701">
      <w:pPr>
        <w:pStyle w:val="ONUME"/>
        <w:numPr>
          <w:ilvl w:val="0"/>
          <w:numId w:val="0"/>
        </w:numPr>
        <w:tabs>
          <w:tab w:val="left" w:pos="6096"/>
        </w:tabs>
        <w:spacing w:after="0"/>
        <w:ind w:left="5533"/>
        <w:rPr>
          <w:lang w:val="fr-FR"/>
        </w:rPr>
        <w:sectPr w:rsidR="00077661" w:rsidRPr="004C0E7A" w:rsidSect="00654077">
          <w:headerReference w:type="default" r:id="rId10"/>
          <w:endnotePr>
            <w:numFmt w:val="decimal"/>
          </w:endnotePr>
          <w:pgSz w:w="11907" w:h="16840" w:code="9"/>
          <w:pgMar w:top="567" w:right="1134" w:bottom="1418" w:left="1418" w:header="510" w:footer="1021" w:gutter="0"/>
          <w:cols w:space="720"/>
          <w:titlePg/>
          <w:docGrid w:linePitch="299"/>
        </w:sectPr>
      </w:pPr>
    </w:p>
    <w:p w:rsidR="00077661" w:rsidRPr="004C0E7A" w:rsidRDefault="00077661" w:rsidP="00077661">
      <w:pPr>
        <w:rPr>
          <w:lang w:val="fr-FR"/>
        </w:rPr>
      </w:pPr>
    </w:p>
    <w:p w:rsidR="004B6701" w:rsidRPr="004C0E7A" w:rsidRDefault="004B6701" w:rsidP="00077661">
      <w:pPr>
        <w:rPr>
          <w:lang w:val="fr-FR"/>
        </w:rPr>
        <w:sectPr w:rsidR="004B6701" w:rsidRPr="004C0E7A" w:rsidSect="00654077">
          <w:footerReference w:type="first" r:id="rId11"/>
          <w:endnotePr>
            <w:numFmt w:val="decimal"/>
          </w:endnotePr>
          <w:pgSz w:w="11907" w:h="16840" w:code="9"/>
          <w:pgMar w:top="567" w:right="1134" w:bottom="1418" w:left="1418" w:header="510" w:footer="1021" w:gutter="0"/>
          <w:cols w:space="720"/>
          <w:titlePg/>
          <w:docGrid w:linePitch="299"/>
        </w:sectPr>
      </w:pPr>
    </w:p>
    <w:tbl>
      <w:tblPr>
        <w:tblW w:w="9433" w:type="dxa"/>
        <w:tblInd w:w="108" w:type="dxa"/>
        <w:tblLayout w:type="fixed"/>
        <w:tblLook w:val="01E0" w:firstRow="1" w:lastRow="1" w:firstColumn="1" w:lastColumn="1" w:noHBand="0" w:noVBand="0"/>
      </w:tblPr>
      <w:tblGrid>
        <w:gridCol w:w="4513"/>
        <w:gridCol w:w="4337"/>
        <w:gridCol w:w="583"/>
      </w:tblGrid>
      <w:tr w:rsidR="00533AC5" w:rsidRPr="004C0E7A" w:rsidTr="008E117E">
        <w:tc>
          <w:tcPr>
            <w:tcW w:w="4513" w:type="dxa"/>
            <w:tcBorders>
              <w:bottom w:val="single" w:sz="4" w:space="0" w:color="auto"/>
            </w:tcBorders>
            <w:tcMar>
              <w:bottom w:w="170" w:type="dxa"/>
            </w:tcMar>
          </w:tcPr>
          <w:p w:rsidR="00533AC5" w:rsidRPr="004C0E7A" w:rsidRDefault="00533AC5" w:rsidP="008E117E">
            <w:pPr>
              <w:rPr>
                <w:lang w:val="fr-FR"/>
              </w:rPr>
            </w:pPr>
          </w:p>
        </w:tc>
        <w:tc>
          <w:tcPr>
            <w:tcW w:w="4337" w:type="dxa"/>
            <w:tcBorders>
              <w:bottom w:val="single" w:sz="4" w:space="0" w:color="auto"/>
            </w:tcBorders>
            <w:tcMar>
              <w:left w:w="0" w:type="dxa"/>
              <w:right w:w="0" w:type="dxa"/>
            </w:tcMar>
          </w:tcPr>
          <w:p w:rsidR="00533AC5" w:rsidRPr="004C0E7A" w:rsidRDefault="00533AC5" w:rsidP="008E117E">
            <w:pPr>
              <w:rPr>
                <w:lang w:val="fr-FR"/>
              </w:rPr>
            </w:pPr>
            <w:r w:rsidRPr="004C0E7A">
              <w:rPr>
                <w:noProof/>
                <w:lang w:eastAsia="en-US"/>
              </w:rPr>
              <w:drawing>
                <wp:inline distT="0" distB="0" distL="0" distR="0" wp14:anchorId="2DF36850" wp14:editId="6DF5801B">
                  <wp:extent cx="1857375" cy="1323975"/>
                  <wp:effectExtent l="0" t="0" r="9525" b="9525"/>
                  <wp:docPr id="13" name="Picture 13" descr="WIPO-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583" w:type="dxa"/>
            <w:tcBorders>
              <w:bottom w:val="single" w:sz="4" w:space="0" w:color="auto"/>
            </w:tcBorders>
            <w:tcMar>
              <w:left w:w="0" w:type="dxa"/>
              <w:right w:w="0" w:type="dxa"/>
            </w:tcMar>
          </w:tcPr>
          <w:p w:rsidR="00533AC5" w:rsidRPr="004C0E7A" w:rsidRDefault="00533AC5" w:rsidP="008E117E">
            <w:pPr>
              <w:jc w:val="right"/>
              <w:rPr>
                <w:lang w:val="fr-FR"/>
              </w:rPr>
            </w:pPr>
            <w:r w:rsidRPr="004C0E7A">
              <w:rPr>
                <w:b/>
                <w:sz w:val="40"/>
                <w:szCs w:val="40"/>
                <w:lang w:val="fr-FR"/>
              </w:rPr>
              <w:t>F</w:t>
            </w:r>
          </w:p>
        </w:tc>
      </w:tr>
      <w:tr w:rsidR="00533AC5" w:rsidRPr="004C0E7A" w:rsidTr="008E117E">
        <w:trPr>
          <w:trHeight w:hRule="exact" w:val="340"/>
        </w:trPr>
        <w:tc>
          <w:tcPr>
            <w:tcW w:w="9433" w:type="dxa"/>
            <w:gridSpan w:val="3"/>
            <w:tcBorders>
              <w:top w:val="single" w:sz="4" w:space="0" w:color="auto"/>
            </w:tcBorders>
            <w:tcMar>
              <w:top w:w="170" w:type="dxa"/>
              <w:left w:w="0" w:type="dxa"/>
              <w:right w:w="0" w:type="dxa"/>
            </w:tcMar>
            <w:vAlign w:val="bottom"/>
          </w:tcPr>
          <w:p w:rsidR="00533AC5" w:rsidRPr="004C0E7A" w:rsidRDefault="00533AC5" w:rsidP="00533AC5">
            <w:pPr>
              <w:jc w:val="right"/>
              <w:rPr>
                <w:rFonts w:ascii="Arial Black" w:hAnsi="Arial Black"/>
                <w:caps/>
                <w:sz w:val="15"/>
                <w:lang w:val="fr-FR"/>
              </w:rPr>
            </w:pPr>
            <w:r w:rsidRPr="004C0E7A">
              <w:rPr>
                <w:rFonts w:ascii="Arial Black" w:hAnsi="Arial Black"/>
                <w:caps/>
                <w:sz w:val="15"/>
                <w:lang w:val="fr-FR"/>
              </w:rPr>
              <w:t>wo/pbc/24/6</w:t>
            </w:r>
          </w:p>
        </w:tc>
      </w:tr>
      <w:tr w:rsidR="00533AC5" w:rsidRPr="004C0E7A" w:rsidTr="008E117E">
        <w:trPr>
          <w:trHeight w:hRule="exact" w:val="170"/>
        </w:trPr>
        <w:tc>
          <w:tcPr>
            <w:tcW w:w="9433" w:type="dxa"/>
            <w:gridSpan w:val="3"/>
            <w:noWrap/>
            <w:tcMar>
              <w:left w:w="0" w:type="dxa"/>
              <w:right w:w="0" w:type="dxa"/>
            </w:tcMar>
            <w:vAlign w:val="bottom"/>
          </w:tcPr>
          <w:p w:rsidR="00533AC5" w:rsidRPr="004C0E7A" w:rsidRDefault="00533AC5" w:rsidP="008E117E">
            <w:pPr>
              <w:jc w:val="right"/>
              <w:rPr>
                <w:rFonts w:ascii="Arial Black" w:hAnsi="Arial Black"/>
                <w:caps/>
                <w:sz w:val="15"/>
                <w:lang w:val="fr-FR"/>
              </w:rPr>
            </w:pPr>
            <w:r w:rsidRPr="004C0E7A">
              <w:rPr>
                <w:rFonts w:ascii="Arial Black" w:hAnsi="Arial Black"/>
                <w:caps/>
                <w:sz w:val="15"/>
                <w:lang w:val="fr-FR"/>
              </w:rPr>
              <w:t xml:space="preserve">ORIGINAL : anglais </w:t>
            </w:r>
          </w:p>
        </w:tc>
      </w:tr>
      <w:tr w:rsidR="00533AC5" w:rsidRPr="004C0E7A" w:rsidTr="008E117E">
        <w:trPr>
          <w:trHeight w:hRule="exact" w:val="198"/>
        </w:trPr>
        <w:tc>
          <w:tcPr>
            <w:tcW w:w="9433" w:type="dxa"/>
            <w:gridSpan w:val="3"/>
            <w:tcMar>
              <w:left w:w="0" w:type="dxa"/>
              <w:right w:w="0" w:type="dxa"/>
            </w:tcMar>
            <w:vAlign w:val="bottom"/>
          </w:tcPr>
          <w:p w:rsidR="00533AC5" w:rsidRPr="004C0E7A" w:rsidRDefault="00533AC5" w:rsidP="00533AC5">
            <w:pPr>
              <w:jc w:val="right"/>
              <w:rPr>
                <w:rFonts w:ascii="Arial Black" w:hAnsi="Arial Black"/>
                <w:caps/>
                <w:sz w:val="15"/>
                <w:lang w:val="fr-FR"/>
              </w:rPr>
            </w:pPr>
            <w:r w:rsidRPr="004C0E7A">
              <w:rPr>
                <w:rFonts w:ascii="Arial Black" w:hAnsi="Arial Black"/>
                <w:caps/>
                <w:sz w:val="15"/>
                <w:lang w:val="fr-FR"/>
              </w:rPr>
              <w:t>DATE : 14 juillet 2015</w:t>
            </w:r>
          </w:p>
        </w:tc>
      </w:tr>
    </w:tbl>
    <w:p w:rsidR="00533AC5" w:rsidRPr="004C0E7A" w:rsidRDefault="00533AC5" w:rsidP="00533AC5">
      <w:pPr>
        <w:rPr>
          <w:lang w:val="fr-FR"/>
        </w:rPr>
      </w:pPr>
    </w:p>
    <w:p w:rsidR="00533AC5" w:rsidRPr="004C0E7A" w:rsidRDefault="00533AC5" w:rsidP="00533AC5">
      <w:pPr>
        <w:rPr>
          <w:lang w:val="fr-FR"/>
        </w:rPr>
      </w:pPr>
    </w:p>
    <w:p w:rsidR="00533AC5" w:rsidRPr="004C0E7A" w:rsidRDefault="00533AC5" w:rsidP="00533AC5">
      <w:pPr>
        <w:rPr>
          <w:lang w:val="fr-FR"/>
        </w:rPr>
      </w:pPr>
    </w:p>
    <w:p w:rsidR="00533AC5" w:rsidRPr="004C0E7A" w:rsidRDefault="00533AC5" w:rsidP="00533AC5">
      <w:pPr>
        <w:rPr>
          <w:lang w:val="fr-FR"/>
        </w:rPr>
      </w:pPr>
    </w:p>
    <w:p w:rsidR="00533AC5" w:rsidRPr="004C0E7A" w:rsidRDefault="00533AC5" w:rsidP="00533AC5">
      <w:pPr>
        <w:rPr>
          <w:lang w:val="fr-FR"/>
        </w:rPr>
      </w:pPr>
    </w:p>
    <w:p w:rsidR="00533AC5" w:rsidRPr="004C0E7A" w:rsidRDefault="00533AC5" w:rsidP="00533AC5">
      <w:pPr>
        <w:rPr>
          <w:b/>
          <w:sz w:val="28"/>
          <w:szCs w:val="28"/>
          <w:lang w:val="fr-FR"/>
        </w:rPr>
      </w:pPr>
      <w:r w:rsidRPr="004C0E7A">
        <w:rPr>
          <w:b/>
          <w:sz w:val="28"/>
          <w:szCs w:val="28"/>
          <w:lang w:val="fr-FR"/>
        </w:rPr>
        <w:t>Comit</w:t>
      </w:r>
      <w:r w:rsidRPr="004C0E7A">
        <w:rPr>
          <w:rFonts w:cs="Simplified Arabic"/>
          <w:b/>
          <w:sz w:val="28"/>
          <w:szCs w:val="28"/>
          <w:lang w:val="fr-FR"/>
        </w:rPr>
        <w:t>é</w:t>
      </w:r>
      <w:r w:rsidRPr="004C0E7A">
        <w:rPr>
          <w:b/>
          <w:sz w:val="28"/>
          <w:szCs w:val="28"/>
          <w:lang w:val="fr-FR"/>
        </w:rPr>
        <w:t xml:space="preserve"> du programme et budget</w:t>
      </w:r>
    </w:p>
    <w:p w:rsidR="00533AC5" w:rsidRPr="004C0E7A" w:rsidRDefault="00533AC5" w:rsidP="00533AC5">
      <w:pPr>
        <w:rPr>
          <w:lang w:val="fr-FR"/>
        </w:rPr>
      </w:pPr>
    </w:p>
    <w:p w:rsidR="00533AC5" w:rsidRPr="004C0E7A" w:rsidRDefault="00533AC5" w:rsidP="00533AC5">
      <w:pPr>
        <w:rPr>
          <w:lang w:val="fr-FR"/>
        </w:rPr>
      </w:pPr>
    </w:p>
    <w:p w:rsidR="00533AC5" w:rsidRPr="004C0E7A" w:rsidRDefault="00533AC5" w:rsidP="00533AC5">
      <w:pPr>
        <w:rPr>
          <w:b/>
          <w:sz w:val="24"/>
          <w:szCs w:val="24"/>
          <w:lang w:val="fr-FR"/>
        </w:rPr>
      </w:pPr>
      <w:r w:rsidRPr="004C0E7A">
        <w:rPr>
          <w:b/>
          <w:bCs/>
          <w:sz w:val="24"/>
          <w:szCs w:val="24"/>
          <w:lang w:val="fr-FR"/>
        </w:rPr>
        <w:t>Vingt</w:t>
      </w:r>
      <w:r w:rsidR="008E117E" w:rsidRPr="004C0E7A">
        <w:rPr>
          <w:b/>
          <w:bCs/>
          <w:sz w:val="24"/>
          <w:szCs w:val="24"/>
          <w:lang w:val="fr-FR"/>
        </w:rPr>
        <w:noBreakHyphen/>
      </w:r>
      <w:r w:rsidRPr="004C0E7A">
        <w:rPr>
          <w:b/>
          <w:bCs/>
          <w:sz w:val="24"/>
          <w:szCs w:val="24"/>
          <w:lang w:val="fr-FR"/>
        </w:rPr>
        <w:t>quatrième se</w:t>
      </w:r>
      <w:r w:rsidRPr="004C0E7A">
        <w:rPr>
          <w:b/>
          <w:sz w:val="24"/>
          <w:szCs w:val="24"/>
          <w:lang w:val="fr-FR"/>
        </w:rPr>
        <w:t>ssion</w:t>
      </w:r>
    </w:p>
    <w:p w:rsidR="00533AC5" w:rsidRPr="004C0E7A" w:rsidRDefault="00533AC5" w:rsidP="00533AC5">
      <w:pPr>
        <w:rPr>
          <w:b/>
          <w:sz w:val="24"/>
          <w:szCs w:val="24"/>
          <w:lang w:val="fr-FR"/>
        </w:rPr>
      </w:pPr>
      <w:r w:rsidRPr="004C0E7A">
        <w:rPr>
          <w:b/>
          <w:sz w:val="24"/>
          <w:szCs w:val="24"/>
          <w:lang w:val="fr-FR"/>
        </w:rPr>
        <w:t>Genève, 14 – 18 septembre 2015</w:t>
      </w:r>
    </w:p>
    <w:p w:rsidR="00533AC5" w:rsidRPr="004C0E7A" w:rsidRDefault="00533AC5" w:rsidP="00533AC5">
      <w:pPr>
        <w:rPr>
          <w:lang w:val="fr-FR"/>
        </w:rPr>
      </w:pPr>
    </w:p>
    <w:p w:rsidR="00533AC5" w:rsidRPr="004C0E7A" w:rsidRDefault="00533AC5" w:rsidP="00533AC5">
      <w:pPr>
        <w:rPr>
          <w:lang w:val="fr-FR"/>
        </w:rPr>
      </w:pPr>
    </w:p>
    <w:p w:rsidR="00533AC5" w:rsidRPr="004C0E7A" w:rsidRDefault="00533AC5" w:rsidP="00533AC5">
      <w:pPr>
        <w:rPr>
          <w:lang w:val="fr-FR"/>
        </w:rPr>
      </w:pPr>
    </w:p>
    <w:p w:rsidR="007F4F40" w:rsidRPr="004C0E7A" w:rsidRDefault="00826201" w:rsidP="00826201">
      <w:pPr>
        <w:rPr>
          <w:caps/>
          <w:sz w:val="24"/>
          <w:lang w:val="fr-FR"/>
        </w:rPr>
      </w:pPr>
      <w:r w:rsidRPr="004C0E7A">
        <w:rPr>
          <w:caps/>
          <w:sz w:val="24"/>
          <w:lang w:val="fr-FR"/>
        </w:rPr>
        <w:t>Rapport annuel du directeur de la Division de la supervision interne (DSI)</w:t>
      </w:r>
    </w:p>
    <w:p w:rsidR="007F4F40" w:rsidRPr="004C0E7A" w:rsidRDefault="007F4F40" w:rsidP="00826201">
      <w:pPr>
        <w:rPr>
          <w:lang w:val="fr-FR"/>
        </w:rPr>
      </w:pPr>
    </w:p>
    <w:p w:rsidR="007F4F40" w:rsidRPr="004C0E7A" w:rsidRDefault="00826201" w:rsidP="00826201">
      <w:pPr>
        <w:rPr>
          <w:i/>
          <w:lang w:val="fr-FR"/>
        </w:rPr>
      </w:pPr>
      <w:proofErr w:type="gramStart"/>
      <w:r w:rsidRPr="004C0E7A">
        <w:rPr>
          <w:i/>
          <w:lang w:val="fr-FR"/>
        </w:rPr>
        <w:t>établi</w:t>
      </w:r>
      <w:proofErr w:type="gramEnd"/>
      <w:r w:rsidRPr="004C0E7A">
        <w:rPr>
          <w:i/>
          <w:lang w:val="fr-FR"/>
        </w:rPr>
        <w:t xml:space="preserve"> par le Secrétariat</w:t>
      </w:r>
    </w:p>
    <w:p w:rsidR="007F4F40" w:rsidRPr="004C0E7A" w:rsidRDefault="007F4F40" w:rsidP="00BA45A3">
      <w:pPr>
        <w:rPr>
          <w:lang w:val="fr-FR"/>
        </w:rPr>
      </w:pPr>
    </w:p>
    <w:p w:rsidR="007F4F40" w:rsidRPr="004C0E7A" w:rsidRDefault="007F4F40" w:rsidP="004B6701">
      <w:pPr>
        <w:rPr>
          <w:lang w:val="fr-FR"/>
        </w:rPr>
      </w:pPr>
    </w:p>
    <w:p w:rsidR="007F4F40" w:rsidRPr="004C0E7A" w:rsidRDefault="007F4F40" w:rsidP="004B6701">
      <w:pPr>
        <w:rPr>
          <w:lang w:val="fr-FR"/>
        </w:rPr>
      </w:pPr>
    </w:p>
    <w:p w:rsidR="007F4F40" w:rsidRPr="004C0E7A" w:rsidRDefault="007F4F40" w:rsidP="004B6701">
      <w:pPr>
        <w:rPr>
          <w:lang w:val="fr-FR"/>
        </w:rPr>
      </w:pPr>
    </w:p>
    <w:p w:rsidR="007F4F40" w:rsidRPr="004C0E7A" w:rsidRDefault="00CB07F2" w:rsidP="004C0E7A">
      <w:pPr>
        <w:pStyle w:val="ONUMFS"/>
        <w:numPr>
          <w:ilvl w:val="0"/>
          <w:numId w:val="44"/>
        </w:numPr>
        <w:rPr>
          <w:lang w:val="fr-FR"/>
        </w:rPr>
      </w:pPr>
      <w:r w:rsidRPr="004C0E7A">
        <w:rPr>
          <w:lang w:val="fr-FR"/>
        </w:rPr>
        <w:t>Conformément au paragraphe</w:t>
      </w:r>
      <w:r w:rsidR="00045FD8" w:rsidRPr="004C0E7A">
        <w:rPr>
          <w:lang w:val="fr-FR"/>
        </w:rPr>
        <w:t> </w:t>
      </w:r>
      <w:r w:rsidRPr="004C0E7A">
        <w:rPr>
          <w:lang w:val="fr-FR"/>
        </w:rPr>
        <w:t>38 de la Charte de la supervision interne, le directeur de la Division de la supervision interne (DSI) présente un rapport de synthèse par écrit au Comité du programme et budget (PBC).</w:t>
      </w:r>
      <w:r w:rsidR="004B6701" w:rsidRPr="004C0E7A">
        <w:rPr>
          <w:lang w:val="fr-FR"/>
        </w:rPr>
        <w:t xml:space="preserve">  </w:t>
      </w:r>
      <w:r w:rsidRPr="004C0E7A">
        <w:rPr>
          <w:lang w:val="fr-FR"/>
        </w:rPr>
        <w:t>Ce rapport contient des informations sur les principales activités menées par</w:t>
      </w:r>
      <w:r w:rsidR="000055C7" w:rsidRPr="004C0E7A">
        <w:rPr>
          <w:lang w:val="fr-FR"/>
        </w:rPr>
        <w:t xml:space="preserve"> la DSI</w:t>
      </w:r>
      <w:r w:rsidRPr="004C0E7A">
        <w:rPr>
          <w:lang w:val="fr-FR"/>
        </w:rPr>
        <w:t xml:space="preserve"> entre le </w:t>
      </w:r>
      <w:r w:rsidR="000055C7" w:rsidRPr="004C0E7A">
        <w:rPr>
          <w:lang w:val="fr-FR"/>
        </w:rPr>
        <w:t>1</w:t>
      </w:r>
      <w:r w:rsidR="000055C7" w:rsidRPr="004C0E7A">
        <w:rPr>
          <w:vertAlign w:val="superscript"/>
          <w:lang w:val="fr-FR"/>
        </w:rPr>
        <w:t>er</w:t>
      </w:r>
      <w:r w:rsidR="000055C7" w:rsidRPr="004C0E7A">
        <w:rPr>
          <w:lang w:val="fr-FR"/>
        </w:rPr>
        <w:t> juillet 20</w:t>
      </w:r>
      <w:r w:rsidRPr="004C0E7A">
        <w:rPr>
          <w:lang w:val="fr-FR"/>
        </w:rPr>
        <w:t>14 et le 3</w:t>
      </w:r>
      <w:r w:rsidR="000055C7" w:rsidRPr="004C0E7A">
        <w:rPr>
          <w:lang w:val="fr-FR"/>
        </w:rPr>
        <w:t>0 juin 20</w:t>
      </w:r>
      <w:r w:rsidRPr="004C0E7A">
        <w:rPr>
          <w:lang w:val="fr-FR"/>
        </w:rPr>
        <w:t>15.</w:t>
      </w:r>
    </w:p>
    <w:p w:rsidR="007F4F40" w:rsidRPr="004C0E7A" w:rsidRDefault="00CB07F2" w:rsidP="004C0E7A">
      <w:pPr>
        <w:pStyle w:val="ONUMFS"/>
        <w:rPr>
          <w:lang w:val="fr-FR"/>
        </w:rPr>
      </w:pPr>
      <w:r w:rsidRPr="004C0E7A">
        <w:rPr>
          <w:lang w:val="fr-FR"/>
        </w:rPr>
        <w:t>Le paragraphe de décision ci</w:t>
      </w:r>
      <w:r w:rsidR="008E117E" w:rsidRPr="004C0E7A">
        <w:rPr>
          <w:lang w:val="fr-FR"/>
        </w:rPr>
        <w:noBreakHyphen/>
      </w:r>
      <w:r w:rsidRPr="004C0E7A">
        <w:rPr>
          <w:lang w:val="fr-FR"/>
        </w:rPr>
        <w:t>après est proposé.</w:t>
      </w:r>
    </w:p>
    <w:p w:rsidR="007F4F40" w:rsidRPr="004C0E7A" w:rsidRDefault="007C1EBC" w:rsidP="004C0E7A">
      <w:pPr>
        <w:pStyle w:val="ONUMFS"/>
        <w:ind w:left="5533"/>
        <w:rPr>
          <w:i/>
          <w:lang w:val="fr-FR"/>
        </w:rPr>
      </w:pPr>
      <w:r w:rsidRPr="004C0E7A">
        <w:rPr>
          <w:i/>
          <w:lang w:val="fr-FR"/>
        </w:rPr>
        <w:t>Le Comité du programme et budget a pris note du rapport annuel du directeur de la Division de la supervision interne (DSI) (document WO/PBC/24/6).</w:t>
      </w:r>
    </w:p>
    <w:p w:rsidR="007F4F40" w:rsidRPr="004C0E7A" w:rsidRDefault="007F4F40" w:rsidP="004C0E7A">
      <w:pPr>
        <w:pStyle w:val="Endofdocument-Annex"/>
        <w:rPr>
          <w:szCs w:val="22"/>
          <w:lang w:val="fr-FR"/>
        </w:rPr>
      </w:pPr>
    </w:p>
    <w:p w:rsidR="004C0E7A" w:rsidRPr="004C0E7A" w:rsidRDefault="004C0E7A" w:rsidP="004C0E7A">
      <w:pPr>
        <w:pStyle w:val="Endofdocument-Annex"/>
        <w:rPr>
          <w:szCs w:val="22"/>
          <w:lang w:val="fr-FR"/>
        </w:rPr>
      </w:pPr>
    </w:p>
    <w:p w:rsidR="007F4F40" w:rsidRPr="004C0E7A" w:rsidRDefault="007C1EBC" w:rsidP="004C0E7A">
      <w:pPr>
        <w:pStyle w:val="Endofdocument-Annex"/>
        <w:rPr>
          <w:lang w:val="fr-FR"/>
        </w:rPr>
      </w:pPr>
      <w:r w:rsidRPr="004C0E7A">
        <w:rPr>
          <w:lang w:val="fr-FR"/>
        </w:rPr>
        <w:t>[Le rapport annuel du directeur de la Division de l</w:t>
      </w:r>
      <w:r w:rsidR="000055C7" w:rsidRPr="004C0E7A">
        <w:rPr>
          <w:lang w:val="fr-FR"/>
        </w:rPr>
        <w:t>’</w:t>
      </w:r>
      <w:r w:rsidRPr="004C0E7A">
        <w:rPr>
          <w:lang w:val="fr-FR"/>
        </w:rPr>
        <w:t>audit et de la supervision internes suit]</w:t>
      </w:r>
    </w:p>
    <w:p w:rsidR="007F4F40" w:rsidRPr="004C0E7A" w:rsidRDefault="007F4F40" w:rsidP="004C0E7A">
      <w:pPr>
        <w:pStyle w:val="Endofdocument-Annex"/>
        <w:rPr>
          <w:szCs w:val="22"/>
          <w:lang w:val="fr-FR"/>
        </w:rPr>
      </w:pPr>
    </w:p>
    <w:p w:rsidR="007F4F40" w:rsidRPr="004C0E7A" w:rsidRDefault="007F4F40" w:rsidP="004C0E7A">
      <w:pPr>
        <w:pStyle w:val="Endofdocument-Annex"/>
        <w:rPr>
          <w:rFonts w:eastAsia="Times New Roman" w:cs="Times New Roman"/>
          <w:szCs w:val="22"/>
          <w:lang w:val="fr-FR" w:eastAsia="en-US"/>
        </w:rPr>
      </w:pPr>
    </w:p>
    <w:p w:rsidR="007F4F40" w:rsidRPr="004C0E7A" w:rsidRDefault="000F14DE">
      <w:pPr>
        <w:rPr>
          <w:lang w:val="fr-FR"/>
        </w:rPr>
      </w:pPr>
      <w:r w:rsidRPr="004C0E7A">
        <w:rPr>
          <w:lang w:val="fr-FR"/>
        </w:rPr>
        <w:br w:type="page"/>
      </w:r>
    </w:p>
    <w:p w:rsidR="00077661" w:rsidRPr="004C0E7A" w:rsidRDefault="00077661" w:rsidP="00077661">
      <w:pPr>
        <w:rPr>
          <w:lang w:val="fr-FR"/>
        </w:rPr>
      </w:pPr>
    </w:p>
    <w:p w:rsidR="00077661" w:rsidRPr="004C0E7A" w:rsidRDefault="00077661" w:rsidP="00077661">
      <w:pPr>
        <w:rPr>
          <w:lang w:val="fr-FR"/>
        </w:rPr>
      </w:pPr>
    </w:p>
    <w:p w:rsidR="00077661" w:rsidRPr="004C0E7A" w:rsidRDefault="00077661" w:rsidP="00077661">
      <w:pPr>
        <w:rPr>
          <w:lang w:val="fr-FR"/>
        </w:rPr>
      </w:pPr>
    </w:p>
    <w:p w:rsidR="00077661" w:rsidRPr="004C0E7A" w:rsidRDefault="00077661" w:rsidP="00077661">
      <w:pPr>
        <w:rPr>
          <w:lang w:val="fr-FR"/>
        </w:rPr>
        <w:sectPr w:rsidR="00077661" w:rsidRPr="004C0E7A" w:rsidSect="00654077">
          <w:headerReference w:type="default" r:id="rId12"/>
          <w:headerReference w:type="first" r:id="rId13"/>
          <w:footerReference w:type="first" r:id="rId14"/>
          <w:endnotePr>
            <w:numFmt w:val="decimal"/>
          </w:endnotePr>
          <w:pgSz w:w="11907" w:h="16840" w:code="9"/>
          <w:pgMar w:top="567" w:right="1134" w:bottom="1418" w:left="1418" w:header="510" w:footer="1021" w:gutter="0"/>
          <w:cols w:space="720"/>
          <w:titlePg/>
          <w:docGrid w:linePitch="299"/>
        </w:sectPr>
      </w:pPr>
    </w:p>
    <w:p w:rsidR="004C0E7A" w:rsidRPr="004C0E7A" w:rsidRDefault="004C0E7A" w:rsidP="004C0E7A">
      <w:pPr>
        <w:rPr>
          <w:lang w:val="fr-FR"/>
        </w:rPr>
      </w:pPr>
    </w:p>
    <w:p w:rsidR="007F4F40" w:rsidRPr="004C0E7A" w:rsidRDefault="004C0E7A" w:rsidP="004C0E7A">
      <w:pPr>
        <w:jc w:val="center"/>
        <w:rPr>
          <w:b/>
          <w:lang w:val="fr-FR"/>
        </w:rPr>
      </w:pPr>
      <w:r w:rsidRPr="004C0E7A">
        <w:rPr>
          <w:b/>
          <w:lang w:val="fr-FR"/>
        </w:rPr>
        <w:t>TABLE DES MATIÈRES</w:t>
      </w:r>
    </w:p>
    <w:p w:rsidR="007F4F40" w:rsidRPr="00537A99" w:rsidRDefault="007F4F40" w:rsidP="004C0E7A">
      <w:pPr>
        <w:rPr>
          <w:lang w:val="fr-CH"/>
        </w:rPr>
      </w:pPr>
    </w:p>
    <w:p w:rsidR="004C0E7A" w:rsidRPr="00537A99" w:rsidRDefault="004C0E7A" w:rsidP="004C0E7A">
      <w:pPr>
        <w:rPr>
          <w:lang w:val="fr-CH"/>
        </w:rPr>
      </w:pPr>
    </w:p>
    <w:p w:rsidR="00817611" w:rsidRDefault="00213EB9">
      <w:pPr>
        <w:pStyle w:val="TOC1"/>
        <w:rPr>
          <w:rFonts w:asciiTheme="minorHAnsi" w:eastAsiaTheme="minorEastAsia" w:hAnsiTheme="minorHAnsi" w:cstheme="minorBidi"/>
          <w:caps w:val="0"/>
          <w:noProof/>
          <w:szCs w:val="22"/>
          <w:lang w:val="fr-FR" w:eastAsia="fr-FR"/>
        </w:rPr>
      </w:pPr>
      <w:r>
        <w:rPr>
          <w:lang w:val="fr-FR"/>
        </w:rPr>
        <w:fldChar w:fldCharType="begin"/>
      </w:r>
      <w:r>
        <w:rPr>
          <w:lang w:val="fr-FR"/>
        </w:rPr>
        <w:instrText xml:space="preserve"> TOC \o "1-1" \u </w:instrText>
      </w:r>
      <w:r>
        <w:rPr>
          <w:lang w:val="fr-FR"/>
        </w:rPr>
        <w:fldChar w:fldCharType="separate"/>
      </w:r>
      <w:r w:rsidR="00817611" w:rsidRPr="00F066FD">
        <w:rPr>
          <w:noProof/>
          <w:lang w:val="fr-FR"/>
        </w:rPr>
        <w:t>Liste des sigles</w:t>
      </w:r>
      <w:r w:rsidR="00817611" w:rsidRPr="00537A99">
        <w:rPr>
          <w:noProof/>
          <w:lang w:val="fr-CH"/>
        </w:rPr>
        <w:tab/>
      </w:r>
      <w:r w:rsidR="00817611">
        <w:rPr>
          <w:noProof/>
        </w:rPr>
        <w:fldChar w:fldCharType="begin"/>
      </w:r>
      <w:r w:rsidR="00817611" w:rsidRPr="00537A99">
        <w:rPr>
          <w:noProof/>
          <w:lang w:val="fr-CH"/>
        </w:rPr>
        <w:instrText xml:space="preserve"> PAGEREF _Toc424911465 \h </w:instrText>
      </w:r>
      <w:r w:rsidR="00817611">
        <w:rPr>
          <w:noProof/>
        </w:rPr>
      </w:r>
      <w:r w:rsidR="00817611">
        <w:rPr>
          <w:noProof/>
        </w:rPr>
        <w:fldChar w:fldCharType="separate"/>
      </w:r>
      <w:r w:rsidR="00817611" w:rsidRPr="00537A99">
        <w:rPr>
          <w:noProof/>
          <w:lang w:val="fr-CH"/>
        </w:rPr>
        <w:t>2</w:t>
      </w:r>
      <w:r w:rsidR="00817611">
        <w:rPr>
          <w:noProof/>
        </w:rPr>
        <w:fldChar w:fldCharType="end"/>
      </w:r>
    </w:p>
    <w:p w:rsidR="00817611" w:rsidRDefault="00817611">
      <w:pPr>
        <w:pStyle w:val="TOC1"/>
        <w:rPr>
          <w:rFonts w:asciiTheme="minorHAnsi" w:eastAsiaTheme="minorEastAsia" w:hAnsiTheme="minorHAnsi" w:cstheme="minorBidi"/>
          <w:caps w:val="0"/>
          <w:noProof/>
          <w:szCs w:val="22"/>
          <w:lang w:val="fr-FR" w:eastAsia="fr-FR"/>
        </w:rPr>
      </w:pPr>
      <w:r w:rsidRPr="00F066FD">
        <w:rPr>
          <w:noProof/>
          <w:lang w:val="fr-FR"/>
        </w:rPr>
        <w:t>Généralités</w:t>
      </w:r>
      <w:r w:rsidRPr="00537A99">
        <w:rPr>
          <w:noProof/>
          <w:lang w:val="fr-CH"/>
        </w:rPr>
        <w:tab/>
      </w:r>
      <w:r>
        <w:rPr>
          <w:noProof/>
        </w:rPr>
        <w:fldChar w:fldCharType="begin"/>
      </w:r>
      <w:r w:rsidRPr="00537A99">
        <w:rPr>
          <w:noProof/>
          <w:lang w:val="fr-CH"/>
        </w:rPr>
        <w:instrText xml:space="preserve"> PAGEREF _Toc424911466 \h </w:instrText>
      </w:r>
      <w:r>
        <w:rPr>
          <w:noProof/>
        </w:rPr>
      </w:r>
      <w:r>
        <w:rPr>
          <w:noProof/>
        </w:rPr>
        <w:fldChar w:fldCharType="separate"/>
      </w:r>
      <w:r w:rsidRPr="00537A99">
        <w:rPr>
          <w:noProof/>
          <w:lang w:val="fr-CH"/>
        </w:rPr>
        <w:t>3</w:t>
      </w:r>
      <w:r>
        <w:rPr>
          <w:noProof/>
        </w:rPr>
        <w:fldChar w:fldCharType="end"/>
      </w:r>
    </w:p>
    <w:p w:rsidR="00817611" w:rsidRDefault="00817611">
      <w:pPr>
        <w:pStyle w:val="TOC1"/>
        <w:rPr>
          <w:rFonts w:asciiTheme="minorHAnsi" w:eastAsiaTheme="minorEastAsia" w:hAnsiTheme="minorHAnsi" w:cstheme="minorBidi"/>
          <w:caps w:val="0"/>
          <w:noProof/>
          <w:szCs w:val="22"/>
          <w:lang w:val="fr-FR" w:eastAsia="fr-FR"/>
        </w:rPr>
      </w:pPr>
      <w:r w:rsidRPr="00F066FD">
        <w:rPr>
          <w:noProof/>
          <w:lang w:val="fr-FR"/>
        </w:rPr>
        <w:t>Principes de planification</w:t>
      </w:r>
      <w:r w:rsidRPr="00537A99">
        <w:rPr>
          <w:noProof/>
          <w:lang w:val="fr-CH"/>
        </w:rPr>
        <w:tab/>
      </w:r>
      <w:r>
        <w:rPr>
          <w:noProof/>
        </w:rPr>
        <w:fldChar w:fldCharType="begin"/>
      </w:r>
      <w:r w:rsidRPr="00537A99">
        <w:rPr>
          <w:noProof/>
          <w:lang w:val="fr-CH"/>
        </w:rPr>
        <w:instrText xml:space="preserve"> PAGEREF _Toc424911467 \h </w:instrText>
      </w:r>
      <w:r>
        <w:rPr>
          <w:noProof/>
        </w:rPr>
      </w:r>
      <w:r>
        <w:rPr>
          <w:noProof/>
        </w:rPr>
        <w:fldChar w:fldCharType="separate"/>
      </w:r>
      <w:r w:rsidRPr="00537A99">
        <w:rPr>
          <w:noProof/>
          <w:lang w:val="fr-CH"/>
        </w:rPr>
        <w:t>3</w:t>
      </w:r>
      <w:r>
        <w:rPr>
          <w:noProof/>
        </w:rPr>
        <w:fldChar w:fldCharType="end"/>
      </w:r>
    </w:p>
    <w:p w:rsidR="00817611" w:rsidRDefault="00817611">
      <w:pPr>
        <w:pStyle w:val="TOC1"/>
        <w:rPr>
          <w:rFonts w:asciiTheme="minorHAnsi" w:eastAsiaTheme="minorEastAsia" w:hAnsiTheme="minorHAnsi" w:cstheme="minorBidi"/>
          <w:caps w:val="0"/>
          <w:noProof/>
          <w:szCs w:val="22"/>
          <w:lang w:val="fr-FR" w:eastAsia="fr-FR"/>
        </w:rPr>
      </w:pPr>
      <w:r w:rsidRPr="00537A99">
        <w:rPr>
          <w:noProof/>
          <w:lang w:val="fr-CH"/>
        </w:rPr>
        <w:t>Normes professionnelles</w:t>
      </w:r>
      <w:r w:rsidRPr="00537A99">
        <w:rPr>
          <w:noProof/>
          <w:lang w:val="fr-CH"/>
        </w:rPr>
        <w:tab/>
      </w:r>
      <w:r>
        <w:rPr>
          <w:noProof/>
        </w:rPr>
        <w:fldChar w:fldCharType="begin"/>
      </w:r>
      <w:r w:rsidRPr="00537A99">
        <w:rPr>
          <w:noProof/>
          <w:lang w:val="fr-CH"/>
        </w:rPr>
        <w:instrText xml:space="preserve"> PAGEREF _Toc424911468 \h </w:instrText>
      </w:r>
      <w:r>
        <w:rPr>
          <w:noProof/>
        </w:rPr>
      </w:r>
      <w:r>
        <w:rPr>
          <w:noProof/>
        </w:rPr>
        <w:fldChar w:fldCharType="separate"/>
      </w:r>
      <w:r w:rsidRPr="00537A99">
        <w:rPr>
          <w:noProof/>
          <w:lang w:val="fr-CH"/>
        </w:rPr>
        <w:t>3</w:t>
      </w:r>
      <w:r>
        <w:rPr>
          <w:noProof/>
        </w:rPr>
        <w:fldChar w:fldCharType="end"/>
      </w:r>
    </w:p>
    <w:p w:rsidR="00817611" w:rsidRDefault="00817611">
      <w:pPr>
        <w:pStyle w:val="TOC1"/>
        <w:rPr>
          <w:rFonts w:asciiTheme="minorHAnsi" w:eastAsiaTheme="minorEastAsia" w:hAnsiTheme="minorHAnsi" w:cstheme="minorBidi"/>
          <w:caps w:val="0"/>
          <w:noProof/>
          <w:szCs w:val="22"/>
          <w:lang w:val="fr-FR" w:eastAsia="fr-FR"/>
        </w:rPr>
      </w:pPr>
      <w:r w:rsidRPr="00F066FD">
        <w:rPr>
          <w:noProof/>
          <w:lang w:val="fr-FR"/>
        </w:rPr>
        <w:t>Principales conclusions et recommandations de la supervision interne</w:t>
      </w:r>
      <w:r w:rsidRPr="00537A99">
        <w:rPr>
          <w:noProof/>
          <w:lang w:val="fr-CH"/>
        </w:rPr>
        <w:tab/>
      </w:r>
      <w:r>
        <w:rPr>
          <w:noProof/>
        </w:rPr>
        <w:fldChar w:fldCharType="begin"/>
      </w:r>
      <w:r w:rsidRPr="00537A99">
        <w:rPr>
          <w:noProof/>
          <w:lang w:val="fr-CH"/>
        </w:rPr>
        <w:instrText xml:space="preserve"> PAGEREF _Toc424911469 \h </w:instrText>
      </w:r>
      <w:r>
        <w:rPr>
          <w:noProof/>
        </w:rPr>
      </w:r>
      <w:r>
        <w:rPr>
          <w:noProof/>
        </w:rPr>
        <w:fldChar w:fldCharType="separate"/>
      </w:r>
      <w:r w:rsidRPr="00537A99">
        <w:rPr>
          <w:noProof/>
          <w:lang w:val="fr-CH"/>
        </w:rPr>
        <w:t>4</w:t>
      </w:r>
      <w:r>
        <w:rPr>
          <w:noProof/>
        </w:rPr>
        <w:fldChar w:fldCharType="end"/>
      </w:r>
    </w:p>
    <w:p w:rsidR="00817611" w:rsidRDefault="00817611">
      <w:pPr>
        <w:pStyle w:val="TOC1"/>
        <w:rPr>
          <w:rFonts w:asciiTheme="minorHAnsi" w:eastAsiaTheme="minorEastAsia" w:hAnsiTheme="minorHAnsi" w:cstheme="minorBidi"/>
          <w:caps w:val="0"/>
          <w:noProof/>
          <w:szCs w:val="22"/>
          <w:lang w:val="fr-FR" w:eastAsia="fr-FR"/>
        </w:rPr>
      </w:pPr>
      <w:r w:rsidRPr="00F066FD">
        <w:rPr>
          <w:noProof/>
          <w:lang w:val="fr-FR"/>
        </w:rPr>
        <w:t>Activités d’enquête menées pendant la période couverte par le présent rapport</w:t>
      </w:r>
      <w:r w:rsidRPr="00537A99">
        <w:rPr>
          <w:noProof/>
          <w:lang w:val="fr-CH"/>
        </w:rPr>
        <w:tab/>
      </w:r>
      <w:r>
        <w:rPr>
          <w:noProof/>
        </w:rPr>
        <w:fldChar w:fldCharType="begin"/>
      </w:r>
      <w:r w:rsidRPr="00537A99">
        <w:rPr>
          <w:noProof/>
          <w:lang w:val="fr-CH"/>
        </w:rPr>
        <w:instrText xml:space="preserve"> PAGEREF _Toc424911470 \h </w:instrText>
      </w:r>
      <w:r>
        <w:rPr>
          <w:noProof/>
        </w:rPr>
      </w:r>
      <w:r>
        <w:rPr>
          <w:noProof/>
        </w:rPr>
        <w:fldChar w:fldCharType="separate"/>
      </w:r>
      <w:r w:rsidRPr="00537A99">
        <w:rPr>
          <w:noProof/>
          <w:lang w:val="fr-CH"/>
        </w:rPr>
        <w:t>8</w:t>
      </w:r>
      <w:r>
        <w:rPr>
          <w:noProof/>
        </w:rPr>
        <w:fldChar w:fldCharType="end"/>
      </w:r>
    </w:p>
    <w:p w:rsidR="00817611" w:rsidRDefault="00817611">
      <w:pPr>
        <w:pStyle w:val="TOC1"/>
        <w:rPr>
          <w:rFonts w:asciiTheme="minorHAnsi" w:eastAsiaTheme="minorEastAsia" w:hAnsiTheme="minorHAnsi" w:cstheme="minorBidi"/>
          <w:caps w:val="0"/>
          <w:noProof/>
          <w:szCs w:val="22"/>
          <w:lang w:val="fr-FR" w:eastAsia="fr-FR"/>
        </w:rPr>
      </w:pPr>
      <w:r w:rsidRPr="00F066FD">
        <w:rPr>
          <w:noProof/>
          <w:lang w:val="fr-FR"/>
        </w:rPr>
        <w:t>Cas dans lesquels des demandes d’information ou d’assistance ont été rejetées</w:t>
      </w:r>
      <w:r w:rsidRPr="00537A99">
        <w:rPr>
          <w:noProof/>
          <w:lang w:val="fr-CH"/>
        </w:rPr>
        <w:tab/>
      </w:r>
      <w:r>
        <w:rPr>
          <w:noProof/>
        </w:rPr>
        <w:fldChar w:fldCharType="begin"/>
      </w:r>
      <w:r w:rsidRPr="00537A99">
        <w:rPr>
          <w:noProof/>
          <w:lang w:val="fr-CH"/>
        </w:rPr>
        <w:instrText xml:space="preserve"> PAGEREF _Toc424911471 \h </w:instrText>
      </w:r>
      <w:r>
        <w:rPr>
          <w:noProof/>
        </w:rPr>
      </w:r>
      <w:r>
        <w:rPr>
          <w:noProof/>
        </w:rPr>
        <w:fldChar w:fldCharType="separate"/>
      </w:r>
      <w:r w:rsidRPr="00537A99">
        <w:rPr>
          <w:noProof/>
          <w:lang w:val="fr-CH"/>
        </w:rPr>
        <w:t>11</w:t>
      </w:r>
      <w:r>
        <w:rPr>
          <w:noProof/>
        </w:rPr>
        <w:fldChar w:fldCharType="end"/>
      </w:r>
    </w:p>
    <w:p w:rsidR="00817611" w:rsidRDefault="00817611">
      <w:pPr>
        <w:pStyle w:val="TOC1"/>
        <w:rPr>
          <w:rFonts w:asciiTheme="minorHAnsi" w:eastAsiaTheme="minorEastAsia" w:hAnsiTheme="minorHAnsi" w:cstheme="minorBidi"/>
          <w:caps w:val="0"/>
          <w:noProof/>
          <w:szCs w:val="22"/>
          <w:lang w:val="fr-FR" w:eastAsia="fr-FR"/>
        </w:rPr>
      </w:pPr>
      <w:r w:rsidRPr="00F066FD">
        <w:rPr>
          <w:noProof/>
          <w:lang w:val="fr-FR"/>
        </w:rPr>
        <w:t>État d’avancement de la mise en œuvre des recommandations en matière de supervision</w:t>
      </w:r>
      <w:r w:rsidRPr="00537A99">
        <w:rPr>
          <w:noProof/>
          <w:lang w:val="fr-CH"/>
        </w:rPr>
        <w:tab/>
      </w:r>
      <w:r>
        <w:rPr>
          <w:noProof/>
        </w:rPr>
        <w:fldChar w:fldCharType="begin"/>
      </w:r>
      <w:r w:rsidRPr="00537A99">
        <w:rPr>
          <w:noProof/>
          <w:lang w:val="fr-CH"/>
        </w:rPr>
        <w:instrText xml:space="preserve"> PAGEREF _Toc424911472 \h </w:instrText>
      </w:r>
      <w:r>
        <w:rPr>
          <w:noProof/>
        </w:rPr>
      </w:r>
      <w:r>
        <w:rPr>
          <w:noProof/>
        </w:rPr>
        <w:fldChar w:fldCharType="separate"/>
      </w:r>
      <w:r w:rsidRPr="00537A99">
        <w:rPr>
          <w:noProof/>
          <w:lang w:val="fr-CH"/>
        </w:rPr>
        <w:t>11</w:t>
      </w:r>
      <w:r>
        <w:rPr>
          <w:noProof/>
        </w:rPr>
        <w:fldChar w:fldCharType="end"/>
      </w:r>
    </w:p>
    <w:p w:rsidR="00817611" w:rsidRDefault="00817611">
      <w:pPr>
        <w:pStyle w:val="TOC1"/>
        <w:rPr>
          <w:rFonts w:asciiTheme="minorHAnsi" w:eastAsiaTheme="minorEastAsia" w:hAnsiTheme="minorHAnsi" w:cstheme="minorBidi"/>
          <w:caps w:val="0"/>
          <w:noProof/>
          <w:szCs w:val="22"/>
          <w:lang w:val="fr-FR" w:eastAsia="fr-FR"/>
        </w:rPr>
      </w:pPr>
      <w:r w:rsidRPr="00F066FD">
        <w:rPr>
          <w:noProof/>
          <w:lang w:val="fr-FR"/>
        </w:rPr>
        <w:t>Évaluation externe des activités de la Division de la supervision interne</w:t>
      </w:r>
      <w:r w:rsidRPr="00537A99">
        <w:rPr>
          <w:noProof/>
          <w:lang w:val="fr-CH"/>
        </w:rPr>
        <w:tab/>
      </w:r>
      <w:r>
        <w:rPr>
          <w:noProof/>
        </w:rPr>
        <w:fldChar w:fldCharType="begin"/>
      </w:r>
      <w:r w:rsidRPr="00537A99">
        <w:rPr>
          <w:noProof/>
          <w:lang w:val="fr-CH"/>
        </w:rPr>
        <w:instrText xml:space="preserve"> PAGEREF _Toc424911473 \h </w:instrText>
      </w:r>
      <w:r>
        <w:rPr>
          <w:noProof/>
        </w:rPr>
      </w:r>
      <w:r>
        <w:rPr>
          <w:noProof/>
        </w:rPr>
        <w:fldChar w:fldCharType="separate"/>
      </w:r>
      <w:r w:rsidRPr="00537A99">
        <w:rPr>
          <w:noProof/>
          <w:lang w:val="fr-CH"/>
        </w:rPr>
        <w:t>14</w:t>
      </w:r>
      <w:r>
        <w:rPr>
          <w:noProof/>
        </w:rPr>
        <w:fldChar w:fldCharType="end"/>
      </w:r>
    </w:p>
    <w:p w:rsidR="00817611" w:rsidRDefault="00817611">
      <w:pPr>
        <w:pStyle w:val="TOC1"/>
        <w:rPr>
          <w:rFonts w:asciiTheme="minorHAnsi" w:eastAsiaTheme="minorEastAsia" w:hAnsiTheme="minorHAnsi" w:cstheme="minorBidi"/>
          <w:caps w:val="0"/>
          <w:noProof/>
          <w:szCs w:val="22"/>
          <w:lang w:val="fr-FR" w:eastAsia="fr-FR"/>
        </w:rPr>
      </w:pPr>
      <w:r w:rsidRPr="00F066FD">
        <w:rPr>
          <w:noProof/>
          <w:lang w:val="fr-FR"/>
        </w:rPr>
        <w:t>Activités consultatives et de conseil en matière de supervision</w:t>
      </w:r>
      <w:r w:rsidRPr="00537A99">
        <w:rPr>
          <w:noProof/>
          <w:lang w:val="fr-CH"/>
        </w:rPr>
        <w:tab/>
      </w:r>
      <w:r>
        <w:rPr>
          <w:noProof/>
        </w:rPr>
        <w:fldChar w:fldCharType="begin"/>
      </w:r>
      <w:r w:rsidRPr="00537A99">
        <w:rPr>
          <w:noProof/>
          <w:lang w:val="fr-CH"/>
        </w:rPr>
        <w:instrText xml:space="preserve"> PAGEREF _Toc424911474 \h </w:instrText>
      </w:r>
      <w:r>
        <w:rPr>
          <w:noProof/>
        </w:rPr>
      </w:r>
      <w:r>
        <w:rPr>
          <w:noProof/>
        </w:rPr>
        <w:fldChar w:fldCharType="separate"/>
      </w:r>
      <w:r w:rsidRPr="00537A99">
        <w:rPr>
          <w:noProof/>
          <w:lang w:val="fr-CH"/>
        </w:rPr>
        <w:t>14</w:t>
      </w:r>
      <w:r>
        <w:rPr>
          <w:noProof/>
        </w:rPr>
        <w:fldChar w:fldCharType="end"/>
      </w:r>
    </w:p>
    <w:p w:rsidR="00817611" w:rsidRDefault="00817611">
      <w:pPr>
        <w:pStyle w:val="TOC1"/>
        <w:rPr>
          <w:rFonts w:asciiTheme="minorHAnsi" w:eastAsiaTheme="minorEastAsia" w:hAnsiTheme="minorHAnsi" w:cstheme="minorBidi"/>
          <w:caps w:val="0"/>
          <w:noProof/>
          <w:szCs w:val="22"/>
          <w:lang w:val="fr-FR" w:eastAsia="fr-FR"/>
        </w:rPr>
      </w:pPr>
      <w:r w:rsidRPr="00F066FD">
        <w:rPr>
          <w:noProof/>
          <w:lang w:val="fr-FR"/>
        </w:rPr>
        <w:t>Coordination avec les organismes de supervision externes</w:t>
      </w:r>
      <w:r w:rsidRPr="00537A99">
        <w:rPr>
          <w:noProof/>
          <w:lang w:val="fr-CH"/>
        </w:rPr>
        <w:tab/>
      </w:r>
      <w:r>
        <w:rPr>
          <w:noProof/>
        </w:rPr>
        <w:fldChar w:fldCharType="begin"/>
      </w:r>
      <w:r w:rsidRPr="00537A99">
        <w:rPr>
          <w:noProof/>
          <w:lang w:val="fr-CH"/>
        </w:rPr>
        <w:instrText xml:space="preserve"> PAGEREF _Toc424911475 \h </w:instrText>
      </w:r>
      <w:r>
        <w:rPr>
          <w:noProof/>
        </w:rPr>
      </w:r>
      <w:r>
        <w:rPr>
          <w:noProof/>
        </w:rPr>
        <w:fldChar w:fldCharType="separate"/>
      </w:r>
      <w:r w:rsidRPr="00537A99">
        <w:rPr>
          <w:noProof/>
          <w:lang w:val="fr-CH"/>
        </w:rPr>
        <w:t>14</w:t>
      </w:r>
      <w:r>
        <w:rPr>
          <w:noProof/>
        </w:rPr>
        <w:fldChar w:fldCharType="end"/>
      </w:r>
    </w:p>
    <w:p w:rsidR="00817611" w:rsidRDefault="00817611">
      <w:pPr>
        <w:pStyle w:val="TOC1"/>
        <w:rPr>
          <w:rFonts w:asciiTheme="minorHAnsi" w:eastAsiaTheme="minorEastAsia" w:hAnsiTheme="minorHAnsi" w:cstheme="minorBidi"/>
          <w:caps w:val="0"/>
          <w:noProof/>
          <w:szCs w:val="22"/>
          <w:lang w:val="fr-FR" w:eastAsia="fr-FR"/>
        </w:rPr>
      </w:pPr>
      <w:r w:rsidRPr="00F066FD">
        <w:rPr>
          <w:noProof/>
          <w:lang w:val="fr-FR"/>
        </w:rPr>
        <w:t>Coopération avec le Bureau du médiateur et le Bureau de la déontologie</w:t>
      </w:r>
      <w:r w:rsidRPr="00537A99">
        <w:rPr>
          <w:noProof/>
          <w:lang w:val="fr-CH"/>
        </w:rPr>
        <w:tab/>
      </w:r>
      <w:r>
        <w:rPr>
          <w:noProof/>
        </w:rPr>
        <w:fldChar w:fldCharType="begin"/>
      </w:r>
      <w:r w:rsidRPr="00537A99">
        <w:rPr>
          <w:noProof/>
          <w:lang w:val="fr-CH"/>
        </w:rPr>
        <w:instrText xml:space="preserve"> PAGEREF _Toc424911476 \h </w:instrText>
      </w:r>
      <w:r>
        <w:rPr>
          <w:noProof/>
        </w:rPr>
      </w:r>
      <w:r>
        <w:rPr>
          <w:noProof/>
        </w:rPr>
        <w:fldChar w:fldCharType="separate"/>
      </w:r>
      <w:r w:rsidRPr="00537A99">
        <w:rPr>
          <w:noProof/>
          <w:lang w:val="fr-CH"/>
        </w:rPr>
        <w:t>15</w:t>
      </w:r>
      <w:r>
        <w:rPr>
          <w:noProof/>
        </w:rPr>
        <w:fldChar w:fldCharType="end"/>
      </w:r>
    </w:p>
    <w:p w:rsidR="00817611" w:rsidRDefault="00817611">
      <w:pPr>
        <w:pStyle w:val="TOC1"/>
        <w:rPr>
          <w:rFonts w:asciiTheme="minorHAnsi" w:eastAsiaTheme="minorEastAsia" w:hAnsiTheme="minorHAnsi" w:cstheme="minorBidi"/>
          <w:caps w:val="0"/>
          <w:noProof/>
          <w:szCs w:val="22"/>
          <w:lang w:val="fr-FR" w:eastAsia="fr-FR"/>
        </w:rPr>
      </w:pPr>
      <w:r w:rsidRPr="00F066FD">
        <w:rPr>
          <w:noProof/>
          <w:lang w:val="fr-FR"/>
        </w:rPr>
        <w:t>Autres activités de supervision</w:t>
      </w:r>
      <w:r w:rsidRPr="00537A99">
        <w:rPr>
          <w:noProof/>
          <w:lang w:val="fr-CH"/>
        </w:rPr>
        <w:tab/>
      </w:r>
      <w:r>
        <w:rPr>
          <w:noProof/>
        </w:rPr>
        <w:fldChar w:fldCharType="begin"/>
      </w:r>
      <w:r w:rsidRPr="00537A99">
        <w:rPr>
          <w:noProof/>
          <w:lang w:val="fr-CH"/>
        </w:rPr>
        <w:instrText xml:space="preserve"> PAGEREF _Toc424911477 \h </w:instrText>
      </w:r>
      <w:r>
        <w:rPr>
          <w:noProof/>
        </w:rPr>
      </w:r>
      <w:r>
        <w:rPr>
          <w:noProof/>
        </w:rPr>
        <w:fldChar w:fldCharType="separate"/>
      </w:r>
      <w:r w:rsidRPr="00537A99">
        <w:rPr>
          <w:noProof/>
          <w:lang w:val="fr-CH"/>
        </w:rPr>
        <w:t>15</w:t>
      </w:r>
      <w:r>
        <w:rPr>
          <w:noProof/>
        </w:rPr>
        <w:fldChar w:fldCharType="end"/>
      </w:r>
    </w:p>
    <w:p w:rsidR="00817611" w:rsidRDefault="00817611">
      <w:pPr>
        <w:pStyle w:val="TOC1"/>
        <w:rPr>
          <w:rFonts w:asciiTheme="minorHAnsi" w:eastAsiaTheme="minorEastAsia" w:hAnsiTheme="minorHAnsi" w:cstheme="minorBidi"/>
          <w:caps w:val="0"/>
          <w:noProof/>
          <w:szCs w:val="22"/>
          <w:lang w:val="fr-FR" w:eastAsia="fr-FR"/>
        </w:rPr>
      </w:pPr>
      <w:r w:rsidRPr="00F066FD">
        <w:rPr>
          <w:noProof/>
          <w:lang w:val="fr-FR"/>
        </w:rPr>
        <w:t>Ressources en matière de supervision</w:t>
      </w:r>
      <w:r w:rsidRPr="00537A99">
        <w:rPr>
          <w:noProof/>
          <w:lang w:val="fr-CH"/>
        </w:rPr>
        <w:tab/>
      </w:r>
      <w:r>
        <w:rPr>
          <w:noProof/>
        </w:rPr>
        <w:fldChar w:fldCharType="begin"/>
      </w:r>
      <w:r w:rsidRPr="00537A99">
        <w:rPr>
          <w:noProof/>
          <w:lang w:val="fr-CH"/>
        </w:rPr>
        <w:instrText xml:space="preserve"> PAGEREF _Toc424911478 \h </w:instrText>
      </w:r>
      <w:r>
        <w:rPr>
          <w:noProof/>
        </w:rPr>
      </w:r>
      <w:r>
        <w:rPr>
          <w:noProof/>
        </w:rPr>
        <w:fldChar w:fldCharType="separate"/>
      </w:r>
      <w:r w:rsidRPr="00537A99">
        <w:rPr>
          <w:noProof/>
          <w:lang w:val="fr-CH"/>
        </w:rPr>
        <w:t>16</w:t>
      </w:r>
      <w:r>
        <w:rPr>
          <w:noProof/>
        </w:rPr>
        <w:fldChar w:fldCharType="end"/>
      </w:r>
    </w:p>
    <w:p w:rsidR="007F4F40" w:rsidRPr="004C0E7A" w:rsidRDefault="00213EB9" w:rsidP="004B6701">
      <w:pPr>
        <w:keepLines/>
        <w:tabs>
          <w:tab w:val="left" w:leader="dot" w:pos="8910"/>
        </w:tabs>
        <w:spacing w:before="240" w:after="120" w:line="360" w:lineRule="auto"/>
        <w:rPr>
          <w:lang w:val="fr-FR"/>
        </w:rPr>
      </w:pPr>
      <w:r>
        <w:rPr>
          <w:lang w:val="fr-FR"/>
        </w:rPr>
        <w:fldChar w:fldCharType="end"/>
      </w:r>
    </w:p>
    <w:p w:rsidR="007F4F40" w:rsidRPr="004C0E7A" w:rsidRDefault="004B6701" w:rsidP="004B6701">
      <w:pPr>
        <w:keepLines/>
        <w:tabs>
          <w:tab w:val="left" w:leader="dot" w:pos="8910"/>
        </w:tabs>
        <w:spacing w:before="240" w:after="120" w:line="360" w:lineRule="auto"/>
        <w:rPr>
          <w:b/>
          <w:lang w:val="fr-FR"/>
        </w:rPr>
      </w:pPr>
      <w:r w:rsidRPr="004C0E7A">
        <w:rPr>
          <w:b/>
          <w:lang w:val="fr-FR"/>
        </w:rPr>
        <w:t>ANNEXES</w:t>
      </w:r>
    </w:p>
    <w:p w:rsidR="007F4F40" w:rsidRPr="004C0E7A" w:rsidRDefault="007C1EBC" w:rsidP="004C0E7A">
      <w:pPr>
        <w:keepLines/>
        <w:tabs>
          <w:tab w:val="left" w:pos="1276"/>
          <w:tab w:val="left" w:pos="1560"/>
        </w:tabs>
        <w:rPr>
          <w:lang w:val="fr-FR"/>
        </w:rPr>
      </w:pPr>
      <w:r w:rsidRPr="004C0E7A">
        <w:rPr>
          <w:lang w:val="fr-FR"/>
        </w:rPr>
        <w:t xml:space="preserve">ANNEXE I </w:t>
      </w:r>
      <w:r w:rsidR="004C0E7A">
        <w:rPr>
          <w:lang w:val="fr-FR"/>
        </w:rPr>
        <w:tab/>
      </w:r>
      <w:r w:rsidRPr="004C0E7A">
        <w:rPr>
          <w:lang w:val="fr-FR"/>
        </w:rPr>
        <w:t xml:space="preserve">– </w:t>
      </w:r>
      <w:r w:rsidR="004C0E7A">
        <w:rPr>
          <w:lang w:val="fr-FR"/>
        </w:rPr>
        <w:tab/>
      </w:r>
      <w:r w:rsidR="00D8296C" w:rsidRPr="004C0E7A">
        <w:rPr>
          <w:lang w:val="fr-FR"/>
        </w:rPr>
        <w:t>É</w:t>
      </w:r>
      <w:r w:rsidRPr="004C0E7A">
        <w:rPr>
          <w:lang w:val="fr-FR"/>
        </w:rPr>
        <w:t>tat d</w:t>
      </w:r>
      <w:r w:rsidR="000055C7" w:rsidRPr="004C0E7A">
        <w:rPr>
          <w:lang w:val="fr-FR"/>
        </w:rPr>
        <w:t>’</w:t>
      </w:r>
      <w:r w:rsidRPr="004C0E7A">
        <w:rPr>
          <w:lang w:val="fr-FR"/>
        </w:rPr>
        <w:t xml:space="preserve">avancement des </w:t>
      </w:r>
      <w:r w:rsidR="00D8296C" w:rsidRPr="004C0E7A">
        <w:rPr>
          <w:lang w:val="fr-FR"/>
        </w:rPr>
        <w:t>missions de supervision</w:t>
      </w:r>
    </w:p>
    <w:p w:rsidR="007F4F40" w:rsidRPr="004C0E7A" w:rsidRDefault="007C1EBC" w:rsidP="004C0E7A">
      <w:pPr>
        <w:keepLines/>
        <w:tabs>
          <w:tab w:val="left" w:pos="1276"/>
          <w:tab w:val="left" w:pos="1560"/>
        </w:tabs>
        <w:rPr>
          <w:lang w:val="fr-FR"/>
        </w:rPr>
      </w:pPr>
      <w:r w:rsidRPr="004C0E7A">
        <w:rPr>
          <w:lang w:val="fr-FR"/>
        </w:rPr>
        <w:t xml:space="preserve">ANNEXE II </w:t>
      </w:r>
      <w:r w:rsidR="004C0E7A">
        <w:rPr>
          <w:lang w:val="fr-FR"/>
        </w:rPr>
        <w:tab/>
      </w:r>
      <w:r w:rsidRPr="004C0E7A">
        <w:rPr>
          <w:lang w:val="fr-FR"/>
        </w:rPr>
        <w:t xml:space="preserve">– </w:t>
      </w:r>
      <w:r w:rsidR="004C0E7A">
        <w:rPr>
          <w:lang w:val="fr-FR"/>
        </w:rPr>
        <w:tab/>
      </w:r>
      <w:r w:rsidRPr="004C0E7A">
        <w:rPr>
          <w:lang w:val="fr-FR"/>
        </w:rPr>
        <w:t>Liste des rapports</w:t>
      </w:r>
      <w:r w:rsidR="00317805" w:rsidRPr="004C0E7A">
        <w:rPr>
          <w:lang w:val="fr-FR"/>
        </w:rPr>
        <w:t xml:space="preserve"> établis par</w:t>
      </w:r>
      <w:r w:rsidR="000055C7" w:rsidRPr="004C0E7A">
        <w:rPr>
          <w:lang w:val="fr-FR"/>
        </w:rPr>
        <w:t xml:space="preserve"> la DSI</w:t>
      </w:r>
    </w:p>
    <w:p w:rsidR="007F4F40" w:rsidRPr="004C0E7A" w:rsidRDefault="007C1EBC" w:rsidP="004C0E7A">
      <w:pPr>
        <w:keepLines/>
        <w:tabs>
          <w:tab w:val="left" w:pos="1276"/>
          <w:tab w:val="left" w:pos="1560"/>
        </w:tabs>
        <w:rPr>
          <w:lang w:val="fr-FR"/>
        </w:rPr>
      </w:pPr>
      <w:r w:rsidRPr="004C0E7A">
        <w:rPr>
          <w:lang w:val="fr-FR"/>
        </w:rPr>
        <w:t xml:space="preserve">ANNEXE III </w:t>
      </w:r>
      <w:r w:rsidR="004C0E7A">
        <w:rPr>
          <w:lang w:val="fr-FR"/>
        </w:rPr>
        <w:tab/>
      </w:r>
      <w:r w:rsidRPr="004C0E7A">
        <w:rPr>
          <w:lang w:val="fr-FR"/>
        </w:rPr>
        <w:t xml:space="preserve">– </w:t>
      </w:r>
      <w:r w:rsidR="004C0E7A">
        <w:rPr>
          <w:lang w:val="fr-FR"/>
        </w:rPr>
        <w:tab/>
      </w:r>
      <w:r w:rsidRPr="004C0E7A">
        <w:rPr>
          <w:lang w:val="fr-FR"/>
        </w:rPr>
        <w:t xml:space="preserve">Liste des activités de consultation et de conseil </w:t>
      </w:r>
      <w:r w:rsidR="00317805" w:rsidRPr="004C0E7A">
        <w:rPr>
          <w:lang w:val="fr-FR"/>
        </w:rPr>
        <w:t>menées par</w:t>
      </w:r>
      <w:r w:rsidR="000055C7" w:rsidRPr="004C0E7A">
        <w:rPr>
          <w:lang w:val="fr-FR"/>
        </w:rPr>
        <w:t xml:space="preserve"> la DSI</w:t>
      </w:r>
    </w:p>
    <w:p w:rsidR="007F4F40" w:rsidRPr="004C0E7A" w:rsidRDefault="007F4F40" w:rsidP="004B6701">
      <w:pPr>
        <w:keepLines/>
        <w:tabs>
          <w:tab w:val="left" w:pos="1134"/>
          <w:tab w:val="left" w:pos="1560"/>
        </w:tabs>
        <w:rPr>
          <w:lang w:val="fr-FR"/>
        </w:rPr>
      </w:pPr>
    </w:p>
    <w:p w:rsidR="004B6701" w:rsidRPr="004C0E7A" w:rsidRDefault="004B6701" w:rsidP="004B6701">
      <w:pPr>
        <w:keepLines/>
        <w:tabs>
          <w:tab w:val="left" w:pos="1134"/>
          <w:tab w:val="left" w:pos="1560"/>
        </w:tabs>
        <w:rPr>
          <w:lang w:val="fr-FR"/>
        </w:rPr>
        <w:sectPr w:rsidR="004B6701" w:rsidRPr="004C0E7A" w:rsidSect="00654077">
          <w:endnotePr>
            <w:numFmt w:val="decimal"/>
          </w:endnotePr>
          <w:pgSz w:w="11907" w:h="16840" w:code="9"/>
          <w:pgMar w:top="567" w:right="1134" w:bottom="1418" w:left="1418" w:header="510" w:footer="1021" w:gutter="0"/>
          <w:cols w:space="720"/>
          <w:titlePg/>
          <w:docGrid w:linePitch="299"/>
        </w:sectPr>
      </w:pPr>
    </w:p>
    <w:p w:rsidR="007F4F40" w:rsidRPr="004C0E7A" w:rsidRDefault="004C0E7A" w:rsidP="004C0E7A">
      <w:pPr>
        <w:pStyle w:val="Heading1"/>
        <w:rPr>
          <w:lang w:val="fr-FR"/>
        </w:rPr>
      </w:pPr>
      <w:bookmarkStart w:id="7" w:name="_Toc424911465"/>
      <w:r>
        <w:rPr>
          <w:lang w:val="fr-FR"/>
        </w:rPr>
        <w:lastRenderedPageBreak/>
        <w:t>L</w:t>
      </w:r>
      <w:r w:rsidRPr="004C0E7A">
        <w:rPr>
          <w:lang w:val="fr-FR"/>
        </w:rPr>
        <w:t>iste des sigles</w:t>
      </w:r>
      <w:bookmarkEnd w:id="7"/>
    </w:p>
    <w:p w:rsidR="00CE2815" w:rsidRPr="004C0E7A" w:rsidRDefault="00CE2815" w:rsidP="004B6701">
      <w:pPr>
        <w:rPr>
          <w:lang w:val="fr-FR"/>
        </w:rPr>
      </w:pPr>
    </w:p>
    <w:tbl>
      <w:tblPr>
        <w:tblStyle w:val="TableGrid"/>
        <w:tblW w:w="0" w:type="auto"/>
        <w:tblInd w:w="0" w:type="dxa"/>
        <w:tblLook w:val="01E0" w:firstRow="1" w:lastRow="1" w:firstColumn="1" w:lastColumn="1" w:noHBand="0" w:noVBand="0"/>
      </w:tblPr>
      <w:tblGrid>
        <w:gridCol w:w="1384"/>
        <w:gridCol w:w="8079"/>
      </w:tblGrid>
      <w:tr w:rsidR="00CE2815" w:rsidRPr="006510ED" w:rsidTr="005D7F4E">
        <w:trPr>
          <w:trHeight w:val="340"/>
        </w:trPr>
        <w:tc>
          <w:tcPr>
            <w:tcW w:w="1384" w:type="dxa"/>
            <w:vAlign w:val="center"/>
          </w:tcPr>
          <w:p w:rsidR="00CE2815" w:rsidRPr="004C0E7A" w:rsidRDefault="007F4F40" w:rsidP="007F4F40">
            <w:pPr>
              <w:ind w:left="0"/>
              <w:rPr>
                <w:b/>
                <w:bCs/>
                <w:szCs w:val="22"/>
                <w:lang w:val="fr-FR"/>
              </w:rPr>
            </w:pPr>
            <w:r w:rsidRPr="004C0E7A">
              <w:rPr>
                <w:b/>
                <w:bCs/>
                <w:szCs w:val="22"/>
                <w:lang w:val="fr-FR"/>
              </w:rPr>
              <w:t>DGRH</w:t>
            </w:r>
          </w:p>
        </w:tc>
        <w:tc>
          <w:tcPr>
            <w:tcW w:w="8079" w:type="dxa"/>
            <w:vAlign w:val="center"/>
          </w:tcPr>
          <w:p w:rsidR="00CE2815" w:rsidRPr="004C0E7A" w:rsidRDefault="007F4F40" w:rsidP="007F4F40">
            <w:pPr>
              <w:ind w:left="43"/>
              <w:rPr>
                <w:lang w:val="fr-FR"/>
              </w:rPr>
            </w:pPr>
            <w:r w:rsidRPr="004C0E7A">
              <w:rPr>
                <w:lang w:val="fr-FR"/>
              </w:rPr>
              <w:t>Département de la gestion des ressources humaines</w:t>
            </w:r>
          </w:p>
        </w:tc>
      </w:tr>
      <w:tr w:rsidR="00CE2815" w:rsidRPr="006510ED" w:rsidTr="005D7F4E">
        <w:trPr>
          <w:trHeight w:val="340"/>
        </w:trPr>
        <w:tc>
          <w:tcPr>
            <w:tcW w:w="1384" w:type="dxa"/>
            <w:vAlign w:val="center"/>
          </w:tcPr>
          <w:p w:rsidR="00CE2815" w:rsidRPr="004C0E7A" w:rsidRDefault="007F4F40" w:rsidP="007F4F40">
            <w:pPr>
              <w:ind w:left="0"/>
              <w:rPr>
                <w:b/>
                <w:bCs/>
                <w:szCs w:val="22"/>
                <w:lang w:val="fr-FR"/>
              </w:rPr>
            </w:pPr>
            <w:r w:rsidRPr="004C0E7A">
              <w:rPr>
                <w:b/>
                <w:bCs/>
                <w:szCs w:val="22"/>
                <w:lang w:val="fr-FR"/>
              </w:rPr>
              <w:t>OCIS</w:t>
            </w:r>
          </w:p>
        </w:tc>
        <w:tc>
          <w:tcPr>
            <w:tcW w:w="8079" w:type="dxa"/>
            <w:vAlign w:val="center"/>
          </w:tcPr>
          <w:p w:rsidR="00CE2815" w:rsidRPr="004C0E7A" w:rsidRDefault="007F4F40" w:rsidP="007F4F40">
            <w:pPr>
              <w:ind w:left="43"/>
              <w:rPr>
                <w:lang w:val="fr-FR"/>
              </w:rPr>
            </w:pPr>
            <w:r w:rsidRPr="004C0E7A">
              <w:rPr>
                <w:lang w:val="fr-FR"/>
              </w:rPr>
              <w:t>Organe consultatif indépendant de surveillance</w:t>
            </w:r>
          </w:p>
        </w:tc>
      </w:tr>
      <w:tr w:rsidR="00CE2815" w:rsidRPr="006510ED" w:rsidTr="005D7F4E">
        <w:trPr>
          <w:trHeight w:val="340"/>
        </w:trPr>
        <w:tc>
          <w:tcPr>
            <w:tcW w:w="1384" w:type="dxa"/>
            <w:vAlign w:val="center"/>
          </w:tcPr>
          <w:p w:rsidR="00CE2815" w:rsidRPr="004C0E7A" w:rsidRDefault="007F4F40" w:rsidP="007F4F40">
            <w:pPr>
              <w:ind w:left="0"/>
              <w:rPr>
                <w:b/>
                <w:bCs/>
                <w:szCs w:val="22"/>
                <w:lang w:val="fr-FR"/>
              </w:rPr>
            </w:pPr>
            <w:r w:rsidRPr="004C0E7A">
              <w:rPr>
                <w:b/>
                <w:bCs/>
                <w:szCs w:val="22"/>
                <w:lang w:val="fr-FR"/>
              </w:rPr>
              <w:t>DSI</w:t>
            </w:r>
          </w:p>
        </w:tc>
        <w:tc>
          <w:tcPr>
            <w:tcW w:w="8079" w:type="dxa"/>
            <w:vAlign w:val="center"/>
          </w:tcPr>
          <w:p w:rsidR="00CE2815" w:rsidRPr="004C0E7A" w:rsidRDefault="007F4F40" w:rsidP="007F4F40">
            <w:pPr>
              <w:ind w:left="43"/>
              <w:rPr>
                <w:lang w:val="fr-FR"/>
              </w:rPr>
            </w:pPr>
            <w:r w:rsidRPr="004C0E7A">
              <w:rPr>
                <w:lang w:val="fr-FR"/>
              </w:rPr>
              <w:t>Division de la supervision interne</w:t>
            </w:r>
          </w:p>
        </w:tc>
      </w:tr>
      <w:tr w:rsidR="00CE2815" w:rsidRPr="004C0E7A" w:rsidTr="005D7F4E">
        <w:trPr>
          <w:trHeight w:val="340"/>
        </w:trPr>
        <w:tc>
          <w:tcPr>
            <w:tcW w:w="1384" w:type="dxa"/>
            <w:vAlign w:val="center"/>
          </w:tcPr>
          <w:p w:rsidR="00CE2815" w:rsidRPr="004C0E7A" w:rsidRDefault="007F4F40" w:rsidP="007F4F40">
            <w:pPr>
              <w:ind w:left="0"/>
              <w:rPr>
                <w:b/>
                <w:bCs/>
                <w:szCs w:val="22"/>
                <w:lang w:val="fr-FR"/>
              </w:rPr>
            </w:pPr>
            <w:r w:rsidRPr="004C0E7A">
              <w:rPr>
                <w:b/>
                <w:bCs/>
                <w:szCs w:val="22"/>
                <w:lang w:val="fr-FR"/>
              </w:rPr>
              <w:t>CCI</w:t>
            </w:r>
          </w:p>
        </w:tc>
        <w:tc>
          <w:tcPr>
            <w:tcW w:w="8079" w:type="dxa"/>
            <w:vAlign w:val="center"/>
          </w:tcPr>
          <w:p w:rsidR="00CE2815" w:rsidRPr="004C0E7A" w:rsidRDefault="007F4F40" w:rsidP="007F4F40">
            <w:pPr>
              <w:ind w:left="43"/>
              <w:rPr>
                <w:lang w:val="fr-FR"/>
              </w:rPr>
            </w:pPr>
            <w:r w:rsidRPr="004C0E7A">
              <w:rPr>
                <w:lang w:val="fr-FR"/>
              </w:rPr>
              <w:t>Corps commun d</w:t>
            </w:r>
            <w:r w:rsidR="000055C7" w:rsidRPr="004C0E7A">
              <w:rPr>
                <w:lang w:val="fr-FR"/>
              </w:rPr>
              <w:t>’</w:t>
            </w:r>
            <w:r w:rsidRPr="004C0E7A">
              <w:rPr>
                <w:lang w:val="fr-FR"/>
              </w:rPr>
              <w:t>inspection</w:t>
            </w:r>
          </w:p>
        </w:tc>
      </w:tr>
      <w:tr w:rsidR="00F812A1" w:rsidRPr="004C0E7A" w:rsidTr="005D7F4E">
        <w:trPr>
          <w:trHeight w:val="340"/>
        </w:trPr>
        <w:tc>
          <w:tcPr>
            <w:tcW w:w="1384" w:type="dxa"/>
            <w:vAlign w:val="center"/>
          </w:tcPr>
          <w:p w:rsidR="00F812A1" w:rsidRPr="004C0E7A" w:rsidRDefault="007F4F40" w:rsidP="007F4F40">
            <w:pPr>
              <w:ind w:left="0"/>
              <w:rPr>
                <w:b/>
                <w:bCs/>
                <w:szCs w:val="22"/>
                <w:lang w:val="fr-FR"/>
              </w:rPr>
            </w:pPr>
            <w:r w:rsidRPr="004C0E7A">
              <w:rPr>
                <w:b/>
                <w:bCs/>
                <w:szCs w:val="22"/>
                <w:lang w:val="fr-FR"/>
              </w:rPr>
              <w:t>PMA</w:t>
            </w:r>
          </w:p>
        </w:tc>
        <w:tc>
          <w:tcPr>
            <w:tcW w:w="8079" w:type="dxa"/>
            <w:vAlign w:val="center"/>
          </w:tcPr>
          <w:p w:rsidR="00F812A1" w:rsidRPr="004C0E7A" w:rsidRDefault="007F4F40" w:rsidP="007F4F40">
            <w:pPr>
              <w:ind w:left="43"/>
              <w:rPr>
                <w:lang w:val="fr-FR"/>
              </w:rPr>
            </w:pPr>
            <w:r w:rsidRPr="004C0E7A">
              <w:rPr>
                <w:lang w:val="fr-FR"/>
              </w:rPr>
              <w:t>Pays les moins avancés</w:t>
            </w:r>
          </w:p>
        </w:tc>
      </w:tr>
      <w:tr w:rsidR="00CE2815" w:rsidRPr="006510ED" w:rsidTr="005D7F4E">
        <w:trPr>
          <w:trHeight w:val="340"/>
        </w:trPr>
        <w:tc>
          <w:tcPr>
            <w:tcW w:w="1384" w:type="dxa"/>
            <w:vAlign w:val="center"/>
          </w:tcPr>
          <w:p w:rsidR="00CE2815" w:rsidRPr="004C0E7A" w:rsidRDefault="00D8296C" w:rsidP="00D8296C">
            <w:pPr>
              <w:ind w:left="0"/>
              <w:rPr>
                <w:b/>
                <w:bCs/>
                <w:szCs w:val="22"/>
                <w:lang w:val="fr-FR"/>
              </w:rPr>
            </w:pPr>
            <w:r w:rsidRPr="004C0E7A">
              <w:rPr>
                <w:b/>
                <w:bCs/>
                <w:szCs w:val="22"/>
                <w:lang w:val="fr-FR"/>
              </w:rPr>
              <w:t>GNUE</w:t>
            </w:r>
          </w:p>
        </w:tc>
        <w:tc>
          <w:tcPr>
            <w:tcW w:w="8079" w:type="dxa"/>
            <w:vAlign w:val="center"/>
          </w:tcPr>
          <w:p w:rsidR="00CE2815" w:rsidRPr="004C0E7A" w:rsidRDefault="00D8296C" w:rsidP="00D8296C">
            <w:pPr>
              <w:ind w:left="43"/>
              <w:rPr>
                <w:lang w:val="fr-FR"/>
              </w:rPr>
            </w:pPr>
            <w:r w:rsidRPr="004C0E7A">
              <w:rPr>
                <w:lang w:val="fr-FR"/>
              </w:rPr>
              <w:t xml:space="preserve">Groupe des </w:t>
            </w:r>
            <w:r w:rsidR="000055C7" w:rsidRPr="004C0E7A">
              <w:rPr>
                <w:lang w:val="fr-FR"/>
              </w:rPr>
              <w:t>Nations Unies</w:t>
            </w:r>
            <w:r w:rsidRPr="004C0E7A">
              <w:rPr>
                <w:lang w:val="fr-FR"/>
              </w:rPr>
              <w:t xml:space="preserve"> sur l</w:t>
            </w:r>
            <w:r w:rsidR="000055C7" w:rsidRPr="004C0E7A">
              <w:rPr>
                <w:lang w:val="fr-FR"/>
              </w:rPr>
              <w:t>’</w:t>
            </w:r>
            <w:r w:rsidRPr="004C0E7A">
              <w:rPr>
                <w:lang w:val="fr-FR"/>
              </w:rPr>
              <w:t>évaluation</w:t>
            </w:r>
          </w:p>
        </w:tc>
      </w:tr>
      <w:tr w:rsidR="001C1E16" w:rsidRPr="006510ED" w:rsidTr="005D7F4E">
        <w:trPr>
          <w:trHeight w:val="340"/>
        </w:trPr>
        <w:tc>
          <w:tcPr>
            <w:tcW w:w="1384" w:type="dxa"/>
            <w:vAlign w:val="center"/>
          </w:tcPr>
          <w:p w:rsidR="001C1E16" w:rsidRPr="004C0E7A" w:rsidRDefault="00D8296C" w:rsidP="00D8296C">
            <w:pPr>
              <w:ind w:left="0"/>
              <w:rPr>
                <w:b/>
                <w:bCs/>
                <w:szCs w:val="22"/>
                <w:lang w:val="fr-FR"/>
              </w:rPr>
            </w:pPr>
            <w:r w:rsidRPr="004C0E7A">
              <w:rPr>
                <w:b/>
                <w:bCs/>
                <w:szCs w:val="22"/>
                <w:lang w:val="fr-FR"/>
              </w:rPr>
              <w:t>OMPI</w:t>
            </w:r>
          </w:p>
        </w:tc>
        <w:tc>
          <w:tcPr>
            <w:tcW w:w="8079" w:type="dxa"/>
            <w:vAlign w:val="center"/>
          </w:tcPr>
          <w:p w:rsidR="001C1E16" w:rsidRPr="004C0E7A" w:rsidRDefault="00D8296C" w:rsidP="00D8296C">
            <w:pPr>
              <w:ind w:left="43"/>
              <w:rPr>
                <w:lang w:val="fr-FR"/>
              </w:rPr>
            </w:pPr>
            <w:r w:rsidRPr="004C0E7A">
              <w:rPr>
                <w:lang w:val="fr-FR"/>
              </w:rPr>
              <w:t>Organisation Mondiale de la Propriété Intellectuelle</w:t>
            </w:r>
          </w:p>
        </w:tc>
      </w:tr>
      <w:tr w:rsidR="007F65E2" w:rsidRPr="004C0E7A" w:rsidTr="005D7F4E">
        <w:trPr>
          <w:trHeight w:val="340"/>
        </w:trPr>
        <w:tc>
          <w:tcPr>
            <w:tcW w:w="1384" w:type="dxa"/>
            <w:vAlign w:val="center"/>
          </w:tcPr>
          <w:p w:rsidR="007F65E2" w:rsidRPr="004C0E7A" w:rsidRDefault="007F65E2" w:rsidP="007F65E2">
            <w:pPr>
              <w:ind w:left="0"/>
              <w:rPr>
                <w:b/>
                <w:bCs/>
                <w:szCs w:val="22"/>
                <w:lang w:val="fr-FR"/>
              </w:rPr>
            </w:pPr>
            <w:r w:rsidRPr="004C0E7A">
              <w:rPr>
                <w:b/>
                <w:bCs/>
                <w:szCs w:val="22"/>
                <w:lang w:val="fr-FR"/>
              </w:rPr>
              <w:t>PRS</w:t>
            </w:r>
          </w:p>
        </w:tc>
        <w:tc>
          <w:tcPr>
            <w:tcW w:w="8079" w:type="dxa"/>
            <w:vAlign w:val="center"/>
          </w:tcPr>
          <w:p w:rsidR="007F65E2" w:rsidRPr="004C0E7A" w:rsidRDefault="008D49B4" w:rsidP="00D8296C">
            <w:pPr>
              <w:ind w:left="43"/>
              <w:rPr>
                <w:lang w:val="fr-FR"/>
              </w:rPr>
            </w:pPr>
            <w:r w:rsidRPr="004C0E7A">
              <w:rPr>
                <w:lang w:val="fr-FR"/>
              </w:rPr>
              <w:t>Plan de réorientation stratégique</w:t>
            </w:r>
          </w:p>
        </w:tc>
      </w:tr>
    </w:tbl>
    <w:p w:rsidR="00CE2815" w:rsidRPr="004C0E7A" w:rsidRDefault="00CE2815" w:rsidP="004B6701">
      <w:pPr>
        <w:rPr>
          <w:lang w:val="fr-FR"/>
        </w:rPr>
        <w:sectPr w:rsidR="00CE2815" w:rsidRPr="004C0E7A" w:rsidSect="00654077">
          <w:headerReference w:type="first" r:id="rId15"/>
          <w:endnotePr>
            <w:numFmt w:val="decimal"/>
          </w:endnotePr>
          <w:pgSz w:w="11907" w:h="16840" w:code="9"/>
          <w:pgMar w:top="567" w:right="1134" w:bottom="1418" w:left="1418" w:header="510" w:footer="1021" w:gutter="0"/>
          <w:pgNumType w:start="2"/>
          <w:cols w:space="720"/>
          <w:titlePg/>
          <w:docGrid w:linePitch="299"/>
        </w:sectPr>
      </w:pPr>
    </w:p>
    <w:p w:rsidR="007F4F40" w:rsidRPr="00537A99" w:rsidRDefault="007C1EBC" w:rsidP="00954E37">
      <w:pPr>
        <w:jc w:val="center"/>
        <w:rPr>
          <w:b/>
          <w:lang w:val="fr-CH"/>
        </w:rPr>
      </w:pPr>
      <w:r w:rsidRPr="00537A99">
        <w:rPr>
          <w:b/>
          <w:lang w:val="fr-CH"/>
        </w:rPr>
        <w:lastRenderedPageBreak/>
        <w:t>RAPPORT ANNUEL DU DIRECTEUR DE LA DIVISION DE LA SUPERVISION INTERNE</w:t>
      </w:r>
    </w:p>
    <w:p w:rsidR="007F4F40" w:rsidRDefault="007F4F40" w:rsidP="00E365E6">
      <w:pPr>
        <w:keepLines/>
        <w:rPr>
          <w:lang w:val="fr-FR"/>
        </w:rPr>
      </w:pPr>
    </w:p>
    <w:p w:rsidR="00954E37" w:rsidRPr="004C0E7A" w:rsidRDefault="00954E37" w:rsidP="00E365E6">
      <w:pPr>
        <w:keepLines/>
        <w:rPr>
          <w:lang w:val="fr-FR"/>
        </w:rPr>
      </w:pPr>
    </w:p>
    <w:p w:rsidR="007F4F40" w:rsidRPr="004C0E7A" w:rsidRDefault="000611C4" w:rsidP="002902F8">
      <w:pPr>
        <w:keepLines/>
        <w:rPr>
          <w:lang w:val="fr-FR"/>
        </w:rPr>
      </w:pPr>
      <w:r>
        <w:rPr>
          <w:lang w:val="fr-FR"/>
        </w:rPr>
        <w:t>D</w:t>
      </w:r>
      <w:r w:rsidR="002902F8" w:rsidRPr="004C0E7A">
        <w:rPr>
          <w:lang w:val="fr-FR"/>
        </w:rPr>
        <w:t xml:space="preserve">u </w:t>
      </w:r>
      <w:r w:rsidR="000055C7" w:rsidRPr="004C0E7A">
        <w:rPr>
          <w:lang w:val="fr-FR"/>
        </w:rPr>
        <w:t>1</w:t>
      </w:r>
      <w:r w:rsidR="000055C7" w:rsidRPr="004C0E7A">
        <w:rPr>
          <w:vertAlign w:val="superscript"/>
          <w:lang w:val="fr-FR"/>
        </w:rPr>
        <w:t>er</w:t>
      </w:r>
      <w:r w:rsidR="000055C7" w:rsidRPr="004C0E7A">
        <w:rPr>
          <w:lang w:val="fr-FR"/>
        </w:rPr>
        <w:t> juillet 20</w:t>
      </w:r>
      <w:r w:rsidR="002902F8" w:rsidRPr="004C0E7A">
        <w:rPr>
          <w:lang w:val="fr-FR"/>
        </w:rPr>
        <w:t>14 au 3</w:t>
      </w:r>
      <w:r w:rsidR="000055C7" w:rsidRPr="004C0E7A">
        <w:rPr>
          <w:lang w:val="fr-FR"/>
        </w:rPr>
        <w:t>0 juin 20</w:t>
      </w:r>
      <w:r w:rsidR="002902F8" w:rsidRPr="004C0E7A">
        <w:rPr>
          <w:lang w:val="fr-FR"/>
        </w:rPr>
        <w:t>15</w:t>
      </w:r>
    </w:p>
    <w:p w:rsidR="007F4F40" w:rsidRPr="004C0E7A" w:rsidRDefault="007F4F40" w:rsidP="004B6701">
      <w:pPr>
        <w:rPr>
          <w:lang w:val="fr-FR"/>
        </w:rPr>
      </w:pPr>
    </w:p>
    <w:p w:rsidR="007F4F40" w:rsidRPr="004C0E7A" w:rsidRDefault="00826201" w:rsidP="004C0E7A">
      <w:pPr>
        <w:pStyle w:val="Heading1"/>
        <w:rPr>
          <w:lang w:val="fr-FR"/>
        </w:rPr>
      </w:pPr>
      <w:bookmarkStart w:id="8" w:name="_Toc424911466"/>
      <w:r w:rsidRPr="004C0E7A">
        <w:rPr>
          <w:lang w:val="fr-FR"/>
        </w:rPr>
        <w:t>Généralités</w:t>
      </w:r>
      <w:bookmarkEnd w:id="8"/>
    </w:p>
    <w:p w:rsidR="007F4F40" w:rsidRPr="004C0E7A" w:rsidRDefault="002902F8" w:rsidP="004C0E7A">
      <w:pPr>
        <w:pStyle w:val="ONUMFS"/>
        <w:numPr>
          <w:ilvl w:val="0"/>
          <w:numId w:val="45"/>
        </w:numPr>
        <w:rPr>
          <w:lang w:val="fr-FR"/>
        </w:rPr>
      </w:pPr>
      <w:r w:rsidRPr="004C0E7A">
        <w:rPr>
          <w:lang w:val="fr-FR"/>
        </w:rPr>
        <w:t>La Division de la supervision interne de l</w:t>
      </w:r>
      <w:r w:rsidR="000055C7" w:rsidRPr="004C0E7A">
        <w:rPr>
          <w:lang w:val="fr-FR"/>
        </w:rPr>
        <w:t>’</w:t>
      </w:r>
      <w:r w:rsidRPr="004C0E7A">
        <w:rPr>
          <w:lang w:val="fr-FR"/>
        </w:rPr>
        <w:t>OMPI (ci</w:t>
      </w:r>
      <w:r w:rsidR="008E117E" w:rsidRPr="004C0E7A">
        <w:rPr>
          <w:lang w:val="fr-FR"/>
        </w:rPr>
        <w:noBreakHyphen/>
      </w:r>
      <w:r w:rsidRPr="004C0E7A">
        <w:rPr>
          <w:lang w:val="fr-FR"/>
        </w:rPr>
        <w:t>après dénommée “DSI”) a pour mission d</w:t>
      </w:r>
      <w:r w:rsidR="000055C7" w:rsidRPr="004C0E7A">
        <w:rPr>
          <w:lang w:val="fr-FR"/>
        </w:rPr>
        <w:t>’</w:t>
      </w:r>
      <w:r w:rsidRPr="004C0E7A">
        <w:rPr>
          <w:lang w:val="fr-FR"/>
        </w:rPr>
        <w:t>assurer à l</w:t>
      </w:r>
      <w:r w:rsidR="000055C7" w:rsidRPr="004C0E7A">
        <w:rPr>
          <w:lang w:val="fr-FR"/>
        </w:rPr>
        <w:t>’</w:t>
      </w:r>
      <w:r w:rsidRPr="004C0E7A">
        <w:rPr>
          <w:lang w:val="fr-FR"/>
        </w:rPr>
        <w:t>Organisation une supervision interne indépendante et efficace, conformément aux dispositions définies dans la Charte de la supervision interne.</w:t>
      </w:r>
    </w:p>
    <w:p w:rsidR="007F4F40" w:rsidRPr="004C0E7A" w:rsidRDefault="002902F8" w:rsidP="004C0E7A">
      <w:pPr>
        <w:pStyle w:val="ONUMFS"/>
        <w:rPr>
          <w:lang w:val="fr-FR"/>
        </w:rPr>
      </w:pPr>
      <w:r w:rsidRPr="004C0E7A">
        <w:rPr>
          <w:lang w:val="fr-FR"/>
        </w:rPr>
        <w:t>En vertu de la Charte de la supervision interne de l</w:t>
      </w:r>
      <w:r w:rsidR="000055C7" w:rsidRPr="004C0E7A">
        <w:rPr>
          <w:lang w:val="fr-FR"/>
        </w:rPr>
        <w:t>’</w:t>
      </w:r>
      <w:r w:rsidRPr="004C0E7A">
        <w:rPr>
          <w:lang w:val="fr-FR"/>
        </w:rPr>
        <w:t>OMPI</w:t>
      </w:r>
      <w:r w:rsidRPr="004C0E7A">
        <w:rPr>
          <w:rStyle w:val="FootnoteReference"/>
          <w:lang w:val="fr-FR"/>
        </w:rPr>
        <w:footnoteReference w:id="2"/>
      </w:r>
      <w:r w:rsidRPr="004C0E7A">
        <w:rPr>
          <w:lang w:val="fr-FR"/>
        </w:rPr>
        <w:t>, le directeur de la Division présente à l</w:t>
      </w:r>
      <w:r w:rsidR="000055C7" w:rsidRPr="004C0E7A">
        <w:rPr>
          <w:lang w:val="fr-FR"/>
        </w:rPr>
        <w:t>’</w:t>
      </w:r>
      <w:r w:rsidRPr="004C0E7A">
        <w:rPr>
          <w:lang w:val="fr-FR"/>
        </w:rPr>
        <w:t>Assemblée générale de l</w:t>
      </w:r>
      <w:r w:rsidR="000055C7" w:rsidRPr="004C0E7A">
        <w:rPr>
          <w:lang w:val="fr-FR"/>
        </w:rPr>
        <w:t>’</w:t>
      </w:r>
      <w:r w:rsidRPr="004C0E7A">
        <w:rPr>
          <w:lang w:val="fr-FR"/>
        </w:rPr>
        <w:t xml:space="preserve">OMPI, </w:t>
      </w:r>
      <w:r w:rsidR="00826201" w:rsidRPr="004C0E7A">
        <w:rPr>
          <w:lang w:val="fr-FR"/>
        </w:rPr>
        <w:t>dans le cadre</w:t>
      </w:r>
      <w:r w:rsidR="000055C7" w:rsidRPr="004C0E7A">
        <w:rPr>
          <w:lang w:val="fr-FR"/>
        </w:rPr>
        <w:t xml:space="preserve"> du PBC</w:t>
      </w:r>
      <w:r w:rsidRPr="004C0E7A">
        <w:rPr>
          <w:lang w:val="fr-FR"/>
        </w:rPr>
        <w:t xml:space="preserve"> et avec copie au Directeur général et à l</w:t>
      </w:r>
      <w:r w:rsidR="000055C7" w:rsidRPr="004C0E7A">
        <w:rPr>
          <w:lang w:val="fr-FR"/>
        </w:rPr>
        <w:t>’</w:t>
      </w:r>
      <w:r w:rsidRPr="004C0E7A">
        <w:rPr>
          <w:lang w:val="fr-FR"/>
        </w:rPr>
        <w:t>Organe consultatif indépendant de surveillance (OCIS), un rapport annuel sur les activités entreprises, en indiquant notamment l</w:t>
      </w:r>
      <w:r w:rsidR="000055C7" w:rsidRPr="004C0E7A">
        <w:rPr>
          <w:lang w:val="fr-FR"/>
        </w:rPr>
        <w:t>’</w:t>
      </w:r>
      <w:r w:rsidRPr="004C0E7A">
        <w:rPr>
          <w:lang w:val="fr-FR"/>
        </w:rPr>
        <w:t>orientation et la portée de celles</w:t>
      </w:r>
      <w:r w:rsidR="008E117E" w:rsidRPr="004C0E7A">
        <w:rPr>
          <w:lang w:val="fr-FR"/>
        </w:rPr>
        <w:noBreakHyphen/>
      </w:r>
      <w:r w:rsidRPr="004C0E7A">
        <w:rPr>
          <w:lang w:val="fr-FR"/>
        </w:rPr>
        <w:t>ci, le calendrier des travaux et les progrès réalisés dans la mise en œuvre des recommandations.</w:t>
      </w:r>
      <w:r w:rsidR="00E32ADE" w:rsidRPr="004C0E7A">
        <w:rPr>
          <w:lang w:val="fr-FR"/>
        </w:rPr>
        <w:t xml:space="preserve">  </w:t>
      </w:r>
      <w:r w:rsidR="00206691" w:rsidRPr="004C0E7A">
        <w:rPr>
          <w:lang w:val="fr-FR"/>
        </w:rPr>
        <w:t>Ce rapport permet aux principales parties prenantes et au personnel de l</w:t>
      </w:r>
      <w:r w:rsidR="000055C7" w:rsidRPr="004C0E7A">
        <w:rPr>
          <w:lang w:val="fr-FR"/>
        </w:rPr>
        <w:t>’</w:t>
      </w:r>
      <w:r w:rsidR="00206691" w:rsidRPr="004C0E7A">
        <w:rPr>
          <w:lang w:val="fr-FR"/>
        </w:rPr>
        <w:t>OMPI en général de s</w:t>
      </w:r>
      <w:r w:rsidR="000055C7" w:rsidRPr="004C0E7A">
        <w:rPr>
          <w:lang w:val="fr-FR"/>
        </w:rPr>
        <w:t>’</w:t>
      </w:r>
      <w:r w:rsidR="00206691" w:rsidRPr="004C0E7A">
        <w:rPr>
          <w:lang w:val="fr-FR"/>
        </w:rPr>
        <w:t>informer des rapports, activités et défis rencontrés par la Division dans l</w:t>
      </w:r>
      <w:r w:rsidR="000055C7" w:rsidRPr="004C0E7A">
        <w:rPr>
          <w:lang w:val="fr-FR"/>
        </w:rPr>
        <w:t>’</w:t>
      </w:r>
      <w:r w:rsidR="00206691" w:rsidRPr="004C0E7A">
        <w:rPr>
          <w:lang w:val="fr-FR"/>
        </w:rPr>
        <w:t>accomplissement de sa mission.</w:t>
      </w:r>
    </w:p>
    <w:p w:rsidR="000055C7" w:rsidRPr="004C0E7A" w:rsidRDefault="004C0E7A" w:rsidP="004C0E7A">
      <w:pPr>
        <w:pStyle w:val="Heading1"/>
        <w:rPr>
          <w:lang w:val="fr-FR"/>
        </w:rPr>
      </w:pPr>
      <w:bookmarkStart w:id="9" w:name="_Toc424911467"/>
      <w:r>
        <w:rPr>
          <w:lang w:val="fr-FR"/>
        </w:rPr>
        <w:t>P</w:t>
      </w:r>
      <w:r w:rsidR="00206691" w:rsidRPr="004C0E7A">
        <w:rPr>
          <w:lang w:val="fr-FR"/>
        </w:rPr>
        <w:t>rincipes de planification</w:t>
      </w:r>
      <w:bookmarkEnd w:id="9"/>
    </w:p>
    <w:p w:rsidR="007F4F40" w:rsidRPr="004C0E7A" w:rsidRDefault="00206691" w:rsidP="004C0E7A">
      <w:pPr>
        <w:pStyle w:val="ONUMFS"/>
        <w:rPr>
          <w:lang w:val="fr-FR"/>
        </w:rPr>
      </w:pPr>
      <w:r w:rsidRPr="004C0E7A">
        <w:rPr>
          <w:lang w:val="fr-FR"/>
        </w:rPr>
        <w:t>La DSI a tenu compte des facteurs suivants dans l</w:t>
      </w:r>
      <w:r w:rsidR="000055C7" w:rsidRPr="004C0E7A">
        <w:rPr>
          <w:lang w:val="fr-FR"/>
        </w:rPr>
        <w:t>’</w:t>
      </w:r>
      <w:r w:rsidRPr="004C0E7A">
        <w:rPr>
          <w:lang w:val="fr-FR"/>
        </w:rPr>
        <w:t>établissement de son programme de travail : évaluation des risques, pertinence, incidence au niveau national, cycle de supervision, observations présentées par la direction de l</w:t>
      </w:r>
      <w:r w:rsidR="000055C7" w:rsidRPr="004C0E7A">
        <w:rPr>
          <w:lang w:val="fr-FR"/>
        </w:rPr>
        <w:t>’</w:t>
      </w:r>
      <w:r w:rsidRPr="004C0E7A">
        <w:rPr>
          <w:lang w:val="fr-FR"/>
        </w:rPr>
        <w:t>OMPI, observations formulées par les États membres et ressources disponibles.</w:t>
      </w:r>
      <w:r w:rsidR="00411FE7" w:rsidRPr="004C0E7A">
        <w:rPr>
          <w:lang w:val="fr-FR"/>
        </w:rPr>
        <w:t xml:space="preserve"> </w:t>
      </w:r>
      <w:r w:rsidR="00E204EC" w:rsidRPr="004C0E7A">
        <w:rPr>
          <w:lang w:val="fr-FR"/>
        </w:rPr>
        <w:t xml:space="preserve"> </w:t>
      </w:r>
      <w:r w:rsidRPr="004C0E7A">
        <w:rPr>
          <w:lang w:val="fr-FR"/>
        </w:rPr>
        <w:t xml:space="preserve">Le projet de </w:t>
      </w:r>
      <w:r w:rsidR="00826201" w:rsidRPr="004C0E7A">
        <w:rPr>
          <w:lang w:val="fr-FR"/>
        </w:rPr>
        <w:t>programme</w:t>
      </w:r>
      <w:r w:rsidRPr="004C0E7A">
        <w:rPr>
          <w:lang w:val="fr-FR"/>
        </w:rPr>
        <w:t xml:space="preserve"> de supervision</w:t>
      </w:r>
      <w:r w:rsidR="00637FDD" w:rsidRPr="004C0E7A">
        <w:rPr>
          <w:lang w:val="fr-FR"/>
        </w:rPr>
        <w:t xml:space="preserve"> </w:t>
      </w:r>
      <w:r w:rsidRPr="004C0E7A">
        <w:rPr>
          <w:lang w:val="fr-FR"/>
        </w:rPr>
        <w:t>a également été examiné par l</w:t>
      </w:r>
      <w:r w:rsidR="000055C7" w:rsidRPr="004C0E7A">
        <w:rPr>
          <w:lang w:val="fr-FR"/>
        </w:rPr>
        <w:t>’</w:t>
      </w:r>
      <w:r w:rsidRPr="004C0E7A">
        <w:rPr>
          <w:lang w:val="fr-FR"/>
        </w:rPr>
        <w:t>OCIS et a bénéficié des conseils de ce dernier avant d</w:t>
      </w:r>
      <w:r w:rsidR="000055C7" w:rsidRPr="004C0E7A">
        <w:rPr>
          <w:lang w:val="fr-FR"/>
        </w:rPr>
        <w:t>’</w:t>
      </w:r>
      <w:r w:rsidRPr="004C0E7A">
        <w:rPr>
          <w:lang w:val="fr-FR"/>
        </w:rPr>
        <w:t>être finalisé, conformément au paragraphe</w:t>
      </w:r>
      <w:r w:rsidR="00045FD8" w:rsidRPr="004C0E7A">
        <w:rPr>
          <w:lang w:val="fr-FR"/>
        </w:rPr>
        <w:t> </w:t>
      </w:r>
      <w:r w:rsidRPr="004C0E7A">
        <w:rPr>
          <w:lang w:val="fr-FR"/>
        </w:rPr>
        <w:t>24.a) de la Charte de la supervision interne.</w:t>
      </w:r>
    </w:p>
    <w:p w:rsidR="007F4F40" w:rsidRPr="004C0E7A" w:rsidRDefault="002E1A37" w:rsidP="004C0E7A">
      <w:pPr>
        <w:pStyle w:val="ONUMFS"/>
        <w:rPr>
          <w:lang w:val="fr-FR"/>
        </w:rPr>
      </w:pPr>
      <w:r w:rsidRPr="004C0E7A">
        <w:rPr>
          <w:lang w:val="fr-FR"/>
        </w:rPr>
        <w:t>Afin d</w:t>
      </w:r>
      <w:r w:rsidR="000055C7" w:rsidRPr="004C0E7A">
        <w:rPr>
          <w:lang w:val="fr-FR"/>
        </w:rPr>
        <w:t>’</w:t>
      </w:r>
      <w:r w:rsidRPr="004C0E7A">
        <w:rPr>
          <w:lang w:val="fr-FR"/>
        </w:rPr>
        <w:t>accroître la couverture de supervision et l</w:t>
      </w:r>
      <w:r w:rsidR="000055C7" w:rsidRPr="004C0E7A">
        <w:rPr>
          <w:lang w:val="fr-FR"/>
        </w:rPr>
        <w:t>’</w:t>
      </w:r>
      <w:r w:rsidRPr="004C0E7A">
        <w:rPr>
          <w:lang w:val="fr-FR"/>
        </w:rPr>
        <w:t>utilisation des ressources disponibles de la manière la plus efficace possible,</w:t>
      </w:r>
      <w:r w:rsidR="000055C7" w:rsidRPr="004C0E7A">
        <w:rPr>
          <w:lang w:val="fr-FR"/>
        </w:rPr>
        <w:t xml:space="preserve"> la DSI</w:t>
      </w:r>
      <w:r w:rsidRPr="004C0E7A">
        <w:rPr>
          <w:lang w:val="fr-FR"/>
        </w:rPr>
        <w:t xml:space="preserve"> a également pris en considération les travaux effectués par d</w:t>
      </w:r>
      <w:r w:rsidR="000055C7" w:rsidRPr="004C0E7A">
        <w:rPr>
          <w:lang w:val="fr-FR"/>
        </w:rPr>
        <w:t>’</w:t>
      </w:r>
      <w:r w:rsidRPr="004C0E7A">
        <w:rPr>
          <w:lang w:val="fr-FR"/>
        </w:rPr>
        <w:t>autres organes de supervision, tels que le vérificateur externe des comptes,</w:t>
      </w:r>
      <w:r w:rsidR="000055C7" w:rsidRPr="004C0E7A">
        <w:rPr>
          <w:lang w:val="fr-FR"/>
        </w:rPr>
        <w:t xml:space="preserve"> le CCI</w:t>
      </w:r>
      <w:r w:rsidRPr="004C0E7A">
        <w:rPr>
          <w:lang w:val="fr-FR"/>
        </w:rPr>
        <w:t>, ainsi que les évaluations que le Comité du développement et de la propriété intellectuelle (CDIP) a fait réaliser.</w:t>
      </w:r>
      <w:r w:rsidR="00E32ADE" w:rsidRPr="004C0E7A">
        <w:rPr>
          <w:lang w:val="fr-FR"/>
        </w:rPr>
        <w:t xml:space="preserve">  </w:t>
      </w:r>
      <w:r w:rsidRPr="004C0E7A">
        <w:rPr>
          <w:lang w:val="fr-FR"/>
        </w:rPr>
        <w:t>Cette approche a permis d</w:t>
      </w:r>
      <w:r w:rsidR="000055C7" w:rsidRPr="004C0E7A">
        <w:rPr>
          <w:lang w:val="fr-FR"/>
        </w:rPr>
        <w:t>’</w:t>
      </w:r>
      <w:r w:rsidRPr="004C0E7A">
        <w:rPr>
          <w:lang w:val="fr-FR"/>
        </w:rPr>
        <w:t>éviter une lassitude dans les secteurs opérationnels soumis à de multiples activités de supervision au cours de la période considérée.</w:t>
      </w:r>
    </w:p>
    <w:p w:rsidR="007F4F40" w:rsidRDefault="002E1A37" w:rsidP="004C0E7A">
      <w:pPr>
        <w:pStyle w:val="ONUMFS"/>
        <w:rPr>
          <w:lang w:val="fr-FR"/>
        </w:rPr>
      </w:pPr>
      <w:r w:rsidRPr="004C0E7A">
        <w:rPr>
          <w:lang w:val="fr-FR"/>
        </w:rPr>
        <w:t xml:space="preserve">Le </w:t>
      </w:r>
      <w:r w:rsidR="00826201" w:rsidRPr="004C0E7A">
        <w:rPr>
          <w:lang w:val="fr-FR"/>
        </w:rPr>
        <w:t xml:space="preserve">programme </w:t>
      </w:r>
      <w:r w:rsidRPr="004C0E7A">
        <w:rPr>
          <w:lang w:val="fr-FR"/>
        </w:rPr>
        <w:t>de supervision pour</w:t>
      </w:r>
      <w:r w:rsidR="00045FD8" w:rsidRPr="004C0E7A">
        <w:rPr>
          <w:lang w:val="fr-FR"/>
        </w:rPr>
        <w:t> </w:t>
      </w:r>
      <w:r w:rsidRPr="004C0E7A">
        <w:rPr>
          <w:lang w:val="fr-FR"/>
        </w:rPr>
        <w:t>2015 a été diffusé auprès de tous les chefs de programme et porté à la connaissance des fonctionnaires de l</w:t>
      </w:r>
      <w:r w:rsidR="000055C7" w:rsidRPr="004C0E7A">
        <w:rPr>
          <w:lang w:val="fr-FR"/>
        </w:rPr>
        <w:t>’</w:t>
      </w:r>
      <w:r w:rsidRPr="004C0E7A">
        <w:rPr>
          <w:lang w:val="fr-FR"/>
        </w:rPr>
        <w:t>OMPI sur le site Intranet de l</w:t>
      </w:r>
      <w:r w:rsidR="000055C7" w:rsidRPr="004C0E7A">
        <w:rPr>
          <w:lang w:val="fr-FR"/>
        </w:rPr>
        <w:t>’</w:t>
      </w:r>
      <w:r w:rsidRPr="004C0E7A">
        <w:rPr>
          <w:lang w:val="fr-FR"/>
        </w:rPr>
        <w:t>Organisation.</w:t>
      </w:r>
      <w:r w:rsidR="00E32ADE" w:rsidRPr="004C0E7A">
        <w:rPr>
          <w:lang w:val="fr-FR"/>
        </w:rPr>
        <w:t xml:space="preserve">  </w:t>
      </w:r>
      <w:r w:rsidRPr="004C0E7A">
        <w:rPr>
          <w:lang w:val="fr-FR"/>
        </w:rPr>
        <w:t>Le programme pour</w:t>
      </w:r>
      <w:r w:rsidR="00045FD8" w:rsidRPr="004C0E7A">
        <w:rPr>
          <w:lang w:val="fr-FR"/>
        </w:rPr>
        <w:t> </w:t>
      </w:r>
      <w:r w:rsidRPr="004C0E7A">
        <w:rPr>
          <w:lang w:val="fr-FR"/>
        </w:rPr>
        <w:t>2014 a été mené à bien dans les délais et les limites du budget.</w:t>
      </w:r>
      <w:r w:rsidR="00E32ADE" w:rsidRPr="004C0E7A">
        <w:rPr>
          <w:lang w:val="fr-FR"/>
        </w:rPr>
        <w:t xml:space="preserve">  </w:t>
      </w:r>
      <w:r w:rsidRPr="004C0E7A">
        <w:rPr>
          <w:lang w:val="fr-FR"/>
        </w:rPr>
        <w:t>Le programme pour</w:t>
      </w:r>
      <w:r w:rsidR="00045FD8" w:rsidRPr="004C0E7A">
        <w:rPr>
          <w:lang w:val="fr-FR"/>
        </w:rPr>
        <w:t> </w:t>
      </w:r>
      <w:r w:rsidRPr="004C0E7A">
        <w:rPr>
          <w:lang w:val="fr-FR"/>
        </w:rPr>
        <w:t xml:space="preserve">2015 est actuellement mis en œuvre </w:t>
      </w:r>
      <w:r w:rsidR="00826201" w:rsidRPr="004C0E7A">
        <w:rPr>
          <w:lang w:val="fr-FR"/>
        </w:rPr>
        <w:t>ainsi qu</w:t>
      </w:r>
      <w:r w:rsidR="000055C7" w:rsidRPr="004C0E7A">
        <w:rPr>
          <w:lang w:val="fr-FR"/>
        </w:rPr>
        <w:t>’</w:t>
      </w:r>
      <w:r w:rsidR="00826201" w:rsidRPr="004C0E7A">
        <w:rPr>
          <w:lang w:val="fr-FR"/>
        </w:rPr>
        <w:t>il est indiqué dans</w:t>
      </w:r>
      <w:r w:rsidRPr="004C0E7A">
        <w:rPr>
          <w:lang w:val="fr-FR"/>
        </w:rPr>
        <w:t xml:space="preserve"> l</w:t>
      </w:r>
      <w:r w:rsidR="000055C7" w:rsidRPr="004C0E7A">
        <w:rPr>
          <w:lang w:val="fr-FR"/>
        </w:rPr>
        <w:t>’</w:t>
      </w:r>
      <w:r w:rsidRPr="004C0E7A">
        <w:rPr>
          <w:lang w:val="fr-FR"/>
        </w:rPr>
        <w:t>annexe</w:t>
      </w:r>
      <w:r w:rsidR="00045FD8" w:rsidRPr="004C0E7A">
        <w:rPr>
          <w:lang w:val="fr-FR"/>
        </w:rPr>
        <w:t> </w:t>
      </w:r>
      <w:r w:rsidRPr="004C0E7A">
        <w:rPr>
          <w:lang w:val="fr-FR"/>
        </w:rPr>
        <w:t>I.</w:t>
      </w:r>
    </w:p>
    <w:p w:rsidR="007F4F40" w:rsidRPr="004C0E7A" w:rsidRDefault="004C0E7A" w:rsidP="000611C4">
      <w:pPr>
        <w:pStyle w:val="Heading1"/>
      </w:pPr>
      <w:bookmarkStart w:id="10" w:name="_Toc420663567"/>
      <w:bookmarkStart w:id="11" w:name="_Toc424911468"/>
      <w:r w:rsidRPr="004C0E7A">
        <w:t>Normes professio</w:t>
      </w:r>
      <w:bookmarkEnd w:id="10"/>
      <w:r w:rsidRPr="004C0E7A">
        <w:t>nnelles</w:t>
      </w:r>
      <w:bookmarkEnd w:id="11"/>
    </w:p>
    <w:p w:rsidR="007F4F40" w:rsidRPr="004C0E7A" w:rsidRDefault="00AB05ED" w:rsidP="004C0E7A">
      <w:pPr>
        <w:pStyle w:val="ONUMFS"/>
        <w:rPr>
          <w:lang w:val="fr-FR"/>
        </w:rPr>
      </w:pPr>
      <w:r w:rsidRPr="004C0E7A">
        <w:rPr>
          <w:lang w:val="fr-FR"/>
        </w:rPr>
        <w:t>Pour ses activités d</w:t>
      </w:r>
      <w:r w:rsidR="000055C7" w:rsidRPr="004C0E7A">
        <w:rPr>
          <w:lang w:val="fr-FR"/>
        </w:rPr>
        <w:t>’</w:t>
      </w:r>
      <w:r w:rsidRPr="004C0E7A">
        <w:rPr>
          <w:lang w:val="fr-FR"/>
        </w:rPr>
        <w:t>audit,</w:t>
      </w:r>
      <w:r w:rsidR="000055C7" w:rsidRPr="004C0E7A">
        <w:rPr>
          <w:lang w:val="fr-FR"/>
        </w:rPr>
        <w:t xml:space="preserve"> la DSI</w:t>
      </w:r>
      <w:r w:rsidRPr="004C0E7A">
        <w:rPr>
          <w:lang w:val="fr-FR"/>
        </w:rPr>
        <w:t xml:space="preserve"> adhère au cadre de référence international des pratiques professionnelles promulgué par l</w:t>
      </w:r>
      <w:r w:rsidR="000055C7" w:rsidRPr="004C0E7A">
        <w:rPr>
          <w:lang w:val="fr-FR"/>
        </w:rPr>
        <w:t>’</w:t>
      </w:r>
      <w:r w:rsidRPr="004C0E7A">
        <w:rPr>
          <w:lang w:val="fr-FR"/>
        </w:rPr>
        <w:t>Institut des auditeurs internes.</w:t>
      </w:r>
      <w:r w:rsidR="00E32ADE" w:rsidRPr="004C0E7A">
        <w:rPr>
          <w:lang w:val="fr-FR"/>
        </w:rPr>
        <w:t xml:space="preserve">  </w:t>
      </w:r>
      <w:r w:rsidRPr="004C0E7A">
        <w:rPr>
          <w:lang w:val="fr-FR"/>
        </w:rPr>
        <w:t>Par ailleurs, dans son travail d</w:t>
      </w:r>
      <w:r w:rsidR="000055C7" w:rsidRPr="004C0E7A">
        <w:rPr>
          <w:lang w:val="fr-FR"/>
        </w:rPr>
        <w:t>’</w:t>
      </w:r>
      <w:r w:rsidRPr="004C0E7A">
        <w:rPr>
          <w:lang w:val="fr-FR"/>
        </w:rPr>
        <w:t>enquête,</w:t>
      </w:r>
      <w:r w:rsidR="000055C7" w:rsidRPr="004C0E7A">
        <w:rPr>
          <w:lang w:val="fr-FR"/>
        </w:rPr>
        <w:t xml:space="preserve"> la DSI</w:t>
      </w:r>
      <w:r w:rsidRPr="004C0E7A">
        <w:rPr>
          <w:lang w:val="fr-FR"/>
        </w:rPr>
        <w:t xml:space="preserve"> s</w:t>
      </w:r>
      <w:r w:rsidR="000055C7" w:rsidRPr="004C0E7A">
        <w:rPr>
          <w:lang w:val="fr-FR"/>
        </w:rPr>
        <w:t>’</w:t>
      </w:r>
      <w:r w:rsidRPr="004C0E7A">
        <w:rPr>
          <w:lang w:val="fr-FR"/>
        </w:rPr>
        <w:t>inspire des lignes directrices uniformes en matière d</w:t>
      </w:r>
      <w:r w:rsidR="000055C7" w:rsidRPr="004C0E7A">
        <w:rPr>
          <w:lang w:val="fr-FR"/>
        </w:rPr>
        <w:t>’</w:t>
      </w:r>
      <w:r w:rsidRPr="004C0E7A">
        <w:rPr>
          <w:lang w:val="fr-FR"/>
        </w:rPr>
        <w:t>enquête adoptées par la Conférence des enquêteurs internationaux.</w:t>
      </w:r>
      <w:r w:rsidR="00E32ADE" w:rsidRPr="004C0E7A">
        <w:rPr>
          <w:lang w:val="fr-FR"/>
        </w:rPr>
        <w:t xml:space="preserve">  </w:t>
      </w:r>
      <w:r w:rsidRPr="004C0E7A">
        <w:rPr>
          <w:lang w:val="fr-FR"/>
        </w:rPr>
        <w:t>Pour les activités d</w:t>
      </w:r>
      <w:r w:rsidR="000055C7" w:rsidRPr="004C0E7A">
        <w:rPr>
          <w:lang w:val="fr-FR"/>
        </w:rPr>
        <w:t>’</w:t>
      </w:r>
      <w:r w:rsidRPr="004C0E7A">
        <w:rPr>
          <w:lang w:val="fr-FR"/>
        </w:rPr>
        <w:t>évaluation,</w:t>
      </w:r>
      <w:r w:rsidR="000055C7" w:rsidRPr="004C0E7A">
        <w:rPr>
          <w:lang w:val="fr-FR"/>
        </w:rPr>
        <w:t xml:space="preserve"> la DSI</w:t>
      </w:r>
      <w:r w:rsidRPr="004C0E7A">
        <w:rPr>
          <w:lang w:val="fr-FR"/>
        </w:rPr>
        <w:t xml:space="preserve"> suit les </w:t>
      </w:r>
      <w:r w:rsidRPr="004C0E7A">
        <w:rPr>
          <w:lang w:val="fr-FR"/>
        </w:rPr>
        <w:lastRenderedPageBreak/>
        <w:t xml:space="preserve">normes internationales en la matière élaborées par le Groupe des </w:t>
      </w:r>
      <w:r w:rsidR="000055C7" w:rsidRPr="004C0E7A">
        <w:rPr>
          <w:lang w:val="fr-FR"/>
        </w:rPr>
        <w:t>Nations Unies</w:t>
      </w:r>
      <w:r w:rsidRPr="004C0E7A">
        <w:rPr>
          <w:lang w:val="fr-FR"/>
        </w:rPr>
        <w:t xml:space="preserve"> pour l</w:t>
      </w:r>
      <w:r w:rsidR="000055C7" w:rsidRPr="004C0E7A">
        <w:rPr>
          <w:lang w:val="fr-FR"/>
        </w:rPr>
        <w:t>’</w:t>
      </w:r>
      <w:r w:rsidRPr="004C0E7A">
        <w:rPr>
          <w:lang w:val="fr-FR"/>
        </w:rPr>
        <w:t>évaluation (UNEG).</w:t>
      </w:r>
    </w:p>
    <w:p w:rsidR="007F4F40" w:rsidRPr="004C0E7A" w:rsidRDefault="000611C4" w:rsidP="000611C4">
      <w:pPr>
        <w:pStyle w:val="Heading1"/>
        <w:rPr>
          <w:lang w:val="fr-FR"/>
        </w:rPr>
      </w:pPr>
      <w:bookmarkStart w:id="12" w:name="_Toc424911469"/>
      <w:r>
        <w:rPr>
          <w:lang w:val="fr-FR"/>
        </w:rPr>
        <w:t>P</w:t>
      </w:r>
      <w:r w:rsidRPr="004C0E7A">
        <w:rPr>
          <w:lang w:val="fr-FR"/>
        </w:rPr>
        <w:t>rincipales conclusions et recommandations de la supervision interne</w:t>
      </w:r>
      <w:bookmarkEnd w:id="12"/>
    </w:p>
    <w:p w:rsidR="007F4F40" w:rsidRPr="004C0E7A" w:rsidRDefault="00DF13AA" w:rsidP="004C0E7A">
      <w:pPr>
        <w:pStyle w:val="ONUMFS"/>
        <w:rPr>
          <w:lang w:val="fr-FR"/>
        </w:rPr>
      </w:pPr>
      <w:r w:rsidRPr="004C0E7A">
        <w:rPr>
          <w:lang w:val="fr-FR"/>
        </w:rPr>
        <w:t xml:space="preserve">La présente section contient des informations sur les principales conclusions et recommandations, relatives aux </w:t>
      </w:r>
      <w:r w:rsidR="0014628B" w:rsidRPr="004C0E7A">
        <w:rPr>
          <w:lang w:val="fr-FR"/>
        </w:rPr>
        <w:t xml:space="preserve">principaux </w:t>
      </w:r>
      <w:r w:rsidRPr="004C0E7A">
        <w:rPr>
          <w:lang w:val="fr-FR"/>
        </w:rPr>
        <w:t>risques, contenues dans les rapports de supervision interne (rapports d</w:t>
      </w:r>
      <w:r w:rsidR="000055C7" w:rsidRPr="004C0E7A">
        <w:rPr>
          <w:lang w:val="fr-FR"/>
        </w:rPr>
        <w:t>’</w:t>
      </w:r>
      <w:r w:rsidRPr="004C0E7A">
        <w:rPr>
          <w:lang w:val="fr-FR"/>
        </w:rPr>
        <w:t>audit interne et d</w:t>
      </w:r>
      <w:r w:rsidR="000055C7" w:rsidRPr="004C0E7A">
        <w:rPr>
          <w:lang w:val="fr-FR"/>
        </w:rPr>
        <w:t>’</w:t>
      </w:r>
      <w:r w:rsidRPr="004C0E7A">
        <w:rPr>
          <w:lang w:val="fr-FR"/>
        </w:rPr>
        <w:t>évaluation ainsi que rapports sur la gestion) diffusés pendant la période considérée.</w:t>
      </w:r>
    </w:p>
    <w:p w:rsidR="000055C7" w:rsidRPr="004C0E7A" w:rsidRDefault="00DF13AA" w:rsidP="004C0E7A">
      <w:pPr>
        <w:pStyle w:val="ONUMFS"/>
        <w:rPr>
          <w:lang w:val="fr-FR"/>
        </w:rPr>
      </w:pPr>
      <w:r w:rsidRPr="004C0E7A">
        <w:rPr>
          <w:lang w:val="fr-FR"/>
        </w:rPr>
        <w:t>Les principales conclusions et recommandations concernent les domaines suivants</w:t>
      </w:r>
      <w:r w:rsidRPr="004C0E7A">
        <w:rPr>
          <w:rStyle w:val="FootnoteReference"/>
          <w:lang w:val="fr-FR"/>
        </w:rPr>
        <w:footnoteReference w:id="3"/>
      </w:r>
      <w:r w:rsidR="00045FD8" w:rsidRPr="004C0E7A">
        <w:rPr>
          <w:lang w:val="fr-FR"/>
        </w:rPr>
        <w:t> </w:t>
      </w:r>
      <w:r w:rsidRPr="004C0E7A">
        <w:rPr>
          <w:lang w:val="fr-FR"/>
        </w:rPr>
        <w:t>:</w:t>
      </w:r>
    </w:p>
    <w:p w:rsidR="000055C7" w:rsidRPr="004C0E7A" w:rsidRDefault="0014628B" w:rsidP="000611C4">
      <w:pPr>
        <w:pStyle w:val="ONUMFS"/>
        <w:numPr>
          <w:ilvl w:val="1"/>
          <w:numId w:val="6"/>
        </w:numPr>
        <w:rPr>
          <w:lang w:val="fr-FR"/>
        </w:rPr>
      </w:pPr>
      <w:r w:rsidRPr="004C0E7A">
        <w:rPr>
          <w:lang w:val="fr-FR"/>
        </w:rPr>
        <w:t>l</w:t>
      </w:r>
      <w:r w:rsidR="0065404B" w:rsidRPr="004C0E7A">
        <w:rPr>
          <w:lang w:val="fr-FR"/>
        </w:rPr>
        <w:t>a c</w:t>
      </w:r>
      <w:r w:rsidR="00DF13AA" w:rsidRPr="004C0E7A">
        <w:rPr>
          <w:lang w:val="fr-FR"/>
        </w:rPr>
        <w:t>oopération internationale pour le respect de la propriété intellectuelle;</w:t>
      </w:r>
    </w:p>
    <w:p w:rsidR="000055C7" w:rsidRPr="004C0E7A" w:rsidRDefault="0014628B" w:rsidP="000611C4">
      <w:pPr>
        <w:pStyle w:val="ONUMFS"/>
        <w:numPr>
          <w:ilvl w:val="1"/>
          <w:numId w:val="6"/>
        </w:numPr>
        <w:rPr>
          <w:lang w:val="fr-FR"/>
        </w:rPr>
      </w:pPr>
      <w:r w:rsidRPr="004C0E7A">
        <w:rPr>
          <w:lang w:val="fr-FR"/>
        </w:rPr>
        <w:t>l</w:t>
      </w:r>
      <w:r w:rsidR="000055C7" w:rsidRPr="004C0E7A">
        <w:rPr>
          <w:lang w:val="fr-FR"/>
        </w:rPr>
        <w:t>’</w:t>
      </w:r>
      <w:r w:rsidR="0065404B" w:rsidRPr="004C0E7A">
        <w:rPr>
          <w:lang w:val="fr-FR"/>
        </w:rPr>
        <w:t>évaluation du portefeuille d</w:t>
      </w:r>
      <w:r w:rsidR="000055C7" w:rsidRPr="004C0E7A">
        <w:rPr>
          <w:lang w:val="fr-FR"/>
        </w:rPr>
        <w:t>’</w:t>
      </w:r>
      <w:r w:rsidR="0065404B" w:rsidRPr="004C0E7A">
        <w:rPr>
          <w:lang w:val="fr-FR"/>
        </w:rPr>
        <w:t xml:space="preserve">activités </w:t>
      </w:r>
      <w:r w:rsidR="003C3D24" w:rsidRPr="004C0E7A">
        <w:rPr>
          <w:lang w:val="fr-FR"/>
        </w:rPr>
        <w:t xml:space="preserve">dans </w:t>
      </w:r>
      <w:r w:rsidR="0065404B" w:rsidRPr="004C0E7A">
        <w:rPr>
          <w:lang w:val="fr-FR"/>
        </w:rPr>
        <w:t>un pays (Chili);</w:t>
      </w:r>
    </w:p>
    <w:p w:rsidR="000055C7" w:rsidRPr="004C0E7A" w:rsidRDefault="0065404B" w:rsidP="000611C4">
      <w:pPr>
        <w:pStyle w:val="ONUMFS"/>
        <w:numPr>
          <w:ilvl w:val="1"/>
          <w:numId w:val="6"/>
        </w:numPr>
        <w:rPr>
          <w:lang w:val="fr-FR"/>
        </w:rPr>
      </w:pPr>
      <w:r w:rsidRPr="004C0E7A">
        <w:rPr>
          <w:lang w:val="fr-FR"/>
        </w:rPr>
        <w:t>le programme de récompenses et de reconnaissance;</w:t>
      </w:r>
    </w:p>
    <w:p w:rsidR="000055C7" w:rsidRPr="004C0E7A" w:rsidRDefault="0065404B" w:rsidP="000611C4">
      <w:pPr>
        <w:pStyle w:val="ONUMFS"/>
        <w:numPr>
          <w:ilvl w:val="1"/>
          <w:numId w:val="6"/>
        </w:numPr>
        <w:rPr>
          <w:lang w:val="fr-FR"/>
        </w:rPr>
      </w:pPr>
      <w:r w:rsidRPr="004C0E7A">
        <w:rPr>
          <w:lang w:val="fr-FR"/>
        </w:rPr>
        <w:t>la gestion du risque de tiers;</w:t>
      </w:r>
    </w:p>
    <w:p w:rsidR="000055C7" w:rsidRPr="004C0E7A" w:rsidRDefault="0065404B" w:rsidP="000611C4">
      <w:pPr>
        <w:pStyle w:val="ONUMFS"/>
        <w:numPr>
          <w:ilvl w:val="1"/>
          <w:numId w:val="6"/>
        </w:numPr>
        <w:rPr>
          <w:lang w:val="fr-FR"/>
        </w:rPr>
      </w:pPr>
      <w:r w:rsidRPr="004C0E7A">
        <w:rPr>
          <w:lang w:val="fr-FR"/>
        </w:rPr>
        <w:t>la gestion des actifs;</w:t>
      </w:r>
    </w:p>
    <w:p w:rsidR="000055C7" w:rsidRPr="004C0E7A" w:rsidRDefault="0065404B" w:rsidP="000611C4">
      <w:pPr>
        <w:pStyle w:val="ONUMFS"/>
        <w:numPr>
          <w:ilvl w:val="1"/>
          <w:numId w:val="6"/>
        </w:numPr>
        <w:rPr>
          <w:lang w:val="fr-FR"/>
        </w:rPr>
      </w:pPr>
      <w:r w:rsidRPr="004C0E7A">
        <w:rPr>
          <w:lang w:val="fr-FR"/>
        </w:rPr>
        <w:t>l</w:t>
      </w:r>
      <w:r w:rsidR="000055C7" w:rsidRPr="004C0E7A">
        <w:rPr>
          <w:lang w:val="fr-FR"/>
        </w:rPr>
        <w:t>’</w:t>
      </w:r>
      <w:r w:rsidRPr="004C0E7A">
        <w:rPr>
          <w:lang w:val="fr-FR"/>
        </w:rPr>
        <w:t>Académie de l</w:t>
      </w:r>
      <w:r w:rsidR="000055C7" w:rsidRPr="004C0E7A">
        <w:rPr>
          <w:lang w:val="fr-FR"/>
        </w:rPr>
        <w:t>’</w:t>
      </w:r>
      <w:r w:rsidRPr="004C0E7A">
        <w:rPr>
          <w:lang w:val="fr-FR"/>
        </w:rPr>
        <w:t>OMPI;  et</w:t>
      </w:r>
    </w:p>
    <w:p w:rsidR="007F4F40" w:rsidRPr="004C0E7A" w:rsidRDefault="0065404B" w:rsidP="000611C4">
      <w:pPr>
        <w:pStyle w:val="ONUMFS"/>
        <w:numPr>
          <w:ilvl w:val="1"/>
          <w:numId w:val="6"/>
        </w:numPr>
        <w:rPr>
          <w:lang w:val="fr-FR"/>
        </w:rPr>
      </w:pPr>
      <w:r w:rsidRPr="004C0E7A">
        <w:rPr>
          <w:lang w:val="fr-FR"/>
        </w:rPr>
        <w:t>les services de sûreté et de sécurité.</w:t>
      </w:r>
    </w:p>
    <w:p w:rsidR="007F4F40" w:rsidRPr="004C0E7A" w:rsidRDefault="0065404B" w:rsidP="004C0E7A">
      <w:pPr>
        <w:pStyle w:val="ONUMFS"/>
        <w:rPr>
          <w:lang w:val="fr-FR"/>
        </w:rPr>
      </w:pPr>
      <w:r w:rsidRPr="004C0E7A">
        <w:rPr>
          <w:lang w:val="fr-FR"/>
        </w:rPr>
        <w:t>La direction a déjà p</w:t>
      </w:r>
      <w:r w:rsidR="00E3432C" w:rsidRPr="004C0E7A">
        <w:rPr>
          <w:lang w:val="fr-FR"/>
        </w:rPr>
        <w:t>ris des mesures pour mettre en œ</w:t>
      </w:r>
      <w:r w:rsidRPr="004C0E7A">
        <w:rPr>
          <w:lang w:val="fr-FR"/>
        </w:rPr>
        <w:t>uvre la plupart des recommandations relatives aux principales conclusions recensées dans les rapports de</w:t>
      </w:r>
      <w:r w:rsidR="000055C7" w:rsidRPr="004C0E7A">
        <w:rPr>
          <w:lang w:val="fr-FR"/>
        </w:rPr>
        <w:t xml:space="preserve"> la DSI</w:t>
      </w:r>
      <w:r w:rsidRPr="004C0E7A">
        <w:rPr>
          <w:lang w:val="fr-FR"/>
        </w:rPr>
        <w:t>.</w:t>
      </w:r>
      <w:r w:rsidR="009F0C09" w:rsidRPr="004C0E7A">
        <w:rPr>
          <w:lang w:val="fr-FR"/>
        </w:rPr>
        <w:t xml:space="preserve">  </w:t>
      </w:r>
      <w:r w:rsidR="00E3432C" w:rsidRPr="004C0E7A">
        <w:rPr>
          <w:lang w:val="fr-FR"/>
        </w:rPr>
        <w:t>Toutes les recommandations sont mises en œuvre par la direction sous la forme d</w:t>
      </w:r>
      <w:r w:rsidR="000055C7" w:rsidRPr="004C0E7A">
        <w:rPr>
          <w:lang w:val="fr-FR"/>
        </w:rPr>
        <w:t>’</w:t>
      </w:r>
      <w:r w:rsidR="00E3432C" w:rsidRPr="004C0E7A">
        <w:rPr>
          <w:lang w:val="fr-FR"/>
        </w:rPr>
        <w:t>un plan d</w:t>
      </w:r>
      <w:r w:rsidR="000055C7" w:rsidRPr="004C0E7A">
        <w:rPr>
          <w:lang w:val="fr-FR"/>
        </w:rPr>
        <w:t>’</w:t>
      </w:r>
      <w:r w:rsidR="00E3432C" w:rsidRPr="004C0E7A">
        <w:rPr>
          <w:lang w:val="fr-FR"/>
        </w:rPr>
        <w:t>action comprenant les suggestions d</w:t>
      </w:r>
      <w:r w:rsidR="000055C7" w:rsidRPr="004C0E7A">
        <w:rPr>
          <w:lang w:val="fr-FR"/>
        </w:rPr>
        <w:t>’</w:t>
      </w:r>
      <w:r w:rsidR="00E3432C" w:rsidRPr="004C0E7A">
        <w:rPr>
          <w:lang w:val="fr-FR"/>
        </w:rPr>
        <w:t>activités les noms des membres du personnel responsables de la mise en œuvre de la recommandation et une date</w:t>
      </w:r>
      <w:r w:rsidR="008E117E" w:rsidRPr="004C0E7A">
        <w:rPr>
          <w:lang w:val="fr-FR"/>
        </w:rPr>
        <w:noBreakHyphen/>
      </w:r>
      <w:r w:rsidR="00E3432C" w:rsidRPr="004C0E7A">
        <w:rPr>
          <w:lang w:val="fr-FR"/>
        </w:rPr>
        <w:t>butoir.</w:t>
      </w:r>
      <w:r w:rsidR="000D0188" w:rsidRPr="004C0E7A">
        <w:rPr>
          <w:lang w:val="fr-FR"/>
        </w:rPr>
        <w:t xml:space="preserve">  </w:t>
      </w:r>
      <w:r w:rsidR="00E3432C" w:rsidRPr="004C0E7A">
        <w:rPr>
          <w:lang w:val="fr-FR"/>
        </w:rPr>
        <w:t xml:space="preserve">Les recommandations en suspens sont gérées au moyen du système </w:t>
      </w:r>
      <w:proofErr w:type="spellStart"/>
      <w:r w:rsidR="00E3432C" w:rsidRPr="004C0E7A">
        <w:rPr>
          <w:lang w:val="fr-FR"/>
        </w:rPr>
        <w:t>TeamCentral</w:t>
      </w:r>
      <w:proofErr w:type="spellEnd"/>
      <w:r w:rsidR="00E3432C" w:rsidRPr="004C0E7A">
        <w:rPr>
          <w:lang w:val="fr-FR"/>
        </w:rPr>
        <w:t>©</w:t>
      </w:r>
      <w:r w:rsidR="00E3432C" w:rsidRPr="004C0E7A">
        <w:rPr>
          <w:rStyle w:val="FootnoteReference"/>
          <w:lang w:val="fr-FR"/>
        </w:rPr>
        <w:footnoteReference w:id="4"/>
      </w:r>
      <w:r w:rsidR="00E3432C" w:rsidRPr="004C0E7A">
        <w:rPr>
          <w:lang w:val="fr-FR"/>
        </w:rPr>
        <w:t>, accessible par</w:t>
      </w:r>
      <w:r w:rsidR="000055C7" w:rsidRPr="004C0E7A">
        <w:rPr>
          <w:lang w:val="fr-FR"/>
        </w:rPr>
        <w:t xml:space="preserve"> la DSI</w:t>
      </w:r>
      <w:r w:rsidR="00E3432C" w:rsidRPr="004C0E7A">
        <w:rPr>
          <w:lang w:val="fr-FR"/>
        </w:rPr>
        <w:t>, la direction de l</w:t>
      </w:r>
      <w:r w:rsidR="000055C7" w:rsidRPr="004C0E7A">
        <w:rPr>
          <w:lang w:val="fr-FR"/>
        </w:rPr>
        <w:t>’</w:t>
      </w:r>
      <w:r w:rsidR="00E3432C" w:rsidRPr="004C0E7A">
        <w:rPr>
          <w:lang w:val="fr-FR"/>
        </w:rPr>
        <w:t xml:space="preserve">OMPI et les vérificateurs externes des comptes. </w:t>
      </w:r>
      <w:r w:rsidR="000055C7" w:rsidRPr="004C0E7A">
        <w:rPr>
          <w:lang w:val="fr-FR"/>
        </w:rPr>
        <w:t xml:space="preserve"> La DSI</w:t>
      </w:r>
      <w:r w:rsidR="00E3432C" w:rsidRPr="004C0E7A">
        <w:rPr>
          <w:lang w:val="fr-FR"/>
        </w:rPr>
        <w:t xml:space="preserve"> et la direction se réunissent périodiquement pour </w:t>
      </w:r>
      <w:r w:rsidR="0014628B" w:rsidRPr="004C0E7A">
        <w:rPr>
          <w:lang w:val="fr-FR"/>
        </w:rPr>
        <w:t>faire le point sur</w:t>
      </w:r>
      <w:r w:rsidR="00E3432C" w:rsidRPr="004C0E7A">
        <w:rPr>
          <w:lang w:val="fr-FR"/>
        </w:rPr>
        <w:t xml:space="preserve"> </w:t>
      </w:r>
      <w:r w:rsidR="0014628B" w:rsidRPr="004C0E7A">
        <w:rPr>
          <w:lang w:val="fr-FR"/>
        </w:rPr>
        <w:t xml:space="preserve">la mise en œuvre des recommandations en suspens </w:t>
      </w:r>
      <w:r w:rsidR="00E3432C" w:rsidRPr="004C0E7A">
        <w:rPr>
          <w:lang w:val="fr-FR"/>
        </w:rPr>
        <w:t xml:space="preserve">et actualiser les données </w:t>
      </w:r>
      <w:r w:rsidR="0014628B" w:rsidRPr="004C0E7A">
        <w:rPr>
          <w:lang w:val="fr-FR"/>
        </w:rPr>
        <w:t>y relatives</w:t>
      </w:r>
      <w:r w:rsidR="00E3432C" w:rsidRPr="004C0E7A">
        <w:rPr>
          <w:lang w:val="fr-FR"/>
        </w:rPr>
        <w:t>.</w:t>
      </w:r>
    </w:p>
    <w:p w:rsidR="007F4F40" w:rsidRPr="004C0E7A" w:rsidRDefault="008C013E" w:rsidP="000611C4">
      <w:pPr>
        <w:pStyle w:val="Heading2"/>
        <w:rPr>
          <w:lang w:val="fr-FR"/>
        </w:rPr>
      </w:pPr>
      <w:r w:rsidRPr="004C0E7A">
        <w:rPr>
          <w:lang w:val="fr-FR"/>
        </w:rPr>
        <w:t>Évaluation de l</w:t>
      </w:r>
      <w:r w:rsidR="000055C7" w:rsidRPr="004C0E7A">
        <w:rPr>
          <w:lang w:val="fr-FR"/>
        </w:rPr>
        <w:t>’</w:t>
      </w:r>
      <w:r w:rsidRPr="004C0E7A">
        <w:rPr>
          <w:lang w:val="fr-FR"/>
        </w:rPr>
        <w:t>objectif stratégique VI</w:t>
      </w:r>
      <w:r w:rsidR="00045FD8" w:rsidRPr="004C0E7A">
        <w:rPr>
          <w:lang w:val="fr-FR"/>
        </w:rPr>
        <w:t> </w:t>
      </w:r>
      <w:r w:rsidRPr="004C0E7A">
        <w:rPr>
          <w:lang w:val="fr-FR"/>
        </w:rPr>
        <w:t>: Coopération internationale pour le respect de la propriété intellectuelle</w:t>
      </w:r>
    </w:p>
    <w:p w:rsidR="007F4F40" w:rsidRPr="004C0E7A" w:rsidRDefault="008C013E" w:rsidP="004C0E7A">
      <w:pPr>
        <w:pStyle w:val="ONUMFS"/>
        <w:rPr>
          <w:lang w:val="fr-FR"/>
        </w:rPr>
      </w:pPr>
      <w:r w:rsidRPr="004C0E7A">
        <w:rPr>
          <w:lang w:val="fr-FR"/>
        </w:rPr>
        <w:t>Cette mission était la première évaluation d</w:t>
      </w:r>
      <w:r w:rsidR="000055C7" w:rsidRPr="004C0E7A">
        <w:rPr>
          <w:lang w:val="fr-FR"/>
        </w:rPr>
        <w:t>’</w:t>
      </w:r>
      <w:r w:rsidRPr="004C0E7A">
        <w:rPr>
          <w:lang w:val="fr-FR"/>
        </w:rPr>
        <w:t>un objectif stratégique réalisée par</w:t>
      </w:r>
      <w:r w:rsidR="000055C7" w:rsidRPr="004C0E7A">
        <w:rPr>
          <w:lang w:val="fr-FR"/>
        </w:rPr>
        <w:t xml:space="preserve"> la DSI</w:t>
      </w:r>
      <w:r w:rsidRPr="004C0E7A">
        <w:rPr>
          <w:lang w:val="fr-FR"/>
        </w:rPr>
        <w:t>.</w:t>
      </w:r>
      <w:r w:rsidR="00E204EC" w:rsidRPr="004C0E7A">
        <w:rPr>
          <w:lang w:val="fr-FR"/>
        </w:rPr>
        <w:t xml:space="preserve"> </w:t>
      </w:r>
      <w:r w:rsidR="00605540" w:rsidRPr="004C0E7A">
        <w:rPr>
          <w:lang w:val="fr-FR"/>
        </w:rPr>
        <w:t xml:space="preserve"> </w:t>
      </w:r>
      <w:r w:rsidR="00E444D9" w:rsidRPr="004C0E7A">
        <w:rPr>
          <w:lang w:val="fr-FR"/>
        </w:rPr>
        <w:t>Les résultats de cette évaluation ont été positifs et on a pu parvenir aux conclusions ci</w:t>
      </w:r>
      <w:r w:rsidR="008E117E" w:rsidRPr="004C0E7A">
        <w:rPr>
          <w:lang w:val="fr-FR"/>
        </w:rPr>
        <w:noBreakHyphen/>
      </w:r>
      <w:r w:rsidR="00E444D9" w:rsidRPr="004C0E7A">
        <w:rPr>
          <w:lang w:val="fr-FR"/>
        </w:rPr>
        <w:t>dessous</w:t>
      </w:r>
      <w:r w:rsidR="00CD7A59" w:rsidRPr="004C0E7A">
        <w:rPr>
          <w:lang w:val="fr-FR"/>
        </w:rPr>
        <w:t> :</w:t>
      </w:r>
    </w:p>
    <w:p w:rsidR="007F4F40" w:rsidRPr="004C0E7A" w:rsidRDefault="00CD7A59" w:rsidP="000611C4">
      <w:pPr>
        <w:pStyle w:val="ONUMFS"/>
        <w:numPr>
          <w:ilvl w:val="1"/>
          <w:numId w:val="6"/>
        </w:numPr>
        <w:rPr>
          <w:lang w:val="fr-FR"/>
        </w:rPr>
      </w:pPr>
      <w:r w:rsidRPr="004C0E7A">
        <w:rPr>
          <w:lang w:val="fr-FR"/>
        </w:rPr>
        <w:t xml:space="preserve">il est généralement admis que </w:t>
      </w:r>
      <w:r w:rsidR="00E444D9" w:rsidRPr="004C0E7A">
        <w:rPr>
          <w:lang w:val="fr-FR"/>
        </w:rPr>
        <w:t>l</w:t>
      </w:r>
      <w:r w:rsidR="000055C7" w:rsidRPr="004C0E7A">
        <w:rPr>
          <w:lang w:val="fr-FR"/>
        </w:rPr>
        <w:t>’</w:t>
      </w:r>
      <w:r w:rsidR="00E444D9" w:rsidRPr="004C0E7A">
        <w:rPr>
          <w:lang w:val="fr-FR"/>
        </w:rPr>
        <w:t>appui de l</w:t>
      </w:r>
      <w:r w:rsidR="000055C7" w:rsidRPr="004C0E7A">
        <w:rPr>
          <w:lang w:val="fr-FR"/>
        </w:rPr>
        <w:t>’</w:t>
      </w:r>
      <w:r w:rsidR="00E444D9" w:rsidRPr="004C0E7A">
        <w:rPr>
          <w:lang w:val="fr-FR"/>
        </w:rPr>
        <w:t>OMPI à la réalisation des objectifs de l</w:t>
      </w:r>
      <w:r w:rsidR="000055C7" w:rsidRPr="004C0E7A">
        <w:rPr>
          <w:lang w:val="fr-FR"/>
        </w:rPr>
        <w:t>’</w:t>
      </w:r>
      <w:r w:rsidR="00E444D9" w:rsidRPr="004C0E7A">
        <w:rPr>
          <w:lang w:val="fr-FR"/>
        </w:rPr>
        <w:t xml:space="preserve">objectif stratégique VI </w:t>
      </w:r>
      <w:r w:rsidR="00C33E38" w:rsidRPr="004C0E7A">
        <w:rPr>
          <w:lang w:val="fr-FR"/>
        </w:rPr>
        <w:t>a été</w:t>
      </w:r>
      <w:r w:rsidRPr="004C0E7A">
        <w:rPr>
          <w:lang w:val="fr-FR"/>
        </w:rPr>
        <w:t xml:space="preserve"> </w:t>
      </w:r>
      <w:r w:rsidR="00E444D9" w:rsidRPr="004C0E7A">
        <w:rPr>
          <w:lang w:val="fr-FR"/>
        </w:rPr>
        <w:t>bien géré, essentiellement</w:t>
      </w:r>
      <w:r w:rsidR="00C33E38" w:rsidRPr="004C0E7A">
        <w:rPr>
          <w:lang w:val="fr-FR"/>
        </w:rPr>
        <w:t xml:space="preserve"> dans le cadre du programme 17 </w:t>
      </w:r>
      <w:r w:rsidR="00E444D9" w:rsidRPr="004C0E7A">
        <w:rPr>
          <w:lang w:val="fr-FR"/>
        </w:rPr>
        <w:t>– Promouvoir le respect de la propriété intellectuelle;</w:t>
      </w:r>
    </w:p>
    <w:p w:rsidR="007F4F40" w:rsidRPr="004C0E7A" w:rsidRDefault="00E444D9" w:rsidP="000611C4">
      <w:pPr>
        <w:pStyle w:val="ONUMFS"/>
        <w:numPr>
          <w:ilvl w:val="1"/>
          <w:numId w:val="6"/>
        </w:numPr>
        <w:rPr>
          <w:lang w:val="fr-FR"/>
        </w:rPr>
      </w:pPr>
      <w:r w:rsidRPr="004C0E7A">
        <w:rPr>
          <w:lang w:val="fr-FR"/>
        </w:rPr>
        <w:lastRenderedPageBreak/>
        <w:t xml:space="preserve">en dépit de </w:t>
      </w:r>
      <w:r w:rsidR="00CD7A59" w:rsidRPr="004C0E7A">
        <w:rPr>
          <w:lang w:val="fr-FR"/>
        </w:rPr>
        <w:t>certains</w:t>
      </w:r>
      <w:r w:rsidRPr="004C0E7A">
        <w:rPr>
          <w:lang w:val="fr-FR"/>
        </w:rPr>
        <w:t xml:space="preserve"> progrès, la mise en œuvre par l</w:t>
      </w:r>
      <w:r w:rsidR="000055C7" w:rsidRPr="004C0E7A">
        <w:rPr>
          <w:lang w:val="fr-FR"/>
        </w:rPr>
        <w:t>’</w:t>
      </w:r>
      <w:r w:rsidRPr="004C0E7A">
        <w:rPr>
          <w:lang w:val="fr-FR"/>
        </w:rPr>
        <w:t>OMPI des principes de la gestion axée sur les résultats, tant pour l</w:t>
      </w:r>
      <w:r w:rsidR="000055C7" w:rsidRPr="004C0E7A">
        <w:rPr>
          <w:lang w:val="fr-FR"/>
        </w:rPr>
        <w:t>’</w:t>
      </w:r>
      <w:r w:rsidRPr="004C0E7A">
        <w:rPr>
          <w:lang w:val="fr-FR"/>
        </w:rPr>
        <w:t>élaboration que pour le suivi des activités relevant de l</w:t>
      </w:r>
      <w:r w:rsidR="000055C7" w:rsidRPr="004C0E7A">
        <w:rPr>
          <w:lang w:val="fr-FR"/>
        </w:rPr>
        <w:t>’</w:t>
      </w:r>
      <w:r w:rsidRPr="004C0E7A">
        <w:rPr>
          <w:lang w:val="fr-FR"/>
        </w:rPr>
        <w:t xml:space="preserve">objectif stratégique VI, pourrait </w:t>
      </w:r>
      <w:r w:rsidR="00CD7A59" w:rsidRPr="004C0E7A">
        <w:rPr>
          <w:lang w:val="fr-FR"/>
        </w:rPr>
        <w:t>encore être améliorée</w:t>
      </w:r>
      <w:r w:rsidRPr="004C0E7A">
        <w:rPr>
          <w:lang w:val="fr-FR"/>
        </w:rPr>
        <w:t>;</w:t>
      </w:r>
    </w:p>
    <w:p w:rsidR="007F4F40" w:rsidRPr="004C0E7A" w:rsidRDefault="00E444D9" w:rsidP="000611C4">
      <w:pPr>
        <w:pStyle w:val="ONUMFS"/>
        <w:numPr>
          <w:ilvl w:val="1"/>
          <w:numId w:val="6"/>
        </w:numPr>
        <w:rPr>
          <w:lang w:val="fr-FR"/>
        </w:rPr>
      </w:pPr>
      <w:r w:rsidRPr="004C0E7A">
        <w:rPr>
          <w:lang w:val="fr-FR"/>
        </w:rPr>
        <w:t>le Secrétariat a fourni une assistance adaptée et de qualité en vue de la réalisation de l</w:t>
      </w:r>
      <w:r w:rsidR="000055C7" w:rsidRPr="004C0E7A">
        <w:rPr>
          <w:lang w:val="fr-FR"/>
        </w:rPr>
        <w:t>’</w:t>
      </w:r>
      <w:r w:rsidRPr="004C0E7A">
        <w:rPr>
          <w:lang w:val="fr-FR"/>
        </w:rPr>
        <w:t>objectif stratégique VI et des objectifs visés;</w:t>
      </w:r>
    </w:p>
    <w:p w:rsidR="007F4F40" w:rsidRPr="004C0E7A" w:rsidRDefault="00CC7151" w:rsidP="000611C4">
      <w:pPr>
        <w:pStyle w:val="ONUMFS"/>
        <w:numPr>
          <w:ilvl w:val="1"/>
          <w:numId w:val="6"/>
        </w:numPr>
        <w:rPr>
          <w:lang w:val="fr-FR"/>
        </w:rPr>
      </w:pPr>
      <w:r w:rsidRPr="004C0E7A">
        <w:rPr>
          <w:lang w:val="fr-FR"/>
        </w:rPr>
        <w:t>l</w:t>
      </w:r>
      <w:r w:rsidR="000055C7" w:rsidRPr="004C0E7A">
        <w:rPr>
          <w:lang w:val="fr-FR"/>
        </w:rPr>
        <w:t>’</w:t>
      </w:r>
      <w:r w:rsidRPr="004C0E7A">
        <w:rPr>
          <w:lang w:val="fr-FR"/>
        </w:rPr>
        <w:t xml:space="preserve">assistance technique </w:t>
      </w:r>
      <w:r w:rsidR="00CD7A59" w:rsidRPr="004C0E7A">
        <w:rPr>
          <w:lang w:val="fr-FR"/>
        </w:rPr>
        <w:t xml:space="preserve">fournie </w:t>
      </w:r>
      <w:r w:rsidR="00C33E38" w:rsidRPr="004C0E7A">
        <w:rPr>
          <w:lang w:val="fr-FR"/>
        </w:rPr>
        <w:t>a</w:t>
      </w:r>
      <w:r w:rsidR="00CD7A59" w:rsidRPr="004C0E7A">
        <w:rPr>
          <w:lang w:val="fr-FR"/>
        </w:rPr>
        <w:t xml:space="preserve"> dans l</w:t>
      </w:r>
      <w:r w:rsidR="000055C7" w:rsidRPr="004C0E7A">
        <w:rPr>
          <w:lang w:val="fr-FR"/>
        </w:rPr>
        <w:t>’</w:t>
      </w:r>
      <w:r w:rsidR="00CD7A59" w:rsidRPr="004C0E7A">
        <w:rPr>
          <w:lang w:val="fr-FR"/>
        </w:rPr>
        <w:t>ensemble</w:t>
      </w:r>
      <w:r w:rsidRPr="004C0E7A">
        <w:rPr>
          <w:lang w:val="fr-FR"/>
        </w:rPr>
        <w:t xml:space="preserve"> </w:t>
      </w:r>
      <w:r w:rsidR="00C33E38" w:rsidRPr="004C0E7A">
        <w:rPr>
          <w:lang w:val="fr-FR"/>
        </w:rPr>
        <w:t xml:space="preserve">été </w:t>
      </w:r>
      <w:r w:rsidRPr="004C0E7A">
        <w:rPr>
          <w:lang w:val="fr-FR"/>
        </w:rPr>
        <w:t xml:space="preserve">efficace et </w:t>
      </w:r>
      <w:r w:rsidR="00C33E38" w:rsidRPr="004C0E7A">
        <w:rPr>
          <w:lang w:val="fr-FR"/>
        </w:rPr>
        <w:t>a tenu</w:t>
      </w:r>
      <w:r w:rsidR="00CD7A59" w:rsidRPr="004C0E7A">
        <w:rPr>
          <w:lang w:val="fr-FR"/>
        </w:rPr>
        <w:t xml:space="preserve"> compte d</w:t>
      </w:r>
      <w:r w:rsidRPr="004C0E7A">
        <w:rPr>
          <w:lang w:val="fr-FR"/>
        </w:rPr>
        <w:t>es principes fondamentaux de la recommandation n° 45 du Plan d</w:t>
      </w:r>
      <w:r w:rsidR="000055C7" w:rsidRPr="004C0E7A">
        <w:rPr>
          <w:lang w:val="fr-FR"/>
        </w:rPr>
        <w:t>’</w:t>
      </w:r>
      <w:r w:rsidRPr="004C0E7A">
        <w:rPr>
          <w:lang w:val="fr-FR"/>
        </w:rPr>
        <w:t>action pour le développement;  et</w:t>
      </w:r>
    </w:p>
    <w:p w:rsidR="007F4F40" w:rsidRPr="004C0E7A" w:rsidRDefault="00CC7151" w:rsidP="000611C4">
      <w:pPr>
        <w:pStyle w:val="ONUMFS"/>
        <w:numPr>
          <w:ilvl w:val="1"/>
          <w:numId w:val="6"/>
        </w:numPr>
        <w:rPr>
          <w:lang w:val="fr-FR"/>
        </w:rPr>
      </w:pPr>
      <w:r w:rsidRPr="004C0E7A">
        <w:rPr>
          <w:lang w:val="fr-FR"/>
        </w:rPr>
        <w:t xml:space="preserve">bien que cela </w:t>
      </w:r>
      <w:r w:rsidR="00C46804" w:rsidRPr="004C0E7A">
        <w:rPr>
          <w:lang w:val="fr-FR"/>
        </w:rPr>
        <w:t>ne soit</w:t>
      </w:r>
      <w:r w:rsidRPr="004C0E7A">
        <w:rPr>
          <w:lang w:val="fr-FR"/>
        </w:rPr>
        <w:t xml:space="preserve"> pas </w:t>
      </w:r>
      <w:r w:rsidR="00C46804" w:rsidRPr="004C0E7A">
        <w:rPr>
          <w:lang w:val="fr-FR"/>
        </w:rPr>
        <w:t>encore</w:t>
      </w:r>
      <w:r w:rsidRPr="004C0E7A">
        <w:rPr>
          <w:lang w:val="fr-FR"/>
        </w:rPr>
        <w:t xml:space="preserve"> systématique, des mesures initiales ont été prises pour renforcer la viabilité au niveau des États membres.</w:t>
      </w:r>
    </w:p>
    <w:p w:rsidR="007F4F40" w:rsidRPr="004C0E7A" w:rsidRDefault="00CC7151" w:rsidP="004C0E7A">
      <w:pPr>
        <w:pStyle w:val="ONUMFS"/>
        <w:rPr>
          <w:lang w:val="fr-FR"/>
        </w:rPr>
      </w:pPr>
      <w:r w:rsidRPr="004C0E7A">
        <w:rPr>
          <w:lang w:val="fr-FR"/>
        </w:rPr>
        <w:t>Dans l</w:t>
      </w:r>
      <w:r w:rsidR="000055C7" w:rsidRPr="004C0E7A">
        <w:rPr>
          <w:lang w:val="fr-FR"/>
        </w:rPr>
        <w:t>’</w:t>
      </w:r>
      <w:r w:rsidRPr="004C0E7A">
        <w:rPr>
          <w:lang w:val="fr-FR"/>
        </w:rPr>
        <w:t>ensemble, les travaux du Secrétariat au titre de l</w:t>
      </w:r>
      <w:r w:rsidR="000055C7" w:rsidRPr="004C0E7A">
        <w:rPr>
          <w:lang w:val="fr-FR"/>
        </w:rPr>
        <w:t>’</w:t>
      </w:r>
      <w:r w:rsidRPr="004C0E7A">
        <w:rPr>
          <w:lang w:val="fr-FR"/>
        </w:rPr>
        <w:t>objectif stratégique VI ont été jugés efficaces, concrets et pertinents et les améliorations réalisées au cours de la période d</w:t>
      </w:r>
      <w:r w:rsidR="000055C7" w:rsidRPr="004C0E7A">
        <w:rPr>
          <w:lang w:val="fr-FR"/>
        </w:rPr>
        <w:t>’</w:t>
      </w:r>
      <w:r w:rsidRPr="004C0E7A">
        <w:rPr>
          <w:lang w:val="fr-FR"/>
        </w:rPr>
        <w:t>évaluation (2010</w:t>
      </w:r>
      <w:r w:rsidR="008E117E" w:rsidRPr="004C0E7A">
        <w:rPr>
          <w:lang w:val="fr-FR"/>
        </w:rPr>
        <w:noBreakHyphen/>
      </w:r>
      <w:r w:rsidRPr="004C0E7A">
        <w:rPr>
          <w:lang w:val="fr-FR"/>
        </w:rPr>
        <w:t>2014) ont permis de répondre aux quelques problèmes recensés.</w:t>
      </w:r>
    </w:p>
    <w:p w:rsidR="007F4F40" w:rsidRPr="004C0E7A" w:rsidRDefault="00C17676" w:rsidP="004C0E7A">
      <w:pPr>
        <w:pStyle w:val="ONUMFS"/>
        <w:rPr>
          <w:lang w:val="fr-FR"/>
        </w:rPr>
      </w:pPr>
      <w:r w:rsidRPr="004C0E7A">
        <w:rPr>
          <w:lang w:val="fr-FR"/>
        </w:rPr>
        <w:t>Compte tenu des conclusions et observations susmentionnées, aucune recommandation n</w:t>
      </w:r>
      <w:r w:rsidR="000055C7" w:rsidRPr="004C0E7A">
        <w:rPr>
          <w:lang w:val="fr-FR"/>
        </w:rPr>
        <w:t>’</w:t>
      </w:r>
      <w:r w:rsidRPr="004C0E7A">
        <w:rPr>
          <w:lang w:val="fr-FR"/>
        </w:rPr>
        <w:t xml:space="preserve">a été formulée pour le </w:t>
      </w:r>
      <w:r w:rsidR="00637FDD" w:rsidRPr="004C0E7A">
        <w:rPr>
          <w:lang w:val="fr-FR"/>
        </w:rPr>
        <w:t>programme </w:t>
      </w:r>
      <w:r w:rsidRPr="004C0E7A">
        <w:rPr>
          <w:lang w:val="fr-FR"/>
        </w:rPr>
        <w:t>17 ou les autres programmes ayant apporté leur contribution.</w:t>
      </w:r>
    </w:p>
    <w:p w:rsidR="007F4F40" w:rsidRPr="004C0E7A" w:rsidRDefault="000611C4" w:rsidP="000611C4">
      <w:pPr>
        <w:pStyle w:val="Heading2"/>
        <w:rPr>
          <w:lang w:val="fr-FR"/>
        </w:rPr>
      </w:pPr>
      <w:r>
        <w:rPr>
          <w:lang w:val="fr-FR"/>
        </w:rPr>
        <w:t>É</w:t>
      </w:r>
      <w:r w:rsidR="00C17676" w:rsidRPr="004C0E7A">
        <w:rPr>
          <w:lang w:val="fr-FR"/>
        </w:rPr>
        <w:t>valuation du portefe</w:t>
      </w:r>
      <w:r w:rsidR="003C3D24" w:rsidRPr="004C0E7A">
        <w:rPr>
          <w:lang w:val="fr-FR"/>
        </w:rPr>
        <w:t>uille d</w:t>
      </w:r>
      <w:r w:rsidR="000055C7" w:rsidRPr="004C0E7A">
        <w:rPr>
          <w:lang w:val="fr-FR"/>
        </w:rPr>
        <w:t>’</w:t>
      </w:r>
      <w:r w:rsidR="003C3D24" w:rsidRPr="004C0E7A">
        <w:rPr>
          <w:lang w:val="fr-FR"/>
        </w:rPr>
        <w:t>activités dans un pays</w:t>
      </w:r>
      <w:r w:rsidR="000055C7" w:rsidRPr="004C0E7A">
        <w:rPr>
          <w:lang w:val="fr-FR"/>
        </w:rPr>
        <w:t xml:space="preserve"> – </w:t>
      </w:r>
      <w:r w:rsidR="00C17676" w:rsidRPr="004C0E7A">
        <w:rPr>
          <w:lang w:val="fr-FR"/>
        </w:rPr>
        <w:t>Chili</w:t>
      </w:r>
    </w:p>
    <w:p w:rsidR="007F4F40" w:rsidRPr="004C0E7A" w:rsidRDefault="00A074CA" w:rsidP="004C0E7A">
      <w:pPr>
        <w:pStyle w:val="ONUMFS"/>
        <w:rPr>
          <w:lang w:val="fr-FR"/>
        </w:rPr>
      </w:pPr>
      <w:r w:rsidRPr="004C0E7A">
        <w:rPr>
          <w:lang w:val="fr-FR"/>
        </w:rPr>
        <w:t>La DSI a mené une troisième évaluation du portefeuille d</w:t>
      </w:r>
      <w:r w:rsidR="000055C7" w:rsidRPr="004C0E7A">
        <w:rPr>
          <w:lang w:val="fr-FR"/>
        </w:rPr>
        <w:t>’</w:t>
      </w:r>
      <w:r w:rsidRPr="004C0E7A">
        <w:rPr>
          <w:lang w:val="fr-FR"/>
        </w:rPr>
        <w:t>activités d</w:t>
      </w:r>
      <w:r w:rsidR="003C3D24" w:rsidRPr="004C0E7A">
        <w:rPr>
          <w:lang w:val="fr-FR"/>
        </w:rPr>
        <w:t>ans u</w:t>
      </w:r>
      <w:r w:rsidRPr="004C0E7A">
        <w:rPr>
          <w:lang w:val="fr-FR"/>
        </w:rPr>
        <w:t>n pays, au Chili, à la fin de l</w:t>
      </w:r>
      <w:r w:rsidR="000055C7" w:rsidRPr="004C0E7A">
        <w:rPr>
          <w:lang w:val="fr-FR"/>
        </w:rPr>
        <w:t>’</w:t>
      </w:r>
      <w:r w:rsidR="00637FDD" w:rsidRPr="004C0E7A">
        <w:rPr>
          <w:lang w:val="fr-FR"/>
        </w:rPr>
        <w:t>année </w:t>
      </w:r>
      <w:r w:rsidRPr="004C0E7A">
        <w:rPr>
          <w:lang w:val="fr-FR"/>
        </w:rPr>
        <w:t xml:space="preserve">2014.  Les résultats de cette évaluation ont été </w:t>
      </w:r>
      <w:r w:rsidR="003C3D24" w:rsidRPr="004C0E7A">
        <w:rPr>
          <w:lang w:val="fr-FR"/>
        </w:rPr>
        <w:t>très positifs, indiquant que les services de l</w:t>
      </w:r>
      <w:r w:rsidR="000055C7" w:rsidRPr="004C0E7A">
        <w:rPr>
          <w:lang w:val="fr-FR"/>
        </w:rPr>
        <w:t>’</w:t>
      </w:r>
      <w:r w:rsidR="003C3D24" w:rsidRPr="004C0E7A">
        <w:rPr>
          <w:lang w:val="fr-FR"/>
        </w:rPr>
        <w:t>OMPI étaient adaptés et efficaces.  Les</w:t>
      </w:r>
      <w:r w:rsidRPr="004C0E7A">
        <w:rPr>
          <w:lang w:val="fr-FR"/>
        </w:rPr>
        <w:t xml:space="preserve"> activités mises en œuvre au Chili ont </w:t>
      </w:r>
      <w:r w:rsidR="00F248F8" w:rsidRPr="004C0E7A">
        <w:rPr>
          <w:lang w:val="fr-FR"/>
        </w:rPr>
        <w:t xml:space="preserve">partiellement </w:t>
      </w:r>
      <w:r w:rsidRPr="004C0E7A">
        <w:rPr>
          <w:lang w:val="fr-FR"/>
        </w:rPr>
        <w:t>contribué à la réalisation</w:t>
      </w:r>
      <w:r w:rsidR="00317805" w:rsidRPr="004C0E7A">
        <w:rPr>
          <w:lang w:val="fr-FR"/>
        </w:rPr>
        <w:t> :</w:t>
      </w:r>
    </w:p>
    <w:p w:rsidR="007F4F40" w:rsidRPr="004C0E7A" w:rsidRDefault="00A074CA" w:rsidP="000611C4">
      <w:pPr>
        <w:pStyle w:val="ONUMFS"/>
        <w:numPr>
          <w:ilvl w:val="1"/>
          <w:numId w:val="6"/>
        </w:numPr>
        <w:rPr>
          <w:lang w:val="fr-FR"/>
        </w:rPr>
      </w:pPr>
      <w:r w:rsidRPr="004C0E7A">
        <w:rPr>
          <w:lang w:val="fr-FR"/>
        </w:rPr>
        <w:t>de cinq</w:t>
      </w:r>
      <w:r w:rsidR="00312E08" w:rsidRPr="004C0E7A">
        <w:rPr>
          <w:lang w:val="fr-FR"/>
        </w:rPr>
        <w:t xml:space="preserve"> </w:t>
      </w:r>
      <w:r w:rsidRPr="004C0E7A">
        <w:rPr>
          <w:lang w:val="fr-FR"/>
        </w:rPr>
        <w:t>des neuf</w:t>
      </w:r>
      <w:r w:rsidR="00045FD8" w:rsidRPr="004C0E7A">
        <w:rPr>
          <w:lang w:val="fr-FR"/>
        </w:rPr>
        <w:t> </w:t>
      </w:r>
      <w:r w:rsidRPr="004C0E7A">
        <w:rPr>
          <w:lang w:val="fr-FR"/>
        </w:rPr>
        <w:t>objectifs stratégiques</w:t>
      </w:r>
      <w:r w:rsidR="00317805" w:rsidRPr="004C0E7A">
        <w:rPr>
          <w:lang w:val="fr-FR"/>
        </w:rPr>
        <w:t xml:space="preserve"> de l</w:t>
      </w:r>
      <w:r w:rsidR="000055C7" w:rsidRPr="004C0E7A">
        <w:rPr>
          <w:lang w:val="fr-FR"/>
        </w:rPr>
        <w:t>’</w:t>
      </w:r>
      <w:r w:rsidR="00317805" w:rsidRPr="004C0E7A">
        <w:rPr>
          <w:lang w:val="fr-FR"/>
        </w:rPr>
        <w:t xml:space="preserve">OMPI; </w:t>
      </w:r>
      <w:r w:rsidR="00045FD8" w:rsidRPr="004C0E7A">
        <w:rPr>
          <w:lang w:val="fr-FR"/>
        </w:rPr>
        <w:t xml:space="preserve"> </w:t>
      </w:r>
      <w:r w:rsidR="00317805" w:rsidRPr="004C0E7A">
        <w:rPr>
          <w:lang w:val="fr-FR"/>
        </w:rPr>
        <w:t>et</w:t>
      </w:r>
    </w:p>
    <w:p w:rsidR="007F4F40" w:rsidRPr="004C0E7A" w:rsidRDefault="00A074CA" w:rsidP="000611C4">
      <w:pPr>
        <w:pStyle w:val="ONUMFS"/>
        <w:numPr>
          <w:ilvl w:val="1"/>
          <w:numId w:val="6"/>
        </w:numPr>
        <w:rPr>
          <w:lang w:val="fr-FR"/>
        </w:rPr>
      </w:pPr>
      <w:r w:rsidRPr="004C0E7A">
        <w:rPr>
          <w:lang w:val="fr-FR"/>
        </w:rPr>
        <w:t>d</w:t>
      </w:r>
      <w:r w:rsidR="000055C7" w:rsidRPr="004C0E7A">
        <w:rPr>
          <w:lang w:val="fr-FR"/>
        </w:rPr>
        <w:t>’</w:t>
      </w:r>
      <w:r w:rsidRPr="004C0E7A">
        <w:rPr>
          <w:lang w:val="fr-FR"/>
        </w:rPr>
        <w:t>une des huit</w:t>
      </w:r>
      <w:r w:rsidR="00045FD8" w:rsidRPr="004C0E7A">
        <w:rPr>
          <w:lang w:val="fr-FR"/>
        </w:rPr>
        <w:t> </w:t>
      </w:r>
      <w:r w:rsidRPr="004C0E7A">
        <w:rPr>
          <w:lang w:val="fr-FR"/>
        </w:rPr>
        <w:t>composantes de la politique nationale chilienne en matière d</w:t>
      </w:r>
      <w:r w:rsidR="000055C7" w:rsidRPr="004C0E7A">
        <w:rPr>
          <w:lang w:val="fr-FR"/>
        </w:rPr>
        <w:t>’</w:t>
      </w:r>
      <w:r w:rsidRPr="004C0E7A">
        <w:rPr>
          <w:lang w:val="fr-FR"/>
        </w:rPr>
        <w:t>innovation.</w:t>
      </w:r>
    </w:p>
    <w:p w:rsidR="007F4F40" w:rsidRPr="004C0E7A" w:rsidRDefault="00286591" w:rsidP="004C0E7A">
      <w:pPr>
        <w:pStyle w:val="ONUMFS"/>
        <w:rPr>
          <w:lang w:val="fr-FR"/>
        </w:rPr>
      </w:pPr>
      <w:r w:rsidRPr="004C0E7A">
        <w:rPr>
          <w:lang w:val="fr-FR"/>
        </w:rPr>
        <w:t>Quatre recommandations ont été formulées sur de possibles améliorations de l</w:t>
      </w:r>
      <w:r w:rsidR="000055C7" w:rsidRPr="004C0E7A">
        <w:rPr>
          <w:lang w:val="fr-FR"/>
        </w:rPr>
        <w:t>’</w:t>
      </w:r>
      <w:r w:rsidRPr="004C0E7A">
        <w:rPr>
          <w:lang w:val="fr-FR"/>
        </w:rPr>
        <w:t>efficacité et de la pertinence de l</w:t>
      </w:r>
      <w:r w:rsidR="000055C7" w:rsidRPr="004C0E7A">
        <w:rPr>
          <w:lang w:val="fr-FR"/>
        </w:rPr>
        <w:t>’</w:t>
      </w:r>
      <w:r w:rsidRPr="004C0E7A">
        <w:rPr>
          <w:lang w:val="fr-FR"/>
        </w:rPr>
        <w:t>appui fourni au Chili et aux autres États membres par le Se</w:t>
      </w:r>
      <w:r w:rsidR="00F248F8" w:rsidRPr="004C0E7A">
        <w:rPr>
          <w:lang w:val="fr-FR"/>
        </w:rPr>
        <w:t>crétariat :</w:t>
      </w:r>
    </w:p>
    <w:p w:rsidR="007F4F40" w:rsidRPr="004C0E7A" w:rsidRDefault="00F248F8" w:rsidP="000611C4">
      <w:pPr>
        <w:pStyle w:val="ONUMFS"/>
        <w:numPr>
          <w:ilvl w:val="1"/>
          <w:numId w:val="6"/>
        </w:numPr>
        <w:rPr>
          <w:lang w:val="fr-FR"/>
        </w:rPr>
      </w:pPr>
      <w:r w:rsidRPr="004C0E7A">
        <w:rPr>
          <w:lang w:val="fr-FR"/>
        </w:rPr>
        <w:t>É</w:t>
      </w:r>
      <w:r w:rsidR="00286591" w:rsidRPr="004C0E7A">
        <w:rPr>
          <w:lang w:val="fr-FR"/>
        </w:rPr>
        <w:t>laboration d</w:t>
      </w:r>
      <w:r w:rsidR="000055C7" w:rsidRPr="004C0E7A">
        <w:rPr>
          <w:lang w:val="fr-FR"/>
        </w:rPr>
        <w:t>’</w:t>
      </w:r>
      <w:r w:rsidR="00286591" w:rsidRPr="004C0E7A">
        <w:rPr>
          <w:lang w:val="fr-FR"/>
        </w:rPr>
        <w:t xml:space="preserve">un plan </w:t>
      </w:r>
      <w:r w:rsidR="00C33E38" w:rsidRPr="004C0E7A">
        <w:rPr>
          <w:lang w:val="fr-FR"/>
        </w:rPr>
        <w:t>par pays</w:t>
      </w:r>
      <w:r w:rsidR="00286591" w:rsidRPr="004C0E7A">
        <w:rPr>
          <w:lang w:val="fr-FR"/>
        </w:rPr>
        <w:t xml:space="preserve"> de l</w:t>
      </w:r>
      <w:r w:rsidR="000055C7" w:rsidRPr="004C0E7A">
        <w:rPr>
          <w:lang w:val="fr-FR"/>
        </w:rPr>
        <w:t>’</w:t>
      </w:r>
      <w:r w:rsidR="00286591" w:rsidRPr="004C0E7A">
        <w:rPr>
          <w:lang w:val="fr-FR"/>
        </w:rPr>
        <w:t>OMPI</w:t>
      </w:r>
      <w:r w:rsidR="00C33E38" w:rsidRPr="004C0E7A">
        <w:rPr>
          <w:lang w:val="fr-FR"/>
        </w:rPr>
        <w:t>,</w:t>
      </w:r>
      <w:r w:rsidR="00286591" w:rsidRPr="004C0E7A">
        <w:rPr>
          <w:lang w:val="fr-FR"/>
        </w:rPr>
        <w:t xml:space="preserve"> en coordination avec les programmes de l</w:t>
      </w:r>
      <w:r w:rsidR="000055C7" w:rsidRPr="004C0E7A">
        <w:rPr>
          <w:lang w:val="fr-FR"/>
        </w:rPr>
        <w:t>’</w:t>
      </w:r>
      <w:r w:rsidR="00286591" w:rsidRPr="004C0E7A">
        <w:rPr>
          <w:lang w:val="fr-FR"/>
        </w:rPr>
        <w:t>OMPI et le coordonnateur national</w:t>
      </w:r>
      <w:r w:rsidR="00C33E38" w:rsidRPr="004C0E7A">
        <w:rPr>
          <w:lang w:val="fr-FR"/>
        </w:rPr>
        <w:t>,</w:t>
      </w:r>
      <w:r w:rsidR="00286591" w:rsidRPr="004C0E7A">
        <w:rPr>
          <w:lang w:val="fr-FR"/>
        </w:rPr>
        <w:t xml:space="preserve"> avant le lancement du cycle de planification.</w:t>
      </w:r>
    </w:p>
    <w:p w:rsidR="007F4F40" w:rsidRPr="004C0E7A" w:rsidRDefault="00286591" w:rsidP="000611C4">
      <w:pPr>
        <w:pStyle w:val="ONUMFS"/>
        <w:numPr>
          <w:ilvl w:val="1"/>
          <w:numId w:val="6"/>
        </w:numPr>
        <w:rPr>
          <w:lang w:val="fr-FR"/>
        </w:rPr>
      </w:pPr>
      <w:r w:rsidRPr="004C0E7A">
        <w:rPr>
          <w:lang w:val="fr-FR"/>
        </w:rPr>
        <w:t>Conformément à la politique de l</w:t>
      </w:r>
      <w:r w:rsidR="000055C7" w:rsidRPr="004C0E7A">
        <w:rPr>
          <w:lang w:val="fr-FR"/>
        </w:rPr>
        <w:t>’</w:t>
      </w:r>
      <w:r w:rsidRPr="004C0E7A">
        <w:rPr>
          <w:lang w:val="fr-FR"/>
        </w:rPr>
        <w:t>OMPI en matière d</w:t>
      </w:r>
      <w:r w:rsidR="000055C7" w:rsidRPr="004C0E7A">
        <w:rPr>
          <w:lang w:val="fr-FR"/>
        </w:rPr>
        <w:t>’</w:t>
      </w:r>
      <w:r w:rsidRPr="004C0E7A">
        <w:rPr>
          <w:lang w:val="fr-FR"/>
        </w:rPr>
        <w:t xml:space="preserve">égalité des sexes, les plans </w:t>
      </w:r>
      <w:r w:rsidR="00C33E38" w:rsidRPr="004C0E7A">
        <w:rPr>
          <w:lang w:val="fr-FR"/>
        </w:rPr>
        <w:t>par pays</w:t>
      </w:r>
      <w:r w:rsidRPr="004C0E7A">
        <w:rPr>
          <w:lang w:val="fr-FR"/>
        </w:rPr>
        <w:t xml:space="preserve"> doivent notamment inclure des activités visant à </w:t>
      </w:r>
      <w:r w:rsidR="00C33E38" w:rsidRPr="004C0E7A">
        <w:rPr>
          <w:lang w:val="fr-FR"/>
        </w:rPr>
        <w:t>offrir aux hommes et aux femmes</w:t>
      </w:r>
      <w:r w:rsidRPr="004C0E7A">
        <w:rPr>
          <w:lang w:val="fr-FR"/>
        </w:rPr>
        <w:t xml:space="preserve"> </w:t>
      </w:r>
      <w:r w:rsidR="00C33E38" w:rsidRPr="004C0E7A">
        <w:rPr>
          <w:lang w:val="fr-FR"/>
        </w:rPr>
        <w:t xml:space="preserve">un </w:t>
      </w:r>
      <w:r w:rsidRPr="004C0E7A">
        <w:rPr>
          <w:lang w:val="fr-FR"/>
        </w:rPr>
        <w:t xml:space="preserve">accès </w:t>
      </w:r>
      <w:r w:rsidR="00C33E38" w:rsidRPr="004C0E7A">
        <w:rPr>
          <w:lang w:val="fr-FR"/>
        </w:rPr>
        <w:t xml:space="preserve">équitable </w:t>
      </w:r>
      <w:r w:rsidRPr="004C0E7A">
        <w:rPr>
          <w:lang w:val="fr-FR"/>
        </w:rPr>
        <w:t>au système</w:t>
      </w:r>
      <w:r w:rsidR="00C33E38" w:rsidRPr="004C0E7A">
        <w:rPr>
          <w:lang w:val="fr-FR"/>
        </w:rPr>
        <w:t xml:space="preserve"> de la propriété intellectuelle</w:t>
      </w:r>
      <w:r w:rsidRPr="004C0E7A">
        <w:rPr>
          <w:lang w:val="fr-FR"/>
        </w:rPr>
        <w:t>.</w:t>
      </w:r>
    </w:p>
    <w:p w:rsidR="007F4F40" w:rsidRPr="004C0E7A" w:rsidRDefault="00C33E38" w:rsidP="000611C4">
      <w:pPr>
        <w:pStyle w:val="ONUMFS"/>
        <w:numPr>
          <w:ilvl w:val="1"/>
          <w:numId w:val="6"/>
        </w:numPr>
        <w:rPr>
          <w:lang w:val="fr-FR"/>
        </w:rPr>
      </w:pPr>
      <w:r w:rsidRPr="004C0E7A">
        <w:rPr>
          <w:lang w:val="fr-FR"/>
        </w:rPr>
        <w:t>Les nouveaux</w:t>
      </w:r>
      <w:r w:rsidR="00820985" w:rsidRPr="004C0E7A">
        <w:rPr>
          <w:lang w:val="fr-FR"/>
        </w:rPr>
        <w:t xml:space="preserve"> plans </w:t>
      </w:r>
      <w:r w:rsidRPr="004C0E7A">
        <w:rPr>
          <w:lang w:val="fr-FR"/>
        </w:rPr>
        <w:t>par pays</w:t>
      </w:r>
      <w:r w:rsidR="00820985" w:rsidRPr="004C0E7A">
        <w:rPr>
          <w:lang w:val="fr-FR"/>
        </w:rPr>
        <w:t xml:space="preserve"> doivent </w:t>
      </w:r>
      <w:r w:rsidRPr="004C0E7A">
        <w:rPr>
          <w:lang w:val="fr-FR"/>
        </w:rPr>
        <w:t>comprendre</w:t>
      </w:r>
      <w:r w:rsidR="00820985" w:rsidRPr="004C0E7A">
        <w:rPr>
          <w:lang w:val="fr-FR"/>
        </w:rPr>
        <w:t xml:space="preserve"> des liens plus</w:t>
      </w:r>
      <w:r w:rsidR="00F248F8" w:rsidRPr="004C0E7A">
        <w:rPr>
          <w:lang w:val="fr-FR"/>
        </w:rPr>
        <w:t xml:space="preserve"> manifestes entre les activités, </w:t>
      </w:r>
      <w:r w:rsidR="00820985" w:rsidRPr="004C0E7A">
        <w:rPr>
          <w:lang w:val="fr-FR"/>
        </w:rPr>
        <w:t>les résultats</w:t>
      </w:r>
      <w:r w:rsidR="00F248F8" w:rsidRPr="004C0E7A">
        <w:rPr>
          <w:lang w:val="fr-FR"/>
        </w:rPr>
        <w:t xml:space="preserve"> et les indicateurs de réussite</w:t>
      </w:r>
      <w:r w:rsidR="00820985" w:rsidRPr="004C0E7A">
        <w:rPr>
          <w:lang w:val="fr-FR"/>
        </w:rPr>
        <w:t>, conformément au cadre de l</w:t>
      </w:r>
      <w:r w:rsidR="000055C7" w:rsidRPr="004C0E7A">
        <w:rPr>
          <w:lang w:val="fr-FR"/>
        </w:rPr>
        <w:t>’</w:t>
      </w:r>
      <w:r w:rsidR="00820985" w:rsidRPr="004C0E7A">
        <w:rPr>
          <w:lang w:val="fr-FR"/>
        </w:rPr>
        <w:t>OMPI axé sur les résultats.</w:t>
      </w:r>
    </w:p>
    <w:p w:rsidR="007F4F40" w:rsidRPr="004C0E7A" w:rsidRDefault="00820985" w:rsidP="000611C4">
      <w:pPr>
        <w:pStyle w:val="ONUMFS"/>
        <w:numPr>
          <w:ilvl w:val="1"/>
          <w:numId w:val="6"/>
        </w:numPr>
        <w:rPr>
          <w:lang w:val="fr-FR"/>
        </w:rPr>
      </w:pPr>
      <w:r w:rsidRPr="004C0E7A">
        <w:rPr>
          <w:lang w:val="fr-FR"/>
        </w:rPr>
        <w:t>Les accords de niveau de services entre l</w:t>
      </w:r>
      <w:r w:rsidR="000055C7" w:rsidRPr="004C0E7A">
        <w:rPr>
          <w:lang w:val="fr-FR"/>
        </w:rPr>
        <w:t>’</w:t>
      </w:r>
      <w:r w:rsidRPr="004C0E7A">
        <w:rPr>
          <w:lang w:val="fr-FR"/>
        </w:rPr>
        <w:t xml:space="preserve">OMPI et les organismes publics doivent </w:t>
      </w:r>
      <w:r w:rsidR="00C33E38" w:rsidRPr="004C0E7A">
        <w:rPr>
          <w:lang w:val="fr-FR"/>
        </w:rPr>
        <w:t>prévoir</w:t>
      </w:r>
      <w:r w:rsidRPr="004C0E7A">
        <w:rPr>
          <w:lang w:val="fr-FR"/>
        </w:rPr>
        <w:t xml:space="preserve"> des plans indiquant la contribution de chaque partenaire ainsi que des stratégies de sortie.</w:t>
      </w:r>
    </w:p>
    <w:p w:rsidR="007F4F40" w:rsidRPr="004C0E7A" w:rsidRDefault="002C1954" w:rsidP="000611C4">
      <w:pPr>
        <w:pStyle w:val="Heading2"/>
        <w:rPr>
          <w:lang w:val="fr-FR"/>
        </w:rPr>
      </w:pPr>
      <w:r w:rsidRPr="004C0E7A">
        <w:rPr>
          <w:lang w:val="fr-FR"/>
        </w:rPr>
        <w:lastRenderedPageBreak/>
        <w:t>Programme de récompenses et de reconnaissance</w:t>
      </w:r>
    </w:p>
    <w:p w:rsidR="007F4F40" w:rsidRPr="004C0E7A" w:rsidRDefault="002047C2" w:rsidP="004C0E7A">
      <w:pPr>
        <w:pStyle w:val="ONUMFS"/>
        <w:rPr>
          <w:lang w:val="fr-FR"/>
        </w:rPr>
      </w:pPr>
      <w:r w:rsidRPr="004C0E7A">
        <w:rPr>
          <w:lang w:val="fr-FR"/>
        </w:rPr>
        <w:t xml:space="preserve">Cette évaluation a été effectuée entre </w:t>
      </w:r>
      <w:r w:rsidR="000055C7" w:rsidRPr="004C0E7A">
        <w:rPr>
          <w:lang w:val="fr-FR"/>
        </w:rPr>
        <w:t>septembre 20</w:t>
      </w:r>
      <w:r w:rsidRPr="004C0E7A">
        <w:rPr>
          <w:lang w:val="fr-FR"/>
        </w:rPr>
        <w:t xml:space="preserve">14 et </w:t>
      </w:r>
      <w:r w:rsidR="000055C7" w:rsidRPr="004C0E7A">
        <w:rPr>
          <w:lang w:val="fr-FR"/>
        </w:rPr>
        <w:t>janvier 20</w:t>
      </w:r>
      <w:r w:rsidRPr="004C0E7A">
        <w:rPr>
          <w:lang w:val="fr-FR"/>
        </w:rPr>
        <w:t>15.</w:t>
      </w:r>
      <w:r w:rsidR="00605540" w:rsidRPr="004C0E7A">
        <w:rPr>
          <w:lang w:val="fr-FR"/>
        </w:rPr>
        <w:t xml:space="preserve"> </w:t>
      </w:r>
      <w:r w:rsidR="006A6EDF" w:rsidRPr="004C0E7A">
        <w:rPr>
          <w:lang w:val="fr-FR"/>
        </w:rPr>
        <w:t xml:space="preserve"> </w:t>
      </w:r>
      <w:r w:rsidRPr="004C0E7A">
        <w:rPr>
          <w:lang w:val="fr-FR"/>
        </w:rPr>
        <w:t xml:space="preserve">Elle </w:t>
      </w:r>
      <w:r w:rsidR="00D54B89" w:rsidRPr="004C0E7A">
        <w:rPr>
          <w:lang w:val="fr-FR"/>
        </w:rPr>
        <w:t>comprenait</w:t>
      </w:r>
      <w:r w:rsidRPr="004C0E7A">
        <w:rPr>
          <w:lang w:val="fr-FR"/>
        </w:rPr>
        <w:t xml:space="preserve"> une analyse </w:t>
      </w:r>
      <w:r w:rsidR="00D54B89" w:rsidRPr="004C0E7A">
        <w:rPr>
          <w:lang w:val="fr-FR"/>
        </w:rPr>
        <w:t>détaillée</w:t>
      </w:r>
      <w:r w:rsidR="00E4030E" w:rsidRPr="004C0E7A">
        <w:rPr>
          <w:lang w:val="fr-FR"/>
        </w:rPr>
        <w:t xml:space="preserve"> de la sit</w:t>
      </w:r>
      <w:r w:rsidR="00E33E89" w:rsidRPr="004C0E7A">
        <w:rPr>
          <w:lang w:val="fr-FR"/>
        </w:rPr>
        <w:t>u</w:t>
      </w:r>
      <w:r w:rsidR="00E4030E" w:rsidRPr="004C0E7A">
        <w:rPr>
          <w:lang w:val="fr-FR"/>
        </w:rPr>
        <w:t>ation</w:t>
      </w:r>
      <w:r w:rsidRPr="004C0E7A">
        <w:rPr>
          <w:lang w:val="fr-FR"/>
        </w:rPr>
        <w:t>, une comparaison avec d</w:t>
      </w:r>
      <w:r w:rsidR="000055C7" w:rsidRPr="004C0E7A">
        <w:rPr>
          <w:lang w:val="fr-FR"/>
        </w:rPr>
        <w:t>’</w:t>
      </w:r>
      <w:r w:rsidRPr="004C0E7A">
        <w:rPr>
          <w:lang w:val="fr-FR"/>
        </w:rPr>
        <w:t xml:space="preserve">autres organisations du système des </w:t>
      </w:r>
      <w:r w:rsidR="000055C7" w:rsidRPr="004C0E7A">
        <w:rPr>
          <w:lang w:val="fr-FR"/>
        </w:rPr>
        <w:t>Nations Unies</w:t>
      </w:r>
      <w:r w:rsidRPr="004C0E7A">
        <w:rPr>
          <w:lang w:val="fr-FR"/>
        </w:rPr>
        <w:t xml:space="preserve"> ayant mis en œuvre des programmes similaires, des ateliers structurés ainsi que des enquêtes adressées à l</w:t>
      </w:r>
      <w:r w:rsidR="000055C7" w:rsidRPr="004C0E7A">
        <w:rPr>
          <w:lang w:val="fr-FR"/>
        </w:rPr>
        <w:t>’</w:t>
      </w:r>
      <w:r w:rsidRPr="004C0E7A">
        <w:rPr>
          <w:lang w:val="fr-FR"/>
        </w:rPr>
        <w:t>Équipe de haute direction pour la période</w:t>
      </w:r>
      <w:r w:rsidR="00045FD8" w:rsidRPr="004C0E7A">
        <w:rPr>
          <w:lang w:val="fr-FR"/>
        </w:rPr>
        <w:t> </w:t>
      </w:r>
      <w:r w:rsidRPr="004C0E7A">
        <w:rPr>
          <w:lang w:val="fr-FR"/>
        </w:rPr>
        <w:t>2008</w:t>
      </w:r>
      <w:r w:rsidR="008E117E" w:rsidRPr="004C0E7A">
        <w:rPr>
          <w:lang w:val="fr-FR"/>
        </w:rPr>
        <w:noBreakHyphen/>
      </w:r>
      <w:r w:rsidRPr="004C0E7A">
        <w:rPr>
          <w:lang w:val="fr-FR"/>
        </w:rPr>
        <w:t>2014 et à l</w:t>
      </w:r>
      <w:r w:rsidR="000055C7" w:rsidRPr="004C0E7A">
        <w:rPr>
          <w:lang w:val="fr-FR"/>
        </w:rPr>
        <w:t>’</w:t>
      </w:r>
      <w:r w:rsidRPr="004C0E7A">
        <w:rPr>
          <w:lang w:val="fr-FR"/>
        </w:rPr>
        <w:t>ensemble du personnel de l</w:t>
      </w:r>
      <w:r w:rsidR="000055C7" w:rsidRPr="004C0E7A">
        <w:rPr>
          <w:lang w:val="fr-FR"/>
        </w:rPr>
        <w:t>’</w:t>
      </w:r>
      <w:r w:rsidRPr="004C0E7A">
        <w:rPr>
          <w:lang w:val="fr-FR"/>
        </w:rPr>
        <w:t>OMPI.</w:t>
      </w:r>
      <w:r w:rsidR="00605540" w:rsidRPr="004C0E7A">
        <w:rPr>
          <w:lang w:val="fr-FR"/>
        </w:rPr>
        <w:t xml:space="preserve"> </w:t>
      </w:r>
      <w:r w:rsidR="00FD12E6" w:rsidRPr="004C0E7A">
        <w:rPr>
          <w:lang w:val="fr-FR"/>
        </w:rPr>
        <w:t xml:space="preserve"> </w:t>
      </w:r>
      <w:r w:rsidRPr="004C0E7A">
        <w:rPr>
          <w:lang w:val="fr-FR"/>
        </w:rPr>
        <w:t>En tout, quatre</w:t>
      </w:r>
      <w:r w:rsidR="00045FD8" w:rsidRPr="004C0E7A">
        <w:rPr>
          <w:lang w:val="fr-FR"/>
        </w:rPr>
        <w:t> </w:t>
      </w:r>
      <w:r w:rsidRPr="004C0E7A">
        <w:rPr>
          <w:lang w:val="fr-FR"/>
        </w:rPr>
        <w:t>cents fonctionnaires de l</w:t>
      </w:r>
      <w:r w:rsidR="000055C7" w:rsidRPr="004C0E7A">
        <w:rPr>
          <w:lang w:val="fr-FR"/>
        </w:rPr>
        <w:t>’</w:t>
      </w:r>
      <w:r w:rsidRPr="004C0E7A">
        <w:rPr>
          <w:lang w:val="fr-FR"/>
        </w:rPr>
        <w:t>OMPI ont été consultés.</w:t>
      </w:r>
    </w:p>
    <w:p w:rsidR="000055C7" w:rsidRPr="004C0E7A" w:rsidRDefault="00FD12E6" w:rsidP="004C0E7A">
      <w:pPr>
        <w:pStyle w:val="ONUMFS"/>
        <w:rPr>
          <w:lang w:val="fr-FR"/>
        </w:rPr>
      </w:pPr>
      <w:r w:rsidRPr="004C0E7A">
        <w:rPr>
          <w:lang w:val="fr-FR"/>
        </w:rPr>
        <w:t>L</w:t>
      </w:r>
      <w:r w:rsidR="000055C7" w:rsidRPr="004C0E7A">
        <w:rPr>
          <w:lang w:val="fr-FR"/>
        </w:rPr>
        <w:t>’</w:t>
      </w:r>
      <w:r w:rsidRPr="004C0E7A">
        <w:rPr>
          <w:lang w:val="fr-FR"/>
        </w:rPr>
        <w:t xml:space="preserve">évaluation a </w:t>
      </w:r>
      <w:r w:rsidR="00D54B89" w:rsidRPr="004C0E7A">
        <w:rPr>
          <w:lang w:val="fr-FR"/>
        </w:rPr>
        <w:t>révélé</w:t>
      </w:r>
      <w:r w:rsidRPr="004C0E7A">
        <w:rPr>
          <w:lang w:val="fr-FR"/>
        </w:rPr>
        <w:t xml:space="preserve"> que les récompenses en nature et</w:t>
      </w:r>
      <w:r w:rsidR="009E111F" w:rsidRPr="004C0E7A">
        <w:rPr>
          <w:lang w:val="fr-FR"/>
        </w:rPr>
        <w:t xml:space="preserve"> les récompenses</w:t>
      </w:r>
      <w:r w:rsidRPr="004C0E7A">
        <w:rPr>
          <w:lang w:val="fr-FR"/>
        </w:rPr>
        <w:t xml:space="preserve"> intangibles devaient être privilégiées et que la direction dev</w:t>
      </w:r>
      <w:r w:rsidR="009E111F" w:rsidRPr="004C0E7A">
        <w:rPr>
          <w:lang w:val="fr-FR"/>
        </w:rPr>
        <w:t>r</w:t>
      </w:r>
      <w:r w:rsidRPr="004C0E7A">
        <w:rPr>
          <w:lang w:val="fr-FR"/>
        </w:rPr>
        <w:t>ait</w:t>
      </w:r>
      <w:r w:rsidR="00045FD8" w:rsidRPr="004C0E7A">
        <w:rPr>
          <w:lang w:val="fr-FR"/>
        </w:rPr>
        <w:t> </w:t>
      </w:r>
      <w:r w:rsidRPr="004C0E7A">
        <w:rPr>
          <w:lang w:val="fr-FR"/>
        </w:rPr>
        <w:t>:</w:t>
      </w:r>
    </w:p>
    <w:p w:rsidR="007F4F40" w:rsidRPr="004C0E7A" w:rsidRDefault="00FD12E6" w:rsidP="000611C4">
      <w:pPr>
        <w:pStyle w:val="ONUMFS"/>
        <w:numPr>
          <w:ilvl w:val="1"/>
          <w:numId w:val="6"/>
        </w:numPr>
        <w:rPr>
          <w:lang w:val="fr-FR"/>
        </w:rPr>
      </w:pPr>
      <w:r w:rsidRPr="004C0E7A">
        <w:rPr>
          <w:lang w:val="fr-FR"/>
        </w:rPr>
        <w:t>établir un système de nomination et de sélection plus factuel, transparent et, dans la mesure du possible, documenté;</w:t>
      </w:r>
    </w:p>
    <w:p w:rsidR="000055C7" w:rsidRPr="004C0E7A" w:rsidRDefault="00FD12E6" w:rsidP="000611C4">
      <w:pPr>
        <w:pStyle w:val="ONUMFS"/>
        <w:numPr>
          <w:ilvl w:val="1"/>
          <w:numId w:val="6"/>
        </w:numPr>
        <w:rPr>
          <w:lang w:val="fr-FR"/>
        </w:rPr>
      </w:pPr>
      <w:r w:rsidRPr="004C0E7A">
        <w:rPr>
          <w:lang w:val="fr-FR"/>
        </w:rPr>
        <w:t>inciter le</w:t>
      </w:r>
      <w:r w:rsidR="00310903" w:rsidRPr="004C0E7A">
        <w:rPr>
          <w:lang w:val="fr-FR"/>
        </w:rPr>
        <w:t>s membres du</w:t>
      </w:r>
      <w:r w:rsidRPr="004C0E7A">
        <w:rPr>
          <w:lang w:val="fr-FR"/>
        </w:rPr>
        <w:t xml:space="preserve"> personnel à reconnaître et récompenser les résultats;</w:t>
      </w:r>
    </w:p>
    <w:p w:rsidR="007F4F40" w:rsidRPr="004C0E7A" w:rsidRDefault="007D4AB0" w:rsidP="000611C4">
      <w:pPr>
        <w:pStyle w:val="ONUMFS"/>
        <w:numPr>
          <w:ilvl w:val="1"/>
          <w:numId w:val="6"/>
        </w:numPr>
        <w:rPr>
          <w:lang w:val="fr-FR"/>
        </w:rPr>
      </w:pPr>
      <w:r w:rsidRPr="004C0E7A">
        <w:rPr>
          <w:lang w:val="fr-FR"/>
        </w:rPr>
        <w:t>informer</w:t>
      </w:r>
      <w:r w:rsidR="00310903" w:rsidRPr="004C0E7A">
        <w:rPr>
          <w:lang w:val="fr-FR"/>
        </w:rPr>
        <w:t xml:space="preserve"> </w:t>
      </w:r>
      <w:r w:rsidR="009E111F" w:rsidRPr="004C0E7A">
        <w:rPr>
          <w:lang w:val="fr-FR"/>
        </w:rPr>
        <w:t>sans attendre</w:t>
      </w:r>
      <w:r w:rsidR="00310903" w:rsidRPr="004C0E7A">
        <w:rPr>
          <w:lang w:val="fr-FR"/>
        </w:rPr>
        <w:t xml:space="preserve"> </w:t>
      </w:r>
      <w:r w:rsidRPr="004C0E7A">
        <w:rPr>
          <w:lang w:val="fr-FR"/>
        </w:rPr>
        <w:t>les fonctionnaires de l</w:t>
      </w:r>
      <w:r w:rsidR="000055C7" w:rsidRPr="004C0E7A">
        <w:rPr>
          <w:lang w:val="fr-FR"/>
        </w:rPr>
        <w:t>’</w:t>
      </w:r>
      <w:r w:rsidRPr="004C0E7A">
        <w:rPr>
          <w:lang w:val="fr-FR"/>
        </w:rPr>
        <w:t>OMPI sur le programme de récompenses et de reconnaissance;</w:t>
      </w:r>
    </w:p>
    <w:p w:rsidR="007F4F40" w:rsidRPr="004C0E7A" w:rsidRDefault="009E111F" w:rsidP="000611C4">
      <w:pPr>
        <w:pStyle w:val="ONUMFS"/>
        <w:numPr>
          <w:ilvl w:val="1"/>
          <w:numId w:val="6"/>
        </w:numPr>
        <w:rPr>
          <w:lang w:val="fr-FR"/>
        </w:rPr>
      </w:pPr>
      <w:r w:rsidRPr="004C0E7A">
        <w:rPr>
          <w:lang w:val="fr-FR"/>
        </w:rPr>
        <w:t>donner une</w:t>
      </w:r>
      <w:r w:rsidR="007D4AB0" w:rsidRPr="004C0E7A">
        <w:rPr>
          <w:lang w:val="fr-FR"/>
        </w:rPr>
        <w:t xml:space="preserve"> définition </w:t>
      </w:r>
      <w:r w:rsidRPr="004C0E7A">
        <w:rPr>
          <w:lang w:val="fr-FR"/>
        </w:rPr>
        <w:t>claire</w:t>
      </w:r>
      <w:r w:rsidR="007D4AB0" w:rsidRPr="004C0E7A">
        <w:rPr>
          <w:lang w:val="fr-FR"/>
        </w:rPr>
        <w:t xml:space="preserve"> des composantes</w:t>
      </w:r>
      <w:r w:rsidR="00E33E89" w:rsidRPr="004C0E7A">
        <w:rPr>
          <w:lang w:val="fr-FR"/>
        </w:rPr>
        <w:t xml:space="preserve"> de la nomination et de la sélection des fonctionnaires</w:t>
      </w:r>
      <w:r w:rsidR="007D4AB0" w:rsidRPr="004C0E7A">
        <w:rPr>
          <w:lang w:val="fr-FR"/>
        </w:rPr>
        <w:t xml:space="preserve">, </w:t>
      </w:r>
      <w:r w:rsidR="00310903" w:rsidRPr="004C0E7A">
        <w:rPr>
          <w:lang w:val="fr-FR"/>
        </w:rPr>
        <w:t xml:space="preserve">des </w:t>
      </w:r>
      <w:r w:rsidR="007D4AB0" w:rsidRPr="004C0E7A">
        <w:rPr>
          <w:lang w:val="fr-FR"/>
        </w:rPr>
        <w:t xml:space="preserve">procédures </w:t>
      </w:r>
      <w:r w:rsidR="001C5197" w:rsidRPr="004C0E7A">
        <w:rPr>
          <w:lang w:val="fr-FR"/>
        </w:rPr>
        <w:t xml:space="preserve">employées </w:t>
      </w:r>
      <w:r w:rsidR="007D4AB0" w:rsidRPr="004C0E7A">
        <w:rPr>
          <w:lang w:val="fr-FR"/>
        </w:rPr>
        <w:t xml:space="preserve">et </w:t>
      </w:r>
      <w:r w:rsidR="00310903" w:rsidRPr="004C0E7A">
        <w:rPr>
          <w:lang w:val="fr-FR"/>
        </w:rPr>
        <w:t xml:space="preserve">des </w:t>
      </w:r>
      <w:r w:rsidR="007D4AB0" w:rsidRPr="004C0E7A">
        <w:rPr>
          <w:lang w:val="fr-FR"/>
        </w:rPr>
        <w:t>motifs</w:t>
      </w:r>
      <w:r w:rsidR="001C5197" w:rsidRPr="004C0E7A">
        <w:rPr>
          <w:lang w:val="fr-FR"/>
        </w:rPr>
        <w:t xml:space="preserve"> appliqués</w:t>
      </w:r>
      <w:r w:rsidR="007D4AB0" w:rsidRPr="004C0E7A">
        <w:rPr>
          <w:lang w:val="fr-FR"/>
        </w:rPr>
        <w:t xml:space="preserve">;  </w:t>
      </w:r>
      <w:r w:rsidR="00E33E89" w:rsidRPr="004C0E7A">
        <w:rPr>
          <w:lang w:val="fr-FR"/>
        </w:rPr>
        <w:t>e</w:t>
      </w:r>
      <w:r w:rsidR="007D4AB0" w:rsidRPr="004C0E7A">
        <w:rPr>
          <w:lang w:val="fr-FR"/>
        </w:rPr>
        <w:t>t</w:t>
      </w:r>
    </w:p>
    <w:p w:rsidR="007F4F40" w:rsidRPr="004C0E7A" w:rsidRDefault="007D4AB0" w:rsidP="000611C4">
      <w:pPr>
        <w:pStyle w:val="ONUMFS"/>
        <w:numPr>
          <w:ilvl w:val="1"/>
          <w:numId w:val="6"/>
        </w:numPr>
        <w:rPr>
          <w:lang w:val="fr-FR"/>
        </w:rPr>
      </w:pPr>
      <w:r w:rsidRPr="004C0E7A">
        <w:rPr>
          <w:lang w:val="fr-FR"/>
        </w:rPr>
        <w:t>s</w:t>
      </w:r>
      <w:r w:rsidR="000055C7" w:rsidRPr="004C0E7A">
        <w:rPr>
          <w:lang w:val="fr-FR"/>
        </w:rPr>
        <w:t>’</w:t>
      </w:r>
      <w:r w:rsidRPr="004C0E7A">
        <w:rPr>
          <w:lang w:val="fr-FR"/>
        </w:rPr>
        <w:t xml:space="preserve">assurer </w:t>
      </w:r>
      <w:r w:rsidR="00E4030E" w:rsidRPr="004C0E7A">
        <w:rPr>
          <w:lang w:val="fr-FR"/>
        </w:rPr>
        <w:t>de l</w:t>
      </w:r>
      <w:r w:rsidR="000055C7" w:rsidRPr="004C0E7A">
        <w:rPr>
          <w:lang w:val="fr-FR"/>
        </w:rPr>
        <w:t>’</w:t>
      </w:r>
      <w:r w:rsidR="00E4030E" w:rsidRPr="004C0E7A">
        <w:rPr>
          <w:lang w:val="fr-FR"/>
        </w:rPr>
        <w:t>appui du</w:t>
      </w:r>
      <w:r w:rsidRPr="004C0E7A">
        <w:rPr>
          <w:lang w:val="fr-FR"/>
        </w:rPr>
        <w:t xml:space="preserve"> Département de la gestion des ressources huma</w:t>
      </w:r>
      <w:r w:rsidR="00F420EC" w:rsidRPr="004C0E7A">
        <w:rPr>
          <w:lang w:val="fr-FR"/>
        </w:rPr>
        <w:t xml:space="preserve">ines (DGRH) </w:t>
      </w:r>
      <w:r w:rsidR="00E4030E" w:rsidRPr="004C0E7A">
        <w:rPr>
          <w:lang w:val="fr-FR"/>
        </w:rPr>
        <w:t>en faveur de</w:t>
      </w:r>
      <w:r w:rsidR="00F420EC" w:rsidRPr="004C0E7A">
        <w:rPr>
          <w:lang w:val="fr-FR"/>
        </w:rPr>
        <w:t xml:space="preserve"> la mise en œ</w:t>
      </w:r>
      <w:r w:rsidRPr="004C0E7A">
        <w:rPr>
          <w:lang w:val="fr-FR"/>
        </w:rPr>
        <w:t xml:space="preserve">uvre du programme de récompenses et de reconnaissance, notamment </w:t>
      </w:r>
      <w:r w:rsidR="00F420EC" w:rsidRPr="004C0E7A">
        <w:rPr>
          <w:lang w:val="fr-FR"/>
        </w:rPr>
        <w:t>au moyen d</w:t>
      </w:r>
      <w:r w:rsidR="000055C7" w:rsidRPr="004C0E7A">
        <w:rPr>
          <w:lang w:val="fr-FR"/>
        </w:rPr>
        <w:t>’</w:t>
      </w:r>
      <w:r w:rsidRPr="004C0E7A">
        <w:rPr>
          <w:lang w:val="fr-FR"/>
        </w:rPr>
        <w:t xml:space="preserve">un </w:t>
      </w:r>
      <w:r w:rsidR="00E4030E" w:rsidRPr="004C0E7A">
        <w:rPr>
          <w:lang w:val="fr-FR"/>
        </w:rPr>
        <w:t>contrôle</w:t>
      </w:r>
      <w:r w:rsidRPr="004C0E7A">
        <w:rPr>
          <w:lang w:val="fr-FR"/>
        </w:rPr>
        <w:t xml:space="preserve"> réguli</w:t>
      </w:r>
      <w:r w:rsidR="00E4030E" w:rsidRPr="004C0E7A">
        <w:rPr>
          <w:lang w:val="fr-FR"/>
        </w:rPr>
        <w:t>er</w:t>
      </w:r>
      <w:r w:rsidRPr="004C0E7A">
        <w:rPr>
          <w:lang w:val="fr-FR"/>
        </w:rPr>
        <w:t xml:space="preserve"> du programme.</w:t>
      </w:r>
    </w:p>
    <w:p w:rsidR="007F4F40" w:rsidRPr="004C0E7A" w:rsidRDefault="007266E7" w:rsidP="004C0E7A">
      <w:pPr>
        <w:pStyle w:val="ONUMFS"/>
        <w:rPr>
          <w:lang w:val="fr-FR"/>
        </w:rPr>
      </w:pPr>
      <w:r w:rsidRPr="004C0E7A">
        <w:rPr>
          <w:lang w:val="fr-FR"/>
        </w:rPr>
        <w:t>Le DGRH a répondu favorablement et accepté de mettre en œuvre ces recommandations.</w:t>
      </w:r>
      <w:r w:rsidR="000B0098" w:rsidRPr="004C0E7A">
        <w:rPr>
          <w:lang w:val="fr-FR"/>
        </w:rPr>
        <w:t xml:space="preserve"> </w:t>
      </w:r>
      <w:r w:rsidR="00745A6E" w:rsidRPr="004C0E7A">
        <w:rPr>
          <w:lang w:val="fr-FR"/>
        </w:rPr>
        <w:t xml:space="preserve"> </w:t>
      </w:r>
      <w:r w:rsidR="00BC6E76" w:rsidRPr="004C0E7A">
        <w:rPr>
          <w:lang w:val="fr-FR"/>
        </w:rPr>
        <w:t>Le plan d</w:t>
      </w:r>
      <w:r w:rsidR="000055C7" w:rsidRPr="004C0E7A">
        <w:rPr>
          <w:lang w:val="fr-FR"/>
        </w:rPr>
        <w:t>’</w:t>
      </w:r>
      <w:r w:rsidR="00BC6E76" w:rsidRPr="004C0E7A">
        <w:rPr>
          <w:lang w:val="fr-FR"/>
        </w:rPr>
        <w:t>action proposé comprend une révision de la politique relative au programme de récompenses et de reconnaissance, l</w:t>
      </w:r>
      <w:r w:rsidR="000055C7" w:rsidRPr="004C0E7A">
        <w:rPr>
          <w:lang w:val="fr-FR"/>
        </w:rPr>
        <w:t>’</w:t>
      </w:r>
      <w:r w:rsidR="00BC6E76" w:rsidRPr="004C0E7A">
        <w:rPr>
          <w:lang w:val="fr-FR"/>
        </w:rPr>
        <w:t>élaboration d</w:t>
      </w:r>
      <w:r w:rsidR="000055C7" w:rsidRPr="004C0E7A">
        <w:rPr>
          <w:lang w:val="fr-FR"/>
        </w:rPr>
        <w:t>’</w:t>
      </w:r>
      <w:r w:rsidR="00BC6E76" w:rsidRPr="004C0E7A">
        <w:rPr>
          <w:lang w:val="fr-FR"/>
        </w:rPr>
        <w:t>un Manuel d</w:t>
      </w:r>
      <w:r w:rsidR="000055C7" w:rsidRPr="004C0E7A">
        <w:rPr>
          <w:lang w:val="fr-FR"/>
        </w:rPr>
        <w:t>’</w:t>
      </w:r>
      <w:r w:rsidR="00BC6E76" w:rsidRPr="004C0E7A">
        <w:rPr>
          <w:lang w:val="fr-FR"/>
        </w:rPr>
        <w:t>utilisation</w:t>
      </w:r>
      <w:r w:rsidR="000055C7" w:rsidRPr="004C0E7A">
        <w:rPr>
          <w:lang w:val="fr-FR"/>
        </w:rPr>
        <w:t xml:space="preserve"> du PMS</w:t>
      </w:r>
      <w:r w:rsidR="00BC6E76" w:rsidRPr="004C0E7A">
        <w:rPr>
          <w:lang w:val="fr-FR"/>
        </w:rPr>
        <w:t>DS sur la reconnaissance et la création d</w:t>
      </w:r>
      <w:r w:rsidR="000055C7" w:rsidRPr="004C0E7A">
        <w:rPr>
          <w:lang w:val="fr-FR"/>
        </w:rPr>
        <w:t>’</w:t>
      </w:r>
      <w:r w:rsidR="00BC6E76" w:rsidRPr="004C0E7A">
        <w:rPr>
          <w:lang w:val="fr-FR"/>
        </w:rPr>
        <w:t>une page intranet consacrée au programme, ainsi que le l</w:t>
      </w:r>
      <w:r w:rsidR="00E33E89" w:rsidRPr="004C0E7A">
        <w:rPr>
          <w:lang w:val="fr-FR"/>
        </w:rPr>
        <w:t>ancement d</w:t>
      </w:r>
      <w:r w:rsidR="000055C7" w:rsidRPr="004C0E7A">
        <w:rPr>
          <w:lang w:val="fr-FR"/>
        </w:rPr>
        <w:t>’</w:t>
      </w:r>
      <w:r w:rsidR="00E33E89" w:rsidRPr="004C0E7A">
        <w:rPr>
          <w:lang w:val="fr-FR"/>
        </w:rPr>
        <w:t>un programme relatif</w:t>
      </w:r>
      <w:r w:rsidR="00BC6E76" w:rsidRPr="004C0E7A">
        <w:rPr>
          <w:lang w:val="fr-FR"/>
        </w:rPr>
        <w:t xml:space="preserve"> aux compétences en matière de gestion.</w:t>
      </w:r>
    </w:p>
    <w:p w:rsidR="007F4F40" w:rsidRPr="004C0E7A" w:rsidRDefault="00BC6E76" w:rsidP="000611C4">
      <w:pPr>
        <w:pStyle w:val="Heading2"/>
        <w:rPr>
          <w:lang w:val="fr-FR"/>
        </w:rPr>
      </w:pPr>
      <w:r w:rsidRPr="004C0E7A">
        <w:rPr>
          <w:lang w:val="fr-FR"/>
        </w:rPr>
        <w:t>Gestion du risque de tiers</w:t>
      </w:r>
    </w:p>
    <w:p w:rsidR="007F4F40" w:rsidRPr="004C0E7A" w:rsidRDefault="00BC6E76" w:rsidP="004C0E7A">
      <w:pPr>
        <w:pStyle w:val="ONUMFS"/>
        <w:rPr>
          <w:lang w:val="fr-FR"/>
        </w:rPr>
      </w:pPr>
      <w:r w:rsidRPr="004C0E7A">
        <w:rPr>
          <w:lang w:val="fr-FR"/>
        </w:rPr>
        <w:t>Les principaux objectifs de cet audit étaient d</w:t>
      </w:r>
      <w:r w:rsidR="000055C7" w:rsidRPr="004C0E7A">
        <w:rPr>
          <w:lang w:val="fr-FR"/>
        </w:rPr>
        <w:t>’</w:t>
      </w:r>
      <w:r w:rsidRPr="004C0E7A">
        <w:rPr>
          <w:lang w:val="fr-FR"/>
        </w:rPr>
        <w:t>établir si l</w:t>
      </w:r>
      <w:r w:rsidR="000055C7" w:rsidRPr="004C0E7A">
        <w:rPr>
          <w:lang w:val="fr-FR"/>
        </w:rPr>
        <w:t>’</w:t>
      </w:r>
      <w:r w:rsidRPr="004C0E7A">
        <w:rPr>
          <w:lang w:val="fr-FR"/>
        </w:rPr>
        <w:t>OMPI avait mis en place des mécanismes visant à examiner, évaluer et gérer correctement le risque de tiers afin d</w:t>
      </w:r>
      <w:r w:rsidR="000055C7" w:rsidRPr="004C0E7A">
        <w:rPr>
          <w:lang w:val="fr-FR"/>
        </w:rPr>
        <w:t>’</w:t>
      </w:r>
      <w:r w:rsidRPr="004C0E7A">
        <w:rPr>
          <w:lang w:val="fr-FR"/>
        </w:rPr>
        <w:t>atténuer les risques qui s</w:t>
      </w:r>
      <w:r w:rsidR="000055C7" w:rsidRPr="004C0E7A">
        <w:rPr>
          <w:lang w:val="fr-FR"/>
        </w:rPr>
        <w:t>’</w:t>
      </w:r>
      <w:r w:rsidRPr="004C0E7A">
        <w:rPr>
          <w:lang w:val="fr-FR"/>
        </w:rPr>
        <w:t>y attachent et de maximiser les avantages escomptés des relations avec les tiers.</w:t>
      </w:r>
      <w:r w:rsidR="00745A6E" w:rsidRPr="004C0E7A">
        <w:rPr>
          <w:lang w:val="fr-FR"/>
        </w:rPr>
        <w:t xml:space="preserve">  </w:t>
      </w:r>
      <w:r w:rsidRPr="004C0E7A">
        <w:rPr>
          <w:lang w:val="fr-FR"/>
        </w:rPr>
        <w:t>L</w:t>
      </w:r>
      <w:r w:rsidR="000055C7" w:rsidRPr="004C0E7A">
        <w:rPr>
          <w:lang w:val="fr-FR"/>
        </w:rPr>
        <w:t>’</w:t>
      </w:r>
      <w:r w:rsidRPr="004C0E7A">
        <w:rPr>
          <w:lang w:val="fr-FR"/>
        </w:rPr>
        <w:t>audit a conclu que le risque de tiers devait être géré d</w:t>
      </w:r>
      <w:r w:rsidR="000055C7" w:rsidRPr="004C0E7A">
        <w:rPr>
          <w:lang w:val="fr-FR"/>
        </w:rPr>
        <w:t>’</w:t>
      </w:r>
      <w:r w:rsidRPr="004C0E7A">
        <w:rPr>
          <w:lang w:val="fr-FR"/>
        </w:rPr>
        <w:t>une manière plus formelle et systématique.</w:t>
      </w:r>
    </w:p>
    <w:p w:rsidR="007F4F40" w:rsidRPr="004C0E7A" w:rsidRDefault="00E90A54" w:rsidP="004C0E7A">
      <w:pPr>
        <w:pStyle w:val="ONUMFS"/>
        <w:rPr>
          <w:lang w:val="fr-FR"/>
        </w:rPr>
      </w:pPr>
      <w:r w:rsidRPr="004C0E7A">
        <w:rPr>
          <w:lang w:val="fr-FR"/>
        </w:rPr>
        <w:t>La gestion du risque de tiers peut être plus efficace si la gestion des accords</w:t>
      </w:r>
      <w:r w:rsidR="008E117E" w:rsidRPr="004C0E7A">
        <w:rPr>
          <w:lang w:val="fr-FR"/>
        </w:rPr>
        <w:noBreakHyphen/>
      </w:r>
      <w:r w:rsidRPr="004C0E7A">
        <w:rPr>
          <w:lang w:val="fr-FR"/>
        </w:rPr>
        <w:t xml:space="preserve">cadres sur les services est harmonisée entre les </w:t>
      </w:r>
      <w:r w:rsidR="00495512" w:rsidRPr="004C0E7A">
        <w:rPr>
          <w:lang w:val="fr-FR"/>
        </w:rPr>
        <w:t xml:space="preserve">divers </w:t>
      </w:r>
      <w:r w:rsidRPr="004C0E7A">
        <w:rPr>
          <w:lang w:val="fr-FR"/>
        </w:rPr>
        <w:t>programmes de l</w:t>
      </w:r>
      <w:r w:rsidR="000055C7" w:rsidRPr="004C0E7A">
        <w:rPr>
          <w:lang w:val="fr-FR"/>
        </w:rPr>
        <w:t>’</w:t>
      </w:r>
      <w:r w:rsidRPr="004C0E7A">
        <w:rPr>
          <w:lang w:val="fr-FR"/>
        </w:rPr>
        <w:t>OMPI.  La diligence appropriée est exercée par les agences de placement extérieures lors du recrutement du personnel temporaire affecté à l</w:t>
      </w:r>
      <w:r w:rsidR="000055C7" w:rsidRPr="004C0E7A">
        <w:rPr>
          <w:lang w:val="fr-FR"/>
        </w:rPr>
        <w:t>’</w:t>
      </w:r>
      <w:r w:rsidRPr="004C0E7A">
        <w:rPr>
          <w:lang w:val="fr-FR"/>
        </w:rPr>
        <w:t>OMPI, notamment au moyen de vérifications des antécédents et du casier judiciaire et de la signature d</w:t>
      </w:r>
      <w:r w:rsidR="000055C7" w:rsidRPr="004C0E7A">
        <w:rPr>
          <w:lang w:val="fr-FR"/>
        </w:rPr>
        <w:t>’</w:t>
      </w:r>
      <w:r w:rsidRPr="004C0E7A">
        <w:rPr>
          <w:lang w:val="fr-FR"/>
        </w:rPr>
        <w:t>un accord de confidentialité s</w:t>
      </w:r>
      <w:r w:rsidR="000055C7" w:rsidRPr="004C0E7A">
        <w:rPr>
          <w:lang w:val="fr-FR"/>
        </w:rPr>
        <w:t>’</w:t>
      </w:r>
      <w:r w:rsidRPr="004C0E7A">
        <w:rPr>
          <w:lang w:val="fr-FR"/>
        </w:rPr>
        <w:t>il y a lieu.</w:t>
      </w:r>
      <w:r w:rsidR="006A6EDF" w:rsidRPr="004C0E7A">
        <w:rPr>
          <w:lang w:val="fr-FR"/>
        </w:rPr>
        <w:t xml:space="preserve"> </w:t>
      </w:r>
      <w:r w:rsidR="006F517F" w:rsidRPr="004C0E7A">
        <w:rPr>
          <w:lang w:val="fr-FR"/>
        </w:rPr>
        <w:t xml:space="preserve"> </w:t>
      </w:r>
      <w:r w:rsidRPr="004C0E7A">
        <w:rPr>
          <w:lang w:val="fr-FR"/>
        </w:rPr>
        <w:t>Par aill</w:t>
      </w:r>
      <w:r w:rsidR="007A0B65" w:rsidRPr="004C0E7A">
        <w:rPr>
          <w:lang w:val="fr-FR"/>
        </w:rPr>
        <w:t xml:space="preserve">eurs, les risques associés </w:t>
      </w:r>
      <w:r w:rsidR="000F6F63" w:rsidRPr="004C0E7A">
        <w:rPr>
          <w:lang w:val="fr-FR"/>
        </w:rPr>
        <w:t>à une défaillance</w:t>
      </w:r>
      <w:r w:rsidRPr="004C0E7A">
        <w:rPr>
          <w:lang w:val="fr-FR"/>
        </w:rPr>
        <w:t xml:space="preserve"> </w:t>
      </w:r>
      <w:r w:rsidR="000F6F63" w:rsidRPr="004C0E7A">
        <w:rPr>
          <w:lang w:val="fr-FR"/>
        </w:rPr>
        <w:t>des principaux</w:t>
      </w:r>
      <w:r w:rsidRPr="004C0E7A">
        <w:rPr>
          <w:lang w:val="fr-FR"/>
        </w:rPr>
        <w:t xml:space="preserve"> fournisseurs doivent être pleinement intégrés </w:t>
      </w:r>
      <w:r w:rsidR="007A0B65" w:rsidRPr="004C0E7A">
        <w:rPr>
          <w:lang w:val="fr-FR"/>
        </w:rPr>
        <w:t>aux</w:t>
      </w:r>
      <w:r w:rsidRPr="004C0E7A">
        <w:rPr>
          <w:lang w:val="fr-FR"/>
        </w:rPr>
        <w:t xml:space="preserve"> plans de continuité des opérations de l</w:t>
      </w:r>
      <w:r w:rsidR="000055C7" w:rsidRPr="004C0E7A">
        <w:rPr>
          <w:lang w:val="fr-FR"/>
        </w:rPr>
        <w:t>’</w:t>
      </w:r>
      <w:r w:rsidRPr="004C0E7A">
        <w:rPr>
          <w:lang w:val="fr-FR"/>
        </w:rPr>
        <w:t>Organisation.</w:t>
      </w:r>
    </w:p>
    <w:p w:rsidR="007F4F40" w:rsidRPr="004C0E7A" w:rsidRDefault="007A0B65" w:rsidP="004C0E7A">
      <w:pPr>
        <w:pStyle w:val="ONUMFS"/>
        <w:rPr>
          <w:lang w:val="fr-FR"/>
        </w:rPr>
      </w:pPr>
      <w:r w:rsidRPr="004C0E7A">
        <w:rPr>
          <w:lang w:val="fr-FR"/>
        </w:rPr>
        <w:t xml:space="preserve">La direction a commencé à prendre des mesures concernant les recommandations. </w:t>
      </w:r>
      <w:r w:rsidR="006F517F" w:rsidRPr="004C0E7A">
        <w:rPr>
          <w:lang w:val="fr-FR"/>
        </w:rPr>
        <w:t xml:space="preserve"> </w:t>
      </w:r>
      <w:r w:rsidR="00F1379A" w:rsidRPr="004C0E7A">
        <w:rPr>
          <w:lang w:val="fr-FR"/>
        </w:rPr>
        <w:t>À cet égard, le Secteur administration et gestion, en consultation avec</w:t>
      </w:r>
      <w:r w:rsidR="000055C7" w:rsidRPr="004C0E7A">
        <w:rPr>
          <w:lang w:val="fr-FR"/>
        </w:rPr>
        <w:t xml:space="preserve"> la DSI</w:t>
      </w:r>
      <w:r w:rsidR="00F1379A" w:rsidRPr="004C0E7A">
        <w:rPr>
          <w:lang w:val="fr-FR"/>
        </w:rPr>
        <w:t xml:space="preserve"> et le Bureau du conseiller juridique, a déjà intégré une clause de vérification dans les conditions générales de l</w:t>
      </w:r>
      <w:r w:rsidR="000055C7" w:rsidRPr="004C0E7A">
        <w:rPr>
          <w:lang w:val="fr-FR"/>
        </w:rPr>
        <w:t>’</w:t>
      </w:r>
      <w:r w:rsidR="00F1379A" w:rsidRPr="004C0E7A">
        <w:rPr>
          <w:lang w:val="fr-FR"/>
        </w:rPr>
        <w:t>OMPI et a pris des mesures pour établir un régime de sanctions applicable aux fournisseurs qui auraient commis certains actes de fraude et de corruption (entités commerciales, cabinets indépendants ou ONG).</w:t>
      </w:r>
    </w:p>
    <w:p w:rsidR="000055C7" w:rsidRPr="004C0E7A" w:rsidRDefault="000611C4" w:rsidP="000611C4">
      <w:pPr>
        <w:pStyle w:val="Heading2"/>
        <w:rPr>
          <w:lang w:val="fr-FR"/>
        </w:rPr>
      </w:pPr>
      <w:r>
        <w:rPr>
          <w:lang w:val="fr-FR"/>
        </w:rPr>
        <w:lastRenderedPageBreak/>
        <w:t>G</w:t>
      </w:r>
      <w:r w:rsidR="00F1379A" w:rsidRPr="004C0E7A">
        <w:rPr>
          <w:lang w:val="fr-FR"/>
        </w:rPr>
        <w:t>estion des actifs</w:t>
      </w:r>
    </w:p>
    <w:p w:rsidR="007F4F40" w:rsidRPr="004C0E7A" w:rsidRDefault="001F49C3" w:rsidP="004C0E7A">
      <w:pPr>
        <w:pStyle w:val="ONUMFS"/>
        <w:rPr>
          <w:lang w:val="fr-FR"/>
        </w:rPr>
      </w:pPr>
      <w:r w:rsidRPr="004C0E7A">
        <w:rPr>
          <w:lang w:val="fr-FR"/>
        </w:rPr>
        <w:t>L</w:t>
      </w:r>
      <w:r w:rsidR="000055C7" w:rsidRPr="004C0E7A">
        <w:rPr>
          <w:lang w:val="fr-FR"/>
        </w:rPr>
        <w:t>’</w:t>
      </w:r>
      <w:r w:rsidRPr="004C0E7A">
        <w:rPr>
          <w:lang w:val="fr-FR"/>
        </w:rPr>
        <w:t xml:space="preserve">audit a révélé que les processus régissant la </w:t>
      </w:r>
      <w:r w:rsidR="00491FA2" w:rsidRPr="004C0E7A">
        <w:rPr>
          <w:lang w:val="fr-FR"/>
        </w:rPr>
        <w:t>réception, l</w:t>
      </w:r>
      <w:r w:rsidR="000055C7" w:rsidRPr="004C0E7A">
        <w:rPr>
          <w:lang w:val="fr-FR"/>
        </w:rPr>
        <w:t>’</w:t>
      </w:r>
      <w:r w:rsidR="00491FA2" w:rsidRPr="004C0E7A">
        <w:rPr>
          <w:lang w:val="fr-FR"/>
        </w:rPr>
        <w:t xml:space="preserve">enregistrement, la </w:t>
      </w:r>
      <w:r w:rsidRPr="004C0E7A">
        <w:rPr>
          <w:lang w:val="fr-FR"/>
        </w:rPr>
        <w:t>conservation, l</w:t>
      </w:r>
      <w:r w:rsidR="000055C7" w:rsidRPr="004C0E7A">
        <w:rPr>
          <w:lang w:val="fr-FR"/>
        </w:rPr>
        <w:t>’</w:t>
      </w:r>
      <w:r w:rsidRPr="004C0E7A">
        <w:rPr>
          <w:lang w:val="fr-FR"/>
        </w:rPr>
        <w:t xml:space="preserve">entretien et </w:t>
      </w:r>
      <w:r w:rsidR="00495512" w:rsidRPr="004C0E7A">
        <w:rPr>
          <w:lang w:val="fr-FR"/>
        </w:rPr>
        <w:t>la cession</w:t>
      </w:r>
      <w:r w:rsidRPr="004C0E7A">
        <w:rPr>
          <w:lang w:val="fr-FR"/>
        </w:rPr>
        <w:t xml:space="preserve"> des </w:t>
      </w:r>
      <w:r w:rsidR="00495512" w:rsidRPr="004C0E7A">
        <w:rPr>
          <w:lang w:val="fr-FR"/>
        </w:rPr>
        <w:t>actifs matériels</w:t>
      </w:r>
      <w:r w:rsidRPr="004C0E7A">
        <w:rPr>
          <w:lang w:val="fr-FR"/>
        </w:rPr>
        <w:t xml:space="preserve"> étaient solides, bien que les contrôles internes, en ce qui concerne le suivi des actifs e</w:t>
      </w:r>
      <w:r w:rsidR="00495512" w:rsidRPr="004C0E7A">
        <w:rPr>
          <w:lang w:val="fr-FR"/>
        </w:rPr>
        <w:t>t la vérification physique,</w:t>
      </w:r>
      <w:r w:rsidR="00491FA2" w:rsidRPr="004C0E7A">
        <w:rPr>
          <w:lang w:val="fr-FR"/>
        </w:rPr>
        <w:t xml:space="preserve"> </w:t>
      </w:r>
      <w:proofErr w:type="gramStart"/>
      <w:r w:rsidR="00491FA2" w:rsidRPr="004C0E7A">
        <w:rPr>
          <w:lang w:val="fr-FR"/>
        </w:rPr>
        <w:t>pour</w:t>
      </w:r>
      <w:r w:rsidRPr="004C0E7A">
        <w:rPr>
          <w:lang w:val="fr-FR"/>
        </w:rPr>
        <w:t>raient</w:t>
      </w:r>
      <w:proofErr w:type="gramEnd"/>
      <w:r w:rsidRPr="004C0E7A">
        <w:rPr>
          <w:lang w:val="fr-FR"/>
        </w:rPr>
        <w:t xml:space="preserve"> être renforcés davantage.</w:t>
      </w:r>
    </w:p>
    <w:p w:rsidR="007F4F40" w:rsidRPr="004C0E7A" w:rsidRDefault="001F49C3" w:rsidP="004C0E7A">
      <w:pPr>
        <w:pStyle w:val="ONUMFS"/>
        <w:rPr>
          <w:lang w:val="fr-FR"/>
        </w:rPr>
      </w:pPr>
      <w:r w:rsidRPr="004C0E7A">
        <w:rPr>
          <w:lang w:val="fr-FR"/>
        </w:rPr>
        <w:t xml:space="preserve">Par ailleurs, le fait de corriger les informations incomplètes dans la base de données des </w:t>
      </w:r>
      <w:r w:rsidR="00491FA2" w:rsidRPr="004C0E7A">
        <w:rPr>
          <w:lang w:val="fr-FR"/>
        </w:rPr>
        <w:t>actifs</w:t>
      </w:r>
      <w:r w:rsidRPr="004C0E7A">
        <w:rPr>
          <w:lang w:val="fr-FR"/>
        </w:rPr>
        <w:t>, pour ce qui concerne l</w:t>
      </w:r>
      <w:r w:rsidR="000055C7" w:rsidRPr="004C0E7A">
        <w:rPr>
          <w:lang w:val="fr-FR"/>
        </w:rPr>
        <w:t>’</w:t>
      </w:r>
      <w:r w:rsidRPr="004C0E7A">
        <w:rPr>
          <w:lang w:val="fr-FR"/>
        </w:rPr>
        <w:t>emplacement et les dépositaires de</w:t>
      </w:r>
      <w:r w:rsidR="00CD54F8" w:rsidRPr="004C0E7A">
        <w:rPr>
          <w:lang w:val="fr-FR"/>
        </w:rPr>
        <w:t xml:space="preserve"> ce</w:t>
      </w:r>
      <w:r w:rsidRPr="004C0E7A">
        <w:rPr>
          <w:lang w:val="fr-FR"/>
        </w:rPr>
        <w:t>s actifs, permettrait de renforcer l</w:t>
      </w:r>
      <w:r w:rsidR="000055C7" w:rsidRPr="004C0E7A">
        <w:rPr>
          <w:lang w:val="fr-FR"/>
        </w:rPr>
        <w:t>’</w:t>
      </w:r>
      <w:r w:rsidRPr="004C0E7A">
        <w:rPr>
          <w:lang w:val="fr-FR"/>
        </w:rPr>
        <w:t>intégrité des données du point de vue de leur exhaustivité et de leur précision.</w:t>
      </w:r>
      <w:r w:rsidR="000D0188" w:rsidRPr="004C0E7A">
        <w:rPr>
          <w:lang w:val="fr-FR"/>
        </w:rPr>
        <w:t xml:space="preserve">  </w:t>
      </w:r>
      <w:r w:rsidR="00491FA2" w:rsidRPr="004C0E7A">
        <w:rPr>
          <w:lang w:val="fr-FR"/>
        </w:rPr>
        <w:t>L</w:t>
      </w:r>
      <w:r w:rsidR="000055C7" w:rsidRPr="004C0E7A">
        <w:rPr>
          <w:lang w:val="fr-FR"/>
        </w:rPr>
        <w:t>’</w:t>
      </w:r>
      <w:r w:rsidR="00491FA2" w:rsidRPr="004C0E7A">
        <w:rPr>
          <w:lang w:val="fr-FR"/>
        </w:rPr>
        <w:t>usage d</w:t>
      </w:r>
      <w:r w:rsidR="000055C7" w:rsidRPr="004C0E7A">
        <w:rPr>
          <w:lang w:val="fr-FR"/>
        </w:rPr>
        <w:t>’</w:t>
      </w:r>
      <w:r w:rsidR="00491FA2" w:rsidRPr="004C0E7A">
        <w:rPr>
          <w:lang w:val="fr-FR"/>
        </w:rPr>
        <w:t>étiquettes infalsifiables réduira le risque de transposition des étiquettes et d</w:t>
      </w:r>
      <w:r w:rsidR="000055C7" w:rsidRPr="004C0E7A">
        <w:rPr>
          <w:lang w:val="fr-FR"/>
        </w:rPr>
        <w:t>’</w:t>
      </w:r>
      <w:r w:rsidR="00491FA2" w:rsidRPr="004C0E7A">
        <w:rPr>
          <w:lang w:val="fr-FR"/>
        </w:rPr>
        <w:t>erreurs dans la vérification physique des stocks d</w:t>
      </w:r>
      <w:r w:rsidR="000055C7" w:rsidRPr="004C0E7A">
        <w:rPr>
          <w:lang w:val="fr-FR"/>
        </w:rPr>
        <w:t>’</w:t>
      </w:r>
      <w:r w:rsidR="00CD54F8" w:rsidRPr="004C0E7A">
        <w:rPr>
          <w:lang w:val="fr-FR"/>
        </w:rPr>
        <w:t>actifs fixes</w:t>
      </w:r>
      <w:r w:rsidR="00491FA2" w:rsidRPr="004C0E7A">
        <w:rPr>
          <w:lang w:val="fr-FR"/>
        </w:rPr>
        <w:t>.</w:t>
      </w:r>
    </w:p>
    <w:p w:rsidR="007F4F40" w:rsidRPr="004C0E7A" w:rsidRDefault="00CD54F8" w:rsidP="004C0E7A">
      <w:pPr>
        <w:pStyle w:val="ONUMFS"/>
        <w:rPr>
          <w:lang w:val="fr-FR"/>
        </w:rPr>
      </w:pPr>
      <w:r w:rsidRPr="004C0E7A">
        <w:rPr>
          <w:lang w:val="fr-FR"/>
        </w:rPr>
        <w:t>S</w:t>
      </w:r>
      <w:r w:rsidR="000055C7" w:rsidRPr="004C0E7A">
        <w:rPr>
          <w:lang w:val="fr-FR"/>
        </w:rPr>
        <w:t>’</w:t>
      </w:r>
      <w:r w:rsidRPr="004C0E7A">
        <w:rPr>
          <w:lang w:val="fr-FR"/>
        </w:rPr>
        <w:t>agissant de la gestion des œuvres d</w:t>
      </w:r>
      <w:r w:rsidR="000055C7" w:rsidRPr="004C0E7A">
        <w:rPr>
          <w:lang w:val="fr-FR"/>
        </w:rPr>
        <w:t>’</w:t>
      </w:r>
      <w:r w:rsidRPr="004C0E7A">
        <w:rPr>
          <w:lang w:val="fr-FR"/>
        </w:rPr>
        <w:t>art, la mise en place d</w:t>
      </w:r>
      <w:r w:rsidR="000055C7" w:rsidRPr="004C0E7A">
        <w:rPr>
          <w:lang w:val="fr-FR"/>
        </w:rPr>
        <w:t>’</w:t>
      </w:r>
      <w:r w:rsidRPr="004C0E7A">
        <w:rPr>
          <w:lang w:val="fr-FR"/>
        </w:rPr>
        <w:t>une base de données unique pour l</w:t>
      </w:r>
      <w:r w:rsidR="000055C7" w:rsidRPr="004C0E7A">
        <w:rPr>
          <w:lang w:val="fr-FR"/>
        </w:rPr>
        <w:t>’</w:t>
      </w:r>
      <w:r w:rsidRPr="004C0E7A">
        <w:rPr>
          <w:lang w:val="fr-FR"/>
        </w:rPr>
        <w:t>enregistrement de</w:t>
      </w:r>
      <w:r w:rsidR="00495512" w:rsidRPr="004C0E7A">
        <w:rPr>
          <w:lang w:val="fr-FR"/>
        </w:rPr>
        <w:t xml:space="preserve"> ce</w:t>
      </w:r>
      <w:r w:rsidRPr="004C0E7A">
        <w:rPr>
          <w:lang w:val="fr-FR"/>
        </w:rPr>
        <w:t>s œuvres et le rassemblem</w:t>
      </w:r>
      <w:r w:rsidR="00F97BC0" w:rsidRPr="004C0E7A">
        <w:rPr>
          <w:lang w:val="fr-FR"/>
        </w:rPr>
        <w:t>ent de</w:t>
      </w:r>
      <w:r w:rsidRPr="004C0E7A">
        <w:rPr>
          <w:lang w:val="fr-FR"/>
        </w:rPr>
        <w:t xml:space="preserve"> données actuellement contenues dans deux</w:t>
      </w:r>
      <w:r w:rsidR="00045FD8" w:rsidRPr="004C0E7A">
        <w:rPr>
          <w:lang w:val="fr-FR"/>
        </w:rPr>
        <w:t> </w:t>
      </w:r>
      <w:r w:rsidRPr="004C0E7A">
        <w:rPr>
          <w:lang w:val="fr-FR"/>
        </w:rPr>
        <w:t>systèmes distincts renforceraient considérablement les contrôles internes</w:t>
      </w:r>
      <w:r w:rsidR="00C46DD0" w:rsidRPr="004C0E7A">
        <w:rPr>
          <w:lang w:val="fr-FR"/>
        </w:rPr>
        <w:t xml:space="preserve"> en la matière</w:t>
      </w:r>
      <w:r w:rsidRPr="004C0E7A">
        <w:rPr>
          <w:lang w:val="fr-FR"/>
        </w:rPr>
        <w:t>.</w:t>
      </w:r>
      <w:r w:rsidR="000D0188" w:rsidRPr="004C0E7A">
        <w:rPr>
          <w:lang w:val="fr-FR"/>
        </w:rPr>
        <w:t xml:space="preserve">  </w:t>
      </w:r>
      <w:r w:rsidRPr="004C0E7A">
        <w:rPr>
          <w:lang w:val="fr-FR"/>
        </w:rPr>
        <w:t xml:space="preserve">La direction est </w:t>
      </w:r>
      <w:r w:rsidR="00C46DD0" w:rsidRPr="004C0E7A">
        <w:rPr>
          <w:lang w:val="fr-FR"/>
        </w:rPr>
        <w:t>sensibilisée à</w:t>
      </w:r>
      <w:r w:rsidRPr="004C0E7A">
        <w:rPr>
          <w:lang w:val="fr-FR"/>
        </w:rPr>
        <w:t xml:space="preserve"> cette question et a déjà pris des mesures correctives</w:t>
      </w:r>
      <w:r w:rsidR="00C46DD0" w:rsidRPr="004C0E7A">
        <w:rPr>
          <w:lang w:val="fr-FR"/>
        </w:rPr>
        <w:t xml:space="preserve"> appropriées</w:t>
      </w:r>
      <w:r w:rsidRPr="004C0E7A">
        <w:rPr>
          <w:lang w:val="fr-FR"/>
        </w:rPr>
        <w:t>.</w:t>
      </w:r>
    </w:p>
    <w:p w:rsidR="007F4F40" w:rsidRPr="004C0E7A" w:rsidRDefault="00CD54F8" w:rsidP="004C0E7A">
      <w:pPr>
        <w:pStyle w:val="ONUMFS"/>
        <w:rPr>
          <w:lang w:val="fr-FR"/>
        </w:rPr>
      </w:pPr>
      <w:r w:rsidRPr="004C0E7A">
        <w:rPr>
          <w:lang w:val="fr-FR"/>
        </w:rPr>
        <w:t>La définition des principaux indicateurs d</w:t>
      </w:r>
      <w:r w:rsidR="000055C7" w:rsidRPr="004C0E7A">
        <w:rPr>
          <w:lang w:val="fr-FR"/>
        </w:rPr>
        <w:t>’</w:t>
      </w:r>
      <w:r w:rsidRPr="004C0E7A">
        <w:rPr>
          <w:lang w:val="fr-FR"/>
        </w:rPr>
        <w:t>exécution pour la gestion des actifs dans le</w:t>
      </w:r>
      <w:r w:rsidRPr="004C0E7A">
        <w:rPr>
          <w:b/>
          <w:lang w:val="fr-FR"/>
        </w:rPr>
        <w:t xml:space="preserve"> </w:t>
      </w:r>
      <w:r w:rsidRPr="004C0E7A">
        <w:rPr>
          <w:lang w:val="fr-FR"/>
        </w:rPr>
        <w:t xml:space="preserve">programme et budget </w:t>
      </w:r>
      <w:r w:rsidR="00F97BC0" w:rsidRPr="004C0E7A">
        <w:rPr>
          <w:lang w:val="fr-FR"/>
        </w:rPr>
        <w:t xml:space="preserve">du </w:t>
      </w:r>
      <w:r w:rsidRPr="004C0E7A">
        <w:rPr>
          <w:lang w:val="fr-FR"/>
        </w:rPr>
        <w:t>prochain exercice biennal permettra d</w:t>
      </w:r>
      <w:r w:rsidR="000055C7" w:rsidRPr="004C0E7A">
        <w:rPr>
          <w:lang w:val="fr-FR"/>
        </w:rPr>
        <w:t>’</w:t>
      </w:r>
      <w:r w:rsidRPr="004C0E7A">
        <w:rPr>
          <w:lang w:val="fr-FR"/>
        </w:rPr>
        <w:t>améliorer la reddition de compt</w:t>
      </w:r>
      <w:r w:rsidR="00F97BC0" w:rsidRPr="004C0E7A">
        <w:rPr>
          <w:lang w:val="fr-FR"/>
        </w:rPr>
        <w:t xml:space="preserve">es, de renforcer </w:t>
      </w:r>
      <w:r w:rsidRPr="004C0E7A">
        <w:rPr>
          <w:lang w:val="fr-FR"/>
        </w:rPr>
        <w:t xml:space="preserve">la responsabilité </w:t>
      </w:r>
      <w:r w:rsidR="00F97BC0" w:rsidRPr="004C0E7A">
        <w:rPr>
          <w:lang w:val="fr-FR"/>
        </w:rPr>
        <w:t>et de perfectionner les</w:t>
      </w:r>
      <w:r w:rsidRPr="004C0E7A">
        <w:rPr>
          <w:lang w:val="fr-FR"/>
        </w:rPr>
        <w:t xml:space="preserve"> mécanismes actuels de suivi des résultats </w:t>
      </w:r>
      <w:r w:rsidR="00F97BC0" w:rsidRPr="004C0E7A">
        <w:rPr>
          <w:lang w:val="fr-FR"/>
        </w:rPr>
        <w:t>afin d</w:t>
      </w:r>
      <w:r w:rsidR="000055C7" w:rsidRPr="004C0E7A">
        <w:rPr>
          <w:lang w:val="fr-FR"/>
        </w:rPr>
        <w:t>’</w:t>
      </w:r>
      <w:r w:rsidR="00F97BC0" w:rsidRPr="004C0E7A">
        <w:rPr>
          <w:lang w:val="fr-FR"/>
        </w:rPr>
        <w:t xml:space="preserve">assurer </w:t>
      </w:r>
      <w:r w:rsidRPr="004C0E7A">
        <w:rPr>
          <w:lang w:val="fr-FR"/>
        </w:rPr>
        <w:t>une gestion efficace et rationnelle des actifs de l</w:t>
      </w:r>
      <w:r w:rsidR="000055C7" w:rsidRPr="004C0E7A">
        <w:rPr>
          <w:lang w:val="fr-FR"/>
        </w:rPr>
        <w:t>’</w:t>
      </w:r>
      <w:r w:rsidRPr="004C0E7A">
        <w:rPr>
          <w:lang w:val="fr-FR"/>
        </w:rPr>
        <w:t>OMPI.</w:t>
      </w:r>
    </w:p>
    <w:p w:rsidR="000055C7" w:rsidRPr="004C0E7A" w:rsidRDefault="002D2AA9" w:rsidP="000611C4">
      <w:pPr>
        <w:pStyle w:val="Heading2"/>
        <w:rPr>
          <w:lang w:val="fr-FR"/>
        </w:rPr>
      </w:pPr>
      <w:r w:rsidRPr="004C0E7A">
        <w:rPr>
          <w:lang w:val="fr-FR"/>
        </w:rPr>
        <w:t>Académie de l</w:t>
      </w:r>
      <w:r w:rsidR="000055C7" w:rsidRPr="004C0E7A">
        <w:rPr>
          <w:lang w:val="fr-FR"/>
        </w:rPr>
        <w:t>’</w:t>
      </w:r>
      <w:r w:rsidRPr="004C0E7A">
        <w:rPr>
          <w:lang w:val="fr-FR"/>
        </w:rPr>
        <w:t>OMPI</w:t>
      </w:r>
    </w:p>
    <w:p w:rsidR="007F4F40" w:rsidRPr="004C0E7A" w:rsidRDefault="00D67BD3" w:rsidP="004C0E7A">
      <w:pPr>
        <w:pStyle w:val="ONUMFS"/>
        <w:rPr>
          <w:lang w:val="fr-FR"/>
        </w:rPr>
      </w:pPr>
      <w:r w:rsidRPr="004C0E7A">
        <w:rPr>
          <w:lang w:val="fr-FR"/>
        </w:rPr>
        <w:t>L</w:t>
      </w:r>
      <w:r w:rsidR="000055C7" w:rsidRPr="004C0E7A">
        <w:rPr>
          <w:lang w:val="fr-FR"/>
        </w:rPr>
        <w:t>’</w:t>
      </w:r>
      <w:r w:rsidRPr="004C0E7A">
        <w:rPr>
          <w:lang w:val="fr-FR"/>
        </w:rPr>
        <w:t>Académie de l</w:t>
      </w:r>
      <w:r w:rsidR="000055C7" w:rsidRPr="004C0E7A">
        <w:rPr>
          <w:lang w:val="fr-FR"/>
        </w:rPr>
        <w:t>’</w:t>
      </w:r>
      <w:r w:rsidRPr="004C0E7A">
        <w:rPr>
          <w:lang w:val="fr-FR"/>
        </w:rPr>
        <w:t>OMPI, créée en</w:t>
      </w:r>
      <w:r w:rsidR="00045FD8" w:rsidRPr="004C0E7A">
        <w:rPr>
          <w:lang w:val="fr-FR"/>
        </w:rPr>
        <w:t> </w:t>
      </w:r>
      <w:r w:rsidRPr="004C0E7A">
        <w:rPr>
          <w:lang w:val="fr-FR"/>
        </w:rPr>
        <w:t xml:space="preserve">1998, est le principal prestataire de services de formation </w:t>
      </w:r>
      <w:r w:rsidR="00C46DD0" w:rsidRPr="004C0E7A">
        <w:rPr>
          <w:lang w:val="fr-FR"/>
        </w:rPr>
        <w:t>et d</w:t>
      </w:r>
      <w:r w:rsidR="000055C7" w:rsidRPr="004C0E7A">
        <w:rPr>
          <w:lang w:val="fr-FR"/>
        </w:rPr>
        <w:t>’</w:t>
      </w:r>
      <w:r w:rsidR="00C46DD0" w:rsidRPr="004C0E7A">
        <w:rPr>
          <w:lang w:val="fr-FR"/>
        </w:rPr>
        <w:t>enseignement en matière de</w:t>
      </w:r>
      <w:r w:rsidRPr="004C0E7A">
        <w:rPr>
          <w:lang w:val="fr-FR"/>
        </w:rPr>
        <w:t xml:space="preserve"> propriété intellectuelle au bénéfice des pays en développement,</w:t>
      </w:r>
      <w:r w:rsidR="000055C7" w:rsidRPr="004C0E7A">
        <w:rPr>
          <w:lang w:val="fr-FR"/>
        </w:rPr>
        <w:t xml:space="preserve"> des PMA</w:t>
      </w:r>
      <w:r w:rsidRPr="004C0E7A">
        <w:rPr>
          <w:lang w:val="fr-FR"/>
        </w:rPr>
        <w:t xml:space="preserve"> et des pays en transition.</w:t>
      </w:r>
      <w:r w:rsidR="000D0188" w:rsidRPr="004C0E7A">
        <w:rPr>
          <w:lang w:val="fr-FR"/>
        </w:rPr>
        <w:t xml:space="preserve">  </w:t>
      </w:r>
      <w:r w:rsidRPr="004C0E7A">
        <w:rPr>
          <w:lang w:val="fr-FR"/>
        </w:rPr>
        <w:t>Cependant, depuis quelques années, plusieurs autres programmes de l</w:t>
      </w:r>
      <w:r w:rsidR="000055C7" w:rsidRPr="004C0E7A">
        <w:rPr>
          <w:lang w:val="fr-FR"/>
        </w:rPr>
        <w:t>’</w:t>
      </w:r>
      <w:r w:rsidRPr="004C0E7A">
        <w:rPr>
          <w:lang w:val="fr-FR"/>
        </w:rPr>
        <w:t>OMPI proposent des activités de formation axée sur le développement et des services de renforcement des capacités sans toujours coordonner leurs activités avec l</w:t>
      </w:r>
      <w:r w:rsidR="000055C7" w:rsidRPr="004C0E7A">
        <w:rPr>
          <w:lang w:val="fr-FR"/>
        </w:rPr>
        <w:t>’</w:t>
      </w:r>
      <w:r w:rsidRPr="004C0E7A">
        <w:rPr>
          <w:lang w:val="fr-FR"/>
        </w:rPr>
        <w:t>Académie.</w:t>
      </w:r>
      <w:r w:rsidR="00CF1A6B" w:rsidRPr="004C0E7A">
        <w:rPr>
          <w:lang w:val="fr-FR"/>
        </w:rPr>
        <w:t xml:space="preserve">  </w:t>
      </w:r>
      <w:r w:rsidR="00AA539A" w:rsidRPr="004C0E7A">
        <w:rPr>
          <w:lang w:val="fr-FR"/>
        </w:rPr>
        <w:t>Cela a entraîné des chevauchements dans les activités de formation, au détriment d</w:t>
      </w:r>
      <w:r w:rsidR="000055C7" w:rsidRPr="004C0E7A">
        <w:rPr>
          <w:lang w:val="fr-FR"/>
        </w:rPr>
        <w:t>’</w:t>
      </w:r>
      <w:r w:rsidR="00AA539A" w:rsidRPr="004C0E7A">
        <w:rPr>
          <w:lang w:val="fr-FR"/>
        </w:rPr>
        <w:t>une utilisation efficace des ressources et de l</w:t>
      </w:r>
      <w:r w:rsidR="000055C7" w:rsidRPr="004C0E7A">
        <w:rPr>
          <w:lang w:val="fr-FR"/>
        </w:rPr>
        <w:t>’</w:t>
      </w:r>
      <w:r w:rsidR="00AA539A" w:rsidRPr="004C0E7A">
        <w:rPr>
          <w:lang w:val="fr-FR"/>
        </w:rPr>
        <w:t>image de l</w:t>
      </w:r>
      <w:r w:rsidR="000055C7" w:rsidRPr="004C0E7A">
        <w:rPr>
          <w:lang w:val="fr-FR"/>
        </w:rPr>
        <w:t>’</w:t>
      </w:r>
      <w:r w:rsidR="00AA539A" w:rsidRPr="004C0E7A">
        <w:rPr>
          <w:lang w:val="fr-FR"/>
        </w:rPr>
        <w:t>OMPI.</w:t>
      </w:r>
    </w:p>
    <w:p w:rsidR="007F4F40" w:rsidRPr="004C0E7A" w:rsidRDefault="000737B5" w:rsidP="004C0E7A">
      <w:pPr>
        <w:pStyle w:val="ONUMFS"/>
        <w:rPr>
          <w:lang w:val="fr-FR"/>
        </w:rPr>
      </w:pPr>
      <w:r w:rsidRPr="004C0E7A">
        <w:rPr>
          <w:lang w:val="fr-FR"/>
        </w:rPr>
        <w:t>Si une série de documents</w:t>
      </w:r>
      <w:r w:rsidRPr="004C0E7A">
        <w:rPr>
          <w:rStyle w:val="FootnoteReference"/>
          <w:lang w:val="fr-FR"/>
        </w:rPr>
        <w:footnoteReference w:id="5"/>
      </w:r>
      <w:r w:rsidRPr="004C0E7A">
        <w:rPr>
          <w:lang w:val="fr-FR"/>
        </w:rPr>
        <w:t xml:space="preserve"> confirme la volonté de l</w:t>
      </w:r>
      <w:r w:rsidR="000055C7" w:rsidRPr="004C0E7A">
        <w:rPr>
          <w:lang w:val="fr-FR"/>
        </w:rPr>
        <w:t>’</w:t>
      </w:r>
      <w:r w:rsidRPr="004C0E7A">
        <w:rPr>
          <w:lang w:val="fr-FR"/>
        </w:rPr>
        <w:t xml:space="preserve">OMPI de </w:t>
      </w:r>
      <w:r w:rsidR="00575114" w:rsidRPr="004C0E7A">
        <w:rPr>
          <w:lang w:val="fr-FR"/>
        </w:rPr>
        <w:t>convertir</w:t>
      </w:r>
      <w:r w:rsidRPr="004C0E7A">
        <w:rPr>
          <w:lang w:val="fr-FR"/>
        </w:rPr>
        <w:t xml:space="preserve"> l</w:t>
      </w:r>
      <w:r w:rsidR="000055C7" w:rsidRPr="004C0E7A">
        <w:rPr>
          <w:lang w:val="fr-FR"/>
        </w:rPr>
        <w:t>’</w:t>
      </w:r>
      <w:r w:rsidRPr="004C0E7A">
        <w:rPr>
          <w:lang w:val="fr-FR"/>
        </w:rPr>
        <w:t>Académie en unité centrale de la formation et du renforcement</w:t>
      </w:r>
      <w:r w:rsidR="006B60BD" w:rsidRPr="004C0E7A">
        <w:rPr>
          <w:lang w:val="fr-FR"/>
        </w:rPr>
        <w:t xml:space="preserve"> des capacités en </w:t>
      </w:r>
      <w:r w:rsidRPr="004C0E7A">
        <w:rPr>
          <w:lang w:val="fr-FR"/>
        </w:rPr>
        <w:t>faveur du développement, le mandat de l</w:t>
      </w:r>
      <w:r w:rsidR="000055C7" w:rsidRPr="004C0E7A">
        <w:rPr>
          <w:lang w:val="fr-FR"/>
        </w:rPr>
        <w:t>’</w:t>
      </w:r>
      <w:r w:rsidRPr="004C0E7A">
        <w:rPr>
          <w:lang w:val="fr-FR"/>
        </w:rPr>
        <w:t xml:space="preserve">Académie doit </w:t>
      </w:r>
      <w:r w:rsidR="006B60BD" w:rsidRPr="004C0E7A">
        <w:rPr>
          <w:lang w:val="fr-FR"/>
        </w:rPr>
        <w:t xml:space="preserve">encore </w:t>
      </w:r>
      <w:r w:rsidRPr="004C0E7A">
        <w:rPr>
          <w:lang w:val="fr-FR"/>
        </w:rPr>
        <w:t xml:space="preserve">être officiellement </w:t>
      </w:r>
      <w:proofErr w:type="gramStart"/>
      <w:r w:rsidRPr="004C0E7A">
        <w:rPr>
          <w:lang w:val="fr-FR"/>
        </w:rPr>
        <w:t>révisé</w:t>
      </w:r>
      <w:proofErr w:type="gramEnd"/>
      <w:r w:rsidRPr="004C0E7A">
        <w:rPr>
          <w:lang w:val="fr-FR"/>
        </w:rPr>
        <w:t xml:space="preserve"> pour refléter son nouveau rôle.</w:t>
      </w:r>
      <w:r w:rsidR="00CF1A6B" w:rsidRPr="004C0E7A">
        <w:rPr>
          <w:lang w:val="fr-FR"/>
        </w:rPr>
        <w:t xml:space="preserve"> </w:t>
      </w:r>
      <w:r w:rsidR="000D0188" w:rsidRPr="004C0E7A">
        <w:rPr>
          <w:lang w:val="fr-FR"/>
        </w:rPr>
        <w:t xml:space="preserve"> </w:t>
      </w:r>
      <w:r w:rsidRPr="004C0E7A">
        <w:rPr>
          <w:lang w:val="fr-FR"/>
        </w:rPr>
        <w:t>Une fois le nouveau mandat officialisé, l</w:t>
      </w:r>
      <w:r w:rsidR="000055C7" w:rsidRPr="004C0E7A">
        <w:rPr>
          <w:lang w:val="fr-FR"/>
        </w:rPr>
        <w:t>’</w:t>
      </w:r>
      <w:r w:rsidRPr="004C0E7A">
        <w:rPr>
          <w:lang w:val="fr-FR"/>
        </w:rPr>
        <w:t xml:space="preserve">Académie </w:t>
      </w:r>
      <w:r w:rsidR="00575114" w:rsidRPr="004C0E7A">
        <w:rPr>
          <w:lang w:val="fr-FR"/>
        </w:rPr>
        <w:t>devra</w:t>
      </w:r>
      <w:r w:rsidRPr="004C0E7A">
        <w:rPr>
          <w:lang w:val="fr-FR"/>
        </w:rPr>
        <w:t xml:space="preserve"> également élaborer un plan d</w:t>
      </w:r>
      <w:r w:rsidR="000055C7" w:rsidRPr="004C0E7A">
        <w:rPr>
          <w:lang w:val="fr-FR"/>
        </w:rPr>
        <w:t>’</w:t>
      </w:r>
      <w:r w:rsidRPr="004C0E7A">
        <w:rPr>
          <w:lang w:val="fr-FR"/>
        </w:rPr>
        <w:t xml:space="preserve">activité stratégique pour répondre pleinement aux </w:t>
      </w:r>
      <w:r w:rsidR="00575114" w:rsidRPr="004C0E7A">
        <w:rPr>
          <w:lang w:val="fr-FR"/>
        </w:rPr>
        <w:t>obligations</w:t>
      </w:r>
      <w:r w:rsidRPr="004C0E7A">
        <w:rPr>
          <w:lang w:val="fr-FR"/>
        </w:rPr>
        <w:t xml:space="preserve"> découlant de sa conversion.</w:t>
      </w:r>
    </w:p>
    <w:p w:rsidR="007F4F40" w:rsidRPr="004C0E7A" w:rsidRDefault="00331469" w:rsidP="004C0E7A">
      <w:pPr>
        <w:pStyle w:val="ONUMFS"/>
        <w:rPr>
          <w:lang w:val="fr-FR"/>
        </w:rPr>
      </w:pPr>
      <w:r w:rsidRPr="004C0E7A">
        <w:rPr>
          <w:lang w:val="fr-FR"/>
        </w:rPr>
        <w:t>Dans l</w:t>
      </w:r>
      <w:r w:rsidR="000055C7" w:rsidRPr="004C0E7A">
        <w:rPr>
          <w:lang w:val="fr-FR"/>
        </w:rPr>
        <w:t>’</w:t>
      </w:r>
      <w:r w:rsidRPr="004C0E7A">
        <w:rPr>
          <w:lang w:val="fr-FR"/>
        </w:rPr>
        <w:t>intervalle, l</w:t>
      </w:r>
      <w:r w:rsidR="000055C7" w:rsidRPr="004C0E7A">
        <w:rPr>
          <w:lang w:val="fr-FR"/>
        </w:rPr>
        <w:t>’</w:t>
      </w:r>
      <w:r w:rsidRPr="004C0E7A">
        <w:rPr>
          <w:lang w:val="fr-FR"/>
        </w:rPr>
        <w:t>Académie doit répondre aux difficultés opérationnelles actuelles.</w:t>
      </w:r>
      <w:r w:rsidR="00F812A1" w:rsidRPr="004C0E7A">
        <w:rPr>
          <w:lang w:val="fr-FR"/>
        </w:rPr>
        <w:t xml:space="preserve"> </w:t>
      </w:r>
      <w:r w:rsidR="00F9030B" w:rsidRPr="004C0E7A">
        <w:rPr>
          <w:lang w:val="fr-FR"/>
        </w:rPr>
        <w:t xml:space="preserve"> </w:t>
      </w:r>
      <w:r w:rsidR="00CA7753" w:rsidRPr="004C0E7A">
        <w:rPr>
          <w:lang w:val="fr-FR"/>
        </w:rPr>
        <w:t>Il s</w:t>
      </w:r>
      <w:r w:rsidR="000055C7" w:rsidRPr="004C0E7A">
        <w:rPr>
          <w:lang w:val="fr-FR"/>
        </w:rPr>
        <w:t>’</w:t>
      </w:r>
      <w:r w:rsidR="00CA7753" w:rsidRPr="004C0E7A">
        <w:rPr>
          <w:lang w:val="fr-FR"/>
        </w:rPr>
        <w:t xml:space="preserve">agit </w:t>
      </w:r>
      <w:r w:rsidR="00575114" w:rsidRPr="004C0E7A">
        <w:rPr>
          <w:lang w:val="fr-FR"/>
        </w:rPr>
        <w:t>notamment</w:t>
      </w:r>
      <w:r w:rsidR="00CA7753" w:rsidRPr="004C0E7A">
        <w:rPr>
          <w:lang w:val="fr-FR"/>
        </w:rPr>
        <w:t xml:space="preserve"> d</w:t>
      </w:r>
      <w:r w:rsidR="000055C7" w:rsidRPr="004C0E7A">
        <w:rPr>
          <w:lang w:val="fr-FR"/>
        </w:rPr>
        <w:t>’</w:t>
      </w:r>
      <w:r w:rsidR="00CA7753" w:rsidRPr="004C0E7A">
        <w:rPr>
          <w:lang w:val="fr-FR"/>
        </w:rPr>
        <w:t>harmoniser les procédures et pratiques internes;  de revoir la structure actuelle de</w:t>
      </w:r>
      <w:r w:rsidR="00575114" w:rsidRPr="004C0E7A">
        <w:rPr>
          <w:lang w:val="fr-FR"/>
        </w:rPr>
        <w:t xml:space="preserve"> se</w:t>
      </w:r>
      <w:r w:rsidR="00CA7753" w:rsidRPr="004C0E7A">
        <w:rPr>
          <w:lang w:val="fr-FR"/>
        </w:rPr>
        <w:t xml:space="preserve">s ressources humaines et </w:t>
      </w:r>
      <w:r w:rsidR="00575114" w:rsidRPr="004C0E7A">
        <w:rPr>
          <w:lang w:val="fr-FR"/>
        </w:rPr>
        <w:t>ses</w:t>
      </w:r>
      <w:r w:rsidR="00CA7753" w:rsidRPr="004C0E7A">
        <w:rPr>
          <w:lang w:val="fr-FR"/>
        </w:rPr>
        <w:t xml:space="preserve"> compétences;  d</w:t>
      </w:r>
      <w:r w:rsidR="000055C7" w:rsidRPr="004C0E7A">
        <w:rPr>
          <w:lang w:val="fr-FR"/>
        </w:rPr>
        <w:t>’</w:t>
      </w:r>
      <w:r w:rsidR="00CA7753" w:rsidRPr="004C0E7A">
        <w:rPr>
          <w:lang w:val="fr-FR"/>
        </w:rPr>
        <w:t xml:space="preserve">améliorer </w:t>
      </w:r>
      <w:r w:rsidR="00575114" w:rsidRPr="004C0E7A">
        <w:rPr>
          <w:lang w:val="fr-FR"/>
        </w:rPr>
        <w:t>ses</w:t>
      </w:r>
      <w:r w:rsidR="00CA7753" w:rsidRPr="004C0E7A">
        <w:rPr>
          <w:lang w:val="fr-FR"/>
        </w:rPr>
        <w:t xml:space="preserve"> systèmes afin de </w:t>
      </w:r>
      <w:r w:rsidR="00575114" w:rsidRPr="004C0E7A">
        <w:rPr>
          <w:lang w:val="fr-FR"/>
        </w:rPr>
        <w:t>faciliter</w:t>
      </w:r>
      <w:r w:rsidR="00CA7753" w:rsidRPr="004C0E7A">
        <w:rPr>
          <w:lang w:val="fr-FR"/>
        </w:rPr>
        <w:t xml:space="preserve"> les opérations et l</w:t>
      </w:r>
      <w:r w:rsidR="000055C7" w:rsidRPr="004C0E7A">
        <w:rPr>
          <w:lang w:val="fr-FR"/>
        </w:rPr>
        <w:t>’</w:t>
      </w:r>
      <w:r w:rsidR="00CA7753" w:rsidRPr="004C0E7A">
        <w:rPr>
          <w:lang w:val="fr-FR"/>
        </w:rPr>
        <w:t>application d</w:t>
      </w:r>
      <w:r w:rsidR="00575114" w:rsidRPr="004C0E7A">
        <w:rPr>
          <w:lang w:val="fr-FR"/>
        </w:rPr>
        <w:t>u</w:t>
      </w:r>
      <w:r w:rsidR="00CA7753" w:rsidRPr="004C0E7A">
        <w:rPr>
          <w:lang w:val="fr-FR"/>
        </w:rPr>
        <w:t xml:space="preserve"> programme;  de développer plus avant des outils pour mieux évaluer les effets de ses activités;  et d</w:t>
      </w:r>
      <w:r w:rsidR="000055C7" w:rsidRPr="004C0E7A">
        <w:rPr>
          <w:lang w:val="fr-FR"/>
        </w:rPr>
        <w:t>’</w:t>
      </w:r>
      <w:r w:rsidR="00CA7753" w:rsidRPr="004C0E7A">
        <w:rPr>
          <w:lang w:val="fr-FR"/>
        </w:rPr>
        <w:t>améliorer son cadre de contrôle de la qualité afin de fournir des services efficaces et de qualité.</w:t>
      </w:r>
    </w:p>
    <w:p w:rsidR="007F4F40" w:rsidRPr="004C0E7A" w:rsidRDefault="00CA7753" w:rsidP="000611C4">
      <w:pPr>
        <w:pStyle w:val="Heading2"/>
        <w:rPr>
          <w:lang w:val="fr-FR"/>
        </w:rPr>
      </w:pPr>
      <w:r w:rsidRPr="004C0E7A">
        <w:rPr>
          <w:lang w:val="fr-FR"/>
        </w:rPr>
        <w:lastRenderedPageBreak/>
        <w:t>Service de sûreté et de sécurité</w:t>
      </w:r>
    </w:p>
    <w:p w:rsidR="007F4F40" w:rsidRPr="004C0E7A" w:rsidRDefault="00DE6C86" w:rsidP="004C0E7A">
      <w:pPr>
        <w:pStyle w:val="ONUMFS"/>
        <w:rPr>
          <w:lang w:val="fr-FR"/>
        </w:rPr>
      </w:pPr>
      <w:r w:rsidRPr="004C0E7A">
        <w:rPr>
          <w:lang w:val="fr-FR"/>
        </w:rPr>
        <w:t>Cet audit avait pour but de déterminer si les mesures de sécurité en place à l</w:t>
      </w:r>
      <w:r w:rsidR="000055C7" w:rsidRPr="004C0E7A">
        <w:rPr>
          <w:lang w:val="fr-FR"/>
        </w:rPr>
        <w:t>’</w:t>
      </w:r>
      <w:r w:rsidRPr="004C0E7A">
        <w:rPr>
          <w:lang w:val="fr-FR"/>
        </w:rPr>
        <w:t xml:space="preserve">OMPI étaient adaptées, rationnelles et efficaces et si elles étaient conformes aux normes minimales de sécurité opérationnelle (MOSS) des </w:t>
      </w:r>
      <w:r w:rsidR="000055C7" w:rsidRPr="004C0E7A">
        <w:rPr>
          <w:lang w:val="fr-FR"/>
        </w:rPr>
        <w:t>Nations Unies</w:t>
      </w:r>
      <w:r w:rsidRPr="004C0E7A">
        <w:rPr>
          <w:lang w:val="fr-FR"/>
        </w:rPr>
        <w:t>.</w:t>
      </w:r>
      <w:r w:rsidR="000D0188" w:rsidRPr="004C0E7A">
        <w:rPr>
          <w:lang w:val="fr-FR"/>
        </w:rPr>
        <w:t xml:space="preserve">  </w:t>
      </w:r>
      <w:r w:rsidRPr="004C0E7A">
        <w:rPr>
          <w:lang w:val="fr-FR"/>
        </w:rPr>
        <w:t>Il s</w:t>
      </w:r>
      <w:r w:rsidR="000055C7" w:rsidRPr="004C0E7A">
        <w:rPr>
          <w:lang w:val="fr-FR"/>
        </w:rPr>
        <w:t>’</w:t>
      </w:r>
      <w:r w:rsidRPr="004C0E7A">
        <w:rPr>
          <w:lang w:val="fr-FR"/>
        </w:rPr>
        <w:t>agissait de la première évaluation des services de sûreté et de sécurité réalisée par</w:t>
      </w:r>
      <w:r w:rsidR="000055C7" w:rsidRPr="004C0E7A">
        <w:rPr>
          <w:lang w:val="fr-FR"/>
        </w:rPr>
        <w:t xml:space="preserve"> la DSI</w:t>
      </w:r>
      <w:r w:rsidRPr="004C0E7A">
        <w:rPr>
          <w:lang w:val="fr-FR"/>
        </w:rPr>
        <w:t xml:space="preserve"> et les résultats ont mis en évidence </w:t>
      </w:r>
      <w:r w:rsidR="002356AB" w:rsidRPr="004C0E7A">
        <w:rPr>
          <w:lang w:val="fr-FR"/>
        </w:rPr>
        <w:t>certaines</w:t>
      </w:r>
      <w:r w:rsidRPr="004C0E7A">
        <w:rPr>
          <w:lang w:val="fr-FR"/>
        </w:rPr>
        <w:t xml:space="preserve"> questions </w:t>
      </w:r>
      <w:r w:rsidR="002356AB" w:rsidRPr="004C0E7A">
        <w:rPr>
          <w:lang w:val="fr-FR"/>
        </w:rPr>
        <w:t>essentielles.</w:t>
      </w:r>
    </w:p>
    <w:p w:rsidR="007F4F40" w:rsidRPr="004C0E7A" w:rsidRDefault="002356AB" w:rsidP="004C0E7A">
      <w:pPr>
        <w:pStyle w:val="ONUMFS"/>
        <w:rPr>
          <w:lang w:val="fr-FR"/>
        </w:rPr>
      </w:pPr>
      <w:r w:rsidRPr="004C0E7A">
        <w:rPr>
          <w:lang w:val="fr-FR"/>
        </w:rPr>
        <w:t>Ces questions portaient sur les points suivants : o</w:t>
      </w:r>
      <w:r w:rsidR="00DE6C86" w:rsidRPr="004C0E7A">
        <w:rPr>
          <w:lang w:val="fr-FR"/>
        </w:rPr>
        <w:t>fficialis</w:t>
      </w:r>
      <w:r w:rsidRPr="004C0E7A">
        <w:rPr>
          <w:lang w:val="fr-FR"/>
        </w:rPr>
        <w:t>ation</w:t>
      </w:r>
      <w:r w:rsidR="00DE6C86" w:rsidRPr="004C0E7A">
        <w:rPr>
          <w:lang w:val="fr-FR"/>
        </w:rPr>
        <w:t xml:space="preserve"> et </w:t>
      </w:r>
      <w:r w:rsidRPr="004C0E7A">
        <w:rPr>
          <w:lang w:val="fr-FR"/>
        </w:rPr>
        <w:t>mise à jour d</w:t>
      </w:r>
      <w:r w:rsidR="00DE6C86" w:rsidRPr="004C0E7A">
        <w:rPr>
          <w:lang w:val="fr-FR"/>
        </w:rPr>
        <w:t>es politiques et procédures en matière de sûreté et de sécurité</w:t>
      </w:r>
      <w:r w:rsidRPr="004C0E7A">
        <w:rPr>
          <w:lang w:val="fr-FR"/>
        </w:rPr>
        <w:t>;</w:t>
      </w:r>
    </w:p>
    <w:p w:rsidR="007F4F40" w:rsidRPr="004C0E7A" w:rsidRDefault="009D1914" w:rsidP="000611C4">
      <w:pPr>
        <w:pStyle w:val="ONUMFS"/>
        <w:numPr>
          <w:ilvl w:val="1"/>
          <w:numId w:val="6"/>
        </w:numPr>
        <w:rPr>
          <w:lang w:val="fr-FR"/>
        </w:rPr>
      </w:pPr>
      <w:r w:rsidRPr="004C0E7A">
        <w:rPr>
          <w:lang w:val="fr-FR"/>
        </w:rPr>
        <w:t>achèvement dans les délais du processus de recrutement d</w:t>
      </w:r>
      <w:r w:rsidR="000055C7" w:rsidRPr="004C0E7A">
        <w:rPr>
          <w:lang w:val="fr-FR"/>
        </w:rPr>
        <w:t>’</w:t>
      </w:r>
      <w:r w:rsidRPr="004C0E7A">
        <w:rPr>
          <w:lang w:val="fr-FR"/>
        </w:rPr>
        <w:t>un nouveau chef du Service de coordination de la sûreté et de la sécurité;</w:t>
      </w:r>
    </w:p>
    <w:p w:rsidR="007F4F40" w:rsidRPr="004C0E7A" w:rsidRDefault="009D1914" w:rsidP="000611C4">
      <w:pPr>
        <w:pStyle w:val="ONUMFS"/>
        <w:numPr>
          <w:ilvl w:val="1"/>
          <w:numId w:val="6"/>
        </w:numPr>
        <w:rPr>
          <w:lang w:val="fr-FR"/>
        </w:rPr>
      </w:pPr>
      <w:r w:rsidRPr="004C0E7A">
        <w:rPr>
          <w:lang w:val="fr-FR"/>
        </w:rPr>
        <w:t>formation</w:t>
      </w:r>
      <w:r w:rsidR="002356AB" w:rsidRPr="004C0E7A">
        <w:rPr>
          <w:lang w:val="fr-FR"/>
        </w:rPr>
        <w:t xml:space="preserve"> appropriée</w:t>
      </w:r>
      <w:r w:rsidRPr="004C0E7A">
        <w:rPr>
          <w:lang w:val="fr-FR"/>
        </w:rPr>
        <w:t xml:space="preserve"> du personnel de sécurité à l</w:t>
      </w:r>
      <w:r w:rsidR="000055C7" w:rsidRPr="004C0E7A">
        <w:rPr>
          <w:lang w:val="fr-FR"/>
        </w:rPr>
        <w:t>’</w:t>
      </w:r>
      <w:r w:rsidRPr="004C0E7A">
        <w:rPr>
          <w:lang w:val="fr-FR"/>
        </w:rPr>
        <w:t>administration des nouveaux systèmes de sécurité;</w:t>
      </w:r>
    </w:p>
    <w:p w:rsidR="007F4F40" w:rsidRPr="004C0E7A" w:rsidRDefault="009D1914" w:rsidP="000611C4">
      <w:pPr>
        <w:pStyle w:val="ONUMFS"/>
        <w:numPr>
          <w:ilvl w:val="1"/>
          <w:numId w:val="6"/>
        </w:numPr>
        <w:rPr>
          <w:lang w:val="fr-FR"/>
        </w:rPr>
      </w:pPr>
      <w:r w:rsidRPr="004C0E7A">
        <w:rPr>
          <w:lang w:val="fr-FR"/>
        </w:rPr>
        <w:t>examen de la sécurité de tous les systèmes de sécurité mis en place récemment;</w:t>
      </w:r>
      <w:r w:rsidR="002356AB" w:rsidRPr="004C0E7A">
        <w:rPr>
          <w:lang w:val="fr-FR"/>
        </w:rPr>
        <w:t xml:space="preserve">  et</w:t>
      </w:r>
    </w:p>
    <w:p w:rsidR="007F4F40" w:rsidRPr="004C0E7A" w:rsidRDefault="009D1914" w:rsidP="000611C4">
      <w:pPr>
        <w:pStyle w:val="ONUMFS"/>
        <w:numPr>
          <w:ilvl w:val="1"/>
          <w:numId w:val="6"/>
        </w:numPr>
        <w:rPr>
          <w:lang w:val="fr-FR"/>
        </w:rPr>
      </w:pPr>
      <w:r w:rsidRPr="004C0E7A">
        <w:rPr>
          <w:lang w:val="fr-FR"/>
        </w:rPr>
        <w:t>gestion efficace des places de stationnement de l</w:t>
      </w:r>
      <w:r w:rsidR="000055C7" w:rsidRPr="004C0E7A">
        <w:rPr>
          <w:lang w:val="fr-FR"/>
        </w:rPr>
        <w:t>’</w:t>
      </w:r>
      <w:r w:rsidRPr="004C0E7A">
        <w:rPr>
          <w:lang w:val="fr-FR"/>
        </w:rPr>
        <w:t>OMPI.</w:t>
      </w:r>
    </w:p>
    <w:p w:rsidR="007F4F40" w:rsidRPr="004C0E7A" w:rsidRDefault="00C64DD0" w:rsidP="000611C4">
      <w:pPr>
        <w:pStyle w:val="Heading1"/>
        <w:rPr>
          <w:lang w:val="fr-FR"/>
        </w:rPr>
      </w:pPr>
      <w:bookmarkStart w:id="13" w:name="_Toc424911470"/>
      <w:r w:rsidRPr="004C0E7A">
        <w:rPr>
          <w:lang w:val="fr-FR"/>
        </w:rPr>
        <w:t>Activités d</w:t>
      </w:r>
      <w:r w:rsidR="000055C7" w:rsidRPr="004C0E7A">
        <w:rPr>
          <w:lang w:val="fr-FR"/>
        </w:rPr>
        <w:t>’</w:t>
      </w:r>
      <w:r w:rsidRPr="004C0E7A">
        <w:rPr>
          <w:lang w:val="fr-FR"/>
        </w:rPr>
        <w:t>enquête menées pendant la période couverte par le présent rapport</w:t>
      </w:r>
      <w:bookmarkEnd w:id="13"/>
    </w:p>
    <w:p w:rsidR="007F4F40" w:rsidRPr="004C0E7A" w:rsidRDefault="00C64DD0" w:rsidP="000611C4">
      <w:pPr>
        <w:pStyle w:val="Heading2"/>
        <w:rPr>
          <w:lang w:val="fr-FR"/>
        </w:rPr>
      </w:pPr>
      <w:r w:rsidRPr="004C0E7A">
        <w:rPr>
          <w:lang w:val="fr-FR"/>
        </w:rPr>
        <w:t>Aperçu des dossiers traités</w:t>
      </w:r>
    </w:p>
    <w:p w:rsidR="007F4F40" w:rsidRPr="004C0E7A" w:rsidRDefault="00C64DD0" w:rsidP="004C0E7A">
      <w:pPr>
        <w:pStyle w:val="ONUMFS"/>
        <w:rPr>
          <w:lang w:val="fr-FR"/>
        </w:rPr>
      </w:pPr>
      <w:r w:rsidRPr="004C0E7A">
        <w:rPr>
          <w:lang w:val="fr-FR"/>
        </w:rPr>
        <w:t>Au cou</w:t>
      </w:r>
      <w:r w:rsidR="00312E08" w:rsidRPr="004C0E7A">
        <w:rPr>
          <w:lang w:val="fr-FR"/>
        </w:rPr>
        <w:t>rs de la période considérée, 26 </w:t>
      </w:r>
      <w:r w:rsidRPr="004C0E7A">
        <w:rPr>
          <w:lang w:val="fr-FR"/>
        </w:rPr>
        <w:t xml:space="preserve">affaires nouvelles ont été enregistrées et 20 ont été </w:t>
      </w:r>
      <w:r w:rsidR="00EE4235" w:rsidRPr="004C0E7A">
        <w:rPr>
          <w:lang w:val="fr-FR"/>
        </w:rPr>
        <w:t>clôturées</w:t>
      </w:r>
      <w:r w:rsidRPr="004C0E7A">
        <w:rPr>
          <w:lang w:val="fr-FR"/>
        </w:rPr>
        <w:t>.</w:t>
      </w:r>
      <w:r w:rsidR="00E2643D" w:rsidRPr="004C0E7A">
        <w:rPr>
          <w:lang w:val="fr-FR"/>
        </w:rPr>
        <w:t xml:space="preserve"> </w:t>
      </w:r>
      <w:r w:rsidR="009071A9" w:rsidRPr="004C0E7A">
        <w:rPr>
          <w:lang w:val="fr-FR"/>
        </w:rPr>
        <w:t xml:space="preserve"> </w:t>
      </w:r>
      <w:r w:rsidRPr="004C0E7A">
        <w:rPr>
          <w:lang w:val="fr-FR"/>
        </w:rPr>
        <w:t>Au 3</w:t>
      </w:r>
      <w:r w:rsidR="000055C7" w:rsidRPr="004C0E7A">
        <w:rPr>
          <w:lang w:val="fr-FR"/>
        </w:rPr>
        <w:t>0 juin 20</w:t>
      </w:r>
      <w:r w:rsidR="00312E08" w:rsidRPr="004C0E7A">
        <w:rPr>
          <w:lang w:val="fr-FR"/>
        </w:rPr>
        <w:t>15, 18 </w:t>
      </w:r>
      <w:r w:rsidRPr="004C0E7A">
        <w:rPr>
          <w:lang w:val="fr-FR"/>
        </w:rPr>
        <w:t>dossiers étaient en cours d</w:t>
      </w:r>
      <w:r w:rsidR="000055C7" w:rsidRPr="004C0E7A">
        <w:rPr>
          <w:lang w:val="fr-FR"/>
        </w:rPr>
        <w:t>’</w:t>
      </w:r>
      <w:r w:rsidRPr="004C0E7A">
        <w:rPr>
          <w:lang w:val="fr-FR"/>
        </w:rPr>
        <w:t>enquête, dont 14 au stade de l</w:t>
      </w:r>
      <w:r w:rsidR="000055C7" w:rsidRPr="004C0E7A">
        <w:rPr>
          <w:lang w:val="fr-FR"/>
        </w:rPr>
        <w:t>’</w:t>
      </w:r>
      <w:r w:rsidRPr="004C0E7A">
        <w:rPr>
          <w:lang w:val="fr-FR"/>
        </w:rPr>
        <w:t>évaluation préliminaire et quatre</w:t>
      </w:r>
      <w:r w:rsidR="00312E08" w:rsidRPr="004C0E7A">
        <w:rPr>
          <w:lang w:val="fr-FR"/>
        </w:rPr>
        <w:t xml:space="preserve"> </w:t>
      </w:r>
      <w:r w:rsidRPr="004C0E7A">
        <w:rPr>
          <w:lang w:val="fr-FR"/>
        </w:rPr>
        <w:t>au stade de l</w:t>
      </w:r>
      <w:r w:rsidR="000055C7" w:rsidRPr="004C0E7A">
        <w:rPr>
          <w:lang w:val="fr-FR"/>
        </w:rPr>
        <w:t>’</w:t>
      </w:r>
      <w:r w:rsidRPr="004C0E7A">
        <w:rPr>
          <w:lang w:val="fr-FR"/>
        </w:rPr>
        <w:t xml:space="preserve">enquête </w:t>
      </w:r>
      <w:r w:rsidR="00632DE9" w:rsidRPr="004C0E7A">
        <w:rPr>
          <w:lang w:val="fr-FR"/>
        </w:rPr>
        <w:t>complète</w:t>
      </w:r>
      <w:r w:rsidRPr="004C0E7A">
        <w:rPr>
          <w:lang w:val="fr-FR"/>
        </w:rPr>
        <w:t>.</w:t>
      </w:r>
    </w:p>
    <w:p w:rsidR="007F4F40" w:rsidRPr="004C0E7A" w:rsidRDefault="00C64DD0" w:rsidP="000611C4">
      <w:pPr>
        <w:pStyle w:val="ONUME"/>
        <w:keepNext/>
        <w:keepLines/>
        <w:numPr>
          <w:ilvl w:val="0"/>
          <w:numId w:val="0"/>
        </w:numPr>
        <w:jc w:val="center"/>
        <w:rPr>
          <w:b/>
          <w:sz w:val="18"/>
          <w:szCs w:val="18"/>
          <w:lang w:val="fr-FR"/>
        </w:rPr>
      </w:pPr>
      <w:r w:rsidRPr="004C0E7A">
        <w:rPr>
          <w:b/>
          <w:sz w:val="18"/>
          <w:szCs w:val="18"/>
          <w:lang w:val="fr-FR"/>
        </w:rPr>
        <w:lastRenderedPageBreak/>
        <w:t xml:space="preserve">Diagramme </w:t>
      </w:r>
      <w:r w:rsidR="00637FDD" w:rsidRPr="004C0E7A">
        <w:rPr>
          <w:b/>
          <w:sz w:val="18"/>
          <w:szCs w:val="18"/>
          <w:lang w:val="fr-FR"/>
        </w:rPr>
        <w:t>1 </w:t>
      </w:r>
      <w:r w:rsidRPr="004C0E7A">
        <w:rPr>
          <w:b/>
          <w:sz w:val="18"/>
          <w:szCs w:val="18"/>
          <w:lang w:val="fr-FR"/>
        </w:rPr>
        <w:t xml:space="preserve">– Analyse comparée des enquêtes </w:t>
      </w:r>
      <w:r w:rsidR="00A15D90" w:rsidRPr="004C0E7A">
        <w:rPr>
          <w:b/>
          <w:sz w:val="18"/>
          <w:szCs w:val="18"/>
          <w:lang w:val="fr-FR"/>
        </w:rPr>
        <w:t>– période du</w:t>
      </w:r>
      <w:r w:rsidRPr="004C0E7A">
        <w:rPr>
          <w:b/>
          <w:sz w:val="18"/>
          <w:szCs w:val="18"/>
          <w:lang w:val="fr-FR"/>
        </w:rPr>
        <w:t xml:space="preserve"> 3</w:t>
      </w:r>
      <w:r w:rsidR="000055C7" w:rsidRPr="004C0E7A">
        <w:rPr>
          <w:b/>
          <w:sz w:val="18"/>
          <w:szCs w:val="18"/>
          <w:lang w:val="fr-FR"/>
        </w:rPr>
        <w:t>0 juin 20</w:t>
      </w:r>
      <w:r w:rsidRPr="004C0E7A">
        <w:rPr>
          <w:b/>
          <w:sz w:val="18"/>
          <w:szCs w:val="18"/>
          <w:lang w:val="fr-FR"/>
        </w:rPr>
        <w:t xml:space="preserve">11 </w:t>
      </w:r>
      <w:r w:rsidR="00A15D90" w:rsidRPr="004C0E7A">
        <w:rPr>
          <w:b/>
          <w:sz w:val="18"/>
          <w:szCs w:val="18"/>
          <w:lang w:val="fr-FR"/>
        </w:rPr>
        <w:t>au</w:t>
      </w:r>
      <w:r w:rsidRPr="004C0E7A">
        <w:rPr>
          <w:b/>
          <w:sz w:val="18"/>
          <w:szCs w:val="18"/>
          <w:lang w:val="fr-FR"/>
        </w:rPr>
        <w:t xml:space="preserve"> 3</w:t>
      </w:r>
      <w:r w:rsidR="000055C7" w:rsidRPr="004C0E7A">
        <w:rPr>
          <w:b/>
          <w:sz w:val="18"/>
          <w:szCs w:val="18"/>
          <w:lang w:val="fr-FR"/>
        </w:rPr>
        <w:t>0 juin 20</w:t>
      </w:r>
      <w:r w:rsidRPr="004C0E7A">
        <w:rPr>
          <w:b/>
          <w:sz w:val="18"/>
          <w:szCs w:val="18"/>
          <w:lang w:val="fr-FR"/>
        </w:rPr>
        <w:t>15</w:t>
      </w:r>
    </w:p>
    <w:p w:rsidR="00701D74" w:rsidRPr="00701D74" w:rsidRDefault="00701D74" w:rsidP="00701D74">
      <w:pPr>
        <w:pStyle w:val="ONUMFS"/>
        <w:numPr>
          <w:ilvl w:val="0"/>
          <w:numId w:val="0"/>
        </w:numPr>
        <w:jc w:val="center"/>
        <w:rPr>
          <w:lang w:val="fr-FR"/>
        </w:rPr>
      </w:pPr>
      <w:r w:rsidRPr="00701D74">
        <w:rPr>
          <w:noProof/>
          <w:lang w:eastAsia="en-US"/>
        </w:rPr>
        <w:drawing>
          <wp:inline distT="0" distB="0" distL="0" distR="0" wp14:anchorId="446D15D8" wp14:editId="27EBD21E">
            <wp:extent cx="5962650" cy="4076065"/>
            <wp:effectExtent l="0" t="0" r="0" b="63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962650" cy="4076065"/>
                    </a:xfrm>
                    <a:prstGeom prst="rect">
                      <a:avLst/>
                    </a:prstGeom>
                    <a:noFill/>
                    <a:ln>
                      <a:noFill/>
                    </a:ln>
                  </pic:spPr>
                </pic:pic>
              </a:graphicData>
            </a:graphic>
          </wp:inline>
        </w:drawing>
      </w:r>
    </w:p>
    <w:p w:rsidR="00701D74" w:rsidRPr="00701D74" w:rsidRDefault="00701D74" w:rsidP="00701D74"/>
    <w:p w:rsidR="007F4F40" w:rsidRPr="004C0E7A" w:rsidRDefault="00513BC8" w:rsidP="00701D74">
      <w:pPr>
        <w:pStyle w:val="ONUMFS"/>
        <w:rPr>
          <w:lang w:val="fr-FR"/>
        </w:rPr>
      </w:pPr>
      <w:r w:rsidRPr="004C0E7A">
        <w:rPr>
          <w:lang w:val="fr-FR"/>
        </w:rPr>
        <w:t>Au 3</w:t>
      </w:r>
      <w:r w:rsidR="000055C7" w:rsidRPr="004C0E7A">
        <w:rPr>
          <w:lang w:val="fr-FR"/>
        </w:rPr>
        <w:t>0 juin 20</w:t>
      </w:r>
      <w:r w:rsidRPr="004C0E7A">
        <w:rPr>
          <w:lang w:val="fr-FR"/>
        </w:rPr>
        <w:t>15, l</w:t>
      </w:r>
      <w:r w:rsidR="000055C7" w:rsidRPr="004C0E7A">
        <w:rPr>
          <w:lang w:val="fr-FR"/>
        </w:rPr>
        <w:t>’</w:t>
      </w:r>
      <w:r w:rsidRPr="004C0E7A">
        <w:rPr>
          <w:lang w:val="fr-FR"/>
        </w:rPr>
        <w:t>âge moyen des affaires faisant l</w:t>
      </w:r>
      <w:r w:rsidR="000055C7" w:rsidRPr="004C0E7A">
        <w:rPr>
          <w:lang w:val="fr-FR"/>
        </w:rPr>
        <w:t>’</w:t>
      </w:r>
      <w:r w:rsidRPr="004C0E7A">
        <w:rPr>
          <w:lang w:val="fr-FR"/>
        </w:rPr>
        <w:t>objet d</w:t>
      </w:r>
      <w:r w:rsidR="000055C7" w:rsidRPr="004C0E7A">
        <w:rPr>
          <w:lang w:val="fr-FR"/>
        </w:rPr>
        <w:t>’</w:t>
      </w:r>
      <w:r w:rsidRPr="004C0E7A">
        <w:rPr>
          <w:lang w:val="fr-FR"/>
        </w:rPr>
        <w:t xml:space="preserve">une enquête était de </w:t>
      </w:r>
      <w:r w:rsidR="00637FDD" w:rsidRPr="004C0E7A">
        <w:rPr>
          <w:lang w:val="fr-FR"/>
        </w:rPr>
        <w:t>5,1 </w:t>
      </w:r>
      <w:r w:rsidRPr="004C0E7A">
        <w:rPr>
          <w:lang w:val="fr-FR"/>
        </w:rPr>
        <w:t>mois.</w:t>
      </w:r>
    </w:p>
    <w:p w:rsidR="007F4F40" w:rsidRPr="004C0E7A" w:rsidRDefault="000611C4" w:rsidP="000611C4">
      <w:pPr>
        <w:pStyle w:val="Heading2"/>
        <w:rPr>
          <w:lang w:val="fr-FR"/>
        </w:rPr>
      </w:pPr>
      <w:r>
        <w:rPr>
          <w:lang w:val="fr-FR"/>
        </w:rPr>
        <w:t>A</w:t>
      </w:r>
      <w:r w:rsidR="00513BC8" w:rsidRPr="004C0E7A">
        <w:rPr>
          <w:lang w:val="fr-FR"/>
        </w:rPr>
        <w:t xml:space="preserve">ffaires introduites au cours de la période </w:t>
      </w:r>
      <w:r w:rsidR="00A15D90" w:rsidRPr="004C0E7A">
        <w:rPr>
          <w:lang w:val="fr-FR"/>
        </w:rPr>
        <w:t>couverte par le</w:t>
      </w:r>
      <w:r w:rsidR="00A15D90" w:rsidRPr="004C0E7A">
        <w:rPr>
          <w:b/>
          <w:lang w:val="fr-FR"/>
        </w:rPr>
        <w:t xml:space="preserve"> </w:t>
      </w:r>
      <w:r w:rsidR="00A15D90" w:rsidRPr="004C0E7A">
        <w:rPr>
          <w:lang w:val="fr-FR"/>
        </w:rPr>
        <w:t>présent rapport</w:t>
      </w:r>
    </w:p>
    <w:p w:rsidR="007F4F40" w:rsidRPr="004C0E7A" w:rsidRDefault="00513BC8" w:rsidP="004C0E7A">
      <w:pPr>
        <w:pStyle w:val="ONUMFS"/>
        <w:rPr>
          <w:lang w:val="fr-FR"/>
        </w:rPr>
      </w:pPr>
      <w:r w:rsidRPr="004C0E7A">
        <w:rPr>
          <w:lang w:val="fr-FR"/>
        </w:rPr>
        <w:t xml:space="preserve">Les plaintes pour harcèlement, discrimination ou abus de pouvoir </w:t>
      </w:r>
      <w:r w:rsidR="00A15D90" w:rsidRPr="004C0E7A">
        <w:rPr>
          <w:lang w:val="fr-FR"/>
        </w:rPr>
        <w:t xml:space="preserve">présumé </w:t>
      </w:r>
      <w:r w:rsidRPr="004C0E7A">
        <w:rPr>
          <w:lang w:val="fr-FR"/>
        </w:rPr>
        <w:t>ont constitué une proportion significative des nouvelles affaires reçues par</w:t>
      </w:r>
      <w:r w:rsidR="000055C7" w:rsidRPr="004C0E7A">
        <w:rPr>
          <w:lang w:val="fr-FR"/>
        </w:rPr>
        <w:t xml:space="preserve"> la DSI</w:t>
      </w:r>
      <w:r w:rsidRPr="004C0E7A">
        <w:rPr>
          <w:lang w:val="fr-FR"/>
        </w:rPr>
        <w:t xml:space="preserve"> (huit plaintes reçues au cours de la période considérée).</w:t>
      </w:r>
    </w:p>
    <w:p w:rsidR="000055C7" w:rsidRPr="004C0E7A" w:rsidRDefault="00157B01" w:rsidP="004C0E7A">
      <w:pPr>
        <w:pStyle w:val="ONUMFS"/>
        <w:rPr>
          <w:lang w:val="fr-FR"/>
        </w:rPr>
      </w:pPr>
      <w:r w:rsidRPr="004C0E7A">
        <w:rPr>
          <w:lang w:val="fr-FR"/>
        </w:rPr>
        <w:t xml:space="preserve">Cinq affaires ont été ouvertes pour abus </w:t>
      </w:r>
      <w:r w:rsidR="00FC0C27" w:rsidRPr="004C0E7A">
        <w:rPr>
          <w:lang w:val="fr-FR"/>
        </w:rPr>
        <w:t xml:space="preserve">concernant les </w:t>
      </w:r>
      <w:r w:rsidR="00E34161" w:rsidRPr="004C0E7A">
        <w:rPr>
          <w:lang w:val="fr-FR"/>
        </w:rPr>
        <w:t>horaire</w:t>
      </w:r>
      <w:r w:rsidR="00FC0C27" w:rsidRPr="004C0E7A">
        <w:rPr>
          <w:lang w:val="fr-FR"/>
        </w:rPr>
        <w:t>s</w:t>
      </w:r>
      <w:r w:rsidRPr="004C0E7A">
        <w:rPr>
          <w:lang w:val="fr-FR"/>
        </w:rPr>
        <w:t xml:space="preserve"> de travail (principalement sous la forme d</w:t>
      </w:r>
      <w:r w:rsidR="000055C7" w:rsidRPr="004C0E7A">
        <w:rPr>
          <w:lang w:val="fr-FR"/>
        </w:rPr>
        <w:t>’</w:t>
      </w:r>
      <w:r w:rsidRPr="004C0E7A">
        <w:rPr>
          <w:lang w:val="fr-FR"/>
        </w:rPr>
        <w:t>absences non autorisées et d</w:t>
      </w:r>
      <w:r w:rsidR="000055C7" w:rsidRPr="004C0E7A">
        <w:rPr>
          <w:lang w:val="fr-FR"/>
        </w:rPr>
        <w:t>’</w:t>
      </w:r>
      <w:r w:rsidR="00FC0C27" w:rsidRPr="004C0E7A">
        <w:rPr>
          <w:lang w:val="fr-FR"/>
        </w:rPr>
        <w:t xml:space="preserve">une </w:t>
      </w:r>
      <w:r w:rsidRPr="004C0E7A">
        <w:rPr>
          <w:lang w:val="fr-FR"/>
        </w:rPr>
        <w:t xml:space="preserve">utilisation frauduleuse du système de pointage </w:t>
      </w:r>
      <w:proofErr w:type="spellStart"/>
      <w:r w:rsidRPr="004C0E7A">
        <w:rPr>
          <w:lang w:val="fr-FR"/>
        </w:rPr>
        <w:t>Flexitime</w:t>
      </w:r>
      <w:proofErr w:type="spellEnd"/>
      <w:r w:rsidRPr="004C0E7A">
        <w:rPr>
          <w:lang w:val="fr-FR"/>
        </w:rPr>
        <w:t>), contre une seule affaire au cours de la période précédente.</w:t>
      </w:r>
      <w:r w:rsidR="00FB11DF" w:rsidRPr="004C0E7A">
        <w:rPr>
          <w:lang w:val="fr-FR"/>
        </w:rPr>
        <w:t xml:space="preserve"> </w:t>
      </w:r>
      <w:r w:rsidR="007830CB" w:rsidRPr="004C0E7A">
        <w:rPr>
          <w:lang w:val="fr-FR"/>
        </w:rPr>
        <w:t xml:space="preserve"> </w:t>
      </w:r>
      <w:r w:rsidRPr="004C0E7A">
        <w:rPr>
          <w:lang w:val="fr-FR"/>
        </w:rPr>
        <w:t>Sur ces cinq</w:t>
      </w:r>
      <w:r w:rsidR="00045FD8" w:rsidRPr="004C0E7A">
        <w:rPr>
          <w:lang w:val="fr-FR"/>
        </w:rPr>
        <w:t> </w:t>
      </w:r>
      <w:r w:rsidRPr="004C0E7A">
        <w:rPr>
          <w:lang w:val="fr-FR"/>
        </w:rPr>
        <w:t>affaires, trois</w:t>
      </w:r>
      <w:r w:rsidR="00312E08" w:rsidRPr="004C0E7A">
        <w:rPr>
          <w:lang w:val="fr-FR"/>
        </w:rPr>
        <w:t xml:space="preserve"> </w:t>
      </w:r>
      <w:r w:rsidRPr="004C0E7A">
        <w:rPr>
          <w:lang w:val="fr-FR"/>
        </w:rPr>
        <w:t>ont été ouvertes à la suite d</w:t>
      </w:r>
      <w:r w:rsidR="000055C7" w:rsidRPr="004C0E7A">
        <w:rPr>
          <w:lang w:val="fr-FR"/>
        </w:rPr>
        <w:t>’</w:t>
      </w:r>
      <w:r w:rsidRPr="004C0E7A">
        <w:rPr>
          <w:lang w:val="fr-FR"/>
        </w:rPr>
        <w:t>un rapport établi par le</w:t>
      </w:r>
      <w:r w:rsidR="00E34161" w:rsidRPr="004C0E7A">
        <w:rPr>
          <w:lang w:val="fr-FR"/>
        </w:rPr>
        <w:t>s</w:t>
      </w:r>
      <w:r w:rsidRPr="004C0E7A">
        <w:rPr>
          <w:lang w:val="fr-FR"/>
        </w:rPr>
        <w:t xml:space="preserve"> supérieur</w:t>
      </w:r>
      <w:r w:rsidR="00E34161" w:rsidRPr="004C0E7A">
        <w:rPr>
          <w:lang w:val="fr-FR"/>
        </w:rPr>
        <w:t>s</w:t>
      </w:r>
      <w:r w:rsidRPr="004C0E7A">
        <w:rPr>
          <w:lang w:val="fr-FR"/>
        </w:rPr>
        <w:t xml:space="preserve"> hiérarchique</w:t>
      </w:r>
      <w:r w:rsidR="00E34161" w:rsidRPr="004C0E7A">
        <w:rPr>
          <w:lang w:val="fr-FR"/>
        </w:rPr>
        <w:t>s</w:t>
      </w:r>
      <w:r w:rsidRPr="004C0E7A">
        <w:rPr>
          <w:lang w:val="fr-FR"/>
        </w:rPr>
        <w:t xml:space="preserve"> d</w:t>
      </w:r>
      <w:r w:rsidR="00E34161" w:rsidRPr="004C0E7A">
        <w:rPr>
          <w:lang w:val="fr-FR"/>
        </w:rPr>
        <w:t>es</w:t>
      </w:r>
      <w:r w:rsidRPr="004C0E7A">
        <w:rPr>
          <w:lang w:val="fr-FR"/>
        </w:rPr>
        <w:t xml:space="preserve"> fonctionnaire</w:t>
      </w:r>
      <w:r w:rsidR="00E34161" w:rsidRPr="004C0E7A">
        <w:rPr>
          <w:lang w:val="fr-FR"/>
        </w:rPr>
        <w:t>s</w:t>
      </w:r>
      <w:r w:rsidRPr="004C0E7A">
        <w:rPr>
          <w:lang w:val="fr-FR"/>
        </w:rPr>
        <w:t xml:space="preserve"> concerné</w:t>
      </w:r>
      <w:r w:rsidR="00E34161" w:rsidRPr="004C0E7A">
        <w:rPr>
          <w:lang w:val="fr-FR"/>
        </w:rPr>
        <w:t>s</w:t>
      </w:r>
      <w:r w:rsidRPr="004C0E7A">
        <w:rPr>
          <w:lang w:val="fr-FR"/>
        </w:rPr>
        <w:t xml:space="preserve">, ce qui peut </w:t>
      </w:r>
      <w:r w:rsidR="00E34161" w:rsidRPr="004C0E7A">
        <w:rPr>
          <w:lang w:val="fr-FR"/>
        </w:rPr>
        <w:t>laisser penser que les</w:t>
      </w:r>
      <w:r w:rsidRPr="004C0E7A">
        <w:rPr>
          <w:lang w:val="fr-FR"/>
        </w:rPr>
        <w:t xml:space="preserve"> </w:t>
      </w:r>
      <w:r w:rsidR="00E34161" w:rsidRPr="004C0E7A">
        <w:rPr>
          <w:lang w:val="fr-FR"/>
        </w:rPr>
        <w:t xml:space="preserve">responsables sont davantage </w:t>
      </w:r>
      <w:r w:rsidRPr="004C0E7A">
        <w:rPr>
          <w:lang w:val="fr-FR"/>
        </w:rPr>
        <w:t>sensibilis</w:t>
      </w:r>
      <w:r w:rsidR="00E34161" w:rsidRPr="004C0E7A">
        <w:rPr>
          <w:lang w:val="fr-FR"/>
        </w:rPr>
        <w:t>és</w:t>
      </w:r>
      <w:r w:rsidRPr="004C0E7A">
        <w:rPr>
          <w:lang w:val="fr-FR"/>
        </w:rPr>
        <w:t xml:space="preserve"> </w:t>
      </w:r>
      <w:r w:rsidR="00E34161" w:rsidRPr="004C0E7A">
        <w:rPr>
          <w:lang w:val="fr-FR"/>
        </w:rPr>
        <w:t>à la</w:t>
      </w:r>
      <w:r w:rsidRPr="004C0E7A">
        <w:rPr>
          <w:lang w:val="fr-FR"/>
        </w:rPr>
        <w:t xml:space="preserve"> question d</w:t>
      </w:r>
      <w:r w:rsidR="00FC0C27" w:rsidRPr="004C0E7A">
        <w:rPr>
          <w:lang w:val="fr-FR"/>
        </w:rPr>
        <w:t xml:space="preserve">es </w:t>
      </w:r>
      <w:r w:rsidR="00E34161" w:rsidRPr="004C0E7A">
        <w:rPr>
          <w:lang w:val="fr-FR"/>
        </w:rPr>
        <w:t>horaire</w:t>
      </w:r>
      <w:r w:rsidR="00FC0C27" w:rsidRPr="004C0E7A">
        <w:rPr>
          <w:lang w:val="fr-FR"/>
        </w:rPr>
        <w:t>s</w:t>
      </w:r>
      <w:r w:rsidRPr="004C0E7A">
        <w:rPr>
          <w:lang w:val="fr-FR"/>
        </w:rPr>
        <w:t xml:space="preserve"> de travail.</w:t>
      </w:r>
    </w:p>
    <w:p w:rsidR="007F4F40" w:rsidRPr="004C0E7A" w:rsidRDefault="00D502F9" w:rsidP="004C0E7A">
      <w:pPr>
        <w:pStyle w:val="ONUMFS"/>
        <w:rPr>
          <w:lang w:val="fr-FR"/>
        </w:rPr>
      </w:pPr>
      <w:r w:rsidRPr="004C0E7A">
        <w:rPr>
          <w:lang w:val="fr-FR"/>
        </w:rPr>
        <w:t>Quatre affaires ont été ouvertes pour irrégularités présumées au cours d</w:t>
      </w:r>
      <w:r w:rsidR="000055C7" w:rsidRPr="004C0E7A">
        <w:rPr>
          <w:lang w:val="fr-FR"/>
        </w:rPr>
        <w:t>’</w:t>
      </w:r>
      <w:r w:rsidRPr="004C0E7A">
        <w:rPr>
          <w:lang w:val="fr-FR"/>
        </w:rPr>
        <w:t>un processus de recrutement et de s</w:t>
      </w:r>
      <w:r w:rsidR="00E34161" w:rsidRPr="004C0E7A">
        <w:rPr>
          <w:lang w:val="fr-FR"/>
        </w:rPr>
        <w:t xml:space="preserve">élection (notamment </w:t>
      </w:r>
      <w:r w:rsidRPr="004C0E7A">
        <w:rPr>
          <w:lang w:val="fr-FR"/>
        </w:rPr>
        <w:t>utilisation de matériel non autorisé et plagiat pendant les examens écrits), tandis qu</w:t>
      </w:r>
      <w:r w:rsidR="000055C7" w:rsidRPr="004C0E7A">
        <w:rPr>
          <w:lang w:val="fr-FR"/>
        </w:rPr>
        <w:t>’</w:t>
      </w:r>
      <w:r w:rsidRPr="004C0E7A">
        <w:rPr>
          <w:lang w:val="fr-FR"/>
        </w:rPr>
        <w:t xml:space="preserve">aucune affaire </w:t>
      </w:r>
      <w:r w:rsidR="00E34161" w:rsidRPr="004C0E7A">
        <w:rPr>
          <w:lang w:val="fr-FR"/>
        </w:rPr>
        <w:t>de ce type</w:t>
      </w:r>
      <w:r w:rsidRPr="004C0E7A">
        <w:rPr>
          <w:lang w:val="fr-FR"/>
        </w:rPr>
        <w:t xml:space="preserve"> n</w:t>
      </w:r>
      <w:r w:rsidR="000055C7" w:rsidRPr="004C0E7A">
        <w:rPr>
          <w:lang w:val="fr-FR"/>
        </w:rPr>
        <w:t>’</w:t>
      </w:r>
      <w:r w:rsidRPr="004C0E7A">
        <w:rPr>
          <w:lang w:val="fr-FR"/>
        </w:rPr>
        <w:t>avait été enregistrée au cours de la période précédente.</w:t>
      </w:r>
      <w:r w:rsidR="009071A9" w:rsidRPr="004C0E7A">
        <w:rPr>
          <w:lang w:val="fr-FR"/>
        </w:rPr>
        <w:t xml:space="preserve"> </w:t>
      </w:r>
      <w:r w:rsidR="00FB11DF" w:rsidRPr="004C0E7A">
        <w:rPr>
          <w:lang w:val="fr-FR"/>
        </w:rPr>
        <w:t xml:space="preserve"> </w:t>
      </w:r>
      <w:r w:rsidRPr="004C0E7A">
        <w:rPr>
          <w:lang w:val="fr-FR"/>
        </w:rPr>
        <w:t>Seules deux</w:t>
      </w:r>
      <w:r w:rsidR="00312E08" w:rsidRPr="004C0E7A">
        <w:rPr>
          <w:lang w:val="fr-FR"/>
        </w:rPr>
        <w:t xml:space="preserve"> </w:t>
      </w:r>
      <w:r w:rsidRPr="004C0E7A">
        <w:rPr>
          <w:lang w:val="fr-FR"/>
        </w:rPr>
        <w:t>des nouvelles affaires ont été reçues par</w:t>
      </w:r>
      <w:r w:rsidR="000055C7" w:rsidRPr="004C0E7A">
        <w:rPr>
          <w:lang w:val="fr-FR"/>
        </w:rPr>
        <w:t xml:space="preserve"> la DSI</w:t>
      </w:r>
      <w:r w:rsidRPr="004C0E7A">
        <w:rPr>
          <w:lang w:val="fr-FR"/>
        </w:rPr>
        <w:t xml:space="preserve"> via la ligne </w:t>
      </w:r>
      <w:r w:rsidR="0045172E" w:rsidRPr="004C0E7A">
        <w:rPr>
          <w:lang w:val="fr-FR"/>
        </w:rPr>
        <w:t>téléphonique dédiée au</w:t>
      </w:r>
      <w:r w:rsidRPr="004C0E7A">
        <w:rPr>
          <w:lang w:val="fr-FR"/>
        </w:rPr>
        <w:t xml:space="preserve"> signal</w:t>
      </w:r>
      <w:r w:rsidR="003551E8" w:rsidRPr="004C0E7A">
        <w:rPr>
          <w:lang w:val="fr-FR"/>
        </w:rPr>
        <w:t>ement</w:t>
      </w:r>
      <w:r w:rsidRPr="004C0E7A">
        <w:rPr>
          <w:lang w:val="fr-FR"/>
        </w:rPr>
        <w:t xml:space="preserve"> </w:t>
      </w:r>
      <w:r w:rsidR="003551E8" w:rsidRPr="004C0E7A">
        <w:rPr>
          <w:lang w:val="fr-FR"/>
        </w:rPr>
        <w:t>des fautes</w:t>
      </w:r>
      <w:r w:rsidRPr="004C0E7A">
        <w:rPr>
          <w:lang w:val="fr-FR"/>
        </w:rPr>
        <w:t>.</w:t>
      </w:r>
      <w:r w:rsidR="009071A9" w:rsidRPr="004C0E7A">
        <w:rPr>
          <w:lang w:val="fr-FR"/>
        </w:rPr>
        <w:t xml:space="preserve"> </w:t>
      </w:r>
      <w:r w:rsidR="00FB11DF" w:rsidRPr="004C0E7A">
        <w:rPr>
          <w:lang w:val="fr-FR"/>
        </w:rPr>
        <w:t xml:space="preserve"> </w:t>
      </w:r>
      <w:r w:rsidRPr="004C0E7A">
        <w:rPr>
          <w:lang w:val="fr-FR"/>
        </w:rPr>
        <w:t>Toutes les autres affaires ont été enregistrées suite à des plaintes ou des rapports émanant de fonctionnaires de l</w:t>
      </w:r>
      <w:r w:rsidR="000055C7" w:rsidRPr="004C0E7A">
        <w:rPr>
          <w:lang w:val="fr-FR"/>
        </w:rPr>
        <w:t>’</w:t>
      </w:r>
      <w:r w:rsidRPr="004C0E7A">
        <w:rPr>
          <w:lang w:val="fr-FR"/>
        </w:rPr>
        <w:t>OMPI, soit en leur qualité personnelle soit en tant que représentants de la direction.</w:t>
      </w:r>
    </w:p>
    <w:p w:rsidR="007F4F40" w:rsidRPr="004C0E7A" w:rsidRDefault="00D502F9" w:rsidP="004C0E7A">
      <w:pPr>
        <w:pStyle w:val="ONUMFS"/>
        <w:rPr>
          <w:lang w:val="fr-FR"/>
        </w:rPr>
      </w:pPr>
      <w:r w:rsidRPr="004C0E7A">
        <w:rPr>
          <w:lang w:val="fr-FR"/>
        </w:rPr>
        <w:t>Parmi les nouvelles affaires, quatre</w:t>
      </w:r>
      <w:r w:rsidR="00312E08" w:rsidRPr="004C0E7A">
        <w:rPr>
          <w:lang w:val="fr-FR"/>
        </w:rPr>
        <w:t xml:space="preserve"> </w:t>
      </w:r>
      <w:r w:rsidRPr="004C0E7A">
        <w:rPr>
          <w:lang w:val="fr-FR"/>
        </w:rPr>
        <w:t>ont été transmises à l</w:t>
      </w:r>
      <w:r w:rsidR="000055C7" w:rsidRPr="004C0E7A">
        <w:rPr>
          <w:lang w:val="fr-FR"/>
        </w:rPr>
        <w:t>’</w:t>
      </w:r>
      <w:r w:rsidRPr="004C0E7A">
        <w:rPr>
          <w:lang w:val="fr-FR"/>
        </w:rPr>
        <w:t xml:space="preserve">OCIS </w:t>
      </w:r>
      <w:r w:rsidR="000A1473" w:rsidRPr="004C0E7A">
        <w:rPr>
          <w:lang w:val="fr-FR"/>
        </w:rPr>
        <w:t>en vue de recueillir son</w:t>
      </w:r>
      <w:r w:rsidRPr="004C0E7A">
        <w:rPr>
          <w:lang w:val="fr-FR"/>
        </w:rPr>
        <w:t xml:space="preserve"> </w:t>
      </w:r>
      <w:r w:rsidR="000A1473" w:rsidRPr="004C0E7A">
        <w:rPr>
          <w:lang w:val="fr-FR"/>
        </w:rPr>
        <w:t>avis</w:t>
      </w:r>
      <w:r w:rsidRPr="004C0E7A">
        <w:rPr>
          <w:lang w:val="fr-FR"/>
        </w:rPr>
        <w:t>, conformément aux paragraphes</w:t>
      </w:r>
      <w:r w:rsidR="00045FD8" w:rsidRPr="004C0E7A">
        <w:rPr>
          <w:lang w:val="fr-FR"/>
        </w:rPr>
        <w:t> </w:t>
      </w:r>
      <w:r w:rsidRPr="004C0E7A">
        <w:rPr>
          <w:lang w:val="fr-FR"/>
        </w:rPr>
        <w:t>18 à</w:t>
      </w:r>
      <w:r w:rsidR="00312E08" w:rsidRPr="004C0E7A">
        <w:rPr>
          <w:lang w:val="fr-FR"/>
        </w:rPr>
        <w:t> </w:t>
      </w:r>
      <w:r w:rsidRPr="004C0E7A">
        <w:rPr>
          <w:lang w:val="fr-FR"/>
        </w:rPr>
        <w:t>21 de la Charte de la supervision interne.</w:t>
      </w:r>
    </w:p>
    <w:p w:rsidR="000055C7" w:rsidRPr="004C0E7A" w:rsidRDefault="00D502F9" w:rsidP="00794EC0">
      <w:pPr>
        <w:pStyle w:val="Heading2"/>
        <w:rPr>
          <w:lang w:val="fr-FR"/>
        </w:rPr>
      </w:pPr>
      <w:r w:rsidRPr="004C0E7A">
        <w:rPr>
          <w:lang w:val="fr-FR"/>
        </w:rPr>
        <w:lastRenderedPageBreak/>
        <w:t>Résultats des activités d</w:t>
      </w:r>
      <w:r w:rsidR="000055C7" w:rsidRPr="004C0E7A">
        <w:rPr>
          <w:lang w:val="fr-FR"/>
        </w:rPr>
        <w:t>’</w:t>
      </w:r>
      <w:r w:rsidRPr="004C0E7A">
        <w:rPr>
          <w:lang w:val="fr-FR"/>
        </w:rPr>
        <w:t>enquête</w:t>
      </w:r>
    </w:p>
    <w:p w:rsidR="007F4F40" w:rsidRPr="004C0E7A" w:rsidRDefault="00534663" w:rsidP="004C0E7A">
      <w:pPr>
        <w:pStyle w:val="ONUMFS"/>
        <w:rPr>
          <w:lang w:val="fr-FR"/>
        </w:rPr>
      </w:pPr>
      <w:r w:rsidRPr="004C0E7A">
        <w:rPr>
          <w:lang w:val="fr-FR"/>
        </w:rPr>
        <w:t xml:space="preserve">Sur les </w:t>
      </w:r>
      <w:r w:rsidR="00637FDD" w:rsidRPr="004C0E7A">
        <w:rPr>
          <w:lang w:val="fr-FR"/>
        </w:rPr>
        <w:t>20 </w:t>
      </w:r>
      <w:r w:rsidRPr="004C0E7A">
        <w:rPr>
          <w:lang w:val="fr-FR"/>
        </w:rPr>
        <w:t>affaires clôturées au cours de la période couverte par le présent rapport, huit</w:t>
      </w:r>
      <w:r w:rsidR="00312E08" w:rsidRPr="004C0E7A">
        <w:rPr>
          <w:lang w:val="fr-FR"/>
        </w:rPr>
        <w:t xml:space="preserve"> </w:t>
      </w:r>
      <w:r w:rsidRPr="004C0E7A">
        <w:rPr>
          <w:lang w:val="fr-FR"/>
        </w:rPr>
        <w:t>ont donné lieu à une enquête complète, soit à la suite d</w:t>
      </w:r>
      <w:r w:rsidR="000055C7" w:rsidRPr="004C0E7A">
        <w:rPr>
          <w:lang w:val="fr-FR"/>
        </w:rPr>
        <w:t>’</w:t>
      </w:r>
      <w:r w:rsidRPr="004C0E7A">
        <w:rPr>
          <w:lang w:val="fr-FR"/>
        </w:rPr>
        <w:t>une décision du directeur de</w:t>
      </w:r>
      <w:r w:rsidR="000055C7" w:rsidRPr="004C0E7A">
        <w:rPr>
          <w:lang w:val="fr-FR"/>
        </w:rPr>
        <w:t xml:space="preserve"> la DSI</w:t>
      </w:r>
      <w:r w:rsidRPr="004C0E7A">
        <w:rPr>
          <w:lang w:val="fr-FR"/>
        </w:rPr>
        <w:t xml:space="preserve"> sur la base des conclusions de l</w:t>
      </w:r>
      <w:r w:rsidR="000055C7" w:rsidRPr="004C0E7A">
        <w:rPr>
          <w:lang w:val="fr-FR"/>
        </w:rPr>
        <w:t>’</w:t>
      </w:r>
      <w:r w:rsidRPr="004C0E7A">
        <w:rPr>
          <w:lang w:val="fr-FR"/>
        </w:rPr>
        <w:t>évaluation préliminaire (dans sept</w:t>
      </w:r>
      <w:r w:rsidR="00045FD8" w:rsidRPr="004C0E7A">
        <w:rPr>
          <w:lang w:val="fr-FR"/>
        </w:rPr>
        <w:t> </w:t>
      </w:r>
      <w:r w:rsidRPr="004C0E7A">
        <w:rPr>
          <w:lang w:val="fr-FR"/>
        </w:rPr>
        <w:t>cas)</w:t>
      </w:r>
      <w:r w:rsidR="0045172E" w:rsidRPr="004C0E7A">
        <w:rPr>
          <w:lang w:val="fr-FR"/>
        </w:rPr>
        <w:t>,</w:t>
      </w:r>
      <w:r w:rsidRPr="004C0E7A">
        <w:rPr>
          <w:lang w:val="fr-FR"/>
        </w:rPr>
        <w:t xml:space="preserve"> soit sur renvoi du Jury mixte chargé de l</w:t>
      </w:r>
      <w:r w:rsidR="000055C7" w:rsidRPr="004C0E7A">
        <w:rPr>
          <w:lang w:val="fr-FR"/>
        </w:rPr>
        <w:t>’</w:t>
      </w:r>
      <w:r w:rsidRPr="004C0E7A">
        <w:rPr>
          <w:lang w:val="fr-FR"/>
        </w:rPr>
        <w:t>examen des plaintes (dans un cas).</w:t>
      </w:r>
      <w:r w:rsidR="00274898" w:rsidRPr="004C0E7A">
        <w:rPr>
          <w:lang w:val="fr-FR"/>
        </w:rPr>
        <w:t xml:space="preserve"> </w:t>
      </w:r>
      <w:r w:rsidR="005E6584" w:rsidRPr="004C0E7A">
        <w:rPr>
          <w:lang w:val="fr-FR"/>
        </w:rPr>
        <w:t xml:space="preserve"> </w:t>
      </w:r>
      <w:r w:rsidR="00A95F63" w:rsidRPr="004C0E7A">
        <w:rPr>
          <w:lang w:val="fr-FR"/>
        </w:rPr>
        <w:t>Selon</w:t>
      </w:r>
      <w:r w:rsidR="000055C7" w:rsidRPr="004C0E7A">
        <w:rPr>
          <w:lang w:val="fr-FR"/>
        </w:rPr>
        <w:t xml:space="preserve"> la DSI</w:t>
      </w:r>
      <w:r w:rsidR="00A95F63" w:rsidRPr="004C0E7A">
        <w:rPr>
          <w:lang w:val="fr-FR"/>
        </w:rPr>
        <w:t>, cinq</w:t>
      </w:r>
      <w:r w:rsidR="00312E08" w:rsidRPr="004C0E7A">
        <w:rPr>
          <w:lang w:val="fr-FR"/>
        </w:rPr>
        <w:t xml:space="preserve"> </w:t>
      </w:r>
      <w:r w:rsidR="00A95F63" w:rsidRPr="004C0E7A">
        <w:rPr>
          <w:lang w:val="fr-FR"/>
        </w:rPr>
        <w:t>des affaires ayant fait l</w:t>
      </w:r>
      <w:r w:rsidR="000055C7" w:rsidRPr="004C0E7A">
        <w:rPr>
          <w:lang w:val="fr-FR"/>
        </w:rPr>
        <w:t>’</w:t>
      </w:r>
      <w:r w:rsidR="00A95F63" w:rsidRPr="004C0E7A">
        <w:rPr>
          <w:lang w:val="fr-FR"/>
        </w:rPr>
        <w:t>objet d</w:t>
      </w:r>
      <w:r w:rsidR="000055C7" w:rsidRPr="004C0E7A">
        <w:rPr>
          <w:lang w:val="fr-FR"/>
        </w:rPr>
        <w:t>’</w:t>
      </w:r>
      <w:r w:rsidR="00A95F63" w:rsidRPr="004C0E7A">
        <w:rPr>
          <w:lang w:val="fr-FR"/>
        </w:rPr>
        <w:t>une enquête contenaient des allégations fondées.</w:t>
      </w:r>
      <w:r w:rsidR="004B2173" w:rsidRPr="004C0E7A">
        <w:rPr>
          <w:lang w:val="fr-FR"/>
        </w:rPr>
        <w:t xml:space="preserve"> </w:t>
      </w:r>
      <w:r w:rsidR="00274898" w:rsidRPr="004C0E7A">
        <w:rPr>
          <w:lang w:val="fr-FR"/>
        </w:rPr>
        <w:t xml:space="preserve"> </w:t>
      </w:r>
      <w:r w:rsidR="00A95F63" w:rsidRPr="004C0E7A">
        <w:rPr>
          <w:lang w:val="fr-FR"/>
        </w:rPr>
        <w:t>Plus précisément :</w:t>
      </w:r>
    </w:p>
    <w:p w:rsidR="007F4F40" w:rsidRPr="004C0E7A" w:rsidRDefault="00A95F63" w:rsidP="00794EC0">
      <w:pPr>
        <w:pStyle w:val="ONUMFS"/>
        <w:numPr>
          <w:ilvl w:val="1"/>
          <w:numId w:val="6"/>
        </w:numPr>
        <w:rPr>
          <w:lang w:val="fr-FR"/>
        </w:rPr>
      </w:pPr>
      <w:r w:rsidRPr="004C0E7A">
        <w:rPr>
          <w:lang w:val="fr-FR"/>
        </w:rPr>
        <w:t>dans trois</w:t>
      </w:r>
      <w:r w:rsidR="00045FD8" w:rsidRPr="004C0E7A">
        <w:rPr>
          <w:lang w:val="fr-FR"/>
        </w:rPr>
        <w:t> </w:t>
      </w:r>
      <w:r w:rsidRPr="004C0E7A">
        <w:rPr>
          <w:lang w:val="fr-FR"/>
        </w:rPr>
        <w:t>affaires, le Directeur général a renvoyé affaire</w:t>
      </w:r>
      <w:r w:rsidR="000055C7" w:rsidRPr="004C0E7A">
        <w:rPr>
          <w:lang w:val="fr-FR"/>
        </w:rPr>
        <w:t xml:space="preserve"> au DGR</w:t>
      </w:r>
      <w:r w:rsidRPr="004C0E7A">
        <w:rPr>
          <w:lang w:val="fr-FR"/>
        </w:rPr>
        <w:t>H aux fins de mesures disciplinaires.</w:t>
      </w:r>
      <w:r w:rsidR="004B2173" w:rsidRPr="004C0E7A">
        <w:rPr>
          <w:lang w:val="fr-FR"/>
        </w:rPr>
        <w:t xml:space="preserve"> </w:t>
      </w:r>
      <w:r w:rsidR="00274898" w:rsidRPr="004C0E7A">
        <w:rPr>
          <w:lang w:val="fr-FR"/>
        </w:rPr>
        <w:t xml:space="preserve"> </w:t>
      </w:r>
      <w:r w:rsidRPr="004C0E7A">
        <w:rPr>
          <w:lang w:val="fr-FR"/>
        </w:rPr>
        <w:t>En conséquence, deux</w:t>
      </w:r>
      <w:r w:rsidR="00045FD8" w:rsidRPr="004C0E7A">
        <w:rPr>
          <w:lang w:val="fr-FR"/>
        </w:rPr>
        <w:t> </w:t>
      </w:r>
      <w:r w:rsidRPr="004C0E7A">
        <w:rPr>
          <w:lang w:val="fr-FR"/>
        </w:rPr>
        <w:t xml:space="preserve">sanctions disciplinaires ont été imposées, </w:t>
      </w:r>
      <w:r w:rsidR="0045172E" w:rsidRPr="004C0E7A">
        <w:rPr>
          <w:lang w:val="fr-FR"/>
        </w:rPr>
        <w:t>dont</w:t>
      </w:r>
      <w:r w:rsidRPr="004C0E7A">
        <w:rPr>
          <w:lang w:val="fr-FR"/>
        </w:rPr>
        <w:t xml:space="preserve"> un licenciement;  dans le troisième cas, l</w:t>
      </w:r>
      <w:r w:rsidR="000055C7" w:rsidRPr="004C0E7A">
        <w:rPr>
          <w:lang w:val="fr-FR"/>
        </w:rPr>
        <w:t>’</w:t>
      </w:r>
      <w:r w:rsidRPr="004C0E7A">
        <w:rPr>
          <w:lang w:val="fr-FR"/>
        </w:rPr>
        <w:t xml:space="preserve">intéressé </w:t>
      </w:r>
      <w:r w:rsidR="00532CBD" w:rsidRPr="004C0E7A">
        <w:rPr>
          <w:lang w:val="fr-FR"/>
        </w:rPr>
        <w:t>a</w:t>
      </w:r>
      <w:r w:rsidRPr="004C0E7A">
        <w:rPr>
          <w:lang w:val="fr-FR"/>
        </w:rPr>
        <w:t xml:space="preserve"> quitté l</w:t>
      </w:r>
      <w:r w:rsidR="000055C7" w:rsidRPr="004C0E7A">
        <w:rPr>
          <w:lang w:val="fr-FR"/>
        </w:rPr>
        <w:t>’</w:t>
      </w:r>
      <w:r w:rsidRPr="004C0E7A">
        <w:rPr>
          <w:lang w:val="fr-FR"/>
        </w:rPr>
        <w:t>OMPI avant la fin de la procédure;</w:t>
      </w:r>
    </w:p>
    <w:p w:rsidR="007F4F40" w:rsidRPr="004C0E7A" w:rsidRDefault="00A95F63" w:rsidP="00794EC0">
      <w:pPr>
        <w:pStyle w:val="ONUMFS"/>
        <w:numPr>
          <w:ilvl w:val="1"/>
          <w:numId w:val="6"/>
        </w:numPr>
        <w:rPr>
          <w:lang w:val="fr-FR"/>
        </w:rPr>
      </w:pPr>
      <w:r w:rsidRPr="004C0E7A">
        <w:rPr>
          <w:lang w:val="fr-FR"/>
        </w:rPr>
        <w:t>une affaire a abouti à la cessation de service d</w:t>
      </w:r>
      <w:r w:rsidR="000055C7" w:rsidRPr="004C0E7A">
        <w:rPr>
          <w:lang w:val="fr-FR"/>
        </w:rPr>
        <w:t>’</w:t>
      </w:r>
      <w:r w:rsidRPr="004C0E7A">
        <w:rPr>
          <w:lang w:val="fr-FR"/>
        </w:rPr>
        <w:t>un intérimaire au service de l</w:t>
      </w:r>
      <w:r w:rsidR="000055C7" w:rsidRPr="004C0E7A">
        <w:rPr>
          <w:lang w:val="fr-FR"/>
        </w:rPr>
        <w:t>’</w:t>
      </w:r>
      <w:r w:rsidRPr="004C0E7A">
        <w:rPr>
          <w:lang w:val="fr-FR"/>
        </w:rPr>
        <w:t>OMPI, sur recommandation de</w:t>
      </w:r>
      <w:r w:rsidR="000055C7" w:rsidRPr="004C0E7A">
        <w:rPr>
          <w:lang w:val="fr-FR"/>
        </w:rPr>
        <w:t xml:space="preserve"> la DSI</w:t>
      </w:r>
      <w:r w:rsidRPr="004C0E7A">
        <w:rPr>
          <w:lang w:val="fr-FR"/>
        </w:rPr>
        <w:t>;  et</w:t>
      </w:r>
    </w:p>
    <w:p w:rsidR="007F4F40" w:rsidRPr="004C0E7A" w:rsidRDefault="00A95F63" w:rsidP="00794EC0">
      <w:pPr>
        <w:pStyle w:val="ONUMFS"/>
        <w:numPr>
          <w:ilvl w:val="1"/>
          <w:numId w:val="6"/>
        </w:numPr>
        <w:rPr>
          <w:lang w:val="fr-FR"/>
        </w:rPr>
      </w:pPr>
      <w:r w:rsidRPr="004C0E7A">
        <w:rPr>
          <w:lang w:val="fr-FR"/>
        </w:rPr>
        <w:t>la dernière affaire concernait un fonctionnaire qui, au moment du rapport d</w:t>
      </w:r>
      <w:r w:rsidR="000055C7" w:rsidRPr="004C0E7A">
        <w:rPr>
          <w:lang w:val="fr-FR"/>
        </w:rPr>
        <w:t>’</w:t>
      </w:r>
      <w:r w:rsidRPr="004C0E7A">
        <w:rPr>
          <w:lang w:val="fr-FR"/>
        </w:rPr>
        <w:t>enquête, avait déjà quitté l</w:t>
      </w:r>
      <w:r w:rsidR="000055C7" w:rsidRPr="004C0E7A">
        <w:rPr>
          <w:lang w:val="fr-FR"/>
        </w:rPr>
        <w:t>’</w:t>
      </w:r>
      <w:r w:rsidRPr="004C0E7A">
        <w:rPr>
          <w:lang w:val="fr-FR"/>
        </w:rPr>
        <w:t>Organisation.</w:t>
      </w:r>
    </w:p>
    <w:p w:rsidR="007F4F40" w:rsidRPr="004C0E7A" w:rsidRDefault="00A95F63" w:rsidP="004C0E7A">
      <w:pPr>
        <w:pStyle w:val="ONUMFS"/>
        <w:rPr>
          <w:lang w:val="fr-FR"/>
        </w:rPr>
      </w:pPr>
      <w:r w:rsidRPr="004C0E7A">
        <w:rPr>
          <w:lang w:val="fr-FR"/>
        </w:rPr>
        <w:t>Par ailleurs, les activités d</w:t>
      </w:r>
      <w:r w:rsidR="000055C7" w:rsidRPr="004C0E7A">
        <w:rPr>
          <w:lang w:val="fr-FR"/>
        </w:rPr>
        <w:t>’</w:t>
      </w:r>
      <w:r w:rsidRPr="004C0E7A">
        <w:rPr>
          <w:lang w:val="fr-FR"/>
        </w:rPr>
        <w:t>enquête menées au cours de la période considérée ont amené</w:t>
      </w:r>
      <w:r w:rsidR="000055C7" w:rsidRPr="004C0E7A">
        <w:rPr>
          <w:lang w:val="fr-FR"/>
        </w:rPr>
        <w:t xml:space="preserve"> la DSI</w:t>
      </w:r>
      <w:r w:rsidRPr="004C0E7A">
        <w:rPr>
          <w:lang w:val="fr-FR"/>
        </w:rPr>
        <w:t xml:space="preserve"> à tirer un certain nombre d</w:t>
      </w:r>
      <w:r w:rsidR="000055C7" w:rsidRPr="004C0E7A">
        <w:rPr>
          <w:lang w:val="fr-FR"/>
        </w:rPr>
        <w:t>’</w:t>
      </w:r>
      <w:r w:rsidRPr="004C0E7A">
        <w:rPr>
          <w:lang w:val="fr-FR"/>
        </w:rPr>
        <w:t>enseignements.</w:t>
      </w:r>
      <w:r w:rsidR="004A0CBF" w:rsidRPr="004C0E7A">
        <w:rPr>
          <w:lang w:val="fr-FR"/>
        </w:rPr>
        <w:t xml:space="preserve"> </w:t>
      </w:r>
      <w:r w:rsidR="004B2173" w:rsidRPr="004C0E7A">
        <w:rPr>
          <w:lang w:val="fr-FR"/>
        </w:rPr>
        <w:t xml:space="preserve"> </w:t>
      </w:r>
      <w:r w:rsidRPr="004C0E7A">
        <w:rPr>
          <w:lang w:val="fr-FR"/>
        </w:rPr>
        <w:t>En particulier, trois</w:t>
      </w:r>
      <w:r w:rsidR="00045FD8" w:rsidRPr="004C0E7A">
        <w:rPr>
          <w:lang w:val="fr-FR"/>
        </w:rPr>
        <w:t> </w:t>
      </w:r>
      <w:r w:rsidRPr="004C0E7A">
        <w:rPr>
          <w:lang w:val="fr-FR"/>
        </w:rPr>
        <w:t>rapports sur la gestion ont été</w:t>
      </w:r>
      <w:r w:rsidR="004A7F2D" w:rsidRPr="004C0E7A">
        <w:rPr>
          <w:lang w:val="fr-FR"/>
        </w:rPr>
        <w:t xml:space="preserve"> </w:t>
      </w:r>
      <w:r w:rsidRPr="004C0E7A">
        <w:rPr>
          <w:lang w:val="fr-FR"/>
        </w:rPr>
        <w:t>diffusés, contenant cinq</w:t>
      </w:r>
      <w:r w:rsidR="00045FD8" w:rsidRPr="004C0E7A">
        <w:rPr>
          <w:lang w:val="fr-FR"/>
        </w:rPr>
        <w:t> </w:t>
      </w:r>
      <w:r w:rsidRPr="004C0E7A">
        <w:rPr>
          <w:lang w:val="fr-FR"/>
        </w:rPr>
        <w:t>recommandations visant l</w:t>
      </w:r>
      <w:r w:rsidR="000055C7" w:rsidRPr="004C0E7A">
        <w:rPr>
          <w:lang w:val="fr-FR"/>
        </w:rPr>
        <w:t>’</w:t>
      </w:r>
      <w:r w:rsidRPr="004C0E7A">
        <w:rPr>
          <w:lang w:val="fr-FR"/>
        </w:rPr>
        <w:t xml:space="preserve">amélioration des contrôles internes, </w:t>
      </w:r>
      <w:r w:rsidR="0045172E" w:rsidRPr="004C0E7A">
        <w:rPr>
          <w:lang w:val="fr-FR"/>
        </w:rPr>
        <w:t xml:space="preserve">des </w:t>
      </w:r>
      <w:r w:rsidRPr="004C0E7A">
        <w:rPr>
          <w:lang w:val="fr-FR"/>
        </w:rPr>
        <w:t xml:space="preserve">systèmes informatiques, </w:t>
      </w:r>
      <w:r w:rsidR="0045172E" w:rsidRPr="004C0E7A">
        <w:rPr>
          <w:lang w:val="fr-FR"/>
        </w:rPr>
        <w:t xml:space="preserve">et des </w:t>
      </w:r>
      <w:r w:rsidRPr="004C0E7A">
        <w:rPr>
          <w:lang w:val="fr-FR"/>
        </w:rPr>
        <w:t xml:space="preserve">politiques et procédures </w:t>
      </w:r>
      <w:r w:rsidR="0045172E" w:rsidRPr="004C0E7A">
        <w:rPr>
          <w:lang w:val="fr-FR"/>
        </w:rPr>
        <w:t>en vigueur</w:t>
      </w:r>
      <w:r w:rsidRPr="004C0E7A">
        <w:rPr>
          <w:lang w:val="fr-FR"/>
        </w:rPr>
        <w:t xml:space="preserve">. </w:t>
      </w:r>
      <w:r w:rsidR="004A0CBF" w:rsidRPr="004C0E7A">
        <w:rPr>
          <w:lang w:val="fr-FR"/>
        </w:rPr>
        <w:t xml:space="preserve"> </w:t>
      </w:r>
      <w:r w:rsidR="005839D9" w:rsidRPr="004C0E7A">
        <w:rPr>
          <w:lang w:val="fr-FR"/>
        </w:rPr>
        <w:t>Parmi les questions portées à l</w:t>
      </w:r>
      <w:r w:rsidR="000055C7" w:rsidRPr="004C0E7A">
        <w:rPr>
          <w:lang w:val="fr-FR"/>
        </w:rPr>
        <w:t>’</w:t>
      </w:r>
      <w:r w:rsidR="005839D9" w:rsidRPr="004C0E7A">
        <w:rPr>
          <w:lang w:val="fr-FR"/>
        </w:rPr>
        <w:t>attention de la direction figuraient des sujets tels que l</w:t>
      </w:r>
      <w:r w:rsidR="000055C7" w:rsidRPr="004C0E7A">
        <w:rPr>
          <w:lang w:val="fr-FR"/>
        </w:rPr>
        <w:t>’</w:t>
      </w:r>
      <w:r w:rsidR="005839D9" w:rsidRPr="004C0E7A">
        <w:rPr>
          <w:lang w:val="fr-FR"/>
        </w:rPr>
        <w:t>application de</w:t>
      </w:r>
      <w:r w:rsidR="00FC0C27" w:rsidRPr="004C0E7A">
        <w:rPr>
          <w:lang w:val="fr-FR"/>
        </w:rPr>
        <w:t xml:space="preserve">s </w:t>
      </w:r>
      <w:r w:rsidR="005839D9" w:rsidRPr="004C0E7A">
        <w:rPr>
          <w:lang w:val="fr-FR"/>
        </w:rPr>
        <w:t>horaire</w:t>
      </w:r>
      <w:r w:rsidR="00FC0C27" w:rsidRPr="004C0E7A">
        <w:rPr>
          <w:lang w:val="fr-FR"/>
        </w:rPr>
        <w:t>s</w:t>
      </w:r>
      <w:r w:rsidR="005839D9" w:rsidRPr="004C0E7A">
        <w:rPr>
          <w:lang w:val="fr-FR"/>
        </w:rPr>
        <w:t xml:space="preserve"> de travail, les relations avec les </w:t>
      </w:r>
      <w:r w:rsidR="0045172E" w:rsidRPr="004C0E7A">
        <w:rPr>
          <w:lang w:val="fr-FR"/>
        </w:rPr>
        <w:t>sous</w:t>
      </w:r>
      <w:r w:rsidR="008E117E" w:rsidRPr="004C0E7A">
        <w:rPr>
          <w:lang w:val="fr-FR"/>
        </w:rPr>
        <w:noBreakHyphen/>
      </w:r>
      <w:r w:rsidR="0045172E" w:rsidRPr="004C0E7A">
        <w:rPr>
          <w:lang w:val="fr-FR"/>
        </w:rPr>
        <w:t>traitants</w:t>
      </w:r>
      <w:r w:rsidR="005839D9" w:rsidRPr="004C0E7A">
        <w:rPr>
          <w:lang w:val="fr-FR"/>
        </w:rPr>
        <w:t xml:space="preserve"> et la sécurité de l</w:t>
      </w:r>
      <w:r w:rsidR="000055C7" w:rsidRPr="004C0E7A">
        <w:rPr>
          <w:lang w:val="fr-FR"/>
        </w:rPr>
        <w:t>’</w:t>
      </w:r>
      <w:r w:rsidR="005839D9" w:rsidRPr="004C0E7A">
        <w:rPr>
          <w:lang w:val="fr-FR"/>
        </w:rPr>
        <w:t>information.</w:t>
      </w:r>
    </w:p>
    <w:p w:rsidR="007F4F40" w:rsidRPr="004C0E7A" w:rsidRDefault="005839D9" w:rsidP="004C0E7A">
      <w:pPr>
        <w:pStyle w:val="ONUMFS"/>
        <w:rPr>
          <w:lang w:val="fr-FR"/>
        </w:rPr>
      </w:pPr>
      <w:r w:rsidRPr="004C0E7A">
        <w:rPr>
          <w:lang w:val="fr-FR"/>
        </w:rPr>
        <w:t xml:space="preserve">Une analyse comparée des affaires enregistrées pendant la période </w:t>
      </w:r>
      <w:r w:rsidR="0045172E" w:rsidRPr="004C0E7A">
        <w:rPr>
          <w:lang w:val="fr-FR"/>
        </w:rPr>
        <w:t xml:space="preserve">allant </w:t>
      </w:r>
      <w:r w:rsidRPr="004C0E7A">
        <w:rPr>
          <w:lang w:val="fr-FR"/>
        </w:rPr>
        <w:t xml:space="preserve">du </w:t>
      </w:r>
      <w:r w:rsidR="000055C7" w:rsidRPr="004C0E7A">
        <w:rPr>
          <w:lang w:val="fr-FR"/>
        </w:rPr>
        <w:t>1</w:t>
      </w:r>
      <w:r w:rsidR="000055C7" w:rsidRPr="004C0E7A">
        <w:rPr>
          <w:vertAlign w:val="superscript"/>
          <w:lang w:val="fr-FR"/>
        </w:rPr>
        <w:t>er</w:t>
      </w:r>
      <w:r w:rsidR="000055C7" w:rsidRPr="004C0E7A">
        <w:rPr>
          <w:lang w:val="fr-FR"/>
        </w:rPr>
        <w:t> juillet 20</w:t>
      </w:r>
      <w:r w:rsidRPr="004C0E7A">
        <w:rPr>
          <w:lang w:val="fr-FR"/>
        </w:rPr>
        <w:t>11 au 3</w:t>
      </w:r>
      <w:r w:rsidR="000055C7" w:rsidRPr="004C0E7A">
        <w:rPr>
          <w:lang w:val="fr-FR"/>
        </w:rPr>
        <w:t>0 juin 20</w:t>
      </w:r>
      <w:r w:rsidRPr="004C0E7A">
        <w:rPr>
          <w:lang w:val="fr-FR"/>
        </w:rPr>
        <w:t>15 est présentée ci</w:t>
      </w:r>
      <w:r w:rsidR="008E117E" w:rsidRPr="004C0E7A">
        <w:rPr>
          <w:lang w:val="fr-FR"/>
        </w:rPr>
        <w:noBreakHyphen/>
      </w:r>
      <w:r w:rsidRPr="004C0E7A">
        <w:rPr>
          <w:lang w:val="fr-FR"/>
        </w:rPr>
        <w:t>dessous.</w:t>
      </w:r>
    </w:p>
    <w:p w:rsidR="007F4F40" w:rsidRPr="004C0E7A" w:rsidRDefault="005839D9" w:rsidP="004B2173">
      <w:pPr>
        <w:pStyle w:val="ONUME"/>
        <w:numPr>
          <w:ilvl w:val="0"/>
          <w:numId w:val="0"/>
        </w:numPr>
        <w:jc w:val="center"/>
        <w:rPr>
          <w:lang w:val="fr-FR"/>
        </w:rPr>
      </w:pPr>
      <w:r w:rsidRPr="004C0E7A">
        <w:rPr>
          <w:b/>
          <w:sz w:val="18"/>
          <w:szCs w:val="18"/>
          <w:lang w:val="fr-FR"/>
        </w:rPr>
        <w:t>Tableau</w:t>
      </w:r>
      <w:r w:rsidR="00045FD8" w:rsidRPr="004C0E7A">
        <w:rPr>
          <w:b/>
          <w:sz w:val="18"/>
          <w:szCs w:val="18"/>
          <w:lang w:val="fr-FR"/>
        </w:rPr>
        <w:t> </w:t>
      </w:r>
      <w:r w:rsidRPr="004C0E7A">
        <w:rPr>
          <w:b/>
          <w:sz w:val="18"/>
          <w:szCs w:val="18"/>
          <w:lang w:val="fr-FR"/>
        </w:rPr>
        <w:t>1 – Analyse des plaintes reçues entre le 3</w:t>
      </w:r>
      <w:r w:rsidR="000055C7" w:rsidRPr="004C0E7A">
        <w:rPr>
          <w:b/>
          <w:sz w:val="18"/>
          <w:szCs w:val="18"/>
          <w:lang w:val="fr-FR"/>
        </w:rPr>
        <w:t>0 juin 20</w:t>
      </w:r>
      <w:r w:rsidRPr="004C0E7A">
        <w:rPr>
          <w:b/>
          <w:sz w:val="18"/>
          <w:szCs w:val="18"/>
          <w:lang w:val="fr-FR"/>
        </w:rPr>
        <w:t xml:space="preserve">11 et </w:t>
      </w:r>
      <w:r w:rsidR="000055C7" w:rsidRPr="004C0E7A">
        <w:rPr>
          <w:b/>
          <w:sz w:val="18"/>
          <w:szCs w:val="18"/>
          <w:lang w:val="fr-FR"/>
        </w:rPr>
        <w:t>juin 20</w:t>
      </w:r>
      <w:r w:rsidRPr="004C0E7A">
        <w:rPr>
          <w:b/>
          <w:sz w:val="18"/>
          <w:szCs w:val="18"/>
          <w:lang w:val="fr-FR"/>
        </w:rPr>
        <w:t>15</w:t>
      </w:r>
      <w:r w:rsidR="00701D74" w:rsidRPr="00701D74">
        <w:rPr>
          <w:lang w:val="fr-FR" w:eastAsia="fr-FR"/>
        </w:rPr>
        <w:t xml:space="preserve"> </w:t>
      </w:r>
      <w:r w:rsidR="00701D74" w:rsidRPr="00701D74">
        <w:rPr>
          <w:noProof/>
          <w:lang w:eastAsia="en-US"/>
        </w:rPr>
        <w:drawing>
          <wp:inline distT="0" distB="0" distL="0" distR="0" wp14:anchorId="75E835A4" wp14:editId="685ED1DB">
            <wp:extent cx="5940425" cy="3722754"/>
            <wp:effectExtent l="0" t="0" r="3175"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940425" cy="3722754"/>
                    </a:xfrm>
                    <a:prstGeom prst="rect">
                      <a:avLst/>
                    </a:prstGeom>
                    <a:noFill/>
                    <a:ln>
                      <a:noFill/>
                    </a:ln>
                  </pic:spPr>
                </pic:pic>
              </a:graphicData>
            </a:graphic>
          </wp:inline>
        </w:drawing>
      </w:r>
    </w:p>
    <w:p w:rsidR="007F4F40" w:rsidRPr="004C0E7A" w:rsidRDefault="005839D9" w:rsidP="005839D9">
      <w:pPr>
        <w:pStyle w:val="ONUME"/>
        <w:keepNext/>
        <w:numPr>
          <w:ilvl w:val="0"/>
          <w:numId w:val="0"/>
        </w:numPr>
        <w:jc w:val="center"/>
        <w:rPr>
          <w:b/>
          <w:sz w:val="18"/>
          <w:szCs w:val="18"/>
          <w:lang w:val="fr-FR"/>
        </w:rPr>
      </w:pPr>
      <w:r w:rsidRPr="004C0E7A">
        <w:rPr>
          <w:b/>
          <w:sz w:val="18"/>
          <w:szCs w:val="18"/>
          <w:lang w:val="fr-FR"/>
        </w:rPr>
        <w:lastRenderedPageBreak/>
        <w:t>Diagramme 2 – Analyse des affaires clôturées entre le 3</w:t>
      </w:r>
      <w:r w:rsidR="000055C7" w:rsidRPr="004C0E7A">
        <w:rPr>
          <w:b/>
          <w:sz w:val="18"/>
          <w:szCs w:val="18"/>
          <w:lang w:val="fr-FR"/>
        </w:rPr>
        <w:t>0 juin 20</w:t>
      </w:r>
      <w:r w:rsidRPr="004C0E7A">
        <w:rPr>
          <w:b/>
          <w:sz w:val="18"/>
          <w:szCs w:val="18"/>
          <w:lang w:val="fr-FR"/>
        </w:rPr>
        <w:t>11 et le 3</w:t>
      </w:r>
      <w:r w:rsidR="000055C7" w:rsidRPr="004C0E7A">
        <w:rPr>
          <w:b/>
          <w:sz w:val="18"/>
          <w:szCs w:val="18"/>
          <w:lang w:val="fr-FR"/>
        </w:rPr>
        <w:t>0 juin 20</w:t>
      </w:r>
      <w:r w:rsidRPr="004C0E7A">
        <w:rPr>
          <w:b/>
          <w:sz w:val="18"/>
          <w:szCs w:val="18"/>
          <w:lang w:val="fr-FR"/>
        </w:rPr>
        <w:t>15</w:t>
      </w:r>
    </w:p>
    <w:p w:rsidR="00701D74" w:rsidRPr="00817611" w:rsidRDefault="00701D74" w:rsidP="00817611">
      <w:pPr>
        <w:jc w:val="center"/>
      </w:pPr>
      <w:r w:rsidRPr="00817611">
        <w:rPr>
          <w:noProof/>
          <w:lang w:eastAsia="en-US"/>
        </w:rPr>
        <w:drawing>
          <wp:inline distT="0" distB="0" distL="0" distR="0" wp14:anchorId="7AA66191" wp14:editId="5BF9EE23">
            <wp:extent cx="5010150" cy="381889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010150" cy="3818890"/>
                    </a:xfrm>
                    <a:prstGeom prst="rect">
                      <a:avLst/>
                    </a:prstGeom>
                    <a:noFill/>
                    <a:ln>
                      <a:noFill/>
                    </a:ln>
                  </pic:spPr>
                </pic:pic>
              </a:graphicData>
            </a:graphic>
          </wp:inline>
        </w:drawing>
      </w:r>
    </w:p>
    <w:p w:rsidR="007F4F40" w:rsidRPr="004C0E7A" w:rsidRDefault="005839D9" w:rsidP="00794EC0">
      <w:pPr>
        <w:pStyle w:val="Heading1"/>
        <w:rPr>
          <w:lang w:val="fr-FR"/>
        </w:rPr>
      </w:pPr>
      <w:bookmarkStart w:id="14" w:name="_Toc424911471"/>
      <w:r w:rsidRPr="004C0E7A">
        <w:rPr>
          <w:lang w:val="fr-FR"/>
        </w:rPr>
        <w:t>Cas dans lesquels des demandes d</w:t>
      </w:r>
      <w:r w:rsidR="000055C7" w:rsidRPr="004C0E7A">
        <w:rPr>
          <w:lang w:val="fr-FR"/>
        </w:rPr>
        <w:t>’</w:t>
      </w:r>
      <w:r w:rsidRPr="004C0E7A">
        <w:rPr>
          <w:lang w:val="fr-FR"/>
        </w:rPr>
        <w:t>information ou d</w:t>
      </w:r>
      <w:r w:rsidR="000055C7" w:rsidRPr="004C0E7A">
        <w:rPr>
          <w:lang w:val="fr-FR"/>
        </w:rPr>
        <w:t>’</w:t>
      </w:r>
      <w:r w:rsidRPr="004C0E7A">
        <w:rPr>
          <w:lang w:val="fr-FR"/>
        </w:rPr>
        <w:t>assistance ont été rejetées</w:t>
      </w:r>
      <w:bookmarkEnd w:id="14"/>
    </w:p>
    <w:p w:rsidR="007F4F40" w:rsidRPr="004C0E7A" w:rsidRDefault="0021382A" w:rsidP="004C0E7A">
      <w:pPr>
        <w:pStyle w:val="ONUMFS"/>
        <w:rPr>
          <w:lang w:val="fr-FR"/>
        </w:rPr>
      </w:pPr>
      <w:r w:rsidRPr="004C0E7A">
        <w:rPr>
          <w:lang w:val="fr-FR"/>
        </w:rPr>
        <w:t>Conformément au paragraphe 39.g) de la Charte de la supervision interne, le directeur de</w:t>
      </w:r>
      <w:r w:rsidR="000055C7" w:rsidRPr="004C0E7A">
        <w:rPr>
          <w:lang w:val="fr-FR"/>
        </w:rPr>
        <w:t xml:space="preserve"> la DSI</w:t>
      </w:r>
      <w:r w:rsidRPr="004C0E7A">
        <w:rPr>
          <w:lang w:val="fr-FR"/>
        </w:rPr>
        <w:t xml:space="preserve"> doit établir un rapport </w:t>
      </w:r>
      <w:r w:rsidR="0045172E" w:rsidRPr="004C0E7A">
        <w:rPr>
          <w:lang w:val="fr-FR"/>
        </w:rPr>
        <w:t>dans</w:t>
      </w:r>
      <w:r w:rsidRPr="004C0E7A">
        <w:rPr>
          <w:lang w:val="fr-FR"/>
        </w:rPr>
        <w:t xml:space="preserve"> tous les cas </w:t>
      </w:r>
      <w:r w:rsidR="0045172E" w:rsidRPr="004C0E7A">
        <w:rPr>
          <w:lang w:val="fr-FR"/>
        </w:rPr>
        <w:t>où</w:t>
      </w:r>
      <w:r w:rsidRPr="004C0E7A">
        <w:rPr>
          <w:lang w:val="fr-FR"/>
        </w:rPr>
        <w:t xml:space="preserve"> l</w:t>
      </w:r>
      <w:r w:rsidR="000055C7" w:rsidRPr="004C0E7A">
        <w:rPr>
          <w:lang w:val="fr-FR"/>
        </w:rPr>
        <w:t>’</w:t>
      </w:r>
      <w:r w:rsidRPr="004C0E7A">
        <w:rPr>
          <w:lang w:val="fr-FR"/>
        </w:rPr>
        <w:t>accès de</w:t>
      </w:r>
      <w:r w:rsidR="000055C7" w:rsidRPr="004C0E7A">
        <w:rPr>
          <w:lang w:val="fr-FR"/>
        </w:rPr>
        <w:t xml:space="preserve"> la DSI</w:t>
      </w:r>
      <w:r w:rsidRPr="004C0E7A">
        <w:rPr>
          <w:lang w:val="fr-FR"/>
        </w:rPr>
        <w:t xml:space="preserve"> aux dossiers, fonctionnaires ou agents contractuels et locaux de l</w:t>
      </w:r>
      <w:r w:rsidR="000055C7" w:rsidRPr="004C0E7A">
        <w:rPr>
          <w:lang w:val="fr-FR"/>
        </w:rPr>
        <w:t>’</w:t>
      </w:r>
      <w:r w:rsidRPr="004C0E7A">
        <w:rPr>
          <w:lang w:val="fr-FR"/>
        </w:rPr>
        <w:t>OMPI a été limité au cours de la période considérée.</w:t>
      </w:r>
    </w:p>
    <w:p w:rsidR="007F4F40" w:rsidRPr="004C0E7A" w:rsidRDefault="0021382A" w:rsidP="004C0E7A">
      <w:pPr>
        <w:pStyle w:val="ONUMFS"/>
        <w:rPr>
          <w:lang w:val="fr-FR"/>
        </w:rPr>
      </w:pPr>
      <w:r w:rsidRPr="004C0E7A">
        <w:rPr>
          <w:lang w:val="fr-FR"/>
        </w:rPr>
        <w:t>Six fonctionnaires</w:t>
      </w:r>
      <w:r w:rsidRPr="004C0E7A">
        <w:rPr>
          <w:rStyle w:val="FootnoteReference"/>
          <w:lang w:val="fr-FR"/>
        </w:rPr>
        <w:footnoteReference w:id="6"/>
      </w:r>
      <w:r w:rsidRPr="004C0E7A">
        <w:rPr>
          <w:lang w:val="fr-FR"/>
        </w:rPr>
        <w:t xml:space="preserve"> ont refusé d</w:t>
      </w:r>
      <w:r w:rsidR="000055C7" w:rsidRPr="004C0E7A">
        <w:rPr>
          <w:lang w:val="fr-FR"/>
        </w:rPr>
        <w:t>’</w:t>
      </w:r>
      <w:r w:rsidRPr="004C0E7A">
        <w:rPr>
          <w:lang w:val="fr-FR"/>
        </w:rPr>
        <w:t>être interrogés par</w:t>
      </w:r>
      <w:r w:rsidR="000055C7" w:rsidRPr="004C0E7A">
        <w:rPr>
          <w:lang w:val="fr-FR"/>
        </w:rPr>
        <w:t xml:space="preserve"> la DSI</w:t>
      </w:r>
      <w:r w:rsidRPr="004C0E7A">
        <w:rPr>
          <w:lang w:val="fr-FR"/>
        </w:rPr>
        <w:t xml:space="preserve"> pour des raisons médicales, soit dans le cadre d</w:t>
      </w:r>
      <w:r w:rsidR="000055C7" w:rsidRPr="004C0E7A">
        <w:rPr>
          <w:lang w:val="fr-FR"/>
        </w:rPr>
        <w:t>’</w:t>
      </w:r>
      <w:r w:rsidRPr="004C0E7A">
        <w:rPr>
          <w:lang w:val="fr-FR"/>
        </w:rPr>
        <w:t>un congé de maladie</w:t>
      </w:r>
      <w:r w:rsidR="00400D13" w:rsidRPr="004C0E7A">
        <w:rPr>
          <w:lang w:val="fr-FR"/>
        </w:rPr>
        <w:t xml:space="preserve"> avec</w:t>
      </w:r>
      <w:r w:rsidRPr="004C0E7A">
        <w:rPr>
          <w:lang w:val="fr-FR"/>
        </w:rPr>
        <w:t xml:space="preserve"> certifi</w:t>
      </w:r>
      <w:r w:rsidR="00400D13" w:rsidRPr="004C0E7A">
        <w:rPr>
          <w:lang w:val="fr-FR"/>
        </w:rPr>
        <w:t xml:space="preserve">cat </w:t>
      </w:r>
      <w:r w:rsidRPr="004C0E7A">
        <w:rPr>
          <w:lang w:val="fr-FR"/>
        </w:rPr>
        <w:t>soit en ayant recours à des certificats médicaux ad</w:t>
      </w:r>
      <w:r w:rsidR="00045FD8" w:rsidRPr="004C0E7A">
        <w:rPr>
          <w:lang w:val="fr-FR"/>
        </w:rPr>
        <w:t> </w:t>
      </w:r>
      <w:r w:rsidRPr="004C0E7A">
        <w:rPr>
          <w:lang w:val="fr-FR"/>
        </w:rPr>
        <w:t>hoc.</w:t>
      </w:r>
      <w:r w:rsidR="008954E3" w:rsidRPr="004C0E7A">
        <w:rPr>
          <w:lang w:val="fr-FR"/>
        </w:rPr>
        <w:t xml:space="preserve"> </w:t>
      </w:r>
      <w:r w:rsidR="00E04B15" w:rsidRPr="004C0E7A">
        <w:rPr>
          <w:lang w:val="fr-FR"/>
        </w:rPr>
        <w:t xml:space="preserve"> </w:t>
      </w:r>
      <w:r w:rsidRPr="004C0E7A">
        <w:rPr>
          <w:lang w:val="fr-FR"/>
        </w:rPr>
        <w:t>En conséqu</w:t>
      </w:r>
      <w:r w:rsidR="009A2066" w:rsidRPr="004C0E7A">
        <w:rPr>
          <w:lang w:val="fr-FR"/>
        </w:rPr>
        <w:t>e</w:t>
      </w:r>
      <w:r w:rsidRPr="004C0E7A">
        <w:rPr>
          <w:lang w:val="fr-FR"/>
        </w:rPr>
        <w:t>nce, huit</w:t>
      </w:r>
      <w:r w:rsidR="00045FD8" w:rsidRPr="004C0E7A">
        <w:rPr>
          <w:lang w:val="fr-FR"/>
        </w:rPr>
        <w:t> </w:t>
      </w:r>
      <w:r w:rsidRPr="004C0E7A">
        <w:rPr>
          <w:lang w:val="fr-FR"/>
        </w:rPr>
        <w:t>enquêtes (quatre au stade de l</w:t>
      </w:r>
      <w:r w:rsidR="000055C7" w:rsidRPr="004C0E7A">
        <w:rPr>
          <w:lang w:val="fr-FR"/>
        </w:rPr>
        <w:t>’</w:t>
      </w:r>
      <w:r w:rsidRPr="004C0E7A">
        <w:rPr>
          <w:lang w:val="fr-FR"/>
        </w:rPr>
        <w:t>évaluation préliminaire et quatre</w:t>
      </w:r>
      <w:r w:rsidR="00312E08" w:rsidRPr="004C0E7A">
        <w:rPr>
          <w:lang w:val="fr-FR"/>
        </w:rPr>
        <w:t xml:space="preserve"> </w:t>
      </w:r>
      <w:r w:rsidRPr="004C0E7A">
        <w:rPr>
          <w:lang w:val="fr-FR"/>
        </w:rPr>
        <w:t>au stade de l</w:t>
      </w:r>
      <w:r w:rsidR="000055C7" w:rsidRPr="004C0E7A">
        <w:rPr>
          <w:lang w:val="fr-FR"/>
        </w:rPr>
        <w:t>’</w:t>
      </w:r>
      <w:r w:rsidRPr="004C0E7A">
        <w:rPr>
          <w:lang w:val="fr-FR"/>
        </w:rPr>
        <w:t xml:space="preserve">enquête </w:t>
      </w:r>
      <w:r w:rsidR="00400D13" w:rsidRPr="004C0E7A">
        <w:rPr>
          <w:lang w:val="fr-FR"/>
        </w:rPr>
        <w:t>complète</w:t>
      </w:r>
      <w:r w:rsidRPr="004C0E7A">
        <w:rPr>
          <w:lang w:val="fr-FR"/>
        </w:rPr>
        <w:t>) ont été retardée</w:t>
      </w:r>
      <w:r w:rsidR="00400D13" w:rsidRPr="004C0E7A">
        <w:rPr>
          <w:lang w:val="fr-FR"/>
        </w:rPr>
        <w:t>s</w:t>
      </w:r>
      <w:r w:rsidRPr="004C0E7A">
        <w:rPr>
          <w:lang w:val="fr-FR"/>
        </w:rPr>
        <w:t xml:space="preserve"> au cours de la période considérée.</w:t>
      </w:r>
    </w:p>
    <w:p w:rsidR="000055C7" w:rsidRPr="004C0E7A" w:rsidRDefault="00507A71" w:rsidP="00794EC0">
      <w:pPr>
        <w:pStyle w:val="Heading1"/>
        <w:rPr>
          <w:lang w:val="fr-FR"/>
        </w:rPr>
      </w:pPr>
      <w:bookmarkStart w:id="15" w:name="_Toc424911472"/>
      <w:r w:rsidRPr="004C0E7A">
        <w:rPr>
          <w:lang w:val="fr-FR"/>
        </w:rPr>
        <w:t>État d</w:t>
      </w:r>
      <w:r w:rsidR="000055C7" w:rsidRPr="004C0E7A">
        <w:rPr>
          <w:lang w:val="fr-FR"/>
        </w:rPr>
        <w:t>’</w:t>
      </w:r>
      <w:r w:rsidRPr="004C0E7A">
        <w:rPr>
          <w:lang w:val="fr-FR"/>
        </w:rPr>
        <w:t>avancement de la mise en œuvre des recommandations en matière de supervision</w:t>
      </w:r>
      <w:bookmarkEnd w:id="15"/>
    </w:p>
    <w:p w:rsidR="007F4F40" w:rsidRPr="004C0E7A" w:rsidRDefault="00507A71" w:rsidP="004C0E7A">
      <w:pPr>
        <w:pStyle w:val="ONUMFS"/>
        <w:rPr>
          <w:lang w:val="fr-FR"/>
        </w:rPr>
      </w:pPr>
      <w:r w:rsidRPr="004C0E7A">
        <w:rPr>
          <w:lang w:val="fr-FR"/>
        </w:rPr>
        <w:t>Le Directeur général a la responsabilité de veiller à ce qu</w:t>
      </w:r>
      <w:r w:rsidR="000055C7" w:rsidRPr="004C0E7A">
        <w:rPr>
          <w:lang w:val="fr-FR"/>
        </w:rPr>
        <w:t>’</w:t>
      </w:r>
      <w:r w:rsidRPr="004C0E7A">
        <w:rPr>
          <w:lang w:val="fr-FR"/>
        </w:rPr>
        <w:t>il soit donné effet sans tarder à toutes les recommandations du directeur de</w:t>
      </w:r>
      <w:r w:rsidR="000055C7" w:rsidRPr="004C0E7A">
        <w:rPr>
          <w:lang w:val="fr-FR"/>
        </w:rPr>
        <w:t xml:space="preserve"> la DSI</w:t>
      </w:r>
      <w:r w:rsidRPr="004C0E7A">
        <w:rPr>
          <w:lang w:val="fr-FR"/>
        </w:rPr>
        <w:t xml:space="preserve"> et des autres organes de surveillance et d</w:t>
      </w:r>
      <w:r w:rsidR="000055C7" w:rsidRPr="004C0E7A">
        <w:rPr>
          <w:lang w:val="fr-FR"/>
        </w:rPr>
        <w:t>’</w:t>
      </w:r>
      <w:r w:rsidRPr="004C0E7A">
        <w:rPr>
          <w:lang w:val="fr-FR"/>
        </w:rPr>
        <w:t xml:space="preserve">indiquer les mesures prises </w:t>
      </w:r>
      <w:r w:rsidR="000055C7" w:rsidRPr="004C0E7A">
        <w:rPr>
          <w:lang w:val="fr-FR"/>
        </w:rPr>
        <w:t>à l’égard</w:t>
      </w:r>
      <w:r w:rsidRPr="004C0E7A">
        <w:rPr>
          <w:lang w:val="fr-FR"/>
        </w:rPr>
        <w:t xml:space="preserve"> des différentes conclusions et recommandations figurant dans les rapports</w:t>
      </w:r>
      <w:r w:rsidRPr="004C0E7A">
        <w:rPr>
          <w:rStyle w:val="FootnoteReference"/>
          <w:lang w:val="fr-FR"/>
        </w:rPr>
        <w:footnoteReference w:id="7"/>
      </w:r>
      <w:r w:rsidRPr="004C0E7A">
        <w:rPr>
          <w:lang w:val="fr-FR"/>
        </w:rPr>
        <w:t>.</w:t>
      </w:r>
      <w:r w:rsidR="008414E9" w:rsidRPr="004C0E7A">
        <w:rPr>
          <w:lang w:val="fr-FR"/>
        </w:rPr>
        <w:t xml:space="preserve">  </w:t>
      </w:r>
      <w:r w:rsidRPr="004C0E7A">
        <w:rPr>
          <w:lang w:val="fr-FR"/>
        </w:rPr>
        <w:t>Le Directeur général s</w:t>
      </w:r>
      <w:r w:rsidR="000055C7" w:rsidRPr="004C0E7A">
        <w:rPr>
          <w:lang w:val="fr-FR"/>
        </w:rPr>
        <w:t>’</w:t>
      </w:r>
      <w:r w:rsidRPr="004C0E7A">
        <w:rPr>
          <w:lang w:val="fr-FR"/>
        </w:rPr>
        <w:t>acquitte de cette responsabilité par l</w:t>
      </w:r>
      <w:r w:rsidR="000055C7" w:rsidRPr="004C0E7A">
        <w:rPr>
          <w:lang w:val="fr-FR"/>
        </w:rPr>
        <w:t>’</w:t>
      </w:r>
      <w:r w:rsidRPr="004C0E7A">
        <w:rPr>
          <w:lang w:val="fr-FR"/>
        </w:rPr>
        <w:t>intermédiaire des chefs de programme chargés des différents secteurs opérationnels de l</w:t>
      </w:r>
      <w:r w:rsidR="000055C7" w:rsidRPr="004C0E7A">
        <w:rPr>
          <w:lang w:val="fr-FR"/>
        </w:rPr>
        <w:t>’</w:t>
      </w:r>
      <w:r w:rsidRPr="004C0E7A">
        <w:rPr>
          <w:lang w:val="fr-FR"/>
        </w:rPr>
        <w:t>Organisation</w:t>
      </w:r>
      <w:r w:rsidRPr="004C0E7A">
        <w:rPr>
          <w:rStyle w:val="FootnoteReference"/>
          <w:lang w:val="fr-FR"/>
        </w:rPr>
        <w:footnoteReference w:id="8"/>
      </w:r>
      <w:r w:rsidRPr="004C0E7A">
        <w:rPr>
          <w:lang w:val="fr-FR"/>
        </w:rPr>
        <w:t>.</w:t>
      </w:r>
      <w:r w:rsidR="008414E9" w:rsidRPr="004C0E7A">
        <w:rPr>
          <w:lang w:val="fr-FR"/>
        </w:rPr>
        <w:t xml:space="preserve">  </w:t>
      </w:r>
      <w:r w:rsidRPr="004C0E7A">
        <w:rPr>
          <w:lang w:val="fr-FR"/>
        </w:rPr>
        <w:t xml:space="preserve">La </w:t>
      </w:r>
      <w:r w:rsidRPr="004C0E7A">
        <w:rPr>
          <w:lang w:val="fr-FR"/>
        </w:rPr>
        <w:lastRenderedPageBreak/>
        <w:t>mise en œuvre de toutes les recommandations relatives à la supervision par les chefs de programme de l</w:t>
      </w:r>
      <w:r w:rsidR="000055C7" w:rsidRPr="004C0E7A">
        <w:rPr>
          <w:lang w:val="fr-FR"/>
        </w:rPr>
        <w:t>’</w:t>
      </w:r>
      <w:r w:rsidRPr="004C0E7A">
        <w:rPr>
          <w:lang w:val="fr-FR"/>
        </w:rPr>
        <w:t>OMPI fait l</w:t>
      </w:r>
      <w:r w:rsidR="000055C7" w:rsidRPr="004C0E7A">
        <w:rPr>
          <w:lang w:val="fr-FR"/>
        </w:rPr>
        <w:t>’</w:t>
      </w:r>
      <w:r w:rsidRPr="004C0E7A">
        <w:rPr>
          <w:lang w:val="fr-FR"/>
        </w:rPr>
        <w:t>objet d</w:t>
      </w:r>
      <w:r w:rsidR="000055C7" w:rsidRPr="004C0E7A">
        <w:rPr>
          <w:lang w:val="fr-FR"/>
        </w:rPr>
        <w:t>’</w:t>
      </w:r>
      <w:r w:rsidRPr="004C0E7A">
        <w:rPr>
          <w:lang w:val="fr-FR"/>
        </w:rPr>
        <w:t>un suivi régulier de la part de</w:t>
      </w:r>
      <w:r w:rsidR="000055C7" w:rsidRPr="004C0E7A">
        <w:rPr>
          <w:lang w:val="fr-FR"/>
        </w:rPr>
        <w:t xml:space="preserve"> la DSI</w:t>
      </w:r>
      <w:r w:rsidR="00400D13" w:rsidRPr="004C0E7A">
        <w:rPr>
          <w:rStyle w:val="FootnoteReference"/>
          <w:lang w:val="fr-FR"/>
        </w:rPr>
        <w:footnoteReference w:id="9"/>
      </w:r>
      <w:r w:rsidRPr="004C0E7A">
        <w:rPr>
          <w:lang w:val="fr-FR"/>
        </w:rPr>
        <w:t>.</w:t>
      </w:r>
    </w:p>
    <w:p w:rsidR="007F4F40" w:rsidRPr="004C0E7A" w:rsidRDefault="005F1936" w:rsidP="004C0E7A">
      <w:pPr>
        <w:pStyle w:val="ONUMFS"/>
        <w:rPr>
          <w:lang w:val="fr-FR"/>
        </w:rPr>
      </w:pPr>
      <w:r w:rsidRPr="004C0E7A">
        <w:rPr>
          <w:lang w:val="fr-FR"/>
        </w:rPr>
        <w:t>La DSI continue de gérer les recommandations et d</w:t>
      </w:r>
      <w:r w:rsidR="000055C7" w:rsidRPr="004C0E7A">
        <w:rPr>
          <w:lang w:val="fr-FR"/>
        </w:rPr>
        <w:t>’</w:t>
      </w:r>
      <w:r w:rsidRPr="004C0E7A">
        <w:rPr>
          <w:lang w:val="fr-FR"/>
        </w:rPr>
        <w:t xml:space="preserve">en rendre compte au moyen du système </w:t>
      </w:r>
      <w:proofErr w:type="spellStart"/>
      <w:r w:rsidRPr="004C0E7A">
        <w:rPr>
          <w:lang w:val="fr-FR"/>
        </w:rPr>
        <w:t>TeamCentral</w:t>
      </w:r>
      <w:proofErr w:type="spellEnd"/>
      <w:r w:rsidRPr="004C0E7A">
        <w:rPr>
          <w:lang w:val="fr-FR"/>
        </w:rPr>
        <w:t xml:space="preserve">©, qui </w:t>
      </w:r>
      <w:r w:rsidR="000A647F" w:rsidRPr="004C0E7A">
        <w:rPr>
          <w:lang w:val="fr-FR"/>
        </w:rPr>
        <w:t xml:space="preserve">facilite </w:t>
      </w:r>
      <w:r w:rsidRPr="004C0E7A">
        <w:rPr>
          <w:lang w:val="fr-FR"/>
        </w:rPr>
        <w:t xml:space="preserve">le dialogue avec les chefs de programme et leurs délégués </w:t>
      </w:r>
      <w:r w:rsidR="000A647F" w:rsidRPr="004C0E7A">
        <w:rPr>
          <w:lang w:val="fr-FR"/>
        </w:rPr>
        <w:t>en vue d</w:t>
      </w:r>
      <w:r w:rsidR="000055C7" w:rsidRPr="004C0E7A">
        <w:rPr>
          <w:lang w:val="fr-FR"/>
        </w:rPr>
        <w:t>’</w:t>
      </w:r>
      <w:r w:rsidR="000A647F" w:rsidRPr="004C0E7A">
        <w:rPr>
          <w:lang w:val="fr-FR"/>
        </w:rPr>
        <w:t>un</w:t>
      </w:r>
      <w:r w:rsidRPr="004C0E7A">
        <w:rPr>
          <w:lang w:val="fr-FR"/>
        </w:rPr>
        <w:t xml:space="preserve"> suivi efficace </w:t>
      </w:r>
      <w:r w:rsidR="000A647F" w:rsidRPr="004C0E7A">
        <w:rPr>
          <w:lang w:val="fr-FR"/>
        </w:rPr>
        <w:t xml:space="preserve">de </w:t>
      </w:r>
      <w:r w:rsidRPr="004C0E7A">
        <w:rPr>
          <w:lang w:val="fr-FR"/>
        </w:rPr>
        <w:t>la mise en œuvre des recommandations en suspens.</w:t>
      </w:r>
    </w:p>
    <w:p w:rsidR="007F4F40" w:rsidRPr="004C0E7A" w:rsidRDefault="005F1936" w:rsidP="004C0E7A">
      <w:pPr>
        <w:pStyle w:val="ONUMFS"/>
        <w:rPr>
          <w:lang w:val="fr-FR"/>
        </w:rPr>
      </w:pPr>
      <w:r w:rsidRPr="004C0E7A">
        <w:rPr>
          <w:lang w:val="fr-FR"/>
        </w:rPr>
        <w:t>À la date d</w:t>
      </w:r>
      <w:r w:rsidR="000055C7" w:rsidRPr="004C0E7A">
        <w:rPr>
          <w:lang w:val="fr-FR"/>
        </w:rPr>
        <w:t>’</w:t>
      </w:r>
      <w:r w:rsidRPr="004C0E7A">
        <w:rPr>
          <w:lang w:val="fr-FR"/>
        </w:rPr>
        <w:t>établissement du présent rapport, on comptait 184 recommandations en suspens</w:t>
      </w:r>
      <w:r w:rsidR="000A647F" w:rsidRPr="004C0E7A">
        <w:rPr>
          <w:lang w:val="fr-FR"/>
        </w:rPr>
        <w:t>,</w:t>
      </w:r>
      <w:r w:rsidRPr="004C0E7A">
        <w:rPr>
          <w:lang w:val="fr-FR"/>
        </w:rPr>
        <w:t xml:space="preserve"> dont 119 qui trait</w:t>
      </w:r>
      <w:r w:rsidR="000A647F" w:rsidRPr="004C0E7A">
        <w:rPr>
          <w:lang w:val="fr-FR"/>
        </w:rPr>
        <w:t>ai</w:t>
      </w:r>
      <w:r w:rsidRPr="004C0E7A">
        <w:rPr>
          <w:lang w:val="fr-FR"/>
        </w:rPr>
        <w:t>ent de questions présentant un risque élevé.</w:t>
      </w:r>
    </w:p>
    <w:p w:rsidR="007F4F40" w:rsidRPr="004C0E7A" w:rsidRDefault="00637FDD" w:rsidP="005F1936">
      <w:pPr>
        <w:pStyle w:val="ONUME"/>
        <w:keepNext/>
        <w:numPr>
          <w:ilvl w:val="0"/>
          <w:numId w:val="0"/>
        </w:numPr>
        <w:jc w:val="center"/>
        <w:rPr>
          <w:b/>
          <w:sz w:val="18"/>
          <w:szCs w:val="18"/>
          <w:lang w:val="fr-FR"/>
        </w:rPr>
      </w:pPr>
      <w:r w:rsidRPr="004C0E7A">
        <w:rPr>
          <w:b/>
          <w:sz w:val="18"/>
          <w:szCs w:val="18"/>
          <w:lang w:val="fr-FR"/>
        </w:rPr>
        <w:t>Diagramme</w:t>
      </w:r>
      <w:r w:rsidRPr="009B38A5">
        <w:rPr>
          <w:b/>
          <w:sz w:val="18"/>
          <w:szCs w:val="18"/>
          <w:lang w:val="fr-FR"/>
        </w:rPr>
        <w:t> </w:t>
      </w:r>
      <w:r w:rsidR="005F1936" w:rsidRPr="009B38A5">
        <w:rPr>
          <w:b/>
          <w:sz w:val="18"/>
          <w:szCs w:val="18"/>
          <w:lang w:val="fr-FR"/>
        </w:rPr>
        <w:t xml:space="preserve">3 </w:t>
      </w:r>
      <w:r w:rsidR="005F1936" w:rsidRPr="004C0E7A">
        <w:rPr>
          <w:b/>
          <w:sz w:val="18"/>
          <w:szCs w:val="18"/>
          <w:lang w:val="fr-FR"/>
        </w:rPr>
        <w:t>– Recommandations par priorité</w:t>
      </w:r>
    </w:p>
    <w:p w:rsidR="009B38A5" w:rsidRDefault="009B38A5" w:rsidP="006D02A3">
      <w:pPr>
        <w:pStyle w:val="ONUME"/>
        <w:keepNext/>
        <w:numPr>
          <w:ilvl w:val="0"/>
          <w:numId w:val="0"/>
        </w:numPr>
        <w:jc w:val="center"/>
      </w:pPr>
      <w:r w:rsidRPr="009B38A5">
        <w:rPr>
          <w:noProof/>
          <w:lang w:eastAsia="en-US"/>
        </w:rPr>
        <w:drawing>
          <wp:inline distT="0" distB="0" distL="0" distR="0">
            <wp:extent cx="5512435" cy="274955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512435" cy="2749550"/>
                    </a:xfrm>
                    <a:prstGeom prst="rect">
                      <a:avLst/>
                    </a:prstGeom>
                    <a:noFill/>
                    <a:ln>
                      <a:noFill/>
                    </a:ln>
                  </pic:spPr>
                </pic:pic>
              </a:graphicData>
            </a:graphic>
          </wp:inline>
        </w:drawing>
      </w:r>
    </w:p>
    <w:p w:rsidR="009B38A5" w:rsidRDefault="009B38A5" w:rsidP="006D02A3">
      <w:pPr>
        <w:pStyle w:val="ONUME"/>
        <w:keepNext/>
        <w:numPr>
          <w:ilvl w:val="0"/>
          <w:numId w:val="0"/>
        </w:numPr>
        <w:jc w:val="center"/>
        <w:rPr>
          <w:b/>
          <w:sz w:val="18"/>
          <w:szCs w:val="18"/>
          <w:lang w:val="fr-FR"/>
        </w:rPr>
      </w:pPr>
    </w:p>
    <w:p w:rsidR="007F4F40" w:rsidRPr="004C0E7A" w:rsidRDefault="006D02A3" w:rsidP="006D02A3">
      <w:pPr>
        <w:pStyle w:val="ONUME"/>
        <w:keepNext/>
        <w:numPr>
          <w:ilvl w:val="0"/>
          <w:numId w:val="0"/>
        </w:numPr>
        <w:jc w:val="center"/>
        <w:rPr>
          <w:b/>
          <w:sz w:val="18"/>
          <w:szCs w:val="18"/>
          <w:lang w:val="fr-FR"/>
        </w:rPr>
      </w:pPr>
      <w:r w:rsidRPr="004C0E7A">
        <w:rPr>
          <w:b/>
          <w:sz w:val="18"/>
          <w:szCs w:val="18"/>
          <w:lang w:val="fr-FR"/>
        </w:rPr>
        <w:t>Diagramme 4 – Suivi des recommandations relatives à la supervision par priorité</w:t>
      </w:r>
    </w:p>
    <w:p w:rsidR="009B38A5" w:rsidRDefault="009B38A5" w:rsidP="009B38A5">
      <w:pPr>
        <w:pStyle w:val="ONUMFS"/>
        <w:numPr>
          <w:ilvl w:val="0"/>
          <w:numId w:val="0"/>
        </w:numPr>
        <w:jc w:val="center"/>
        <w:rPr>
          <w:lang w:val="fr-FR"/>
        </w:rPr>
      </w:pPr>
      <w:r w:rsidRPr="009B38A5">
        <w:rPr>
          <w:noProof/>
          <w:lang w:eastAsia="en-US"/>
        </w:rPr>
        <w:drawing>
          <wp:inline distT="0" distB="0" distL="0" distR="0" wp14:anchorId="7651C7A1" wp14:editId="3A645B5B">
            <wp:extent cx="5325110" cy="2878455"/>
            <wp:effectExtent l="0" t="0" r="889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325110" cy="2878455"/>
                    </a:xfrm>
                    <a:prstGeom prst="rect">
                      <a:avLst/>
                    </a:prstGeom>
                    <a:noFill/>
                    <a:ln>
                      <a:noFill/>
                    </a:ln>
                  </pic:spPr>
                </pic:pic>
              </a:graphicData>
            </a:graphic>
          </wp:inline>
        </w:drawing>
      </w:r>
    </w:p>
    <w:p w:rsidR="007F4F40" w:rsidRPr="004C0E7A" w:rsidRDefault="006D02A3" w:rsidP="009B38A5">
      <w:pPr>
        <w:pStyle w:val="ONUMFS"/>
        <w:rPr>
          <w:lang w:val="fr-FR"/>
        </w:rPr>
      </w:pPr>
      <w:r w:rsidRPr="004C0E7A">
        <w:rPr>
          <w:lang w:val="fr-FR"/>
        </w:rPr>
        <w:lastRenderedPageBreak/>
        <w:t>Deux recommandations jugées prioritaires sont en suspens depuis</w:t>
      </w:r>
      <w:r w:rsidR="00045FD8" w:rsidRPr="004C0E7A">
        <w:rPr>
          <w:lang w:val="fr-FR"/>
        </w:rPr>
        <w:t> </w:t>
      </w:r>
      <w:r w:rsidRPr="004C0E7A">
        <w:rPr>
          <w:lang w:val="fr-FR"/>
        </w:rPr>
        <w:t>2011 et 201</w:t>
      </w:r>
      <w:r w:rsidR="000A647F" w:rsidRPr="004C0E7A">
        <w:rPr>
          <w:lang w:val="fr-FR"/>
        </w:rPr>
        <w:t>3</w:t>
      </w:r>
      <w:r w:rsidRPr="004C0E7A">
        <w:rPr>
          <w:lang w:val="fr-FR"/>
        </w:rPr>
        <w:t xml:space="preserve"> respectivement</w:t>
      </w:r>
      <w:r w:rsidR="000A647F" w:rsidRPr="004C0E7A">
        <w:rPr>
          <w:lang w:val="fr-FR"/>
        </w:rPr>
        <w:t>,</w:t>
      </w:r>
      <w:r w:rsidRPr="004C0E7A">
        <w:rPr>
          <w:lang w:val="fr-FR"/>
        </w:rPr>
        <w:t xml:space="preserve"> et 15 sont en suspens depuis</w:t>
      </w:r>
      <w:r w:rsidR="00045FD8" w:rsidRPr="004C0E7A">
        <w:rPr>
          <w:lang w:val="fr-FR"/>
        </w:rPr>
        <w:t> </w:t>
      </w:r>
      <w:r w:rsidRPr="004C0E7A">
        <w:rPr>
          <w:lang w:val="fr-FR"/>
        </w:rPr>
        <w:t>2014.</w:t>
      </w:r>
    </w:p>
    <w:p w:rsidR="007F4F40" w:rsidRPr="004C0E7A" w:rsidRDefault="000A647F" w:rsidP="004C0E7A">
      <w:pPr>
        <w:pStyle w:val="ONUMFS"/>
        <w:rPr>
          <w:szCs w:val="22"/>
          <w:lang w:val="fr-FR"/>
        </w:rPr>
      </w:pPr>
      <w:r w:rsidRPr="004C0E7A">
        <w:rPr>
          <w:lang w:val="fr-FR" w:eastAsia="en-US"/>
        </w:rPr>
        <w:t>L</w:t>
      </w:r>
      <w:r w:rsidR="006D02A3" w:rsidRPr="004C0E7A">
        <w:rPr>
          <w:lang w:val="fr-FR" w:eastAsia="en-US"/>
        </w:rPr>
        <w:t>e nombre de recommandations par programme de l</w:t>
      </w:r>
      <w:r w:rsidR="000055C7" w:rsidRPr="004C0E7A">
        <w:rPr>
          <w:lang w:val="fr-FR" w:eastAsia="en-US"/>
        </w:rPr>
        <w:t>’</w:t>
      </w:r>
      <w:r w:rsidR="006D02A3" w:rsidRPr="004C0E7A">
        <w:rPr>
          <w:lang w:val="fr-FR" w:eastAsia="en-US"/>
        </w:rPr>
        <w:t>OMPI</w:t>
      </w:r>
      <w:r w:rsidR="006D02A3" w:rsidRPr="004C0E7A">
        <w:rPr>
          <w:rStyle w:val="FootnoteReference"/>
          <w:lang w:val="fr-FR" w:eastAsia="en-US"/>
        </w:rPr>
        <w:footnoteReference w:id="10"/>
      </w:r>
      <w:r w:rsidR="006D02A3" w:rsidRPr="004C0E7A">
        <w:rPr>
          <w:lang w:val="fr-FR" w:eastAsia="en-US"/>
        </w:rPr>
        <w:t xml:space="preserve"> et par priorité </w:t>
      </w:r>
      <w:r w:rsidRPr="004C0E7A">
        <w:rPr>
          <w:lang w:val="fr-FR" w:eastAsia="en-US"/>
        </w:rPr>
        <w:t>au 3</w:t>
      </w:r>
      <w:r w:rsidR="000055C7" w:rsidRPr="004C0E7A">
        <w:rPr>
          <w:lang w:val="fr-FR" w:eastAsia="en-US"/>
        </w:rPr>
        <w:t>0 juin 20</w:t>
      </w:r>
      <w:r w:rsidRPr="004C0E7A">
        <w:rPr>
          <w:lang w:val="fr-FR" w:eastAsia="en-US"/>
        </w:rPr>
        <w:t>15 est indiqué ci</w:t>
      </w:r>
      <w:r w:rsidR="008E117E" w:rsidRPr="004C0E7A">
        <w:rPr>
          <w:lang w:val="fr-FR" w:eastAsia="en-US"/>
        </w:rPr>
        <w:noBreakHyphen/>
      </w:r>
      <w:r w:rsidRPr="004C0E7A">
        <w:rPr>
          <w:lang w:val="fr-FR" w:eastAsia="en-US"/>
        </w:rPr>
        <w:t>après.</w:t>
      </w:r>
    </w:p>
    <w:p w:rsidR="007F4F40" w:rsidRPr="004C0E7A" w:rsidRDefault="00637FDD" w:rsidP="006D02A3">
      <w:pPr>
        <w:pStyle w:val="ONUME"/>
        <w:keepNext/>
        <w:numPr>
          <w:ilvl w:val="0"/>
          <w:numId w:val="0"/>
        </w:numPr>
        <w:jc w:val="center"/>
        <w:rPr>
          <w:b/>
          <w:sz w:val="18"/>
          <w:szCs w:val="18"/>
          <w:lang w:val="fr-FR"/>
        </w:rPr>
      </w:pPr>
      <w:r w:rsidRPr="004C0E7A">
        <w:rPr>
          <w:b/>
          <w:sz w:val="18"/>
          <w:szCs w:val="18"/>
          <w:lang w:val="fr-FR"/>
        </w:rPr>
        <w:t>Diagramme </w:t>
      </w:r>
      <w:r w:rsidR="006D02A3" w:rsidRPr="004C0E7A">
        <w:rPr>
          <w:b/>
          <w:sz w:val="18"/>
          <w:szCs w:val="18"/>
          <w:lang w:val="fr-FR"/>
        </w:rPr>
        <w:t>5 – Recommandations par programme et priorité</w:t>
      </w:r>
    </w:p>
    <w:p w:rsidR="009B38A5" w:rsidRPr="009B38A5" w:rsidRDefault="009B38A5" w:rsidP="009B38A5">
      <w:pPr>
        <w:pStyle w:val="ONUMFS"/>
        <w:numPr>
          <w:ilvl w:val="0"/>
          <w:numId w:val="0"/>
        </w:numPr>
        <w:jc w:val="center"/>
        <w:rPr>
          <w:lang w:val="fr-FR"/>
        </w:rPr>
      </w:pPr>
      <w:r w:rsidRPr="009B38A5">
        <w:rPr>
          <w:noProof/>
          <w:lang w:eastAsia="en-US"/>
        </w:rPr>
        <w:drawing>
          <wp:inline distT="0" distB="0" distL="0" distR="0" wp14:anchorId="7DA8B033" wp14:editId="4B7C806C">
            <wp:extent cx="6162675" cy="4231005"/>
            <wp:effectExtent l="0" t="0" r="9525"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6162675" cy="4231005"/>
                    </a:xfrm>
                    <a:prstGeom prst="rect">
                      <a:avLst/>
                    </a:prstGeom>
                    <a:noFill/>
                    <a:ln>
                      <a:noFill/>
                    </a:ln>
                  </pic:spPr>
                </pic:pic>
              </a:graphicData>
            </a:graphic>
          </wp:inline>
        </w:drawing>
      </w:r>
    </w:p>
    <w:p w:rsidR="007F4F40" w:rsidRPr="004C0E7A" w:rsidRDefault="006D02A3" w:rsidP="009B38A5">
      <w:pPr>
        <w:pStyle w:val="ONUMFS"/>
        <w:rPr>
          <w:lang w:val="fr-FR"/>
        </w:rPr>
      </w:pPr>
      <w:r w:rsidRPr="004C0E7A">
        <w:rPr>
          <w:lang w:val="fr-FR"/>
        </w:rPr>
        <w:t xml:space="preserve">Cinq programmes </w:t>
      </w:r>
      <w:r w:rsidR="000A647F" w:rsidRPr="004C0E7A">
        <w:rPr>
          <w:lang w:val="fr-FR"/>
        </w:rPr>
        <w:t>représentent</w:t>
      </w:r>
      <w:r w:rsidRPr="004C0E7A">
        <w:rPr>
          <w:lang w:val="fr-FR"/>
        </w:rPr>
        <w:t xml:space="preserve"> 67% des </w:t>
      </w:r>
      <w:r w:rsidR="00637FDD" w:rsidRPr="004C0E7A">
        <w:rPr>
          <w:lang w:val="fr-FR"/>
        </w:rPr>
        <w:t>119 </w:t>
      </w:r>
      <w:r w:rsidRPr="004C0E7A">
        <w:rPr>
          <w:lang w:val="fr-FR"/>
        </w:rPr>
        <w:t xml:space="preserve">recommandations jugées prioritaires et le nombre le plus élevé de recommandations sont adressées au </w:t>
      </w:r>
      <w:r w:rsidR="00637FDD" w:rsidRPr="004C0E7A">
        <w:rPr>
          <w:lang w:val="fr-FR"/>
        </w:rPr>
        <w:t>programme </w:t>
      </w:r>
      <w:r w:rsidRPr="004C0E7A">
        <w:rPr>
          <w:lang w:val="fr-FR"/>
        </w:rPr>
        <w:t>22 (Gestion des programmes et des ressources).</w:t>
      </w:r>
    </w:p>
    <w:p w:rsidR="007F4F40" w:rsidRPr="004C0E7A" w:rsidRDefault="000A647F" w:rsidP="004C0E7A">
      <w:pPr>
        <w:pStyle w:val="ONUMFS"/>
        <w:rPr>
          <w:lang w:val="fr-FR"/>
        </w:rPr>
      </w:pPr>
      <w:r w:rsidRPr="004C0E7A">
        <w:rPr>
          <w:lang w:val="fr-FR"/>
        </w:rPr>
        <w:t>L</w:t>
      </w:r>
      <w:r w:rsidR="006D02A3" w:rsidRPr="004C0E7A">
        <w:rPr>
          <w:lang w:val="fr-FR"/>
        </w:rPr>
        <w:t>e</w:t>
      </w:r>
      <w:r w:rsidRPr="004C0E7A">
        <w:rPr>
          <w:lang w:val="fr-FR"/>
        </w:rPr>
        <w:t>s</w:t>
      </w:r>
      <w:r w:rsidR="006D02A3" w:rsidRPr="004C0E7A">
        <w:rPr>
          <w:lang w:val="fr-FR"/>
        </w:rPr>
        <w:t xml:space="preserve"> pou</w:t>
      </w:r>
      <w:r w:rsidR="00922BC8" w:rsidRPr="004C0E7A">
        <w:rPr>
          <w:lang w:val="fr-FR"/>
        </w:rPr>
        <w:t>r</w:t>
      </w:r>
      <w:r w:rsidR="006D02A3" w:rsidRPr="004C0E7A">
        <w:rPr>
          <w:lang w:val="fr-FR"/>
        </w:rPr>
        <w:t>centage</w:t>
      </w:r>
      <w:r w:rsidRPr="004C0E7A">
        <w:rPr>
          <w:lang w:val="fr-FR"/>
        </w:rPr>
        <w:t>s</w:t>
      </w:r>
      <w:r w:rsidR="006D02A3" w:rsidRPr="004C0E7A">
        <w:rPr>
          <w:lang w:val="fr-FR"/>
        </w:rPr>
        <w:t xml:space="preserve"> de recommandations en suspens</w:t>
      </w:r>
      <w:r w:rsidRPr="004C0E7A">
        <w:rPr>
          <w:lang w:val="fr-FR"/>
        </w:rPr>
        <w:t>,</w:t>
      </w:r>
      <w:r w:rsidR="006D02A3" w:rsidRPr="004C0E7A">
        <w:rPr>
          <w:lang w:val="fr-FR"/>
        </w:rPr>
        <w:t xml:space="preserve"> par source</w:t>
      </w:r>
      <w:r w:rsidRPr="004C0E7A">
        <w:rPr>
          <w:lang w:val="fr-FR"/>
        </w:rPr>
        <w:t>,</w:t>
      </w:r>
      <w:r w:rsidR="006D02A3" w:rsidRPr="004C0E7A">
        <w:rPr>
          <w:lang w:val="fr-FR"/>
        </w:rPr>
        <w:t xml:space="preserve"> </w:t>
      </w:r>
      <w:r w:rsidRPr="004C0E7A">
        <w:rPr>
          <w:lang w:val="fr-FR" w:eastAsia="en-US"/>
        </w:rPr>
        <w:t>au 3</w:t>
      </w:r>
      <w:r w:rsidR="000055C7" w:rsidRPr="004C0E7A">
        <w:rPr>
          <w:lang w:val="fr-FR" w:eastAsia="en-US"/>
        </w:rPr>
        <w:t>0 juin 20</w:t>
      </w:r>
      <w:r w:rsidRPr="004C0E7A">
        <w:rPr>
          <w:lang w:val="fr-FR" w:eastAsia="en-US"/>
        </w:rPr>
        <w:t>15 sont indiqués ci</w:t>
      </w:r>
      <w:r w:rsidR="008E117E" w:rsidRPr="004C0E7A">
        <w:rPr>
          <w:lang w:val="fr-FR" w:eastAsia="en-US"/>
        </w:rPr>
        <w:noBreakHyphen/>
      </w:r>
      <w:r w:rsidRPr="004C0E7A">
        <w:rPr>
          <w:lang w:val="fr-FR" w:eastAsia="en-US"/>
        </w:rPr>
        <w:t>après</w:t>
      </w:r>
      <w:r w:rsidR="006D02A3" w:rsidRPr="004C0E7A">
        <w:rPr>
          <w:lang w:val="fr-FR"/>
        </w:rPr>
        <w:t>.</w:t>
      </w:r>
    </w:p>
    <w:p w:rsidR="007F4F40" w:rsidRPr="004C0E7A" w:rsidRDefault="006D02A3" w:rsidP="006D02A3">
      <w:pPr>
        <w:pStyle w:val="ONUME"/>
        <w:keepNext/>
        <w:numPr>
          <w:ilvl w:val="0"/>
          <w:numId w:val="0"/>
        </w:numPr>
        <w:jc w:val="center"/>
        <w:rPr>
          <w:b/>
          <w:sz w:val="18"/>
          <w:szCs w:val="18"/>
          <w:lang w:val="fr-FR"/>
        </w:rPr>
      </w:pPr>
      <w:r w:rsidRPr="004C0E7A">
        <w:rPr>
          <w:b/>
          <w:sz w:val="18"/>
          <w:szCs w:val="18"/>
          <w:lang w:val="fr-FR"/>
        </w:rPr>
        <w:lastRenderedPageBreak/>
        <w:t>Diagramme 6 – Recommandations relatives à la supervision</w:t>
      </w:r>
      <w:r w:rsidR="000A647F" w:rsidRPr="004C0E7A">
        <w:rPr>
          <w:b/>
          <w:sz w:val="18"/>
          <w:szCs w:val="18"/>
          <w:lang w:val="fr-FR"/>
        </w:rPr>
        <w:t>,</w:t>
      </w:r>
      <w:r w:rsidRPr="004C0E7A">
        <w:rPr>
          <w:sz w:val="18"/>
          <w:szCs w:val="18"/>
          <w:lang w:val="fr-FR"/>
        </w:rPr>
        <w:t xml:space="preserve"> </w:t>
      </w:r>
      <w:r w:rsidRPr="004C0E7A">
        <w:rPr>
          <w:b/>
          <w:sz w:val="18"/>
          <w:szCs w:val="18"/>
          <w:lang w:val="fr-FR"/>
        </w:rPr>
        <w:t>par source</w:t>
      </w:r>
    </w:p>
    <w:p w:rsidR="009B38A5" w:rsidRPr="009B38A5" w:rsidRDefault="009B38A5" w:rsidP="009B38A5">
      <w:pPr>
        <w:pStyle w:val="ONUMFS"/>
        <w:numPr>
          <w:ilvl w:val="0"/>
          <w:numId w:val="0"/>
        </w:numPr>
        <w:jc w:val="center"/>
        <w:rPr>
          <w:lang w:val="fr-FR"/>
        </w:rPr>
      </w:pPr>
      <w:r w:rsidRPr="009B38A5">
        <w:rPr>
          <w:noProof/>
          <w:lang w:eastAsia="en-US"/>
        </w:rPr>
        <w:drawing>
          <wp:inline distT="0" distB="0" distL="0" distR="0" wp14:anchorId="4F846CB4" wp14:editId="264B18D3">
            <wp:extent cx="5744210" cy="3052445"/>
            <wp:effectExtent l="0" t="0" r="889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5744210" cy="3052445"/>
                    </a:xfrm>
                    <a:prstGeom prst="rect">
                      <a:avLst/>
                    </a:prstGeom>
                    <a:noFill/>
                    <a:ln>
                      <a:noFill/>
                    </a:ln>
                  </pic:spPr>
                </pic:pic>
              </a:graphicData>
            </a:graphic>
          </wp:inline>
        </w:drawing>
      </w:r>
    </w:p>
    <w:p w:rsidR="007F4F40" w:rsidRPr="004C0E7A" w:rsidRDefault="00611020" w:rsidP="009B38A5">
      <w:pPr>
        <w:pStyle w:val="ONUMFS"/>
        <w:rPr>
          <w:lang w:val="fr-FR"/>
        </w:rPr>
      </w:pPr>
      <w:r w:rsidRPr="004C0E7A">
        <w:rPr>
          <w:lang w:val="fr-FR"/>
        </w:rPr>
        <w:t>Cela représente une diminution du nombre de recommandations</w:t>
      </w:r>
      <w:r w:rsidR="0093235E" w:rsidRPr="004C0E7A">
        <w:rPr>
          <w:lang w:val="fr-FR"/>
        </w:rPr>
        <w:t xml:space="preserve"> en</w:t>
      </w:r>
      <w:r w:rsidRPr="004C0E7A">
        <w:rPr>
          <w:lang w:val="fr-FR"/>
        </w:rPr>
        <w:t xml:space="preserve"> </w:t>
      </w:r>
      <w:r w:rsidR="0093235E" w:rsidRPr="004C0E7A">
        <w:rPr>
          <w:lang w:val="fr-FR"/>
        </w:rPr>
        <w:t xml:space="preserve">provenance </w:t>
      </w:r>
      <w:r w:rsidRPr="004C0E7A">
        <w:rPr>
          <w:lang w:val="fr-FR"/>
        </w:rPr>
        <w:t>de</w:t>
      </w:r>
      <w:r w:rsidR="000055C7" w:rsidRPr="004C0E7A">
        <w:rPr>
          <w:lang w:val="fr-FR"/>
        </w:rPr>
        <w:t xml:space="preserve"> la DSI</w:t>
      </w:r>
      <w:r w:rsidRPr="004C0E7A">
        <w:rPr>
          <w:lang w:val="fr-FR"/>
        </w:rPr>
        <w:t xml:space="preserve"> (73% contre 83% en</w:t>
      </w:r>
      <w:r w:rsidR="00045FD8" w:rsidRPr="004C0E7A">
        <w:rPr>
          <w:lang w:val="fr-FR"/>
        </w:rPr>
        <w:t> </w:t>
      </w:r>
      <w:r w:rsidRPr="004C0E7A">
        <w:rPr>
          <w:lang w:val="fr-FR"/>
        </w:rPr>
        <w:t>2014), tandis que l</w:t>
      </w:r>
      <w:r w:rsidR="0093235E" w:rsidRPr="004C0E7A">
        <w:rPr>
          <w:lang w:val="fr-FR"/>
        </w:rPr>
        <w:t xml:space="preserve">e nombre de recommandations en provenance des </w:t>
      </w:r>
      <w:r w:rsidRPr="004C0E7A">
        <w:rPr>
          <w:lang w:val="fr-FR"/>
        </w:rPr>
        <w:t>vérificateurs externes des comptes a augmenté (27% contre 17% en</w:t>
      </w:r>
      <w:r w:rsidR="00045FD8" w:rsidRPr="004C0E7A">
        <w:rPr>
          <w:lang w:val="fr-FR"/>
        </w:rPr>
        <w:t> </w:t>
      </w:r>
      <w:r w:rsidRPr="004C0E7A">
        <w:rPr>
          <w:lang w:val="fr-FR"/>
        </w:rPr>
        <w:t>2014).</w:t>
      </w:r>
    </w:p>
    <w:p w:rsidR="007F4F40" w:rsidRPr="004C0E7A" w:rsidRDefault="00611020" w:rsidP="00794EC0">
      <w:pPr>
        <w:pStyle w:val="Heading1"/>
        <w:rPr>
          <w:lang w:val="fr-FR"/>
        </w:rPr>
      </w:pPr>
      <w:bookmarkStart w:id="16" w:name="_Toc424911473"/>
      <w:r w:rsidRPr="004C0E7A">
        <w:rPr>
          <w:lang w:val="fr-FR"/>
        </w:rPr>
        <w:t>Évaluation externe des activités de la Division de la supervision interne</w:t>
      </w:r>
      <w:bookmarkEnd w:id="16"/>
    </w:p>
    <w:p w:rsidR="007F4F40" w:rsidRPr="004C0E7A" w:rsidRDefault="00922BC8" w:rsidP="004C0E7A">
      <w:pPr>
        <w:pStyle w:val="ONUMFS"/>
        <w:rPr>
          <w:lang w:val="fr-FR"/>
        </w:rPr>
      </w:pPr>
      <w:r w:rsidRPr="004C0E7A">
        <w:rPr>
          <w:lang w:val="fr-FR"/>
        </w:rPr>
        <w:t>L</w:t>
      </w:r>
      <w:r w:rsidR="000055C7" w:rsidRPr="004C0E7A">
        <w:rPr>
          <w:lang w:val="fr-FR"/>
        </w:rPr>
        <w:t>’</w:t>
      </w:r>
      <w:r w:rsidRPr="004C0E7A">
        <w:rPr>
          <w:lang w:val="fr-FR"/>
        </w:rPr>
        <w:t>an dernier,</w:t>
      </w:r>
      <w:r w:rsidR="000055C7" w:rsidRPr="004C0E7A">
        <w:rPr>
          <w:lang w:val="fr-FR"/>
        </w:rPr>
        <w:t xml:space="preserve"> la DSI</w:t>
      </w:r>
      <w:r w:rsidRPr="004C0E7A">
        <w:rPr>
          <w:lang w:val="fr-FR"/>
        </w:rPr>
        <w:t xml:space="preserve"> a établi </w:t>
      </w:r>
      <w:r w:rsidR="0093235E" w:rsidRPr="004C0E7A">
        <w:rPr>
          <w:lang w:val="fr-FR"/>
        </w:rPr>
        <w:t>des</w:t>
      </w:r>
      <w:r w:rsidRPr="004C0E7A">
        <w:rPr>
          <w:lang w:val="fr-FR"/>
        </w:rPr>
        <w:t xml:space="preserve"> rapport</w:t>
      </w:r>
      <w:r w:rsidR="0093235E" w:rsidRPr="004C0E7A">
        <w:rPr>
          <w:lang w:val="fr-FR"/>
        </w:rPr>
        <w:t>s</w:t>
      </w:r>
      <w:r w:rsidRPr="004C0E7A">
        <w:rPr>
          <w:lang w:val="fr-FR"/>
        </w:rPr>
        <w:t xml:space="preserve"> sur les évaluations externes de la qualité des fonctions d</w:t>
      </w:r>
      <w:r w:rsidR="000055C7" w:rsidRPr="004C0E7A">
        <w:rPr>
          <w:lang w:val="fr-FR"/>
        </w:rPr>
        <w:t>’</w:t>
      </w:r>
      <w:r w:rsidRPr="004C0E7A">
        <w:rPr>
          <w:lang w:val="fr-FR"/>
        </w:rPr>
        <w:t>audit interne et d</w:t>
      </w:r>
      <w:r w:rsidR="000055C7" w:rsidRPr="004C0E7A">
        <w:rPr>
          <w:lang w:val="fr-FR"/>
        </w:rPr>
        <w:t>’</w:t>
      </w:r>
      <w:r w:rsidRPr="004C0E7A">
        <w:rPr>
          <w:lang w:val="fr-FR"/>
        </w:rPr>
        <w:t>évaluation.</w:t>
      </w:r>
      <w:r w:rsidR="00EF17CB" w:rsidRPr="004C0E7A">
        <w:rPr>
          <w:lang w:val="fr-FR"/>
        </w:rPr>
        <w:t xml:space="preserve">  </w:t>
      </w:r>
      <w:r w:rsidRPr="004C0E7A">
        <w:rPr>
          <w:lang w:val="fr-FR"/>
        </w:rPr>
        <w:t>À la date d</w:t>
      </w:r>
      <w:r w:rsidR="000055C7" w:rsidRPr="004C0E7A">
        <w:rPr>
          <w:lang w:val="fr-FR"/>
        </w:rPr>
        <w:t>’</w:t>
      </w:r>
      <w:r w:rsidRPr="004C0E7A">
        <w:rPr>
          <w:lang w:val="fr-FR"/>
        </w:rPr>
        <w:t>établissement du présent rapport, l</w:t>
      </w:r>
      <w:r w:rsidR="000055C7" w:rsidRPr="004C0E7A">
        <w:rPr>
          <w:lang w:val="fr-FR"/>
        </w:rPr>
        <w:t>’</w:t>
      </w:r>
      <w:r w:rsidRPr="004C0E7A">
        <w:rPr>
          <w:lang w:val="fr-FR"/>
        </w:rPr>
        <w:t xml:space="preserve">ensemble des </w:t>
      </w:r>
      <w:r w:rsidR="00637FDD" w:rsidRPr="004C0E7A">
        <w:rPr>
          <w:lang w:val="fr-FR"/>
        </w:rPr>
        <w:t>111 </w:t>
      </w:r>
      <w:r w:rsidRPr="004C0E7A">
        <w:rPr>
          <w:lang w:val="fr-FR"/>
        </w:rPr>
        <w:t xml:space="preserve">recommandations </w:t>
      </w:r>
      <w:r w:rsidR="0093235E" w:rsidRPr="004C0E7A">
        <w:rPr>
          <w:lang w:val="fr-FR"/>
        </w:rPr>
        <w:t>adressées</w:t>
      </w:r>
      <w:r w:rsidRPr="004C0E7A">
        <w:rPr>
          <w:lang w:val="fr-FR"/>
        </w:rPr>
        <w:t xml:space="preserve"> à la fonction d</w:t>
      </w:r>
      <w:r w:rsidR="000055C7" w:rsidRPr="004C0E7A">
        <w:rPr>
          <w:lang w:val="fr-FR"/>
        </w:rPr>
        <w:t>’</w:t>
      </w:r>
      <w:r w:rsidRPr="004C0E7A">
        <w:rPr>
          <w:lang w:val="fr-FR"/>
        </w:rPr>
        <w:t xml:space="preserve">audit interne </w:t>
      </w:r>
      <w:r w:rsidR="00A60D71" w:rsidRPr="004C0E7A">
        <w:rPr>
          <w:lang w:val="fr-FR"/>
        </w:rPr>
        <w:t>avaient</w:t>
      </w:r>
      <w:r w:rsidRPr="004C0E7A">
        <w:rPr>
          <w:lang w:val="fr-FR"/>
        </w:rPr>
        <w:t xml:space="preserve"> été </w:t>
      </w:r>
      <w:r w:rsidR="00A60D71" w:rsidRPr="004C0E7A">
        <w:rPr>
          <w:lang w:val="fr-FR"/>
        </w:rPr>
        <w:t>mises</w:t>
      </w:r>
      <w:r w:rsidRPr="004C0E7A">
        <w:rPr>
          <w:lang w:val="fr-FR"/>
        </w:rPr>
        <w:t xml:space="preserve"> en </w:t>
      </w:r>
      <w:r w:rsidR="0093235E" w:rsidRPr="004C0E7A">
        <w:rPr>
          <w:lang w:val="fr-FR"/>
        </w:rPr>
        <w:t>œ</w:t>
      </w:r>
      <w:r w:rsidRPr="004C0E7A">
        <w:rPr>
          <w:lang w:val="fr-FR"/>
        </w:rPr>
        <w:t>uvre et toutes les recommandations en suspens (au nombre de 13) issues de l</w:t>
      </w:r>
      <w:r w:rsidR="000055C7" w:rsidRPr="004C0E7A">
        <w:rPr>
          <w:lang w:val="fr-FR"/>
        </w:rPr>
        <w:t>’</w:t>
      </w:r>
      <w:r w:rsidRPr="004C0E7A">
        <w:rPr>
          <w:lang w:val="fr-FR"/>
        </w:rPr>
        <w:t xml:space="preserve">évaluation </w:t>
      </w:r>
      <w:r w:rsidR="0093235E" w:rsidRPr="004C0E7A">
        <w:rPr>
          <w:lang w:val="fr-FR"/>
        </w:rPr>
        <w:t xml:space="preserve">externe </w:t>
      </w:r>
      <w:r w:rsidRPr="004C0E7A">
        <w:rPr>
          <w:lang w:val="fr-FR"/>
        </w:rPr>
        <w:t xml:space="preserve">de la qualité </w:t>
      </w:r>
      <w:r w:rsidR="0093235E" w:rsidRPr="004C0E7A">
        <w:rPr>
          <w:lang w:val="fr-FR"/>
        </w:rPr>
        <w:t>de</w:t>
      </w:r>
      <w:r w:rsidRPr="004C0E7A">
        <w:rPr>
          <w:lang w:val="fr-FR"/>
        </w:rPr>
        <w:t xml:space="preserve"> la fonction d</w:t>
      </w:r>
      <w:r w:rsidR="000055C7" w:rsidRPr="004C0E7A">
        <w:rPr>
          <w:lang w:val="fr-FR"/>
        </w:rPr>
        <w:t>’</w:t>
      </w:r>
      <w:r w:rsidRPr="004C0E7A">
        <w:rPr>
          <w:lang w:val="fr-FR"/>
        </w:rPr>
        <w:t>évaluation seront traitées dans le cadre de la politique d</w:t>
      </w:r>
      <w:r w:rsidR="000055C7" w:rsidRPr="004C0E7A">
        <w:rPr>
          <w:lang w:val="fr-FR"/>
        </w:rPr>
        <w:t>’</w:t>
      </w:r>
      <w:r w:rsidRPr="004C0E7A">
        <w:rPr>
          <w:lang w:val="fr-FR"/>
        </w:rPr>
        <w:t>évaluation révisée.</w:t>
      </w:r>
      <w:r w:rsidR="00AC0825" w:rsidRPr="004C0E7A">
        <w:rPr>
          <w:lang w:val="fr-FR"/>
        </w:rPr>
        <w:t xml:space="preserve"> </w:t>
      </w:r>
      <w:r w:rsidR="000055C7" w:rsidRPr="004C0E7A">
        <w:rPr>
          <w:lang w:val="fr-FR"/>
        </w:rPr>
        <w:t xml:space="preserve"> </w:t>
      </w:r>
      <w:r w:rsidR="000055C7" w:rsidRPr="004C0E7A">
        <w:rPr>
          <w:rFonts w:eastAsia="Times New Roman"/>
          <w:bCs/>
          <w:szCs w:val="22"/>
          <w:lang w:val="fr-FR" w:eastAsia="en-US"/>
        </w:rPr>
        <w:t>La DSI</w:t>
      </w:r>
      <w:r w:rsidRPr="004C0E7A">
        <w:rPr>
          <w:rFonts w:eastAsia="Times New Roman"/>
          <w:bCs/>
          <w:szCs w:val="22"/>
          <w:lang w:val="fr-FR" w:eastAsia="en-US"/>
        </w:rPr>
        <w:t xml:space="preserve"> a commencé à planifier une évaluation externe </w:t>
      </w:r>
      <w:r w:rsidR="0093235E" w:rsidRPr="004C0E7A">
        <w:rPr>
          <w:rFonts w:eastAsia="Times New Roman"/>
          <w:bCs/>
          <w:szCs w:val="22"/>
          <w:lang w:val="fr-FR" w:eastAsia="en-US"/>
        </w:rPr>
        <w:t xml:space="preserve">de la qualité </w:t>
      </w:r>
      <w:r w:rsidRPr="004C0E7A">
        <w:rPr>
          <w:rFonts w:eastAsia="Times New Roman"/>
          <w:bCs/>
          <w:szCs w:val="22"/>
          <w:lang w:val="fr-FR" w:eastAsia="en-US"/>
        </w:rPr>
        <w:t>de la fonction d</w:t>
      </w:r>
      <w:r w:rsidR="000055C7" w:rsidRPr="004C0E7A">
        <w:rPr>
          <w:rFonts w:eastAsia="Times New Roman"/>
          <w:bCs/>
          <w:szCs w:val="22"/>
          <w:lang w:val="fr-FR" w:eastAsia="en-US"/>
        </w:rPr>
        <w:t>’</w:t>
      </w:r>
      <w:r w:rsidRPr="004C0E7A">
        <w:rPr>
          <w:rFonts w:eastAsia="Times New Roman"/>
          <w:bCs/>
          <w:szCs w:val="22"/>
          <w:lang w:val="fr-FR" w:eastAsia="en-US"/>
        </w:rPr>
        <w:t>enquête, qui devrait être achevée d</w:t>
      </w:r>
      <w:r w:rsidR="000055C7" w:rsidRPr="004C0E7A">
        <w:rPr>
          <w:rFonts w:eastAsia="Times New Roman"/>
          <w:bCs/>
          <w:szCs w:val="22"/>
          <w:lang w:val="fr-FR" w:eastAsia="en-US"/>
        </w:rPr>
        <w:t>’</w:t>
      </w:r>
      <w:r w:rsidRPr="004C0E7A">
        <w:rPr>
          <w:rFonts w:eastAsia="Times New Roman"/>
          <w:bCs/>
          <w:szCs w:val="22"/>
          <w:lang w:val="fr-FR" w:eastAsia="en-US"/>
        </w:rPr>
        <w:t>ici à la fin de l</w:t>
      </w:r>
      <w:r w:rsidR="000055C7" w:rsidRPr="004C0E7A">
        <w:rPr>
          <w:rFonts w:eastAsia="Times New Roman"/>
          <w:bCs/>
          <w:szCs w:val="22"/>
          <w:lang w:val="fr-FR" w:eastAsia="en-US"/>
        </w:rPr>
        <w:t>’</w:t>
      </w:r>
      <w:r w:rsidRPr="004C0E7A">
        <w:rPr>
          <w:rFonts w:eastAsia="Times New Roman"/>
          <w:bCs/>
          <w:szCs w:val="22"/>
          <w:lang w:val="fr-FR" w:eastAsia="en-US"/>
        </w:rPr>
        <w:t>année.</w:t>
      </w:r>
    </w:p>
    <w:p w:rsidR="007F4F40" w:rsidRPr="004C0E7A" w:rsidRDefault="00922BC8" w:rsidP="00794EC0">
      <w:pPr>
        <w:pStyle w:val="Heading1"/>
        <w:rPr>
          <w:lang w:val="fr-FR"/>
        </w:rPr>
      </w:pPr>
      <w:bookmarkStart w:id="17" w:name="_Toc424911474"/>
      <w:r w:rsidRPr="004C0E7A">
        <w:rPr>
          <w:lang w:val="fr-FR"/>
        </w:rPr>
        <w:t>Activités consultatives et de conseil en matière de supervision</w:t>
      </w:r>
      <w:bookmarkEnd w:id="17"/>
    </w:p>
    <w:p w:rsidR="007F4F40" w:rsidRPr="004C0E7A" w:rsidRDefault="0093235E" w:rsidP="004C0E7A">
      <w:pPr>
        <w:pStyle w:val="ONUMFS"/>
        <w:rPr>
          <w:lang w:val="fr-FR"/>
        </w:rPr>
      </w:pPr>
      <w:r w:rsidRPr="004C0E7A">
        <w:rPr>
          <w:lang w:val="fr-FR"/>
        </w:rPr>
        <w:t>En plus de ses activités de supervision prévues,</w:t>
      </w:r>
      <w:r w:rsidR="000055C7" w:rsidRPr="004C0E7A">
        <w:rPr>
          <w:lang w:val="fr-FR"/>
        </w:rPr>
        <w:t xml:space="preserve"> la DSI</w:t>
      </w:r>
      <w:r w:rsidRPr="004C0E7A">
        <w:rPr>
          <w:lang w:val="fr-FR"/>
        </w:rPr>
        <w:t xml:space="preserve"> a continué </w:t>
      </w:r>
      <w:r w:rsidR="009E0EFA" w:rsidRPr="004C0E7A">
        <w:rPr>
          <w:lang w:val="fr-FR"/>
        </w:rPr>
        <w:t>à</w:t>
      </w:r>
      <w:r w:rsidRPr="004C0E7A">
        <w:rPr>
          <w:lang w:val="fr-FR"/>
        </w:rPr>
        <w:t xml:space="preserve"> donner des conseils professionnels sur les politiques et procédures de l</w:t>
      </w:r>
      <w:r w:rsidR="000055C7" w:rsidRPr="004C0E7A">
        <w:rPr>
          <w:lang w:val="fr-FR"/>
        </w:rPr>
        <w:t>’</w:t>
      </w:r>
      <w:r w:rsidRPr="004C0E7A">
        <w:rPr>
          <w:lang w:val="fr-FR"/>
        </w:rPr>
        <w:t xml:space="preserve">Organisation, la gestion des risques et les contrôles internes. </w:t>
      </w:r>
      <w:r w:rsidR="00E32ADE" w:rsidRPr="004C0E7A">
        <w:rPr>
          <w:lang w:val="fr-FR"/>
        </w:rPr>
        <w:t xml:space="preserve"> </w:t>
      </w:r>
      <w:r w:rsidR="000055C7" w:rsidRPr="004C0E7A">
        <w:rPr>
          <w:lang w:val="fr-FR"/>
        </w:rPr>
        <w:t>La DSI</w:t>
      </w:r>
      <w:r w:rsidRPr="004C0E7A">
        <w:rPr>
          <w:lang w:val="fr-FR"/>
        </w:rPr>
        <w:t xml:space="preserve"> participe aux sessions du Comité des placements de l</w:t>
      </w:r>
      <w:r w:rsidR="000055C7" w:rsidRPr="004C0E7A">
        <w:rPr>
          <w:lang w:val="fr-FR"/>
        </w:rPr>
        <w:t>’</w:t>
      </w:r>
      <w:r w:rsidRPr="004C0E7A">
        <w:rPr>
          <w:lang w:val="fr-FR"/>
        </w:rPr>
        <w:t>OMPI en tant qu</w:t>
      </w:r>
      <w:r w:rsidR="000055C7" w:rsidRPr="004C0E7A">
        <w:rPr>
          <w:lang w:val="fr-FR"/>
        </w:rPr>
        <w:t>’</w:t>
      </w:r>
      <w:r w:rsidRPr="004C0E7A">
        <w:rPr>
          <w:lang w:val="fr-FR"/>
        </w:rPr>
        <w:t>observatrice et aux ateliers sur la gestion du risque organisés par le Bureau du contrôleur.</w:t>
      </w:r>
      <w:r w:rsidR="00E32ADE" w:rsidRPr="004C0E7A">
        <w:rPr>
          <w:lang w:val="fr-FR"/>
        </w:rPr>
        <w:t xml:space="preserve">  </w:t>
      </w:r>
      <w:r w:rsidRPr="004C0E7A">
        <w:rPr>
          <w:lang w:val="fr-FR"/>
        </w:rPr>
        <w:t xml:space="preserve">La liste des politiques et procédures </w:t>
      </w:r>
      <w:r w:rsidR="009E0EFA" w:rsidRPr="004C0E7A">
        <w:rPr>
          <w:lang w:val="fr-FR"/>
        </w:rPr>
        <w:t>s</w:t>
      </w:r>
      <w:r w:rsidRPr="004C0E7A">
        <w:rPr>
          <w:lang w:val="fr-FR"/>
        </w:rPr>
        <w:t>ur lesquelles</w:t>
      </w:r>
      <w:r w:rsidR="000055C7" w:rsidRPr="004C0E7A">
        <w:rPr>
          <w:lang w:val="fr-FR"/>
        </w:rPr>
        <w:t xml:space="preserve"> la DSI</w:t>
      </w:r>
      <w:r w:rsidRPr="004C0E7A">
        <w:rPr>
          <w:lang w:val="fr-FR"/>
        </w:rPr>
        <w:t xml:space="preserve"> a donné des conseils </w:t>
      </w:r>
      <w:proofErr w:type="gramStart"/>
      <w:r w:rsidRPr="004C0E7A">
        <w:rPr>
          <w:lang w:val="fr-FR"/>
        </w:rPr>
        <w:t>figure</w:t>
      </w:r>
      <w:proofErr w:type="gramEnd"/>
      <w:r w:rsidRPr="004C0E7A">
        <w:rPr>
          <w:lang w:val="fr-FR"/>
        </w:rPr>
        <w:t xml:space="preserve"> dans l</w:t>
      </w:r>
      <w:r w:rsidR="000055C7" w:rsidRPr="004C0E7A">
        <w:rPr>
          <w:lang w:val="fr-FR"/>
        </w:rPr>
        <w:t>’</w:t>
      </w:r>
      <w:r w:rsidRPr="004C0E7A">
        <w:rPr>
          <w:lang w:val="fr-FR"/>
        </w:rPr>
        <w:t>annexe du présent rapport (annexe</w:t>
      </w:r>
      <w:r w:rsidR="00045FD8" w:rsidRPr="004C0E7A">
        <w:rPr>
          <w:lang w:val="fr-FR"/>
        </w:rPr>
        <w:t> </w:t>
      </w:r>
      <w:r w:rsidRPr="004C0E7A">
        <w:rPr>
          <w:lang w:val="fr-FR"/>
        </w:rPr>
        <w:t>III).</w:t>
      </w:r>
    </w:p>
    <w:p w:rsidR="000055C7" w:rsidRPr="004C0E7A" w:rsidRDefault="00794EC0" w:rsidP="00794EC0">
      <w:pPr>
        <w:pStyle w:val="Heading1"/>
        <w:rPr>
          <w:lang w:val="fr-FR"/>
        </w:rPr>
      </w:pPr>
      <w:bookmarkStart w:id="18" w:name="_Toc424911475"/>
      <w:r>
        <w:rPr>
          <w:lang w:val="fr-FR"/>
        </w:rPr>
        <w:t>C</w:t>
      </w:r>
      <w:r w:rsidR="00AA30A7" w:rsidRPr="004C0E7A">
        <w:rPr>
          <w:lang w:val="fr-FR"/>
        </w:rPr>
        <w:t>oordination avec les organismes de supervision externes</w:t>
      </w:r>
      <w:bookmarkEnd w:id="18"/>
    </w:p>
    <w:p w:rsidR="000055C7" w:rsidRPr="004C0E7A" w:rsidRDefault="00794EC0" w:rsidP="00794EC0">
      <w:pPr>
        <w:pStyle w:val="Heading2"/>
        <w:spacing w:before="0"/>
        <w:rPr>
          <w:lang w:val="fr-FR"/>
        </w:rPr>
      </w:pPr>
      <w:r>
        <w:rPr>
          <w:lang w:val="fr-FR"/>
        </w:rPr>
        <w:t>L’O</w:t>
      </w:r>
      <w:r w:rsidRPr="004C0E7A">
        <w:rPr>
          <w:lang w:val="fr-FR"/>
        </w:rPr>
        <w:t>rgane consultatif indépendant de surveillance</w:t>
      </w:r>
    </w:p>
    <w:p w:rsidR="007F4F40" w:rsidRPr="004C0E7A" w:rsidRDefault="003C28FA" w:rsidP="004C0E7A">
      <w:pPr>
        <w:pStyle w:val="ONUMFS"/>
        <w:rPr>
          <w:lang w:val="fr-FR"/>
        </w:rPr>
      </w:pPr>
      <w:r w:rsidRPr="004C0E7A">
        <w:rPr>
          <w:lang w:val="fr-FR"/>
        </w:rPr>
        <w:t>La DSI est régulièrement invitée par l</w:t>
      </w:r>
      <w:r w:rsidR="000055C7" w:rsidRPr="004C0E7A">
        <w:rPr>
          <w:lang w:val="fr-FR"/>
        </w:rPr>
        <w:t>’</w:t>
      </w:r>
      <w:r w:rsidRPr="004C0E7A">
        <w:rPr>
          <w:lang w:val="fr-FR"/>
        </w:rPr>
        <w:t xml:space="preserve">OCIS à assister à ses sessions trimestrielles afin de répondre à des questions détaillées concernant le programme de travail et le fonctionnement de </w:t>
      </w:r>
      <w:r w:rsidRPr="004C0E7A">
        <w:rPr>
          <w:lang w:val="fr-FR"/>
        </w:rPr>
        <w:lastRenderedPageBreak/>
        <w:t>la division.</w:t>
      </w:r>
      <w:r w:rsidR="000921A9" w:rsidRPr="004C0E7A">
        <w:rPr>
          <w:lang w:val="fr-FR"/>
        </w:rPr>
        <w:t xml:space="preserve">  </w:t>
      </w:r>
      <w:r w:rsidRPr="004C0E7A">
        <w:rPr>
          <w:lang w:val="fr-FR"/>
        </w:rPr>
        <w:t>L</w:t>
      </w:r>
      <w:r w:rsidR="000055C7" w:rsidRPr="004C0E7A">
        <w:rPr>
          <w:lang w:val="fr-FR"/>
        </w:rPr>
        <w:t>’</w:t>
      </w:r>
      <w:r w:rsidRPr="004C0E7A">
        <w:rPr>
          <w:lang w:val="fr-FR"/>
        </w:rPr>
        <w:t xml:space="preserve">OCIS a tenu </w:t>
      </w:r>
      <w:proofErr w:type="gramStart"/>
      <w:r w:rsidRPr="004C0E7A">
        <w:rPr>
          <w:lang w:val="fr-FR"/>
        </w:rPr>
        <w:t>ses trente</w:t>
      </w:r>
      <w:r w:rsidR="008E117E" w:rsidRPr="004C0E7A">
        <w:rPr>
          <w:lang w:val="fr-FR"/>
        </w:rPr>
        <w:noBreakHyphen/>
      </w:r>
      <w:r w:rsidRPr="004C0E7A">
        <w:rPr>
          <w:lang w:val="fr-FR"/>
        </w:rPr>
        <w:t>quatrième à trente</w:t>
      </w:r>
      <w:r w:rsidR="008E117E" w:rsidRPr="004C0E7A">
        <w:rPr>
          <w:lang w:val="fr-FR"/>
        </w:rPr>
        <w:noBreakHyphen/>
      </w:r>
      <w:r w:rsidRPr="004C0E7A">
        <w:rPr>
          <w:lang w:val="fr-FR"/>
        </w:rPr>
        <w:t>septième</w:t>
      </w:r>
      <w:r w:rsidR="00045FD8" w:rsidRPr="004C0E7A">
        <w:rPr>
          <w:lang w:val="fr-FR"/>
        </w:rPr>
        <w:t> </w:t>
      </w:r>
      <w:r w:rsidRPr="004C0E7A">
        <w:rPr>
          <w:lang w:val="fr-FR"/>
        </w:rPr>
        <w:t>sessions pendant</w:t>
      </w:r>
      <w:proofErr w:type="gramEnd"/>
      <w:r w:rsidRPr="004C0E7A">
        <w:rPr>
          <w:lang w:val="fr-FR"/>
        </w:rPr>
        <w:t xml:space="preserve"> la période couverte par le présent rapport.</w:t>
      </w:r>
    </w:p>
    <w:p w:rsidR="007F4F40" w:rsidRPr="004C0E7A" w:rsidRDefault="003C28FA" w:rsidP="004C0E7A">
      <w:pPr>
        <w:pStyle w:val="ONUMFS"/>
        <w:rPr>
          <w:lang w:val="fr-FR"/>
        </w:rPr>
      </w:pPr>
      <w:r w:rsidRPr="004C0E7A">
        <w:rPr>
          <w:lang w:val="fr-FR"/>
        </w:rPr>
        <w:t>La DSI a ainsi bénéficié des avis et des conseils de l</w:t>
      </w:r>
      <w:r w:rsidR="000055C7" w:rsidRPr="004C0E7A">
        <w:rPr>
          <w:lang w:val="fr-FR"/>
        </w:rPr>
        <w:t>’</w:t>
      </w:r>
      <w:r w:rsidRPr="004C0E7A">
        <w:rPr>
          <w:lang w:val="fr-FR"/>
        </w:rPr>
        <w:t>OCIS, comme indiqué dans les rapports de l</w:t>
      </w:r>
      <w:r w:rsidR="000055C7" w:rsidRPr="004C0E7A">
        <w:rPr>
          <w:lang w:val="fr-FR"/>
        </w:rPr>
        <w:t>’</w:t>
      </w:r>
      <w:r w:rsidRPr="004C0E7A">
        <w:rPr>
          <w:lang w:val="fr-FR"/>
        </w:rPr>
        <w:t>Organe</w:t>
      </w:r>
      <w:r w:rsidRPr="004C0E7A">
        <w:rPr>
          <w:rStyle w:val="FootnoteReference"/>
          <w:lang w:val="fr-FR"/>
        </w:rPr>
        <w:footnoteReference w:id="11"/>
      </w:r>
      <w:r w:rsidRPr="004C0E7A">
        <w:rPr>
          <w:lang w:val="fr-FR"/>
        </w:rPr>
        <w:t>.</w:t>
      </w:r>
    </w:p>
    <w:p w:rsidR="007F4F40" w:rsidRPr="004C0E7A" w:rsidRDefault="003C28FA" w:rsidP="00794EC0">
      <w:pPr>
        <w:pStyle w:val="Heading2"/>
        <w:rPr>
          <w:lang w:val="fr-FR"/>
        </w:rPr>
      </w:pPr>
      <w:r w:rsidRPr="004C0E7A">
        <w:rPr>
          <w:lang w:val="fr-FR"/>
        </w:rPr>
        <w:t xml:space="preserve">Le </w:t>
      </w:r>
      <w:r w:rsidR="00794EC0">
        <w:rPr>
          <w:lang w:val="fr-FR"/>
        </w:rPr>
        <w:t>v</w:t>
      </w:r>
      <w:r w:rsidRPr="004C0E7A">
        <w:rPr>
          <w:lang w:val="fr-FR"/>
        </w:rPr>
        <w:t>érificateur externe des comptes</w:t>
      </w:r>
    </w:p>
    <w:p w:rsidR="007F4F40" w:rsidRPr="004C0E7A" w:rsidRDefault="00D434E2" w:rsidP="004C0E7A">
      <w:pPr>
        <w:pStyle w:val="ONUMFS"/>
        <w:rPr>
          <w:lang w:val="fr-FR"/>
        </w:rPr>
      </w:pPr>
      <w:r w:rsidRPr="004C0E7A">
        <w:rPr>
          <w:lang w:val="fr-FR"/>
        </w:rPr>
        <w:t>La DSI entretient d</w:t>
      </w:r>
      <w:r w:rsidR="000055C7" w:rsidRPr="004C0E7A">
        <w:rPr>
          <w:lang w:val="fr-FR"/>
        </w:rPr>
        <w:t>’</w:t>
      </w:r>
      <w:r w:rsidRPr="004C0E7A">
        <w:rPr>
          <w:lang w:val="fr-FR"/>
        </w:rPr>
        <w:t>excellentes relations de travail avec le vérificateur externe des comptes au moyen de réunions régulières sur les questions d</w:t>
      </w:r>
      <w:r w:rsidR="000055C7" w:rsidRPr="004C0E7A">
        <w:rPr>
          <w:lang w:val="fr-FR"/>
        </w:rPr>
        <w:t>’</w:t>
      </w:r>
      <w:r w:rsidRPr="004C0E7A">
        <w:rPr>
          <w:lang w:val="fr-FR"/>
        </w:rPr>
        <w:t>audit, de contrôle interne et de gestion des risques.</w:t>
      </w:r>
      <w:r w:rsidR="00E32ADE" w:rsidRPr="004C0E7A">
        <w:rPr>
          <w:lang w:val="fr-FR"/>
        </w:rPr>
        <w:t xml:space="preserve">  </w:t>
      </w:r>
      <w:r w:rsidRPr="004C0E7A">
        <w:rPr>
          <w:lang w:val="fr-FR"/>
        </w:rPr>
        <w:t>Le vérificateur externe des comptes et</w:t>
      </w:r>
      <w:r w:rsidR="000055C7" w:rsidRPr="004C0E7A">
        <w:rPr>
          <w:lang w:val="fr-FR"/>
        </w:rPr>
        <w:t xml:space="preserve"> la DSI</w:t>
      </w:r>
      <w:r w:rsidRPr="004C0E7A">
        <w:rPr>
          <w:lang w:val="fr-FR"/>
        </w:rPr>
        <w:t xml:space="preserve"> ont partagé leurs stratégies, programmes de travail et rapports individuels en vue d</w:t>
      </w:r>
      <w:r w:rsidR="000055C7" w:rsidRPr="004C0E7A">
        <w:rPr>
          <w:lang w:val="fr-FR"/>
        </w:rPr>
        <w:t>’</w:t>
      </w:r>
      <w:r w:rsidRPr="004C0E7A">
        <w:rPr>
          <w:lang w:val="fr-FR"/>
        </w:rPr>
        <w:t>assurer une couverture de supervision efficace et d</w:t>
      </w:r>
      <w:r w:rsidR="000055C7" w:rsidRPr="004C0E7A">
        <w:rPr>
          <w:lang w:val="fr-FR"/>
        </w:rPr>
        <w:t>’</w:t>
      </w:r>
      <w:r w:rsidRPr="004C0E7A">
        <w:rPr>
          <w:lang w:val="fr-FR"/>
        </w:rPr>
        <w:t>éviter tout chevauchement inutile et toute lassitude en matière de supervision.</w:t>
      </w:r>
    </w:p>
    <w:p w:rsidR="007F4F40" w:rsidRPr="004C0E7A" w:rsidRDefault="00794EC0" w:rsidP="00794EC0">
      <w:pPr>
        <w:pStyle w:val="Heading1"/>
        <w:rPr>
          <w:lang w:val="fr-FR"/>
        </w:rPr>
      </w:pPr>
      <w:bookmarkStart w:id="19" w:name="_Toc424911476"/>
      <w:r>
        <w:rPr>
          <w:lang w:val="fr-FR"/>
        </w:rPr>
        <w:t>C</w:t>
      </w:r>
      <w:r w:rsidR="00D434E2" w:rsidRPr="004C0E7A">
        <w:rPr>
          <w:lang w:val="fr-FR"/>
        </w:rPr>
        <w:t>oopération avec</w:t>
      </w:r>
      <w:r w:rsidR="000055C7" w:rsidRPr="004C0E7A">
        <w:rPr>
          <w:lang w:val="fr-FR"/>
        </w:rPr>
        <w:t xml:space="preserve"> le </w:t>
      </w:r>
      <w:r>
        <w:rPr>
          <w:lang w:val="fr-FR"/>
        </w:rPr>
        <w:t>Bureau du</w:t>
      </w:r>
      <w:r w:rsidR="00D434E2" w:rsidRPr="004C0E7A">
        <w:rPr>
          <w:lang w:val="fr-FR"/>
        </w:rPr>
        <w:t xml:space="preserve"> médiateur et le Bureau de la déontologie</w:t>
      </w:r>
      <w:bookmarkEnd w:id="19"/>
    </w:p>
    <w:p w:rsidR="007F4F40" w:rsidRPr="004C0E7A" w:rsidRDefault="00D434E2" w:rsidP="004C0E7A">
      <w:pPr>
        <w:pStyle w:val="ONUMFS"/>
        <w:rPr>
          <w:lang w:val="fr-FR"/>
        </w:rPr>
      </w:pPr>
      <w:r w:rsidRPr="004C0E7A">
        <w:rPr>
          <w:lang w:val="fr-FR"/>
        </w:rPr>
        <w:t>Au cours de la période couverte par le présent rapport, le directeur de</w:t>
      </w:r>
      <w:r w:rsidR="000055C7" w:rsidRPr="004C0E7A">
        <w:rPr>
          <w:lang w:val="fr-FR"/>
        </w:rPr>
        <w:t xml:space="preserve"> la DSI</w:t>
      </w:r>
      <w:r w:rsidRPr="004C0E7A">
        <w:rPr>
          <w:lang w:val="fr-FR"/>
        </w:rPr>
        <w:t xml:space="preserve"> s</w:t>
      </w:r>
      <w:r w:rsidR="000055C7" w:rsidRPr="004C0E7A">
        <w:rPr>
          <w:lang w:val="fr-FR"/>
        </w:rPr>
        <w:t>’</w:t>
      </w:r>
      <w:r w:rsidRPr="004C0E7A">
        <w:rPr>
          <w:lang w:val="fr-FR"/>
        </w:rPr>
        <w:t>est entretenu régulièrement avec la médiatrice et le chef du Bureau de la déontologie, conformément à la Charte de la supervision interne, pour assurer une bonne coordination et éviter toute répétition inutile des activités.</w:t>
      </w:r>
    </w:p>
    <w:p w:rsidR="007F4F40" w:rsidRPr="004C0E7A" w:rsidRDefault="00D434E2" w:rsidP="00794EC0">
      <w:pPr>
        <w:pStyle w:val="Heading1"/>
        <w:rPr>
          <w:lang w:val="fr-FR"/>
        </w:rPr>
      </w:pPr>
      <w:bookmarkStart w:id="20" w:name="_Toc424911477"/>
      <w:r w:rsidRPr="004C0E7A">
        <w:rPr>
          <w:lang w:val="fr-FR"/>
        </w:rPr>
        <w:t>Autres activités de supervision</w:t>
      </w:r>
      <w:bookmarkEnd w:id="20"/>
    </w:p>
    <w:p w:rsidR="007F4F40" w:rsidRPr="004C0E7A" w:rsidRDefault="00794EC0" w:rsidP="00794EC0">
      <w:pPr>
        <w:pStyle w:val="Heading2"/>
        <w:spacing w:before="0"/>
        <w:rPr>
          <w:lang w:val="fr-FR"/>
        </w:rPr>
      </w:pPr>
      <w:r>
        <w:rPr>
          <w:lang w:val="fr-FR"/>
        </w:rPr>
        <w:t>A</w:t>
      </w:r>
      <w:r w:rsidR="00D434E2" w:rsidRPr="004C0E7A">
        <w:rPr>
          <w:lang w:val="fr-FR"/>
        </w:rPr>
        <w:t>ctivités de sensibilisation au sein de l</w:t>
      </w:r>
      <w:r w:rsidR="000055C7" w:rsidRPr="004C0E7A">
        <w:rPr>
          <w:lang w:val="fr-FR"/>
        </w:rPr>
        <w:t>’</w:t>
      </w:r>
      <w:r>
        <w:rPr>
          <w:lang w:val="fr-FR"/>
        </w:rPr>
        <w:t>O</w:t>
      </w:r>
      <w:r w:rsidR="00D434E2" w:rsidRPr="004C0E7A">
        <w:rPr>
          <w:lang w:val="fr-FR"/>
        </w:rPr>
        <w:t>rganisation</w:t>
      </w:r>
    </w:p>
    <w:p w:rsidR="000055C7" w:rsidRPr="004C0E7A" w:rsidRDefault="00396777" w:rsidP="004C0E7A">
      <w:pPr>
        <w:pStyle w:val="ONUMFS"/>
        <w:rPr>
          <w:lang w:val="fr-FR"/>
        </w:rPr>
      </w:pPr>
      <w:r w:rsidRPr="004C0E7A">
        <w:rPr>
          <w:lang w:val="fr-FR"/>
        </w:rPr>
        <w:t>Au titre des efforts qu</w:t>
      </w:r>
      <w:r w:rsidR="000055C7" w:rsidRPr="004C0E7A">
        <w:rPr>
          <w:lang w:val="fr-FR"/>
        </w:rPr>
        <w:t>’</w:t>
      </w:r>
      <w:r w:rsidRPr="004C0E7A">
        <w:rPr>
          <w:lang w:val="fr-FR"/>
        </w:rPr>
        <w:t>elle déploie pour mieux expliquer et faire comprendre son travail,</w:t>
      </w:r>
      <w:r w:rsidR="000055C7" w:rsidRPr="004C0E7A">
        <w:rPr>
          <w:lang w:val="fr-FR"/>
        </w:rPr>
        <w:t xml:space="preserve"> la DSI</w:t>
      </w:r>
      <w:r w:rsidRPr="004C0E7A">
        <w:rPr>
          <w:lang w:val="fr-FR"/>
        </w:rPr>
        <w:t xml:space="preserve"> a pris plusieurs initiatives de sensibilisation à l</w:t>
      </w:r>
      <w:r w:rsidR="000055C7" w:rsidRPr="004C0E7A">
        <w:rPr>
          <w:lang w:val="fr-FR"/>
        </w:rPr>
        <w:t>’</w:t>
      </w:r>
      <w:r w:rsidRPr="004C0E7A">
        <w:rPr>
          <w:lang w:val="fr-FR"/>
        </w:rPr>
        <w:t>intention du personnel de l</w:t>
      </w:r>
      <w:r w:rsidR="000055C7" w:rsidRPr="004C0E7A">
        <w:rPr>
          <w:lang w:val="fr-FR"/>
        </w:rPr>
        <w:t>’</w:t>
      </w:r>
      <w:r w:rsidRPr="004C0E7A">
        <w:rPr>
          <w:lang w:val="fr-FR"/>
        </w:rPr>
        <w:t>OMPI, notamment l</w:t>
      </w:r>
      <w:r w:rsidR="000055C7" w:rsidRPr="004C0E7A">
        <w:rPr>
          <w:lang w:val="fr-FR"/>
        </w:rPr>
        <w:t>’</w:t>
      </w:r>
      <w:r w:rsidRPr="004C0E7A">
        <w:rPr>
          <w:lang w:val="fr-FR"/>
        </w:rPr>
        <w:t>organisation de cours d</w:t>
      </w:r>
      <w:r w:rsidR="000055C7" w:rsidRPr="004C0E7A">
        <w:rPr>
          <w:lang w:val="fr-FR"/>
        </w:rPr>
        <w:t>’</w:t>
      </w:r>
      <w:r w:rsidRPr="004C0E7A">
        <w:rPr>
          <w:lang w:val="fr-FR"/>
        </w:rPr>
        <w:t>initiation à l</w:t>
      </w:r>
      <w:r w:rsidR="000055C7" w:rsidRPr="004C0E7A">
        <w:rPr>
          <w:lang w:val="fr-FR"/>
        </w:rPr>
        <w:t>’</w:t>
      </w:r>
      <w:r w:rsidRPr="004C0E7A">
        <w:rPr>
          <w:lang w:val="fr-FR"/>
        </w:rPr>
        <w:t>intention des nouveaux fonctionnaires, le bulletin de</w:t>
      </w:r>
      <w:r w:rsidR="000055C7" w:rsidRPr="004C0E7A">
        <w:rPr>
          <w:lang w:val="fr-FR"/>
        </w:rPr>
        <w:t xml:space="preserve"> la DSI</w:t>
      </w:r>
      <w:r w:rsidRPr="004C0E7A">
        <w:rPr>
          <w:lang w:val="fr-FR"/>
        </w:rPr>
        <w:t xml:space="preserve"> et les exposés présentés aux directeurs et à la haute direction selon que de besoin.</w:t>
      </w:r>
    </w:p>
    <w:p w:rsidR="007F4F40" w:rsidRPr="004C0E7A" w:rsidRDefault="00396777" w:rsidP="00794EC0">
      <w:pPr>
        <w:pStyle w:val="Heading2"/>
        <w:rPr>
          <w:lang w:val="fr-FR"/>
        </w:rPr>
      </w:pPr>
      <w:r w:rsidRPr="004C0E7A">
        <w:rPr>
          <w:lang w:val="fr-FR"/>
        </w:rPr>
        <w:t>Enquête de satisfaction</w:t>
      </w:r>
    </w:p>
    <w:p w:rsidR="000055C7" w:rsidRPr="004C0E7A" w:rsidRDefault="00396777" w:rsidP="004C0E7A">
      <w:pPr>
        <w:pStyle w:val="ONUMFS"/>
        <w:rPr>
          <w:lang w:val="fr-FR"/>
        </w:rPr>
      </w:pPr>
      <w:r w:rsidRPr="004C0E7A">
        <w:rPr>
          <w:lang w:val="fr-FR"/>
        </w:rPr>
        <w:t>La DSI a continué d</w:t>
      </w:r>
      <w:r w:rsidR="000055C7" w:rsidRPr="004C0E7A">
        <w:rPr>
          <w:lang w:val="fr-FR"/>
        </w:rPr>
        <w:t>’</w:t>
      </w:r>
      <w:r w:rsidRPr="004C0E7A">
        <w:rPr>
          <w:lang w:val="fr-FR"/>
        </w:rPr>
        <w:t>utiliser des enquêtes sur le niveau de satisfaction des clients après chaque mission, afin de mieux appréhender les attentes des collègues et de recueillir leur avis sur les activités de supervision.</w:t>
      </w:r>
      <w:r w:rsidR="005242EE" w:rsidRPr="004C0E7A">
        <w:rPr>
          <w:lang w:val="fr-FR"/>
        </w:rPr>
        <w:t xml:space="preserve">  </w:t>
      </w:r>
      <w:r w:rsidRPr="004C0E7A">
        <w:rPr>
          <w:lang w:val="fr-FR"/>
        </w:rPr>
        <w:t>Quatre</w:t>
      </w:r>
      <w:r w:rsidR="00045FD8" w:rsidRPr="004C0E7A">
        <w:rPr>
          <w:lang w:val="fr-FR"/>
        </w:rPr>
        <w:t> </w:t>
      </w:r>
      <w:r w:rsidRPr="004C0E7A">
        <w:rPr>
          <w:lang w:val="fr-FR"/>
        </w:rPr>
        <w:t>enquêtes ont été reçues pendant la période couverte par le présent rapport.</w:t>
      </w:r>
    </w:p>
    <w:p w:rsidR="000055C7" w:rsidRPr="004C0E7A" w:rsidRDefault="00396777" w:rsidP="004C0E7A">
      <w:pPr>
        <w:pStyle w:val="ONUMFS"/>
        <w:rPr>
          <w:lang w:val="fr-FR"/>
        </w:rPr>
      </w:pPr>
      <w:r w:rsidRPr="004C0E7A">
        <w:rPr>
          <w:lang w:val="fr-FR"/>
        </w:rPr>
        <w:t>L</w:t>
      </w:r>
      <w:r w:rsidRPr="00794EC0">
        <w:rPr>
          <w:lang w:val="fr-FR"/>
        </w:rPr>
        <w:t>e taux de satisfaction globale est resté stable à 83%.</w:t>
      </w:r>
      <w:r w:rsidR="00174A63" w:rsidRPr="00794EC0">
        <w:rPr>
          <w:lang w:val="fr-FR"/>
        </w:rPr>
        <w:t xml:space="preserve"> </w:t>
      </w:r>
      <w:r w:rsidR="00CA196F" w:rsidRPr="00794EC0">
        <w:rPr>
          <w:lang w:val="fr-FR"/>
        </w:rPr>
        <w:t xml:space="preserve"> </w:t>
      </w:r>
      <w:r w:rsidR="00624386" w:rsidRPr="00794EC0">
        <w:rPr>
          <w:lang w:val="fr-FR"/>
        </w:rPr>
        <w:t>Si le</w:t>
      </w:r>
      <w:r w:rsidR="00624386" w:rsidRPr="004C0E7A">
        <w:rPr>
          <w:lang w:val="fr-FR"/>
        </w:rPr>
        <w:t>s personnes ayant participé à l</w:t>
      </w:r>
      <w:r w:rsidR="000055C7" w:rsidRPr="004C0E7A">
        <w:rPr>
          <w:lang w:val="fr-FR"/>
        </w:rPr>
        <w:t>’</w:t>
      </w:r>
      <w:r w:rsidR="00624386" w:rsidRPr="004C0E7A">
        <w:rPr>
          <w:lang w:val="fr-FR"/>
        </w:rPr>
        <w:t xml:space="preserve">enquête considéraient que </w:t>
      </w:r>
      <w:r w:rsidR="00045FD8" w:rsidRPr="004C0E7A">
        <w:rPr>
          <w:lang w:val="fr-FR"/>
        </w:rPr>
        <w:t>“</w:t>
      </w:r>
      <w:r w:rsidR="00624386" w:rsidRPr="004C0E7A">
        <w:rPr>
          <w:lang w:val="fr-FR"/>
        </w:rPr>
        <w:t>les secteurs retenus pour l</w:t>
      </w:r>
      <w:r w:rsidR="000055C7" w:rsidRPr="004C0E7A">
        <w:rPr>
          <w:lang w:val="fr-FR"/>
        </w:rPr>
        <w:t>’</w:t>
      </w:r>
      <w:r w:rsidR="00624386" w:rsidRPr="004C0E7A">
        <w:rPr>
          <w:lang w:val="fr-FR"/>
        </w:rPr>
        <w:t>audit et l</w:t>
      </w:r>
      <w:r w:rsidR="000055C7" w:rsidRPr="004C0E7A">
        <w:rPr>
          <w:lang w:val="fr-FR"/>
        </w:rPr>
        <w:t>’</w:t>
      </w:r>
      <w:r w:rsidR="00624386" w:rsidRPr="004C0E7A">
        <w:rPr>
          <w:lang w:val="fr-FR"/>
        </w:rPr>
        <w:t>évaluation étaient importants pour le programme, le groupe ou le projet</w:t>
      </w:r>
      <w:r w:rsidR="00045FD8" w:rsidRPr="004C0E7A">
        <w:rPr>
          <w:lang w:val="fr-FR"/>
        </w:rPr>
        <w:t>”</w:t>
      </w:r>
      <w:r w:rsidR="00624386" w:rsidRPr="004C0E7A">
        <w:rPr>
          <w:lang w:val="fr-FR"/>
        </w:rPr>
        <w:t xml:space="preserve"> (93%), elles estimaient que</w:t>
      </w:r>
      <w:r w:rsidR="000055C7" w:rsidRPr="004C0E7A">
        <w:rPr>
          <w:lang w:val="fr-FR"/>
        </w:rPr>
        <w:t xml:space="preserve"> la DSI</w:t>
      </w:r>
      <w:r w:rsidR="00624386" w:rsidRPr="004C0E7A">
        <w:rPr>
          <w:lang w:val="fr-FR"/>
        </w:rPr>
        <w:t xml:space="preserve"> ne tenait pas dûment compte de leurs suggestions concernant les domaines de l</w:t>
      </w:r>
      <w:r w:rsidR="000055C7" w:rsidRPr="004C0E7A">
        <w:rPr>
          <w:lang w:val="fr-FR"/>
        </w:rPr>
        <w:t>’</w:t>
      </w:r>
      <w:r w:rsidR="00624386" w:rsidRPr="004C0E7A">
        <w:rPr>
          <w:lang w:val="fr-FR"/>
        </w:rPr>
        <w:t>audit ou de l</w:t>
      </w:r>
      <w:r w:rsidR="000055C7" w:rsidRPr="004C0E7A">
        <w:rPr>
          <w:lang w:val="fr-FR"/>
        </w:rPr>
        <w:t>’</w:t>
      </w:r>
      <w:r w:rsidR="00624386" w:rsidRPr="004C0E7A">
        <w:rPr>
          <w:lang w:val="fr-FR"/>
        </w:rPr>
        <w:t>évaluation (73%).</w:t>
      </w:r>
    </w:p>
    <w:p w:rsidR="007F4F40" w:rsidRPr="004C0E7A" w:rsidRDefault="00604F19" w:rsidP="004C0E7A">
      <w:pPr>
        <w:pStyle w:val="ONUMFS"/>
        <w:rPr>
          <w:lang w:val="fr-FR"/>
        </w:rPr>
      </w:pPr>
      <w:r w:rsidRPr="004C0E7A">
        <w:rPr>
          <w:lang w:val="fr-FR"/>
        </w:rPr>
        <w:t>Les résultats des enquêtes effectuées un an après les missions (au nombre de six), utilisés pour mesurer les incidences à moyen terme des activités de supervision, ont indiqué que l</w:t>
      </w:r>
      <w:r w:rsidR="000055C7" w:rsidRPr="004C0E7A">
        <w:rPr>
          <w:lang w:val="fr-FR"/>
        </w:rPr>
        <w:t>’</w:t>
      </w:r>
      <w:r w:rsidRPr="004C0E7A">
        <w:rPr>
          <w:lang w:val="fr-FR"/>
        </w:rPr>
        <w:t>utilité générale de l</w:t>
      </w:r>
      <w:r w:rsidR="000055C7" w:rsidRPr="004C0E7A">
        <w:rPr>
          <w:lang w:val="fr-FR"/>
        </w:rPr>
        <w:t>’</w:t>
      </w:r>
      <w:r w:rsidRPr="004C0E7A">
        <w:rPr>
          <w:lang w:val="fr-FR"/>
        </w:rPr>
        <w:t>audit ou de l</w:t>
      </w:r>
      <w:r w:rsidR="000055C7" w:rsidRPr="004C0E7A">
        <w:rPr>
          <w:lang w:val="fr-FR"/>
        </w:rPr>
        <w:t>’</w:t>
      </w:r>
      <w:r w:rsidRPr="004C0E7A">
        <w:rPr>
          <w:lang w:val="fr-FR"/>
        </w:rPr>
        <w:t xml:space="preserve">évaluation après une année correspondait à un taux de </w:t>
      </w:r>
      <w:r w:rsidRPr="004C0E7A">
        <w:rPr>
          <w:lang w:val="fr-FR"/>
        </w:rPr>
        <w:lastRenderedPageBreak/>
        <w:t>64%</w:t>
      </w:r>
      <w:r w:rsidR="00920E72" w:rsidRPr="004C0E7A">
        <w:rPr>
          <w:lang w:val="fr-FR"/>
        </w:rPr>
        <w:t xml:space="preserve">, </w:t>
      </w:r>
      <w:r w:rsidRPr="004C0E7A">
        <w:rPr>
          <w:lang w:val="fr-FR"/>
        </w:rPr>
        <w:t xml:space="preserve">tandis que le taux le plus élevé (70%) avait été atteint pour la </w:t>
      </w:r>
      <w:r w:rsidR="00045FD8" w:rsidRPr="004C0E7A">
        <w:rPr>
          <w:lang w:val="fr-FR"/>
        </w:rPr>
        <w:t>“</w:t>
      </w:r>
      <w:r w:rsidRPr="004C0E7A">
        <w:rPr>
          <w:lang w:val="fr-FR"/>
        </w:rPr>
        <w:t>pertinence des recommand</w:t>
      </w:r>
      <w:r w:rsidR="00920E72" w:rsidRPr="004C0E7A">
        <w:rPr>
          <w:lang w:val="fr-FR"/>
        </w:rPr>
        <w:t>ations</w:t>
      </w:r>
      <w:r w:rsidR="00045FD8" w:rsidRPr="004C0E7A">
        <w:rPr>
          <w:lang w:val="fr-FR"/>
        </w:rPr>
        <w:t>”.</w:t>
      </w:r>
      <w:r w:rsidR="00920E72" w:rsidRPr="004C0E7A">
        <w:rPr>
          <w:lang w:val="fr-FR"/>
        </w:rPr>
        <w:t xml:space="preserve">  Le taux le plus bas, à hauteur de</w:t>
      </w:r>
      <w:r w:rsidRPr="004C0E7A">
        <w:rPr>
          <w:lang w:val="fr-FR"/>
        </w:rPr>
        <w:t xml:space="preserve"> 45%, revenait à </w:t>
      </w:r>
      <w:r w:rsidR="00045FD8" w:rsidRPr="004C0E7A">
        <w:rPr>
          <w:lang w:val="fr-FR"/>
        </w:rPr>
        <w:t>“</w:t>
      </w:r>
      <w:r w:rsidRPr="004C0E7A">
        <w:rPr>
          <w:lang w:val="fr-FR"/>
        </w:rPr>
        <w:t>l</w:t>
      </w:r>
      <w:r w:rsidR="000055C7" w:rsidRPr="004C0E7A">
        <w:rPr>
          <w:lang w:val="fr-FR"/>
        </w:rPr>
        <w:t>’</w:t>
      </w:r>
      <w:r w:rsidRPr="004C0E7A">
        <w:rPr>
          <w:lang w:val="fr-FR"/>
        </w:rPr>
        <w:t>audit ou l</w:t>
      </w:r>
      <w:r w:rsidR="000055C7" w:rsidRPr="004C0E7A">
        <w:rPr>
          <w:lang w:val="fr-FR"/>
        </w:rPr>
        <w:t>’</w:t>
      </w:r>
      <w:r w:rsidRPr="004C0E7A">
        <w:rPr>
          <w:lang w:val="fr-FR"/>
        </w:rPr>
        <w:t>évaluation vous a aidé à prendre des décisions”.</w:t>
      </w:r>
    </w:p>
    <w:p w:rsidR="007F4F40" w:rsidRPr="004C0E7A" w:rsidRDefault="00604F19" w:rsidP="004C0E7A">
      <w:pPr>
        <w:pStyle w:val="ONUMFS"/>
        <w:rPr>
          <w:lang w:val="fr-FR"/>
        </w:rPr>
      </w:pPr>
      <w:r w:rsidRPr="004C0E7A">
        <w:rPr>
          <w:lang w:val="fr-FR"/>
        </w:rPr>
        <w:t>Les observations supplémentaires communiquées par les services ayant fait l</w:t>
      </w:r>
      <w:r w:rsidR="000055C7" w:rsidRPr="004C0E7A">
        <w:rPr>
          <w:lang w:val="fr-FR"/>
        </w:rPr>
        <w:t>’</w:t>
      </w:r>
      <w:r w:rsidRPr="004C0E7A">
        <w:rPr>
          <w:lang w:val="fr-FR"/>
        </w:rPr>
        <w:t>objet d</w:t>
      </w:r>
      <w:r w:rsidR="000055C7" w:rsidRPr="004C0E7A">
        <w:rPr>
          <w:lang w:val="fr-FR"/>
        </w:rPr>
        <w:t>’</w:t>
      </w:r>
      <w:r w:rsidRPr="004C0E7A">
        <w:rPr>
          <w:lang w:val="fr-FR"/>
        </w:rPr>
        <w:t>audits ou d</w:t>
      </w:r>
      <w:r w:rsidR="000055C7" w:rsidRPr="004C0E7A">
        <w:rPr>
          <w:lang w:val="fr-FR"/>
        </w:rPr>
        <w:t>’</w:t>
      </w:r>
      <w:r w:rsidRPr="004C0E7A">
        <w:rPr>
          <w:lang w:val="fr-FR"/>
        </w:rPr>
        <w:t>évaluations ont aidé</w:t>
      </w:r>
      <w:r w:rsidR="000055C7" w:rsidRPr="004C0E7A">
        <w:rPr>
          <w:lang w:val="fr-FR"/>
        </w:rPr>
        <w:t xml:space="preserve"> la DSI</w:t>
      </w:r>
      <w:r w:rsidRPr="004C0E7A">
        <w:rPr>
          <w:lang w:val="fr-FR"/>
        </w:rPr>
        <w:t xml:space="preserve"> à recenser les lacunes et à mettre en place des mesures correctrices.</w:t>
      </w:r>
    </w:p>
    <w:p w:rsidR="000055C7" w:rsidRPr="004C0E7A" w:rsidRDefault="00604F19" w:rsidP="00794EC0">
      <w:pPr>
        <w:pStyle w:val="Heading2"/>
        <w:rPr>
          <w:lang w:val="fr-FR"/>
        </w:rPr>
      </w:pPr>
      <w:r w:rsidRPr="004C0E7A">
        <w:rPr>
          <w:lang w:val="fr-FR"/>
        </w:rPr>
        <w:t>Création de réseaux avec d</w:t>
      </w:r>
      <w:r w:rsidR="000055C7" w:rsidRPr="004C0E7A">
        <w:rPr>
          <w:lang w:val="fr-FR"/>
        </w:rPr>
        <w:t>’</w:t>
      </w:r>
      <w:r w:rsidRPr="004C0E7A">
        <w:rPr>
          <w:lang w:val="fr-FR"/>
        </w:rPr>
        <w:t>autres fonctions de supervision</w:t>
      </w:r>
    </w:p>
    <w:p w:rsidR="007F4F40" w:rsidRPr="004C0E7A" w:rsidRDefault="00604F19" w:rsidP="004C0E7A">
      <w:pPr>
        <w:pStyle w:val="ONUMFS"/>
        <w:rPr>
          <w:lang w:val="fr-FR"/>
        </w:rPr>
      </w:pPr>
      <w:r w:rsidRPr="004C0E7A">
        <w:rPr>
          <w:lang w:val="fr-FR"/>
        </w:rPr>
        <w:t>La Charte de la supervision interne fait expressément état</w:t>
      </w:r>
      <w:r w:rsidRPr="004C0E7A">
        <w:rPr>
          <w:rStyle w:val="FootnoteReference"/>
          <w:lang w:val="fr-FR"/>
        </w:rPr>
        <w:footnoteReference w:id="12"/>
      </w:r>
      <w:r w:rsidRPr="004C0E7A">
        <w:rPr>
          <w:lang w:val="fr-FR"/>
        </w:rPr>
        <w:t xml:space="preserve"> de la participation à différents réseaux officiels des </w:t>
      </w:r>
      <w:r w:rsidR="000055C7" w:rsidRPr="004C0E7A">
        <w:rPr>
          <w:lang w:val="fr-FR"/>
        </w:rPr>
        <w:t>Nations Unies</w:t>
      </w:r>
      <w:r w:rsidRPr="004C0E7A">
        <w:rPr>
          <w:lang w:val="fr-FR"/>
        </w:rPr>
        <w:t xml:space="preserve"> en matière de supervision.</w:t>
      </w:r>
      <w:r w:rsidR="00E32ADE" w:rsidRPr="004C0E7A">
        <w:rPr>
          <w:lang w:val="fr-FR"/>
        </w:rPr>
        <w:t xml:space="preserve"> </w:t>
      </w:r>
      <w:r w:rsidR="000055C7" w:rsidRPr="004C0E7A">
        <w:rPr>
          <w:lang w:val="fr-FR"/>
        </w:rPr>
        <w:t xml:space="preserve"> La DSI</w:t>
      </w:r>
      <w:r w:rsidRPr="004C0E7A">
        <w:rPr>
          <w:lang w:val="fr-FR"/>
        </w:rPr>
        <w:t xml:space="preserve"> est consciente de la valeur et de l</w:t>
      </w:r>
      <w:r w:rsidR="000055C7" w:rsidRPr="004C0E7A">
        <w:rPr>
          <w:lang w:val="fr-FR"/>
        </w:rPr>
        <w:t>’</w:t>
      </w:r>
      <w:r w:rsidRPr="004C0E7A">
        <w:rPr>
          <w:lang w:val="fr-FR"/>
        </w:rPr>
        <w:t>importance que revêt l</w:t>
      </w:r>
      <w:r w:rsidR="000055C7" w:rsidRPr="004C0E7A">
        <w:rPr>
          <w:lang w:val="fr-FR"/>
        </w:rPr>
        <w:t>’</w:t>
      </w:r>
      <w:r w:rsidRPr="004C0E7A">
        <w:rPr>
          <w:lang w:val="fr-FR"/>
        </w:rPr>
        <w:t>établissement de relations de travail avec ses homologues.</w:t>
      </w:r>
      <w:r w:rsidR="00E32ADE" w:rsidRPr="004C0E7A">
        <w:rPr>
          <w:lang w:val="fr-FR"/>
        </w:rPr>
        <w:t xml:space="preserve">  </w:t>
      </w:r>
      <w:r w:rsidRPr="004C0E7A">
        <w:rPr>
          <w:lang w:val="fr-FR"/>
        </w:rPr>
        <w:t>Pendant la période considérée,</w:t>
      </w:r>
      <w:r w:rsidR="000055C7" w:rsidRPr="004C0E7A">
        <w:rPr>
          <w:lang w:val="fr-FR"/>
        </w:rPr>
        <w:t xml:space="preserve"> la DSI</w:t>
      </w:r>
      <w:r w:rsidRPr="004C0E7A">
        <w:rPr>
          <w:lang w:val="fr-FR"/>
        </w:rPr>
        <w:t xml:space="preserve"> a poursuivi activement et utilement ses activités de collaboration et de création de réseaux avec les autres organisations et entités des </w:t>
      </w:r>
      <w:r w:rsidR="000055C7" w:rsidRPr="004C0E7A">
        <w:rPr>
          <w:lang w:val="fr-FR"/>
        </w:rPr>
        <w:t>Nations Unies</w:t>
      </w:r>
      <w:r w:rsidRPr="004C0E7A">
        <w:rPr>
          <w:lang w:val="fr-FR"/>
        </w:rPr>
        <w:t>.</w:t>
      </w:r>
      <w:r w:rsidR="00E32ADE" w:rsidRPr="004C0E7A">
        <w:rPr>
          <w:lang w:val="fr-FR"/>
        </w:rPr>
        <w:t xml:space="preserve"> </w:t>
      </w:r>
      <w:r w:rsidR="000055C7" w:rsidRPr="004C0E7A">
        <w:rPr>
          <w:lang w:val="fr-FR"/>
        </w:rPr>
        <w:t xml:space="preserve"> La DSI</w:t>
      </w:r>
      <w:r w:rsidRPr="004C0E7A">
        <w:rPr>
          <w:lang w:val="fr-FR"/>
        </w:rPr>
        <w:t xml:space="preserve"> a notamment participé aux activités suivantes</w:t>
      </w:r>
      <w:r w:rsidR="00045FD8" w:rsidRPr="004C0E7A">
        <w:rPr>
          <w:lang w:val="fr-FR"/>
        </w:rPr>
        <w:t> </w:t>
      </w:r>
      <w:r w:rsidRPr="004C0E7A">
        <w:rPr>
          <w:lang w:val="fr-FR"/>
        </w:rPr>
        <w:t>:</w:t>
      </w:r>
    </w:p>
    <w:p w:rsidR="007F4F40" w:rsidRPr="004C0E7A" w:rsidRDefault="007642D5" w:rsidP="00794EC0">
      <w:pPr>
        <w:pStyle w:val="ONUMFS"/>
        <w:numPr>
          <w:ilvl w:val="1"/>
          <w:numId w:val="6"/>
        </w:numPr>
        <w:rPr>
          <w:lang w:val="fr-FR"/>
        </w:rPr>
      </w:pPr>
      <w:r w:rsidRPr="004C0E7A">
        <w:rPr>
          <w:lang w:val="fr-FR"/>
        </w:rPr>
        <w:t>q</w:t>
      </w:r>
      <w:r w:rsidR="00604F19" w:rsidRPr="004C0E7A">
        <w:rPr>
          <w:lang w:val="fr-FR"/>
        </w:rPr>
        <w:t>uarante</w:t>
      </w:r>
      <w:r w:rsidR="008E117E" w:rsidRPr="004C0E7A">
        <w:rPr>
          <w:lang w:val="fr-FR"/>
        </w:rPr>
        <w:noBreakHyphen/>
      </w:r>
      <w:r w:rsidR="00604F19" w:rsidRPr="004C0E7A">
        <w:rPr>
          <w:lang w:val="fr-FR"/>
        </w:rPr>
        <w:t>quatrième réunion annuelle des représentants des services d</w:t>
      </w:r>
      <w:r w:rsidR="000055C7" w:rsidRPr="004C0E7A">
        <w:rPr>
          <w:lang w:val="fr-FR"/>
        </w:rPr>
        <w:t>’</w:t>
      </w:r>
      <w:r w:rsidR="00604F19" w:rsidRPr="004C0E7A">
        <w:rPr>
          <w:lang w:val="fr-FR"/>
        </w:rPr>
        <w:t xml:space="preserve">audit interne des organismes des </w:t>
      </w:r>
      <w:r w:rsidR="000055C7" w:rsidRPr="004C0E7A">
        <w:rPr>
          <w:lang w:val="fr-FR"/>
        </w:rPr>
        <w:t>Nations Unies</w:t>
      </w:r>
      <w:r w:rsidR="00604F19" w:rsidRPr="004C0E7A">
        <w:rPr>
          <w:lang w:val="fr-FR"/>
        </w:rPr>
        <w:t xml:space="preserve">, Washington, </w:t>
      </w:r>
      <w:r w:rsidR="000055C7" w:rsidRPr="004C0E7A">
        <w:rPr>
          <w:lang w:val="fr-FR"/>
        </w:rPr>
        <w:t>septembre 20</w:t>
      </w:r>
      <w:r w:rsidR="005349FC" w:rsidRPr="004C0E7A">
        <w:rPr>
          <w:lang w:val="fr-FR"/>
        </w:rPr>
        <w:t>14;</w:t>
      </w:r>
    </w:p>
    <w:p w:rsidR="007F4F40" w:rsidRPr="004C0E7A" w:rsidRDefault="005349FC" w:rsidP="00794EC0">
      <w:pPr>
        <w:pStyle w:val="ONUMFS"/>
        <w:numPr>
          <w:ilvl w:val="1"/>
          <w:numId w:val="6"/>
        </w:numPr>
        <w:rPr>
          <w:lang w:val="fr-FR"/>
        </w:rPr>
      </w:pPr>
      <w:r w:rsidRPr="004C0E7A">
        <w:rPr>
          <w:lang w:val="fr-FR"/>
        </w:rPr>
        <w:t>r</w:t>
      </w:r>
      <w:r w:rsidR="00604F19" w:rsidRPr="004C0E7A">
        <w:rPr>
          <w:lang w:val="fr-FR"/>
        </w:rPr>
        <w:t xml:space="preserve">éunion annuelle du Groupe des </w:t>
      </w:r>
      <w:r w:rsidR="000055C7" w:rsidRPr="004C0E7A">
        <w:rPr>
          <w:lang w:val="fr-FR"/>
        </w:rPr>
        <w:t>Nations Unies</w:t>
      </w:r>
      <w:r w:rsidR="00604F19" w:rsidRPr="004C0E7A">
        <w:rPr>
          <w:lang w:val="fr-FR"/>
        </w:rPr>
        <w:t xml:space="preserve"> pour l</w:t>
      </w:r>
      <w:r w:rsidR="000055C7" w:rsidRPr="004C0E7A">
        <w:rPr>
          <w:lang w:val="fr-FR"/>
        </w:rPr>
        <w:t>’</w:t>
      </w:r>
      <w:r w:rsidR="00604F19" w:rsidRPr="004C0E7A">
        <w:rPr>
          <w:lang w:val="fr-FR"/>
        </w:rPr>
        <w:t>évaluation</w:t>
      </w:r>
      <w:r w:rsidRPr="004C0E7A">
        <w:rPr>
          <w:lang w:val="fr-FR"/>
        </w:rPr>
        <w:t xml:space="preserve"> (GNUE)</w:t>
      </w:r>
      <w:r w:rsidR="00604F19" w:rsidRPr="004C0E7A">
        <w:rPr>
          <w:lang w:val="fr-FR"/>
        </w:rPr>
        <w:t xml:space="preserve">, New York, </w:t>
      </w:r>
      <w:r w:rsidR="000055C7" w:rsidRPr="004C0E7A">
        <w:rPr>
          <w:lang w:val="fr-FR"/>
        </w:rPr>
        <w:t>avril 20</w:t>
      </w:r>
      <w:r w:rsidR="00604F19" w:rsidRPr="004C0E7A">
        <w:rPr>
          <w:lang w:val="fr-FR"/>
        </w:rPr>
        <w:t>15.</w:t>
      </w:r>
      <w:r w:rsidR="00E32ADE" w:rsidRPr="004C0E7A">
        <w:rPr>
          <w:lang w:val="fr-FR"/>
        </w:rPr>
        <w:t xml:space="preserve">  </w:t>
      </w:r>
      <w:r w:rsidR="007A46D6" w:rsidRPr="004C0E7A">
        <w:rPr>
          <w:lang w:val="fr-FR"/>
        </w:rPr>
        <w:t xml:space="preserve">Au cours de la période </w:t>
      </w:r>
      <w:r w:rsidRPr="004C0E7A">
        <w:rPr>
          <w:lang w:val="fr-FR"/>
        </w:rPr>
        <w:t>couverte par le présent rapport</w:t>
      </w:r>
      <w:r w:rsidR="007A46D6" w:rsidRPr="004C0E7A">
        <w:rPr>
          <w:lang w:val="fr-FR"/>
        </w:rPr>
        <w:t>,</w:t>
      </w:r>
      <w:r w:rsidR="000055C7" w:rsidRPr="004C0E7A">
        <w:rPr>
          <w:lang w:val="fr-FR"/>
        </w:rPr>
        <w:t xml:space="preserve"> la DSI</w:t>
      </w:r>
      <w:r w:rsidR="007A46D6" w:rsidRPr="004C0E7A">
        <w:rPr>
          <w:lang w:val="fr-FR"/>
        </w:rPr>
        <w:t xml:space="preserve"> a particip</w:t>
      </w:r>
      <w:r w:rsidRPr="004C0E7A">
        <w:rPr>
          <w:lang w:val="fr-FR"/>
        </w:rPr>
        <w:t>é aux travaux du sous</w:t>
      </w:r>
      <w:r w:rsidR="008E117E" w:rsidRPr="004C0E7A">
        <w:rPr>
          <w:lang w:val="fr-FR"/>
        </w:rPr>
        <w:noBreakHyphen/>
      </w:r>
      <w:r w:rsidRPr="004C0E7A">
        <w:rPr>
          <w:lang w:val="fr-FR"/>
        </w:rPr>
        <w:t>groupe</w:t>
      </w:r>
      <w:r w:rsidR="000055C7" w:rsidRPr="004C0E7A">
        <w:rPr>
          <w:lang w:val="fr-FR"/>
        </w:rPr>
        <w:t xml:space="preserve"> du GNU</w:t>
      </w:r>
      <w:r w:rsidRPr="004C0E7A">
        <w:rPr>
          <w:lang w:val="fr-FR"/>
        </w:rPr>
        <w:t xml:space="preserve">E </w:t>
      </w:r>
      <w:r w:rsidR="007A46D6" w:rsidRPr="004C0E7A">
        <w:rPr>
          <w:lang w:val="fr-FR"/>
        </w:rPr>
        <w:t>chargé de l</w:t>
      </w:r>
      <w:r w:rsidR="000055C7" w:rsidRPr="004C0E7A">
        <w:rPr>
          <w:lang w:val="fr-FR"/>
        </w:rPr>
        <w:t>’</w:t>
      </w:r>
      <w:r w:rsidR="007A46D6" w:rsidRPr="004C0E7A">
        <w:rPr>
          <w:lang w:val="fr-FR"/>
        </w:rPr>
        <w:t>objectif stratégique concernant les rè</w:t>
      </w:r>
      <w:r w:rsidRPr="004C0E7A">
        <w:rPr>
          <w:lang w:val="fr-FR"/>
        </w:rPr>
        <w:t>gles et les normes;</w:t>
      </w:r>
    </w:p>
    <w:p w:rsidR="007F4F40" w:rsidRPr="004C0E7A" w:rsidRDefault="007A46D6" w:rsidP="00794EC0">
      <w:pPr>
        <w:pStyle w:val="ONUMFS"/>
        <w:numPr>
          <w:ilvl w:val="1"/>
          <w:numId w:val="6"/>
        </w:numPr>
        <w:rPr>
          <w:lang w:val="fr-FR"/>
        </w:rPr>
      </w:pPr>
      <w:r w:rsidRPr="004C0E7A">
        <w:rPr>
          <w:lang w:val="fr-FR"/>
        </w:rPr>
        <w:t xml:space="preserve">quinzième conférence des </w:t>
      </w:r>
      <w:proofErr w:type="gramStart"/>
      <w:r w:rsidRPr="004C0E7A">
        <w:rPr>
          <w:lang w:val="fr-FR"/>
        </w:rPr>
        <w:t>enquêteurs internationaux et deuxième réuni</w:t>
      </w:r>
      <w:r w:rsidR="005349FC" w:rsidRPr="004C0E7A">
        <w:rPr>
          <w:lang w:val="fr-FR"/>
        </w:rPr>
        <w:t>o</w:t>
      </w:r>
      <w:r w:rsidRPr="004C0E7A">
        <w:rPr>
          <w:lang w:val="fr-FR"/>
        </w:rPr>
        <w:t>n</w:t>
      </w:r>
      <w:proofErr w:type="gramEnd"/>
      <w:r w:rsidRPr="004C0E7A">
        <w:rPr>
          <w:lang w:val="fr-FR"/>
        </w:rPr>
        <w:t xml:space="preserve"> des représentants des services d</w:t>
      </w:r>
      <w:r w:rsidR="000055C7" w:rsidRPr="004C0E7A">
        <w:rPr>
          <w:lang w:val="fr-FR"/>
        </w:rPr>
        <w:t>’</w:t>
      </w:r>
      <w:r w:rsidRPr="004C0E7A">
        <w:rPr>
          <w:lang w:val="fr-FR"/>
        </w:rPr>
        <w:t xml:space="preserve">enquête des </w:t>
      </w:r>
      <w:r w:rsidR="000055C7" w:rsidRPr="004C0E7A">
        <w:rPr>
          <w:lang w:val="fr-FR"/>
        </w:rPr>
        <w:t>Nations Unies</w:t>
      </w:r>
      <w:r w:rsidRPr="004C0E7A">
        <w:rPr>
          <w:lang w:val="fr-FR"/>
        </w:rPr>
        <w:t>, toutes deux</w:t>
      </w:r>
      <w:r w:rsidR="00045FD8" w:rsidRPr="004C0E7A">
        <w:rPr>
          <w:lang w:val="fr-FR"/>
        </w:rPr>
        <w:t> </w:t>
      </w:r>
      <w:r w:rsidRPr="004C0E7A">
        <w:rPr>
          <w:lang w:val="fr-FR"/>
        </w:rPr>
        <w:t xml:space="preserve">tenues à Riva </w:t>
      </w:r>
      <w:proofErr w:type="spellStart"/>
      <w:r w:rsidRPr="004C0E7A">
        <w:rPr>
          <w:lang w:val="fr-FR"/>
        </w:rPr>
        <w:t>del</w:t>
      </w:r>
      <w:proofErr w:type="spellEnd"/>
      <w:r w:rsidRPr="004C0E7A">
        <w:rPr>
          <w:lang w:val="fr-FR"/>
        </w:rPr>
        <w:t xml:space="preserve"> Garda (Italie) en octobre;  et</w:t>
      </w:r>
    </w:p>
    <w:p w:rsidR="007F4F40" w:rsidRPr="004C0E7A" w:rsidRDefault="007A46D6" w:rsidP="00794EC0">
      <w:pPr>
        <w:pStyle w:val="ONUMFS"/>
        <w:numPr>
          <w:ilvl w:val="1"/>
          <w:numId w:val="6"/>
        </w:numPr>
        <w:rPr>
          <w:lang w:val="fr-FR"/>
        </w:rPr>
      </w:pPr>
      <w:r w:rsidRPr="004C0E7A">
        <w:rPr>
          <w:lang w:val="fr-FR"/>
        </w:rPr>
        <w:t>réunion des chefs des services d</w:t>
      </w:r>
      <w:r w:rsidR="000055C7" w:rsidRPr="004C0E7A">
        <w:rPr>
          <w:lang w:val="fr-FR"/>
        </w:rPr>
        <w:t>’</w:t>
      </w:r>
      <w:r w:rsidRPr="004C0E7A">
        <w:rPr>
          <w:lang w:val="fr-FR"/>
        </w:rPr>
        <w:t xml:space="preserve">audit interne des organisations internationales basées en Europe, </w:t>
      </w:r>
      <w:r w:rsidR="005349FC" w:rsidRPr="004C0E7A">
        <w:rPr>
          <w:lang w:val="fr-FR"/>
        </w:rPr>
        <w:t>organisée</w:t>
      </w:r>
      <w:r w:rsidRPr="004C0E7A">
        <w:rPr>
          <w:lang w:val="fr-FR"/>
        </w:rPr>
        <w:t xml:space="preserve"> par l</w:t>
      </w:r>
      <w:r w:rsidR="000055C7" w:rsidRPr="004C0E7A">
        <w:rPr>
          <w:lang w:val="fr-FR"/>
        </w:rPr>
        <w:t>’</w:t>
      </w:r>
      <w:r w:rsidRPr="004C0E7A">
        <w:rPr>
          <w:lang w:val="fr-FR"/>
        </w:rPr>
        <w:t xml:space="preserve">Office européen des brevets à Munich (Allemagne) en </w:t>
      </w:r>
      <w:r w:rsidR="000055C7" w:rsidRPr="004C0E7A">
        <w:rPr>
          <w:lang w:val="fr-FR"/>
        </w:rPr>
        <w:t>avril 20</w:t>
      </w:r>
      <w:r w:rsidRPr="004C0E7A">
        <w:rPr>
          <w:lang w:val="fr-FR"/>
        </w:rPr>
        <w:t>15.</w:t>
      </w:r>
    </w:p>
    <w:p w:rsidR="000055C7" w:rsidRPr="004C0E7A" w:rsidRDefault="007A46D6" w:rsidP="00794EC0">
      <w:pPr>
        <w:pStyle w:val="Heading1"/>
        <w:rPr>
          <w:lang w:val="fr-FR"/>
        </w:rPr>
      </w:pPr>
      <w:bookmarkStart w:id="21" w:name="_Toc424911478"/>
      <w:r w:rsidRPr="004C0E7A">
        <w:rPr>
          <w:lang w:val="fr-FR"/>
        </w:rPr>
        <w:t>Ressources en matière de supervision</w:t>
      </w:r>
      <w:bookmarkEnd w:id="21"/>
    </w:p>
    <w:p w:rsidR="007F4F40" w:rsidRPr="004C0E7A" w:rsidRDefault="00CA3660" w:rsidP="004C0E7A">
      <w:pPr>
        <w:pStyle w:val="ONUMFS"/>
        <w:rPr>
          <w:b/>
          <w:bCs/>
          <w:caps/>
          <w:kern w:val="32"/>
          <w:szCs w:val="32"/>
          <w:lang w:val="fr-FR"/>
        </w:rPr>
      </w:pPr>
      <w:r w:rsidRPr="004C0E7A">
        <w:rPr>
          <w:lang w:val="fr-FR"/>
        </w:rPr>
        <w:t>En vertu de la Charte de la supervision interne</w:t>
      </w:r>
      <w:r w:rsidRPr="004C0E7A">
        <w:rPr>
          <w:rStyle w:val="FootnoteReference"/>
          <w:lang w:val="fr-FR"/>
        </w:rPr>
        <w:footnoteReference w:id="13"/>
      </w:r>
      <w:r w:rsidRPr="004C0E7A">
        <w:rPr>
          <w:lang w:val="fr-FR"/>
        </w:rPr>
        <w:t>, le directeur de</w:t>
      </w:r>
      <w:r w:rsidR="000055C7" w:rsidRPr="004C0E7A">
        <w:rPr>
          <w:lang w:val="fr-FR"/>
        </w:rPr>
        <w:t xml:space="preserve"> la DSI</w:t>
      </w:r>
      <w:r w:rsidRPr="004C0E7A">
        <w:rPr>
          <w:lang w:val="fr-FR"/>
        </w:rPr>
        <w:t xml:space="preserve"> fait part de ses observations sur l</w:t>
      </w:r>
      <w:r w:rsidR="000055C7" w:rsidRPr="004C0E7A">
        <w:rPr>
          <w:lang w:val="fr-FR"/>
        </w:rPr>
        <w:t>’</w:t>
      </w:r>
      <w:r w:rsidRPr="004C0E7A">
        <w:rPr>
          <w:lang w:val="fr-FR"/>
        </w:rPr>
        <w:t>indépendance des activités de la Division, la portée de celles</w:t>
      </w:r>
      <w:r w:rsidR="008E117E" w:rsidRPr="004C0E7A">
        <w:rPr>
          <w:lang w:val="fr-FR"/>
        </w:rPr>
        <w:noBreakHyphen/>
      </w:r>
      <w:r w:rsidRPr="004C0E7A">
        <w:rPr>
          <w:lang w:val="fr-FR"/>
        </w:rPr>
        <w:t>ci et la question de savoir si les ressources allouées à la fonction de supervision interne sont adaptées.</w:t>
      </w:r>
    </w:p>
    <w:p w:rsidR="007F4F40" w:rsidRPr="004C0E7A" w:rsidRDefault="00CA3660" w:rsidP="004C0E7A">
      <w:pPr>
        <w:pStyle w:val="ONUMFS"/>
        <w:rPr>
          <w:lang w:val="fr-FR"/>
        </w:rPr>
      </w:pPr>
      <w:r w:rsidRPr="004C0E7A">
        <w:rPr>
          <w:lang w:val="fr-FR"/>
        </w:rPr>
        <w:t>Au cours de la période considérée, aucun cas ni aucune activité n</w:t>
      </w:r>
      <w:r w:rsidR="000055C7" w:rsidRPr="004C0E7A">
        <w:rPr>
          <w:lang w:val="fr-FR"/>
        </w:rPr>
        <w:t>’</w:t>
      </w:r>
      <w:r w:rsidRPr="004C0E7A">
        <w:rPr>
          <w:lang w:val="fr-FR"/>
        </w:rPr>
        <w:t xml:space="preserve">ont été observés qui </w:t>
      </w:r>
      <w:r w:rsidR="005349FC" w:rsidRPr="004C0E7A">
        <w:rPr>
          <w:lang w:val="fr-FR"/>
        </w:rPr>
        <w:t>aur</w:t>
      </w:r>
      <w:r w:rsidRPr="004C0E7A">
        <w:rPr>
          <w:lang w:val="fr-FR"/>
        </w:rPr>
        <w:t xml:space="preserve">aient </w:t>
      </w:r>
      <w:r w:rsidR="005349FC" w:rsidRPr="004C0E7A">
        <w:rPr>
          <w:lang w:val="fr-FR"/>
        </w:rPr>
        <w:t xml:space="preserve">pu </w:t>
      </w:r>
      <w:r w:rsidRPr="004C0E7A">
        <w:rPr>
          <w:lang w:val="fr-FR"/>
        </w:rPr>
        <w:t>mettre en péril l</w:t>
      </w:r>
      <w:r w:rsidR="000055C7" w:rsidRPr="004C0E7A">
        <w:rPr>
          <w:lang w:val="fr-FR"/>
        </w:rPr>
        <w:t>’</w:t>
      </w:r>
      <w:r w:rsidRPr="004C0E7A">
        <w:rPr>
          <w:lang w:val="fr-FR"/>
        </w:rPr>
        <w:t>indépendance des activités de</w:t>
      </w:r>
      <w:r w:rsidR="000055C7" w:rsidRPr="004C0E7A">
        <w:rPr>
          <w:lang w:val="fr-FR"/>
        </w:rPr>
        <w:t xml:space="preserve"> la DSI</w:t>
      </w:r>
      <w:r w:rsidRPr="004C0E7A">
        <w:rPr>
          <w:lang w:val="fr-FR"/>
        </w:rPr>
        <w:t xml:space="preserve">.  La portée des activités a été </w:t>
      </w:r>
      <w:r w:rsidR="005349FC" w:rsidRPr="004C0E7A">
        <w:rPr>
          <w:lang w:val="fr-FR"/>
        </w:rPr>
        <w:t>déterminée</w:t>
      </w:r>
      <w:r w:rsidRPr="004C0E7A">
        <w:rPr>
          <w:lang w:val="fr-FR"/>
        </w:rPr>
        <w:t xml:space="preserve"> par la Division elle</w:t>
      </w:r>
      <w:r w:rsidR="008E117E" w:rsidRPr="004C0E7A">
        <w:rPr>
          <w:lang w:val="fr-FR"/>
        </w:rPr>
        <w:noBreakHyphen/>
      </w:r>
      <w:r w:rsidRPr="004C0E7A">
        <w:rPr>
          <w:lang w:val="fr-FR"/>
        </w:rPr>
        <w:t xml:space="preserve">même, compte tenu des commentaires et </w:t>
      </w:r>
      <w:proofErr w:type="gramStart"/>
      <w:r w:rsidRPr="004C0E7A">
        <w:rPr>
          <w:lang w:val="fr-FR"/>
        </w:rPr>
        <w:t>des observati</w:t>
      </w:r>
      <w:r w:rsidR="001325CF" w:rsidRPr="004C0E7A">
        <w:rPr>
          <w:lang w:val="fr-FR"/>
        </w:rPr>
        <w:t xml:space="preserve">ons </w:t>
      </w:r>
      <w:r w:rsidRPr="004C0E7A">
        <w:rPr>
          <w:lang w:val="fr-FR"/>
        </w:rPr>
        <w:t>formulés</w:t>
      </w:r>
      <w:proofErr w:type="gramEnd"/>
      <w:r w:rsidRPr="004C0E7A">
        <w:rPr>
          <w:lang w:val="fr-FR"/>
        </w:rPr>
        <w:t xml:space="preserve"> par la direction de l</w:t>
      </w:r>
      <w:r w:rsidR="000055C7" w:rsidRPr="004C0E7A">
        <w:rPr>
          <w:lang w:val="fr-FR"/>
        </w:rPr>
        <w:t>’</w:t>
      </w:r>
      <w:r w:rsidRPr="004C0E7A">
        <w:rPr>
          <w:lang w:val="fr-FR"/>
        </w:rPr>
        <w:t>OMPI, l</w:t>
      </w:r>
      <w:r w:rsidR="000055C7" w:rsidRPr="004C0E7A">
        <w:rPr>
          <w:lang w:val="fr-FR"/>
        </w:rPr>
        <w:t>’</w:t>
      </w:r>
      <w:r w:rsidRPr="004C0E7A">
        <w:rPr>
          <w:lang w:val="fr-FR"/>
        </w:rPr>
        <w:t>OCIS et les États membres.</w:t>
      </w:r>
    </w:p>
    <w:p w:rsidR="007F4F40" w:rsidRPr="004C0E7A" w:rsidRDefault="00CA3660" w:rsidP="00794EC0">
      <w:pPr>
        <w:pStyle w:val="Heading2"/>
        <w:rPr>
          <w:lang w:val="fr-FR"/>
        </w:rPr>
      </w:pPr>
      <w:r w:rsidRPr="004C0E7A">
        <w:rPr>
          <w:lang w:val="fr-FR"/>
        </w:rPr>
        <w:t>Budget et effectifs</w:t>
      </w:r>
    </w:p>
    <w:p w:rsidR="007F4F40" w:rsidRPr="004C0E7A" w:rsidRDefault="00206602" w:rsidP="004C0E7A">
      <w:pPr>
        <w:pStyle w:val="ONUMFS"/>
        <w:rPr>
          <w:lang w:val="fr-FR"/>
        </w:rPr>
      </w:pPr>
      <w:r w:rsidRPr="004C0E7A">
        <w:rPr>
          <w:lang w:val="fr-FR"/>
        </w:rPr>
        <w:t>Les effectifs de</w:t>
      </w:r>
      <w:r w:rsidR="000055C7" w:rsidRPr="004C0E7A">
        <w:rPr>
          <w:lang w:val="fr-FR"/>
        </w:rPr>
        <w:t xml:space="preserve"> la DSI</w:t>
      </w:r>
      <w:r w:rsidRPr="004C0E7A">
        <w:rPr>
          <w:lang w:val="fr-FR"/>
        </w:rPr>
        <w:t xml:space="preserve">, qui étaient une source de préoccupation dans le passé, ont été renforcés et comptent </w:t>
      </w:r>
      <w:r w:rsidR="00637FDD" w:rsidRPr="004C0E7A">
        <w:rPr>
          <w:lang w:val="fr-FR"/>
        </w:rPr>
        <w:t>11 </w:t>
      </w:r>
      <w:r w:rsidRPr="004C0E7A">
        <w:rPr>
          <w:lang w:val="fr-FR"/>
        </w:rPr>
        <w:t>fonctionnaires</w:t>
      </w:r>
      <w:r w:rsidRPr="004C0E7A">
        <w:rPr>
          <w:rStyle w:val="FootnoteReference"/>
          <w:lang w:val="fr-FR"/>
        </w:rPr>
        <w:footnoteReference w:id="14"/>
      </w:r>
      <w:r w:rsidRPr="004C0E7A">
        <w:rPr>
          <w:lang w:val="fr-FR"/>
        </w:rPr>
        <w:t xml:space="preserve"> depuis</w:t>
      </w:r>
      <w:r w:rsidR="00045FD8" w:rsidRPr="004C0E7A">
        <w:rPr>
          <w:lang w:val="fr-FR"/>
        </w:rPr>
        <w:t> </w:t>
      </w:r>
      <w:r w:rsidRPr="004C0E7A">
        <w:rPr>
          <w:lang w:val="fr-FR"/>
        </w:rPr>
        <w:t>2012.</w:t>
      </w:r>
      <w:r w:rsidR="00E32ADE" w:rsidRPr="004C0E7A">
        <w:rPr>
          <w:lang w:val="fr-FR"/>
        </w:rPr>
        <w:t xml:space="preserve">  </w:t>
      </w:r>
      <w:r w:rsidRPr="004C0E7A">
        <w:rPr>
          <w:lang w:val="fr-FR"/>
        </w:rPr>
        <w:t>Durant l</w:t>
      </w:r>
      <w:r w:rsidR="000055C7" w:rsidRPr="004C0E7A">
        <w:rPr>
          <w:lang w:val="fr-FR"/>
        </w:rPr>
        <w:t>’</w:t>
      </w:r>
      <w:r w:rsidRPr="004C0E7A">
        <w:rPr>
          <w:lang w:val="fr-FR"/>
        </w:rPr>
        <w:t>exercice biennal</w:t>
      </w:r>
      <w:r w:rsidR="00045FD8" w:rsidRPr="004C0E7A">
        <w:rPr>
          <w:lang w:val="fr-FR"/>
        </w:rPr>
        <w:t> </w:t>
      </w:r>
      <w:r w:rsidRPr="004C0E7A">
        <w:rPr>
          <w:lang w:val="fr-FR"/>
        </w:rPr>
        <w:t>2014</w:t>
      </w:r>
      <w:r w:rsidR="008E117E" w:rsidRPr="004C0E7A">
        <w:rPr>
          <w:lang w:val="fr-FR"/>
        </w:rPr>
        <w:noBreakHyphen/>
      </w:r>
      <w:r w:rsidRPr="004C0E7A">
        <w:rPr>
          <w:lang w:val="fr-FR"/>
        </w:rPr>
        <w:t xml:space="preserve">2015, les ressources financières allouées à des experts extérieurs ont été suffisantes pour engager </w:t>
      </w:r>
      <w:r w:rsidRPr="004C0E7A">
        <w:rPr>
          <w:lang w:val="fr-FR"/>
        </w:rPr>
        <w:lastRenderedPageBreak/>
        <w:t>des prestataires de services extérieurs afin d</w:t>
      </w:r>
      <w:r w:rsidR="000055C7" w:rsidRPr="004C0E7A">
        <w:rPr>
          <w:lang w:val="fr-FR"/>
        </w:rPr>
        <w:t>’</w:t>
      </w:r>
      <w:r w:rsidRPr="004C0E7A">
        <w:rPr>
          <w:lang w:val="fr-FR"/>
        </w:rPr>
        <w:t>aider</w:t>
      </w:r>
      <w:r w:rsidR="000055C7" w:rsidRPr="004C0E7A">
        <w:rPr>
          <w:lang w:val="fr-FR"/>
        </w:rPr>
        <w:t xml:space="preserve"> la DSI</w:t>
      </w:r>
      <w:r w:rsidRPr="004C0E7A">
        <w:rPr>
          <w:lang w:val="fr-FR"/>
        </w:rPr>
        <w:t xml:space="preserve"> dans la mise en œuvre de ses programmes de supervision.</w:t>
      </w:r>
    </w:p>
    <w:p w:rsidR="007F4F40" w:rsidRPr="004C0E7A" w:rsidRDefault="00206602" w:rsidP="004C0E7A">
      <w:pPr>
        <w:pStyle w:val="ONUMFS"/>
        <w:rPr>
          <w:lang w:val="fr-FR"/>
        </w:rPr>
      </w:pPr>
      <w:r w:rsidRPr="004C0E7A">
        <w:rPr>
          <w:lang w:val="fr-FR"/>
        </w:rPr>
        <w:t>Le poste de chef de la Section</w:t>
      </w:r>
      <w:r w:rsidR="0015043C" w:rsidRPr="004C0E7A">
        <w:rPr>
          <w:lang w:val="fr-FR"/>
        </w:rPr>
        <w:t xml:space="preserve"> des enquêtes a été pourvu au </w:t>
      </w:r>
      <w:r w:rsidR="000055C7" w:rsidRPr="004C0E7A">
        <w:rPr>
          <w:lang w:val="fr-FR"/>
        </w:rPr>
        <w:t>1</w:t>
      </w:r>
      <w:r w:rsidR="000055C7" w:rsidRPr="004C0E7A">
        <w:rPr>
          <w:vertAlign w:val="superscript"/>
          <w:lang w:val="fr-FR"/>
        </w:rPr>
        <w:t>er</w:t>
      </w:r>
      <w:r w:rsidR="000055C7" w:rsidRPr="004C0E7A">
        <w:rPr>
          <w:lang w:val="fr-FR"/>
        </w:rPr>
        <w:t> juillet 20</w:t>
      </w:r>
      <w:r w:rsidRPr="004C0E7A">
        <w:rPr>
          <w:lang w:val="fr-FR"/>
        </w:rPr>
        <w:t>14.</w:t>
      </w:r>
      <w:r w:rsidR="00E65EF4" w:rsidRPr="004C0E7A">
        <w:rPr>
          <w:lang w:val="fr-FR"/>
        </w:rPr>
        <w:t xml:space="preserve"> </w:t>
      </w:r>
      <w:r w:rsidR="00CA196F" w:rsidRPr="004C0E7A">
        <w:rPr>
          <w:lang w:val="fr-FR"/>
        </w:rPr>
        <w:t xml:space="preserve"> </w:t>
      </w:r>
      <w:r w:rsidR="009675BF" w:rsidRPr="004C0E7A">
        <w:rPr>
          <w:lang w:val="fr-FR"/>
        </w:rPr>
        <w:t>La Division a également engagé</w:t>
      </w:r>
      <w:r w:rsidR="0015043C" w:rsidRPr="004C0E7A">
        <w:rPr>
          <w:lang w:val="fr-FR"/>
        </w:rPr>
        <w:t>, sur des</w:t>
      </w:r>
      <w:r w:rsidR="009675BF" w:rsidRPr="004C0E7A">
        <w:rPr>
          <w:lang w:val="fr-FR"/>
        </w:rPr>
        <w:t xml:space="preserve"> contrats temporaires, une administratrice adjointe chargée de l</w:t>
      </w:r>
      <w:r w:rsidR="000055C7" w:rsidRPr="004C0E7A">
        <w:rPr>
          <w:lang w:val="fr-FR"/>
        </w:rPr>
        <w:t>’</w:t>
      </w:r>
      <w:r w:rsidR="009675BF" w:rsidRPr="004C0E7A">
        <w:rPr>
          <w:lang w:val="fr-FR"/>
        </w:rPr>
        <w:t xml:space="preserve">évaluation et une secrétaire, </w:t>
      </w:r>
      <w:r w:rsidR="0015043C" w:rsidRPr="004C0E7A">
        <w:rPr>
          <w:lang w:val="fr-FR"/>
        </w:rPr>
        <w:t xml:space="preserve">ce qui a permis de </w:t>
      </w:r>
      <w:r w:rsidR="009675BF" w:rsidRPr="004C0E7A">
        <w:rPr>
          <w:lang w:val="fr-FR"/>
        </w:rPr>
        <w:t xml:space="preserve">garder les effectifs au même niveau </w:t>
      </w:r>
      <w:r w:rsidR="0015043C" w:rsidRPr="004C0E7A">
        <w:rPr>
          <w:lang w:val="fr-FR"/>
        </w:rPr>
        <w:t>qu</w:t>
      </w:r>
      <w:r w:rsidR="000055C7" w:rsidRPr="004C0E7A">
        <w:rPr>
          <w:lang w:val="fr-FR"/>
        </w:rPr>
        <w:t>’</w:t>
      </w:r>
      <w:r w:rsidR="0015043C" w:rsidRPr="004C0E7A">
        <w:rPr>
          <w:lang w:val="fr-FR"/>
        </w:rPr>
        <w:t>en</w:t>
      </w:r>
      <w:r w:rsidR="00045FD8" w:rsidRPr="004C0E7A">
        <w:rPr>
          <w:lang w:val="fr-FR"/>
        </w:rPr>
        <w:t> </w:t>
      </w:r>
      <w:r w:rsidR="0015043C" w:rsidRPr="004C0E7A">
        <w:rPr>
          <w:lang w:val="fr-FR"/>
        </w:rPr>
        <w:t>2012.</w:t>
      </w:r>
    </w:p>
    <w:p w:rsidR="007F4F40" w:rsidRPr="004C0E7A" w:rsidRDefault="009675BF" w:rsidP="004C0E7A">
      <w:pPr>
        <w:pStyle w:val="ONUMFS"/>
        <w:rPr>
          <w:lang w:val="fr-FR"/>
        </w:rPr>
      </w:pPr>
      <w:r w:rsidRPr="004C0E7A">
        <w:rPr>
          <w:lang w:val="fr-FR"/>
        </w:rPr>
        <w:t>Au cours de la période couverte par le présent rapport, le directeur de</w:t>
      </w:r>
      <w:r w:rsidR="000055C7" w:rsidRPr="004C0E7A">
        <w:rPr>
          <w:lang w:val="fr-FR"/>
        </w:rPr>
        <w:t xml:space="preserve"> la DSI</w:t>
      </w:r>
      <w:r w:rsidRPr="004C0E7A">
        <w:rPr>
          <w:lang w:val="fr-FR"/>
        </w:rPr>
        <w:t xml:space="preserve"> a été transféré dans une autre institution du système des </w:t>
      </w:r>
      <w:r w:rsidR="000055C7" w:rsidRPr="004C0E7A">
        <w:rPr>
          <w:lang w:val="fr-FR"/>
        </w:rPr>
        <w:t>Nations Unies</w:t>
      </w:r>
      <w:r w:rsidRPr="004C0E7A">
        <w:rPr>
          <w:lang w:val="fr-FR"/>
        </w:rPr>
        <w:t xml:space="preserve">, au </w:t>
      </w:r>
      <w:r w:rsidR="000055C7" w:rsidRPr="004C0E7A">
        <w:rPr>
          <w:lang w:val="fr-FR"/>
        </w:rPr>
        <w:t>1</w:t>
      </w:r>
      <w:r w:rsidR="000055C7" w:rsidRPr="004C0E7A">
        <w:rPr>
          <w:vertAlign w:val="superscript"/>
          <w:lang w:val="fr-FR"/>
        </w:rPr>
        <w:t>er</w:t>
      </w:r>
      <w:r w:rsidR="000055C7" w:rsidRPr="004C0E7A">
        <w:rPr>
          <w:lang w:val="fr-FR"/>
        </w:rPr>
        <w:t> mai 20</w:t>
      </w:r>
      <w:r w:rsidRPr="004C0E7A">
        <w:rPr>
          <w:lang w:val="fr-FR"/>
        </w:rPr>
        <w:t>15.</w:t>
      </w:r>
      <w:r w:rsidR="00CA196F" w:rsidRPr="004C0E7A">
        <w:rPr>
          <w:lang w:val="fr-FR"/>
        </w:rPr>
        <w:t xml:space="preserve"> </w:t>
      </w:r>
      <w:r w:rsidR="0061246C" w:rsidRPr="004C0E7A">
        <w:rPr>
          <w:lang w:val="fr-FR"/>
        </w:rPr>
        <w:t xml:space="preserve"> </w:t>
      </w:r>
      <w:r w:rsidR="00A975DC" w:rsidRPr="004C0E7A">
        <w:rPr>
          <w:lang w:val="fr-FR"/>
        </w:rPr>
        <w:t>Au moment de l</w:t>
      </w:r>
      <w:r w:rsidR="000055C7" w:rsidRPr="004C0E7A">
        <w:rPr>
          <w:lang w:val="fr-FR"/>
        </w:rPr>
        <w:t>’</w:t>
      </w:r>
      <w:r w:rsidR="00A975DC" w:rsidRPr="004C0E7A">
        <w:rPr>
          <w:lang w:val="fr-FR"/>
        </w:rPr>
        <w:t>établissement du présent rapport, la procédure de recrutement visant à pourvoir le poste vacant était en cours.</w:t>
      </w:r>
      <w:r w:rsidR="0061246C" w:rsidRPr="004C0E7A">
        <w:rPr>
          <w:lang w:val="fr-FR"/>
        </w:rPr>
        <w:t xml:space="preserve"> </w:t>
      </w:r>
      <w:r w:rsidR="00CA196F" w:rsidRPr="004C0E7A">
        <w:rPr>
          <w:lang w:val="fr-FR"/>
        </w:rPr>
        <w:t xml:space="preserve"> </w:t>
      </w:r>
      <w:r w:rsidR="00A975DC" w:rsidRPr="004C0E7A">
        <w:rPr>
          <w:lang w:val="fr-FR"/>
        </w:rPr>
        <w:t>Dans l</w:t>
      </w:r>
      <w:r w:rsidR="000055C7" w:rsidRPr="004C0E7A">
        <w:rPr>
          <w:lang w:val="fr-FR"/>
        </w:rPr>
        <w:t>’</w:t>
      </w:r>
      <w:r w:rsidR="00A975DC" w:rsidRPr="004C0E7A">
        <w:rPr>
          <w:lang w:val="fr-FR"/>
        </w:rPr>
        <w:t>intervalle, le chef de la Section de l</w:t>
      </w:r>
      <w:r w:rsidR="000055C7" w:rsidRPr="004C0E7A">
        <w:rPr>
          <w:lang w:val="fr-FR"/>
        </w:rPr>
        <w:t>’</w:t>
      </w:r>
      <w:r w:rsidR="00A975DC" w:rsidRPr="004C0E7A">
        <w:rPr>
          <w:lang w:val="fr-FR"/>
        </w:rPr>
        <w:t>audit interne a été nommé directeur par intérim de</w:t>
      </w:r>
      <w:r w:rsidR="000055C7" w:rsidRPr="004C0E7A">
        <w:rPr>
          <w:lang w:val="fr-FR"/>
        </w:rPr>
        <w:t xml:space="preserve"> la DSI</w:t>
      </w:r>
      <w:r w:rsidR="00A975DC" w:rsidRPr="004C0E7A">
        <w:rPr>
          <w:lang w:val="fr-FR"/>
        </w:rPr>
        <w:t xml:space="preserve"> à compter du </w:t>
      </w:r>
      <w:r w:rsidR="000055C7" w:rsidRPr="004C0E7A">
        <w:rPr>
          <w:lang w:val="fr-FR"/>
        </w:rPr>
        <w:t>8 mai 20</w:t>
      </w:r>
      <w:r w:rsidR="00A975DC" w:rsidRPr="004C0E7A">
        <w:rPr>
          <w:lang w:val="fr-FR"/>
        </w:rPr>
        <w:t>15, jusqu</w:t>
      </w:r>
      <w:r w:rsidR="000055C7" w:rsidRPr="004C0E7A">
        <w:rPr>
          <w:lang w:val="fr-FR"/>
        </w:rPr>
        <w:t>’</w:t>
      </w:r>
      <w:r w:rsidR="00A975DC" w:rsidRPr="004C0E7A">
        <w:rPr>
          <w:lang w:val="fr-FR"/>
        </w:rPr>
        <w:t>à l</w:t>
      </w:r>
      <w:r w:rsidR="000055C7" w:rsidRPr="004C0E7A">
        <w:rPr>
          <w:lang w:val="fr-FR"/>
        </w:rPr>
        <w:t>’</w:t>
      </w:r>
      <w:r w:rsidR="00A975DC" w:rsidRPr="004C0E7A">
        <w:rPr>
          <w:lang w:val="fr-FR"/>
        </w:rPr>
        <w:t>entrée en fonction du nouveau directeur de</w:t>
      </w:r>
      <w:r w:rsidR="000055C7" w:rsidRPr="004C0E7A">
        <w:rPr>
          <w:lang w:val="fr-FR"/>
        </w:rPr>
        <w:t xml:space="preserve"> la DSI</w:t>
      </w:r>
      <w:r w:rsidR="00A975DC" w:rsidRPr="004C0E7A">
        <w:rPr>
          <w:lang w:val="fr-FR"/>
        </w:rPr>
        <w:t>.</w:t>
      </w:r>
    </w:p>
    <w:p w:rsidR="007F4F40" w:rsidRPr="004C0E7A" w:rsidRDefault="00A975DC" w:rsidP="004C0E7A">
      <w:pPr>
        <w:pStyle w:val="ONUMFS"/>
        <w:rPr>
          <w:lang w:val="fr-FR"/>
        </w:rPr>
      </w:pPr>
      <w:r w:rsidRPr="004C0E7A">
        <w:rPr>
          <w:lang w:val="fr-FR"/>
        </w:rPr>
        <w:t>Aux fins de l</w:t>
      </w:r>
      <w:r w:rsidR="000055C7" w:rsidRPr="004C0E7A">
        <w:rPr>
          <w:lang w:val="fr-FR"/>
        </w:rPr>
        <w:t>’</w:t>
      </w:r>
      <w:r w:rsidRPr="004C0E7A">
        <w:rPr>
          <w:lang w:val="fr-FR"/>
        </w:rPr>
        <w:t>exécution du mandat de</w:t>
      </w:r>
      <w:r w:rsidR="000055C7" w:rsidRPr="004C0E7A">
        <w:rPr>
          <w:lang w:val="fr-FR"/>
        </w:rPr>
        <w:t xml:space="preserve"> la DSI</w:t>
      </w:r>
      <w:r w:rsidRPr="004C0E7A">
        <w:rPr>
          <w:lang w:val="fr-FR"/>
        </w:rPr>
        <w:t xml:space="preserve">, le niveau des ressources (0,76% du budget </w:t>
      </w:r>
      <w:r w:rsidR="00537A99">
        <w:rPr>
          <w:lang w:val="fr-FR"/>
        </w:rPr>
        <w:t xml:space="preserve">total </w:t>
      </w:r>
      <w:r w:rsidRPr="004C0E7A">
        <w:rPr>
          <w:lang w:val="fr-FR"/>
        </w:rPr>
        <w:t>de l</w:t>
      </w:r>
      <w:r w:rsidR="000055C7" w:rsidRPr="004C0E7A">
        <w:rPr>
          <w:lang w:val="fr-FR"/>
        </w:rPr>
        <w:t>’</w:t>
      </w:r>
      <w:r w:rsidRPr="004C0E7A">
        <w:rPr>
          <w:lang w:val="fr-FR"/>
        </w:rPr>
        <w:t>OMPI et 0,</w:t>
      </w:r>
      <w:r w:rsidR="00537A99">
        <w:rPr>
          <w:lang w:val="fr-FR"/>
        </w:rPr>
        <w:t>9</w:t>
      </w:r>
      <w:r w:rsidRPr="004C0E7A">
        <w:rPr>
          <w:lang w:val="fr-FR"/>
        </w:rPr>
        <w:t xml:space="preserve">8% des </w:t>
      </w:r>
      <w:r w:rsidR="00537A99">
        <w:rPr>
          <w:lang w:val="fr-FR"/>
        </w:rPr>
        <w:t>dépenses de personnel</w:t>
      </w:r>
      <w:r w:rsidRPr="004C0E7A">
        <w:rPr>
          <w:lang w:val="fr-FR"/>
        </w:rPr>
        <w:t xml:space="preserve"> de l</w:t>
      </w:r>
      <w:r w:rsidR="000055C7" w:rsidRPr="004C0E7A">
        <w:rPr>
          <w:lang w:val="fr-FR"/>
        </w:rPr>
        <w:t>’</w:t>
      </w:r>
      <w:r w:rsidRPr="004C0E7A">
        <w:rPr>
          <w:lang w:val="fr-FR"/>
        </w:rPr>
        <w:t>Organisation) pourrait être jugé bas comparé à certaines normes, telles celles recommandées dans les rapports du Corps commun d</w:t>
      </w:r>
      <w:r w:rsidR="000055C7" w:rsidRPr="004C0E7A">
        <w:rPr>
          <w:lang w:val="fr-FR"/>
        </w:rPr>
        <w:t>’</w:t>
      </w:r>
      <w:r w:rsidRPr="004C0E7A">
        <w:rPr>
          <w:lang w:val="fr-FR"/>
        </w:rPr>
        <w:t>inspection sur les fonctions de supervision</w:t>
      </w:r>
      <w:r w:rsidRPr="004C0E7A">
        <w:rPr>
          <w:rStyle w:val="FootnoteReference"/>
          <w:lang w:val="fr-FR"/>
        </w:rPr>
        <w:footnoteReference w:id="15"/>
      </w:r>
      <w:r w:rsidRPr="004C0E7A">
        <w:rPr>
          <w:lang w:val="fr-FR"/>
        </w:rPr>
        <w:t>.</w:t>
      </w:r>
      <w:r w:rsidR="00E32ADE" w:rsidRPr="004C0E7A">
        <w:rPr>
          <w:lang w:val="fr-FR"/>
        </w:rPr>
        <w:t xml:space="preserve">  </w:t>
      </w:r>
      <w:r w:rsidRPr="004C0E7A">
        <w:rPr>
          <w:lang w:val="fr-FR"/>
        </w:rPr>
        <w:t xml:space="preserve">Cependant, le niveau </w:t>
      </w:r>
      <w:r w:rsidR="0015043C" w:rsidRPr="004C0E7A">
        <w:rPr>
          <w:lang w:val="fr-FR"/>
        </w:rPr>
        <w:t xml:space="preserve">actuel </w:t>
      </w:r>
      <w:r w:rsidRPr="004C0E7A">
        <w:rPr>
          <w:lang w:val="fr-FR"/>
        </w:rPr>
        <w:t>des ressources humaines et financières a été suffisant pour permettre à</w:t>
      </w:r>
      <w:r w:rsidR="000055C7" w:rsidRPr="004C0E7A">
        <w:rPr>
          <w:lang w:val="fr-FR"/>
        </w:rPr>
        <w:t xml:space="preserve"> la DSI</w:t>
      </w:r>
      <w:r w:rsidRPr="004C0E7A">
        <w:rPr>
          <w:lang w:val="fr-FR"/>
        </w:rPr>
        <w:t xml:space="preserve"> d</w:t>
      </w:r>
      <w:r w:rsidR="000055C7" w:rsidRPr="004C0E7A">
        <w:rPr>
          <w:lang w:val="fr-FR"/>
        </w:rPr>
        <w:t>’</w:t>
      </w:r>
      <w:r w:rsidRPr="004C0E7A">
        <w:rPr>
          <w:lang w:val="fr-FR"/>
        </w:rPr>
        <w:t>englober efficacement les secteurs prioritaires recensés dans ses programmes de travail.</w:t>
      </w:r>
      <w:r w:rsidR="00E32ADE" w:rsidRPr="004C0E7A">
        <w:rPr>
          <w:lang w:val="fr-FR"/>
        </w:rPr>
        <w:t xml:space="preserve"> </w:t>
      </w:r>
      <w:r w:rsidR="00CA196F" w:rsidRPr="004C0E7A">
        <w:rPr>
          <w:lang w:val="fr-FR"/>
        </w:rPr>
        <w:t xml:space="preserve"> </w:t>
      </w:r>
      <w:r w:rsidRPr="004C0E7A">
        <w:rPr>
          <w:lang w:val="fr-FR"/>
        </w:rPr>
        <w:t xml:space="preserve">Cela a été </w:t>
      </w:r>
      <w:r w:rsidR="0015043C" w:rsidRPr="004C0E7A">
        <w:rPr>
          <w:lang w:val="fr-FR"/>
        </w:rPr>
        <w:t xml:space="preserve">rendu </w:t>
      </w:r>
      <w:r w:rsidRPr="004C0E7A">
        <w:rPr>
          <w:lang w:val="fr-FR"/>
        </w:rPr>
        <w:t xml:space="preserve">possible </w:t>
      </w:r>
      <w:r w:rsidR="0015043C" w:rsidRPr="004C0E7A">
        <w:rPr>
          <w:lang w:val="fr-FR"/>
        </w:rPr>
        <w:t>par</w:t>
      </w:r>
      <w:r w:rsidRPr="004C0E7A">
        <w:rPr>
          <w:lang w:val="fr-FR"/>
        </w:rPr>
        <w:t xml:space="preserve"> une meilleure coordination des activités de supervision avec le vérificateur externe des comptes et </w:t>
      </w:r>
      <w:r w:rsidR="0015043C" w:rsidRPr="004C0E7A">
        <w:rPr>
          <w:lang w:val="fr-FR"/>
        </w:rPr>
        <w:t xml:space="preserve">par </w:t>
      </w:r>
      <w:r w:rsidRPr="004C0E7A">
        <w:rPr>
          <w:lang w:val="fr-FR"/>
        </w:rPr>
        <w:t xml:space="preserve">un recours accru à des outils informatiques </w:t>
      </w:r>
      <w:r w:rsidR="0015043C" w:rsidRPr="004C0E7A">
        <w:rPr>
          <w:lang w:val="fr-FR"/>
        </w:rPr>
        <w:t>permettant de mener ces</w:t>
      </w:r>
      <w:r w:rsidRPr="004C0E7A">
        <w:rPr>
          <w:lang w:val="fr-FR"/>
        </w:rPr>
        <w:t xml:space="preserve"> activités plus efficace</w:t>
      </w:r>
      <w:r w:rsidR="0015043C" w:rsidRPr="004C0E7A">
        <w:rPr>
          <w:lang w:val="fr-FR"/>
        </w:rPr>
        <w:t>ment</w:t>
      </w:r>
      <w:r w:rsidRPr="004C0E7A">
        <w:rPr>
          <w:lang w:val="fr-FR"/>
        </w:rPr>
        <w:t>.</w:t>
      </w:r>
      <w:r w:rsidR="006C25ED" w:rsidRPr="004C0E7A">
        <w:rPr>
          <w:lang w:val="fr-FR"/>
        </w:rPr>
        <w:t xml:space="preserve"> </w:t>
      </w:r>
      <w:r w:rsidR="00CA196F" w:rsidRPr="004C0E7A">
        <w:rPr>
          <w:lang w:val="fr-FR"/>
        </w:rPr>
        <w:t xml:space="preserve"> </w:t>
      </w:r>
      <w:r w:rsidR="00B25185" w:rsidRPr="004C0E7A">
        <w:rPr>
          <w:lang w:val="fr-FR"/>
        </w:rPr>
        <w:t>En l</w:t>
      </w:r>
      <w:r w:rsidR="000055C7" w:rsidRPr="004C0E7A">
        <w:rPr>
          <w:lang w:val="fr-FR"/>
        </w:rPr>
        <w:t>’</w:t>
      </w:r>
      <w:r w:rsidR="00B25185" w:rsidRPr="004C0E7A">
        <w:rPr>
          <w:lang w:val="fr-FR"/>
        </w:rPr>
        <w:t>absence de modifications significatives des objectifs stratégiques de l</w:t>
      </w:r>
      <w:r w:rsidR="000055C7" w:rsidRPr="004C0E7A">
        <w:rPr>
          <w:lang w:val="fr-FR"/>
        </w:rPr>
        <w:t>’</w:t>
      </w:r>
      <w:r w:rsidR="00B25185" w:rsidRPr="004C0E7A">
        <w:rPr>
          <w:lang w:val="fr-FR"/>
        </w:rPr>
        <w:t>Organisation et compte tenu des progrès réalisés dans la mise en œuvre d‏</w:t>
      </w:r>
      <w:r w:rsidR="000055C7" w:rsidRPr="004C0E7A">
        <w:rPr>
          <w:lang w:val="fr-FR"/>
        </w:rPr>
        <w:t>’</w:t>
      </w:r>
      <w:r w:rsidR="00B25185" w:rsidRPr="004C0E7A">
        <w:rPr>
          <w:lang w:val="fr-FR"/>
        </w:rPr>
        <w:t xml:space="preserve">‎un </w:t>
      </w:r>
      <w:r w:rsidR="0015043C" w:rsidRPr="004C0E7A">
        <w:rPr>
          <w:lang w:val="fr-FR"/>
        </w:rPr>
        <w:t>système</w:t>
      </w:r>
      <w:r w:rsidR="00B25185" w:rsidRPr="004C0E7A">
        <w:rPr>
          <w:lang w:val="fr-FR"/>
        </w:rPr>
        <w:t xml:space="preserve"> de gestion des risques et de contrôle interne pour toute </w:t>
      </w:r>
      <w:proofErr w:type="spellStart"/>
      <w:r w:rsidR="00B25185" w:rsidRPr="004C0E7A">
        <w:rPr>
          <w:lang w:val="fr-FR"/>
        </w:rPr>
        <w:t>l</w:t>
      </w:r>
      <w:proofErr w:type="spellEnd"/>
      <w:r w:rsidR="00B25185" w:rsidRPr="004C0E7A">
        <w:rPr>
          <w:lang w:val="fr-FR"/>
        </w:rPr>
        <w:t>‏</w:t>
      </w:r>
      <w:r w:rsidR="000055C7" w:rsidRPr="004C0E7A">
        <w:rPr>
          <w:lang w:val="fr-FR"/>
        </w:rPr>
        <w:t>’</w:t>
      </w:r>
      <w:r w:rsidR="00B25185" w:rsidRPr="004C0E7A">
        <w:rPr>
          <w:lang w:val="fr-FR"/>
        </w:rPr>
        <w:t>‎Organisation, le niveau de ressources actuel semble adéquat.</w:t>
      </w:r>
      <w:r w:rsidR="00CA196F" w:rsidRPr="004C0E7A">
        <w:rPr>
          <w:lang w:val="fr-FR"/>
        </w:rPr>
        <w:t xml:space="preserve"> </w:t>
      </w:r>
      <w:r w:rsidR="006C25ED" w:rsidRPr="004C0E7A">
        <w:rPr>
          <w:lang w:val="fr-FR"/>
        </w:rPr>
        <w:t xml:space="preserve"> </w:t>
      </w:r>
      <w:r w:rsidR="0015043C" w:rsidRPr="004C0E7A">
        <w:rPr>
          <w:lang w:val="fr-FR"/>
        </w:rPr>
        <w:t>Par ailleurs</w:t>
      </w:r>
      <w:r w:rsidR="00B25185" w:rsidRPr="004C0E7A">
        <w:rPr>
          <w:lang w:val="fr-FR"/>
        </w:rPr>
        <w:t xml:space="preserve">, la conversion </w:t>
      </w:r>
      <w:r w:rsidR="0029007D" w:rsidRPr="004C0E7A">
        <w:rPr>
          <w:lang w:val="fr-FR"/>
        </w:rPr>
        <w:t xml:space="preserve">progressive </w:t>
      </w:r>
      <w:r w:rsidR="00B25185" w:rsidRPr="004C0E7A">
        <w:rPr>
          <w:lang w:val="fr-FR"/>
        </w:rPr>
        <w:t xml:space="preserve">de postes temporaires en des postes de durée déterminée contribuera à </w:t>
      </w:r>
      <w:r w:rsidR="0029007D" w:rsidRPr="004C0E7A">
        <w:rPr>
          <w:lang w:val="fr-FR"/>
        </w:rPr>
        <w:t>accroître</w:t>
      </w:r>
      <w:r w:rsidR="00B25185" w:rsidRPr="004C0E7A">
        <w:rPr>
          <w:lang w:val="fr-FR"/>
        </w:rPr>
        <w:t xml:space="preserve"> la motivation du personnel et à limiter les répercussions de la perte de mémoire institutionnelle </w:t>
      </w:r>
      <w:r w:rsidR="0029007D" w:rsidRPr="004C0E7A">
        <w:rPr>
          <w:lang w:val="fr-FR"/>
        </w:rPr>
        <w:t>liées</w:t>
      </w:r>
      <w:r w:rsidR="00B25185" w:rsidRPr="004C0E7A">
        <w:rPr>
          <w:lang w:val="fr-FR"/>
        </w:rPr>
        <w:t xml:space="preserve"> au départ de membres du personnel.</w:t>
      </w:r>
    </w:p>
    <w:p w:rsidR="007F4F40" w:rsidRPr="004C0E7A" w:rsidRDefault="00B25185" w:rsidP="00B25185">
      <w:pPr>
        <w:pStyle w:val="NormalWeb"/>
        <w:keepNext/>
        <w:keepLines/>
        <w:spacing w:before="0" w:beforeAutospacing="0" w:after="0" w:afterAutospacing="0"/>
        <w:jc w:val="center"/>
        <w:rPr>
          <w:b/>
          <w:iCs/>
          <w:sz w:val="20"/>
          <w:szCs w:val="20"/>
          <w:lang w:val="fr-FR"/>
        </w:rPr>
      </w:pPr>
      <w:r w:rsidRPr="004C0E7A">
        <w:rPr>
          <w:b/>
          <w:iCs/>
          <w:sz w:val="20"/>
          <w:szCs w:val="20"/>
          <w:lang w:val="fr-FR"/>
        </w:rPr>
        <w:t>Tableau</w:t>
      </w:r>
      <w:r w:rsidR="00045FD8" w:rsidRPr="004C0E7A">
        <w:rPr>
          <w:b/>
          <w:iCs/>
          <w:sz w:val="20"/>
          <w:szCs w:val="20"/>
          <w:lang w:val="fr-FR"/>
        </w:rPr>
        <w:t> </w:t>
      </w:r>
      <w:r w:rsidRPr="004C0E7A">
        <w:rPr>
          <w:b/>
          <w:iCs/>
          <w:sz w:val="20"/>
          <w:szCs w:val="20"/>
          <w:lang w:val="fr-FR"/>
        </w:rPr>
        <w:t>2 – Budget et dépenses</w:t>
      </w:r>
      <w:r w:rsidRPr="004C0E7A">
        <w:rPr>
          <w:rStyle w:val="FootnoteReference"/>
          <w:b/>
          <w:iCs/>
          <w:sz w:val="20"/>
          <w:szCs w:val="20"/>
          <w:lang w:val="fr-FR"/>
        </w:rPr>
        <w:footnoteReference w:id="16"/>
      </w:r>
      <w:r w:rsidRPr="004C0E7A">
        <w:rPr>
          <w:b/>
          <w:iCs/>
          <w:sz w:val="20"/>
          <w:szCs w:val="20"/>
          <w:lang w:val="fr-FR"/>
        </w:rPr>
        <w:t xml:space="preserve"> 2014 de</w:t>
      </w:r>
      <w:r w:rsidR="000055C7" w:rsidRPr="004C0E7A">
        <w:rPr>
          <w:b/>
          <w:iCs/>
          <w:sz w:val="20"/>
          <w:szCs w:val="20"/>
          <w:lang w:val="fr-FR"/>
        </w:rPr>
        <w:t xml:space="preserve"> la DSI</w:t>
      </w:r>
      <w:r w:rsidRPr="004C0E7A">
        <w:rPr>
          <w:b/>
          <w:iCs/>
          <w:sz w:val="20"/>
          <w:szCs w:val="20"/>
          <w:lang w:val="fr-FR"/>
        </w:rPr>
        <w:t xml:space="preserve"> après virements</w:t>
      </w:r>
    </w:p>
    <w:p w:rsidR="00E32ADE" w:rsidRPr="004C0E7A" w:rsidRDefault="00E32ADE" w:rsidP="00E32ADE">
      <w:pPr>
        <w:spacing w:after="120"/>
        <w:jc w:val="center"/>
        <w:rPr>
          <w:b/>
          <w:bCs/>
          <w:sz w:val="18"/>
          <w:lang w:val="fr-FR"/>
        </w:rPr>
      </w:pPr>
    </w:p>
    <w:tbl>
      <w:tblPr>
        <w:tblW w:w="0" w:type="auto"/>
        <w:tblLook w:val="04A0" w:firstRow="1" w:lastRow="0" w:firstColumn="1" w:lastColumn="0" w:noHBand="0" w:noVBand="1"/>
      </w:tblPr>
      <w:tblGrid>
        <w:gridCol w:w="2118"/>
        <w:gridCol w:w="1937"/>
        <w:gridCol w:w="2257"/>
        <w:gridCol w:w="1583"/>
        <w:gridCol w:w="1676"/>
      </w:tblGrid>
      <w:tr w:rsidR="00794EC0" w:rsidRPr="004C0E7A" w:rsidTr="00FD2537">
        <w:trPr>
          <w:cantSplit/>
        </w:trPr>
        <w:tc>
          <w:tcPr>
            <w:tcW w:w="0" w:type="auto"/>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E32ADE" w:rsidRPr="004C0E7A" w:rsidRDefault="00E32ADE" w:rsidP="00E32ADE">
            <w:pPr>
              <w:keepNext/>
              <w:rPr>
                <w:sz w:val="18"/>
                <w:szCs w:val="18"/>
                <w:lang w:val="fr-FR"/>
              </w:rPr>
            </w:pPr>
          </w:p>
        </w:tc>
        <w:tc>
          <w:tcPr>
            <w:tcW w:w="0" w:type="auto"/>
            <w:tcBorders>
              <w:top w:val="single" w:sz="4" w:space="0" w:color="auto"/>
              <w:left w:val="nil"/>
              <w:bottom w:val="nil"/>
              <w:right w:val="single" w:sz="4" w:space="0" w:color="auto"/>
            </w:tcBorders>
            <w:shd w:val="clear" w:color="000000" w:fill="CCFFFF"/>
            <w:vAlign w:val="center"/>
            <w:hideMark/>
          </w:tcPr>
          <w:p w:rsidR="00E32ADE" w:rsidRPr="004C0E7A" w:rsidRDefault="00147665" w:rsidP="00147665">
            <w:pPr>
              <w:keepNext/>
              <w:jc w:val="center"/>
              <w:rPr>
                <w:b/>
                <w:bCs/>
                <w:sz w:val="18"/>
                <w:szCs w:val="18"/>
                <w:lang w:val="fr-FR"/>
              </w:rPr>
            </w:pPr>
            <w:r w:rsidRPr="004C0E7A">
              <w:rPr>
                <w:b/>
                <w:bCs/>
                <w:sz w:val="18"/>
                <w:szCs w:val="18"/>
                <w:lang w:val="fr-FR"/>
              </w:rPr>
              <w:t>Budget</w:t>
            </w:r>
            <w:r w:rsidRPr="00794EC0">
              <w:rPr>
                <w:b/>
                <w:bCs/>
                <w:sz w:val="18"/>
                <w:szCs w:val="18"/>
                <w:lang w:val="fr-FR"/>
              </w:rPr>
              <w:t xml:space="preserve"> 2014</w:t>
            </w:r>
            <w:r w:rsidR="008E117E" w:rsidRPr="00794EC0">
              <w:rPr>
                <w:b/>
                <w:bCs/>
                <w:sz w:val="18"/>
                <w:szCs w:val="18"/>
                <w:lang w:val="fr-FR"/>
              </w:rPr>
              <w:noBreakHyphen/>
            </w:r>
            <w:r w:rsidRPr="00794EC0">
              <w:rPr>
                <w:b/>
                <w:bCs/>
                <w:sz w:val="18"/>
                <w:szCs w:val="18"/>
                <w:lang w:val="fr-FR"/>
              </w:rPr>
              <w:t>2015 approuvé</w:t>
            </w:r>
          </w:p>
        </w:tc>
        <w:tc>
          <w:tcPr>
            <w:tcW w:w="0" w:type="auto"/>
            <w:tcBorders>
              <w:top w:val="single" w:sz="4" w:space="0" w:color="auto"/>
              <w:left w:val="nil"/>
              <w:bottom w:val="nil"/>
              <w:right w:val="single" w:sz="4" w:space="0" w:color="auto"/>
            </w:tcBorders>
            <w:shd w:val="clear" w:color="000000" w:fill="CCFFFF"/>
            <w:vAlign w:val="center"/>
            <w:hideMark/>
          </w:tcPr>
          <w:p w:rsidR="00E32ADE" w:rsidRPr="00794EC0" w:rsidRDefault="00147665" w:rsidP="00147665">
            <w:pPr>
              <w:keepNext/>
              <w:jc w:val="center"/>
              <w:rPr>
                <w:b/>
                <w:bCs/>
                <w:sz w:val="18"/>
                <w:szCs w:val="18"/>
                <w:lang w:val="fr-FR"/>
              </w:rPr>
            </w:pPr>
            <w:r w:rsidRPr="00794EC0">
              <w:rPr>
                <w:b/>
                <w:bCs/>
                <w:sz w:val="18"/>
                <w:szCs w:val="18"/>
                <w:lang w:val="fr-FR"/>
              </w:rPr>
              <w:t>Budget 2014</w:t>
            </w:r>
            <w:r w:rsidR="008E117E" w:rsidRPr="00794EC0">
              <w:rPr>
                <w:b/>
                <w:bCs/>
                <w:sz w:val="18"/>
                <w:szCs w:val="18"/>
                <w:lang w:val="fr-FR"/>
              </w:rPr>
              <w:noBreakHyphen/>
            </w:r>
            <w:r w:rsidRPr="00794EC0">
              <w:rPr>
                <w:b/>
                <w:bCs/>
                <w:sz w:val="18"/>
                <w:szCs w:val="18"/>
                <w:lang w:val="fr-FR"/>
              </w:rPr>
              <w:t>2015 après virements</w:t>
            </w:r>
          </w:p>
        </w:tc>
        <w:tc>
          <w:tcPr>
            <w:tcW w:w="0" w:type="auto"/>
            <w:tcBorders>
              <w:top w:val="single" w:sz="4" w:space="0" w:color="auto"/>
              <w:left w:val="nil"/>
              <w:bottom w:val="nil"/>
              <w:right w:val="single" w:sz="4" w:space="0" w:color="auto"/>
            </w:tcBorders>
            <w:shd w:val="clear" w:color="000000" w:fill="CCFFFF"/>
            <w:vAlign w:val="center"/>
            <w:hideMark/>
          </w:tcPr>
          <w:p w:rsidR="00E32ADE" w:rsidRPr="004C0E7A" w:rsidRDefault="00147665" w:rsidP="00147665">
            <w:pPr>
              <w:keepNext/>
              <w:jc w:val="center"/>
              <w:rPr>
                <w:b/>
                <w:bCs/>
                <w:sz w:val="18"/>
                <w:szCs w:val="18"/>
                <w:lang w:val="fr-FR"/>
              </w:rPr>
            </w:pPr>
            <w:r w:rsidRPr="004C0E7A">
              <w:rPr>
                <w:b/>
                <w:bCs/>
                <w:sz w:val="18"/>
                <w:szCs w:val="18"/>
                <w:lang w:val="fr-FR"/>
              </w:rPr>
              <w:t>Dépenses 2014</w:t>
            </w:r>
            <w:r w:rsidR="008E117E" w:rsidRPr="004C0E7A">
              <w:rPr>
                <w:b/>
                <w:bCs/>
                <w:sz w:val="18"/>
                <w:szCs w:val="18"/>
                <w:lang w:val="fr-FR"/>
              </w:rPr>
              <w:noBreakHyphen/>
            </w:r>
            <w:r w:rsidRPr="004C0E7A">
              <w:rPr>
                <w:b/>
                <w:bCs/>
                <w:sz w:val="18"/>
                <w:szCs w:val="18"/>
                <w:lang w:val="fr-FR"/>
              </w:rPr>
              <w:t>2015</w:t>
            </w:r>
          </w:p>
        </w:tc>
        <w:tc>
          <w:tcPr>
            <w:tcW w:w="0" w:type="auto"/>
            <w:tcBorders>
              <w:top w:val="single" w:sz="4" w:space="0" w:color="auto"/>
              <w:left w:val="nil"/>
              <w:bottom w:val="nil"/>
              <w:right w:val="single" w:sz="4" w:space="0" w:color="auto"/>
            </w:tcBorders>
            <w:shd w:val="clear" w:color="000000" w:fill="CCFFFF"/>
            <w:vAlign w:val="center"/>
            <w:hideMark/>
          </w:tcPr>
          <w:p w:rsidR="00E32ADE" w:rsidRPr="004C0E7A" w:rsidRDefault="00147665" w:rsidP="00147665">
            <w:pPr>
              <w:keepNext/>
              <w:jc w:val="center"/>
              <w:rPr>
                <w:b/>
                <w:bCs/>
                <w:sz w:val="18"/>
                <w:szCs w:val="18"/>
                <w:lang w:val="fr-FR"/>
              </w:rPr>
            </w:pPr>
            <w:r w:rsidRPr="004C0E7A">
              <w:rPr>
                <w:b/>
                <w:bCs/>
                <w:sz w:val="18"/>
                <w:szCs w:val="18"/>
                <w:lang w:val="fr-FR"/>
              </w:rPr>
              <w:t>Taux d</w:t>
            </w:r>
            <w:r w:rsidR="000055C7" w:rsidRPr="004C0E7A">
              <w:rPr>
                <w:b/>
                <w:bCs/>
                <w:sz w:val="18"/>
                <w:szCs w:val="18"/>
                <w:lang w:val="fr-FR"/>
              </w:rPr>
              <w:t>’</w:t>
            </w:r>
            <w:r w:rsidRPr="004C0E7A">
              <w:rPr>
                <w:b/>
                <w:bCs/>
                <w:sz w:val="18"/>
                <w:szCs w:val="18"/>
                <w:lang w:val="fr-FR"/>
              </w:rPr>
              <w:t>utilisation (%)</w:t>
            </w:r>
          </w:p>
        </w:tc>
      </w:tr>
      <w:tr w:rsidR="00794EC0" w:rsidRPr="004C0E7A" w:rsidTr="00FD2537">
        <w:trPr>
          <w:cantSplit/>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32ADE" w:rsidRPr="004C0E7A" w:rsidRDefault="00147665" w:rsidP="00147665">
            <w:pPr>
              <w:keepNext/>
              <w:rPr>
                <w:sz w:val="18"/>
                <w:szCs w:val="18"/>
                <w:lang w:val="fr-FR"/>
              </w:rPr>
            </w:pPr>
            <w:r w:rsidRPr="004C0E7A">
              <w:rPr>
                <w:sz w:val="18"/>
                <w:szCs w:val="18"/>
                <w:lang w:val="fr-FR"/>
              </w:rPr>
              <w:t>Dépenses de personnel</w:t>
            </w:r>
            <w:r w:rsidR="00E32ADE" w:rsidRPr="004C0E7A">
              <w:rPr>
                <w:sz w:val="18"/>
                <w:szCs w:val="18"/>
                <w:lang w:val="fr-FR"/>
              </w:rPr>
              <w:t xml:space="preserve"> </w:t>
            </w:r>
          </w:p>
        </w:tc>
        <w:tc>
          <w:tcPr>
            <w:tcW w:w="0" w:type="auto"/>
            <w:tcBorders>
              <w:top w:val="single" w:sz="4" w:space="0" w:color="auto"/>
              <w:left w:val="nil"/>
              <w:bottom w:val="single" w:sz="4" w:space="0" w:color="auto"/>
              <w:right w:val="single" w:sz="4" w:space="0" w:color="auto"/>
            </w:tcBorders>
            <w:shd w:val="clear" w:color="auto" w:fill="auto"/>
            <w:vAlign w:val="center"/>
          </w:tcPr>
          <w:p w:rsidR="00E32ADE" w:rsidRPr="004C0E7A" w:rsidRDefault="00147665" w:rsidP="00147665">
            <w:pPr>
              <w:keepNext/>
              <w:jc w:val="center"/>
              <w:rPr>
                <w:sz w:val="18"/>
                <w:szCs w:val="18"/>
                <w:lang w:val="fr-FR"/>
              </w:rPr>
            </w:pPr>
            <w:r w:rsidRPr="004C0E7A">
              <w:rPr>
                <w:sz w:val="18"/>
                <w:szCs w:val="18"/>
                <w:lang w:val="fr-FR"/>
              </w:rPr>
              <w:t>4 396</w:t>
            </w:r>
          </w:p>
        </w:tc>
        <w:tc>
          <w:tcPr>
            <w:tcW w:w="0" w:type="auto"/>
            <w:tcBorders>
              <w:top w:val="single" w:sz="4" w:space="0" w:color="auto"/>
              <w:left w:val="nil"/>
              <w:bottom w:val="single" w:sz="4" w:space="0" w:color="auto"/>
              <w:right w:val="single" w:sz="4" w:space="0" w:color="auto"/>
            </w:tcBorders>
            <w:shd w:val="clear" w:color="auto" w:fill="auto"/>
            <w:vAlign w:val="center"/>
          </w:tcPr>
          <w:p w:rsidR="00E32ADE" w:rsidRPr="004C0E7A" w:rsidRDefault="00147665" w:rsidP="00537A99">
            <w:pPr>
              <w:keepNext/>
              <w:jc w:val="center"/>
              <w:rPr>
                <w:sz w:val="18"/>
                <w:szCs w:val="18"/>
                <w:lang w:val="fr-FR"/>
              </w:rPr>
            </w:pPr>
            <w:r w:rsidRPr="004C0E7A">
              <w:rPr>
                <w:sz w:val="18"/>
                <w:szCs w:val="18"/>
                <w:lang w:val="fr-FR"/>
              </w:rPr>
              <w:t>4 3</w:t>
            </w:r>
            <w:r w:rsidR="00537A99">
              <w:rPr>
                <w:sz w:val="18"/>
                <w:szCs w:val="18"/>
                <w:lang w:val="fr-FR"/>
              </w:rPr>
              <w:t>58</w:t>
            </w:r>
          </w:p>
        </w:tc>
        <w:tc>
          <w:tcPr>
            <w:tcW w:w="0" w:type="auto"/>
            <w:tcBorders>
              <w:top w:val="single" w:sz="4" w:space="0" w:color="auto"/>
              <w:left w:val="nil"/>
              <w:bottom w:val="single" w:sz="4" w:space="0" w:color="auto"/>
              <w:right w:val="single" w:sz="4" w:space="0" w:color="auto"/>
            </w:tcBorders>
            <w:shd w:val="clear" w:color="auto" w:fill="auto"/>
            <w:vAlign w:val="center"/>
          </w:tcPr>
          <w:p w:rsidR="00E32ADE" w:rsidRPr="004C0E7A" w:rsidRDefault="00537A99" w:rsidP="0013256A">
            <w:pPr>
              <w:keepNext/>
              <w:jc w:val="center"/>
              <w:rPr>
                <w:sz w:val="18"/>
                <w:szCs w:val="18"/>
                <w:lang w:val="fr-FR"/>
              </w:rPr>
            </w:pPr>
            <w:r>
              <w:rPr>
                <w:sz w:val="18"/>
                <w:szCs w:val="18"/>
                <w:lang w:val="fr-FR"/>
              </w:rPr>
              <w:t>1993</w:t>
            </w:r>
          </w:p>
        </w:tc>
        <w:tc>
          <w:tcPr>
            <w:tcW w:w="0" w:type="auto"/>
            <w:tcBorders>
              <w:top w:val="single" w:sz="4" w:space="0" w:color="auto"/>
              <w:left w:val="nil"/>
              <w:bottom w:val="single" w:sz="4" w:space="0" w:color="auto"/>
              <w:right w:val="single" w:sz="4" w:space="0" w:color="auto"/>
            </w:tcBorders>
            <w:shd w:val="clear" w:color="auto" w:fill="auto"/>
            <w:vAlign w:val="center"/>
          </w:tcPr>
          <w:p w:rsidR="00E32ADE" w:rsidRPr="004C0E7A" w:rsidRDefault="00537A99" w:rsidP="00E32ADE">
            <w:pPr>
              <w:keepNext/>
              <w:jc w:val="center"/>
              <w:rPr>
                <w:sz w:val="18"/>
                <w:szCs w:val="18"/>
                <w:lang w:val="fr-FR"/>
              </w:rPr>
            </w:pPr>
            <w:r>
              <w:rPr>
                <w:sz w:val="18"/>
                <w:szCs w:val="18"/>
                <w:lang w:val="fr-FR"/>
              </w:rPr>
              <w:t>46</w:t>
            </w:r>
          </w:p>
        </w:tc>
      </w:tr>
      <w:tr w:rsidR="00794EC0" w:rsidRPr="004C0E7A" w:rsidTr="00FD2537">
        <w:trPr>
          <w:cantSplit/>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32ADE" w:rsidRPr="004C0E7A" w:rsidRDefault="00147665" w:rsidP="00147665">
            <w:pPr>
              <w:keepNext/>
              <w:rPr>
                <w:sz w:val="18"/>
                <w:szCs w:val="18"/>
                <w:lang w:val="fr-FR"/>
              </w:rPr>
            </w:pPr>
            <w:r w:rsidRPr="004C0E7A">
              <w:rPr>
                <w:sz w:val="18"/>
                <w:szCs w:val="18"/>
                <w:lang w:val="fr-FR"/>
              </w:rPr>
              <w:t>Autres dépenses</w:t>
            </w:r>
            <w:r w:rsidR="00E32ADE" w:rsidRPr="004C0E7A">
              <w:rPr>
                <w:sz w:val="18"/>
                <w:szCs w:val="18"/>
                <w:lang w:val="fr-FR"/>
              </w:rPr>
              <w:t xml:space="preserve"> </w:t>
            </w:r>
          </w:p>
        </w:tc>
        <w:tc>
          <w:tcPr>
            <w:tcW w:w="0" w:type="auto"/>
            <w:tcBorders>
              <w:top w:val="nil"/>
              <w:left w:val="nil"/>
              <w:bottom w:val="single" w:sz="4" w:space="0" w:color="auto"/>
              <w:right w:val="single" w:sz="4" w:space="0" w:color="auto"/>
            </w:tcBorders>
            <w:shd w:val="clear" w:color="auto" w:fill="auto"/>
            <w:vAlign w:val="center"/>
          </w:tcPr>
          <w:p w:rsidR="00E32ADE" w:rsidRPr="004C0E7A" w:rsidRDefault="001040AF" w:rsidP="00E32ADE">
            <w:pPr>
              <w:keepNext/>
              <w:jc w:val="center"/>
              <w:rPr>
                <w:sz w:val="18"/>
                <w:szCs w:val="18"/>
                <w:lang w:val="fr-FR"/>
              </w:rPr>
            </w:pPr>
            <w:r w:rsidRPr="004C0E7A">
              <w:rPr>
                <w:sz w:val="18"/>
                <w:szCs w:val="18"/>
                <w:lang w:val="fr-FR"/>
              </w:rPr>
              <w:t>720</w:t>
            </w:r>
          </w:p>
        </w:tc>
        <w:tc>
          <w:tcPr>
            <w:tcW w:w="0" w:type="auto"/>
            <w:tcBorders>
              <w:top w:val="nil"/>
              <w:left w:val="nil"/>
              <w:bottom w:val="single" w:sz="4" w:space="0" w:color="auto"/>
              <w:right w:val="single" w:sz="4" w:space="0" w:color="auto"/>
            </w:tcBorders>
            <w:shd w:val="clear" w:color="auto" w:fill="auto"/>
            <w:vAlign w:val="center"/>
          </w:tcPr>
          <w:p w:rsidR="00E32ADE" w:rsidRPr="004C0E7A" w:rsidRDefault="001040AF" w:rsidP="00E32ADE">
            <w:pPr>
              <w:keepNext/>
              <w:jc w:val="center"/>
              <w:rPr>
                <w:sz w:val="18"/>
                <w:szCs w:val="18"/>
                <w:lang w:val="fr-FR"/>
              </w:rPr>
            </w:pPr>
            <w:r w:rsidRPr="004C0E7A">
              <w:rPr>
                <w:sz w:val="18"/>
                <w:szCs w:val="18"/>
                <w:lang w:val="fr-FR"/>
              </w:rPr>
              <w:t>704</w:t>
            </w:r>
          </w:p>
        </w:tc>
        <w:tc>
          <w:tcPr>
            <w:tcW w:w="0" w:type="auto"/>
            <w:tcBorders>
              <w:top w:val="nil"/>
              <w:left w:val="nil"/>
              <w:bottom w:val="single" w:sz="4" w:space="0" w:color="auto"/>
              <w:right w:val="single" w:sz="4" w:space="0" w:color="auto"/>
            </w:tcBorders>
            <w:shd w:val="clear" w:color="auto" w:fill="auto"/>
            <w:vAlign w:val="center"/>
          </w:tcPr>
          <w:p w:rsidR="00E32ADE" w:rsidRPr="004C0E7A" w:rsidRDefault="0013256A" w:rsidP="00537A99">
            <w:pPr>
              <w:keepNext/>
              <w:jc w:val="center"/>
              <w:rPr>
                <w:sz w:val="18"/>
                <w:szCs w:val="18"/>
                <w:lang w:val="fr-FR"/>
              </w:rPr>
            </w:pPr>
            <w:r w:rsidRPr="004C0E7A">
              <w:rPr>
                <w:sz w:val="18"/>
                <w:szCs w:val="18"/>
                <w:lang w:val="fr-FR"/>
              </w:rPr>
              <w:t>5</w:t>
            </w:r>
            <w:r w:rsidR="00537A99">
              <w:rPr>
                <w:sz w:val="18"/>
                <w:szCs w:val="18"/>
                <w:lang w:val="fr-FR"/>
              </w:rPr>
              <w:t>36</w:t>
            </w:r>
          </w:p>
        </w:tc>
        <w:tc>
          <w:tcPr>
            <w:tcW w:w="0" w:type="auto"/>
            <w:tcBorders>
              <w:top w:val="nil"/>
              <w:left w:val="nil"/>
              <w:bottom w:val="single" w:sz="4" w:space="0" w:color="auto"/>
              <w:right w:val="single" w:sz="4" w:space="0" w:color="auto"/>
            </w:tcBorders>
            <w:shd w:val="clear" w:color="auto" w:fill="auto"/>
            <w:vAlign w:val="center"/>
          </w:tcPr>
          <w:p w:rsidR="00E32ADE" w:rsidRPr="004C0E7A" w:rsidRDefault="00537A99" w:rsidP="00E32ADE">
            <w:pPr>
              <w:keepNext/>
              <w:jc w:val="center"/>
              <w:rPr>
                <w:sz w:val="18"/>
                <w:szCs w:val="18"/>
                <w:lang w:val="fr-FR"/>
              </w:rPr>
            </w:pPr>
            <w:r>
              <w:rPr>
                <w:sz w:val="18"/>
                <w:szCs w:val="18"/>
                <w:lang w:val="fr-FR"/>
              </w:rPr>
              <w:t>48</w:t>
            </w:r>
          </w:p>
        </w:tc>
      </w:tr>
      <w:tr w:rsidR="00794EC0" w:rsidRPr="004C0E7A" w:rsidTr="00FD2537">
        <w:trPr>
          <w:cantSplit/>
        </w:trPr>
        <w:tc>
          <w:tcPr>
            <w:tcW w:w="0" w:type="auto"/>
            <w:tcBorders>
              <w:top w:val="nil"/>
              <w:left w:val="single" w:sz="4" w:space="0" w:color="auto"/>
              <w:bottom w:val="single" w:sz="4" w:space="0" w:color="auto"/>
              <w:right w:val="single" w:sz="4" w:space="0" w:color="auto"/>
            </w:tcBorders>
            <w:shd w:val="clear" w:color="auto" w:fill="auto"/>
            <w:noWrap/>
            <w:vAlign w:val="center"/>
          </w:tcPr>
          <w:p w:rsidR="001040AF" w:rsidRPr="004C0E7A" w:rsidRDefault="001040AF" w:rsidP="001040AF">
            <w:pPr>
              <w:keepNext/>
              <w:jc w:val="center"/>
              <w:rPr>
                <w:sz w:val="18"/>
                <w:szCs w:val="18"/>
                <w:lang w:val="fr-FR"/>
              </w:rPr>
            </w:pPr>
            <w:r w:rsidRPr="004C0E7A">
              <w:rPr>
                <w:b/>
                <w:bCs/>
                <w:sz w:val="18"/>
                <w:szCs w:val="18"/>
                <w:lang w:val="fr-FR"/>
              </w:rPr>
              <w:t>TOTAL</w:t>
            </w:r>
          </w:p>
        </w:tc>
        <w:tc>
          <w:tcPr>
            <w:tcW w:w="0" w:type="auto"/>
            <w:tcBorders>
              <w:top w:val="nil"/>
              <w:left w:val="nil"/>
              <w:bottom w:val="single" w:sz="4" w:space="0" w:color="auto"/>
              <w:right w:val="single" w:sz="4" w:space="0" w:color="auto"/>
            </w:tcBorders>
            <w:shd w:val="clear" w:color="auto" w:fill="auto"/>
            <w:vAlign w:val="center"/>
          </w:tcPr>
          <w:p w:rsidR="001040AF" w:rsidRPr="004C0E7A" w:rsidRDefault="00147665" w:rsidP="00147665">
            <w:pPr>
              <w:keepNext/>
              <w:jc w:val="center"/>
              <w:rPr>
                <w:sz w:val="18"/>
                <w:szCs w:val="18"/>
                <w:lang w:val="fr-FR"/>
              </w:rPr>
            </w:pPr>
            <w:r w:rsidRPr="004C0E7A">
              <w:rPr>
                <w:sz w:val="18"/>
                <w:szCs w:val="18"/>
                <w:lang w:val="fr-FR"/>
              </w:rPr>
              <w:t>5 116</w:t>
            </w:r>
          </w:p>
        </w:tc>
        <w:tc>
          <w:tcPr>
            <w:tcW w:w="0" w:type="auto"/>
            <w:tcBorders>
              <w:top w:val="nil"/>
              <w:left w:val="nil"/>
              <w:bottom w:val="single" w:sz="4" w:space="0" w:color="auto"/>
              <w:right w:val="single" w:sz="4" w:space="0" w:color="auto"/>
            </w:tcBorders>
            <w:shd w:val="clear" w:color="auto" w:fill="auto"/>
            <w:vAlign w:val="center"/>
          </w:tcPr>
          <w:p w:rsidR="001040AF" w:rsidRPr="004C0E7A" w:rsidRDefault="00537A99" w:rsidP="00147665">
            <w:pPr>
              <w:keepNext/>
              <w:jc w:val="center"/>
              <w:rPr>
                <w:sz w:val="18"/>
                <w:szCs w:val="18"/>
                <w:lang w:val="fr-FR"/>
              </w:rPr>
            </w:pPr>
            <w:r>
              <w:rPr>
                <w:sz w:val="18"/>
                <w:szCs w:val="18"/>
                <w:lang w:val="fr-FR"/>
              </w:rPr>
              <w:t>5 062</w:t>
            </w:r>
          </w:p>
        </w:tc>
        <w:tc>
          <w:tcPr>
            <w:tcW w:w="0" w:type="auto"/>
            <w:tcBorders>
              <w:top w:val="nil"/>
              <w:left w:val="nil"/>
              <w:bottom w:val="single" w:sz="4" w:space="0" w:color="auto"/>
              <w:right w:val="single" w:sz="4" w:space="0" w:color="auto"/>
            </w:tcBorders>
            <w:shd w:val="clear" w:color="auto" w:fill="auto"/>
            <w:vAlign w:val="center"/>
          </w:tcPr>
          <w:p w:rsidR="001040AF" w:rsidRPr="004C0E7A" w:rsidRDefault="00537A99" w:rsidP="00E32ADE">
            <w:pPr>
              <w:keepNext/>
              <w:jc w:val="center"/>
              <w:rPr>
                <w:sz w:val="18"/>
                <w:szCs w:val="18"/>
                <w:lang w:val="fr-FR"/>
              </w:rPr>
            </w:pPr>
            <w:r>
              <w:rPr>
                <w:sz w:val="18"/>
                <w:szCs w:val="18"/>
                <w:lang w:val="fr-FR"/>
              </w:rPr>
              <w:t>23</w:t>
            </w:r>
            <w:r w:rsidR="0013256A" w:rsidRPr="004C0E7A">
              <w:rPr>
                <w:sz w:val="18"/>
                <w:szCs w:val="18"/>
                <w:lang w:val="fr-FR"/>
              </w:rPr>
              <w:t>29</w:t>
            </w:r>
          </w:p>
        </w:tc>
        <w:tc>
          <w:tcPr>
            <w:tcW w:w="0" w:type="auto"/>
            <w:tcBorders>
              <w:top w:val="nil"/>
              <w:left w:val="nil"/>
              <w:bottom w:val="single" w:sz="4" w:space="0" w:color="auto"/>
              <w:right w:val="single" w:sz="4" w:space="0" w:color="auto"/>
            </w:tcBorders>
            <w:shd w:val="clear" w:color="auto" w:fill="auto"/>
            <w:vAlign w:val="center"/>
          </w:tcPr>
          <w:p w:rsidR="001040AF" w:rsidRPr="004C0E7A" w:rsidRDefault="00537A99" w:rsidP="00E32ADE">
            <w:pPr>
              <w:keepNext/>
              <w:jc w:val="center"/>
              <w:rPr>
                <w:sz w:val="18"/>
                <w:szCs w:val="18"/>
                <w:lang w:val="fr-FR"/>
              </w:rPr>
            </w:pPr>
            <w:r>
              <w:rPr>
                <w:sz w:val="18"/>
                <w:szCs w:val="18"/>
                <w:lang w:val="fr-FR"/>
              </w:rPr>
              <w:t>46</w:t>
            </w:r>
          </w:p>
        </w:tc>
      </w:tr>
    </w:tbl>
    <w:p w:rsidR="007F4F40" w:rsidRPr="00537A99" w:rsidRDefault="00537A99" w:rsidP="001040AF">
      <w:pPr>
        <w:keepLines/>
        <w:spacing w:before="240" w:after="220"/>
        <w:rPr>
          <w:sz w:val="18"/>
          <w:szCs w:val="18"/>
          <w:lang w:val="fr-FR"/>
        </w:rPr>
      </w:pPr>
      <w:r w:rsidRPr="00537A99">
        <w:rPr>
          <w:sz w:val="18"/>
          <w:szCs w:val="18"/>
          <w:lang w:val="fr-FR"/>
        </w:rPr>
        <w:t>NOTE : le b</w:t>
      </w:r>
      <w:r w:rsidRPr="00537A99">
        <w:rPr>
          <w:bCs/>
          <w:sz w:val="18"/>
          <w:szCs w:val="18"/>
          <w:lang w:val="fr-FR"/>
        </w:rPr>
        <w:t>udget 2014</w:t>
      </w:r>
      <w:r w:rsidRPr="00537A99">
        <w:rPr>
          <w:bCs/>
          <w:sz w:val="18"/>
          <w:szCs w:val="18"/>
          <w:lang w:val="fr-FR"/>
        </w:rPr>
        <w:noBreakHyphen/>
        <w:t>2015 après virements tient compt</w:t>
      </w:r>
      <w:r w:rsidR="005E13DD">
        <w:rPr>
          <w:bCs/>
          <w:sz w:val="18"/>
          <w:szCs w:val="18"/>
          <w:lang w:val="fr-FR"/>
        </w:rPr>
        <w:t>e des virements effectués au 31 mars </w:t>
      </w:r>
      <w:r w:rsidRPr="00537A99">
        <w:rPr>
          <w:bCs/>
          <w:sz w:val="18"/>
          <w:szCs w:val="18"/>
          <w:lang w:val="fr-FR"/>
        </w:rPr>
        <w:t>2015 pour répondre aux besoins</w:t>
      </w:r>
      <w:r w:rsidR="005E13DD">
        <w:rPr>
          <w:bCs/>
          <w:sz w:val="18"/>
          <w:szCs w:val="18"/>
          <w:lang w:val="fr-FR"/>
        </w:rPr>
        <w:t xml:space="preserve"> durant l’exercice biennal 2014</w:t>
      </w:r>
      <w:r w:rsidR="005E13DD">
        <w:rPr>
          <w:bCs/>
          <w:sz w:val="18"/>
          <w:szCs w:val="18"/>
          <w:lang w:val="fr-FR"/>
        </w:rPr>
        <w:noBreakHyphen/>
        <w:t>2015 conformément à l’article </w:t>
      </w:r>
      <w:r w:rsidRPr="00537A99">
        <w:rPr>
          <w:bCs/>
          <w:sz w:val="18"/>
          <w:szCs w:val="18"/>
          <w:lang w:val="fr-FR"/>
        </w:rPr>
        <w:t>5.5 du Règlement financier.</w:t>
      </w:r>
    </w:p>
    <w:p w:rsidR="007F4F40" w:rsidRPr="004C0E7A" w:rsidRDefault="00147665" w:rsidP="004C0E7A">
      <w:pPr>
        <w:pStyle w:val="ONUMFS"/>
        <w:rPr>
          <w:lang w:val="fr-FR"/>
        </w:rPr>
      </w:pPr>
      <w:r w:rsidRPr="004C0E7A">
        <w:rPr>
          <w:lang w:val="fr-FR"/>
        </w:rPr>
        <w:t>Pendant la période couverte par le présent rapport, il a été fait appel à des experts sous contrat pour diverses activités de supervision.</w:t>
      </w:r>
      <w:r w:rsidR="00E32ADE" w:rsidRPr="004C0E7A">
        <w:rPr>
          <w:lang w:val="fr-FR"/>
        </w:rPr>
        <w:t xml:space="preserve">  </w:t>
      </w:r>
      <w:r w:rsidRPr="004C0E7A">
        <w:rPr>
          <w:lang w:val="fr-FR"/>
        </w:rPr>
        <w:t>Cette solution a été particulièrement fructueuse pour les évaluations, les audits et les enquêtes spécialisés.</w:t>
      </w:r>
    </w:p>
    <w:p w:rsidR="007F4F40" w:rsidRPr="004C0E7A" w:rsidRDefault="00147665" w:rsidP="00794EC0">
      <w:pPr>
        <w:pStyle w:val="Heading2"/>
        <w:rPr>
          <w:lang w:val="fr-FR"/>
        </w:rPr>
      </w:pPr>
      <w:r w:rsidRPr="004C0E7A">
        <w:rPr>
          <w:lang w:val="fr-FR"/>
        </w:rPr>
        <w:lastRenderedPageBreak/>
        <w:t>Formation</w:t>
      </w:r>
    </w:p>
    <w:p w:rsidR="007F4F40" w:rsidRPr="004C0E7A" w:rsidRDefault="0029007D" w:rsidP="004C0E7A">
      <w:pPr>
        <w:pStyle w:val="ONUMFS"/>
        <w:rPr>
          <w:lang w:val="fr-FR"/>
        </w:rPr>
      </w:pPr>
      <w:r w:rsidRPr="004C0E7A">
        <w:rPr>
          <w:lang w:val="fr-FR"/>
        </w:rPr>
        <w:t>Dans une perspective de formation professionnelle continue et conformément à la politique de l</w:t>
      </w:r>
      <w:r w:rsidR="000055C7" w:rsidRPr="004C0E7A">
        <w:rPr>
          <w:lang w:val="fr-FR"/>
        </w:rPr>
        <w:t>’</w:t>
      </w:r>
      <w:r w:rsidRPr="004C0E7A">
        <w:rPr>
          <w:lang w:val="fr-FR"/>
        </w:rPr>
        <w:t>OMPI en matière de formation, les membres du personnel de</w:t>
      </w:r>
      <w:r w:rsidR="000055C7" w:rsidRPr="004C0E7A">
        <w:rPr>
          <w:lang w:val="fr-FR"/>
        </w:rPr>
        <w:t xml:space="preserve"> la DSI</w:t>
      </w:r>
      <w:r w:rsidRPr="004C0E7A">
        <w:rPr>
          <w:lang w:val="fr-FR"/>
        </w:rPr>
        <w:t xml:space="preserve"> ont participé à des activités de formation planifiées afin d</w:t>
      </w:r>
      <w:r w:rsidR="000055C7" w:rsidRPr="004C0E7A">
        <w:rPr>
          <w:lang w:val="fr-FR"/>
        </w:rPr>
        <w:t>’</w:t>
      </w:r>
      <w:r w:rsidRPr="004C0E7A">
        <w:rPr>
          <w:lang w:val="fr-FR"/>
        </w:rPr>
        <w:t>acquérir de nouvelles connaissances, des compétences techniques et d</w:t>
      </w:r>
      <w:r w:rsidR="000055C7" w:rsidRPr="004C0E7A">
        <w:rPr>
          <w:lang w:val="fr-FR"/>
        </w:rPr>
        <w:t>’</w:t>
      </w:r>
      <w:r w:rsidRPr="004C0E7A">
        <w:rPr>
          <w:lang w:val="fr-FR"/>
        </w:rPr>
        <w:t>autres compétences et de renforcer ainsi l</w:t>
      </w:r>
      <w:r w:rsidR="000055C7" w:rsidRPr="004C0E7A">
        <w:rPr>
          <w:lang w:val="fr-FR"/>
        </w:rPr>
        <w:t>’</w:t>
      </w:r>
      <w:r w:rsidRPr="004C0E7A">
        <w:rPr>
          <w:lang w:val="fr-FR"/>
        </w:rPr>
        <w:t>efficacité opérationnelle de la Division dans le cadre de ses missions de supervision.</w:t>
      </w:r>
      <w:r w:rsidR="003A4009" w:rsidRPr="004C0E7A">
        <w:rPr>
          <w:lang w:val="fr-FR"/>
        </w:rPr>
        <w:t xml:space="preserve"> </w:t>
      </w:r>
      <w:r w:rsidR="00E32ADE" w:rsidRPr="004C0E7A">
        <w:rPr>
          <w:lang w:val="fr-FR"/>
        </w:rPr>
        <w:t xml:space="preserve"> </w:t>
      </w:r>
      <w:r w:rsidR="00042A15" w:rsidRPr="004C0E7A">
        <w:rPr>
          <w:lang w:val="fr-FR"/>
        </w:rPr>
        <w:t xml:space="preserve">Les activités de formation </w:t>
      </w:r>
      <w:r w:rsidR="00637FDD" w:rsidRPr="004C0E7A">
        <w:rPr>
          <w:lang w:val="fr-FR"/>
        </w:rPr>
        <w:t>auxquelles</w:t>
      </w:r>
      <w:r w:rsidR="00042A15" w:rsidRPr="004C0E7A">
        <w:rPr>
          <w:lang w:val="fr-FR"/>
        </w:rPr>
        <w:t xml:space="preserve"> ont participé les membres du personnel de</w:t>
      </w:r>
      <w:r w:rsidR="000055C7" w:rsidRPr="004C0E7A">
        <w:rPr>
          <w:lang w:val="fr-FR"/>
        </w:rPr>
        <w:t xml:space="preserve"> la DSI</w:t>
      </w:r>
      <w:r w:rsidR="00042A15" w:rsidRPr="004C0E7A">
        <w:rPr>
          <w:lang w:val="fr-FR"/>
        </w:rPr>
        <w:t xml:space="preserve"> portaient sur la gestion de la fonction d</w:t>
      </w:r>
      <w:r w:rsidR="000055C7" w:rsidRPr="004C0E7A">
        <w:rPr>
          <w:lang w:val="fr-FR"/>
        </w:rPr>
        <w:t>’</w:t>
      </w:r>
      <w:r w:rsidR="00042A15" w:rsidRPr="004C0E7A">
        <w:rPr>
          <w:lang w:val="fr-FR"/>
        </w:rPr>
        <w:t>audit, la prévention et la détection des fraudes, les techniques de recherche en matière d</w:t>
      </w:r>
      <w:r w:rsidR="000055C7" w:rsidRPr="004C0E7A">
        <w:rPr>
          <w:lang w:val="fr-FR"/>
        </w:rPr>
        <w:t>’</w:t>
      </w:r>
      <w:r w:rsidR="00042A15" w:rsidRPr="004C0E7A">
        <w:rPr>
          <w:lang w:val="fr-FR"/>
        </w:rPr>
        <w:t>enquête, l</w:t>
      </w:r>
      <w:r w:rsidR="000055C7" w:rsidRPr="004C0E7A">
        <w:rPr>
          <w:lang w:val="fr-FR"/>
        </w:rPr>
        <w:t>’</w:t>
      </w:r>
      <w:r w:rsidR="00042A15" w:rsidRPr="004C0E7A">
        <w:rPr>
          <w:lang w:val="fr-FR"/>
        </w:rPr>
        <w:t>évaluation du développement, l</w:t>
      </w:r>
      <w:r w:rsidR="000055C7" w:rsidRPr="004C0E7A">
        <w:rPr>
          <w:lang w:val="fr-FR"/>
        </w:rPr>
        <w:t>’</w:t>
      </w:r>
      <w:r w:rsidR="00042A15" w:rsidRPr="004C0E7A">
        <w:rPr>
          <w:lang w:val="fr-FR"/>
        </w:rPr>
        <w:t>analyse des causes profondes d</w:t>
      </w:r>
      <w:r w:rsidR="000055C7" w:rsidRPr="004C0E7A">
        <w:rPr>
          <w:lang w:val="fr-FR"/>
        </w:rPr>
        <w:t>’</w:t>
      </w:r>
      <w:r w:rsidR="00042A15" w:rsidRPr="004C0E7A">
        <w:rPr>
          <w:lang w:val="fr-FR"/>
        </w:rPr>
        <w:t>une situation, la rédaction de rappor</w:t>
      </w:r>
      <w:r w:rsidR="001325CF" w:rsidRPr="004C0E7A">
        <w:rPr>
          <w:lang w:val="fr-FR"/>
        </w:rPr>
        <w:t>ts et la gestion des risques ©.</w:t>
      </w:r>
    </w:p>
    <w:p w:rsidR="00794EC0" w:rsidRDefault="00794EC0" w:rsidP="00042A15">
      <w:pPr>
        <w:keepLines/>
        <w:tabs>
          <w:tab w:val="left" w:pos="5529"/>
        </w:tabs>
        <w:ind w:firstLine="5529"/>
        <w:rPr>
          <w:lang w:val="fr-FR"/>
        </w:rPr>
      </w:pPr>
    </w:p>
    <w:p w:rsidR="00794EC0" w:rsidRDefault="00794EC0" w:rsidP="00042A15">
      <w:pPr>
        <w:keepLines/>
        <w:tabs>
          <w:tab w:val="left" w:pos="5529"/>
        </w:tabs>
        <w:ind w:firstLine="5529"/>
        <w:rPr>
          <w:lang w:val="fr-FR"/>
        </w:rPr>
      </w:pPr>
    </w:p>
    <w:p w:rsidR="007F4F40" w:rsidRPr="004C0E7A" w:rsidRDefault="00042A15" w:rsidP="00042A15">
      <w:pPr>
        <w:keepLines/>
        <w:tabs>
          <w:tab w:val="left" w:pos="5529"/>
        </w:tabs>
        <w:ind w:firstLine="5529"/>
        <w:rPr>
          <w:lang w:val="fr-FR"/>
        </w:rPr>
      </w:pPr>
      <w:r w:rsidRPr="004C0E7A">
        <w:rPr>
          <w:lang w:val="fr-FR"/>
        </w:rPr>
        <w:t>[Les annexes suivent]</w:t>
      </w:r>
    </w:p>
    <w:p w:rsidR="007F4F40" w:rsidRPr="004C0E7A" w:rsidRDefault="007F4F40" w:rsidP="00C71859">
      <w:pPr>
        <w:keepLines/>
        <w:tabs>
          <w:tab w:val="left" w:pos="5529"/>
        </w:tabs>
        <w:rPr>
          <w:lang w:val="fr-FR"/>
        </w:rPr>
      </w:pPr>
    </w:p>
    <w:p w:rsidR="00D8524D" w:rsidRPr="004C0E7A" w:rsidRDefault="00D8524D" w:rsidP="00D8524D">
      <w:pPr>
        <w:pStyle w:val="ONUME"/>
        <w:keepLines/>
        <w:numPr>
          <w:ilvl w:val="0"/>
          <w:numId w:val="0"/>
        </w:numPr>
        <w:jc w:val="right"/>
        <w:rPr>
          <w:lang w:val="fr-FR"/>
        </w:rPr>
        <w:sectPr w:rsidR="00D8524D" w:rsidRPr="004C0E7A" w:rsidSect="00654077">
          <w:headerReference w:type="default" r:id="rId23"/>
          <w:endnotePr>
            <w:numFmt w:val="decimal"/>
          </w:endnotePr>
          <w:pgSz w:w="11907" w:h="16840" w:code="9"/>
          <w:pgMar w:top="567" w:right="1134" w:bottom="1418" w:left="1418" w:header="510" w:footer="1021" w:gutter="0"/>
          <w:cols w:space="720"/>
          <w:titlePg/>
          <w:docGrid w:linePitch="299"/>
        </w:sectPr>
      </w:pPr>
    </w:p>
    <w:p w:rsidR="007F4F40" w:rsidRPr="004C0E7A" w:rsidRDefault="001325CF" w:rsidP="00042A15">
      <w:pPr>
        <w:spacing w:after="120"/>
        <w:ind w:left="-142"/>
        <w:jc w:val="center"/>
        <w:rPr>
          <w:b/>
          <w:lang w:val="fr-FR"/>
        </w:rPr>
      </w:pPr>
      <w:bookmarkStart w:id="22" w:name="OLE_LINK1"/>
      <w:bookmarkStart w:id="23" w:name="OLE_LINK2"/>
      <w:r w:rsidRPr="004C0E7A">
        <w:rPr>
          <w:b/>
          <w:lang w:val="fr-FR"/>
        </w:rPr>
        <w:lastRenderedPageBreak/>
        <w:t>É</w:t>
      </w:r>
      <w:r w:rsidR="00042A15" w:rsidRPr="004C0E7A">
        <w:rPr>
          <w:b/>
          <w:lang w:val="fr-FR"/>
        </w:rPr>
        <w:t>tat d</w:t>
      </w:r>
      <w:r w:rsidR="000055C7" w:rsidRPr="004C0E7A">
        <w:rPr>
          <w:b/>
          <w:lang w:val="fr-FR"/>
        </w:rPr>
        <w:t>’</w:t>
      </w:r>
      <w:r w:rsidR="00042A15" w:rsidRPr="004C0E7A">
        <w:rPr>
          <w:b/>
          <w:lang w:val="fr-FR"/>
        </w:rPr>
        <w:t>avancement des missions de supervision</w:t>
      </w:r>
      <w:r w:rsidR="00042A15" w:rsidRPr="004C0E7A">
        <w:rPr>
          <w:lang w:val="fr-FR"/>
        </w:rPr>
        <w:t xml:space="preserve"> </w:t>
      </w:r>
      <w:r w:rsidR="00042A15" w:rsidRPr="004C0E7A">
        <w:rPr>
          <w:b/>
          <w:lang w:val="fr-FR"/>
        </w:rPr>
        <w:t>2014</w:t>
      </w:r>
    </w:p>
    <w:p w:rsidR="00677F67" w:rsidRPr="004C0E7A" w:rsidRDefault="00677F67" w:rsidP="00E32ADE">
      <w:pPr>
        <w:spacing w:after="120"/>
        <w:ind w:left="-142"/>
        <w:jc w:val="center"/>
        <w:rPr>
          <w:b/>
          <w:lang w:val="fr-FR"/>
        </w:rPr>
      </w:pPr>
    </w:p>
    <w:tbl>
      <w:tblPr>
        <w:tblW w:w="9935" w:type="dxa"/>
        <w:tblInd w:w="-46" w:type="dxa"/>
        <w:tblLayout w:type="fixed"/>
        <w:tblLook w:val="04A0" w:firstRow="1" w:lastRow="0" w:firstColumn="1" w:lastColumn="0" w:noHBand="0" w:noVBand="1"/>
      </w:tblPr>
      <w:tblGrid>
        <w:gridCol w:w="5879"/>
        <w:gridCol w:w="2639"/>
        <w:gridCol w:w="7"/>
        <w:gridCol w:w="1410"/>
      </w:tblGrid>
      <w:tr w:rsidR="004C0E7A" w:rsidRPr="004C0E7A" w:rsidTr="0024427E">
        <w:trPr>
          <w:cantSplit/>
          <w:trHeight w:val="414"/>
          <w:tblHeader/>
        </w:trPr>
        <w:tc>
          <w:tcPr>
            <w:tcW w:w="5879"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34" w:type="dxa"/>
              <w:bottom w:w="34" w:type="dxa"/>
            </w:tcMar>
            <w:vAlign w:val="center"/>
          </w:tcPr>
          <w:p w:rsidR="00882C1D" w:rsidRPr="004C0E7A" w:rsidRDefault="00042A15" w:rsidP="0024427E">
            <w:pPr>
              <w:jc w:val="center"/>
              <w:rPr>
                <w:rFonts w:eastAsia="Times New Roman"/>
                <w:b/>
                <w:sz w:val="18"/>
                <w:szCs w:val="18"/>
                <w:lang w:val="fr-FR" w:eastAsia="en-US"/>
              </w:rPr>
            </w:pPr>
            <w:r w:rsidRPr="004C0E7A">
              <w:rPr>
                <w:rFonts w:eastAsia="Times New Roman"/>
                <w:b/>
                <w:sz w:val="18"/>
                <w:szCs w:val="18"/>
                <w:lang w:val="fr-FR" w:eastAsia="en-US"/>
              </w:rPr>
              <w:t>Programme</w:t>
            </w:r>
          </w:p>
        </w:tc>
        <w:tc>
          <w:tcPr>
            <w:tcW w:w="2639" w:type="dxa"/>
            <w:tcBorders>
              <w:top w:val="single" w:sz="4" w:space="0" w:color="auto"/>
              <w:left w:val="nil"/>
              <w:bottom w:val="single" w:sz="4" w:space="0" w:color="auto"/>
              <w:right w:val="single" w:sz="4" w:space="0" w:color="auto"/>
            </w:tcBorders>
            <w:shd w:val="clear" w:color="auto" w:fill="BFBFBF" w:themeFill="background1" w:themeFillShade="BF"/>
            <w:tcMar>
              <w:top w:w="34" w:type="dxa"/>
              <w:bottom w:w="34" w:type="dxa"/>
            </w:tcMar>
            <w:vAlign w:val="center"/>
          </w:tcPr>
          <w:p w:rsidR="00882C1D" w:rsidRPr="004C0E7A" w:rsidRDefault="00882C1D" w:rsidP="0024427E">
            <w:pPr>
              <w:jc w:val="center"/>
              <w:rPr>
                <w:rFonts w:eastAsia="Times New Roman"/>
                <w:b/>
                <w:sz w:val="18"/>
                <w:szCs w:val="18"/>
                <w:lang w:val="fr-FR" w:eastAsia="en-US"/>
              </w:rPr>
            </w:pPr>
            <w:r w:rsidRPr="004C0E7A">
              <w:rPr>
                <w:rFonts w:eastAsia="Times New Roman"/>
                <w:b/>
                <w:sz w:val="18"/>
                <w:szCs w:val="18"/>
                <w:lang w:val="fr-FR" w:eastAsia="en-US"/>
              </w:rPr>
              <w:t>Sect</w:t>
            </w:r>
            <w:r w:rsidR="00042A15" w:rsidRPr="004C0E7A">
              <w:rPr>
                <w:rFonts w:eastAsia="Times New Roman"/>
                <w:b/>
                <w:sz w:val="18"/>
                <w:szCs w:val="18"/>
                <w:lang w:val="fr-FR" w:eastAsia="en-US"/>
              </w:rPr>
              <w:t>eu</w:t>
            </w:r>
            <w:r w:rsidRPr="004C0E7A">
              <w:rPr>
                <w:rFonts w:eastAsia="Times New Roman"/>
                <w:b/>
                <w:sz w:val="18"/>
                <w:szCs w:val="18"/>
                <w:lang w:val="fr-FR" w:eastAsia="en-US"/>
              </w:rPr>
              <w:t>r</w:t>
            </w:r>
          </w:p>
        </w:tc>
        <w:tc>
          <w:tcPr>
            <w:tcW w:w="1417" w:type="dxa"/>
            <w:gridSpan w:val="2"/>
            <w:tcBorders>
              <w:top w:val="single" w:sz="4" w:space="0" w:color="auto"/>
              <w:left w:val="nil"/>
              <w:bottom w:val="single" w:sz="4" w:space="0" w:color="auto"/>
              <w:right w:val="single" w:sz="4" w:space="0" w:color="auto"/>
            </w:tcBorders>
            <w:shd w:val="clear" w:color="auto" w:fill="BFBFBF" w:themeFill="background1" w:themeFillShade="BF"/>
            <w:tcMar>
              <w:top w:w="34" w:type="dxa"/>
              <w:bottom w:w="34" w:type="dxa"/>
            </w:tcMar>
            <w:vAlign w:val="center"/>
          </w:tcPr>
          <w:p w:rsidR="00882C1D" w:rsidRPr="004C0E7A" w:rsidRDefault="00042A15" w:rsidP="00794EC0">
            <w:pPr>
              <w:jc w:val="center"/>
              <w:rPr>
                <w:rFonts w:eastAsia="Times New Roman"/>
                <w:b/>
                <w:sz w:val="18"/>
                <w:szCs w:val="18"/>
                <w:lang w:val="fr-FR" w:eastAsia="en-US"/>
              </w:rPr>
            </w:pPr>
            <w:r w:rsidRPr="004C0E7A">
              <w:rPr>
                <w:b/>
                <w:sz w:val="18"/>
                <w:lang w:val="fr-FR"/>
              </w:rPr>
              <w:t>État d</w:t>
            </w:r>
            <w:r w:rsidR="000055C7" w:rsidRPr="004C0E7A">
              <w:rPr>
                <w:b/>
                <w:sz w:val="18"/>
                <w:lang w:val="fr-FR"/>
              </w:rPr>
              <w:t>’</w:t>
            </w:r>
            <w:r w:rsidRPr="004C0E7A">
              <w:rPr>
                <w:b/>
                <w:sz w:val="18"/>
                <w:lang w:val="fr-FR"/>
              </w:rPr>
              <w:t>avancement</w:t>
            </w:r>
          </w:p>
        </w:tc>
      </w:tr>
      <w:tr w:rsidR="004C0E7A" w:rsidRPr="004C0E7A" w:rsidTr="0024427E">
        <w:trPr>
          <w:cantSplit/>
          <w:trHeight w:val="414"/>
        </w:trPr>
        <w:tc>
          <w:tcPr>
            <w:tcW w:w="5879" w:type="dxa"/>
            <w:tcBorders>
              <w:top w:val="nil"/>
              <w:left w:val="single" w:sz="4" w:space="0" w:color="auto"/>
              <w:bottom w:val="single" w:sz="4" w:space="0" w:color="auto"/>
              <w:right w:val="single" w:sz="4" w:space="0" w:color="auto"/>
            </w:tcBorders>
            <w:shd w:val="clear" w:color="auto" w:fill="auto"/>
            <w:tcMar>
              <w:top w:w="34" w:type="dxa"/>
              <w:bottom w:w="34" w:type="dxa"/>
            </w:tcMar>
            <w:vAlign w:val="center"/>
          </w:tcPr>
          <w:p w:rsidR="00882C1D" w:rsidRPr="004C0E7A" w:rsidRDefault="007F65E2" w:rsidP="0024427E">
            <w:pPr>
              <w:rPr>
                <w:rFonts w:eastAsia="Times New Roman"/>
                <w:sz w:val="18"/>
                <w:szCs w:val="18"/>
                <w:lang w:val="fr-FR" w:eastAsia="en-US"/>
              </w:rPr>
            </w:pPr>
            <w:r w:rsidRPr="004C0E7A">
              <w:rPr>
                <w:rFonts w:eastAsia="Times New Roman"/>
                <w:sz w:val="18"/>
                <w:szCs w:val="18"/>
                <w:lang w:val="fr-FR" w:eastAsia="en-US"/>
              </w:rPr>
              <w:t>EVAL 2014</w:t>
            </w:r>
            <w:r w:rsidR="00854761" w:rsidRPr="004C0E7A">
              <w:rPr>
                <w:rFonts w:eastAsia="Times New Roman"/>
                <w:sz w:val="18"/>
                <w:szCs w:val="18"/>
                <w:lang w:val="fr-FR" w:eastAsia="en-US"/>
              </w:rPr>
              <w:t xml:space="preserve"> – </w:t>
            </w:r>
            <w:r w:rsidRPr="004C0E7A">
              <w:rPr>
                <w:rFonts w:eastAsia="Times New Roman"/>
                <w:sz w:val="18"/>
                <w:szCs w:val="18"/>
                <w:lang w:val="fr-FR" w:eastAsia="en-US"/>
              </w:rPr>
              <w:t>01 </w:t>
            </w:r>
            <w:r w:rsidR="005F1D9B" w:rsidRPr="004C0E7A">
              <w:rPr>
                <w:rFonts w:eastAsia="Times New Roman"/>
                <w:sz w:val="18"/>
                <w:szCs w:val="18"/>
                <w:lang w:val="fr-FR" w:eastAsia="en-US"/>
              </w:rPr>
              <w:t>Objectif stratégique VI</w:t>
            </w:r>
            <w:r w:rsidR="00045FD8" w:rsidRPr="004C0E7A">
              <w:rPr>
                <w:rFonts w:eastAsia="Times New Roman"/>
                <w:sz w:val="18"/>
                <w:szCs w:val="18"/>
                <w:lang w:val="fr-FR" w:eastAsia="en-US"/>
              </w:rPr>
              <w:t> </w:t>
            </w:r>
            <w:r w:rsidR="005F1D9B" w:rsidRPr="004C0E7A">
              <w:rPr>
                <w:rFonts w:eastAsia="Times New Roman"/>
                <w:sz w:val="18"/>
                <w:szCs w:val="18"/>
                <w:lang w:val="fr-FR" w:eastAsia="en-US"/>
              </w:rPr>
              <w:t>: Coopération internationale pour le respect</w:t>
            </w:r>
            <w:r w:rsidRPr="004C0E7A">
              <w:rPr>
                <w:rFonts w:eastAsia="Times New Roman"/>
                <w:sz w:val="18"/>
                <w:szCs w:val="18"/>
                <w:lang w:val="fr-FR" w:eastAsia="en-US"/>
              </w:rPr>
              <w:t xml:space="preserve"> de la propriété intellectuelle</w:t>
            </w:r>
          </w:p>
        </w:tc>
        <w:tc>
          <w:tcPr>
            <w:tcW w:w="2639" w:type="dxa"/>
            <w:tcBorders>
              <w:top w:val="nil"/>
              <w:left w:val="nil"/>
              <w:bottom w:val="single" w:sz="4" w:space="0" w:color="auto"/>
              <w:right w:val="single" w:sz="4" w:space="0" w:color="auto"/>
            </w:tcBorders>
            <w:shd w:val="clear" w:color="auto" w:fill="auto"/>
            <w:tcMar>
              <w:top w:w="34" w:type="dxa"/>
              <w:bottom w:w="34" w:type="dxa"/>
            </w:tcMar>
            <w:vAlign w:val="center"/>
          </w:tcPr>
          <w:p w:rsidR="00882C1D" w:rsidRPr="004C0E7A" w:rsidRDefault="005F1D9B" w:rsidP="0024427E">
            <w:pPr>
              <w:jc w:val="center"/>
              <w:rPr>
                <w:rFonts w:eastAsia="Times New Roman"/>
                <w:sz w:val="18"/>
                <w:szCs w:val="18"/>
                <w:lang w:val="fr-FR" w:eastAsia="en-US"/>
              </w:rPr>
            </w:pPr>
            <w:r w:rsidRPr="004C0E7A">
              <w:rPr>
                <w:rFonts w:eastAsia="Times New Roman"/>
                <w:sz w:val="18"/>
                <w:szCs w:val="18"/>
                <w:lang w:val="fr-FR" w:eastAsia="en-US"/>
              </w:rPr>
              <w:t>Questions mondiales</w:t>
            </w:r>
          </w:p>
        </w:tc>
        <w:tc>
          <w:tcPr>
            <w:tcW w:w="1417" w:type="dxa"/>
            <w:gridSpan w:val="2"/>
            <w:tcBorders>
              <w:top w:val="nil"/>
              <w:left w:val="nil"/>
              <w:bottom w:val="single" w:sz="4" w:space="0" w:color="auto"/>
              <w:right w:val="single" w:sz="4" w:space="0" w:color="auto"/>
            </w:tcBorders>
            <w:shd w:val="clear" w:color="000000" w:fill="92D050"/>
            <w:tcMar>
              <w:top w:w="34" w:type="dxa"/>
              <w:bottom w:w="34" w:type="dxa"/>
            </w:tcMar>
          </w:tcPr>
          <w:p w:rsidR="00882C1D" w:rsidRPr="004C0E7A" w:rsidRDefault="00882C1D" w:rsidP="00882C1D">
            <w:pPr>
              <w:jc w:val="center"/>
              <w:rPr>
                <w:rFonts w:eastAsia="Times New Roman"/>
                <w:sz w:val="18"/>
                <w:szCs w:val="18"/>
                <w:lang w:val="fr-FR" w:eastAsia="en-US"/>
              </w:rPr>
            </w:pPr>
          </w:p>
        </w:tc>
      </w:tr>
      <w:tr w:rsidR="004C0E7A" w:rsidRPr="004C0E7A" w:rsidTr="0024427E">
        <w:trPr>
          <w:cantSplit/>
          <w:trHeight w:val="414"/>
        </w:trPr>
        <w:tc>
          <w:tcPr>
            <w:tcW w:w="5879" w:type="dxa"/>
            <w:tcBorders>
              <w:top w:val="nil"/>
              <w:left w:val="single" w:sz="4" w:space="0" w:color="auto"/>
              <w:bottom w:val="single" w:sz="4" w:space="0" w:color="auto"/>
              <w:right w:val="single" w:sz="4" w:space="0" w:color="auto"/>
            </w:tcBorders>
            <w:shd w:val="clear" w:color="auto" w:fill="auto"/>
            <w:tcMar>
              <w:top w:w="34" w:type="dxa"/>
              <w:bottom w:w="34" w:type="dxa"/>
            </w:tcMar>
            <w:vAlign w:val="center"/>
          </w:tcPr>
          <w:p w:rsidR="00882C1D" w:rsidRPr="004C0E7A" w:rsidRDefault="005F1D9B" w:rsidP="0024427E">
            <w:pPr>
              <w:rPr>
                <w:rFonts w:eastAsia="Times New Roman"/>
                <w:sz w:val="18"/>
                <w:szCs w:val="18"/>
                <w:lang w:val="fr-FR" w:eastAsia="en-US"/>
              </w:rPr>
            </w:pPr>
            <w:r w:rsidRPr="004C0E7A">
              <w:rPr>
                <w:rFonts w:eastAsia="Times New Roman"/>
                <w:sz w:val="18"/>
                <w:szCs w:val="18"/>
                <w:lang w:val="fr-FR" w:eastAsia="en-US"/>
              </w:rPr>
              <w:t>EVAL 2014 – 02</w:t>
            </w:r>
            <w:r w:rsidR="007F65E2" w:rsidRPr="004C0E7A">
              <w:rPr>
                <w:rFonts w:eastAsia="Times New Roman"/>
                <w:sz w:val="18"/>
                <w:szCs w:val="18"/>
                <w:lang w:val="fr-FR" w:eastAsia="en-US"/>
              </w:rPr>
              <w:t xml:space="preserve"> </w:t>
            </w:r>
            <w:r w:rsidRPr="004C0E7A">
              <w:rPr>
                <w:rFonts w:eastAsia="Times New Roman"/>
                <w:sz w:val="18"/>
                <w:szCs w:val="18"/>
                <w:lang w:val="fr-FR" w:eastAsia="en-US"/>
              </w:rPr>
              <w:t>Partage des connaissances à l</w:t>
            </w:r>
            <w:r w:rsidR="000055C7" w:rsidRPr="004C0E7A">
              <w:rPr>
                <w:rFonts w:eastAsia="Times New Roman"/>
                <w:sz w:val="18"/>
                <w:szCs w:val="18"/>
                <w:lang w:val="fr-FR" w:eastAsia="en-US"/>
              </w:rPr>
              <w:t>’</w:t>
            </w:r>
            <w:r w:rsidRPr="004C0E7A">
              <w:rPr>
                <w:rFonts w:eastAsia="Times New Roman"/>
                <w:sz w:val="18"/>
                <w:szCs w:val="18"/>
                <w:lang w:val="fr-FR" w:eastAsia="en-US"/>
              </w:rPr>
              <w:t xml:space="preserve">OMPI </w:t>
            </w:r>
          </w:p>
        </w:tc>
        <w:tc>
          <w:tcPr>
            <w:tcW w:w="2639" w:type="dxa"/>
            <w:tcBorders>
              <w:top w:val="nil"/>
              <w:left w:val="nil"/>
              <w:bottom w:val="single" w:sz="4" w:space="0" w:color="auto"/>
              <w:right w:val="single" w:sz="4" w:space="0" w:color="auto"/>
            </w:tcBorders>
            <w:shd w:val="clear" w:color="auto" w:fill="auto"/>
            <w:tcMar>
              <w:top w:w="34" w:type="dxa"/>
              <w:bottom w:w="34" w:type="dxa"/>
            </w:tcMar>
            <w:vAlign w:val="center"/>
          </w:tcPr>
          <w:p w:rsidR="00882C1D" w:rsidRPr="004C0E7A" w:rsidRDefault="005F1D9B" w:rsidP="0024427E">
            <w:pPr>
              <w:jc w:val="center"/>
              <w:rPr>
                <w:rFonts w:eastAsia="Times New Roman"/>
                <w:sz w:val="18"/>
                <w:szCs w:val="18"/>
                <w:lang w:val="fr-FR" w:eastAsia="en-US"/>
              </w:rPr>
            </w:pPr>
            <w:r w:rsidRPr="004C0E7A">
              <w:rPr>
                <w:rFonts w:eastAsia="Times New Roman"/>
                <w:sz w:val="18"/>
                <w:szCs w:val="18"/>
                <w:lang w:val="fr-FR" w:eastAsia="en-US"/>
              </w:rPr>
              <w:t>Tous</w:t>
            </w:r>
          </w:p>
        </w:tc>
        <w:tc>
          <w:tcPr>
            <w:tcW w:w="1417" w:type="dxa"/>
            <w:gridSpan w:val="2"/>
            <w:tcBorders>
              <w:top w:val="nil"/>
              <w:left w:val="nil"/>
              <w:bottom w:val="single" w:sz="4" w:space="0" w:color="auto"/>
              <w:right w:val="single" w:sz="4" w:space="0" w:color="auto"/>
            </w:tcBorders>
            <w:shd w:val="clear" w:color="000000" w:fill="92D050"/>
            <w:tcMar>
              <w:top w:w="34" w:type="dxa"/>
              <w:bottom w:w="34" w:type="dxa"/>
            </w:tcMar>
          </w:tcPr>
          <w:p w:rsidR="00882C1D" w:rsidRPr="004C0E7A" w:rsidRDefault="00882C1D" w:rsidP="00882C1D">
            <w:pPr>
              <w:jc w:val="center"/>
              <w:rPr>
                <w:rFonts w:eastAsia="Times New Roman"/>
                <w:sz w:val="18"/>
                <w:szCs w:val="18"/>
                <w:lang w:val="fr-FR" w:eastAsia="en-US"/>
              </w:rPr>
            </w:pPr>
          </w:p>
        </w:tc>
      </w:tr>
      <w:tr w:rsidR="004C0E7A" w:rsidRPr="004C0E7A" w:rsidTr="0024427E">
        <w:trPr>
          <w:cantSplit/>
          <w:trHeight w:val="414"/>
        </w:trPr>
        <w:tc>
          <w:tcPr>
            <w:tcW w:w="5879" w:type="dxa"/>
            <w:tcBorders>
              <w:top w:val="nil"/>
              <w:left w:val="single" w:sz="4" w:space="0" w:color="auto"/>
              <w:bottom w:val="single" w:sz="4" w:space="0" w:color="auto"/>
              <w:right w:val="single" w:sz="4" w:space="0" w:color="auto"/>
            </w:tcBorders>
            <w:shd w:val="clear" w:color="auto" w:fill="auto"/>
            <w:tcMar>
              <w:top w:w="34" w:type="dxa"/>
              <w:bottom w:w="34" w:type="dxa"/>
            </w:tcMar>
            <w:vAlign w:val="center"/>
          </w:tcPr>
          <w:p w:rsidR="00882C1D" w:rsidRPr="004C0E7A" w:rsidRDefault="005F1D9B" w:rsidP="0024427E">
            <w:pPr>
              <w:rPr>
                <w:rFonts w:eastAsia="Times New Roman"/>
                <w:sz w:val="18"/>
                <w:szCs w:val="18"/>
                <w:lang w:val="fr-FR" w:eastAsia="en-US"/>
              </w:rPr>
            </w:pPr>
            <w:r w:rsidRPr="004C0E7A">
              <w:rPr>
                <w:rFonts w:eastAsia="Times New Roman"/>
                <w:sz w:val="18"/>
                <w:szCs w:val="18"/>
                <w:lang w:val="fr-FR" w:eastAsia="en-US"/>
              </w:rPr>
              <w:t xml:space="preserve">EVAL 2014 – 04 </w:t>
            </w:r>
            <w:r w:rsidR="00637FDD" w:rsidRPr="004C0E7A">
              <w:rPr>
                <w:rFonts w:eastAsia="Times New Roman"/>
                <w:sz w:val="18"/>
                <w:szCs w:val="18"/>
                <w:lang w:val="fr-FR" w:eastAsia="en-US"/>
              </w:rPr>
              <w:t>Évaluation</w:t>
            </w:r>
            <w:r w:rsidRPr="004C0E7A">
              <w:rPr>
                <w:rFonts w:eastAsia="Times New Roman"/>
                <w:sz w:val="18"/>
                <w:szCs w:val="18"/>
                <w:lang w:val="fr-FR" w:eastAsia="en-US"/>
              </w:rPr>
              <w:t xml:space="preserve"> du </w:t>
            </w:r>
            <w:r w:rsidR="00637FDD" w:rsidRPr="004C0E7A">
              <w:rPr>
                <w:rFonts w:eastAsia="Times New Roman"/>
                <w:sz w:val="18"/>
                <w:szCs w:val="18"/>
                <w:lang w:val="fr-FR" w:eastAsia="en-US"/>
              </w:rPr>
              <w:t>programme </w:t>
            </w:r>
            <w:r w:rsidRPr="004C0E7A">
              <w:rPr>
                <w:rFonts w:eastAsia="Times New Roman"/>
                <w:sz w:val="18"/>
                <w:szCs w:val="18"/>
                <w:lang w:val="fr-FR" w:eastAsia="en-US"/>
              </w:rPr>
              <w:t>30</w:t>
            </w:r>
            <w:r w:rsidR="00045FD8" w:rsidRPr="004C0E7A">
              <w:rPr>
                <w:rFonts w:eastAsia="Times New Roman"/>
                <w:sz w:val="18"/>
                <w:szCs w:val="18"/>
                <w:lang w:val="fr-FR" w:eastAsia="en-US"/>
              </w:rPr>
              <w:t> </w:t>
            </w:r>
            <w:r w:rsidRPr="004C0E7A">
              <w:rPr>
                <w:rFonts w:eastAsia="Times New Roman"/>
                <w:sz w:val="18"/>
                <w:szCs w:val="18"/>
                <w:lang w:val="fr-FR" w:eastAsia="en-US"/>
              </w:rPr>
              <w:t>: Petites et moyennes entreprises et innovations</w:t>
            </w:r>
          </w:p>
        </w:tc>
        <w:tc>
          <w:tcPr>
            <w:tcW w:w="2639" w:type="dxa"/>
            <w:tcBorders>
              <w:top w:val="nil"/>
              <w:left w:val="nil"/>
              <w:bottom w:val="single" w:sz="4" w:space="0" w:color="auto"/>
              <w:right w:val="single" w:sz="4" w:space="0" w:color="auto"/>
            </w:tcBorders>
            <w:shd w:val="clear" w:color="auto" w:fill="auto"/>
            <w:tcMar>
              <w:top w:w="34" w:type="dxa"/>
              <w:bottom w:w="34" w:type="dxa"/>
            </w:tcMar>
            <w:vAlign w:val="center"/>
          </w:tcPr>
          <w:p w:rsidR="00882C1D" w:rsidRPr="004C0E7A" w:rsidRDefault="005F1D9B" w:rsidP="0024427E">
            <w:pPr>
              <w:jc w:val="center"/>
              <w:rPr>
                <w:rFonts w:eastAsia="Times New Roman"/>
                <w:sz w:val="18"/>
                <w:szCs w:val="18"/>
                <w:lang w:val="fr-FR" w:eastAsia="en-US"/>
              </w:rPr>
            </w:pPr>
            <w:r w:rsidRPr="004C0E7A">
              <w:rPr>
                <w:rFonts w:eastAsia="Times New Roman"/>
                <w:sz w:val="18"/>
                <w:szCs w:val="18"/>
                <w:lang w:val="fr-FR" w:eastAsia="en-US"/>
              </w:rPr>
              <w:t>Cabinet du Directeur général</w:t>
            </w:r>
          </w:p>
        </w:tc>
        <w:tc>
          <w:tcPr>
            <w:tcW w:w="1417" w:type="dxa"/>
            <w:gridSpan w:val="2"/>
            <w:tcBorders>
              <w:top w:val="single" w:sz="4" w:space="0" w:color="auto"/>
              <w:left w:val="nil"/>
              <w:bottom w:val="single" w:sz="4" w:space="0" w:color="auto"/>
              <w:right w:val="single" w:sz="4" w:space="0" w:color="auto"/>
            </w:tcBorders>
            <w:shd w:val="clear" w:color="000000" w:fill="FFFF00"/>
            <w:tcMar>
              <w:top w:w="34" w:type="dxa"/>
              <w:bottom w:w="34" w:type="dxa"/>
            </w:tcMar>
          </w:tcPr>
          <w:p w:rsidR="00882C1D" w:rsidRPr="004C0E7A" w:rsidRDefault="00882C1D" w:rsidP="00882C1D">
            <w:pPr>
              <w:jc w:val="center"/>
              <w:rPr>
                <w:rFonts w:eastAsia="Times New Roman"/>
                <w:sz w:val="18"/>
                <w:szCs w:val="18"/>
                <w:lang w:val="fr-FR" w:eastAsia="en-US"/>
              </w:rPr>
            </w:pPr>
          </w:p>
        </w:tc>
      </w:tr>
      <w:tr w:rsidR="004C0E7A" w:rsidRPr="004C0E7A" w:rsidTr="0024427E">
        <w:trPr>
          <w:cantSplit/>
          <w:trHeight w:val="414"/>
        </w:trPr>
        <w:tc>
          <w:tcPr>
            <w:tcW w:w="5879" w:type="dxa"/>
            <w:tcBorders>
              <w:top w:val="nil"/>
              <w:left w:val="single" w:sz="4" w:space="0" w:color="auto"/>
              <w:bottom w:val="single" w:sz="4" w:space="0" w:color="auto"/>
              <w:right w:val="single" w:sz="4" w:space="0" w:color="auto"/>
            </w:tcBorders>
            <w:shd w:val="clear" w:color="auto" w:fill="auto"/>
            <w:tcMar>
              <w:top w:w="34" w:type="dxa"/>
              <w:bottom w:w="34" w:type="dxa"/>
            </w:tcMar>
            <w:vAlign w:val="center"/>
          </w:tcPr>
          <w:p w:rsidR="00882C1D" w:rsidRPr="004C0E7A" w:rsidRDefault="0054309C" w:rsidP="0024427E">
            <w:pPr>
              <w:rPr>
                <w:rFonts w:eastAsia="Times New Roman"/>
                <w:sz w:val="18"/>
                <w:szCs w:val="18"/>
                <w:lang w:val="fr-FR" w:eastAsia="en-US"/>
              </w:rPr>
            </w:pPr>
            <w:r w:rsidRPr="004C0E7A">
              <w:rPr>
                <w:rFonts w:eastAsia="Times New Roman"/>
                <w:sz w:val="18"/>
                <w:szCs w:val="18"/>
                <w:lang w:val="fr-FR" w:eastAsia="en-US"/>
              </w:rPr>
              <w:t xml:space="preserve">EVAL 2014 – 05 </w:t>
            </w:r>
            <w:r w:rsidR="007F65E2" w:rsidRPr="004C0E7A">
              <w:rPr>
                <w:rFonts w:eastAsia="Times New Roman"/>
                <w:sz w:val="18"/>
                <w:szCs w:val="18"/>
                <w:lang w:val="fr-FR" w:eastAsia="en-US"/>
              </w:rPr>
              <w:t>É</w:t>
            </w:r>
            <w:r w:rsidRPr="004C0E7A">
              <w:rPr>
                <w:rFonts w:eastAsia="Times New Roman"/>
                <w:sz w:val="18"/>
                <w:szCs w:val="18"/>
                <w:lang w:val="fr-FR" w:eastAsia="en-US"/>
              </w:rPr>
              <w:t>valuation du portefeuille d</w:t>
            </w:r>
            <w:r w:rsidR="000055C7" w:rsidRPr="004C0E7A">
              <w:rPr>
                <w:rFonts w:eastAsia="Times New Roman"/>
                <w:sz w:val="18"/>
                <w:szCs w:val="18"/>
                <w:lang w:val="fr-FR" w:eastAsia="en-US"/>
              </w:rPr>
              <w:t>’</w:t>
            </w:r>
            <w:r w:rsidRPr="004C0E7A">
              <w:rPr>
                <w:rFonts w:eastAsia="Times New Roman"/>
                <w:sz w:val="18"/>
                <w:szCs w:val="18"/>
                <w:lang w:val="fr-FR" w:eastAsia="en-US"/>
              </w:rPr>
              <w:t>activités dans un pays</w:t>
            </w:r>
            <w:r w:rsidR="00045FD8" w:rsidRPr="004C0E7A">
              <w:rPr>
                <w:rFonts w:eastAsia="Times New Roman"/>
                <w:sz w:val="18"/>
                <w:szCs w:val="18"/>
                <w:lang w:val="fr-FR" w:eastAsia="en-US"/>
              </w:rPr>
              <w:t> </w:t>
            </w:r>
            <w:r w:rsidRPr="004C0E7A">
              <w:rPr>
                <w:rFonts w:eastAsia="Times New Roman"/>
                <w:sz w:val="18"/>
                <w:szCs w:val="18"/>
                <w:lang w:val="fr-FR" w:eastAsia="en-US"/>
              </w:rPr>
              <w:t>: Chili</w:t>
            </w:r>
          </w:p>
        </w:tc>
        <w:tc>
          <w:tcPr>
            <w:tcW w:w="2639" w:type="dxa"/>
            <w:tcBorders>
              <w:top w:val="nil"/>
              <w:left w:val="nil"/>
              <w:bottom w:val="single" w:sz="4" w:space="0" w:color="auto"/>
              <w:right w:val="single" w:sz="4" w:space="0" w:color="auto"/>
            </w:tcBorders>
            <w:shd w:val="clear" w:color="auto" w:fill="auto"/>
            <w:tcMar>
              <w:top w:w="34" w:type="dxa"/>
              <w:bottom w:w="34" w:type="dxa"/>
            </w:tcMar>
            <w:vAlign w:val="center"/>
          </w:tcPr>
          <w:p w:rsidR="00882C1D" w:rsidRPr="004C0E7A" w:rsidRDefault="0054309C" w:rsidP="0024427E">
            <w:pPr>
              <w:jc w:val="center"/>
              <w:rPr>
                <w:rFonts w:eastAsia="Times New Roman"/>
                <w:sz w:val="18"/>
                <w:szCs w:val="18"/>
                <w:lang w:val="fr-FR" w:eastAsia="en-US"/>
              </w:rPr>
            </w:pPr>
            <w:r w:rsidRPr="004C0E7A">
              <w:rPr>
                <w:rFonts w:eastAsia="Times New Roman"/>
                <w:sz w:val="18"/>
                <w:szCs w:val="18"/>
                <w:lang w:val="fr-FR" w:eastAsia="en-US"/>
              </w:rPr>
              <w:t>Tous</w:t>
            </w:r>
          </w:p>
        </w:tc>
        <w:tc>
          <w:tcPr>
            <w:tcW w:w="1417" w:type="dxa"/>
            <w:gridSpan w:val="2"/>
            <w:tcBorders>
              <w:top w:val="nil"/>
              <w:left w:val="nil"/>
              <w:bottom w:val="single" w:sz="4" w:space="0" w:color="auto"/>
              <w:right w:val="single" w:sz="4" w:space="0" w:color="auto"/>
            </w:tcBorders>
            <w:shd w:val="clear" w:color="000000" w:fill="92D050"/>
            <w:tcMar>
              <w:top w:w="34" w:type="dxa"/>
              <w:bottom w:w="34" w:type="dxa"/>
            </w:tcMar>
          </w:tcPr>
          <w:p w:rsidR="00882C1D" w:rsidRPr="004C0E7A" w:rsidRDefault="00882C1D" w:rsidP="00882C1D">
            <w:pPr>
              <w:jc w:val="center"/>
              <w:rPr>
                <w:rFonts w:eastAsia="Times New Roman"/>
                <w:sz w:val="18"/>
                <w:szCs w:val="18"/>
                <w:lang w:val="fr-FR" w:eastAsia="en-US"/>
              </w:rPr>
            </w:pPr>
          </w:p>
        </w:tc>
      </w:tr>
      <w:tr w:rsidR="004C0E7A" w:rsidRPr="004C0E7A" w:rsidTr="0024427E">
        <w:trPr>
          <w:cantSplit/>
          <w:trHeight w:val="414"/>
        </w:trPr>
        <w:tc>
          <w:tcPr>
            <w:tcW w:w="5879" w:type="dxa"/>
            <w:tcBorders>
              <w:top w:val="nil"/>
              <w:left w:val="single" w:sz="4" w:space="0" w:color="auto"/>
              <w:bottom w:val="single" w:sz="4" w:space="0" w:color="auto"/>
              <w:right w:val="single" w:sz="4" w:space="0" w:color="auto"/>
            </w:tcBorders>
            <w:shd w:val="clear" w:color="auto" w:fill="auto"/>
            <w:tcMar>
              <w:top w:w="34" w:type="dxa"/>
              <w:bottom w:w="34" w:type="dxa"/>
            </w:tcMar>
            <w:vAlign w:val="center"/>
          </w:tcPr>
          <w:p w:rsidR="00882C1D" w:rsidRPr="004C0E7A" w:rsidRDefault="007F65E2" w:rsidP="0024427E">
            <w:pPr>
              <w:rPr>
                <w:rFonts w:eastAsia="Times New Roman"/>
                <w:sz w:val="18"/>
                <w:szCs w:val="18"/>
                <w:lang w:val="fr-FR" w:eastAsia="en-US"/>
              </w:rPr>
            </w:pPr>
            <w:r w:rsidRPr="004C0E7A">
              <w:rPr>
                <w:rFonts w:eastAsia="Times New Roman"/>
                <w:sz w:val="18"/>
                <w:szCs w:val="18"/>
                <w:lang w:val="fr-FR" w:eastAsia="en-US"/>
              </w:rPr>
              <w:t>EVAL 2014 – 06</w:t>
            </w:r>
            <w:r w:rsidR="0054309C" w:rsidRPr="004C0E7A">
              <w:rPr>
                <w:rFonts w:eastAsia="Times New Roman"/>
                <w:sz w:val="18"/>
                <w:szCs w:val="18"/>
                <w:lang w:val="fr-FR" w:eastAsia="en-US"/>
              </w:rPr>
              <w:t xml:space="preserve"> Programme pilote de récompenses et de reconnaissance</w:t>
            </w:r>
          </w:p>
        </w:tc>
        <w:tc>
          <w:tcPr>
            <w:tcW w:w="2639" w:type="dxa"/>
            <w:tcBorders>
              <w:top w:val="nil"/>
              <w:left w:val="nil"/>
              <w:bottom w:val="single" w:sz="4" w:space="0" w:color="auto"/>
              <w:right w:val="single" w:sz="4" w:space="0" w:color="auto"/>
            </w:tcBorders>
            <w:shd w:val="clear" w:color="auto" w:fill="auto"/>
            <w:tcMar>
              <w:top w:w="34" w:type="dxa"/>
              <w:bottom w:w="34" w:type="dxa"/>
            </w:tcMar>
            <w:vAlign w:val="center"/>
          </w:tcPr>
          <w:p w:rsidR="00882C1D" w:rsidRPr="004C0E7A" w:rsidRDefault="0054309C" w:rsidP="0024427E">
            <w:pPr>
              <w:jc w:val="center"/>
              <w:rPr>
                <w:rFonts w:eastAsia="Times New Roman"/>
                <w:sz w:val="18"/>
                <w:szCs w:val="18"/>
                <w:lang w:val="fr-FR" w:eastAsia="en-US"/>
              </w:rPr>
            </w:pPr>
            <w:r w:rsidRPr="004C0E7A">
              <w:rPr>
                <w:rFonts w:eastAsia="Times New Roman"/>
                <w:sz w:val="18"/>
                <w:szCs w:val="18"/>
                <w:lang w:val="fr-FR" w:eastAsia="en-US"/>
              </w:rPr>
              <w:t>DGRH</w:t>
            </w:r>
          </w:p>
        </w:tc>
        <w:tc>
          <w:tcPr>
            <w:tcW w:w="1417" w:type="dxa"/>
            <w:gridSpan w:val="2"/>
            <w:tcBorders>
              <w:top w:val="nil"/>
              <w:left w:val="nil"/>
              <w:bottom w:val="single" w:sz="4" w:space="0" w:color="auto"/>
              <w:right w:val="single" w:sz="4" w:space="0" w:color="auto"/>
            </w:tcBorders>
            <w:shd w:val="clear" w:color="000000" w:fill="92D050"/>
            <w:tcMar>
              <w:top w:w="34" w:type="dxa"/>
              <w:bottom w:w="34" w:type="dxa"/>
            </w:tcMar>
          </w:tcPr>
          <w:p w:rsidR="00882C1D" w:rsidRPr="004C0E7A" w:rsidRDefault="00882C1D" w:rsidP="00882C1D">
            <w:pPr>
              <w:jc w:val="center"/>
              <w:rPr>
                <w:rFonts w:eastAsia="Times New Roman"/>
                <w:sz w:val="18"/>
                <w:szCs w:val="18"/>
                <w:lang w:val="fr-FR" w:eastAsia="en-US"/>
              </w:rPr>
            </w:pPr>
          </w:p>
        </w:tc>
      </w:tr>
      <w:tr w:rsidR="004C0E7A" w:rsidRPr="004C0E7A" w:rsidTr="0024427E">
        <w:trPr>
          <w:cantSplit/>
          <w:trHeight w:val="414"/>
        </w:trPr>
        <w:tc>
          <w:tcPr>
            <w:tcW w:w="5879" w:type="dxa"/>
            <w:tcBorders>
              <w:top w:val="nil"/>
              <w:left w:val="single" w:sz="4" w:space="0" w:color="auto"/>
              <w:bottom w:val="single" w:sz="4" w:space="0" w:color="auto"/>
              <w:right w:val="single" w:sz="4" w:space="0" w:color="auto"/>
            </w:tcBorders>
            <w:shd w:val="clear" w:color="auto" w:fill="auto"/>
            <w:tcMar>
              <w:top w:w="34" w:type="dxa"/>
              <w:bottom w:w="34" w:type="dxa"/>
            </w:tcMar>
            <w:vAlign w:val="center"/>
            <w:hideMark/>
          </w:tcPr>
          <w:p w:rsidR="00882C1D" w:rsidRPr="004C0E7A" w:rsidRDefault="001A6B0E" w:rsidP="0024427E">
            <w:pPr>
              <w:rPr>
                <w:rFonts w:eastAsia="Times New Roman"/>
                <w:sz w:val="18"/>
                <w:szCs w:val="18"/>
                <w:lang w:val="fr-FR" w:eastAsia="en-US"/>
              </w:rPr>
            </w:pPr>
            <w:r w:rsidRPr="004C0E7A">
              <w:rPr>
                <w:rFonts w:eastAsia="Times New Roman"/>
                <w:sz w:val="18"/>
                <w:szCs w:val="18"/>
                <w:lang w:val="fr-FR" w:eastAsia="en-US"/>
              </w:rPr>
              <w:t>INV 2014</w:t>
            </w:r>
            <w:r w:rsidR="008E117E" w:rsidRPr="004C0E7A">
              <w:rPr>
                <w:rFonts w:eastAsia="Times New Roman"/>
                <w:sz w:val="18"/>
                <w:szCs w:val="18"/>
                <w:lang w:val="fr-FR" w:eastAsia="en-US"/>
              </w:rPr>
              <w:noBreakHyphen/>
            </w:r>
            <w:r w:rsidRPr="004C0E7A">
              <w:rPr>
                <w:rFonts w:eastAsia="Times New Roman"/>
                <w:sz w:val="18"/>
                <w:szCs w:val="18"/>
                <w:lang w:val="fr-FR" w:eastAsia="en-US"/>
              </w:rPr>
              <w:t>01</w:t>
            </w:r>
            <w:r w:rsidR="000055C7" w:rsidRPr="004C0E7A">
              <w:rPr>
                <w:rFonts w:eastAsia="Times New Roman"/>
                <w:sz w:val="18"/>
                <w:szCs w:val="18"/>
                <w:lang w:val="fr-FR" w:eastAsia="en-US"/>
              </w:rPr>
              <w:t xml:space="preserve"> – </w:t>
            </w:r>
            <w:r w:rsidRPr="004C0E7A">
              <w:rPr>
                <w:rFonts w:eastAsia="Times New Roman"/>
                <w:sz w:val="18"/>
                <w:szCs w:val="18"/>
                <w:lang w:val="fr-FR" w:eastAsia="en-US"/>
              </w:rPr>
              <w:t xml:space="preserve">Abus </w:t>
            </w:r>
            <w:r w:rsidR="00FC0C27" w:rsidRPr="004C0E7A">
              <w:rPr>
                <w:rFonts w:eastAsia="Times New Roman"/>
                <w:sz w:val="18"/>
                <w:szCs w:val="18"/>
                <w:lang w:val="fr-FR" w:eastAsia="en-US"/>
              </w:rPr>
              <w:t xml:space="preserve">concernant les </w:t>
            </w:r>
            <w:r w:rsidRPr="004C0E7A">
              <w:rPr>
                <w:rFonts w:eastAsia="Times New Roman"/>
                <w:sz w:val="18"/>
                <w:szCs w:val="18"/>
                <w:lang w:val="fr-FR" w:eastAsia="en-US"/>
              </w:rPr>
              <w:t>horaire</w:t>
            </w:r>
            <w:r w:rsidR="00FC0C27" w:rsidRPr="004C0E7A">
              <w:rPr>
                <w:rFonts w:eastAsia="Times New Roman"/>
                <w:sz w:val="18"/>
                <w:szCs w:val="18"/>
                <w:lang w:val="fr-FR" w:eastAsia="en-US"/>
              </w:rPr>
              <w:t>s</w:t>
            </w:r>
            <w:r w:rsidRPr="004C0E7A">
              <w:rPr>
                <w:rFonts w:eastAsia="Times New Roman"/>
                <w:sz w:val="18"/>
                <w:szCs w:val="18"/>
                <w:lang w:val="fr-FR" w:eastAsia="en-US"/>
              </w:rPr>
              <w:t xml:space="preserve"> de travail</w:t>
            </w:r>
          </w:p>
        </w:tc>
        <w:tc>
          <w:tcPr>
            <w:tcW w:w="2639" w:type="dxa"/>
            <w:tcBorders>
              <w:top w:val="nil"/>
              <w:left w:val="nil"/>
              <w:bottom w:val="single" w:sz="4" w:space="0" w:color="auto"/>
              <w:right w:val="single" w:sz="4" w:space="0" w:color="auto"/>
            </w:tcBorders>
            <w:shd w:val="clear" w:color="auto" w:fill="auto"/>
            <w:tcMar>
              <w:top w:w="34" w:type="dxa"/>
              <w:bottom w:w="34" w:type="dxa"/>
            </w:tcMar>
            <w:vAlign w:val="center"/>
            <w:hideMark/>
          </w:tcPr>
          <w:p w:rsidR="00882C1D" w:rsidRPr="004C0E7A" w:rsidRDefault="002B3C52" w:rsidP="0024427E">
            <w:pPr>
              <w:jc w:val="center"/>
              <w:rPr>
                <w:rFonts w:eastAsia="Times New Roman"/>
                <w:sz w:val="18"/>
                <w:szCs w:val="18"/>
                <w:lang w:val="fr-FR" w:eastAsia="en-US"/>
              </w:rPr>
            </w:pPr>
            <w:r w:rsidRPr="004C0E7A">
              <w:rPr>
                <w:rFonts w:eastAsia="Times New Roman"/>
                <w:sz w:val="18"/>
                <w:szCs w:val="18"/>
                <w:lang w:val="fr-FR" w:eastAsia="en-US"/>
              </w:rPr>
              <w:t>Sans objet</w:t>
            </w:r>
          </w:p>
        </w:tc>
        <w:tc>
          <w:tcPr>
            <w:tcW w:w="1417" w:type="dxa"/>
            <w:gridSpan w:val="2"/>
            <w:tcBorders>
              <w:top w:val="nil"/>
              <w:left w:val="nil"/>
              <w:bottom w:val="single" w:sz="4" w:space="0" w:color="auto"/>
              <w:right w:val="single" w:sz="4" w:space="0" w:color="auto"/>
            </w:tcBorders>
            <w:shd w:val="clear" w:color="000000" w:fill="92D050"/>
            <w:tcMar>
              <w:top w:w="34" w:type="dxa"/>
              <w:bottom w:w="34" w:type="dxa"/>
            </w:tcMar>
            <w:hideMark/>
          </w:tcPr>
          <w:p w:rsidR="00882C1D" w:rsidRPr="004C0E7A" w:rsidRDefault="00882C1D" w:rsidP="00882C1D">
            <w:pPr>
              <w:jc w:val="center"/>
              <w:rPr>
                <w:rFonts w:eastAsia="Times New Roman"/>
                <w:sz w:val="18"/>
                <w:szCs w:val="18"/>
                <w:lang w:val="fr-FR" w:eastAsia="en-US"/>
              </w:rPr>
            </w:pPr>
            <w:r w:rsidRPr="004C0E7A">
              <w:rPr>
                <w:rFonts w:eastAsia="Times New Roman"/>
                <w:sz w:val="18"/>
                <w:szCs w:val="18"/>
                <w:lang w:val="fr-FR" w:eastAsia="en-US"/>
              </w:rPr>
              <w:t> </w:t>
            </w:r>
          </w:p>
        </w:tc>
      </w:tr>
      <w:tr w:rsidR="004C0E7A" w:rsidRPr="004C0E7A" w:rsidTr="0024427E">
        <w:trPr>
          <w:cantSplit/>
          <w:trHeight w:val="414"/>
        </w:trPr>
        <w:tc>
          <w:tcPr>
            <w:tcW w:w="5879" w:type="dxa"/>
            <w:tcBorders>
              <w:top w:val="nil"/>
              <w:left w:val="single" w:sz="4" w:space="0" w:color="auto"/>
              <w:bottom w:val="single" w:sz="4" w:space="0" w:color="auto"/>
              <w:right w:val="single" w:sz="4" w:space="0" w:color="auto"/>
            </w:tcBorders>
            <w:shd w:val="clear" w:color="auto" w:fill="auto"/>
            <w:tcMar>
              <w:top w:w="34" w:type="dxa"/>
              <w:bottom w:w="34" w:type="dxa"/>
            </w:tcMar>
            <w:vAlign w:val="center"/>
            <w:hideMark/>
          </w:tcPr>
          <w:p w:rsidR="00882C1D" w:rsidRPr="004C0E7A" w:rsidRDefault="001A6B0E" w:rsidP="0024427E">
            <w:pPr>
              <w:rPr>
                <w:rFonts w:eastAsia="Times New Roman"/>
                <w:sz w:val="18"/>
                <w:szCs w:val="18"/>
                <w:lang w:val="fr-FR" w:eastAsia="en-US"/>
              </w:rPr>
            </w:pPr>
            <w:r w:rsidRPr="004C0E7A">
              <w:rPr>
                <w:rFonts w:eastAsia="Times New Roman"/>
                <w:sz w:val="18"/>
                <w:szCs w:val="18"/>
                <w:lang w:val="fr-FR" w:eastAsia="en-US"/>
              </w:rPr>
              <w:t>INV 2014</w:t>
            </w:r>
            <w:r w:rsidR="008E117E" w:rsidRPr="004C0E7A">
              <w:rPr>
                <w:rFonts w:eastAsia="Times New Roman"/>
                <w:sz w:val="18"/>
                <w:szCs w:val="18"/>
                <w:lang w:val="fr-FR" w:eastAsia="en-US"/>
              </w:rPr>
              <w:noBreakHyphen/>
            </w:r>
            <w:r w:rsidRPr="004C0E7A">
              <w:rPr>
                <w:rFonts w:eastAsia="Times New Roman"/>
                <w:sz w:val="18"/>
                <w:szCs w:val="18"/>
                <w:lang w:val="fr-FR" w:eastAsia="en-US"/>
              </w:rPr>
              <w:t>02</w:t>
            </w:r>
            <w:r w:rsidR="000055C7" w:rsidRPr="004C0E7A">
              <w:rPr>
                <w:rFonts w:eastAsia="Times New Roman"/>
                <w:sz w:val="18"/>
                <w:szCs w:val="18"/>
                <w:lang w:val="fr-FR" w:eastAsia="en-US"/>
              </w:rPr>
              <w:t xml:space="preserve"> – </w:t>
            </w:r>
            <w:r w:rsidRPr="004C0E7A">
              <w:rPr>
                <w:rFonts w:eastAsia="Times New Roman"/>
                <w:sz w:val="18"/>
                <w:szCs w:val="18"/>
                <w:lang w:val="fr-FR" w:eastAsia="en-US"/>
              </w:rPr>
              <w:t>Déclarations et activités incompatibles avec le statut de fonctionnaire international</w:t>
            </w:r>
          </w:p>
        </w:tc>
        <w:tc>
          <w:tcPr>
            <w:tcW w:w="2639" w:type="dxa"/>
            <w:tcBorders>
              <w:top w:val="nil"/>
              <w:left w:val="nil"/>
              <w:bottom w:val="single" w:sz="4" w:space="0" w:color="auto"/>
              <w:right w:val="single" w:sz="4" w:space="0" w:color="auto"/>
            </w:tcBorders>
            <w:shd w:val="clear" w:color="auto" w:fill="auto"/>
            <w:tcMar>
              <w:top w:w="34" w:type="dxa"/>
              <w:bottom w:w="34" w:type="dxa"/>
            </w:tcMar>
            <w:vAlign w:val="center"/>
            <w:hideMark/>
          </w:tcPr>
          <w:p w:rsidR="00882C1D" w:rsidRPr="004C0E7A" w:rsidRDefault="002B3C52" w:rsidP="0024427E">
            <w:pPr>
              <w:jc w:val="center"/>
              <w:rPr>
                <w:rFonts w:eastAsia="Times New Roman"/>
                <w:sz w:val="18"/>
                <w:szCs w:val="18"/>
                <w:lang w:val="fr-FR" w:eastAsia="en-US"/>
              </w:rPr>
            </w:pPr>
            <w:r w:rsidRPr="004C0E7A">
              <w:rPr>
                <w:rFonts w:eastAsia="Times New Roman"/>
                <w:sz w:val="18"/>
                <w:szCs w:val="18"/>
                <w:lang w:val="fr-FR" w:eastAsia="en-US"/>
              </w:rPr>
              <w:t>Sans objet</w:t>
            </w:r>
          </w:p>
        </w:tc>
        <w:tc>
          <w:tcPr>
            <w:tcW w:w="1417" w:type="dxa"/>
            <w:gridSpan w:val="2"/>
            <w:tcBorders>
              <w:top w:val="nil"/>
              <w:left w:val="nil"/>
              <w:bottom w:val="single" w:sz="4" w:space="0" w:color="auto"/>
              <w:right w:val="single" w:sz="4" w:space="0" w:color="auto"/>
            </w:tcBorders>
            <w:shd w:val="clear" w:color="000000" w:fill="92D050"/>
            <w:tcMar>
              <w:top w:w="34" w:type="dxa"/>
              <w:bottom w:w="34" w:type="dxa"/>
            </w:tcMar>
            <w:hideMark/>
          </w:tcPr>
          <w:p w:rsidR="00882C1D" w:rsidRPr="004C0E7A" w:rsidRDefault="00882C1D" w:rsidP="00882C1D">
            <w:pPr>
              <w:jc w:val="center"/>
              <w:rPr>
                <w:rFonts w:eastAsia="Times New Roman"/>
                <w:sz w:val="18"/>
                <w:szCs w:val="18"/>
                <w:lang w:val="fr-FR" w:eastAsia="en-US"/>
              </w:rPr>
            </w:pPr>
            <w:r w:rsidRPr="004C0E7A">
              <w:rPr>
                <w:rFonts w:eastAsia="Times New Roman"/>
                <w:sz w:val="18"/>
                <w:szCs w:val="18"/>
                <w:lang w:val="fr-FR" w:eastAsia="en-US"/>
              </w:rPr>
              <w:t> </w:t>
            </w:r>
          </w:p>
        </w:tc>
      </w:tr>
      <w:tr w:rsidR="004C0E7A" w:rsidRPr="004C0E7A" w:rsidTr="0024427E">
        <w:trPr>
          <w:cantSplit/>
          <w:trHeight w:val="414"/>
        </w:trPr>
        <w:tc>
          <w:tcPr>
            <w:tcW w:w="5879" w:type="dxa"/>
            <w:tcBorders>
              <w:top w:val="nil"/>
              <w:left w:val="single" w:sz="4" w:space="0" w:color="auto"/>
              <w:bottom w:val="single" w:sz="4" w:space="0" w:color="auto"/>
              <w:right w:val="single" w:sz="4" w:space="0" w:color="auto"/>
            </w:tcBorders>
            <w:shd w:val="clear" w:color="auto" w:fill="auto"/>
            <w:tcMar>
              <w:top w:w="34" w:type="dxa"/>
              <w:bottom w:w="34" w:type="dxa"/>
            </w:tcMar>
            <w:vAlign w:val="center"/>
            <w:hideMark/>
          </w:tcPr>
          <w:p w:rsidR="00882C1D" w:rsidRPr="004C0E7A" w:rsidRDefault="001A6B0E" w:rsidP="0024427E">
            <w:pPr>
              <w:rPr>
                <w:rFonts w:eastAsia="Times New Roman"/>
                <w:sz w:val="18"/>
                <w:szCs w:val="18"/>
                <w:lang w:val="fr-FR" w:eastAsia="en-US"/>
              </w:rPr>
            </w:pPr>
            <w:r w:rsidRPr="004C0E7A">
              <w:rPr>
                <w:rFonts w:eastAsia="Times New Roman"/>
                <w:sz w:val="18"/>
                <w:szCs w:val="18"/>
                <w:lang w:val="fr-FR" w:eastAsia="en-US"/>
              </w:rPr>
              <w:t>INV 2014</w:t>
            </w:r>
            <w:r w:rsidR="008E117E" w:rsidRPr="004C0E7A">
              <w:rPr>
                <w:rFonts w:eastAsia="Times New Roman"/>
                <w:sz w:val="18"/>
                <w:szCs w:val="18"/>
                <w:lang w:val="fr-FR" w:eastAsia="en-US"/>
              </w:rPr>
              <w:noBreakHyphen/>
            </w:r>
            <w:r w:rsidRPr="004C0E7A">
              <w:rPr>
                <w:rFonts w:eastAsia="Times New Roman"/>
                <w:sz w:val="18"/>
                <w:szCs w:val="18"/>
                <w:lang w:val="fr-FR" w:eastAsia="en-US"/>
              </w:rPr>
              <w:t>03</w:t>
            </w:r>
            <w:r w:rsidR="000055C7" w:rsidRPr="004C0E7A">
              <w:rPr>
                <w:rFonts w:eastAsia="Times New Roman"/>
                <w:sz w:val="18"/>
                <w:szCs w:val="18"/>
                <w:lang w:val="fr-FR" w:eastAsia="en-US"/>
              </w:rPr>
              <w:t xml:space="preserve"> – </w:t>
            </w:r>
            <w:r w:rsidRPr="004C0E7A">
              <w:rPr>
                <w:rFonts w:eastAsia="Times New Roman"/>
                <w:sz w:val="18"/>
                <w:szCs w:val="18"/>
                <w:lang w:val="fr-FR" w:eastAsia="en-US"/>
              </w:rPr>
              <w:t>Pratiques irrégulières dans le domaine des ressources humaines</w:t>
            </w:r>
          </w:p>
        </w:tc>
        <w:tc>
          <w:tcPr>
            <w:tcW w:w="2639" w:type="dxa"/>
            <w:tcBorders>
              <w:top w:val="nil"/>
              <w:left w:val="nil"/>
              <w:bottom w:val="single" w:sz="4" w:space="0" w:color="auto"/>
              <w:right w:val="single" w:sz="4" w:space="0" w:color="auto"/>
            </w:tcBorders>
            <w:shd w:val="clear" w:color="auto" w:fill="auto"/>
            <w:tcMar>
              <w:top w:w="34" w:type="dxa"/>
              <w:bottom w:w="34" w:type="dxa"/>
            </w:tcMar>
            <w:vAlign w:val="center"/>
            <w:hideMark/>
          </w:tcPr>
          <w:p w:rsidR="00882C1D" w:rsidRPr="004C0E7A" w:rsidRDefault="002B3C52" w:rsidP="0024427E">
            <w:pPr>
              <w:jc w:val="center"/>
              <w:rPr>
                <w:rFonts w:eastAsia="Times New Roman"/>
                <w:sz w:val="18"/>
                <w:szCs w:val="18"/>
                <w:lang w:val="fr-FR" w:eastAsia="en-US"/>
              </w:rPr>
            </w:pPr>
            <w:r w:rsidRPr="004C0E7A">
              <w:rPr>
                <w:rFonts w:eastAsia="Times New Roman"/>
                <w:sz w:val="18"/>
                <w:szCs w:val="18"/>
                <w:lang w:val="fr-FR" w:eastAsia="en-US"/>
              </w:rPr>
              <w:t>Sans objet</w:t>
            </w:r>
          </w:p>
        </w:tc>
        <w:tc>
          <w:tcPr>
            <w:tcW w:w="1417" w:type="dxa"/>
            <w:gridSpan w:val="2"/>
            <w:tcBorders>
              <w:top w:val="nil"/>
              <w:left w:val="nil"/>
              <w:bottom w:val="single" w:sz="4" w:space="0" w:color="auto"/>
              <w:right w:val="single" w:sz="4" w:space="0" w:color="auto"/>
            </w:tcBorders>
            <w:shd w:val="clear" w:color="000000" w:fill="92D050"/>
            <w:tcMar>
              <w:top w:w="34" w:type="dxa"/>
              <w:bottom w:w="34" w:type="dxa"/>
            </w:tcMar>
            <w:hideMark/>
          </w:tcPr>
          <w:p w:rsidR="00882C1D" w:rsidRPr="004C0E7A" w:rsidRDefault="00882C1D" w:rsidP="00882C1D">
            <w:pPr>
              <w:jc w:val="center"/>
              <w:rPr>
                <w:rFonts w:eastAsia="Times New Roman"/>
                <w:sz w:val="18"/>
                <w:szCs w:val="18"/>
                <w:lang w:val="fr-FR" w:eastAsia="en-US"/>
              </w:rPr>
            </w:pPr>
            <w:r w:rsidRPr="004C0E7A">
              <w:rPr>
                <w:rFonts w:eastAsia="Times New Roman"/>
                <w:sz w:val="18"/>
                <w:szCs w:val="18"/>
                <w:lang w:val="fr-FR" w:eastAsia="en-US"/>
              </w:rPr>
              <w:t> </w:t>
            </w:r>
          </w:p>
        </w:tc>
      </w:tr>
      <w:tr w:rsidR="004C0E7A" w:rsidRPr="004C0E7A" w:rsidTr="0024427E">
        <w:trPr>
          <w:cantSplit/>
          <w:trHeight w:val="414"/>
        </w:trPr>
        <w:tc>
          <w:tcPr>
            <w:tcW w:w="5879" w:type="dxa"/>
            <w:tcBorders>
              <w:top w:val="nil"/>
              <w:left w:val="single" w:sz="4" w:space="0" w:color="auto"/>
              <w:bottom w:val="single" w:sz="4" w:space="0" w:color="auto"/>
              <w:right w:val="single" w:sz="4" w:space="0" w:color="auto"/>
            </w:tcBorders>
            <w:shd w:val="clear" w:color="auto" w:fill="auto"/>
            <w:tcMar>
              <w:top w:w="34" w:type="dxa"/>
              <w:bottom w:w="34" w:type="dxa"/>
            </w:tcMar>
            <w:vAlign w:val="center"/>
            <w:hideMark/>
          </w:tcPr>
          <w:p w:rsidR="00882C1D" w:rsidRPr="004C0E7A" w:rsidRDefault="001A6B0E" w:rsidP="0024427E">
            <w:pPr>
              <w:rPr>
                <w:rFonts w:eastAsia="Times New Roman"/>
                <w:sz w:val="18"/>
                <w:szCs w:val="18"/>
                <w:lang w:val="fr-FR" w:eastAsia="en-US"/>
              </w:rPr>
            </w:pPr>
            <w:r w:rsidRPr="004C0E7A">
              <w:rPr>
                <w:rFonts w:eastAsia="Times New Roman"/>
                <w:sz w:val="18"/>
                <w:szCs w:val="18"/>
                <w:lang w:val="fr-FR" w:eastAsia="en-US"/>
              </w:rPr>
              <w:t>INV 2014</w:t>
            </w:r>
            <w:r w:rsidR="008E117E" w:rsidRPr="004C0E7A">
              <w:rPr>
                <w:rFonts w:eastAsia="Times New Roman"/>
                <w:sz w:val="18"/>
                <w:szCs w:val="18"/>
                <w:lang w:val="fr-FR" w:eastAsia="en-US"/>
              </w:rPr>
              <w:noBreakHyphen/>
            </w:r>
            <w:r w:rsidRPr="004C0E7A">
              <w:rPr>
                <w:rFonts w:eastAsia="Times New Roman"/>
                <w:sz w:val="18"/>
                <w:szCs w:val="18"/>
                <w:lang w:val="fr-FR" w:eastAsia="en-US"/>
              </w:rPr>
              <w:t>04</w:t>
            </w:r>
            <w:r w:rsidR="000055C7" w:rsidRPr="004C0E7A">
              <w:rPr>
                <w:rFonts w:eastAsia="Times New Roman"/>
                <w:sz w:val="18"/>
                <w:szCs w:val="18"/>
                <w:lang w:val="fr-FR" w:eastAsia="en-US"/>
              </w:rPr>
              <w:t xml:space="preserve"> – </w:t>
            </w:r>
            <w:r w:rsidRPr="004C0E7A">
              <w:rPr>
                <w:rFonts w:eastAsia="Times New Roman"/>
                <w:sz w:val="18"/>
                <w:szCs w:val="18"/>
                <w:lang w:val="fr-FR" w:eastAsia="en-US"/>
              </w:rPr>
              <w:t>Communication non autorisée d</w:t>
            </w:r>
            <w:r w:rsidR="000055C7" w:rsidRPr="004C0E7A">
              <w:rPr>
                <w:rFonts w:eastAsia="Times New Roman"/>
                <w:sz w:val="18"/>
                <w:szCs w:val="18"/>
                <w:lang w:val="fr-FR" w:eastAsia="en-US"/>
              </w:rPr>
              <w:t>’</w:t>
            </w:r>
            <w:r w:rsidRPr="004C0E7A">
              <w:rPr>
                <w:rFonts w:eastAsia="Times New Roman"/>
                <w:sz w:val="18"/>
                <w:szCs w:val="18"/>
                <w:lang w:val="fr-FR" w:eastAsia="en-US"/>
              </w:rPr>
              <w:t xml:space="preserve">informations </w:t>
            </w:r>
          </w:p>
        </w:tc>
        <w:tc>
          <w:tcPr>
            <w:tcW w:w="2639" w:type="dxa"/>
            <w:tcBorders>
              <w:top w:val="nil"/>
              <w:left w:val="nil"/>
              <w:bottom w:val="single" w:sz="4" w:space="0" w:color="auto"/>
              <w:right w:val="single" w:sz="4" w:space="0" w:color="auto"/>
            </w:tcBorders>
            <w:shd w:val="clear" w:color="auto" w:fill="auto"/>
            <w:tcMar>
              <w:top w:w="34" w:type="dxa"/>
              <w:bottom w:w="34" w:type="dxa"/>
            </w:tcMar>
            <w:vAlign w:val="center"/>
            <w:hideMark/>
          </w:tcPr>
          <w:p w:rsidR="00882C1D" w:rsidRPr="004C0E7A" w:rsidRDefault="002B3C52" w:rsidP="0024427E">
            <w:pPr>
              <w:jc w:val="center"/>
              <w:rPr>
                <w:rFonts w:eastAsia="Times New Roman"/>
                <w:sz w:val="18"/>
                <w:szCs w:val="18"/>
                <w:lang w:val="fr-FR" w:eastAsia="en-US"/>
              </w:rPr>
            </w:pPr>
            <w:r w:rsidRPr="004C0E7A">
              <w:rPr>
                <w:rFonts w:eastAsia="Times New Roman"/>
                <w:sz w:val="18"/>
                <w:szCs w:val="18"/>
                <w:lang w:val="fr-FR" w:eastAsia="en-US"/>
              </w:rPr>
              <w:t>Sans objet</w:t>
            </w:r>
          </w:p>
        </w:tc>
        <w:tc>
          <w:tcPr>
            <w:tcW w:w="1417" w:type="dxa"/>
            <w:gridSpan w:val="2"/>
            <w:tcBorders>
              <w:top w:val="nil"/>
              <w:left w:val="nil"/>
              <w:bottom w:val="single" w:sz="4" w:space="0" w:color="auto"/>
              <w:right w:val="single" w:sz="4" w:space="0" w:color="auto"/>
            </w:tcBorders>
            <w:shd w:val="clear" w:color="000000" w:fill="92D050"/>
            <w:tcMar>
              <w:top w:w="34" w:type="dxa"/>
              <w:bottom w:w="34" w:type="dxa"/>
            </w:tcMar>
            <w:hideMark/>
          </w:tcPr>
          <w:p w:rsidR="00882C1D" w:rsidRPr="004C0E7A" w:rsidRDefault="00882C1D" w:rsidP="00882C1D">
            <w:pPr>
              <w:jc w:val="center"/>
              <w:rPr>
                <w:rFonts w:eastAsia="Times New Roman"/>
                <w:sz w:val="18"/>
                <w:szCs w:val="18"/>
                <w:lang w:val="fr-FR" w:eastAsia="en-US"/>
              </w:rPr>
            </w:pPr>
            <w:r w:rsidRPr="004C0E7A">
              <w:rPr>
                <w:rFonts w:eastAsia="Times New Roman"/>
                <w:sz w:val="18"/>
                <w:szCs w:val="18"/>
                <w:lang w:val="fr-FR" w:eastAsia="en-US"/>
              </w:rPr>
              <w:t> </w:t>
            </w:r>
          </w:p>
        </w:tc>
      </w:tr>
      <w:tr w:rsidR="004C0E7A" w:rsidRPr="004C0E7A" w:rsidTr="0024427E">
        <w:trPr>
          <w:cantSplit/>
          <w:trHeight w:val="414"/>
        </w:trPr>
        <w:tc>
          <w:tcPr>
            <w:tcW w:w="5879" w:type="dxa"/>
            <w:tcBorders>
              <w:top w:val="nil"/>
              <w:left w:val="single" w:sz="4" w:space="0" w:color="auto"/>
              <w:bottom w:val="single" w:sz="4" w:space="0" w:color="auto"/>
              <w:right w:val="single" w:sz="4" w:space="0" w:color="auto"/>
            </w:tcBorders>
            <w:shd w:val="clear" w:color="auto" w:fill="auto"/>
            <w:tcMar>
              <w:top w:w="34" w:type="dxa"/>
              <w:bottom w:w="34" w:type="dxa"/>
            </w:tcMar>
            <w:vAlign w:val="center"/>
            <w:hideMark/>
          </w:tcPr>
          <w:p w:rsidR="00882C1D" w:rsidRPr="004C0E7A" w:rsidRDefault="001A6B0E" w:rsidP="0024427E">
            <w:pPr>
              <w:rPr>
                <w:rFonts w:eastAsia="Times New Roman"/>
                <w:sz w:val="18"/>
                <w:szCs w:val="18"/>
                <w:lang w:val="fr-FR" w:eastAsia="en-US"/>
              </w:rPr>
            </w:pPr>
            <w:r w:rsidRPr="004C0E7A">
              <w:rPr>
                <w:rFonts w:eastAsia="Times New Roman"/>
                <w:sz w:val="18"/>
                <w:szCs w:val="18"/>
                <w:lang w:val="fr-FR" w:eastAsia="en-US"/>
              </w:rPr>
              <w:t>INV 2014</w:t>
            </w:r>
            <w:r w:rsidR="008E117E" w:rsidRPr="004C0E7A">
              <w:rPr>
                <w:rFonts w:eastAsia="Times New Roman"/>
                <w:sz w:val="18"/>
                <w:szCs w:val="18"/>
                <w:lang w:val="fr-FR" w:eastAsia="en-US"/>
              </w:rPr>
              <w:noBreakHyphen/>
            </w:r>
            <w:r w:rsidRPr="004C0E7A">
              <w:rPr>
                <w:rFonts w:eastAsia="Times New Roman"/>
                <w:sz w:val="18"/>
                <w:szCs w:val="18"/>
                <w:lang w:val="fr-FR" w:eastAsia="en-US"/>
              </w:rPr>
              <w:t>05</w:t>
            </w:r>
            <w:r w:rsidR="000055C7" w:rsidRPr="004C0E7A">
              <w:rPr>
                <w:rFonts w:eastAsia="Times New Roman"/>
                <w:sz w:val="18"/>
                <w:szCs w:val="18"/>
                <w:lang w:val="fr-FR" w:eastAsia="en-US"/>
              </w:rPr>
              <w:t xml:space="preserve"> – </w:t>
            </w:r>
            <w:r w:rsidR="00951C0E" w:rsidRPr="004C0E7A">
              <w:rPr>
                <w:rFonts w:eastAsia="Times New Roman"/>
                <w:sz w:val="18"/>
                <w:szCs w:val="18"/>
                <w:lang w:val="fr-FR" w:eastAsia="en-US"/>
              </w:rPr>
              <w:t>Autres formes de fraude, de corruption ou d</w:t>
            </w:r>
            <w:r w:rsidR="000055C7" w:rsidRPr="004C0E7A">
              <w:rPr>
                <w:rFonts w:eastAsia="Times New Roman"/>
                <w:sz w:val="18"/>
                <w:szCs w:val="18"/>
                <w:lang w:val="fr-FR" w:eastAsia="en-US"/>
              </w:rPr>
              <w:t>’</w:t>
            </w:r>
            <w:r w:rsidR="00951C0E" w:rsidRPr="004C0E7A">
              <w:rPr>
                <w:rFonts w:eastAsia="Times New Roman"/>
                <w:sz w:val="18"/>
                <w:szCs w:val="18"/>
                <w:lang w:val="fr-FR" w:eastAsia="en-US"/>
              </w:rPr>
              <w:t>abus</w:t>
            </w:r>
          </w:p>
        </w:tc>
        <w:tc>
          <w:tcPr>
            <w:tcW w:w="2639" w:type="dxa"/>
            <w:tcBorders>
              <w:top w:val="nil"/>
              <w:left w:val="nil"/>
              <w:bottom w:val="single" w:sz="4" w:space="0" w:color="auto"/>
              <w:right w:val="single" w:sz="4" w:space="0" w:color="auto"/>
            </w:tcBorders>
            <w:shd w:val="clear" w:color="auto" w:fill="auto"/>
            <w:tcMar>
              <w:top w:w="34" w:type="dxa"/>
              <w:bottom w:w="34" w:type="dxa"/>
            </w:tcMar>
            <w:vAlign w:val="center"/>
            <w:hideMark/>
          </w:tcPr>
          <w:p w:rsidR="00882C1D" w:rsidRPr="004C0E7A" w:rsidRDefault="002B3C52" w:rsidP="0024427E">
            <w:pPr>
              <w:jc w:val="center"/>
              <w:rPr>
                <w:rFonts w:eastAsia="Times New Roman"/>
                <w:sz w:val="18"/>
                <w:szCs w:val="18"/>
                <w:lang w:val="fr-FR" w:eastAsia="en-US"/>
              </w:rPr>
            </w:pPr>
            <w:r w:rsidRPr="004C0E7A">
              <w:rPr>
                <w:rFonts w:eastAsia="Times New Roman"/>
                <w:sz w:val="18"/>
                <w:szCs w:val="18"/>
                <w:lang w:val="fr-FR" w:eastAsia="en-US"/>
              </w:rPr>
              <w:t>Sans objet</w:t>
            </w:r>
          </w:p>
        </w:tc>
        <w:tc>
          <w:tcPr>
            <w:tcW w:w="1417" w:type="dxa"/>
            <w:gridSpan w:val="2"/>
            <w:tcBorders>
              <w:top w:val="nil"/>
              <w:left w:val="nil"/>
              <w:bottom w:val="single" w:sz="4" w:space="0" w:color="auto"/>
              <w:right w:val="single" w:sz="4" w:space="0" w:color="auto"/>
            </w:tcBorders>
            <w:shd w:val="clear" w:color="000000" w:fill="92D050"/>
            <w:tcMar>
              <w:top w:w="34" w:type="dxa"/>
              <w:bottom w:w="34" w:type="dxa"/>
            </w:tcMar>
            <w:hideMark/>
          </w:tcPr>
          <w:p w:rsidR="00882C1D" w:rsidRPr="004C0E7A" w:rsidRDefault="00882C1D" w:rsidP="00882C1D">
            <w:pPr>
              <w:jc w:val="center"/>
              <w:rPr>
                <w:rFonts w:eastAsia="Times New Roman"/>
                <w:sz w:val="18"/>
                <w:szCs w:val="18"/>
                <w:lang w:val="fr-FR" w:eastAsia="en-US"/>
              </w:rPr>
            </w:pPr>
            <w:r w:rsidRPr="004C0E7A">
              <w:rPr>
                <w:rFonts w:eastAsia="Times New Roman"/>
                <w:sz w:val="18"/>
                <w:szCs w:val="18"/>
                <w:lang w:val="fr-FR" w:eastAsia="en-US"/>
              </w:rPr>
              <w:t> </w:t>
            </w:r>
          </w:p>
        </w:tc>
      </w:tr>
      <w:tr w:rsidR="004C0E7A" w:rsidRPr="004C0E7A" w:rsidTr="0024427E">
        <w:trPr>
          <w:cantSplit/>
          <w:trHeight w:val="414"/>
        </w:trPr>
        <w:tc>
          <w:tcPr>
            <w:tcW w:w="5879" w:type="dxa"/>
            <w:tcBorders>
              <w:top w:val="nil"/>
              <w:left w:val="single" w:sz="4" w:space="0" w:color="auto"/>
              <w:bottom w:val="single" w:sz="4" w:space="0" w:color="auto"/>
              <w:right w:val="single" w:sz="4" w:space="0" w:color="auto"/>
            </w:tcBorders>
            <w:shd w:val="clear" w:color="auto" w:fill="auto"/>
            <w:tcMar>
              <w:top w:w="34" w:type="dxa"/>
              <w:bottom w:w="34" w:type="dxa"/>
            </w:tcMar>
            <w:vAlign w:val="center"/>
            <w:hideMark/>
          </w:tcPr>
          <w:p w:rsidR="00882C1D" w:rsidRPr="004C0E7A" w:rsidRDefault="001A6B0E" w:rsidP="0024427E">
            <w:pPr>
              <w:rPr>
                <w:rFonts w:eastAsia="Times New Roman"/>
                <w:sz w:val="18"/>
                <w:szCs w:val="18"/>
                <w:lang w:val="fr-FR" w:eastAsia="en-US"/>
              </w:rPr>
            </w:pPr>
            <w:r w:rsidRPr="004C0E7A">
              <w:rPr>
                <w:rFonts w:eastAsia="Times New Roman"/>
                <w:sz w:val="18"/>
                <w:szCs w:val="18"/>
                <w:lang w:val="fr-FR" w:eastAsia="en-US"/>
              </w:rPr>
              <w:t>INV 2014</w:t>
            </w:r>
            <w:r w:rsidR="008E117E" w:rsidRPr="004C0E7A">
              <w:rPr>
                <w:rFonts w:eastAsia="Times New Roman"/>
                <w:sz w:val="18"/>
                <w:szCs w:val="18"/>
                <w:lang w:val="fr-FR" w:eastAsia="en-US"/>
              </w:rPr>
              <w:noBreakHyphen/>
            </w:r>
            <w:r w:rsidRPr="004C0E7A">
              <w:rPr>
                <w:rFonts w:eastAsia="Times New Roman"/>
                <w:sz w:val="18"/>
                <w:szCs w:val="18"/>
                <w:lang w:val="fr-FR" w:eastAsia="en-US"/>
              </w:rPr>
              <w:t>06</w:t>
            </w:r>
            <w:r w:rsidR="000055C7" w:rsidRPr="004C0E7A">
              <w:rPr>
                <w:rFonts w:eastAsia="Times New Roman"/>
                <w:sz w:val="18"/>
                <w:szCs w:val="18"/>
                <w:lang w:val="fr-FR" w:eastAsia="en-US"/>
              </w:rPr>
              <w:t xml:space="preserve"> – </w:t>
            </w:r>
            <w:r w:rsidRPr="004C0E7A">
              <w:rPr>
                <w:rFonts w:eastAsia="Times New Roman"/>
                <w:sz w:val="18"/>
                <w:szCs w:val="18"/>
                <w:lang w:val="fr-FR" w:eastAsia="en-US"/>
              </w:rPr>
              <w:t>Harcèlement/discrimination/abus de pouvoir</w:t>
            </w:r>
          </w:p>
        </w:tc>
        <w:tc>
          <w:tcPr>
            <w:tcW w:w="2639" w:type="dxa"/>
            <w:tcBorders>
              <w:top w:val="nil"/>
              <w:left w:val="nil"/>
              <w:bottom w:val="single" w:sz="4" w:space="0" w:color="auto"/>
              <w:right w:val="single" w:sz="4" w:space="0" w:color="auto"/>
            </w:tcBorders>
            <w:shd w:val="clear" w:color="auto" w:fill="auto"/>
            <w:tcMar>
              <w:top w:w="34" w:type="dxa"/>
              <w:bottom w:w="34" w:type="dxa"/>
            </w:tcMar>
            <w:vAlign w:val="center"/>
            <w:hideMark/>
          </w:tcPr>
          <w:p w:rsidR="00882C1D" w:rsidRPr="004C0E7A" w:rsidRDefault="002B3C52" w:rsidP="0024427E">
            <w:pPr>
              <w:jc w:val="center"/>
              <w:rPr>
                <w:rFonts w:eastAsia="Times New Roman"/>
                <w:sz w:val="18"/>
                <w:szCs w:val="18"/>
                <w:lang w:val="fr-FR" w:eastAsia="en-US"/>
              </w:rPr>
            </w:pPr>
            <w:r w:rsidRPr="004C0E7A">
              <w:rPr>
                <w:rFonts w:eastAsia="Times New Roman"/>
                <w:sz w:val="18"/>
                <w:szCs w:val="18"/>
                <w:lang w:val="fr-FR" w:eastAsia="en-US"/>
              </w:rPr>
              <w:t>Sans objet</w:t>
            </w:r>
          </w:p>
        </w:tc>
        <w:tc>
          <w:tcPr>
            <w:tcW w:w="1417" w:type="dxa"/>
            <w:gridSpan w:val="2"/>
            <w:tcBorders>
              <w:top w:val="nil"/>
              <w:left w:val="nil"/>
              <w:bottom w:val="single" w:sz="4" w:space="0" w:color="auto"/>
              <w:right w:val="single" w:sz="4" w:space="0" w:color="auto"/>
            </w:tcBorders>
            <w:shd w:val="clear" w:color="000000" w:fill="92D050"/>
            <w:tcMar>
              <w:top w:w="34" w:type="dxa"/>
              <w:bottom w:w="34" w:type="dxa"/>
            </w:tcMar>
            <w:hideMark/>
          </w:tcPr>
          <w:p w:rsidR="00882C1D" w:rsidRPr="004C0E7A" w:rsidRDefault="00882C1D" w:rsidP="00882C1D">
            <w:pPr>
              <w:jc w:val="center"/>
              <w:rPr>
                <w:rFonts w:eastAsia="Times New Roman"/>
                <w:sz w:val="18"/>
                <w:szCs w:val="18"/>
                <w:lang w:val="fr-FR" w:eastAsia="en-US"/>
              </w:rPr>
            </w:pPr>
            <w:r w:rsidRPr="004C0E7A">
              <w:rPr>
                <w:rFonts w:eastAsia="Times New Roman"/>
                <w:sz w:val="18"/>
                <w:szCs w:val="18"/>
                <w:lang w:val="fr-FR" w:eastAsia="en-US"/>
              </w:rPr>
              <w:t> </w:t>
            </w:r>
          </w:p>
        </w:tc>
      </w:tr>
      <w:tr w:rsidR="004C0E7A" w:rsidRPr="004C0E7A" w:rsidTr="0024427E">
        <w:trPr>
          <w:cantSplit/>
          <w:trHeight w:val="414"/>
        </w:trPr>
        <w:tc>
          <w:tcPr>
            <w:tcW w:w="5879" w:type="dxa"/>
            <w:tcBorders>
              <w:top w:val="nil"/>
              <w:left w:val="single" w:sz="4" w:space="0" w:color="auto"/>
              <w:bottom w:val="single" w:sz="4" w:space="0" w:color="auto"/>
              <w:right w:val="single" w:sz="4" w:space="0" w:color="auto"/>
            </w:tcBorders>
            <w:shd w:val="clear" w:color="auto" w:fill="auto"/>
            <w:tcMar>
              <w:top w:w="34" w:type="dxa"/>
              <w:bottom w:w="34" w:type="dxa"/>
            </w:tcMar>
            <w:vAlign w:val="center"/>
            <w:hideMark/>
          </w:tcPr>
          <w:p w:rsidR="00882C1D" w:rsidRPr="004C0E7A" w:rsidRDefault="001A6B0E" w:rsidP="0024427E">
            <w:pPr>
              <w:rPr>
                <w:rFonts w:eastAsia="Times New Roman"/>
                <w:sz w:val="18"/>
                <w:szCs w:val="18"/>
                <w:lang w:val="fr-FR" w:eastAsia="en-US"/>
              </w:rPr>
            </w:pPr>
            <w:r w:rsidRPr="004C0E7A">
              <w:rPr>
                <w:rFonts w:eastAsia="Times New Roman"/>
                <w:sz w:val="18"/>
                <w:szCs w:val="18"/>
                <w:lang w:val="fr-FR" w:eastAsia="en-US"/>
              </w:rPr>
              <w:t>INV 2014</w:t>
            </w:r>
            <w:r w:rsidR="008E117E" w:rsidRPr="004C0E7A">
              <w:rPr>
                <w:rFonts w:eastAsia="Times New Roman"/>
                <w:sz w:val="18"/>
                <w:szCs w:val="18"/>
                <w:lang w:val="fr-FR" w:eastAsia="en-US"/>
              </w:rPr>
              <w:noBreakHyphen/>
            </w:r>
            <w:r w:rsidRPr="004C0E7A">
              <w:rPr>
                <w:rFonts w:eastAsia="Times New Roman"/>
                <w:sz w:val="18"/>
                <w:szCs w:val="18"/>
                <w:lang w:val="fr-FR" w:eastAsia="en-US"/>
              </w:rPr>
              <w:t>07</w:t>
            </w:r>
            <w:r w:rsidR="000055C7" w:rsidRPr="004C0E7A">
              <w:rPr>
                <w:rFonts w:eastAsia="Times New Roman"/>
                <w:sz w:val="18"/>
                <w:szCs w:val="18"/>
                <w:lang w:val="fr-FR" w:eastAsia="en-US"/>
              </w:rPr>
              <w:t xml:space="preserve"> – </w:t>
            </w:r>
            <w:r w:rsidRPr="004C0E7A">
              <w:rPr>
                <w:rFonts w:eastAsia="Times New Roman"/>
                <w:sz w:val="18"/>
                <w:szCs w:val="18"/>
                <w:lang w:val="fr-FR" w:eastAsia="en-US"/>
              </w:rPr>
              <w:t>Communication non autorisée d</w:t>
            </w:r>
            <w:r w:rsidR="000055C7" w:rsidRPr="004C0E7A">
              <w:rPr>
                <w:rFonts w:eastAsia="Times New Roman"/>
                <w:sz w:val="18"/>
                <w:szCs w:val="18"/>
                <w:lang w:val="fr-FR" w:eastAsia="en-US"/>
              </w:rPr>
              <w:t>’</w:t>
            </w:r>
            <w:r w:rsidRPr="004C0E7A">
              <w:rPr>
                <w:rFonts w:eastAsia="Times New Roman"/>
                <w:sz w:val="18"/>
                <w:szCs w:val="18"/>
                <w:lang w:val="fr-FR" w:eastAsia="en-US"/>
              </w:rPr>
              <w:t xml:space="preserve">informations </w:t>
            </w:r>
          </w:p>
        </w:tc>
        <w:tc>
          <w:tcPr>
            <w:tcW w:w="2639" w:type="dxa"/>
            <w:tcBorders>
              <w:top w:val="nil"/>
              <w:left w:val="nil"/>
              <w:bottom w:val="single" w:sz="4" w:space="0" w:color="auto"/>
              <w:right w:val="single" w:sz="4" w:space="0" w:color="auto"/>
            </w:tcBorders>
            <w:shd w:val="clear" w:color="auto" w:fill="auto"/>
            <w:tcMar>
              <w:top w:w="34" w:type="dxa"/>
              <w:bottom w:w="34" w:type="dxa"/>
            </w:tcMar>
            <w:vAlign w:val="center"/>
            <w:hideMark/>
          </w:tcPr>
          <w:p w:rsidR="00882C1D" w:rsidRPr="004C0E7A" w:rsidRDefault="002B3C52" w:rsidP="0024427E">
            <w:pPr>
              <w:jc w:val="center"/>
              <w:rPr>
                <w:rFonts w:eastAsia="Times New Roman"/>
                <w:sz w:val="18"/>
                <w:szCs w:val="18"/>
                <w:lang w:val="fr-FR" w:eastAsia="en-US"/>
              </w:rPr>
            </w:pPr>
            <w:r w:rsidRPr="004C0E7A">
              <w:rPr>
                <w:rFonts w:eastAsia="Times New Roman"/>
                <w:sz w:val="18"/>
                <w:szCs w:val="18"/>
                <w:lang w:val="fr-FR" w:eastAsia="en-US"/>
              </w:rPr>
              <w:t>Sans objet</w:t>
            </w:r>
          </w:p>
        </w:tc>
        <w:tc>
          <w:tcPr>
            <w:tcW w:w="1417" w:type="dxa"/>
            <w:gridSpan w:val="2"/>
            <w:tcBorders>
              <w:top w:val="nil"/>
              <w:left w:val="nil"/>
              <w:bottom w:val="single" w:sz="4" w:space="0" w:color="auto"/>
              <w:right w:val="single" w:sz="4" w:space="0" w:color="auto"/>
            </w:tcBorders>
            <w:shd w:val="clear" w:color="000000" w:fill="92D050"/>
            <w:tcMar>
              <w:top w:w="34" w:type="dxa"/>
              <w:bottom w:w="34" w:type="dxa"/>
            </w:tcMar>
            <w:hideMark/>
          </w:tcPr>
          <w:p w:rsidR="00882C1D" w:rsidRPr="004C0E7A" w:rsidRDefault="00882C1D" w:rsidP="00882C1D">
            <w:pPr>
              <w:jc w:val="center"/>
              <w:rPr>
                <w:rFonts w:eastAsia="Times New Roman"/>
                <w:sz w:val="18"/>
                <w:szCs w:val="18"/>
                <w:lang w:val="fr-FR" w:eastAsia="en-US"/>
              </w:rPr>
            </w:pPr>
            <w:r w:rsidRPr="004C0E7A">
              <w:rPr>
                <w:rFonts w:eastAsia="Times New Roman"/>
                <w:sz w:val="18"/>
                <w:szCs w:val="18"/>
                <w:lang w:val="fr-FR" w:eastAsia="en-US"/>
              </w:rPr>
              <w:t> </w:t>
            </w:r>
          </w:p>
        </w:tc>
      </w:tr>
      <w:tr w:rsidR="004C0E7A" w:rsidRPr="004C0E7A" w:rsidTr="0024427E">
        <w:trPr>
          <w:cantSplit/>
          <w:trHeight w:val="414"/>
        </w:trPr>
        <w:tc>
          <w:tcPr>
            <w:tcW w:w="5879" w:type="dxa"/>
            <w:tcBorders>
              <w:top w:val="nil"/>
              <w:left w:val="single" w:sz="4" w:space="0" w:color="auto"/>
              <w:bottom w:val="single" w:sz="4" w:space="0" w:color="auto"/>
              <w:right w:val="single" w:sz="4" w:space="0" w:color="auto"/>
            </w:tcBorders>
            <w:shd w:val="clear" w:color="auto" w:fill="auto"/>
            <w:tcMar>
              <w:top w:w="34" w:type="dxa"/>
              <w:bottom w:w="34" w:type="dxa"/>
            </w:tcMar>
            <w:vAlign w:val="center"/>
            <w:hideMark/>
          </w:tcPr>
          <w:p w:rsidR="00882C1D" w:rsidRPr="004C0E7A" w:rsidRDefault="001A6B0E" w:rsidP="0024427E">
            <w:pPr>
              <w:rPr>
                <w:rFonts w:eastAsia="Times New Roman"/>
                <w:sz w:val="18"/>
                <w:szCs w:val="18"/>
                <w:lang w:val="fr-FR" w:eastAsia="en-US"/>
              </w:rPr>
            </w:pPr>
            <w:r w:rsidRPr="004C0E7A">
              <w:rPr>
                <w:rFonts w:eastAsia="Times New Roman"/>
                <w:sz w:val="18"/>
                <w:szCs w:val="18"/>
                <w:lang w:val="fr-FR" w:eastAsia="en-US"/>
              </w:rPr>
              <w:t>INV 2014</w:t>
            </w:r>
            <w:r w:rsidR="008E117E" w:rsidRPr="004C0E7A">
              <w:rPr>
                <w:rFonts w:eastAsia="Times New Roman"/>
                <w:sz w:val="18"/>
                <w:szCs w:val="18"/>
                <w:lang w:val="fr-FR" w:eastAsia="en-US"/>
              </w:rPr>
              <w:noBreakHyphen/>
            </w:r>
            <w:r w:rsidRPr="004C0E7A">
              <w:rPr>
                <w:rFonts w:eastAsia="Times New Roman"/>
                <w:sz w:val="18"/>
                <w:szCs w:val="18"/>
                <w:lang w:val="fr-FR" w:eastAsia="en-US"/>
              </w:rPr>
              <w:t>08</w:t>
            </w:r>
            <w:r w:rsidR="000055C7" w:rsidRPr="004C0E7A">
              <w:rPr>
                <w:rFonts w:eastAsia="Times New Roman"/>
                <w:sz w:val="18"/>
                <w:szCs w:val="18"/>
                <w:lang w:val="fr-FR" w:eastAsia="en-US"/>
              </w:rPr>
              <w:t xml:space="preserve"> – </w:t>
            </w:r>
            <w:r w:rsidR="007F65E2" w:rsidRPr="004C0E7A">
              <w:rPr>
                <w:rFonts w:eastAsia="Times New Roman"/>
                <w:sz w:val="18"/>
                <w:szCs w:val="18"/>
                <w:lang w:val="fr-FR" w:eastAsia="en-US"/>
              </w:rPr>
              <w:t>Autres formes de fraude, de corruption ou d</w:t>
            </w:r>
            <w:r w:rsidR="000055C7" w:rsidRPr="004C0E7A">
              <w:rPr>
                <w:rFonts w:eastAsia="Times New Roman"/>
                <w:sz w:val="18"/>
                <w:szCs w:val="18"/>
                <w:lang w:val="fr-FR" w:eastAsia="en-US"/>
              </w:rPr>
              <w:t>’</w:t>
            </w:r>
            <w:r w:rsidR="007F65E2" w:rsidRPr="004C0E7A">
              <w:rPr>
                <w:rFonts w:eastAsia="Times New Roman"/>
                <w:sz w:val="18"/>
                <w:szCs w:val="18"/>
                <w:lang w:val="fr-FR" w:eastAsia="en-US"/>
              </w:rPr>
              <w:t>abus</w:t>
            </w:r>
          </w:p>
        </w:tc>
        <w:tc>
          <w:tcPr>
            <w:tcW w:w="2639" w:type="dxa"/>
            <w:tcBorders>
              <w:top w:val="nil"/>
              <w:left w:val="nil"/>
              <w:bottom w:val="single" w:sz="4" w:space="0" w:color="auto"/>
              <w:right w:val="single" w:sz="4" w:space="0" w:color="auto"/>
            </w:tcBorders>
            <w:shd w:val="clear" w:color="auto" w:fill="auto"/>
            <w:tcMar>
              <w:top w:w="34" w:type="dxa"/>
              <w:bottom w:w="34" w:type="dxa"/>
            </w:tcMar>
            <w:vAlign w:val="center"/>
            <w:hideMark/>
          </w:tcPr>
          <w:p w:rsidR="00882C1D" w:rsidRPr="004C0E7A" w:rsidRDefault="002B3C52" w:rsidP="0024427E">
            <w:pPr>
              <w:jc w:val="center"/>
              <w:rPr>
                <w:rFonts w:eastAsia="Times New Roman"/>
                <w:sz w:val="18"/>
                <w:szCs w:val="18"/>
                <w:lang w:val="fr-FR" w:eastAsia="en-US"/>
              </w:rPr>
            </w:pPr>
            <w:r w:rsidRPr="004C0E7A">
              <w:rPr>
                <w:rFonts w:eastAsia="Times New Roman"/>
                <w:sz w:val="18"/>
                <w:szCs w:val="18"/>
                <w:lang w:val="fr-FR" w:eastAsia="en-US"/>
              </w:rPr>
              <w:t>Sans objet</w:t>
            </w:r>
          </w:p>
        </w:tc>
        <w:tc>
          <w:tcPr>
            <w:tcW w:w="1417" w:type="dxa"/>
            <w:gridSpan w:val="2"/>
            <w:tcBorders>
              <w:top w:val="nil"/>
              <w:left w:val="nil"/>
              <w:bottom w:val="single" w:sz="4" w:space="0" w:color="auto"/>
              <w:right w:val="single" w:sz="4" w:space="0" w:color="auto"/>
            </w:tcBorders>
            <w:shd w:val="clear" w:color="000000" w:fill="FFFF00"/>
            <w:tcMar>
              <w:top w:w="34" w:type="dxa"/>
              <w:bottom w:w="34" w:type="dxa"/>
            </w:tcMar>
            <w:hideMark/>
          </w:tcPr>
          <w:p w:rsidR="00882C1D" w:rsidRPr="004C0E7A" w:rsidRDefault="00882C1D" w:rsidP="00882C1D">
            <w:pPr>
              <w:jc w:val="center"/>
              <w:rPr>
                <w:rFonts w:eastAsia="Times New Roman"/>
                <w:sz w:val="18"/>
                <w:szCs w:val="18"/>
                <w:lang w:val="fr-FR" w:eastAsia="en-US"/>
              </w:rPr>
            </w:pPr>
            <w:r w:rsidRPr="004C0E7A">
              <w:rPr>
                <w:rFonts w:eastAsia="Times New Roman"/>
                <w:sz w:val="18"/>
                <w:szCs w:val="18"/>
                <w:lang w:val="fr-FR" w:eastAsia="en-US"/>
              </w:rPr>
              <w:t> </w:t>
            </w:r>
          </w:p>
        </w:tc>
      </w:tr>
      <w:tr w:rsidR="004C0E7A" w:rsidRPr="004C0E7A" w:rsidTr="0024427E">
        <w:trPr>
          <w:cantSplit/>
          <w:trHeight w:val="414"/>
        </w:trPr>
        <w:tc>
          <w:tcPr>
            <w:tcW w:w="5879" w:type="dxa"/>
            <w:tcBorders>
              <w:top w:val="nil"/>
              <w:left w:val="single" w:sz="4" w:space="0" w:color="auto"/>
              <w:bottom w:val="single" w:sz="4" w:space="0" w:color="auto"/>
              <w:right w:val="single" w:sz="4" w:space="0" w:color="auto"/>
            </w:tcBorders>
            <w:shd w:val="clear" w:color="auto" w:fill="auto"/>
            <w:tcMar>
              <w:top w:w="34" w:type="dxa"/>
              <w:bottom w:w="34" w:type="dxa"/>
            </w:tcMar>
            <w:vAlign w:val="center"/>
            <w:hideMark/>
          </w:tcPr>
          <w:p w:rsidR="00882C1D" w:rsidRPr="004C0E7A" w:rsidRDefault="001A6B0E" w:rsidP="0024427E">
            <w:pPr>
              <w:rPr>
                <w:rFonts w:eastAsia="Times New Roman"/>
                <w:sz w:val="18"/>
                <w:szCs w:val="18"/>
                <w:lang w:val="fr-FR" w:eastAsia="en-US"/>
              </w:rPr>
            </w:pPr>
            <w:r w:rsidRPr="004C0E7A">
              <w:rPr>
                <w:rFonts w:eastAsia="Times New Roman"/>
                <w:sz w:val="18"/>
                <w:szCs w:val="18"/>
                <w:lang w:val="fr-FR" w:eastAsia="en-US"/>
              </w:rPr>
              <w:t>INV 2014</w:t>
            </w:r>
            <w:r w:rsidR="008E117E" w:rsidRPr="004C0E7A">
              <w:rPr>
                <w:rFonts w:eastAsia="Times New Roman"/>
                <w:sz w:val="18"/>
                <w:szCs w:val="18"/>
                <w:lang w:val="fr-FR" w:eastAsia="en-US"/>
              </w:rPr>
              <w:noBreakHyphen/>
            </w:r>
            <w:r w:rsidRPr="004C0E7A">
              <w:rPr>
                <w:rFonts w:eastAsia="Times New Roman"/>
                <w:sz w:val="18"/>
                <w:szCs w:val="18"/>
                <w:lang w:val="fr-FR" w:eastAsia="en-US"/>
              </w:rPr>
              <w:t>09</w:t>
            </w:r>
            <w:r w:rsidR="000055C7" w:rsidRPr="004C0E7A">
              <w:rPr>
                <w:rFonts w:eastAsia="Times New Roman"/>
                <w:sz w:val="18"/>
                <w:szCs w:val="18"/>
                <w:lang w:val="fr-FR" w:eastAsia="en-US"/>
              </w:rPr>
              <w:t xml:space="preserve"> – </w:t>
            </w:r>
            <w:r w:rsidRPr="004C0E7A">
              <w:rPr>
                <w:rFonts w:eastAsia="Times New Roman"/>
                <w:sz w:val="18"/>
                <w:szCs w:val="18"/>
                <w:lang w:val="fr-FR" w:eastAsia="en-US"/>
              </w:rPr>
              <w:t>Déclarations et activités incompatibles avec le statut de fonctionnaire international</w:t>
            </w:r>
          </w:p>
        </w:tc>
        <w:tc>
          <w:tcPr>
            <w:tcW w:w="2639" w:type="dxa"/>
            <w:tcBorders>
              <w:top w:val="nil"/>
              <w:left w:val="nil"/>
              <w:bottom w:val="single" w:sz="4" w:space="0" w:color="auto"/>
              <w:right w:val="single" w:sz="4" w:space="0" w:color="auto"/>
            </w:tcBorders>
            <w:shd w:val="clear" w:color="auto" w:fill="auto"/>
            <w:tcMar>
              <w:top w:w="34" w:type="dxa"/>
              <w:bottom w:w="34" w:type="dxa"/>
            </w:tcMar>
            <w:vAlign w:val="center"/>
            <w:hideMark/>
          </w:tcPr>
          <w:p w:rsidR="00882C1D" w:rsidRPr="004C0E7A" w:rsidRDefault="002B3C52" w:rsidP="0024427E">
            <w:pPr>
              <w:jc w:val="center"/>
              <w:rPr>
                <w:rFonts w:eastAsia="Times New Roman"/>
                <w:sz w:val="18"/>
                <w:szCs w:val="18"/>
                <w:lang w:val="fr-FR" w:eastAsia="en-US"/>
              </w:rPr>
            </w:pPr>
            <w:r w:rsidRPr="004C0E7A">
              <w:rPr>
                <w:rFonts w:eastAsia="Times New Roman"/>
                <w:sz w:val="18"/>
                <w:szCs w:val="18"/>
                <w:lang w:val="fr-FR" w:eastAsia="en-US"/>
              </w:rPr>
              <w:t>Sans objet</w:t>
            </w:r>
          </w:p>
        </w:tc>
        <w:tc>
          <w:tcPr>
            <w:tcW w:w="1417" w:type="dxa"/>
            <w:gridSpan w:val="2"/>
            <w:tcBorders>
              <w:top w:val="nil"/>
              <w:left w:val="nil"/>
              <w:bottom w:val="single" w:sz="4" w:space="0" w:color="auto"/>
              <w:right w:val="single" w:sz="4" w:space="0" w:color="auto"/>
            </w:tcBorders>
            <w:shd w:val="clear" w:color="000000" w:fill="92D050"/>
            <w:tcMar>
              <w:top w:w="34" w:type="dxa"/>
              <w:bottom w:w="34" w:type="dxa"/>
            </w:tcMar>
            <w:hideMark/>
          </w:tcPr>
          <w:p w:rsidR="00882C1D" w:rsidRPr="004C0E7A" w:rsidRDefault="00882C1D" w:rsidP="00882C1D">
            <w:pPr>
              <w:jc w:val="center"/>
              <w:rPr>
                <w:rFonts w:eastAsia="Times New Roman"/>
                <w:sz w:val="18"/>
                <w:szCs w:val="18"/>
                <w:lang w:val="fr-FR" w:eastAsia="en-US"/>
              </w:rPr>
            </w:pPr>
            <w:r w:rsidRPr="004C0E7A">
              <w:rPr>
                <w:rFonts w:eastAsia="Times New Roman"/>
                <w:sz w:val="18"/>
                <w:szCs w:val="18"/>
                <w:lang w:val="fr-FR" w:eastAsia="en-US"/>
              </w:rPr>
              <w:t> </w:t>
            </w:r>
          </w:p>
        </w:tc>
      </w:tr>
      <w:tr w:rsidR="004C0E7A" w:rsidRPr="004C0E7A" w:rsidTr="0024427E">
        <w:trPr>
          <w:cantSplit/>
          <w:trHeight w:val="414"/>
        </w:trPr>
        <w:tc>
          <w:tcPr>
            <w:tcW w:w="5879" w:type="dxa"/>
            <w:tcBorders>
              <w:top w:val="nil"/>
              <w:left w:val="single" w:sz="4" w:space="0" w:color="auto"/>
              <w:bottom w:val="single" w:sz="4" w:space="0" w:color="auto"/>
              <w:right w:val="single" w:sz="4" w:space="0" w:color="auto"/>
            </w:tcBorders>
            <w:shd w:val="clear" w:color="auto" w:fill="auto"/>
            <w:tcMar>
              <w:top w:w="34" w:type="dxa"/>
              <w:bottom w:w="34" w:type="dxa"/>
            </w:tcMar>
            <w:vAlign w:val="center"/>
            <w:hideMark/>
          </w:tcPr>
          <w:p w:rsidR="00882C1D" w:rsidRPr="004C0E7A" w:rsidRDefault="001A6B0E" w:rsidP="0024427E">
            <w:pPr>
              <w:rPr>
                <w:rFonts w:eastAsia="Times New Roman"/>
                <w:sz w:val="18"/>
                <w:szCs w:val="18"/>
                <w:lang w:val="fr-FR" w:eastAsia="en-US"/>
              </w:rPr>
            </w:pPr>
            <w:r w:rsidRPr="004C0E7A">
              <w:rPr>
                <w:rFonts w:eastAsia="Times New Roman"/>
                <w:sz w:val="18"/>
                <w:szCs w:val="18"/>
                <w:lang w:val="fr-FR" w:eastAsia="en-US"/>
              </w:rPr>
              <w:t>INV 2014</w:t>
            </w:r>
            <w:r w:rsidR="008E117E" w:rsidRPr="004C0E7A">
              <w:rPr>
                <w:rFonts w:eastAsia="Times New Roman"/>
                <w:sz w:val="18"/>
                <w:szCs w:val="18"/>
                <w:lang w:val="fr-FR" w:eastAsia="en-US"/>
              </w:rPr>
              <w:noBreakHyphen/>
            </w:r>
            <w:r w:rsidRPr="004C0E7A">
              <w:rPr>
                <w:rFonts w:eastAsia="Times New Roman"/>
                <w:sz w:val="18"/>
                <w:szCs w:val="18"/>
                <w:lang w:val="fr-FR" w:eastAsia="en-US"/>
              </w:rPr>
              <w:t>10</w:t>
            </w:r>
            <w:r w:rsidR="000055C7" w:rsidRPr="004C0E7A">
              <w:rPr>
                <w:rFonts w:eastAsia="Times New Roman"/>
                <w:sz w:val="18"/>
                <w:szCs w:val="18"/>
                <w:lang w:val="fr-FR" w:eastAsia="en-US"/>
              </w:rPr>
              <w:t xml:space="preserve"> – </w:t>
            </w:r>
            <w:r w:rsidRPr="004C0E7A">
              <w:rPr>
                <w:rFonts w:eastAsia="Times New Roman"/>
                <w:sz w:val="18"/>
                <w:szCs w:val="18"/>
                <w:lang w:val="fr-FR" w:eastAsia="en-US"/>
              </w:rPr>
              <w:t>Déclarations et activités incompatibles avec le statut de fonctionnaire international</w:t>
            </w:r>
          </w:p>
        </w:tc>
        <w:tc>
          <w:tcPr>
            <w:tcW w:w="2639" w:type="dxa"/>
            <w:tcBorders>
              <w:top w:val="nil"/>
              <w:left w:val="nil"/>
              <w:bottom w:val="single" w:sz="4" w:space="0" w:color="auto"/>
              <w:right w:val="single" w:sz="4" w:space="0" w:color="auto"/>
            </w:tcBorders>
            <w:shd w:val="clear" w:color="auto" w:fill="auto"/>
            <w:tcMar>
              <w:top w:w="34" w:type="dxa"/>
              <w:bottom w:w="34" w:type="dxa"/>
            </w:tcMar>
            <w:vAlign w:val="center"/>
            <w:hideMark/>
          </w:tcPr>
          <w:p w:rsidR="00882C1D" w:rsidRPr="004C0E7A" w:rsidRDefault="002B3C52" w:rsidP="0024427E">
            <w:pPr>
              <w:jc w:val="center"/>
              <w:rPr>
                <w:rFonts w:eastAsia="Times New Roman"/>
                <w:sz w:val="18"/>
                <w:szCs w:val="18"/>
                <w:lang w:val="fr-FR" w:eastAsia="en-US"/>
              </w:rPr>
            </w:pPr>
            <w:r w:rsidRPr="004C0E7A">
              <w:rPr>
                <w:rFonts w:eastAsia="Times New Roman"/>
                <w:sz w:val="18"/>
                <w:szCs w:val="18"/>
                <w:lang w:val="fr-FR" w:eastAsia="en-US"/>
              </w:rPr>
              <w:t>Sans objet</w:t>
            </w:r>
          </w:p>
        </w:tc>
        <w:tc>
          <w:tcPr>
            <w:tcW w:w="1417" w:type="dxa"/>
            <w:gridSpan w:val="2"/>
            <w:tcBorders>
              <w:top w:val="nil"/>
              <w:left w:val="nil"/>
              <w:bottom w:val="single" w:sz="4" w:space="0" w:color="auto"/>
              <w:right w:val="single" w:sz="4" w:space="0" w:color="auto"/>
            </w:tcBorders>
            <w:shd w:val="clear" w:color="000000" w:fill="92D050"/>
            <w:tcMar>
              <w:top w:w="34" w:type="dxa"/>
              <w:bottom w:w="34" w:type="dxa"/>
            </w:tcMar>
            <w:hideMark/>
          </w:tcPr>
          <w:p w:rsidR="00882C1D" w:rsidRPr="004C0E7A" w:rsidRDefault="00882C1D" w:rsidP="00882C1D">
            <w:pPr>
              <w:jc w:val="center"/>
              <w:rPr>
                <w:rFonts w:eastAsia="Times New Roman"/>
                <w:sz w:val="18"/>
                <w:szCs w:val="18"/>
                <w:lang w:val="fr-FR" w:eastAsia="en-US"/>
              </w:rPr>
            </w:pPr>
            <w:r w:rsidRPr="004C0E7A">
              <w:rPr>
                <w:rFonts w:eastAsia="Times New Roman"/>
                <w:sz w:val="18"/>
                <w:szCs w:val="18"/>
                <w:lang w:val="fr-FR" w:eastAsia="en-US"/>
              </w:rPr>
              <w:t> </w:t>
            </w:r>
          </w:p>
        </w:tc>
      </w:tr>
      <w:tr w:rsidR="004C0E7A" w:rsidRPr="004C0E7A" w:rsidTr="0024427E">
        <w:trPr>
          <w:cantSplit/>
          <w:trHeight w:val="414"/>
        </w:trPr>
        <w:tc>
          <w:tcPr>
            <w:tcW w:w="5879" w:type="dxa"/>
            <w:tcBorders>
              <w:top w:val="nil"/>
              <w:left w:val="single" w:sz="4" w:space="0" w:color="auto"/>
              <w:bottom w:val="single" w:sz="4" w:space="0" w:color="auto"/>
              <w:right w:val="single" w:sz="4" w:space="0" w:color="auto"/>
            </w:tcBorders>
            <w:shd w:val="clear" w:color="auto" w:fill="auto"/>
            <w:tcMar>
              <w:top w:w="34" w:type="dxa"/>
              <w:bottom w:w="34" w:type="dxa"/>
            </w:tcMar>
            <w:vAlign w:val="center"/>
            <w:hideMark/>
          </w:tcPr>
          <w:p w:rsidR="00882C1D" w:rsidRPr="004C0E7A" w:rsidRDefault="001A6B0E" w:rsidP="0024427E">
            <w:pPr>
              <w:rPr>
                <w:rFonts w:eastAsia="Times New Roman"/>
                <w:sz w:val="18"/>
                <w:szCs w:val="18"/>
                <w:lang w:val="fr-FR" w:eastAsia="en-US"/>
              </w:rPr>
            </w:pPr>
            <w:r w:rsidRPr="004C0E7A">
              <w:rPr>
                <w:rFonts w:eastAsia="Times New Roman"/>
                <w:sz w:val="18"/>
                <w:szCs w:val="18"/>
                <w:lang w:val="fr-FR" w:eastAsia="en-US"/>
              </w:rPr>
              <w:t>INV 2014</w:t>
            </w:r>
            <w:r w:rsidR="008E117E" w:rsidRPr="004C0E7A">
              <w:rPr>
                <w:rFonts w:eastAsia="Times New Roman"/>
                <w:sz w:val="18"/>
                <w:szCs w:val="18"/>
                <w:lang w:val="fr-FR" w:eastAsia="en-US"/>
              </w:rPr>
              <w:noBreakHyphen/>
            </w:r>
            <w:r w:rsidRPr="004C0E7A">
              <w:rPr>
                <w:rFonts w:eastAsia="Times New Roman"/>
                <w:sz w:val="18"/>
                <w:szCs w:val="18"/>
                <w:lang w:val="fr-FR" w:eastAsia="en-US"/>
              </w:rPr>
              <w:t>11</w:t>
            </w:r>
            <w:r w:rsidR="000055C7" w:rsidRPr="004C0E7A">
              <w:rPr>
                <w:rFonts w:eastAsia="Times New Roman"/>
                <w:sz w:val="18"/>
                <w:szCs w:val="18"/>
                <w:lang w:val="fr-FR" w:eastAsia="en-US"/>
              </w:rPr>
              <w:t xml:space="preserve"> – </w:t>
            </w:r>
            <w:r w:rsidRPr="004C0E7A">
              <w:rPr>
                <w:rFonts w:eastAsia="Times New Roman"/>
                <w:sz w:val="18"/>
                <w:szCs w:val="18"/>
                <w:lang w:val="fr-FR" w:eastAsia="en-US"/>
              </w:rPr>
              <w:t>Utilisation abusive des ressources informatiques</w:t>
            </w:r>
          </w:p>
        </w:tc>
        <w:tc>
          <w:tcPr>
            <w:tcW w:w="2639" w:type="dxa"/>
            <w:tcBorders>
              <w:top w:val="nil"/>
              <w:left w:val="nil"/>
              <w:bottom w:val="single" w:sz="4" w:space="0" w:color="auto"/>
              <w:right w:val="single" w:sz="4" w:space="0" w:color="auto"/>
            </w:tcBorders>
            <w:shd w:val="clear" w:color="auto" w:fill="auto"/>
            <w:tcMar>
              <w:top w:w="34" w:type="dxa"/>
              <w:bottom w:w="34" w:type="dxa"/>
            </w:tcMar>
            <w:vAlign w:val="center"/>
            <w:hideMark/>
          </w:tcPr>
          <w:p w:rsidR="00882C1D" w:rsidRPr="004C0E7A" w:rsidRDefault="002B3C52" w:rsidP="0024427E">
            <w:pPr>
              <w:jc w:val="center"/>
              <w:rPr>
                <w:rFonts w:eastAsia="Times New Roman"/>
                <w:sz w:val="18"/>
                <w:szCs w:val="18"/>
                <w:lang w:val="fr-FR" w:eastAsia="en-US"/>
              </w:rPr>
            </w:pPr>
            <w:r w:rsidRPr="004C0E7A">
              <w:rPr>
                <w:rFonts w:eastAsia="Times New Roman"/>
                <w:sz w:val="18"/>
                <w:szCs w:val="18"/>
                <w:lang w:val="fr-FR" w:eastAsia="en-US"/>
              </w:rPr>
              <w:t>Sans objet</w:t>
            </w:r>
          </w:p>
        </w:tc>
        <w:tc>
          <w:tcPr>
            <w:tcW w:w="1417" w:type="dxa"/>
            <w:gridSpan w:val="2"/>
            <w:tcBorders>
              <w:top w:val="nil"/>
              <w:left w:val="nil"/>
              <w:bottom w:val="single" w:sz="4" w:space="0" w:color="auto"/>
              <w:right w:val="single" w:sz="4" w:space="0" w:color="auto"/>
            </w:tcBorders>
            <w:shd w:val="clear" w:color="000000" w:fill="92D050"/>
            <w:tcMar>
              <w:top w:w="34" w:type="dxa"/>
              <w:bottom w:w="34" w:type="dxa"/>
            </w:tcMar>
            <w:hideMark/>
          </w:tcPr>
          <w:p w:rsidR="00882C1D" w:rsidRPr="004C0E7A" w:rsidRDefault="00882C1D" w:rsidP="00882C1D">
            <w:pPr>
              <w:jc w:val="center"/>
              <w:rPr>
                <w:rFonts w:eastAsia="Times New Roman"/>
                <w:sz w:val="18"/>
                <w:szCs w:val="18"/>
                <w:lang w:val="fr-FR" w:eastAsia="en-US"/>
              </w:rPr>
            </w:pPr>
            <w:r w:rsidRPr="004C0E7A">
              <w:rPr>
                <w:rFonts w:eastAsia="Times New Roman"/>
                <w:sz w:val="18"/>
                <w:szCs w:val="18"/>
                <w:lang w:val="fr-FR" w:eastAsia="en-US"/>
              </w:rPr>
              <w:t> </w:t>
            </w:r>
          </w:p>
        </w:tc>
      </w:tr>
      <w:tr w:rsidR="004C0E7A" w:rsidRPr="004C0E7A" w:rsidTr="0024427E">
        <w:trPr>
          <w:cantSplit/>
          <w:trHeight w:val="414"/>
        </w:trPr>
        <w:tc>
          <w:tcPr>
            <w:tcW w:w="5879" w:type="dxa"/>
            <w:tcBorders>
              <w:top w:val="nil"/>
              <w:left w:val="single" w:sz="4" w:space="0" w:color="auto"/>
              <w:bottom w:val="single" w:sz="4" w:space="0" w:color="auto"/>
              <w:right w:val="single" w:sz="4" w:space="0" w:color="auto"/>
            </w:tcBorders>
            <w:shd w:val="clear" w:color="auto" w:fill="auto"/>
            <w:tcMar>
              <w:top w:w="34" w:type="dxa"/>
              <w:bottom w:w="34" w:type="dxa"/>
            </w:tcMar>
            <w:vAlign w:val="center"/>
            <w:hideMark/>
          </w:tcPr>
          <w:p w:rsidR="00882C1D" w:rsidRPr="004C0E7A" w:rsidRDefault="001A6B0E" w:rsidP="0024427E">
            <w:pPr>
              <w:rPr>
                <w:rFonts w:eastAsia="Times New Roman"/>
                <w:sz w:val="18"/>
                <w:szCs w:val="18"/>
                <w:lang w:val="fr-FR" w:eastAsia="en-US"/>
              </w:rPr>
            </w:pPr>
            <w:r w:rsidRPr="004C0E7A">
              <w:rPr>
                <w:rFonts w:eastAsia="Times New Roman"/>
                <w:sz w:val="18"/>
                <w:szCs w:val="18"/>
                <w:lang w:val="fr-FR" w:eastAsia="en-US"/>
              </w:rPr>
              <w:t>INV 2014</w:t>
            </w:r>
            <w:r w:rsidR="008E117E" w:rsidRPr="004C0E7A">
              <w:rPr>
                <w:rFonts w:eastAsia="Times New Roman"/>
                <w:sz w:val="18"/>
                <w:szCs w:val="18"/>
                <w:lang w:val="fr-FR" w:eastAsia="en-US"/>
              </w:rPr>
              <w:noBreakHyphen/>
            </w:r>
            <w:r w:rsidRPr="004C0E7A">
              <w:rPr>
                <w:rFonts w:eastAsia="Times New Roman"/>
                <w:sz w:val="18"/>
                <w:szCs w:val="18"/>
                <w:lang w:val="fr-FR" w:eastAsia="en-US"/>
              </w:rPr>
              <w:t>12</w:t>
            </w:r>
            <w:r w:rsidR="000055C7" w:rsidRPr="004C0E7A">
              <w:rPr>
                <w:rFonts w:eastAsia="Times New Roman"/>
                <w:sz w:val="18"/>
                <w:szCs w:val="18"/>
                <w:lang w:val="fr-FR" w:eastAsia="en-US"/>
              </w:rPr>
              <w:t xml:space="preserve"> – </w:t>
            </w:r>
            <w:r w:rsidRPr="004C0E7A">
              <w:rPr>
                <w:rFonts w:eastAsia="Times New Roman"/>
                <w:sz w:val="18"/>
                <w:szCs w:val="18"/>
                <w:lang w:val="fr-FR" w:eastAsia="en-US"/>
              </w:rPr>
              <w:t>Harcèlement/discrimination/abus de pouvoir</w:t>
            </w:r>
          </w:p>
        </w:tc>
        <w:tc>
          <w:tcPr>
            <w:tcW w:w="2639" w:type="dxa"/>
            <w:tcBorders>
              <w:top w:val="nil"/>
              <w:left w:val="nil"/>
              <w:bottom w:val="single" w:sz="4" w:space="0" w:color="auto"/>
              <w:right w:val="single" w:sz="4" w:space="0" w:color="auto"/>
            </w:tcBorders>
            <w:shd w:val="clear" w:color="auto" w:fill="auto"/>
            <w:tcMar>
              <w:top w:w="34" w:type="dxa"/>
              <w:bottom w:w="34" w:type="dxa"/>
            </w:tcMar>
            <w:vAlign w:val="center"/>
            <w:hideMark/>
          </w:tcPr>
          <w:p w:rsidR="00882C1D" w:rsidRPr="004C0E7A" w:rsidRDefault="002B3C52" w:rsidP="0024427E">
            <w:pPr>
              <w:jc w:val="center"/>
              <w:rPr>
                <w:rFonts w:eastAsia="Times New Roman"/>
                <w:sz w:val="18"/>
                <w:szCs w:val="18"/>
                <w:lang w:val="fr-FR" w:eastAsia="en-US"/>
              </w:rPr>
            </w:pPr>
            <w:r w:rsidRPr="004C0E7A">
              <w:rPr>
                <w:rFonts w:eastAsia="Times New Roman"/>
                <w:sz w:val="18"/>
                <w:szCs w:val="18"/>
                <w:lang w:val="fr-FR" w:eastAsia="en-US"/>
              </w:rPr>
              <w:t>Sans objet</w:t>
            </w:r>
          </w:p>
        </w:tc>
        <w:tc>
          <w:tcPr>
            <w:tcW w:w="1417" w:type="dxa"/>
            <w:gridSpan w:val="2"/>
            <w:tcBorders>
              <w:top w:val="nil"/>
              <w:left w:val="nil"/>
              <w:bottom w:val="single" w:sz="4" w:space="0" w:color="auto"/>
              <w:right w:val="single" w:sz="4" w:space="0" w:color="auto"/>
            </w:tcBorders>
            <w:shd w:val="clear" w:color="000000" w:fill="FFFF00"/>
            <w:tcMar>
              <w:top w:w="34" w:type="dxa"/>
              <w:bottom w:w="34" w:type="dxa"/>
            </w:tcMar>
            <w:hideMark/>
          </w:tcPr>
          <w:p w:rsidR="00882C1D" w:rsidRPr="004C0E7A" w:rsidRDefault="00882C1D" w:rsidP="00882C1D">
            <w:pPr>
              <w:jc w:val="center"/>
              <w:rPr>
                <w:rFonts w:eastAsia="Times New Roman"/>
                <w:sz w:val="18"/>
                <w:szCs w:val="18"/>
                <w:lang w:val="fr-FR" w:eastAsia="en-US"/>
              </w:rPr>
            </w:pPr>
            <w:r w:rsidRPr="004C0E7A">
              <w:rPr>
                <w:rFonts w:eastAsia="Times New Roman"/>
                <w:sz w:val="18"/>
                <w:szCs w:val="18"/>
                <w:lang w:val="fr-FR" w:eastAsia="en-US"/>
              </w:rPr>
              <w:t> </w:t>
            </w:r>
          </w:p>
        </w:tc>
      </w:tr>
      <w:tr w:rsidR="004C0E7A" w:rsidRPr="004C0E7A" w:rsidTr="0024427E">
        <w:trPr>
          <w:cantSplit/>
          <w:trHeight w:val="414"/>
        </w:trPr>
        <w:tc>
          <w:tcPr>
            <w:tcW w:w="5879" w:type="dxa"/>
            <w:tcBorders>
              <w:top w:val="nil"/>
              <w:left w:val="single" w:sz="4" w:space="0" w:color="auto"/>
              <w:bottom w:val="single" w:sz="4" w:space="0" w:color="auto"/>
              <w:right w:val="single" w:sz="4" w:space="0" w:color="auto"/>
            </w:tcBorders>
            <w:shd w:val="clear" w:color="auto" w:fill="auto"/>
            <w:tcMar>
              <w:top w:w="34" w:type="dxa"/>
              <w:bottom w:w="34" w:type="dxa"/>
            </w:tcMar>
            <w:vAlign w:val="center"/>
            <w:hideMark/>
          </w:tcPr>
          <w:p w:rsidR="00882C1D" w:rsidRPr="004C0E7A" w:rsidRDefault="001A6B0E" w:rsidP="0024427E">
            <w:pPr>
              <w:rPr>
                <w:rFonts w:eastAsia="Times New Roman"/>
                <w:sz w:val="18"/>
                <w:szCs w:val="18"/>
                <w:lang w:val="fr-FR" w:eastAsia="en-US"/>
              </w:rPr>
            </w:pPr>
            <w:r w:rsidRPr="004C0E7A">
              <w:rPr>
                <w:rFonts w:eastAsia="Times New Roman"/>
                <w:sz w:val="18"/>
                <w:szCs w:val="18"/>
                <w:lang w:val="fr-FR" w:eastAsia="en-US"/>
              </w:rPr>
              <w:t>INV 2014</w:t>
            </w:r>
            <w:r w:rsidR="008E117E" w:rsidRPr="004C0E7A">
              <w:rPr>
                <w:rFonts w:eastAsia="Times New Roman"/>
                <w:sz w:val="18"/>
                <w:szCs w:val="18"/>
                <w:lang w:val="fr-FR" w:eastAsia="en-US"/>
              </w:rPr>
              <w:noBreakHyphen/>
            </w:r>
            <w:r w:rsidRPr="004C0E7A">
              <w:rPr>
                <w:rFonts w:eastAsia="Times New Roman"/>
                <w:sz w:val="18"/>
                <w:szCs w:val="18"/>
                <w:lang w:val="fr-FR" w:eastAsia="en-US"/>
              </w:rPr>
              <w:t>13</w:t>
            </w:r>
            <w:r w:rsidR="000055C7" w:rsidRPr="004C0E7A">
              <w:rPr>
                <w:rFonts w:eastAsia="Times New Roman"/>
                <w:sz w:val="18"/>
                <w:szCs w:val="18"/>
                <w:lang w:val="fr-FR" w:eastAsia="en-US"/>
              </w:rPr>
              <w:t xml:space="preserve"> – </w:t>
            </w:r>
            <w:r w:rsidRPr="004C0E7A">
              <w:rPr>
                <w:rFonts w:eastAsia="Times New Roman"/>
                <w:sz w:val="18"/>
                <w:szCs w:val="18"/>
                <w:lang w:val="fr-FR" w:eastAsia="en-US"/>
              </w:rPr>
              <w:t>Harcèlement/discrimination/abus de pouvoir</w:t>
            </w:r>
          </w:p>
        </w:tc>
        <w:tc>
          <w:tcPr>
            <w:tcW w:w="2639" w:type="dxa"/>
            <w:tcBorders>
              <w:top w:val="nil"/>
              <w:left w:val="nil"/>
              <w:bottom w:val="single" w:sz="4" w:space="0" w:color="auto"/>
              <w:right w:val="single" w:sz="4" w:space="0" w:color="auto"/>
            </w:tcBorders>
            <w:shd w:val="clear" w:color="auto" w:fill="auto"/>
            <w:tcMar>
              <w:top w:w="34" w:type="dxa"/>
              <w:bottom w:w="34" w:type="dxa"/>
            </w:tcMar>
            <w:vAlign w:val="center"/>
            <w:hideMark/>
          </w:tcPr>
          <w:p w:rsidR="00882C1D" w:rsidRPr="004C0E7A" w:rsidRDefault="002B3C52" w:rsidP="0024427E">
            <w:pPr>
              <w:jc w:val="center"/>
              <w:rPr>
                <w:rFonts w:eastAsia="Times New Roman"/>
                <w:sz w:val="18"/>
                <w:szCs w:val="18"/>
                <w:lang w:val="fr-FR" w:eastAsia="en-US"/>
              </w:rPr>
            </w:pPr>
            <w:r w:rsidRPr="004C0E7A">
              <w:rPr>
                <w:rFonts w:eastAsia="Times New Roman"/>
                <w:sz w:val="18"/>
                <w:szCs w:val="18"/>
                <w:lang w:val="fr-FR" w:eastAsia="en-US"/>
              </w:rPr>
              <w:t>Sans objet</w:t>
            </w:r>
          </w:p>
        </w:tc>
        <w:tc>
          <w:tcPr>
            <w:tcW w:w="1417" w:type="dxa"/>
            <w:gridSpan w:val="2"/>
            <w:tcBorders>
              <w:top w:val="nil"/>
              <w:left w:val="nil"/>
              <w:bottom w:val="single" w:sz="4" w:space="0" w:color="auto"/>
              <w:right w:val="single" w:sz="4" w:space="0" w:color="auto"/>
            </w:tcBorders>
            <w:shd w:val="clear" w:color="000000" w:fill="92D050"/>
            <w:tcMar>
              <w:top w:w="34" w:type="dxa"/>
              <w:bottom w:w="34" w:type="dxa"/>
            </w:tcMar>
            <w:hideMark/>
          </w:tcPr>
          <w:p w:rsidR="00882C1D" w:rsidRPr="004C0E7A" w:rsidRDefault="00882C1D" w:rsidP="00882C1D">
            <w:pPr>
              <w:jc w:val="center"/>
              <w:rPr>
                <w:rFonts w:eastAsia="Times New Roman"/>
                <w:sz w:val="18"/>
                <w:szCs w:val="18"/>
                <w:lang w:val="fr-FR" w:eastAsia="en-US"/>
              </w:rPr>
            </w:pPr>
            <w:r w:rsidRPr="004C0E7A">
              <w:rPr>
                <w:rFonts w:eastAsia="Times New Roman"/>
                <w:sz w:val="18"/>
                <w:szCs w:val="18"/>
                <w:lang w:val="fr-FR" w:eastAsia="en-US"/>
              </w:rPr>
              <w:t> </w:t>
            </w:r>
          </w:p>
        </w:tc>
      </w:tr>
      <w:tr w:rsidR="004C0E7A" w:rsidRPr="004C0E7A" w:rsidTr="0024427E">
        <w:trPr>
          <w:cantSplit/>
          <w:trHeight w:val="414"/>
        </w:trPr>
        <w:tc>
          <w:tcPr>
            <w:tcW w:w="5879" w:type="dxa"/>
            <w:tcBorders>
              <w:top w:val="nil"/>
              <w:left w:val="single" w:sz="4" w:space="0" w:color="auto"/>
              <w:bottom w:val="single" w:sz="4" w:space="0" w:color="auto"/>
              <w:right w:val="single" w:sz="4" w:space="0" w:color="auto"/>
            </w:tcBorders>
            <w:shd w:val="clear" w:color="auto" w:fill="auto"/>
            <w:tcMar>
              <w:top w:w="34" w:type="dxa"/>
              <w:bottom w:w="34" w:type="dxa"/>
            </w:tcMar>
            <w:vAlign w:val="center"/>
            <w:hideMark/>
          </w:tcPr>
          <w:p w:rsidR="00882C1D" w:rsidRPr="004C0E7A" w:rsidRDefault="001A6B0E" w:rsidP="0024427E">
            <w:pPr>
              <w:rPr>
                <w:rFonts w:eastAsia="Times New Roman"/>
                <w:sz w:val="18"/>
                <w:szCs w:val="18"/>
                <w:lang w:val="fr-FR" w:eastAsia="en-US"/>
              </w:rPr>
            </w:pPr>
            <w:r w:rsidRPr="004C0E7A">
              <w:rPr>
                <w:rFonts w:eastAsia="Times New Roman"/>
                <w:sz w:val="18"/>
                <w:szCs w:val="18"/>
                <w:lang w:val="fr-FR" w:eastAsia="en-US"/>
              </w:rPr>
              <w:t>INV 2014</w:t>
            </w:r>
            <w:r w:rsidR="008E117E" w:rsidRPr="004C0E7A">
              <w:rPr>
                <w:rFonts w:eastAsia="Times New Roman"/>
                <w:sz w:val="18"/>
                <w:szCs w:val="18"/>
                <w:lang w:val="fr-FR" w:eastAsia="en-US"/>
              </w:rPr>
              <w:noBreakHyphen/>
            </w:r>
            <w:r w:rsidRPr="004C0E7A">
              <w:rPr>
                <w:rFonts w:eastAsia="Times New Roman"/>
                <w:sz w:val="18"/>
                <w:szCs w:val="18"/>
                <w:lang w:val="fr-FR" w:eastAsia="en-US"/>
              </w:rPr>
              <w:t>14</w:t>
            </w:r>
            <w:r w:rsidR="000055C7" w:rsidRPr="004C0E7A">
              <w:rPr>
                <w:rFonts w:eastAsia="Times New Roman"/>
                <w:sz w:val="18"/>
                <w:szCs w:val="18"/>
                <w:lang w:val="fr-FR" w:eastAsia="en-US"/>
              </w:rPr>
              <w:t xml:space="preserve"> – </w:t>
            </w:r>
            <w:r w:rsidRPr="004C0E7A">
              <w:rPr>
                <w:rFonts w:eastAsia="Times New Roman"/>
                <w:sz w:val="18"/>
                <w:szCs w:val="18"/>
                <w:lang w:val="fr-FR" w:eastAsia="en-US"/>
              </w:rPr>
              <w:t>Déclarations et activités incompatibles avec le statut de fonctionnaire international</w:t>
            </w:r>
          </w:p>
        </w:tc>
        <w:tc>
          <w:tcPr>
            <w:tcW w:w="2639" w:type="dxa"/>
            <w:tcBorders>
              <w:top w:val="nil"/>
              <w:left w:val="nil"/>
              <w:bottom w:val="single" w:sz="4" w:space="0" w:color="auto"/>
              <w:right w:val="single" w:sz="4" w:space="0" w:color="auto"/>
            </w:tcBorders>
            <w:shd w:val="clear" w:color="auto" w:fill="auto"/>
            <w:tcMar>
              <w:top w:w="34" w:type="dxa"/>
              <w:bottom w:w="34" w:type="dxa"/>
            </w:tcMar>
            <w:vAlign w:val="center"/>
            <w:hideMark/>
          </w:tcPr>
          <w:p w:rsidR="00882C1D" w:rsidRPr="004C0E7A" w:rsidRDefault="002B3C52" w:rsidP="0024427E">
            <w:pPr>
              <w:jc w:val="center"/>
              <w:rPr>
                <w:rFonts w:eastAsia="Times New Roman"/>
                <w:sz w:val="18"/>
                <w:szCs w:val="18"/>
                <w:lang w:val="fr-FR" w:eastAsia="en-US"/>
              </w:rPr>
            </w:pPr>
            <w:r w:rsidRPr="004C0E7A">
              <w:rPr>
                <w:rFonts w:eastAsia="Times New Roman"/>
                <w:sz w:val="18"/>
                <w:szCs w:val="18"/>
                <w:lang w:val="fr-FR" w:eastAsia="en-US"/>
              </w:rPr>
              <w:t>Sans objet</w:t>
            </w:r>
          </w:p>
        </w:tc>
        <w:tc>
          <w:tcPr>
            <w:tcW w:w="1417" w:type="dxa"/>
            <w:gridSpan w:val="2"/>
            <w:tcBorders>
              <w:top w:val="nil"/>
              <w:left w:val="nil"/>
              <w:bottom w:val="single" w:sz="4" w:space="0" w:color="auto"/>
              <w:right w:val="single" w:sz="4" w:space="0" w:color="auto"/>
            </w:tcBorders>
            <w:shd w:val="clear" w:color="000000" w:fill="92D050"/>
            <w:tcMar>
              <w:top w:w="34" w:type="dxa"/>
              <w:bottom w:w="34" w:type="dxa"/>
            </w:tcMar>
            <w:hideMark/>
          </w:tcPr>
          <w:p w:rsidR="00882C1D" w:rsidRPr="004C0E7A" w:rsidRDefault="00882C1D" w:rsidP="00882C1D">
            <w:pPr>
              <w:jc w:val="center"/>
              <w:rPr>
                <w:rFonts w:eastAsia="Times New Roman"/>
                <w:sz w:val="18"/>
                <w:szCs w:val="18"/>
                <w:lang w:val="fr-FR" w:eastAsia="en-US"/>
              </w:rPr>
            </w:pPr>
            <w:r w:rsidRPr="004C0E7A">
              <w:rPr>
                <w:rFonts w:eastAsia="Times New Roman"/>
                <w:sz w:val="18"/>
                <w:szCs w:val="18"/>
                <w:lang w:val="fr-FR" w:eastAsia="en-US"/>
              </w:rPr>
              <w:t> </w:t>
            </w:r>
          </w:p>
        </w:tc>
      </w:tr>
      <w:tr w:rsidR="004C0E7A" w:rsidRPr="004C0E7A" w:rsidTr="0024427E">
        <w:trPr>
          <w:cantSplit/>
          <w:trHeight w:val="414"/>
        </w:trPr>
        <w:tc>
          <w:tcPr>
            <w:tcW w:w="5879" w:type="dxa"/>
            <w:tcBorders>
              <w:top w:val="nil"/>
              <w:left w:val="single" w:sz="4" w:space="0" w:color="auto"/>
              <w:bottom w:val="single" w:sz="4" w:space="0" w:color="auto"/>
              <w:right w:val="single" w:sz="4" w:space="0" w:color="auto"/>
            </w:tcBorders>
            <w:shd w:val="clear" w:color="auto" w:fill="auto"/>
            <w:tcMar>
              <w:top w:w="34" w:type="dxa"/>
              <w:bottom w:w="34" w:type="dxa"/>
            </w:tcMar>
            <w:vAlign w:val="center"/>
            <w:hideMark/>
          </w:tcPr>
          <w:p w:rsidR="00882C1D" w:rsidRPr="004C0E7A" w:rsidRDefault="001A6B0E" w:rsidP="0024427E">
            <w:pPr>
              <w:rPr>
                <w:rFonts w:eastAsia="Times New Roman"/>
                <w:sz w:val="18"/>
                <w:szCs w:val="18"/>
                <w:lang w:val="fr-FR" w:eastAsia="en-US"/>
              </w:rPr>
            </w:pPr>
            <w:r w:rsidRPr="004C0E7A">
              <w:rPr>
                <w:rFonts w:eastAsia="Times New Roman"/>
                <w:sz w:val="18"/>
                <w:szCs w:val="18"/>
                <w:lang w:val="fr-FR" w:eastAsia="en-US"/>
              </w:rPr>
              <w:t>INV 2014</w:t>
            </w:r>
            <w:r w:rsidR="008E117E" w:rsidRPr="004C0E7A">
              <w:rPr>
                <w:rFonts w:eastAsia="Times New Roman"/>
                <w:sz w:val="18"/>
                <w:szCs w:val="18"/>
                <w:lang w:val="fr-FR" w:eastAsia="en-US"/>
              </w:rPr>
              <w:noBreakHyphen/>
            </w:r>
            <w:r w:rsidRPr="004C0E7A">
              <w:rPr>
                <w:rFonts w:eastAsia="Times New Roman"/>
                <w:sz w:val="18"/>
                <w:szCs w:val="18"/>
                <w:lang w:val="fr-FR" w:eastAsia="en-US"/>
              </w:rPr>
              <w:t>15</w:t>
            </w:r>
            <w:r w:rsidR="000055C7" w:rsidRPr="004C0E7A">
              <w:rPr>
                <w:rFonts w:eastAsia="Times New Roman"/>
                <w:sz w:val="18"/>
                <w:szCs w:val="18"/>
                <w:lang w:val="fr-FR" w:eastAsia="en-US"/>
              </w:rPr>
              <w:t xml:space="preserve"> – </w:t>
            </w:r>
            <w:r w:rsidRPr="004C0E7A">
              <w:rPr>
                <w:rFonts w:eastAsia="Times New Roman"/>
                <w:sz w:val="18"/>
                <w:szCs w:val="18"/>
                <w:lang w:val="fr-FR" w:eastAsia="en-US"/>
              </w:rPr>
              <w:t>Harcèlement/discrimination/abus de pouvoir</w:t>
            </w:r>
          </w:p>
        </w:tc>
        <w:tc>
          <w:tcPr>
            <w:tcW w:w="2639" w:type="dxa"/>
            <w:tcBorders>
              <w:top w:val="nil"/>
              <w:left w:val="nil"/>
              <w:bottom w:val="single" w:sz="4" w:space="0" w:color="auto"/>
              <w:right w:val="single" w:sz="4" w:space="0" w:color="auto"/>
            </w:tcBorders>
            <w:shd w:val="clear" w:color="auto" w:fill="auto"/>
            <w:tcMar>
              <w:top w:w="34" w:type="dxa"/>
              <w:bottom w:w="34" w:type="dxa"/>
            </w:tcMar>
            <w:vAlign w:val="center"/>
            <w:hideMark/>
          </w:tcPr>
          <w:p w:rsidR="00882C1D" w:rsidRPr="004C0E7A" w:rsidRDefault="002B3C52" w:rsidP="0024427E">
            <w:pPr>
              <w:jc w:val="center"/>
              <w:rPr>
                <w:rFonts w:eastAsia="Times New Roman"/>
                <w:sz w:val="18"/>
                <w:szCs w:val="18"/>
                <w:lang w:val="fr-FR" w:eastAsia="en-US"/>
              </w:rPr>
            </w:pPr>
            <w:r w:rsidRPr="004C0E7A">
              <w:rPr>
                <w:rFonts w:eastAsia="Times New Roman"/>
                <w:sz w:val="18"/>
                <w:szCs w:val="18"/>
                <w:lang w:val="fr-FR" w:eastAsia="en-US"/>
              </w:rPr>
              <w:t>Sans objet</w:t>
            </w:r>
          </w:p>
        </w:tc>
        <w:tc>
          <w:tcPr>
            <w:tcW w:w="1417" w:type="dxa"/>
            <w:gridSpan w:val="2"/>
            <w:tcBorders>
              <w:top w:val="nil"/>
              <w:left w:val="nil"/>
              <w:bottom w:val="single" w:sz="4" w:space="0" w:color="auto"/>
              <w:right w:val="single" w:sz="4" w:space="0" w:color="auto"/>
            </w:tcBorders>
            <w:shd w:val="clear" w:color="000000" w:fill="FFFF00"/>
            <w:tcMar>
              <w:top w:w="34" w:type="dxa"/>
              <w:bottom w:w="34" w:type="dxa"/>
            </w:tcMar>
            <w:hideMark/>
          </w:tcPr>
          <w:p w:rsidR="00882C1D" w:rsidRPr="004C0E7A" w:rsidRDefault="00882C1D" w:rsidP="00882C1D">
            <w:pPr>
              <w:jc w:val="center"/>
              <w:rPr>
                <w:rFonts w:eastAsia="Times New Roman"/>
                <w:sz w:val="18"/>
                <w:szCs w:val="18"/>
                <w:lang w:val="fr-FR" w:eastAsia="en-US"/>
              </w:rPr>
            </w:pPr>
            <w:r w:rsidRPr="004C0E7A">
              <w:rPr>
                <w:rFonts w:eastAsia="Times New Roman"/>
                <w:sz w:val="18"/>
                <w:szCs w:val="18"/>
                <w:lang w:val="fr-FR" w:eastAsia="en-US"/>
              </w:rPr>
              <w:t> </w:t>
            </w:r>
          </w:p>
        </w:tc>
      </w:tr>
      <w:tr w:rsidR="004C0E7A" w:rsidRPr="004C0E7A" w:rsidTr="0024427E">
        <w:trPr>
          <w:cantSplit/>
          <w:trHeight w:val="414"/>
        </w:trPr>
        <w:tc>
          <w:tcPr>
            <w:tcW w:w="5879" w:type="dxa"/>
            <w:tcBorders>
              <w:top w:val="nil"/>
              <w:left w:val="single" w:sz="4" w:space="0" w:color="auto"/>
              <w:bottom w:val="single" w:sz="4" w:space="0" w:color="auto"/>
              <w:right w:val="single" w:sz="4" w:space="0" w:color="auto"/>
            </w:tcBorders>
            <w:shd w:val="clear" w:color="auto" w:fill="auto"/>
            <w:tcMar>
              <w:top w:w="34" w:type="dxa"/>
              <w:bottom w:w="34" w:type="dxa"/>
            </w:tcMar>
            <w:vAlign w:val="center"/>
            <w:hideMark/>
          </w:tcPr>
          <w:p w:rsidR="00882C1D" w:rsidRPr="004C0E7A" w:rsidRDefault="00882C1D" w:rsidP="0024427E">
            <w:pPr>
              <w:rPr>
                <w:rFonts w:eastAsia="Times New Roman"/>
                <w:sz w:val="18"/>
                <w:szCs w:val="18"/>
                <w:lang w:val="fr-FR" w:eastAsia="en-US"/>
              </w:rPr>
            </w:pPr>
            <w:r w:rsidRPr="004C0E7A">
              <w:rPr>
                <w:rFonts w:eastAsia="Times New Roman"/>
                <w:sz w:val="18"/>
                <w:szCs w:val="18"/>
                <w:lang w:val="fr-FR" w:eastAsia="en-US"/>
              </w:rPr>
              <w:t>INV 2014</w:t>
            </w:r>
            <w:r w:rsidR="008E117E" w:rsidRPr="004C0E7A">
              <w:rPr>
                <w:rFonts w:eastAsia="Times New Roman"/>
                <w:sz w:val="18"/>
                <w:szCs w:val="18"/>
                <w:lang w:val="fr-FR" w:eastAsia="en-US"/>
              </w:rPr>
              <w:noBreakHyphen/>
            </w:r>
            <w:r w:rsidRPr="004C0E7A">
              <w:rPr>
                <w:rFonts w:eastAsia="Times New Roman"/>
                <w:sz w:val="18"/>
                <w:szCs w:val="18"/>
                <w:lang w:val="fr-FR" w:eastAsia="en-US"/>
              </w:rPr>
              <w:t>16</w:t>
            </w:r>
            <w:r w:rsidR="000055C7" w:rsidRPr="004C0E7A">
              <w:rPr>
                <w:rFonts w:eastAsia="Times New Roman"/>
                <w:sz w:val="18"/>
                <w:szCs w:val="18"/>
                <w:lang w:val="fr-FR" w:eastAsia="en-US"/>
              </w:rPr>
              <w:t xml:space="preserve"> – </w:t>
            </w:r>
            <w:r w:rsidRPr="004C0E7A">
              <w:rPr>
                <w:rFonts w:eastAsia="Times New Roman"/>
                <w:sz w:val="18"/>
                <w:szCs w:val="18"/>
                <w:lang w:val="fr-FR" w:eastAsia="en-US"/>
              </w:rPr>
              <w:t xml:space="preserve">Abuse </w:t>
            </w:r>
            <w:r w:rsidR="007F65E2" w:rsidRPr="004C0E7A">
              <w:rPr>
                <w:rFonts w:eastAsia="Times New Roman"/>
                <w:sz w:val="18"/>
                <w:szCs w:val="18"/>
                <w:lang w:val="fr-FR" w:eastAsia="en-US"/>
              </w:rPr>
              <w:t>concernant les horaires de travail</w:t>
            </w:r>
          </w:p>
        </w:tc>
        <w:tc>
          <w:tcPr>
            <w:tcW w:w="2639" w:type="dxa"/>
            <w:tcBorders>
              <w:top w:val="nil"/>
              <w:left w:val="nil"/>
              <w:bottom w:val="single" w:sz="4" w:space="0" w:color="auto"/>
              <w:right w:val="single" w:sz="4" w:space="0" w:color="auto"/>
            </w:tcBorders>
            <w:shd w:val="clear" w:color="auto" w:fill="auto"/>
            <w:tcMar>
              <w:top w:w="34" w:type="dxa"/>
              <w:bottom w:w="34" w:type="dxa"/>
            </w:tcMar>
            <w:vAlign w:val="center"/>
            <w:hideMark/>
          </w:tcPr>
          <w:p w:rsidR="00882C1D" w:rsidRPr="004C0E7A" w:rsidRDefault="002B3C52" w:rsidP="0024427E">
            <w:pPr>
              <w:jc w:val="center"/>
              <w:rPr>
                <w:rFonts w:eastAsia="Times New Roman"/>
                <w:sz w:val="18"/>
                <w:szCs w:val="18"/>
                <w:lang w:val="fr-FR" w:eastAsia="en-US"/>
              </w:rPr>
            </w:pPr>
            <w:r w:rsidRPr="004C0E7A">
              <w:rPr>
                <w:rFonts w:eastAsia="Times New Roman"/>
                <w:sz w:val="18"/>
                <w:szCs w:val="18"/>
                <w:lang w:val="fr-FR" w:eastAsia="en-US"/>
              </w:rPr>
              <w:t>Sans objet</w:t>
            </w:r>
          </w:p>
        </w:tc>
        <w:tc>
          <w:tcPr>
            <w:tcW w:w="1417" w:type="dxa"/>
            <w:gridSpan w:val="2"/>
            <w:tcBorders>
              <w:top w:val="nil"/>
              <w:left w:val="nil"/>
              <w:bottom w:val="single" w:sz="4" w:space="0" w:color="auto"/>
              <w:right w:val="single" w:sz="4" w:space="0" w:color="auto"/>
            </w:tcBorders>
            <w:shd w:val="clear" w:color="000000" w:fill="92D050"/>
            <w:tcMar>
              <w:top w:w="34" w:type="dxa"/>
              <w:bottom w:w="34" w:type="dxa"/>
            </w:tcMar>
            <w:hideMark/>
          </w:tcPr>
          <w:p w:rsidR="00882C1D" w:rsidRPr="004C0E7A" w:rsidRDefault="00882C1D" w:rsidP="00882C1D">
            <w:pPr>
              <w:jc w:val="center"/>
              <w:rPr>
                <w:rFonts w:eastAsia="Times New Roman"/>
                <w:sz w:val="18"/>
                <w:szCs w:val="18"/>
                <w:lang w:val="fr-FR" w:eastAsia="en-US"/>
              </w:rPr>
            </w:pPr>
            <w:r w:rsidRPr="004C0E7A">
              <w:rPr>
                <w:rFonts w:eastAsia="Times New Roman"/>
                <w:sz w:val="18"/>
                <w:szCs w:val="18"/>
                <w:lang w:val="fr-FR" w:eastAsia="en-US"/>
              </w:rPr>
              <w:t> </w:t>
            </w:r>
          </w:p>
        </w:tc>
      </w:tr>
      <w:tr w:rsidR="004C0E7A" w:rsidRPr="004C0E7A" w:rsidTr="0024427E">
        <w:trPr>
          <w:cantSplit/>
          <w:trHeight w:val="414"/>
        </w:trPr>
        <w:tc>
          <w:tcPr>
            <w:tcW w:w="5879" w:type="dxa"/>
            <w:tcBorders>
              <w:top w:val="nil"/>
              <w:left w:val="single" w:sz="4" w:space="0" w:color="auto"/>
              <w:bottom w:val="single" w:sz="4" w:space="0" w:color="auto"/>
              <w:right w:val="single" w:sz="4" w:space="0" w:color="auto"/>
            </w:tcBorders>
            <w:shd w:val="clear" w:color="auto" w:fill="auto"/>
            <w:tcMar>
              <w:top w:w="34" w:type="dxa"/>
              <w:bottom w:w="34" w:type="dxa"/>
            </w:tcMar>
            <w:vAlign w:val="center"/>
            <w:hideMark/>
          </w:tcPr>
          <w:p w:rsidR="00882C1D" w:rsidRPr="004C0E7A" w:rsidRDefault="00F44575" w:rsidP="0024427E">
            <w:pPr>
              <w:rPr>
                <w:rFonts w:eastAsia="Times New Roman"/>
                <w:sz w:val="18"/>
                <w:szCs w:val="18"/>
                <w:lang w:val="fr-FR" w:eastAsia="en-US"/>
              </w:rPr>
            </w:pPr>
            <w:r w:rsidRPr="004C0E7A">
              <w:rPr>
                <w:rFonts w:eastAsia="Times New Roman"/>
                <w:sz w:val="18"/>
                <w:szCs w:val="18"/>
                <w:lang w:val="fr-FR" w:eastAsia="en-US"/>
              </w:rPr>
              <w:t>INV 2014</w:t>
            </w:r>
            <w:r w:rsidR="008E117E" w:rsidRPr="004C0E7A">
              <w:rPr>
                <w:rFonts w:eastAsia="Times New Roman"/>
                <w:sz w:val="18"/>
                <w:szCs w:val="18"/>
                <w:lang w:val="fr-FR" w:eastAsia="en-US"/>
              </w:rPr>
              <w:noBreakHyphen/>
            </w:r>
            <w:r w:rsidRPr="004C0E7A">
              <w:rPr>
                <w:rFonts w:eastAsia="Times New Roman"/>
                <w:sz w:val="18"/>
                <w:szCs w:val="18"/>
                <w:lang w:val="fr-FR" w:eastAsia="en-US"/>
              </w:rPr>
              <w:t>17</w:t>
            </w:r>
            <w:r w:rsidR="000055C7" w:rsidRPr="004C0E7A">
              <w:rPr>
                <w:rFonts w:eastAsia="Times New Roman"/>
                <w:sz w:val="18"/>
                <w:szCs w:val="18"/>
                <w:lang w:val="fr-FR" w:eastAsia="en-US"/>
              </w:rPr>
              <w:t xml:space="preserve"> – </w:t>
            </w:r>
            <w:r w:rsidR="00951C0E" w:rsidRPr="004C0E7A">
              <w:rPr>
                <w:rFonts w:eastAsia="Times New Roman"/>
                <w:sz w:val="18"/>
                <w:szCs w:val="18"/>
                <w:lang w:val="fr-FR" w:eastAsia="en-US"/>
              </w:rPr>
              <w:t>Irrégularité commise par un candidat au cours du processus de sélection et de recrutement</w:t>
            </w:r>
          </w:p>
        </w:tc>
        <w:tc>
          <w:tcPr>
            <w:tcW w:w="2639" w:type="dxa"/>
            <w:tcBorders>
              <w:top w:val="nil"/>
              <w:left w:val="nil"/>
              <w:bottom w:val="single" w:sz="4" w:space="0" w:color="auto"/>
              <w:right w:val="single" w:sz="4" w:space="0" w:color="auto"/>
            </w:tcBorders>
            <w:shd w:val="clear" w:color="auto" w:fill="auto"/>
            <w:tcMar>
              <w:top w:w="34" w:type="dxa"/>
              <w:bottom w:w="34" w:type="dxa"/>
            </w:tcMar>
            <w:vAlign w:val="center"/>
            <w:hideMark/>
          </w:tcPr>
          <w:p w:rsidR="00882C1D" w:rsidRPr="004C0E7A" w:rsidRDefault="002B3C52" w:rsidP="0024427E">
            <w:pPr>
              <w:jc w:val="center"/>
              <w:rPr>
                <w:rFonts w:eastAsia="Times New Roman"/>
                <w:sz w:val="18"/>
                <w:szCs w:val="18"/>
                <w:lang w:val="fr-FR" w:eastAsia="en-US"/>
              </w:rPr>
            </w:pPr>
            <w:r w:rsidRPr="004C0E7A">
              <w:rPr>
                <w:rFonts w:eastAsia="Times New Roman"/>
                <w:sz w:val="18"/>
                <w:szCs w:val="18"/>
                <w:lang w:val="fr-FR" w:eastAsia="en-US"/>
              </w:rPr>
              <w:t>Sans objet</w:t>
            </w:r>
          </w:p>
        </w:tc>
        <w:tc>
          <w:tcPr>
            <w:tcW w:w="1417" w:type="dxa"/>
            <w:gridSpan w:val="2"/>
            <w:tcBorders>
              <w:top w:val="nil"/>
              <w:left w:val="nil"/>
              <w:bottom w:val="single" w:sz="4" w:space="0" w:color="auto"/>
              <w:right w:val="single" w:sz="4" w:space="0" w:color="auto"/>
            </w:tcBorders>
            <w:shd w:val="clear" w:color="000000" w:fill="92D050"/>
            <w:tcMar>
              <w:top w:w="34" w:type="dxa"/>
              <w:bottom w:w="34" w:type="dxa"/>
            </w:tcMar>
            <w:hideMark/>
          </w:tcPr>
          <w:p w:rsidR="00882C1D" w:rsidRPr="004C0E7A" w:rsidRDefault="00882C1D" w:rsidP="00882C1D">
            <w:pPr>
              <w:jc w:val="center"/>
              <w:rPr>
                <w:rFonts w:eastAsia="Times New Roman"/>
                <w:sz w:val="18"/>
                <w:szCs w:val="18"/>
                <w:lang w:val="fr-FR" w:eastAsia="en-US"/>
              </w:rPr>
            </w:pPr>
            <w:r w:rsidRPr="004C0E7A">
              <w:rPr>
                <w:rFonts w:eastAsia="Times New Roman"/>
                <w:sz w:val="18"/>
                <w:szCs w:val="18"/>
                <w:lang w:val="fr-FR" w:eastAsia="en-US"/>
              </w:rPr>
              <w:t> </w:t>
            </w:r>
          </w:p>
        </w:tc>
      </w:tr>
      <w:tr w:rsidR="004C0E7A" w:rsidRPr="004C0E7A" w:rsidTr="0024427E">
        <w:trPr>
          <w:cantSplit/>
          <w:trHeight w:val="414"/>
        </w:trPr>
        <w:tc>
          <w:tcPr>
            <w:tcW w:w="5879" w:type="dxa"/>
            <w:tcBorders>
              <w:top w:val="nil"/>
              <w:left w:val="single" w:sz="4" w:space="0" w:color="auto"/>
              <w:bottom w:val="single" w:sz="4" w:space="0" w:color="auto"/>
              <w:right w:val="single" w:sz="4" w:space="0" w:color="auto"/>
            </w:tcBorders>
            <w:shd w:val="clear" w:color="auto" w:fill="auto"/>
            <w:tcMar>
              <w:top w:w="34" w:type="dxa"/>
              <w:bottom w:w="34" w:type="dxa"/>
            </w:tcMar>
            <w:vAlign w:val="center"/>
            <w:hideMark/>
          </w:tcPr>
          <w:p w:rsidR="00882C1D" w:rsidRPr="004C0E7A" w:rsidRDefault="00F44575" w:rsidP="0024427E">
            <w:pPr>
              <w:rPr>
                <w:rFonts w:eastAsia="Times New Roman"/>
                <w:sz w:val="18"/>
                <w:szCs w:val="18"/>
                <w:lang w:val="fr-FR" w:eastAsia="en-US"/>
              </w:rPr>
            </w:pPr>
            <w:r w:rsidRPr="004C0E7A">
              <w:rPr>
                <w:rFonts w:eastAsia="Times New Roman"/>
                <w:sz w:val="18"/>
                <w:szCs w:val="18"/>
                <w:lang w:val="fr-FR" w:eastAsia="en-US"/>
              </w:rPr>
              <w:t>INV 2014</w:t>
            </w:r>
            <w:r w:rsidR="008E117E" w:rsidRPr="004C0E7A">
              <w:rPr>
                <w:rFonts w:eastAsia="Times New Roman"/>
                <w:sz w:val="18"/>
                <w:szCs w:val="18"/>
                <w:lang w:val="fr-FR" w:eastAsia="en-US"/>
              </w:rPr>
              <w:noBreakHyphen/>
            </w:r>
            <w:r w:rsidRPr="004C0E7A">
              <w:rPr>
                <w:rFonts w:eastAsia="Times New Roman"/>
                <w:sz w:val="18"/>
                <w:szCs w:val="18"/>
                <w:lang w:val="fr-FR" w:eastAsia="en-US"/>
              </w:rPr>
              <w:t>18</w:t>
            </w:r>
            <w:r w:rsidR="000055C7" w:rsidRPr="004C0E7A">
              <w:rPr>
                <w:rFonts w:eastAsia="Times New Roman"/>
                <w:sz w:val="18"/>
                <w:szCs w:val="18"/>
                <w:lang w:val="fr-FR" w:eastAsia="en-US"/>
              </w:rPr>
              <w:t xml:space="preserve"> – </w:t>
            </w:r>
            <w:r w:rsidRPr="004C0E7A">
              <w:rPr>
                <w:rFonts w:eastAsia="Times New Roman"/>
                <w:sz w:val="18"/>
                <w:szCs w:val="18"/>
                <w:lang w:val="fr-FR" w:eastAsia="en-US"/>
              </w:rPr>
              <w:t>Harcèlement/discrimination/abus de pouvoir</w:t>
            </w:r>
          </w:p>
        </w:tc>
        <w:tc>
          <w:tcPr>
            <w:tcW w:w="2639" w:type="dxa"/>
            <w:tcBorders>
              <w:top w:val="nil"/>
              <w:left w:val="nil"/>
              <w:bottom w:val="single" w:sz="4" w:space="0" w:color="auto"/>
              <w:right w:val="single" w:sz="4" w:space="0" w:color="auto"/>
            </w:tcBorders>
            <w:shd w:val="clear" w:color="auto" w:fill="auto"/>
            <w:tcMar>
              <w:top w:w="34" w:type="dxa"/>
              <w:bottom w:w="34" w:type="dxa"/>
            </w:tcMar>
            <w:vAlign w:val="center"/>
            <w:hideMark/>
          </w:tcPr>
          <w:p w:rsidR="00882C1D" w:rsidRPr="004C0E7A" w:rsidRDefault="002B3C52" w:rsidP="0024427E">
            <w:pPr>
              <w:jc w:val="center"/>
              <w:rPr>
                <w:rFonts w:eastAsia="Times New Roman"/>
                <w:sz w:val="18"/>
                <w:szCs w:val="18"/>
                <w:lang w:val="fr-FR" w:eastAsia="en-US"/>
              </w:rPr>
            </w:pPr>
            <w:r w:rsidRPr="004C0E7A">
              <w:rPr>
                <w:rFonts w:eastAsia="Times New Roman"/>
                <w:sz w:val="18"/>
                <w:szCs w:val="18"/>
                <w:lang w:val="fr-FR" w:eastAsia="en-US"/>
              </w:rPr>
              <w:t>Sans objet</w:t>
            </w:r>
          </w:p>
        </w:tc>
        <w:tc>
          <w:tcPr>
            <w:tcW w:w="1417" w:type="dxa"/>
            <w:gridSpan w:val="2"/>
            <w:tcBorders>
              <w:top w:val="nil"/>
              <w:left w:val="nil"/>
              <w:bottom w:val="single" w:sz="4" w:space="0" w:color="auto"/>
              <w:right w:val="single" w:sz="4" w:space="0" w:color="auto"/>
            </w:tcBorders>
            <w:shd w:val="clear" w:color="000000" w:fill="FFFF00"/>
            <w:tcMar>
              <w:top w:w="34" w:type="dxa"/>
              <w:bottom w:w="34" w:type="dxa"/>
            </w:tcMar>
            <w:hideMark/>
          </w:tcPr>
          <w:p w:rsidR="00882C1D" w:rsidRPr="004C0E7A" w:rsidRDefault="00882C1D" w:rsidP="00882C1D">
            <w:pPr>
              <w:jc w:val="center"/>
              <w:rPr>
                <w:rFonts w:eastAsia="Times New Roman"/>
                <w:sz w:val="18"/>
                <w:szCs w:val="18"/>
                <w:lang w:val="fr-FR" w:eastAsia="en-US"/>
              </w:rPr>
            </w:pPr>
            <w:r w:rsidRPr="004C0E7A">
              <w:rPr>
                <w:rFonts w:eastAsia="Times New Roman"/>
                <w:sz w:val="18"/>
                <w:szCs w:val="18"/>
                <w:lang w:val="fr-FR" w:eastAsia="en-US"/>
              </w:rPr>
              <w:t> </w:t>
            </w:r>
          </w:p>
        </w:tc>
      </w:tr>
      <w:tr w:rsidR="004C0E7A" w:rsidRPr="004C0E7A" w:rsidTr="0024427E">
        <w:trPr>
          <w:cantSplit/>
          <w:trHeight w:val="414"/>
        </w:trPr>
        <w:tc>
          <w:tcPr>
            <w:tcW w:w="5879" w:type="dxa"/>
            <w:tcBorders>
              <w:top w:val="nil"/>
              <w:left w:val="single" w:sz="4" w:space="0" w:color="auto"/>
              <w:bottom w:val="single" w:sz="4" w:space="0" w:color="auto"/>
              <w:right w:val="single" w:sz="4" w:space="0" w:color="auto"/>
            </w:tcBorders>
            <w:shd w:val="clear" w:color="auto" w:fill="auto"/>
            <w:tcMar>
              <w:top w:w="34" w:type="dxa"/>
              <w:bottom w:w="34" w:type="dxa"/>
            </w:tcMar>
            <w:vAlign w:val="center"/>
            <w:hideMark/>
          </w:tcPr>
          <w:p w:rsidR="00882C1D" w:rsidRPr="004C0E7A" w:rsidRDefault="00F44575" w:rsidP="0024427E">
            <w:pPr>
              <w:rPr>
                <w:rFonts w:eastAsia="Times New Roman"/>
                <w:sz w:val="18"/>
                <w:szCs w:val="18"/>
                <w:lang w:val="fr-FR" w:eastAsia="en-US"/>
              </w:rPr>
            </w:pPr>
            <w:r w:rsidRPr="004C0E7A">
              <w:rPr>
                <w:rFonts w:eastAsia="Times New Roman"/>
                <w:sz w:val="18"/>
                <w:szCs w:val="18"/>
                <w:lang w:val="fr-FR" w:eastAsia="en-US"/>
              </w:rPr>
              <w:t>INV 2014</w:t>
            </w:r>
            <w:r w:rsidR="008E117E" w:rsidRPr="004C0E7A">
              <w:rPr>
                <w:rFonts w:eastAsia="Times New Roman"/>
                <w:sz w:val="18"/>
                <w:szCs w:val="18"/>
                <w:lang w:val="fr-FR" w:eastAsia="en-US"/>
              </w:rPr>
              <w:noBreakHyphen/>
            </w:r>
            <w:r w:rsidRPr="004C0E7A">
              <w:rPr>
                <w:rFonts w:eastAsia="Times New Roman"/>
                <w:sz w:val="18"/>
                <w:szCs w:val="18"/>
                <w:lang w:val="fr-FR" w:eastAsia="en-US"/>
              </w:rPr>
              <w:t>19</w:t>
            </w:r>
            <w:r w:rsidR="000055C7" w:rsidRPr="004C0E7A">
              <w:rPr>
                <w:rFonts w:eastAsia="Times New Roman"/>
                <w:sz w:val="18"/>
                <w:szCs w:val="18"/>
                <w:lang w:val="fr-FR" w:eastAsia="en-US"/>
              </w:rPr>
              <w:t xml:space="preserve"> – </w:t>
            </w:r>
            <w:r w:rsidRPr="004C0E7A">
              <w:rPr>
                <w:rFonts w:eastAsia="Times New Roman"/>
                <w:sz w:val="18"/>
                <w:szCs w:val="18"/>
                <w:lang w:val="fr-FR" w:eastAsia="en-US"/>
              </w:rPr>
              <w:t>Harcèlement/discrimination/abus de pouvoir</w:t>
            </w:r>
          </w:p>
        </w:tc>
        <w:tc>
          <w:tcPr>
            <w:tcW w:w="2639" w:type="dxa"/>
            <w:tcBorders>
              <w:top w:val="nil"/>
              <w:left w:val="nil"/>
              <w:bottom w:val="single" w:sz="4" w:space="0" w:color="auto"/>
              <w:right w:val="single" w:sz="4" w:space="0" w:color="auto"/>
            </w:tcBorders>
            <w:shd w:val="clear" w:color="auto" w:fill="auto"/>
            <w:tcMar>
              <w:top w:w="34" w:type="dxa"/>
              <w:bottom w:w="34" w:type="dxa"/>
            </w:tcMar>
            <w:vAlign w:val="center"/>
            <w:hideMark/>
          </w:tcPr>
          <w:p w:rsidR="00882C1D" w:rsidRPr="004C0E7A" w:rsidRDefault="002B3C52" w:rsidP="0024427E">
            <w:pPr>
              <w:jc w:val="center"/>
              <w:rPr>
                <w:rFonts w:eastAsia="Times New Roman"/>
                <w:sz w:val="18"/>
                <w:szCs w:val="18"/>
                <w:lang w:val="fr-FR" w:eastAsia="en-US"/>
              </w:rPr>
            </w:pPr>
            <w:r w:rsidRPr="004C0E7A">
              <w:rPr>
                <w:rFonts w:eastAsia="Times New Roman"/>
                <w:sz w:val="18"/>
                <w:szCs w:val="18"/>
                <w:lang w:val="fr-FR" w:eastAsia="en-US"/>
              </w:rPr>
              <w:t>Sans objet</w:t>
            </w:r>
          </w:p>
        </w:tc>
        <w:tc>
          <w:tcPr>
            <w:tcW w:w="1417" w:type="dxa"/>
            <w:gridSpan w:val="2"/>
            <w:tcBorders>
              <w:top w:val="nil"/>
              <w:left w:val="nil"/>
              <w:bottom w:val="single" w:sz="4" w:space="0" w:color="auto"/>
              <w:right w:val="single" w:sz="4" w:space="0" w:color="auto"/>
            </w:tcBorders>
            <w:shd w:val="clear" w:color="000000" w:fill="92D050"/>
            <w:tcMar>
              <w:top w:w="34" w:type="dxa"/>
              <w:bottom w:w="34" w:type="dxa"/>
            </w:tcMar>
            <w:hideMark/>
          </w:tcPr>
          <w:p w:rsidR="00882C1D" w:rsidRPr="004C0E7A" w:rsidRDefault="00882C1D" w:rsidP="00882C1D">
            <w:pPr>
              <w:jc w:val="center"/>
              <w:rPr>
                <w:rFonts w:eastAsia="Times New Roman"/>
                <w:sz w:val="18"/>
                <w:szCs w:val="18"/>
                <w:lang w:val="fr-FR" w:eastAsia="en-US"/>
              </w:rPr>
            </w:pPr>
            <w:r w:rsidRPr="004C0E7A">
              <w:rPr>
                <w:rFonts w:eastAsia="Times New Roman"/>
                <w:sz w:val="18"/>
                <w:szCs w:val="18"/>
                <w:lang w:val="fr-FR" w:eastAsia="en-US"/>
              </w:rPr>
              <w:t> </w:t>
            </w:r>
          </w:p>
        </w:tc>
      </w:tr>
      <w:tr w:rsidR="004C0E7A" w:rsidRPr="004C0E7A" w:rsidTr="0024427E">
        <w:trPr>
          <w:cantSplit/>
          <w:trHeight w:val="414"/>
        </w:trPr>
        <w:tc>
          <w:tcPr>
            <w:tcW w:w="5879" w:type="dxa"/>
            <w:tcBorders>
              <w:top w:val="nil"/>
              <w:left w:val="single" w:sz="4" w:space="0" w:color="auto"/>
              <w:bottom w:val="single" w:sz="4" w:space="0" w:color="auto"/>
              <w:right w:val="single" w:sz="4" w:space="0" w:color="auto"/>
            </w:tcBorders>
            <w:shd w:val="clear" w:color="auto" w:fill="auto"/>
            <w:tcMar>
              <w:top w:w="34" w:type="dxa"/>
              <w:bottom w:w="34" w:type="dxa"/>
            </w:tcMar>
            <w:vAlign w:val="center"/>
            <w:hideMark/>
          </w:tcPr>
          <w:p w:rsidR="00882C1D" w:rsidRPr="004C0E7A" w:rsidRDefault="00F44575" w:rsidP="0024427E">
            <w:pPr>
              <w:rPr>
                <w:rFonts w:eastAsia="Times New Roman"/>
                <w:sz w:val="18"/>
                <w:szCs w:val="18"/>
                <w:lang w:val="fr-FR" w:eastAsia="en-US"/>
              </w:rPr>
            </w:pPr>
            <w:r w:rsidRPr="004C0E7A">
              <w:rPr>
                <w:rFonts w:eastAsia="Times New Roman"/>
                <w:sz w:val="18"/>
                <w:szCs w:val="18"/>
                <w:lang w:val="fr-FR" w:eastAsia="en-US"/>
              </w:rPr>
              <w:t>INV 2014</w:t>
            </w:r>
            <w:r w:rsidR="008E117E" w:rsidRPr="004C0E7A">
              <w:rPr>
                <w:rFonts w:eastAsia="Times New Roman"/>
                <w:sz w:val="18"/>
                <w:szCs w:val="18"/>
                <w:lang w:val="fr-FR" w:eastAsia="en-US"/>
              </w:rPr>
              <w:noBreakHyphen/>
            </w:r>
            <w:r w:rsidRPr="004C0E7A">
              <w:rPr>
                <w:rFonts w:eastAsia="Times New Roman"/>
                <w:sz w:val="18"/>
                <w:szCs w:val="18"/>
                <w:lang w:val="fr-FR" w:eastAsia="en-US"/>
              </w:rPr>
              <w:t xml:space="preserve">20 </w:t>
            </w:r>
            <w:r w:rsidR="00951C0E" w:rsidRPr="004C0E7A">
              <w:rPr>
                <w:rFonts w:eastAsia="Times New Roman"/>
                <w:sz w:val="18"/>
                <w:szCs w:val="18"/>
                <w:lang w:val="fr-FR" w:eastAsia="en-US"/>
              </w:rPr>
              <w:t>–</w:t>
            </w:r>
            <w:r w:rsidRPr="004C0E7A">
              <w:rPr>
                <w:rFonts w:eastAsia="Times New Roman"/>
                <w:sz w:val="18"/>
                <w:szCs w:val="18"/>
                <w:lang w:val="fr-FR" w:eastAsia="en-US"/>
              </w:rPr>
              <w:t xml:space="preserve"> Autres</w:t>
            </w:r>
            <w:r w:rsidR="00951C0E" w:rsidRPr="004C0E7A">
              <w:rPr>
                <w:rFonts w:eastAsia="Times New Roman"/>
                <w:sz w:val="18"/>
                <w:szCs w:val="18"/>
                <w:lang w:val="fr-FR" w:eastAsia="en-US"/>
              </w:rPr>
              <w:t xml:space="preserve"> formes de frau</w:t>
            </w:r>
            <w:r w:rsidRPr="004C0E7A">
              <w:rPr>
                <w:rFonts w:eastAsia="Times New Roman"/>
                <w:sz w:val="18"/>
                <w:szCs w:val="18"/>
                <w:lang w:val="fr-FR" w:eastAsia="en-US"/>
              </w:rPr>
              <w:t>de,</w:t>
            </w:r>
            <w:r w:rsidR="00951C0E" w:rsidRPr="004C0E7A">
              <w:rPr>
                <w:rFonts w:eastAsia="Times New Roman"/>
                <w:sz w:val="18"/>
                <w:szCs w:val="18"/>
                <w:lang w:val="fr-FR" w:eastAsia="en-US"/>
              </w:rPr>
              <w:t xml:space="preserve"> de corruption ou d</w:t>
            </w:r>
            <w:r w:rsidR="000055C7" w:rsidRPr="004C0E7A">
              <w:rPr>
                <w:rFonts w:eastAsia="Times New Roman"/>
                <w:sz w:val="18"/>
                <w:szCs w:val="18"/>
                <w:lang w:val="fr-FR" w:eastAsia="en-US"/>
              </w:rPr>
              <w:t>’</w:t>
            </w:r>
            <w:r w:rsidR="00951C0E" w:rsidRPr="004C0E7A">
              <w:rPr>
                <w:rFonts w:eastAsia="Times New Roman"/>
                <w:sz w:val="18"/>
                <w:szCs w:val="18"/>
                <w:lang w:val="fr-FR" w:eastAsia="en-US"/>
              </w:rPr>
              <w:t>abus</w:t>
            </w:r>
          </w:p>
        </w:tc>
        <w:tc>
          <w:tcPr>
            <w:tcW w:w="2639" w:type="dxa"/>
            <w:tcBorders>
              <w:top w:val="nil"/>
              <w:left w:val="nil"/>
              <w:bottom w:val="single" w:sz="4" w:space="0" w:color="auto"/>
              <w:right w:val="single" w:sz="4" w:space="0" w:color="auto"/>
            </w:tcBorders>
            <w:shd w:val="clear" w:color="auto" w:fill="auto"/>
            <w:tcMar>
              <w:top w:w="34" w:type="dxa"/>
              <w:bottom w:w="34" w:type="dxa"/>
            </w:tcMar>
            <w:vAlign w:val="center"/>
            <w:hideMark/>
          </w:tcPr>
          <w:p w:rsidR="00882C1D" w:rsidRPr="004C0E7A" w:rsidRDefault="002B3C52" w:rsidP="0024427E">
            <w:pPr>
              <w:jc w:val="center"/>
              <w:rPr>
                <w:rFonts w:eastAsia="Times New Roman"/>
                <w:sz w:val="18"/>
                <w:szCs w:val="18"/>
                <w:lang w:val="fr-FR" w:eastAsia="en-US"/>
              </w:rPr>
            </w:pPr>
            <w:r w:rsidRPr="004C0E7A">
              <w:rPr>
                <w:rFonts w:eastAsia="Times New Roman"/>
                <w:sz w:val="18"/>
                <w:szCs w:val="18"/>
                <w:lang w:val="fr-FR" w:eastAsia="en-US"/>
              </w:rPr>
              <w:t>Sans objet</w:t>
            </w:r>
          </w:p>
        </w:tc>
        <w:tc>
          <w:tcPr>
            <w:tcW w:w="1417" w:type="dxa"/>
            <w:gridSpan w:val="2"/>
            <w:tcBorders>
              <w:top w:val="nil"/>
              <w:left w:val="nil"/>
              <w:bottom w:val="single" w:sz="4" w:space="0" w:color="auto"/>
              <w:right w:val="single" w:sz="4" w:space="0" w:color="auto"/>
            </w:tcBorders>
            <w:shd w:val="clear" w:color="000000" w:fill="FFFF00"/>
            <w:tcMar>
              <w:top w:w="34" w:type="dxa"/>
              <w:bottom w:w="34" w:type="dxa"/>
            </w:tcMar>
            <w:hideMark/>
          </w:tcPr>
          <w:p w:rsidR="00882C1D" w:rsidRPr="004C0E7A" w:rsidRDefault="00882C1D" w:rsidP="00882C1D">
            <w:pPr>
              <w:jc w:val="center"/>
              <w:rPr>
                <w:rFonts w:eastAsia="Times New Roman"/>
                <w:sz w:val="18"/>
                <w:szCs w:val="18"/>
                <w:lang w:val="fr-FR" w:eastAsia="en-US"/>
              </w:rPr>
            </w:pPr>
            <w:r w:rsidRPr="004C0E7A">
              <w:rPr>
                <w:rFonts w:eastAsia="Times New Roman"/>
                <w:sz w:val="18"/>
                <w:szCs w:val="18"/>
                <w:lang w:val="fr-FR" w:eastAsia="en-US"/>
              </w:rPr>
              <w:t> </w:t>
            </w:r>
          </w:p>
        </w:tc>
      </w:tr>
      <w:tr w:rsidR="004C0E7A" w:rsidRPr="004C0E7A" w:rsidTr="0024427E">
        <w:trPr>
          <w:cantSplit/>
          <w:trHeight w:val="414"/>
        </w:trPr>
        <w:tc>
          <w:tcPr>
            <w:tcW w:w="5879" w:type="dxa"/>
            <w:tcBorders>
              <w:top w:val="nil"/>
              <w:left w:val="single" w:sz="4" w:space="0" w:color="auto"/>
              <w:bottom w:val="single" w:sz="4" w:space="0" w:color="auto"/>
              <w:right w:val="single" w:sz="4" w:space="0" w:color="auto"/>
            </w:tcBorders>
            <w:shd w:val="clear" w:color="auto" w:fill="auto"/>
            <w:tcMar>
              <w:top w:w="34" w:type="dxa"/>
              <w:bottom w:w="34" w:type="dxa"/>
            </w:tcMar>
            <w:vAlign w:val="center"/>
            <w:hideMark/>
          </w:tcPr>
          <w:p w:rsidR="00882C1D" w:rsidRPr="004C0E7A" w:rsidRDefault="00854761" w:rsidP="0024427E">
            <w:pPr>
              <w:rPr>
                <w:rFonts w:eastAsia="Times New Roman"/>
                <w:sz w:val="18"/>
                <w:szCs w:val="18"/>
                <w:lang w:val="fr-FR" w:eastAsia="en-US"/>
              </w:rPr>
            </w:pPr>
            <w:r w:rsidRPr="004C0E7A">
              <w:rPr>
                <w:rFonts w:eastAsia="Times New Roman"/>
                <w:sz w:val="18"/>
                <w:szCs w:val="18"/>
                <w:lang w:val="fr-FR" w:eastAsia="en-US"/>
              </w:rPr>
              <w:t>I</w:t>
            </w:r>
            <w:r w:rsidR="00F44575" w:rsidRPr="004C0E7A">
              <w:rPr>
                <w:rFonts w:eastAsia="Times New Roman"/>
                <w:sz w:val="18"/>
                <w:szCs w:val="18"/>
                <w:lang w:val="fr-FR" w:eastAsia="en-US"/>
              </w:rPr>
              <w:t>NV 2014</w:t>
            </w:r>
            <w:r w:rsidR="008E117E" w:rsidRPr="004C0E7A">
              <w:rPr>
                <w:rFonts w:eastAsia="Times New Roman"/>
                <w:sz w:val="18"/>
                <w:szCs w:val="18"/>
                <w:lang w:val="fr-FR" w:eastAsia="en-US"/>
              </w:rPr>
              <w:noBreakHyphen/>
            </w:r>
            <w:r w:rsidR="00F44575" w:rsidRPr="004C0E7A">
              <w:rPr>
                <w:rFonts w:eastAsia="Times New Roman"/>
                <w:sz w:val="18"/>
                <w:szCs w:val="18"/>
                <w:lang w:val="fr-FR" w:eastAsia="en-US"/>
              </w:rPr>
              <w:t>21</w:t>
            </w:r>
            <w:r w:rsidR="000055C7" w:rsidRPr="004C0E7A">
              <w:rPr>
                <w:rFonts w:eastAsia="Times New Roman"/>
                <w:sz w:val="18"/>
                <w:szCs w:val="18"/>
                <w:lang w:val="fr-FR" w:eastAsia="en-US"/>
              </w:rPr>
              <w:t xml:space="preserve"> – </w:t>
            </w:r>
            <w:r w:rsidR="00F44575" w:rsidRPr="004C0E7A">
              <w:rPr>
                <w:rFonts w:eastAsia="Times New Roman"/>
                <w:sz w:val="18"/>
                <w:szCs w:val="18"/>
                <w:lang w:val="fr-FR" w:eastAsia="en-US"/>
              </w:rPr>
              <w:t>Communication non autorisée d</w:t>
            </w:r>
            <w:r w:rsidR="000055C7" w:rsidRPr="004C0E7A">
              <w:rPr>
                <w:rFonts w:eastAsia="Times New Roman"/>
                <w:sz w:val="18"/>
                <w:szCs w:val="18"/>
                <w:lang w:val="fr-FR" w:eastAsia="en-US"/>
              </w:rPr>
              <w:t>’</w:t>
            </w:r>
            <w:r w:rsidR="00F44575" w:rsidRPr="004C0E7A">
              <w:rPr>
                <w:rFonts w:eastAsia="Times New Roman"/>
                <w:sz w:val="18"/>
                <w:szCs w:val="18"/>
                <w:lang w:val="fr-FR" w:eastAsia="en-US"/>
              </w:rPr>
              <w:t xml:space="preserve">informations </w:t>
            </w:r>
          </w:p>
        </w:tc>
        <w:tc>
          <w:tcPr>
            <w:tcW w:w="2639" w:type="dxa"/>
            <w:tcBorders>
              <w:top w:val="nil"/>
              <w:left w:val="nil"/>
              <w:bottom w:val="single" w:sz="4" w:space="0" w:color="auto"/>
              <w:right w:val="single" w:sz="4" w:space="0" w:color="auto"/>
            </w:tcBorders>
            <w:shd w:val="clear" w:color="auto" w:fill="auto"/>
            <w:tcMar>
              <w:top w:w="34" w:type="dxa"/>
              <w:bottom w:w="34" w:type="dxa"/>
            </w:tcMar>
            <w:vAlign w:val="center"/>
            <w:hideMark/>
          </w:tcPr>
          <w:p w:rsidR="00882C1D" w:rsidRPr="004C0E7A" w:rsidRDefault="002B3C52" w:rsidP="0024427E">
            <w:pPr>
              <w:jc w:val="center"/>
              <w:rPr>
                <w:rFonts w:eastAsia="Times New Roman"/>
                <w:sz w:val="18"/>
                <w:szCs w:val="18"/>
                <w:lang w:val="fr-FR" w:eastAsia="en-US"/>
              </w:rPr>
            </w:pPr>
            <w:r w:rsidRPr="004C0E7A">
              <w:rPr>
                <w:rFonts w:eastAsia="Times New Roman"/>
                <w:sz w:val="18"/>
                <w:szCs w:val="18"/>
                <w:lang w:val="fr-FR" w:eastAsia="en-US"/>
              </w:rPr>
              <w:t>Sans objet</w:t>
            </w:r>
          </w:p>
        </w:tc>
        <w:tc>
          <w:tcPr>
            <w:tcW w:w="1417" w:type="dxa"/>
            <w:gridSpan w:val="2"/>
            <w:tcBorders>
              <w:top w:val="nil"/>
              <w:left w:val="nil"/>
              <w:bottom w:val="single" w:sz="4" w:space="0" w:color="auto"/>
              <w:right w:val="single" w:sz="4" w:space="0" w:color="auto"/>
            </w:tcBorders>
            <w:shd w:val="clear" w:color="000000" w:fill="FFFF00"/>
            <w:tcMar>
              <w:top w:w="34" w:type="dxa"/>
              <w:bottom w:w="34" w:type="dxa"/>
            </w:tcMar>
            <w:hideMark/>
          </w:tcPr>
          <w:p w:rsidR="00882C1D" w:rsidRPr="004C0E7A" w:rsidRDefault="00882C1D" w:rsidP="00882C1D">
            <w:pPr>
              <w:jc w:val="center"/>
              <w:rPr>
                <w:rFonts w:eastAsia="Times New Roman"/>
                <w:sz w:val="18"/>
                <w:szCs w:val="18"/>
                <w:lang w:val="fr-FR" w:eastAsia="en-US"/>
              </w:rPr>
            </w:pPr>
            <w:r w:rsidRPr="004C0E7A">
              <w:rPr>
                <w:rFonts w:eastAsia="Times New Roman"/>
                <w:sz w:val="18"/>
                <w:szCs w:val="18"/>
                <w:lang w:val="fr-FR" w:eastAsia="en-US"/>
              </w:rPr>
              <w:t> </w:t>
            </w:r>
          </w:p>
        </w:tc>
      </w:tr>
      <w:bookmarkEnd w:id="22"/>
      <w:bookmarkEnd w:id="23"/>
      <w:tr w:rsidR="004C0E7A" w:rsidRPr="004C0E7A" w:rsidTr="0024427E">
        <w:trPr>
          <w:cantSplit/>
          <w:trHeight w:val="414"/>
        </w:trPr>
        <w:tc>
          <w:tcPr>
            <w:tcW w:w="5879" w:type="dxa"/>
            <w:tcBorders>
              <w:top w:val="nil"/>
              <w:left w:val="single" w:sz="4" w:space="0" w:color="auto"/>
              <w:bottom w:val="single" w:sz="4" w:space="0" w:color="auto"/>
              <w:right w:val="single" w:sz="4" w:space="0" w:color="auto"/>
            </w:tcBorders>
            <w:shd w:val="clear" w:color="auto" w:fill="auto"/>
            <w:tcMar>
              <w:top w:w="34" w:type="dxa"/>
              <w:bottom w:w="34" w:type="dxa"/>
            </w:tcMar>
            <w:vAlign w:val="center"/>
          </w:tcPr>
          <w:p w:rsidR="00882C1D" w:rsidRPr="004C0E7A" w:rsidRDefault="00F44575" w:rsidP="0024427E">
            <w:pPr>
              <w:rPr>
                <w:rFonts w:eastAsia="Times New Roman"/>
                <w:sz w:val="18"/>
                <w:szCs w:val="18"/>
                <w:lang w:val="fr-FR" w:eastAsia="en-US"/>
              </w:rPr>
            </w:pPr>
            <w:r w:rsidRPr="004C0E7A">
              <w:rPr>
                <w:rFonts w:eastAsia="Times New Roman"/>
                <w:sz w:val="18"/>
                <w:szCs w:val="18"/>
                <w:lang w:val="fr-FR" w:eastAsia="en-US"/>
              </w:rPr>
              <w:lastRenderedPageBreak/>
              <w:t>VALID 2014</w:t>
            </w:r>
            <w:r w:rsidR="008E117E" w:rsidRPr="004C0E7A">
              <w:rPr>
                <w:rFonts w:eastAsia="Times New Roman"/>
                <w:sz w:val="18"/>
                <w:szCs w:val="18"/>
                <w:lang w:val="fr-FR" w:eastAsia="en-US"/>
              </w:rPr>
              <w:noBreakHyphen/>
            </w:r>
            <w:r w:rsidRPr="004C0E7A">
              <w:rPr>
                <w:rFonts w:eastAsia="Times New Roman"/>
                <w:sz w:val="18"/>
                <w:szCs w:val="18"/>
                <w:lang w:val="fr-FR" w:eastAsia="en-US"/>
              </w:rPr>
              <w:t>01 Validation du Rapport sur l</w:t>
            </w:r>
            <w:r w:rsidR="000055C7" w:rsidRPr="004C0E7A">
              <w:rPr>
                <w:rFonts w:eastAsia="Times New Roman"/>
                <w:sz w:val="18"/>
                <w:szCs w:val="18"/>
                <w:lang w:val="fr-FR" w:eastAsia="en-US"/>
              </w:rPr>
              <w:t>’</w:t>
            </w:r>
            <w:r w:rsidRPr="004C0E7A">
              <w:rPr>
                <w:rFonts w:eastAsia="Times New Roman"/>
                <w:sz w:val="18"/>
                <w:szCs w:val="18"/>
                <w:lang w:val="fr-FR" w:eastAsia="en-US"/>
              </w:rPr>
              <w:t>exécution du programme 2012</w:t>
            </w:r>
            <w:r w:rsidR="008E117E" w:rsidRPr="004C0E7A">
              <w:rPr>
                <w:rFonts w:eastAsia="Times New Roman"/>
                <w:sz w:val="18"/>
                <w:szCs w:val="18"/>
                <w:lang w:val="fr-FR" w:eastAsia="en-US"/>
              </w:rPr>
              <w:noBreakHyphen/>
            </w:r>
            <w:r w:rsidRPr="004C0E7A">
              <w:rPr>
                <w:rFonts w:eastAsia="Times New Roman"/>
                <w:sz w:val="18"/>
                <w:szCs w:val="18"/>
                <w:lang w:val="fr-FR" w:eastAsia="en-US"/>
              </w:rPr>
              <w:t>2013</w:t>
            </w:r>
          </w:p>
        </w:tc>
        <w:tc>
          <w:tcPr>
            <w:tcW w:w="2639" w:type="dxa"/>
            <w:tcBorders>
              <w:top w:val="nil"/>
              <w:left w:val="nil"/>
              <w:bottom w:val="single" w:sz="4" w:space="0" w:color="auto"/>
              <w:right w:val="single" w:sz="4" w:space="0" w:color="auto"/>
            </w:tcBorders>
            <w:shd w:val="clear" w:color="auto" w:fill="auto"/>
            <w:tcMar>
              <w:top w:w="34" w:type="dxa"/>
              <w:bottom w:w="34" w:type="dxa"/>
            </w:tcMar>
            <w:vAlign w:val="center"/>
          </w:tcPr>
          <w:p w:rsidR="00882C1D" w:rsidRPr="004C0E7A" w:rsidRDefault="00F44575" w:rsidP="0024427E">
            <w:pPr>
              <w:jc w:val="center"/>
              <w:rPr>
                <w:rFonts w:eastAsia="Times New Roman"/>
                <w:sz w:val="18"/>
                <w:szCs w:val="18"/>
                <w:lang w:val="fr-FR" w:eastAsia="en-US"/>
              </w:rPr>
            </w:pPr>
            <w:r w:rsidRPr="004C0E7A">
              <w:rPr>
                <w:rFonts w:eastAsia="Times New Roman"/>
                <w:sz w:val="18"/>
                <w:szCs w:val="18"/>
                <w:lang w:val="fr-FR" w:eastAsia="en-US"/>
              </w:rPr>
              <w:t>Ensemble de l</w:t>
            </w:r>
            <w:r w:rsidR="000055C7" w:rsidRPr="004C0E7A">
              <w:rPr>
                <w:rFonts w:eastAsia="Times New Roman"/>
                <w:sz w:val="18"/>
                <w:szCs w:val="18"/>
                <w:lang w:val="fr-FR" w:eastAsia="en-US"/>
              </w:rPr>
              <w:t>’</w:t>
            </w:r>
            <w:r w:rsidRPr="004C0E7A">
              <w:rPr>
                <w:rFonts w:eastAsia="Times New Roman"/>
                <w:sz w:val="18"/>
                <w:szCs w:val="18"/>
                <w:lang w:val="fr-FR" w:eastAsia="en-US"/>
              </w:rPr>
              <w:t>OMPI</w:t>
            </w:r>
          </w:p>
        </w:tc>
        <w:tc>
          <w:tcPr>
            <w:tcW w:w="1417" w:type="dxa"/>
            <w:gridSpan w:val="2"/>
            <w:tcBorders>
              <w:top w:val="single" w:sz="4" w:space="0" w:color="auto"/>
              <w:left w:val="nil"/>
              <w:bottom w:val="single" w:sz="4" w:space="0" w:color="auto"/>
              <w:right w:val="single" w:sz="4" w:space="0" w:color="auto"/>
            </w:tcBorders>
            <w:shd w:val="clear" w:color="000000" w:fill="92D050"/>
            <w:tcMar>
              <w:top w:w="34" w:type="dxa"/>
              <w:bottom w:w="34" w:type="dxa"/>
            </w:tcMar>
            <w:vAlign w:val="center"/>
          </w:tcPr>
          <w:p w:rsidR="00882C1D" w:rsidRPr="004C0E7A" w:rsidRDefault="00882C1D" w:rsidP="00882C1D">
            <w:pPr>
              <w:jc w:val="center"/>
              <w:rPr>
                <w:rFonts w:eastAsia="Times New Roman"/>
                <w:sz w:val="18"/>
                <w:szCs w:val="18"/>
                <w:lang w:val="fr-FR" w:eastAsia="en-US"/>
              </w:rPr>
            </w:pPr>
          </w:p>
        </w:tc>
      </w:tr>
      <w:tr w:rsidR="004C0E7A" w:rsidRPr="004C0E7A" w:rsidTr="0024427E">
        <w:trPr>
          <w:cantSplit/>
          <w:trHeight w:val="414"/>
        </w:trPr>
        <w:tc>
          <w:tcPr>
            <w:tcW w:w="5879" w:type="dxa"/>
            <w:tcBorders>
              <w:top w:val="nil"/>
              <w:left w:val="single" w:sz="4" w:space="0" w:color="auto"/>
              <w:bottom w:val="single" w:sz="4" w:space="0" w:color="auto"/>
              <w:right w:val="single" w:sz="4" w:space="0" w:color="auto"/>
            </w:tcBorders>
            <w:shd w:val="clear" w:color="auto" w:fill="auto"/>
            <w:tcMar>
              <w:top w:w="34" w:type="dxa"/>
              <w:bottom w:w="34" w:type="dxa"/>
            </w:tcMar>
            <w:vAlign w:val="center"/>
          </w:tcPr>
          <w:p w:rsidR="00882C1D" w:rsidRPr="004C0E7A" w:rsidRDefault="00F44575" w:rsidP="0024427E">
            <w:pPr>
              <w:rPr>
                <w:rFonts w:eastAsia="Times New Roman"/>
                <w:sz w:val="18"/>
                <w:szCs w:val="18"/>
                <w:lang w:val="fr-FR" w:eastAsia="en-US"/>
              </w:rPr>
            </w:pPr>
            <w:r w:rsidRPr="004C0E7A">
              <w:rPr>
                <w:rFonts w:eastAsia="Times New Roman"/>
                <w:sz w:val="18"/>
                <w:szCs w:val="18"/>
                <w:lang w:val="fr-FR" w:eastAsia="en-US"/>
              </w:rPr>
              <w:t>IA 2014</w:t>
            </w:r>
            <w:r w:rsidR="008E117E" w:rsidRPr="004C0E7A">
              <w:rPr>
                <w:rFonts w:eastAsia="Times New Roman"/>
                <w:sz w:val="18"/>
                <w:szCs w:val="18"/>
                <w:lang w:val="fr-FR" w:eastAsia="en-US"/>
              </w:rPr>
              <w:noBreakHyphen/>
            </w:r>
            <w:r w:rsidRPr="004C0E7A">
              <w:rPr>
                <w:rFonts w:eastAsia="Times New Roman"/>
                <w:sz w:val="18"/>
                <w:szCs w:val="18"/>
                <w:lang w:val="fr-FR" w:eastAsia="en-US"/>
              </w:rPr>
              <w:t xml:space="preserve">01 Prestations et avantages pour le personnel </w:t>
            </w:r>
          </w:p>
        </w:tc>
        <w:tc>
          <w:tcPr>
            <w:tcW w:w="2639" w:type="dxa"/>
            <w:tcBorders>
              <w:top w:val="nil"/>
              <w:left w:val="nil"/>
              <w:bottom w:val="single" w:sz="4" w:space="0" w:color="auto"/>
              <w:right w:val="single" w:sz="4" w:space="0" w:color="auto"/>
            </w:tcBorders>
            <w:shd w:val="clear" w:color="auto" w:fill="auto"/>
            <w:tcMar>
              <w:top w:w="34" w:type="dxa"/>
              <w:bottom w:w="34" w:type="dxa"/>
            </w:tcMar>
            <w:vAlign w:val="center"/>
          </w:tcPr>
          <w:p w:rsidR="00882C1D" w:rsidRPr="004C0E7A" w:rsidRDefault="00F44575" w:rsidP="0024427E">
            <w:pPr>
              <w:jc w:val="center"/>
              <w:rPr>
                <w:rFonts w:eastAsia="Times New Roman"/>
                <w:sz w:val="18"/>
                <w:szCs w:val="18"/>
                <w:lang w:val="fr-FR" w:eastAsia="en-US"/>
              </w:rPr>
            </w:pPr>
            <w:r w:rsidRPr="004C0E7A">
              <w:rPr>
                <w:rFonts w:eastAsia="Times New Roman"/>
                <w:sz w:val="18"/>
                <w:szCs w:val="18"/>
                <w:lang w:val="fr-FR" w:eastAsia="en-US"/>
              </w:rPr>
              <w:t>DGRH</w:t>
            </w:r>
          </w:p>
        </w:tc>
        <w:tc>
          <w:tcPr>
            <w:tcW w:w="1417" w:type="dxa"/>
            <w:gridSpan w:val="2"/>
            <w:tcBorders>
              <w:top w:val="single" w:sz="4" w:space="0" w:color="auto"/>
              <w:left w:val="nil"/>
              <w:bottom w:val="single" w:sz="4" w:space="0" w:color="auto"/>
              <w:right w:val="single" w:sz="4" w:space="0" w:color="auto"/>
            </w:tcBorders>
            <w:shd w:val="clear" w:color="000000" w:fill="92D050"/>
            <w:tcMar>
              <w:top w:w="34" w:type="dxa"/>
              <w:bottom w:w="34" w:type="dxa"/>
            </w:tcMar>
            <w:vAlign w:val="center"/>
          </w:tcPr>
          <w:p w:rsidR="00882C1D" w:rsidRPr="004C0E7A" w:rsidRDefault="00882C1D" w:rsidP="00882C1D">
            <w:pPr>
              <w:jc w:val="center"/>
              <w:rPr>
                <w:rFonts w:eastAsia="Times New Roman"/>
                <w:sz w:val="18"/>
                <w:szCs w:val="18"/>
                <w:lang w:val="fr-FR" w:eastAsia="en-US"/>
              </w:rPr>
            </w:pPr>
          </w:p>
        </w:tc>
      </w:tr>
      <w:tr w:rsidR="004C0E7A" w:rsidRPr="004C0E7A" w:rsidTr="0024427E">
        <w:trPr>
          <w:cantSplit/>
          <w:trHeight w:val="414"/>
        </w:trPr>
        <w:tc>
          <w:tcPr>
            <w:tcW w:w="5879" w:type="dxa"/>
            <w:tcBorders>
              <w:top w:val="nil"/>
              <w:left w:val="single" w:sz="4" w:space="0" w:color="auto"/>
              <w:bottom w:val="single" w:sz="4" w:space="0" w:color="auto"/>
              <w:right w:val="single" w:sz="4" w:space="0" w:color="auto"/>
            </w:tcBorders>
            <w:shd w:val="clear" w:color="auto" w:fill="auto"/>
            <w:tcMar>
              <w:top w:w="34" w:type="dxa"/>
              <w:bottom w:w="34" w:type="dxa"/>
            </w:tcMar>
            <w:vAlign w:val="center"/>
          </w:tcPr>
          <w:p w:rsidR="00882C1D" w:rsidRPr="004C0E7A" w:rsidRDefault="00F44575" w:rsidP="0024427E">
            <w:pPr>
              <w:rPr>
                <w:rFonts w:eastAsia="Times New Roman"/>
                <w:sz w:val="18"/>
                <w:szCs w:val="18"/>
                <w:lang w:val="fr-FR" w:eastAsia="en-US"/>
              </w:rPr>
            </w:pPr>
            <w:r w:rsidRPr="004C0E7A">
              <w:rPr>
                <w:rFonts w:eastAsia="Times New Roman"/>
                <w:sz w:val="18"/>
                <w:szCs w:val="18"/>
                <w:lang w:val="fr-FR" w:eastAsia="en-US"/>
              </w:rPr>
              <w:t>IA 2014</w:t>
            </w:r>
            <w:r w:rsidR="008E117E" w:rsidRPr="004C0E7A">
              <w:rPr>
                <w:rFonts w:eastAsia="Times New Roman"/>
                <w:sz w:val="18"/>
                <w:szCs w:val="18"/>
                <w:lang w:val="fr-FR" w:eastAsia="en-US"/>
              </w:rPr>
              <w:noBreakHyphen/>
            </w:r>
            <w:r w:rsidRPr="004C0E7A">
              <w:rPr>
                <w:rFonts w:eastAsia="Times New Roman"/>
                <w:sz w:val="18"/>
                <w:szCs w:val="18"/>
                <w:lang w:val="fr-FR" w:eastAsia="en-US"/>
              </w:rPr>
              <w:t xml:space="preserve">02 Gestion des événements </w:t>
            </w:r>
          </w:p>
        </w:tc>
        <w:tc>
          <w:tcPr>
            <w:tcW w:w="2639" w:type="dxa"/>
            <w:tcBorders>
              <w:top w:val="nil"/>
              <w:left w:val="nil"/>
              <w:bottom w:val="single" w:sz="4" w:space="0" w:color="auto"/>
              <w:right w:val="single" w:sz="4" w:space="0" w:color="auto"/>
            </w:tcBorders>
            <w:shd w:val="clear" w:color="auto" w:fill="auto"/>
            <w:tcMar>
              <w:top w:w="34" w:type="dxa"/>
              <w:bottom w:w="34" w:type="dxa"/>
            </w:tcMar>
            <w:vAlign w:val="center"/>
          </w:tcPr>
          <w:p w:rsidR="00882C1D" w:rsidRPr="004C0E7A" w:rsidRDefault="00F44575" w:rsidP="0024427E">
            <w:pPr>
              <w:jc w:val="center"/>
              <w:rPr>
                <w:rFonts w:eastAsia="Times New Roman"/>
                <w:sz w:val="18"/>
                <w:szCs w:val="18"/>
                <w:lang w:val="fr-FR" w:eastAsia="en-US"/>
              </w:rPr>
            </w:pPr>
            <w:r w:rsidRPr="004C0E7A">
              <w:rPr>
                <w:rFonts w:eastAsia="Times New Roman"/>
                <w:sz w:val="18"/>
                <w:szCs w:val="18"/>
                <w:lang w:val="fr-FR" w:eastAsia="en-US"/>
              </w:rPr>
              <w:t>Ensemble de l</w:t>
            </w:r>
            <w:r w:rsidR="000055C7" w:rsidRPr="004C0E7A">
              <w:rPr>
                <w:rFonts w:eastAsia="Times New Roman"/>
                <w:sz w:val="18"/>
                <w:szCs w:val="18"/>
                <w:lang w:val="fr-FR" w:eastAsia="en-US"/>
              </w:rPr>
              <w:t>’</w:t>
            </w:r>
            <w:r w:rsidRPr="004C0E7A">
              <w:rPr>
                <w:rFonts w:eastAsia="Times New Roman"/>
                <w:sz w:val="18"/>
                <w:szCs w:val="18"/>
                <w:lang w:val="fr-FR" w:eastAsia="en-US"/>
              </w:rPr>
              <w:t>OMPI</w:t>
            </w:r>
          </w:p>
        </w:tc>
        <w:tc>
          <w:tcPr>
            <w:tcW w:w="1417" w:type="dxa"/>
            <w:gridSpan w:val="2"/>
            <w:tcBorders>
              <w:top w:val="single" w:sz="4" w:space="0" w:color="auto"/>
              <w:left w:val="nil"/>
              <w:bottom w:val="single" w:sz="4" w:space="0" w:color="auto"/>
              <w:right w:val="single" w:sz="4" w:space="0" w:color="auto"/>
            </w:tcBorders>
            <w:shd w:val="clear" w:color="000000" w:fill="92D050"/>
            <w:tcMar>
              <w:top w:w="34" w:type="dxa"/>
              <w:bottom w:w="34" w:type="dxa"/>
            </w:tcMar>
            <w:vAlign w:val="center"/>
          </w:tcPr>
          <w:p w:rsidR="00882C1D" w:rsidRPr="004C0E7A" w:rsidRDefault="00882C1D" w:rsidP="00882C1D">
            <w:pPr>
              <w:jc w:val="center"/>
              <w:rPr>
                <w:rFonts w:eastAsia="Times New Roman"/>
                <w:sz w:val="18"/>
                <w:szCs w:val="18"/>
                <w:lang w:val="fr-FR" w:eastAsia="en-US"/>
              </w:rPr>
            </w:pPr>
          </w:p>
        </w:tc>
      </w:tr>
      <w:tr w:rsidR="004C0E7A" w:rsidRPr="004C0E7A" w:rsidTr="0024427E">
        <w:trPr>
          <w:cantSplit/>
          <w:trHeight w:val="414"/>
        </w:trPr>
        <w:tc>
          <w:tcPr>
            <w:tcW w:w="5879" w:type="dxa"/>
            <w:tcBorders>
              <w:top w:val="nil"/>
              <w:left w:val="single" w:sz="4" w:space="0" w:color="auto"/>
              <w:bottom w:val="single" w:sz="4" w:space="0" w:color="auto"/>
              <w:right w:val="single" w:sz="4" w:space="0" w:color="auto"/>
            </w:tcBorders>
            <w:shd w:val="clear" w:color="auto" w:fill="auto"/>
            <w:tcMar>
              <w:top w:w="34" w:type="dxa"/>
              <w:bottom w:w="34" w:type="dxa"/>
            </w:tcMar>
            <w:vAlign w:val="center"/>
          </w:tcPr>
          <w:p w:rsidR="00882C1D" w:rsidRPr="004C0E7A" w:rsidRDefault="00F44575" w:rsidP="0024427E">
            <w:pPr>
              <w:rPr>
                <w:rFonts w:eastAsia="Times New Roman"/>
                <w:sz w:val="18"/>
                <w:szCs w:val="18"/>
                <w:lang w:val="fr-FR" w:eastAsia="en-US"/>
              </w:rPr>
            </w:pPr>
            <w:r w:rsidRPr="004C0E7A">
              <w:rPr>
                <w:rFonts w:eastAsia="Times New Roman"/>
                <w:sz w:val="18"/>
                <w:szCs w:val="18"/>
                <w:lang w:val="fr-FR" w:eastAsia="en-US"/>
              </w:rPr>
              <w:t>IA 2014</w:t>
            </w:r>
            <w:r w:rsidR="008E117E" w:rsidRPr="004C0E7A">
              <w:rPr>
                <w:rFonts w:eastAsia="Times New Roman"/>
                <w:sz w:val="18"/>
                <w:szCs w:val="18"/>
                <w:lang w:val="fr-FR" w:eastAsia="en-US"/>
              </w:rPr>
              <w:noBreakHyphen/>
            </w:r>
            <w:r w:rsidRPr="004C0E7A">
              <w:rPr>
                <w:rFonts w:eastAsia="Times New Roman"/>
                <w:sz w:val="18"/>
                <w:szCs w:val="18"/>
                <w:lang w:val="fr-FR" w:eastAsia="en-US"/>
              </w:rPr>
              <w:t>03 Évaluation externe de la fonction d</w:t>
            </w:r>
            <w:r w:rsidR="000055C7" w:rsidRPr="004C0E7A">
              <w:rPr>
                <w:rFonts w:eastAsia="Times New Roman"/>
                <w:sz w:val="18"/>
                <w:szCs w:val="18"/>
                <w:lang w:val="fr-FR" w:eastAsia="en-US"/>
              </w:rPr>
              <w:t>’</w:t>
            </w:r>
            <w:r w:rsidRPr="004C0E7A">
              <w:rPr>
                <w:rFonts w:eastAsia="Times New Roman"/>
                <w:sz w:val="18"/>
                <w:szCs w:val="18"/>
                <w:lang w:val="fr-FR" w:eastAsia="en-US"/>
              </w:rPr>
              <w:t>audit interne de</w:t>
            </w:r>
            <w:r w:rsidR="000055C7" w:rsidRPr="004C0E7A">
              <w:rPr>
                <w:rFonts w:eastAsia="Times New Roman"/>
                <w:sz w:val="18"/>
                <w:szCs w:val="18"/>
                <w:lang w:val="fr-FR" w:eastAsia="en-US"/>
              </w:rPr>
              <w:t xml:space="preserve"> la DSI</w:t>
            </w:r>
            <w:r w:rsidRPr="004C0E7A">
              <w:rPr>
                <w:rStyle w:val="FootnoteReference"/>
                <w:rFonts w:eastAsia="Times New Roman"/>
                <w:sz w:val="18"/>
                <w:szCs w:val="18"/>
                <w:lang w:val="fr-FR" w:eastAsia="en-US"/>
              </w:rPr>
              <w:footnoteReference w:id="17"/>
            </w:r>
          </w:p>
        </w:tc>
        <w:tc>
          <w:tcPr>
            <w:tcW w:w="2639" w:type="dxa"/>
            <w:tcBorders>
              <w:top w:val="nil"/>
              <w:left w:val="nil"/>
              <w:bottom w:val="single" w:sz="4" w:space="0" w:color="auto"/>
              <w:right w:val="single" w:sz="4" w:space="0" w:color="auto"/>
            </w:tcBorders>
            <w:shd w:val="clear" w:color="auto" w:fill="auto"/>
            <w:tcMar>
              <w:top w:w="34" w:type="dxa"/>
              <w:bottom w:w="34" w:type="dxa"/>
            </w:tcMar>
            <w:vAlign w:val="center"/>
          </w:tcPr>
          <w:p w:rsidR="00882C1D" w:rsidRPr="004C0E7A" w:rsidRDefault="002B3C52" w:rsidP="0024427E">
            <w:pPr>
              <w:jc w:val="center"/>
              <w:rPr>
                <w:rFonts w:eastAsia="Times New Roman"/>
                <w:sz w:val="18"/>
                <w:szCs w:val="18"/>
                <w:lang w:val="fr-FR" w:eastAsia="en-US"/>
              </w:rPr>
            </w:pPr>
            <w:r w:rsidRPr="004C0E7A">
              <w:rPr>
                <w:rFonts w:eastAsia="Times New Roman"/>
                <w:sz w:val="18"/>
                <w:szCs w:val="18"/>
                <w:lang w:val="fr-FR" w:eastAsia="en-US"/>
              </w:rPr>
              <w:t>DSI</w:t>
            </w:r>
          </w:p>
        </w:tc>
        <w:tc>
          <w:tcPr>
            <w:tcW w:w="1417" w:type="dxa"/>
            <w:gridSpan w:val="2"/>
            <w:tcBorders>
              <w:top w:val="single" w:sz="4" w:space="0" w:color="auto"/>
              <w:left w:val="nil"/>
              <w:bottom w:val="single" w:sz="4" w:space="0" w:color="auto"/>
              <w:right w:val="single" w:sz="4" w:space="0" w:color="auto"/>
            </w:tcBorders>
            <w:shd w:val="clear" w:color="000000" w:fill="92D050"/>
            <w:tcMar>
              <w:top w:w="34" w:type="dxa"/>
              <w:bottom w:w="34" w:type="dxa"/>
            </w:tcMar>
            <w:vAlign w:val="center"/>
          </w:tcPr>
          <w:p w:rsidR="00882C1D" w:rsidRPr="004C0E7A" w:rsidRDefault="00882C1D" w:rsidP="00882C1D">
            <w:pPr>
              <w:jc w:val="center"/>
              <w:rPr>
                <w:rFonts w:eastAsia="Times New Roman"/>
                <w:sz w:val="18"/>
                <w:szCs w:val="18"/>
                <w:lang w:val="fr-FR" w:eastAsia="en-US"/>
              </w:rPr>
            </w:pPr>
          </w:p>
        </w:tc>
      </w:tr>
      <w:tr w:rsidR="004C0E7A" w:rsidRPr="004C0E7A" w:rsidTr="0024427E">
        <w:trPr>
          <w:cantSplit/>
          <w:trHeight w:val="414"/>
        </w:trPr>
        <w:tc>
          <w:tcPr>
            <w:tcW w:w="5879" w:type="dxa"/>
            <w:tcBorders>
              <w:top w:val="nil"/>
              <w:left w:val="single" w:sz="4" w:space="0" w:color="auto"/>
              <w:bottom w:val="single" w:sz="4" w:space="0" w:color="auto"/>
              <w:right w:val="single" w:sz="4" w:space="0" w:color="auto"/>
            </w:tcBorders>
            <w:shd w:val="clear" w:color="auto" w:fill="auto"/>
            <w:tcMar>
              <w:top w:w="34" w:type="dxa"/>
              <w:bottom w:w="34" w:type="dxa"/>
            </w:tcMar>
            <w:vAlign w:val="center"/>
          </w:tcPr>
          <w:p w:rsidR="00882C1D" w:rsidRPr="004C0E7A" w:rsidRDefault="00F44575" w:rsidP="0024427E">
            <w:pPr>
              <w:rPr>
                <w:rFonts w:eastAsia="Times New Roman"/>
                <w:sz w:val="18"/>
                <w:szCs w:val="18"/>
                <w:lang w:val="fr-FR" w:eastAsia="en-US"/>
              </w:rPr>
            </w:pPr>
            <w:r w:rsidRPr="004C0E7A">
              <w:rPr>
                <w:rFonts w:eastAsia="Times New Roman"/>
                <w:sz w:val="18"/>
                <w:szCs w:val="18"/>
                <w:lang w:val="fr-FR" w:eastAsia="en-US"/>
              </w:rPr>
              <w:t>IA 2014</w:t>
            </w:r>
            <w:r w:rsidR="008E117E" w:rsidRPr="004C0E7A">
              <w:rPr>
                <w:rFonts w:eastAsia="Times New Roman"/>
                <w:sz w:val="18"/>
                <w:szCs w:val="18"/>
                <w:lang w:val="fr-FR" w:eastAsia="en-US"/>
              </w:rPr>
              <w:noBreakHyphen/>
            </w:r>
            <w:r w:rsidRPr="004C0E7A">
              <w:rPr>
                <w:rFonts w:eastAsia="Times New Roman"/>
                <w:sz w:val="18"/>
                <w:szCs w:val="18"/>
                <w:lang w:val="fr-FR" w:eastAsia="en-US"/>
              </w:rPr>
              <w:t>05 Gestion des actifs</w:t>
            </w:r>
          </w:p>
        </w:tc>
        <w:tc>
          <w:tcPr>
            <w:tcW w:w="2639" w:type="dxa"/>
            <w:tcBorders>
              <w:top w:val="nil"/>
              <w:left w:val="nil"/>
              <w:bottom w:val="single" w:sz="4" w:space="0" w:color="auto"/>
              <w:right w:val="single" w:sz="4" w:space="0" w:color="auto"/>
            </w:tcBorders>
            <w:shd w:val="clear" w:color="auto" w:fill="auto"/>
            <w:tcMar>
              <w:top w:w="34" w:type="dxa"/>
              <w:bottom w:w="34" w:type="dxa"/>
            </w:tcMar>
            <w:vAlign w:val="center"/>
          </w:tcPr>
          <w:p w:rsidR="00882C1D" w:rsidRPr="004C0E7A" w:rsidRDefault="00F44575" w:rsidP="0024427E">
            <w:pPr>
              <w:jc w:val="center"/>
              <w:rPr>
                <w:rFonts w:eastAsia="Times New Roman"/>
                <w:sz w:val="18"/>
                <w:szCs w:val="18"/>
                <w:lang w:val="fr-FR" w:eastAsia="en-US"/>
              </w:rPr>
            </w:pPr>
            <w:r w:rsidRPr="004C0E7A">
              <w:rPr>
                <w:rFonts w:eastAsia="Times New Roman"/>
                <w:sz w:val="18"/>
                <w:szCs w:val="18"/>
                <w:lang w:val="fr-FR" w:eastAsia="en-US"/>
              </w:rPr>
              <w:t>Ensemble de l</w:t>
            </w:r>
            <w:r w:rsidR="000055C7" w:rsidRPr="004C0E7A">
              <w:rPr>
                <w:rFonts w:eastAsia="Times New Roman"/>
                <w:sz w:val="18"/>
                <w:szCs w:val="18"/>
                <w:lang w:val="fr-FR" w:eastAsia="en-US"/>
              </w:rPr>
              <w:t>’</w:t>
            </w:r>
            <w:r w:rsidRPr="004C0E7A">
              <w:rPr>
                <w:rFonts w:eastAsia="Times New Roman"/>
                <w:sz w:val="18"/>
                <w:szCs w:val="18"/>
                <w:lang w:val="fr-FR" w:eastAsia="en-US"/>
              </w:rPr>
              <w:t>OMPI</w:t>
            </w:r>
          </w:p>
        </w:tc>
        <w:tc>
          <w:tcPr>
            <w:tcW w:w="1417" w:type="dxa"/>
            <w:gridSpan w:val="2"/>
            <w:tcBorders>
              <w:top w:val="single" w:sz="4" w:space="0" w:color="auto"/>
              <w:left w:val="nil"/>
              <w:bottom w:val="single" w:sz="4" w:space="0" w:color="auto"/>
              <w:right w:val="single" w:sz="4" w:space="0" w:color="auto"/>
            </w:tcBorders>
            <w:shd w:val="clear" w:color="000000" w:fill="92D050"/>
            <w:tcMar>
              <w:top w:w="34" w:type="dxa"/>
              <w:bottom w:w="34" w:type="dxa"/>
            </w:tcMar>
            <w:vAlign w:val="center"/>
          </w:tcPr>
          <w:p w:rsidR="00882C1D" w:rsidRPr="004C0E7A" w:rsidRDefault="00882C1D" w:rsidP="00882C1D">
            <w:pPr>
              <w:jc w:val="center"/>
              <w:rPr>
                <w:rFonts w:eastAsia="Times New Roman"/>
                <w:sz w:val="18"/>
                <w:szCs w:val="18"/>
                <w:lang w:val="fr-FR" w:eastAsia="en-US"/>
              </w:rPr>
            </w:pPr>
          </w:p>
        </w:tc>
      </w:tr>
      <w:tr w:rsidR="004C0E7A" w:rsidRPr="004C0E7A" w:rsidTr="0024427E">
        <w:trPr>
          <w:cantSplit/>
          <w:trHeight w:val="414"/>
        </w:trPr>
        <w:tc>
          <w:tcPr>
            <w:tcW w:w="5879" w:type="dxa"/>
            <w:tcBorders>
              <w:top w:val="nil"/>
              <w:left w:val="single" w:sz="4" w:space="0" w:color="auto"/>
              <w:bottom w:val="single" w:sz="4" w:space="0" w:color="auto"/>
              <w:right w:val="single" w:sz="4" w:space="0" w:color="auto"/>
            </w:tcBorders>
            <w:shd w:val="clear" w:color="auto" w:fill="auto"/>
            <w:tcMar>
              <w:top w:w="34" w:type="dxa"/>
              <w:bottom w:w="34" w:type="dxa"/>
            </w:tcMar>
            <w:vAlign w:val="center"/>
          </w:tcPr>
          <w:p w:rsidR="00677F67" w:rsidRPr="004C0E7A" w:rsidRDefault="00436AFB" w:rsidP="0024427E">
            <w:pPr>
              <w:rPr>
                <w:rFonts w:eastAsia="Times New Roman"/>
                <w:sz w:val="18"/>
                <w:szCs w:val="18"/>
                <w:lang w:val="fr-FR" w:eastAsia="en-US"/>
              </w:rPr>
            </w:pPr>
            <w:r w:rsidRPr="004C0E7A">
              <w:rPr>
                <w:rFonts w:eastAsia="Times New Roman"/>
                <w:sz w:val="18"/>
                <w:szCs w:val="18"/>
                <w:lang w:val="fr-FR" w:eastAsia="en-US"/>
              </w:rPr>
              <w:t>IA 2014</w:t>
            </w:r>
            <w:r w:rsidR="008E117E" w:rsidRPr="004C0E7A">
              <w:rPr>
                <w:rFonts w:eastAsia="Times New Roman"/>
                <w:sz w:val="18"/>
                <w:szCs w:val="18"/>
                <w:lang w:val="fr-FR" w:eastAsia="en-US"/>
              </w:rPr>
              <w:noBreakHyphen/>
            </w:r>
            <w:r w:rsidRPr="004C0E7A">
              <w:rPr>
                <w:rFonts w:eastAsia="Times New Roman"/>
                <w:sz w:val="18"/>
                <w:szCs w:val="18"/>
                <w:lang w:val="fr-FR" w:eastAsia="en-US"/>
              </w:rPr>
              <w:t>07 Risque de tiers</w:t>
            </w:r>
          </w:p>
        </w:tc>
        <w:tc>
          <w:tcPr>
            <w:tcW w:w="2646" w:type="dxa"/>
            <w:gridSpan w:val="2"/>
            <w:tcBorders>
              <w:top w:val="nil"/>
              <w:left w:val="nil"/>
              <w:bottom w:val="single" w:sz="4" w:space="0" w:color="auto"/>
              <w:right w:val="single" w:sz="4" w:space="0" w:color="auto"/>
            </w:tcBorders>
            <w:shd w:val="clear" w:color="auto" w:fill="auto"/>
            <w:tcMar>
              <w:top w:w="34" w:type="dxa"/>
              <w:bottom w:w="34" w:type="dxa"/>
            </w:tcMar>
            <w:vAlign w:val="center"/>
          </w:tcPr>
          <w:p w:rsidR="00677F67" w:rsidRPr="004C0E7A" w:rsidRDefault="00E76BD7" w:rsidP="0024427E">
            <w:pPr>
              <w:jc w:val="center"/>
              <w:rPr>
                <w:rFonts w:eastAsia="Times New Roman"/>
                <w:sz w:val="18"/>
                <w:szCs w:val="18"/>
                <w:lang w:val="fr-FR" w:eastAsia="en-US"/>
              </w:rPr>
            </w:pPr>
            <w:r w:rsidRPr="004C0E7A">
              <w:rPr>
                <w:rFonts w:eastAsia="Times New Roman"/>
                <w:sz w:val="18"/>
                <w:szCs w:val="18"/>
                <w:lang w:val="fr-FR" w:eastAsia="en-US"/>
              </w:rPr>
              <w:t>Multiples</w:t>
            </w:r>
          </w:p>
        </w:tc>
        <w:tc>
          <w:tcPr>
            <w:tcW w:w="1410" w:type="dxa"/>
            <w:tcBorders>
              <w:top w:val="single" w:sz="4" w:space="0" w:color="auto"/>
              <w:left w:val="nil"/>
              <w:bottom w:val="single" w:sz="4" w:space="0" w:color="auto"/>
              <w:right w:val="single" w:sz="4" w:space="0" w:color="auto"/>
            </w:tcBorders>
            <w:shd w:val="clear" w:color="000000" w:fill="92D050"/>
            <w:tcMar>
              <w:top w:w="34" w:type="dxa"/>
              <w:bottom w:w="34" w:type="dxa"/>
            </w:tcMar>
            <w:vAlign w:val="center"/>
          </w:tcPr>
          <w:p w:rsidR="00677F67" w:rsidRPr="004C0E7A" w:rsidRDefault="00677F67" w:rsidP="001118B4">
            <w:pPr>
              <w:jc w:val="center"/>
              <w:rPr>
                <w:rFonts w:eastAsia="Times New Roman"/>
                <w:sz w:val="18"/>
                <w:szCs w:val="18"/>
                <w:lang w:val="fr-FR" w:eastAsia="en-US"/>
              </w:rPr>
            </w:pPr>
          </w:p>
        </w:tc>
      </w:tr>
      <w:tr w:rsidR="004C0E7A" w:rsidRPr="004C0E7A" w:rsidTr="0024427E">
        <w:trPr>
          <w:cantSplit/>
          <w:trHeight w:val="414"/>
        </w:trPr>
        <w:tc>
          <w:tcPr>
            <w:tcW w:w="5879" w:type="dxa"/>
            <w:tcBorders>
              <w:top w:val="nil"/>
              <w:left w:val="single" w:sz="4" w:space="0" w:color="auto"/>
              <w:bottom w:val="single" w:sz="4" w:space="0" w:color="auto"/>
              <w:right w:val="single" w:sz="4" w:space="0" w:color="auto"/>
            </w:tcBorders>
            <w:shd w:val="clear" w:color="auto" w:fill="auto"/>
            <w:tcMar>
              <w:top w:w="34" w:type="dxa"/>
              <w:bottom w:w="34" w:type="dxa"/>
            </w:tcMar>
            <w:vAlign w:val="center"/>
          </w:tcPr>
          <w:p w:rsidR="00882C1D" w:rsidRPr="004C0E7A" w:rsidRDefault="00436AFB" w:rsidP="0024427E">
            <w:pPr>
              <w:rPr>
                <w:rFonts w:eastAsia="Times New Roman"/>
                <w:sz w:val="18"/>
                <w:szCs w:val="18"/>
                <w:lang w:val="fr-FR" w:eastAsia="en-US"/>
              </w:rPr>
            </w:pPr>
            <w:r w:rsidRPr="004C0E7A">
              <w:rPr>
                <w:rFonts w:eastAsia="Times New Roman"/>
                <w:sz w:val="18"/>
                <w:szCs w:val="18"/>
                <w:lang w:val="fr-FR" w:eastAsia="en-US"/>
              </w:rPr>
              <w:t>IA 2013</w:t>
            </w:r>
            <w:r w:rsidR="008E117E" w:rsidRPr="004C0E7A">
              <w:rPr>
                <w:rFonts w:eastAsia="Times New Roman"/>
                <w:sz w:val="18"/>
                <w:szCs w:val="18"/>
                <w:lang w:val="fr-FR" w:eastAsia="en-US"/>
              </w:rPr>
              <w:noBreakHyphen/>
            </w:r>
            <w:r w:rsidRPr="004C0E7A">
              <w:rPr>
                <w:rFonts w:eastAsia="Times New Roman"/>
                <w:sz w:val="18"/>
                <w:szCs w:val="18"/>
                <w:lang w:val="fr-FR" w:eastAsia="en-US"/>
              </w:rPr>
              <w:t>01 Sécurité de l</w:t>
            </w:r>
            <w:r w:rsidR="000055C7" w:rsidRPr="004C0E7A">
              <w:rPr>
                <w:rFonts w:eastAsia="Times New Roman"/>
                <w:sz w:val="18"/>
                <w:szCs w:val="18"/>
                <w:lang w:val="fr-FR" w:eastAsia="en-US"/>
              </w:rPr>
              <w:t>’</w:t>
            </w:r>
            <w:r w:rsidRPr="004C0E7A">
              <w:rPr>
                <w:rFonts w:eastAsia="Times New Roman"/>
                <w:sz w:val="18"/>
                <w:szCs w:val="18"/>
                <w:lang w:val="fr-FR" w:eastAsia="en-US"/>
              </w:rPr>
              <w:t>information</w:t>
            </w:r>
          </w:p>
        </w:tc>
        <w:tc>
          <w:tcPr>
            <w:tcW w:w="2646" w:type="dxa"/>
            <w:gridSpan w:val="2"/>
            <w:tcBorders>
              <w:top w:val="nil"/>
              <w:left w:val="nil"/>
              <w:bottom w:val="single" w:sz="4" w:space="0" w:color="auto"/>
              <w:right w:val="single" w:sz="4" w:space="0" w:color="auto"/>
            </w:tcBorders>
            <w:shd w:val="clear" w:color="auto" w:fill="auto"/>
            <w:tcMar>
              <w:top w:w="34" w:type="dxa"/>
              <w:bottom w:w="34" w:type="dxa"/>
            </w:tcMar>
            <w:vAlign w:val="center"/>
          </w:tcPr>
          <w:p w:rsidR="00882C1D" w:rsidRPr="004C0E7A" w:rsidRDefault="00436AFB" w:rsidP="0024427E">
            <w:pPr>
              <w:jc w:val="center"/>
              <w:rPr>
                <w:rFonts w:eastAsia="Times New Roman"/>
                <w:sz w:val="18"/>
                <w:szCs w:val="18"/>
                <w:lang w:val="fr-FR" w:eastAsia="en-US"/>
              </w:rPr>
            </w:pPr>
            <w:r w:rsidRPr="004C0E7A">
              <w:rPr>
                <w:rFonts w:eastAsia="Times New Roman"/>
                <w:sz w:val="18"/>
                <w:szCs w:val="18"/>
                <w:lang w:val="fr-FR" w:eastAsia="en-US"/>
              </w:rPr>
              <w:t>Administration et gestion</w:t>
            </w:r>
          </w:p>
        </w:tc>
        <w:tc>
          <w:tcPr>
            <w:tcW w:w="1410" w:type="dxa"/>
            <w:tcBorders>
              <w:top w:val="single" w:sz="4" w:space="0" w:color="auto"/>
              <w:left w:val="nil"/>
              <w:bottom w:val="single" w:sz="4" w:space="0" w:color="auto"/>
              <w:right w:val="single" w:sz="4" w:space="0" w:color="auto"/>
            </w:tcBorders>
            <w:shd w:val="clear" w:color="000000" w:fill="92D050"/>
            <w:tcMar>
              <w:top w:w="34" w:type="dxa"/>
              <w:bottom w:w="34" w:type="dxa"/>
            </w:tcMar>
            <w:vAlign w:val="center"/>
          </w:tcPr>
          <w:p w:rsidR="00882C1D" w:rsidRPr="004C0E7A" w:rsidRDefault="00882C1D" w:rsidP="00882C1D">
            <w:pPr>
              <w:jc w:val="center"/>
              <w:rPr>
                <w:rFonts w:eastAsia="Times New Roman"/>
                <w:sz w:val="18"/>
                <w:szCs w:val="18"/>
                <w:lang w:val="fr-FR" w:eastAsia="en-US"/>
              </w:rPr>
            </w:pPr>
          </w:p>
        </w:tc>
      </w:tr>
      <w:tr w:rsidR="004C0E7A" w:rsidRPr="004C0E7A" w:rsidTr="0024427E">
        <w:trPr>
          <w:cantSplit/>
          <w:trHeight w:val="414"/>
        </w:trPr>
        <w:tc>
          <w:tcPr>
            <w:tcW w:w="5879" w:type="dxa"/>
            <w:tcBorders>
              <w:top w:val="nil"/>
              <w:left w:val="single" w:sz="4" w:space="0" w:color="auto"/>
              <w:bottom w:val="single" w:sz="4" w:space="0" w:color="auto"/>
              <w:right w:val="single" w:sz="4" w:space="0" w:color="auto"/>
            </w:tcBorders>
            <w:shd w:val="clear" w:color="auto" w:fill="auto"/>
            <w:tcMar>
              <w:top w:w="34" w:type="dxa"/>
              <w:bottom w:w="34" w:type="dxa"/>
            </w:tcMar>
            <w:vAlign w:val="center"/>
          </w:tcPr>
          <w:p w:rsidR="00882C1D" w:rsidRPr="004C0E7A" w:rsidRDefault="00436AFB" w:rsidP="0024427E">
            <w:pPr>
              <w:rPr>
                <w:rFonts w:eastAsia="Times New Roman"/>
                <w:sz w:val="18"/>
                <w:szCs w:val="18"/>
                <w:lang w:val="fr-FR" w:eastAsia="en-US"/>
              </w:rPr>
            </w:pPr>
            <w:r w:rsidRPr="004C0E7A">
              <w:rPr>
                <w:rFonts w:eastAsia="Times New Roman"/>
                <w:sz w:val="18"/>
                <w:szCs w:val="18"/>
                <w:lang w:val="fr-FR" w:eastAsia="en-US"/>
              </w:rPr>
              <w:t>I</w:t>
            </w:r>
            <w:r w:rsidR="007F65E2" w:rsidRPr="004C0E7A">
              <w:rPr>
                <w:rFonts w:eastAsia="Times New Roman"/>
                <w:sz w:val="18"/>
                <w:szCs w:val="18"/>
                <w:lang w:val="fr-FR" w:eastAsia="en-US"/>
              </w:rPr>
              <w:t>A 20</w:t>
            </w:r>
            <w:r w:rsidR="00854761" w:rsidRPr="004C0E7A">
              <w:rPr>
                <w:rFonts w:eastAsia="Times New Roman"/>
                <w:sz w:val="18"/>
                <w:szCs w:val="18"/>
                <w:lang w:val="fr-FR" w:eastAsia="en-US"/>
              </w:rPr>
              <w:t>13</w:t>
            </w:r>
            <w:r w:rsidR="00854761" w:rsidRPr="004C0E7A">
              <w:rPr>
                <w:rFonts w:eastAsia="Times New Roman"/>
                <w:sz w:val="18"/>
                <w:szCs w:val="18"/>
                <w:lang w:val="fr-FR" w:eastAsia="en-US"/>
              </w:rPr>
              <w:noBreakHyphen/>
            </w:r>
            <w:r w:rsidR="00637FDD" w:rsidRPr="004C0E7A">
              <w:rPr>
                <w:rFonts w:eastAsia="Times New Roman"/>
                <w:sz w:val="18"/>
                <w:szCs w:val="18"/>
                <w:lang w:val="fr-FR" w:eastAsia="en-US"/>
              </w:rPr>
              <w:t>03</w:t>
            </w:r>
            <w:r w:rsidR="00854761" w:rsidRPr="004C0E7A">
              <w:rPr>
                <w:rFonts w:eastAsia="Times New Roman"/>
                <w:sz w:val="18"/>
                <w:szCs w:val="18"/>
                <w:lang w:val="fr-FR" w:eastAsia="en-US"/>
              </w:rPr>
              <w:t xml:space="preserve"> </w:t>
            </w:r>
            <w:r w:rsidRPr="004C0E7A">
              <w:rPr>
                <w:rFonts w:eastAsia="Times New Roman"/>
                <w:sz w:val="18"/>
                <w:szCs w:val="18"/>
                <w:lang w:val="fr-FR" w:eastAsia="en-US"/>
              </w:rPr>
              <w:t>Examen de la gestion de la cessation de service de fonctionnaires</w:t>
            </w:r>
          </w:p>
        </w:tc>
        <w:tc>
          <w:tcPr>
            <w:tcW w:w="2646" w:type="dxa"/>
            <w:gridSpan w:val="2"/>
            <w:tcBorders>
              <w:top w:val="nil"/>
              <w:left w:val="nil"/>
              <w:bottom w:val="single" w:sz="4" w:space="0" w:color="auto"/>
              <w:right w:val="single" w:sz="4" w:space="0" w:color="auto"/>
            </w:tcBorders>
            <w:shd w:val="clear" w:color="auto" w:fill="auto"/>
            <w:tcMar>
              <w:top w:w="34" w:type="dxa"/>
              <w:bottom w:w="34" w:type="dxa"/>
            </w:tcMar>
            <w:vAlign w:val="center"/>
          </w:tcPr>
          <w:p w:rsidR="00882C1D" w:rsidRPr="004C0E7A" w:rsidRDefault="00436AFB" w:rsidP="0024427E">
            <w:pPr>
              <w:jc w:val="center"/>
              <w:rPr>
                <w:rFonts w:eastAsia="Times New Roman"/>
                <w:sz w:val="18"/>
                <w:szCs w:val="18"/>
                <w:lang w:val="fr-FR" w:eastAsia="en-US"/>
              </w:rPr>
            </w:pPr>
            <w:r w:rsidRPr="004C0E7A">
              <w:rPr>
                <w:rFonts w:eastAsia="Times New Roman"/>
                <w:sz w:val="18"/>
                <w:szCs w:val="18"/>
                <w:lang w:val="fr-FR" w:eastAsia="en-US"/>
              </w:rPr>
              <w:t>Ressources humaines</w:t>
            </w:r>
          </w:p>
        </w:tc>
        <w:tc>
          <w:tcPr>
            <w:tcW w:w="1410" w:type="dxa"/>
            <w:tcBorders>
              <w:top w:val="single" w:sz="4" w:space="0" w:color="auto"/>
              <w:left w:val="nil"/>
              <w:bottom w:val="single" w:sz="4" w:space="0" w:color="auto"/>
              <w:right w:val="single" w:sz="4" w:space="0" w:color="auto"/>
            </w:tcBorders>
            <w:shd w:val="clear" w:color="000000" w:fill="92D050"/>
            <w:tcMar>
              <w:top w:w="34" w:type="dxa"/>
              <w:bottom w:w="34" w:type="dxa"/>
            </w:tcMar>
            <w:vAlign w:val="center"/>
          </w:tcPr>
          <w:p w:rsidR="00882C1D" w:rsidRPr="004C0E7A" w:rsidRDefault="00882C1D" w:rsidP="00882C1D">
            <w:pPr>
              <w:jc w:val="center"/>
              <w:rPr>
                <w:rFonts w:eastAsia="Times New Roman"/>
                <w:sz w:val="18"/>
                <w:szCs w:val="18"/>
                <w:lang w:val="fr-FR" w:eastAsia="en-US"/>
              </w:rPr>
            </w:pPr>
          </w:p>
        </w:tc>
      </w:tr>
      <w:tr w:rsidR="004C0E7A" w:rsidRPr="004C0E7A" w:rsidTr="0024427E">
        <w:trPr>
          <w:cantSplit/>
          <w:trHeight w:val="414"/>
        </w:trPr>
        <w:tc>
          <w:tcPr>
            <w:tcW w:w="5879" w:type="dxa"/>
            <w:tcBorders>
              <w:top w:val="nil"/>
              <w:left w:val="single" w:sz="4" w:space="0" w:color="auto"/>
              <w:bottom w:val="single" w:sz="4" w:space="0" w:color="auto"/>
              <w:right w:val="single" w:sz="4" w:space="0" w:color="auto"/>
            </w:tcBorders>
            <w:shd w:val="clear" w:color="auto" w:fill="auto"/>
            <w:tcMar>
              <w:top w:w="34" w:type="dxa"/>
              <w:bottom w:w="34" w:type="dxa"/>
            </w:tcMar>
            <w:vAlign w:val="center"/>
          </w:tcPr>
          <w:p w:rsidR="00882C1D" w:rsidRPr="004C0E7A" w:rsidRDefault="00436AFB" w:rsidP="0024427E">
            <w:pPr>
              <w:rPr>
                <w:rFonts w:eastAsia="Times New Roman"/>
                <w:sz w:val="18"/>
                <w:szCs w:val="18"/>
                <w:lang w:val="fr-FR" w:eastAsia="en-US"/>
              </w:rPr>
            </w:pPr>
            <w:r w:rsidRPr="004C0E7A">
              <w:rPr>
                <w:rFonts w:eastAsia="Times New Roman"/>
                <w:sz w:val="18"/>
                <w:szCs w:val="18"/>
                <w:lang w:val="fr-FR" w:eastAsia="en-US"/>
              </w:rPr>
              <w:t>IA 2013</w:t>
            </w:r>
            <w:r w:rsidR="008E117E" w:rsidRPr="004C0E7A">
              <w:rPr>
                <w:rFonts w:eastAsia="Times New Roman"/>
                <w:sz w:val="18"/>
                <w:szCs w:val="18"/>
                <w:lang w:val="fr-FR" w:eastAsia="en-US"/>
              </w:rPr>
              <w:noBreakHyphen/>
            </w:r>
            <w:r w:rsidRPr="004C0E7A">
              <w:rPr>
                <w:rFonts w:eastAsia="Times New Roman"/>
                <w:sz w:val="18"/>
                <w:szCs w:val="18"/>
                <w:lang w:val="fr-FR" w:eastAsia="en-US"/>
              </w:rPr>
              <w:t>05 Examen d</w:t>
            </w:r>
            <w:r w:rsidR="000055C7" w:rsidRPr="004C0E7A">
              <w:rPr>
                <w:rFonts w:eastAsia="Times New Roman"/>
                <w:sz w:val="18"/>
                <w:szCs w:val="18"/>
                <w:lang w:val="fr-FR" w:eastAsia="en-US"/>
              </w:rPr>
              <w:t>’</w:t>
            </w:r>
            <w:r w:rsidRPr="004C0E7A">
              <w:rPr>
                <w:rFonts w:eastAsia="Times New Roman"/>
                <w:sz w:val="18"/>
                <w:szCs w:val="18"/>
                <w:lang w:val="fr-FR" w:eastAsia="en-US"/>
              </w:rPr>
              <w:t>une initiative</w:t>
            </w:r>
            <w:r w:rsidR="000055C7" w:rsidRPr="004C0E7A">
              <w:rPr>
                <w:rFonts w:eastAsia="Times New Roman"/>
                <w:sz w:val="18"/>
                <w:szCs w:val="18"/>
                <w:lang w:val="fr-FR" w:eastAsia="en-US"/>
              </w:rPr>
              <w:t xml:space="preserve"> du PRS</w:t>
            </w:r>
            <w:r w:rsidR="00045FD8" w:rsidRPr="004C0E7A">
              <w:rPr>
                <w:rFonts w:eastAsia="Times New Roman"/>
                <w:sz w:val="18"/>
                <w:szCs w:val="18"/>
                <w:lang w:val="fr-FR" w:eastAsia="en-US"/>
              </w:rPr>
              <w:t> </w:t>
            </w:r>
            <w:r w:rsidRPr="004C0E7A">
              <w:rPr>
                <w:rFonts w:eastAsia="Times New Roman"/>
                <w:sz w:val="18"/>
                <w:szCs w:val="18"/>
                <w:lang w:val="fr-FR" w:eastAsia="en-US"/>
              </w:rPr>
              <w:t>: Renforcer la gestion axée sur les résultats</w:t>
            </w:r>
          </w:p>
        </w:tc>
        <w:tc>
          <w:tcPr>
            <w:tcW w:w="2646" w:type="dxa"/>
            <w:gridSpan w:val="2"/>
            <w:tcBorders>
              <w:top w:val="nil"/>
              <w:left w:val="nil"/>
              <w:bottom w:val="single" w:sz="4" w:space="0" w:color="auto"/>
              <w:right w:val="single" w:sz="4" w:space="0" w:color="auto"/>
            </w:tcBorders>
            <w:shd w:val="clear" w:color="auto" w:fill="auto"/>
            <w:tcMar>
              <w:top w:w="34" w:type="dxa"/>
              <w:bottom w:w="34" w:type="dxa"/>
            </w:tcMar>
            <w:vAlign w:val="center"/>
          </w:tcPr>
          <w:p w:rsidR="00882C1D" w:rsidRPr="004C0E7A" w:rsidRDefault="00E76BD7" w:rsidP="0024427E">
            <w:pPr>
              <w:jc w:val="center"/>
              <w:rPr>
                <w:rFonts w:eastAsia="Times New Roman"/>
                <w:sz w:val="18"/>
                <w:szCs w:val="18"/>
                <w:lang w:val="fr-FR" w:eastAsia="en-US"/>
              </w:rPr>
            </w:pPr>
            <w:r w:rsidRPr="004C0E7A">
              <w:rPr>
                <w:rFonts w:eastAsia="Times New Roman"/>
                <w:sz w:val="18"/>
                <w:szCs w:val="18"/>
                <w:lang w:val="fr-FR" w:eastAsia="en-US"/>
              </w:rPr>
              <w:t>Multiples</w:t>
            </w:r>
          </w:p>
        </w:tc>
        <w:tc>
          <w:tcPr>
            <w:tcW w:w="1410" w:type="dxa"/>
            <w:tcBorders>
              <w:top w:val="single" w:sz="4" w:space="0" w:color="auto"/>
              <w:left w:val="nil"/>
              <w:bottom w:val="single" w:sz="4" w:space="0" w:color="auto"/>
              <w:right w:val="single" w:sz="4" w:space="0" w:color="auto"/>
            </w:tcBorders>
            <w:shd w:val="clear" w:color="000000" w:fill="92D050"/>
            <w:tcMar>
              <w:top w:w="34" w:type="dxa"/>
              <w:bottom w:w="34" w:type="dxa"/>
            </w:tcMar>
            <w:vAlign w:val="center"/>
          </w:tcPr>
          <w:p w:rsidR="00882C1D" w:rsidRPr="004C0E7A" w:rsidRDefault="00882C1D" w:rsidP="00882C1D">
            <w:pPr>
              <w:jc w:val="center"/>
              <w:rPr>
                <w:rFonts w:eastAsia="Times New Roman"/>
                <w:sz w:val="18"/>
                <w:szCs w:val="18"/>
                <w:lang w:val="fr-FR" w:eastAsia="en-US"/>
              </w:rPr>
            </w:pPr>
          </w:p>
        </w:tc>
      </w:tr>
      <w:tr w:rsidR="004C0E7A" w:rsidRPr="004C0E7A" w:rsidTr="0024427E">
        <w:trPr>
          <w:cantSplit/>
          <w:trHeight w:val="414"/>
        </w:trPr>
        <w:tc>
          <w:tcPr>
            <w:tcW w:w="5879" w:type="dxa"/>
            <w:tcBorders>
              <w:top w:val="nil"/>
              <w:left w:val="single" w:sz="4" w:space="0" w:color="auto"/>
              <w:bottom w:val="single" w:sz="4" w:space="0" w:color="auto"/>
              <w:right w:val="single" w:sz="4" w:space="0" w:color="auto"/>
            </w:tcBorders>
            <w:shd w:val="clear" w:color="auto" w:fill="auto"/>
            <w:tcMar>
              <w:top w:w="34" w:type="dxa"/>
              <w:bottom w:w="34" w:type="dxa"/>
            </w:tcMar>
            <w:vAlign w:val="center"/>
          </w:tcPr>
          <w:p w:rsidR="00882C1D" w:rsidRPr="004C0E7A" w:rsidRDefault="00E05788" w:rsidP="0024427E">
            <w:pPr>
              <w:rPr>
                <w:rFonts w:eastAsia="Times New Roman"/>
                <w:sz w:val="18"/>
                <w:szCs w:val="18"/>
                <w:lang w:val="fr-FR" w:eastAsia="en-US"/>
              </w:rPr>
            </w:pPr>
            <w:r w:rsidRPr="004C0E7A">
              <w:rPr>
                <w:rFonts w:eastAsia="Times New Roman"/>
                <w:sz w:val="18"/>
                <w:szCs w:val="18"/>
                <w:lang w:val="fr-FR" w:eastAsia="en-US"/>
              </w:rPr>
              <w:t>Activités de consultation et de conseil</w:t>
            </w:r>
          </w:p>
        </w:tc>
        <w:tc>
          <w:tcPr>
            <w:tcW w:w="2646" w:type="dxa"/>
            <w:gridSpan w:val="2"/>
            <w:tcBorders>
              <w:top w:val="nil"/>
              <w:left w:val="nil"/>
              <w:bottom w:val="single" w:sz="4" w:space="0" w:color="auto"/>
              <w:right w:val="single" w:sz="4" w:space="0" w:color="auto"/>
            </w:tcBorders>
            <w:shd w:val="clear" w:color="auto" w:fill="auto"/>
            <w:tcMar>
              <w:top w:w="34" w:type="dxa"/>
              <w:bottom w:w="34" w:type="dxa"/>
            </w:tcMar>
            <w:vAlign w:val="center"/>
          </w:tcPr>
          <w:p w:rsidR="00882C1D" w:rsidRPr="004C0E7A" w:rsidRDefault="00E76BD7" w:rsidP="0024427E">
            <w:pPr>
              <w:jc w:val="center"/>
              <w:rPr>
                <w:rFonts w:eastAsia="Times New Roman"/>
                <w:sz w:val="18"/>
                <w:szCs w:val="18"/>
                <w:lang w:val="fr-FR" w:eastAsia="en-US"/>
              </w:rPr>
            </w:pPr>
            <w:r w:rsidRPr="004C0E7A">
              <w:rPr>
                <w:rFonts w:eastAsia="Times New Roman"/>
                <w:sz w:val="18"/>
                <w:szCs w:val="18"/>
                <w:lang w:val="fr-FR" w:eastAsia="en-US"/>
              </w:rPr>
              <w:t>Multiples</w:t>
            </w:r>
          </w:p>
        </w:tc>
        <w:tc>
          <w:tcPr>
            <w:tcW w:w="1410" w:type="dxa"/>
            <w:tcBorders>
              <w:top w:val="nil"/>
              <w:left w:val="nil"/>
              <w:bottom w:val="single" w:sz="4" w:space="0" w:color="auto"/>
              <w:right w:val="single" w:sz="4" w:space="0" w:color="auto"/>
            </w:tcBorders>
            <w:shd w:val="clear" w:color="000000" w:fill="FFFF00"/>
            <w:tcMar>
              <w:top w:w="34" w:type="dxa"/>
              <w:bottom w:w="34" w:type="dxa"/>
            </w:tcMar>
            <w:vAlign w:val="center"/>
          </w:tcPr>
          <w:p w:rsidR="00882C1D" w:rsidRPr="004C0E7A" w:rsidRDefault="00882C1D" w:rsidP="00882C1D">
            <w:pPr>
              <w:jc w:val="center"/>
              <w:rPr>
                <w:rFonts w:eastAsia="Times New Roman"/>
                <w:sz w:val="18"/>
                <w:szCs w:val="18"/>
                <w:lang w:val="fr-FR" w:eastAsia="en-US"/>
              </w:rPr>
            </w:pPr>
          </w:p>
        </w:tc>
      </w:tr>
      <w:tr w:rsidR="004C0E7A" w:rsidRPr="004C0E7A" w:rsidTr="0024427E">
        <w:trPr>
          <w:cantSplit/>
          <w:trHeight w:val="414"/>
        </w:trPr>
        <w:tc>
          <w:tcPr>
            <w:tcW w:w="5879" w:type="dxa"/>
            <w:tcBorders>
              <w:top w:val="nil"/>
              <w:left w:val="single" w:sz="4" w:space="0" w:color="auto"/>
              <w:bottom w:val="single" w:sz="4" w:space="0" w:color="auto"/>
              <w:right w:val="single" w:sz="4" w:space="0" w:color="auto"/>
            </w:tcBorders>
            <w:shd w:val="clear" w:color="auto" w:fill="auto"/>
            <w:tcMar>
              <w:top w:w="34" w:type="dxa"/>
              <w:bottom w:w="34" w:type="dxa"/>
            </w:tcMar>
            <w:vAlign w:val="center"/>
          </w:tcPr>
          <w:p w:rsidR="00882C1D" w:rsidRPr="004C0E7A" w:rsidRDefault="00E05788" w:rsidP="0024427E">
            <w:pPr>
              <w:rPr>
                <w:rFonts w:eastAsia="Times New Roman"/>
                <w:sz w:val="18"/>
                <w:szCs w:val="18"/>
                <w:lang w:val="fr-FR" w:eastAsia="en-US"/>
              </w:rPr>
            </w:pPr>
            <w:r w:rsidRPr="004C0E7A">
              <w:rPr>
                <w:rFonts w:eastAsia="Times New Roman"/>
                <w:sz w:val="18"/>
                <w:szCs w:val="18"/>
                <w:lang w:val="fr-FR" w:eastAsia="en-US"/>
              </w:rPr>
              <w:t>Constitution de réseaux avec d</w:t>
            </w:r>
            <w:r w:rsidR="000055C7" w:rsidRPr="004C0E7A">
              <w:rPr>
                <w:rFonts w:eastAsia="Times New Roman"/>
                <w:sz w:val="18"/>
                <w:szCs w:val="18"/>
                <w:lang w:val="fr-FR" w:eastAsia="en-US"/>
              </w:rPr>
              <w:t>’</w:t>
            </w:r>
            <w:r w:rsidRPr="004C0E7A">
              <w:rPr>
                <w:rFonts w:eastAsia="Times New Roman"/>
                <w:sz w:val="18"/>
                <w:szCs w:val="18"/>
                <w:lang w:val="fr-FR" w:eastAsia="en-US"/>
              </w:rPr>
              <w:t xml:space="preserve">autres </w:t>
            </w:r>
            <w:r w:rsidR="007F65E2" w:rsidRPr="004C0E7A">
              <w:rPr>
                <w:rFonts w:eastAsia="Times New Roman"/>
                <w:sz w:val="18"/>
                <w:szCs w:val="18"/>
                <w:lang w:val="fr-FR" w:eastAsia="en-US"/>
              </w:rPr>
              <w:t>institutions</w:t>
            </w:r>
          </w:p>
        </w:tc>
        <w:tc>
          <w:tcPr>
            <w:tcW w:w="2646" w:type="dxa"/>
            <w:gridSpan w:val="2"/>
            <w:tcBorders>
              <w:top w:val="nil"/>
              <w:left w:val="nil"/>
              <w:bottom w:val="single" w:sz="4" w:space="0" w:color="auto"/>
              <w:right w:val="single" w:sz="4" w:space="0" w:color="auto"/>
            </w:tcBorders>
            <w:shd w:val="clear" w:color="auto" w:fill="auto"/>
            <w:tcMar>
              <w:top w:w="34" w:type="dxa"/>
              <w:bottom w:w="34" w:type="dxa"/>
            </w:tcMar>
            <w:vAlign w:val="center"/>
          </w:tcPr>
          <w:p w:rsidR="00882C1D" w:rsidRPr="004C0E7A" w:rsidRDefault="00E05788" w:rsidP="0024427E">
            <w:pPr>
              <w:jc w:val="center"/>
              <w:rPr>
                <w:rFonts w:eastAsia="Times New Roman"/>
                <w:sz w:val="18"/>
                <w:szCs w:val="18"/>
                <w:lang w:val="fr-FR" w:eastAsia="en-US"/>
              </w:rPr>
            </w:pPr>
            <w:r w:rsidRPr="004C0E7A">
              <w:rPr>
                <w:rFonts w:eastAsia="Times New Roman"/>
                <w:sz w:val="18"/>
                <w:szCs w:val="18"/>
                <w:lang w:val="fr-FR" w:eastAsia="en-US"/>
              </w:rPr>
              <w:t>DSI</w:t>
            </w:r>
          </w:p>
        </w:tc>
        <w:tc>
          <w:tcPr>
            <w:tcW w:w="1410" w:type="dxa"/>
            <w:tcBorders>
              <w:top w:val="nil"/>
              <w:left w:val="nil"/>
              <w:bottom w:val="single" w:sz="4" w:space="0" w:color="auto"/>
              <w:right w:val="single" w:sz="4" w:space="0" w:color="auto"/>
            </w:tcBorders>
            <w:shd w:val="clear" w:color="000000" w:fill="FFFF00"/>
            <w:tcMar>
              <w:top w:w="34" w:type="dxa"/>
              <w:bottom w:w="34" w:type="dxa"/>
            </w:tcMar>
            <w:vAlign w:val="center"/>
          </w:tcPr>
          <w:p w:rsidR="00882C1D" w:rsidRPr="004C0E7A" w:rsidRDefault="00882C1D" w:rsidP="00882C1D">
            <w:pPr>
              <w:jc w:val="center"/>
              <w:rPr>
                <w:rFonts w:eastAsia="Times New Roman"/>
                <w:sz w:val="18"/>
                <w:szCs w:val="18"/>
                <w:lang w:val="fr-FR" w:eastAsia="en-US"/>
              </w:rPr>
            </w:pPr>
          </w:p>
        </w:tc>
      </w:tr>
      <w:tr w:rsidR="004C0E7A" w:rsidRPr="004C0E7A" w:rsidTr="0024427E">
        <w:trPr>
          <w:cantSplit/>
          <w:trHeight w:val="414"/>
        </w:trPr>
        <w:tc>
          <w:tcPr>
            <w:tcW w:w="5879" w:type="dxa"/>
            <w:tcBorders>
              <w:top w:val="nil"/>
              <w:left w:val="single" w:sz="4" w:space="0" w:color="auto"/>
              <w:bottom w:val="single" w:sz="4" w:space="0" w:color="auto"/>
              <w:right w:val="single" w:sz="4" w:space="0" w:color="auto"/>
            </w:tcBorders>
            <w:shd w:val="clear" w:color="auto" w:fill="auto"/>
            <w:tcMar>
              <w:top w:w="34" w:type="dxa"/>
              <w:bottom w:w="34" w:type="dxa"/>
            </w:tcMar>
            <w:vAlign w:val="center"/>
          </w:tcPr>
          <w:p w:rsidR="00882C1D" w:rsidRPr="004C0E7A" w:rsidRDefault="00E05788" w:rsidP="0024427E">
            <w:pPr>
              <w:rPr>
                <w:rFonts w:eastAsia="Times New Roman"/>
                <w:sz w:val="18"/>
                <w:szCs w:val="18"/>
                <w:lang w:val="fr-FR" w:eastAsia="en-US"/>
              </w:rPr>
            </w:pPr>
            <w:r w:rsidRPr="004C0E7A">
              <w:rPr>
                <w:rFonts w:eastAsia="Times New Roman"/>
                <w:sz w:val="18"/>
                <w:szCs w:val="18"/>
                <w:lang w:val="fr-FR" w:eastAsia="en-US"/>
              </w:rPr>
              <w:t>Organe consultatif indépendant de surveillance</w:t>
            </w:r>
          </w:p>
        </w:tc>
        <w:tc>
          <w:tcPr>
            <w:tcW w:w="2646" w:type="dxa"/>
            <w:gridSpan w:val="2"/>
            <w:tcBorders>
              <w:top w:val="nil"/>
              <w:left w:val="nil"/>
              <w:bottom w:val="single" w:sz="4" w:space="0" w:color="auto"/>
              <w:right w:val="single" w:sz="4" w:space="0" w:color="auto"/>
            </w:tcBorders>
            <w:shd w:val="clear" w:color="auto" w:fill="auto"/>
            <w:tcMar>
              <w:top w:w="34" w:type="dxa"/>
              <w:bottom w:w="34" w:type="dxa"/>
            </w:tcMar>
            <w:vAlign w:val="center"/>
          </w:tcPr>
          <w:p w:rsidR="00882C1D" w:rsidRPr="004C0E7A" w:rsidRDefault="00E05788" w:rsidP="0024427E">
            <w:pPr>
              <w:jc w:val="center"/>
              <w:rPr>
                <w:rFonts w:eastAsia="Times New Roman"/>
                <w:sz w:val="18"/>
                <w:szCs w:val="18"/>
                <w:lang w:val="fr-FR" w:eastAsia="en-US"/>
              </w:rPr>
            </w:pPr>
            <w:r w:rsidRPr="004C0E7A">
              <w:rPr>
                <w:rFonts w:eastAsia="Times New Roman"/>
                <w:sz w:val="18"/>
                <w:szCs w:val="18"/>
                <w:lang w:val="fr-FR" w:eastAsia="en-US"/>
              </w:rPr>
              <w:t>DSI</w:t>
            </w:r>
          </w:p>
        </w:tc>
        <w:tc>
          <w:tcPr>
            <w:tcW w:w="1410" w:type="dxa"/>
            <w:tcBorders>
              <w:top w:val="nil"/>
              <w:left w:val="nil"/>
              <w:bottom w:val="single" w:sz="4" w:space="0" w:color="auto"/>
              <w:right w:val="single" w:sz="4" w:space="0" w:color="auto"/>
            </w:tcBorders>
            <w:shd w:val="clear" w:color="000000" w:fill="FFFF00"/>
            <w:tcMar>
              <w:top w:w="34" w:type="dxa"/>
              <w:bottom w:w="34" w:type="dxa"/>
            </w:tcMar>
            <w:vAlign w:val="center"/>
          </w:tcPr>
          <w:p w:rsidR="00882C1D" w:rsidRPr="004C0E7A" w:rsidRDefault="00882C1D" w:rsidP="00882C1D">
            <w:pPr>
              <w:jc w:val="center"/>
              <w:rPr>
                <w:rFonts w:eastAsia="Times New Roman"/>
                <w:sz w:val="18"/>
                <w:szCs w:val="18"/>
                <w:lang w:val="fr-FR" w:eastAsia="en-US"/>
              </w:rPr>
            </w:pPr>
          </w:p>
        </w:tc>
      </w:tr>
      <w:tr w:rsidR="004C0E7A" w:rsidRPr="004C0E7A" w:rsidTr="0024427E">
        <w:trPr>
          <w:cantSplit/>
          <w:trHeight w:val="414"/>
        </w:trPr>
        <w:tc>
          <w:tcPr>
            <w:tcW w:w="5879" w:type="dxa"/>
            <w:tcBorders>
              <w:top w:val="nil"/>
              <w:left w:val="single" w:sz="4" w:space="0" w:color="auto"/>
              <w:bottom w:val="single" w:sz="4" w:space="0" w:color="auto"/>
              <w:right w:val="single" w:sz="4" w:space="0" w:color="auto"/>
            </w:tcBorders>
            <w:shd w:val="clear" w:color="auto" w:fill="auto"/>
            <w:tcMar>
              <w:top w:w="34" w:type="dxa"/>
              <w:bottom w:w="34" w:type="dxa"/>
            </w:tcMar>
            <w:vAlign w:val="center"/>
          </w:tcPr>
          <w:p w:rsidR="00882C1D" w:rsidRPr="004C0E7A" w:rsidRDefault="00E05788" w:rsidP="0024427E">
            <w:pPr>
              <w:rPr>
                <w:rFonts w:eastAsia="Times New Roman"/>
                <w:sz w:val="18"/>
                <w:szCs w:val="18"/>
                <w:lang w:val="fr-FR" w:eastAsia="en-US"/>
              </w:rPr>
            </w:pPr>
            <w:r w:rsidRPr="004C0E7A">
              <w:rPr>
                <w:rFonts w:eastAsia="Times New Roman"/>
                <w:sz w:val="18"/>
                <w:szCs w:val="18"/>
                <w:lang w:val="fr-FR" w:eastAsia="en-US"/>
              </w:rPr>
              <w:t>Autres activités indirectes</w:t>
            </w:r>
          </w:p>
        </w:tc>
        <w:tc>
          <w:tcPr>
            <w:tcW w:w="2646" w:type="dxa"/>
            <w:gridSpan w:val="2"/>
            <w:tcBorders>
              <w:top w:val="nil"/>
              <w:left w:val="nil"/>
              <w:bottom w:val="single" w:sz="4" w:space="0" w:color="auto"/>
              <w:right w:val="single" w:sz="4" w:space="0" w:color="auto"/>
            </w:tcBorders>
            <w:shd w:val="clear" w:color="auto" w:fill="auto"/>
            <w:tcMar>
              <w:top w:w="34" w:type="dxa"/>
              <w:bottom w:w="34" w:type="dxa"/>
            </w:tcMar>
            <w:vAlign w:val="center"/>
          </w:tcPr>
          <w:p w:rsidR="00882C1D" w:rsidRPr="004C0E7A" w:rsidRDefault="00E05788" w:rsidP="0024427E">
            <w:pPr>
              <w:jc w:val="center"/>
              <w:rPr>
                <w:rFonts w:eastAsia="Times New Roman"/>
                <w:sz w:val="18"/>
                <w:szCs w:val="18"/>
                <w:lang w:val="fr-FR" w:eastAsia="en-US"/>
              </w:rPr>
            </w:pPr>
            <w:r w:rsidRPr="004C0E7A">
              <w:rPr>
                <w:rFonts w:eastAsia="Times New Roman"/>
                <w:sz w:val="18"/>
                <w:szCs w:val="18"/>
                <w:lang w:val="fr-FR" w:eastAsia="en-US"/>
              </w:rPr>
              <w:t>DSI</w:t>
            </w:r>
          </w:p>
        </w:tc>
        <w:tc>
          <w:tcPr>
            <w:tcW w:w="1410" w:type="dxa"/>
            <w:tcBorders>
              <w:top w:val="nil"/>
              <w:left w:val="nil"/>
              <w:bottom w:val="single" w:sz="4" w:space="0" w:color="auto"/>
              <w:right w:val="single" w:sz="4" w:space="0" w:color="auto"/>
            </w:tcBorders>
            <w:shd w:val="clear" w:color="000000" w:fill="FFFF00"/>
            <w:tcMar>
              <w:top w:w="34" w:type="dxa"/>
              <w:bottom w:w="34" w:type="dxa"/>
            </w:tcMar>
            <w:vAlign w:val="center"/>
          </w:tcPr>
          <w:p w:rsidR="00882C1D" w:rsidRPr="004C0E7A" w:rsidRDefault="00882C1D" w:rsidP="00882C1D">
            <w:pPr>
              <w:jc w:val="center"/>
              <w:rPr>
                <w:rFonts w:eastAsia="Times New Roman"/>
                <w:sz w:val="18"/>
                <w:szCs w:val="18"/>
                <w:lang w:val="fr-FR" w:eastAsia="en-US"/>
              </w:rPr>
            </w:pPr>
          </w:p>
        </w:tc>
      </w:tr>
      <w:tr w:rsidR="004C0E7A" w:rsidRPr="004C0E7A" w:rsidTr="0024427E">
        <w:trPr>
          <w:cantSplit/>
          <w:trHeight w:val="414"/>
        </w:trPr>
        <w:tc>
          <w:tcPr>
            <w:tcW w:w="5879" w:type="dxa"/>
            <w:tcBorders>
              <w:top w:val="nil"/>
              <w:left w:val="single" w:sz="4" w:space="0" w:color="auto"/>
              <w:bottom w:val="single" w:sz="4" w:space="0" w:color="auto"/>
              <w:right w:val="single" w:sz="4" w:space="0" w:color="auto"/>
            </w:tcBorders>
            <w:shd w:val="clear" w:color="auto" w:fill="auto"/>
            <w:tcMar>
              <w:top w:w="34" w:type="dxa"/>
              <w:bottom w:w="34" w:type="dxa"/>
            </w:tcMar>
            <w:vAlign w:val="center"/>
          </w:tcPr>
          <w:p w:rsidR="00882C1D" w:rsidRPr="004C0E7A" w:rsidRDefault="00E05788" w:rsidP="0024427E">
            <w:pPr>
              <w:rPr>
                <w:rFonts w:eastAsia="Times New Roman"/>
                <w:sz w:val="18"/>
                <w:szCs w:val="18"/>
                <w:lang w:val="fr-FR" w:eastAsia="en-US"/>
              </w:rPr>
            </w:pPr>
            <w:r w:rsidRPr="004C0E7A">
              <w:rPr>
                <w:rFonts w:eastAsia="Times New Roman"/>
                <w:sz w:val="18"/>
                <w:szCs w:val="18"/>
                <w:lang w:val="fr-FR" w:eastAsia="en-US"/>
              </w:rPr>
              <w:t>Suivi des recommandations en suspens</w:t>
            </w:r>
          </w:p>
        </w:tc>
        <w:tc>
          <w:tcPr>
            <w:tcW w:w="2646" w:type="dxa"/>
            <w:gridSpan w:val="2"/>
            <w:tcBorders>
              <w:top w:val="nil"/>
              <w:left w:val="nil"/>
              <w:bottom w:val="single" w:sz="4" w:space="0" w:color="auto"/>
              <w:right w:val="single" w:sz="4" w:space="0" w:color="auto"/>
            </w:tcBorders>
            <w:shd w:val="clear" w:color="auto" w:fill="auto"/>
            <w:tcMar>
              <w:top w:w="34" w:type="dxa"/>
              <w:bottom w:w="34" w:type="dxa"/>
            </w:tcMar>
            <w:vAlign w:val="center"/>
          </w:tcPr>
          <w:p w:rsidR="00882C1D" w:rsidRPr="004C0E7A" w:rsidRDefault="00E05788" w:rsidP="0024427E">
            <w:pPr>
              <w:jc w:val="center"/>
              <w:rPr>
                <w:rFonts w:eastAsia="Times New Roman"/>
                <w:sz w:val="18"/>
                <w:szCs w:val="18"/>
                <w:lang w:val="fr-FR" w:eastAsia="en-US"/>
              </w:rPr>
            </w:pPr>
            <w:r w:rsidRPr="004C0E7A">
              <w:rPr>
                <w:rFonts w:eastAsia="Times New Roman"/>
                <w:sz w:val="18"/>
                <w:szCs w:val="18"/>
                <w:lang w:val="fr-FR" w:eastAsia="en-US"/>
              </w:rPr>
              <w:t>Tous</w:t>
            </w:r>
          </w:p>
        </w:tc>
        <w:tc>
          <w:tcPr>
            <w:tcW w:w="1410" w:type="dxa"/>
            <w:tcBorders>
              <w:top w:val="nil"/>
              <w:left w:val="nil"/>
              <w:bottom w:val="single" w:sz="4" w:space="0" w:color="auto"/>
              <w:right w:val="single" w:sz="4" w:space="0" w:color="auto"/>
            </w:tcBorders>
            <w:shd w:val="clear" w:color="000000" w:fill="FFFF00"/>
            <w:tcMar>
              <w:top w:w="34" w:type="dxa"/>
              <w:bottom w:w="34" w:type="dxa"/>
            </w:tcMar>
            <w:vAlign w:val="center"/>
          </w:tcPr>
          <w:p w:rsidR="00882C1D" w:rsidRPr="004C0E7A" w:rsidRDefault="00882C1D" w:rsidP="00882C1D">
            <w:pPr>
              <w:jc w:val="center"/>
              <w:rPr>
                <w:rFonts w:eastAsia="Times New Roman"/>
                <w:sz w:val="18"/>
                <w:szCs w:val="18"/>
                <w:lang w:val="fr-FR" w:eastAsia="en-US"/>
              </w:rPr>
            </w:pPr>
          </w:p>
        </w:tc>
      </w:tr>
      <w:tr w:rsidR="004C0E7A" w:rsidRPr="004C0E7A" w:rsidTr="0024427E">
        <w:trPr>
          <w:cantSplit/>
          <w:trHeight w:val="414"/>
        </w:trPr>
        <w:tc>
          <w:tcPr>
            <w:tcW w:w="5879" w:type="dxa"/>
            <w:tcBorders>
              <w:top w:val="nil"/>
              <w:left w:val="single" w:sz="4" w:space="0" w:color="auto"/>
              <w:bottom w:val="single" w:sz="4" w:space="0" w:color="auto"/>
              <w:right w:val="single" w:sz="4" w:space="0" w:color="auto"/>
            </w:tcBorders>
            <w:shd w:val="clear" w:color="auto" w:fill="auto"/>
            <w:tcMar>
              <w:top w:w="34" w:type="dxa"/>
              <w:bottom w:w="34" w:type="dxa"/>
            </w:tcMar>
            <w:vAlign w:val="center"/>
          </w:tcPr>
          <w:p w:rsidR="00882C1D" w:rsidRPr="004C0E7A" w:rsidRDefault="00E05788" w:rsidP="0024427E">
            <w:pPr>
              <w:rPr>
                <w:rFonts w:eastAsia="Times New Roman"/>
                <w:sz w:val="18"/>
                <w:szCs w:val="18"/>
                <w:lang w:val="fr-FR" w:eastAsia="en-US"/>
              </w:rPr>
            </w:pPr>
            <w:r w:rsidRPr="004C0E7A">
              <w:rPr>
                <w:rFonts w:eastAsia="Times New Roman"/>
                <w:sz w:val="18"/>
                <w:szCs w:val="18"/>
                <w:lang w:val="fr-FR" w:eastAsia="en-US"/>
              </w:rPr>
              <w:t>Formation</w:t>
            </w:r>
          </w:p>
        </w:tc>
        <w:tc>
          <w:tcPr>
            <w:tcW w:w="2646" w:type="dxa"/>
            <w:gridSpan w:val="2"/>
            <w:tcBorders>
              <w:top w:val="nil"/>
              <w:left w:val="nil"/>
              <w:bottom w:val="single" w:sz="4" w:space="0" w:color="auto"/>
              <w:right w:val="single" w:sz="4" w:space="0" w:color="auto"/>
            </w:tcBorders>
            <w:shd w:val="clear" w:color="auto" w:fill="auto"/>
            <w:tcMar>
              <w:top w:w="34" w:type="dxa"/>
              <w:bottom w:w="34" w:type="dxa"/>
            </w:tcMar>
            <w:vAlign w:val="center"/>
          </w:tcPr>
          <w:p w:rsidR="00882C1D" w:rsidRPr="004C0E7A" w:rsidRDefault="00E05788" w:rsidP="0024427E">
            <w:pPr>
              <w:jc w:val="center"/>
              <w:rPr>
                <w:rFonts w:eastAsia="Times New Roman"/>
                <w:sz w:val="18"/>
                <w:szCs w:val="18"/>
                <w:lang w:val="fr-FR" w:eastAsia="en-US"/>
              </w:rPr>
            </w:pPr>
            <w:r w:rsidRPr="004C0E7A">
              <w:rPr>
                <w:rFonts w:eastAsia="Times New Roman"/>
                <w:sz w:val="18"/>
                <w:szCs w:val="18"/>
                <w:lang w:val="fr-FR" w:eastAsia="en-US"/>
              </w:rPr>
              <w:t>DSI</w:t>
            </w:r>
          </w:p>
        </w:tc>
        <w:tc>
          <w:tcPr>
            <w:tcW w:w="1410" w:type="dxa"/>
            <w:tcBorders>
              <w:top w:val="nil"/>
              <w:left w:val="nil"/>
              <w:bottom w:val="single" w:sz="4" w:space="0" w:color="auto"/>
              <w:right w:val="single" w:sz="4" w:space="0" w:color="auto"/>
            </w:tcBorders>
            <w:shd w:val="clear" w:color="000000" w:fill="FFFF00"/>
            <w:tcMar>
              <w:top w:w="34" w:type="dxa"/>
              <w:bottom w:w="34" w:type="dxa"/>
            </w:tcMar>
            <w:vAlign w:val="center"/>
          </w:tcPr>
          <w:p w:rsidR="00882C1D" w:rsidRPr="004C0E7A" w:rsidRDefault="00882C1D" w:rsidP="00882C1D">
            <w:pPr>
              <w:jc w:val="center"/>
              <w:rPr>
                <w:rFonts w:eastAsia="Times New Roman"/>
                <w:sz w:val="18"/>
                <w:szCs w:val="18"/>
                <w:lang w:val="fr-FR" w:eastAsia="en-US"/>
              </w:rPr>
            </w:pPr>
          </w:p>
        </w:tc>
      </w:tr>
    </w:tbl>
    <w:p w:rsidR="00E32ADE" w:rsidRPr="004C0E7A" w:rsidRDefault="00E32ADE" w:rsidP="00854761">
      <w:pPr>
        <w:spacing w:before="60" w:after="60"/>
        <w:ind w:left="284"/>
        <w:rPr>
          <w:lang w:val="fr-FR"/>
        </w:rPr>
      </w:pPr>
      <w:r w:rsidRPr="004C0E7A">
        <w:rPr>
          <w:lang w:val="fr-FR"/>
        </w:rPr>
        <w:t>Code</w:t>
      </w:r>
      <w:r w:rsidR="00045FD8" w:rsidRPr="004C0E7A">
        <w:rPr>
          <w:lang w:val="fr-FR"/>
        </w:rPr>
        <w:t> </w:t>
      </w:r>
      <w:r w:rsidRPr="004C0E7A">
        <w:rPr>
          <w:lang w:val="fr-FR"/>
        </w:rPr>
        <w:t xml:space="preserve">: </w:t>
      </w:r>
    </w:p>
    <w:tbl>
      <w:tblPr>
        <w:tblStyle w:val="TableGrid"/>
        <w:tblW w:w="0" w:type="auto"/>
        <w:tblInd w:w="392" w:type="dxa"/>
        <w:tblLook w:val="04A0" w:firstRow="1" w:lastRow="0" w:firstColumn="1" w:lastColumn="0" w:noHBand="0" w:noVBand="1"/>
      </w:tblPr>
      <w:tblGrid>
        <w:gridCol w:w="1843"/>
        <w:gridCol w:w="2552"/>
      </w:tblGrid>
      <w:tr w:rsidR="004C0E7A" w:rsidRPr="004C0E7A" w:rsidTr="00854761">
        <w:tc>
          <w:tcPr>
            <w:tcW w:w="1843" w:type="dxa"/>
            <w:shd w:val="clear" w:color="auto" w:fill="FFFF00"/>
          </w:tcPr>
          <w:p w:rsidR="00E32ADE" w:rsidRPr="004C0E7A" w:rsidRDefault="00E32ADE" w:rsidP="00854761">
            <w:pPr>
              <w:ind w:left="284"/>
              <w:rPr>
                <w:lang w:val="fr-FR"/>
              </w:rPr>
            </w:pPr>
          </w:p>
        </w:tc>
        <w:tc>
          <w:tcPr>
            <w:tcW w:w="2552" w:type="dxa"/>
          </w:tcPr>
          <w:p w:rsidR="00E32ADE" w:rsidRPr="004C0E7A" w:rsidRDefault="00E05788" w:rsidP="00854761">
            <w:pPr>
              <w:ind w:left="284"/>
              <w:rPr>
                <w:lang w:val="fr-FR"/>
              </w:rPr>
            </w:pPr>
            <w:r w:rsidRPr="004C0E7A">
              <w:rPr>
                <w:lang w:val="fr-FR"/>
              </w:rPr>
              <w:t>En cours</w:t>
            </w:r>
          </w:p>
        </w:tc>
      </w:tr>
      <w:tr w:rsidR="004C0E7A" w:rsidRPr="004C0E7A" w:rsidTr="00854761">
        <w:tc>
          <w:tcPr>
            <w:tcW w:w="1843" w:type="dxa"/>
            <w:shd w:val="clear" w:color="auto" w:fill="92D050"/>
          </w:tcPr>
          <w:p w:rsidR="00E32ADE" w:rsidRPr="004C0E7A" w:rsidRDefault="00E32ADE" w:rsidP="00854761">
            <w:pPr>
              <w:ind w:left="284"/>
              <w:rPr>
                <w:lang w:val="fr-FR"/>
              </w:rPr>
            </w:pPr>
          </w:p>
        </w:tc>
        <w:tc>
          <w:tcPr>
            <w:tcW w:w="2552" w:type="dxa"/>
          </w:tcPr>
          <w:p w:rsidR="00E32ADE" w:rsidRPr="004C0E7A" w:rsidRDefault="00E05788" w:rsidP="00854761">
            <w:pPr>
              <w:ind w:left="284"/>
              <w:rPr>
                <w:lang w:val="fr-FR"/>
              </w:rPr>
            </w:pPr>
            <w:r w:rsidRPr="004C0E7A">
              <w:rPr>
                <w:lang w:val="fr-FR"/>
              </w:rPr>
              <w:t>Achevé</w:t>
            </w:r>
          </w:p>
        </w:tc>
      </w:tr>
      <w:tr w:rsidR="004C0E7A" w:rsidRPr="004C0E7A" w:rsidTr="00854761">
        <w:tc>
          <w:tcPr>
            <w:tcW w:w="1843" w:type="dxa"/>
          </w:tcPr>
          <w:p w:rsidR="00E32ADE" w:rsidRPr="004C0E7A" w:rsidRDefault="00E32ADE" w:rsidP="00854761">
            <w:pPr>
              <w:ind w:left="284"/>
              <w:rPr>
                <w:lang w:val="fr-FR"/>
              </w:rPr>
            </w:pPr>
          </w:p>
        </w:tc>
        <w:tc>
          <w:tcPr>
            <w:tcW w:w="2552" w:type="dxa"/>
          </w:tcPr>
          <w:p w:rsidR="00E32ADE" w:rsidRPr="004C0E7A" w:rsidRDefault="00E05788" w:rsidP="00854761">
            <w:pPr>
              <w:ind w:left="284"/>
              <w:rPr>
                <w:lang w:val="fr-FR"/>
              </w:rPr>
            </w:pPr>
            <w:r w:rsidRPr="004C0E7A">
              <w:rPr>
                <w:lang w:val="fr-FR"/>
              </w:rPr>
              <w:t>Non commencé</w:t>
            </w:r>
          </w:p>
        </w:tc>
      </w:tr>
    </w:tbl>
    <w:p w:rsidR="00854761" w:rsidRPr="004C0E7A" w:rsidRDefault="00854761" w:rsidP="00E32ADE">
      <w:pPr>
        <w:spacing w:after="200" w:line="276" w:lineRule="auto"/>
        <w:rPr>
          <w:lang w:val="fr-FR"/>
        </w:rPr>
      </w:pPr>
    </w:p>
    <w:p w:rsidR="00854761" w:rsidRPr="004C0E7A" w:rsidRDefault="00854761" w:rsidP="00E32ADE">
      <w:pPr>
        <w:spacing w:after="200" w:line="276" w:lineRule="auto"/>
        <w:rPr>
          <w:lang w:val="fr-FR"/>
        </w:rPr>
      </w:pPr>
    </w:p>
    <w:p w:rsidR="00854761" w:rsidRPr="004C0E7A" w:rsidRDefault="00854761" w:rsidP="00E32ADE">
      <w:pPr>
        <w:spacing w:after="200" w:line="276" w:lineRule="auto"/>
        <w:rPr>
          <w:lang w:val="fr-FR"/>
        </w:rPr>
        <w:sectPr w:rsidR="00854761" w:rsidRPr="004C0E7A" w:rsidSect="00654077">
          <w:headerReference w:type="default" r:id="rId24"/>
          <w:headerReference w:type="first" r:id="rId25"/>
          <w:footnotePr>
            <w:numRestart w:val="eachSect"/>
          </w:footnotePr>
          <w:endnotePr>
            <w:numFmt w:val="decimal"/>
          </w:endnotePr>
          <w:pgSz w:w="11907" w:h="16840" w:code="9"/>
          <w:pgMar w:top="567" w:right="1134" w:bottom="1418" w:left="1418" w:header="510" w:footer="1021" w:gutter="0"/>
          <w:pgNumType w:start="1"/>
          <w:cols w:space="720"/>
          <w:titlePg/>
          <w:docGrid w:linePitch="299"/>
        </w:sectPr>
      </w:pPr>
    </w:p>
    <w:p w:rsidR="000055C7" w:rsidRPr="004C0E7A" w:rsidRDefault="00E05788" w:rsidP="00E05788">
      <w:pPr>
        <w:spacing w:after="120"/>
        <w:jc w:val="center"/>
        <w:rPr>
          <w:b/>
          <w:lang w:val="fr-FR"/>
        </w:rPr>
      </w:pPr>
      <w:r w:rsidRPr="004C0E7A">
        <w:rPr>
          <w:b/>
          <w:lang w:val="fr-FR"/>
        </w:rPr>
        <w:lastRenderedPageBreak/>
        <w:t>État d</w:t>
      </w:r>
      <w:r w:rsidR="000055C7" w:rsidRPr="004C0E7A">
        <w:rPr>
          <w:b/>
          <w:lang w:val="fr-FR"/>
        </w:rPr>
        <w:t>’</w:t>
      </w:r>
      <w:r w:rsidRPr="004C0E7A">
        <w:rPr>
          <w:b/>
          <w:lang w:val="fr-FR"/>
        </w:rPr>
        <w:t>avancement des missions de supervision au 3</w:t>
      </w:r>
      <w:r w:rsidR="000055C7" w:rsidRPr="004C0E7A">
        <w:rPr>
          <w:b/>
          <w:lang w:val="fr-FR"/>
        </w:rPr>
        <w:t>0 juin 20</w:t>
      </w:r>
      <w:r w:rsidRPr="004C0E7A">
        <w:rPr>
          <w:b/>
          <w:lang w:val="fr-FR"/>
        </w:rPr>
        <w:t>15</w:t>
      </w:r>
    </w:p>
    <w:p w:rsidR="00677F67" w:rsidRPr="004C0E7A" w:rsidRDefault="00677F67" w:rsidP="00E32ADE">
      <w:pPr>
        <w:spacing w:after="120"/>
        <w:jc w:val="center"/>
        <w:rPr>
          <w:b/>
          <w:lang w:val="fr-FR"/>
        </w:rPr>
      </w:pPr>
    </w:p>
    <w:tbl>
      <w:tblPr>
        <w:tblW w:w="9807" w:type="dxa"/>
        <w:tblLook w:val="0000" w:firstRow="0" w:lastRow="0" w:firstColumn="0" w:lastColumn="0" w:noHBand="0" w:noVBand="0"/>
      </w:tblPr>
      <w:tblGrid>
        <w:gridCol w:w="5440"/>
        <w:gridCol w:w="2950"/>
        <w:gridCol w:w="1417"/>
      </w:tblGrid>
      <w:tr w:rsidR="004C0E7A" w:rsidRPr="004C0E7A" w:rsidTr="0024427E">
        <w:trPr>
          <w:trHeight w:val="414"/>
          <w:tblHeader/>
        </w:trPr>
        <w:tc>
          <w:tcPr>
            <w:tcW w:w="5440" w:type="dxa"/>
            <w:tcBorders>
              <w:top w:val="single" w:sz="4" w:space="0" w:color="auto"/>
              <w:left w:val="single" w:sz="4" w:space="0" w:color="auto"/>
              <w:bottom w:val="single" w:sz="4" w:space="0" w:color="auto"/>
              <w:right w:val="single" w:sz="4" w:space="0" w:color="auto"/>
            </w:tcBorders>
            <w:shd w:val="clear" w:color="auto" w:fill="C0C0C0"/>
            <w:tcMar>
              <w:top w:w="23" w:type="dxa"/>
              <w:bottom w:w="23" w:type="dxa"/>
            </w:tcMar>
            <w:vAlign w:val="center"/>
          </w:tcPr>
          <w:p w:rsidR="00E32ADE" w:rsidRPr="004C0E7A" w:rsidRDefault="00E32ADE" w:rsidP="0024427E">
            <w:pPr>
              <w:jc w:val="center"/>
              <w:rPr>
                <w:rFonts w:eastAsia="Times New Roman"/>
                <w:b/>
                <w:bCs/>
                <w:sz w:val="18"/>
                <w:szCs w:val="18"/>
                <w:lang w:val="fr-FR" w:eastAsia="en-US"/>
              </w:rPr>
            </w:pPr>
            <w:r w:rsidRPr="004C0E7A">
              <w:rPr>
                <w:rFonts w:eastAsia="Times New Roman"/>
                <w:b/>
                <w:bCs/>
                <w:sz w:val="18"/>
                <w:szCs w:val="18"/>
                <w:lang w:val="fr-FR" w:eastAsia="en-US"/>
              </w:rPr>
              <w:t>Plan</w:t>
            </w:r>
          </w:p>
        </w:tc>
        <w:tc>
          <w:tcPr>
            <w:tcW w:w="2950" w:type="dxa"/>
            <w:tcBorders>
              <w:top w:val="single" w:sz="4" w:space="0" w:color="auto"/>
              <w:left w:val="nil"/>
              <w:bottom w:val="single" w:sz="4" w:space="0" w:color="auto"/>
              <w:right w:val="single" w:sz="4" w:space="0" w:color="auto"/>
            </w:tcBorders>
            <w:shd w:val="clear" w:color="auto" w:fill="C0C0C0"/>
            <w:tcMar>
              <w:top w:w="23" w:type="dxa"/>
              <w:bottom w:w="23" w:type="dxa"/>
            </w:tcMar>
            <w:vAlign w:val="center"/>
          </w:tcPr>
          <w:p w:rsidR="00E32ADE" w:rsidRPr="004C0E7A" w:rsidRDefault="00E76BD7" w:rsidP="0024427E">
            <w:pPr>
              <w:jc w:val="center"/>
              <w:rPr>
                <w:rFonts w:eastAsia="Times New Roman"/>
                <w:b/>
                <w:bCs/>
                <w:sz w:val="18"/>
                <w:szCs w:val="18"/>
                <w:lang w:val="fr-FR" w:eastAsia="en-US"/>
              </w:rPr>
            </w:pPr>
            <w:r w:rsidRPr="004C0E7A">
              <w:rPr>
                <w:rFonts w:eastAsia="Times New Roman"/>
                <w:b/>
                <w:bCs/>
                <w:sz w:val="18"/>
                <w:szCs w:val="18"/>
                <w:lang w:val="fr-FR" w:eastAsia="en-US"/>
              </w:rPr>
              <w:t>Secteur</w:t>
            </w:r>
          </w:p>
        </w:tc>
        <w:tc>
          <w:tcPr>
            <w:tcW w:w="1417" w:type="dxa"/>
            <w:tcBorders>
              <w:top w:val="single" w:sz="4" w:space="0" w:color="auto"/>
              <w:left w:val="nil"/>
              <w:bottom w:val="single" w:sz="4" w:space="0" w:color="auto"/>
              <w:right w:val="single" w:sz="4" w:space="0" w:color="auto"/>
            </w:tcBorders>
            <w:shd w:val="clear" w:color="auto" w:fill="C0C0C0"/>
            <w:tcMar>
              <w:top w:w="23" w:type="dxa"/>
              <w:bottom w:w="23" w:type="dxa"/>
            </w:tcMar>
            <w:vAlign w:val="center"/>
          </w:tcPr>
          <w:p w:rsidR="00E32ADE" w:rsidRPr="004C0E7A" w:rsidRDefault="00E76BD7" w:rsidP="0024427E">
            <w:pPr>
              <w:jc w:val="center"/>
              <w:rPr>
                <w:rFonts w:eastAsia="Times New Roman"/>
                <w:b/>
                <w:bCs/>
                <w:sz w:val="18"/>
                <w:szCs w:val="18"/>
                <w:lang w:val="fr-FR" w:eastAsia="en-US"/>
              </w:rPr>
            </w:pPr>
            <w:r w:rsidRPr="004C0E7A">
              <w:rPr>
                <w:rFonts w:eastAsia="Times New Roman"/>
                <w:b/>
                <w:bCs/>
                <w:sz w:val="18"/>
                <w:szCs w:val="18"/>
                <w:lang w:val="fr-FR" w:eastAsia="en-US"/>
              </w:rPr>
              <w:t>État d</w:t>
            </w:r>
            <w:r w:rsidR="000055C7" w:rsidRPr="004C0E7A">
              <w:rPr>
                <w:rFonts w:eastAsia="Times New Roman"/>
                <w:b/>
                <w:bCs/>
                <w:sz w:val="18"/>
                <w:szCs w:val="18"/>
                <w:lang w:val="fr-FR" w:eastAsia="en-US"/>
              </w:rPr>
              <w:t>’</w:t>
            </w:r>
            <w:r w:rsidRPr="004C0E7A">
              <w:rPr>
                <w:rFonts w:eastAsia="Times New Roman"/>
                <w:b/>
                <w:bCs/>
                <w:sz w:val="18"/>
                <w:szCs w:val="18"/>
                <w:lang w:val="fr-FR" w:eastAsia="en-US"/>
              </w:rPr>
              <w:t>avancement</w:t>
            </w:r>
          </w:p>
        </w:tc>
      </w:tr>
      <w:tr w:rsidR="004C0E7A" w:rsidRPr="004C0E7A" w:rsidTr="0024427E">
        <w:trPr>
          <w:trHeight w:val="414"/>
        </w:trPr>
        <w:tc>
          <w:tcPr>
            <w:tcW w:w="5440" w:type="dxa"/>
            <w:tcBorders>
              <w:top w:val="single" w:sz="4" w:space="0" w:color="auto"/>
              <w:left w:val="single" w:sz="4" w:space="0" w:color="auto"/>
              <w:bottom w:val="single" w:sz="4" w:space="0" w:color="auto"/>
              <w:right w:val="single" w:sz="4" w:space="0" w:color="auto"/>
            </w:tcBorders>
            <w:shd w:val="clear" w:color="auto" w:fill="auto"/>
            <w:tcMar>
              <w:top w:w="23" w:type="dxa"/>
              <w:bottom w:w="23" w:type="dxa"/>
            </w:tcMar>
            <w:vAlign w:val="center"/>
          </w:tcPr>
          <w:p w:rsidR="00E32ADE" w:rsidRPr="004C0E7A" w:rsidRDefault="00E76BD7" w:rsidP="0024427E">
            <w:pPr>
              <w:rPr>
                <w:rFonts w:eastAsia="Times New Roman"/>
                <w:sz w:val="18"/>
                <w:szCs w:val="18"/>
                <w:lang w:val="fr-FR" w:eastAsia="en-US"/>
              </w:rPr>
            </w:pPr>
            <w:r w:rsidRPr="004C0E7A">
              <w:rPr>
                <w:rFonts w:eastAsia="Times New Roman"/>
                <w:sz w:val="18"/>
                <w:szCs w:val="18"/>
                <w:lang w:val="fr-FR" w:eastAsia="en-US"/>
              </w:rPr>
              <w:t>EVAL 2015</w:t>
            </w:r>
            <w:r w:rsidR="008E117E" w:rsidRPr="004C0E7A">
              <w:rPr>
                <w:rFonts w:eastAsia="Times New Roman"/>
                <w:sz w:val="18"/>
                <w:szCs w:val="18"/>
                <w:lang w:val="fr-FR" w:eastAsia="en-US"/>
              </w:rPr>
              <w:noBreakHyphen/>
            </w:r>
            <w:r w:rsidRPr="004C0E7A">
              <w:rPr>
                <w:rFonts w:eastAsia="Times New Roman"/>
                <w:sz w:val="18"/>
                <w:szCs w:val="18"/>
                <w:lang w:val="fr-FR" w:eastAsia="en-US"/>
              </w:rPr>
              <w:t xml:space="preserve">01 – </w:t>
            </w:r>
            <w:r w:rsidR="00637FDD" w:rsidRPr="004C0E7A">
              <w:rPr>
                <w:rFonts w:eastAsia="Times New Roman"/>
                <w:sz w:val="18"/>
                <w:szCs w:val="18"/>
                <w:lang w:val="fr-FR" w:eastAsia="en-US"/>
              </w:rPr>
              <w:t>Programme </w:t>
            </w:r>
            <w:r w:rsidRPr="004C0E7A">
              <w:rPr>
                <w:rFonts w:eastAsia="Times New Roman"/>
                <w:sz w:val="18"/>
                <w:szCs w:val="18"/>
                <w:lang w:val="fr-FR" w:eastAsia="en-US"/>
              </w:rPr>
              <w:t>3</w:t>
            </w:r>
            <w:r w:rsidR="00045FD8" w:rsidRPr="004C0E7A">
              <w:rPr>
                <w:rFonts w:eastAsia="Times New Roman"/>
                <w:sz w:val="18"/>
                <w:szCs w:val="18"/>
                <w:lang w:val="fr-FR" w:eastAsia="en-US"/>
              </w:rPr>
              <w:t> </w:t>
            </w:r>
            <w:r w:rsidRPr="004C0E7A">
              <w:rPr>
                <w:rFonts w:eastAsia="Times New Roman"/>
                <w:sz w:val="18"/>
                <w:szCs w:val="18"/>
                <w:lang w:val="fr-FR" w:eastAsia="en-US"/>
              </w:rPr>
              <w:t>: Droit d</w:t>
            </w:r>
            <w:r w:rsidR="000055C7" w:rsidRPr="004C0E7A">
              <w:rPr>
                <w:rFonts w:eastAsia="Times New Roman"/>
                <w:sz w:val="18"/>
                <w:szCs w:val="18"/>
                <w:lang w:val="fr-FR" w:eastAsia="en-US"/>
              </w:rPr>
              <w:t>’</w:t>
            </w:r>
            <w:r w:rsidRPr="004C0E7A">
              <w:rPr>
                <w:rFonts w:eastAsia="Times New Roman"/>
                <w:sz w:val="18"/>
                <w:szCs w:val="18"/>
                <w:lang w:val="fr-FR" w:eastAsia="en-US"/>
              </w:rPr>
              <w:t>auteur et droits connexes</w:t>
            </w:r>
          </w:p>
        </w:tc>
        <w:tc>
          <w:tcPr>
            <w:tcW w:w="2950" w:type="dxa"/>
            <w:tcBorders>
              <w:top w:val="nil"/>
              <w:left w:val="nil"/>
              <w:bottom w:val="single" w:sz="4" w:space="0" w:color="auto"/>
              <w:right w:val="single" w:sz="4" w:space="0" w:color="auto"/>
            </w:tcBorders>
            <w:shd w:val="clear" w:color="auto" w:fill="auto"/>
            <w:tcMar>
              <w:top w:w="23" w:type="dxa"/>
              <w:bottom w:w="23" w:type="dxa"/>
            </w:tcMar>
            <w:vAlign w:val="center"/>
          </w:tcPr>
          <w:p w:rsidR="00E32ADE" w:rsidRPr="004C0E7A" w:rsidRDefault="00E76BD7" w:rsidP="00794EC0">
            <w:pPr>
              <w:jc w:val="center"/>
              <w:rPr>
                <w:rFonts w:eastAsia="Times New Roman"/>
                <w:sz w:val="18"/>
                <w:szCs w:val="18"/>
                <w:lang w:val="fr-FR" w:eastAsia="en-US"/>
              </w:rPr>
            </w:pPr>
            <w:r w:rsidRPr="004C0E7A">
              <w:rPr>
                <w:rFonts w:eastAsia="Times New Roman"/>
                <w:sz w:val="18"/>
                <w:szCs w:val="18"/>
                <w:lang w:val="fr-FR" w:eastAsia="en-US"/>
              </w:rPr>
              <w:t>Industries de la création</w:t>
            </w:r>
          </w:p>
        </w:tc>
        <w:tc>
          <w:tcPr>
            <w:tcW w:w="1417" w:type="dxa"/>
            <w:tcBorders>
              <w:top w:val="nil"/>
              <w:left w:val="nil"/>
              <w:bottom w:val="single" w:sz="4" w:space="0" w:color="auto"/>
              <w:right w:val="single" w:sz="4" w:space="0" w:color="auto"/>
            </w:tcBorders>
            <w:shd w:val="clear" w:color="auto" w:fill="FFFF00"/>
            <w:tcMar>
              <w:top w:w="23" w:type="dxa"/>
              <w:bottom w:w="23" w:type="dxa"/>
            </w:tcMar>
            <w:vAlign w:val="center"/>
          </w:tcPr>
          <w:p w:rsidR="00E32ADE" w:rsidRPr="004C0E7A" w:rsidRDefault="00E32ADE" w:rsidP="00794EC0">
            <w:pPr>
              <w:jc w:val="center"/>
              <w:rPr>
                <w:sz w:val="18"/>
                <w:szCs w:val="18"/>
                <w:lang w:val="fr-FR"/>
              </w:rPr>
            </w:pPr>
          </w:p>
        </w:tc>
      </w:tr>
      <w:tr w:rsidR="004C0E7A" w:rsidRPr="004C0E7A" w:rsidTr="0024427E">
        <w:trPr>
          <w:trHeight w:val="414"/>
        </w:trPr>
        <w:tc>
          <w:tcPr>
            <w:tcW w:w="5440" w:type="dxa"/>
            <w:tcBorders>
              <w:top w:val="single" w:sz="4" w:space="0" w:color="auto"/>
              <w:left w:val="single" w:sz="4" w:space="0" w:color="auto"/>
              <w:bottom w:val="single" w:sz="4" w:space="0" w:color="auto"/>
              <w:right w:val="single" w:sz="4" w:space="0" w:color="auto"/>
            </w:tcBorders>
            <w:shd w:val="clear" w:color="auto" w:fill="auto"/>
            <w:tcMar>
              <w:top w:w="23" w:type="dxa"/>
              <w:bottom w:w="23" w:type="dxa"/>
            </w:tcMar>
            <w:vAlign w:val="center"/>
          </w:tcPr>
          <w:p w:rsidR="00F76F40" w:rsidRPr="004C0E7A" w:rsidRDefault="00E76BD7" w:rsidP="0024427E">
            <w:pPr>
              <w:rPr>
                <w:rFonts w:eastAsia="Times New Roman"/>
                <w:sz w:val="18"/>
                <w:szCs w:val="18"/>
                <w:lang w:val="fr-FR" w:eastAsia="en-US"/>
              </w:rPr>
            </w:pPr>
            <w:r w:rsidRPr="004C0E7A">
              <w:rPr>
                <w:rFonts w:eastAsia="Times New Roman"/>
                <w:sz w:val="18"/>
                <w:szCs w:val="18"/>
                <w:lang w:val="fr-FR" w:eastAsia="en-US"/>
              </w:rPr>
              <w:t>EVAL 2015</w:t>
            </w:r>
            <w:r w:rsidR="008E117E" w:rsidRPr="004C0E7A">
              <w:rPr>
                <w:rFonts w:eastAsia="Times New Roman"/>
                <w:sz w:val="18"/>
                <w:szCs w:val="18"/>
                <w:lang w:val="fr-FR" w:eastAsia="en-US"/>
              </w:rPr>
              <w:noBreakHyphen/>
            </w:r>
            <w:r w:rsidRPr="004C0E7A">
              <w:rPr>
                <w:rFonts w:eastAsia="Times New Roman"/>
                <w:sz w:val="18"/>
                <w:szCs w:val="18"/>
                <w:lang w:val="fr-FR" w:eastAsia="en-US"/>
              </w:rPr>
              <w:t>02</w:t>
            </w:r>
            <w:r w:rsidR="000055C7" w:rsidRPr="004C0E7A">
              <w:rPr>
                <w:rFonts w:eastAsia="Times New Roman"/>
                <w:sz w:val="18"/>
                <w:szCs w:val="18"/>
                <w:lang w:val="fr-FR" w:eastAsia="en-US"/>
              </w:rPr>
              <w:t xml:space="preserve"> – </w:t>
            </w:r>
            <w:r w:rsidR="00637FDD" w:rsidRPr="004C0E7A">
              <w:rPr>
                <w:rFonts w:eastAsia="Times New Roman"/>
                <w:sz w:val="18"/>
                <w:szCs w:val="18"/>
                <w:lang w:val="fr-FR" w:eastAsia="en-US"/>
              </w:rPr>
              <w:t>É</w:t>
            </w:r>
            <w:r w:rsidRPr="004C0E7A">
              <w:rPr>
                <w:rFonts w:eastAsia="Times New Roman"/>
                <w:sz w:val="18"/>
                <w:szCs w:val="18"/>
                <w:lang w:val="fr-FR" w:eastAsia="en-US"/>
              </w:rPr>
              <w:t>valuation de l</w:t>
            </w:r>
            <w:r w:rsidR="000055C7" w:rsidRPr="004C0E7A">
              <w:rPr>
                <w:rFonts w:eastAsia="Times New Roman"/>
                <w:sz w:val="18"/>
                <w:szCs w:val="18"/>
                <w:lang w:val="fr-FR" w:eastAsia="en-US"/>
              </w:rPr>
              <w:t>’</w:t>
            </w:r>
            <w:r w:rsidRPr="004C0E7A">
              <w:rPr>
                <w:rFonts w:eastAsia="Times New Roman"/>
                <w:sz w:val="18"/>
                <w:szCs w:val="18"/>
                <w:lang w:val="fr-FR" w:eastAsia="en-US"/>
              </w:rPr>
              <w:t>assistance fournie par l</w:t>
            </w:r>
            <w:r w:rsidR="000055C7" w:rsidRPr="004C0E7A">
              <w:rPr>
                <w:rFonts w:eastAsia="Times New Roman"/>
                <w:sz w:val="18"/>
                <w:szCs w:val="18"/>
                <w:lang w:val="fr-FR" w:eastAsia="en-US"/>
              </w:rPr>
              <w:t>’</w:t>
            </w:r>
            <w:r w:rsidRPr="004C0E7A">
              <w:rPr>
                <w:rFonts w:eastAsia="Times New Roman"/>
                <w:sz w:val="18"/>
                <w:szCs w:val="18"/>
                <w:lang w:val="fr-FR" w:eastAsia="en-US"/>
              </w:rPr>
              <w:t>OMPI</w:t>
            </w:r>
            <w:r w:rsidR="000055C7" w:rsidRPr="004C0E7A">
              <w:rPr>
                <w:rFonts w:eastAsia="Times New Roman"/>
                <w:sz w:val="18"/>
                <w:szCs w:val="18"/>
                <w:lang w:val="fr-FR" w:eastAsia="en-US"/>
              </w:rPr>
              <w:t xml:space="preserve"> aux PMA</w:t>
            </w:r>
          </w:p>
        </w:tc>
        <w:tc>
          <w:tcPr>
            <w:tcW w:w="2950" w:type="dxa"/>
            <w:tcBorders>
              <w:top w:val="nil"/>
              <w:left w:val="nil"/>
              <w:bottom w:val="single" w:sz="4" w:space="0" w:color="auto"/>
              <w:right w:val="single" w:sz="4" w:space="0" w:color="auto"/>
            </w:tcBorders>
            <w:shd w:val="clear" w:color="auto" w:fill="auto"/>
            <w:tcMar>
              <w:top w:w="23" w:type="dxa"/>
              <w:bottom w:w="23" w:type="dxa"/>
            </w:tcMar>
            <w:vAlign w:val="center"/>
          </w:tcPr>
          <w:p w:rsidR="00F76F40" w:rsidRPr="004C0E7A" w:rsidRDefault="00E76BD7" w:rsidP="00794EC0">
            <w:pPr>
              <w:jc w:val="center"/>
              <w:rPr>
                <w:rFonts w:eastAsia="Times New Roman"/>
                <w:sz w:val="18"/>
                <w:szCs w:val="18"/>
                <w:lang w:val="fr-FR" w:eastAsia="en-US"/>
              </w:rPr>
            </w:pPr>
            <w:r w:rsidRPr="004C0E7A">
              <w:rPr>
                <w:rFonts w:eastAsia="Times New Roman"/>
                <w:sz w:val="18"/>
                <w:szCs w:val="18"/>
                <w:lang w:val="fr-FR" w:eastAsia="en-US"/>
              </w:rPr>
              <w:t>Développement</w:t>
            </w:r>
          </w:p>
        </w:tc>
        <w:tc>
          <w:tcPr>
            <w:tcW w:w="1417" w:type="dxa"/>
            <w:tcBorders>
              <w:top w:val="single" w:sz="4" w:space="0" w:color="auto"/>
              <w:left w:val="nil"/>
              <w:bottom w:val="single" w:sz="4" w:space="0" w:color="auto"/>
              <w:right w:val="single" w:sz="4" w:space="0" w:color="auto"/>
            </w:tcBorders>
            <w:shd w:val="clear" w:color="auto" w:fill="auto"/>
            <w:tcMar>
              <w:top w:w="23" w:type="dxa"/>
              <w:bottom w:w="23" w:type="dxa"/>
            </w:tcMar>
            <w:vAlign w:val="center"/>
          </w:tcPr>
          <w:p w:rsidR="00F76F40" w:rsidRPr="004C0E7A" w:rsidRDefault="00F76F40" w:rsidP="00794EC0">
            <w:pPr>
              <w:jc w:val="center"/>
              <w:rPr>
                <w:sz w:val="18"/>
                <w:szCs w:val="18"/>
                <w:lang w:val="fr-FR"/>
              </w:rPr>
            </w:pPr>
          </w:p>
        </w:tc>
      </w:tr>
      <w:tr w:rsidR="004C0E7A" w:rsidRPr="004C0E7A" w:rsidTr="0024427E">
        <w:trPr>
          <w:trHeight w:val="414"/>
        </w:trPr>
        <w:tc>
          <w:tcPr>
            <w:tcW w:w="5440" w:type="dxa"/>
            <w:tcBorders>
              <w:top w:val="single" w:sz="4" w:space="0" w:color="auto"/>
              <w:left w:val="single" w:sz="4" w:space="0" w:color="auto"/>
              <w:bottom w:val="single" w:sz="4" w:space="0" w:color="auto"/>
              <w:right w:val="single" w:sz="4" w:space="0" w:color="auto"/>
            </w:tcBorders>
            <w:shd w:val="clear" w:color="auto" w:fill="auto"/>
            <w:tcMar>
              <w:top w:w="23" w:type="dxa"/>
              <w:bottom w:w="23" w:type="dxa"/>
            </w:tcMar>
            <w:vAlign w:val="center"/>
          </w:tcPr>
          <w:p w:rsidR="005242EE" w:rsidRPr="004C0E7A" w:rsidRDefault="00A07210" w:rsidP="0024427E">
            <w:pPr>
              <w:rPr>
                <w:rFonts w:eastAsia="Times New Roman"/>
                <w:sz w:val="18"/>
                <w:szCs w:val="18"/>
                <w:lang w:val="fr-FR" w:eastAsia="en-US"/>
              </w:rPr>
            </w:pPr>
            <w:r w:rsidRPr="004C0E7A">
              <w:rPr>
                <w:rFonts w:eastAsia="Times New Roman"/>
                <w:sz w:val="18"/>
                <w:szCs w:val="18"/>
                <w:lang w:val="fr-FR" w:eastAsia="en-US"/>
              </w:rPr>
              <w:t>IA 2015</w:t>
            </w:r>
            <w:r w:rsidR="008E117E" w:rsidRPr="004C0E7A">
              <w:rPr>
                <w:rFonts w:eastAsia="Times New Roman"/>
                <w:sz w:val="18"/>
                <w:szCs w:val="18"/>
                <w:lang w:val="fr-FR" w:eastAsia="en-US"/>
              </w:rPr>
              <w:noBreakHyphen/>
            </w:r>
            <w:r w:rsidRPr="004C0E7A">
              <w:rPr>
                <w:rFonts w:eastAsia="Times New Roman"/>
                <w:sz w:val="18"/>
                <w:szCs w:val="18"/>
                <w:lang w:val="fr-FR" w:eastAsia="en-US"/>
              </w:rPr>
              <w:t>01 Examen de la gestion de la continuité des opérations</w:t>
            </w:r>
          </w:p>
        </w:tc>
        <w:tc>
          <w:tcPr>
            <w:tcW w:w="2950" w:type="dxa"/>
            <w:tcBorders>
              <w:top w:val="nil"/>
              <w:left w:val="nil"/>
              <w:bottom w:val="single" w:sz="4" w:space="0" w:color="auto"/>
              <w:right w:val="single" w:sz="4" w:space="0" w:color="auto"/>
            </w:tcBorders>
            <w:shd w:val="clear" w:color="auto" w:fill="auto"/>
            <w:tcMar>
              <w:top w:w="23" w:type="dxa"/>
              <w:bottom w:w="23" w:type="dxa"/>
            </w:tcMar>
            <w:vAlign w:val="center"/>
          </w:tcPr>
          <w:p w:rsidR="005242EE" w:rsidRPr="004C0E7A" w:rsidRDefault="00A07210" w:rsidP="00794EC0">
            <w:pPr>
              <w:jc w:val="center"/>
              <w:rPr>
                <w:rFonts w:eastAsia="Times New Roman"/>
                <w:sz w:val="18"/>
                <w:szCs w:val="18"/>
                <w:lang w:val="fr-FR" w:eastAsia="en-US"/>
              </w:rPr>
            </w:pPr>
            <w:r w:rsidRPr="004C0E7A">
              <w:rPr>
                <w:rFonts w:eastAsia="Times New Roman"/>
                <w:sz w:val="18"/>
                <w:szCs w:val="18"/>
                <w:lang w:val="fr-FR" w:eastAsia="en-US"/>
              </w:rPr>
              <w:t>Multiples</w:t>
            </w:r>
          </w:p>
        </w:tc>
        <w:tc>
          <w:tcPr>
            <w:tcW w:w="1417" w:type="dxa"/>
            <w:tcBorders>
              <w:top w:val="single" w:sz="4" w:space="0" w:color="auto"/>
              <w:left w:val="nil"/>
              <w:bottom w:val="single" w:sz="4" w:space="0" w:color="auto"/>
              <w:right w:val="single" w:sz="4" w:space="0" w:color="auto"/>
            </w:tcBorders>
            <w:shd w:val="clear" w:color="auto" w:fill="FFFF00"/>
            <w:tcMar>
              <w:top w:w="23" w:type="dxa"/>
              <w:bottom w:w="23" w:type="dxa"/>
            </w:tcMar>
            <w:vAlign w:val="center"/>
          </w:tcPr>
          <w:p w:rsidR="005242EE" w:rsidRPr="004C0E7A" w:rsidRDefault="005242EE" w:rsidP="00794EC0">
            <w:pPr>
              <w:jc w:val="center"/>
              <w:rPr>
                <w:sz w:val="18"/>
                <w:szCs w:val="18"/>
                <w:highlight w:val="yellow"/>
                <w:lang w:val="fr-FR"/>
              </w:rPr>
            </w:pPr>
          </w:p>
        </w:tc>
      </w:tr>
      <w:tr w:rsidR="004C0E7A" w:rsidRPr="004C0E7A" w:rsidTr="0024427E">
        <w:trPr>
          <w:trHeight w:val="414"/>
        </w:trPr>
        <w:tc>
          <w:tcPr>
            <w:tcW w:w="5440" w:type="dxa"/>
            <w:tcBorders>
              <w:top w:val="single" w:sz="4" w:space="0" w:color="auto"/>
              <w:left w:val="single" w:sz="4" w:space="0" w:color="auto"/>
              <w:bottom w:val="single" w:sz="4" w:space="0" w:color="auto"/>
              <w:right w:val="single" w:sz="4" w:space="0" w:color="auto"/>
            </w:tcBorders>
            <w:shd w:val="clear" w:color="auto" w:fill="auto"/>
            <w:tcMar>
              <w:top w:w="23" w:type="dxa"/>
              <w:bottom w:w="23" w:type="dxa"/>
            </w:tcMar>
            <w:vAlign w:val="center"/>
          </w:tcPr>
          <w:p w:rsidR="005242EE" w:rsidRPr="004C0E7A" w:rsidRDefault="00A07210" w:rsidP="0024427E">
            <w:pPr>
              <w:rPr>
                <w:rFonts w:eastAsia="Times New Roman"/>
                <w:sz w:val="18"/>
                <w:szCs w:val="18"/>
                <w:lang w:val="fr-FR" w:eastAsia="en-US"/>
              </w:rPr>
            </w:pPr>
            <w:r w:rsidRPr="004C0E7A">
              <w:rPr>
                <w:rFonts w:eastAsia="Times New Roman"/>
                <w:sz w:val="18"/>
                <w:szCs w:val="18"/>
                <w:lang w:val="fr-FR" w:eastAsia="en-US"/>
              </w:rPr>
              <w:t>IA 2015</w:t>
            </w:r>
            <w:r w:rsidR="008E117E" w:rsidRPr="004C0E7A">
              <w:rPr>
                <w:rFonts w:eastAsia="Times New Roman"/>
                <w:sz w:val="18"/>
                <w:szCs w:val="18"/>
                <w:lang w:val="fr-FR" w:eastAsia="en-US"/>
              </w:rPr>
              <w:noBreakHyphen/>
            </w:r>
            <w:r w:rsidRPr="004C0E7A">
              <w:rPr>
                <w:rFonts w:eastAsia="Times New Roman"/>
                <w:sz w:val="18"/>
                <w:szCs w:val="18"/>
                <w:lang w:val="fr-FR" w:eastAsia="en-US"/>
              </w:rPr>
              <w:t xml:space="preserve">02 </w:t>
            </w:r>
            <w:r w:rsidR="007F0E24" w:rsidRPr="004C0E7A">
              <w:rPr>
                <w:rFonts w:eastAsia="Times New Roman"/>
                <w:sz w:val="18"/>
                <w:szCs w:val="18"/>
                <w:lang w:val="fr-FR" w:eastAsia="en-US"/>
              </w:rPr>
              <w:t>A</w:t>
            </w:r>
            <w:r w:rsidRPr="004C0E7A">
              <w:rPr>
                <w:rFonts w:eastAsia="Times New Roman"/>
                <w:sz w:val="18"/>
                <w:szCs w:val="18"/>
                <w:lang w:val="fr-FR" w:eastAsia="en-US"/>
              </w:rPr>
              <w:t>udit de l</w:t>
            </w:r>
            <w:r w:rsidR="000055C7" w:rsidRPr="004C0E7A">
              <w:rPr>
                <w:rFonts w:eastAsia="Times New Roman"/>
                <w:sz w:val="18"/>
                <w:szCs w:val="18"/>
                <w:lang w:val="fr-FR" w:eastAsia="en-US"/>
              </w:rPr>
              <w:t>’</w:t>
            </w:r>
            <w:r w:rsidRPr="004C0E7A">
              <w:rPr>
                <w:rFonts w:eastAsia="Times New Roman"/>
                <w:sz w:val="18"/>
                <w:szCs w:val="18"/>
                <w:lang w:val="fr-FR" w:eastAsia="en-US"/>
              </w:rPr>
              <w:t>Académie de l</w:t>
            </w:r>
            <w:r w:rsidR="000055C7" w:rsidRPr="004C0E7A">
              <w:rPr>
                <w:rFonts w:eastAsia="Times New Roman"/>
                <w:sz w:val="18"/>
                <w:szCs w:val="18"/>
                <w:lang w:val="fr-FR" w:eastAsia="en-US"/>
              </w:rPr>
              <w:t>’</w:t>
            </w:r>
            <w:r w:rsidRPr="004C0E7A">
              <w:rPr>
                <w:rFonts w:eastAsia="Times New Roman"/>
                <w:sz w:val="18"/>
                <w:szCs w:val="18"/>
                <w:lang w:val="fr-FR" w:eastAsia="en-US"/>
              </w:rPr>
              <w:t>OMPI</w:t>
            </w:r>
          </w:p>
        </w:tc>
        <w:tc>
          <w:tcPr>
            <w:tcW w:w="2950" w:type="dxa"/>
            <w:tcBorders>
              <w:top w:val="nil"/>
              <w:left w:val="nil"/>
              <w:bottom w:val="single" w:sz="4" w:space="0" w:color="auto"/>
              <w:right w:val="single" w:sz="4" w:space="0" w:color="auto"/>
            </w:tcBorders>
            <w:shd w:val="clear" w:color="auto" w:fill="auto"/>
            <w:tcMar>
              <w:top w:w="23" w:type="dxa"/>
              <w:bottom w:w="23" w:type="dxa"/>
            </w:tcMar>
            <w:vAlign w:val="center"/>
          </w:tcPr>
          <w:p w:rsidR="005242EE" w:rsidRPr="004C0E7A" w:rsidRDefault="00A07210" w:rsidP="00794EC0">
            <w:pPr>
              <w:jc w:val="center"/>
              <w:rPr>
                <w:rFonts w:eastAsia="Times New Roman"/>
                <w:sz w:val="18"/>
                <w:szCs w:val="18"/>
                <w:lang w:val="fr-FR" w:eastAsia="en-US"/>
              </w:rPr>
            </w:pPr>
            <w:r w:rsidRPr="004C0E7A">
              <w:rPr>
                <w:rFonts w:eastAsia="Times New Roman"/>
                <w:sz w:val="18"/>
                <w:szCs w:val="18"/>
                <w:lang w:val="fr-FR" w:eastAsia="en-US"/>
              </w:rPr>
              <w:t>Développement</w:t>
            </w:r>
          </w:p>
        </w:tc>
        <w:tc>
          <w:tcPr>
            <w:tcW w:w="1417" w:type="dxa"/>
            <w:tcBorders>
              <w:top w:val="single" w:sz="4" w:space="0" w:color="auto"/>
              <w:left w:val="nil"/>
              <w:bottom w:val="single" w:sz="4" w:space="0" w:color="auto"/>
              <w:right w:val="single" w:sz="4" w:space="0" w:color="auto"/>
            </w:tcBorders>
            <w:shd w:val="clear" w:color="auto" w:fill="92D050"/>
            <w:tcMar>
              <w:top w:w="23" w:type="dxa"/>
              <w:bottom w:w="23" w:type="dxa"/>
            </w:tcMar>
            <w:vAlign w:val="center"/>
          </w:tcPr>
          <w:p w:rsidR="005242EE" w:rsidRPr="004C0E7A" w:rsidRDefault="005242EE" w:rsidP="00794EC0">
            <w:pPr>
              <w:jc w:val="center"/>
              <w:rPr>
                <w:sz w:val="18"/>
                <w:szCs w:val="18"/>
                <w:highlight w:val="yellow"/>
                <w:lang w:val="fr-FR"/>
              </w:rPr>
            </w:pPr>
          </w:p>
        </w:tc>
      </w:tr>
      <w:tr w:rsidR="004C0E7A" w:rsidRPr="004C0E7A" w:rsidTr="0024427E">
        <w:trPr>
          <w:trHeight w:val="414"/>
        </w:trPr>
        <w:tc>
          <w:tcPr>
            <w:tcW w:w="5440" w:type="dxa"/>
            <w:tcBorders>
              <w:top w:val="single" w:sz="4" w:space="0" w:color="auto"/>
              <w:left w:val="single" w:sz="4" w:space="0" w:color="auto"/>
              <w:bottom w:val="single" w:sz="4" w:space="0" w:color="auto"/>
              <w:right w:val="single" w:sz="4" w:space="0" w:color="auto"/>
            </w:tcBorders>
            <w:shd w:val="clear" w:color="auto" w:fill="auto"/>
            <w:tcMar>
              <w:top w:w="23" w:type="dxa"/>
              <w:bottom w:w="23" w:type="dxa"/>
            </w:tcMar>
            <w:vAlign w:val="center"/>
          </w:tcPr>
          <w:p w:rsidR="005242EE" w:rsidRPr="004C0E7A" w:rsidRDefault="00A07210" w:rsidP="0024427E">
            <w:pPr>
              <w:rPr>
                <w:rFonts w:eastAsia="Times New Roman"/>
                <w:sz w:val="18"/>
                <w:szCs w:val="18"/>
                <w:lang w:val="fr-FR" w:eastAsia="en-US"/>
              </w:rPr>
            </w:pPr>
            <w:r w:rsidRPr="004C0E7A">
              <w:rPr>
                <w:rFonts w:eastAsia="Times New Roman"/>
                <w:sz w:val="18"/>
                <w:szCs w:val="18"/>
                <w:lang w:val="fr-FR" w:eastAsia="en-US"/>
              </w:rPr>
              <w:t>IA 2015</w:t>
            </w:r>
            <w:r w:rsidR="008E117E" w:rsidRPr="004C0E7A">
              <w:rPr>
                <w:rFonts w:eastAsia="Times New Roman"/>
                <w:sz w:val="18"/>
                <w:szCs w:val="18"/>
                <w:lang w:val="fr-FR" w:eastAsia="en-US"/>
              </w:rPr>
              <w:noBreakHyphen/>
            </w:r>
            <w:r w:rsidRPr="004C0E7A">
              <w:rPr>
                <w:rFonts w:eastAsia="Times New Roman"/>
                <w:sz w:val="18"/>
                <w:szCs w:val="18"/>
                <w:lang w:val="fr-FR" w:eastAsia="en-US"/>
              </w:rPr>
              <w:t>03 Audit du cadre de l</w:t>
            </w:r>
            <w:r w:rsidR="000055C7" w:rsidRPr="004C0E7A">
              <w:rPr>
                <w:rFonts w:eastAsia="Times New Roman"/>
                <w:sz w:val="18"/>
                <w:szCs w:val="18"/>
                <w:lang w:val="fr-FR" w:eastAsia="en-US"/>
              </w:rPr>
              <w:t>’</w:t>
            </w:r>
            <w:r w:rsidRPr="004C0E7A">
              <w:rPr>
                <w:rFonts w:eastAsia="Times New Roman"/>
                <w:sz w:val="18"/>
                <w:szCs w:val="18"/>
                <w:lang w:val="fr-FR" w:eastAsia="en-US"/>
              </w:rPr>
              <w:t>OMPI en matière d</w:t>
            </w:r>
            <w:r w:rsidR="000055C7" w:rsidRPr="004C0E7A">
              <w:rPr>
                <w:rFonts w:eastAsia="Times New Roman"/>
                <w:sz w:val="18"/>
                <w:szCs w:val="18"/>
                <w:lang w:val="fr-FR" w:eastAsia="en-US"/>
              </w:rPr>
              <w:t>’</w:t>
            </w:r>
            <w:r w:rsidRPr="004C0E7A">
              <w:rPr>
                <w:rFonts w:eastAsia="Times New Roman"/>
                <w:sz w:val="18"/>
                <w:szCs w:val="18"/>
                <w:lang w:val="fr-FR" w:eastAsia="en-US"/>
              </w:rPr>
              <w:t>éthique</w:t>
            </w:r>
            <w:r w:rsidRPr="004C0E7A">
              <w:rPr>
                <w:rStyle w:val="FootnoteReference"/>
                <w:rFonts w:eastAsia="Times New Roman"/>
                <w:sz w:val="18"/>
                <w:szCs w:val="18"/>
                <w:lang w:val="fr-FR" w:eastAsia="en-US"/>
              </w:rPr>
              <w:footnoteReference w:id="18"/>
            </w:r>
          </w:p>
        </w:tc>
        <w:tc>
          <w:tcPr>
            <w:tcW w:w="2950" w:type="dxa"/>
            <w:tcBorders>
              <w:top w:val="nil"/>
              <w:left w:val="nil"/>
              <w:bottom w:val="single" w:sz="4" w:space="0" w:color="auto"/>
              <w:right w:val="single" w:sz="4" w:space="0" w:color="auto"/>
            </w:tcBorders>
            <w:shd w:val="clear" w:color="auto" w:fill="auto"/>
            <w:tcMar>
              <w:top w:w="23" w:type="dxa"/>
              <w:bottom w:w="23" w:type="dxa"/>
            </w:tcMar>
            <w:vAlign w:val="center"/>
          </w:tcPr>
          <w:p w:rsidR="005242EE" w:rsidRPr="004C0E7A" w:rsidRDefault="00A07210" w:rsidP="00794EC0">
            <w:pPr>
              <w:jc w:val="center"/>
              <w:rPr>
                <w:rFonts w:eastAsia="Times New Roman"/>
                <w:sz w:val="18"/>
                <w:szCs w:val="18"/>
                <w:lang w:val="fr-FR" w:eastAsia="en-US"/>
              </w:rPr>
            </w:pPr>
            <w:r w:rsidRPr="004C0E7A">
              <w:rPr>
                <w:rFonts w:eastAsia="Times New Roman"/>
                <w:sz w:val="18"/>
                <w:szCs w:val="18"/>
                <w:lang w:val="fr-FR" w:eastAsia="en-US"/>
              </w:rPr>
              <w:t>Multiples</w:t>
            </w:r>
          </w:p>
        </w:tc>
        <w:tc>
          <w:tcPr>
            <w:tcW w:w="1417" w:type="dxa"/>
            <w:tcBorders>
              <w:top w:val="single" w:sz="4" w:space="0" w:color="auto"/>
              <w:left w:val="nil"/>
              <w:bottom w:val="single" w:sz="4" w:space="0" w:color="auto"/>
              <w:right w:val="single" w:sz="4" w:space="0" w:color="auto"/>
            </w:tcBorders>
            <w:shd w:val="clear" w:color="auto" w:fill="auto"/>
            <w:tcMar>
              <w:top w:w="23" w:type="dxa"/>
              <w:bottom w:w="23" w:type="dxa"/>
            </w:tcMar>
            <w:vAlign w:val="center"/>
          </w:tcPr>
          <w:p w:rsidR="005242EE" w:rsidRPr="004C0E7A" w:rsidRDefault="005242EE" w:rsidP="00794EC0">
            <w:pPr>
              <w:jc w:val="center"/>
              <w:rPr>
                <w:sz w:val="18"/>
                <w:szCs w:val="18"/>
                <w:highlight w:val="yellow"/>
                <w:lang w:val="fr-FR"/>
              </w:rPr>
            </w:pPr>
          </w:p>
        </w:tc>
      </w:tr>
      <w:tr w:rsidR="004C0E7A" w:rsidRPr="004C0E7A" w:rsidTr="0024427E">
        <w:trPr>
          <w:trHeight w:val="414"/>
        </w:trPr>
        <w:tc>
          <w:tcPr>
            <w:tcW w:w="5440" w:type="dxa"/>
            <w:tcBorders>
              <w:top w:val="single" w:sz="4" w:space="0" w:color="auto"/>
              <w:left w:val="single" w:sz="4" w:space="0" w:color="auto"/>
              <w:bottom w:val="single" w:sz="4" w:space="0" w:color="auto"/>
              <w:right w:val="single" w:sz="4" w:space="0" w:color="auto"/>
            </w:tcBorders>
            <w:shd w:val="clear" w:color="auto" w:fill="auto"/>
            <w:tcMar>
              <w:top w:w="23" w:type="dxa"/>
              <w:bottom w:w="23" w:type="dxa"/>
            </w:tcMar>
            <w:vAlign w:val="center"/>
          </w:tcPr>
          <w:p w:rsidR="005242EE" w:rsidRPr="004C0E7A" w:rsidRDefault="00A07210" w:rsidP="0024427E">
            <w:pPr>
              <w:rPr>
                <w:rFonts w:eastAsia="Times New Roman"/>
                <w:sz w:val="18"/>
                <w:szCs w:val="18"/>
                <w:lang w:val="fr-FR" w:eastAsia="en-US"/>
              </w:rPr>
            </w:pPr>
            <w:r w:rsidRPr="004C0E7A">
              <w:rPr>
                <w:rFonts w:eastAsia="Times New Roman"/>
                <w:sz w:val="18"/>
                <w:szCs w:val="18"/>
                <w:lang w:val="fr-FR" w:eastAsia="en-US"/>
              </w:rPr>
              <w:t>IA 2015</w:t>
            </w:r>
            <w:r w:rsidR="008E117E" w:rsidRPr="004C0E7A">
              <w:rPr>
                <w:rFonts w:eastAsia="Times New Roman"/>
                <w:sz w:val="18"/>
                <w:szCs w:val="18"/>
                <w:lang w:val="fr-FR" w:eastAsia="en-US"/>
              </w:rPr>
              <w:noBreakHyphen/>
            </w:r>
            <w:r w:rsidRPr="004C0E7A">
              <w:rPr>
                <w:rFonts w:eastAsia="Times New Roman"/>
                <w:sz w:val="18"/>
                <w:szCs w:val="18"/>
                <w:lang w:val="fr-FR" w:eastAsia="en-US"/>
              </w:rPr>
              <w:t xml:space="preserve">04 Audit de la gestion des performances du personnel </w:t>
            </w:r>
          </w:p>
        </w:tc>
        <w:tc>
          <w:tcPr>
            <w:tcW w:w="2950" w:type="dxa"/>
            <w:tcBorders>
              <w:top w:val="nil"/>
              <w:left w:val="nil"/>
              <w:bottom w:val="single" w:sz="4" w:space="0" w:color="auto"/>
              <w:right w:val="single" w:sz="4" w:space="0" w:color="auto"/>
            </w:tcBorders>
            <w:shd w:val="clear" w:color="auto" w:fill="auto"/>
            <w:tcMar>
              <w:top w:w="23" w:type="dxa"/>
              <w:bottom w:w="23" w:type="dxa"/>
            </w:tcMar>
            <w:vAlign w:val="center"/>
          </w:tcPr>
          <w:p w:rsidR="005242EE" w:rsidRPr="004C0E7A" w:rsidRDefault="00A07210" w:rsidP="00794EC0">
            <w:pPr>
              <w:jc w:val="center"/>
              <w:rPr>
                <w:rFonts w:eastAsia="Times New Roman"/>
                <w:sz w:val="18"/>
                <w:szCs w:val="18"/>
                <w:lang w:val="fr-FR" w:eastAsia="en-US"/>
              </w:rPr>
            </w:pPr>
            <w:r w:rsidRPr="004C0E7A">
              <w:rPr>
                <w:rFonts w:eastAsia="Times New Roman"/>
                <w:sz w:val="18"/>
                <w:szCs w:val="18"/>
                <w:lang w:val="fr-FR" w:eastAsia="en-US"/>
              </w:rPr>
              <w:t>Ressources humaines</w:t>
            </w:r>
          </w:p>
        </w:tc>
        <w:tc>
          <w:tcPr>
            <w:tcW w:w="1417" w:type="dxa"/>
            <w:tcBorders>
              <w:top w:val="single" w:sz="4" w:space="0" w:color="auto"/>
              <w:left w:val="nil"/>
              <w:bottom w:val="single" w:sz="4" w:space="0" w:color="auto"/>
              <w:right w:val="single" w:sz="4" w:space="0" w:color="auto"/>
            </w:tcBorders>
            <w:shd w:val="clear" w:color="auto" w:fill="auto"/>
            <w:tcMar>
              <w:top w:w="23" w:type="dxa"/>
              <w:bottom w:w="23" w:type="dxa"/>
            </w:tcMar>
            <w:vAlign w:val="center"/>
          </w:tcPr>
          <w:p w:rsidR="005242EE" w:rsidRPr="004C0E7A" w:rsidRDefault="005242EE" w:rsidP="00794EC0">
            <w:pPr>
              <w:jc w:val="center"/>
              <w:rPr>
                <w:sz w:val="18"/>
                <w:szCs w:val="18"/>
                <w:highlight w:val="yellow"/>
                <w:lang w:val="fr-FR"/>
              </w:rPr>
            </w:pPr>
          </w:p>
        </w:tc>
      </w:tr>
      <w:tr w:rsidR="004C0E7A" w:rsidRPr="004C0E7A" w:rsidTr="0024427E">
        <w:trPr>
          <w:trHeight w:val="414"/>
        </w:trPr>
        <w:tc>
          <w:tcPr>
            <w:tcW w:w="5440" w:type="dxa"/>
            <w:tcBorders>
              <w:top w:val="single" w:sz="4" w:space="0" w:color="auto"/>
              <w:left w:val="single" w:sz="4" w:space="0" w:color="auto"/>
              <w:bottom w:val="single" w:sz="4" w:space="0" w:color="auto"/>
              <w:right w:val="single" w:sz="4" w:space="0" w:color="auto"/>
            </w:tcBorders>
            <w:shd w:val="clear" w:color="auto" w:fill="auto"/>
            <w:tcMar>
              <w:top w:w="23" w:type="dxa"/>
              <w:bottom w:w="23" w:type="dxa"/>
            </w:tcMar>
            <w:vAlign w:val="center"/>
          </w:tcPr>
          <w:p w:rsidR="005242EE" w:rsidRPr="004C0E7A" w:rsidRDefault="00A07210" w:rsidP="0024427E">
            <w:pPr>
              <w:rPr>
                <w:rFonts w:eastAsia="Times New Roman"/>
                <w:sz w:val="18"/>
                <w:szCs w:val="18"/>
                <w:lang w:val="fr-FR" w:eastAsia="en-US"/>
              </w:rPr>
            </w:pPr>
            <w:r w:rsidRPr="004C0E7A">
              <w:rPr>
                <w:rFonts w:eastAsia="Times New Roman"/>
                <w:sz w:val="18"/>
                <w:szCs w:val="18"/>
                <w:lang w:val="fr-FR" w:eastAsia="en-US"/>
              </w:rPr>
              <w:t>IA 2015</w:t>
            </w:r>
            <w:r w:rsidR="008E117E" w:rsidRPr="004C0E7A">
              <w:rPr>
                <w:rFonts w:eastAsia="Times New Roman"/>
                <w:sz w:val="18"/>
                <w:szCs w:val="18"/>
                <w:lang w:val="fr-FR" w:eastAsia="en-US"/>
              </w:rPr>
              <w:noBreakHyphen/>
            </w:r>
            <w:r w:rsidRPr="004C0E7A">
              <w:rPr>
                <w:rFonts w:eastAsia="Times New Roman"/>
                <w:sz w:val="18"/>
                <w:szCs w:val="18"/>
                <w:lang w:val="fr-FR" w:eastAsia="en-US"/>
              </w:rPr>
              <w:t>05 Audit des services de sûreté et de sécurité</w:t>
            </w:r>
          </w:p>
        </w:tc>
        <w:tc>
          <w:tcPr>
            <w:tcW w:w="2950" w:type="dxa"/>
            <w:tcBorders>
              <w:top w:val="nil"/>
              <w:left w:val="nil"/>
              <w:bottom w:val="single" w:sz="4" w:space="0" w:color="auto"/>
              <w:right w:val="single" w:sz="4" w:space="0" w:color="auto"/>
            </w:tcBorders>
            <w:shd w:val="clear" w:color="auto" w:fill="auto"/>
            <w:tcMar>
              <w:top w:w="23" w:type="dxa"/>
              <w:bottom w:w="23" w:type="dxa"/>
            </w:tcMar>
            <w:vAlign w:val="center"/>
          </w:tcPr>
          <w:p w:rsidR="005242EE" w:rsidRPr="004C0E7A" w:rsidRDefault="00A07210" w:rsidP="00794EC0">
            <w:pPr>
              <w:jc w:val="center"/>
              <w:rPr>
                <w:rFonts w:eastAsia="Times New Roman"/>
                <w:sz w:val="18"/>
                <w:szCs w:val="18"/>
                <w:lang w:val="fr-FR" w:eastAsia="en-US"/>
              </w:rPr>
            </w:pPr>
            <w:r w:rsidRPr="004C0E7A">
              <w:rPr>
                <w:rFonts w:eastAsia="Times New Roman"/>
                <w:sz w:val="18"/>
                <w:szCs w:val="18"/>
                <w:lang w:val="fr-FR" w:eastAsia="en-US"/>
              </w:rPr>
              <w:t>Sûreté et sécurité</w:t>
            </w:r>
          </w:p>
        </w:tc>
        <w:tc>
          <w:tcPr>
            <w:tcW w:w="1417" w:type="dxa"/>
            <w:tcBorders>
              <w:top w:val="nil"/>
              <w:left w:val="nil"/>
              <w:bottom w:val="single" w:sz="4" w:space="0" w:color="auto"/>
              <w:right w:val="single" w:sz="4" w:space="0" w:color="auto"/>
            </w:tcBorders>
            <w:shd w:val="clear" w:color="auto" w:fill="92D050"/>
            <w:tcMar>
              <w:top w:w="23" w:type="dxa"/>
              <w:bottom w:w="23" w:type="dxa"/>
            </w:tcMar>
            <w:vAlign w:val="center"/>
          </w:tcPr>
          <w:p w:rsidR="005242EE" w:rsidRPr="004C0E7A" w:rsidRDefault="005242EE" w:rsidP="00794EC0">
            <w:pPr>
              <w:jc w:val="center"/>
              <w:rPr>
                <w:sz w:val="18"/>
                <w:szCs w:val="18"/>
                <w:highlight w:val="yellow"/>
                <w:lang w:val="fr-FR"/>
              </w:rPr>
            </w:pPr>
          </w:p>
        </w:tc>
      </w:tr>
      <w:tr w:rsidR="004C0E7A" w:rsidRPr="004C0E7A" w:rsidTr="0024427E">
        <w:trPr>
          <w:trHeight w:val="414"/>
        </w:trPr>
        <w:tc>
          <w:tcPr>
            <w:tcW w:w="5440" w:type="dxa"/>
            <w:tcBorders>
              <w:top w:val="single" w:sz="4" w:space="0" w:color="auto"/>
              <w:left w:val="single" w:sz="4" w:space="0" w:color="auto"/>
              <w:bottom w:val="single" w:sz="4" w:space="0" w:color="auto"/>
              <w:right w:val="single" w:sz="4" w:space="0" w:color="auto"/>
            </w:tcBorders>
            <w:shd w:val="clear" w:color="auto" w:fill="auto"/>
            <w:tcMar>
              <w:top w:w="23" w:type="dxa"/>
              <w:bottom w:w="23" w:type="dxa"/>
            </w:tcMar>
            <w:vAlign w:val="center"/>
          </w:tcPr>
          <w:p w:rsidR="005242EE" w:rsidRPr="004C0E7A" w:rsidRDefault="00A07210" w:rsidP="0024427E">
            <w:pPr>
              <w:rPr>
                <w:rFonts w:eastAsia="Times New Roman"/>
                <w:sz w:val="18"/>
                <w:szCs w:val="18"/>
                <w:lang w:val="fr-FR" w:eastAsia="en-US"/>
              </w:rPr>
            </w:pPr>
            <w:r w:rsidRPr="004C0E7A">
              <w:rPr>
                <w:rFonts w:eastAsia="Times New Roman"/>
                <w:sz w:val="18"/>
                <w:szCs w:val="18"/>
                <w:lang w:val="fr-FR" w:eastAsia="en-US"/>
              </w:rPr>
              <w:t>IA 2015</w:t>
            </w:r>
            <w:r w:rsidR="008E117E" w:rsidRPr="004C0E7A">
              <w:rPr>
                <w:rFonts w:eastAsia="Times New Roman"/>
                <w:sz w:val="18"/>
                <w:szCs w:val="18"/>
                <w:lang w:val="fr-FR" w:eastAsia="en-US"/>
              </w:rPr>
              <w:noBreakHyphen/>
            </w:r>
            <w:r w:rsidRPr="004C0E7A">
              <w:rPr>
                <w:rFonts w:eastAsia="Times New Roman"/>
                <w:sz w:val="18"/>
                <w:szCs w:val="18"/>
                <w:lang w:val="fr-FR" w:eastAsia="en-US"/>
              </w:rPr>
              <w:t xml:space="preserve">06 Audit de la gestion des services contractuels de personnes (ICS) </w:t>
            </w:r>
          </w:p>
        </w:tc>
        <w:tc>
          <w:tcPr>
            <w:tcW w:w="2950" w:type="dxa"/>
            <w:tcBorders>
              <w:top w:val="nil"/>
              <w:left w:val="nil"/>
              <w:bottom w:val="single" w:sz="4" w:space="0" w:color="auto"/>
              <w:right w:val="single" w:sz="4" w:space="0" w:color="auto"/>
            </w:tcBorders>
            <w:shd w:val="clear" w:color="auto" w:fill="auto"/>
            <w:tcMar>
              <w:top w:w="23" w:type="dxa"/>
              <w:bottom w:w="23" w:type="dxa"/>
            </w:tcMar>
            <w:vAlign w:val="center"/>
          </w:tcPr>
          <w:p w:rsidR="005242EE" w:rsidRPr="004C0E7A" w:rsidRDefault="00A07210" w:rsidP="00794EC0">
            <w:pPr>
              <w:jc w:val="center"/>
              <w:rPr>
                <w:rFonts w:eastAsia="Times New Roman"/>
                <w:sz w:val="18"/>
                <w:szCs w:val="18"/>
                <w:lang w:val="fr-FR" w:eastAsia="en-US"/>
              </w:rPr>
            </w:pPr>
            <w:r w:rsidRPr="004C0E7A">
              <w:rPr>
                <w:rFonts w:eastAsia="Times New Roman"/>
                <w:sz w:val="18"/>
                <w:szCs w:val="18"/>
                <w:lang w:val="fr-FR" w:eastAsia="en-US"/>
              </w:rPr>
              <w:t>Multiples</w:t>
            </w:r>
          </w:p>
        </w:tc>
        <w:tc>
          <w:tcPr>
            <w:tcW w:w="1417" w:type="dxa"/>
            <w:tcBorders>
              <w:top w:val="single" w:sz="4" w:space="0" w:color="auto"/>
              <w:left w:val="nil"/>
              <w:bottom w:val="single" w:sz="4" w:space="0" w:color="auto"/>
              <w:right w:val="single" w:sz="4" w:space="0" w:color="auto"/>
            </w:tcBorders>
            <w:shd w:val="clear" w:color="auto" w:fill="auto"/>
            <w:tcMar>
              <w:top w:w="23" w:type="dxa"/>
              <w:bottom w:w="23" w:type="dxa"/>
            </w:tcMar>
            <w:vAlign w:val="center"/>
          </w:tcPr>
          <w:p w:rsidR="005242EE" w:rsidRPr="004C0E7A" w:rsidRDefault="005242EE" w:rsidP="00794EC0">
            <w:pPr>
              <w:jc w:val="center"/>
              <w:rPr>
                <w:sz w:val="18"/>
                <w:szCs w:val="18"/>
                <w:highlight w:val="yellow"/>
                <w:lang w:val="fr-FR"/>
              </w:rPr>
            </w:pPr>
          </w:p>
        </w:tc>
      </w:tr>
      <w:tr w:rsidR="004C0E7A" w:rsidRPr="004C0E7A" w:rsidTr="0024427E">
        <w:trPr>
          <w:trHeight w:val="414"/>
        </w:trPr>
        <w:tc>
          <w:tcPr>
            <w:tcW w:w="5440" w:type="dxa"/>
            <w:tcBorders>
              <w:top w:val="single" w:sz="4" w:space="0" w:color="auto"/>
              <w:left w:val="single" w:sz="4" w:space="0" w:color="auto"/>
              <w:bottom w:val="single" w:sz="4" w:space="0" w:color="auto"/>
              <w:right w:val="single" w:sz="4" w:space="0" w:color="auto"/>
            </w:tcBorders>
            <w:shd w:val="clear" w:color="auto" w:fill="auto"/>
            <w:tcMar>
              <w:top w:w="23" w:type="dxa"/>
              <w:bottom w:w="23" w:type="dxa"/>
            </w:tcMar>
            <w:vAlign w:val="center"/>
          </w:tcPr>
          <w:p w:rsidR="005242EE" w:rsidRPr="004C0E7A" w:rsidRDefault="00A07210" w:rsidP="0024427E">
            <w:pPr>
              <w:rPr>
                <w:rFonts w:eastAsia="Times New Roman"/>
                <w:sz w:val="18"/>
                <w:szCs w:val="18"/>
                <w:lang w:val="fr-FR" w:eastAsia="en-US"/>
              </w:rPr>
            </w:pPr>
            <w:r w:rsidRPr="004C0E7A">
              <w:rPr>
                <w:rFonts w:eastAsia="Times New Roman"/>
                <w:sz w:val="18"/>
                <w:szCs w:val="18"/>
                <w:lang w:val="fr-FR" w:eastAsia="en-US"/>
              </w:rPr>
              <w:t>IA 2015</w:t>
            </w:r>
            <w:r w:rsidR="008E117E" w:rsidRPr="004C0E7A">
              <w:rPr>
                <w:rFonts w:eastAsia="Times New Roman"/>
                <w:sz w:val="18"/>
                <w:szCs w:val="18"/>
                <w:lang w:val="fr-FR" w:eastAsia="en-US"/>
              </w:rPr>
              <w:noBreakHyphen/>
            </w:r>
            <w:r w:rsidRPr="004C0E7A">
              <w:rPr>
                <w:rFonts w:eastAsia="Times New Roman"/>
                <w:sz w:val="18"/>
                <w:szCs w:val="18"/>
                <w:lang w:val="fr-FR" w:eastAsia="en-US"/>
              </w:rPr>
              <w:t>07 Audit de la gestion des services à la clientèle</w:t>
            </w:r>
          </w:p>
        </w:tc>
        <w:tc>
          <w:tcPr>
            <w:tcW w:w="2950" w:type="dxa"/>
            <w:tcBorders>
              <w:top w:val="nil"/>
              <w:left w:val="nil"/>
              <w:bottom w:val="single" w:sz="4" w:space="0" w:color="auto"/>
              <w:right w:val="single" w:sz="4" w:space="0" w:color="auto"/>
            </w:tcBorders>
            <w:shd w:val="clear" w:color="auto" w:fill="auto"/>
            <w:tcMar>
              <w:top w:w="23" w:type="dxa"/>
              <w:bottom w:w="23" w:type="dxa"/>
            </w:tcMar>
            <w:vAlign w:val="center"/>
          </w:tcPr>
          <w:p w:rsidR="005242EE" w:rsidRPr="004C0E7A" w:rsidRDefault="00A07210" w:rsidP="00794EC0">
            <w:pPr>
              <w:jc w:val="center"/>
              <w:rPr>
                <w:rFonts w:eastAsia="Times New Roman"/>
                <w:sz w:val="18"/>
                <w:szCs w:val="18"/>
                <w:lang w:val="fr-FR" w:eastAsia="en-US"/>
              </w:rPr>
            </w:pPr>
            <w:r w:rsidRPr="004C0E7A">
              <w:rPr>
                <w:rFonts w:eastAsia="Times New Roman"/>
                <w:sz w:val="18"/>
                <w:szCs w:val="18"/>
                <w:lang w:val="fr-FR" w:eastAsia="en-US"/>
              </w:rPr>
              <w:t>Multiples</w:t>
            </w:r>
          </w:p>
        </w:tc>
        <w:tc>
          <w:tcPr>
            <w:tcW w:w="1417" w:type="dxa"/>
            <w:tcBorders>
              <w:top w:val="single" w:sz="4" w:space="0" w:color="auto"/>
              <w:left w:val="nil"/>
              <w:bottom w:val="single" w:sz="4" w:space="0" w:color="auto"/>
              <w:right w:val="single" w:sz="4" w:space="0" w:color="auto"/>
            </w:tcBorders>
            <w:shd w:val="clear" w:color="auto" w:fill="FFFF00"/>
            <w:tcMar>
              <w:top w:w="23" w:type="dxa"/>
              <w:bottom w:w="23" w:type="dxa"/>
            </w:tcMar>
            <w:vAlign w:val="center"/>
          </w:tcPr>
          <w:p w:rsidR="005242EE" w:rsidRPr="004C0E7A" w:rsidRDefault="005242EE" w:rsidP="00794EC0">
            <w:pPr>
              <w:jc w:val="center"/>
              <w:rPr>
                <w:sz w:val="18"/>
                <w:szCs w:val="18"/>
                <w:lang w:val="fr-FR"/>
              </w:rPr>
            </w:pPr>
          </w:p>
        </w:tc>
      </w:tr>
      <w:tr w:rsidR="004C0E7A" w:rsidRPr="004C0E7A" w:rsidTr="0024427E">
        <w:trPr>
          <w:trHeight w:val="414"/>
        </w:trPr>
        <w:tc>
          <w:tcPr>
            <w:tcW w:w="5440" w:type="dxa"/>
            <w:tcBorders>
              <w:top w:val="single" w:sz="4" w:space="0" w:color="auto"/>
              <w:left w:val="single" w:sz="4" w:space="0" w:color="auto"/>
              <w:bottom w:val="single" w:sz="4" w:space="0" w:color="auto"/>
              <w:right w:val="single" w:sz="4" w:space="0" w:color="auto"/>
            </w:tcBorders>
            <w:shd w:val="clear" w:color="auto" w:fill="auto"/>
            <w:tcMar>
              <w:top w:w="23" w:type="dxa"/>
              <w:bottom w:w="23" w:type="dxa"/>
            </w:tcMar>
            <w:vAlign w:val="center"/>
          </w:tcPr>
          <w:p w:rsidR="002539F1" w:rsidRPr="004C0E7A" w:rsidRDefault="004B28E2" w:rsidP="0024427E">
            <w:pPr>
              <w:rPr>
                <w:rFonts w:eastAsia="Times New Roman"/>
                <w:sz w:val="18"/>
                <w:szCs w:val="18"/>
                <w:lang w:val="fr-FR" w:eastAsia="en-US"/>
              </w:rPr>
            </w:pPr>
            <w:r w:rsidRPr="004C0E7A">
              <w:rPr>
                <w:rFonts w:eastAsia="Times New Roman"/>
                <w:sz w:val="18"/>
                <w:szCs w:val="18"/>
                <w:lang w:val="fr-FR" w:eastAsia="en-US"/>
              </w:rPr>
              <w:t>INV 2015</w:t>
            </w:r>
            <w:r w:rsidR="008E117E" w:rsidRPr="004C0E7A">
              <w:rPr>
                <w:rFonts w:eastAsia="Times New Roman"/>
                <w:sz w:val="18"/>
                <w:szCs w:val="18"/>
                <w:lang w:val="fr-FR" w:eastAsia="en-US"/>
              </w:rPr>
              <w:noBreakHyphen/>
            </w:r>
            <w:r w:rsidRPr="004C0E7A">
              <w:rPr>
                <w:rFonts w:eastAsia="Times New Roman"/>
                <w:sz w:val="18"/>
                <w:szCs w:val="18"/>
                <w:lang w:val="fr-FR" w:eastAsia="en-US"/>
              </w:rPr>
              <w:t>01</w:t>
            </w:r>
            <w:r w:rsidR="000055C7" w:rsidRPr="004C0E7A">
              <w:rPr>
                <w:rFonts w:eastAsia="Times New Roman"/>
                <w:sz w:val="18"/>
                <w:szCs w:val="18"/>
                <w:lang w:val="fr-FR" w:eastAsia="en-US"/>
              </w:rPr>
              <w:t xml:space="preserve"> – </w:t>
            </w:r>
            <w:r w:rsidR="00AB7DE8" w:rsidRPr="004C0E7A">
              <w:rPr>
                <w:rFonts w:eastAsia="Times New Roman"/>
                <w:sz w:val="18"/>
                <w:szCs w:val="18"/>
                <w:lang w:val="fr-FR" w:eastAsia="en-US"/>
              </w:rPr>
              <w:t>Irrégularité commise par un candidat au cours du processus de sélection et de recrutement</w:t>
            </w:r>
          </w:p>
        </w:tc>
        <w:tc>
          <w:tcPr>
            <w:tcW w:w="2950" w:type="dxa"/>
            <w:tcBorders>
              <w:top w:val="nil"/>
              <w:left w:val="nil"/>
              <w:bottom w:val="single" w:sz="4" w:space="0" w:color="auto"/>
              <w:right w:val="single" w:sz="4" w:space="0" w:color="auto"/>
            </w:tcBorders>
            <w:shd w:val="clear" w:color="auto" w:fill="auto"/>
            <w:tcMar>
              <w:top w:w="23" w:type="dxa"/>
              <w:bottom w:w="23" w:type="dxa"/>
            </w:tcMar>
            <w:vAlign w:val="center"/>
          </w:tcPr>
          <w:p w:rsidR="002539F1" w:rsidRPr="004C0E7A" w:rsidRDefault="002B3C52" w:rsidP="00FD2537">
            <w:pPr>
              <w:keepLines/>
              <w:jc w:val="center"/>
              <w:rPr>
                <w:sz w:val="18"/>
                <w:szCs w:val="18"/>
                <w:lang w:val="fr-FR"/>
              </w:rPr>
            </w:pPr>
            <w:r w:rsidRPr="004C0E7A">
              <w:rPr>
                <w:rFonts w:eastAsia="Times New Roman"/>
                <w:sz w:val="18"/>
                <w:szCs w:val="18"/>
                <w:lang w:val="fr-FR" w:eastAsia="en-US"/>
              </w:rPr>
              <w:t>Sans objet</w:t>
            </w:r>
          </w:p>
        </w:tc>
        <w:tc>
          <w:tcPr>
            <w:tcW w:w="1417" w:type="dxa"/>
            <w:tcBorders>
              <w:top w:val="single" w:sz="4" w:space="0" w:color="auto"/>
              <w:left w:val="nil"/>
              <w:bottom w:val="single" w:sz="4" w:space="0" w:color="auto"/>
              <w:right w:val="single" w:sz="4" w:space="0" w:color="auto"/>
            </w:tcBorders>
            <w:shd w:val="clear" w:color="auto" w:fill="92D050"/>
            <w:tcMar>
              <w:top w:w="23" w:type="dxa"/>
              <w:bottom w:w="23" w:type="dxa"/>
            </w:tcMar>
            <w:vAlign w:val="center"/>
          </w:tcPr>
          <w:p w:rsidR="002539F1" w:rsidRPr="004C0E7A" w:rsidRDefault="002539F1" w:rsidP="00FD2537">
            <w:pPr>
              <w:keepLines/>
              <w:jc w:val="center"/>
              <w:rPr>
                <w:sz w:val="18"/>
                <w:szCs w:val="18"/>
                <w:lang w:val="fr-FR"/>
              </w:rPr>
            </w:pPr>
          </w:p>
        </w:tc>
      </w:tr>
      <w:tr w:rsidR="004C0E7A" w:rsidRPr="004C0E7A" w:rsidTr="0024427E">
        <w:trPr>
          <w:trHeight w:val="414"/>
        </w:trPr>
        <w:tc>
          <w:tcPr>
            <w:tcW w:w="5440" w:type="dxa"/>
            <w:tcBorders>
              <w:top w:val="single" w:sz="4" w:space="0" w:color="auto"/>
              <w:left w:val="single" w:sz="4" w:space="0" w:color="auto"/>
              <w:bottom w:val="single" w:sz="4" w:space="0" w:color="auto"/>
              <w:right w:val="single" w:sz="4" w:space="0" w:color="auto"/>
            </w:tcBorders>
            <w:shd w:val="clear" w:color="auto" w:fill="auto"/>
            <w:tcMar>
              <w:top w:w="23" w:type="dxa"/>
              <w:bottom w:w="23" w:type="dxa"/>
            </w:tcMar>
            <w:vAlign w:val="center"/>
          </w:tcPr>
          <w:p w:rsidR="002539F1" w:rsidRPr="004C0E7A" w:rsidRDefault="004B28E2" w:rsidP="0024427E">
            <w:pPr>
              <w:rPr>
                <w:rFonts w:eastAsia="Times New Roman"/>
                <w:sz w:val="18"/>
                <w:szCs w:val="18"/>
                <w:lang w:val="fr-FR" w:eastAsia="en-US"/>
              </w:rPr>
            </w:pPr>
            <w:r w:rsidRPr="004C0E7A">
              <w:rPr>
                <w:rFonts w:eastAsia="Times New Roman"/>
                <w:sz w:val="18"/>
                <w:szCs w:val="18"/>
                <w:lang w:val="fr-FR" w:eastAsia="en-US"/>
              </w:rPr>
              <w:t>INV 2015</w:t>
            </w:r>
            <w:r w:rsidR="008E117E" w:rsidRPr="004C0E7A">
              <w:rPr>
                <w:rFonts w:eastAsia="Times New Roman"/>
                <w:sz w:val="18"/>
                <w:szCs w:val="18"/>
                <w:lang w:val="fr-FR" w:eastAsia="en-US"/>
              </w:rPr>
              <w:noBreakHyphen/>
            </w:r>
            <w:r w:rsidRPr="004C0E7A">
              <w:rPr>
                <w:rFonts w:eastAsia="Times New Roman"/>
                <w:sz w:val="18"/>
                <w:szCs w:val="18"/>
                <w:lang w:val="fr-FR" w:eastAsia="en-US"/>
              </w:rPr>
              <w:t>02 (</w:t>
            </w:r>
            <w:r w:rsidR="00E97E8B" w:rsidRPr="004C0E7A">
              <w:rPr>
                <w:rFonts w:eastAsia="Times New Roman"/>
                <w:sz w:val="18"/>
                <w:szCs w:val="18"/>
                <w:lang w:val="fr-FR" w:eastAsia="en-US"/>
              </w:rPr>
              <w:t>pour</w:t>
            </w:r>
            <w:r w:rsidR="000055C7" w:rsidRPr="004C0E7A">
              <w:rPr>
                <w:rFonts w:eastAsia="Times New Roman"/>
                <w:sz w:val="18"/>
                <w:szCs w:val="18"/>
                <w:lang w:val="fr-FR" w:eastAsia="en-US"/>
              </w:rPr>
              <w:t xml:space="preserve"> le PAM</w:t>
            </w:r>
            <w:r w:rsidRPr="004C0E7A">
              <w:rPr>
                <w:rFonts w:eastAsia="Times New Roman"/>
                <w:sz w:val="18"/>
                <w:szCs w:val="18"/>
                <w:lang w:val="fr-FR" w:eastAsia="en-US"/>
              </w:rPr>
              <w:t>)</w:t>
            </w:r>
            <w:r w:rsidR="000055C7" w:rsidRPr="004C0E7A">
              <w:rPr>
                <w:rFonts w:eastAsia="Times New Roman"/>
                <w:sz w:val="18"/>
                <w:szCs w:val="18"/>
                <w:lang w:val="fr-FR" w:eastAsia="en-US"/>
              </w:rPr>
              <w:t xml:space="preserve"> – </w:t>
            </w:r>
            <w:r w:rsidRPr="004C0E7A">
              <w:rPr>
                <w:rFonts w:eastAsia="Times New Roman"/>
                <w:sz w:val="18"/>
                <w:szCs w:val="18"/>
                <w:lang w:val="fr-FR" w:eastAsia="en-US"/>
              </w:rPr>
              <w:t>Utilisation abusive des ressources informatiques</w:t>
            </w:r>
          </w:p>
        </w:tc>
        <w:tc>
          <w:tcPr>
            <w:tcW w:w="2950" w:type="dxa"/>
            <w:tcBorders>
              <w:top w:val="nil"/>
              <w:left w:val="nil"/>
              <w:bottom w:val="single" w:sz="4" w:space="0" w:color="auto"/>
              <w:right w:val="single" w:sz="4" w:space="0" w:color="auto"/>
            </w:tcBorders>
            <w:shd w:val="clear" w:color="auto" w:fill="auto"/>
            <w:tcMar>
              <w:top w:w="23" w:type="dxa"/>
              <w:bottom w:w="23" w:type="dxa"/>
            </w:tcMar>
            <w:vAlign w:val="center"/>
          </w:tcPr>
          <w:p w:rsidR="002539F1" w:rsidRPr="004C0E7A" w:rsidRDefault="002B3C52" w:rsidP="00FD2537">
            <w:pPr>
              <w:keepLines/>
              <w:jc w:val="center"/>
              <w:rPr>
                <w:sz w:val="18"/>
                <w:szCs w:val="18"/>
                <w:lang w:val="fr-FR"/>
              </w:rPr>
            </w:pPr>
            <w:r w:rsidRPr="004C0E7A">
              <w:rPr>
                <w:rFonts w:eastAsia="Times New Roman"/>
                <w:sz w:val="18"/>
                <w:szCs w:val="18"/>
                <w:lang w:val="fr-FR" w:eastAsia="en-US"/>
              </w:rPr>
              <w:t>Sans objet</w:t>
            </w:r>
          </w:p>
        </w:tc>
        <w:tc>
          <w:tcPr>
            <w:tcW w:w="1417" w:type="dxa"/>
            <w:tcBorders>
              <w:top w:val="single" w:sz="4" w:space="0" w:color="auto"/>
              <w:left w:val="nil"/>
              <w:bottom w:val="single" w:sz="4" w:space="0" w:color="auto"/>
              <w:right w:val="single" w:sz="4" w:space="0" w:color="auto"/>
            </w:tcBorders>
            <w:shd w:val="clear" w:color="auto" w:fill="92D050"/>
            <w:tcMar>
              <w:top w:w="23" w:type="dxa"/>
              <w:bottom w:w="23" w:type="dxa"/>
            </w:tcMar>
            <w:vAlign w:val="center"/>
          </w:tcPr>
          <w:p w:rsidR="002539F1" w:rsidRPr="004C0E7A" w:rsidRDefault="002539F1" w:rsidP="00FD2537">
            <w:pPr>
              <w:keepLines/>
              <w:jc w:val="center"/>
              <w:rPr>
                <w:sz w:val="18"/>
                <w:szCs w:val="18"/>
                <w:lang w:val="fr-FR"/>
              </w:rPr>
            </w:pPr>
          </w:p>
        </w:tc>
      </w:tr>
      <w:tr w:rsidR="004C0E7A" w:rsidRPr="004C0E7A" w:rsidTr="0024427E">
        <w:trPr>
          <w:trHeight w:val="414"/>
        </w:trPr>
        <w:tc>
          <w:tcPr>
            <w:tcW w:w="5440" w:type="dxa"/>
            <w:tcBorders>
              <w:top w:val="single" w:sz="4" w:space="0" w:color="auto"/>
              <w:left w:val="single" w:sz="4" w:space="0" w:color="auto"/>
              <w:bottom w:val="single" w:sz="4" w:space="0" w:color="auto"/>
              <w:right w:val="single" w:sz="4" w:space="0" w:color="auto"/>
            </w:tcBorders>
            <w:shd w:val="clear" w:color="auto" w:fill="auto"/>
            <w:tcMar>
              <w:top w:w="23" w:type="dxa"/>
              <w:bottom w:w="23" w:type="dxa"/>
            </w:tcMar>
            <w:vAlign w:val="center"/>
          </w:tcPr>
          <w:p w:rsidR="002539F1" w:rsidRPr="004C0E7A" w:rsidRDefault="004B28E2" w:rsidP="0024427E">
            <w:pPr>
              <w:rPr>
                <w:rFonts w:eastAsia="Times New Roman"/>
                <w:sz w:val="18"/>
                <w:szCs w:val="18"/>
                <w:lang w:val="fr-FR" w:eastAsia="en-US"/>
              </w:rPr>
            </w:pPr>
            <w:r w:rsidRPr="004C0E7A">
              <w:rPr>
                <w:rFonts w:eastAsia="Times New Roman"/>
                <w:sz w:val="18"/>
                <w:szCs w:val="18"/>
                <w:lang w:val="fr-FR" w:eastAsia="en-US"/>
              </w:rPr>
              <w:t>INV 2015</w:t>
            </w:r>
            <w:r w:rsidR="008E117E" w:rsidRPr="004C0E7A">
              <w:rPr>
                <w:rFonts w:eastAsia="Times New Roman"/>
                <w:sz w:val="18"/>
                <w:szCs w:val="18"/>
                <w:lang w:val="fr-FR" w:eastAsia="en-US"/>
              </w:rPr>
              <w:noBreakHyphen/>
            </w:r>
            <w:r w:rsidRPr="004C0E7A">
              <w:rPr>
                <w:rFonts w:eastAsia="Times New Roman"/>
                <w:sz w:val="18"/>
                <w:szCs w:val="18"/>
                <w:lang w:val="fr-FR" w:eastAsia="en-US"/>
              </w:rPr>
              <w:t>03</w:t>
            </w:r>
            <w:r w:rsidR="000055C7" w:rsidRPr="004C0E7A">
              <w:rPr>
                <w:rFonts w:eastAsia="Times New Roman"/>
                <w:sz w:val="18"/>
                <w:szCs w:val="18"/>
                <w:lang w:val="fr-FR" w:eastAsia="en-US"/>
              </w:rPr>
              <w:t xml:space="preserve"> – </w:t>
            </w:r>
            <w:r w:rsidRPr="004C0E7A">
              <w:rPr>
                <w:rFonts w:eastAsia="Times New Roman"/>
                <w:sz w:val="18"/>
                <w:szCs w:val="18"/>
                <w:lang w:val="fr-FR" w:eastAsia="en-US"/>
              </w:rPr>
              <w:t>Abus concernant les horaires de travail</w:t>
            </w:r>
          </w:p>
        </w:tc>
        <w:tc>
          <w:tcPr>
            <w:tcW w:w="2950" w:type="dxa"/>
            <w:tcBorders>
              <w:top w:val="nil"/>
              <w:left w:val="nil"/>
              <w:bottom w:val="single" w:sz="4" w:space="0" w:color="auto"/>
              <w:right w:val="single" w:sz="4" w:space="0" w:color="auto"/>
            </w:tcBorders>
            <w:shd w:val="clear" w:color="auto" w:fill="auto"/>
            <w:tcMar>
              <w:top w:w="23" w:type="dxa"/>
              <w:bottom w:w="23" w:type="dxa"/>
            </w:tcMar>
            <w:vAlign w:val="center"/>
          </w:tcPr>
          <w:p w:rsidR="002539F1" w:rsidRPr="004C0E7A" w:rsidRDefault="002B3C52" w:rsidP="00FD2537">
            <w:pPr>
              <w:keepLines/>
              <w:jc w:val="center"/>
              <w:rPr>
                <w:sz w:val="18"/>
                <w:szCs w:val="18"/>
                <w:lang w:val="fr-FR"/>
              </w:rPr>
            </w:pPr>
            <w:r w:rsidRPr="004C0E7A">
              <w:rPr>
                <w:rFonts w:eastAsia="Times New Roman"/>
                <w:sz w:val="18"/>
                <w:szCs w:val="18"/>
                <w:lang w:val="fr-FR" w:eastAsia="en-US"/>
              </w:rPr>
              <w:t>Sans objet</w:t>
            </w:r>
          </w:p>
        </w:tc>
        <w:tc>
          <w:tcPr>
            <w:tcW w:w="1417" w:type="dxa"/>
            <w:tcBorders>
              <w:top w:val="nil"/>
              <w:left w:val="nil"/>
              <w:bottom w:val="single" w:sz="4" w:space="0" w:color="auto"/>
              <w:right w:val="single" w:sz="4" w:space="0" w:color="auto"/>
            </w:tcBorders>
            <w:shd w:val="clear" w:color="auto" w:fill="FFFF00"/>
            <w:tcMar>
              <w:top w:w="23" w:type="dxa"/>
              <w:bottom w:w="23" w:type="dxa"/>
            </w:tcMar>
            <w:vAlign w:val="center"/>
          </w:tcPr>
          <w:p w:rsidR="002539F1" w:rsidRPr="004C0E7A" w:rsidRDefault="002539F1" w:rsidP="00FD2537">
            <w:pPr>
              <w:keepLines/>
              <w:jc w:val="center"/>
              <w:rPr>
                <w:sz w:val="18"/>
                <w:szCs w:val="18"/>
                <w:lang w:val="fr-FR"/>
              </w:rPr>
            </w:pPr>
          </w:p>
        </w:tc>
      </w:tr>
      <w:tr w:rsidR="004C0E7A" w:rsidRPr="004C0E7A" w:rsidTr="0024427E">
        <w:trPr>
          <w:trHeight w:val="414"/>
        </w:trPr>
        <w:tc>
          <w:tcPr>
            <w:tcW w:w="5440" w:type="dxa"/>
            <w:tcBorders>
              <w:top w:val="single" w:sz="4" w:space="0" w:color="auto"/>
              <w:left w:val="single" w:sz="4" w:space="0" w:color="auto"/>
              <w:bottom w:val="single" w:sz="4" w:space="0" w:color="auto"/>
              <w:right w:val="single" w:sz="4" w:space="0" w:color="auto"/>
            </w:tcBorders>
            <w:shd w:val="clear" w:color="auto" w:fill="auto"/>
            <w:tcMar>
              <w:top w:w="23" w:type="dxa"/>
              <w:bottom w:w="23" w:type="dxa"/>
            </w:tcMar>
            <w:vAlign w:val="center"/>
          </w:tcPr>
          <w:p w:rsidR="002539F1" w:rsidRPr="004C0E7A" w:rsidRDefault="004B28E2" w:rsidP="0024427E">
            <w:pPr>
              <w:rPr>
                <w:rFonts w:eastAsia="Times New Roman"/>
                <w:sz w:val="18"/>
                <w:szCs w:val="18"/>
                <w:lang w:val="fr-FR" w:eastAsia="en-US"/>
              </w:rPr>
            </w:pPr>
            <w:r w:rsidRPr="004C0E7A">
              <w:rPr>
                <w:rFonts w:eastAsia="Times New Roman"/>
                <w:sz w:val="18"/>
                <w:szCs w:val="18"/>
                <w:lang w:val="fr-FR" w:eastAsia="en-US"/>
              </w:rPr>
              <w:t>INV 2015</w:t>
            </w:r>
            <w:r w:rsidR="008E117E" w:rsidRPr="004C0E7A">
              <w:rPr>
                <w:rFonts w:eastAsia="Times New Roman"/>
                <w:sz w:val="18"/>
                <w:szCs w:val="18"/>
                <w:lang w:val="fr-FR" w:eastAsia="en-US"/>
              </w:rPr>
              <w:noBreakHyphen/>
            </w:r>
            <w:r w:rsidRPr="004C0E7A">
              <w:rPr>
                <w:rFonts w:eastAsia="Times New Roman"/>
                <w:sz w:val="18"/>
                <w:szCs w:val="18"/>
                <w:lang w:val="fr-FR" w:eastAsia="en-US"/>
              </w:rPr>
              <w:t>04</w:t>
            </w:r>
            <w:r w:rsidR="000055C7" w:rsidRPr="004C0E7A">
              <w:rPr>
                <w:rFonts w:eastAsia="Times New Roman"/>
                <w:sz w:val="18"/>
                <w:szCs w:val="18"/>
                <w:lang w:val="fr-FR" w:eastAsia="en-US"/>
              </w:rPr>
              <w:t xml:space="preserve"> – </w:t>
            </w:r>
            <w:r w:rsidR="00951C0E" w:rsidRPr="004C0E7A">
              <w:rPr>
                <w:rFonts w:eastAsia="Times New Roman"/>
                <w:sz w:val="18"/>
                <w:szCs w:val="18"/>
                <w:lang w:val="fr-FR" w:eastAsia="en-US"/>
              </w:rPr>
              <w:t>Autres formes de fraude, de corruption ou d</w:t>
            </w:r>
            <w:r w:rsidR="000055C7" w:rsidRPr="004C0E7A">
              <w:rPr>
                <w:rFonts w:eastAsia="Times New Roman"/>
                <w:sz w:val="18"/>
                <w:szCs w:val="18"/>
                <w:lang w:val="fr-FR" w:eastAsia="en-US"/>
              </w:rPr>
              <w:t>’</w:t>
            </w:r>
            <w:r w:rsidR="00951C0E" w:rsidRPr="004C0E7A">
              <w:rPr>
                <w:rFonts w:eastAsia="Times New Roman"/>
                <w:sz w:val="18"/>
                <w:szCs w:val="18"/>
                <w:lang w:val="fr-FR" w:eastAsia="en-US"/>
              </w:rPr>
              <w:t>abus</w:t>
            </w:r>
          </w:p>
        </w:tc>
        <w:tc>
          <w:tcPr>
            <w:tcW w:w="2950" w:type="dxa"/>
            <w:tcBorders>
              <w:top w:val="nil"/>
              <w:left w:val="nil"/>
              <w:bottom w:val="single" w:sz="4" w:space="0" w:color="auto"/>
              <w:right w:val="single" w:sz="4" w:space="0" w:color="auto"/>
            </w:tcBorders>
            <w:shd w:val="clear" w:color="auto" w:fill="auto"/>
            <w:tcMar>
              <w:top w:w="23" w:type="dxa"/>
              <w:bottom w:w="23" w:type="dxa"/>
            </w:tcMar>
            <w:vAlign w:val="center"/>
          </w:tcPr>
          <w:p w:rsidR="002539F1" w:rsidRPr="004C0E7A" w:rsidRDefault="002B3C52" w:rsidP="00FD2537">
            <w:pPr>
              <w:keepLines/>
              <w:jc w:val="center"/>
              <w:rPr>
                <w:sz w:val="18"/>
                <w:szCs w:val="18"/>
                <w:lang w:val="fr-FR"/>
              </w:rPr>
            </w:pPr>
            <w:r w:rsidRPr="004C0E7A">
              <w:rPr>
                <w:rFonts w:eastAsia="Times New Roman"/>
                <w:sz w:val="18"/>
                <w:szCs w:val="18"/>
                <w:lang w:val="fr-FR" w:eastAsia="en-US"/>
              </w:rPr>
              <w:t>Sans objet</w:t>
            </w:r>
          </w:p>
        </w:tc>
        <w:tc>
          <w:tcPr>
            <w:tcW w:w="1417" w:type="dxa"/>
            <w:tcBorders>
              <w:top w:val="single" w:sz="4" w:space="0" w:color="auto"/>
              <w:left w:val="nil"/>
              <w:bottom w:val="single" w:sz="4" w:space="0" w:color="auto"/>
              <w:right w:val="single" w:sz="4" w:space="0" w:color="auto"/>
            </w:tcBorders>
            <w:shd w:val="clear" w:color="auto" w:fill="92D050"/>
            <w:tcMar>
              <w:top w:w="23" w:type="dxa"/>
              <w:bottom w:w="23" w:type="dxa"/>
            </w:tcMar>
            <w:vAlign w:val="center"/>
          </w:tcPr>
          <w:p w:rsidR="002539F1" w:rsidRPr="004C0E7A" w:rsidRDefault="002539F1" w:rsidP="00FD2537">
            <w:pPr>
              <w:keepLines/>
              <w:jc w:val="center"/>
              <w:rPr>
                <w:sz w:val="18"/>
                <w:szCs w:val="18"/>
                <w:lang w:val="fr-FR"/>
              </w:rPr>
            </w:pPr>
          </w:p>
        </w:tc>
      </w:tr>
      <w:tr w:rsidR="004C0E7A" w:rsidRPr="004C0E7A" w:rsidTr="0024427E">
        <w:trPr>
          <w:trHeight w:val="414"/>
        </w:trPr>
        <w:tc>
          <w:tcPr>
            <w:tcW w:w="5440" w:type="dxa"/>
            <w:tcBorders>
              <w:top w:val="single" w:sz="4" w:space="0" w:color="auto"/>
              <w:left w:val="single" w:sz="4" w:space="0" w:color="auto"/>
              <w:bottom w:val="single" w:sz="4" w:space="0" w:color="auto"/>
              <w:right w:val="single" w:sz="4" w:space="0" w:color="auto"/>
            </w:tcBorders>
            <w:shd w:val="clear" w:color="auto" w:fill="auto"/>
            <w:tcMar>
              <w:top w:w="23" w:type="dxa"/>
              <w:bottom w:w="23" w:type="dxa"/>
            </w:tcMar>
            <w:vAlign w:val="center"/>
          </w:tcPr>
          <w:p w:rsidR="002539F1" w:rsidRPr="004C0E7A" w:rsidRDefault="004B28E2" w:rsidP="0024427E">
            <w:pPr>
              <w:rPr>
                <w:rFonts w:eastAsia="Times New Roman"/>
                <w:sz w:val="18"/>
                <w:szCs w:val="18"/>
                <w:lang w:val="fr-FR" w:eastAsia="en-US"/>
              </w:rPr>
            </w:pPr>
            <w:r w:rsidRPr="004C0E7A">
              <w:rPr>
                <w:rFonts w:eastAsia="Times New Roman"/>
                <w:sz w:val="18"/>
                <w:szCs w:val="18"/>
                <w:lang w:val="fr-FR" w:eastAsia="en-US"/>
              </w:rPr>
              <w:t>INV 2015</w:t>
            </w:r>
            <w:r w:rsidR="008E117E" w:rsidRPr="004C0E7A">
              <w:rPr>
                <w:rFonts w:eastAsia="Times New Roman"/>
                <w:sz w:val="18"/>
                <w:szCs w:val="18"/>
                <w:lang w:val="fr-FR" w:eastAsia="en-US"/>
              </w:rPr>
              <w:noBreakHyphen/>
            </w:r>
            <w:r w:rsidRPr="004C0E7A">
              <w:rPr>
                <w:rFonts w:eastAsia="Times New Roman"/>
                <w:sz w:val="18"/>
                <w:szCs w:val="18"/>
                <w:lang w:val="fr-FR" w:eastAsia="en-US"/>
              </w:rPr>
              <w:t>05</w:t>
            </w:r>
            <w:r w:rsidR="000055C7" w:rsidRPr="004C0E7A">
              <w:rPr>
                <w:rFonts w:eastAsia="Times New Roman"/>
                <w:sz w:val="18"/>
                <w:szCs w:val="18"/>
                <w:lang w:val="fr-FR" w:eastAsia="en-US"/>
              </w:rPr>
              <w:t xml:space="preserve"> – </w:t>
            </w:r>
            <w:r w:rsidRPr="004C0E7A">
              <w:rPr>
                <w:rFonts w:eastAsia="Times New Roman"/>
                <w:sz w:val="18"/>
                <w:szCs w:val="18"/>
                <w:lang w:val="fr-FR" w:eastAsia="en-US"/>
              </w:rPr>
              <w:t>Abus concernant les horaires de travail</w:t>
            </w:r>
          </w:p>
        </w:tc>
        <w:tc>
          <w:tcPr>
            <w:tcW w:w="2950" w:type="dxa"/>
            <w:tcBorders>
              <w:top w:val="nil"/>
              <w:left w:val="nil"/>
              <w:bottom w:val="single" w:sz="4" w:space="0" w:color="auto"/>
              <w:right w:val="single" w:sz="4" w:space="0" w:color="auto"/>
            </w:tcBorders>
            <w:shd w:val="clear" w:color="auto" w:fill="auto"/>
            <w:tcMar>
              <w:top w:w="23" w:type="dxa"/>
              <w:bottom w:w="23" w:type="dxa"/>
            </w:tcMar>
            <w:vAlign w:val="center"/>
          </w:tcPr>
          <w:p w:rsidR="002539F1" w:rsidRPr="004C0E7A" w:rsidRDefault="002B3C52" w:rsidP="0013256A">
            <w:pPr>
              <w:keepLines/>
              <w:jc w:val="center"/>
              <w:rPr>
                <w:sz w:val="18"/>
                <w:szCs w:val="18"/>
                <w:lang w:val="fr-FR"/>
              </w:rPr>
            </w:pPr>
            <w:r w:rsidRPr="004C0E7A">
              <w:rPr>
                <w:rFonts w:eastAsia="Times New Roman"/>
                <w:sz w:val="18"/>
                <w:szCs w:val="18"/>
                <w:lang w:val="fr-FR" w:eastAsia="en-US"/>
              </w:rPr>
              <w:t>Sans objet</w:t>
            </w:r>
          </w:p>
        </w:tc>
        <w:tc>
          <w:tcPr>
            <w:tcW w:w="1417" w:type="dxa"/>
            <w:tcBorders>
              <w:top w:val="nil"/>
              <w:left w:val="nil"/>
              <w:bottom w:val="single" w:sz="4" w:space="0" w:color="auto"/>
              <w:right w:val="single" w:sz="4" w:space="0" w:color="auto"/>
            </w:tcBorders>
            <w:shd w:val="clear" w:color="auto" w:fill="FFFF00"/>
            <w:tcMar>
              <w:top w:w="23" w:type="dxa"/>
              <w:bottom w:w="23" w:type="dxa"/>
            </w:tcMar>
            <w:vAlign w:val="center"/>
          </w:tcPr>
          <w:p w:rsidR="002539F1" w:rsidRPr="004C0E7A" w:rsidRDefault="002539F1" w:rsidP="00FD2537">
            <w:pPr>
              <w:keepLines/>
              <w:jc w:val="center"/>
              <w:rPr>
                <w:sz w:val="18"/>
                <w:szCs w:val="18"/>
                <w:lang w:val="fr-FR"/>
              </w:rPr>
            </w:pPr>
          </w:p>
        </w:tc>
      </w:tr>
      <w:tr w:rsidR="004C0E7A" w:rsidRPr="004C0E7A" w:rsidTr="0024427E">
        <w:trPr>
          <w:trHeight w:val="414"/>
        </w:trPr>
        <w:tc>
          <w:tcPr>
            <w:tcW w:w="5440" w:type="dxa"/>
            <w:tcBorders>
              <w:top w:val="single" w:sz="4" w:space="0" w:color="auto"/>
              <w:left w:val="single" w:sz="4" w:space="0" w:color="auto"/>
              <w:bottom w:val="single" w:sz="4" w:space="0" w:color="auto"/>
              <w:right w:val="single" w:sz="4" w:space="0" w:color="auto"/>
            </w:tcBorders>
            <w:shd w:val="clear" w:color="auto" w:fill="auto"/>
            <w:tcMar>
              <w:top w:w="23" w:type="dxa"/>
              <w:bottom w:w="23" w:type="dxa"/>
            </w:tcMar>
            <w:vAlign w:val="center"/>
          </w:tcPr>
          <w:p w:rsidR="002539F1" w:rsidRPr="004C0E7A" w:rsidRDefault="004B28E2" w:rsidP="0024427E">
            <w:pPr>
              <w:rPr>
                <w:rFonts w:eastAsia="Times New Roman"/>
                <w:sz w:val="18"/>
                <w:szCs w:val="18"/>
                <w:lang w:val="fr-FR" w:eastAsia="en-US"/>
              </w:rPr>
            </w:pPr>
            <w:r w:rsidRPr="004C0E7A">
              <w:rPr>
                <w:rFonts w:eastAsia="Times New Roman"/>
                <w:sz w:val="18"/>
                <w:szCs w:val="18"/>
                <w:lang w:val="fr-FR" w:eastAsia="en-US"/>
              </w:rPr>
              <w:t>INV 2015</w:t>
            </w:r>
            <w:r w:rsidR="008E117E" w:rsidRPr="004C0E7A">
              <w:rPr>
                <w:rFonts w:eastAsia="Times New Roman"/>
                <w:sz w:val="18"/>
                <w:szCs w:val="18"/>
                <w:lang w:val="fr-FR" w:eastAsia="en-US"/>
              </w:rPr>
              <w:noBreakHyphen/>
            </w:r>
            <w:r w:rsidRPr="004C0E7A">
              <w:rPr>
                <w:rFonts w:eastAsia="Times New Roman"/>
                <w:sz w:val="18"/>
                <w:szCs w:val="18"/>
                <w:lang w:val="fr-FR" w:eastAsia="en-US"/>
              </w:rPr>
              <w:t>06</w:t>
            </w:r>
            <w:r w:rsidR="000055C7" w:rsidRPr="004C0E7A">
              <w:rPr>
                <w:rFonts w:eastAsia="Times New Roman"/>
                <w:sz w:val="18"/>
                <w:szCs w:val="18"/>
                <w:lang w:val="fr-FR" w:eastAsia="en-US"/>
              </w:rPr>
              <w:t xml:space="preserve"> – </w:t>
            </w:r>
            <w:r w:rsidRPr="004C0E7A">
              <w:rPr>
                <w:rFonts w:eastAsia="Times New Roman"/>
                <w:sz w:val="18"/>
                <w:szCs w:val="18"/>
                <w:lang w:val="fr-FR" w:eastAsia="en-US"/>
              </w:rPr>
              <w:t>Harcèlement/discrimination/abus de pouvoir</w:t>
            </w:r>
          </w:p>
        </w:tc>
        <w:tc>
          <w:tcPr>
            <w:tcW w:w="2950" w:type="dxa"/>
            <w:tcBorders>
              <w:top w:val="nil"/>
              <w:left w:val="nil"/>
              <w:bottom w:val="single" w:sz="4" w:space="0" w:color="auto"/>
              <w:right w:val="single" w:sz="4" w:space="0" w:color="auto"/>
            </w:tcBorders>
            <w:shd w:val="clear" w:color="auto" w:fill="auto"/>
            <w:tcMar>
              <w:top w:w="23" w:type="dxa"/>
              <w:bottom w:w="23" w:type="dxa"/>
            </w:tcMar>
            <w:vAlign w:val="center"/>
          </w:tcPr>
          <w:p w:rsidR="002539F1" w:rsidRPr="004C0E7A" w:rsidRDefault="002B3C52" w:rsidP="0013256A">
            <w:pPr>
              <w:keepLines/>
              <w:jc w:val="center"/>
              <w:rPr>
                <w:sz w:val="18"/>
                <w:szCs w:val="18"/>
                <w:lang w:val="fr-FR"/>
              </w:rPr>
            </w:pPr>
            <w:r w:rsidRPr="004C0E7A">
              <w:rPr>
                <w:rFonts w:eastAsia="Times New Roman"/>
                <w:sz w:val="18"/>
                <w:szCs w:val="18"/>
                <w:lang w:val="fr-FR" w:eastAsia="en-US"/>
              </w:rPr>
              <w:t>Sans objet</w:t>
            </w:r>
          </w:p>
        </w:tc>
        <w:tc>
          <w:tcPr>
            <w:tcW w:w="1417" w:type="dxa"/>
            <w:tcBorders>
              <w:top w:val="nil"/>
              <w:left w:val="nil"/>
              <w:bottom w:val="single" w:sz="4" w:space="0" w:color="auto"/>
              <w:right w:val="single" w:sz="4" w:space="0" w:color="auto"/>
            </w:tcBorders>
            <w:shd w:val="clear" w:color="auto" w:fill="FFFF00"/>
            <w:tcMar>
              <w:top w:w="23" w:type="dxa"/>
              <w:bottom w:w="23" w:type="dxa"/>
            </w:tcMar>
            <w:vAlign w:val="center"/>
          </w:tcPr>
          <w:p w:rsidR="002539F1" w:rsidRPr="004C0E7A" w:rsidRDefault="002539F1" w:rsidP="00FD2537">
            <w:pPr>
              <w:keepLines/>
              <w:jc w:val="center"/>
              <w:rPr>
                <w:sz w:val="18"/>
                <w:szCs w:val="18"/>
                <w:lang w:val="fr-FR"/>
              </w:rPr>
            </w:pPr>
          </w:p>
        </w:tc>
      </w:tr>
      <w:tr w:rsidR="004C0E7A" w:rsidRPr="004C0E7A" w:rsidTr="0024427E">
        <w:trPr>
          <w:trHeight w:val="414"/>
        </w:trPr>
        <w:tc>
          <w:tcPr>
            <w:tcW w:w="5440" w:type="dxa"/>
            <w:tcBorders>
              <w:top w:val="single" w:sz="4" w:space="0" w:color="auto"/>
              <w:left w:val="single" w:sz="4" w:space="0" w:color="auto"/>
              <w:bottom w:val="single" w:sz="4" w:space="0" w:color="auto"/>
              <w:right w:val="single" w:sz="4" w:space="0" w:color="auto"/>
            </w:tcBorders>
            <w:shd w:val="clear" w:color="auto" w:fill="auto"/>
            <w:tcMar>
              <w:top w:w="23" w:type="dxa"/>
              <w:bottom w:w="23" w:type="dxa"/>
            </w:tcMar>
            <w:vAlign w:val="center"/>
          </w:tcPr>
          <w:p w:rsidR="002539F1" w:rsidRPr="004C0E7A" w:rsidRDefault="004B28E2" w:rsidP="0024427E">
            <w:pPr>
              <w:rPr>
                <w:rFonts w:eastAsia="Times New Roman"/>
                <w:sz w:val="18"/>
                <w:szCs w:val="18"/>
                <w:lang w:val="fr-FR" w:eastAsia="en-US"/>
              </w:rPr>
            </w:pPr>
            <w:r w:rsidRPr="004C0E7A">
              <w:rPr>
                <w:rFonts w:eastAsia="Times New Roman"/>
                <w:sz w:val="18"/>
                <w:szCs w:val="18"/>
                <w:lang w:val="fr-FR" w:eastAsia="en-US"/>
              </w:rPr>
              <w:t>INV 2015</w:t>
            </w:r>
            <w:r w:rsidR="008E117E" w:rsidRPr="004C0E7A">
              <w:rPr>
                <w:rFonts w:eastAsia="Times New Roman"/>
                <w:sz w:val="18"/>
                <w:szCs w:val="18"/>
                <w:lang w:val="fr-FR" w:eastAsia="en-US"/>
              </w:rPr>
              <w:noBreakHyphen/>
            </w:r>
            <w:r w:rsidRPr="004C0E7A">
              <w:rPr>
                <w:rFonts w:eastAsia="Times New Roman"/>
                <w:sz w:val="18"/>
                <w:szCs w:val="18"/>
                <w:lang w:val="fr-FR" w:eastAsia="en-US"/>
              </w:rPr>
              <w:t>07</w:t>
            </w:r>
            <w:r w:rsidR="000055C7" w:rsidRPr="004C0E7A">
              <w:rPr>
                <w:rFonts w:eastAsia="Times New Roman"/>
                <w:sz w:val="18"/>
                <w:szCs w:val="18"/>
                <w:lang w:val="fr-FR" w:eastAsia="en-US"/>
              </w:rPr>
              <w:t xml:space="preserve"> – </w:t>
            </w:r>
            <w:r w:rsidRPr="004C0E7A">
              <w:rPr>
                <w:rFonts w:eastAsia="Times New Roman"/>
                <w:sz w:val="18"/>
                <w:szCs w:val="18"/>
                <w:lang w:val="fr-FR" w:eastAsia="en-US"/>
              </w:rPr>
              <w:t>Fraude aux prestations</w:t>
            </w:r>
          </w:p>
        </w:tc>
        <w:tc>
          <w:tcPr>
            <w:tcW w:w="2950" w:type="dxa"/>
            <w:tcBorders>
              <w:top w:val="nil"/>
              <w:left w:val="nil"/>
              <w:bottom w:val="single" w:sz="4" w:space="0" w:color="auto"/>
              <w:right w:val="single" w:sz="4" w:space="0" w:color="auto"/>
            </w:tcBorders>
            <w:shd w:val="clear" w:color="auto" w:fill="auto"/>
            <w:tcMar>
              <w:top w:w="23" w:type="dxa"/>
              <w:bottom w:w="23" w:type="dxa"/>
            </w:tcMar>
            <w:vAlign w:val="center"/>
          </w:tcPr>
          <w:p w:rsidR="002539F1" w:rsidRPr="004C0E7A" w:rsidRDefault="002B3C52" w:rsidP="0013256A">
            <w:pPr>
              <w:keepLines/>
              <w:jc w:val="center"/>
              <w:rPr>
                <w:sz w:val="18"/>
                <w:szCs w:val="18"/>
                <w:lang w:val="fr-FR"/>
              </w:rPr>
            </w:pPr>
            <w:r w:rsidRPr="004C0E7A">
              <w:rPr>
                <w:rFonts w:eastAsia="Times New Roman"/>
                <w:sz w:val="18"/>
                <w:szCs w:val="18"/>
                <w:lang w:val="fr-FR" w:eastAsia="en-US"/>
              </w:rPr>
              <w:t>Sans objet</w:t>
            </w:r>
          </w:p>
        </w:tc>
        <w:tc>
          <w:tcPr>
            <w:tcW w:w="1417" w:type="dxa"/>
            <w:tcBorders>
              <w:top w:val="nil"/>
              <w:left w:val="nil"/>
              <w:bottom w:val="single" w:sz="4" w:space="0" w:color="auto"/>
              <w:right w:val="single" w:sz="4" w:space="0" w:color="auto"/>
            </w:tcBorders>
            <w:shd w:val="clear" w:color="auto" w:fill="92D050"/>
            <w:tcMar>
              <w:top w:w="23" w:type="dxa"/>
              <w:bottom w:w="23" w:type="dxa"/>
            </w:tcMar>
            <w:vAlign w:val="center"/>
          </w:tcPr>
          <w:p w:rsidR="002539F1" w:rsidRPr="004C0E7A" w:rsidRDefault="002539F1" w:rsidP="00FD2537">
            <w:pPr>
              <w:keepLines/>
              <w:jc w:val="center"/>
              <w:rPr>
                <w:sz w:val="18"/>
                <w:szCs w:val="18"/>
                <w:lang w:val="fr-FR"/>
              </w:rPr>
            </w:pPr>
          </w:p>
        </w:tc>
      </w:tr>
      <w:tr w:rsidR="004C0E7A" w:rsidRPr="004C0E7A" w:rsidTr="0024427E">
        <w:trPr>
          <w:trHeight w:val="414"/>
        </w:trPr>
        <w:tc>
          <w:tcPr>
            <w:tcW w:w="5440" w:type="dxa"/>
            <w:tcBorders>
              <w:top w:val="single" w:sz="4" w:space="0" w:color="auto"/>
              <w:left w:val="single" w:sz="4" w:space="0" w:color="auto"/>
              <w:bottom w:val="single" w:sz="4" w:space="0" w:color="auto"/>
              <w:right w:val="single" w:sz="4" w:space="0" w:color="auto"/>
            </w:tcBorders>
            <w:shd w:val="clear" w:color="auto" w:fill="auto"/>
            <w:tcMar>
              <w:top w:w="23" w:type="dxa"/>
              <w:bottom w:w="23" w:type="dxa"/>
            </w:tcMar>
            <w:vAlign w:val="center"/>
          </w:tcPr>
          <w:p w:rsidR="002539F1" w:rsidRPr="004C0E7A" w:rsidRDefault="004B28E2" w:rsidP="0024427E">
            <w:pPr>
              <w:rPr>
                <w:rFonts w:eastAsia="Times New Roman"/>
                <w:sz w:val="18"/>
                <w:szCs w:val="18"/>
                <w:lang w:val="fr-FR" w:eastAsia="en-US"/>
              </w:rPr>
            </w:pPr>
            <w:r w:rsidRPr="004C0E7A">
              <w:rPr>
                <w:rFonts w:eastAsia="Times New Roman"/>
                <w:sz w:val="18"/>
                <w:szCs w:val="18"/>
                <w:lang w:val="fr-FR" w:eastAsia="en-US"/>
              </w:rPr>
              <w:t>INV 2015</w:t>
            </w:r>
            <w:r w:rsidR="008E117E" w:rsidRPr="004C0E7A">
              <w:rPr>
                <w:rFonts w:eastAsia="Times New Roman"/>
                <w:sz w:val="18"/>
                <w:szCs w:val="18"/>
                <w:lang w:val="fr-FR" w:eastAsia="en-US"/>
              </w:rPr>
              <w:noBreakHyphen/>
            </w:r>
            <w:r w:rsidRPr="004C0E7A">
              <w:rPr>
                <w:rFonts w:eastAsia="Times New Roman"/>
                <w:sz w:val="18"/>
                <w:szCs w:val="18"/>
                <w:lang w:val="fr-FR" w:eastAsia="en-US"/>
              </w:rPr>
              <w:t>08</w:t>
            </w:r>
            <w:r w:rsidR="000055C7" w:rsidRPr="004C0E7A">
              <w:rPr>
                <w:rFonts w:eastAsia="Times New Roman"/>
                <w:sz w:val="18"/>
                <w:szCs w:val="18"/>
                <w:lang w:val="fr-FR" w:eastAsia="en-US"/>
              </w:rPr>
              <w:t xml:space="preserve"> – </w:t>
            </w:r>
            <w:r w:rsidRPr="004C0E7A">
              <w:rPr>
                <w:rFonts w:eastAsia="Times New Roman"/>
                <w:sz w:val="18"/>
                <w:szCs w:val="18"/>
                <w:lang w:val="fr-FR" w:eastAsia="en-US"/>
              </w:rPr>
              <w:t>Harcèlement/discrimination/abus de pouvoir</w:t>
            </w:r>
          </w:p>
        </w:tc>
        <w:tc>
          <w:tcPr>
            <w:tcW w:w="2950" w:type="dxa"/>
            <w:tcBorders>
              <w:top w:val="nil"/>
              <w:left w:val="nil"/>
              <w:bottom w:val="single" w:sz="4" w:space="0" w:color="auto"/>
              <w:right w:val="single" w:sz="4" w:space="0" w:color="auto"/>
            </w:tcBorders>
            <w:shd w:val="clear" w:color="auto" w:fill="auto"/>
            <w:tcMar>
              <w:top w:w="23" w:type="dxa"/>
              <w:bottom w:w="23" w:type="dxa"/>
            </w:tcMar>
            <w:vAlign w:val="center"/>
          </w:tcPr>
          <w:p w:rsidR="002539F1" w:rsidRPr="004C0E7A" w:rsidRDefault="002B3C52" w:rsidP="0013256A">
            <w:pPr>
              <w:keepLines/>
              <w:jc w:val="center"/>
              <w:rPr>
                <w:sz w:val="18"/>
                <w:szCs w:val="18"/>
                <w:lang w:val="fr-FR"/>
              </w:rPr>
            </w:pPr>
            <w:r w:rsidRPr="004C0E7A">
              <w:rPr>
                <w:rFonts w:eastAsia="Times New Roman"/>
                <w:sz w:val="18"/>
                <w:szCs w:val="18"/>
                <w:lang w:val="fr-FR" w:eastAsia="en-US"/>
              </w:rPr>
              <w:t>Sans objet</w:t>
            </w:r>
          </w:p>
        </w:tc>
        <w:tc>
          <w:tcPr>
            <w:tcW w:w="1417" w:type="dxa"/>
            <w:tcBorders>
              <w:top w:val="nil"/>
              <w:left w:val="nil"/>
              <w:bottom w:val="single" w:sz="4" w:space="0" w:color="auto"/>
              <w:right w:val="single" w:sz="4" w:space="0" w:color="auto"/>
            </w:tcBorders>
            <w:shd w:val="clear" w:color="auto" w:fill="FFFF00"/>
            <w:tcMar>
              <w:top w:w="23" w:type="dxa"/>
              <w:bottom w:w="23" w:type="dxa"/>
            </w:tcMar>
            <w:vAlign w:val="center"/>
          </w:tcPr>
          <w:p w:rsidR="002539F1" w:rsidRPr="004C0E7A" w:rsidRDefault="002539F1" w:rsidP="00FD2537">
            <w:pPr>
              <w:keepLines/>
              <w:jc w:val="center"/>
              <w:rPr>
                <w:sz w:val="18"/>
                <w:szCs w:val="18"/>
                <w:lang w:val="fr-FR"/>
              </w:rPr>
            </w:pPr>
          </w:p>
        </w:tc>
      </w:tr>
      <w:tr w:rsidR="004C0E7A" w:rsidRPr="004C0E7A" w:rsidTr="0024427E">
        <w:trPr>
          <w:trHeight w:val="414"/>
        </w:trPr>
        <w:tc>
          <w:tcPr>
            <w:tcW w:w="5440" w:type="dxa"/>
            <w:tcBorders>
              <w:top w:val="single" w:sz="4" w:space="0" w:color="auto"/>
              <w:left w:val="single" w:sz="4" w:space="0" w:color="auto"/>
              <w:bottom w:val="single" w:sz="4" w:space="0" w:color="auto"/>
              <w:right w:val="single" w:sz="4" w:space="0" w:color="auto"/>
            </w:tcBorders>
            <w:shd w:val="clear" w:color="auto" w:fill="auto"/>
            <w:tcMar>
              <w:top w:w="23" w:type="dxa"/>
              <w:bottom w:w="23" w:type="dxa"/>
            </w:tcMar>
            <w:vAlign w:val="center"/>
          </w:tcPr>
          <w:p w:rsidR="002539F1" w:rsidRPr="004C0E7A" w:rsidRDefault="004B28E2" w:rsidP="0024427E">
            <w:pPr>
              <w:rPr>
                <w:rFonts w:eastAsia="Times New Roman"/>
                <w:sz w:val="18"/>
                <w:szCs w:val="18"/>
                <w:lang w:val="fr-FR" w:eastAsia="en-US"/>
              </w:rPr>
            </w:pPr>
            <w:r w:rsidRPr="004C0E7A">
              <w:rPr>
                <w:rFonts w:eastAsia="Times New Roman"/>
                <w:sz w:val="18"/>
                <w:szCs w:val="18"/>
                <w:lang w:val="fr-FR" w:eastAsia="en-US"/>
              </w:rPr>
              <w:t>INV 2015</w:t>
            </w:r>
            <w:r w:rsidR="008E117E" w:rsidRPr="004C0E7A">
              <w:rPr>
                <w:rFonts w:eastAsia="Times New Roman"/>
                <w:sz w:val="18"/>
                <w:szCs w:val="18"/>
                <w:lang w:val="fr-FR" w:eastAsia="en-US"/>
              </w:rPr>
              <w:noBreakHyphen/>
            </w:r>
            <w:r w:rsidRPr="004C0E7A">
              <w:rPr>
                <w:rFonts w:eastAsia="Times New Roman"/>
                <w:sz w:val="18"/>
                <w:szCs w:val="18"/>
                <w:lang w:val="fr-FR" w:eastAsia="en-US"/>
              </w:rPr>
              <w:t>09</w:t>
            </w:r>
            <w:r w:rsidR="000055C7" w:rsidRPr="004C0E7A">
              <w:rPr>
                <w:rFonts w:eastAsia="Times New Roman"/>
                <w:sz w:val="18"/>
                <w:szCs w:val="18"/>
                <w:lang w:val="fr-FR" w:eastAsia="en-US"/>
              </w:rPr>
              <w:t xml:space="preserve"> – </w:t>
            </w:r>
            <w:r w:rsidRPr="004C0E7A">
              <w:rPr>
                <w:rFonts w:eastAsia="Times New Roman"/>
                <w:sz w:val="18"/>
                <w:szCs w:val="18"/>
                <w:lang w:val="fr-FR" w:eastAsia="en-US"/>
              </w:rPr>
              <w:t>Fraude aux prestations</w:t>
            </w:r>
          </w:p>
        </w:tc>
        <w:tc>
          <w:tcPr>
            <w:tcW w:w="2950" w:type="dxa"/>
            <w:tcBorders>
              <w:top w:val="nil"/>
              <w:left w:val="nil"/>
              <w:bottom w:val="single" w:sz="4" w:space="0" w:color="auto"/>
              <w:right w:val="single" w:sz="4" w:space="0" w:color="auto"/>
            </w:tcBorders>
            <w:shd w:val="clear" w:color="auto" w:fill="auto"/>
            <w:tcMar>
              <w:top w:w="23" w:type="dxa"/>
              <w:bottom w:w="23" w:type="dxa"/>
            </w:tcMar>
            <w:vAlign w:val="center"/>
          </w:tcPr>
          <w:p w:rsidR="002539F1" w:rsidRPr="004C0E7A" w:rsidRDefault="002B3C52" w:rsidP="0013256A">
            <w:pPr>
              <w:keepLines/>
              <w:jc w:val="center"/>
              <w:rPr>
                <w:sz w:val="18"/>
                <w:szCs w:val="18"/>
                <w:lang w:val="fr-FR"/>
              </w:rPr>
            </w:pPr>
            <w:r w:rsidRPr="004C0E7A">
              <w:rPr>
                <w:rFonts w:eastAsia="Times New Roman"/>
                <w:sz w:val="18"/>
                <w:szCs w:val="18"/>
                <w:lang w:val="fr-FR" w:eastAsia="en-US"/>
              </w:rPr>
              <w:t>Sans objet</w:t>
            </w:r>
          </w:p>
        </w:tc>
        <w:tc>
          <w:tcPr>
            <w:tcW w:w="1417" w:type="dxa"/>
            <w:tcBorders>
              <w:top w:val="nil"/>
              <w:left w:val="nil"/>
              <w:bottom w:val="single" w:sz="4" w:space="0" w:color="auto"/>
              <w:right w:val="single" w:sz="4" w:space="0" w:color="auto"/>
            </w:tcBorders>
            <w:shd w:val="clear" w:color="auto" w:fill="92D050"/>
            <w:tcMar>
              <w:top w:w="23" w:type="dxa"/>
              <w:bottom w:w="23" w:type="dxa"/>
            </w:tcMar>
            <w:vAlign w:val="center"/>
          </w:tcPr>
          <w:p w:rsidR="002539F1" w:rsidRPr="004C0E7A" w:rsidRDefault="002539F1" w:rsidP="00FD2537">
            <w:pPr>
              <w:keepLines/>
              <w:jc w:val="center"/>
              <w:rPr>
                <w:sz w:val="18"/>
                <w:szCs w:val="18"/>
                <w:lang w:val="fr-FR"/>
              </w:rPr>
            </w:pPr>
          </w:p>
        </w:tc>
      </w:tr>
      <w:tr w:rsidR="004C0E7A" w:rsidRPr="004C0E7A" w:rsidTr="0024427E">
        <w:trPr>
          <w:trHeight w:val="414"/>
        </w:trPr>
        <w:tc>
          <w:tcPr>
            <w:tcW w:w="5440" w:type="dxa"/>
            <w:tcBorders>
              <w:top w:val="single" w:sz="4" w:space="0" w:color="auto"/>
              <w:left w:val="single" w:sz="4" w:space="0" w:color="auto"/>
              <w:bottom w:val="single" w:sz="4" w:space="0" w:color="auto"/>
              <w:right w:val="single" w:sz="4" w:space="0" w:color="auto"/>
            </w:tcBorders>
            <w:shd w:val="clear" w:color="auto" w:fill="auto"/>
            <w:tcMar>
              <w:top w:w="23" w:type="dxa"/>
              <w:bottom w:w="23" w:type="dxa"/>
            </w:tcMar>
            <w:vAlign w:val="center"/>
          </w:tcPr>
          <w:p w:rsidR="002539F1" w:rsidRPr="004C0E7A" w:rsidRDefault="004B28E2" w:rsidP="0024427E">
            <w:pPr>
              <w:rPr>
                <w:rFonts w:eastAsia="Times New Roman"/>
                <w:sz w:val="18"/>
                <w:szCs w:val="18"/>
                <w:lang w:val="fr-FR" w:eastAsia="en-US"/>
              </w:rPr>
            </w:pPr>
            <w:r w:rsidRPr="004C0E7A">
              <w:rPr>
                <w:rFonts w:eastAsia="Times New Roman"/>
                <w:sz w:val="18"/>
                <w:szCs w:val="18"/>
                <w:lang w:val="fr-FR" w:eastAsia="en-US"/>
              </w:rPr>
              <w:t>INV 2015</w:t>
            </w:r>
            <w:r w:rsidR="008E117E" w:rsidRPr="004C0E7A">
              <w:rPr>
                <w:rFonts w:eastAsia="Times New Roman"/>
                <w:sz w:val="18"/>
                <w:szCs w:val="18"/>
                <w:lang w:val="fr-FR" w:eastAsia="en-US"/>
              </w:rPr>
              <w:noBreakHyphen/>
            </w:r>
            <w:r w:rsidRPr="004C0E7A">
              <w:rPr>
                <w:rFonts w:eastAsia="Times New Roman"/>
                <w:sz w:val="18"/>
                <w:szCs w:val="18"/>
                <w:lang w:val="fr-FR" w:eastAsia="en-US"/>
              </w:rPr>
              <w:t>10</w:t>
            </w:r>
            <w:r w:rsidR="000055C7" w:rsidRPr="004C0E7A">
              <w:rPr>
                <w:rFonts w:eastAsia="Times New Roman"/>
                <w:sz w:val="18"/>
                <w:szCs w:val="18"/>
                <w:lang w:val="fr-FR" w:eastAsia="en-US"/>
              </w:rPr>
              <w:t xml:space="preserve"> – </w:t>
            </w:r>
            <w:r w:rsidRPr="004C0E7A">
              <w:rPr>
                <w:rFonts w:eastAsia="Times New Roman"/>
                <w:sz w:val="18"/>
                <w:szCs w:val="18"/>
                <w:lang w:val="fr-FR" w:eastAsia="en-US"/>
              </w:rPr>
              <w:t>Déclarations et activités incompatibles avec le statut de fonctionnaire international</w:t>
            </w:r>
          </w:p>
        </w:tc>
        <w:tc>
          <w:tcPr>
            <w:tcW w:w="2950" w:type="dxa"/>
            <w:tcBorders>
              <w:top w:val="nil"/>
              <w:left w:val="nil"/>
              <w:bottom w:val="single" w:sz="4" w:space="0" w:color="auto"/>
              <w:right w:val="single" w:sz="4" w:space="0" w:color="auto"/>
            </w:tcBorders>
            <w:shd w:val="clear" w:color="auto" w:fill="auto"/>
            <w:tcMar>
              <w:top w:w="23" w:type="dxa"/>
              <w:bottom w:w="23" w:type="dxa"/>
            </w:tcMar>
            <w:vAlign w:val="center"/>
          </w:tcPr>
          <w:p w:rsidR="002539F1" w:rsidRPr="004C0E7A" w:rsidRDefault="002B3C52" w:rsidP="0013256A">
            <w:pPr>
              <w:keepLines/>
              <w:jc w:val="center"/>
              <w:rPr>
                <w:sz w:val="18"/>
                <w:szCs w:val="18"/>
                <w:lang w:val="fr-FR"/>
              </w:rPr>
            </w:pPr>
            <w:r w:rsidRPr="004C0E7A">
              <w:rPr>
                <w:rFonts w:eastAsia="Times New Roman"/>
                <w:sz w:val="18"/>
                <w:szCs w:val="18"/>
                <w:lang w:val="fr-FR" w:eastAsia="en-US"/>
              </w:rPr>
              <w:t>Sans objet</w:t>
            </w:r>
          </w:p>
        </w:tc>
        <w:tc>
          <w:tcPr>
            <w:tcW w:w="1417" w:type="dxa"/>
            <w:tcBorders>
              <w:top w:val="nil"/>
              <w:left w:val="nil"/>
              <w:bottom w:val="single" w:sz="4" w:space="0" w:color="auto"/>
              <w:right w:val="single" w:sz="4" w:space="0" w:color="auto"/>
            </w:tcBorders>
            <w:shd w:val="clear" w:color="auto" w:fill="92D050"/>
            <w:tcMar>
              <w:top w:w="23" w:type="dxa"/>
              <w:bottom w:w="23" w:type="dxa"/>
            </w:tcMar>
            <w:vAlign w:val="center"/>
          </w:tcPr>
          <w:p w:rsidR="002539F1" w:rsidRPr="004C0E7A" w:rsidRDefault="002539F1" w:rsidP="00FD2537">
            <w:pPr>
              <w:keepLines/>
              <w:jc w:val="center"/>
              <w:rPr>
                <w:sz w:val="18"/>
                <w:szCs w:val="18"/>
                <w:lang w:val="fr-FR"/>
              </w:rPr>
            </w:pPr>
          </w:p>
        </w:tc>
      </w:tr>
      <w:tr w:rsidR="004C0E7A" w:rsidRPr="004C0E7A" w:rsidTr="0024427E">
        <w:trPr>
          <w:trHeight w:val="414"/>
        </w:trPr>
        <w:tc>
          <w:tcPr>
            <w:tcW w:w="5440" w:type="dxa"/>
            <w:tcBorders>
              <w:top w:val="single" w:sz="4" w:space="0" w:color="auto"/>
              <w:left w:val="single" w:sz="4" w:space="0" w:color="auto"/>
              <w:bottom w:val="single" w:sz="4" w:space="0" w:color="auto"/>
              <w:right w:val="single" w:sz="4" w:space="0" w:color="auto"/>
            </w:tcBorders>
            <w:shd w:val="clear" w:color="auto" w:fill="auto"/>
            <w:tcMar>
              <w:top w:w="23" w:type="dxa"/>
              <w:bottom w:w="23" w:type="dxa"/>
            </w:tcMar>
            <w:vAlign w:val="center"/>
          </w:tcPr>
          <w:p w:rsidR="002539F1" w:rsidRPr="004C0E7A" w:rsidRDefault="004B28E2" w:rsidP="0024427E">
            <w:pPr>
              <w:rPr>
                <w:rFonts w:eastAsia="Times New Roman"/>
                <w:sz w:val="18"/>
                <w:szCs w:val="18"/>
                <w:lang w:val="fr-FR" w:eastAsia="en-US"/>
              </w:rPr>
            </w:pPr>
            <w:r w:rsidRPr="004C0E7A">
              <w:rPr>
                <w:rFonts w:eastAsia="Times New Roman"/>
                <w:sz w:val="18"/>
                <w:szCs w:val="18"/>
                <w:lang w:val="fr-FR" w:eastAsia="en-US"/>
              </w:rPr>
              <w:t>INV 2015</w:t>
            </w:r>
            <w:r w:rsidR="008E117E" w:rsidRPr="004C0E7A">
              <w:rPr>
                <w:rFonts w:eastAsia="Times New Roman"/>
                <w:sz w:val="18"/>
                <w:szCs w:val="18"/>
                <w:lang w:val="fr-FR" w:eastAsia="en-US"/>
              </w:rPr>
              <w:noBreakHyphen/>
            </w:r>
            <w:r w:rsidRPr="004C0E7A">
              <w:rPr>
                <w:rFonts w:eastAsia="Times New Roman"/>
                <w:sz w:val="18"/>
                <w:szCs w:val="18"/>
                <w:lang w:val="fr-FR" w:eastAsia="en-US"/>
              </w:rPr>
              <w:t>11</w:t>
            </w:r>
            <w:r w:rsidR="000055C7" w:rsidRPr="004C0E7A">
              <w:rPr>
                <w:rFonts w:eastAsia="Times New Roman"/>
                <w:sz w:val="18"/>
                <w:szCs w:val="18"/>
                <w:lang w:val="fr-FR" w:eastAsia="en-US"/>
              </w:rPr>
              <w:t xml:space="preserve"> – </w:t>
            </w:r>
            <w:r w:rsidRPr="004C0E7A">
              <w:rPr>
                <w:rFonts w:eastAsia="Times New Roman"/>
                <w:sz w:val="18"/>
                <w:szCs w:val="18"/>
                <w:lang w:val="fr-FR" w:eastAsia="en-US"/>
              </w:rPr>
              <w:t>Harcèlement/discrimination/abus de pouvoir</w:t>
            </w:r>
          </w:p>
        </w:tc>
        <w:tc>
          <w:tcPr>
            <w:tcW w:w="2950" w:type="dxa"/>
            <w:tcBorders>
              <w:top w:val="nil"/>
              <w:left w:val="nil"/>
              <w:bottom w:val="single" w:sz="4" w:space="0" w:color="auto"/>
              <w:right w:val="single" w:sz="4" w:space="0" w:color="auto"/>
            </w:tcBorders>
            <w:shd w:val="clear" w:color="auto" w:fill="auto"/>
            <w:tcMar>
              <w:top w:w="23" w:type="dxa"/>
              <w:bottom w:w="23" w:type="dxa"/>
            </w:tcMar>
            <w:vAlign w:val="center"/>
          </w:tcPr>
          <w:p w:rsidR="002539F1" w:rsidRPr="004C0E7A" w:rsidRDefault="002B3C52" w:rsidP="0013256A">
            <w:pPr>
              <w:keepLines/>
              <w:jc w:val="center"/>
              <w:rPr>
                <w:sz w:val="18"/>
                <w:szCs w:val="18"/>
                <w:lang w:val="fr-FR"/>
              </w:rPr>
            </w:pPr>
            <w:r w:rsidRPr="004C0E7A">
              <w:rPr>
                <w:rFonts w:eastAsia="Times New Roman"/>
                <w:sz w:val="18"/>
                <w:szCs w:val="18"/>
                <w:lang w:val="fr-FR" w:eastAsia="en-US"/>
              </w:rPr>
              <w:t>Sans objet</w:t>
            </w:r>
          </w:p>
        </w:tc>
        <w:tc>
          <w:tcPr>
            <w:tcW w:w="1417" w:type="dxa"/>
            <w:tcBorders>
              <w:top w:val="nil"/>
              <w:left w:val="nil"/>
              <w:bottom w:val="single" w:sz="4" w:space="0" w:color="auto"/>
              <w:right w:val="single" w:sz="4" w:space="0" w:color="auto"/>
            </w:tcBorders>
            <w:shd w:val="clear" w:color="auto" w:fill="FFFF00"/>
            <w:tcMar>
              <w:top w:w="23" w:type="dxa"/>
              <w:bottom w:w="23" w:type="dxa"/>
            </w:tcMar>
            <w:vAlign w:val="center"/>
          </w:tcPr>
          <w:p w:rsidR="002539F1" w:rsidRPr="004C0E7A" w:rsidRDefault="002539F1" w:rsidP="00FD2537">
            <w:pPr>
              <w:keepLines/>
              <w:jc w:val="center"/>
              <w:rPr>
                <w:sz w:val="18"/>
                <w:szCs w:val="18"/>
                <w:lang w:val="fr-FR"/>
              </w:rPr>
            </w:pPr>
          </w:p>
        </w:tc>
      </w:tr>
      <w:tr w:rsidR="004C0E7A" w:rsidRPr="004C0E7A" w:rsidTr="0024427E">
        <w:trPr>
          <w:trHeight w:val="414"/>
        </w:trPr>
        <w:tc>
          <w:tcPr>
            <w:tcW w:w="5440" w:type="dxa"/>
            <w:tcBorders>
              <w:top w:val="single" w:sz="4" w:space="0" w:color="auto"/>
              <w:left w:val="single" w:sz="4" w:space="0" w:color="auto"/>
              <w:bottom w:val="single" w:sz="4" w:space="0" w:color="auto"/>
              <w:right w:val="single" w:sz="4" w:space="0" w:color="auto"/>
            </w:tcBorders>
            <w:shd w:val="clear" w:color="auto" w:fill="auto"/>
            <w:tcMar>
              <w:top w:w="23" w:type="dxa"/>
              <w:bottom w:w="23" w:type="dxa"/>
            </w:tcMar>
            <w:vAlign w:val="center"/>
          </w:tcPr>
          <w:p w:rsidR="002539F1" w:rsidRPr="004C0E7A" w:rsidRDefault="004B28E2" w:rsidP="0024427E">
            <w:pPr>
              <w:rPr>
                <w:rFonts w:eastAsia="Times New Roman"/>
                <w:sz w:val="18"/>
                <w:szCs w:val="18"/>
                <w:lang w:val="fr-FR" w:eastAsia="en-US"/>
              </w:rPr>
            </w:pPr>
            <w:r w:rsidRPr="004C0E7A">
              <w:rPr>
                <w:rFonts w:eastAsia="Times New Roman"/>
                <w:sz w:val="18"/>
                <w:szCs w:val="18"/>
                <w:lang w:val="fr-FR" w:eastAsia="en-US"/>
              </w:rPr>
              <w:t>INV 2015</w:t>
            </w:r>
            <w:r w:rsidR="008E117E" w:rsidRPr="004C0E7A">
              <w:rPr>
                <w:rFonts w:eastAsia="Times New Roman"/>
                <w:sz w:val="18"/>
                <w:szCs w:val="18"/>
                <w:lang w:val="fr-FR" w:eastAsia="en-US"/>
              </w:rPr>
              <w:noBreakHyphen/>
            </w:r>
            <w:r w:rsidRPr="004C0E7A">
              <w:rPr>
                <w:rFonts w:eastAsia="Times New Roman"/>
                <w:sz w:val="18"/>
                <w:szCs w:val="18"/>
                <w:lang w:val="fr-FR" w:eastAsia="en-US"/>
              </w:rPr>
              <w:t>12</w:t>
            </w:r>
            <w:r w:rsidR="000055C7" w:rsidRPr="004C0E7A">
              <w:rPr>
                <w:rFonts w:eastAsia="Times New Roman"/>
                <w:sz w:val="18"/>
                <w:szCs w:val="18"/>
                <w:lang w:val="fr-FR" w:eastAsia="en-US"/>
              </w:rPr>
              <w:t xml:space="preserve"> – </w:t>
            </w:r>
            <w:r w:rsidR="00951C0E" w:rsidRPr="004C0E7A">
              <w:rPr>
                <w:rFonts w:eastAsia="Times New Roman"/>
                <w:sz w:val="18"/>
                <w:szCs w:val="18"/>
                <w:lang w:val="fr-FR" w:eastAsia="en-US"/>
              </w:rPr>
              <w:t>Autres formes de fraude, de corruption ou d</w:t>
            </w:r>
            <w:r w:rsidR="000055C7" w:rsidRPr="004C0E7A">
              <w:rPr>
                <w:rFonts w:eastAsia="Times New Roman"/>
                <w:sz w:val="18"/>
                <w:szCs w:val="18"/>
                <w:lang w:val="fr-FR" w:eastAsia="en-US"/>
              </w:rPr>
              <w:t>’</w:t>
            </w:r>
            <w:r w:rsidR="00951C0E" w:rsidRPr="004C0E7A">
              <w:rPr>
                <w:rFonts w:eastAsia="Times New Roman"/>
                <w:sz w:val="18"/>
                <w:szCs w:val="18"/>
                <w:lang w:val="fr-FR" w:eastAsia="en-US"/>
              </w:rPr>
              <w:t>abus</w:t>
            </w:r>
          </w:p>
        </w:tc>
        <w:tc>
          <w:tcPr>
            <w:tcW w:w="2950" w:type="dxa"/>
            <w:tcBorders>
              <w:top w:val="nil"/>
              <w:left w:val="nil"/>
              <w:bottom w:val="single" w:sz="4" w:space="0" w:color="auto"/>
              <w:right w:val="single" w:sz="4" w:space="0" w:color="auto"/>
            </w:tcBorders>
            <w:shd w:val="clear" w:color="auto" w:fill="auto"/>
            <w:tcMar>
              <w:top w:w="23" w:type="dxa"/>
              <w:bottom w:w="23" w:type="dxa"/>
            </w:tcMar>
            <w:vAlign w:val="center"/>
          </w:tcPr>
          <w:p w:rsidR="002539F1" w:rsidRPr="004C0E7A" w:rsidRDefault="002B3C52" w:rsidP="0013256A">
            <w:pPr>
              <w:keepLines/>
              <w:jc w:val="center"/>
              <w:rPr>
                <w:sz w:val="18"/>
                <w:szCs w:val="18"/>
                <w:lang w:val="fr-FR"/>
              </w:rPr>
            </w:pPr>
            <w:r w:rsidRPr="004C0E7A">
              <w:rPr>
                <w:rFonts w:eastAsia="Times New Roman"/>
                <w:sz w:val="18"/>
                <w:szCs w:val="18"/>
                <w:lang w:val="fr-FR" w:eastAsia="en-US"/>
              </w:rPr>
              <w:t>Sans objet</w:t>
            </w:r>
          </w:p>
        </w:tc>
        <w:tc>
          <w:tcPr>
            <w:tcW w:w="1417" w:type="dxa"/>
            <w:tcBorders>
              <w:top w:val="nil"/>
              <w:left w:val="nil"/>
              <w:bottom w:val="single" w:sz="4" w:space="0" w:color="auto"/>
              <w:right w:val="single" w:sz="4" w:space="0" w:color="auto"/>
            </w:tcBorders>
            <w:shd w:val="clear" w:color="auto" w:fill="92D050"/>
            <w:tcMar>
              <w:top w:w="23" w:type="dxa"/>
              <w:bottom w:w="23" w:type="dxa"/>
            </w:tcMar>
            <w:vAlign w:val="center"/>
          </w:tcPr>
          <w:p w:rsidR="002539F1" w:rsidRPr="004C0E7A" w:rsidRDefault="002539F1" w:rsidP="00FD2537">
            <w:pPr>
              <w:keepLines/>
              <w:jc w:val="center"/>
              <w:rPr>
                <w:sz w:val="18"/>
                <w:szCs w:val="18"/>
                <w:lang w:val="fr-FR"/>
              </w:rPr>
            </w:pPr>
          </w:p>
        </w:tc>
      </w:tr>
      <w:tr w:rsidR="004C0E7A" w:rsidRPr="004C0E7A" w:rsidTr="0024427E">
        <w:trPr>
          <w:trHeight w:val="414"/>
        </w:trPr>
        <w:tc>
          <w:tcPr>
            <w:tcW w:w="5440" w:type="dxa"/>
            <w:tcBorders>
              <w:top w:val="single" w:sz="4" w:space="0" w:color="auto"/>
              <w:left w:val="single" w:sz="4" w:space="0" w:color="auto"/>
              <w:bottom w:val="single" w:sz="4" w:space="0" w:color="auto"/>
              <w:right w:val="single" w:sz="4" w:space="0" w:color="auto"/>
            </w:tcBorders>
            <w:shd w:val="clear" w:color="auto" w:fill="auto"/>
            <w:tcMar>
              <w:top w:w="23" w:type="dxa"/>
              <w:bottom w:w="23" w:type="dxa"/>
            </w:tcMar>
            <w:vAlign w:val="center"/>
          </w:tcPr>
          <w:p w:rsidR="002539F1" w:rsidRPr="004C0E7A" w:rsidRDefault="004B28E2" w:rsidP="0024427E">
            <w:pPr>
              <w:rPr>
                <w:rFonts w:eastAsia="Times New Roman"/>
                <w:sz w:val="18"/>
                <w:szCs w:val="18"/>
                <w:lang w:val="fr-FR" w:eastAsia="en-US"/>
              </w:rPr>
            </w:pPr>
            <w:r w:rsidRPr="004C0E7A">
              <w:rPr>
                <w:rFonts w:eastAsia="Times New Roman"/>
                <w:sz w:val="18"/>
                <w:szCs w:val="18"/>
                <w:lang w:val="fr-FR" w:eastAsia="en-US"/>
              </w:rPr>
              <w:t>INV 2015</w:t>
            </w:r>
            <w:r w:rsidR="008E117E" w:rsidRPr="004C0E7A">
              <w:rPr>
                <w:rFonts w:eastAsia="Times New Roman"/>
                <w:sz w:val="18"/>
                <w:szCs w:val="18"/>
                <w:lang w:val="fr-FR" w:eastAsia="en-US"/>
              </w:rPr>
              <w:noBreakHyphen/>
            </w:r>
            <w:r w:rsidRPr="004C0E7A">
              <w:rPr>
                <w:rFonts w:eastAsia="Times New Roman"/>
                <w:sz w:val="18"/>
                <w:szCs w:val="18"/>
                <w:lang w:val="fr-FR" w:eastAsia="en-US"/>
              </w:rPr>
              <w:t>13</w:t>
            </w:r>
            <w:r w:rsidR="000055C7" w:rsidRPr="004C0E7A">
              <w:rPr>
                <w:rFonts w:eastAsia="Times New Roman"/>
                <w:sz w:val="18"/>
                <w:szCs w:val="18"/>
                <w:lang w:val="fr-FR" w:eastAsia="en-US"/>
              </w:rPr>
              <w:t xml:space="preserve"> – </w:t>
            </w:r>
            <w:r w:rsidRPr="004C0E7A">
              <w:rPr>
                <w:rFonts w:eastAsia="Times New Roman"/>
                <w:sz w:val="18"/>
                <w:szCs w:val="18"/>
                <w:lang w:val="fr-FR" w:eastAsia="en-US"/>
              </w:rPr>
              <w:t>Abus concernant les horaires de travail</w:t>
            </w:r>
          </w:p>
        </w:tc>
        <w:tc>
          <w:tcPr>
            <w:tcW w:w="2950" w:type="dxa"/>
            <w:tcBorders>
              <w:top w:val="nil"/>
              <w:left w:val="nil"/>
              <w:bottom w:val="single" w:sz="4" w:space="0" w:color="auto"/>
              <w:right w:val="single" w:sz="4" w:space="0" w:color="auto"/>
            </w:tcBorders>
            <w:shd w:val="clear" w:color="auto" w:fill="auto"/>
            <w:tcMar>
              <w:top w:w="23" w:type="dxa"/>
              <w:bottom w:w="23" w:type="dxa"/>
            </w:tcMar>
            <w:vAlign w:val="center"/>
          </w:tcPr>
          <w:p w:rsidR="002539F1" w:rsidRPr="004C0E7A" w:rsidRDefault="002B3C52" w:rsidP="0013256A">
            <w:pPr>
              <w:keepLines/>
              <w:jc w:val="center"/>
              <w:rPr>
                <w:sz w:val="18"/>
                <w:szCs w:val="18"/>
                <w:lang w:val="fr-FR"/>
              </w:rPr>
            </w:pPr>
            <w:r w:rsidRPr="004C0E7A">
              <w:rPr>
                <w:rFonts w:eastAsia="Times New Roman"/>
                <w:sz w:val="18"/>
                <w:szCs w:val="18"/>
                <w:lang w:val="fr-FR" w:eastAsia="en-US"/>
              </w:rPr>
              <w:t>Sans objet</w:t>
            </w:r>
          </w:p>
        </w:tc>
        <w:tc>
          <w:tcPr>
            <w:tcW w:w="1417" w:type="dxa"/>
            <w:tcBorders>
              <w:top w:val="nil"/>
              <w:left w:val="nil"/>
              <w:bottom w:val="single" w:sz="4" w:space="0" w:color="auto"/>
              <w:right w:val="single" w:sz="4" w:space="0" w:color="auto"/>
            </w:tcBorders>
            <w:shd w:val="clear" w:color="auto" w:fill="FFFF00"/>
            <w:tcMar>
              <w:top w:w="23" w:type="dxa"/>
              <w:bottom w:w="23" w:type="dxa"/>
            </w:tcMar>
            <w:vAlign w:val="center"/>
          </w:tcPr>
          <w:p w:rsidR="002539F1" w:rsidRPr="004C0E7A" w:rsidRDefault="002539F1" w:rsidP="00FD2537">
            <w:pPr>
              <w:keepLines/>
              <w:jc w:val="center"/>
              <w:rPr>
                <w:sz w:val="18"/>
                <w:szCs w:val="18"/>
                <w:lang w:val="fr-FR"/>
              </w:rPr>
            </w:pPr>
          </w:p>
        </w:tc>
      </w:tr>
      <w:tr w:rsidR="004C0E7A" w:rsidRPr="004C0E7A" w:rsidTr="0024427E">
        <w:trPr>
          <w:trHeight w:val="414"/>
        </w:trPr>
        <w:tc>
          <w:tcPr>
            <w:tcW w:w="5440" w:type="dxa"/>
            <w:tcBorders>
              <w:top w:val="single" w:sz="4" w:space="0" w:color="auto"/>
              <w:left w:val="single" w:sz="4" w:space="0" w:color="auto"/>
              <w:bottom w:val="single" w:sz="4" w:space="0" w:color="auto"/>
              <w:right w:val="single" w:sz="4" w:space="0" w:color="auto"/>
            </w:tcBorders>
            <w:shd w:val="clear" w:color="auto" w:fill="auto"/>
            <w:tcMar>
              <w:top w:w="23" w:type="dxa"/>
              <w:bottom w:w="23" w:type="dxa"/>
            </w:tcMar>
            <w:vAlign w:val="center"/>
          </w:tcPr>
          <w:p w:rsidR="002539F1" w:rsidRPr="004C0E7A" w:rsidRDefault="004B28E2" w:rsidP="0024427E">
            <w:pPr>
              <w:rPr>
                <w:rFonts w:eastAsia="Times New Roman"/>
                <w:sz w:val="18"/>
                <w:szCs w:val="18"/>
                <w:lang w:val="fr-FR" w:eastAsia="en-US"/>
              </w:rPr>
            </w:pPr>
            <w:r w:rsidRPr="004C0E7A">
              <w:rPr>
                <w:rFonts w:eastAsia="Times New Roman"/>
                <w:sz w:val="18"/>
                <w:szCs w:val="18"/>
                <w:lang w:val="fr-FR" w:eastAsia="en-US"/>
              </w:rPr>
              <w:t>INV 2015</w:t>
            </w:r>
            <w:r w:rsidR="008E117E" w:rsidRPr="004C0E7A">
              <w:rPr>
                <w:rFonts w:eastAsia="Times New Roman"/>
                <w:sz w:val="18"/>
                <w:szCs w:val="18"/>
                <w:lang w:val="fr-FR" w:eastAsia="en-US"/>
              </w:rPr>
              <w:noBreakHyphen/>
            </w:r>
            <w:r w:rsidRPr="004C0E7A">
              <w:rPr>
                <w:rFonts w:eastAsia="Times New Roman"/>
                <w:sz w:val="18"/>
                <w:szCs w:val="18"/>
                <w:lang w:val="fr-FR" w:eastAsia="en-US"/>
              </w:rPr>
              <w:t>14</w:t>
            </w:r>
            <w:r w:rsidR="000055C7" w:rsidRPr="004C0E7A">
              <w:rPr>
                <w:rFonts w:eastAsia="Times New Roman"/>
                <w:sz w:val="18"/>
                <w:szCs w:val="18"/>
                <w:lang w:val="fr-FR" w:eastAsia="en-US"/>
              </w:rPr>
              <w:t xml:space="preserve"> – </w:t>
            </w:r>
            <w:r w:rsidR="00AB7DE8" w:rsidRPr="004C0E7A">
              <w:rPr>
                <w:rFonts w:eastAsia="Times New Roman"/>
                <w:sz w:val="18"/>
                <w:szCs w:val="18"/>
                <w:lang w:val="fr-FR" w:eastAsia="en-US"/>
              </w:rPr>
              <w:t>Irrégularité commise par un candidat au cours du processus de sélection et de recrutement</w:t>
            </w:r>
          </w:p>
        </w:tc>
        <w:tc>
          <w:tcPr>
            <w:tcW w:w="2950" w:type="dxa"/>
            <w:tcBorders>
              <w:top w:val="nil"/>
              <w:left w:val="nil"/>
              <w:bottom w:val="single" w:sz="4" w:space="0" w:color="auto"/>
              <w:right w:val="single" w:sz="4" w:space="0" w:color="auto"/>
            </w:tcBorders>
            <w:shd w:val="clear" w:color="auto" w:fill="auto"/>
            <w:tcMar>
              <w:top w:w="23" w:type="dxa"/>
              <w:bottom w:w="23" w:type="dxa"/>
            </w:tcMar>
            <w:vAlign w:val="center"/>
          </w:tcPr>
          <w:p w:rsidR="002539F1" w:rsidRPr="004C0E7A" w:rsidRDefault="002B3C52" w:rsidP="0013256A">
            <w:pPr>
              <w:keepLines/>
              <w:jc w:val="center"/>
              <w:rPr>
                <w:sz w:val="18"/>
                <w:szCs w:val="18"/>
                <w:lang w:val="fr-FR"/>
              </w:rPr>
            </w:pPr>
            <w:r w:rsidRPr="004C0E7A">
              <w:rPr>
                <w:rFonts w:eastAsia="Times New Roman"/>
                <w:sz w:val="18"/>
                <w:szCs w:val="18"/>
                <w:lang w:val="fr-FR" w:eastAsia="en-US"/>
              </w:rPr>
              <w:t>Sans objet</w:t>
            </w:r>
          </w:p>
        </w:tc>
        <w:tc>
          <w:tcPr>
            <w:tcW w:w="1417" w:type="dxa"/>
            <w:tcBorders>
              <w:top w:val="nil"/>
              <w:left w:val="nil"/>
              <w:bottom w:val="single" w:sz="4" w:space="0" w:color="auto"/>
              <w:right w:val="single" w:sz="4" w:space="0" w:color="auto"/>
            </w:tcBorders>
            <w:shd w:val="clear" w:color="auto" w:fill="FFFF00"/>
            <w:tcMar>
              <w:top w:w="23" w:type="dxa"/>
              <w:bottom w:w="23" w:type="dxa"/>
            </w:tcMar>
            <w:vAlign w:val="center"/>
          </w:tcPr>
          <w:p w:rsidR="002539F1" w:rsidRPr="004C0E7A" w:rsidRDefault="002539F1" w:rsidP="00FD2537">
            <w:pPr>
              <w:keepLines/>
              <w:jc w:val="center"/>
              <w:rPr>
                <w:sz w:val="18"/>
                <w:szCs w:val="18"/>
                <w:lang w:val="fr-FR"/>
              </w:rPr>
            </w:pPr>
          </w:p>
        </w:tc>
      </w:tr>
      <w:tr w:rsidR="004C0E7A" w:rsidRPr="004C0E7A" w:rsidTr="0024427E">
        <w:trPr>
          <w:trHeight w:val="414"/>
        </w:trPr>
        <w:tc>
          <w:tcPr>
            <w:tcW w:w="5440" w:type="dxa"/>
            <w:tcBorders>
              <w:top w:val="single" w:sz="4" w:space="0" w:color="auto"/>
              <w:left w:val="single" w:sz="4" w:space="0" w:color="auto"/>
              <w:bottom w:val="single" w:sz="4" w:space="0" w:color="auto"/>
              <w:right w:val="single" w:sz="4" w:space="0" w:color="auto"/>
            </w:tcBorders>
            <w:shd w:val="clear" w:color="auto" w:fill="auto"/>
            <w:tcMar>
              <w:top w:w="23" w:type="dxa"/>
              <w:bottom w:w="23" w:type="dxa"/>
            </w:tcMar>
            <w:vAlign w:val="center"/>
          </w:tcPr>
          <w:p w:rsidR="002539F1" w:rsidRPr="004C0E7A" w:rsidRDefault="004B28E2" w:rsidP="0024427E">
            <w:pPr>
              <w:rPr>
                <w:rFonts w:eastAsia="Times New Roman"/>
                <w:sz w:val="18"/>
                <w:szCs w:val="18"/>
                <w:lang w:val="fr-FR" w:eastAsia="en-US"/>
              </w:rPr>
            </w:pPr>
            <w:r w:rsidRPr="004C0E7A">
              <w:rPr>
                <w:rFonts w:eastAsia="Times New Roman"/>
                <w:sz w:val="18"/>
                <w:szCs w:val="18"/>
                <w:lang w:val="fr-FR" w:eastAsia="en-US"/>
              </w:rPr>
              <w:t>INV 2015</w:t>
            </w:r>
            <w:r w:rsidR="008E117E" w:rsidRPr="004C0E7A">
              <w:rPr>
                <w:rFonts w:eastAsia="Times New Roman"/>
                <w:sz w:val="18"/>
                <w:szCs w:val="18"/>
                <w:lang w:val="fr-FR" w:eastAsia="en-US"/>
              </w:rPr>
              <w:noBreakHyphen/>
            </w:r>
            <w:r w:rsidRPr="004C0E7A">
              <w:rPr>
                <w:rFonts w:eastAsia="Times New Roman"/>
                <w:sz w:val="18"/>
                <w:szCs w:val="18"/>
                <w:lang w:val="fr-FR" w:eastAsia="en-US"/>
              </w:rPr>
              <w:t>15</w:t>
            </w:r>
            <w:r w:rsidR="000055C7" w:rsidRPr="004C0E7A">
              <w:rPr>
                <w:rFonts w:eastAsia="Times New Roman"/>
                <w:sz w:val="18"/>
                <w:szCs w:val="18"/>
                <w:lang w:val="fr-FR" w:eastAsia="en-US"/>
              </w:rPr>
              <w:t xml:space="preserve"> – </w:t>
            </w:r>
            <w:r w:rsidR="00AB7DE8" w:rsidRPr="004C0E7A">
              <w:rPr>
                <w:rFonts w:eastAsia="Times New Roman"/>
                <w:sz w:val="18"/>
                <w:szCs w:val="18"/>
                <w:lang w:val="fr-FR" w:eastAsia="en-US"/>
              </w:rPr>
              <w:t>Irrégularité commise par un candidat au cours du processus de sélection et de recrutement</w:t>
            </w:r>
          </w:p>
        </w:tc>
        <w:tc>
          <w:tcPr>
            <w:tcW w:w="2950" w:type="dxa"/>
            <w:tcBorders>
              <w:top w:val="nil"/>
              <w:left w:val="nil"/>
              <w:bottom w:val="single" w:sz="4" w:space="0" w:color="auto"/>
              <w:right w:val="single" w:sz="4" w:space="0" w:color="auto"/>
            </w:tcBorders>
            <w:shd w:val="clear" w:color="auto" w:fill="auto"/>
            <w:tcMar>
              <w:top w:w="23" w:type="dxa"/>
              <w:bottom w:w="23" w:type="dxa"/>
            </w:tcMar>
            <w:vAlign w:val="center"/>
          </w:tcPr>
          <w:p w:rsidR="002539F1" w:rsidRPr="004C0E7A" w:rsidRDefault="002B3C52" w:rsidP="00FD2537">
            <w:pPr>
              <w:keepLines/>
              <w:jc w:val="center"/>
              <w:rPr>
                <w:rFonts w:eastAsia="Times New Roman"/>
                <w:sz w:val="18"/>
                <w:szCs w:val="18"/>
                <w:lang w:val="fr-FR" w:eastAsia="en-US"/>
              </w:rPr>
            </w:pPr>
            <w:r w:rsidRPr="004C0E7A">
              <w:rPr>
                <w:rFonts w:eastAsia="Times New Roman"/>
                <w:sz w:val="18"/>
                <w:szCs w:val="18"/>
                <w:lang w:val="fr-FR" w:eastAsia="en-US"/>
              </w:rPr>
              <w:t>Sans objet</w:t>
            </w:r>
          </w:p>
        </w:tc>
        <w:tc>
          <w:tcPr>
            <w:tcW w:w="1417" w:type="dxa"/>
            <w:tcBorders>
              <w:top w:val="nil"/>
              <w:left w:val="nil"/>
              <w:bottom w:val="single" w:sz="4" w:space="0" w:color="auto"/>
              <w:right w:val="single" w:sz="4" w:space="0" w:color="auto"/>
            </w:tcBorders>
            <w:shd w:val="clear" w:color="auto" w:fill="FFFF00"/>
            <w:tcMar>
              <w:top w:w="23" w:type="dxa"/>
              <w:bottom w:w="23" w:type="dxa"/>
            </w:tcMar>
            <w:vAlign w:val="center"/>
          </w:tcPr>
          <w:p w:rsidR="002539F1" w:rsidRPr="004C0E7A" w:rsidRDefault="002539F1" w:rsidP="00FD2537">
            <w:pPr>
              <w:keepLines/>
              <w:jc w:val="center"/>
              <w:rPr>
                <w:sz w:val="18"/>
                <w:szCs w:val="18"/>
                <w:lang w:val="fr-FR"/>
              </w:rPr>
            </w:pPr>
          </w:p>
        </w:tc>
      </w:tr>
      <w:tr w:rsidR="004C0E7A" w:rsidRPr="004C0E7A" w:rsidTr="0024427E">
        <w:trPr>
          <w:trHeight w:val="414"/>
        </w:trPr>
        <w:tc>
          <w:tcPr>
            <w:tcW w:w="5440" w:type="dxa"/>
            <w:tcBorders>
              <w:top w:val="single" w:sz="4" w:space="0" w:color="auto"/>
              <w:left w:val="single" w:sz="4" w:space="0" w:color="auto"/>
              <w:bottom w:val="single" w:sz="4" w:space="0" w:color="auto"/>
              <w:right w:val="single" w:sz="4" w:space="0" w:color="auto"/>
            </w:tcBorders>
            <w:shd w:val="clear" w:color="auto" w:fill="auto"/>
            <w:tcMar>
              <w:top w:w="23" w:type="dxa"/>
              <w:bottom w:w="23" w:type="dxa"/>
            </w:tcMar>
            <w:vAlign w:val="center"/>
          </w:tcPr>
          <w:p w:rsidR="002539F1" w:rsidRPr="004C0E7A" w:rsidRDefault="004B28E2" w:rsidP="0024427E">
            <w:pPr>
              <w:rPr>
                <w:rFonts w:eastAsia="Times New Roman"/>
                <w:sz w:val="18"/>
                <w:szCs w:val="18"/>
                <w:lang w:val="fr-FR" w:eastAsia="en-US"/>
              </w:rPr>
            </w:pPr>
            <w:r w:rsidRPr="004C0E7A">
              <w:rPr>
                <w:rFonts w:eastAsia="Times New Roman"/>
                <w:sz w:val="18"/>
                <w:szCs w:val="18"/>
                <w:lang w:val="fr-FR" w:eastAsia="en-US"/>
              </w:rPr>
              <w:t>INV 2015</w:t>
            </w:r>
            <w:r w:rsidR="008E117E" w:rsidRPr="004C0E7A">
              <w:rPr>
                <w:rFonts w:eastAsia="Times New Roman"/>
                <w:sz w:val="18"/>
                <w:szCs w:val="18"/>
                <w:lang w:val="fr-FR" w:eastAsia="en-US"/>
              </w:rPr>
              <w:noBreakHyphen/>
            </w:r>
            <w:r w:rsidRPr="004C0E7A">
              <w:rPr>
                <w:rFonts w:eastAsia="Times New Roman"/>
                <w:sz w:val="18"/>
                <w:szCs w:val="18"/>
                <w:lang w:val="fr-FR" w:eastAsia="en-US"/>
              </w:rPr>
              <w:t>16</w:t>
            </w:r>
            <w:r w:rsidR="000055C7" w:rsidRPr="004C0E7A">
              <w:rPr>
                <w:rFonts w:eastAsia="Times New Roman"/>
                <w:sz w:val="18"/>
                <w:szCs w:val="18"/>
                <w:lang w:val="fr-FR" w:eastAsia="en-US"/>
              </w:rPr>
              <w:t xml:space="preserve"> – </w:t>
            </w:r>
            <w:r w:rsidRPr="004C0E7A">
              <w:rPr>
                <w:rFonts w:eastAsia="Times New Roman"/>
                <w:sz w:val="18"/>
                <w:szCs w:val="18"/>
                <w:lang w:val="fr-FR" w:eastAsia="en-US"/>
              </w:rPr>
              <w:t xml:space="preserve">Abus concernant les horaires de travail </w:t>
            </w:r>
          </w:p>
        </w:tc>
        <w:tc>
          <w:tcPr>
            <w:tcW w:w="2950" w:type="dxa"/>
            <w:tcBorders>
              <w:top w:val="nil"/>
              <w:left w:val="nil"/>
              <w:bottom w:val="single" w:sz="4" w:space="0" w:color="auto"/>
              <w:right w:val="single" w:sz="4" w:space="0" w:color="auto"/>
            </w:tcBorders>
            <w:shd w:val="clear" w:color="auto" w:fill="auto"/>
            <w:tcMar>
              <w:top w:w="23" w:type="dxa"/>
              <w:bottom w:w="23" w:type="dxa"/>
            </w:tcMar>
            <w:vAlign w:val="center"/>
          </w:tcPr>
          <w:p w:rsidR="002539F1" w:rsidRPr="004C0E7A" w:rsidRDefault="002B3C52" w:rsidP="00FD2537">
            <w:pPr>
              <w:keepLines/>
              <w:jc w:val="center"/>
              <w:rPr>
                <w:rFonts w:eastAsia="Times New Roman"/>
                <w:sz w:val="18"/>
                <w:szCs w:val="18"/>
                <w:lang w:val="fr-FR" w:eastAsia="en-US"/>
              </w:rPr>
            </w:pPr>
            <w:r w:rsidRPr="004C0E7A">
              <w:rPr>
                <w:rFonts w:eastAsia="Times New Roman"/>
                <w:sz w:val="18"/>
                <w:szCs w:val="18"/>
                <w:lang w:val="fr-FR" w:eastAsia="en-US"/>
              </w:rPr>
              <w:t>Sans objet</w:t>
            </w:r>
          </w:p>
        </w:tc>
        <w:tc>
          <w:tcPr>
            <w:tcW w:w="1417" w:type="dxa"/>
            <w:tcBorders>
              <w:top w:val="nil"/>
              <w:left w:val="nil"/>
              <w:bottom w:val="single" w:sz="4" w:space="0" w:color="auto"/>
              <w:right w:val="single" w:sz="4" w:space="0" w:color="auto"/>
            </w:tcBorders>
            <w:shd w:val="clear" w:color="auto" w:fill="FFFF00"/>
            <w:tcMar>
              <w:top w:w="23" w:type="dxa"/>
              <w:bottom w:w="23" w:type="dxa"/>
            </w:tcMar>
            <w:vAlign w:val="center"/>
          </w:tcPr>
          <w:p w:rsidR="002539F1" w:rsidRPr="004C0E7A" w:rsidRDefault="002539F1" w:rsidP="00FD2537">
            <w:pPr>
              <w:keepLines/>
              <w:jc w:val="center"/>
              <w:rPr>
                <w:sz w:val="18"/>
                <w:szCs w:val="18"/>
                <w:lang w:val="fr-FR"/>
              </w:rPr>
            </w:pPr>
          </w:p>
        </w:tc>
      </w:tr>
      <w:tr w:rsidR="004C0E7A" w:rsidRPr="004C0E7A" w:rsidTr="0024427E">
        <w:trPr>
          <w:trHeight w:val="414"/>
        </w:trPr>
        <w:tc>
          <w:tcPr>
            <w:tcW w:w="5440" w:type="dxa"/>
            <w:tcBorders>
              <w:top w:val="single" w:sz="4" w:space="0" w:color="auto"/>
              <w:left w:val="single" w:sz="4" w:space="0" w:color="auto"/>
              <w:bottom w:val="single" w:sz="4" w:space="0" w:color="auto"/>
              <w:right w:val="single" w:sz="4" w:space="0" w:color="auto"/>
            </w:tcBorders>
            <w:shd w:val="clear" w:color="auto" w:fill="auto"/>
            <w:tcMar>
              <w:top w:w="23" w:type="dxa"/>
              <w:bottom w:w="23" w:type="dxa"/>
            </w:tcMar>
            <w:vAlign w:val="center"/>
          </w:tcPr>
          <w:p w:rsidR="002539F1" w:rsidRPr="004C0E7A" w:rsidRDefault="004B28E2" w:rsidP="0024427E">
            <w:pPr>
              <w:rPr>
                <w:rFonts w:eastAsia="Times New Roman"/>
                <w:sz w:val="18"/>
                <w:szCs w:val="18"/>
                <w:lang w:val="fr-FR" w:eastAsia="en-US"/>
              </w:rPr>
            </w:pPr>
            <w:r w:rsidRPr="004C0E7A">
              <w:rPr>
                <w:rFonts w:eastAsia="Times New Roman"/>
                <w:sz w:val="18"/>
                <w:szCs w:val="18"/>
                <w:lang w:val="fr-FR" w:eastAsia="en-US"/>
              </w:rPr>
              <w:lastRenderedPageBreak/>
              <w:t>INV 2015</w:t>
            </w:r>
            <w:r w:rsidR="008E117E" w:rsidRPr="004C0E7A">
              <w:rPr>
                <w:rFonts w:eastAsia="Times New Roman"/>
                <w:sz w:val="18"/>
                <w:szCs w:val="18"/>
                <w:lang w:val="fr-FR" w:eastAsia="en-US"/>
              </w:rPr>
              <w:noBreakHyphen/>
            </w:r>
            <w:r w:rsidRPr="004C0E7A">
              <w:rPr>
                <w:rFonts w:eastAsia="Times New Roman"/>
                <w:sz w:val="18"/>
                <w:szCs w:val="18"/>
                <w:lang w:val="fr-FR" w:eastAsia="en-US"/>
              </w:rPr>
              <w:t>17</w:t>
            </w:r>
            <w:r w:rsidR="000055C7" w:rsidRPr="004C0E7A">
              <w:rPr>
                <w:rFonts w:eastAsia="Times New Roman"/>
                <w:sz w:val="18"/>
                <w:szCs w:val="18"/>
                <w:lang w:val="fr-FR" w:eastAsia="en-US"/>
              </w:rPr>
              <w:t xml:space="preserve"> – </w:t>
            </w:r>
            <w:r w:rsidRPr="004C0E7A">
              <w:rPr>
                <w:rFonts w:eastAsia="Times New Roman"/>
                <w:sz w:val="18"/>
                <w:szCs w:val="18"/>
                <w:lang w:val="fr-FR" w:eastAsia="en-US"/>
              </w:rPr>
              <w:t>Harcèlement/discrimination/abus de pouvoir</w:t>
            </w:r>
          </w:p>
        </w:tc>
        <w:tc>
          <w:tcPr>
            <w:tcW w:w="2950" w:type="dxa"/>
            <w:tcBorders>
              <w:top w:val="nil"/>
              <w:left w:val="nil"/>
              <w:bottom w:val="single" w:sz="4" w:space="0" w:color="auto"/>
              <w:right w:val="single" w:sz="4" w:space="0" w:color="auto"/>
            </w:tcBorders>
            <w:shd w:val="clear" w:color="auto" w:fill="auto"/>
            <w:tcMar>
              <w:top w:w="23" w:type="dxa"/>
              <w:bottom w:w="23" w:type="dxa"/>
            </w:tcMar>
            <w:vAlign w:val="center"/>
          </w:tcPr>
          <w:p w:rsidR="002539F1" w:rsidRPr="004C0E7A" w:rsidRDefault="002B3C52" w:rsidP="00FD2537">
            <w:pPr>
              <w:keepLines/>
              <w:jc w:val="center"/>
              <w:rPr>
                <w:rFonts w:eastAsia="Times New Roman"/>
                <w:sz w:val="18"/>
                <w:szCs w:val="18"/>
                <w:lang w:val="fr-FR" w:eastAsia="en-US"/>
              </w:rPr>
            </w:pPr>
            <w:r w:rsidRPr="004C0E7A">
              <w:rPr>
                <w:rFonts w:eastAsia="Times New Roman"/>
                <w:sz w:val="18"/>
                <w:szCs w:val="18"/>
                <w:lang w:val="fr-FR" w:eastAsia="en-US"/>
              </w:rPr>
              <w:t>Sans objet</w:t>
            </w:r>
          </w:p>
        </w:tc>
        <w:tc>
          <w:tcPr>
            <w:tcW w:w="1417" w:type="dxa"/>
            <w:tcBorders>
              <w:top w:val="nil"/>
              <w:left w:val="nil"/>
              <w:bottom w:val="single" w:sz="4" w:space="0" w:color="auto"/>
              <w:right w:val="single" w:sz="4" w:space="0" w:color="auto"/>
            </w:tcBorders>
            <w:shd w:val="clear" w:color="auto" w:fill="FFFF00"/>
            <w:tcMar>
              <w:top w:w="23" w:type="dxa"/>
              <w:bottom w:w="23" w:type="dxa"/>
            </w:tcMar>
            <w:vAlign w:val="center"/>
          </w:tcPr>
          <w:p w:rsidR="002539F1" w:rsidRPr="004C0E7A" w:rsidRDefault="002539F1" w:rsidP="00FD2537">
            <w:pPr>
              <w:keepLines/>
              <w:jc w:val="center"/>
              <w:rPr>
                <w:sz w:val="18"/>
                <w:szCs w:val="18"/>
                <w:lang w:val="fr-FR"/>
              </w:rPr>
            </w:pPr>
          </w:p>
        </w:tc>
      </w:tr>
      <w:tr w:rsidR="004C0E7A" w:rsidRPr="004C0E7A" w:rsidTr="0024427E">
        <w:trPr>
          <w:trHeight w:val="414"/>
        </w:trPr>
        <w:tc>
          <w:tcPr>
            <w:tcW w:w="5440" w:type="dxa"/>
            <w:tcBorders>
              <w:top w:val="single" w:sz="4" w:space="0" w:color="auto"/>
              <w:left w:val="single" w:sz="4" w:space="0" w:color="auto"/>
              <w:bottom w:val="single" w:sz="4" w:space="0" w:color="auto"/>
              <w:right w:val="single" w:sz="4" w:space="0" w:color="auto"/>
            </w:tcBorders>
            <w:shd w:val="clear" w:color="auto" w:fill="auto"/>
            <w:tcMar>
              <w:top w:w="23" w:type="dxa"/>
              <w:bottom w:w="23" w:type="dxa"/>
            </w:tcMar>
            <w:vAlign w:val="center"/>
          </w:tcPr>
          <w:p w:rsidR="007874B0" w:rsidRPr="00817611" w:rsidRDefault="004B28E2" w:rsidP="0024427E">
            <w:pPr>
              <w:rPr>
                <w:rFonts w:eastAsia="Times New Roman"/>
                <w:sz w:val="18"/>
                <w:szCs w:val="18"/>
                <w:lang w:val="fr-FR" w:eastAsia="en-US"/>
              </w:rPr>
            </w:pPr>
            <w:r w:rsidRPr="00817611">
              <w:rPr>
                <w:rFonts w:eastAsia="Times New Roman"/>
                <w:sz w:val="18"/>
                <w:szCs w:val="18"/>
                <w:lang w:val="fr-FR" w:eastAsia="en-US"/>
              </w:rPr>
              <w:t>INV 2015</w:t>
            </w:r>
            <w:r w:rsidR="008E117E" w:rsidRPr="00817611">
              <w:rPr>
                <w:rFonts w:eastAsia="Times New Roman"/>
                <w:sz w:val="18"/>
                <w:szCs w:val="18"/>
                <w:lang w:val="fr-FR" w:eastAsia="en-US"/>
              </w:rPr>
              <w:noBreakHyphen/>
            </w:r>
            <w:r w:rsidRPr="00817611">
              <w:rPr>
                <w:rFonts w:eastAsia="Times New Roman"/>
                <w:sz w:val="18"/>
                <w:szCs w:val="18"/>
                <w:lang w:val="fr-FR" w:eastAsia="en-US"/>
              </w:rPr>
              <w:t>18</w:t>
            </w:r>
            <w:r w:rsidR="000055C7" w:rsidRPr="00817611">
              <w:rPr>
                <w:rFonts w:eastAsia="Times New Roman"/>
                <w:sz w:val="18"/>
                <w:szCs w:val="18"/>
                <w:lang w:val="fr-FR" w:eastAsia="en-US"/>
              </w:rPr>
              <w:t xml:space="preserve"> – </w:t>
            </w:r>
            <w:r w:rsidR="00951C0E" w:rsidRPr="00817611">
              <w:rPr>
                <w:rFonts w:eastAsia="Times New Roman"/>
                <w:sz w:val="18"/>
                <w:szCs w:val="18"/>
                <w:lang w:val="fr-FR" w:eastAsia="en-US"/>
              </w:rPr>
              <w:t>Autres formes de fraude, de corruption ou d</w:t>
            </w:r>
            <w:r w:rsidR="000055C7" w:rsidRPr="00817611">
              <w:rPr>
                <w:rFonts w:eastAsia="Times New Roman"/>
                <w:sz w:val="18"/>
                <w:szCs w:val="18"/>
                <w:lang w:val="fr-FR" w:eastAsia="en-US"/>
              </w:rPr>
              <w:t>’</w:t>
            </w:r>
            <w:r w:rsidR="00951C0E" w:rsidRPr="00817611">
              <w:rPr>
                <w:rFonts w:eastAsia="Times New Roman"/>
                <w:sz w:val="18"/>
                <w:szCs w:val="18"/>
                <w:lang w:val="fr-FR" w:eastAsia="en-US"/>
              </w:rPr>
              <w:t>abus</w:t>
            </w:r>
          </w:p>
        </w:tc>
        <w:tc>
          <w:tcPr>
            <w:tcW w:w="2950" w:type="dxa"/>
            <w:tcBorders>
              <w:top w:val="nil"/>
              <w:left w:val="nil"/>
              <w:bottom w:val="single" w:sz="4" w:space="0" w:color="auto"/>
              <w:right w:val="single" w:sz="4" w:space="0" w:color="auto"/>
            </w:tcBorders>
            <w:shd w:val="clear" w:color="auto" w:fill="auto"/>
            <w:tcMar>
              <w:top w:w="23" w:type="dxa"/>
              <w:bottom w:w="23" w:type="dxa"/>
            </w:tcMar>
            <w:vAlign w:val="center"/>
          </w:tcPr>
          <w:p w:rsidR="007874B0" w:rsidRPr="004C0E7A" w:rsidRDefault="002B3C52" w:rsidP="00794EC0">
            <w:pPr>
              <w:jc w:val="center"/>
              <w:rPr>
                <w:rFonts w:eastAsia="Times New Roman"/>
                <w:sz w:val="18"/>
                <w:szCs w:val="18"/>
                <w:lang w:val="fr-FR" w:eastAsia="en-US"/>
              </w:rPr>
            </w:pPr>
            <w:r w:rsidRPr="004C0E7A">
              <w:rPr>
                <w:rFonts w:eastAsia="Times New Roman"/>
                <w:sz w:val="18"/>
                <w:szCs w:val="18"/>
                <w:lang w:val="fr-FR" w:eastAsia="en-US"/>
              </w:rPr>
              <w:t>Sans objet</w:t>
            </w:r>
          </w:p>
        </w:tc>
        <w:tc>
          <w:tcPr>
            <w:tcW w:w="1417" w:type="dxa"/>
            <w:tcBorders>
              <w:top w:val="nil"/>
              <w:left w:val="nil"/>
              <w:bottom w:val="single" w:sz="4" w:space="0" w:color="auto"/>
              <w:right w:val="single" w:sz="4" w:space="0" w:color="auto"/>
            </w:tcBorders>
            <w:shd w:val="clear" w:color="auto" w:fill="FFFF00"/>
            <w:tcMar>
              <w:top w:w="23" w:type="dxa"/>
              <w:bottom w:w="23" w:type="dxa"/>
            </w:tcMar>
            <w:vAlign w:val="center"/>
          </w:tcPr>
          <w:p w:rsidR="007874B0" w:rsidRPr="004C0E7A" w:rsidRDefault="007874B0" w:rsidP="00794EC0">
            <w:pPr>
              <w:jc w:val="center"/>
              <w:rPr>
                <w:sz w:val="18"/>
                <w:szCs w:val="18"/>
                <w:highlight w:val="yellow"/>
                <w:lang w:val="fr-FR"/>
              </w:rPr>
            </w:pPr>
          </w:p>
        </w:tc>
      </w:tr>
      <w:tr w:rsidR="004C0E7A" w:rsidRPr="004C0E7A" w:rsidTr="0024427E">
        <w:trPr>
          <w:trHeight w:val="414"/>
        </w:trPr>
        <w:tc>
          <w:tcPr>
            <w:tcW w:w="5440" w:type="dxa"/>
            <w:tcBorders>
              <w:top w:val="single" w:sz="4" w:space="0" w:color="auto"/>
              <w:left w:val="single" w:sz="4" w:space="0" w:color="auto"/>
              <w:bottom w:val="single" w:sz="4" w:space="0" w:color="auto"/>
              <w:right w:val="single" w:sz="4" w:space="0" w:color="auto"/>
            </w:tcBorders>
            <w:shd w:val="clear" w:color="auto" w:fill="auto"/>
            <w:tcMar>
              <w:top w:w="23" w:type="dxa"/>
              <w:bottom w:w="23" w:type="dxa"/>
            </w:tcMar>
            <w:vAlign w:val="center"/>
          </w:tcPr>
          <w:p w:rsidR="002539F1" w:rsidRPr="00817611" w:rsidRDefault="004B28E2" w:rsidP="0024427E">
            <w:pPr>
              <w:rPr>
                <w:rFonts w:eastAsia="Times New Roman"/>
                <w:sz w:val="18"/>
                <w:szCs w:val="18"/>
                <w:lang w:val="fr-FR" w:eastAsia="en-US"/>
              </w:rPr>
            </w:pPr>
            <w:r w:rsidRPr="00817611">
              <w:rPr>
                <w:rFonts w:eastAsia="Times New Roman"/>
                <w:sz w:val="18"/>
                <w:szCs w:val="18"/>
                <w:lang w:val="fr-FR" w:eastAsia="en-US"/>
              </w:rPr>
              <w:t>INV 2015</w:t>
            </w:r>
            <w:r w:rsidR="008E117E" w:rsidRPr="00817611">
              <w:rPr>
                <w:rFonts w:eastAsia="Times New Roman"/>
                <w:sz w:val="18"/>
                <w:szCs w:val="18"/>
                <w:lang w:val="fr-FR" w:eastAsia="en-US"/>
              </w:rPr>
              <w:noBreakHyphen/>
            </w:r>
            <w:r w:rsidRPr="00817611">
              <w:rPr>
                <w:rFonts w:eastAsia="Times New Roman"/>
                <w:sz w:val="18"/>
                <w:szCs w:val="18"/>
                <w:lang w:val="fr-FR" w:eastAsia="en-US"/>
              </w:rPr>
              <w:t>19</w:t>
            </w:r>
            <w:r w:rsidR="000055C7" w:rsidRPr="00817611">
              <w:rPr>
                <w:rFonts w:eastAsia="Times New Roman"/>
                <w:sz w:val="18"/>
                <w:szCs w:val="18"/>
                <w:lang w:val="fr-FR" w:eastAsia="en-US"/>
              </w:rPr>
              <w:t xml:space="preserve"> – </w:t>
            </w:r>
            <w:r w:rsidRPr="00817611">
              <w:rPr>
                <w:rFonts w:eastAsia="Times New Roman"/>
                <w:sz w:val="18"/>
                <w:szCs w:val="18"/>
                <w:lang w:val="fr-FR" w:eastAsia="en-US"/>
              </w:rPr>
              <w:t>Harcèlement/discrimination/abus de pouvoir</w:t>
            </w:r>
          </w:p>
        </w:tc>
        <w:tc>
          <w:tcPr>
            <w:tcW w:w="2950" w:type="dxa"/>
            <w:tcBorders>
              <w:top w:val="nil"/>
              <w:left w:val="nil"/>
              <w:bottom w:val="single" w:sz="4" w:space="0" w:color="auto"/>
              <w:right w:val="single" w:sz="4" w:space="0" w:color="auto"/>
            </w:tcBorders>
            <w:shd w:val="clear" w:color="auto" w:fill="auto"/>
            <w:tcMar>
              <w:top w:w="23" w:type="dxa"/>
              <w:bottom w:w="23" w:type="dxa"/>
            </w:tcMar>
            <w:vAlign w:val="center"/>
          </w:tcPr>
          <w:p w:rsidR="002539F1" w:rsidRPr="004C0E7A" w:rsidRDefault="002B3C52" w:rsidP="00794EC0">
            <w:pPr>
              <w:jc w:val="center"/>
              <w:rPr>
                <w:rFonts w:eastAsia="Times New Roman"/>
                <w:sz w:val="18"/>
                <w:szCs w:val="18"/>
                <w:lang w:val="fr-FR" w:eastAsia="en-US"/>
              </w:rPr>
            </w:pPr>
            <w:r w:rsidRPr="004C0E7A">
              <w:rPr>
                <w:rFonts w:eastAsia="Times New Roman"/>
                <w:sz w:val="18"/>
                <w:szCs w:val="18"/>
                <w:lang w:val="fr-FR" w:eastAsia="en-US"/>
              </w:rPr>
              <w:t>Sans objet</w:t>
            </w:r>
          </w:p>
        </w:tc>
        <w:tc>
          <w:tcPr>
            <w:tcW w:w="1417" w:type="dxa"/>
            <w:tcBorders>
              <w:top w:val="nil"/>
              <w:left w:val="nil"/>
              <w:bottom w:val="single" w:sz="4" w:space="0" w:color="auto"/>
              <w:right w:val="single" w:sz="4" w:space="0" w:color="auto"/>
            </w:tcBorders>
            <w:shd w:val="clear" w:color="auto" w:fill="FFFF00"/>
            <w:tcMar>
              <w:top w:w="23" w:type="dxa"/>
              <w:bottom w:w="23" w:type="dxa"/>
            </w:tcMar>
            <w:vAlign w:val="center"/>
          </w:tcPr>
          <w:p w:rsidR="002539F1" w:rsidRPr="004C0E7A" w:rsidRDefault="002539F1" w:rsidP="00794EC0">
            <w:pPr>
              <w:jc w:val="center"/>
              <w:rPr>
                <w:sz w:val="18"/>
                <w:szCs w:val="18"/>
                <w:lang w:val="fr-FR"/>
              </w:rPr>
            </w:pPr>
          </w:p>
        </w:tc>
      </w:tr>
      <w:tr w:rsidR="004C0E7A" w:rsidRPr="004C0E7A" w:rsidTr="0024427E">
        <w:trPr>
          <w:trHeight w:val="414"/>
        </w:trPr>
        <w:tc>
          <w:tcPr>
            <w:tcW w:w="5440" w:type="dxa"/>
            <w:tcBorders>
              <w:top w:val="single" w:sz="4" w:space="0" w:color="auto"/>
              <w:left w:val="single" w:sz="4" w:space="0" w:color="auto"/>
              <w:bottom w:val="single" w:sz="4" w:space="0" w:color="auto"/>
              <w:right w:val="single" w:sz="4" w:space="0" w:color="auto"/>
            </w:tcBorders>
            <w:shd w:val="clear" w:color="auto" w:fill="auto"/>
            <w:tcMar>
              <w:top w:w="23" w:type="dxa"/>
              <w:bottom w:w="23" w:type="dxa"/>
            </w:tcMar>
            <w:vAlign w:val="center"/>
          </w:tcPr>
          <w:p w:rsidR="007874B0" w:rsidRPr="004C0E7A" w:rsidRDefault="004B28E2" w:rsidP="0024427E">
            <w:pPr>
              <w:rPr>
                <w:rFonts w:eastAsia="Times New Roman"/>
                <w:sz w:val="18"/>
                <w:szCs w:val="18"/>
                <w:lang w:val="fr-FR" w:eastAsia="en-US"/>
              </w:rPr>
            </w:pPr>
            <w:r w:rsidRPr="004C0E7A">
              <w:rPr>
                <w:rFonts w:eastAsia="Times New Roman"/>
                <w:sz w:val="18"/>
                <w:szCs w:val="18"/>
                <w:lang w:val="fr-FR" w:eastAsia="en-US"/>
              </w:rPr>
              <w:t>Évaluation des risques de fraude</w:t>
            </w:r>
          </w:p>
        </w:tc>
        <w:tc>
          <w:tcPr>
            <w:tcW w:w="2950" w:type="dxa"/>
            <w:tcBorders>
              <w:top w:val="nil"/>
              <w:left w:val="nil"/>
              <w:bottom w:val="single" w:sz="4" w:space="0" w:color="auto"/>
              <w:right w:val="single" w:sz="4" w:space="0" w:color="auto"/>
            </w:tcBorders>
            <w:shd w:val="clear" w:color="auto" w:fill="auto"/>
            <w:tcMar>
              <w:top w:w="23" w:type="dxa"/>
              <w:bottom w:w="23" w:type="dxa"/>
            </w:tcMar>
            <w:vAlign w:val="center"/>
          </w:tcPr>
          <w:p w:rsidR="007874B0" w:rsidRPr="004C0E7A" w:rsidRDefault="004B28E2" w:rsidP="00794EC0">
            <w:pPr>
              <w:jc w:val="center"/>
              <w:rPr>
                <w:rFonts w:eastAsia="Times New Roman"/>
                <w:sz w:val="18"/>
                <w:szCs w:val="18"/>
                <w:lang w:val="fr-FR" w:eastAsia="en-US"/>
              </w:rPr>
            </w:pPr>
            <w:r w:rsidRPr="004C0E7A">
              <w:rPr>
                <w:rFonts w:eastAsia="Times New Roman"/>
                <w:sz w:val="18"/>
                <w:szCs w:val="18"/>
                <w:lang w:val="fr-FR" w:eastAsia="en-US"/>
              </w:rPr>
              <w:t>Multiples</w:t>
            </w:r>
          </w:p>
        </w:tc>
        <w:tc>
          <w:tcPr>
            <w:tcW w:w="1417" w:type="dxa"/>
            <w:tcBorders>
              <w:top w:val="nil"/>
              <w:left w:val="nil"/>
              <w:bottom w:val="single" w:sz="4" w:space="0" w:color="auto"/>
              <w:right w:val="single" w:sz="4" w:space="0" w:color="auto"/>
            </w:tcBorders>
            <w:shd w:val="clear" w:color="auto" w:fill="92D050"/>
            <w:tcMar>
              <w:top w:w="23" w:type="dxa"/>
              <w:bottom w:w="23" w:type="dxa"/>
            </w:tcMar>
            <w:vAlign w:val="center"/>
          </w:tcPr>
          <w:p w:rsidR="007874B0" w:rsidRPr="004C0E7A" w:rsidRDefault="007874B0" w:rsidP="00794EC0">
            <w:pPr>
              <w:jc w:val="center"/>
              <w:rPr>
                <w:sz w:val="18"/>
                <w:szCs w:val="18"/>
                <w:lang w:val="fr-FR"/>
              </w:rPr>
            </w:pPr>
          </w:p>
        </w:tc>
      </w:tr>
      <w:tr w:rsidR="004C0E7A" w:rsidRPr="004C0E7A" w:rsidTr="0024427E">
        <w:trPr>
          <w:trHeight w:val="414"/>
        </w:trPr>
        <w:tc>
          <w:tcPr>
            <w:tcW w:w="5440" w:type="dxa"/>
            <w:tcBorders>
              <w:top w:val="single" w:sz="4" w:space="0" w:color="auto"/>
              <w:left w:val="single" w:sz="4" w:space="0" w:color="auto"/>
              <w:bottom w:val="single" w:sz="4" w:space="0" w:color="auto"/>
              <w:right w:val="single" w:sz="4" w:space="0" w:color="auto"/>
            </w:tcBorders>
            <w:shd w:val="clear" w:color="auto" w:fill="auto"/>
            <w:tcMar>
              <w:top w:w="23" w:type="dxa"/>
              <w:bottom w:w="23" w:type="dxa"/>
            </w:tcMar>
            <w:vAlign w:val="center"/>
          </w:tcPr>
          <w:p w:rsidR="002539F1" w:rsidRPr="004C0E7A" w:rsidRDefault="004B28E2" w:rsidP="0024427E">
            <w:pPr>
              <w:rPr>
                <w:rFonts w:eastAsia="Times New Roman"/>
                <w:sz w:val="18"/>
                <w:szCs w:val="18"/>
                <w:lang w:val="fr-FR" w:eastAsia="en-US"/>
              </w:rPr>
            </w:pPr>
            <w:r w:rsidRPr="004C0E7A">
              <w:rPr>
                <w:rFonts w:eastAsia="Times New Roman"/>
                <w:sz w:val="18"/>
                <w:szCs w:val="18"/>
                <w:lang w:val="fr-FR" w:eastAsia="en-US"/>
              </w:rPr>
              <w:t>Activités de consultation et de conseil</w:t>
            </w:r>
          </w:p>
        </w:tc>
        <w:tc>
          <w:tcPr>
            <w:tcW w:w="2950" w:type="dxa"/>
            <w:tcBorders>
              <w:top w:val="nil"/>
              <w:left w:val="nil"/>
              <w:bottom w:val="single" w:sz="4" w:space="0" w:color="auto"/>
              <w:right w:val="single" w:sz="4" w:space="0" w:color="auto"/>
            </w:tcBorders>
            <w:shd w:val="clear" w:color="auto" w:fill="auto"/>
            <w:tcMar>
              <w:top w:w="23" w:type="dxa"/>
              <w:bottom w:w="23" w:type="dxa"/>
            </w:tcMar>
            <w:vAlign w:val="center"/>
          </w:tcPr>
          <w:p w:rsidR="002539F1" w:rsidRPr="004C0E7A" w:rsidRDefault="004B28E2" w:rsidP="00794EC0">
            <w:pPr>
              <w:jc w:val="center"/>
              <w:rPr>
                <w:rFonts w:eastAsia="Times New Roman"/>
                <w:sz w:val="18"/>
                <w:szCs w:val="18"/>
                <w:lang w:val="fr-FR" w:eastAsia="en-US"/>
              </w:rPr>
            </w:pPr>
            <w:r w:rsidRPr="004C0E7A">
              <w:rPr>
                <w:rFonts w:eastAsia="Times New Roman"/>
                <w:sz w:val="18"/>
                <w:szCs w:val="18"/>
                <w:lang w:val="fr-FR" w:eastAsia="en-US"/>
              </w:rPr>
              <w:t>Multiples</w:t>
            </w:r>
          </w:p>
        </w:tc>
        <w:tc>
          <w:tcPr>
            <w:tcW w:w="1417" w:type="dxa"/>
            <w:tcBorders>
              <w:top w:val="nil"/>
              <w:left w:val="nil"/>
              <w:bottom w:val="single" w:sz="4" w:space="0" w:color="auto"/>
              <w:right w:val="single" w:sz="4" w:space="0" w:color="auto"/>
            </w:tcBorders>
            <w:shd w:val="clear" w:color="auto" w:fill="FFFF00"/>
            <w:tcMar>
              <w:top w:w="23" w:type="dxa"/>
              <w:bottom w:w="23" w:type="dxa"/>
            </w:tcMar>
            <w:vAlign w:val="center"/>
          </w:tcPr>
          <w:p w:rsidR="002539F1" w:rsidRPr="004C0E7A" w:rsidRDefault="002539F1" w:rsidP="00794EC0">
            <w:pPr>
              <w:jc w:val="center"/>
              <w:rPr>
                <w:sz w:val="18"/>
                <w:szCs w:val="18"/>
                <w:lang w:val="fr-FR"/>
              </w:rPr>
            </w:pPr>
          </w:p>
        </w:tc>
      </w:tr>
      <w:tr w:rsidR="004C0E7A" w:rsidRPr="004C0E7A" w:rsidTr="0024427E">
        <w:trPr>
          <w:trHeight w:val="414"/>
        </w:trPr>
        <w:tc>
          <w:tcPr>
            <w:tcW w:w="5440" w:type="dxa"/>
            <w:tcBorders>
              <w:top w:val="single" w:sz="4" w:space="0" w:color="auto"/>
              <w:left w:val="single" w:sz="4" w:space="0" w:color="auto"/>
              <w:bottom w:val="single" w:sz="4" w:space="0" w:color="auto"/>
              <w:right w:val="single" w:sz="4" w:space="0" w:color="auto"/>
            </w:tcBorders>
            <w:shd w:val="clear" w:color="auto" w:fill="auto"/>
            <w:tcMar>
              <w:top w:w="23" w:type="dxa"/>
              <w:bottom w:w="23" w:type="dxa"/>
            </w:tcMar>
            <w:vAlign w:val="center"/>
          </w:tcPr>
          <w:p w:rsidR="002539F1" w:rsidRPr="004C0E7A" w:rsidRDefault="004B28E2" w:rsidP="0024427E">
            <w:pPr>
              <w:rPr>
                <w:rFonts w:eastAsia="Times New Roman"/>
                <w:sz w:val="18"/>
                <w:szCs w:val="18"/>
                <w:lang w:val="fr-FR" w:eastAsia="en-US"/>
              </w:rPr>
            </w:pPr>
            <w:r w:rsidRPr="004C0E7A">
              <w:rPr>
                <w:rFonts w:eastAsia="Times New Roman"/>
                <w:sz w:val="18"/>
                <w:szCs w:val="18"/>
                <w:lang w:val="fr-FR" w:eastAsia="en-US"/>
              </w:rPr>
              <w:t>Constitution de réseaux avec d</w:t>
            </w:r>
            <w:r w:rsidR="000055C7" w:rsidRPr="004C0E7A">
              <w:rPr>
                <w:rFonts w:eastAsia="Times New Roman"/>
                <w:sz w:val="18"/>
                <w:szCs w:val="18"/>
                <w:lang w:val="fr-FR" w:eastAsia="en-US"/>
              </w:rPr>
              <w:t>’</w:t>
            </w:r>
            <w:r w:rsidRPr="004C0E7A">
              <w:rPr>
                <w:rFonts w:eastAsia="Times New Roman"/>
                <w:sz w:val="18"/>
                <w:szCs w:val="18"/>
                <w:lang w:val="fr-FR" w:eastAsia="en-US"/>
              </w:rPr>
              <w:t xml:space="preserve">autres </w:t>
            </w:r>
            <w:r w:rsidR="007F65E2" w:rsidRPr="004C0E7A">
              <w:rPr>
                <w:rFonts w:eastAsia="Times New Roman"/>
                <w:sz w:val="18"/>
                <w:szCs w:val="18"/>
                <w:lang w:val="fr-FR" w:eastAsia="en-US"/>
              </w:rPr>
              <w:t>institutions</w:t>
            </w:r>
          </w:p>
        </w:tc>
        <w:tc>
          <w:tcPr>
            <w:tcW w:w="2950" w:type="dxa"/>
            <w:tcBorders>
              <w:top w:val="nil"/>
              <w:left w:val="nil"/>
              <w:bottom w:val="single" w:sz="4" w:space="0" w:color="auto"/>
              <w:right w:val="single" w:sz="4" w:space="0" w:color="auto"/>
            </w:tcBorders>
            <w:shd w:val="clear" w:color="auto" w:fill="auto"/>
            <w:tcMar>
              <w:top w:w="23" w:type="dxa"/>
              <w:bottom w:w="23" w:type="dxa"/>
            </w:tcMar>
            <w:vAlign w:val="center"/>
          </w:tcPr>
          <w:p w:rsidR="002539F1" w:rsidRPr="004C0E7A" w:rsidRDefault="004B28E2" w:rsidP="00794EC0">
            <w:pPr>
              <w:jc w:val="center"/>
              <w:rPr>
                <w:rFonts w:eastAsia="Times New Roman"/>
                <w:sz w:val="18"/>
                <w:szCs w:val="18"/>
                <w:lang w:val="fr-FR" w:eastAsia="en-US"/>
              </w:rPr>
            </w:pPr>
            <w:r w:rsidRPr="004C0E7A">
              <w:rPr>
                <w:rFonts w:eastAsia="Times New Roman"/>
                <w:sz w:val="18"/>
                <w:szCs w:val="18"/>
                <w:lang w:val="fr-FR" w:eastAsia="en-US"/>
              </w:rPr>
              <w:t>DSI</w:t>
            </w:r>
          </w:p>
        </w:tc>
        <w:tc>
          <w:tcPr>
            <w:tcW w:w="1417" w:type="dxa"/>
            <w:tcBorders>
              <w:top w:val="nil"/>
              <w:left w:val="nil"/>
              <w:bottom w:val="single" w:sz="4" w:space="0" w:color="auto"/>
              <w:right w:val="single" w:sz="4" w:space="0" w:color="auto"/>
            </w:tcBorders>
            <w:shd w:val="clear" w:color="auto" w:fill="FFFF00"/>
            <w:tcMar>
              <w:top w:w="23" w:type="dxa"/>
              <w:bottom w:w="23" w:type="dxa"/>
            </w:tcMar>
            <w:vAlign w:val="center"/>
          </w:tcPr>
          <w:p w:rsidR="002539F1" w:rsidRPr="004C0E7A" w:rsidRDefault="002539F1" w:rsidP="00794EC0">
            <w:pPr>
              <w:jc w:val="center"/>
              <w:rPr>
                <w:sz w:val="18"/>
                <w:szCs w:val="18"/>
                <w:lang w:val="fr-FR"/>
              </w:rPr>
            </w:pPr>
          </w:p>
        </w:tc>
      </w:tr>
      <w:tr w:rsidR="004C0E7A" w:rsidRPr="004C0E7A" w:rsidTr="0024427E">
        <w:trPr>
          <w:trHeight w:val="414"/>
        </w:trPr>
        <w:tc>
          <w:tcPr>
            <w:tcW w:w="5440" w:type="dxa"/>
            <w:tcBorders>
              <w:top w:val="single" w:sz="4" w:space="0" w:color="auto"/>
              <w:left w:val="single" w:sz="4" w:space="0" w:color="auto"/>
              <w:bottom w:val="single" w:sz="4" w:space="0" w:color="auto"/>
              <w:right w:val="single" w:sz="4" w:space="0" w:color="auto"/>
            </w:tcBorders>
            <w:shd w:val="clear" w:color="auto" w:fill="auto"/>
            <w:tcMar>
              <w:top w:w="23" w:type="dxa"/>
              <w:bottom w:w="23" w:type="dxa"/>
            </w:tcMar>
            <w:vAlign w:val="center"/>
          </w:tcPr>
          <w:p w:rsidR="00677F67" w:rsidRPr="004C0E7A" w:rsidRDefault="004B28E2" w:rsidP="0024427E">
            <w:pPr>
              <w:rPr>
                <w:rFonts w:eastAsia="Times New Roman"/>
                <w:sz w:val="18"/>
                <w:szCs w:val="18"/>
                <w:lang w:val="fr-FR" w:eastAsia="en-US"/>
              </w:rPr>
            </w:pPr>
            <w:r w:rsidRPr="004C0E7A">
              <w:rPr>
                <w:rFonts w:eastAsia="Times New Roman"/>
                <w:sz w:val="18"/>
                <w:szCs w:val="18"/>
                <w:lang w:val="fr-FR" w:eastAsia="en-US"/>
              </w:rPr>
              <w:t>Organe consultatif indépendant de surveillance</w:t>
            </w:r>
          </w:p>
        </w:tc>
        <w:tc>
          <w:tcPr>
            <w:tcW w:w="2950" w:type="dxa"/>
            <w:tcBorders>
              <w:top w:val="nil"/>
              <w:left w:val="nil"/>
              <w:bottom w:val="single" w:sz="4" w:space="0" w:color="auto"/>
              <w:right w:val="single" w:sz="4" w:space="0" w:color="auto"/>
            </w:tcBorders>
            <w:shd w:val="clear" w:color="auto" w:fill="auto"/>
            <w:tcMar>
              <w:top w:w="23" w:type="dxa"/>
              <w:bottom w:w="23" w:type="dxa"/>
            </w:tcMar>
            <w:vAlign w:val="center"/>
          </w:tcPr>
          <w:p w:rsidR="00677F67" w:rsidRPr="004C0E7A" w:rsidRDefault="00AD00CB" w:rsidP="00794EC0">
            <w:pPr>
              <w:jc w:val="center"/>
              <w:rPr>
                <w:rFonts w:eastAsia="Times New Roman"/>
                <w:sz w:val="18"/>
                <w:szCs w:val="18"/>
                <w:lang w:val="fr-FR" w:eastAsia="en-US"/>
              </w:rPr>
            </w:pPr>
            <w:r w:rsidRPr="004C0E7A">
              <w:rPr>
                <w:rFonts w:eastAsia="Times New Roman"/>
                <w:sz w:val="18"/>
                <w:szCs w:val="18"/>
                <w:lang w:val="fr-FR" w:eastAsia="en-US"/>
              </w:rPr>
              <w:t xml:space="preserve">DSI </w:t>
            </w:r>
          </w:p>
        </w:tc>
        <w:tc>
          <w:tcPr>
            <w:tcW w:w="1417" w:type="dxa"/>
            <w:tcBorders>
              <w:top w:val="nil"/>
              <w:left w:val="nil"/>
              <w:bottom w:val="single" w:sz="4" w:space="0" w:color="auto"/>
              <w:right w:val="single" w:sz="4" w:space="0" w:color="auto"/>
            </w:tcBorders>
            <w:shd w:val="clear" w:color="auto" w:fill="FFFF00"/>
            <w:tcMar>
              <w:top w:w="23" w:type="dxa"/>
              <w:bottom w:w="23" w:type="dxa"/>
            </w:tcMar>
            <w:vAlign w:val="center"/>
          </w:tcPr>
          <w:p w:rsidR="00677F67" w:rsidRPr="004C0E7A" w:rsidRDefault="00677F67" w:rsidP="00794EC0">
            <w:pPr>
              <w:jc w:val="center"/>
              <w:rPr>
                <w:sz w:val="18"/>
                <w:szCs w:val="18"/>
                <w:lang w:val="fr-FR"/>
              </w:rPr>
            </w:pPr>
          </w:p>
        </w:tc>
      </w:tr>
      <w:tr w:rsidR="004C0E7A" w:rsidRPr="004C0E7A" w:rsidTr="0024427E">
        <w:trPr>
          <w:trHeight w:val="414"/>
        </w:trPr>
        <w:tc>
          <w:tcPr>
            <w:tcW w:w="5440" w:type="dxa"/>
            <w:tcBorders>
              <w:top w:val="single" w:sz="4" w:space="0" w:color="auto"/>
              <w:left w:val="single" w:sz="4" w:space="0" w:color="auto"/>
              <w:bottom w:val="single" w:sz="4" w:space="0" w:color="auto"/>
              <w:right w:val="single" w:sz="4" w:space="0" w:color="auto"/>
            </w:tcBorders>
            <w:shd w:val="clear" w:color="auto" w:fill="auto"/>
            <w:tcMar>
              <w:top w:w="23" w:type="dxa"/>
              <w:bottom w:w="23" w:type="dxa"/>
            </w:tcMar>
            <w:vAlign w:val="center"/>
          </w:tcPr>
          <w:p w:rsidR="00677F67" w:rsidRPr="004C0E7A" w:rsidRDefault="00AD00CB" w:rsidP="0024427E">
            <w:pPr>
              <w:rPr>
                <w:rFonts w:eastAsia="Times New Roman"/>
                <w:sz w:val="18"/>
                <w:szCs w:val="18"/>
                <w:lang w:val="fr-FR" w:eastAsia="en-US"/>
              </w:rPr>
            </w:pPr>
            <w:r w:rsidRPr="004C0E7A">
              <w:rPr>
                <w:rFonts w:eastAsia="Times New Roman"/>
                <w:sz w:val="18"/>
                <w:szCs w:val="18"/>
                <w:lang w:val="fr-FR" w:eastAsia="en-US"/>
              </w:rPr>
              <w:t>Autres activités indirectes</w:t>
            </w:r>
          </w:p>
        </w:tc>
        <w:tc>
          <w:tcPr>
            <w:tcW w:w="2950" w:type="dxa"/>
            <w:tcBorders>
              <w:top w:val="nil"/>
              <w:left w:val="nil"/>
              <w:bottom w:val="single" w:sz="4" w:space="0" w:color="auto"/>
              <w:right w:val="single" w:sz="4" w:space="0" w:color="auto"/>
            </w:tcBorders>
            <w:shd w:val="clear" w:color="auto" w:fill="auto"/>
            <w:tcMar>
              <w:top w:w="23" w:type="dxa"/>
              <w:bottom w:w="23" w:type="dxa"/>
            </w:tcMar>
            <w:vAlign w:val="center"/>
          </w:tcPr>
          <w:p w:rsidR="00677F67" w:rsidRPr="004C0E7A" w:rsidRDefault="00AD00CB" w:rsidP="00794EC0">
            <w:pPr>
              <w:jc w:val="center"/>
              <w:rPr>
                <w:rFonts w:eastAsia="Times New Roman"/>
                <w:sz w:val="18"/>
                <w:szCs w:val="18"/>
                <w:lang w:val="fr-FR" w:eastAsia="en-US"/>
              </w:rPr>
            </w:pPr>
            <w:r w:rsidRPr="004C0E7A">
              <w:rPr>
                <w:rFonts w:eastAsia="Times New Roman"/>
                <w:sz w:val="18"/>
                <w:szCs w:val="18"/>
                <w:lang w:val="fr-FR" w:eastAsia="en-US"/>
              </w:rPr>
              <w:t>DSI</w:t>
            </w:r>
          </w:p>
        </w:tc>
        <w:tc>
          <w:tcPr>
            <w:tcW w:w="1417" w:type="dxa"/>
            <w:tcBorders>
              <w:top w:val="nil"/>
              <w:left w:val="nil"/>
              <w:bottom w:val="single" w:sz="4" w:space="0" w:color="auto"/>
              <w:right w:val="single" w:sz="4" w:space="0" w:color="auto"/>
            </w:tcBorders>
            <w:shd w:val="clear" w:color="auto" w:fill="FFFF00"/>
            <w:tcMar>
              <w:top w:w="23" w:type="dxa"/>
              <w:bottom w:w="23" w:type="dxa"/>
            </w:tcMar>
            <w:vAlign w:val="center"/>
          </w:tcPr>
          <w:p w:rsidR="00677F67" w:rsidRPr="004C0E7A" w:rsidRDefault="00677F67" w:rsidP="00794EC0">
            <w:pPr>
              <w:jc w:val="center"/>
              <w:rPr>
                <w:sz w:val="18"/>
                <w:szCs w:val="18"/>
                <w:lang w:val="fr-FR"/>
              </w:rPr>
            </w:pPr>
          </w:p>
        </w:tc>
      </w:tr>
      <w:tr w:rsidR="004C0E7A" w:rsidRPr="004C0E7A" w:rsidTr="0024427E">
        <w:trPr>
          <w:trHeight w:val="414"/>
        </w:trPr>
        <w:tc>
          <w:tcPr>
            <w:tcW w:w="5440" w:type="dxa"/>
            <w:tcBorders>
              <w:top w:val="single" w:sz="4" w:space="0" w:color="auto"/>
              <w:left w:val="single" w:sz="4" w:space="0" w:color="auto"/>
              <w:bottom w:val="single" w:sz="4" w:space="0" w:color="auto"/>
              <w:right w:val="single" w:sz="4" w:space="0" w:color="auto"/>
            </w:tcBorders>
            <w:shd w:val="clear" w:color="auto" w:fill="auto"/>
            <w:tcMar>
              <w:top w:w="23" w:type="dxa"/>
              <w:bottom w:w="23" w:type="dxa"/>
            </w:tcMar>
            <w:vAlign w:val="center"/>
          </w:tcPr>
          <w:p w:rsidR="002539F1" w:rsidRPr="004C0E7A" w:rsidRDefault="00AD00CB" w:rsidP="0024427E">
            <w:pPr>
              <w:rPr>
                <w:rFonts w:eastAsia="Times New Roman"/>
                <w:sz w:val="18"/>
                <w:szCs w:val="18"/>
                <w:lang w:val="fr-FR" w:eastAsia="en-US"/>
              </w:rPr>
            </w:pPr>
            <w:r w:rsidRPr="004C0E7A">
              <w:rPr>
                <w:rFonts w:eastAsia="Times New Roman"/>
                <w:sz w:val="18"/>
                <w:szCs w:val="18"/>
                <w:lang w:val="fr-FR" w:eastAsia="en-US"/>
              </w:rPr>
              <w:t>Suivi des recommandations en suspens</w:t>
            </w:r>
          </w:p>
        </w:tc>
        <w:tc>
          <w:tcPr>
            <w:tcW w:w="2950" w:type="dxa"/>
            <w:tcBorders>
              <w:top w:val="nil"/>
              <w:left w:val="nil"/>
              <w:bottom w:val="single" w:sz="4" w:space="0" w:color="auto"/>
              <w:right w:val="single" w:sz="4" w:space="0" w:color="auto"/>
            </w:tcBorders>
            <w:shd w:val="clear" w:color="auto" w:fill="auto"/>
            <w:tcMar>
              <w:top w:w="23" w:type="dxa"/>
              <w:bottom w:w="23" w:type="dxa"/>
            </w:tcMar>
            <w:vAlign w:val="center"/>
          </w:tcPr>
          <w:p w:rsidR="002539F1" w:rsidRPr="004C0E7A" w:rsidRDefault="00AD00CB" w:rsidP="00794EC0">
            <w:pPr>
              <w:jc w:val="center"/>
              <w:rPr>
                <w:rFonts w:eastAsia="Times New Roman"/>
                <w:sz w:val="18"/>
                <w:szCs w:val="18"/>
                <w:lang w:val="fr-FR" w:eastAsia="en-US"/>
              </w:rPr>
            </w:pPr>
            <w:r w:rsidRPr="004C0E7A">
              <w:rPr>
                <w:rFonts w:eastAsia="Times New Roman"/>
                <w:sz w:val="18"/>
                <w:szCs w:val="18"/>
                <w:lang w:val="fr-FR" w:eastAsia="en-US"/>
              </w:rPr>
              <w:t>Tous</w:t>
            </w:r>
          </w:p>
        </w:tc>
        <w:tc>
          <w:tcPr>
            <w:tcW w:w="1417" w:type="dxa"/>
            <w:tcBorders>
              <w:top w:val="nil"/>
              <w:left w:val="nil"/>
              <w:bottom w:val="single" w:sz="4" w:space="0" w:color="auto"/>
              <w:right w:val="single" w:sz="4" w:space="0" w:color="auto"/>
            </w:tcBorders>
            <w:shd w:val="clear" w:color="auto" w:fill="FFFF00"/>
            <w:tcMar>
              <w:top w:w="23" w:type="dxa"/>
              <w:bottom w:w="23" w:type="dxa"/>
            </w:tcMar>
            <w:vAlign w:val="center"/>
          </w:tcPr>
          <w:p w:rsidR="002539F1" w:rsidRPr="004C0E7A" w:rsidRDefault="002539F1" w:rsidP="00794EC0">
            <w:pPr>
              <w:jc w:val="center"/>
              <w:rPr>
                <w:sz w:val="18"/>
                <w:szCs w:val="18"/>
                <w:lang w:val="fr-FR"/>
              </w:rPr>
            </w:pPr>
          </w:p>
        </w:tc>
      </w:tr>
      <w:tr w:rsidR="004C0E7A" w:rsidRPr="004C0E7A" w:rsidTr="0024427E">
        <w:trPr>
          <w:trHeight w:val="414"/>
        </w:trPr>
        <w:tc>
          <w:tcPr>
            <w:tcW w:w="5440" w:type="dxa"/>
            <w:tcBorders>
              <w:top w:val="single" w:sz="4" w:space="0" w:color="auto"/>
              <w:left w:val="single" w:sz="4" w:space="0" w:color="auto"/>
              <w:bottom w:val="single" w:sz="4" w:space="0" w:color="auto"/>
              <w:right w:val="single" w:sz="4" w:space="0" w:color="auto"/>
            </w:tcBorders>
            <w:shd w:val="clear" w:color="auto" w:fill="auto"/>
            <w:tcMar>
              <w:top w:w="23" w:type="dxa"/>
              <w:bottom w:w="23" w:type="dxa"/>
            </w:tcMar>
            <w:vAlign w:val="center"/>
          </w:tcPr>
          <w:p w:rsidR="002539F1" w:rsidRPr="004C0E7A" w:rsidRDefault="00AD00CB" w:rsidP="0024427E">
            <w:pPr>
              <w:rPr>
                <w:rFonts w:eastAsia="Times New Roman"/>
                <w:sz w:val="18"/>
                <w:szCs w:val="18"/>
                <w:lang w:val="fr-FR" w:eastAsia="en-US"/>
              </w:rPr>
            </w:pPr>
            <w:r w:rsidRPr="004C0E7A">
              <w:rPr>
                <w:rFonts w:eastAsia="Times New Roman"/>
                <w:sz w:val="18"/>
                <w:szCs w:val="18"/>
                <w:lang w:val="fr-FR" w:eastAsia="en-US"/>
              </w:rPr>
              <w:t>Formation</w:t>
            </w:r>
          </w:p>
        </w:tc>
        <w:tc>
          <w:tcPr>
            <w:tcW w:w="2950" w:type="dxa"/>
            <w:tcBorders>
              <w:top w:val="nil"/>
              <w:left w:val="nil"/>
              <w:bottom w:val="single" w:sz="4" w:space="0" w:color="auto"/>
              <w:right w:val="single" w:sz="4" w:space="0" w:color="auto"/>
            </w:tcBorders>
            <w:shd w:val="clear" w:color="auto" w:fill="auto"/>
            <w:tcMar>
              <w:top w:w="23" w:type="dxa"/>
              <w:bottom w:w="23" w:type="dxa"/>
            </w:tcMar>
            <w:vAlign w:val="center"/>
          </w:tcPr>
          <w:p w:rsidR="002539F1" w:rsidRPr="004C0E7A" w:rsidRDefault="002B3C52" w:rsidP="00794EC0">
            <w:pPr>
              <w:jc w:val="center"/>
              <w:rPr>
                <w:rFonts w:eastAsia="Times New Roman"/>
                <w:sz w:val="18"/>
                <w:szCs w:val="18"/>
                <w:lang w:val="fr-FR" w:eastAsia="en-US"/>
              </w:rPr>
            </w:pPr>
            <w:r w:rsidRPr="004C0E7A">
              <w:rPr>
                <w:rFonts w:eastAsia="Times New Roman"/>
                <w:sz w:val="18"/>
                <w:szCs w:val="18"/>
                <w:lang w:val="fr-FR" w:eastAsia="en-US"/>
              </w:rPr>
              <w:t>DSI</w:t>
            </w:r>
          </w:p>
        </w:tc>
        <w:tc>
          <w:tcPr>
            <w:tcW w:w="1417" w:type="dxa"/>
            <w:tcBorders>
              <w:top w:val="nil"/>
              <w:left w:val="nil"/>
              <w:bottom w:val="single" w:sz="4" w:space="0" w:color="auto"/>
              <w:right w:val="single" w:sz="4" w:space="0" w:color="auto"/>
            </w:tcBorders>
            <w:shd w:val="clear" w:color="auto" w:fill="FFFF00"/>
            <w:tcMar>
              <w:top w:w="23" w:type="dxa"/>
              <w:bottom w:w="23" w:type="dxa"/>
            </w:tcMar>
            <w:vAlign w:val="center"/>
          </w:tcPr>
          <w:p w:rsidR="002539F1" w:rsidRPr="004C0E7A" w:rsidRDefault="002539F1" w:rsidP="00794EC0">
            <w:pPr>
              <w:jc w:val="center"/>
              <w:rPr>
                <w:sz w:val="18"/>
                <w:szCs w:val="18"/>
                <w:lang w:val="fr-FR"/>
              </w:rPr>
            </w:pPr>
          </w:p>
        </w:tc>
      </w:tr>
    </w:tbl>
    <w:p w:rsidR="00E32ADE" w:rsidRPr="004C0E7A" w:rsidRDefault="00E32ADE" w:rsidP="00E32ADE">
      <w:pPr>
        <w:spacing w:before="60" w:after="60"/>
        <w:rPr>
          <w:lang w:val="fr-FR"/>
        </w:rPr>
      </w:pPr>
      <w:r w:rsidRPr="004C0E7A">
        <w:rPr>
          <w:lang w:val="fr-FR"/>
        </w:rPr>
        <w:t>Code</w:t>
      </w:r>
      <w:r w:rsidR="00045FD8" w:rsidRPr="004C0E7A">
        <w:rPr>
          <w:lang w:val="fr-FR"/>
        </w:rPr>
        <w:t> </w:t>
      </w:r>
      <w:r w:rsidRPr="004C0E7A">
        <w:rPr>
          <w:lang w:val="fr-FR"/>
        </w:rPr>
        <w:t>:</w:t>
      </w:r>
    </w:p>
    <w:tbl>
      <w:tblPr>
        <w:tblStyle w:val="TableGrid"/>
        <w:tblW w:w="0" w:type="auto"/>
        <w:tblLook w:val="04A0" w:firstRow="1" w:lastRow="0" w:firstColumn="1" w:lastColumn="0" w:noHBand="0" w:noVBand="1"/>
      </w:tblPr>
      <w:tblGrid>
        <w:gridCol w:w="1843"/>
        <w:gridCol w:w="2552"/>
      </w:tblGrid>
      <w:tr w:rsidR="00E32ADE" w:rsidRPr="004C0E7A" w:rsidTr="00FD2537">
        <w:trPr>
          <w:trHeight w:val="193"/>
        </w:trPr>
        <w:tc>
          <w:tcPr>
            <w:tcW w:w="1843" w:type="dxa"/>
            <w:shd w:val="clear" w:color="auto" w:fill="FFFF00"/>
          </w:tcPr>
          <w:p w:rsidR="00E32ADE" w:rsidRPr="004C0E7A" w:rsidRDefault="00E32ADE" w:rsidP="00FD2537">
            <w:pPr>
              <w:rPr>
                <w:sz w:val="18"/>
                <w:szCs w:val="18"/>
                <w:lang w:val="fr-FR"/>
              </w:rPr>
            </w:pPr>
          </w:p>
        </w:tc>
        <w:tc>
          <w:tcPr>
            <w:tcW w:w="2552" w:type="dxa"/>
          </w:tcPr>
          <w:p w:rsidR="00E32ADE" w:rsidRPr="004C0E7A" w:rsidRDefault="00AD00CB" w:rsidP="00AD00CB">
            <w:pPr>
              <w:ind w:left="34"/>
              <w:rPr>
                <w:sz w:val="18"/>
                <w:szCs w:val="18"/>
                <w:lang w:val="fr-FR"/>
              </w:rPr>
            </w:pPr>
            <w:r w:rsidRPr="004C0E7A">
              <w:rPr>
                <w:sz w:val="18"/>
                <w:szCs w:val="18"/>
                <w:lang w:val="fr-FR"/>
              </w:rPr>
              <w:t>En cours</w:t>
            </w:r>
          </w:p>
        </w:tc>
      </w:tr>
      <w:tr w:rsidR="00E32ADE" w:rsidRPr="004C0E7A" w:rsidTr="00FD2537">
        <w:tc>
          <w:tcPr>
            <w:tcW w:w="1843" w:type="dxa"/>
            <w:shd w:val="clear" w:color="auto" w:fill="92D050"/>
          </w:tcPr>
          <w:p w:rsidR="00E32ADE" w:rsidRPr="004C0E7A" w:rsidRDefault="00E32ADE" w:rsidP="00FD2537">
            <w:pPr>
              <w:rPr>
                <w:sz w:val="18"/>
                <w:szCs w:val="18"/>
                <w:lang w:val="fr-FR"/>
              </w:rPr>
            </w:pPr>
          </w:p>
        </w:tc>
        <w:tc>
          <w:tcPr>
            <w:tcW w:w="2552" w:type="dxa"/>
          </w:tcPr>
          <w:p w:rsidR="00E32ADE" w:rsidRPr="004C0E7A" w:rsidRDefault="00AD00CB" w:rsidP="00AD00CB">
            <w:pPr>
              <w:ind w:left="34"/>
              <w:rPr>
                <w:sz w:val="18"/>
                <w:szCs w:val="18"/>
                <w:lang w:val="fr-FR"/>
              </w:rPr>
            </w:pPr>
            <w:r w:rsidRPr="004C0E7A">
              <w:rPr>
                <w:sz w:val="18"/>
                <w:szCs w:val="18"/>
                <w:lang w:val="fr-FR"/>
              </w:rPr>
              <w:t>Achevé</w:t>
            </w:r>
          </w:p>
        </w:tc>
      </w:tr>
      <w:tr w:rsidR="00E32ADE" w:rsidRPr="004C0E7A" w:rsidTr="00FD2537">
        <w:tc>
          <w:tcPr>
            <w:tcW w:w="1843" w:type="dxa"/>
          </w:tcPr>
          <w:p w:rsidR="00E32ADE" w:rsidRPr="004C0E7A" w:rsidRDefault="00E32ADE" w:rsidP="00FD2537">
            <w:pPr>
              <w:rPr>
                <w:sz w:val="18"/>
                <w:szCs w:val="18"/>
                <w:lang w:val="fr-FR"/>
              </w:rPr>
            </w:pPr>
          </w:p>
        </w:tc>
        <w:tc>
          <w:tcPr>
            <w:tcW w:w="2552" w:type="dxa"/>
          </w:tcPr>
          <w:p w:rsidR="00E32ADE" w:rsidRPr="004C0E7A" w:rsidRDefault="00AD00CB" w:rsidP="007F0E24">
            <w:pPr>
              <w:ind w:left="34"/>
              <w:rPr>
                <w:sz w:val="18"/>
                <w:szCs w:val="18"/>
                <w:lang w:val="fr-FR"/>
              </w:rPr>
            </w:pPr>
            <w:r w:rsidRPr="004C0E7A">
              <w:rPr>
                <w:sz w:val="18"/>
                <w:szCs w:val="18"/>
                <w:lang w:val="fr-FR"/>
              </w:rPr>
              <w:t xml:space="preserve">Prévu mais </w:t>
            </w:r>
            <w:r w:rsidR="007F0E24" w:rsidRPr="004C0E7A">
              <w:rPr>
                <w:sz w:val="18"/>
                <w:szCs w:val="18"/>
                <w:lang w:val="fr-FR"/>
              </w:rPr>
              <w:t>non</w:t>
            </w:r>
            <w:r w:rsidRPr="004C0E7A">
              <w:rPr>
                <w:sz w:val="18"/>
                <w:szCs w:val="18"/>
                <w:lang w:val="fr-FR"/>
              </w:rPr>
              <w:t xml:space="preserve"> commencé</w:t>
            </w:r>
          </w:p>
        </w:tc>
      </w:tr>
    </w:tbl>
    <w:p w:rsidR="007F4F40" w:rsidRPr="004C0E7A" w:rsidRDefault="007F4F40" w:rsidP="00E32ADE">
      <w:pPr>
        <w:keepLines/>
        <w:ind w:left="5533"/>
        <w:rPr>
          <w:lang w:val="fr-FR"/>
        </w:rPr>
      </w:pPr>
    </w:p>
    <w:p w:rsidR="007F4F40" w:rsidRPr="004C0E7A" w:rsidRDefault="007F4F40" w:rsidP="00E32ADE">
      <w:pPr>
        <w:keepLines/>
        <w:ind w:left="5533"/>
        <w:rPr>
          <w:lang w:val="fr-FR"/>
        </w:rPr>
      </w:pPr>
    </w:p>
    <w:p w:rsidR="00854761" w:rsidRPr="004C0E7A" w:rsidRDefault="00854761" w:rsidP="00E32ADE">
      <w:pPr>
        <w:keepLines/>
        <w:ind w:left="5533"/>
        <w:rPr>
          <w:lang w:val="fr-FR"/>
        </w:rPr>
      </w:pPr>
    </w:p>
    <w:p w:rsidR="00E32ADE" w:rsidRPr="004C0E7A" w:rsidRDefault="00AD00CB" w:rsidP="00AD00CB">
      <w:pPr>
        <w:keepLines/>
        <w:ind w:left="5533"/>
        <w:rPr>
          <w:lang w:val="fr-FR"/>
        </w:rPr>
        <w:sectPr w:rsidR="00E32ADE" w:rsidRPr="004C0E7A" w:rsidSect="00854761">
          <w:headerReference w:type="first" r:id="rId26"/>
          <w:footnotePr>
            <w:numRestart w:val="eachSect"/>
          </w:footnotePr>
          <w:endnotePr>
            <w:numFmt w:val="decimal"/>
          </w:endnotePr>
          <w:pgSz w:w="11907" w:h="16840" w:code="9"/>
          <w:pgMar w:top="567" w:right="1134" w:bottom="1418" w:left="1418" w:header="510" w:footer="1021" w:gutter="0"/>
          <w:cols w:space="720"/>
          <w:titlePg/>
          <w:docGrid w:linePitch="299"/>
        </w:sectPr>
      </w:pPr>
      <w:r w:rsidRPr="004C0E7A">
        <w:rPr>
          <w:lang w:val="fr-FR"/>
        </w:rPr>
        <w:t>[L</w:t>
      </w:r>
      <w:r w:rsidR="000055C7" w:rsidRPr="004C0E7A">
        <w:rPr>
          <w:lang w:val="fr-FR"/>
        </w:rPr>
        <w:t>’</w:t>
      </w:r>
      <w:r w:rsidRPr="004C0E7A">
        <w:rPr>
          <w:lang w:val="fr-FR"/>
        </w:rPr>
        <w:t>annexe</w:t>
      </w:r>
      <w:r w:rsidR="00045FD8" w:rsidRPr="004C0E7A">
        <w:rPr>
          <w:lang w:val="fr-FR"/>
        </w:rPr>
        <w:t> </w:t>
      </w:r>
      <w:r w:rsidRPr="004C0E7A">
        <w:rPr>
          <w:lang w:val="fr-FR"/>
        </w:rPr>
        <w:t>II suit]</w:t>
      </w:r>
    </w:p>
    <w:p w:rsidR="007F0E24" w:rsidRPr="004C0E7A" w:rsidRDefault="00AD00CB" w:rsidP="00AD00CB">
      <w:pPr>
        <w:keepLines/>
        <w:jc w:val="center"/>
        <w:rPr>
          <w:b/>
          <w:bCs/>
          <w:lang w:val="fr-FR"/>
        </w:rPr>
      </w:pPr>
      <w:r w:rsidRPr="004C0E7A">
        <w:rPr>
          <w:b/>
          <w:bCs/>
          <w:lang w:val="fr-FR"/>
        </w:rPr>
        <w:lastRenderedPageBreak/>
        <w:t>Liste des rapports établis par</w:t>
      </w:r>
      <w:r w:rsidR="000055C7" w:rsidRPr="004C0E7A">
        <w:rPr>
          <w:b/>
          <w:bCs/>
          <w:lang w:val="fr-FR"/>
        </w:rPr>
        <w:t xml:space="preserve"> la DSI</w:t>
      </w:r>
    </w:p>
    <w:p w:rsidR="007F4F40" w:rsidRPr="004C0E7A" w:rsidRDefault="000055C7" w:rsidP="00AD00CB">
      <w:pPr>
        <w:keepLines/>
        <w:jc w:val="center"/>
        <w:rPr>
          <w:b/>
          <w:bCs/>
          <w:lang w:val="fr-FR"/>
        </w:rPr>
      </w:pPr>
      <w:r w:rsidRPr="004C0E7A">
        <w:rPr>
          <w:b/>
          <w:bCs/>
          <w:lang w:val="fr-FR"/>
        </w:rPr>
        <w:t>1</w:t>
      </w:r>
      <w:r w:rsidRPr="004C0E7A">
        <w:rPr>
          <w:b/>
          <w:bCs/>
          <w:vertAlign w:val="superscript"/>
          <w:lang w:val="fr-FR"/>
        </w:rPr>
        <w:t>er</w:t>
      </w:r>
      <w:r w:rsidRPr="004C0E7A">
        <w:rPr>
          <w:b/>
          <w:bCs/>
          <w:lang w:val="fr-FR"/>
        </w:rPr>
        <w:t> juillet 20</w:t>
      </w:r>
      <w:r w:rsidR="00AD00CB" w:rsidRPr="004C0E7A">
        <w:rPr>
          <w:b/>
          <w:bCs/>
          <w:lang w:val="fr-FR"/>
        </w:rPr>
        <w:t>14 au 3</w:t>
      </w:r>
      <w:r w:rsidRPr="004C0E7A">
        <w:rPr>
          <w:b/>
          <w:bCs/>
          <w:lang w:val="fr-FR"/>
        </w:rPr>
        <w:t>0 juin 20</w:t>
      </w:r>
      <w:r w:rsidR="00AD00CB" w:rsidRPr="004C0E7A">
        <w:rPr>
          <w:b/>
          <w:bCs/>
          <w:lang w:val="fr-FR"/>
        </w:rPr>
        <w:t>15</w:t>
      </w:r>
    </w:p>
    <w:p w:rsidR="00E32ADE" w:rsidRPr="004C0E7A" w:rsidRDefault="00E32ADE" w:rsidP="00E32ADE">
      <w:pPr>
        <w:keepLines/>
        <w:jc w:val="center"/>
        <w:rPr>
          <w:b/>
          <w:bCs/>
          <w:lang w:val="fr-FR"/>
        </w:rPr>
      </w:pPr>
    </w:p>
    <w:tbl>
      <w:tblPr>
        <w:tblStyle w:val="TableGrid"/>
        <w:tblW w:w="0" w:type="auto"/>
        <w:tblLook w:val="04A0" w:firstRow="1" w:lastRow="0" w:firstColumn="1" w:lastColumn="0" w:noHBand="0" w:noVBand="1"/>
      </w:tblPr>
      <w:tblGrid>
        <w:gridCol w:w="7371"/>
        <w:gridCol w:w="2092"/>
      </w:tblGrid>
      <w:tr w:rsidR="006E5C22" w:rsidRPr="004C0E7A" w:rsidTr="00920E74">
        <w:trPr>
          <w:trHeight w:val="340"/>
        </w:trPr>
        <w:tc>
          <w:tcPr>
            <w:tcW w:w="7371" w:type="dxa"/>
            <w:vAlign w:val="center"/>
          </w:tcPr>
          <w:p w:rsidR="006E5C22" w:rsidRPr="004C0E7A" w:rsidRDefault="00AD00CB" w:rsidP="001F6942">
            <w:pPr>
              <w:ind w:left="34"/>
              <w:rPr>
                <w:lang w:val="fr-FR"/>
              </w:rPr>
            </w:pPr>
            <w:r w:rsidRPr="004C0E7A">
              <w:rPr>
                <w:lang w:val="fr-FR"/>
              </w:rPr>
              <w:t>Audit des manifestations officielles</w:t>
            </w:r>
            <w:r w:rsidRPr="004C0E7A">
              <w:rPr>
                <w:rStyle w:val="FootnoteReference"/>
                <w:lang w:val="fr-FR"/>
              </w:rPr>
              <w:footnoteReference w:id="19"/>
            </w:r>
          </w:p>
        </w:tc>
        <w:tc>
          <w:tcPr>
            <w:tcW w:w="2092" w:type="dxa"/>
            <w:vAlign w:val="center"/>
          </w:tcPr>
          <w:p w:rsidR="006E5C22" w:rsidRPr="004C0E7A" w:rsidRDefault="006E5C22" w:rsidP="001F6942">
            <w:pPr>
              <w:ind w:left="0" w:hanging="41"/>
              <w:rPr>
                <w:lang w:val="fr-FR"/>
              </w:rPr>
            </w:pPr>
            <w:r w:rsidRPr="004C0E7A">
              <w:rPr>
                <w:lang w:val="fr-FR"/>
              </w:rPr>
              <w:t>IA 2014</w:t>
            </w:r>
            <w:r w:rsidR="008E117E" w:rsidRPr="004C0E7A">
              <w:rPr>
                <w:lang w:val="fr-FR"/>
              </w:rPr>
              <w:noBreakHyphen/>
            </w:r>
            <w:r w:rsidRPr="004C0E7A">
              <w:rPr>
                <w:lang w:val="fr-FR"/>
              </w:rPr>
              <w:t>02</w:t>
            </w:r>
          </w:p>
        </w:tc>
      </w:tr>
      <w:tr w:rsidR="006E5C22" w:rsidRPr="004C0E7A" w:rsidTr="00920E74">
        <w:trPr>
          <w:trHeight w:val="340"/>
        </w:trPr>
        <w:tc>
          <w:tcPr>
            <w:tcW w:w="7371" w:type="dxa"/>
            <w:vAlign w:val="center"/>
          </w:tcPr>
          <w:p w:rsidR="006E5C22" w:rsidRPr="004C0E7A" w:rsidRDefault="00AD00CB" w:rsidP="001F6942">
            <w:pPr>
              <w:ind w:left="34"/>
              <w:rPr>
                <w:lang w:val="fr-FR"/>
              </w:rPr>
            </w:pPr>
            <w:r w:rsidRPr="004C0E7A">
              <w:rPr>
                <w:lang w:val="fr-FR"/>
              </w:rPr>
              <w:t xml:space="preserve">Audit de la gestion des actifs </w:t>
            </w:r>
          </w:p>
        </w:tc>
        <w:tc>
          <w:tcPr>
            <w:tcW w:w="2092" w:type="dxa"/>
            <w:vAlign w:val="center"/>
          </w:tcPr>
          <w:p w:rsidR="006E5C22" w:rsidRPr="004C0E7A" w:rsidRDefault="006E5C22" w:rsidP="001F6942">
            <w:pPr>
              <w:ind w:left="0" w:hanging="41"/>
              <w:rPr>
                <w:lang w:val="fr-FR"/>
              </w:rPr>
            </w:pPr>
            <w:r w:rsidRPr="004C0E7A">
              <w:rPr>
                <w:lang w:val="fr-FR"/>
              </w:rPr>
              <w:t>IA 2014</w:t>
            </w:r>
            <w:r w:rsidR="008E117E" w:rsidRPr="004C0E7A">
              <w:rPr>
                <w:lang w:val="fr-FR"/>
              </w:rPr>
              <w:noBreakHyphen/>
            </w:r>
            <w:r w:rsidRPr="004C0E7A">
              <w:rPr>
                <w:lang w:val="fr-FR"/>
              </w:rPr>
              <w:t>05</w:t>
            </w:r>
          </w:p>
        </w:tc>
      </w:tr>
      <w:tr w:rsidR="006E5C22" w:rsidRPr="004C0E7A" w:rsidTr="00920E74">
        <w:trPr>
          <w:trHeight w:val="340"/>
        </w:trPr>
        <w:tc>
          <w:tcPr>
            <w:tcW w:w="7371" w:type="dxa"/>
            <w:vAlign w:val="center"/>
          </w:tcPr>
          <w:p w:rsidR="006E5C22" w:rsidRPr="004C0E7A" w:rsidRDefault="00AD00CB" w:rsidP="001F6942">
            <w:pPr>
              <w:ind w:left="34"/>
              <w:rPr>
                <w:lang w:val="fr-FR"/>
              </w:rPr>
            </w:pPr>
            <w:r w:rsidRPr="004C0E7A">
              <w:rPr>
                <w:lang w:val="fr-FR"/>
              </w:rPr>
              <w:t>Audit du risque de tiers</w:t>
            </w:r>
          </w:p>
        </w:tc>
        <w:tc>
          <w:tcPr>
            <w:tcW w:w="2092" w:type="dxa"/>
            <w:vAlign w:val="center"/>
          </w:tcPr>
          <w:p w:rsidR="006E5C22" w:rsidRPr="004C0E7A" w:rsidRDefault="006E5C22" w:rsidP="001F6942">
            <w:pPr>
              <w:ind w:left="0" w:hanging="41"/>
              <w:rPr>
                <w:lang w:val="fr-FR"/>
              </w:rPr>
            </w:pPr>
            <w:r w:rsidRPr="004C0E7A">
              <w:rPr>
                <w:lang w:val="fr-FR"/>
              </w:rPr>
              <w:t>IA 2014</w:t>
            </w:r>
            <w:r w:rsidR="008E117E" w:rsidRPr="004C0E7A">
              <w:rPr>
                <w:lang w:val="fr-FR"/>
              </w:rPr>
              <w:noBreakHyphen/>
            </w:r>
            <w:r w:rsidRPr="004C0E7A">
              <w:rPr>
                <w:lang w:val="fr-FR"/>
              </w:rPr>
              <w:t>07</w:t>
            </w:r>
          </w:p>
        </w:tc>
      </w:tr>
      <w:tr w:rsidR="006E5C22" w:rsidRPr="004C0E7A" w:rsidTr="00920E74">
        <w:trPr>
          <w:trHeight w:val="340"/>
        </w:trPr>
        <w:tc>
          <w:tcPr>
            <w:tcW w:w="7371" w:type="dxa"/>
            <w:vAlign w:val="center"/>
          </w:tcPr>
          <w:p w:rsidR="006E5C22" w:rsidRPr="004C0E7A" w:rsidRDefault="00AD00CB" w:rsidP="001F6942">
            <w:pPr>
              <w:ind w:left="34"/>
              <w:rPr>
                <w:lang w:val="fr-FR"/>
              </w:rPr>
            </w:pPr>
            <w:r w:rsidRPr="004C0E7A">
              <w:rPr>
                <w:lang w:val="fr-FR"/>
              </w:rPr>
              <w:t>Audit de la gestion de la continuité des opérations</w:t>
            </w:r>
            <w:r w:rsidRPr="004C0E7A">
              <w:rPr>
                <w:rStyle w:val="FootnoteReference"/>
                <w:lang w:val="fr-FR"/>
              </w:rPr>
              <w:footnoteReference w:id="20"/>
            </w:r>
          </w:p>
        </w:tc>
        <w:tc>
          <w:tcPr>
            <w:tcW w:w="2092" w:type="dxa"/>
            <w:vAlign w:val="center"/>
          </w:tcPr>
          <w:p w:rsidR="006E5C22" w:rsidRPr="004C0E7A" w:rsidRDefault="006E5C22" w:rsidP="001F6942">
            <w:pPr>
              <w:ind w:left="0" w:hanging="41"/>
              <w:rPr>
                <w:lang w:val="fr-FR"/>
              </w:rPr>
            </w:pPr>
            <w:r w:rsidRPr="004C0E7A">
              <w:rPr>
                <w:lang w:val="fr-FR"/>
              </w:rPr>
              <w:t>IA 2015</w:t>
            </w:r>
            <w:r w:rsidR="008E117E" w:rsidRPr="004C0E7A">
              <w:rPr>
                <w:lang w:val="fr-FR"/>
              </w:rPr>
              <w:noBreakHyphen/>
            </w:r>
            <w:r w:rsidRPr="004C0E7A">
              <w:rPr>
                <w:lang w:val="fr-FR"/>
              </w:rPr>
              <w:t>01</w:t>
            </w:r>
          </w:p>
        </w:tc>
      </w:tr>
      <w:tr w:rsidR="006E5C22" w:rsidRPr="004C0E7A" w:rsidTr="00920E74">
        <w:trPr>
          <w:trHeight w:val="340"/>
        </w:trPr>
        <w:tc>
          <w:tcPr>
            <w:tcW w:w="7371" w:type="dxa"/>
            <w:vAlign w:val="center"/>
          </w:tcPr>
          <w:p w:rsidR="006E5C22" w:rsidRPr="004C0E7A" w:rsidRDefault="00AD00CB" w:rsidP="001F6942">
            <w:pPr>
              <w:ind w:left="34"/>
              <w:rPr>
                <w:lang w:val="fr-FR"/>
              </w:rPr>
            </w:pPr>
            <w:r w:rsidRPr="004C0E7A">
              <w:rPr>
                <w:lang w:val="fr-FR"/>
              </w:rPr>
              <w:t>Audit de l</w:t>
            </w:r>
            <w:r w:rsidR="000055C7" w:rsidRPr="004C0E7A">
              <w:rPr>
                <w:lang w:val="fr-FR"/>
              </w:rPr>
              <w:t>’</w:t>
            </w:r>
            <w:r w:rsidRPr="004C0E7A">
              <w:rPr>
                <w:lang w:val="fr-FR"/>
              </w:rPr>
              <w:t>Académie de l</w:t>
            </w:r>
            <w:r w:rsidR="000055C7" w:rsidRPr="004C0E7A">
              <w:rPr>
                <w:lang w:val="fr-FR"/>
              </w:rPr>
              <w:t>’</w:t>
            </w:r>
            <w:r w:rsidRPr="004C0E7A">
              <w:rPr>
                <w:lang w:val="fr-FR"/>
              </w:rPr>
              <w:t>OMPI</w:t>
            </w:r>
          </w:p>
        </w:tc>
        <w:tc>
          <w:tcPr>
            <w:tcW w:w="2092" w:type="dxa"/>
            <w:vAlign w:val="center"/>
          </w:tcPr>
          <w:p w:rsidR="006E5C22" w:rsidRPr="004C0E7A" w:rsidRDefault="006E5C22" w:rsidP="001F6942">
            <w:pPr>
              <w:ind w:left="0" w:hanging="41"/>
              <w:rPr>
                <w:lang w:val="fr-FR"/>
              </w:rPr>
            </w:pPr>
            <w:r w:rsidRPr="004C0E7A">
              <w:rPr>
                <w:lang w:val="fr-FR"/>
              </w:rPr>
              <w:t>IA 2015</w:t>
            </w:r>
            <w:r w:rsidR="008E117E" w:rsidRPr="004C0E7A">
              <w:rPr>
                <w:lang w:val="fr-FR"/>
              </w:rPr>
              <w:noBreakHyphen/>
            </w:r>
            <w:r w:rsidRPr="004C0E7A">
              <w:rPr>
                <w:lang w:val="fr-FR"/>
              </w:rPr>
              <w:t>02</w:t>
            </w:r>
          </w:p>
        </w:tc>
      </w:tr>
      <w:tr w:rsidR="006E5C22" w:rsidRPr="004C0E7A" w:rsidTr="00920E74">
        <w:trPr>
          <w:trHeight w:val="340"/>
        </w:trPr>
        <w:tc>
          <w:tcPr>
            <w:tcW w:w="7371" w:type="dxa"/>
            <w:vAlign w:val="center"/>
          </w:tcPr>
          <w:p w:rsidR="006E5C22" w:rsidRPr="004C0E7A" w:rsidRDefault="00AD00CB" w:rsidP="001F6942">
            <w:pPr>
              <w:ind w:left="34"/>
              <w:rPr>
                <w:lang w:val="fr-FR"/>
              </w:rPr>
            </w:pPr>
            <w:r w:rsidRPr="004C0E7A">
              <w:rPr>
                <w:lang w:val="fr-FR"/>
              </w:rPr>
              <w:t>Audit des services de sûreté et de sécurité</w:t>
            </w:r>
            <w:r w:rsidRPr="004C0E7A">
              <w:rPr>
                <w:rStyle w:val="FootnoteReference"/>
                <w:lang w:val="fr-FR"/>
              </w:rPr>
              <w:footnoteReference w:id="21"/>
            </w:r>
          </w:p>
        </w:tc>
        <w:tc>
          <w:tcPr>
            <w:tcW w:w="2092" w:type="dxa"/>
            <w:vAlign w:val="center"/>
          </w:tcPr>
          <w:p w:rsidR="006E5C22" w:rsidRPr="004C0E7A" w:rsidRDefault="006E5C22" w:rsidP="001F6942">
            <w:pPr>
              <w:ind w:left="0" w:hanging="41"/>
              <w:rPr>
                <w:lang w:val="fr-FR"/>
              </w:rPr>
            </w:pPr>
            <w:r w:rsidRPr="004C0E7A">
              <w:rPr>
                <w:lang w:val="fr-FR"/>
              </w:rPr>
              <w:t>IA 2015</w:t>
            </w:r>
            <w:r w:rsidR="008E117E" w:rsidRPr="004C0E7A">
              <w:rPr>
                <w:lang w:val="fr-FR"/>
              </w:rPr>
              <w:noBreakHyphen/>
            </w:r>
            <w:r w:rsidRPr="004C0E7A">
              <w:rPr>
                <w:lang w:val="fr-FR"/>
              </w:rPr>
              <w:t>05</w:t>
            </w:r>
          </w:p>
        </w:tc>
      </w:tr>
      <w:tr w:rsidR="002539F1" w:rsidRPr="004C0E7A" w:rsidTr="0013256A">
        <w:trPr>
          <w:trHeight w:val="340"/>
        </w:trPr>
        <w:tc>
          <w:tcPr>
            <w:tcW w:w="7371" w:type="dxa"/>
          </w:tcPr>
          <w:p w:rsidR="002539F1" w:rsidRPr="004C0E7A" w:rsidRDefault="00AD00CB" w:rsidP="001F6942">
            <w:pPr>
              <w:ind w:left="34"/>
              <w:rPr>
                <w:lang w:val="fr-FR"/>
              </w:rPr>
            </w:pPr>
            <w:r w:rsidRPr="004C0E7A">
              <w:rPr>
                <w:lang w:val="fr-FR"/>
              </w:rPr>
              <w:t>Objectif stratégi</w:t>
            </w:r>
            <w:r w:rsidR="001F6942" w:rsidRPr="004C0E7A">
              <w:rPr>
                <w:lang w:val="fr-FR"/>
              </w:rPr>
              <w:t>que </w:t>
            </w:r>
            <w:r w:rsidRPr="004C0E7A">
              <w:rPr>
                <w:lang w:val="fr-FR"/>
              </w:rPr>
              <w:t>VI</w:t>
            </w:r>
            <w:r w:rsidR="00045FD8" w:rsidRPr="004C0E7A">
              <w:rPr>
                <w:lang w:val="fr-FR"/>
              </w:rPr>
              <w:t> </w:t>
            </w:r>
            <w:r w:rsidRPr="004C0E7A">
              <w:rPr>
                <w:lang w:val="fr-FR"/>
              </w:rPr>
              <w:t>:</w:t>
            </w:r>
            <w:r w:rsidRPr="004C0E7A">
              <w:rPr>
                <w:b/>
                <w:lang w:val="fr-FR"/>
              </w:rPr>
              <w:t xml:space="preserve"> </w:t>
            </w:r>
            <w:r w:rsidRPr="004C0E7A">
              <w:rPr>
                <w:lang w:val="fr-FR"/>
              </w:rPr>
              <w:t>Coopération internationale pour le respect de la propriété intellectuelle</w:t>
            </w:r>
          </w:p>
        </w:tc>
        <w:tc>
          <w:tcPr>
            <w:tcW w:w="2092" w:type="dxa"/>
            <w:vAlign w:val="center"/>
          </w:tcPr>
          <w:p w:rsidR="002539F1" w:rsidRPr="004C0E7A" w:rsidRDefault="002539F1" w:rsidP="001F6942">
            <w:pPr>
              <w:ind w:left="0" w:hanging="41"/>
              <w:rPr>
                <w:highlight w:val="yellow"/>
                <w:lang w:val="fr-FR"/>
              </w:rPr>
            </w:pPr>
            <w:r w:rsidRPr="004C0E7A">
              <w:rPr>
                <w:lang w:val="fr-FR"/>
              </w:rPr>
              <w:t>EVAL 2014 – 01</w:t>
            </w:r>
          </w:p>
        </w:tc>
      </w:tr>
      <w:tr w:rsidR="002539F1" w:rsidRPr="004C0E7A" w:rsidTr="0013256A">
        <w:trPr>
          <w:trHeight w:val="340"/>
        </w:trPr>
        <w:tc>
          <w:tcPr>
            <w:tcW w:w="7371" w:type="dxa"/>
          </w:tcPr>
          <w:p w:rsidR="002539F1" w:rsidRPr="004C0E7A" w:rsidRDefault="00AD00CB" w:rsidP="001F6942">
            <w:pPr>
              <w:ind w:left="34"/>
              <w:rPr>
                <w:lang w:val="fr-FR"/>
              </w:rPr>
            </w:pPr>
            <w:r w:rsidRPr="004C0E7A">
              <w:rPr>
                <w:lang w:val="fr-FR"/>
              </w:rPr>
              <w:t>Partage des connaissances à l</w:t>
            </w:r>
            <w:r w:rsidR="000055C7" w:rsidRPr="004C0E7A">
              <w:rPr>
                <w:lang w:val="fr-FR"/>
              </w:rPr>
              <w:t>’</w:t>
            </w:r>
            <w:r w:rsidRPr="004C0E7A">
              <w:rPr>
                <w:lang w:val="fr-FR"/>
              </w:rPr>
              <w:t>OMPI</w:t>
            </w:r>
          </w:p>
        </w:tc>
        <w:tc>
          <w:tcPr>
            <w:tcW w:w="2092" w:type="dxa"/>
            <w:vAlign w:val="center"/>
          </w:tcPr>
          <w:p w:rsidR="002539F1" w:rsidRPr="004C0E7A" w:rsidRDefault="002539F1" w:rsidP="001F6942">
            <w:pPr>
              <w:ind w:left="0" w:hanging="41"/>
              <w:rPr>
                <w:highlight w:val="yellow"/>
                <w:lang w:val="fr-FR"/>
              </w:rPr>
            </w:pPr>
            <w:r w:rsidRPr="004C0E7A">
              <w:rPr>
                <w:lang w:val="fr-FR"/>
              </w:rPr>
              <w:t>EVAL 2014 – 02</w:t>
            </w:r>
          </w:p>
        </w:tc>
      </w:tr>
      <w:tr w:rsidR="002539F1" w:rsidRPr="004C0E7A" w:rsidTr="0013256A">
        <w:trPr>
          <w:trHeight w:val="340"/>
        </w:trPr>
        <w:tc>
          <w:tcPr>
            <w:tcW w:w="7371" w:type="dxa"/>
          </w:tcPr>
          <w:p w:rsidR="002539F1" w:rsidRPr="004C0E7A" w:rsidRDefault="00AD00CB" w:rsidP="001F6942">
            <w:pPr>
              <w:ind w:left="34"/>
              <w:rPr>
                <w:lang w:val="fr-FR"/>
              </w:rPr>
            </w:pPr>
            <w:r w:rsidRPr="004C0E7A">
              <w:rPr>
                <w:lang w:val="fr-FR"/>
              </w:rPr>
              <w:t>Évaluation du portefeuille d</w:t>
            </w:r>
            <w:r w:rsidR="000055C7" w:rsidRPr="004C0E7A">
              <w:rPr>
                <w:lang w:val="fr-FR"/>
              </w:rPr>
              <w:t>’</w:t>
            </w:r>
            <w:r w:rsidRPr="004C0E7A">
              <w:rPr>
                <w:lang w:val="fr-FR"/>
              </w:rPr>
              <w:t>activités dans un pays</w:t>
            </w:r>
            <w:r w:rsidR="00045FD8" w:rsidRPr="004C0E7A">
              <w:rPr>
                <w:lang w:val="fr-FR"/>
              </w:rPr>
              <w:t> </w:t>
            </w:r>
            <w:r w:rsidRPr="004C0E7A">
              <w:rPr>
                <w:lang w:val="fr-FR"/>
              </w:rPr>
              <w:t>: Chili</w:t>
            </w:r>
            <w:r w:rsidR="002539F1" w:rsidRPr="004C0E7A">
              <w:rPr>
                <w:lang w:val="fr-FR"/>
              </w:rPr>
              <w:t xml:space="preserve"> </w:t>
            </w:r>
          </w:p>
        </w:tc>
        <w:tc>
          <w:tcPr>
            <w:tcW w:w="2092" w:type="dxa"/>
            <w:vAlign w:val="center"/>
          </w:tcPr>
          <w:p w:rsidR="002539F1" w:rsidRPr="004C0E7A" w:rsidRDefault="002539F1" w:rsidP="001F6942">
            <w:pPr>
              <w:ind w:left="0" w:hanging="41"/>
              <w:rPr>
                <w:highlight w:val="yellow"/>
                <w:lang w:val="fr-FR"/>
              </w:rPr>
            </w:pPr>
            <w:r w:rsidRPr="004C0E7A">
              <w:rPr>
                <w:lang w:val="fr-FR"/>
              </w:rPr>
              <w:t>EVAL 2014 – 05</w:t>
            </w:r>
          </w:p>
        </w:tc>
      </w:tr>
      <w:tr w:rsidR="002539F1" w:rsidRPr="004C0E7A" w:rsidTr="0013256A">
        <w:trPr>
          <w:trHeight w:val="340"/>
        </w:trPr>
        <w:tc>
          <w:tcPr>
            <w:tcW w:w="7371" w:type="dxa"/>
          </w:tcPr>
          <w:p w:rsidR="002539F1" w:rsidRPr="004C0E7A" w:rsidRDefault="00AD00CB" w:rsidP="001F6942">
            <w:pPr>
              <w:ind w:left="34"/>
              <w:rPr>
                <w:lang w:val="fr-FR"/>
              </w:rPr>
            </w:pPr>
            <w:r w:rsidRPr="004C0E7A">
              <w:rPr>
                <w:lang w:val="fr-FR"/>
              </w:rPr>
              <w:t>Programme de récompenses et de reconnaissance</w:t>
            </w:r>
          </w:p>
        </w:tc>
        <w:tc>
          <w:tcPr>
            <w:tcW w:w="2092" w:type="dxa"/>
            <w:vAlign w:val="center"/>
          </w:tcPr>
          <w:p w:rsidR="002539F1" w:rsidRPr="004C0E7A" w:rsidRDefault="002539F1" w:rsidP="001F6942">
            <w:pPr>
              <w:ind w:left="0" w:hanging="41"/>
              <w:rPr>
                <w:highlight w:val="yellow"/>
                <w:lang w:val="fr-FR"/>
              </w:rPr>
            </w:pPr>
            <w:r w:rsidRPr="004C0E7A">
              <w:rPr>
                <w:lang w:val="fr-FR"/>
              </w:rPr>
              <w:t>EVAL 2014 – 06</w:t>
            </w:r>
          </w:p>
        </w:tc>
      </w:tr>
      <w:tr w:rsidR="002539F1" w:rsidRPr="004C0E7A" w:rsidTr="00674A65">
        <w:trPr>
          <w:trHeight w:val="340"/>
        </w:trPr>
        <w:tc>
          <w:tcPr>
            <w:tcW w:w="9463" w:type="dxa"/>
            <w:gridSpan w:val="2"/>
            <w:shd w:val="clear" w:color="auto" w:fill="auto"/>
            <w:vAlign w:val="center"/>
          </w:tcPr>
          <w:p w:rsidR="002539F1" w:rsidRPr="004C0E7A" w:rsidRDefault="001F6942" w:rsidP="001F6942">
            <w:pPr>
              <w:ind w:left="34"/>
              <w:rPr>
                <w:lang w:val="fr-FR"/>
              </w:rPr>
            </w:pPr>
            <w:r w:rsidRPr="004C0E7A">
              <w:rPr>
                <w:lang w:val="fr-FR"/>
              </w:rPr>
              <w:t>24 </w:t>
            </w:r>
            <w:r w:rsidR="00AD00CB" w:rsidRPr="004C0E7A">
              <w:rPr>
                <w:lang w:val="fr-FR"/>
              </w:rPr>
              <w:t>dossiers d</w:t>
            </w:r>
            <w:r w:rsidR="000055C7" w:rsidRPr="004C0E7A">
              <w:rPr>
                <w:lang w:val="fr-FR"/>
              </w:rPr>
              <w:t>’</w:t>
            </w:r>
            <w:r w:rsidR="00AD00CB" w:rsidRPr="004C0E7A">
              <w:rPr>
                <w:lang w:val="fr-FR"/>
              </w:rPr>
              <w:t>enquête enregistrés</w:t>
            </w:r>
          </w:p>
        </w:tc>
      </w:tr>
      <w:tr w:rsidR="002539F1" w:rsidRPr="006510ED" w:rsidTr="00674A65">
        <w:trPr>
          <w:trHeight w:val="340"/>
        </w:trPr>
        <w:tc>
          <w:tcPr>
            <w:tcW w:w="9463" w:type="dxa"/>
            <w:gridSpan w:val="2"/>
            <w:shd w:val="clear" w:color="auto" w:fill="auto"/>
            <w:vAlign w:val="center"/>
          </w:tcPr>
          <w:p w:rsidR="002539F1" w:rsidRPr="004C0E7A" w:rsidRDefault="0020020F" w:rsidP="001F6942">
            <w:pPr>
              <w:ind w:left="34"/>
              <w:rPr>
                <w:lang w:val="fr-FR"/>
              </w:rPr>
            </w:pPr>
            <w:r w:rsidRPr="004C0E7A">
              <w:rPr>
                <w:lang w:val="fr-FR"/>
              </w:rPr>
              <w:t>18 dossiers d</w:t>
            </w:r>
            <w:r w:rsidR="000055C7" w:rsidRPr="004C0E7A">
              <w:rPr>
                <w:lang w:val="fr-FR"/>
              </w:rPr>
              <w:t>’</w:t>
            </w:r>
            <w:r w:rsidRPr="004C0E7A">
              <w:rPr>
                <w:lang w:val="fr-FR"/>
              </w:rPr>
              <w:t xml:space="preserve">enquête clôturés, représentant au cours de la période considérée </w:t>
            </w:r>
            <w:r w:rsidR="00045FD8" w:rsidRPr="004C0E7A">
              <w:rPr>
                <w:lang w:val="fr-FR"/>
              </w:rPr>
              <w:t>10 </w:t>
            </w:r>
            <w:r w:rsidRPr="004C0E7A">
              <w:rPr>
                <w:lang w:val="fr-FR"/>
              </w:rPr>
              <w:t>rapports d</w:t>
            </w:r>
            <w:r w:rsidR="000055C7" w:rsidRPr="004C0E7A">
              <w:rPr>
                <w:lang w:val="fr-FR"/>
              </w:rPr>
              <w:t>’</w:t>
            </w:r>
            <w:r w:rsidRPr="004C0E7A">
              <w:rPr>
                <w:lang w:val="fr-FR"/>
              </w:rPr>
              <w:t>évaluation prélim</w:t>
            </w:r>
            <w:r w:rsidR="007F0E24" w:rsidRPr="004C0E7A">
              <w:rPr>
                <w:lang w:val="fr-FR"/>
              </w:rPr>
              <w:t>inaire, huit</w:t>
            </w:r>
            <w:r w:rsidR="00045FD8" w:rsidRPr="004C0E7A">
              <w:rPr>
                <w:lang w:val="fr-FR"/>
              </w:rPr>
              <w:t> </w:t>
            </w:r>
            <w:r w:rsidR="007F0E24" w:rsidRPr="004C0E7A">
              <w:rPr>
                <w:lang w:val="fr-FR"/>
              </w:rPr>
              <w:t>rapports d</w:t>
            </w:r>
            <w:r w:rsidR="000055C7" w:rsidRPr="004C0E7A">
              <w:rPr>
                <w:lang w:val="fr-FR"/>
              </w:rPr>
              <w:t>’</w:t>
            </w:r>
            <w:r w:rsidR="007F0E24" w:rsidRPr="004C0E7A">
              <w:rPr>
                <w:lang w:val="fr-FR"/>
              </w:rPr>
              <w:t>enquête</w:t>
            </w:r>
            <w:r w:rsidRPr="004C0E7A">
              <w:rPr>
                <w:lang w:val="fr-FR"/>
              </w:rPr>
              <w:t xml:space="preserve"> et deux</w:t>
            </w:r>
            <w:r w:rsidR="00045FD8" w:rsidRPr="004C0E7A">
              <w:rPr>
                <w:lang w:val="fr-FR"/>
              </w:rPr>
              <w:t> </w:t>
            </w:r>
            <w:r w:rsidRPr="004C0E7A">
              <w:rPr>
                <w:lang w:val="fr-FR"/>
              </w:rPr>
              <w:t xml:space="preserve">rapports sur </w:t>
            </w:r>
            <w:r w:rsidR="00D8296C" w:rsidRPr="004C0E7A">
              <w:rPr>
                <w:lang w:val="fr-FR"/>
              </w:rPr>
              <w:t>la</w:t>
            </w:r>
            <w:r w:rsidRPr="004C0E7A">
              <w:rPr>
                <w:lang w:val="fr-FR"/>
              </w:rPr>
              <w:t xml:space="preserve"> gestion</w:t>
            </w:r>
            <w:r w:rsidR="007F0E24" w:rsidRPr="004C0E7A">
              <w:rPr>
                <w:lang w:val="fr-FR"/>
              </w:rPr>
              <w:t>.</w:t>
            </w:r>
          </w:p>
        </w:tc>
      </w:tr>
    </w:tbl>
    <w:p w:rsidR="007F4F40" w:rsidRPr="004C0E7A" w:rsidRDefault="007F4F40" w:rsidP="001F6942">
      <w:pPr>
        <w:pStyle w:val="Endofdocument-Annex"/>
        <w:rPr>
          <w:lang w:val="fr-FR"/>
        </w:rPr>
      </w:pPr>
    </w:p>
    <w:p w:rsidR="007F4F40" w:rsidRPr="004C0E7A" w:rsidRDefault="007F4F40" w:rsidP="00E32ADE">
      <w:pPr>
        <w:keepLines/>
        <w:ind w:left="5533"/>
        <w:rPr>
          <w:lang w:val="fr-FR"/>
        </w:rPr>
      </w:pPr>
    </w:p>
    <w:p w:rsidR="001F6942" w:rsidRPr="004C0E7A" w:rsidRDefault="001F6942" w:rsidP="00E32ADE">
      <w:pPr>
        <w:keepLines/>
        <w:ind w:left="5533"/>
        <w:rPr>
          <w:lang w:val="fr-FR"/>
        </w:rPr>
      </w:pPr>
    </w:p>
    <w:p w:rsidR="007F4F40" w:rsidRPr="004C0E7A" w:rsidRDefault="0020020F" w:rsidP="0020020F">
      <w:pPr>
        <w:keepLines/>
        <w:ind w:left="5533"/>
        <w:rPr>
          <w:lang w:val="fr-FR"/>
        </w:rPr>
      </w:pPr>
      <w:r w:rsidRPr="004C0E7A">
        <w:rPr>
          <w:lang w:val="fr-FR"/>
        </w:rPr>
        <w:t>[L</w:t>
      </w:r>
      <w:r w:rsidR="000055C7" w:rsidRPr="004C0E7A">
        <w:rPr>
          <w:lang w:val="fr-FR"/>
        </w:rPr>
        <w:t>’</w:t>
      </w:r>
      <w:r w:rsidRPr="004C0E7A">
        <w:rPr>
          <w:lang w:val="fr-FR"/>
        </w:rPr>
        <w:t>annexe</w:t>
      </w:r>
      <w:r w:rsidR="00045FD8" w:rsidRPr="004C0E7A">
        <w:rPr>
          <w:lang w:val="fr-FR"/>
        </w:rPr>
        <w:t> </w:t>
      </w:r>
      <w:r w:rsidRPr="004C0E7A">
        <w:rPr>
          <w:lang w:val="fr-FR"/>
        </w:rPr>
        <w:t>III suit]</w:t>
      </w:r>
    </w:p>
    <w:p w:rsidR="00E32ADE" w:rsidRPr="004C0E7A" w:rsidRDefault="00E32ADE" w:rsidP="00E32ADE">
      <w:pPr>
        <w:keepLines/>
        <w:spacing w:before="180"/>
        <w:jc w:val="both"/>
        <w:rPr>
          <w:lang w:val="fr-FR"/>
        </w:rPr>
        <w:sectPr w:rsidR="00E32ADE" w:rsidRPr="004C0E7A" w:rsidSect="00654077">
          <w:headerReference w:type="first" r:id="rId27"/>
          <w:footnotePr>
            <w:numRestart w:val="eachPage"/>
          </w:footnotePr>
          <w:endnotePr>
            <w:numFmt w:val="decimal"/>
          </w:endnotePr>
          <w:pgSz w:w="11907" w:h="16840" w:code="9"/>
          <w:pgMar w:top="567" w:right="1134" w:bottom="1418" w:left="1418" w:header="510" w:footer="1021" w:gutter="0"/>
          <w:cols w:space="720"/>
          <w:titlePg/>
          <w:docGrid w:linePitch="299"/>
        </w:sectPr>
      </w:pPr>
    </w:p>
    <w:p w:rsidR="007F4F40" w:rsidRPr="004C0E7A" w:rsidRDefault="0020020F" w:rsidP="002C7BD2">
      <w:pPr>
        <w:jc w:val="center"/>
        <w:rPr>
          <w:b/>
          <w:bCs/>
          <w:lang w:val="fr-FR"/>
        </w:rPr>
      </w:pPr>
      <w:r w:rsidRPr="004C0E7A">
        <w:rPr>
          <w:b/>
          <w:bCs/>
          <w:lang w:val="fr-FR"/>
        </w:rPr>
        <w:lastRenderedPageBreak/>
        <w:t xml:space="preserve">LISTE DES ACTIVITÉS DE CONSULTATION ET DE CONSEIL </w:t>
      </w:r>
      <w:r w:rsidR="0024427E">
        <w:rPr>
          <w:b/>
          <w:bCs/>
          <w:lang w:val="fr-FR"/>
        </w:rPr>
        <w:br/>
      </w:r>
      <w:r w:rsidRPr="004C0E7A">
        <w:rPr>
          <w:b/>
          <w:bCs/>
          <w:lang w:val="fr-FR"/>
        </w:rPr>
        <w:t>MEN</w:t>
      </w:r>
      <w:r w:rsidR="002B3C52" w:rsidRPr="004C0E7A">
        <w:rPr>
          <w:b/>
          <w:bCs/>
          <w:lang w:val="fr-FR"/>
        </w:rPr>
        <w:t>ÉES PAR LA</w:t>
      </w:r>
      <w:r w:rsidRPr="004C0E7A">
        <w:rPr>
          <w:b/>
          <w:bCs/>
          <w:lang w:val="fr-FR"/>
        </w:rPr>
        <w:t xml:space="preserve"> DSI</w:t>
      </w:r>
    </w:p>
    <w:p w:rsidR="007F4F40" w:rsidRPr="004C0E7A" w:rsidRDefault="007F4F40" w:rsidP="0024427E">
      <w:pPr>
        <w:rPr>
          <w:b/>
          <w:bCs/>
          <w:lang w:val="fr-FR"/>
        </w:rPr>
      </w:pPr>
    </w:p>
    <w:p w:rsidR="007F4F40" w:rsidRPr="004C0E7A" w:rsidRDefault="007F4F40" w:rsidP="002C7BD2">
      <w:pPr>
        <w:tabs>
          <w:tab w:val="left" w:pos="1134"/>
        </w:tabs>
        <w:spacing w:line="360" w:lineRule="auto"/>
        <w:rPr>
          <w:lang w:val="fr-FR"/>
        </w:rPr>
      </w:pPr>
    </w:p>
    <w:p w:rsidR="007F4F40" w:rsidRPr="004C0E7A" w:rsidRDefault="0020020F" w:rsidP="001F6942">
      <w:pPr>
        <w:numPr>
          <w:ilvl w:val="0"/>
          <w:numId w:val="12"/>
        </w:numPr>
        <w:tabs>
          <w:tab w:val="left" w:pos="1134"/>
        </w:tabs>
        <w:spacing w:line="360" w:lineRule="auto"/>
        <w:ind w:left="1134" w:hanging="567"/>
        <w:rPr>
          <w:lang w:val="fr-FR"/>
        </w:rPr>
      </w:pPr>
      <w:r w:rsidRPr="004C0E7A">
        <w:rPr>
          <w:lang w:val="fr-FR"/>
        </w:rPr>
        <w:t>Règlement financier</w:t>
      </w:r>
    </w:p>
    <w:p w:rsidR="007F4F40" w:rsidRPr="004C0E7A" w:rsidRDefault="0020020F" w:rsidP="001F6942">
      <w:pPr>
        <w:numPr>
          <w:ilvl w:val="0"/>
          <w:numId w:val="12"/>
        </w:numPr>
        <w:tabs>
          <w:tab w:val="left" w:pos="1134"/>
        </w:tabs>
        <w:spacing w:line="360" w:lineRule="auto"/>
        <w:ind w:left="1134" w:hanging="567"/>
        <w:rPr>
          <w:lang w:val="fr-FR"/>
        </w:rPr>
      </w:pPr>
      <w:r w:rsidRPr="004C0E7A">
        <w:rPr>
          <w:lang w:val="fr-FR"/>
        </w:rPr>
        <w:t>Clause de vérification dans les contrats de l</w:t>
      </w:r>
      <w:r w:rsidR="000055C7" w:rsidRPr="004C0E7A">
        <w:rPr>
          <w:lang w:val="fr-FR"/>
        </w:rPr>
        <w:t>’</w:t>
      </w:r>
      <w:r w:rsidRPr="004C0E7A">
        <w:rPr>
          <w:lang w:val="fr-FR"/>
        </w:rPr>
        <w:t>OMPI</w:t>
      </w:r>
    </w:p>
    <w:p w:rsidR="007F4F40" w:rsidRPr="004C0E7A" w:rsidRDefault="0020020F" w:rsidP="001F6942">
      <w:pPr>
        <w:numPr>
          <w:ilvl w:val="0"/>
          <w:numId w:val="12"/>
        </w:numPr>
        <w:tabs>
          <w:tab w:val="left" w:pos="1134"/>
        </w:tabs>
        <w:spacing w:line="360" w:lineRule="auto"/>
        <w:ind w:left="1134" w:hanging="567"/>
        <w:rPr>
          <w:lang w:val="fr-FR"/>
        </w:rPr>
      </w:pPr>
      <w:r w:rsidRPr="004C0E7A">
        <w:rPr>
          <w:lang w:val="fr-FR"/>
        </w:rPr>
        <w:t>Comité de contrôle des biens</w:t>
      </w:r>
    </w:p>
    <w:p w:rsidR="007F4F40" w:rsidRPr="004C0E7A" w:rsidRDefault="002B3C52" w:rsidP="001F6942">
      <w:pPr>
        <w:numPr>
          <w:ilvl w:val="0"/>
          <w:numId w:val="12"/>
        </w:numPr>
        <w:tabs>
          <w:tab w:val="left" w:pos="1134"/>
        </w:tabs>
        <w:spacing w:line="360" w:lineRule="auto"/>
        <w:ind w:left="1134" w:hanging="567"/>
        <w:rPr>
          <w:lang w:val="fr-FR"/>
        </w:rPr>
      </w:pPr>
      <w:r w:rsidRPr="004C0E7A">
        <w:rPr>
          <w:lang w:val="fr-FR"/>
        </w:rPr>
        <w:t>Formation du prestataire à la gestion des risques</w:t>
      </w:r>
    </w:p>
    <w:p w:rsidR="007F4F40" w:rsidRPr="004C0E7A" w:rsidRDefault="0020020F" w:rsidP="001F6942">
      <w:pPr>
        <w:numPr>
          <w:ilvl w:val="0"/>
          <w:numId w:val="12"/>
        </w:numPr>
        <w:tabs>
          <w:tab w:val="left" w:pos="1134"/>
        </w:tabs>
        <w:spacing w:line="360" w:lineRule="auto"/>
        <w:ind w:left="1134" w:hanging="567"/>
        <w:rPr>
          <w:lang w:val="fr-FR"/>
        </w:rPr>
      </w:pPr>
      <w:r w:rsidRPr="004C0E7A">
        <w:rPr>
          <w:lang w:val="fr-FR"/>
        </w:rPr>
        <w:t>Manuel de la gestion des risques et du contrôle interne</w:t>
      </w:r>
    </w:p>
    <w:p w:rsidR="007F4F40" w:rsidRPr="004C0E7A" w:rsidRDefault="0020020F" w:rsidP="001F6942">
      <w:pPr>
        <w:numPr>
          <w:ilvl w:val="0"/>
          <w:numId w:val="12"/>
        </w:numPr>
        <w:tabs>
          <w:tab w:val="left" w:pos="1134"/>
        </w:tabs>
        <w:spacing w:line="360" w:lineRule="auto"/>
        <w:ind w:left="1134" w:hanging="567"/>
        <w:rPr>
          <w:lang w:val="fr-FR"/>
        </w:rPr>
      </w:pPr>
      <w:r w:rsidRPr="004C0E7A">
        <w:rPr>
          <w:lang w:val="fr-FR"/>
        </w:rPr>
        <w:t>Politique en matière d</w:t>
      </w:r>
      <w:r w:rsidR="000055C7" w:rsidRPr="004C0E7A">
        <w:rPr>
          <w:lang w:val="fr-FR"/>
        </w:rPr>
        <w:t>’</w:t>
      </w:r>
      <w:r w:rsidRPr="004C0E7A">
        <w:rPr>
          <w:lang w:val="fr-FR"/>
        </w:rPr>
        <w:t>archivage des messages électroniques</w:t>
      </w:r>
    </w:p>
    <w:p w:rsidR="007F4F40" w:rsidRPr="004C0E7A" w:rsidRDefault="0020020F" w:rsidP="001F6942">
      <w:pPr>
        <w:numPr>
          <w:ilvl w:val="0"/>
          <w:numId w:val="12"/>
        </w:numPr>
        <w:tabs>
          <w:tab w:val="left" w:pos="1134"/>
        </w:tabs>
        <w:spacing w:line="360" w:lineRule="auto"/>
        <w:ind w:left="1134" w:hanging="567"/>
        <w:rPr>
          <w:lang w:val="fr-FR"/>
        </w:rPr>
      </w:pPr>
      <w:r w:rsidRPr="004C0E7A">
        <w:rPr>
          <w:lang w:val="fr-FR"/>
        </w:rPr>
        <w:t>Gestion des exceptions</w:t>
      </w:r>
    </w:p>
    <w:p w:rsidR="000055C7" w:rsidRPr="004C0E7A" w:rsidRDefault="0020020F" w:rsidP="001F6942">
      <w:pPr>
        <w:numPr>
          <w:ilvl w:val="0"/>
          <w:numId w:val="12"/>
        </w:numPr>
        <w:tabs>
          <w:tab w:val="left" w:pos="1134"/>
        </w:tabs>
        <w:spacing w:line="360" w:lineRule="auto"/>
        <w:ind w:left="1134" w:hanging="567"/>
        <w:rPr>
          <w:lang w:val="fr-FR"/>
        </w:rPr>
      </w:pPr>
      <w:r w:rsidRPr="004C0E7A">
        <w:rPr>
          <w:lang w:val="fr-FR"/>
        </w:rPr>
        <w:t>Enquête sur le vote électronique</w:t>
      </w:r>
    </w:p>
    <w:p w:rsidR="007F4F40" w:rsidRPr="004C0E7A" w:rsidRDefault="0020020F" w:rsidP="001F6942">
      <w:pPr>
        <w:numPr>
          <w:ilvl w:val="0"/>
          <w:numId w:val="12"/>
        </w:numPr>
        <w:tabs>
          <w:tab w:val="left" w:pos="1134"/>
        </w:tabs>
        <w:spacing w:line="360" w:lineRule="auto"/>
        <w:ind w:left="1134" w:hanging="567"/>
        <w:rPr>
          <w:lang w:val="fr-FR"/>
        </w:rPr>
      </w:pPr>
      <w:r w:rsidRPr="004C0E7A">
        <w:rPr>
          <w:lang w:val="fr-FR"/>
        </w:rPr>
        <w:t>Politique relative à la messagerie et aux fichiers électroniques après le départ d</w:t>
      </w:r>
      <w:r w:rsidR="000055C7" w:rsidRPr="004C0E7A">
        <w:rPr>
          <w:lang w:val="fr-FR"/>
        </w:rPr>
        <w:t>’</w:t>
      </w:r>
      <w:r w:rsidRPr="004C0E7A">
        <w:rPr>
          <w:lang w:val="fr-FR"/>
        </w:rPr>
        <w:t>un fonctionnaire</w:t>
      </w:r>
    </w:p>
    <w:p w:rsidR="007F4F40" w:rsidRPr="004C0E7A" w:rsidRDefault="0020020F" w:rsidP="001F6942">
      <w:pPr>
        <w:numPr>
          <w:ilvl w:val="0"/>
          <w:numId w:val="12"/>
        </w:numPr>
        <w:tabs>
          <w:tab w:val="left" w:pos="1134"/>
        </w:tabs>
        <w:spacing w:line="360" w:lineRule="auto"/>
        <w:ind w:left="1134" w:hanging="567"/>
        <w:rPr>
          <w:lang w:val="fr-FR"/>
        </w:rPr>
      </w:pPr>
      <w:r w:rsidRPr="004C0E7A">
        <w:rPr>
          <w:lang w:val="fr-FR"/>
        </w:rPr>
        <w:t>Lignes directrices concernant les espèces détenues par les bureaux extérieurs</w:t>
      </w:r>
    </w:p>
    <w:p w:rsidR="007F4F40" w:rsidRPr="004C0E7A" w:rsidRDefault="00E97E8B" w:rsidP="001F6942">
      <w:pPr>
        <w:numPr>
          <w:ilvl w:val="0"/>
          <w:numId w:val="12"/>
        </w:numPr>
        <w:tabs>
          <w:tab w:val="left" w:pos="1134"/>
        </w:tabs>
        <w:spacing w:line="360" w:lineRule="auto"/>
        <w:ind w:left="1134" w:hanging="567"/>
        <w:rPr>
          <w:lang w:val="fr-FR"/>
        </w:rPr>
      </w:pPr>
      <w:r w:rsidRPr="004C0E7A">
        <w:rPr>
          <w:lang w:val="fr-FR"/>
        </w:rPr>
        <w:t>Cadre d</w:t>
      </w:r>
      <w:r w:rsidR="000055C7" w:rsidRPr="004C0E7A">
        <w:rPr>
          <w:lang w:val="fr-FR"/>
        </w:rPr>
        <w:t>’</w:t>
      </w:r>
      <w:r w:rsidRPr="004C0E7A">
        <w:rPr>
          <w:lang w:val="fr-FR"/>
        </w:rPr>
        <w:t>exécution de la Division de l</w:t>
      </w:r>
      <w:r w:rsidR="000055C7" w:rsidRPr="004C0E7A">
        <w:rPr>
          <w:lang w:val="fr-FR"/>
        </w:rPr>
        <w:t>’</w:t>
      </w:r>
      <w:r w:rsidRPr="004C0E7A">
        <w:rPr>
          <w:lang w:val="fr-FR"/>
        </w:rPr>
        <w:t>économie et des statistiques</w:t>
      </w:r>
    </w:p>
    <w:p w:rsidR="000055C7" w:rsidRPr="004C0E7A" w:rsidRDefault="0020020F" w:rsidP="001F6942">
      <w:pPr>
        <w:numPr>
          <w:ilvl w:val="0"/>
          <w:numId w:val="12"/>
        </w:numPr>
        <w:tabs>
          <w:tab w:val="left" w:pos="1134"/>
        </w:tabs>
        <w:spacing w:line="360" w:lineRule="auto"/>
        <w:ind w:left="1134" w:hanging="567"/>
        <w:rPr>
          <w:lang w:val="fr-FR"/>
        </w:rPr>
      </w:pPr>
      <w:r w:rsidRPr="004C0E7A">
        <w:rPr>
          <w:lang w:val="fr-FR"/>
        </w:rPr>
        <w:t>Coopération entre</w:t>
      </w:r>
      <w:r w:rsidR="000055C7" w:rsidRPr="004C0E7A">
        <w:rPr>
          <w:lang w:val="fr-FR"/>
        </w:rPr>
        <w:t xml:space="preserve"> la DSI</w:t>
      </w:r>
      <w:r w:rsidRPr="004C0E7A">
        <w:rPr>
          <w:lang w:val="fr-FR"/>
        </w:rPr>
        <w:t xml:space="preserve"> et le Service de la coordination de la sûreté et de la sécurité</w:t>
      </w:r>
    </w:p>
    <w:p w:rsidR="007F4F40" w:rsidRPr="004C0E7A" w:rsidRDefault="00B16304" w:rsidP="001F6942">
      <w:pPr>
        <w:numPr>
          <w:ilvl w:val="0"/>
          <w:numId w:val="12"/>
        </w:numPr>
        <w:tabs>
          <w:tab w:val="left" w:pos="1134"/>
        </w:tabs>
        <w:spacing w:line="360" w:lineRule="auto"/>
        <w:ind w:left="1134" w:hanging="567"/>
        <w:rPr>
          <w:lang w:val="fr-FR"/>
        </w:rPr>
      </w:pPr>
      <w:r w:rsidRPr="004C0E7A">
        <w:rPr>
          <w:lang w:val="fr-FR"/>
        </w:rPr>
        <w:t>Normes de conduite dans les relations avec les vendeurs et fournisseurs</w:t>
      </w:r>
    </w:p>
    <w:p w:rsidR="000055C7" w:rsidRPr="004C0E7A" w:rsidRDefault="00B16304" w:rsidP="001F6942">
      <w:pPr>
        <w:numPr>
          <w:ilvl w:val="0"/>
          <w:numId w:val="12"/>
        </w:numPr>
        <w:tabs>
          <w:tab w:val="left" w:pos="1134"/>
        </w:tabs>
        <w:spacing w:line="360" w:lineRule="auto"/>
        <w:ind w:left="1134" w:hanging="567"/>
        <w:rPr>
          <w:lang w:val="fr-FR"/>
        </w:rPr>
      </w:pPr>
      <w:r w:rsidRPr="004C0E7A">
        <w:rPr>
          <w:lang w:val="fr-FR"/>
        </w:rPr>
        <w:t>Régime de sanctions applicable aux</w:t>
      </w:r>
      <w:r w:rsidRPr="004C0E7A">
        <w:rPr>
          <w:b/>
          <w:lang w:val="fr-FR"/>
        </w:rPr>
        <w:t xml:space="preserve"> </w:t>
      </w:r>
      <w:r w:rsidRPr="004C0E7A">
        <w:rPr>
          <w:lang w:val="fr-FR"/>
        </w:rPr>
        <w:t>fournisseurs de l</w:t>
      </w:r>
      <w:r w:rsidR="000055C7" w:rsidRPr="004C0E7A">
        <w:rPr>
          <w:lang w:val="fr-FR"/>
        </w:rPr>
        <w:t>’</w:t>
      </w:r>
      <w:r w:rsidRPr="004C0E7A">
        <w:rPr>
          <w:lang w:val="fr-FR"/>
        </w:rPr>
        <w:t>OMPI</w:t>
      </w:r>
    </w:p>
    <w:p w:rsidR="000055C7" w:rsidRPr="004C0E7A" w:rsidRDefault="00FE3A3B" w:rsidP="001F6942">
      <w:pPr>
        <w:numPr>
          <w:ilvl w:val="0"/>
          <w:numId w:val="12"/>
        </w:numPr>
        <w:tabs>
          <w:tab w:val="left" w:pos="1134"/>
        </w:tabs>
        <w:spacing w:line="360" w:lineRule="auto"/>
        <w:ind w:left="1134" w:hanging="567"/>
        <w:rPr>
          <w:lang w:val="fr-FR"/>
        </w:rPr>
      </w:pPr>
      <w:r w:rsidRPr="004C0E7A">
        <w:rPr>
          <w:lang w:val="fr-FR"/>
        </w:rPr>
        <w:t>É</w:t>
      </w:r>
      <w:r w:rsidR="00B16304" w:rsidRPr="004C0E7A">
        <w:rPr>
          <w:lang w:val="fr-FR"/>
        </w:rPr>
        <w:t>valuation du projet relatif aux technologies appropriées (FIT/</w:t>
      </w:r>
      <w:proofErr w:type="spellStart"/>
      <w:r w:rsidR="00B16304" w:rsidRPr="004C0E7A">
        <w:rPr>
          <w:lang w:val="fr-FR"/>
        </w:rPr>
        <w:t>RoK</w:t>
      </w:r>
      <w:proofErr w:type="spellEnd"/>
      <w:r w:rsidR="00B16304" w:rsidRPr="004C0E7A">
        <w:rPr>
          <w:lang w:val="fr-FR"/>
        </w:rPr>
        <w:t>)</w:t>
      </w:r>
    </w:p>
    <w:p w:rsidR="007F4F40" w:rsidRPr="004C0E7A" w:rsidRDefault="00B16304" w:rsidP="001F6942">
      <w:pPr>
        <w:numPr>
          <w:ilvl w:val="0"/>
          <w:numId w:val="12"/>
        </w:numPr>
        <w:tabs>
          <w:tab w:val="left" w:pos="1134"/>
        </w:tabs>
        <w:spacing w:line="360" w:lineRule="auto"/>
        <w:ind w:left="1134" w:hanging="567"/>
        <w:rPr>
          <w:lang w:val="fr-FR"/>
        </w:rPr>
      </w:pPr>
      <w:r w:rsidRPr="004C0E7A">
        <w:rPr>
          <w:lang w:val="fr-FR"/>
        </w:rPr>
        <w:t>Assistance concernant les principaux indicateurs d</w:t>
      </w:r>
      <w:r w:rsidR="000055C7" w:rsidRPr="004C0E7A">
        <w:rPr>
          <w:lang w:val="fr-FR"/>
        </w:rPr>
        <w:t>’</w:t>
      </w:r>
      <w:r w:rsidRPr="004C0E7A">
        <w:rPr>
          <w:lang w:val="fr-FR"/>
        </w:rPr>
        <w:t>exécution du Département des finances et de la planification des programmes</w:t>
      </w:r>
    </w:p>
    <w:p w:rsidR="007F4F40" w:rsidRPr="004C0E7A" w:rsidRDefault="00B16304" w:rsidP="001F6942">
      <w:pPr>
        <w:numPr>
          <w:ilvl w:val="0"/>
          <w:numId w:val="12"/>
        </w:numPr>
        <w:tabs>
          <w:tab w:val="left" w:pos="1134"/>
        </w:tabs>
        <w:spacing w:line="360" w:lineRule="auto"/>
        <w:ind w:left="1134" w:hanging="567"/>
        <w:rPr>
          <w:lang w:val="fr-FR"/>
        </w:rPr>
      </w:pPr>
      <w:r w:rsidRPr="004C0E7A">
        <w:rPr>
          <w:lang w:val="fr-FR"/>
        </w:rPr>
        <w:t>Comité des placements</w:t>
      </w:r>
    </w:p>
    <w:p w:rsidR="007F4F40" w:rsidRPr="004C0E7A" w:rsidRDefault="00B16304" w:rsidP="001F6942">
      <w:pPr>
        <w:numPr>
          <w:ilvl w:val="0"/>
          <w:numId w:val="12"/>
        </w:numPr>
        <w:tabs>
          <w:tab w:val="left" w:pos="1134"/>
        </w:tabs>
        <w:spacing w:line="360" w:lineRule="auto"/>
        <w:ind w:left="1134" w:hanging="567"/>
        <w:rPr>
          <w:lang w:val="fr-FR"/>
        </w:rPr>
      </w:pPr>
      <w:r w:rsidRPr="004C0E7A">
        <w:rPr>
          <w:lang w:val="fr-FR"/>
        </w:rPr>
        <w:t>Initiative de l</w:t>
      </w:r>
      <w:r w:rsidR="000055C7" w:rsidRPr="004C0E7A">
        <w:rPr>
          <w:lang w:val="fr-FR"/>
        </w:rPr>
        <w:t>’</w:t>
      </w:r>
      <w:r w:rsidRPr="004C0E7A">
        <w:rPr>
          <w:lang w:val="fr-FR"/>
        </w:rPr>
        <w:t>ONU en matière de transparence et de responsabilité</w:t>
      </w:r>
    </w:p>
    <w:p w:rsidR="007F4F40" w:rsidRPr="004C0E7A" w:rsidRDefault="007F4F40" w:rsidP="002C7BD2">
      <w:pPr>
        <w:pStyle w:val="Endofdocument-Annex"/>
        <w:rPr>
          <w:lang w:val="fr-FR"/>
        </w:rPr>
      </w:pPr>
    </w:p>
    <w:p w:rsidR="007F4F40" w:rsidRPr="004C0E7A" w:rsidRDefault="007F4F40" w:rsidP="002C7BD2">
      <w:pPr>
        <w:pStyle w:val="Endofdocument-Annex"/>
        <w:rPr>
          <w:lang w:val="fr-FR"/>
        </w:rPr>
      </w:pPr>
    </w:p>
    <w:p w:rsidR="007F4F40" w:rsidRPr="004C0E7A" w:rsidRDefault="00B16304" w:rsidP="002C7BD2">
      <w:pPr>
        <w:pStyle w:val="Endofdocument-Annex"/>
        <w:rPr>
          <w:lang w:val="fr-FR"/>
        </w:rPr>
      </w:pPr>
      <w:r w:rsidRPr="004C0E7A">
        <w:rPr>
          <w:lang w:val="fr-FR"/>
        </w:rPr>
        <w:t>[Fin de l</w:t>
      </w:r>
      <w:r w:rsidR="000055C7" w:rsidRPr="004C0E7A">
        <w:rPr>
          <w:lang w:val="fr-FR"/>
        </w:rPr>
        <w:t>’</w:t>
      </w:r>
      <w:r w:rsidRPr="004C0E7A">
        <w:rPr>
          <w:lang w:val="fr-FR"/>
        </w:rPr>
        <w:t>annexe</w:t>
      </w:r>
      <w:r w:rsidR="00045FD8" w:rsidRPr="004C0E7A">
        <w:rPr>
          <w:lang w:val="fr-FR"/>
        </w:rPr>
        <w:t> </w:t>
      </w:r>
      <w:r w:rsidRPr="004C0E7A">
        <w:rPr>
          <w:lang w:val="fr-FR"/>
        </w:rPr>
        <w:t>III et du document]</w:t>
      </w:r>
    </w:p>
    <w:p w:rsidR="007F4F40" w:rsidRPr="004C0E7A" w:rsidRDefault="007F4F40" w:rsidP="001F6942">
      <w:pPr>
        <w:spacing w:before="240"/>
        <w:ind w:firstLine="3"/>
        <w:rPr>
          <w:szCs w:val="22"/>
          <w:lang w:val="fr-FR"/>
        </w:rPr>
      </w:pPr>
    </w:p>
    <w:sectPr w:rsidR="007F4F40" w:rsidRPr="004C0E7A" w:rsidSect="00654077">
      <w:headerReference w:type="first" r:id="rId28"/>
      <w:endnotePr>
        <w:numFmt w:val="decimal"/>
      </w:endnotePr>
      <w:pgSz w:w="11907" w:h="16840" w:code="9"/>
      <w:pgMar w:top="567" w:right="1134" w:bottom="1418" w:left="1418" w:header="510" w:footer="1021" w:gutter="0"/>
      <w:cols w:space="720"/>
      <w:titlePg/>
      <w:docGrid w:linePitch="299"/>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5D58591" w15:done="0"/>
  <w15:commentEx w15:paraId="1925C2AF" w15:done="0"/>
  <w15:commentEx w15:paraId="4E0A76A3" w15:done="0"/>
  <w15:commentEx w15:paraId="301CD981" w15:done="0"/>
  <w15:commentEx w15:paraId="601446A5" w15:done="0"/>
  <w15:commentEx w15:paraId="268FB05B" w15:done="0"/>
  <w15:commentEx w15:paraId="3C81A3FF"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7842" w:rsidRDefault="00077842">
      <w:r>
        <w:separator/>
      </w:r>
    </w:p>
  </w:endnote>
  <w:endnote w:type="continuationSeparator" w:id="0">
    <w:p w:rsidR="00077842" w:rsidRDefault="00077842" w:rsidP="003B38C1">
      <w:r>
        <w:separator/>
      </w:r>
    </w:p>
    <w:p w:rsidR="00077842" w:rsidRPr="003B38C1" w:rsidRDefault="00077842" w:rsidP="003B38C1">
      <w:pPr>
        <w:spacing w:after="60"/>
        <w:rPr>
          <w:sz w:val="17"/>
        </w:rPr>
      </w:pPr>
      <w:r>
        <w:rPr>
          <w:sz w:val="17"/>
        </w:rPr>
        <w:t>[Endnote continued from previous page]</w:t>
      </w:r>
    </w:p>
  </w:endnote>
  <w:endnote w:type="continuationNotice" w:id="1">
    <w:p w:rsidR="00077842" w:rsidRPr="003B38C1" w:rsidRDefault="00077842"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Simplified Arabic">
    <w:panose1 w:val="02020603050405020304"/>
    <w:charset w:val="00"/>
    <w:family w:val="roman"/>
    <w:pitch w:val="variable"/>
    <w:sig w:usb0="00002003" w:usb1="00000000" w:usb2="00000000" w:usb3="00000000" w:csb0="0000004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7842" w:rsidRPr="00077661" w:rsidRDefault="00077842" w:rsidP="0007766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7842" w:rsidRPr="00161964" w:rsidRDefault="00077842" w:rsidP="0016196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7842" w:rsidRDefault="00077842">
      <w:r>
        <w:separator/>
      </w:r>
    </w:p>
  </w:footnote>
  <w:footnote w:type="continuationSeparator" w:id="0">
    <w:p w:rsidR="00077842" w:rsidRDefault="00077842" w:rsidP="008B60B2">
      <w:r>
        <w:separator/>
      </w:r>
    </w:p>
    <w:p w:rsidR="00077842" w:rsidRPr="00ED77FB" w:rsidRDefault="00077842" w:rsidP="008B60B2">
      <w:pPr>
        <w:spacing w:after="60"/>
        <w:rPr>
          <w:sz w:val="17"/>
          <w:szCs w:val="17"/>
        </w:rPr>
      </w:pPr>
      <w:r w:rsidRPr="00ED77FB">
        <w:rPr>
          <w:sz w:val="17"/>
          <w:szCs w:val="17"/>
        </w:rPr>
        <w:t>[Footnote continued from previous page]</w:t>
      </w:r>
    </w:p>
  </w:footnote>
  <w:footnote w:type="continuationNotice" w:id="1">
    <w:p w:rsidR="00077842" w:rsidRPr="00ED77FB" w:rsidRDefault="00077842" w:rsidP="008B60B2">
      <w:pPr>
        <w:spacing w:before="60"/>
        <w:jc w:val="right"/>
        <w:rPr>
          <w:sz w:val="17"/>
          <w:szCs w:val="17"/>
        </w:rPr>
      </w:pPr>
      <w:r w:rsidRPr="00ED77FB">
        <w:rPr>
          <w:sz w:val="17"/>
          <w:szCs w:val="17"/>
        </w:rPr>
        <w:t>[Footnote continued on next page]</w:t>
      </w:r>
    </w:p>
  </w:footnote>
  <w:footnote w:id="2">
    <w:p w:rsidR="00077842" w:rsidRPr="004C0E7A" w:rsidRDefault="00077842" w:rsidP="002C7BD2">
      <w:pPr>
        <w:pStyle w:val="FootnoteText"/>
        <w:tabs>
          <w:tab w:val="left" w:pos="567"/>
        </w:tabs>
        <w:rPr>
          <w:lang w:val="fr-CH"/>
        </w:rPr>
      </w:pPr>
      <w:r w:rsidRPr="004C0E7A">
        <w:rPr>
          <w:rStyle w:val="FootnoteReference"/>
        </w:rPr>
        <w:footnoteRef/>
      </w:r>
      <w:r w:rsidRPr="004C0E7A">
        <w:rPr>
          <w:lang w:val="fr-CH"/>
        </w:rPr>
        <w:t xml:space="preserve"> </w:t>
      </w:r>
      <w:r w:rsidRPr="004C0E7A">
        <w:rPr>
          <w:lang w:val="fr-CH"/>
        </w:rPr>
        <w:tab/>
        <w:t>Voir les paragraphes 38 et 39 de la Charte de la supervision interne.</w:t>
      </w:r>
    </w:p>
  </w:footnote>
  <w:footnote w:id="3">
    <w:p w:rsidR="00077842" w:rsidRPr="004C0E7A" w:rsidRDefault="00077842" w:rsidP="002C7BD2">
      <w:pPr>
        <w:pStyle w:val="FootnoteText"/>
        <w:tabs>
          <w:tab w:val="left" w:pos="567"/>
        </w:tabs>
        <w:rPr>
          <w:lang w:val="fr-CH"/>
        </w:rPr>
      </w:pPr>
      <w:r w:rsidRPr="004C0E7A">
        <w:rPr>
          <w:rStyle w:val="FootnoteReference"/>
        </w:rPr>
        <w:footnoteRef/>
      </w:r>
      <w:r w:rsidRPr="004C0E7A">
        <w:rPr>
          <w:lang w:val="fr-CH"/>
        </w:rPr>
        <w:t xml:space="preserve"> </w:t>
      </w:r>
      <w:r w:rsidRPr="004C0E7A">
        <w:rPr>
          <w:lang w:val="fr-CH"/>
        </w:rPr>
        <w:tab/>
        <w:t>La liste des rapports figure à l’annexe II.</w:t>
      </w:r>
    </w:p>
  </w:footnote>
  <w:footnote w:id="4">
    <w:p w:rsidR="00077842" w:rsidRPr="004C0E7A" w:rsidRDefault="00077842" w:rsidP="002C7BD2">
      <w:pPr>
        <w:pStyle w:val="FootnoteText"/>
        <w:tabs>
          <w:tab w:val="left" w:pos="567"/>
        </w:tabs>
        <w:rPr>
          <w:lang w:val="fr-CH"/>
        </w:rPr>
      </w:pPr>
      <w:r w:rsidRPr="004C0E7A">
        <w:rPr>
          <w:rStyle w:val="FootnoteReference"/>
        </w:rPr>
        <w:footnoteRef/>
      </w:r>
      <w:r w:rsidRPr="004C0E7A">
        <w:rPr>
          <w:lang w:val="fr-CH"/>
        </w:rPr>
        <w:t xml:space="preserve"> </w:t>
      </w:r>
      <w:r w:rsidRPr="004C0E7A">
        <w:rPr>
          <w:lang w:val="fr-CH"/>
        </w:rPr>
        <w:tab/>
      </w:r>
      <w:proofErr w:type="spellStart"/>
      <w:r w:rsidRPr="004C0E7A">
        <w:rPr>
          <w:lang w:val="fr-CH"/>
        </w:rPr>
        <w:t>TeamCentral</w:t>
      </w:r>
      <w:proofErr w:type="spellEnd"/>
      <w:r w:rsidRPr="004C0E7A">
        <w:rPr>
          <w:lang w:val="fr-CH"/>
        </w:rPr>
        <w:t xml:space="preserve">© est un module de </w:t>
      </w:r>
      <w:proofErr w:type="spellStart"/>
      <w:r w:rsidRPr="004C0E7A">
        <w:rPr>
          <w:lang w:val="fr-CH"/>
        </w:rPr>
        <w:t>TeamMate</w:t>
      </w:r>
      <w:proofErr w:type="spellEnd"/>
      <w:r w:rsidRPr="004C0E7A">
        <w:rPr>
          <w:lang w:val="fr-CH"/>
        </w:rPr>
        <w:t>, un logiciel spécialisé pour les missions d’audit qui comprend divers modules, notamment pour les documents de travail électroniques, le suivi des recommandations, l’évaluation des risques et la planification.</w:t>
      </w:r>
    </w:p>
  </w:footnote>
  <w:footnote w:id="5">
    <w:p w:rsidR="00077842" w:rsidRPr="004C0E7A" w:rsidRDefault="00077842" w:rsidP="002C7BD2">
      <w:pPr>
        <w:pStyle w:val="FootnoteText"/>
        <w:tabs>
          <w:tab w:val="left" w:pos="567"/>
        </w:tabs>
        <w:rPr>
          <w:lang w:val="fr-CH"/>
        </w:rPr>
      </w:pPr>
      <w:r w:rsidRPr="004C0E7A">
        <w:rPr>
          <w:rStyle w:val="FootnoteReference"/>
        </w:rPr>
        <w:footnoteRef/>
      </w:r>
      <w:r w:rsidRPr="004C0E7A">
        <w:rPr>
          <w:lang w:val="fr-CH"/>
        </w:rPr>
        <w:t xml:space="preserve"> </w:t>
      </w:r>
      <w:r w:rsidRPr="004C0E7A">
        <w:rPr>
          <w:lang w:val="fr-CH"/>
        </w:rPr>
        <w:tab/>
        <w:t>Le document du programme et budget pour l’exercice biennal 2014</w:t>
      </w:r>
      <w:r w:rsidRPr="004C0E7A">
        <w:rPr>
          <w:lang w:val="fr-CH"/>
        </w:rPr>
        <w:noBreakHyphen/>
        <w:t>2015, le projet de programme et budget pour l’exercice biennal 2016</w:t>
      </w:r>
      <w:r w:rsidRPr="004C0E7A">
        <w:rPr>
          <w:lang w:val="fr-CH"/>
        </w:rPr>
        <w:noBreakHyphen/>
        <w:t>2017, un mémorandum sur la réforme de l’Académie envoyé par l’ancien directeur exécutif de l’Académie au Directeur général en 2013 et l’ordre de service relatif à la nomination du nouveau directeur exécutif de l’Académie (OI/8/2015).</w:t>
      </w:r>
    </w:p>
  </w:footnote>
  <w:footnote w:id="6">
    <w:p w:rsidR="00077842" w:rsidRPr="004C0E7A" w:rsidRDefault="00077842" w:rsidP="002C7BD2">
      <w:pPr>
        <w:pStyle w:val="FootnoteText"/>
        <w:tabs>
          <w:tab w:val="left" w:pos="567"/>
        </w:tabs>
        <w:rPr>
          <w:lang w:val="fr-CH"/>
        </w:rPr>
      </w:pPr>
      <w:r w:rsidRPr="004C0E7A">
        <w:rPr>
          <w:rStyle w:val="FootnoteReference"/>
        </w:rPr>
        <w:footnoteRef/>
      </w:r>
      <w:r w:rsidRPr="004C0E7A">
        <w:rPr>
          <w:lang w:val="fr-CH"/>
        </w:rPr>
        <w:t xml:space="preserve"> </w:t>
      </w:r>
      <w:r w:rsidRPr="004C0E7A">
        <w:rPr>
          <w:lang w:val="fr-CH"/>
        </w:rPr>
        <w:tab/>
        <w:t>Un fonctionnaire est impliqué dans trois des huit affaires.</w:t>
      </w:r>
    </w:p>
  </w:footnote>
  <w:footnote w:id="7">
    <w:p w:rsidR="00077842" w:rsidRPr="004C0E7A" w:rsidRDefault="00077842" w:rsidP="002C7BD2">
      <w:pPr>
        <w:pStyle w:val="FootnoteText"/>
        <w:tabs>
          <w:tab w:val="left" w:pos="567"/>
        </w:tabs>
        <w:rPr>
          <w:lang w:val="fr-CH"/>
        </w:rPr>
      </w:pPr>
      <w:r w:rsidRPr="004C0E7A">
        <w:rPr>
          <w:rStyle w:val="FootnoteReference"/>
        </w:rPr>
        <w:footnoteRef/>
      </w:r>
      <w:r w:rsidRPr="004C0E7A">
        <w:rPr>
          <w:lang w:val="fr-CH"/>
        </w:rPr>
        <w:t xml:space="preserve"> </w:t>
      </w:r>
      <w:r w:rsidRPr="004C0E7A">
        <w:rPr>
          <w:lang w:val="fr-CH"/>
        </w:rPr>
        <w:tab/>
        <w:t>Paragraphe 36 de la Charte de la supervision interne.</w:t>
      </w:r>
    </w:p>
  </w:footnote>
  <w:footnote w:id="8">
    <w:p w:rsidR="00077842" w:rsidRPr="004C0E7A" w:rsidRDefault="00077842" w:rsidP="002C7BD2">
      <w:pPr>
        <w:pStyle w:val="FootnoteText"/>
        <w:tabs>
          <w:tab w:val="left" w:pos="567"/>
        </w:tabs>
        <w:rPr>
          <w:lang w:val="fr-CH"/>
        </w:rPr>
      </w:pPr>
      <w:r w:rsidRPr="004C0E7A">
        <w:rPr>
          <w:rStyle w:val="FootnoteReference"/>
        </w:rPr>
        <w:footnoteRef/>
      </w:r>
      <w:r w:rsidRPr="004C0E7A">
        <w:rPr>
          <w:lang w:val="fr-CH"/>
        </w:rPr>
        <w:t xml:space="preserve"> </w:t>
      </w:r>
      <w:r w:rsidRPr="004C0E7A">
        <w:rPr>
          <w:lang w:val="fr-CH"/>
        </w:rPr>
        <w:tab/>
        <w:t>Paragraphe 7 de l’ordre de service n° 16/2010.</w:t>
      </w:r>
    </w:p>
  </w:footnote>
  <w:footnote w:id="9">
    <w:p w:rsidR="00077842" w:rsidRPr="004C0E7A" w:rsidRDefault="00077842" w:rsidP="002C7BD2">
      <w:pPr>
        <w:pStyle w:val="FootnoteText"/>
        <w:tabs>
          <w:tab w:val="left" w:pos="567"/>
        </w:tabs>
        <w:rPr>
          <w:lang w:val="fr-CH"/>
        </w:rPr>
      </w:pPr>
      <w:r w:rsidRPr="004C0E7A">
        <w:rPr>
          <w:rStyle w:val="FootnoteReference"/>
        </w:rPr>
        <w:footnoteRef/>
      </w:r>
      <w:r w:rsidRPr="004C0E7A">
        <w:rPr>
          <w:lang w:val="fr-CH"/>
        </w:rPr>
        <w:t xml:space="preserve"> </w:t>
      </w:r>
      <w:r w:rsidRPr="004C0E7A">
        <w:rPr>
          <w:lang w:val="fr-CH"/>
        </w:rPr>
        <w:tab/>
        <w:t>Paragraphe 8 de l’ordre de service n° 16/2010</w:t>
      </w:r>
    </w:p>
  </w:footnote>
  <w:footnote w:id="10">
    <w:p w:rsidR="00077842" w:rsidRPr="004C0E7A" w:rsidRDefault="00077842" w:rsidP="002C7BD2">
      <w:pPr>
        <w:pStyle w:val="FootnoteText"/>
        <w:tabs>
          <w:tab w:val="left" w:pos="567"/>
        </w:tabs>
        <w:rPr>
          <w:lang w:val="fr-CH"/>
        </w:rPr>
      </w:pPr>
      <w:r w:rsidRPr="004C0E7A">
        <w:rPr>
          <w:rStyle w:val="FootnoteReference"/>
        </w:rPr>
        <w:footnoteRef/>
      </w:r>
      <w:r w:rsidRPr="004C0E7A">
        <w:rPr>
          <w:lang w:val="fr-CH"/>
        </w:rPr>
        <w:t xml:space="preserve"> </w:t>
      </w:r>
      <w:r w:rsidRPr="004C0E7A">
        <w:rPr>
          <w:lang w:val="fr-CH"/>
        </w:rPr>
        <w:tab/>
        <w:t>Programme 1 “Droit des brevets”, programme 4 “Savoirs traditionnels, expressions culturelles traditionnelles et ressources génétiques”, programme 5 “Système du PCT”, programme 6 “Systèmes de Madrid et de Lisbonne”, programme 8 “Coordination du Plan d’action pour le développement”, programme 9 “Afrique, pays arabes, Asie et Pacifique, pays d’Amérique latine et des Caraïbes, pays les moins avancés”, programme 11 “Académie de l’OMPI”, programme 14 “Services d’accès à l’information et aux savoirs”, programme 19 “Communications”, programme 20 “Relations extérieures, partenariats et bureaux extérieurs”, programme 21 “Direction générale”, programme 22 “Gestion des programmes et des ressources”, programme 23 “Gestion et mise en valeur des ressources humaines”, programme 24 “Services d’appui généraux”, programme 25 “Technologies de l’information et de la communication”, programme 26 “Supervision interne”, programme 27 “Services de conférence et services linguistiques”, programme 28 “Sûreté et sécurité”, programme 29 “Projets de construction”, programme 31 “Système de La Haye”.</w:t>
      </w:r>
    </w:p>
  </w:footnote>
  <w:footnote w:id="11">
    <w:p w:rsidR="00077842" w:rsidRPr="004C0E7A" w:rsidRDefault="00077842" w:rsidP="002C7BD2">
      <w:pPr>
        <w:pStyle w:val="FootnoteText"/>
        <w:tabs>
          <w:tab w:val="left" w:pos="567"/>
        </w:tabs>
        <w:rPr>
          <w:lang w:val="fr-CH"/>
        </w:rPr>
      </w:pPr>
      <w:r w:rsidRPr="004C0E7A">
        <w:rPr>
          <w:rStyle w:val="FootnoteReference"/>
        </w:rPr>
        <w:footnoteRef/>
      </w:r>
      <w:r w:rsidRPr="004C0E7A">
        <w:rPr>
          <w:lang w:val="fr-CH"/>
        </w:rPr>
        <w:t xml:space="preserve"> </w:t>
      </w:r>
      <w:r w:rsidRPr="004C0E7A">
        <w:rPr>
          <w:lang w:val="fr-CH"/>
        </w:rPr>
        <w:tab/>
        <w:t xml:space="preserve">Voir les documents WO/IAOC/30/2, WO/IAOC/31/2, WO/IAOC/32/2 et WO/IAOC/33/2.  </w:t>
      </w:r>
    </w:p>
  </w:footnote>
  <w:footnote w:id="12">
    <w:p w:rsidR="00077842" w:rsidRPr="004C0E7A" w:rsidRDefault="00077842" w:rsidP="002C7BD2">
      <w:pPr>
        <w:pStyle w:val="FootnoteText"/>
        <w:tabs>
          <w:tab w:val="left" w:pos="567"/>
        </w:tabs>
        <w:rPr>
          <w:lang w:val="fr-CH"/>
        </w:rPr>
      </w:pPr>
      <w:r w:rsidRPr="004C0E7A">
        <w:rPr>
          <w:rStyle w:val="FootnoteReference"/>
        </w:rPr>
        <w:footnoteRef/>
      </w:r>
      <w:r w:rsidRPr="004C0E7A">
        <w:rPr>
          <w:lang w:val="fr-CH"/>
        </w:rPr>
        <w:t xml:space="preserve"> </w:t>
      </w:r>
      <w:r w:rsidRPr="004C0E7A">
        <w:rPr>
          <w:lang w:val="fr-CH"/>
        </w:rPr>
        <w:tab/>
        <w:t>Voir le paragraphe 24.g) de la Charte de la supervision interne.</w:t>
      </w:r>
    </w:p>
  </w:footnote>
  <w:footnote w:id="13">
    <w:p w:rsidR="00077842" w:rsidRPr="004C0E7A" w:rsidRDefault="00077842" w:rsidP="002C7BD2">
      <w:pPr>
        <w:pStyle w:val="FootnoteText"/>
        <w:tabs>
          <w:tab w:val="left" w:pos="567"/>
        </w:tabs>
        <w:rPr>
          <w:lang w:val="fr-CH"/>
        </w:rPr>
      </w:pPr>
      <w:r w:rsidRPr="004C0E7A">
        <w:rPr>
          <w:rStyle w:val="FootnoteReference"/>
        </w:rPr>
        <w:footnoteRef/>
      </w:r>
      <w:r w:rsidRPr="004C0E7A">
        <w:rPr>
          <w:lang w:val="fr-CH"/>
        </w:rPr>
        <w:t xml:space="preserve"> </w:t>
      </w:r>
      <w:r w:rsidRPr="004C0E7A">
        <w:rPr>
          <w:lang w:val="fr-CH"/>
        </w:rPr>
        <w:tab/>
        <w:t>Voir le paragraphe 39.i) de la Charte de la supervision interne.</w:t>
      </w:r>
    </w:p>
  </w:footnote>
  <w:footnote w:id="14">
    <w:p w:rsidR="00077842" w:rsidRPr="004C0E7A" w:rsidRDefault="00077842" w:rsidP="002C7BD2">
      <w:pPr>
        <w:pStyle w:val="FootnoteText"/>
        <w:tabs>
          <w:tab w:val="left" w:pos="567"/>
        </w:tabs>
        <w:rPr>
          <w:lang w:val="fr-CH"/>
        </w:rPr>
      </w:pPr>
      <w:r w:rsidRPr="004C0E7A">
        <w:rPr>
          <w:rStyle w:val="FootnoteReference"/>
        </w:rPr>
        <w:footnoteRef/>
      </w:r>
      <w:r w:rsidRPr="004C0E7A">
        <w:rPr>
          <w:lang w:val="fr-CH"/>
        </w:rPr>
        <w:t xml:space="preserve"> </w:t>
      </w:r>
      <w:r w:rsidRPr="004C0E7A">
        <w:rPr>
          <w:lang w:val="fr-CH"/>
        </w:rPr>
        <w:tab/>
      </w:r>
      <w:r w:rsidR="00537A99">
        <w:rPr>
          <w:lang w:val="fr-CH"/>
        </w:rPr>
        <w:t>Huit</w:t>
      </w:r>
      <w:r w:rsidRPr="004C0E7A">
        <w:rPr>
          <w:lang w:val="fr-CH"/>
        </w:rPr>
        <w:t xml:space="preserve"> postes approuvés et </w:t>
      </w:r>
      <w:r w:rsidR="00537A99">
        <w:rPr>
          <w:lang w:val="fr-CH"/>
        </w:rPr>
        <w:t>trois</w:t>
      </w:r>
      <w:r w:rsidRPr="004C0E7A">
        <w:rPr>
          <w:lang w:val="fr-CH"/>
        </w:rPr>
        <w:t> postes temporaires composent les effectifs actuels de la DSI.</w:t>
      </w:r>
    </w:p>
  </w:footnote>
  <w:footnote w:id="15">
    <w:p w:rsidR="00077842" w:rsidRPr="004C0E7A" w:rsidRDefault="00077842" w:rsidP="002C7BD2">
      <w:pPr>
        <w:pStyle w:val="FootnoteText"/>
        <w:tabs>
          <w:tab w:val="left" w:pos="567"/>
        </w:tabs>
        <w:rPr>
          <w:lang w:val="fr-CH"/>
        </w:rPr>
      </w:pPr>
      <w:r w:rsidRPr="004C0E7A">
        <w:rPr>
          <w:rStyle w:val="FootnoteReference"/>
        </w:rPr>
        <w:footnoteRef/>
      </w:r>
      <w:r w:rsidRPr="004C0E7A">
        <w:rPr>
          <w:lang w:val="fr-CH"/>
        </w:rPr>
        <w:t xml:space="preserve"> </w:t>
      </w:r>
      <w:r w:rsidRPr="004C0E7A">
        <w:rPr>
          <w:lang w:val="fr-CH"/>
        </w:rPr>
        <w:tab/>
        <w:t>- JIU/REP/2006/2 sur les Lacunes des mécanismes de contrôle au sein du système des Nations Unies, qui recommande que, pour les organisations disposant de ressources d’un montant total de 250 millions à 800 millions de dollars É.</w:t>
      </w:r>
      <w:r w:rsidRPr="004C0E7A">
        <w:rPr>
          <w:lang w:val="fr-CH"/>
        </w:rPr>
        <w:noBreakHyphen/>
        <w:t>U., 0,60 à 0,90% de ces ressources soient consacrées à la supervision interne;  – JIU/REP/2010/5 sur la Fonction d’audit dans le système des Nations Unies, qui recommande 6 à 10 vérificateurs des comptes (sans compter les enquêteurs ou les évaluateurs) pour l’OMPI;  et – JIU/REP/2011/7 sur la Fonction d’enquête dans le système des Nations Unies.</w:t>
      </w:r>
    </w:p>
  </w:footnote>
  <w:footnote w:id="16">
    <w:p w:rsidR="00077842" w:rsidRPr="004C0E7A" w:rsidRDefault="00077842" w:rsidP="002C7BD2">
      <w:pPr>
        <w:pStyle w:val="FootnoteText"/>
        <w:tabs>
          <w:tab w:val="left" w:pos="567"/>
        </w:tabs>
        <w:rPr>
          <w:lang w:val="fr-CH"/>
        </w:rPr>
      </w:pPr>
      <w:r w:rsidRPr="004C0E7A">
        <w:rPr>
          <w:rStyle w:val="FootnoteReference"/>
        </w:rPr>
        <w:footnoteRef/>
      </w:r>
      <w:r w:rsidRPr="004C0E7A">
        <w:rPr>
          <w:lang w:val="fr-CH"/>
        </w:rPr>
        <w:t xml:space="preserve"> </w:t>
      </w:r>
      <w:r w:rsidRPr="004C0E7A">
        <w:rPr>
          <w:lang w:val="fr-CH"/>
        </w:rPr>
        <w:tab/>
        <w:t xml:space="preserve">Source : </w:t>
      </w:r>
      <w:r w:rsidR="00537A99" w:rsidRPr="004C0E7A">
        <w:rPr>
          <w:lang w:val="fr-CH"/>
        </w:rPr>
        <w:t xml:space="preserve">chiffres </w:t>
      </w:r>
      <w:r w:rsidR="00537A99" w:rsidRPr="00537A99">
        <w:rPr>
          <w:lang w:val="fr-CH"/>
        </w:rPr>
        <w:t xml:space="preserve">relatifs aux dépenses </w:t>
      </w:r>
      <w:r w:rsidR="00537A99">
        <w:rPr>
          <w:lang w:val="fr-CH"/>
        </w:rPr>
        <w:t>conformément au R</w:t>
      </w:r>
      <w:r w:rsidR="00537A99" w:rsidRPr="00537A99">
        <w:rPr>
          <w:lang w:val="fr-CH"/>
        </w:rPr>
        <w:t xml:space="preserve">apport sur l’exécution du programme </w:t>
      </w:r>
      <w:r w:rsidRPr="004C0E7A">
        <w:rPr>
          <w:lang w:val="fr-CH"/>
        </w:rPr>
        <w:t>2014.  Chiffres en milliers de francs suisses.</w:t>
      </w:r>
    </w:p>
  </w:footnote>
  <w:footnote w:id="17">
    <w:p w:rsidR="00077842" w:rsidRPr="004C0E7A" w:rsidRDefault="00077842" w:rsidP="002C7BD2">
      <w:pPr>
        <w:pStyle w:val="FootnoteText"/>
        <w:tabs>
          <w:tab w:val="left" w:pos="567"/>
        </w:tabs>
        <w:rPr>
          <w:lang w:val="fr-CH"/>
        </w:rPr>
      </w:pPr>
      <w:r w:rsidRPr="004C0E7A">
        <w:rPr>
          <w:rStyle w:val="FootnoteReference"/>
        </w:rPr>
        <w:footnoteRef/>
      </w:r>
      <w:r w:rsidRPr="004C0E7A">
        <w:rPr>
          <w:lang w:val="fr-CH"/>
        </w:rPr>
        <w:t xml:space="preserve"> </w:t>
      </w:r>
      <w:r w:rsidRPr="004C0E7A">
        <w:rPr>
          <w:lang w:val="fr-CH"/>
        </w:rPr>
        <w:tab/>
        <w:t>Évaluation réalisée par des consultants externes, la division faisant l’objet de cette analyse externe.</w:t>
      </w:r>
    </w:p>
  </w:footnote>
  <w:footnote w:id="18">
    <w:p w:rsidR="00077842" w:rsidRPr="004C0E7A" w:rsidRDefault="00077842" w:rsidP="002C7BD2">
      <w:pPr>
        <w:pStyle w:val="FootnoteText"/>
        <w:tabs>
          <w:tab w:val="left" w:pos="567"/>
        </w:tabs>
        <w:rPr>
          <w:lang w:val="fr-CH"/>
        </w:rPr>
      </w:pPr>
      <w:r w:rsidRPr="004C0E7A">
        <w:rPr>
          <w:rStyle w:val="FootnoteReference"/>
        </w:rPr>
        <w:footnoteRef/>
      </w:r>
      <w:r w:rsidRPr="004C0E7A">
        <w:rPr>
          <w:lang w:val="fr-CH"/>
        </w:rPr>
        <w:t xml:space="preserve"> </w:t>
      </w:r>
      <w:r w:rsidRPr="004C0E7A">
        <w:rPr>
          <w:lang w:val="fr-CH"/>
        </w:rPr>
        <w:tab/>
        <w:t>L’appel à propositions visant la recherche d’une assistance externe pour effectuer un audit du cadre de l’OMPI en matière d’éthique n’a pas été fructueux et la DSI a décidé de revoir l’objet de la mission et de lancer un nouvel appel d’offres une fois que le poste vacant de chef du Bureau de la déontologie aura été pourvu.</w:t>
      </w:r>
    </w:p>
  </w:footnote>
  <w:footnote w:id="19">
    <w:p w:rsidR="00077842" w:rsidRPr="004C0E7A" w:rsidRDefault="00077842" w:rsidP="002C7BD2">
      <w:pPr>
        <w:pStyle w:val="FootnoteText"/>
        <w:tabs>
          <w:tab w:val="left" w:pos="567"/>
        </w:tabs>
        <w:rPr>
          <w:lang w:val="fr-CH"/>
        </w:rPr>
      </w:pPr>
      <w:r w:rsidRPr="004C0E7A">
        <w:rPr>
          <w:rStyle w:val="FootnoteReference"/>
        </w:rPr>
        <w:footnoteRef/>
      </w:r>
      <w:r w:rsidRPr="004C0E7A">
        <w:rPr>
          <w:lang w:val="fr-CH"/>
        </w:rPr>
        <w:t xml:space="preserve"> </w:t>
      </w:r>
      <w:r w:rsidRPr="004C0E7A">
        <w:rPr>
          <w:lang w:val="fr-CH"/>
        </w:rPr>
        <w:tab/>
        <w:t>Comme indiqué dans le rapport de synthèse annuel au 30 juin 2014.</w:t>
      </w:r>
    </w:p>
  </w:footnote>
  <w:footnote w:id="20">
    <w:p w:rsidR="00077842" w:rsidRPr="004C0E7A" w:rsidRDefault="00077842" w:rsidP="002C7BD2">
      <w:pPr>
        <w:pStyle w:val="FootnoteText"/>
        <w:tabs>
          <w:tab w:val="left" w:pos="567"/>
        </w:tabs>
        <w:rPr>
          <w:lang w:val="fr-CH"/>
        </w:rPr>
      </w:pPr>
      <w:r w:rsidRPr="004C0E7A">
        <w:rPr>
          <w:rStyle w:val="FootnoteReference"/>
        </w:rPr>
        <w:footnoteRef/>
      </w:r>
      <w:r w:rsidRPr="004C0E7A">
        <w:rPr>
          <w:lang w:val="fr-CH"/>
        </w:rPr>
        <w:t xml:space="preserve"> </w:t>
      </w:r>
      <w:r w:rsidRPr="004C0E7A">
        <w:rPr>
          <w:lang w:val="fr-CH"/>
        </w:rPr>
        <w:tab/>
        <w:t>Au stade du projet de rapport au moment de la diffusion du présent rapport.</w:t>
      </w:r>
    </w:p>
  </w:footnote>
  <w:footnote w:id="21">
    <w:p w:rsidR="00077842" w:rsidRPr="004C0E7A" w:rsidRDefault="00077842" w:rsidP="002C7BD2">
      <w:pPr>
        <w:pStyle w:val="FootnoteText"/>
        <w:tabs>
          <w:tab w:val="left" w:pos="567"/>
        </w:tabs>
        <w:rPr>
          <w:lang w:val="fr-CH"/>
        </w:rPr>
      </w:pPr>
      <w:r w:rsidRPr="004C0E7A">
        <w:rPr>
          <w:rStyle w:val="FootnoteReference"/>
        </w:rPr>
        <w:footnoteRef/>
      </w:r>
      <w:r w:rsidRPr="004C0E7A">
        <w:rPr>
          <w:lang w:val="fr-CH"/>
        </w:rPr>
        <w:t xml:space="preserve"> </w:t>
      </w:r>
      <w:r w:rsidRPr="004C0E7A">
        <w:rPr>
          <w:lang w:val="fr-CH"/>
        </w:rPr>
        <w:tab/>
        <w:t>Projet de rapport diffusé au moment de l’établissement du présent rapport.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7842" w:rsidRDefault="00077842" w:rsidP="00477D6B">
    <w:pPr>
      <w:jc w:val="right"/>
    </w:pPr>
    <w:bookmarkStart w:id="6" w:name="Code2"/>
    <w:bookmarkEnd w:id="6"/>
    <w:r>
      <w:t>WO/GA/46/</w:t>
    </w:r>
  </w:p>
  <w:p w:rsidR="00077842" w:rsidRDefault="00077842" w:rsidP="00477D6B">
    <w:pPr>
      <w:jc w:val="right"/>
    </w:pPr>
    <w:proofErr w:type="gramStart"/>
    <w:r>
      <w:t>page</w:t>
    </w:r>
    <w:proofErr w:type="gramEnd"/>
    <w:r>
      <w:t xml:space="preserve"> </w:t>
    </w:r>
    <w:r>
      <w:fldChar w:fldCharType="begin"/>
    </w:r>
    <w:r>
      <w:instrText xml:space="preserve"> PAGE  \* MERGEFORMAT </w:instrText>
    </w:r>
    <w:r>
      <w:fldChar w:fldCharType="separate"/>
    </w:r>
    <w:r>
      <w:rPr>
        <w:noProof/>
      </w:rPr>
      <w:t>14</w:t>
    </w:r>
    <w:r>
      <w:fldChar w:fldCharType="end"/>
    </w:r>
  </w:p>
  <w:p w:rsidR="00077842" w:rsidRDefault="00077842" w:rsidP="00477D6B">
    <w:pPr>
      <w:jc w:val="right"/>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7842" w:rsidRPr="00524915" w:rsidRDefault="00077842" w:rsidP="001E2D32">
    <w:pPr>
      <w:jc w:val="right"/>
      <w:rPr>
        <w:lang w:val="fr-FR"/>
      </w:rPr>
    </w:pPr>
    <w:r w:rsidRPr="00CA196F">
      <w:rPr>
        <w:lang w:val="fr-FR"/>
      </w:rPr>
      <w:t>WO/PBC/24/6</w:t>
    </w:r>
  </w:p>
  <w:p w:rsidR="00077842" w:rsidRPr="00524915" w:rsidRDefault="00077842" w:rsidP="001E2D32">
    <w:pPr>
      <w:pStyle w:val="Header"/>
      <w:jc w:val="right"/>
      <w:rPr>
        <w:lang w:val="fr-FR"/>
      </w:rPr>
    </w:pPr>
    <w:r>
      <w:rPr>
        <w:lang w:val="fr-FR"/>
      </w:rPr>
      <w:t>ANNEXE III</w:t>
    </w:r>
  </w:p>
  <w:p w:rsidR="00077842" w:rsidRPr="00524915" w:rsidRDefault="00077842" w:rsidP="002C7BD2">
    <w:pPr>
      <w:pStyle w:val="Header"/>
      <w:jc w:val="right"/>
      <w:rPr>
        <w:lang w:val="fr-FR"/>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7842" w:rsidRPr="00077661" w:rsidRDefault="00077842" w:rsidP="0007766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7842" w:rsidRPr="000F14DE" w:rsidRDefault="00077842" w:rsidP="000F14DE">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7842" w:rsidRPr="00F87303" w:rsidRDefault="00077842" w:rsidP="004B6701">
    <w:pPr>
      <w:jc w:val="right"/>
    </w:pPr>
    <w:r w:rsidRPr="00E204EC">
      <w:t>WO/PBC/24/6</w:t>
    </w:r>
  </w:p>
  <w:p w:rsidR="00077842" w:rsidRDefault="00077842" w:rsidP="004B6701">
    <w:pPr>
      <w:pStyle w:val="Header"/>
      <w:jc w:val="right"/>
      <w:rPr>
        <w:noProof/>
      </w:rPr>
    </w:pPr>
    <w:proofErr w:type="gramStart"/>
    <w:r>
      <w:t>page</w:t>
    </w:r>
    <w:proofErr w:type="gramEnd"/>
    <w:r>
      <w:t xml:space="preserve"> </w:t>
    </w:r>
    <w:r>
      <w:fldChar w:fldCharType="begin"/>
    </w:r>
    <w:r>
      <w:instrText xml:space="preserve"> PAGE   \* MERGEFORMAT </w:instrText>
    </w:r>
    <w:r>
      <w:fldChar w:fldCharType="separate"/>
    </w:r>
    <w:r w:rsidR="006510ED">
      <w:rPr>
        <w:noProof/>
      </w:rPr>
      <w:t>3</w:t>
    </w:r>
    <w:r>
      <w:rPr>
        <w:noProof/>
      </w:rPr>
      <w:fldChar w:fldCharType="end"/>
    </w:r>
  </w:p>
  <w:p w:rsidR="00077842" w:rsidRDefault="00077842" w:rsidP="004B6701">
    <w:pPr>
      <w:pStyle w:val="Header"/>
      <w:jc w:val="righ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7842" w:rsidRPr="00F87303" w:rsidRDefault="00077842" w:rsidP="00E365E6">
    <w:pPr>
      <w:jc w:val="right"/>
    </w:pPr>
    <w:r w:rsidRPr="00E204EC">
      <w:t>WO/PBC/24/6</w:t>
    </w:r>
  </w:p>
  <w:p w:rsidR="00077842" w:rsidRDefault="00077842" w:rsidP="001B5644">
    <w:pPr>
      <w:pStyle w:val="Header"/>
      <w:jc w:val="right"/>
      <w:rPr>
        <w:noProof/>
      </w:rPr>
    </w:pPr>
    <w:proofErr w:type="gramStart"/>
    <w:r>
      <w:t>page</w:t>
    </w:r>
    <w:proofErr w:type="gramEnd"/>
    <w:r>
      <w:t xml:space="preserve"> </w:t>
    </w:r>
    <w:r>
      <w:fldChar w:fldCharType="begin"/>
    </w:r>
    <w:r>
      <w:instrText xml:space="preserve"> PAGE   \* MERGEFORMAT </w:instrText>
    </w:r>
    <w:r>
      <w:fldChar w:fldCharType="separate"/>
    </w:r>
    <w:r w:rsidR="006510ED">
      <w:rPr>
        <w:noProof/>
      </w:rPr>
      <w:t>18</w:t>
    </w:r>
    <w:r>
      <w:rPr>
        <w:noProof/>
      </w:rPr>
      <w:fldChar w:fldCharType="end"/>
    </w:r>
  </w:p>
  <w:p w:rsidR="00077842" w:rsidRPr="00E365E6" w:rsidRDefault="00077842" w:rsidP="001B5644">
    <w:pPr>
      <w:pStyle w:val="Header"/>
      <w:jc w:val="right"/>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7842" w:rsidRPr="00030490" w:rsidRDefault="00077842" w:rsidP="001E2D32">
    <w:pPr>
      <w:jc w:val="right"/>
    </w:pPr>
    <w:r>
      <w:t>WO/PBC/24</w:t>
    </w:r>
    <w:r w:rsidRPr="00030490">
      <w:t>/</w:t>
    </w:r>
    <w:r>
      <w:t>6</w:t>
    </w:r>
  </w:p>
  <w:p w:rsidR="00077842" w:rsidRDefault="00077842" w:rsidP="00677F67">
    <w:pPr>
      <w:jc w:val="right"/>
    </w:pPr>
    <w:proofErr w:type="spellStart"/>
    <w:r>
      <w:t>Annexe</w:t>
    </w:r>
    <w:proofErr w:type="spellEnd"/>
    <w:r>
      <w:t xml:space="preserve"> I, page </w:t>
    </w:r>
    <w:r>
      <w:fldChar w:fldCharType="begin"/>
    </w:r>
    <w:r>
      <w:instrText>PAGE   \* MERGEFORMAT</w:instrText>
    </w:r>
    <w:r>
      <w:fldChar w:fldCharType="separate"/>
    </w:r>
    <w:r w:rsidR="006510ED">
      <w:rPr>
        <w:noProof/>
      </w:rPr>
      <w:t>4</w:t>
    </w:r>
    <w:r>
      <w:fldChar w:fldCharType="end"/>
    </w:r>
  </w:p>
  <w:p w:rsidR="00077842" w:rsidRPr="00030490" w:rsidRDefault="00077842" w:rsidP="00677F67">
    <w:pPr>
      <w:jc w:val="right"/>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7842" w:rsidRPr="00F87303" w:rsidRDefault="00077842" w:rsidP="004B6701">
    <w:pPr>
      <w:jc w:val="right"/>
    </w:pPr>
    <w:r w:rsidRPr="00E204EC">
      <w:t>WO/PBC/24/6</w:t>
    </w:r>
  </w:p>
  <w:p w:rsidR="00077842" w:rsidRDefault="00077842" w:rsidP="004B6701">
    <w:pPr>
      <w:pStyle w:val="Header"/>
      <w:jc w:val="right"/>
      <w:rPr>
        <w:noProof/>
      </w:rPr>
    </w:pPr>
    <w:r>
      <w:t>ANNEXE I</w:t>
    </w:r>
  </w:p>
  <w:p w:rsidR="00077842" w:rsidRDefault="00077842" w:rsidP="004B6701">
    <w:pPr>
      <w:pStyle w:val="Header"/>
      <w:jc w:val="right"/>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7842" w:rsidRPr="00F87303" w:rsidRDefault="00077842" w:rsidP="004B6701">
    <w:pPr>
      <w:jc w:val="right"/>
    </w:pPr>
    <w:r w:rsidRPr="00E204EC">
      <w:t>WO/PBC/24/6</w:t>
    </w:r>
  </w:p>
  <w:p w:rsidR="00077842" w:rsidRDefault="00077842" w:rsidP="00854761">
    <w:pPr>
      <w:jc w:val="right"/>
    </w:pPr>
    <w:proofErr w:type="spellStart"/>
    <w:r>
      <w:t>Annexe</w:t>
    </w:r>
    <w:proofErr w:type="spellEnd"/>
    <w:r>
      <w:t xml:space="preserve"> I, page </w:t>
    </w:r>
    <w:r>
      <w:fldChar w:fldCharType="begin"/>
    </w:r>
    <w:r>
      <w:instrText>PAGE   \* MERGEFORMAT</w:instrText>
    </w:r>
    <w:r>
      <w:fldChar w:fldCharType="separate"/>
    </w:r>
    <w:r w:rsidR="006510ED">
      <w:rPr>
        <w:noProof/>
      </w:rPr>
      <w:t>3</w:t>
    </w:r>
    <w:r>
      <w:fldChar w:fldCharType="end"/>
    </w:r>
  </w:p>
  <w:p w:rsidR="00077842" w:rsidRDefault="00077842" w:rsidP="004B6701">
    <w:pPr>
      <w:pStyle w:val="Header"/>
      <w:jc w:val="right"/>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7842" w:rsidRPr="00F87303" w:rsidRDefault="00077842" w:rsidP="004B6701">
    <w:pPr>
      <w:jc w:val="right"/>
    </w:pPr>
    <w:r>
      <w:t>WO/PBC/24/6</w:t>
    </w:r>
  </w:p>
  <w:p w:rsidR="00077842" w:rsidRDefault="00077842" w:rsidP="004B6701">
    <w:pPr>
      <w:pStyle w:val="Header"/>
      <w:jc w:val="right"/>
    </w:pPr>
    <w:r>
      <w:t>ANNEXE II</w:t>
    </w:r>
  </w:p>
  <w:p w:rsidR="00077842" w:rsidRDefault="00077842" w:rsidP="004B6701">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0990D98"/>
    <w:multiLevelType w:val="multilevel"/>
    <w:tmpl w:val="3080061A"/>
    <w:lvl w:ilvl="0">
      <w:start w:val="1"/>
      <w:numFmt w:val="decimal"/>
      <w:lvlRestart w:val="0"/>
      <w:lvlText w:val="%1."/>
      <w:lvlJc w:val="left"/>
      <w:pPr>
        <w:tabs>
          <w:tab w:val="num" w:pos="567"/>
        </w:tabs>
      </w:pPr>
      <w:rPr>
        <w:rFonts w:ascii="Arial" w:hAnsi="Arial" w:cs="Times New Roman" w:hint="default"/>
        <w:b w:val="0"/>
        <w:i w:val="0"/>
        <w:sz w:val="22"/>
        <w:szCs w:val="22"/>
      </w:rPr>
    </w:lvl>
    <w:lvl w:ilvl="1">
      <w:start w:val="1"/>
      <w:numFmt w:val="lowerLetter"/>
      <w:lvlText w:val="%2)"/>
      <w:lvlJc w:val="left"/>
      <w:pPr>
        <w:tabs>
          <w:tab w:val="num" w:pos="1134"/>
        </w:tabs>
        <w:ind w:left="567"/>
      </w:pPr>
      <w:rPr>
        <w:rFonts w:ascii="Arial" w:eastAsia="SimSun" w:hAnsi="Arial" w:cs="Arial"/>
        <w:b w:val="0"/>
        <w:i w:val="0"/>
        <w:sz w:val="22"/>
        <w:szCs w:val="22"/>
      </w:rPr>
    </w:lvl>
    <w:lvl w:ilvl="2">
      <w:start w:val="1"/>
      <w:numFmt w:val="lowerRoman"/>
      <w:lvlText w:val="(%3)"/>
      <w:lvlJc w:val="left"/>
      <w:pPr>
        <w:tabs>
          <w:tab w:val="num" w:pos="1701"/>
        </w:tabs>
        <w:ind w:left="1134"/>
      </w:pPr>
      <w:rPr>
        <w:rFonts w:ascii="Arial" w:hAnsi="Arial" w:cs="Times New Roman" w:hint="default"/>
        <w:b w:val="0"/>
        <w:i w:val="0"/>
        <w:sz w:val="22"/>
        <w:szCs w:val="22"/>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abstractNum w:abstractNumId="2">
    <w:nsid w:val="06732831"/>
    <w:multiLevelType w:val="multilevel"/>
    <w:tmpl w:val="AFEA3530"/>
    <w:lvl w:ilvl="0">
      <w:start w:val="1"/>
      <w:numFmt w:val="bullet"/>
      <w:lvlText w:val=""/>
      <w:lvlJc w:val="left"/>
      <w:pPr>
        <w:tabs>
          <w:tab w:val="num" w:pos="1134"/>
        </w:tabs>
      </w:pPr>
      <w:rPr>
        <w:rFonts w:ascii="Symbol" w:hAnsi="Symbol" w:hint="default"/>
        <w:b w:val="0"/>
        <w:i w:val="0"/>
        <w:sz w:val="22"/>
        <w:szCs w:val="22"/>
      </w:rPr>
    </w:lvl>
    <w:lvl w:ilvl="1">
      <w:start w:val="1"/>
      <w:numFmt w:val="lowerLetter"/>
      <w:lvlText w:val="(%2)"/>
      <w:lvlJc w:val="left"/>
      <w:pPr>
        <w:tabs>
          <w:tab w:val="num" w:pos="1701"/>
        </w:tabs>
        <w:ind w:left="1134"/>
      </w:pPr>
      <w:rPr>
        <w:rFonts w:ascii="Arial" w:hAnsi="Arial" w:cs="Times New Roman" w:hint="default"/>
        <w:b w:val="0"/>
        <w:i w:val="0"/>
        <w:sz w:val="22"/>
        <w:szCs w:val="22"/>
      </w:rPr>
    </w:lvl>
    <w:lvl w:ilvl="2">
      <w:start w:val="1"/>
      <w:numFmt w:val="lowerRoman"/>
      <w:lvlText w:val="(%3)"/>
      <w:lvlJc w:val="left"/>
      <w:pPr>
        <w:tabs>
          <w:tab w:val="num" w:pos="2268"/>
        </w:tabs>
        <w:ind w:left="1701"/>
      </w:pPr>
      <w:rPr>
        <w:rFonts w:ascii="Arial" w:hAnsi="Arial" w:cs="Times New Roman" w:hint="default"/>
        <w:b w:val="0"/>
        <w:i w:val="0"/>
        <w:sz w:val="22"/>
        <w:szCs w:val="22"/>
      </w:rPr>
    </w:lvl>
    <w:lvl w:ilvl="3">
      <w:start w:val="1"/>
      <w:numFmt w:val="bullet"/>
      <w:lvlText w:val=""/>
      <w:lvlJc w:val="left"/>
      <w:pPr>
        <w:tabs>
          <w:tab w:val="num" w:pos="2835"/>
        </w:tabs>
        <w:ind w:left="2268"/>
      </w:pPr>
      <w:rPr>
        <w:rFonts w:hint="default"/>
      </w:rPr>
    </w:lvl>
    <w:lvl w:ilvl="4">
      <w:start w:val="1"/>
      <w:numFmt w:val="bullet"/>
      <w:lvlText w:val=""/>
      <w:lvlJc w:val="left"/>
      <w:pPr>
        <w:tabs>
          <w:tab w:val="num" w:pos="3402"/>
        </w:tabs>
        <w:ind w:left="2835"/>
      </w:pPr>
      <w:rPr>
        <w:rFonts w:hint="default"/>
      </w:rPr>
    </w:lvl>
    <w:lvl w:ilvl="5">
      <w:start w:val="1"/>
      <w:numFmt w:val="bullet"/>
      <w:lvlText w:val=""/>
      <w:lvlJc w:val="left"/>
      <w:pPr>
        <w:tabs>
          <w:tab w:val="num" w:pos="3969"/>
        </w:tabs>
        <w:ind w:left="3402"/>
      </w:pPr>
      <w:rPr>
        <w:rFonts w:hint="default"/>
      </w:rPr>
    </w:lvl>
    <w:lvl w:ilvl="6">
      <w:start w:val="1"/>
      <w:numFmt w:val="bullet"/>
      <w:lvlText w:val=""/>
      <w:lvlJc w:val="left"/>
      <w:pPr>
        <w:tabs>
          <w:tab w:val="num" w:pos="4536"/>
        </w:tabs>
        <w:ind w:left="3969"/>
      </w:pPr>
      <w:rPr>
        <w:rFonts w:hint="default"/>
      </w:rPr>
    </w:lvl>
    <w:lvl w:ilvl="7">
      <w:start w:val="1"/>
      <w:numFmt w:val="bullet"/>
      <w:lvlText w:val=""/>
      <w:lvlJc w:val="left"/>
      <w:pPr>
        <w:tabs>
          <w:tab w:val="num" w:pos="5102"/>
        </w:tabs>
        <w:ind w:left="4536"/>
      </w:pPr>
      <w:rPr>
        <w:rFonts w:hint="default"/>
      </w:rPr>
    </w:lvl>
    <w:lvl w:ilvl="8">
      <w:start w:val="1"/>
      <w:numFmt w:val="bullet"/>
      <w:lvlText w:val=""/>
      <w:lvlJc w:val="left"/>
      <w:pPr>
        <w:tabs>
          <w:tab w:val="num" w:pos="5669"/>
        </w:tabs>
        <w:ind w:left="5102"/>
      </w:pPr>
      <w:rPr>
        <w:rFonts w:hint="default"/>
      </w:rPr>
    </w:lvl>
  </w:abstractNum>
  <w:abstractNum w:abstractNumId="3">
    <w:nsid w:val="06CD29E3"/>
    <w:multiLevelType w:val="multilevel"/>
    <w:tmpl w:val="8E50177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177D5000"/>
    <w:multiLevelType w:val="singleLevel"/>
    <w:tmpl w:val="0409000F"/>
    <w:lvl w:ilvl="0">
      <w:start w:val="1"/>
      <w:numFmt w:val="decimal"/>
      <w:lvlText w:val="%1."/>
      <w:lvlJc w:val="left"/>
      <w:pPr>
        <w:tabs>
          <w:tab w:val="num" w:pos="360"/>
        </w:tabs>
        <w:ind w:left="360" w:hanging="360"/>
      </w:pPr>
    </w:lvl>
  </w:abstractNum>
  <w:abstractNum w:abstractNumId="5">
    <w:nsid w:val="1C2202D7"/>
    <w:multiLevelType w:val="multilevel"/>
    <w:tmpl w:val="AFEA3530"/>
    <w:lvl w:ilvl="0">
      <w:start w:val="1"/>
      <w:numFmt w:val="bullet"/>
      <w:lvlText w:val=""/>
      <w:lvlJc w:val="left"/>
      <w:pPr>
        <w:tabs>
          <w:tab w:val="num" w:pos="1134"/>
        </w:tabs>
      </w:pPr>
      <w:rPr>
        <w:rFonts w:ascii="Symbol" w:hAnsi="Symbol" w:hint="default"/>
        <w:b w:val="0"/>
        <w:i w:val="0"/>
        <w:sz w:val="22"/>
        <w:szCs w:val="22"/>
      </w:rPr>
    </w:lvl>
    <w:lvl w:ilvl="1">
      <w:start w:val="1"/>
      <w:numFmt w:val="lowerLetter"/>
      <w:lvlText w:val="(%2)"/>
      <w:lvlJc w:val="left"/>
      <w:pPr>
        <w:tabs>
          <w:tab w:val="num" w:pos="1701"/>
        </w:tabs>
        <w:ind w:left="1134"/>
      </w:pPr>
      <w:rPr>
        <w:rFonts w:ascii="Arial" w:hAnsi="Arial" w:cs="Times New Roman" w:hint="default"/>
        <w:b w:val="0"/>
        <w:i w:val="0"/>
        <w:sz w:val="22"/>
        <w:szCs w:val="22"/>
      </w:rPr>
    </w:lvl>
    <w:lvl w:ilvl="2">
      <w:start w:val="1"/>
      <w:numFmt w:val="lowerRoman"/>
      <w:lvlText w:val="(%3)"/>
      <w:lvlJc w:val="left"/>
      <w:pPr>
        <w:tabs>
          <w:tab w:val="num" w:pos="2268"/>
        </w:tabs>
        <w:ind w:left="1701"/>
      </w:pPr>
      <w:rPr>
        <w:rFonts w:ascii="Arial" w:hAnsi="Arial" w:cs="Times New Roman" w:hint="default"/>
        <w:b w:val="0"/>
        <w:i w:val="0"/>
        <w:sz w:val="22"/>
        <w:szCs w:val="22"/>
      </w:rPr>
    </w:lvl>
    <w:lvl w:ilvl="3">
      <w:start w:val="1"/>
      <w:numFmt w:val="bullet"/>
      <w:lvlText w:val=""/>
      <w:lvlJc w:val="left"/>
      <w:pPr>
        <w:tabs>
          <w:tab w:val="num" w:pos="2835"/>
        </w:tabs>
        <w:ind w:left="2268"/>
      </w:pPr>
      <w:rPr>
        <w:rFonts w:hint="default"/>
      </w:rPr>
    </w:lvl>
    <w:lvl w:ilvl="4">
      <w:start w:val="1"/>
      <w:numFmt w:val="bullet"/>
      <w:lvlText w:val=""/>
      <w:lvlJc w:val="left"/>
      <w:pPr>
        <w:tabs>
          <w:tab w:val="num" w:pos="3402"/>
        </w:tabs>
        <w:ind w:left="2835"/>
      </w:pPr>
      <w:rPr>
        <w:rFonts w:hint="default"/>
      </w:rPr>
    </w:lvl>
    <w:lvl w:ilvl="5">
      <w:start w:val="1"/>
      <w:numFmt w:val="bullet"/>
      <w:lvlText w:val=""/>
      <w:lvlJc w:val="left"/>
      <w:pPr>
        <w:tabs>
          <w:tab w:val="num" w:pos="3969"/>
        </w:tabs>
        <w:ind w:left="3402"/>
      </w:pPr>
      <w:rPr>
        <w:rFonts w:hint="default"/>
      </w:rPr>
    </w:lvl>
    <w:lvl w:ilvl="6">
      <w:start w:val="1"/>
      <w:numFmt w:val="bullet"/>
      <w:lvlText w:val=""/>
      <w:lvlJc w:val="left"/>
      <w:pPr>
        <w:tabs>
          <w:tab w:val="num" w:pos="4536"/>
        </w:tabs>
        <w:ind w:left="3969"/>
      </w:pPr>
      <w:rPr>
        <w:rFonts w:hint="default"/>
      </w:rPr>
    </w:lvl>
    <w:lvl w:ilvl="7">
      <w:start w:val="1"/>
      <w:numFmt w:val="bullet"/>
      <w:lvlText w:val=""/>
      <w:lvlJc w:val="left"/>
      <w:pPr>
        <w:tabs>
          <w:tab w:val="num" w:pos="5102"/>
        </w:tabs>
        <w:ind w:left="4536"/>
      </w:pPr>
      <w:rPr>
        <w:rFonts w:hint="default"/>
      </w:rPr>
    </w:lvl>
    <w:lvl w:ilvl="8">
      <w:start w:val="1"/>
      <w:numFmt w:val="bullet"/>
      <w:lvlText w:val=""/>
      <w:lvlJc w:val="left"/>
      <w:pPr>
        <w:tabs>
          <w:tab w:val="num" w:pos="5669"/>
        </w:tabs>
        <w:ind w:left="5102"/>
      </w:pPr>
      <w:rPr>
        <w:rFonts w:hint="default"/>
      </w:rPr>
    </w:lvl>
  </w:abstractNum>
  <w:abstractNum w:abstractNumId="6">
    <w:nsid w:val="1FFB19A2"/>
    <w:multiLevelType w:val="multilevel"/>
    <w:tmpl w:val="82A20A9A"/>
    <w:lvl w:ilvl="0">
      <w:start w:val="1"/>
      <w:numFmt w:val="decimal"/>
      <w:lvlRestart w:val="0"/>
      <w:pStyle w:val="ONUMFS"/>
      <w:lvlText w:val="%1."/>
      <w:lvlJc w:val="left"/>
      <w:pPr>
        <w:tabs>
          <w:tab w:val="num" w:pos="567"/>
        </w:tabs>
        <w:ind w:left="0" w:firstLine="0"/>
      </w:pPr>
      <w:rPr>
        <w:rFonts w:hint="default"/>
        <w:b w:val="0"/>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7">
    <w:nsid w:val="254E5232"/>
    <w:multiLevelType w:val="hybridMultilevel"/>
    <w:tmpl w:val="39000BFC"/>
    <w:lvl w:ilvl="0" w:tplc="04090017">
      <w:start w:val="1"/>
      <w:numFmt w:val="lowerLetter"/>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392614C2"/>
    <w:multiLevelType w:val="hybridMultilevel"/>
    <w:tmpl w:val="2070CFE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3AD83B38"/>
    <w:multiLevelType w:val="multilevel"/>
    <w:tmpl w:val="27844612"/>
    <w:lvl w:ilvl="0">
      <w:start w:val="1"/>
      <w:numFmt w:val="decimal"/>
      <w:lvlRestart w:val="0"/>
      <w:lvlText w:val="%1."/>
      <w:lvlJc w:val="left"/>
      <w:pPr>
        <w:tabs>
          <w:tab w:val="num" w:pos="567"/>
        </w:tabs>
      </w:pPr>
      <w:rPr>
        <w:rFonts w:ascii="Arial" w:hAnsi="Arial" w:cs="Times New Roman" w:hint="default"/>
        <w:b w:val="0"/>
        <w:i w:val="0"/>
        <w:sz w:val="22"/>
        <w:szCs w:val="22"/>
      </w:rPr>
    </w:lvl>
    <w:lvl w:ilvl="1">
      <w:start w:val="1"/>
      <w:numFmt w:val="lowerLetter"/>
      <w:lvlText w:val="(%2)"/>
      <w:lvlJc w:val="left"/>
      <w:pPr>
        <w:tabs>
          <w:tab w:val="num" w:pos="1134"/>
        </w:tabs>
        <w:ind w:left="567"/>
      </w:pPr>
      <w:rPr>
        <w:rFonts w:ascii="Arial" w:hAnsi="Arial" w:cs="Times New Roman" w:hint="default"/>
        <w:b w:val="0"/>
        <w:i w:val="0"/>
        <w:sz w:val="22"/>
        <w:szCs w:val="22"/>
      </w:rPr>
    </w:lvl>
    <w:lvl w:ilvl="2">
      <w:start w:val="1"/>
      <w:numFmt w:val="lowerRoman"/>
      <w:lvlText w:val="(%3)"/>
      <w:lvlJc w:val="left"/>
      <w:pPr>
        <w:tabs>
          <w:tab w:val="num" w:pos="1701"/>
        </w:tabs>
        <w:ind w:left="1134"/>
      </w:pPr>
      <w:rPr>
        <w:rFonts w:ascii="Arial" w:hAnsi="Arial" w:cs="Times New Roman" w:hint="default"/>
        <w:b w:val="0"/>
        <w:i w:val="0"/>
        <w:sz w:val="22"/>
        <w:szCs w:val="22"/>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abstractNum w:abstractNumId="10">
    <w:nsid w:val="3B196DCA"/>
    <w:multiLevelType w:val="hybridMultilevel"/>
    <w:tmpl w:val="44A610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DB877FC"/>
    <w:multiLevelType w:val="hybridMultilevel"/>
    <w:tmpl w:val="7E223C66"/>
    <w:lvl w:ilvl="0" w:tplc="04090017">
      <w:start w:val="1"/>
      <w:numFmt w:val="lowerLetter"/>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nsid w:val="462C5937"/>
    <w:multiLevelType w:val="multilevel"/>
    <w:tmpl w:val="E7925838"/>
    <w:lvl w:ilvl="0">
      <w:start w:val="1"/>
      <w:numFmt w:val="decimal"/>
      <w:lvlRestart w:val="0"/>
      <w:lvlText w:val="%1."/>
      <w:lvlJc w:val="left"/>
      <w:pPr>
        <w:tabs>
          <w:tab w:val="num" w:pos="567"/>
        </w:tabs>
      </w:pPr>
      <w:rPr>
        <w:rFonts w:ascii="Arial" w:hAnsi="Arial" w:cs="Times New Roman" w:hint="default"/>
        <w:b w:val="0"/>
        <w:i w:val="0"/>
        <w:sz w:val="22"/>
        <w:szCs w:val="22"/>
      </w:rPr>
    </w:lvl>
    <w:lvl w:ilvl="1">
      <w:start w:val="1"/>
      <w:numFmt w:val="lowerLetter"/>
      <w:lvlText w:val="%2)"/>
      <w:lvlJc w:val="left"/>
      <w:pPr>
        <w:tabs>
          <w:tab w:val="num" w:pos="1134"/>
        </w:tabs>
        <w:ind w:left="567"/>
      </w:pPr>
      <w:rPr>
        <w:rFonts w:ascii="Arial" w:eastAsia="SimSun" w:hAnsi="Arial" w:cs="Arial"/>
        <w:b w:val="0"/>
        <w:i w:val="0"/>
        <w:sz w:val="22"/>
        <w:szCs w:val="22"/>
      </w:rPr>
    </w:lvl>
    <w:lvl w:ilvl="2">
      <w:start w:val="1"/>
      <w:numFmt w:val="lowerRoman"/>
      <w:lvlText w:val="(%3)"/>
      <w:lvlJc w:val="left"/>
      <w:pPr>
        <w:tabs>
          <w:tab w:val="num" w:pos="1701"/>
        </w:tabs>
        <w:ind w:left="1134"/>
      </w:pPr>
      <w:rPr>
        <w:rFonts w:ascii="Arial" w:hAnsi="Arial" w:cs="Times New Roman" w:hint="default"/>
        <w:b w:val="0"/>
        <w:i w:val="0"/>
        <w:sz w:val="22"/>
        <w:szCs w:val="22"/>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abstractNum w:abstractNumId="14">
    <w:nsid w:val="4A444C5F"/>
    <w:multiLevelType w:val="hybridMultilevel"/>
    <w:tmpl w:val="39000BFC"/>
    <w:lvl w:ilvl="0" w:tplc="04090017">
      <w:start w:val="1"/>
      <w:numFmt w:val="lowerLetter"/>
      <w:lvlText w:val="%1)"/>
      <w:lvlJc w:val="left"/>
      <w:pPr>
        <w:ind w:left="927" w:hanging="360"/>
      </w:pPr>
      <w:rPr>
        <w:rFonts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15">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5FBB5CC7"/>
    <w:multiLevelType w:val="hybridMultilevel"/>
    <w:tmpl w:val="1B18A8CE"/>
    <w:lvl w:ilvl="0" w:tplc="04090017">
      <w:start w:val="1"/>
      <w:numFmt w:val="lowerLetter"/>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nsid w:val="62064D36"/>
    <w:multiLevelType w:val="multilevel"/>
    <w:tmpl w:val="4838F280"/>
    <w:lvl w:ilvl="0">
      <w:start w:val="1"/>
      <w:numFmt w:val="decimal"/>
      <w:lvlRestart w:val="0"/>
      <w:lvlText w:val="%1."/>
      <w:lvlJc w:val="left"/>
      <w:pPr>
        <w:tabs>
          <w:tab w:val="num" w:pos="567"/>
        </w:tabs>
      </w:pPr>
      <w:rPr>
        <w:rFonts w:ascii="Arial" w:hAnsi="Arial" w:cs="Times New Roman" w:hint="default"/>
        <w:b w:val="0"/>
        <w:i w:val="0"/>
        <w:sz w:val="22"/>
        <w:szCs w:val="22"/>
      </w:rPr>
    </w:lvl>
    <w:lvl w:ilvl="1">
      <w:start w:val="1"/>
      <w:numFmt w:val="lowerLetter"/>
      <w:lvlText w:val="%2)"/>
      <w:lvlJc w:val="left"/>
      <w:pPr>
        <w:tabs>
          <w:tab w:val="num" w:pos="1134"/>
        </w:tabs>
        <w:ind w:left="567"/>
      </w:pPr>
      <w:rPr>
        <w:rFonts w:ascii="Arial" w:eastAsia="SimSun" w:hAnsi="Arial" w:cs="Arial"/>
        <w:b w:val="0"/>
        <w:i w:val="0"/>
        <w:sz w:val="22"/>
        <w:szCs w:val="22"/>
      </w:rPr>
    </w:lvl>
    <w:lvl w:ilvl="2">
      <w:start w:val="1"/>
      <w:numFmt w:val="lowerRoman"/>
      <w:lvlText w:val="(%3)"/>
      <w:lvlJc w:val="left"/>
      <w:pPr>
        <w:tabs>
          <w:tab w:val="num" w:pos="1701"/>
        </w:tabs>
        <w:ind w:left="1134"/>
      </w:pPr>
      <w:rPr>
        <w:rFonts w:ascii="Arial" w:hAnsi="Arial" w:cs="Times New Roman" w:hint="default"/>
        <w:b w:val="0"/>
        <w:i w:val="0"/>
        <w:sz w:val="22"/>
        <w:szCs w:val="22"/>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abstractNum w:abstractNumId="18">
    <w:nsid w:val="62D53F46"/>
    <w:multiLevelType w:val="hybridMultilevel"/>
    <w:tmpl w:val="7E223C66"/>
    <w:lvl w:ilvl="0" w:tplc="04090017">
      <w:start w:val="1"/>
      <w:numFmt w:val="lowerLetter"/>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nsid w:val="64A4309A"/>
    <w:multiLevelType w:val="hybridMultilevel"/>
    <w:tmpl w:val="DEB8BFC0"/>
    <w:lvl w:ilvl="0" w:tplc="23027F74">
      <w:start w:val="2"/>
      <w:numFmt w:val="bullet"/>
      <w:lvlText w:val="-"/>
      <w:lvlJc w:val="left"/>
      <w:pPr>
        <w:tabs>
          <w:tab w:val="num" w:pos="720"/>
        </w:tabs>
        <w:ind w:left="720" w:hanging="360"/>
      </w:pPr>
      <w:rPr>
        <w:rFonts w:ascii="Arial" w:eastAsia="Times New Roman" w:hAnsi="Aria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67212CC7"/>
    <w:multiLevelType w:val="multilevel"/>
    <w:tmpl w:val="AFEA3530"/>
    <w:lvl w:ilvl="0">
      <w:start w:val="1"/>
      <w:numFmt w:val="bullet"/>
      <w:lvlText w:val=""/>
      <w:lvlJc w:val="left"/>
      <w:pPr>
        <w:tabs>
          <w:tab w:val="num" w:pos="1134"/>
        </w:tabs>
      </w:pPr>
      <w:rPr>
        <w:rFonts w:ascii="Symbol" w:hAnsi="Symbol" w:hint="default"/>
        <w:b w:val="0"/>
        <w:i w:val="0"/>
        <w:sz w:val="22"/>
        <w:szCs w:val="22"/>
      </w:rPr>
    </w:lvl>
    <w:lvl w:ilvl="1">
      <w:start w:val="1"/>
      <w:numFmt w:val="lowerLetter"/>
      <w:lvlText w:val="(%2)"/>
      <w:lvlJc w:val="left"/>
      <w:pPr>
        <w:tabs>
          <w:tab w:val="num" w:pos="1701"/>
        </w:tabs>
        <w:ind w:left="1134"/>
      </w:pPr>
      <w:rPr>
        <w:rFonts w:ascii="Arial" w:hAnsi="Arial" w:cs="Times New Roman" w:hint="default"/>
        <w:b w:val="0"/>
        <w:i w:val="0"/>
        <w:sz w:val="22"/>
        <w:szCs w:val="22"/>
      </w:rPr>
    </w:lvl>
    <w:lvl w:ilvl="2">
      <w:start w:val="1"/>
      <w:numFmt w:val="lowerRoman"/>
      <w:lvlText w:val="(%3)"/>
      <w:lvlJc w:val="left"/>
      <w:pPr>
        <w:tabs>
          <w:tab w:val="num" w:pos="2268"/>
        </w:tabs>
        <w:ind w:left="1701"/>
      </w:pPr>
      <w:rPr>
        <w:rFonts w:ascii="Arial" w:hAnsi="Arial" w:cs="Times New Roman" w:hint="default"/>
        <w:b w:val="0"/>
        <w:i w:val="0"/>
        <w:sz w:val="22"/>
        <w:szCs w:val="22"/>
      </w:rPr>
    </w:lvl>
    <w:lvl w:ilvl="3">
      <w:start w:val="1"/>
      <w:numFmt w:val="bullet"/>
      <w:lvlText w:val=""/>
      <w:lvlJc w:val="left"/>
      <w:pPr>
        <w:tabs>
          <w:tab w:val="num" w:pos="2835"/>
        </w:tabs>
        <w:ind w:left="2268"/>
      </w:pPr>
      <w:rPr>
        <w:rFonts w:hint="default"/>
      </w:rPr>
    </w:lvl>
    <w:lvl w:ilvl="4">
      <w:start w:val="1"/>
      <w:numFmt w:val="bullet"/>
      <w:lvlText w:val=""/>
      <w:lvlJc w:val="left"/>
      <w:pPr>
        <w:tabs>
          <w:tab w:val="num" w:pos="3402"/>
        </w:tabs>
        <w:ind w:left="2835"/>
      </w:pPr>
      <w:rPr>
        <w:rFonts w:hint="default"/>
      </w:rPr>
    </w:lvl>
    <w:lvl w:ilvl="5">
      <w:start w:val="1"/>
      <w:numFmt w:val="bullet"/>
      <w:lvlText w:val=""/>
      <w:lvlJc w:val="left"/>
      <w:pPr>
        <w:tabs>
          <w:tab w:val="num" w:pos="3969"/>
        </w:tabs>
        <w:ind w:left="3402"/>
      </w:pPr>
      <w:rPr>
        <w:rFonts w:hint="default"/>
      </w:rPr>
    </w:lvl>
    <w:lvl w:ilvl="6">
      <w:start w:val="1"/>
      <w:numFmt w:val="bullet"/>
      <w:lvlText w:val=""/>
      <w:lvlJc w:val="left"/>
      <w:pPr>
        <w:tabs>
          <w:tab w:val="num" w:pos="4536"/>
        </w:tabs>
        <w:ind w:left="3969"/>
      </w:pPr>
      <w:rPr>
        <w:rFonts w:hint="default"/>
      </w:rPr>
    </w:lvl>
    <w:lvl w:ilvl="7">
      <w:start w:val="1"/>
      <w:numFmt w:val="bullet"/>
      <w:lvlText w:val=""/>
      <w:lvlJc w:val="left"/>
      <w:pPr>
        <w:tabs>
          <w:tab w:val="num" w:pos="5102"/>
        </w:tabs>
        <w:ind w:left="4536"/>
      </w:pPr>
      <w:rPr>
        <w:rFonts w:hint="default"/>
      </w:rPr>
    </w:lvl>
    <w:lvl w:ilvl="8">
      <w:start w:val="1"/>
      <w:numFmt w:val="bullet"/>
      <w:lvlText w:val=""/>
      <w:lvlJc w:val="left"/>
      <w:pPr>
        <w:tabs>
          <w:tab w:val="num" w:pos="5669"/>
        </w:tabs>
        <w:ind w:left="5102"/>
      </w:pPr>
      <w:rPr>
        <w:rFonts w:hint="default"/>
      </w:rPr>
    </w:lvl>
  </w:abstractNum>
  <w:abstractNum w:abstractNumId="21">
    <w:nsid w:val="67DB0FF2"/>
    <w:multiLevelType w:val="multilevel"/>
    <w:tmpl w:val="B6FA276C"/>
    <w:lvl w:ilvl="0">
      <w:start w:val="1"/>
      <w:numFmt w:val="decimal"/>
      <w:lvlRestart w:val="0"/>
      <w:pStyle w:val="ONUME"/>
      <w:lvlText w:val="%1."/>
      <w:lvlJc w:val="left"/>
      <w:pPr>
        <w:tabs>
          <w:tab w:val="num" w:pos="567"/>
        </w:tabs>
        <w:ind w:left="0" w:firstLine="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tabs>
          <w:tab w:val="num" w:pos="1134"/>
        </w:tabs>
        <w:ind w:left="567" w:firstLine="0"/>
      </w:pPr>
      <w:rPr>
        <w:rFonts w:ascii="Arial" w:eastAsia="SimSun" w:hAnsi="Arial" w:cs="Arial"/>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2">
    <w:nsid w:val="6CD156F6"/>
    <w:multiLevelType w:val="multilevel"/>
    <w:tmpl w:val="AFEA3530"/>
    <w:lvl w:ilvl="0">
      <w:start w:val="1"/>
      <w:numFmt w:val="bullet"/>
      <w:lvlText w:val=""/>
      <w:lvlJc w:val="left"/>
      <w:pPr>
        <w:tabs>
          <w:tab w:val="num" w:pos="1134"/>
        </w:tabs>
      </w:pPr>
      <w:rPr>
        <w:rFonts w:ascii="Symbol" w:hAnsi="Symbol" w:hint="default"/>
        <w:b w:val="0"/>
        <w:i w:val="0"/>
        <w:sz w:val="22"/>
        <w:szCs w:val="22"/>
      </w:rPr>
    </w:lvl>
    <w:lvl w:ilvl="1">
      <w:start w:val="1"/>
      <w:numFmt w:val="lowerLetter"/>
      <w:lvlText w:val="(%2)"/>
      <w:lvlJc w:val="left"/>
      <w:pPr>
        <w:tabs>
          <w:tab w:val="num" w:pos="1701"/>
        </w:tabs>
        <w:ind w:left="1134"/>
      </w:pPr>
      <w:rPr>
        <w:rFonts w:ascii="Arial" w:hAnsi="Arial" w:cs="Times New Roman" w:hint="default"/>
        <w:b w:val="0"/>
        <w:i w:val="0"/>
        <w:sz w:val="22"/>
        <w:szCs w:val="22"/>
      </w:rPr>
    </w:lvl>
    <w:lvl w:ilvl="2">
      <w:start w:val="1"/>
      <w:numFmt w:val="lowerRoman"/>
      <w:lvlText w:val="(%3)"/>
      <w:lvlJc w:val="left"/>
      <w:pPr>
        <w:tabs>
          <w:tab w:val="num" w:pos="2268"/>
        </w:tabs>
        <w:ind w:left="1701"/>
      </w:pPr>
      <w:rPr>
        <w:rFonts w:ascii="Arial" w:hAnsi="Arial" w:cs="Times New Roman" w:hint="default"/>
        <w:b w:val="0"/>
        <w:i w:val="0"/>
        <w:sz w:val="22"/>
        <w:szCs w:val="22"/>
      </w:rPr>
    </w:lvl>
    <w:lvl w:ilvl="3">
      <w:start w:val="1"/>
      <w:numFmt w:val="bullet"/>
      <w:lvlText w:val=""/>
      <w:lvlJc w:val="left"/>
      <w:pPr>
        <w:tabs>
          <w:tab w:val="num" w:pos="2835"/>
        </w:tabs>
        <w:ind w:left="2268"/>
      </w:pPr>
      <w:rPr>
        <w:rFonts w:hint="default"/>
      </w:rPr>
    </w:lvl>
    <w:lvl w:ilvl="4">
      <w:start w:val="1"/>
      <w:numFmt w:val="bullet"/>
      <w:lvlText w:val=""/>
      <w:lvlJc w:val="left"/>
      <w:pPr>
        <w:tabs>
          <w:tab w:val="num" w:pos="3402"/>
        </w:tabs>
        <w:ind w:left="2835"/>
      </w:pPr>
      <w:rPr>
        <w:rFonts w:hint="default"/>
      </w:rPr>
    </w:lvl>
    <w:lvl w:ilvl="5">
      <w:start w:val="1"/>
      <w:numFmt w:val="bullet"/>
      <w:lvlText w:val=""/>
      <w:lvlJc w:val="left"/>
      <w:pPr>
        <w:tabs>
          <w:tab w:val="num" w:pos="3969"/>
        </w:tabs>
        <w:ind w:left="3402"/>
      </w:pPr>
      <w:rPr>
        <w:rFonts w:hint="default"/>
      </w:rPr>
    </w:lvl>
    <w:lvl w:ilvl="6">
      <w:start w:val="1"/>
      <w:numFmt w:val="bullet"/>
      <w:lvlText w:val=""/>
      <w:lvlJc w:val="left"/>
      <w:pPr>
        <w:tabs>
          <w:tab w:val="num" w:pos="4536"/>
        </w:tabs>
        <w:ind w:left="3969"/>
      </w:pPr>
      <w:rPr>
        <w:rFonts w:hint="default"/>
      </w:rPr>
    </w:lvl>
    <w:lvl w:ilvl="7">
      <w:start w:val="1"/>
      <w:numFmt w:val="bullet"/>
      <w:lvlText w:val=""/>
      <w:lvlJc w:val="left"/>
      <w:pPr>
        <w:tabs>
          <w:tab w:val="num" w:pos="5102"/>
        </w:tabs>
        <w:ind w:left="4536"/>
      </w:pPr>
      <w:rPr>
        <w:rFonts w:hint="default"/>
      </w:rPr>
    </w:lvl>
    <w:lvl w:ilvl="8">
      <w:start w:val="1"/>
      <w:numFmt w:val="bullet"/>
      <w:lvlText w:val=""/>
      <w:lvlJc w:val="left"/>
      <w:pPr>
        <w:tabs>
          <w:tab w:val="num" w:pos="5669"/>
        </w:tabs>
        <w:ind w:left="5102"/>
      </w:pPr>
      <w:rPr>
        <w:rFonts w:hint="default"/>
      </w:rPr>
    </w:lvl>
  </w:abstractNum>
  <w:abstractNum w:abstractNumId="23">
    <w:nsid w:val="77640CCF"/>
    <w:multiLevelType w:val="multilevel"/>
    <w:tmpl w:val="65341604"/>
    <w:lvl w:ilvl="0">
      <w:start w:val="1"/>
      <w:numFmt w:val="decimal"/>
      <w:lvlRestart w:val="0"/>
      <w:lvlText w:val="%1."/>
      <w:lvlJc w:val="left"/>
      <w:pPr>
        <w:tabs>
          <w:tab w:val="num" w:pos="567"/>
        </w:tabs>
      </w:pPr>
      <w:rPr>
        <w:rFonts w:cs="Times New Roman" w:hint="default"/>
        <w:b/>
        <w:i w:val="0"/>
      </w:rPr>
    </w:lvl>
    <w:lvl w:ilvl="1">
      <w:start w:val="1"/>
      <w:numFmt w:val="upperLetter"/>
      <w:lvlText w:val="%2."/>
      <w:lvlJc w:val="left"/>
      <w:pPr>
        <w:tabs>
          <w:tab w:val="num" w:pos="1134"/>
        </w:tabs>
        <w:ind w:left="567"/>
      </w:pPr>
      <w:rPr>
        <w:rFonts w:cs="Times New Roman" w:hint="default"/>
        <w:caps w:val="0"/>
      </w:rPr>
    </w:lvl>
    <w:lvl w:ilvl="2">
      <w:start w:val="1"/>
      <w:numFmt w:val="lowerRoman"/>
      <w:lvlText w:val="(%3)"/>
      <w:lvlJc w:val="left"/>
      <w:pPr>
        <w:tabs>
          <w:tab w:val="num" w:pos="1701"/>
        </w:tabs>
        <w:ind w:left="1134"/>
      </w:pPr>
      <w:rPr>
        <w:rFonts w:cs="Times New Roman" w:hint="default"/>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abstractNum w:abstractNumId="24">
    <w:nsid w:val="7BE4206F"/>
    <w:multiLevelType w:val="hybridMultilevel"/>
    <w:tmpl w:val="0DD40274"/>
    <w:lvl w:ilvl="0" w:tplc="04090017">
      <w:start w:val="1"/>
      <w:numFmt w:val="lowerLetter"/>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nsid w:val="7E32119A"/>
    <w:multiLevelType w:val="multilevel"/>
    <w:tmpl w:val="4F9C689E"/>
    <w:lvl w:ilvl="0">
      <w:start w:val="80"/>
      <w:numFmt w:val="decimal"/>
      <w:lvlRestart w:val="0"/>
      <w:lvlText w:val="%1."/>
      <w:lvlJc w:val="left"/>
      <w:pPr>
        <w:tabs>
          <w:tab w:val="num" w:pos="567"/>
        </w:tabs>
        <w:ind w:left="0" w:firstLine="0"/>
      </w:pPr>
      <w:rPr>
        <w:rFonts w:ascii="Arial" w:hAnsi="Arial" w:cs="Times New Roman" w:hint="default"/>
        <w:b w:val="0"/>
        <w:i w:val="0"/>
        <w:sz w:val="22"/>
        <w:szCs w:val="22"/>
      </w:rPr>
    </w:lvl>
    <w:lvl w:ilvl="1">
      <w:start w:val="1"/>
      <w:numFmt w:val="lowerLetter"/>
      <w:lvlText w:val="(%2)"/>
      <w:lvlJc w:val="left"/>
      <w:pPr>
        <w:tabs>
          <w:tab w:val="num" w:pos="1134"/>
        </w:tabs>
        <w:ind w:left="567" w:firstLine="0"/>
      </w:pPr>
      <w:rPr>
        <w:rFonts w:ascii="Arial" w:hAnsi="Arial" w:cs="Times New Roman" w:hint="default"/>
        <w:b w:val="0"/>
        <w:i w:val="0"/>
        <w:sz w:val="22"/>
        <w:szCs w:val="22"/>
      </w:rPr>
    </w:lvl>
    <w:lvl w:ilvl="2">
      <w:start w:val="1"/>
      <w:numFmt w:val="lowerRoman"/>
      <w:lvlText w:val="(%3)"/>
      <w:lvlJc w:val="left"/>
      <w:pPr>
        <w:tabs>
          <w:tab w:val="num" w:pos="1701"/>
        </w:tabs>
        <w:ind w:left="1134" w:firstLine="0"/>
      </w:pPr>
      <w:rPr>
        <w:rFonts w:ascii="Arial" w:hAnsi="Arial" w:cs="Times New Roman" w:hint="default"/>
        <w:b w:val="0"/>
        <w:i w:val="0"/>
        <w:sz w:val="22"/>
        <w:szCs w:val="22"/>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num w:numId="1">
    <w:abstractNumId w:val="4"/>
  </w:num>
  <w:num w:numId="2">
    <w:abstractNumId w:val="12"/>
  </w:num>
  <w:num w:numId="3">
    <w:abstractNumId w:val="0"/>
  </w:num>
  <w:num w:numId="4">
    <w:abstractNumId w:val="15"/>
  </w:num>
  <w:num w:numId="5">
    <w:abstractNumId w:val="3"/>
  </w:num>
  <w:num w:numId="6">
    <w:abstractNumId w:val="6"/>
  </w:num>
  <w:num w:numId="7">
    <w:abstractNumId w:val="21"/>
  </w:num>
  <w:num w:numId="8">
    <w:abstractNumId w:val="23"/>
  </w:num>
  <w:num w:numId="9">
    <w:abstractNumId w:val="17"/>
  </w:num>
  <w:num w:numId="1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9"/>
  </w:num>
  <w:num w:numId="12">
    <w:abstractNumId w:val="10"/>
  </w:num>
  <w:num w:numId="13">
    <w:abstractNumId w:val="3"/>
  </w:num>
  <w:num w:numId="14">
    <w:abstractNumId w:val="3"/>
  </w:num>
  <w:num w:numId="15">
    <w:abstractNumId w:val="21"/>
    <w:lvlOverride w:ilvl="0">
      <w:startOverride w:val="7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5"/>
  </w:num>
  <w:num w:numId="17">
    <w:abstractNumId w:val="5"/>
  </w:num>
  <w:num w:numId="18">
    <w:abstractNumId w:val="21"/>
  </w:num>
  <w:num w:numId="19">
    <w:abstractNumId w:val="8"/>
  </w:num>
  <w:num w:numId="20">
    <w:abstractNumId w:val="21"/>
  </w:num>
  <w:num w:numId="21">
    <w:abstractNumId w:val="22"/>
  </w:num>
  <w:num w:numId="22">
    <w:abstractNumId w:val="21"/>
  </w:num>
  <w:num w:numId="23">
    <w:abstractNumId w:val="21"/>
  </w:num>
  <w:num w:numId="24">
    <w:abstractNumId w:val="2"/>
  </w:num>
  <w:num w:numId="25">
    <w:abstractNumId w:val="21"/>
  </w:num>
  <w:num w:numId="26">
    <w:abstractNumId w:val="20"/>
  </w:num>
  <w:num w:numId="27">
    <w:abstractNumId w:val="21"/>
  </w:num>
  <w:num w:numId="28">
    <w:abstractNumId w:val="11"/>
  </w:num>
  <w:num w:numId="29">
    <w:abstractNumId w:val="16"/>
  </w:num>
  <w:num w:numId="30">
    <w:abstractNumId w:val="7"/>
  </w:num>
  <w:num w:numId="31">
    <w:abstractNumId w:val="24"/>
  </w:num>
  <w:num w:numId="32">
    <w:abstractNumId w:val="21"/>
  </w:num>
  <w:num w:numId="33">
    <w:abstractNumId w:val="18"/>
  </w:num>
  <w:num w:numId="34">
    <w:abstractNumId w:val="21"/>
  </w:num>
  <w:num w:numId="35">
    <w:abstractNumId w:val="14"/>
  </w:num>
  <w:num w:numId="36">
    <w:abstractNumId w:val="21"/>
  </w:num>
  <w:num w:numId="37">
    <w:abstractNumId w:val="2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3"/>
  </w:num>
  <w:num w:numId="40">
    <w:abstractNumId w:val="1"/>
  </w:num>
  <w:num w:numId="41">
    <w:abstractNumId w:val="21"/>
  </w:num>
  <w:num w:numId="42">
    <w:abstractNumId w:val="9"/>
  </w:num>
  <w:num w:numId="4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6"/>
  </w:num>
  <w:num w:numId="47">
    <w:abstractNumId w:val="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Patrice Sam">
    <w15:presenceInfo w15:providerId="Windows Live" w15:userId="09a8aa99673470a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97"/>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47105"/>
  </w:hdrShapeDefaults>
  <w:footnotePr>
    <w:footnote w:id="-1"/>
    <w:footnote w:id="0"/>
    <w:footnote w:id="1"/>
  </w:footnotePr>
  <w:endnotePr>
    <w:numFmt w:val="decimal"/>
    <w:endnote w:id="-1"/>
    <w:endnote w:id="0"/>
    <w:endnote w:id="1"/>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ourceLng" w:val="eng"/>
    <w:docVar w:name="TargetLng" w:val="fra"/>
    <w:docVar w:name="TermBases" w:val="WIPONew"/>
    <w:docVar w:name="TermBaseURL" w:val="empty"/>
    <w:docVar w:name="TextBases" w:val="TextBase TMs\Administrative\Meetings|TextBase TMs\Administrative\Other|TextBase TMs\Administrative\Publications|TextBase TMs\Budget and Finance\Meetings|TextBase TMs\Budget and Finance\Other|TextBase TMs\Budget and Finance\Publications|TextBase TMs\WorkspaceFTS\EN-FR\ACE|TextBase TMs\WorkspaceFTS\EN-FR\Administratif|TextBase TMs\WorkspaceFTS\EN-FR\AMC|TextBase TMs\WorkspaceFTS\EN-FR\Assemblées|TextBase TMs\WorkspaceFTS\EN-FR\Budapest|TextBase TMs\WorkspaceFTS\EN-FR\CDIP|TextBase TMs\WorkspaceFTS\EN-FR\CWS|TextBase TMs\WorkspaceFTS\EN-FR\Divers|TextBase TMs\WorkspaceFTS\EN-FR\GRTKF|TextBase TMs\WorkspaceFTS\EN-FR\Hague|TextBase TMs\WorkspaceFTS\EN-FR\IPC|TextBase TMs\WorkspaceFTS\EN-FR\Lisbonne|TextBase TMs\WorkspaceFTS\EN-FR\Madrid|TextBase TMs\WorkspaceFTS\EN-FR\PCT|TextBase TMs\WorkspaceFTS\EN-FR\PLT|TextBase TMs\WorkspaceFTS\EN-FR\SCCR|TextBase TMs\WorkspaceFTS\EN-FR\SCP|TextBase TMs\WorkspaceFTS\EN-FR\SCT|TextBase TMs\WorkspaceFTS\EN-FR\UPOV|TextBase TMs\WorkspaceFTS\EN-FR\WO_CC|TextBase TMs\WorkspaceFTS\EN-FR\WO_GA|TextBase TMs\WorkspaceFTS\EN-FR\WO_PBC|TextBase TMs\Copyright\Meetings|TextBase TMs\Copyright\Other|TextBase TMs\Copyright\Publications|TextBase TMs\Glossaries\EN-FR|TextBase TMs\IP in General\Academy|TextBase TMs\IP in General\Arbitration and Mediation|TextBase TMs\IP in General\Meetings|TextBase TMs\IP in General\Other|TextBase TMs\IP in General\Press Room|TextBase TMs\IP in General\Publications|TextBase TMs\IP in General\SpeechDG2014|TextBase TMs\Patents\Meetings|TextBase TMs\Patents\Other|TextBase TMs\Patents\Publications|TextBase TMs\Trademarks\Meetings|TextBase TMs\Trademarks\Other|TextBase TMs\Trademarks\Publications|TextBase TMs\Treaties\Model Laws|TextBase TMs\Treaties\Other Laws and Agreements|TextBase TMs\Treaties\WIPO-administered"/>
    <w:docVar w:name="TextBaseURL" w:val="empty"/>
    <w:docVar w:name="UILng" w:val="en"/>
  </w:docVars>
  <w:rsids>
    <w:rsidRoot w:val="004B6701"/>
    <w:rsid w:val="000003AE"/>
    <w:rsid w:val="000055C7"/>
    <w:rsid w:val="00037502"/>
    <w:rsid w:val="00042A15"/>
    <w:rsid w:val="00042A50"/>
    <w:rsid w:val="00043795"/>
    <w:rsid w:val="00043CAA"/>
    <w:rsid w:val="00045FD8"/>
    <w:rsid w:val="000526EA"/>
    <w:rsid w:val="000611C4"/>
    <w:rsid w:val="000737B5"/>
    <w:rsid w:val="00075432"/>
    <w:rsid w:val="00077661"/>
    <w:rsid w:val="00077842"/>
    <w:rsid w:val="00091C15"/>
    <w:rsid w:val="000921A9"/>
    <w:rsid w:val="00096403"/>
    <w:rsid w:val="0009671F"/>
    <w:rsid w:val="000968ED"/>
    <w:rsid w:val="000A1473"/>
    <w:rsid w:val="000A647F"/>
    <w:rsid w:val="000B0098"/>
    <w:rsid w:val="000D0188"/>
    <w:rsid w:val="000E2FC8"/>
    <w:rsid w:val="000E787F"/>
    <w:rsid w:val="000F04D4"/>
    <w:rsid w:val="000F14DE"/>
    <w:rsid w:val="000F3F26"/>
    <w:rsid w:val="000F5E56"/>
    <w:rsid w:val="000F6F63"/>
    <w:rsid w:val="001040AF"/>
    <w:rsid w:val="0011018F"/>
    <w:rsid w:val="001118B4"/>
    <w:rsid w:val="00113834"/>
    <w:rsid w:val="00126C5A"/>
    <w:rsid w:val="0013256A"/>
    <w:rsid w:val="001325CF"/>
    <w:rsid w:val="0013389F"/>
    <w:rsid w:val="001362EE"/>
    <w:rsid w:val="00136E83"/>
    <w:rsid w:val="00140A13"/>
    <w:rsid w:val="0014516E"/>
    <w:rsid w:val="0014628B"/>
    <w:rsid w:val="00147665"/>
    <w:rsid w:val="0015043C"/>
    <w:rsid w:val="00157B01"/>
    <w:rsid w:val="00161964"/>
    <w:rsid w:val="001625B3"/>
    <w:rsid w:val="00164C2D"/>
    <w:rsid w:val="00173108"/>
    <w:rsid w:val="00174A63"/>
    <w:rsid w:val="00176141"/>
    <w:rsid w:val="001811CF"/>
    <w:rsid w:val="001832A6"/>
    <w:rsid w:val="001858C9"/>
    <w:rsid w:val="001A12DA"/>
    <w:rsid w:val="001A56A8"/>
    <w:rsid w:val="001A6B0E"/>
    <w:rsid w:val="001B5644"/>
    <w:rsid w:val="001B7B59"/>
    <w:rsid w:val="001C0542"/>
    <w:rsid w:val="001C1E16"/>
    <w:rsid w:val="001C3690"/>
    <w:rsid w:val="001C3C72"/>
    <w:rsid w:val="001C5197"/>
    <w:rsid w:val="001D28C2"/>
    <w:rsid w:val="001D59E5"/>
    <w:rsid w:val="001E109C"/>
    <w:rsid w:val="001E2D32"/>
    <w:rsid w:val="001E429A"/>
    <w:rsid w:val="001F471C"/>
    <w:rsid w:val="001F49C3"/>
    <w:rsid w:val="001F6942"/>
    <w:rsid w:val="0020020F"/>
    <w:rsid w:val="002047C2"/>
    <w:rsid w:val="00206602"/>
    <w:rsid w:val="00206691"/>
    <w:rsid w:val="0021382A"/>
    <w:rsid w:val="00213EB9"/>
    <w:rsid w:val="00214569"/>
    <w:rsid w:val="002172DD"/>
    <w:rsid w:val="0022315B"/>
    <w:rsid w:val="002356AB"/>
    <w:rsid w:val="00240678"/>
    <w:rsid w:val="0024427E"/>
    <w:rsid w:val="00246BD1"/>
    <w:rsid w:val="002539F1"/>
    <w:rsid w:val="00263055"/>
    <w:rsid w:val="002634C4"/>
    <w:rsid w:val="00273442"/>
    <w:rsid w:val="00274898"/>
    <w:rsid w:val="00280C9A"/>
    <w:rsid w:val="00283187"/>
    <w:rsid w:val="002861F4"/>
    <w:rsid w:val="00286591"/>
    <w:rsid w:val="00287160"/>
    <w:rsid w:val="0029007D"/>
    <w:rsid w:val="002902F8"/>
    <w:rsid w:val="002918FE"/>
    <w:rsid w:val="002928D3"/>
    <w:rsid w:val="00294DD2"/>
    <w:rsid w:val="00294F58"/>
    <w:rsid w:val="002A3468"/>
    <w:rsid w:val="002B05D3"/>
    <w:rsid w:val="002B1D11"/>
    <w:rsid w:val="002B3C52"/>
    <w:rsid w:val="002C1954"/>
    <w:rsid w:val="002C7BD2"/>
    <w:rsid w:val="002D2AA9"/>
    <w:rsid w:val="002E1A37"/>
    <w:rsid w:val="002F1FE6"/>
    <w:rsid w:val="002F4E68"/>
    <w:rsid w:val="00303667"/>
    <w:rsid w:val="00310903"/>
    <w:rsid w:val="00312E08"/>
    <w:rsid w:val="00312F7F"/>
    <w:rsid w:val="00317805"/>
    <w:rsid w:val="003228B7"/>
    <w:rsid w:val="00331469"/>
    <w:rsid w:val="0033157E"/>
    <w:rsid w:val="0034349C"/>
    <w:rsid w:val="0034511F"/>
    <w:rsid w:val="00352817"/>
    <w:rsid w:val="003551E8"/>
    <w:rsid w:val="0036105F"/>
    <w:rsid w:val="003673CF"/>
    <w:rsid w:val="003723D5"/>
    <w:rsid w:val="003845C1"/>
    <w:rsid w:val="00390583"/>
    <w:rsid w:val="00392212"/>
    <w:rsid w:val="00396777"/>
    <w:rsid w:val="003A18B5"/>
    <w:rsid w:val="003A4009"/>
    <w:rsid w:val="003A6F89"/>
    <w:rsid w:val="003B38C1"/>
    <w:rsid w:val="003B75C2"/>
    <w:rsid w:val="003C1B55"/>
    <w:rsid w:val="003C28FA"/>
    <w:rsid w:val="003C3D24"/>
    <w:rsid w:val="003E2852"/>
    <w:rsid w:val="003F279E"/>
    <w:rsid w:val="003F2B38"/>
    <w:rsid w:val="00400D13"/>
    <w:rsid w:val="0040317F"/>
    <w:rsid w:val="00411FE7"/>
    <w:rsid w:val="00423E3E"/>
    <w:rsid w:val="00427AF4"/>
    <w:rsid w:val="00436AFB"/>
    <w:rsid w:val="004400E2"/>
    <w:rsid w:val="00444503"/>
    <w:rsid w:val="00447F00"/>
    <w:rsid w:val="00450E42"/>
    <w:rsid w:val="00451660"/>
    <w:rsid w:val="0045172E"/>
    <w:rsid w:val="004647DA"/>
    <w:rsid w:val="00464E49"/>
    <w:rsid w:val="00474062"/>
    <w:rsid w:val="004744AC"/>
    <w:rsid w:val="00477D6B"/>
    <w:rsid w:val="00480D6E"/>
    <w:rsid w:val="004826DB"/>
    <w:rsid w:val="00486BDE"/>
    <w:rsid w:val="00491FA2"/>
    <w:rsid w:val="004934E6"/>
    <w:rsid w:val="00494D02"/>
    <w:rsid w:val="00495512"/>
    <w:rsid w:val="004A0CBF"/>
    <w:rsid w:val="004A0DF7"/>
    <w:rsid w:val="004A7F2D"/>
    <w:rsid w:val="004B2173"/>
    <w:rsid w:val="004B28E2"/>
    <w:rsid w:val="004B347E"/>
    <w:rsid w:val="004B5ABF"/>
    <w:rsid w:val="004B6701"/>
    <w:rsid w:val="004C0E7A"/>
    <w:rsid w:val="004C21B1"/>
    <w:rsid w:val="004D2C55"/>
    <w:rsid w:val="004D66A2"/>
    <w:rsid w:val="004D6A1C"/>
    <w:rsid w:val="004E146D"/>
    <w:rsid w:val="004E4898"/>
    <w:rsid w:val="00507A71"/>
    <w:rsid w:val="00513BC8"/>
    <w:rsid w:val="005242EE"/>
    <w:rsid w:val="0053057A"/>
    <w:rsid w:val="00532CBD"/>
    <w:rsid w:val="00533AC5"/>
    <w:rsid w:val="00534663"/>
    <w:rsid w:val="005349FC"/>
    <w:rsid w:val="00537A99"/>
    <w:rsid w:val="00537B8D"/>
    <w:rsid w:val="0054309C"/>
    <w:rsid w:val="00543F36"/>
    <w:rsid w:val="00543FB7"/>
    <w:rsid w:val="00544A7D"/>
    <w:rsid w:val="005455F1"/>
    <w:rsid w:val="005464D7"/>
    <w:rsid w:val="005525E8"/>
    <w:rsid w:val="00557227"/>
    <w:rsid w:val="00560A29"/>
    <w:rsid w:val="00575114"/>
    <w:rsid w:val="0057775C"/>
    <w:rsid w:val="00580EE4"/>
    <w:rsid w:val="005839D9"/>
    <w:rsid w:val="0058548F"/>
    <w:rsid w:val="005B1EB4"/>
    <w:rsid w:val="005B5683"/>
    <w:rsid w:val="005C2D6D"/>
    <w:rsid w:val="005D7088"/>
    <w:rsid w:val="005D7F4E"/>
    <w:rsid w:val="005E13DD"/>
    <w:rsid w:val="005E6584"/>
    <w:rsid w:val="005F1936"/>
    <w:rsid w:val="005F1D9B"/>
    <w:rsid w:val="00604F19"/>
    <w:rsid w:val="00605540"/>
    <w:rsid w:val="00605827"/>
    <w:rsid w:val="00611020"/>
    <w:rsid w:val="0061246C"/>
    <w:rsid w:val="00621AB2"/>
    <w:rsid w:val="00624386"/>
    <w:rsid w:val="006312EC"/>
    <w:rsid w:val="00632DE9"/>
    <w:rsid w:val="00637FDD"/>
    <w:rsid w:val="0064277F"/>
    <w:rsid w:val="00646050"/>
    <w:rsid w:val="006510ED"/>
    <w:rsid w:val="0065404B"/>
    <w:rsid w:val="00654077"/>
    <w:rsid w:val="006713CA"/>
    <w:rsid w:val="00674A65"/>
    <w:rsid w:val="00676C5C"/>
    <w:rsid w:val="00677F67"/>
    <w:rsid w:val="006923C8"/>
    <w:rsid w:val="00696B04"/>
    <w:rsid w:val="00697E35"/>
    <w:rsid w:val="006A0D3F"/>
    <w:rsid w:val="006A6EDF"/>
    <w:rsid w:val="006B2AFA"/>
    <w:rsid w:val="006B60BD"/>
    <w:rsid w:val="006C25ED"/>
    <w:rsid w:val="006C7C93"/>
    <w:rsid w:val="006D02A3"/>
    <w:rsid w:val="006E5C22"/>
    <w:rsid w:val="006E6DAD"/>
    <w:rsid w:val="006E7669"/>
    <w:rsid w:val="006F0553"/>
    <w:rsid w:val="006F517F"/>
    <w:rsid w:val="00701D74"/>
    <w:rsid w:val="007058FB"/>
    <w:rsid w:val="007168AC"/>
    <w:rsid w:val="007266E7"/>
    <w:rsid w:val="00745A6E"/>
    <w:rsid w:val="007642D5"/>
    <w:rsid w:val="007830CB"/>
    <w:rsid w:val="00787179"/>
    <w:rsid w:val="007874B0"/>
    <w:rsid w:val="007875E8"/>
    <w:rsid w:val="00787E03"/>
    <w:rsid w:val="00791391"/>
    <w:rsid w:val="00794EC0"/>
    <w:rsid w:val="00795104"/>
    <w:rsid w:val="007A0B65"/>
    <w:rsid w:val="007A46D6"/>
    <w:rsid w:val="007B0574"/>
    <w:rsid w:val="007B38D4"/>
    <w:rsid w:val="007B6A58"/>
    <w:rsid w:val="007C1EBC"/>
    <w:rsid w:val="007C234D"/>
    <w:rsid w:val="007C30B5"/>
    <w:rsid w:val="007C6A50"/>
    <w:rsid w:val="007C6C2E"/>
    <w:rsid w:val="007D1613"/>
    <w:rsid w:val="007D2421"/>
    <w:rsid w:val="007D4AB0"/>
    <w:rsid w:val="007E687F"/>
    <w:rsid w:val="007E70D8"/>
    <w:rsid w:val="007F0E24"/>
    <w:rsid w:val="007F4F40"/>
    <w:rsid w:val="007F65E2"/>
    <w:rsid w:val="00800194"/>
    <w:rsid w:val="008052E6"/>
    <w:rsid w:val="0081363B"/>
    <w:rsid w:val="00817611"/>
    <w:rsid w:val="00820985"/>
    <w:rsid w:val="00826201"/>
    <w:rsid w:val="008400D1"/>
    <w:rsid w:val="008404B7"/>
    <w:rsid w:val="00840A87"/>
    <w:rsid w:val="008414E9"/>
    <w:rsid w:val="00846A49"/>
    <w:rsid w:val="00847021"/>
    <w:rsid w:val="00854761"/>
    <w:rsid w:val="00862FFA"/>
    <w:rsid w:val="0087184D"/>
    <w:rsid w:val="00871CAE"/>
    <w:rsid w:val="00881C5C"/>
    <w:rsid w:val="00882C1D"/>
    <w:rsid w:val="00884CC9"/>
    <w:rsid w:val="008954E3"/>
    <w:rsid w:val="00895E0C"/>
    <w:rsid w:val="008A7961"/>
    <w:rsid w:val="008B2CC1"/>
    <w:rsid w:val="008B60B2"/>
    <w:rsid w:val="008C013E"/>
    <w:rsid w:val="008C3DED"/>
    <w:rsid w:val="008C7722"/>
    <w:rsid w:val="008D26CB"/>
    <w:rsid w:val="008D49B4"/>
    <w:rsid w:val="008E117E"/>
    <w:rsid w:val="008F3B49"/>
    <w:rsid w:val="009071A9"/>
    <w:rsid w:val="0090731E"/>
    <w:rsid w:val="00907F8E"/>
    <w:rsid w:val="00914A26"/>
    <w:rsid w:val="00916A9B"/>
    <w:rsid w:val="00916EE2"/>
    <w:rsid w:val="00920E72"/>
    <w:rsid w:val="00920E74"/>
    <w:rsid w:val="00922BC8"/>
    <w:rsid w:val="00923496"/>
    <w:rsid w:val="00924E1D"/>
    <w:rsid w:val="0093235E"/>
    <w:rsid w:val="00935C1C"/>
    <w:rsid w:val="00951C0E"/>
    <w:rsid w:val="00954E37"/>
    <w:rsid w:val="00956192"/>
    <w:rsid w:val="00962758"/>
    <w:rsid w:val="00963387"/>
    <w:rsid w:val="00966A22"/>
    <w:rsid w:val="0096722F"/>
    <w:rsid w:val="009675BF"/>
    <w:rsid w:val="0097432F"/>
    <w:rsid w:val="00980843"/>
    <w:rsid w:val="009819BE"/>
    <w:rsid w:val="00981D2A"/>
    <w:rsid w:val="00987739"/>
    <w:rsid w:val="009910F7"/>
    <w:rsid w:val="009A12FE"/>
    <w:rsid w:val="009A2066"/>
    <w:rsid w:val="009B38A5"/>
    <w:rsid w:val="009B7025"/>
    <w:rsid w:val="009C37FB"/>
    <w:rsid w:val="009C3BD4"/>
    <w:rsid w:val="009C6F7D"/>
    <w:rsid w:val="009D1914"/>
    <w:rsid w:val="009D59E5"/>
    <w:rsid w:val="009E0EFA"/>
    <w:rsid w:val="009E111F"/>
    <w:rsid w:val="009E2791"/>
    <w:rsid w:val="009E3F6F"/>
    <w:rsid w:val="009F0C09"/>
    <w:rsid w:val="009F499F"/>
    <w:rsid w:val="00A010A4"/>
    <w:rsid w:val="00A01236"/>
    <w:rsid w:val="00A029DD"/>
    <w:rsid w:val="00A07210"/>
    <w:rsid w:val="00A074CA"/>
    <w:rsid w:val="00A10659"/>
    <w:rsid w:val="00A12BF4"/>
    <w:rsid w:val="00A15D90"/>
    <w:rsid w:val="00A2657B"/>
    <w:rsid w:val="00A26B19"/>
    <w:rsid w:val="00A36E63"/>
    <w:rsid w:val="00A41DD8"/>
    <w:rsid w:val="00A42DAF"/>
    <w:rsid w:val="00A45BD8"/>
    <w:rsid w:val="00A50EE0"/>
    <w:rsid w:val="00A52D34"/>
    <w:rsid w:val="00A60D71"/>
    <w:rsid w:val="00A61FE3"/>
    <w:rsid w:val="00A74323"/>
    <w:rsid w:val="00A75E8D"/>
    <w:rsid w:val="00A77BA6"/>
    <w:rsid w:val="00A85B8E"/>
    <w:rsid w:val="00A87220"/>
    <w:rsid w:val="00A95F63"/>
    <w:rsid w:val="00A975DC"/>
    <w:rsid w:val="00AA228C"/>
    <w:rsid w:val="00AA30A7"/>
    <w:rsid w:val="00AA321B"/>
    <w:rsid w:val="00AA539A"/>
    <w:rsid w:val="00AB05ED"/>
    <w:rsid w:val="00AB3585"/>
    <w:rsid w:val="00AB7DE8"/>
    <w:rsid w:val="00AB7E9E"/>
    <w:rsid w:val="00AC0825"/>
    <w:rsid w:val="00AC205C"/>
    <w:rsid w:val="00AC5DA6"/>
    <w:rsid w:val="00AD00CB"/>
    <w:rsid w:val="00AD3A61"/>
    <w:rsid w:val="00AE00DB"/>
    <w:rsid w:val="00AE5ACD"/>
    <w:rsid w:val="00AE7BE4"/>
    <w:rsid w:val="00AF4A4E"/>
    <w:rsid w:val="00B05A69"/>
    <w:rsid w:val="00B14DE4"/>
    <w:rsid w:val="00B16304"/>
    <w:rsid w:val="00B2126A"/>
    <w:rsid w:val="00B21ACA"/>
    <w:rsid w:val="00B23382"/>
    <w:rsid w:val="00B25185"/>
    <w:rsid w:val="00B277A4"/>
    <w:rsid w:val="00B34E17"/>
    <w:rsid w:val="00B532CB"/>
    <w:rsid w:val="00B56438"/>
    <w:rsid w:val="00B570D2"/>
    <w:rsid w:val="00B66F63"/>
    <w:rsid w:val="00B74E9E"/>
    <w:rsid w:val="00B77ADE"/>
    <w:rsid w:val="00B93272"/>
    <w:rsid w:val="00B95ADC"/>
    <w:rsid w:val="00B9734B"/>
    <w:rsid w:val="00BA45A3"/>
    <w:rsid w:val="00BB22C4"/>
    <w:rsid w:val="00BB29B9"/>
    <w:rsid w:val="00BB6D15"/>
    <w:rsid w:val="00BC209B"/>
    <w:rsid w:val="00BC5DBD"/>
    <w:rsid w:val="00BC6E76"/>
    <w:rsid w:val="00BE4D05"/>
    <w:rsid w:val="00BE6712"/>
    <w:rsid w:val="00BF0144"/>
    <w:rsid w:val="00BF10AA"/>
    <w:rsid w:val="00C11BFE"/>
    <w:rsid w:val="00C15F00"/>
    <w:rsid w:val="00C17676"/>
    <w:rsid w:val="00C17856"/>
    <w:rsid w:val="00C33E38"/>
    <w:rsid w:val="00C37A90"/>
    <w:rsid w:val="00C46804"/>
    <w:rsid w:val="00C46DD0"/>
    <w:rsid w:val="00C5679F"/>
    <w:rsid w:val="00C640F7"/>
    <w:rsid w:val="00C64DD0"/>
    <w:rsid w:val="00C71859"/>
    <w:rsid w:val="00C743B9"/>
    <w:rsid w:val="00C765F0"/>
    <w:rsid w:val="00C77961"/>
    <w:rsid w:val="00C94629"/>
    <w:rsid w:val="00C9704E"/>
    <w:rsid w:val="00CA196F"/>
    <w:rsid w:val="00CA3660"/>
    <w:rsid w:val="00CA7753"/>
    <w:rsid w:val="00CB07F2"/>
    <w:rsid w:val="00CB3F81"/>
    <w:rsid w:val="00CC11C5"/>
    <w:rsid w:val="00CC7151"/>
    <w:rsid w:val="00CD54F8"/>
    <w:rsid w:val="00CD7A59"/>
    <w:rsid w:val="00CE033F"/>
    <w:rsid w:val="00CE0AF5"/>
    <w:rsid w:val="00CE2815"/>
    <w:rsid w:val="00CF1A6B"/>
    <w:rsid w:val="00CF286F"/>
    <w:rsid w:val="00CF3B66"/>
    <w:rsid w:val="00D067C8"/>
    <w:rsid w:val="00D12A8F"/>
    <w:rsid w:val="00D22D4D"/>
    <w:rsid w:val="00D27037"/>
    <w:rsid w:val="00D434E2"/>
    <w:rsid w:val="00D45252"/>
    <w:rsid w:val="00D502F9"/>
    <w:rsid w:val="00D516E7"/>
    <w:rsid w:val="00D54B89"/>
    <w:rsid w:val="00D575A5"/>
    <w:rsid w:val="00D646CA"/>
    <w:rsid w:val="00D67BD3"/>
    <w:rsid w:val="00D71B4D"/>
    <w:rsid w:val="00D741E5"/>
    <w:rsid w:val="00D8296C"/>
    <w:rsid w:val="00D830F1"/>
    <w:rsid w:val="00D8524D"/>
    <w:rsid w:val="00D93D55"/>
    <w:rsid w:val="00DA6502"/>
    <w:rsid w:val="00DA6ADF"/>
    <w:rsid w:val="00DA77DB"/>
    <w:rsid w:val="00DB0525"/>
    <w:rsid w:val="00DC0D69"/>
    <w:rsid w:val="00DC48E2"/>
    <w:rsid w:val="00DD2751"/>
    <w:rsid w:val="00DE390D"/>
    <w:rsid w:val="00DE6C86"/>
    <w:rsid w:val="00DF13AA"/>
    <w:rsid w:val="00DF7C4C"/>
    <w:rsid w:val="00E03902"/>
    <w:rsid w:val="00E04B15"/>
    <w:rsid w:val="00E05788"/>
    <w:rsid w:val="00E07818"/>
    <w:rsid w:val="00E14B47"/>
    <w:rsid w:val="00E16E2A"/>
    <w:rsid w:val="00E204EC"/>
    <w:rsid w:val="00E218C9"/>
    <w:rsid w:val="00E2643D"/>
    <w:rsid w:val="00E32ADE"/>
    <w:rsid w:val="00E32C97"/>
    <w:rsid w:val="00E335FE"/>
    <w:rsid w:val="00E33E89"/>
    <w:rsid w:val="00E34161"/>
    <w:rsid w:val="00E3432C"/>
    <w:rsid w:val="00E365E6"/>
    <w:rsid w:val="00E4030E"/>
    <w:rsid w:val="00E412BD"/>
    <w:rsid w:val="00E444D9"/>
    <w:rsid w:val="00E5021F"/>
    <w:rsid w:val="00E65EF4"/>
    <w:rsid w:val="00E71E89"/>
    <w:rsid w:val="00E763B9"/>
    <w:rsid w:val="00E76BD7"/>
    <w:rsid w:val="00E87B71"/>
    <w:rsid w:val="00E90A54"/>
    <w:rsid w:val="00E97E8B"/>
    <w:rsid w:val="00EA2EF2"/>
    <w:rsid w:val="00EC0EAE"/>
    <w:rsid w:val="00EC4E49"/>
    <w:rsid w:val="00ED1829"/>
    <w:rsid w:val="00ED1AFE"/>
    <w:rsid w:val="00ED25C9"/>
    <w:rsid w:val="00ED77FB"/>
    <w:rsid w:val="00EE4235"/>
    <w:rsid w:val="00EE7BCE"/>
    <w:rsid w:val="00EF17CB"/>
    <w:rsid w:val="00EF30CE"/>
    <w:rsid w:val="00F021A6"/>
    <w:rsid w:val="00F1379A"/>
    <w:rsid w:val="00F21A32"/>
    <w:rsid w:val="00F248F8"/>
    <w:rsid w:val="00F415B1"/>
    <w:rsid w:val="00F420EC"/>
    <w:rsid w:val="00F44575"/>
    <w:rsid w:val="00F45986"/>
    <w:rsid w:val="00F50E35"/>
    <w:rsid w:val="00F64205"/>
    <w:rsid w:val="00F66152"/>
    <w:rsid w:val="00F73A5E"/>
    <w:rsid w:val="00F76F40"/>
    <w:rsid w:val="00F812A1"/>
    <w:rsid w:val="00F9030B"/>
    <w:rsid w:val="00F97BC0"/>
    <w:rsid w:val="00FB11DF"/>
    <w:rsid w:val="00FB238F"/>
    <w:rsid w:val="00FB70C5"/>
    <w:rsid w:val="00FC0C27"/>
    <w:rsid w:val="00FD12E6"/>
    <w:rsid w:val="00FD2537"/>
    <w:rsid w:val="00FD5B85"/>
    <w:rsid w:val="00FE2EAA"/>
    <w:rsid w:val="00FE3A3B"/>
    <w:rsid w:val="00FF43B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Plain Text" w:uiPriority="99"/>
    <w:lsdException w:name="Normal (Web)" w:uiPriority="99"/>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D8524D"/>
    <w:pPr>
      <w:keepNext/>
      <w:spacing w:before="360" w:after="360"/>
      <w:outlineLvl w:val="0"/>
    </w:pPr>
    <w:rPr>
      <w:b/>
      <w:bCs/>
      <w:caps/>
      <w:kern w:val="32"/>
      <w:szCs w:val="32"/>
    </w:rPr>
  </w:style>
  <w:style w:type="paragraph" w:styleId="Heading2">
    <w:name w:val="heading 2"/>
    <w:basedOn w:val="Normal"/>
    <w:next w:val="Normal"/>
    <w:link w:val="Heading2Char"/>
    <w:qFormat/>
    <w:rsid w:val="00B66F63"/>
    <w:pPr>
      <w:keepNext/>
      <w:spacing w:before="240" w:after="24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BalloonText">
    <w:name w:val="Balloon Text"/>
    <w:basedOn w:val="Normal"/>
    <w:link w:val="BalloonTextChar"/>
    <w:rsid w:val="008414E9"/>
    <w:rPr>
      <w:rFonts w:ascii="Tahoma" w:hAnsi="Tahoma" w:cs="Tahoma"/>
      <w:sz w:val="16"/>
      <w:szCs w:val="16"/>
    </w:rPr>
  </w:style>
  <w:style w:type="paragraph" w:styleId="CommentText">
    <w:name w:val="annotation text"/>
    <w:basedOn w:val="Normal"/>
    <w:link w:val="CommentTextChar"/>
    <w:semiHidden/>
    <w:rsid w:val="00676C5C"/>
    <w:rPr>
      <w:sz w:val="18"/>
    </w:rPr>
  </w:style>
  <w:style w:type="paragraph" w:styleId="EndnoteText">
    <w:name w:val="endnote text"/>
    <w:basedOn w:val="Normal"/>
    <w:link w:val="EndnoteTextChar"/>
    <w:semiHidden/>
    <w:rsid w:val="00676C5C"/>
    <w:rPr>
      <w:sz w:val="18"/>
    </w:rPr>
  </w:style>
  <w:style w:type="paragraph" w:styleId="Footer">
    <w:name w:val="footer"/>
    <w:basedOn w:val="Normal"/>
    <w:semiHidden/>
    <w:rsid w:val="00676C5C"/>
    <w:pPr>
      <w:tabs>
        <w:tab w:val="center" w:pos="4320"/>
        <w:tab w:val="right" w:pos="8640"/>
      </w:tabs>
    </w:pPr>
  </w:style>
  <w:style w:type="character" w:customStyle="1" w:styleId="BalloonTextChar">
    <w:name w:val="Balloon Text Char"/>
    <w:basedOn w:val="DefaultParagraphFont"/>
    <w:link w:val="BalloonText"/>
    <w:rsid w:val="008414E9"/>
    <w:rPr>
      <w:rFonts w:ascii="Tahoma" w:eastAsia="SimSun" w:hAnsi="Tahoma" w:cs="Tahoma"/>
      <w:sz w:val="16"/>
      <w:szCs w:val="16"/>
      <w:lang w:eastAsia="zh-CN"/>
    </w:rPr>
  </w:style>
  <w:style w:type="paragraph" w:styleId="FootnoteText">
    <w:name w:val="footnote text"/>
    <w:aliases w:val="Footnote,Char"/>
    <w:basedOn w:val="Normal"/>
    <w:link w:val="FootnoteTextChar"/>
    <w:semiHidden/>
    <w:rsid w:val="00676C5C"/>
    <w:rPr>
      <w:sz w:val="18"/>
    </w:rPr>
  </w:style>
  <w:style w:type="paragraph" w:styleId="Header">
    <w:name w:val="header"/>
    <w:basedOn w:val="Normal"/>
    <w:link w:val="HeaderChar"/>
    <w:uiPriority w:val="99"/>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uiPriority w:val="99"/>
    <w:rsid w:val="00676C5C"/>
    <w:pPr>
      <w:numPr>
        <w:numId w:val="7"/>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TOC1">
    <w:name w:val="toc 1"/>
    <w:basedOn w:val="Normal"/>
    <w:next w:val="Normal"/>
    <w:autoRedefine/>
    <w:uiPriority w:val="39"/>
    <w:qFormat/>
    <w:rsid w:val="00213EB9"/>
    <w:pPr>
      <w:tabs>
        <w:tab w:val="right" w:leader="dot" w:pos="9356"/>
      </w:tabs>
      <w:spacing w:before="120" w:after="120"/>
      <w:ind w:right="850"/>
    </w:pPr>
    <w:rPr>
      <w:caps/>
    </w:rPr>
  </w:style>
  <w:style w:type="character" w:customStyle="1" w:styleId="ONUMEChar">
    <w:name w:val="ONUM E Char"/>
    <w:link w:val="ONUME"/>
    <w:uiPriority w:val="99"/>
    <w:locked/>
    <w:rsid w:val="004B6701"/>
    <w:rPr>
      <w:rFonts w:ascii="Arial" w:eastAsia="SimSun" w:hAnsi="Arial" w:cs="Arial"/>
      <w:sz w:val="22"/>
      <w:lang w:eastAsia="zh-CN"/>
    </w:rPr>
  </w:style>
  <w:style w:type="character" w:styleId="Hyperlink">
    <w:name w:val="Hyperlink"/>
    <w:basedOn w:val="DefaultParagraphFont"/>
    <w:uiPriority w:val="99"/>
    <w:rsid w:val="004B6701"/>
    <w:rPr>
      <w:rFonts w:cs="Times New Roman"/>
      <w:color w:val="0000FF"/>
      <w:u w:val="single"/>
    </w:rPr>
  </w:style>
  <w:style w:type="character" w:customStyle="1" w:styleId="Heading2Char">
    <w:name w:val="Heading 2 Char"/>
    <w:link w:val="Heading2"/>
    <w:locked/>
    <w:rsid w:val="00B66F63"/>
    <w:rPr>
      <w:rFonts w:ascii="Arial" w:eastAsia="SimSun" w:hAnsi="Arial" w:cs="Arial"/>
      <w:bCs/>
      <w:iCs/>
      <w:caps/>
      <w:sz w:val="22"/>
      <w:szCs w:val="28"/>
      <w:lang w:eastAsia="zh-CN"/>
    </w:rPr>
  </w:style>
  <w:style w:type="table" w:styleId="TableGrid">
    <w:name w:val="Table Grid"/>
    <w:basedOn w:val="TableNormal"/>
    <w:uiPriority w:val="59"/>
    <w:rsid w:val="00CE2815"/>
    <w:pPr>
      <w:spacing w:after="120" w:line="260" w:lineRule="exact"/>
      <w:ind w:left="1021"/>
    </w:pPr>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rsid w:val="00E365E6"/>
    <w:rPr>
      <w:rFonts w:cs="Times New Roman"/>
      <w:vertAlign w:val="superscript"/>
    </w:rPr>
  </w:style>
  <w:style w:type="character" w:customStyle="1" w:styleId="FootnoteTextChar">
    <w:name w:val="Footnote Text Char"/>
    <w:aliases w:val="Footnote Char,Char Char"/>
    <w:link w:val="FootnoteText"/>
    <w:semiHidden/>
    <w:locked/>
    <w:rsid w:val="00E365E6"/>
    <w:rPr>
      <w:rFonts w:ascii="Arial" w:eastAsia="SimSun" w:hAnsi="Arial" w:cs="Arial"/>
      <w:sz w:val="18"/>
      <w:lang w:eastAsia="zh-CN"/>
    </w:rPr>
  </w:style>
  <w:style w:type="paragraph" w:styleId="Caption">
    <w:name w:val="caption"/>
    <w:basedOn w:val="Normal"/>
    <w:next w:val="Normal"/>
    <w:link w:val="CaptionChar"/>
    <w:qFormat/>
    <w:rsid w:val="008414E9"/>
    <w:rPr>
      <w:b/>
      <w:bCs/>
      <w:sz w:val="18"/>
    </w:rPr>
  </w:style>
  <w:style w:type="character" w:customStyle="1" w:styleId="CaptionChar">
    <w:name w:val="Caption Char"/>
    <w:basedOn w:val="DefaultParagraphFont"/>
    <w:link w:val="Caption"/>
    <w:rsid w:val="008414E9"/>
    <w:rPr>
      <w:rFonts w:ascii="Arial" w:eastAsia="SimSun" w:hAnsi="Arial" w:cs="Arial"/>
      <w:b/>
      <w:bCs/>
      <w:sz w:val="18"/>
      <w:lang w:eastAsia="zh-CN"/>
    </w:rPr>
  </w:style>
  <w:style w:type="character" w:customStyle="1" w:styleId="HeaderChar">
    <w:name w:val="Header Char"/>
    <w:link w:val="Header"/>
    <w:uiPriority w:val="99"/>
    <w:semiHidden/>
    <w:locked/>
    <w:rsid w:val="00E412BD"/>
    <w:rPr>
      <w:rFonts w:ascii="Arial" w:eastAsia="SimSun" w:hAnsi="Arial" w:cs="Arial"/>
      <w:sz w:val="22"/>
      <w:lang w:eastAsia="zh-CN"/>
    </w:rPr>
  </w:style>
  <w:style w:type="paragraph" w:styleId="PlainText">
    <w:name w:val="Plain Text"/>
    <w:basedOn w:val="Normal"/>
    <w:link w:val="PlainTextChar"/>
    <w:uiPriority w:val="99"/>
    <w:rsid w:val="00E412BD"/>
    <w:rPr>
      <w:rFonts w:ascii="Courier New" w:hAnsi="Courier New" w:cs="Courier New"/>
      <w:sz w:val="20"/>
    </w:rPr>
  </w:style>
  <w:style w:type="paragraph" w:styleId="ListParagraph">
    <w:name w:val="List Paragraph"/>
    <w:basedOn w:val="Normal"/>
    <w:uiPriority w:val="34"/>
    <w:qFormat/>
    <w:rsid w:val="00D8524D"/>
    <w:pPr>
      <w:ind w:left="720"/>
      <w:contextualSpacing/>
    </w:pPr>
  </w:style>
  <w:style w:type="character" w:customStyle="1" w:styleId="PlainTextChar">
    <w:name w:val="Plain Text Char"/>
    <w:basedOn w:val="DefaultParagraphFont"/>
    <w:link w:val="PlainText"/>
    <w:uiPriority w:val="99"/>
    <w:rsid w:val="00E412BD"/>
    <w:rPr>
      <w:rFonts w:ascii="Courier New" w:eastAsia="SimSun" w:hAnsi="Courier New" w:cs="Courier New"/>
      <w:lang w:eastAsia="zh-CN"/>
    </w:rPr>
  </w:style>
  <w:style w:type="character" w:styleId="CommentReference">
    <w:name w:val="annotation reference"/>
    <w:basedOn w:val="DefaultParagraphFont"/>
    <w:rsid w:val="00791391"/>
    <w:rPr>
      <w:sz w:val="16"/>
      <w:szCs w:val="16"/>
    </w:rPr>
  </w:style>
  <w:style w:type="paragraph" w:styleId="CommentSubject">
    <w:name w:val="annotation subject"/>
    <w:basedOn w:val="CommentText"/>
    <w:next w:val="CommentText"/>
    <w:link w:val="CommentSubjectChar"/>
    <w:rsid w:val="00791391"/>
    <w:rPr>
      <w:b/>
      <w:bCs/>
      <w:sz w:val="20"/>
    </w:rPr>
  </w:style>
  <w:style w:type="character" w:customStyle="1" w:styleId="CommentTextChar">
    <w:name w:val="Comment Text Char"/>
    <w:basedOn w:val="DefaultParagraphFont"/>
    <w:link w:val="CommentText"/>
    <w:semiHidden/>
    <w:rsid w:val="00791391"/>
    <w:rPr>
      <w:rFonts w:ascii="Arial" w:eastAsia="SimSun" w:hAnsi="Arial" w:cs="Arial"/>
      <w:sz w:val="18"/>
      <w:lang w:eastAsia="zh-CN"/>
    </w:rPr>
  </w:style>
  <w:style w:type="character" w:customStyle="1" w:styleId="CommentSubjectChar">
    <w:name w:val="Comment Subject Char"/>
    <w:basedOn w:val="CommentTextChar"/>
    <w:link w:val="CommentSubject"/>
    <w:rsid w:val="00791391"/>
    <w:rPr>
      <w:rFonts w:ascii="Arial" w:eastAsia="SimSun" w:hAnsi="Arial" w:cs="Arial"/>
      <w:b/>
      <w:bCs/>
      <w:sz w:val="18"/>
      <w:lang w:eastAsia="zh-CN"/>
    </w:rPr>
  </w:style>
  <w:style w:type="character" w:customStyle="1" w:styleId="EndnoteTextChar">
    <w:name w:val="Endnote Text Char"/>
    <w:basedOn w:val="DefaultParagraphFont"/>
    <w:link w:val="EndnoteText"/>
    <w:semiHidden/>
    <w:rsid w:val="00E32ADE"/>
    <w:rPr>
      <w:rFonts w:ascii="Arial" w:eastAsia="SimSun" w:hAnsi="Arial" w:cs="Arial"/>
      <w:sz w:val="18"/>
      <w:lang w:eastAsia="zh-CN"/>
    </w:rPr>
  </w:style>
  <w:style w:type="character" w:styleId="EndnoteReference">
    <w:name w:val="endnote reference"/>
    <w:basedOn w:val="DefaultParagraphFont"/>
    <w:rsid w:val="00E32ADE"/>
    <w:rPr>
      <w:vertAlign w:val="superscript"/>
    </w:rPr>
  </w:style>
  <w:style w:type="character" w:customStyle="1" w:styleId="BodyTextChar">
    <w:name w:val="Body Text Char"/>
    <w:basedOn w:val="DefaultParagraphFont"/>
    <w:link w:val="BodyText"/>
    <w:rsid w:val="00E32ADE"/>
    <w:rPr>
      <w:rFonts w:ascii="Arial" w:eastAsia="SimSun" w:hAnsi="Arial" w:cs="Arial"/>
      <w:sz w:val="22"/>
      <w:lang w:eastAsia="zh-CN"/>
    </w:rPr>
  </w:style>
  <w:style w:type="paragraph" w:styleId="NormalWeb">
    <w:name w:val="Normal (Web)"/>
    <w:basedOn w:val="Normal"/>
    <w:uiPriority w:val="99"/>
    <w:rsid w:val="001040AF"/>
    <w:pPr>
      <w:spacing w:before="100" w:beforeAutospacing="1" w:after="100" w:afterAutospacing="1"/>
    </w:pPr>
    <w:rPr>
      <w:rFonts w:eastAsia="Times New Roman"/>
      <w:sz w:val="18"/>
      <w:szCs w:val="18"/>
      <w:lang w:eastAsia="en-US"/>
    </w:rPr>
  </w:style>
  <w:style w:type="paragraph" w:styleId="TOCHeading">
    <w:name w:val="TOC Heading"/>
    <w:basedOn w:val="Heading1"/>
    <w:next w:val="Normal"/>
    <w:uiPriority w:val="39"/>
    <w:semiHidden/>
    <w:unhideWhenUsed/>
    <w:qFormat/>
    <w:rsid w:val="004A0DF7"/>
    <w:pPr>
      <w:keepLines/>
      <w:spacing w:before="480" w:after="0" w:line="276" w:lineRule="auto"/>
      <w:outlineLvl w:val="9"/>
    </w:pPr>
    <w:rPr>
      <w:rFonts w:asciiTheme="majorHAnsi" w:eastAsiaTheme="majorEastAsia" w:hAnsiTheme="majorHAnsi" w:cstheme="majorBidi"/>
      <w:caps w:val="0"/>
      <w:color w:val="365F91" w:themeColor="accent1" w:themeShade="BF"/>
      <w:kern w:val="0"/>
      <w:sz w:val="28"/>
      <w:szCs w:val="28"/>
      <w:lang w:eastAsia="ja-JP"/>
    </w:rPr>
  </w:style>
  <w:style w:type="paragraph" w:styleId="TOC2">
    <w:name w:val="toc 2"/>
    <w:basedOn w:val="Normal"/>
    <w:next w:val="Normal"/>
    <w:autoRedefine/>
    <w:uiPriority w:val="39"/>
    <w:semiHidden/>
    <w:unhideWhenUsed/>
    <w:qFormat/>
    <w:rsid w:val="004A0DF7"/>
    <w:pPr>
      <w:spacing w:after="100" w:line="276" w:lineRule="auto"/>
      <w:ind w:left="220"/>
    </w:pPr>
    <w:rPr>
      <w:rFonts w:asciiTheme="minorHAnsi" w:eastAsiaTheme="minorEastAsia" w:hAnsiTheme="minorHAnsi" w:cstheme="minorBidi"/>
      <w:szCs w:val="22"/>
      <w:lang w:eastAsia="ja-JP"/>
    </w:rPr>
  </w:style>
  <w:style w:type="paragraph" w:styleId="TOC3">
    <w:name w:val="toc 3"/>
    <w:basedOn w:val="Normal"/>
    <w:next w:val="Normal"/>
    <w:autoRedefine/>
    <w:uiPriority w:val="39"/>
    <w:semiHidden/>
    <w:unhideWhenUsed/>
    <w:qFormat/>
    <w:rsid w:val="004A0DF7"/>
    <w:pPr>
      <w:spacing w:after="100" w:line="276" w:lineRule="auto"/>
      <w:ind w:left="440"/>
    </w:pPr>
    <w:rPr>
      <w:rFonts w:asciiTheme="minorHAnsi" w:eastAsiaTheme="minorEastAsia" w:hAnsiTheme="minorHAnsi" w:cstheme="minorBidi"/>
      <w:szCs w:val="22"/>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Plain Text" w:uiPriority="99"/>
    <w:lsdException w:name="Normal (Web)" w:uiPriority="99"/>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D8524D"/>
    <w:pPr>
      <w:keepNext/>
      <w:spacing w:before="360" w:after="360"/>
      <w:outlineLvl w:val="0"/>
    </w:pPr>
    <w:rPr>
      <w:b/>
      <w:bCs/>
      <w:caps/>
      <w:kern w:val="32"/>
      <w:szCs w:val="32"/>
    </w:rPr>
  </w:style>
  <w:style w:type="paragraph" w:styleId="Heading2">
    <w:name w:val="heading 2"/>
    <w:basedOn w:val="Normal"/>
    <w:next w:val="Normal"/>
    <w:link w:val="Heading2Char"/>
    <w:qFormat/>
    <w:rsid w:val="00B66F63"/>
    <w:pPr>
      <w:keepNext/>
      <w:spacing w:before="240" w:after="24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BalloonText">
    <w:name w:val="Balloon Text"/>
    <w:basedOn w:val="Normal"/>
    <w:link w:val="BalloonTextChar"/>
    <w:rsid w:val="008414E9"/>
    <w:rPr>
      <w:rFonts w:ascii="Tahoma" w:hAnsi="Tahoma" w:cs="Tahoma"/>
      <w:sz w:val="16"/>
      <w:szCs w:val="16"/>
    </w:rPr>
  </w:style>
  <w:style w:type="paragraph" w:styleId="CommentText">
    <w:name w:val="annotation text"/>
    <w:basedOn w:val="Normal"/>
    <w:link w:val="CommentTextChar"/>
    <w:semiHidden/>
    <w:rsid w:val="00676C5C"/>
    <w:rPr>
      <w:sz w:val="18"/>
    </w:rPr>
  </w:style>
  <w:style w:type="paragraph" w:styleId="EndnoteText">
    <w:name w:val="endnote text"/>
    <w:basedOn w:val="Normal"/>
    <w:link w:val="EndnoteTextChar"/>
    <w:semiHidden/>
    <w:rsid w:val="00676C5C"/>
    <w:rPr>
      <w:sz w:val="18"/>
    </w:rPr>
  </w:style>
  <w:style w:type="paragraph" w:styleId="Footer">
    <w:name w:val="footer"/>
    <w:basedOn w:val="Normal"/>
    <w:semiHidden/>
    <w:rsid w:val="00676C5C"/>
    <w:pPr>
      <w:tabs>
        <w:tab w:val="center" w:pos="4320"/>
        <w:tab w:val="right" w:pos="8640"/>
      </w:tabs>
    </w:pPr>
  </w:style>
  <w:style w:type="character" w:customStyle="1" w:styleId="BalloonTextChar">
    <w:name w:val="Balloon Text Char"/>
    <w:basedOn w:val="DefaultParagraphFont"/>
    <w:link w:val="BalloonText"/>
    <w:rsid w:val="008414E9"/>
    <w:rPr>
      <w:rFonts w:ascii="Tahoma" w:eastAsia="SimSun" w:hAnsi="Tahoma" w:cs="Tahoma"/>
      <w:sz w:val="16"/>
      <w:szCs w:val="16"/>
      <w:lang w:eastAsia="zh-CN"/>
    </w:rPr>
  </w:style>
  <w:style w:type="paragraph" w:styleId="FootnoteText">
    <w:name w:val="footnote text"/>
    <w:aliases w:val="Footnote,Char"/>
    <w:basedOn w:val="Normal"/>
    <w:link w:val="FootnoteTextChar"/>
    <w:semiHidden/>
    <w:rsid w:val="00676C5C"/>
    <w:rPr>
      <w:sz w:val="18"/>
    </w:rPr>
  </w:style>
  <w:style w:type="paragraph" w:styleId="Header">
    <w:name w:val="header"/>
    <w:basedOn w:val="Normal"/>
    <w:link w:val="HeaderChar"/>
    <w:uiPriority w:val="99"/>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uiPriority w:val="99"/>
    <w:rsid w:val="00676C5C"/>
    <w:pPr>
      <w:numPr>
        <w:numId w:val="7"/>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TOC1">
    <w:name w:val="toc 1"/>
    <w:basedOn w:val="Normal"/>
    <w:next w:val="Normal"/>
    <w:autoRedefine/>
    <w:uiPriority w:val="39"/>
    <w:qFormat/>
    <w:rsid w:val="00213EB9"/>
    <w:pPr>
      <w:tabs>
        <w:tab w:val="right" w:leader="dot" w:pos="9356"/>
      </w:tabs>
      <w:spacing w:before="120" w:after="120"/>
      <w:ind w:right="850"/>
    </w:pPr>
    <w:rPr>
      <w:caps/>
    </w:rPr>
  </w:style>
  <w:style w:type="character" w:customStyle="1" w:styleId="ONUMEChar">
    <w:name w:val="ONUM E Char"/>
    <w:link w:val="ONUME"/>
    <w:uiPriority w:val="99"/>
    <w:locked/>
    <w:rsid w:val="004B6701"/>
    <w:rPr>
      <w:rFonts w:ascii="Arial" w:eastAsia="SimSun" w:hAnsi="Arial" w:cs="Arial"/>
      <w:sz w:val="22"/>
      <w:lang w:eastAsia="zh-CN"/>
    </w:rPr>
  </w:style>
  <w:style w:type="character" w:styleId="Hyperlink">
    <w:name w:val="Hyperlink"/>
    <w:basedOn w:val="DefaultParagraphFont"/>
    <w:uiPriority w:val="99"/>
    <w:rsid w:val="004B6701"/>
    <w:rPr>
      <w:rFonts w:cs="Times New Roman"/>
      <w:color w:val="0000FF"/>
      <w:u w:val="single"/>
    </w:rPr>
  </w:style>
  <w:style w:type="character" w:customStyle="1" w:styleId="Heading2Char">
    <w:name w:val="Heading 2 Char"/>
    <w:link w:val="Heading2"/>
    <w:locked/>
    <w:rsid w:val="00B66F63"/>
    <w:rPr>
      <w:rFonts w:ascii="Arial" w:eastAsia="SimSun" w:hAnsi="Arial" w:cs="Arial"/>
      <w:bCs/>
      <w:iCs/>
      <w:caps/>
      <w:sz w:val="22"/>
      <w:szCs w:val="28"/>
      <w:lang w:eastAsia="zh-CN"/>
    </w:rPr>
  </w:style>
  <w:style w:type="table" w:styleId="TableGrid">
    <w:name w:val="Table Grid"/>
    <w:basedOn w:val="TableNormal"/>
    <w:uiPriority w:val="59"/>
    <w:rsid w:val="00CE2815"/>
    <w:pPr>
      <w:spacing w:after="120" w:line="260" w:lineRule="exact"/>
      <w:ind w:left="1021"/>
    </w:pPr>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rsid w:val="00E365E6"/>
    <w:rPr>
      <w:rFonts w:cs="Times New Roman"/>
      <w:vertAlign w:val="superscript"/>
    </w:rPr>
  </w:style>
  <w:style w:type="character" w:customStyle="1" w:styleId="FootnoteTextChar">
    <w:name w:val="Footnote Text Char"/>
    <w:aliases w:val="Footnote Char,Char Char"/>
    <w:link w:val="FootnoteText"/>
    <w:semiHidden/>
    <w:locked/>
    <w:rsid w:val="00E365E6"/>
    <w:rPr>
      <w:rFonts w:ascii="Arial" w:eastAsia="SimSun" w:hAnsi="Arial" w:cs="Arial"/>
      <w:sz w:val="18"/>
      <w:lang w:eastAsia="zh-CN"/>
    </w:rPr>
  </w:style>
  <w:style w:type="paragraph" w:styleId="Caption">
    <w:name w:val="caption"/>
    <w:basedOn w:val="Normal"/>
    <w:next w:val="Normal"/>
    <w:link w:val="CaptionChar"/>
    <w:qFormat/>
    <w:rsid w:val="008414E9"/>
    <w:rPr>
      <w:b/>
      <w:bCs/>
      <w:sz w:val="18"/>
    </w:rPr>
  </w:style>
  <w:style w:type="character" w:customStyle="1" w:styleId="CaptionChar">
    <w:name w:val="Caption Char"/>
    <w:basedOn w:val="DefaultParagraphFont"/>
    <w:link w:val="Caption"/>
    <w:rsid w:val="008414E9"/>
    <w:rPr>
      <w:rFonts w:ascii="Arial" w:eastAsia="SimSun" w:hAnsi="Arial" w:cs="Arial"/>
      <w:b/>
      <w:bCs/>
      <w:sz w:val="18"/>
      <w:lang w:eastAsia="zh-CN"/>
    </w:rPr>
  </w:style>
  <w:style w:type="character" w:customStyle="1" w:styleId="HeaderChar">
    <w:name w:val="Header Char"/>
    <w:link w:val="Header"/>
    <w:uiPriority w:val="99"/>
    <w:semiHidden/>
    <w:locked/>
    <w:rsid w:val="00E412BD"/>
    <w:rPr>
      <w:rFonts w:ascii="Arial" w:eastAsia="SimSun" w:hAnsi="Arial" w:cs="Arial"/>
      <w:sz w:val="22"/>
      <w:lang w:eastAsia="zh-CN"/>
    </w:rPr>
  </w:style>
  <w:style w:type="paragraph" w:styleId="PlainText">
    <w:name w:val="Plain Text"/>
    <w:basedOn w:val="Normal"/>
    <w:link w:val="PlainTextChar"/>
    <w:uiPriority w:val="99"/>
    <w:rsid w:val="00E412BD"/>
    <w:rPr>
      <w:rFonts w:ascii="Courier New" w:hAnsi="Courier New" w:cs="Courier New"/>
      <w:sz w:val="20"/>
    </w:rPr>
  </w:style>
  <w:style w:type="paragraph" w:styleId="ListParagraph">
    <w:name w:val="List Paragraph"/>
    <w:basedOn w:val="Normal"/>
    <w:uiPriority w:val="34"/>
    <w:qFormat/>
    <w:rsid w:val="00D8524D"/>
    <w:pPr>
      <w:ind w:left="720"/>
      <w:contextualSpacing/>
    </w:pPr>
  </w:style>
  <w:style w:type="character" w:customStyle="1" w:styleId="PlainTextChar">
    <w:name w:val="Plain Text Char"/>
    <w:basedOn w:val="DefaultParagraphFont"/>
    <w:link w:val="PlainText"/>
    <w:uiPriority w:val="99"/>
    <w:rsid w:val="00E412BD"/>
    <w:rPr>
      <w:rFonts w:ascii="Courier New" w:eastAsia="SimSun" w:hAnsi="Courier New" w:cs="Courier New"/>
      <w:lang w:eastAsia="zh-CN"/>
    </w:rPr>
  </w:style>
  <w:style w:type="character" w:styleId="CommentReference">
    <w:name w:val="annotation reference"/>
    <w:basedOn w:val="DefaultParagraphFont"/>
    <w:rsid w:val="00791391"/>
    <w:rPr>
      <w:sz w:val="16"/>
      <w:szCs w:val="16"/>
    </w:rPr>
  </w:style>
  <w:style w:type="paragraph" w:styleId="CommentSubject">
    <w:name w:val="annotation subject"/>
    <w:basedOn w:val="CommentText"/>
    <w:next w:val="CommentText"/>
    <w:link w:val="CommentSubjectChar"/>
    <w:rsid w:val="00791391"/>
    <w:rPr>
      <w:b/>
      <w:bCs/>
      <w:sz w:val="20"/>
    </w:rPr>
  </w:style>
  <w:style w:type="character" w:customStyle="1" w:styleId="CommentTextChar">
    <w:name w:val="Comment Text Char"/>
    <w:basedOn w:val="DefaultParagraphFont"/>
    <w:link w:val="CommentText"/>
    <w:semiHidden/>
    <w:rsid w:val="00791391"/>
    <w:rPr>
      <w:rFonts w:ascii="Arial" w:eastAsia="SimSun" w:hAnsi="Arial" w:cs="Arial"/>
      <w:sz w:val="18"/>
      <w:lang w:eastAsia="zh-CN"/>
    </w:rPr>
  </w:style>
  <w:style w:type="character" w:customStyle="1" w:styleId="CommentSubjectChar">
    <w:name w:val="Comment Subject Char"/>
    <w:basedOn w:val="CommentTextChar"/>
    <w:link w:val="CommentSubject"/>
    <w:rsid w:val="00791391"/>
    <w:rPr>
      <w:rFonts w:ascii="Arial" w:eastAsia="SimSun" w:hAnsi="Arial" w:cs="Arial"/>
      <w:b/>
      <w:bCs/>
      <w:sz w:val="18"/>
      <w:lang w:eastAsia="zh-CN"/>
    </w:rPr>
  </w:style>
  <w:style w:type="character" w:customStyle="1" w:styleId="EndnoteTextChar">
    <w:name w:val="Endnote Text Char"/>
    <w:basedOn w:val="DefaultParagraphFont"/>
    <w:link w:val="EndnoteText"/>
    <w:semiHidden/>
    <w:rsid w:val="00E32ADE"/>
    <w:rPr>
      <w:rFonts w:ascii="Arial" w:eastAsia="SimSun" w:hAnsi="Arial" w:cs="Arial"/>
      <w:sz w:val="18"/>
      <w:lang w:eastAsia="zh-CN"/>
    </w:rPr>
  </w:style>
  <w:style w:type="character" w:styleId="EndnoteReference">
    <w:name w:val="endnote reference"/>
    <w:basedOn w:val="DefaultParagraphFont"/>
    <w:rsid w:val="00E32ADE"/>
    <w:rPr>
      <w:vertAlign w:val="superscript"/>
    </w:rPr>
  </w:style>
  <w:style w:type="character" w:customStyle="1" w:styleId="BodyTextChar">
    <w:name w:val="Body Text Char"/>
    <w:basedOn w:val="DefaultParagraphFont"/>
    <w:link w:val="BodyText"/>
    <w:rsid w:val="00E32ADE"/>
    <w:rPr>
      <w:rFonts w:ascii="Arial" w:eastAsia="SimSun" w:hAnsi="Arial" w:cs="Arial"/>
      <w:sz w:val="22"/>
      <w:lang w:eastAsia="zh-CN"/>
    </w:rPr>
  </w:style>
  <w:style w:type="paragraph" w:styleId="NormalWeb">
    <w:name w:val="Normal (Web)"/>
    <w:basedOn w:val="Normal"/>
    <w:uiPriority w:val="99"/>
    <w:rsid w:val="001040AF"/>
    <w:pPr>
      <w:spacing w:before="100" w:beforeAutospacing="1" w:after="100" w:afterAutospacing="1"/>
    </w:pPr>
    <w:rPr>
      <w:rFonts w:eastAsia="Times New Roman"/>
      <w:sz w:val="18"/>
      <w:szCs w:val="18"/>
      <w:lang w:eastAsia="en-US"/>
    </w:rPr>
  </w:style>
  <w:style w:type="paragraph" w:styleId="TOCHeading">
    <w:name w:val="TOC Heading"/>
    <w:basedOn w:val="Heading1"/>
    <w:next w:val="Normal"/>
    <w:uiPriority w:val="39"/>
    <w:semiHidden/>
    <w:unhideWhenUsed/>
    <w:qFormat/>
    <w:rsid w:val="004A0DF7"/>
    <w:pPr>
      <w:keepLines/>
      <w:spacing w:before="480" w:after="0" w:line="276" w:lineRule="auto"/>
      <w:outlineLvl w:val="9"/>
    </w:pPr>
    <w:rPr>
      <w:rFonts w:asciiTheme="majorHAnsi" w:eastAsiaTheme="majorEastAsia" w:hAnsiTheme="majorHAnsi" w:cstheme="majorBidi"/>
      <w:caps w:val="0"/>
      <w:color w:val="365F91" w:themeColor="accent1" w:themeShade="BF"/>
      <w:kern w:val="0"/>
      <w:sz w:val="28"/>
      <w:szCs w:val="28"/>
      <w:lang w:eastAsia="ja-JP"/>
    </w:rPr>
  </w:style>
  <w:style w:type="paragraph" w:styleId="TOC2">
    <w:name w:val="toc 2"/>
    <w:basedOn w:val="Normal"/>
    <w:next w:val="Normal"/>
    <w:autoRedefine/>
    <w:uiPriority w:val="39"/>
    <w:semiHidden/>
    <w:unhideWhenUsed/>
    <w:qFormat/>
    <w:rsid w:val="004A0DF7"/>
    <w:pPr>
      <w:spacing w:after="100" w:line="276" w:lineRule="auto"/>
      <w:ind w:left="220"/>
    </w:pPr>
    <w:rPr>
      <w:rFonts w:asciiTheme="minorHAnsi" w:eastAsiaTheme="minorEastAsia" w:hAnsiTheme="minorHAnsi" w:cstheme="minorBidi"/>
      <w:szCs w:val="22"/>
      <w:lang w:eastAsia="ja-JP"/>
    </w:rPr>
  </w:style>
  <w:style w:type="paragraph" w:styleId="TOC3">
    <w:name w:val="toc 3"/>
    <w:basedOn w:val="Normal"/>
    <w:next w:val="Normal"/>
    <w:autoRedefine/>
    <w:uiPriority w:val="39"/>
    <w:semiHidden/>
    <w:unhideWhenUsed/>
    <w:qFormat/>
    <w:rsid w:val="004A0DF7"/>
    <w:pPr>
      <w:spacing w:after="100" w:line="276" w:lineRule="auto"/>
      <w:ind w:left="440"/>
    </w:pPr>
    <w:rPr>
      <w:rFonts w:asciiTheme="minorHAnsi" w:eastAsiaTheme="minorEastAsia" w:hAnsiTheme="minorHAnsi" w:cstheme="minorBidi"/>
      <w:szCs w:val="22"/>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image" Target="media/image4.emf"/><Relationship Id="rId26" Type="http://schemas.openxmlformats.org/officeDocument/2006/relationships/header" Target="header8.xml"/><Relationship Id="rId3" Type="http://schemas.openxmlformats.org/officeDocument/2006/relationships/styles" Target="styles.xml"/><Relationship Id="rId21" Type="http://schemas.openxmlformats.org/officeDocument/2006/relationships/image" Target="media/image7.emf"/><Relationship Id="rId34" Type="http://schemas.microsoft.com/office/2011/relationships/people" Target="people.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image" Target="media/image3.emf"/><Relationship Id="rId25" Type="http://schemas.openxmlformats.org/officeDocument/2006/relationships/header" Target="header7.xml"/><Relationship Id="rId33" Type="http://schemas.microsoft.com/office/2011/relationships/commentsExtended" Target="commentsExtended.xml"/><Relationship Id="rId2" Type="http://schemas.openxmlformats.org/officeDocument/2006/relationships/numbering" Target="numbering.xml"/><Relationship Id="rId16" Type="http://schemas.openxmlformats.org/officeDocument/2006/relationships/image" Target="media/image2.emf"/><Relationship Id="rId20" Type="http://schemas.openxmlformats.org/officeDocument/2006/relationships/image" Target="media/image6.emf"/><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eader" Target="header6.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header" Target="header5.xml"/><Relationship Id="rId28" Type="http://schemas.openxmlformats.org/officeDocument/2006/relationships/header" Target="header10.xml"/><Relationship Id="rId10" Type="http://schemas.openxmlformats.org/officeDocument/2006/relationships/header" Target="header1.xml"/><Relationship Id="rId19" Type="http://schemas.openxmlformats.org/officeDocument/2006/relationships/image" Target="media/image5.emf"/><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2.xml"/><Relationship Id="rId22" Type="http://schemas.openxmlformats.org/officeDocument/2006/relationships/image" Target="media/image8.emf"/><Relationship Id="rId27" Type="http://schemas.openxmlformats.org/officeDocument/2006/relationships/header" Target="header9.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F8E542-FC6D-458C-A398-B5A06C755B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28</Pages>
  <Words>6659</Words>
  <Characters>37300</Characters>
  <Application>Microsoft Office Word</Application>
  <DocSecurity>0</DocSecurity>
  <Lines>310</Lines>
  <Paragraphs>87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WO/GA/46/</vt:lpstr>
      <vt:lpstr>WO/GA/46/</vt:lpstr>
    </vt:vector>
  </TitlesOfParts>
  <Company>WIPO</Company>
  <LinksUpToDate>false</LinksUpToDate>
  <CharactersWithSpaces>43872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WO/GA/46/</dc:title>
  <dc:creator>SCHWOB Lise</dc:creator>
  <cp:keywords>NGG/ko</cp:keywords>
  <cp:lastModifiedBy>HÄFLIGER Patience</cp:lastModifiedBy>
  <cp:revision>5</cp:revision>
  <cp:lastPrinted>2015-07-17T13:42:00Z</cp:lastPrinted>
  <dcterms:created xsi:type="dcterms:W3CDTF">2015-07-22T06:58:00Z</dcterms:created>
  <dcterms:modified xsi:type="dcterms:W3CDTF">2015-07-29T13:42:00Z</dcterms:modified>
</cp:coreProperties>
</file>