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3375" w:rsidRPr="004A032C" w:rsidTr="00B66F3D">
        <w:tc>
          <w:tcPr>
            <w:tcW w:w="4513" w:type="dxa"/>
            <w:tcBorders>
              <w:bottom w:val="single" w:sz="4" w:space="0" w:color="auto"/>
            </w:tcBorders>
            <w:tcMar>
              <w:bottom w:w="170" w:type="dxa"/>
            </w:tcMar>
          </w:tcPr>
          <w:p w:rsidR="004C3375" w:rsidRPr="004A032C" w:rsidRDefault="004C3375" w:rsidP="00F72F50">
            <w:pPr>
              <w:rPr>
                <w:lang w:val="fr-FR"/>
              </w:rPr>
            </w:pPr>
            <w:bookmarkStart w:id="0" w:name="_GoBack"/>
            <w:bookmarkEnd w:id="0"/>
          </w:p>
        </w:tc>
        <w:tc>
          <w:tcPr>
            <w:tcW w:w="4337" w:type="dxa"/>
            <w:tcBorders>
              <w:bottom w:val="single" w:sz="4" w:space="0" w:color="auto"/>
            </w:tcBorders>
            <w:tcMar>
              <w:left w:w="0" w:type="dxa"/>
              <w:right w:w="0" w:type="dxa"/>
            </w:tcMar>
          </w:tcPr>
          <w:p w:rsidR="004C3375" w:rsidRPr="004A032C" w:rsidRDefault="004C3375" w:rsidP="00F72F50">
            <w:pPr>
              <w:rPr>
                <w:lang w:val="fr-FR"/>
              </w:rPr>
            </w:pPr>
            <w:r w:rsidRPr="004A032C">
              <w:rPr>
                <w:noProof/>
                <w:lang w:eastAsia="en-US"/>
              </w:rPr>
              <w:drawing>
                <wp:inline distT="0" distB="0" distL="0" distR="0" wp14:anchorId="53A752B5" wp14:editId="551CC15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C3375" w:rsidRPr="004A032C" w:rsidRDefault="004C3375" w:rsidP="00F72F50">
            <w:pPr>
              <w:jc w:val="right"/>
              <w:rPr>
                <w:lang w:val="fr-FR"/>
              </w:rPr>
            </w:pPr>
            <w:r w:rsidRPr="004A032C">
              <w:rPr>
                <w:b/>
                <w:sz w:val="40"/>
                <w:szCs w:val="40"/>
                <w:lang w:val="fr-FR"/>
              </w:rPr>
              <w:t>F</w:t>
            </w:r>
          </w:p>
        </w:tc>
      </w:tr>
      <w:tr w:rsidR="004C3375" w:rsidRPr="004A032C" w:rsidTr="00F72F50">
        <w:trPr>
          <w:trHeight w:hRule="exact" w:val="340"/>
        </w:trPr>
        <w:tc>
          <w:tcPr>
            <w:tcW w:w="9356" w:type="dxa"/>
            <w:gridSpan w:val="3"/>
            <w:tcBorders>
              <w:top w:val="single" w:sz="4" w:space="0" w:color="auto"/>
            </w:tcBorders>
            <w:tcMar>
              <w:top w:w="170" w:type="dxa"/>
              <w:left w:w="0" w:type="dxa"/>
              <w:right w:w="0" w:type="dxa"/>
            </w:tcMar>
            <w:vAlign w:val="bottom"/>
          </w:tcPr>
          <w:p w:rsidR="004C3375" w:rsidRPr="004A032C" w:rsidRDefault="004C3375" w:rsidP="00F72F50">
            <w:pPr>
              <w:jc w:val="right"/>
              <w:rPr>
                <w:rFonts w:ascii="Arial Black" w:hAnsi="Arial Black"/>
                <w:caps/>
                <w:sz w:val="15"/>
                <w:lang w:val="fr-FR"/>
              </w:rPr>
            </w:pPr>
            <w:r w:rsidRPr="004A032C">
              <w:rPr>
                <w:rFonts w:ascii="Arial Black" w:hAnsi="Arial Black"/>
                <w:caps/>
                <w:sz w:val="15"/>
                <w:lang w:val="fr-FR"/>
              </w:rPr>
              <w:t>wo/ga/47/</w:t>
            </w:r>
            <w:bookmarkStart w:id="1" w:name="Code"/>
            <w:bookmarkEnd w:id="1"/>
            <w:r w:rsidRPr="004A032C">
              <w:rPr>
                <w:rFonts w:ascii="Arial Black" w:hAnsi="Arial Black"/>
                <w:caps/>
                <w:sz w:val="15"/>
                <w:lang w:val="fr-FR"/>
              </w:rPr>
              <w:t>3</w:t>
            </w:r>
          </w:p>
        </w:tc>
      </w:tr>
      <w:tr w:rsidR="004C3375" w:rsidRPr="004A032C" w:rsidTr="00F72F50">
        <w:trPr>
          <w:trHeight w:hRule="exact" w:val="170"/>
        </w:trPr>
        <w:tc>
          <w:tcPr>
            <w:tcW w:w="9356" w:type="dxa"/>
            <w:gridSpan w:val="3"/>
            <w:noWrap/>
            <w:tcMar>
              <w:left w:w="0" w:type="dxa"/>
              <w:right w:w="0" w:type="dxa"/>
            </w:tcMar>
            <w:vAlign w:val="bottom"/>
          </w:tcPr>
          <w:p w:rsidR="004C3375" w:rsidRPr="004A032C" w:rsidRDefault="004C3375" w:rsidP="00F72F50">
            <w:pPr>
              <w:jc w:val="right"/>
              <w:rPr>
                <w:rFonts w:ascii="Arial Black" w:hAnsi="Arial Black"/>
                <w:caps/>
                <w:sz w:val="15"/>
                <w:lang w:val="fr-FR"/>
              </w:rPr>
            </w:pPr>
            <w:r w:rsidRPr="004A032C">
              <w:rPr>
                <w:rFonts w:ascii="Arial Black" w:hAnsi="Arial Black"/>
                <w:caps/>
                <w:sz w:val="15"/>
                <w:lang w:val="fr-FR"/>
              </w:rPr>
              <w:t xml:space="preserve">ORIGINAL : </w:t>
            </w:r>
            <w:bookmarkStart w:id="2" w:name="Original"/>
            <w:bookmarkEnd w:id="2"/>
            <w:r w:rsidRPr="004A032C">
              <w:rPr>
                <w:rFonts w:ascii="Arial Black" w:hAnsi="Arial Black"/>
                <w:caps/>
                <w:sz w:val="15"/>
                <w:lang w:val="fr-FR"/>
              </w:rPr>
              <w:t>anglais</w:t>
            </w:r>
          </w:p>
        </w:tc>
      </w:tr>
      <w:tr w:rsidR="004C3375" w:rsidRPr="004A032C" w:rsidTr="00F72F50">
        <w:trPr>
          <w:trHeight w:hRule="exact" w:val="198"/>
        </w:trPr>
        <w:tc>
          <w:tcPr>
            <w:tcW w:w="9356" w:type="dxa"/>
            <w:gridSpan w:val="3"/>
            <w:tcMar>
              <w:left w:w="0" w:type="dxa"/>
              <w:right w:w="0" w:type="dxa"/>
            </w:tcMar>
            <w:vAlign w:val="bottom"/>
          </w:tcPr>
          <w:p w:rsidR="004C3375" w:rsidRPr="004A032C" w:rsidRDefault="004C3375" w:rsidP="00F72F50">
            <w:pPr>
              <w:jc w:val="right"/>
              <w:rPr>
                <w:rFonts w:ascii="Arial Black" w:hAnsi="Arial Black"/>
                <w:caps/>
                <w:sz w:val="15"/>
                <w:lang w:val="fr-FR"/>
              </w:rPr>
            </w:pPr>
            <w:r w:rsidRPr="004A032C">
              <w:rPr>
                <w:rFonts w:ascii="Arial Black" w:hAnsi="Arial Black"/>
                <w:caps/>
                <w:sz w:val="15"/>
                <w:lang w:val="fr-FR"/>
              </w:rPr>
              <w:t xml:space="preserve">DATE : </w:t>
            </w:r>
            <w:bookmarkStart w:id="3" w:name="Date"/>
            <w:bookmarkEnd w:id="3"/>
            <w:r w:rsidRPr="004A032C">
              <w:rPr>
                <w:rFonts w:ascii="Arial Black" w:hAnsi="Arial Black"/>
                <w:caps/>
                <w:sz w:val="15"/>
                <w:lang w:val="fr-FR"/>
              </w:rPr>
              <w:t>4 septembre 2015</w:t>
            </w:r>
          </w:p>
        </w:tc>
      </w:tr>
    </w:tbl>
    <w:p w:rsidR="004C3375" w:rsidRPr="004A032C" w:rsidRDefault="004C3375" w:rsidP="004C3375">
      <w:pPr>
        <w:rPr>
          <w:lang w:val="fr-FR"/>
        </w:rPr>
      </w:pPr>
    </w:p>
    <w:p w:rsidR="004C3375" w:rsidRPr="004A032C" w:rsidRDefault="004C3375" w:rsidP="004C3375">
      <w:pPr>
        <w:rPr>
          <w:lang w:val="fr-FR"/>
        </w:rPr>
      </w:pPr>
    </w:p>
    <w:p w:rsidR="004C3375" w:rsidRPr="004A032C" w:rsidRDefault="004C3375" w:rsidP="004C3375">
      <w:pPr>
        <w:rPr>
          <w:lang w:val="fr-FR"/>
        </w:rPr>
      </w:pPr>
    </w:p>
    <w:p w:rsidR="004C3375" w:rsidRPr="004A032C" w:rsidRDefault="004C3375" w:rsidP="004C3375">
      <w:pPr>
        <w:rPr>
          <w:lang w:val="fr-FR"/>
        </w:rPr>
      </w:pPr>
    </w:p>
    <w:p w:rsidR="004C3375" w:rsidRPr="004A032C" w:rsidRDefault="004C3375" w:rsidP="004C3375">
      <w:pPr>
        <w:rPr>
          <w:lang w:val="fr-FR"/>
        </w:rPr>
      </w:pPr>
    </w:p>
    <w:p w:rsidR="004C3375" w:rsidRPr="004A032C" w:rsidRDefault="004C3375" w:rsidP="004C3375">
      <w:pPr>
        <w:rPr>
          <w:lang w:val="fr-FR"/>
        </w:rPr>
      </w:pPr>
      <w:r w:rsidRPr="004A032C">
        <w:rPr>
          <w:b/>
          <w:sz w:val="28"/>
          <w:szCs w:val="28"/>
          <w:lang w:val="fr-FR"/>
        </w:rPr>
        <w:t xml:space="preserve">Assemblée générale de </w:t>
      </w:r>
      <w:r w:rsidR="00435956" w:rsidRPr="004A032C">
        <w:rPr>
          <w:b/>
          <w:sz w:val="28"/>
          <w:szCs w:val="28"/>
          <w:lang w:val="fr-FR"/>
        </w:rPr>
        <w:t>l</w:t>
      </w:r>
      <w:r w:rsidR="007379AD" w:rsidRPr="004A032C">
        <w:rPr>
          <w:b/>
          <w:sz w:val="28"/>
          <w:szCs w:val="28"/>
          <w:lang w:val="fr-FR"/>
        </w:rPr>
        <w:t>’</w:t>
      </w:r>
      <w:r w:rsidRPr="004A032C">
        <w:rPr>
          <w:b/>
          <w:sz w:val="28"/>
          <w:szCs w:val="28"/>
          <w:lang w:val="fr-FR"/>
        </w:rPr>
        <w:t>OMPI</w:t>
      </w:r>
    </w:p>
    <w:p w:rsidR="004C3375" w:rsidRPr="004A032C" w:rsidRDefault="004C3375" w:rsidP="004C3375">
      <w:pPr>
        <w:rPr>
          <w:lang w:val="fr-FR"/>
        </w:rPr>
      </w:pPr>
    </w:p>
    <w:p w:rsidR="004C3375" w:rsidRPr="004A032C" w:rsidRDefault="004C3375" w:rsidP="004C3375">
      <w:pPr>
        <w:rPr>
          <w:lang w:val="fr-FR"/>
        </w:rPr>
      </w:pPr>
    </w:p>
    <w:p w:rsidR="004C3375" w:rsidRPr="004A032C" w:rsidRDefault="004C3375" w:rsidP="004C3375">
      <w:pPr>
        <w:rPr>
          <w:b/>
          <w:sz w:val="24"/>
          <w:szCs w:val="24"/>
          <w:lang w:val="fr-FR"/>
        </w:rPr>
      </w:pPr>
      <w:r w:rsidRPr="004A032C">
        <w:rPr>
          <w:b/>
          <w:sz w:val="24"/>
          <w:szCs w:val="24"/>
          <w:lang w:val="fr-FR"/>
        </w:rPr>
        <w:t>Quarante</w:t>
      </w:r>
      <w:r w:rsidR="00A24F52" w:rsidRPr="004A032C">
        <w:rPr>
          <w:b/>
          <w:sz w:val="24"/>
          <w:szCs w:val="24"/>
          <w:lang w:val="fr-FR"/>
        </w:rPr>
        <w:noBreakHyphen/>
      </w:r>
      <w:r w:rsidRPr="004A032C">
        <w:rPr>
          <w:b/>
          <w:sz w:val="24"/>
          <w:szCs w:val="24"/>
          <w:lang w:val="fr-FR"/>
        </w:rPr>
        <w:t>septième</w:t>
      </w:r>
      <w:r w:rsidR="00F47E56" w:rsidRPr="004A032C">
        <w:rPr>
          <w:b/>
          <w:sz w:val="24"/>
          <w:szCs w:val="24"/>
          <w:lang w:val="fr-FR"/>
        </w:rPr>
        <w:t> </w:t>
      </w:r>
      <w:r w:rsidRPr="004A032C">
        <w:rPr>
          <w:b/>
          <w:sz w:val="24"/>
          <w:szCs w:val="24"/>
          <w:lang w:val="fr-FR"/>
        </w:rPr>
        <w:t>session (22</w:t>
      </w:r>
      <w:r w:rsidRPr="004A032C">
        <w:rPr>
          <w:b/>
          <w:sz w:val="24"/>
          <w:szCs w:val="24"/>
          <w:vertAlign w:val="superscript"/>
          <w:lang w:val="fr-FR"/>
        </w:rPr>
        <w:t>e</w:t>
      </w:r>
      <w:r w:rsidRPr="004A032C">
        <w:rPr>
          <w:b/>
          <w:sz w:val="24"/>
          <w:szCs w:val="24"/>
          <w:lang w:val="fr-FR"/>
        </w:rPr>
        <w:t xml:space="preserve"> session ordinaire)</w:t>
      </w:r>
    </w:p>
    <w:p w:rsidR="004C3375" w:rsidRPr="004A032C" w:rsidRDefault="004C3375" w:rsidP="004C3375">
      <w:pPr>
        <w:rPr>
          <w:b/>
          <w:sz w:val="24"/>
          <w:szCs w:val="24"/>
          <w:lang w:val="fr-FR"/>
        </w:rPr>
      </w:pPr>
      <w:r w:rsidRPr="004A032C">
        <w:rPr>
          <w:b/>
          <w:sz w:val="24"/>
          <w:szCs w:val="24"/>
          <w:lang w:val="fr-FR"/>
        </w:rPr>
        <w:t>Genève, 5 – 1</w:t>
      </w:r>
      <w:r w:rsidR="007379AD" w:rsidRPr="004A032C">
        <w:rPr>
          <w:b/>
          <w:sz w:val="24"/>
          <w:szCs w:val="24"/>
          <w:lang w:val="fr-FR"/>
        </w:rPr>
        <w:t>4 octobre 20</w:t>
      </w:r>
      <w:r w:rsidRPr="004A032C">
        <w:rPr>
          <w:b/>
          <w:sz w:val="24"/>
          <w:szCs w:val="24"/>
          <w:lang w:val="fr-FR"/>
        </w:rPr>
        <w:t>15</w:t>
      </w:r>
    </w:p>
    <w:p w:rsidR="004C3375" w:rsidRPr="004A032C" w:rsidRDefault="004C3375" w:rsidP="004C3375">
      <w:pPr>
        <w:rPr>
          <w:lang w:val="fr-FR"/>
        </w:rPr>
      </w:pPr>
    </w:p>
    <w:p w:rsidR="004C3375" w:rsidRPr="004A032C" w:rsidRDefault="004C3375" w:rsidP="004C3375">
      <w:pPr>
        <w:rPr>
          <w:lang w:val="fr-FR"/>
        </w:rPr>
      </w:pPr>
    </w:p>
    <w:p w:rsidR="004C3375" w:rsidRPr="004A032C" w:rsidRDefault="004C3375" w:rsidP="004C3375">
      <w:pPr>
        <w:rPr>
          <w:lang w:val="fr-FR"/>
        </w:rPr>
      </w:pPr>
    </w:p>
    <w:p w:rsidR="00DA0F7A" w:rsidRPr="004A032C" w:rsidRDefault="003505D3" w:rsidP="00CA196A">
      <w:pPr>
        <w:rPr>
          <w:sz w:val="24"/>
          <w:szCs w:val="24"/>
          <w:lang w:val="fr-FR"/>
        </w:rPr>
      </w:pPr>
      <w:r w:rsidRPr="004A032C">
        <w:rPr>
          <w:sz w:val="24"/>
          <w:szCs w:val="24"/>
          <w:lang w:val="fr-FR"/>
        </w:rPr>
        <w:t>QUESTIONS CONCERNANT L</w:t>
      </w:r>
      <w:r w:rsidR="007379AD" w:rsidRPr="004A032C">
        <w:rPr>
          <w:sz w:val="24"/>
          <w:szCs w:val="24"/>
          <w:lang w:val="fr-FR"/>
        </w:rPr>
        <w:t>’</w:t>
      </w:r>
      <w:r w:rsidRPr="004A032C">
        <w:rPr>
          <w:sz w:val="24"/>
          <w:szCs w:val="24"/>
          <w:lang w:val="fr-FR"/>
        </w:rPr>
        <w:t>ADMINISTRATION DE L</w:t>
      </w:r>
      <w:r w:rsidR="007379AD" w:rsidRPr="004A032C">
        <w:rPr>
          <w:sz w:val="24"/>
          <w:szCs w:val="24"/>
          <w:lang w:val="fr-FR"/>
        </w:rPr>
        <w:t>’</w:t>
      </w:r>
      <w:r w:rsidRPr="004A032C">
        <w:rPr>
          <w:sz w:val="24"/>
          <w:szCs w:val="24"/>
          <w:lang w:val="fr-FR"/>
        </w:rPr>
        <w:t>ACTE DE GENÈVE DE L</w:t>
      </w:r>
      <w:r w:rsidR="007379AD" w:rsidRPr="004A032C">
        <w:rPr>
          <w:sz w:val="24"/>
          <w:szCs w:val="24"/>
          <w:lang w:val="fr-FR"/>
        </w:rPr>
        <w:t>’</w:t>
      </w:r>
      <w:r w:rsidRPr="004A032C">
        <w:rPr>
          <w:sz w:val="24"/>
          <w:szCs w:val="24"/>
          <w:lang w:val="fr-FR"/>
        </w:rPr>
        <w:t>ARRANGEMENT DE LISBONNE</w:t>
      </w:r>
      <w:r w:rsidR="00F47E56" w:rsidRPr="004A032C">
        <w:rPr>
          <w:sz w:val="24"/>
          <w:szCs w:val="24"/>
          <w:lang w:val="fr-FR"/>
        </w:rPr>
        <w:t> </w:t>
      </w:r>
      <w:r w:rsidRPr="004A032C">
        <w:rPr>
          <w:sz w:val="24"/>
          <w:szCs w:val="24"/>
          <w:lang w:val="fr-FR"/>
        </w:rPr>
        <w:t>: PROPOSITION DES ÉTATS</w:t>
      </w:r>
      <w:r w:rsidR="00A24F52" w:rsidRPr="004A032C">
        <w:rPr>
          <w:sz w:val="24"/>
          <w:szCs w:val="24"/>
          <w:lang w:val="fr-FR"/>
        </w:rPr>
        <w:noBreakHyphen/>
      </w:r>
      <w:r w:rsidRPr="004A032C">
        <w:rPr>
          <w:sz w:val="24"/>
          <w:szCs w:val="24"/>
          <w:lang w:val="fr-FR"/>
        </w:rPr>
        <w:t>UNIS D</w:t>
      </w:r>
      <w:r w:rsidR="007379AD" w:rsidRPr="004A032C">
        <w:rPr>
          <w:sz w:val="24"/>
          <w:szCs w:val="24"/>
          <w:lang w:val="fr-FR"/>
        </w:rPr>
        <w:t>’</w:t>
      </w:r>
      <w:r w:rsidRPr="004A032C">
        <w:rPr>
          <w:sz w:val="24"/>
          <w:szCs w:val="24"/>
          <w:lang w:val="fr-FR"/>
        </w:rPr>
        <w:t>AMÉRIQUE À L</w:t>
      </w:r>
      <w:r w:rsidR="007379AD" w:rsidRPr="004A032C">
        <w:rPr>
          <w:sz w:val="24"/>
          <w:szCs w:val="24"/>
          <w:lang w:val="fr-FR"/>
        </w:rPr>
        <w:t>’</w:t>
      </w:r>
      <w:r w:rsidRPr="004A032C">
        <w:rPr>
          <w:sz w:val="24"/>
          <w:szCs w:val="24"/>
          <w:lang w:val="fr-FR"/>
        </w:rPr>
        <w:t>INTENTION DE L</w:t>
      </w:r>
      <w:r w:rsidR="007379AD" w:rsidRPr="004A032C">
        <w:rPr>
          <w:sz w:val="24"/>
          <w:szCs w:val="24"/>
          <w:lang w:val="fr-FR"/>
        </w:rPr>
        <w:t>’</w:t>
      </w:r>
      <w:r w:rsidRPr="004A032C">
        <w:rPr>
          <w:sz w:val="24"/>
          <w:szCs w:val="24"/>
          <w:lang w:val="fr-FR"/>
        </w:rPr>
        <w:t>ASSEMBLÉE GÉNÉRALE DE L</w:t>
      </w:r>
      <w:r w:rsidR="007379AD" w:rsidRPr="004A032C">
        <w:rPr>
          <w:sz w:val="24"/>
          <w:szCs w:val="24"/>
          <w:lang w:val="fr-FR"/>
        </w:rPr>
        <w:t>’</w:t>
      </w:r>
      <w:r w:rsidRPr="004A032C">
        <w:rPr>
          <w:sz w:val="24"/>
          <w:szCs w:val="24"/>
          <w:lang w:val="fr-FR"/>
        </w:rPr>
        <w:t>OMPI</w:t>
      </w:r>
    </w:p>
    <w:p w:rsidR="00DA0F7A" w:rsidRPr="004A032C" w:rsidRDefault="00DA0F7A" w:rsidP="008B2CC1">
      <w:pPr>
        <w:rPr>
          <w:lang w:val="fr-FR"/>
        </w:rPr>
      </w:pPr>
    </w:p>
    <w:p w:rsidR="00DA0F7A" w:rsidRPr="004A032C" w:rsidRDefault="00CA196A" w:rsidP="00CA196A">
      <w:pPr>
        <w:rPr>
          <w:lang w:val="fr-FR"/>
        </w:rPr>
      </w:pPr>
      <w:r w:rsidRPr="004A032C">
        <w:rPr>
          <w:i/>
          <w:lang w:val="fr-FR"/>
        </w:rPr>
        <w:t>Document établi par le Secrétariat</w:t>
      </w:r>
    </w:p>
    <w:p w:rsidR="00DA0F7A" w:rsidRPr="004A032C" w:rsidRDefault="00DA0F7A" w:rsidP="008B2CC1">
      <w:pPr>
        <w:rPr>
          <w:lang w:val="fr-FR"/>
        </w:rPr>
      </w:pPr>
    </w:p>
    <w:p w:rsidR="00DA0F7A" w:rsidRPr="004A032C" w:rsidRDefault="00DA0F7A" w:rsidP="008B2CC1">
      <w:pPr>
        <w:rPr>
          <w:lang w:val="fr-FR"/>
        </w:rPr>
      </w:pPr>
    </w:p>
    <w:p w:rsidR="00DA0F7A" w:rsidRPr="004A032C" w:rsidRDefault="00DA0F7A" w:rsidP="008B2CC1">
      <w:pPr>
        <w:rPr>
          <w:lang w:val="fr-FR"/>
        </w:rPr>
      </w:pPr>
    </w:p>
    <w:p w:rsidR="00DA0F7A" w:rsidRPr="004A032C" w:rsidRDefault="00DA0F7A" w:rsidP="00D13C08">
      <w:pPr>
        <w:rPr>
          <w:szCs w:val="22"/>
          <w:lang w:val="fr-FR"/>
        </w:rPr>
      </w:pPr>
      <w:bookmarkStart w:id="4" w:name="TitleOfDoc"/>
      <w:bookmarkStart w:id="5" w:name="Prepared"/>
      <w:bookmarkEnd w:id="4"/>
      <w:bookmarkEnd w:id="5"/>
    </w:p>
    <w:p w:rsidR="00DA0F7A" w:rsidRPr="004A032C" w:rsidRDefault="00CA196A" w:rsidP="004A032C">
      <w:pPr>
        <w:pStyle w:val="ONUMFS"/>
        <w:rPr>
          <w:lang w:val="fr-FR"/>
        </w:rPr>
      </w:pPr>
      <w:r w:rsidRPr="004A032C">
        <w:rPr>
          <w:lang w:val="fr-FR"/>
        </w:rPr>
        <w:t xml:space="preserve">Dans une communication datée du </w:t>
      </w:r>
      <w:r w:rsidR="007379AD" w:rsidRPr="004A032C">
        <w:rPr>
          <w:lang w:val="fr-FR"/>
        </w:rPr>
        <w:t>3 septembre 20</w:t>
      </w:r>
      <w:r w:rsidRPr="004A032C">
        <w:rPr>
          <w:lang w:val="fr-FR"/>
        </w:rPr>
        <w:t>15, reproduite dans l</w:t>
      </w:r>
      <w:r w:rsidR="007379AD" w:rsidRPr="004A032C">
        <w:rPr>
          <w:lang w:val="fr-FR"/>
        </w:rPr>
        <w:t>’</w:t>
      </w:r>
      <w:r w:rsidRPr="004A032C">
        <w:rPr>
          <w:lang w:val="fr-FR"/>
        </w:rPr>
        <w:t>annexe du présent document, la délégation des États</w:t>
      </w:r>
      <w:r w:rsidR="00A24F52" w:rsidRPr="004A032C">
        <w:rPr>
          <w:lang w:val="fr-FR"/>
        </w:rPr>
        <w:noBreakHyphen/>
      </w:r>
      <w:r w:rsidRPr="004A032C">
        <w:rPr>
          <w:lang w:val="fr-FR"/>
        </w:rPr>
        <w:t>Unis d</w:t>
      </w:r>
      <w:r w:rsidR="007379AD" w:rsidRPr="004A032C">
        <w:rPr>
          <w:lang w:val="fr-FR"/>
        </w:rPr>
        <w:t>’</w:t>
      </w:r>
      <w:r w:rsidRPr="004A032C">
        <w:rPr>
          <w:lang w:val="fr-FR"/>
        </w:rPr>
        <w:t>Amérique a notamment demandé que sa contribution intitulée “Questions concernant l</w:t>
      </w:r>
      <w:r w:rsidR="007379AD" w:rsidRPr="004A032C">
        <w:rPr>
          <w:lang w:val="fr-FR"/>
        </w:rPr>
        <w:t>’</w:t>
      </w:r>
      <w:r w:rsidRPr="004A032C">
        <w:rPr>
          <w:lang w:val="fr-FR"/>
        </w:rPr>
        <w:t>administration de l</w:t>
      </w:r>
      <w:r w:rsidR="007379AD" w:rsidRPr="004A032C">
        <w:rPr>
          <w:lang w:val="fr-FR"/>
        </w:rPr>
        <w:t>’</w:t>
      </w:r>
      <w:r w:rsidRPr="004A032C">
        <w:rPr>
          <w:lang w:val="fr-FR"/>
        </w:rPr>
        <w:t>Acte de Genève de l</w:t>
      </w:r>
      <w:r w:rsidR="007379AD" w:rsidRPr="004A032C">
        <w:rPr>
          <w:lang w:val="fr-FR"/>
        </w:rPr>
        <w:t>’</w:t>
      </w:r>
      <w:r w:rsidRPr="004A032C">
        <w:rPr>
          <w:lang w:val="fr-FR"/>
        </w:rPr>
        <w:t>Arrangement de Lisbonne” soit distribuée comme document de travail pour examen à la quarante</w:t>
      </w:r>
      <w:r w:rsidR="00A24F52" w:rsidRPr="004A032C">
        <w:rPr>
          <w:lang w:val="fr-FR"/>
        </w:rPr>
        <w:noBreakHyphen/>
      </w:r>
      <w:r w:rsidRPr="004A032C">
        <w:rPr>
          <w:lang w:val="fr-FR"/>
        </w:rPr>
        <w:t>septième</w:t>
      </w:r>
      <w:r w:rsidR="00F47E56" w:rsidRPr="004A032C">
        <w:rPr>
          <w:lang w:val="fr-FR"/>
        </w:rPr>
        <w:t> </w:t>
      </w:r>
      <w:r w:rsidRPr="004A032C">
        <w:rPr>
          <w:lang w:val="fr-FR"/>
        </w:rPr>
        <w:t>session (</w:t>
      </w:r>
      <w:r w:rsidR="00B66F3D" w:rsidRPr="004A032C">
        <w:rPr>
          <w:lang w:val="fr-FR"/>
        </w:rPr>
        <w:t>22</w:t>
      </w:r>
      <w:r w:rsidR="00B66F3D" w:rsidRPr="004A032C">
        <w:rPr>
          <w:vertAlign w:val="superscript"/>
          <w:lang w:val="fr-FR"/>
        </w:rPr>
        <w:t>e</w:t>
      </w:r>
      <w:r w:rsidR="00B66F3D" w:rsidRPr="004A032C">
        <w:rPr>
          <w:lang w:val="fr-FR"/>
        </w:rPr>
        <w:t> </w:t>
      </w:r>
      <w:r w:rsidRPr="004A032C">
        <w:rPr>
          <w:lang w:val="fr-FR"/>
        </w:rPr>
        <w:t xml:space="preserve">session </w:t>
      </w:r>
      <w:r w:rsidR="000B5A3C" w:rsidRPr="004A032C">
        <w:rPr>
          <w:lang w:val="fr-FR"/>
        </w:rPr>
        <w:t>ordinaire</w:t>
      </w:r>
      <w:r w:rsidRPr="004A032C">
        <w:rPr>
          <w:lang w:val="fr-FR"/>
        </w:rPr>
        <w:t>) de l</w:t>
      </w:r>
      <w:r w:rsidR="007379AD" w:rsidRPr="004A032C">
        <w:rPr>
          <w:lang w:val="fr-FR"/>
        </w:rPr>
        <w:t>’</w:t>
      </w:r>
      <w:r w:rsidRPr="004A032C">
        <w:rPr>
          <w:lang w:val="fr-FR"/>
        </w:rPr>
        <w:t>Assemblée générale de l</w:t>
      </w:r>
      <w:r w:rsidR="007379AD" w:rsidRPr="004A032C">
        <w:rPr>
          <w:lang w:val="fr-FR"/>
        </w:rPr>
        <w:t>’</w:t>
      </w:r>
      <w:r w:rsidRPr="004A032C">
        <w:rPr>
          <w:lang w:val="fr-FR"/>
        </w:rPr>
        <w:t>OMPI.</w:t>
      </w:r>
    </w:p>
    <w:p w:rsidR="00DA0F7A" w:rsidRPr="004A032C" w:rsidRDefault="00CA196A" w:rsidP="004A032C">
      <w:pPr>
        <w:pStyle w:val="ONUMFS"/>
        <w:ind w:left="5533"/>
        <w:rPr>
          <w:i/>
          <w:lang w:val="fr-FR"/>
        </w:rPr>
      </w:pPr>
      <w:r w:rsidRPr="004A032C">
        <w:rPr>
          <w:i/>
          <w:lang w:val="fr-FR"/>
        </w:rPr>
        <w:t>L</w:t>
      </w:r>
      <w:r w:rsidR="007379AD" w:rsidRPr="004A032C">
        <w:rPr>
          <w:i/>
          <w:lang w:val="fr-FR"/>
        </w:rPr>
        <w:t>’</w:t>
      </w:r>
      <w:r w:rsidRPr="004A032C">
        <w:rPr>
          <w:i/>
          <w:lang w:val="fr-FR"/>
        </w:rPr>
        <w:t>Assemblée générale de l</w:t>
      </w:r>
      <w:r w:rsidR="007379AD" w:rsidRPr="004A032C">
        <w:rPr>
          <w:i/>
          <w:lang w:val="fr-FR"/>
        </w:rPr>
        <w:t>’</w:t>
      </w:r>
      <w:r w:rsidRPr="004A032C">
        <w:rPr>
          <w:i/>
          <w:lang w:val="fr-FR"/>
        </w:rPr>
        <w:t>OMPI est invitée à examiner la communication contenue dans l</w:t>
      </w:r>
      <w:r w:rsidR="007379AD" w:rsidRPr="004A032C">
        <w:rPr>
          <w:i/>
          <w:lang w:val="fr-FR"/>
        </w:rPr>
        <w:t>’</w:t>
      </w:r>
      <w:r w:rsidRPr="004A032C">
        <w:rPr>
          <w:i/>
          <w:lang w:val="fr-FR"/>
        </w:rPr>
        <w:t>annexe du présent document.</w:t>
      </w:r>
    </w:p>
    <w:p w:rsidR="00DA0F7A" w:rsidRPr="004A032C" w:rsidRDefault="00DA0F7A" w:rsidP="00320E0C">
      <w:pPr>
        <w:pStyle w:val="ONUME"/>
        <w:numPr>
          <w:ilvl w:val="0"/>
          <w:numId w:val="0"/>
        </w:numPr>
        <w:spacing w:after="0"/>
        <w:ind w:left="5501"/>
        <w:rPr>
          <w:lang w:val="fr-FR"/>
        </w:rPr>
      </w:pPr>
    </w:p>
    <w:p w:rsidR="00DA0F7A" w:rsidRPr="004A032C" w:rsidRDefault="00DA0F7A" w:rsidP="004E4C12">
      <w:pPr>
        <w:pStyle w:val="ONUME"/>
        <w:numPr>
          <w:ilvl w:val="0"/>
          <w:numId w:val="0"/>
        </w:numPr>
        <w:spacing w:after="0"/>
        <w:ind w:left="5501"/>
        <w:rPr>
          <w:i/>
          <w:lang w:val="fr-FR"/>
        </w:rPr>
      </w:pPr>
    </w:p>
    <w:p w:rsidR="00DA0F7A" w:rsidRPr="004A032C" w:rsidRDefault="00CA196A" w:rsidP="00CA196A">
      <w:pPr>
        <w:spacing w:after="120" w:line="260" w:lineRule="atLeast"/>
        <w:ind w:left="5500"/>
        <w:contextualSpacing/>
        <w:rPr>
          <w:lang w:val="fr-FR"/>
        </w:rPr>
      </w:pPr>
      <w:r w:rsidRPr="004A032C">
        <w:rPr>
          <w:lang w:val="fr-FR"/>
        </w:rPr>
        <w:t>[L</w:t>
      </w:r>
      <w:r w:rsidR="007379AD" w:rsidRPr="004A032C">
        <w:rPr>
          <w:lang w:val="fr-FR"/>
        </w:rPr>
        <w:t>’</w:t>
      </w:r>
      <w:r w:rsidRPr="004A032C">
        <w:rPr>
          <w:lang w:val="fr-FR"/>
        </w:rPr>
        <w:t>annexe suit]</w:t>
      </w:r>
    </w:p>
    <w:p w:rsidR="00DA0F7A" w:rsidRPr="004A032C" w:rsidRDefault="00DA0F7A" w:rsidP="002047D9">
      <w:pPr>
        <w:spacing w:after="120" w:line="260" w:lineRule="atLeast"/>
        <w:contextualSpacing/>
        <w:rPr>
          <w:szCs w:val="22"/>
          <w:lang w:val="fr-FR"/>
        </w:rPr>
      </w:pPr>
    </w:p>
    <w:p w:rsidR="0016532C" w:rsidRPr="004A032C" w:rsidRDefault="0016532C" w:rsidP="00290A90">
      <w:pPr>
        <w:spacing w:after="120" w:line="260" w:lineRule="atLeast"/>
        <w:ind w:left="5500"/>
        <w:contextualSpacing/>
        <w:rPr>
          <w:szCs w:val="22"/>
          <w:lang w:val="fr-FR"/>
        </w:rPr>
        <w:sectPr w:rsidR="0016532C" w:rsidRPr="004A032C" w:rsidSect="00B66F3D">
          <w:headerReference w:type="default" r:id="rId10"/>
          <w:endnotePr>
            <w:numFmt w:val="decimal"/>
          </w:endnotePr>
          <w:pgSz w:w="11907" w:h="16840" w:code="9"/>
          <w:pgMar w:top="567" w:right="1134" w:bottom="1418" w:left="1418" w:header="510" w:footer="1021" w:gutter="0"/>
          <w:cols w:space="720"/>
          <w:titlePg/>
          <w:docGrid w:linePitch="299"/>
        </w:sectPr>
      </w:pPr>
    </w:p>
    <w:p w:rsidR="004A032C" w:rsidRPr="004A032C" w:rsidRDefault="004A032C" w:rsidP="004A032C">
      <w:pPr>
        <w:tabs>
          <w:tab w:val="left" w:pos="1985"/>
          <w:tab w:val="center" w:pos="7088"/>
        </w:tabs>
        <w:rPr>
          <w:b/>
          <w:szCs w:val="22"/>
          <w:lang w:val="fr-FR"/>
        </w:rPr>
      </w:pPr>
      <w:r w:rsidRPr="004A032C">
        <w:rPr>
          <w:b/>
          <w:szCs w:val="22"/>
          <w:lang w:val="fr-FR"/>
        </w:rPr>
        <w:lastRenderedPageBreak/>
        <w:t>Traduction d’une lettre datée du 3 septembre 2015</w:t>
      </w:r>
    </w:p>
    <w:p w:rsidR="004A032C" w:rsidRPr="004A032C" w:rsidRDefault="004A032C" w:rsidP="004A032C">
      <w:pPr>
        <w:tabs>
          <w:tab w:val="left" w:pos="1985"/>
          <w:tab w:val="center" w:pos="7088"/>
        </w:tabs>
        <w:rPr>
          <w:szCs w:val="22"/>
          <w:lang w:val="fr-FR"/>
        </w:rPr>
      </w:pPr>
    </w:p>
    <w:p w:rsidR="004A032C" w:rsidRPr="004A032C" w:rsidRDefault="004A032C" w:rsidP="004A032C">
      <w:pPr>
        <w:tabs>
          <w:tab w:val="left" w:pos="1985"/>
          <w:tab w:val="center" w:pos="7088"/>
        </w:tabs>
        <w:rPr>
          <w:szCs w:val="22"/>
          <w:lang w:val="fr-FR"/>
        </w:rPr>
      </w:pPr>
    </w:p>
    <w:p w:rsidR="004A032C" w:rsidRPr="004A032C" w:rsidRDefault="004A032C" w:rsidP="004A032C">
      <w:pPr>
        <w:tabs>
          <w:tab w:val="right" w:pos="2552"/>
          <w:tab w:val="left" w:pos="3119"/>
        </w:tabs>
        <w:ind w:left="3119" w:hanging="3119"/>
        <w:rPr>
          <w:szCs w:val="22"/>
          <w:lang w:val="fr-FR"/>
        </w:rPr>
      </w:pPr>
      <w:r w:rsidRPr="004A032C">
        <w:rPr>
          <w:szCs w:val="22"/>
          <w:lang w:val="fr-FR"/>
        </w:rPr>
        <w:tab/>
      </w:r>
      <w:proofErr w:type="gramStart"/>
      <w:r w:rsidRPr="004A032C">
        <w:rPr>
          <w:b/>
          <w:szCs w:val="22"/>
          <w:lang w:val="fr-FR"/>
        </w:rPr>
        <w:t>adressée</w:t>
      </w:r>
      <w:proofErr w:type="gramEnd"/>
      <w:r w:rsidRPr="004A032C">
        <w:rPr>
          <w:b/>
          <w:szCs w:val="22"/>
          <w:lang w:val="fr-FR"/>
        </w:rPr>
        <w:t xml:space="preserve"> par : </w:t>
      </w:r>
      <w:r w:rsidRPr="004A032C">
        <w:rPr>
          <w:b/>
          <w:lang w:val="fr-FR"/>
        </w:rPr>
        <w:tab/>
      </w:r>
      <w:r w:rsidRPr="004A032C">
        <w:rPr>
          <w:szCs w:val="22"/>
          <w:lang w:val="fr-FR"/>
        </w:rPr>
        <w:t>Mme Deborah Lashley</w:t>
      </w:r>
      <w:r w:rsidRPr="004A032C">
        <w:rPr>
          <w:szCs w:val="22"/>
          <w:lang w:val="fr-FR"/>
        </w:rPr>
        <w:noBreakHyphen/>
        <w:t>Johnson</w:t>
      </w:r>
      <w:r w:rsidRPr="004A032C">
        <w:rPr>
          <w:szCs w:val="22"/>
          <w:lang w:val="fr-FR"/>
        </w:rPr>
        <w:br/>
        <w:t>Attaché pour les questions de propriété intellectuelle</w:t>
      </w:r>
      <w:r w:rsidRPr="004A032C">
        <w:rPr>
          <w:szCs w:val="22"/>
          <w:lang w:val="fr-FR"/>
        </w:rPr>
        <w:br/>
        <w:t>Mission permanente des États</w:t>
      </w:r>
      <w:r w:rsidRPr="004A032C">
        <w:rPr>
          <w:szCs w:val="22"/>
          <w:lang w:val="fr-FR"/>
        </w:rPr>
        <w:noBreakHyphen/>
        <w:t>Unis d’Amérique auprès de l’Organisation mondiale du commerce</w:t>
      </w:r>
    </w:p>
    <w:p w:rsidR="004A032C" w:rsidRPr="004A032C" w:rsidRDefault="004A032C" w:rsidP="004A032C">
      <w:pPr>
        <w:tabs>
          <w:tab w:val="right" w:pos="2552"/>
          <w:tab w:val="left" w:pos="3119"/>
        </w:tabs>
        <w:rPr>
          <w:szCs w:val="22"/>
          <w:lang w:val="fr-FR"/>
        </w:rPr>
      </w:pPr>
    </w:p>
    <w:p w:rsidR="004A032C" w:rsidRPr="004A032C" w:rsidRDefault="004A032C" w:rsidP="004A032C">
      <w:pPr>
        <w:tabs>
          <w:tab w:val="right" w:pos="2552"/>
          <w:tab w:val="left" w:pos="3119"/>
        </w:tabs>
        <w:ind w:left="3119" w:hanging="3119"/>
        <w:rPr>
          <w:szCs w:val="22"/>
          <w:lang w:val="fr-FR"/>
        </w:rPr>
      </w:pPr>
      <w:r w:rsidRPr="004A032C">
        <w:rPr>
          <w:szCs w:val="22"/>
          <w:lang w:val="fr-FR"/>
        </w:rPr>
        <w:tab/>
      </w:r>
      <w:proofErr w:type="gramStart"/>
      <w:r w:rsidRPr="004A032C">
        <w:rPr>
          <w:b/>
          <w:szCs w:val="22"/>
          <w:lang w:val="fr-FR"/>
        </w:rPr>
        <w:t>à</w:t>
      </w:r>
      <w:proofErr w:type="gramEnd"/>
      <w:r w:rsidRPr="004A032C">
        <w:rPr>
          <w:b/>
          <w:szCs w:val="22"/>
          <w:lang w:val="fr-FR"/>
        </w:rPr>
        <w:t xml:space="preserve"> : </w:t>
      </w:r>
      <w:r w:rsidRPr="004A032C">
        <w:rPr>
          <w:b/>
          <w:szCs w:val="22"/>
          <w:lang w:val="fr-FR"/>
        </w:rPr>
        <w:tab/>
      </w:r>
      <w:r w:rsidRPr="004A032C">
        <w:rPr>
          <w:lang w:val="fr-FR"/>
        </w:rPr>
        <w:t>M.</w:t>
      </w:r>
      <w:r w:rsidRPr="004A032C">
        <w:rPr>
          <w:szCs w:val="22"/>
          <w:lang w:val="fr-FR"/>
        </w:rPr>
        <w:t xml:space="preserve"> Francis </w:t>
      </w:r>
      <w:proofErr w:type="spellStart"/>
      <w:r w:rsidRPr="004A032C">
        <w:rPr>
          <w:szCs w:val="22"/>
          <w:lang w:val="fr-FR"/>
        </w:rPr>
        <w:t>Gurry</w:t>
      </w:r>
      <w:proofErr w:type="spellEnd"/>
      <w:r w:rsidRPr="004A032C">
        <w:rPr>
          <w:szCs w:val="22"/>
          <w:lang w:val="fr-FR"/>
        </w:rPr>
        <w:br/>
        <w:t>Directeur général</w:t>
      </w:r>
      <w:r w:rsidRPr="004A032C">
        <w:rPr>
          <w:szCs w:val="22"/>
          <w:lang w:val="fr-FR"/>
        </w:rPr>
        <w:br/>
        <w:t>Organisation Mondiale de la Propriété Intellectuelle (OMPI)</w:t>
      </w:r>
    </w:p>
    <w:p w:rsidR="004A032C" w:rsidRPr="004A032C" w:rsidRDefault="004A032C" w:rsidP="004A032C">
      <w:pPr>
        <w:tabs>
          <w:tab w:val="left" w:pos="1985"/>
          <w:tab w:val="center" w:pos="7088"/>
        </w:tabs>
        <w:rPr>
          <w:szCs w:val="22"/>
          <w:lang w:val="fr-FR"/>
        </w:rPr>
      </w:pPr>
    </w:p>
    <w:p w:rsidR="004A032C" w:rsidRPr="004A032C" w:rsidRDefault="004A032C" w:rsidP="004A032C">
      <w:pPr>
        <w:tabs>
          <w:tab w:val="left" w:pos="1985"/>
          <w:tab w:val="center" w:pos="7088"/>
        </w:tabs>
        <w:rPr>
          <w:szCs w:val="22"/>
          <w:lang w:val="fr-FR"/>
        </w:rPr>
      </w:pPr>
    </w:p>
    <w:p w:rsidR="004A032C" w:rsidRPr="004A032C" w:rsidRDefault="004A032C" w:rsidP="004A032C">
      <w:pPr>
        <w:tabs>
          <w:tab w:val="left" w:pos="1985"/>
          <w:tab w:val="center" w:pos="7088"/>
        </w:tabs>
        <w:rPr>
          <w:szCs w:val="22"/>
          <w:lang w:val="fr-FR"/>
        </w:rPr>
      </w:pPr>
      <w:r w:rsidRPr="004A032C">
        <w:rPr>
          <w:szCs w:val="22"/>
          <w:lang w:val="fr-FR"/>
        </w:rPr>
        <w:t>Monsieur le Directeur général,</w:t>
      </w:r>
    </w:p>
    <w:p w:rsidR="004A032C" w:rsidRPr="004A032C" w:rsidRDefault="004A032C" w:rsidP="004A032C">
      <w:pPr>
        <w:tabs>
          <w:tab w:val="left" w:pos="1985"/>
          <w:tab w:val="center" w:pos="7088"/>
        </w:tabs>
        <w:rPr>
          <w:szCs w:val="22"/>
          <w:lang w:val="fr-FR"/>
        </w:rPr>
      </w:pPr>
    </w:p>
    <w:p w:rsidR="004A032C" w:rsidRPr="004A032C" w:rsidRDefault="004A032C" w:rsidP="004A032C">
      <w:pPr>
        <w:rPr>
          <w:szCs w:val="22"/>
          <w:lang w:val="fr-FR"/>
        </w:rPr>
      </w:pPr>
      <w:r w:rsidRPr="004A032C">
        <w:rPr>
          <w:szCs w:val="22"/>
          <w:lang w:val="fr-FR"/>
        </w:rPr>
        <w:t>En vertu de l’article 5.4) des Règles générales de procédure de l’OMPI figurant dans la publication n° 399 (FE) Rev.3 de l’OMPI, les États</w:t>
      </w:r>
      <w:r w:rsidRPr="004A032C">
        <w:rPr>
          <w:szCs w:val="22"/>
          <w:lang w:val="fr-FR"/>
        </w:rPr>
        <w:noBreakHyphen/>
        <w:t>Unis d’Amérique demandent que les propositions ci</w:t>
      </w:r>
      <w:r w:rsidRPr="004A032C">
        <w:rPr>
          <w:szCs w:val="22"/>
          <w:lang w:val="fr-FR"/>
        </w:rPr>
        <w:noBreakHyphen/>
        <w:t>après soient inscrites au projet d’ordre du jour de la cinquante</w:t>
      </w:r>
      <w:r w:rsidRPr="004A032C">
        <w:rPr>
          <w:szCs w:val="22"/>
          <w:lang w:val="fr-FR"/>
        </w:rPr>
        <w:noBreakHyphen/>
        <w:t>cinquième série de réunions des assemblées des États membres de l’OMPI (qui se tiendra à Genève du 5 au 14 octobre 2015), en tant que propositions à examiner au titre des points correspondants de l’ordre du jour ou en tant que nouveaux points de l’ordre du jour, selon ce qui convient :</w:t>
      </w:r>
    </w:p>
    <w:p w:rsidR="004A032C" w:rsidRPr="004A032C" w:rsidRDefault="004A032C" w:rsidP="004A032C">
      <w:pPr>
        <w:rPr>
          <w:szCs w:val="22"/>
          <w:lang w:val="fr-FR"/>
        </w:rPr>
      </w:pPr>
    </w:p>
    <w:p w:rsidR="004A032C" w:rsidRPr="004A032C" w:rsidRDefault="004A032C" w:rsidP="004A032C">
      <w:pPr>
        <w:pStyle w:val="ListParagraph"/>
        <w:numPr>
          <w:ilvl w:val="0"/>
          <w:numId w:val="46"/>
        </w:numPr>
        <w:contextualSpacing/>
        <w:rPr>
          <w:szCs w:val="22"/>
          <w:lang w:val="fr-FR"/>
        </w:rPr>
      </w:pPr>
      <w:r w:rsidRPr="004A032C">
        <w:rPr>
          <w:szCs w:val="22"/>
          <w:lang w:val="fr-FR"/>
        </w:rPr>
        <w:t>Assemblée de l’Union du PCT : questions concernant l’Union de Lisbonne;</w:t>
      </w:r>
    </w:p>
    <w:p w:rsidR="004A032C" w:rsidRPr="004A032C" w:rsidRDefault="004A032C" w:rsidP="004A032C">
      <w:pPr>
        <w:pStyle w:val="ListParagraph"/>
        <w:numPr>
          <w:ilvl w:val="0"/>
          <w:numId w:val="46"/>
        </w:numPr>
        <w:contextualSpacing/>
        <w:rPr>
          <w:szCs w:val="22"/>
          <w:lang w:val="fr-FR"/>
        </w:rPr>
      </w:pPr>
      <w:r w:rsidRPr="004A032C">
        <w:rPr>
          <w:szCs w:val="22"/>
          <w:lang w:val="fr-FR"/>
        </w:rPr>
        <w:t>Assemblée de l’Union de Madrid : questions concernant les unions de Madrid et de Lisbonne;</w:t>
      </w:r>
    </w:p>
    <w:p w:rsidR="004A032C" w:rsidRPr="004A032C" w:rsidRDefault="004A032C" w:rsidP="004A032C">
      <w:pPr>
        <w:pStyle w:val="ListParagraph"/>
        <w:numPr>
          <w:ilvl w:val="0"/>
          <w:numId w:val="46"/>
        </w:numPr>
        <w:contextualSpacing/>
        <w:rPr>
          <w:szCs w:val="22"/>
          <w:lang w:val="fr-FR"/>
        </w:rPr>
      </w:pPr>
      <w:r w:rsidRPr="004A032C">
        <w:rPr>
          <w:szCs w:val="22"/>
          <w:lang w:val="fr-FR"/>
        </w:rPr>
        <w:t>Assemblée générale de l’OMPI : questions concernant le Comité permanent du droit des marques, des dessins et modèles industriels et des indications géographiques;</w:t>
      </w:r>
    </w:p>
    <w:p w:rsidR="004A032C" w:rsidRPr="004A032C" w:rsidRDefault="004A032C" w:rsidP="004A032C">
      <w:pPr>
        <w:pStyle w:val="ListParagraph"/>
        <w:numPr>
          <w:ilvl w:val="0"/>
          <w:numId w:val="46"/>
        </w:numPr>
        <w:contextualSpacing/>
        <w:rPr>
          <w:szCs w:val="22"/>
          <w:lang w:val="fr-FR"/>
        </w:rPr>
      </w:pPr>
      <w:r w:rsidRPr="004A032C">
        <w:rPr>
          <w:szCs w:val="22"/>
          <w:lang w:val="fr-FR"/>
        </w:rPr>
        <w:t>Assemblée générale de l’OMPI : questions concernant l’administration de l’Acte de Genève de l’Arrangement de Lisbonne;  et</w:t>
      </w:r>
    </w:p>
    <w:p w:rsidR="004A032C" w:rsidRPr="004A032C" w:rsidRDefault="004A032C" w:rsidP="004A032C">
      <w:pPr>
        <w:pStyle w:val="ListParagraph"/>
        <w:numPr>
          <w:ilvl w:val="0"/>
          <w:numId w:val="46"/>
        </w:numPr>
        <w:contextualSpacing/>
        <w:rPr>
          <w:szCs w:val="22"/>
          <w:lang w:val="fr-FR"/>
        </w:rPr>
      </w:pPr>
      <w:r w:rsidRPr="004A032C">
        <w:rPr>
          <w:szCs w:val="22"/>
          <w:lang w:val="fr-FR"/>
        </w:rPr>
        <w:t>Assemblée générale de l’OMPI : questions concernant le Comité intergouvernemental de la propriété intellectuelle relative aux ressources génétiques, aux savoirs traditionnels et au folklore (IGC).</w:t>
      </w:r>
    </w:p>
    <w:p w:rsidR="004A032C" w:rsidRPr="004A032C" w:rsidRDefault="004A032C" w:rsidP="004A032C">
      <w:pPr>
        <w:rPr>
          <w:szCs w:val="22"/>
          <w:lang w:val="fr-FR"/>
        </w:rPr>
      </w:pPr>
    </w:p>
    <w:p w:rsidR="004A032C" w:rsidRPr="004A032C" w:rsidRDefault="004A032C" w:rsidP="004A032C">
      <w:pPr>
        <w:rPr>
          <w:szCs w:val="22"/>
          <w:lang w:val="fr-FR"/>
        </w:rPr>
      </w:pPr>
      <w:r w:rsidRPr="004A032C">
        <w:rPr>
          <w:szCs w:val="22"/>
          <w:lang w:val="fr-FR"/>
        </w:rPr>
        <w:t>Les États</w:t>
      </w:r>
      <w:r w:rsidRPr="004A032C">
        <w:rPr>
          <w:szCs w:val="22"/>
          <w:lang w:val="fr-FR"/>
        </w:rPr>
        <w:noBreakHyphen/>
        <w:t xml:space="preserve">Unis d’Amérique demandent également que le projet d’ordre du jour (document </w:t>
      </w:r>
      <w:r w:rsidR="003533F2">
        <w:rPr>
          <w:szCs w:val="22"/>
          <w:lang w:val="fr-FR"/>
        </w:rPr>
        <w:t>WO</w:t>
      </w:r>
      <w:r w:rsidRPr="004A032C">
        <w:rPr>
          <w:szCs w:val="22"/>
          <w:lang w:val="fr-FR"/>
        </w:rPr>
        <w:t>/55/1 Prov.2) soit remanié de sorte que le point relatif aux “Services mondiaux de propriété intellectuelle” (points 19 à 23 de l’ordre du jour), auquel se rapporte principalement le budget de l’OMPI, figure avant celui intitulé “Programme, budget et questions de supervision” (points 10 et 11 de l’ordre du jour).</w:t>
      </w:r>
    </w:p>
    <w:p w:rsidR="004A032C" w:rsidRPr="004A032C" w:rsidRDefault="004A032C" w:rsidP="004A032C">
      <w:pPr>
        <w:rPr>
          <w:szCs w:val="22"/>
          <w:lang w:val="fr-FR"/>
        </w:rPr>
      </w:pPr>
    </w:p>
    <w:p w:rsidR="004A032C" w:rsidRPr="004A032C" w:rsidRDefault="004A032C" w:rsidP="004A032C">
      <w:pPr>
        <w:rPr>
          <w:szCs w:val="22"/>
          <w:lang w:val="fr-FR"/>
        </w:rPr>
      </w:pPr>
      <w:r w:rsidRPr="004A032C">
        <w:rPr>
          <w:szCs w:val="22"/>
          <w:lang w:val="fr-FR"/>
        </w:rPr>
        <w:t>Je vous saurais gré de bien vouloir me faire parvenir un exemplaire de la version révisée du projet d’ordre du jour dans laquelle les points susmentionnés auront été ajoutés et l’ordre du jour remanié conformément à la présente demande.</w:t>
      </w:r>
    </w:p>
    <w:p w:rsidR="004A032C" w:rsidRPr="004A032C" w:rsidRDefault="004A032C" w:rsidP="004A032C">
      <w:pPr>
        <w:rPr>
          <w:szCs w:val="22"/>
          <w:lang w:val="fr-FR"/>
        </w:rPr>
      </w:pPr>
    </w:p>
    <w:p w:rsidR="004A032C" w:rsidRPr="004A032C" w:rsidRDefault="004A032C" w:rsidP="004A032C">
      <w:pPr>
        <w:rPr>
          <w:szCs w:val="22"/>
          <w:lang w:val="fr-FR"/>
        </w:rPr>
      </w:pPr>
      <w:r w:rsidRPr="004A032C">
        <w:rPr>
          <w:szCs w:val="22"/>
          <w:lang w:val="fr-FR"/>
        </w:rPr>
        <w:t>Veuillez agréer, Monsieur le Directeur général, l’assurance de ma considération distinguée.</w:t>
      </w:r>
    </w:p>
    <w:p w:rsidR="004A032C" w:rsidRPr="004A032C" w:rsidRDefault="004A032C" w:rsidP="004A032C">
      <w:pPr>
        <w:rPr>
          <w:szCs w:val="22"/>
          <w:lang w:val="fr-FR"/>
        </w:rPr>
      </w:pPr>
    </w:p>
    <w:p w:rsidR="004A032C" w:rsidRPr="004A032C" w:rsidRDefault="004A032C" w:rsidP="004A032C">
      <w:pPr>
        <w:rPr>
          <w:szCs w:val="22"/>
          <w:lang w:val="fr-FR"/>
        </w:rPr>
      </w:pPr>
    </w:p>
    <w:p w:rsidR="004A032C" w:rsidRPr="004A032C" w:rsidRDefault="004A032C" w:rsidP="004A032C">
      <w:pPr>
        <w:pStyle w:val="Signature"/>
        <w:ind w:left="4536"/>
        <w:rPr>
          <w:spacing w:val="-2"/>
          <w:szCs w:val="22"/>
          <w:lang w:val="fr-FR"/>
        </w:rPr>
      </w:pPr>
      <w:r w:rsidRPr="004A032C">
        <w:rPr>
          <w:spacing w:val="-2"/>
          <w:szCs w:val="22"/>
          <w:lang w:val="fr-FR"/>
        </w:rPr>
        <w:t>(Signé par : Mme Deborah Lashley</w:t>
      </w:r>
      <w:r w:rsidRPr="004A032C">
        <w:rPr>
          <w:spacing w:val="-2"/>
          <w:szCs w:val="22"/>
          <w:lang w:val="fr-FR"/>
        </w:rPr>
        <w:noBreakHyphen/>
        <w:t>Johnson</w:t>
      </w:r>
      <w:r w:rsidRPr="004A032C">
        <w:rPr>
          <w:spacing w:val="-2"/>
          <w:szCs w:val="22"/>
          <w:lang w:val="fr-FR"/>
        </w:rPr>
        <w:br/>
      </w:r>
      <w:r w:rsidRPr="004A032C">
        <w:rPr>
          <w:spacing w:val="-6"/>
          <w:szCs w:val="22"/>
          <w:lang w:val="fr-FR"/>
        </w:rPr>
        <w:t>Attaché pour les questions de propriété intellectuelle</w:t>
      </w:r>
      <w:r w:rsidRPr="004A032C">
        <w:rPr>
          <w:spacing w:val="-2"/>
          <w:szCs w:val="22"/>
          <w:lang w:val="fr-FR"/>
        </w:rPr>
        <w:br/>
        <w:t>Mission permanente des États</w:t>
      </w:r>
      <w:r w:rsidRPr="004A032C">
        <w:rPr>
          <w:spacing w:val="-2"/>
          <w:szCs w:val="22"/>
          <w:lang w:val="fr-FR"/>
        </w:rPr>
        <w:noBreakHyphen/>
        <w:t>Unis d’Amérique auprès de l’Organisation mondiale du commerce)</w:t>
      </w:r>
    </w:p>
    <w:p w:rsidR="004A032C" w:rsidRPr="004A032C" w:rsidRDefault="004A032C" w:rsidP="004A032C">
      <w:pPr>
        <w:rPr>
          <w:szCs w:val="22"/>
          <w:lang w:val="fr-FR"/>
        </w:rPr>
      </w:pPr>
    </w:p>
    <w:p w:rsidR="004A032C" w:rsidRPr="004A032C" w:rsidRDefault="004A032C" w:rsidP="004A032C">
      <w:pPr>
        <w:rPr>
          <w:szCs w:val="22"/>
          <w:lang w:val="fr-FR"/>
        </w:rPr>
      </w:pPr>
    </w:p>
    <w:p w:rsidR="004A032C" w:rsidRPr="004A032C" w:rsidRDefault="004A032C" w:rsidP="004A032C">
      <w:pPr>
        <w:tabs>
          <w:tab w:val="left" w:pos="1701"/>
          <w:tab w:val="left" w:pos="2268"/>
        </w:tabs>
        <w:rPr>
          <w:lang w:val="fr-FR"/>
        </w:rPr>
      </w:pPr>
      <w:r w:rsidRPr="004A032C">
        <w:rPr>
          <w:szCs w:val="22"/>
          <w:u w:val="single"/>
          <w:lang w:val="fr-FR"/>
        </w:rPr>
        <w:t>Pièces jointes</w:t>
      </w:r>
    </w:p>
    <w:p w:rsidR="00DA0F7A" w:rsidRPr="004A032C" w:rsidRDefault="00DA0F7A" w:rsidP="00FD7CD8">
      <w:pPr>
        <w:rPr>
          <w:lang w:val="fr-FR"/>
        </w:rPr>
      </w:pPr>
    </w:p>
    <w:p w:rsidR="00DA0F7A" w:rsidRPr="004A032C" w:rsidRDefault="00DA0F7A" w:rsidP="00FD7CD8">
      <w:pPr>
        <w:rPr>
          <w:lang w:val="fr-FR"/>
        </w:rPr>
      </w:pPr>
    </w:p>
    <w:p w:rsidR="0047062A" w:rsidRPr="004A032C" w:rsidRDefault="0047062A" w:rsidP="0040390C">
      <w:pPr>
        <w:jc w:val="center"/>
        <w:rPr>
          <w:rFonts w:ascii="Calibri" w:eastAsia="Calibri" w:hAnsi="Calibri" w:cs="Times New Roman"/>
          <w:b/>
          <w:szCs w:val="22"/>
          <w:lang w:val="fr-FR" w:eastAsia="en-US"/>
        </w:rPr>
        <w:sectPr w:rsidR="0047062A" w:rsidRPr="004A032C" w:rsidSect="00B66F3D">
          <w:headerReference w:type="default" r:id="rId11"/>
          <w:footerReference w:type="default" r:id="rId12"/>
          <w:headerReference w:type="first" r:id="rId13"/>
          <w:footerReference w:type="first" r:id="rId14"/>
          <w:endnotePr>
            <w:numFmt w:val="decimal"/>
          </w:endnotePr>
          <w:pgSz w:w="11907" w:h="16840" w:code="9"/>
          <w:pgMar w:top="567" w:right="1015" w:bottom="1418" w:left="1418" w:header="510" w:footer="1021" w:gutter="0"/>
          <w:pgNumType w:start="1"/>
          <w:cols w:space="720"/>
          <w:titlePg/>
          <w:docGrid w:linePitch="299"/>
        </w:sectPr>
      </w:pPr>
    </w:p>
    <w:p w:rsidR="00DA0F7A" w:rsidRPr="004A032C" w:rsidRDefault="00CA196A" w:rsidP="004A032C">
      <w:pPr>
        <w:jc w:val="center"/>
        <w:rPr>
          <w:rFonts w:eastAsia="Calibri"/>
          <w:b/>
          <w:szCs w:val="22"/>
          <w:lang w:val="fr-FR" w:eastAsia="en-US"/>
        </w:rPr>
      </w:pPr>
      <w:r w:rsidRPr="004A032C">
        <w:rPr>
          <w:rFonts w:eastAsia="Calibri"/>
          <w:b/>
          <w:szCs w:val="22"/>
          <w:lang w:val="fr-FR" w:eastAsia="en-US"/>
        </w:rPr>
        <w:lastRenderedPageBreak/>
        <w:t>Questions concernant l</w:t>
      </w:r>
      <w:r w:rsidR="007379AD" w:rsidRPr="004A032C">
        <w:rPr>
          <w:rFonts w:eastAsia="Calibri"/>
          <w:b/>
          <w:szCs w:val="22"/>
          <w:lang w:val="fr-FR" w:eastAsia="en-US"/>
        </w:rPr>
        <w:t>’</w:t>
      </w:r>
      <w:r w:rsidRPr="004A032C">
        <w:rPr>
          <w:rFonts w:eastAsia="Calibri"/>
          <w:b/>
          <w:szCs w:val="22"/>
          <w:lang w:val="fr-FR" w:eastAsia="en-US"/>
        </w:rPr>
        <w:t>administration de l</w:t>
      </w:r>
      <w:r w:rsidR="007379AD" w:rsidRPr="004A032C">
        <w:rPr>
          <w:rFonts w:eastAsia="Calibri"/>
          <w:b/>
          <w:szCs w:val="22"/>
          <w:lang w:val="fr-FR" w:eastAsia="en-US"/>
        </w:rPr>
        <w:t>’</w:t>
      </w:r>
      <w:r w:rsidRPr="004A032C">
        <w:rPr>
          <w:rFonts w:eastAsia="Calibri"/>
          <w:b/>
          <w:szCs w:val="22"/>
          <w:lang w:val="fr-FR" w:eastAsia="en-US"/>
        </w:rPr>
        <w:t>Acte de Genève de l</w:t>
      </w:r>
      <w:r w:rsidR="007379AD" w:rsidRPr="004A032C">
        <w:rPr>
          <w:rFonts w:eastAsia="Calibri"/>
          <w:b/>
          <w:szCs w:val="22"/>
          <w:lang w:val="fr-FR" w:eastAsia="en-US"/>
        </w:rPr>
        <w:t>’</w:t>
      </w:r>
      <w:r w:rsidRPr="004A032C">
        <w:rPr>
          <w:rFonts w:eastAsia="Calibri"/>
          <w:b/>
          <w:szCs w:val="22"/>
          <w:lang w:val="fr-FR" w:eastAsia="en-US"/>
        </w:rPr>
        <w:t>Arrangement de Lisbonne</w:t>
      </w:r>
    </w:p>
    <w:p w:rsidR="00DA0F7A" w:rsidRPr="004A032C" w:rsidRDefault="00DA0F7A" w:rsidP="004A032C">
      <w:pPr>
        <w:jc w:val="center"/>
        <w:rPr>
          <w:rFonts w:eastAsia="Calibri"/>
          <w:b/>
          <w:szCs w:val="22"/>
          <w:lang w:val="fr-FR" w:eastAsia="en-US"/>
        </w:rPr>
      </w:pPr>
    </w:p>
    <w:p w:rsidR="00DA0F7A" w:rsidRPr="004A032C" w:rsidRDefault="00CA196A" w:rsidP="004A032C">
      <w:pPr>
        <w:jc w:val="center"/>
        <w:rPr>
          <w:rFonts w:eastAsia="Calibri"/>
          <w:b/>
          <w:szCs w:val="22"/>
          <w:lang w:val="fr-FR" w:eastAsia="en-US"/>
        </w:rPr>
      </w:pPr>
      <w:r w:rsidRPr="004A032C">
        <w:rPr>
          <w:rFonts w:eastAsia="Calibri"/>
          <w:b/>
          <w:szCs w:val="22"/>
          <w:lang w:val="fr-FR" w:eastAsia="en-US"/>
        </w:rPr>
        <w:t>Proposition des États</w:t>
      </w:r>
      <w:r w:rsidR="00A24F52" w:rsidRPr="004A032C">
        <w:rPr>
          <w:rFonts w:eastAsia="Calibri"/>
          <w:b/>
          <w:szCs w:val="22"/>
          <w:lang w:val="fr-FR" w:eastAsia="en-US"/>
        </w:rPr>
        <w:noBreakHyphen/>
      </w:r>
      <w:r w:rsidRPr="004A032C">
        <w:rPr>
          <w:rFonts w:eastAsia="Calibri"/>
          <w:b/>
          <w:szCs w:val="22"/>
          <w:lang w:val="fr-FR" w:eastAsia="en-US"/>
        </w:rPr>
        <w:t>Unis d</w:t>
      </w:r>
      <w:r w:rsidR="007379AD" w:rsidRPr="004A032C">
        <w:rPr>
          <w:rFonts w:eastAsia="Calibri"/>
          <w:b/>
          <w:szCs w:val="22"/>
          <w:lang w:val="fr-FR" w:eastAsia="en-US"/>
        </w:rPr>
        <w:t>’</w:t>
      </w:r>
      <w:r w:rsidRPr="004A032C">
        <w:rPr>
          <w:rFonts w:eastAsia="Calibri"/>
          <w:b/>
          <w:szCs w:val="22"/>
          <w:lang w:val="fr-FR" w:eastAsia="en-US"/>
        </w:rPr>
        <w:t>Amérique à l</w:t>
      </w:r>
      <w:r w:rsidR="007379AD" w:rsidRPr="004A032C">
        <w:rPr>
          <w:rFonts w:eastAsia="Calibri"/>
          <w:b/>
          <w:szCs w:val="22"/>
          <w:lang w:val="fr-FR" w:eastAsia="en-US"/>
        </w:rPr>
        <w:t>’</w:t>
      </w:r>
      <w:r w:rsidRPr="004A032C">
        <w:rPr>
          <w:rFonts w:eastAsia="Calibri"/>
          <w:b/>
          <w:szCs w:val="22"/>
          <w:lang w:val="fr-FR" w:eastAsia="en-US"/>
        </w:rPr>
        <w:t>intention de l</w:t>
      </w:r>
      <w:r w:rsidR="007379AD" w:rsidRPr="004A032C">
        <w:rPr>
          <w:rFonts w:eastAsia="Calibri"/>
          <w:b/>
          <w:szCs w:val="22"/>
          <w:lang w:val="fr-FR" w:eastAsia="en-US"/>
        </w:rPr>
        <w:t>’</w:t>
      </w:r>
      <w:r w:rsidRPr="004A032C">
        <w:rPr>
          <w:rFonts w:eastAsia="Calibri"/>
          <w:b/>
          <w:szCs w:val="22"/>
          <w:lang w:val="fr-FR" w:eastAsia="en-US"/>
        </w:rPr>
        <w:t>Assemblée générale de l</w:t>
      </w:r>
      <w:r w:rsidR="007379AD" w:rsidRPr="004A032C">
        <w:rPr>
          <w:rFonts w:eastAsia="Calibri"/>
          <w:b/>
          <w:szCs w:val="22"/>
          <w:lang w:val="fr-FR" w:eastAsia="en-US"/>
        </w:rPr>
        <w:t>’</w:t>
      </w:r>
      <w:r w:rsidRPr="004A032C">
        <w:rPr>
          <w:rFonts w:eastAsia="Calibri"/>
          <w:b/>
          <w:szCs w:val="22"/>
          <w:lang w:val="fr-FR" w:eastAsia="en-US"/>
        </w:rPr>
        <w:t>OMPI</w:t>
      </w:r>
    </w:p>
    <w:p w:rsidR="00DA0F7A" w:rsidRDefault="00DA0F7A" w:rsidP="004A032C">
      <w:pPr>
        <w:rPr>
          <w:rFonts w:eastAsia="Calibri"/>
          <w:szCs w:val="22"/>
          <w:lang w:val="fr-FR" w:eastAsia="en-US"/>
        </w:rPr>
      </w:pPr>
    </w:p>
    <w:p w:rsidR="004A032C" w:rsidRPr="004A032C" w:rsidRDefault="004A032C" w:rsidP="004A032C">
      <w:pPr>
        <w:rPr>
          <w:rFonts w:eastAsia="Calibri"/>
          <w:szCs w:val="22"/>
          <w:lang w:val="fr-FR" w:eastAsia="en-US"/>
        </w:rPr>
      </w:pPr>
    </w:p>
    <w:p w:rsidR="007379AD" w:rsidRPr="004A032C" w:rsidRDefault="00CA196A" w:rsidP="004A032C">
      <w:pPr>
        <w:rPr>
          <w:rFonts w:eastAsia="Calibri"/>
          <w:szCs w:val="22"/>
          <w:lang w:val="fr-FR" w:eastAsia="en-US"/>
        </w:rPr>
      </w:pPr>
      <w:r w:rsidRPr="004A032C">
        <w:rPr>
          <w:rFonts w:eastAsia="Calibri"/>
          <w:szCs w:val="22"/>
          <w:lang w:val="fr-FR" w:eastAsia="en-US"/>
        </w:rPr>
        <w:t>Les parties contractantes de l</w:t>
      </w:r>
      <w:r w:rsidR="007379AD" w:rsidRPr="004A032C">
        <w:rPr>
          <w:rFonts w:eastAsia="Calibri"/>
          <w:szCs w:val="22"/>
          <w:lang w:val="fr-FR" w:eastAsia="en-US"/>
        </w:rPr>
        <w:t>’</w:t>
      </w:r>
      <w:r w:rsidRPr="004A032C">
        <w:rPr>
          <w:rFonts w:eastAsia="Calibri"/>
          <w:szCs w:val="22"/>
          <w:lang w:val="fr-FR" w:eastAsia="en-US"/>
        </w:rPr>
        <w:t>Arrangement de Lisbonne concernant la protection des appellations d</w:t>
      </w:r>
      <w:r w:rsidR="007379AD" w:rsidRPr="004A032C">
        <w:rPr>
          <w:rFonts w:eastAsia="Calibri"/>
          <w:szCs w:val="22"/>
          <w:lang w:val="fr-FR" w:eastAsia="en-US"/>
        </w:rPr>
        <w:t>’</w:t>
      </w:r>
      <w:r w:rsidRPr="004A032C">
        <w:rPr>
          <w:rFonts w:eastAsia="Calibri"/>
          <w:szCs w:val="22"/>
          <w:lang w:val="fr-FR" w:eastAsia="en-US"/>
        </w:rPr>
        <w:t>origine et leur enregistrement international (</w:t>
      </w:r>
      <w:r w:rsidR="00B66F3D" w:rsidRPr="004A032C">
        <w:rPr>
          <w:rFonts w:eastAsia="Calibri"/>
          <w:szCs w:val="22"/>
          <w:lang w:val="fr-FR" w:eastAsia="en-US"/>
        </w:rPr>
        <w:t>ci</w:t>
      </w:r>
      <w:r w:rsidR="00A24F52" w:rsidRPr="004A032C">
        <w:rPr>
          <w:rFonts w:eastAsia="Calibri"/>
          <w:szCs w:val="22"/>
          <w:lang w:val="fr-FR" w:eastAsia="en-US"/>
        </w:rPr>
        <w:noBreakHyphen/>
      </w:r>
      <w:r w:rsidR="00B66F3D" w:rsidRPr="004A032C">
        <w:rPr>
          <w:rFonts w:eastAsia="Calibri"/>
          <w:szCs w:val="22"/>
          <w:lang w:val="fr-FR" w:eastAsia="en-US"/>
        </w:rPr>
        <w:t>après dénommé “</w:t>
      </w:r>
      <w:r w:rsidRPr="004A032C">
        <w:rPr>
          <w:rFonts w:eastAsia="Calibri"/>
          <w:szCs w:val="22"/>
          <w:lang w:val="fr-FR" w:eastAsia="en-US"/>
        </w:rPr>
        <w:t>Arrangement de Lisbonne</w:t>
      </w:r>
      <w:r w:rsidR="00B66F3D" w:rsidRPr="004A032C">
        <w:rPr>
          <w:rFonts w:eastAsia="Calibri"/>
          <w:szCs w:val="22"/>
          <w:lang w:val="fr-FR" w:eastAsia="en-US"/>
        </w:rPr>
        <w:t>”</w:t>
      </w:r>
      <w:r w:rsidRPr="004A032C">
        <w:rPr>
          <w:rFonts w:eastAsia="Calibri"/>
          <w:szCs w:val="22"/>
          <w:lang w:val="fr-FR" w:eastAsia="en-US"/>
        </w:rPr>
        <w:t xml:space="preserve"> et </w:t>
      </w:r>
      <w:r w:rsidR="00B66F3D" w:rsidRPr="004A032C">
        <w:rPr>
          <w:rFonts w:eastAsia="Calibri"/>
          <w:szCs w:val="22"/>
          <w:lang w:val="fr-FR" w:eastAsia="en-US"/>
        </w:rPr>
        <w:t>“</w:t>
      </w:r>
      <w:r w:rsidRPr="004A032C">
        <w:rPr>
          <w:rFonts w:eastAsia="Calibri"/>
          <w:szCs w:val="22"/>
          <w:lang w:val="fr-FR" w:eastAsia="en-US"/>
        </w:rPr>
        <w:t>Acte de</w:t>
      </w:r>
      <w:r w:rsidR="00F47E56" w:rsidRPr="004A032C">
        <w:rPr>
          <w:rFonts w:eastAsia="Calibri"/>
          <w:szCs w:val="22"/>
          <w:lang w:val="fr-FR" w:eastAsia="en-US"/>
        </w:rPr>
        <w:t> </w:t>
      </w:r>
      <w:r w:rsidRPr="004A032C">
        <w:rPr>
          <w:rFonts w:eastAsia="Calibri"/>
          <w:szCs w:val="22"/>
          <w:lang w:val="fr-FR" w:eastAsia="en-US"/>
        </w:rPr>
        <w:t>1967</w:t>
      </w:r>
      <w:r w:rsidR="00B66F3D" w:rsidRPr="004A032C">
        <w:rPr>
          <w:rFonts w:eastAsia="Calibri"/>
          <w:szCs w:val="22"/>
          <w:lang w:val="fr-FR" w:eastAsia="en-US"/>
        </w:rPr>
        <w:t>”</w:t>
      </w:r>
      <w:r w:rsidRPr="004A032C">
        <w:rPr>
          <w:rFonts w:eastAsia="Calibri"/>
          <w:szCs w:val="22"/>
          <w:lang w:val="fr-FR" w:eastAsia="en-US"/>
        </w:rPr>
        <w:t>) ont conclu</w:t>
      </w:r>
      <w:r w:rsidR="00D751D1" w:rsidRPr="004A032C">
        <w:rPr>
          <w:rFonts w:eastAsia="Calibri"/>
          <w:szCs w:val="22"/>
          <w:lang w:val="fr-FR" w:eastAsia="en-US"/>
        </w:rPr>
        <w:t xml:space="preserve"> en mai 2015</w:t>
      </w:r>
      <w:r w:rsidRPr="004A032C">
        <w:rPr>
          <w:rFonts w:eastAsia="Calibri"/>
          <w:szCs w:val="22"/>
          <w:lang w:val="fr-FR" w:eastAsia="en-US"/>
        </w:rPr>
        <w:t xml:space="preserve"> un nouvel arrangement international concernant la protection des indications géographiques.</w:t>
      </w:r>
      <w:r w:rsidR="0040390C" w:rsidRPr="004A032C">
        <w:rPr>
          <w:rFonts w:eastAsia="Calibri"/>
          <w:szCs w:val="22"/>
          <w:lang w:val="fr-FR" w:eastAsia="en-US"/>
        </w:rPr>
        <w:t xml:space="preserve">  </w:t>
      </w:r>
      <w:r w:rsidR="00DF4C0B" w:rsidRPr="004A032C">
        <w:rPr>
          <w:rFonts w:eastAsia="Calibri"/>
          <w:szCs w:val="22"/>
          <w:lang w:val="fr-FR" w:eastAsia="en-US"/>
        </w:rPr>
        <w:t xml:space="preserve">Dans ce nouvel arrangement, </w:t>
      </w:r>
      <w:r w:rsidR="007379AD" w:rsidRPr="004A032C">
        <w:rPr>
          <w:rFonts w:eastAsia="Calibri"/>
          <w:szCs w:val="22"/>
          <w:lang w:val="fr-FR" w:eastAsia="en-US"/>
        </w:rPr>
        <w:t>à savoir</w:t>
      </w:r>
      <w:r w:rsidR="00D751D1" w:rsidRPr="004A032C">
        <w:rPr>
          <w:rFonts w:eastAsia="Calibri"/>
          <w:szCs w:val="22"/>
          <w:lang w:val="fr-FR" w:eastAsia="en-US"/>
        </w:rPr>
        <w:t xml:space="preserve"> </w:t>
      </w:r>
      <w:r w:rsidR="00DF4C0B" w:rsidRPr="004A032C">
        <w:rPr>
          <w:rFonts w:eastAsia="Calibri"/>
          <w:szCs w:val="22"/>
          <w:lang w:val="fr-FR" w:eastAsia="en-US"/>
        </w:rPr>
        <w:t>l</w:t>
      </w:r>
      <w:r w:rsidR="007379AD" w:rsidRPr="004A032C">
        <w:rPr>
          <w:rFonts w:eastAsia="Calibri"/>
          <w:szCs w:val="22"/>
          <w:lang w:val="fr-FR" w:eastAsia="en-US"/>
        </w:rPr>
        <w:t>’</w:t>
      </w:r>
      <w:r w:rsidR="00DF4C0B" w:rsidRPr="004A032C">
        <w:rPr>
          <w:rFonts w:eastAsia="Calibri"/>
          <w:szCs w:val="22"/>
          <w:lang w:val="fr-FR" w:eastAsia="en-US"/>
        </w:rPr>
        <w:t>Acte de Genève de l</w:t>
      </w:r>
      <w:r w:rsidR="007379AD" w:rsidRPr="004A032C">
        <w:rPr>
          <w:rFonts w:eastAsia="Calibri"/>
          <w:szCs w:val="22"/>
          <w:lang w:val="fr-FR" w:eastAsia="en-US"/>
        </w:rPr>
        <w:t>’</w:t>
      </w:r>
      <w:r w:rsidR="00DF4C0B" w:rsidRPr="004A032C">
        <w:rPr>
          <w:rFonts w:eastAsia="Calibri"/>
          <w:szCs w:val="22"/>
          <w:lang w:val="fr-FR" w:eastAsia="en-US"/>
        </w:rPr>
        <w:t>Arrangement de Lisbonne sur les appellations d</w:t>
      </w:r>
      <w:r w:rsidR="007379AD" w:rsidRPr="004A032C">
        <w:rPr>
          <w:rFonts w:eastAsia="Calibri"/>
          <w:szCs w:val="22"/>
          <w:lang w:val="fr-FR" w:eastAsia="en-US"/>
        </w:rPr>
        <w:t>’</w:t>
      </w:r>
      <w:r w:rsidR="00DF4C0B" w:rsidRPr="004A032C">
        <w:rPr>
          <w:rFonts w:eastAsia="Calibri"/>
          <w:szCs w:val="22"/>
          <w:lang w:val="fr-FR" w:eastAsia="en-US"/>
        </w:rPr>
        <w:t>origine et les indications géographiques (ci</w:t>
      </w:r>
      <w:r w:rsidR="00A24F52" w:rsidRPr="004A032C">
        <w:rPr>
          <w:rFonts w:eastAsia="Calibri"/>
          <w:szCs w:val="22"/>
          <w:lang w:val="fr-FR" w:eastAsia="en-US"/>
        </w:rPr>
        <w:noBreakHyphen/>
      </w:r>
      <w:r w:rsidR="00DF4C0B" w:rsidRPr="004A032C">
        <w:rPr>
          <w:rFonts w:eastAsia="Calibri"/>
          <w:szCs w:val="22"/>
          <w:lang w:val="fr-FR" w:eastAsia="en-US"/>
        </w:rPr>
        <w:t xml:space="preserve">après dénommé </w:t>
      </w:r>
      <w:r w:rsidR="00F47E56" w:rsidRPr="004A032C">
        <w:rPr>
          <w:rFonts w:eastAsia="Calibri"/>
          <w:szCs w:val="22"/>
          <w:lang w:val="fr-FR" w:eastAsia="en-US"/>
        </w:rPr>
        <w:t>“</w:t>
      </w:r>
      <w:r w:rsidR="000B5A3C" w:rsidRPr="004A032C">
        <w:rPr>
          <w:rFonts w:eastAsia="Calibri"/>
          <w:szCs w:val="22"/>
          <w:lang w:val="fr-FR" w:eastAsia="en-US"/>
        </w:rPr>
        <w:t>Acte</w:t>
      </w:r>
      <w:r w:rsidR="00DF4C0B" w:rsidRPr="004A032C">
        <w:rPr>
          <w:rFonts w:eastAsia="Calibri"/>
          <w:szCs w:val="22"/>
          <w:lang w:val="fr-FR" w:eastAsia="en-US"/>
        </w:rPr>
        <w:t xml:space="preserve"> de Genève</w:t>
      </w:r>
      <w:r w:rsidR="00F47E56" w:rsidRPr="004A032C">
        <w:rPr>
          <w:rFonts w:eastAsia="Calibri"/>
          <w:szCs w:val="22"/>
          <w:lang w:val="fr-FR" w:eastAsia="en-US"/>
        </w:rPr>
        <w:t>”</w:t>
      </w:r>
      <w:r w:rsidR="00DF4C0B" w:rsidRPr="004A032C">
        <w:rPr>
          <w:rFonts w:eastAsia="Calibri"/>
          <w:szCs w:val="22"/>
          <w:lang w:val="fr-FR" w:eastAsia="en-US"/>
        </w:rPr>
        <w:t>), les membres de l</w:t>
      </w:r>
      <w:r w:rsidR="007379AD" w:rsidRPr="004A032C">
        <w:rPr>
          <w:rFonts w:eastAsia="Calibri"/>
          <w:szCs w:val="22"/>
          <w:lang w:val="fr-FR" w:eastAsia="en-US"/>
        </w:rPr>
        <w:t>’</w:t>
      </w:r>
      <w:r w:rsidR="00DF4C0B" w:rsidRPr="004A032C">
        <w:rPr>
          <w:rFonts w:eastAsia="Calibri"/>
          <w:szCs w:val="22"/>
          <w:lang w:val="fr-FR" w:eastAsia="en-US"/>
        </w:rPr>
        <w:t xml:space="preserve">Union de Lisbonne ont décidé que </w:t>
      </w:r>
      <w:r w:rsidR="00D751D1" w:rsidRPr="004A032C">
        <w:rPr>
          <w:rFonts w:eastAsia="Calibri"/>
          <w:szCs w:val="22"/>
          <w:lang w:val="fr-FR" w:eastAsia="en-US"/>
        </w:rPr>
        <w:t>celle</w:t>
      </w:r>
      <w:r w:rsidR="00A24F52" w:rsidRPr="004A032C">
        <w:rPr>
          <w:rFonts w:eastAsia="Calibri"/>
          <w:szCs w:val="22"/>
          <w:lang w:val="fr-FR" w:eastAsia="en-US"/>
        </w:rPr>
        <w:noBreakHyphen/>
      </w:r>
      <w:r w:rsidR="00D751D1" w:rsidRPr="004A032C">
        <w:rPr>
          <w:rFonts w:eastAsia="Calibri"/>
          <w:szCs w:val="22"/>
          <w:lang w:val="fr-FR" w:eastAsia="en-US"/>
        </w:rPr>
        <w:t>ci</w:t>
      </w:r>
      <w:r w:rsidR="00DF4C0B" w:rsidRPr="004A032C">
        <w:rPr>
          <w:rFonts w:eastAsia="Calibri"/>
          <w:szCs w:val="22"/>
          <w:lang w:val="fr-FR" w:eastAsia="en-US"/>
        </w:rPr>
        <w:t xml:space="preserve"> tiendrait lieu d</w:t>
      </w:r>
      <w:r w:rsidR="007379AD" w:rsidRPr="004A032C">
        <w:rPr>
          <w:rFonts w:eastAsia="Calibri"/>
          <w:szCs w:val="22"/>
          <w:lang w:val="fr-FR" w:eastAsia="en-US"/>
        </w:rPr>
        <w:t>’</w:t>
      </w:r>
      <w:r w:rsidR="00DF4C0B" w:rsidRPr="004A032C">
        <w:rPr>
          <w:rFonts w:eastAsia="Calibri"/>
          <w:szCs w:val="22"/>
          <w:lang w:val="fr-FR" w:eastAsia="en-US"/>
        </w:rPr>
        <w:t>union pour l</w:t>
      </w:r>
      <w:r w:rsidR="007379AD" w:rsidRPr="004A032C">
        <w:rPr>
          <w:rFonts w:eastAsia="Calibri"/>
          <w:szCs w:val="22"/>
          <w:lang w:val="fr-FR" w:eastAsia="en-US"/>
        </w:rPr>
        <w:t>’</w:t>
      </w:r>
      <w:r w:rsidR="00DF4C0B" w:rsidRPr="004A032C">
        <w:rPr>
          <w:rFonts w:eastAsia="Calibri"/>
          <w:szCs w:val="22"/>
          <w:lang w:val="fr-FR" w:eastAsia="en-US"/>
        </w:rPr>
        <w:t xml:space="preserve">Acte de </w:t>
      </w:r>
      <w:r w:rsidR="000B5A3C" w:rsidRPr="004A032C">
        <w:rPr>
          <w:rFonts w:eastAsia="Calibri"/>
          <w:szCs w:val="22"/>
          <w:lang w:val="fr-FR" w:eastAsia="en-US"/>
        </w:rPr>
        <w:t>Genève</w:t>
      </w:r>
      <w:r w:rsidR="00DF4C0B" w:rsidRPr="004A032C">
        <w:rPr>
          <w:rFonts w:eastAsia="Calibri"/>
          <w:szCs w:val="22"/>
          <w:lang w:val="fr-FR" w:eastAsia="en-US"/>
        </w:rPr>
        <w:t xml:space="preserve"> et que l</w:t>
      </w:r>
      <w:r w:rsidR="007379AD" w:rsidRPr="004A032C">
        <w:rPr>
          <w:rFonts w:eastAsia="Calibri"/>
          <w:szCs w:val="22"/>
          <w:lang w:val="fr-FR" w:eastAsia="en-US"/>
        </w:rPr>
        <w:t>’</w:t>
      </w:r>
      <w:r w:rsidR="00DF4C0B" w:rsidRPr="004A032C">
        <w:rPr>
          <w:rFonts w:eastAsia="Calibri"/>
          <w:szCs w:val="22"/>
          <w:lang w:val="fr-FR" w:eastAsia="en-US"/>
        </w:rPr>
        <w:t>Organisation Mondiale de la Propriété Intellectuelle (ci</w:t>
      </w:r>
      <w:r w:rsidR="00A24F52" w:rsidRPr="004A032C">
        <w:rPr>
          <w:rFonts w:eastAsia="Calibri"/>
          <w:szCs w:val="22"/>
          <w:lang w:val="fr-FR" w:eastAsia="en-US"/>
        </w:rPr>
        <w:noBreakHyphen/>
      </w:r>
      <w:r w:rsidR="00DF4C0B" w:rsidRPr="004A032C">
        <w:rPr>
          <w:rFonts w:eastAsia="Calibri"/>
          <w:szCs w:val="22"/>
          <w:lang w:val="fr-FR" w:eastAsia="en-US"/>
        </w:rPr>
        <w:t xml:space="preserve">après dénommée </w:t>
      </w:r>
      <w:r w:rsidR="00F47E56" w:rsidRPr="004A032C">
        <w:rPr>
          <w:rFonts w:eastAsia="Calibri"/>
          <w:szCs w:val="22"/>
          <w:lang w:val="fr-FR" w:eastAsia="en-US"/>
        </w:rPr>
        <w:t>“</w:t>
      </w:r>
      <w:r w:rsidR="00DF4C0B" w:rsidRPr="004A032C">
        <w:rPr>
          <w:rFonts w:eastAsia="Calibri"/>
          <w:szCs w:val="22"/>
          <w:lang w:val="fr-FR" w:eastAsia="en-US"/>
        </w:rPr>
        <w:t>OMPI</w:t>
      </w:r>
      <w:r w:rsidR="00F47E56" w:rsidRPr="004A032C">
        <w:rPr>
          <w:rFonts w:eastAsia="Calibri"/>
          <w:szCs w:val="22"/>
          <w:lang w:val="fr-FR" w:eastAsia="en-US"/>
        </w:rPr>
        <w:t>”</w:t>
      </w:r>
      <w:r w:rsidR="00DF4C0B" w:rsidRPr="004A032C">
        <w:rPr>
          <w:rFonts w:eastAsia="Calibri"/>
          <w:szCs w:val="22"/>
          <w:lang w:val="fr-FR" w:eastAsia="en-US"/>
        </w:rPr>
        <w:t xml:space="preserve"> ou </w:t>
      </w:r>
      <w:r w:rsidR="00F47E56" w:rsidRPr="004A032C">
        <w:rPr>
          <w:rFonts w:eastAsia="Calibri"/>
          <w:szCs w:val="22"/>
          <w:lang w:val="fr-FR" w:eastAsia="en-US"/>
        </w:rPr>
        <w:t>“</w:t>
      </w:r>
      <w:r w:rsidR="00DF4C0B" w:rsidRPr="004A032C">
        <w:rPr>
          <w:rFonts w:eastAsia="Calibri"/>
          <w:szCs w:val="22"/>
          <w:lang w:val="fr-FR" w:eastAsia="en-US"/>
        </w:rPr>
        <w:t>Organisation</w:t>
      </w:r>
      <w:r w:rsidR="00F47E56" w:rsidRPr="004A032C">
        <w:rPr>
          <w:rFonts w:eastAsia="Calibri"/>
          <w:szCs w:val="22"/>
          <w:lang w:val="fr-FR" w:eastAsia="en-US"/>
        </w:rPr>
        <w:t>”</w:t>
      </w:r>
      <w:r w:rsidR="00DF4C0B" w:rsidRPr="004A032C">
        <w:rPr>
          <w:rFonts w:eastAsia="Calibri"/>
          <w:szCs w:val="22"/>
          <w:lang w:val="fr-FR" w:eastAsia="en-US"/>
        </w:rPr>
        <w:t>) en</w:t>
      </w:r>
      <w:r w:rsidR="00D751D1" w:rsidRPr="004A032C">
        <w:rPr>
          <w:rFonts w:eastAsia="Calibri"/>
          <w:szCs w:val="22"/>
          <w:lang w:val="fr-FR" w:eastAsia="en-US"/>
        </w:rPr>
        <w:t xml:space="preserve"> assurerait les services</w:t>
      </w:r>
      <w:r w:rsidR="00DF4C0B" w:rsidRPr="004A032C">
        <w:rPr>
          <w:rFonts w:eastAsia="Calibri"/>
          <w:szCs w:val="22"/>
          <w:lang w:val="fr-FR" w:eastAsia="en-US"/>
        </w:rPr>
        <w:t xml:space="preserve"> administrati</w:t>
      </w:r>
      <w:r w:rsidR="00D751D1" w:rsidRPr="004A032C">
        <w:rPr>
          <w:rFonts w:eastAsia="Calibri"/>
          <w:szCs w:val="22"/>
          <w:lang w:val="fr-FR" w:eastAsia="en-US"/>
        </w:rPr>
        <w:t>f</w:t>
      </w:r>
      <w:r w:rsidR="00DF4C0B" w:rsidRPr="004A032C">
        <w:rPr>
          <w:rFonts w:eastAsia="Calibri"/>
          <w:szCs w:val="22"/>
          <w:lang w:val="fr-FR" w:eastAsia="en-US"/>
        </w:rPr>
        <w:t>s.</w:t>
      </w:r>
    </w:p>
    <w:p w:rsidR="00DA0F7A" w:rsidRPr="004A032C" w:rsidRDefault="00DA0F7A" w:rsidP="004A032C">
      <w:pPr>
        <w:rPr>
          <w:rFonts w:eastAsia="Calibri"/>
          <w:szCs w:val="22"/>
          <w:lang w:val="fr-FR" w:eastAsia="en-US"/>
        </w:rPr>
      </w:pPr>
    </w:p>
    <w:p w:rsidR="007379AD" w:rsidRPr="004A032C" w:rsidRDefault="00DF4C0B" w:rsidP="004A032C">
      <w:pPr>
        <w:rPr>
          <w:rFonts w:eastAsia="Calibri"/>
          <w:szCs w:val="22"/>
          <w:lang w:val="fr-FR" w:eastAsia="en-US"/>
        </w:rPr>
      </w:pPr>
      <w:r w:rsidRPr="004A032C">
        <w:rPr>
          <w:rFonts w:eastAsia="Calibri"/>
          <w:szCs w:val="22"/>
          <w:lang w:val="fr-FR" w:eastAsia="en-US"/>
        </w:rPr>
        <w:t>La Convention instituant l</w:t>
      </w:r>
      <w:r w:rsidR="007379AD" w:rsidRPr="004A032C">
        <w:rPr>
          <w:rFonts w:eastAsia="Calibri"/>
          <w:szCs w:val="22"/>
          <w:lang w:val="fr-FR" w:eastAsia="en-US"/>
        </w:rPr>
        <w:t>’</w:t>
      </w:r>
      <w:r w:rsidRPr="004A032C">
        <w:rPr>
          <w:rFonts w:eastAsia="Calibri"/>
          <w:szCs w:val="22"/>
          <w:lang w:val="fr-FR" w:eastAsia="en-US"/>
        </w:rPr>
        <w:t>Organisation Mondiale de la Propriété Intellectuelle (</w:t>
      </w:r>
      <w:r w:rsidR="00D751D1" w:rsidRPr="004A032C">
        <w:rPr>
          <w:rFonts w:eastAsia="Calibri"/>
          <w:szCs w:val="22"/>
          <w:lang w:val="fr-FR" w:eastAsia="en-US"/>
        </w:rPr>
        <w:t>ci</w:t>
      </w:r>
      <w:r w:rsidR="00A24F52" w:rsidRPr="004A032C">
        <w:rPr>
          <w:rFonts w:eastAsia="Calibri"/>
          <w:szCs w:val="22"/>
          <w:lang w:val="fr-FR" w:eastAsia="en-US"/>
        </w:rPr>
        <w:noBreakHyphen/>
      </w:r>
      <w:r w:rsidR="00D751D1" w:rsidRPr="004A032C">
        <w:rPr>
          <w:rFonts w:eastAsia="Calibri"/>
          <w:szCs w:val="22"/>
          <w:lang w:val="fr-FR" w:eastAsia="en-US"/>
        </w:rPr>
        <w:t>après dénommée “</w:t>
      </w:r>
      <w:r w:rsidRPr="004A032C">
        <w:rPr>
          <w:rFonts w:eastAsia="Calibri"/>
          <w:szCs w:val="22"/>
          <w:lang w:val="fr-FR" w:eastAsia="en-US"/>
        </w:rPr>
        <w:t>Convention instituant l</w:t>
      </w:r>
      <w:r w:rsidR="007379AD" w:rsidRPr="004A032C">
        <w:rPr>
          <w:rFonts w:eastAsia="Calibri"/>
          <w:szCs w:val="22"/>
          <w:lang w:val="fr-FR" w:eastAsia="en-US"/>
        </w:rPr>
        <w:t>’</w:t>
      </w:r>
      <w:r w:rsidRPr="004A032C">
        <w:rPr>
          <w:rFonts w:eastAsia="Calibri"/>
          <w:szCs w:val="22"/>
          <w:lang w:val="fr-FR" w:eastAsia="en-US"/>
        </w:rPr>
        <w:t>OMPI</w:t>
      </w:r>
      <w:r w:rsidR="00D751D1" w:rsidRPr="004A032C">
        <w:rPr>
          <w:rFonts w:eastAsia="Calibri"/>
          <w:szCs w:val="22"/>
          <w:lang w:val="fr-FR" w:eastAsia="en-US"/>
        </w:rPr>
        <w:t>”</w:t>
      </w:r>
      <w:r w:rsidRPr="004A032C">
        <w:rPr>
          <w:rFonts w:eastAsia="Calibri"/>
          <w:szCs w:val="22"/>
          <w:lang w:val="fr-FR" w:eastAsia="en-US"/>
        </w:rPr>
        <w:t>) prévoit que les membres de l</w:t>
      </w:r>
      <w:r w:rsidR="007379AD" w:rsidRPr="004A032C">
        <w:rPr>
          <w:rFonts w:eastAsia="Calibri"/>
          <w:szCs w:val="22"/>
          <w:lang w:val="fr-FR" w:eastAsia="en-US"/>
        </w:rPr>
        <w:t>’</w:t>
      </w:r>
      <w:r w:rsidRPr="004A032C">
        <w:rPr>
          <w:rFonts w:eastAsia="Calibri"/>
          <w:szCs w:val="22"/>
          <w:lang w:val="fr-FR" w:eastAsia="en-US"/>
        </w:rPr>
        <w:t>OMPI ont la faculté de décider d</w:t>
      </w:r>
      <w:r w:rsidR="007379AD" w:rsidRPr="004A032C">
        <w:rPr>
          <w:rFonts w:eastAsia="Calibri"/>
          <w:szCs w:val="22"/>
          <w:lang w:val="fr-FR" w:eastAsia="en-US"/>
        </w:rPr>
        <w:t>’</w:t>
      </w:r>
      <w:r w:rsidRPr="004A032C">
        <w:rPr>
          <w:rFonts w:eastAsia="Calibri"/>
          <w:szCs w:val="22"/>
          <w:lang w:val="fr-FR" w:eastAsia="en-US"/>
        </w:rPr>
        <w:t>administrer ou non de nouveaux arrangements internationaux</w:t>
      </w:r>
      <w:r w:rsidRPr="004A032C">
        <w:rPr>
          <w:rStyle w:val="FootnoteReference"/>
          <w:rFonts w:eastAsia="Calibri"/>
          <w:szCs w:val="22"/>
          <w:lang w:val="fr-FR" w:eastAsia="en-US"/>
        </w:rPr>
        <w:footnoteReference w:id="2"/>
      </w:r>
      <w:r w:rsidRPr="004A032C">
        <w:rPr>
          <w:rFonts w:eastAsia="Calibri"/>
          <w:szCs w:val="22"/>
          <w:lang w:val="fr-FR" w:eastAsia="en-US"/>
        </w:rPr>
        <w:t>.</w:t>
      </w:r>
      <w:r w:rsidR="0040390C" w:rsidRPr="004A032C">
        <w:rPr>
          <w:rFonts w:eastAsia="Calibri"/>
          <w:szCs w:val="22"/>
          <w:lang w:val="fr-FR" w:eastAsia="en-US"/>
        </w:rPr>
        <w:t xml:space="preserve">  </w:t>
      </w:r>
      <w:r w:rsidR="00A32045" w:rsidRPr="004A032C">
        <w:rPr>
          <w:rFonts w:eastAsia="Calibri"/>
          <w:szCs w:val="22"/>
          <w:lang w:val="fr-FR" w:eastAsia="en-US"/>
        </w:rPr>
        <w:t xml:space="preserve">Si de nouveaux </w:t>
      </w:r>
      <w:r w:rsidR="000B5A3C" w:rsidRPr="004A032C">
        <w:rPr>
          <w:rFonts w:eastAsia="Calibri"/>
          <w:szCs w:val="22"/>
          <w:lang w:val="fr-FR" w:eastAsia="en-US"/>
        </w:rPr>
        <w:t>arrangements</w:t>
      </w:r>
      <w:r w:rsidR="00A32045" w:rsidRPr="004A032C">
        <w:rPr>
          <w:rFonts w:eastAsia="Calibri"/>
          <w:szCs w:val="22"/>
          <w:lang w:val="fr-FR" w:eastAsia="en-US"/>
        </w:rPr>
        <w:t xml:space="preserve"> conclus sous les auspices de l</w:t>
      </w:r>
      <w:r w:rsidR="007379AD" w:rsidRPr="004A032C">
        <w:rPr>
          <w:rFonts w:eastAsia="Calibri"/>
          <w:szCs w:val="22"/>
          <w:lang w:val="fr-FR" w:eastAsia="en-US"/>
        </w:rPr>
        <w:t>’</w:t>
      </w:r>
      <w:r w:rsidR="00A32045" w:rsidRPr="004A032C">
        <w:rPr>
          <w:rFonts w:eastAsia="Calibri"/>
          <w:szCs w:val="22"/>
          <w:lang w:val="fr-FR" w:eastAsia="en-US"/>
        </w:rPr>
        <w:t>OMPI ont préalablement été administrés par l</w:t>
      </w:r>
      <w:r w:rsidR="007379AD" w:rsidRPr="004A032C">
        <w:rPr>
          <w:rFonts w:eastAsia="Calibri"/>
          <w:szCs w:val="22"/>
          <w:lang w:val="fr-FR" w:eastAsia="en-US"/>
        </w:rPr>
        <w:t>’</w:t>
      </w:r>
      <w:r w:rsidR="00A32045" w:rsidRPr="004A032C">
        <w:rPr>
          <w:rFonts w:eastAsia="Calibri"/>
          <w:szCs w:val="22"/>
          <w:lang w:val="fr-FR" w:eastAsia="en-US"/>
        </w:rPr>
        <w:t>Organisation sans décision spécifique des assemblées concernées, la négociation de ces arrangements était ouverte à la participation de tous les membres de l</w:t>
      </w:r>
      <w:r w:rsidR="007379AD" w:rsidRPr="004A032C">
        <w:rPr>
          <w:rFonts w:eastAsia="Calibri"/>
          <w:szCs w:val="22"/>
          <w:lang w:val="fr-FR" w:eastAsia="en-US"/>
        </w:rPr>
        <w:t>’</w:t>
      </w:r>
      <w:r w:rsidR="00A32045" w:rsidRPr="004A032C">
        <w:rPr>
          <w:rFonts w:eastAsia="Calibri"/>
          <w:szCs w:val="22"/>
          <w:lang w:val="fr-FR" w:eastAsia="en-US"/>
        </w:rPr>
        <w:t>OMPI.</w:t>
      </w:r>
      <w:r w:rsidR="0040390C" w:rsidRPr="004A032C">
        <w:rPr>
          <w:rFonts w:eastAsia="Calibri"/>
          <w:szCs w:val="22"/>
          <w:lang w:val="fr-FR" w:eastAsia="en-US"/>
        </w:rPr>
        <w:t xml:space="preserve"> </w:t>
      </w:r>
      <w:r w:rsidR="00D751D1" w:rsidRPr="004A032C">
        <w:rPr>
          <w:rFonts w:eastAsia="Calibri"/>
          <w:szCs w:val="22"/>
          <w:lang w:val="fr-FR" w:eastAsia="en-US"/>
        </w:rPr>
        <w:t xml:space="preserve"> </w:t>
      </w:r>
      <w:proofErr w:type="spellStart"/>
      <w:r w:rsidR="007E212A" w:rsidRPr="004A032C">
        <w:rPr>
          <w:rFonts w:eastAsia="Calibri"/>
          <w:szCs w:val="22"/>
          <w:lang w:val="fr-FR" w:eastAsia="en-US"/>
        </w:rPr>
        <w:t>A</w:t>
      </w:r>
      <w:proofErr w:type="spellEnd"/>
      <w:r w:rsidR="007E212A" w:rsidRPr="004A032C">
        <w:rPr>
          <w:rFonts w:eastAsia="Calibri"/>
          <w:szCs w:val="22"/>
          <w:lang w:val="fr-FR" w:eastAsia="en-US"/>
        </w:rPr>
        <w:t xml:space="preserve"> contrario, l</w:t>
      </w:r>
      <w:r w:rsidR="007379AD" w:rsidRPr="004A032C">
        <w:rPr>
          <w:rFonts w:eastAsia="Calibri"/>
          <w:szCs w:val="22"/>
          <w:lang w:val="fr-FR" w:eastAsia="en-US"/>
        </w:rPr>
        <w:t>’</w:t>
      </w:r>
      <w:r w:rsidR="007E212A" w:rsidRPr="004A032C">
        <w:rPr>
          <w:rFonts w:eastAsia="Calibri"/>
          <w:szCs w:val="22"/>
          <w:lang w:val="fr-FR" w:eastAsia="en-US"/>
        </w:rPr>
        <w:t>Acte de Genève était ouvert à la négociation de moins d</w:t>
      </w:r>
      <w:r w:rsidR="007379AD" w:rsidRPr="004A032C">
        <w:rPr>
          <w:rFonts w:eastAsia="Calibri"/>
          <w:szCs w:val="22"/>
          <w:lang w:val="fr-FR" w:eastAsia="en-US"/>
        </w:rPr>
        <w:t>’</w:t>
      </w:r>
      <w:r w:rsidR="007E212A" w:rsidRPr="004A032C">
        <w:rPr>
          <w:rFonts w:eastAsia="Calibri"/>
          <w:szCs w:val="22"/>
          <w:lang w:val="fr-FR" w:eastAsia="en-US"/>
        </w:rPr>
        <w:t>un sixième des membres de l</w:t>
      </w:r>
      <w:r w:rsidR="007379AD" w:rsidRPr="004A032C">
        <w:rPr>
          <w:rFonts w:eastAsia="Calibri"/>
          <w:szCs w:val="22"/>
          <w:lang w:val="fr-FR" w:eastAsia="en-US"/>
        </w:rPr>
        <w:t>’</w:t>
      </w:r>
      <w:r w:rsidR="007E212A" w:rsidRPr="004A032C">
        <w:rPr>
          <w:rFonts w:eastAsia="Calibri"/>
          <w:szCs w:val="22"/>
          <w:lang w:val="fr-FR" w:eastAsia="en-US"/>
        </w:rPr>
        <w:t>OMPI (ainsi que de deux</w:t>
      </w:r>
      <w:r w:rsidR="00F47E56" w:rsidRPr="004A032C">
        <w:rPr>
          <w:rFonts w:eastAsia="Calibri"/>
          <w:szCs w:val="22"/>
          <w:lang w:val="fr-FR" w:eastAsia="en-US"/>
        </w:rPr>
        <w:t> </w:t>
      </w:r>
      <w:r w:rsidR="007E212A" w:rsidRPr="004A032C">
        <w:rPr>
          <w:rFonts w:eastAsia="Calibri"/>
          <w:szCs w:val="22"/>
          <w:lang w:val="fr-FR" w:eastAsia="en-US"/>
        </w:rPr>
        <w:t>non</w:t>
      </w:r>
      <w:r w:rsidR="00A24F52" w:rsidRPr="004A032C">
        <w:rPr>
          <w:rFonts w:eastAsia="Calibri"/>
          <w:szCs w:val="22"/>
          <w:lang w:val="fr-FR" w:eastAsia="en-US"/>
        </w:rPr>
        <w:noBreakHyphen/>
      </w:r>
      <w:r w:rsidR="007E212A" w:rsidRPr="004A032C">
        <w:rPr>
          <w:rFonts w:eastAsia="Calibri"/>
          <w:szCs w:val="22"/>
          <w:lang w:val="fr-FR" w:eastAsia="en-US"/>
        </w:rPr>
        <w:t>membres de l</w:t>
      </w:r>
      <w:r w:rsidR="007379AD" w:rsidRPr="004A032C">
        <w:rPr>
          <w:rFonts w:eastAsia="Calibri"/>
          <w:szCs w:val="22"/>
          <w:lang w:val="fr-FR" w:eastAsia="en-US"/>
        </w:rPr>
        <w:t>’</w:t>
      </w:r>
      <w:r w:rsidR="007E212A" w:rsidRPr="004A032C">
        <w:rPr>
          <w:rFonts w:eastAsia="Calibri"/>
          <w:szCs w:val="22"/>
          <w:lang w:val="fr-FR" w:eastAsia="en-US"/>
        </w:rPr>
        <w:t>OMPI) et la grande majorité des membres de l</w:t>
      </w:r>
      <w:r w:rsidR="007379AD" w:rsidRPr="004A032C">
        <w:rPr>
          <w:rFonts w:eastAsia="Calibri"/>
          <w:szCs w:val="22"/>
          <w:lang w:val="fr-FR" w:eastAsia="en-US"/>
        </w:rPr>
        <w:t>’</w:t>
      </w:r>
      <w:r w:rsidR="007E212A" w:rsidRPr="004A032C">
        <w:rPr>
          <w:rFonts w:eastAsia="Calibri"/>
          <w:szCs w:val="22"/>
          <w:lang w:val="fr-FR" w:eastAsia="en-US"/>
        </w:rPr>
        <w:t>OMPI était reléguée au statut d</w:t>
      </w:r>
      <w:r w:rsidR="007379AD" w:rsidRPr="004A032C">
        <w:rPr>
          <w:rFonts w:eastAsia="Calibri"/>
          <w:szCs w:val="22"/>
          <w:lang w:val="fr-FR" w:eastAsia="en-US"/>
        </w:rPr>
        <w:t>’</w:t>
      </w:r>
      <w:r w:rsidR="007E212A" w:rsidRPr="004A032C">
        <w:rPr>
          <w:rFonts w:eastAsia="Calibri"/>
          <w:szCs w:val="22"/>
          <w:lang w:val="fr-FR" w:eastAsia="en-US"/>
        </w:rPr>
        <w:t xml:space="preserve">observateur </w:t>
      </w:r>
      <w:r w:rsidR="00D751D1" w:rsidRPr="004A032C">
        <w:rPr>
          <w:rFonts w:eastAsia="Calibri"/>
          <w:szCs w:val="22"/>
          <w:lang w:val="fr-FR" w:eastAsia="en-US"/>
        </w:rPr>
        <w:t>sans pratiquement</w:t>
      </w:r>
      <w:r w:rsidR="007E212A" w:rsidRPr="004A032C">
        <w:rPr>
          <w:rFonts w:eastAsia="Calibri"/>
          <w:szCs w:val="22"/>
          <w:lang w:val="fr-FR" w:eastAsia="en-US"/>
        </w:rPr>
        <w:t xml:space="preserve"> aucune possibilité d</w:t>
      </w:r>
      <w:r w:rsidR="007379AD" w:rsidRPr="004A032C">
        <w:rPr>
          <w:rFonts w:eastAsia="Calibri"/>
          <w:szCs w:val="22"/>
          <w:lang w:val="fr-FR" w:eastAsia="en-US"/>
        </w:rPr>
        <w:t>’</w:t>
      </w:r>
      <w:r w:rsidR="007E212A" w:rsidRPr="004A032C">
        <w:rPr>
          <w:rFonts w:eastAsia="Calibri"/>
          <w:szCs w:val="22"/>
          <w:lang w:val="fr-FR" w:eastAsia="en-US"/>
        </w:rPr>
        <w:t>influer sur le résultat final.</w:t>
      </w:r>
    </w:p>
    <w:p w:rsidR="00DA0F7A" w:rsidRPr="004A032C" w:rsidRDefault="00DA0F7A" w:rsidP="004A032C">
      <w:pPr>
        <w:rPr>
          <w:rFonts w:eastAsia="Calibri"/>
          <w:szCs w:val="22"/>
          <w:lang w:val="fr-FR" w:eastAsia="en-US"/>
        </w:rPr>
      </w:pPr>
    </w:p>
    <w:p w:rsidR="007379AD" w:rsidRPr="004A032C" w:rsidRDefault="00F61D22" w:rsidP="004A032C">
      <w:pPr>
        <w:rPr>
          <w:rFonts w:eastAsia="Calibri"/>
          <w:szCs w:val="22"/>
          <w:lang w:val="fr-FR" w:eastAsia="en-US"/>
        </w:rPr>
      </w:pPr>
      <w:r w:rsidRPr="004A032C">
        <w:rPr>
          <w:rFonts w:eastAsia="Calibri"/>
          <w:szCs w:val="22"/>
          <w:lang w:val="fr-FR" w:eastAsia="en-US"/>
        </w:rPr>
        <w:t>Nous demandons que, conformément aux articles</w:t>
      </w:r>
      <w:r w:rsidR="00F47E56" w:rsidRPr="004A032C">
        <w:rPr>
          <w:rFonts w:eastAsia="Calibri"/>
          <w:szCs w:val="22"/>
          <w:lang w:val="fr-FR" w:eastAsia="en-US"/>
        </w:rPr>
        <w:t> </w:t>
      </w:r>
      <w:r w:rsidR="000F62F9" w:rsidRPr="004A032C">
        <w:rPr>
          <w:rFonts w:eastAsia="Calibri"/>
          <w:szCs w:val="22"/>
          <w:lang w:val="fr-FR" w:eastAsia="en-US"/>
        </w:rPr>
        <w:t>4.iii), 6.2)v) et </w:t>
      </w:r>
      <w:r w:rsidRPr="004A032C">
        <w:rPr>
          <w:rFonts w:eastAsia="Calibri"/>
          <w:szCs w:val="22"/>
          <w:lang w:val="fr-FR" w:eastAsia="en-US"/>
        </w:rPr>
        <w:t>6.3)g) de la Convention instituant l</w:t>
      </w:r>
      <w:r w:rsidR="007379AD" w:rsidRPr="004A032C">
        <w:rPr>
          <w:rFonts w:eastAsia="Calibri"/>
          <w:szCs w:val="22"/>
          <w:lang w:val="fr-FR" w:eastAsia="en-US"/>
        </w:rPr>
        <w:t>’</w:t>
      </w:r>
      <w:r w:rsidRPr="004A032C">
        <w:rPr>
          <w:rFonts w:eastAsia="Calibri"/>
          <w:szCs w:val="22"/>
          <w:lang w:val="fr-FR" w:eastAsia="en-US"/>
        </w:rPr>
        <w:t xml:space="preserve">OMPI, le Directeur général propose des mesures pour la mise en </w:t>
      </w:r>
      <w:r w:rsidR="000B5A3C" w:rsidRPr="004A032C">
        <w:rPr>
          <w:rFonts w:eastAsia="Calibri"/>
          <w:szCs w:val="22"/>
          <w:lang w:val="fr-FR" w:eastAsia="en-US"/>
        </w:rPr>
        <w:t>œuvre</w:t>
      </w:r>
      <w:r w:rsidRPr="004A032C">
        <w:rPr>
          <w:rFonts w:eastAsia="Calibri"/>
          <w:szCs w:val="22"/>
          <w:lang w:val="fr-FR" w:eastAsia="en-US"/>
        </w:rPr>
        <w:t xml:space="preserve"> de l</w:t>
      </w:r>
      <w:r w:rsidR="007379AD" w:rsidRPr="004A032C">
        <w:rPr>
          <w:rFonts w:eastAsia="Calibri"/>
          <w:szCs w:val="22"/>
          <w:lang w:val="fr-FR" w:eastAsia="en-US"/>
        </w:rPr>
        <w:t>’</w:t>
      </w:r>
      <w:r w:rsidRPr="004A032C">
        <w:rPr>
          <w:rFonts w:eastAsia="Calibri"/>
          <w:szCs w:val="22"/>
          <w:lang w:val="fr-FR" w:eastAsia="en-US"/>
        </w:rPr>
        <w:t xml:space="preserve">Acte de Genève, afin que ces mesures puissent être examinées </w:t>
      </w:r>
      <w:r w:rsidR="00D751D1" w:rsidRPr="004A032C">
        <w:rPr>
          <w:rFonts w:eastAsia="Calibri"/>
          <w:szCs w:val="22"/>
          <w:lang w:val="fr-FR" w:eastAsia="en-US"/>
        </w:rPr>
        <w:t xml:space="preserve">en détail </w:t>
      </w:r>
      <w:r w:rsidRPr="004A032C">
        <w:rPr>
          <w:rFonts w:eastAsia="Calibri"/>
          <w:szCs w:val="22"/>
          <w:lang w:val="fr-FR" w:eastAsia="en-US"/>
        </w:rPr>
        <w:t>par l</w:t>
      </w:r>
      <w:r w:rsidR="007379AD" w:rsidRPr="004A032C">
        <w:rPr>
          <w:rFonts w:eastAsia="Calibri"/>
          <w:szCs w:val="22"/>
          <w:lang w:val="fr-FR" w:eastAsia="en-US"/>
        </w:rPr>
        <w:t>’</w:t>
      </w:r>
      <w:r w:rsidRPr="004A032C">
        <w:rPr>
          <w:rFonts w:eastAsia="Calibri"/>
          <w:szCs w:val="22"/>
          <w:lang w:val="fr-FR" w:eastAsia="en-US"/>
        </w:rPr>
        <w:t>Assemblée générale de l</w:t>
      </w:r>
      <w:r w:rsidR="007379AD" w:rsidRPr="004A032C">
        <w:rPr>
          <w:rFonts w:eastAsia="Calibri"/>
          <w:szCs w:val="22"/>
          <w:lang w:val="fr-FR" w:eastAsia="en-US"/>
        </w:rPr>
        <w:t>’</w:t>
      </w:r>
      <w:r w:rsidRPr="004A032C">
        <w:rPr>
          <w:rFonts w:eastAsia="Calibri"/>
          <w:szCs w:val="22"/>
          <w:lang w:val="fr-FR" w:eastAsia="en-US"/>
        </w:rPr>
        <w:t>OMPI, l</w:t>
      </w:r>
      <w:r w:rsidR="007379AD" w:rsidRPr="004A032C">
        <w:rPr>
          <w:rFonts w:eastAsia="Calibri"/>
          <w:szCs w:val="22"/>
          <w:lang w:val="fr-FR" w:eastAsia="en-US"/>
        </w:rPr>
        <w:t>’</w:t>
      </w:r>
      <w:r w:rsidRPr="004A032C">
        <w:rPr>
          <w:rFonts w:eastAsia="Calibri"/>
          <w:szCs w:val="22"/>
          <w:lang w:val="fr-FR" w:eastAsia="en-US"/>
        </w:rPr>
        <w:t>Assemblée de l</w:t>
      </w:r>
      <w:r w:rsidR="007379AD" w:rsidRPr="004A032C">
        <w:rPr>
          <w:rFonts w:eastAsia="Calibri"/>
          <w:szCs w:val="22"/>
          <w:lang w:val="fr-FR" w:eastAsia="en-US"/>
        </w:rPr>
        <w:t>’</w:t>
      </w:r>
      <w:r w:rsidRPr="004A032C">
        <w:rPr>
          <w:rFonts w:eastAsia="Calibri"/>
          <w:szCs w:val="22"/>
          <w:lang w:val="fr-FR" w:eastAsia="en-US"/>
        </w:rPr>
        <w:t>Union de Paris et l</w:t>
      </w:r>
      <w:r w:rsidR="007379AD" w:rsidRPr="004A032C">
        <w:rPr>
          <w:rFonts w:eastAsia="Calibri"/>
          <w:szCs w:val="22"/>
          <w:lang w:val="fr-FR" w:eastAsia="en-US"/>
        </w:rPr>
        <w:t>’</w:t>
      </w:r>
      <w:r w:rsidRPr="004A032C">
        <w:rPr>
          <w:rFonts w:eastAsia="Calibri"/>
          <w:szCs w:val="22"/>
          <w:lang w:val="fr-FR" w:eastAsia="en-US"/>
        </w:rPr>
        <w:t>Assemblée de l</w:t>
      </w:r>
      <w:r w:rsidR="007379AD" w:rsidRPr="004A032C">
        <w:rPr>
          <w:rFonts w:eastAsia="Calibri"/>
          <w:szCs w:val="22"/>
          <w:lang w:val="fr-FR" w:eastAsia="en-US"/>
        </w:rPr>
        <w:t>’</w:t>
      </w:r>
      <w:r w:rsidRPr="004A032C">
        <w:rPr>
          <w:rFonts w:eastAsia="Calibri"/>
          <w:szCs w:val="22"/>
          <w:lang w:val="fr-FR" w:eastAsia="en-US"/>
        </w:rPr>
        <w:t>Union de Berne, et que ces organes puissent décider s</w:t>
      </w:r>
      <w:r w:rsidR="007379AD" w:rsidRPr="004A032C">
        <w:rPr>
          <w:rFonts w:eastAsia="Calibri"/>
          <w:szCs w:val="22"/>
          <w:lang w:val="fr-FR" w:eastAsia="en-US"/>
        </w:rPr>
        <w:t>’</w:t>
      </w:r>
      <w:r w:rsidRPr="004A032C">
        <w:rPr>
          <w:rFonts w:eastAsia="Calibri"/>
          <w:szCs w:val="22"/>
          <w:lang w:val="fr-FR" w:eastAsia="en-US"/>
        </w:rPr>
        <w:t xml:space="preserve">il convient </w:t>
      </w:r>
      <w:r w:rsidR="00D751D1" w:rsidRPr="004A032C">
        <w:rPr>
          <w:rFonts w:eastAsia="Calibri"/>
          <w:szCs w:val="22"/>
          <w:lang w:val="fr-FR" w:eastAsia="en-US"/>
        </w:rPr>
        <w:t xml:space="preserve">ou non </w:t>
      </w:r>
      <w:r w:rsidRPr="004A032C">
        <w:rPr>
          <w:rFonts w:eastAsia="Calibri"/>
          <w:szCs w:val="22"/>
          <w:lang w:val="fr-FR" w:eastAsia="en-US"/>
        </w:rPr>
        <w:t>de les approuver.</w:t>
      </w:r>
    </w:p>
    <w:p w:rsidR="00DA0F7A" w:rsidRPr="004A032C" w:rsidRDefault="00DA0F7A" w:rsidP="004A032C">
      <w:pPr>
        <w:rPr>
          <w:rFonts w:eastAsia="Calibri"/>
          <w:szCs w:val="22"/>
          <w:lang w:val="fr-FR" w:eastAsia="en-US"/>
        </w:rPr>
      </w:pPr>
    </w:p>
    <w:p w:rsidR="007379AD" w:rsidRPr="004A032C" w:rsidRDefault="0066256D" w:rsidP="004A032C">
      <w:pPr>
        <w:rPr>
          <w:rFonts w:eastAsia="Calibri"/>
          <w:szCs w:val="22"/>
          <w:lang w:val="fr-FR" w:eastAsia="en-US"/>
        </w:rPr>
      </w:pPr>
      <w:r w:rsidRPr="004A032C">
        <w:rPr>
          <w:rFonts w:eastAsia="Calibri"/>
          <w:szCs w:val="22"/>
          <w:lang w:val="fr-FR" w:eastAsia="en-US"/>
        </w:rPr>
        <w:t>Comme indiqué ci</w:t>
      </w:r>
      <w:r w:rsidR="00A24F52" w:rsidRPr="004A032C">
        <w:rPr>
          <w:rFonts w:eastAsia="Calibri"/>
          <w:szCs w:val="22"/>
          <w:lang w:val="fr-FR" w:eastAsia="en-US"/>
        </w:rPr>
        <w:noBreakHyphen/>
      </w:r>
      <w:r w:rsidRPr="004A032C">
        <w:rPr>
          <w:rFonts w:eastAsia="Calibri"/>
          <w:szCs w:val="22"/>
          <w:lang w:val="fr-FR" w:eastAsia="en-US"/>
        </w:rPr>
        <w:t>après, la nouvelle union susceptible d</w:t>
      </w:r>
      <w:r w:rsidR="007379AD" w:rsidRPr="004A032C">
        <w:rPr>
          <w:rFonts w:eastAsia="Calibri"/>
          <w:szCs w:val="22"/>
          <w:lang w:val="fr-FR" w:eastAsia="en-US"/>
        </w:rPr>
        <w:t>’</w:t>
      </w:r>
      <w:r w:rsidRPr="004A032C">
        <w:rPr>
          <w:rFonts w:eastAsia="Calibri"/>
          <w:szCs w:val="22"/>
          <w:lang w:val="fr-FR" w:eastAsia="en-US"/>
        </w:rPr>
        <w:t>être établie par le nouvel Acte de Genève ne devrait pas être considérée comme une “union particulière” dont l</w:t>
      </w:r>
      <w:r w:rsidR="007379AD" w:rsidRPr="004A032C">
        <w:rPr>
          <w:rFonts w:eastAsia="Calibri"/>
          <w:szCs w:val="22"/>
          <w:lang w:val="fr-FR" w:eastAsia="en-US"/>
        </w:rPr>
        <w:t>’</w:t>
      </w:r>
      <w:r w:rsidRPr="004A032C">
        <w:rPr>
          <w:rFonts w:eastAsia="Calibri"/>
          <w:szCs w:val="22"/>
          <w:lang w:val="fr-FR" w:eastAsia="en-US"/>
        </w:rPr>
        <w:t>OMPI assure les services administratifs en vertu de l</w:t>
      </w:r>
      <w:r w:rsidR="007379AD" w:rsidRPr="004A032C">
        <w:rPr>
          <w:rFonts w:eastAsia="Calibri"/>
          <w:szCs w:val="22"/>
          <w:lang w:val="fr-FR" w:eastAsia="en-US"/>
        </w:rPr>
        <w:t>’</w:t>
      </w:r>
      <w:r w:rsidRPr="004A032C">
        <w:rPr>
          <w:rFonts w:eastAsia="Calibri"/>
          <w:szCs w:val="22"/>
          <w:lang w:val="fr-FR" w:eastAsia="en-US"/>
        </w:rPr>
        <w:t>article</w:t>
      </w:r>
      <w:r w:rsidR="00F47E56" w:rsidRPr="004A032C">
        <w:rPr>
          <w:rFonts w:eastAsia="Calibri"/>
          <w:szCs w:val="22"/>
          <w:lang w:val="fr-FR" w:eastAsia="en-US"/>
        </w:rPr>
        <w:t> </w:t>
      </w:r>
      <w:r w:rsidRPr="004A032C">
        <w:rPr>
          <w:rFonts w:eastAsia="Calibri"/>
          <w:szCs w:val="22"/>
          <w:lang w:val="fr-FR" w:eastAsia="en-US"/>
        </w:rPr>
        <w:t>4.ii) de la Convention instituant l</w:t>
      </w:r>
      <w:r w:rsidR="007379AD" w:rsidRPr="004A032C">
        <w:rPr>
          <w:rFonts w:eastAsia="Calibri"/>
          <w:szCs w:val="22"/>
          <w:lang w:val="fr-FR" w:eastAsia="en-US"/>
        </w:rPr>
        <w:t>’</w:t>
      </w:r>
      <w:r w:rsidRPr="004A032C">
        <w:rPr>
          <w:rFonts w:eastAsia="Calibri"/>
          <w:szCs w:val="22"/>
          <w:lang w:val="fr-FR" w:eastAsia="en-US"/>
        </w:rPr>
        <w:t>OMPI.</w:t>
      </w:r>
      <w:r w:rsidR="0040390C" w:rsidRPr="004A032C">
        <w:rPr>
          <w:rFonts w:eastAsia="Calibri"/>
          <w:szCs w:val="22"/>
          <w:lang w:val="fr-FR" w:eastAsia="en-US"/>
        </w:rPr>
        <w:t xml:space="preserve">  </w:t>
      </w:r>
      <w:r w:rsidR="002D04CC" w:rsidRPr="004A032C">
        <w:rPr>
          <w:rFonts w:eastAsia="Calibri"/>
          <w:szCs w:val="22"/>
          <w:lang w:val="fr-FR" w:eastAsia="en-US"/>
        </w:rPr>
        <w:t>Il s</w:t>
      </w:r>
      <w:r w:rsidR="007379AD" w:rsidRPr="004A032C">
        <w:rPr>
          <w:rFonts w:eastAsia="Calibri"/>
          <w:szCs w:val="22"/>
          <w:lang w:val="fr-FR" w:eastAsia="en-US"/>
        </w:rPr>
        <w:t>’</w:t>
      </w:r>
      <w:r w:rsidR="002D04CC" w:rsidRPr="004A032C">
        <w:rPr>
          <w:rFonts w:eastAsia="Calibri"/>
          <w:szCs w:val="22"/>
          <w:lang w:val="fr-FR" w:eastAsia="en-US"/>
        </w:rPr>
        <w:t>agirait plutôt d</w:t>
      </w:r>
      <w:r w:rsidR="007379AD" w:rsidRPr="004A032C">
        <w:rPr>
          <w:rFonts w:eastAsia="Calibri"/>
          <w:szCs w:val="22"/>
          <w:lang w:val="fr-FR" w:eastAsia="en-US"/>
        </w:rPr>
        <w:t>’</w:t>
      </w:r>
      <w:r w:rsidR="002D04CC" w:rsidRPr="004A032C">
        <w:rPr>
          <w:rFonts w:eastAsia="Calibri"/>
          <w:szCs w:val="22"/>
          <w:lang w:val="fr-FR" w:eastAsia="en-US"/>
        </w:rPr>
        <w:t>une union établie en vertu d</w:t>
      </w:r>
      <w:r w:rsidR="007379AD" w:rsidRPr="004A032C">
        <w:rPr>
          <w:rFonts w:eastAsia="Calibri"/>
          <w:szCs w:val="22"/>
          <w:lang w:val="fr-FR" w:eastAsia="en-US"/>
        </w:rPr>
        <w:t>’</w:t>
      </w:r>
      <w:r w:rsidR="002D04CC" w:rsidRPr="004A032C">
        <w:rPr>
          <w:rFonts w:eastAsia="Calibri"/>
          <w:szCs w:val="22"/>
          <w:lang w:val="fr-FR" w:eastAsia="en-US"/>
        </w:rPr>
        <w:t>un “autre engagement international” selon l</w:t>
      </w:r>
      <w:r w:rsidR="007379AD" w:rsidRPr="004A032C">
        <w:rPr>
          <w:rFonts w:eastAsia="Calibri"/>
          <w:szCs w:val="22"/>
          <w:lang w:val="fr-FR" w:eastAsia="en-US"/>
        </w:rPr>
        <w:t>’</w:t>
      </w:r>
      <w:r w:rsidR="002D04CC" w:rsidRPr="004A032C">
        <w:rPr>
          <w:rFonts w:eastAsia="Calibri"/>
          <w:szCs w:val="22"/>
          <w:lang w:val="fr-FR" w:eastAsia="en-US"/>
        </w:rPr>
        <w:t xml:space="preserve">article 4.iii) </w:t>
      </w:r>
      <w:r w:rsidR="00D751D1" w:rsidRPr="004A032C">
        <w:rPr>
          <w:rFonts w:eastAsia="Calibri"/>
          <w:szCs w:val="22"/>
          <w:lang w:val="fr-FR" w:eastAsia="en-US"/>
        </w:rPr>
        <w:t>de la</w:t>
      </w:r>
      <w:r w:rsidR="002D04CC" w:rsidRPr="004A032C">
        <w:rPr>
          <w:rFonts w:eastAsia="Calibri"/>
          <w:szCs w:val="22"/>
          <w:lang w:val="fr-FR" w:eastAsia="en-US"/>
        </w:rPr>
        <w:t xml:space="preserve"> Convention instituant l</w:t>
      </w:r>
      <w:r w:rsidR="007379AD" w:rsidRPr="004A032C">
        <w:rPr>
          <w:rFonts w:eastAsia="Calibri"/>
          <w:szCs w:val="22"/>
          <w:lang w:val="fr-FR" w:eastAsia="en-US"/>
        </w:rPr>
        <w:t>’</w:t>
      </w:r>
      <w:r w:rsidR="002D04CC" w:rsidRPr="004A032C">
        <w:rPr>
          <w:rFonts w:eastAsia="Calibri"/>
          <w:szCs w:val="22"/>
          <w:lang w:val="fr-FR" w:eastAsia="en-US"/>
        </w:rPr>
        <w:t>OMPI dont l</w:t>
      </w:r>
      <w:r w:rsidR="007379AD" w:rsidRPr="004A032C">
        <w:rPr>
          <w:rFonts w:eastAsia="Calibri"/>
          <w:szCs w:val="22"/>
          <w:lang w:val="fr-FR" w:eastAsia="en-US"/>
        </w:rPr>
        <w:t>’</w:t>
      </w:r>
      <w:r w:rsidR="002D04CC" w:rsidRPr="004A032C">
        <w:rPr>
          <w:rFonts w:eastAsia="Calibri"/>
          <w:szCs w:val="22"/>
          <w:lang w:val="fr-FR" w:eastAsia="en-US"/>
        </w:rPr>
        <w:t>administration requiert l</w:t>
      </w:r>
      <w:r w:rsidR="007379AD" w:rsidRPr="004A032C">
        <w:rPr>
          <w:rFonts w:eastAsia="Calibri"/>
          <w:szCs w:val="22"/>
          <w:lang w:val="fr-FR" w:eastAsia="en-US"/>
        </w:rPr>
        <w:t>’</w:t>
      </w:r>
      <w:r w:rsidR="002D04CC" w:rsidRPr="004A032C">
        <w:rPr>
          <w:rFonts w:eastAsia="Calibri"/>
          <w:szCs w:val="22"/>
          <w:lang w:val="fr-FR" w:eastAsia="en-US"/>
        </w:rPr>
        <w:t>examen et la décision des organes compétents de l</w:t>
      </w:r>
      <w:r w:rsidR="007379AD" w:rsidRPr="004A032C">
        <w:rPr>
          <w:rFonts w:eastAsia="Calibri"/>
          <w:szCs w:val="22"/>
          <w:lang w:val="fr-FR" w:eastAsia="en-US"/>
        </w:rPr>
        <w:t>’</w:t>
      </w:r>
      <w:r w:rsidR="002D04CC" w:rsidRPr="004A032C">
        <w:rPr>
          <w:rFonts w:eastAsia="Calibri"/>
          <w:szCs w:val="22"/>
          <w:lang w:val="fr-FR" w:eastAsia="en-US"/>
        </w:rPr>
        <w:t xml:space="preserve">OMPI en vertu des articles 6.2)v) et 6.3)g) de </w:t>
      </w:r>
      <w:r w:rsidR="00D751D1" w:rsidRPr="004A032C">
        <w:rPr>
          <w:rFonts w:eastAsia="Calibri"/>
          <w:szCs w:val="22"/>
          <w:lang w:val="fr-FR" w:eastAsia="en-US"/>
        </w:rPr>
        <w:t xml:space="preserve">cette même </w:t>
      </w:r>
      <w:r w:rsidR="00DB300D" w:rsidRPr="004A032C">
        <w:rPr>
          <w:rFonts w:eastAsia="Calibri"/>
          <w:szCs w:val="22"/>
          <w:lang w:val="fr-FR" w:eastAsia="en-US"/>
        </w:rPr>
        <w:t>c</w:t>
      </w:r>
      <w:r w:rsidR="002D04CC" w:rsidRPr="004A032C">
        <w:rPr>
          <w:rFonts w:eastAsia="Calibri"/>
          <w:szCs w:val="22"/>
          <w:lang w:val="fr-FR" w:eastAsia="en-US"/>
        </w:rPr>
        <w:t>onvention.</w:t>
      </w:r>
    </w:p>
    <w:p w:rsidR="004A032C" w:rsidRDefault="004A032C" w:rsidP="004A032C">
      <w:pPr>
        <w:rPr>
          <w:rFonts w:eastAsia="Calibri"/>
          <w:szCs w:val="22"/>
          <w:lang w:val="fr-FR" w:eastAsia="en-US"/>
        </w:rPr>
      </w:pPr>
    </w:p>
    <w:p w:rsidR="004A032C" w:rsidRPr="004A032C" w:rsidRDefault="004A032C" w:rsidP="004A032C">
      <w:pPr>
        <w:rPr>
          <w:rFonts w:eastAsia="Calibri"/>
          <w:szCs w:val="22"/>
          <w:lang w:val="fr-FR" w:eastAsia="en-US"/>
        </w:rPr>
      </w:pPr>
      <w:r w:rsidRPr="004A032C">
        <w:rPr>
          <w:rFonts w:eastAsia="Calibri"/>
          <w:szCs w:val="22"/>
          <w:lang w:val="fr-FR" w:eastAsia="en-US"/>
        </w:rPr>
        <w:t>Même si les parties contractantes de l’Acte de Genève peuvent s’affilier à l’“Union particulière” de Lisbonne, toute administration de l’Acte de Genève de l’Arrangement de Lisbonne par l’OMPI, notamment en ce qui concerne les services d’enregistrement, doit être approuvée par l’ensemble des membres de l’Organisation.</w:t>
      </w:r>
    </w:p>
    <w:p w:rsidR="004A032C" w:rsidRDefault="004A032C" w:rsidP="004A032C">
      <w:pPr>
        <w:rPr>
          <w:rFonts w:eastAsia="Calibri"/>
          <w:szCs w:val="22"/>
          <w:lang w:val="fr-FR" w:eastAsia="en-US"/>
        </w:rPr>
      </w:pPr>
    </w:p>
    <w:p w:rsidR="004A032C" w:rsidRPr="004A032C" w:rsidRDefault="004A032C" w:rsidP="004A032C">
      <w:pPr>
        <w:rPr>
          <w:rFonts w:eastAsia="Calibri"/>
          <w:szCs w:val="22"/>
          <w:lang w:val="fr-FR" w:eastAsia="en-US"/>
        </w:rPr>
        <w:sectPr w:rsidR="004A032C" w:rsidRPr="004A032C" w:rsidSect="00B66F3D">
          <w:headerReference w:type="first" r:id="rId15"/>
          <w:endnotePr>
            <w:numFmt w:val="decimal"/>
          </w:endnotePr>
          <w:pgSz w:w="11907" w:h="16840" w:code="9"/>
          <w:pgMar w:top="567" w:right="1015" w:bottom="1418" w:left="1418" w:header="510" w:footer="1021" w:gutter="0"/>
          <w:pgNumType w:start="2"/>
          <w:cols w:space="720"/>
          <w:titlePg/>
          <w:docGrid w:linePitch="299"/>
        </w:sectPr>
      </w:pPr>
    </w:p>
    <w:p w:rsidR="00DA0F7A" w:rsidRPr="004A032C" w:rsidRDefault="00C34511" w:rsidP="004A032C">
      <w:pPr>
        <w:rPr>
          <w:rFonts w:eastAsia="Calibri"/>
          <w:b/>
          <w:szCs w:val="22"/>
          <w:lang w:val="fr-FR" w:eastAsia="en-US"/>
        </w:rPr>
      </w:pPr>
      <w:r w:rsidRPr="004A032C">
        <w:rPr>
          <w:rFonts w:eastAsia="Calibri"/>
          <w:b/>
          <w:szCs w:val="22"/>
          <w:lang w:val="fr-FR" w:eastAsia="en-US"/>
        </w:rPr>
        <w:lastRenderedPageBreak/>
        <w:t>La nouvelle Union de Lisbonne n</w:t>
      </w:r>
      <w:r w:rsidR="007379AD" w:rsidRPr="004A032C">
        <w:rPr>
          <w:rFonts w:eastAsia="Calibri"/>
          <w:b/>
          <w:szCs w:val="22"/>
          <w:lang w:val="fr-FR" w:eastAsia="en-US"/>
        </w:rPr>
        <w:t>’</w:t>
      </w:r>
      <w:r w:rsidRPr="004A032C">
        <w:rPr>
          <w:rFonts w:eastAsia="Calibri"/>
          <w:b/>
          <w:szCs w:val="22"/>
          <w:lang w:val="fr-FR" w:eastAsia="en-US"/>
        </w:rPr>
        <w:t>est pas une “union particulière” établie en relation avec l</w:t>
      </w:r>
      <w:r w:rsidR="007379AD" w:rsidRPr="004A032C">
        <w:rPr>
          <w:rFonts w:eastAsia="Calibri"/>
          <w:b/>
          <w:szCs w:val="22"/>
          <w:lang w:val="fr-FR" w:eastAsia="en-US"/>
        </w:rPr>
        <w:t>’</w:t>
      </w:r>
      <w:r w:rsidRPr="004A032C">
        <w:rPr>
          <w:rFonts w:eastAsia="Calibri"/>
          <w:b/>
          <w:szCs w:val="22"/>
          <w:lang w:val="fr-FR" w:eastAsia="en-US"/>
        </w:rPr>
        <w:t>Union de Paris</w:t>
      </w:r>
    </w:p>
    <w:p w:rsidR="004A032C" w:rsidRDefault="004A032C" w:rsidP="004A032C">
      <w:pPr>
        <w:rPr>
          <w:rFonts w:eastAsia="Calibri"/>
          <w:szCs w:val="22"/>
          <w:lang w:val="fr-FR" w:eastAsia="en-US"/>
        </w:rPr>
      </w:pPr>
    </w:p>
    <w:p w:rsidR="007379AD" w:rsidRPr="004A032C" w:rsidRDefault="00F251CD" w:rsidP="004A032C">
      <w:pPr>
        <w:rPr>
          <w:rFonts w:eastAsia="Calibri"/>
          <w:szCs w:val="22"/>
          <w:lang w:val="fr-FR" w:eastAsia="en-US"/>
        </w:rPr>
      </w:pPr>
      <w:r w:rsidRPr="004A032C">
        <w:rPr>
          <w:rFonts w:eastAsia="Calibri"/>
          <w:szCs w:val="22"/>
          <w:lang w:val="fr-FR" w:eastAsia="en-US"/>
        </w:rPr>
        <w:t>Les désignations d</w:t>
      </w:r>
      <w:r w:rsidR="007379AD" w:rsidRPr="004A032C">
        <w:rPr>
          <w:rFonts w:eastAsia="Calibri"/>
          <w:szCs w:val="22"/>
          <w:lang w:val="fr-FR" w:eastAsia="en-US"/>
        </w:rPr>
        <w:t>’</w:t>
      </w:r>
      <w:r w:rsidRPr="004A032C">
        <w:rPr>
          <w:rFonts w:eastAsia="Calibri"/>
          <w:szCs w:val="22"/>
          <w:lang w:val="fr-FR" w:eastAsia="en-US"/>
        </w:rPr>
        <w:t>origine telles que les indications géographiques intéressent la majorité, si ce n</w:t>
      </w:r>
      <w:r w:rsidR="007379AD" w:rsidRPr="004A032C">
        <w:rPr>
          <w:rFonts w:eastAsia="Calibri"/>
          <w:szCs w:val="22"/>
          <w:lang w:val="fr-FR" w:eastAsia="en-US"/>
        </w:rPr>
        <w:t>’</w:t>
      </w:r>
      <w:r w:rsidRPr="004A032C">
        <w:rPr>
          <w:rFonts w:eastAsia="Calibri"/>
          <w:szCs w:val="22"/>
          <w:lang w:val="fr-FR" w:eastAsia="en-US"/>
        </w:rPr>
        <w:t>est la totalité, des membres de l</w:t>
      </w:r>
      <w:r w:rsidR="007379AD" w:rsidRPr="004A032C">
        <w:rPr>
          <w:rFonts w:eastAsia="Calibri"/>
          <w:szCs w:val="22"/>
          <w:lang w:val="fr-FR" w:eastAsia="en-US"/>
        </w:rPr>
        <w:t>’</w:t>
      </w:r>
      <w:r w:rsidRPr="004A032C">
        <w:rPr>
          <w:rFonts w:eastAsia="Calibri"/>
          <w:szCs w:val="22"/>
          <w:lang w:val="fr-FR" w:eastAsia="en-US"/>
        </w:rPr>
        <w:t>OMPI qui souhaitent distinguer les produits ou services originaires de leur pays ou région.</w:t>
      </w:r>
      <w:r w:rsidR="0040390C" w:rsidRPr="004A032C">
        <w:rPr>
          <w:rFonts w:eastAsia="Calibri"/>
          <w:szCs w:val="22"/>
          <w:lang w:val="fr-FR" w:eastAsia="en-US"/>
        </w:rPr>
        <w:t xml:space="preserve">  </w:t>
      </w:r>
      <w:r w:rsidRPr="004A032C">
        <w:rPr>
          <w:rFonts w:eastAsia="Calibri"/>
          <w:szCs w:val="22"/>
          <w:lang w:val="fr-FR" w:eastAsia="en-US"/>
        </w:rPr>
        <w:t>Au mois de mai de l</w:t>
      </w:r>
      <w:r w:rsidR="007379AD" w:rsidRPr="004A032C">
        <w:rPr>
          <w:rFonts w:eastAsia="Calibri"/>
          <w:szCs w:val="22"/>
          <w:lang w:val="fr-FR" w:eastAsia="en-US"/>
        </w:rPr>
        <w:t>’</w:t>
      </w:r>
      <w:r w:rsidRPr="004A032C">
        <w:rPr>
          <w:rFonts w:eastAsia="Calibri"/>
          <w:szCs w:val="22"/>
          <w:lang w:val="fr-FR" w:eastAsia="en-US"/>
        </w:rPr>
        <w:t>année en cours s</w:t>
      </w:r>
      <w:r w:rsidR="007379AD" w:rsidRPr="004A032C">
        <w:rPr>
          <w:rFonts w:eastAsia="Calibri"/>
          <w:szCs w:val="22"/>
          <w:lang w:val="fr-FR" w:eastAsia="en-US"/>
        </w:rPr>
        <w:t>’</w:t>
      </w:r>
      <w:r w:rsidRPr="004A032C">
        <w:rPr>
          <w:rFonts w:eastAsia="Calibri"/>
          <w:szCs w:val="22"/>
          <w:lang w:val="fr-FR" w:eastAsia="en-US"/>
        </w:rPr>
        <w:t>est tenue à l</w:t>
      </w:r>
      <w:r w:rsidR="007379AD" w:rsidRPr="004A032C">
        <w:rPr>
          <w:rFonts w:eastAsia="Calibri"/>
          <w:szCs w:val="22"/>
          <w:lang w:val="fr-FR" w:eastAsia="en-US"/>
        </w:rPr>
        <w:t>’</w:t>
      </w:r>
      <w:r w:rsidRPr="004A032C">
        <w:rPr>
          <w:rFonts w:eastAsia="Calibri"/>
          <w:szCs w:val="22"/>
          <w:lang w:val="fr-FR" w:eastAsia="en-US"/>
        </w:rPr>
        <w:t>OMPI une conférence diplomatique à l</w:t>
      </w:r>
      <w:r w:rsidR="007379AD" w:rsidRPr="004A032C">
        <w:rPr>
          <w:rFonts w:eastAsia="Calibri"/>
          <w:szCs w:val="22"/>
          <w:lang w:val="fr-FR" w:eastAsia="en-US"/>
        </w:rPr>
        <w:t>’</w:t>
      </w:r>
      <w:r w:rsidRPr="004A032C">
        <w:rPr>
          <w:rFonts w:eastAsia="Calibri"/>
          <w:szCs w:val="22"/>
          <w:lang w:val="fr-FR" w:eastAsia="en-US"/>
        </w:rPr>
        <w:t>issue de laquelle les seuls membres de l</w:t>
      </w:r>
      <w:r w:rsidR="007379AD" w:rsidRPr="004A032C">
        <w:rPr>
          <w:rFonts w:eastAsia="Calibri"/>
          <w:szCs w:val="22"/>
          <w:lang w:val="fr-FR" w:eastAsia="en-US"/>
        </w:rPr>
        <w:t>’</w:t>
      </w:r>
      <w:r w:rsidRPr="004A032C">
        <w:rPr>
          <w:rFonts w:eastAsia="Calibri"/>
          <w:szCs w:val="22"/>
          <w:lang w:val="fr-FR" w:eastAsia="en-US"/>
        </w:rPr>
        <w:t>Union de Lisbonne</w:t>
      </w:r>
      <w:r w:rsidR="007379AD" w:rsidRPr="004A032C">
        <w:rPr>
          <w:rFonts w:eastAsia="Calibri"/>
          <w:szCs w:val="22"/>
          <w:lang w:val="fr-FR" w:eastAsia="en-US"/>
        </w:rPr>
        <w:t xml:space="preserve"> – </w:t>
      </w:r>
      <w:r w:rsidRPr="004A032C">
        <w:rPr>
          <w:rFonts w:eastAsia="Calibri"/>
          <w:szCs w:val="22"/>
          <w:lang w:val="fr-FR" w:eastAsia="en-US"/>
        </w:rPr>
        <w:t>soit une petite fraction des membres de l</w:t>
      </w:r>
      <w:r w:rsidR="007379AD" w:rsidRPr="004A032C">
        <w:rPr>
          <w:rFonts w:eastAsia="Calibri"/>
          <w:szCs w:val="22"/>
          <w:lang w:val="fr-FR" w:eastAsia="en-US"/>
        </w:rPr>
        <w:t>’</w:t>
      </w:r>
      <w:r w:rsidRPr="004A032C">
        <w:rPr>
          <w:rFonts w:eastAsia="Calibri"/>
          <w:szCs w:val="22"/>
          <w:lang w:val="fr-FR" w:eastAsia="en-US"/>
        </w:rPr>
        <w:t>OMPI</w:t>
      </w:r>
      <w:r w:rsidR="007379AD" w:rsidRPr="004A032C">
        <w:rPr>
          <w:rFonts w:eastAsia="Calibri"/>
          <w:szCs w:val="22"/>
          <w:lang w:val="fr-FR" w:eastAsia="en-US"/>
        </w:rPr>
        <w:t xml:space="preserve"> – </w:t>
      </w:r>
      <w:r w:rsidRPr="004A032C">
        <w:rPr>
          <w:rFonts w:eastAsia="Calibri"/>
          <w:szCs w:val="22"/>
          <w:lang w:val="fr-FR" w:eastAsia="en-US"/>
        </w:rPr>
        <w:t xml:space="preserve">ont adopté un nouvel arrangement international pour la protection des indications géographiques, </w:t>
      </w:r>
      <w:r w:rsidR="007379AD" w:rsidRPr="004A032C">
        <w:rPr>
          <w:rFonts w:eastAsia="Calibri"/>
          <w:szCs w:val="22"/>
          <w:lang w:val="fr-FR" w:eastAsia="en-US"/>
        </w:rPr>
        <w:t>à savoir</w:t>
      </w:r>
      <w:r w:rsidRPr="004A032C">
        <w:rPr>
          <w:rFonts w:eastAsia="Calibri"/>
          <w:szCs w:val="22"/>
          <w:lang w:val="fr-FR" w:eastAsia="en-US"/>
        </w:rPr>
        <w:t xml:space="preserve"> l</w:t>
      </w:r>
      <w:r w:rsidR="007379AD" w:rsidRPr="004A032C">
        <w:rPr>
          <w:rFonts w:eastAsia="Calibri"/>
          <w:szCs w:val="22"/>
          <w:lang w:val="fr-FR" w:eastAsia="en-US"/>
        </w:rPr>
        <w:t>’</w:t>
      </w:r>
      <w:r w:rsidRPr="004A032C">
        <w:rPr>
          <w:rFonts w:eastAsia="Calibri"/>
          <w:szCs w:val="22"/>
          <w:lang w:val="fr-FR" w:eastAsia="en-US"/>
        </w:rPr>
        <w:t>Acte de Genève.</w:t>
      </w:r>
      <w:r w:rsidR="0040390C" w:rsidRPr="004A032C">
        <w:rPr>
          <w:rFonts w:eastAsia="Calibri"/>
          <w:szCs w:val="22"/>
          <w:lang w:val="fr-FR" w:eastAsia="en-US"/>
        </w:rPr>
        <w:t xml:space="preserve">  </w:t>
      </w:r>
      <w:r w:rsidRPr="004A032C">
        <w:rPr>
          <w:rFonts w:eastAsia="Calibri"/>
          <w:szCs w:val="22"/>
          <w:lang w:val="fr-FR" w:eastAsia="en-US"/>
        </w:rPr>
        <w:t>Dans une décision controversée et bien que ce sujet intéresse l</w:t>
      </w:r>
      <w:r w:rsidR="007379AD" w:rsidRPr="004A032C">
        <w:rPr>
          <w:rFonts w:eastAsia="Calibri"/>
          <w:szCs w:val="22"/>
          <w:lang w:val="fr-FR" w:eastAsia="en-US"/>
        </w:rPr>
        <w:t>’</w:t>
      </w:r>
      <w:r w:rsidRPr="004A032C">
        <w:rPr>
          <w:rFonts w:eastAsia="Calibri"/>
          <w:szCs w:val="22"/>
          <w:lang w:val="fr-FR" w:eastAsia="en-US"/>
        </w:rPr>
        <w:t>ensemble des membres de l</w:t>
      </w:r>
      <w:r w:rsidR="007379AD" w:rsidRPr="004A032C">
        <w:rPr>
          <w:rFonts w:eastAsia="Calibri"/>
          <w:szCs w:val="22"/>
          <w:lang w:val="fr-FR" w:eastAsia="en-US"/>
        </w:rPr>
        <w:t>’</w:t>
      </w:r>
      <w:r w:rsidRPr="004A032C">
        <w:rPr>
          <w:rFonts w:eastAsia="Calibri"/>
          <w:szCs w:val="22"/>
          <w:lang w:val="fr-FR" w:eastAsia="en-US"/>
        </w:rPr>
        <w:t>OMPI, une majorité de membres de l</w:t>
      </w:r>
      <w:r w:rsidR="007379AD" w:rsidRPr="004A032C">
        <w:rPr>
          <w:rFonts w:eastAsia="Calibri"/>
          <w:szCs w:val="22"/>
          <w:lang w:val="fr-FR" w:eastAsia="en-US"/>
        </w:rPr>
        <w:t>’</w:t>
      </w:r>
      <w:r w:rsidRPr="004A032C">
        <w:rPr>
          <w:rFonts w:eastAsia="Calibri"/>
          <w:szCs w:val="22"/>
          <w:lang w:val="fr-FR" w:eastAsia="en-US"/>
        </w:rPr>
        <w:t>Union de Lisbonne a décidé d</w:t>
      </w:r>
      <w:r w:rsidR="007379AD" w:rsidRPr="004A032C">
        <w:rPr>
          <w:rFonts w:eastAsia="Calibri"/>
          <w:szCs w:val="22"/>
          <w:lang w:val="fr-FR" w:eastAsia="en-US"/>
        </w:rPr>
        <w:t>’</w:t>
      </w:r>
      <w:r w:rsidRPr="004A032C">
        <w:rPr>
          <w:rFonts w:eastAsia="Calibri"/>
          <w:szCs w:val="22"/>
          <w:lang w:val="fr-FR" w:eastAsia="en-US"/>
        </w:rPr>
        <w:t>adopter pour la conférence diplomatique un règlement intérieur limitant la participation aux membres de l</w:t>
      </w:r>
      <w:r w:rsidR="007379AD" w:rsidRPr="004A032C">
        <w:rPr>
          <w:rFonts w:eastAsia="Calibri"/>
          <w:szCs w:val="22"/>
          <w:lang w:val="fr-FR" w:eastAsia="en-US"/>
        </w:rPr>
        <w:t>’</w:t>
      </w:r>
      <w:r w:rsidRPr="004A032C">
        <w:rPr>
          <w:rFonts w:eastAsia="Calibri"/>
          <w:szCs w:val="22"/>
          <w:lang w:val="fr-FR" w:eastAsia="en-US"/>
        </w:rPr>
        <w:t>Union de Lisbonne (ainsi qu</w:t>
      </w:r>
      <w:r w:rsidR="007379AD" w:rsidRPr="004A032C">
        <w:rPr>
          <w:rFonts w:eastAsia="Calibri"/>
          <w:szCs w:val="22"/>
          <w:lang w:val="fr-FR" w:eastAsia="en-US"/>
        </w:rPr>
        <w:t>’</w:t>
      </w:r>
      <w:r w:rsidRPr="004A032C">
        <w:rPr>
          <w:rFonts w:eastAsia="Calibri"/>
          <w:szCs w:val="22"/>
          <w:lang w:val="fr-FR" w:eastAsia="en-US"/>
        </w:rPr>
        <w:t>à deux</w:t>
      </w:r>
      <w:r w:rsidR="00F47E56" w:rsidRPr="004A032C">
        <w:rPr>
          <w:rFonts w:eastAsia="Calibri"/>
          <w:szCs w:val="22"/>
          <w:lang w:val="fr-FR" w:eastAsia="en-US"/>
        </w:rPr>
        <w:t> </w:t>
      </w:r>
      <w:r w:rsidRPr="004A032C">
        <w:rPr>
          <w:rFonts w:eastAsia="Calibri"/>
          <w:szCs w:val="22"/>
          <w:lang w:val="fr-FR" w:eastAsia="en-US"/>
        </w:rPr>
        <w:t>non</w:t>
      </w:r>
      <w:r w:rsidR="00A24F52" w:rsidRPr="004A032C">
        <w:rPr>
          <w:rFonts w:eastAsia="Calibri"/>
          <w:szCs w:val="22"/>
          <w:lang w:val="fr-FR" w:eastAsia="en-US"/>
        </w:rPr>
        <w:noBreakHyphen/>
      </w:r>
      <w:r w:rsidRPr="004A032C">
        <w:rPr>
          <w:rFonts w:eastAsia="Calibri"/>
          <w:szCs w:val="22"/>
          <w:lang w:val="fr-FR" w:eastAsia="en-US"/>
        </w:rPr>
        <w:t>membres de l</w:t>
      </w:r>
      <w:r w:rsidR="007379AD" w:rsidRPr="004A032C">
        <w:rPr>
          <w:rFonts w:eastAsia="Calibri"/>
          <w:szCs w:val="22"/>
          <w:lang w:val="fr-FR" w:eastAsia="en-US"/>
        </w:rPr>
        <w:t>’</w:t>
      </w:r>
      <w:r w:rsidRPr="004A032C">
        <w:rPr>
          <w:rFonts w:eastAsia="Calibri"/>
          <w:szCs w:val="22"/>
          <w:lang w:val="fr-FR" w:eastAsia="en-US"/>
        </w:rPr>
        <w:t>OMPI (et non</w:t>
      </w:r>
      <w:r w:rsidR="00A24F52" w:rsidRPr="004A032C">
        <w:rPr>
          <w:rFonts w:eastAsia="Calibri"/>
          <w:szCs w:val="22"/>
          <w:lang w:val="fr-FR" w:eastAsia="en-US"/>
        </w:rPr>
        <w:noBreakHyphen/>
      </w:r>
      <w:r w:rsidRPr="004A032C">
        <w:rPr>
          <w:rFonts w:eastAsia="Calibri"/>
          <w:szCs w:val="22"/>
          <w:lang w:val="fr-FR" w:eastAsia="en-US"/>
        </w:rPr>
        <w:t>membres de l</w:t>
      </w:r>
      <w:r w:rsidR="007379AD" w:rsidRPr="004A032C">
        <w:rPr>
          <w:rFonts w:eastAsia="Calibri"/>
          <w:szCs w:val="22"/>
          <w:lang w:val="fr-FR" w:eastAsia="en-US"/>
        </w:rPr>
        <w:t>’</w:t>
      </w:r>
      <w:r w:rsidRPr="004A032C">
        <w:rPr>
          <w:rFonts w:eastAsia="Calibri"/>
          <w:szCs w:val="22"/>
          <w:lang w:val="fr-FR" w:eastAsia="en-US"/>
        </w:rPr>
        <w:t>Union de Paris</w:t>
      </w:r>
      <w:r w:rsidR="00435956" w:rsidRPr="004A032C">
        <w:rPr>
          <w:rFonts w:eastAsia="Calibri"/>
          <w:szCs w:val="22"/>
          <w:lang w:val="fr-FR" w:eastAsia="en-US"/>
        </w:rPr>
        <w:t>)</w:t>
      </w:r>
      <w:r w:rsidRPr="004A032C">
        <w:rPr>
          <w:rFonts w:eastAsia="Calibri"/>
          <w:szCs w:val="22"/>
          <w:lang w:val="fr-FR" w:eastAsia="en-US"/>
        </w:rPr>
        <w:t>)</w:t>
      </w:r>
      <w:r w:rsidRPr="004A032C">
        <w:rPr>
          <w:rStyle w:val="FootnoteReference"/>
          <w:rFonts w:eastAsia="Calibri"/>
          <w:szCs w:val="22"/>
          <w:lang w:val="fr-FR" w:eastAsia="en-US"/>
        </w:rPr>
        <w:footnoteReference w:id="3"/>
      </w:r>
      <w:r w:rsidRPr="004A032C">
        <w:rPr>
          <w:rFonts w:eastAsia="Calibri"/>
          <w:szCs w:val="22"/>
          <w:lang w:val="fr-FR" w:eastAsia="en-US"/>
        </w:rPr>
        <w:t>.</w:t>
      </w:r>
      <w:r w:rsidR="0040390C" w:rsidRPr="004A032C">
        <w:rPr>
          <w:rFonts w:eastAsia="Calibri"/>
          <w:szCs w:val="22"/>
          <w:lang w:val="fr-FR" w:eastAsia="en-US"/>
        </w:rPr>
        <w:t xml:space="preserve">  </w:t>
      </w:r>
      <w:r w:rsidRPr="004A032C">
        <w:rPr>
          <w:rFonts w:eastAsia="Calibri"/>
          <w:szCs w:val="22"/>
          <w:lang w:val="fr-FR" w:eastAsia="en-US"/>
        </w:rPr>
        <w:t>Ce faisant, ils ont refusé d</w:t>
      </w:r>
      <w:r w:rsidR="007379AD" w:rsidRPr="004A032C">
        <w:rPr>
          <w:rFonts w:eastAsia="Calibri"/>
          <w:szCs w:val="22"/>
          <w:lang w:val="fr-FR" w:eastAsia="en-US"/>
        </w:rPr>
        <w:t>’</w:t>
      </w:r>
      <w:r w:rsidRPr="004A032C">
        <w:rPr>
          <w:rFonts w:eastAsia="Calibri"/>
          <w:szCs w:val="22"/>
          <w:lang w:val="fr-FR" w:eastAsia="en-US"/>
        </w:rPr>
        <w:t xml:space="preserve">accepter une proposition de modification du règlement intérieur visant à ouvrir la participation à la conférence diplomatique aux </w:t>
      </w:r>
      <w:r w:rsidR="00435956" w:rsidRPr="004A032C">
        <w:rPr>
          <w:rFonts w:eastAsia="Calibri"/>
          <w:szCs w:val="22"/>
          <w:lang w:val="fr-FR" w:eastAsia="en-US"/>
        </w:rPr>
        <w:t>188 </w:t>
      </w:r>
      <w:r w:rsidRPr="004A032C">
        <w:rPr>
          <w:rFonts w:eastAsia="Calibri"/>
          <w:szCs w:val="22"/>
          <w:lang w:val="fr-FR" w:eastAsia="en-US"/>
        </w:rPr>
        <w:t>membres de l</w:t>
      </w:r>
      <w:r w:rsidR="007379AD" w:rsidRPr="004A032C">
        <w:rPr>
          <w:rFonts w:eastAsia="Calibri"/>
          <w:szCs w:val="22"/>
          <w:lang w:val="fr-FR" w:eastAsia="en-US"/>
        </w:rPr>
        <w:t>’</w:t>
      </w:r>
      <w:r w:rsidRPr="004A032C">
        <w:rPr>
          <w:rFonts w:eastAsia="Calibri"/>
          <w:szCs w:val="22"/>
          <w:lang w:val="fr-FR" w:eastAsia="en-US"/>
        </w:rPr>
        <w:t>OMPI sur un pied d</w:t>
      </w:r>
      <w:r w:rsidR="007379AD" w:rsidRPr="004A032C">
        <w:rPr>
          <w:rFonts w:eastAsia="Calibri"/>
          <w:szCs w:val="22"/>
          <w:lang w:val="fr-FR" w:eastAsia="en-US"/>
        </w:rPr>
        <w:t>’</w:t>
      </w:r>
      <w:r w:rsidR="004A032C">
        <w:rPr>
          <w:rFonts w:eastAsia="Calibri"/>
          <w:szCs w:val="22"/>
          <w:lang w:val="fr-FR" w:eastAsia="en-US"/>
        </w:rPr>
        <w:t>égalité au lieu des seuls 28 </w:t>
      </w:r>
      <w:r w:rsidRPr="004A032C">
        <w:rPr>
          <w:rFonts w:eastAsia="Calibri"/>
          <w:szCs w:val="22"/>
          <w:lang w:val="fr-FR" w:eastAsia="en-US"/>
        </w:rPr>
        <w:t>membres de l</w:t>
      </w:r>
      <w:r w:rsidR="007379AD" w:rsidRPr="004A032C">
        <w:rPr>
          <w:rFonts w:eastAsia="Calibri"/>
          <w:szCs w:val="22"/>
          <w:lang w:val="fr-FR" w:eastAsia="en-US"/>
        </w:rPr>
        <w:t>’</w:t>
      </w:r>
      <w:r w:rsidRPr="004A032C">
        <w:rPr>
          <w:rFonts w:eastAsia="Calibri"/>
          <w:szCs w:val="22"/>
          <w:lang w:val="fr-FR" w:eastAsia="en-US"/>
        </w:rPr>
        <w:t>Union de Lisbonne</w:t>
      </w:r>
      <w:r w:rsidRPr="004A032C">
        <w:rPr>
          <w:rStyle w:val="FootnoteReference"/>
          <w:rFonts w:eastAsia="Calibri"/>
          <w:szCs w:val="22"/>
          <w:lang w:val="fr-FR" w:eastAsia="en-US"/>
        </w:rPr>
        <w:footnoteReference w:id="4"/>
      </w:r>
      <w:r w:rsidRPr="004A032C">
        <w:rPr>
          <w:rFonts w:eastAsia="Calibri"/>
          <w:szCs w:val="22"/>
          <w:lang w:val="fr-FR" w:eastAsia="en-US"/>
        </w:rPr>
        <w:t>.</w:t>
      </w:r>
    </w:p>
    <w:p w:rsidR="00DA0F7A" w:rsidRPr="004A032C" w:rsidRDefault="00DA0F7A" w:rsidP="004A032C">
      <w:pPr>
        <w:rPr>
          <w:rFonts w:eastAsia="Calibri"/>
          <w:szCs w:val="22"/>
          <w:lang w:val="fr-FR" w:eastAsia="en-US"/>
        </w:rPr>
      </w:pPr>
    </w:p>
    <w:p w:rsidR="007379AD" w:rsidRDefault="00023A97" w:rsidP="004A032C">
      <w:pPr>
        <w:rPr>
          <w:rFonts w:eastAsia="Calibri"/>
          <w:szCs w:val="22"/>
          <w:lang w:val="fr-FR" w:eastAsia="en-US"/>
        </w:rPr>
      </w:pPr>
      <w:r w:rsidRPr="004A032C">
        <w:rPr>
          <w:rFonts w:eastAsia="Calibri"/>
          <w:szCs w:val="22"/>
          <w:lang w:val="fr-FR" w:eastAsia="en-US"/>
        </w:rPr>
        <w:t>Après plusieurs jours de négociations, l</w:t>
      </w:r>
      <w:r w:rsidR="007379AD" w:rsidRPr="004A032C">
        <w:rPr>
          <w:rFonts w:eastAsia="Calibri"/>
          <w:szCs w:val="22"/>
          <w:lang w:val="fr-FR" w:eastAsia="en-US"/>
        </w:rPr>
        <w:t>’</w:t>
      </w:r>
      <w:r w:rsidRPr="004A032C">
        <w:rPr>
          <w:rFonts w:eastAsia="Calibri"/>
          <w:szCs w:val="22"/>
          <w:lang w:val="fr-FR" w:eastAsia="en-US"/>
        </w:rPr>
        <w:t>Union de Lisbonne a conclu ses délibérations et adopté l</w:t>
      </w:r>
      <w:r w:rsidR="007379AD" w:rsidRPr="004A032C">
        <w:rPr>
          <w:rFonts w:eastAsia="Calibri"/>
          <w:szCs w:val="22"/>
          <w:lang w:val="fr-FR" w:eastAsia="en-US"/>
        </w:rPr>
        <w:t>’</w:t>
      </w:r>
      <w:r w:rsidRPr="004A032C">
        <w:rPr>
          <w:rFonts w:eastAsia="Calibri"/>
          <w:szCs w:val="22"/>
          <w:lang w:val="fr-FR" w:eastAsia="en-US"/>
        </w:rPr>
        <w:t>Acte de Genève, sans décision par consensus de la totalité des membres de l</w:t>
      </w:r>
      <w:r w:rsidR="007379AD" w:rsidRPr="004A032C">
        <w:rPr>
          <w:rFonts w:eastAsia="Calibri"/>
          <w:szCs w:val="22"/>
          <w:lang w:val="fr-FR" w:eastAsia="en-US"/>
        </w:rPr>
        <w:t>’</w:t>
      </w:r>
      <w:r w:rsidRPr="004A032C">
        <w:rPr>
          <w:rFonts w:eastAsia="Calibri"/>
          <w:szCs w:val="22"/>
          <w:lang w:val="fr-FR" w:eastAsia="en-US"/>
        </w:rPr>
        <w:t>OMPI</w:t>
      </w:r>
      <w:r w:rsidRPr="004A032C">
        <w:rPr>
          <w:rStyle w:val="FootnoteReference"/>
          <w:rFonts w:eastAsia="Calibri"/>
          <w:szCs w:val="22"/>
          <w:lang w:val="fr-FR" w:eastAsia="en-US"/>
        </w:rPr>
        <w:footnoteReference w:id="5"/>
      </w:r>
      <w:r w:rsidRPr="004A032C">
        <w:rPr>
          <w:rFonts w:eastAsia="Calibri"/>
          <w:szCs w:val="22"/>
          <w:lang w:val="fr-FR" w:eastAsia="en-US"/>
        </w:rPr>
        <w:t>.</w:t>
      </w:r>
      <w:r w:rsidR="0040390C" w:rsidRPr="004A032C">
        <w:rPr>
          <w:rFonts w:eastAsia="Calibri"/>
          <w:szCs w:val="22"/>
          <w:lang w:val="fr-FR" w:eastAsia="en-US"/>
        </w:rPr>
        <w:t xml:space="preserve">  </w:t>
      </w:r>
      <w:r w:rsidR="00267DFB" w:rsidRPr="004A032C">
        <w:rPr>
          <w:rFonts w:eastAsia="Calibri"/>
          <w:szCs w:val="22"/>
          <w:lang w:val="fr-FR" w:eastAsia="en-US"/>
        </w:rPr>
        <w:t>Si la conférence diplomatique s</w:t>
      </w:r>
      <w:r w:rsidR="007379AD" w:rsidRPr="004A032C">
        <w:rPr>
          <w:rFonts w:eastAsia="Calibri"/>
          <w:szCs w:val="22"/>
          <w:lang w:val="fr-FR" w:eastAsia="en-US"/>
        </w:rPr>
        <w:t>’</w:t>
      </w:r>
      <w:r w:rsidR="00267DFB" w:rsidRPr="004A032C">
        <w:rPr>
          <w:rFonts w:eastAsia="Calibri"/>
          <w:szCs w:val="22"/>
          <w:lang w:val="fr-FR" w:eastAsia="en-US"/>
        </w:rPr>
        <w:t>est conclue par l</w:t>
      </w:r>
      <w:r w:rsidR="007379AD" w:rsidRPr="004A032C">
        <w:rPr>
          <w:rFonts w:eastAsia="Calibri"/>
          <w:szCs w:val="22"/>
          <w:lang w:val="fr-FR" w:eastAsia="en-US"/>
        </w:rPr>
        <w:t>’</w:t>
      </w:r>
      <w:r w:rsidR="00267DFB" w:rsidRPr="004A032C">
        <w:rPr>
          <w:rFonts w:eastAsia="Calibri"/>
          <w:szCs w:val="22"/>
          <w:lang w:val="fr-FR" w:eastAsia="en-US"/>
        </w:rPr>
        <w:t>adoption de l</w:t>
      </w:r>
      <w:r w:rsidR="007379AD" w:rsidRPr="004A032C">
        <w:rPr>
          <w:rFonts w:eastAsia="Calibri"/>
          <w:szCs w:val="22"/>
          <w:lang w:val="fr-FR" w:eastAsia="en-US"/>
        </w:rPr>
        <w:t>’</w:t>
      </w:r>
      <w:r w:rsidR="00267DFB" w:rsidRPr="004A032C">
        <w:rPr>
          <w:rFonts w:eastAsia="Calibri"/>
          <w:szCs w:val="22"/>
          <w:lang w:val="fr-FR" w:eastAsia="en-US"/>
        </w:rPr>
        <w:t>Acte de Genève par les parties contractantes de l</w:t>
      </w:r>
      <w:r w:rsidR="007379AD" w:rsidRPr="004A032C">
        <w:rPr>
          <w:rFonts w:eastAsia="Calibri"/>
          <w:szCs w:val="22"/>
          <w:lang w:val="fr-FR" w:eastAsia="en-US"/>
        </w:rPr>
        <w:t>’</w:t>
      </w:r>
      <w:r w:rsidR="00267DFB" w:rsidRPr="004A032C">
        <w:rPr>
          <w:rFonts w:eastAsia="Calibri"/>
          <w:szCs w:val="22"/>
          <w:lang w:val="fr-FR" w:eastAsia="en-US"/>
        </w:rPr>
        <w:t>Arrangement de Lisbonne, il ne s</w:t>
      </w:r>
      <w:r w:rsidR="007379AD" w:rsidRPr="004A032C">
        <w:rPr>
          <w:rFonts w:eastAsia="Calibri"/>
          <w:szCs w:val="22"/>
          <w:lang w:val="fr-FR" w:eastAsia="en-US"/>
        </w:rPr>
        <w:t>’</w:t>
      </w:r>
      <w:r w:rsidR="00267DFB" w:rsidRPr="004A032C">
        <w:rPr>
          <w:rFonts w:eastAsia="Calibri"/>
          <w:szCs w:val="22"/>
          <w:lang w:val="fr-FR" w:eastAsia="en-US"/>
        </w:rPr>
        <w:t>ensuit pas automatiquement que l</w:t>
      </w:r>
      <w:r w:rsidR="007379AD" w:rsidRPr="004A032C">
        <w:rPr>
          <w:rFonts w:eastAsia="Calibri"/>
          <w:szCs w:val="22"/>
          <w:lang w:val="fr-FR" w:eastAsia="en-US"/>
        </w:rPr>
        <w:t>’</w:t>
      </w:r>
      <w:r w:rsidR="00267DFB" w:rsidRPr="004A032C">
        <w:rPr>
          <w:rFonts w:eastAsia="Calibri"/>
          <w:szCs w:val="22"/>
          <w:lang w:val="fr-FR" w:eastAsia="en-US"/>
        </w:rPr>
        <w:t>Acte de Genève doit être administré par l</w:t>
      </w:r>
      <w:r w:rsidR="007379AD" w:rsidRPr="004A032C">
        <w:rPr>
          <w:rFonts w:eastAsia="Calibri"/>
          <w:szCs w:val="22"/>
          <w:lang w:val="fr-FR" w:eastAsia="en-US"/>
        </w:rPr>
        <w:t>’</w:t>
      </w:r>
      <w:r w:rsidR="00267DFB" w:rsidRPr="004A032C">
        <w:rPr>
          <w:rFonts w:eastAsia="Calibri"/>
          <w:szCs w:val="22"/>
          <w:lang w:val="fr-FR" w:eastAsia="en-US"/>
        </w:rPr>
        <w:t>OMPI</w:t>
      </w:r>
      <w:r w:rsidR="00267DFB" w:rsidRPr="004A032C">
        <w:rPr>
          <w:rStyle w:val="FootnoteReference"/>
          <w:rFonts w:eastAsia="Calibri"/>
          <w:szCs w:val="22"/>
          <w:lang w:val="fr-FR" w:eastAsia="en-US"/>
        </w:rPr>
        <w:footnoteReference w:id="6"/>
      </w:r>
      <w:r w:rsidR="00267DFB" w:rsidRPr="004A032C">
        <w:rPr>
          <w:rFonts w:eastAsia="Calibri"/>
          <w:szCs w:val="22"/>
          <w:lang w:val="fr-FR" w:eastAsia="en-US"/>
        </w:rPr>
        <w:t>.</w:t>
      </w:r>
    </w:p>
    <w:p w:rsidR="004A032C" w:rsidRPr="004A032C" w:rsidRDefault="004A032C" w:rsidP="004A032C">
      <w:pPr>
        <w:rPr>
          <w:rFonts w:eastAsia="Calibri"/>
          <w:szCs w:val="22"/>
          <w:lang w:val="fr-FR" w:eastAsia="en-US"/>
        </w:rPr>
      </w:pPr>
    </w:p>
    <w:p w:rsidR="007379AD" w:rsidRPr="004A032C" w:rsidRDefault="003678F1" w:rsidP="004A032C">
      <w:pPr>
        <w:rPr>
          <w:rFonts w:eastAsia="Calibri"/>
          <w:szCs w:val="22"/>
          <w:lang w:val="fr-FR" w:eastAsia="en-US"/>
        </w:rPr>
      </w:pPr>
      <w:r w:rsidRPr="004A032C">
        <w:rPr>
          <w:rFonts w:eastAsia="Calibri"/>
          <w:szCs w:val="22"/>
          <w:lang w:val="fr-FR" w:eastAsia="en-US"/>
        </w:rPr>
        <w:t>L</w:t>
      </w:r>
      <w:r w:rsidR="007379AD" w:rsidRPr="004A032C">
        <w:rPr>
          <w:rFonts w:eastAsia="Calibri"/>
          <w:szCs w:val="22"/>
          <w:lang w:val="fr-FR" w:eastAsia="en-US"/>
        </w:rPr>
        <w:t>’</w:t>
      </w:r>
      <w:r w:rsidRPr="004A032C">
        <w:rPr>
          <w:rFonts w:eastAsia="Calibri"/>
          <w:szCs w:val="22"/>
          <w:lang w:val="fr-FR" w:eastAsia="en-US"/>
        </w:rPr>
        <w:t>article</w:t>
      </w:r>
      <w:r w:rsidR="00F47E56" w:rsidRPr="004A032C">
        <w:rPr>
          <w:rFonts w:eastAsia="Calibri"/>
          <w:szCs w:val="22"/>
          <w:lang w:val="fr-FR" w:eastAsia="en-US"/>
        </w:rPr>
        <w:t> </w:t>
      </w:r>
      <w:r w:rsidRPr="004A032C">
        <w:rPr>
          <w:rFonts w:eastAsia="Calibri"/>
          <w:szCs w:val="22"/>
          <w:lang w:val="fr-FR" w:eastAsia="en-US"/>
        </w:rPr>
        <w:t>4 de la Convention instituant l</w:t>
      </w:r>
      <w:r w:rsidR="007379AD" w:rsidRPr="004A032C">
        <w:rPr>
          <w:rFonts w:eastAsia="Calibri"/>
          <w:szCs w:val="22"/>
          <w:lang w:val="fr-FR" w:eastAsia="en-US"/>
        </w:rPr>
        <w:t>’</w:t>
      </w:r>
      <w:r w:rsidRPr="004A032C">
        <w:rPr>
          <w:rFonts w:eastAsia="Calibri"/>
          <w:szCs w:val="22"/>
          <w:lang w:val="fr-FR" w:eastAsia="en-US"/>
        </w:rPr>
        <w:t>OMPI prévoit que l</w:t>
      </w:r>
      <w:r w:rsidR="007379AD" w:rsidRPr="004A032C">
        <w:rPr>
          <w:rFonts w:eastAsia="Calibri"/>
          <w:szCs w:val="22"/>
          <w:lang w:val="fr-FR" w:eastAsia="en-US"/>
        </w:rPr>
        <w:t>’</w:t>
      </w:r>
      <w:r w:rsidRPr="004A032C">
        <w:rPr>
          <w:rFonts w:eastAsia="Calibri"/>
          <w:szCs w:val="22"/>
          <w:lang w:val="fr-FR" w:eastAsia="en-US"/>
        </w:rPr>
        <w:t>Organisation 1) assure les “services administratifs” des unions établies (article</w:t>
      </w:r>
      <w:r w:rsidR="00F47E56" w:rsidRPr="004A032C">
        <w:rPr>
          <w:rFonts w:eastAsia="Calibri"/>
          <w:szCs w:val="22"/>
          <w:lang w:val="fr-FR" w:eastAsia="en-US"/>
        </w:rPr>
        <w:t> </w:t>
      </w:r>
      <w:r w:rsidRPr="004A032C">
        <w:rPr>
          <w:rFonts w:eastAsia="Calibri"/>
          <w:szCs w:val="22"/>
          <w:lang w:val="fr-FR" w:eastAsia="en-US"/>
        </w:rPr>
        <w:t>4.ii)), 2) “peut accepter d</w:t>
      </w:r>
      <w:r w:rsidR="007379AD" w:rsidRPr="004A032C">
        <w:rPr>
          <w:rFonts w:eastAsia="Calibri"/>
          <w:szCs w:val="22"/>
          <w:lang w:val="fr-FR" w:eastAsia="en-US"/>
        </w:rPr>
        <w:t>’</w:t>
      </w:r>
      <w:r w:rsidRPr="004A032C">
        <w:rPr>
          <w:rFonts w:eastAsia="Calibri"/>
          <w:szCs w:val="22"/>
          <w:lang w:val="fr-FR" w:eastAsia="en-US"/>
        </w:rPr>
        <w:t>assumer…</w:t>
      </w:r>
      <w:r w:rsidR="00435956" w:rsidRPr="004A032C">
        <w:rPr>
          <w:rFonts w:eastAsia="Calibri"/>
          <w:szCs w:val="22"/>
          <w:lang w:val="fr-FR" w:eastAsia="en-US"/>
        </w:rPr>
        <w:t xml:space="preserve"> l</w:t>
      </w:r>
      <w:r w:rsidR="007379AD" w:rsidRPr="004A032C">
        <w:rPr>
          <w:rFonts w:eastAsia="Calibri"/>
          <w:szCs w:val="22"/>
          <w:lang w:val="fr-FR" w:eastAsia="en-US"/>
        </w:rPr>
        <w:t>’</w:t>
      </w:r>
      <w:r w:rsidRPr="004A032C">
        <w:rPr>
          <w:rFonts w:eastAsia="Calibri"/>
          <w:szCs w:val="22"/>
          <w:lang w:val="fr-FR" w:eastAsia="en-US"/>
        </w:rPr>
        <w:t xml:space="preserve">administration </w:t>
      </w:r>
      <w:r w:rsidR="000B5A3C" w:rsidRPr="004A032C">
        <w:rPr>
          <w:rFonts w:eastAsia="Calibri"/>
          <w:szCs w:val="22"/>
          <w:lang w:val="fr-FR" w:eastAsia="en-US"/>
        </w:rPr>
        <w:t xml:space="preserve">de tout autre engagement </w:t>
      </w:r>
      <w:r w:rsidRPr="004A032C">
        <w:rPr>
          <w:rFonts w:eastAsia="Calibri"/>
          <w:szCs w:val="22"/>
          <w:lang w:val="fr-FR" w:eastAsia="en-US"/>
        </w:rPr>
        <w:t>international</w:t>
      </w:r>
      <w:r w:rsidR="00435956" w:rsidRPr="004A032C">
        <w:rPr>
          <w:rFonts w:eastAsia="Calibri"/>
          <w:szCs w:val="22"/>
          <w:lang w:val="fr-FR" w:eastAsia="en-US"/>
        </w:rPr>
        <w:t>”</w:t>
      </w:r>
      <w:r w:rsidRPr="004A032C">
        <w:rPr>
          <w:rFonts w:eastAsia="Calibri"/>
          <w:szCs w:val="22"/>
          <w:lang w:val="fr-FR" w:eastAsia="en-US"/>
        </w:rPr>
        <w:t xml:space="preserve"> (article</w:t>
      </w:r>
      <w:r w:rsidR="00F47E56" w:rsidRPr="004A032C">
        <w:rPr>
          <w:rFonts w:eastAsia="Calibri"/>
          <w:szCs w:val="22"/>
          <w:lang w:val="fr-FR" w:eastAsia="en-US"/>
        </w:rPr>
        <w:t> </w:t>
      </w:r>
      <w:r w:rsidR="000F62F9" w:rsidRPr="004A032C">
        <w:rPr>
          <w:rFonts w:eastAsia="Calibri"/>
          <w:szCs w:val="22"/>
          <w:lang w:val="fr-FR" w:eastAsia="en-US"/>
        </w:rPr>
        <w:t>4.iii)), et </w:t>
      </w:r>
      <w:r w:rsidRPr="004A032C">
        <w:rPr>
          <w:rFonts w:eastAsia="Calibri"/>
          <w:szCs w:val="22"/>
          <w:lang w:val="fr-FR" w:eastAsia="en-US"/>
        </w:rPr>
        <w:t>3) “le cas échéant, procède à des enregistrements en la matière et publie les indications relatives à ces enregistrements” (article</w:t>
      </w:r>
      <w:r w:rsidR="00F47E56" w:rsidRPr="004A032C">
        <w:rPr>
          <w:rFonts w:eastAsia="Calibri"/>
          <w:szCs w:val="22"/>
          <w:lang w:val="fr-FR" w:eastAsia="en-US"/>
        </w:rPr>
        <w:t> </w:t>
      </w:r>
      <w:r w:rsidRPr="004A032C">
        <w:rPr>
          <w:rFonts w:eastAsia="Calibri"/>
          <w:szCs w:val="22"/>
          <w:lang w:val="fr-FR" w:eastAsia="en-US"/>
        </w:rPr>
        <w:t>4.vii)).</w:t>
      </w:r>
      <w:r w:rsidR="0040390C" w:rsidRPr="004A032C">
        <w:rPr>
          <w:rFonts w:eastAsia="Calibri"/>
          <w:szCs w:val="22"/>
          <w:lang w:val="fr-FR" w:eastAsia="en-US"/>
        </w:rPr>
        <w:t xml:space="preserve">  </w:t>
      </w:r>
      <w:r w:rsidR="00911EAF" w:rsidRPr="004A032C">
        <w:rPr>
          <w:rFonts w:eastAsia="Calibri"/>
          <w:szCs w:val="22"/>
          <w:lang w:val="fr-FR" w:eastAsia="en-US"/>
        </w:rPr>
        <w:t>La Convention instituant l</w:t>
      </w:r>
      <w:r w:rsidR="007379AD" w:rsidRPr="004A032C">
        <w:rPr>
          <w:rFonts w:eastAsia="Calibri"/>
          <w:szCs w:val="22"/>
          <w:lang w:val="fr-FR" w:eastAsia="en-US"/>
        </w:rPr>
        <w:t>’</w:t>
      </w:r>
      <w:r w:rsidR="00911EAF" w:rsidRPr="004A032C">
        <w:rPr>
          <w:rFonts w:eastAsia="Calibri"/>
          <w:szCs w:val="22"/>
          <w:lang w:val="fr-FR" w:eastAsia="en-US"/>
        </w:rPr>
        <w:t>OMPI ne stipule pas que l</w:t>
      </w:r>
      <w:r w:rsidR="007379AD" w:rsidRPr="004A032C">
        <w:rPr>
          <w:rFonts w:eastAsia="Calibri"/>
          <w:szCs w:val="22"/>
          <w:lang w:val="fr-FR" w:eastAsia="en-US"/>
        </w:rPr>
        <w:t>’</w:t>
      </w:r>
      <w:r w:rsidR="00911EAF" w:rsidRPr="004A032C">
        <w:rPr>
          <w:rFonts w:eastAsia="Calibri"/>
          <w:szCs w:val="22"/>
          <w:lang w:val="fr-FR" w:eastAsia="en-US"/>
        </w:rPr>
        <w:t>Organisation doit assumer ces fonctions mais laisse cette décision à la discrétion des membres de l</w:t>
      </w:r>
      <w:r w:rsidR="007379AD" w:rsidRPr="004A032C">
        <w:rPr>
          <w:rFonts w:eastAsia="Calibri"/>
          <w:szCs w:val="22"/>
          <w:lang w:val="fr-FR" w:eastAsia="en-US"/>
        </w:rPr>
        <w:t>’</w:t>
      </w:r>
      <w:r w:rsidR="00911EAF" w:rsidRPr="004A032C">
        <w:rPr>
          <w:rFonts w:eastAsia="Calibri"/>
          <w:szCs w:val="22"/>
          <w:lang w:val="fr-FR" w:eastAsia="en-US"/>
        </w:rPr>
        <w:t>OMPI.</w:t>
      </w:r>
      <w:r w:rsidR="0040390C" w:rsidRPr="004A032C">
        <w:rPr>
          <w:rFonts w:eastAsia="Calibri"/>
          <w:szCs w:val="22"/>
          <w:lang w:val="fr-FR" w:eastAsia="en-US"/>
        </w:rPr>
        <w:t xml:space="preserve">  </w:t>
      </w:r>
      <w:r w:rsidR="00A6155E" w:rsidRPr="004A032C">
        <w:rPr>
          <w:rFonts w:eastAsia="Calibri"/>
          <w:szCs w:val="22"/>
          <w:lang w:val="fr-FR" w:eastAsia="en-US"/>
        </w:rPr>
        <w:t>Un petit sous</w:t>
      </w:r>
      <w:r w:rsidR="00A24F52" w:rsidRPr="004A032C">
        <w:rPr>
          <w:rFonts w:eastAsia="Calibri"/>
          <w:szCs w:val="22"/>
          <w:lang w:val="fr-FR" w:eastAsia="en-US"/>
        </w:rPr>
        <w:noBreakHyphen/>
      </w:r>
      <w:r w:rsidR="00A6155E" w:rsidRPr="004A032C">
        <w:rPr>
          <w:rFonts w:eastAsia="Calibri"/>
          <w:szCs w:val="22"/>
          <w:lang w:val="fr-FR" w:eastAsia="en-US"/>
        </w:rPr>
        <w:t>ensemble de membres de l</w:t>
      </w:r>
      <w:r w:rsidR="007379AD" w:rsidRPr="004A032C">
        <w:rPr>
          <w:rFonts w:eastAsia="Calibri"/>
          <w:szCs w:val="22"/>
          <w:lang w:val="fr-FR" w:eastAsia="en-US"/>
        </w:rPr>
        <w:t>’</w:t>
      </w:r>
      <w:r w:rsidR="00A6155E" w:rsidRPr="004A032C">
        <w:rPr>
          <w:rFonts w:eastAsia="Calibri"/>
          <w:szCs w:val="22"/>
          <w:lang w:val="fr-FR" w:eastAsia="en-US"/>
        </w:rPr>
        <w:t>OMPI ne saurait engager les ressources de l</w:t>
      </w:r>
      <w:r w:rsidR="007379AD" w:rsidRPr="004A032C">
        <w:rPr>
          <w:rFonts w:eastAsia="Calibri"/>
          <w:szCs w:val="22"/>
          <w:lang w:val="fr-FR" w:eastAsia="en-US"/>
        </w:rPr>
        <w:t>’</w:t>
      </w:r>
      <w:r w:rsidR="00A6155E" w:rsidRPr="004A032C">
        <w:rPr>
          <w:rFonts w:eastAsia="Calibri"/>
          <w:szCs w:val="22"/>
          <w:lang w:val="fr-FR" w:eastAsia="en-US"/>
        </w:rPr>
        <w:t>Organisation pour l</w:t>
      </w:r>
      <w:r w:rsidR="007379AD" w:rsidRPr="004A032C">
        <w:rPr>
          <w:rFonts w:eastAsia="Calibri"/>
          <w:szCs w:val="22"/>
          <w:lang w:val="fr-FR" w:eastAsia="en-US"/>
        </w:rPr>
        <w:t>’</w:t>
      </w:r>
      <w:r w:rsidR="00D751D1" w:rsidRPr="004A032C">
        <w:rPr>
          <w:rFonts w:eastAsia="Calibri"/>
          <w:szCs w:val="22"/>
          <w:lang w:val="fr-FR" w:eastAsia="en-US"/>
        </w:rPr>
        <w:t>exercice</w:t>
      </w:r>
      <w:r w:rsidR="00A6155E" w:rsidRPr="004A032C">
        <w:rPr>
          <w:rFonts w:eastAsia="Calibri"/>
          <w:szCs w:val="22"/>
          <w:lang w:val="fr-FR" w:eastAsia="en-US"/>
        </w:rPr>
        <w:t xml:space="preserve"> de ces fonctions sans examen et approbation de la totalité des membres de l</w:t>
      </w:r>
      <w:r w:rsidR="007379AD" w:rsidRPr="004A032C">
        <w:rPr>
          <w:rFonts w:eastAsia="Calibri"/>
          <w:szCs w:val="22"/>
          <w:lang w:val="fr-FR" w:eastAsia="en-US"/>
        </w:rPr>
        <w:t>’</w:t>
      </w:r>
      <w:r w:rsidR="00A6155E" w:rsidRPr="004A032C">
        <w:rPr>
          <w:rFonts w:eastAsia="Calibri"/>
          <w:szCs w:val="22"/>
          <w:lang w:val="fr-FR" w:eastAsia="en-US"/>
        </w:rPr>
        <w:t>OMPI.</w:t>
      </w:r>
      <w:r w:rsidR="0040390C" w:rsidRPr="004A032C">
        <w:rPr>
          <w:rFonts w:eastAsia="Calibri"/>
          <w:szCs w:val="22"/>
          <w:lang w:val="fr-FR" w:eastAsia="en-US"/>
        </w:rPr>
        <w:t xml:space="preserve">  </w:t>
      </w:r>
      <w:r w:rsidR="00A6155E" w:rsidRPr="004A032C">
        <w:rPr>
          <w:rFonts w:eastAsia="Calibri"/>
          <w:szCs w:val="22"/>
          <w:lang w:val="fr-FR" w:eastAsia="en-US"/>
        </w:rPr>
        <w:t xml:space="preserve">Le Directeur général doit proposer des mesures de mise en </w:t>
      </w:r>
      <w:r w:rsidR="000B5A3C" w:rsidRPr="004A032C">
        <w:rPr>
          <w:rFonts w:eastAsia="Calibri"/>
          <w:szCs w:val="22"/>
          <w:lang w:val="fr-FR" w:eastAsia="en-US"/>
        </w:rPr>
        <w:t>œuvre</w:t>
      </w:r>
      <w:r w:rsidR="00A6155E" w:rsidRPr="004A032C">
        <w:rPr>
          <w:rFonts w:eastAsia="Calibri"/>
          <w:szCs w:val="22"/>
          <w:lang w:val="fr-FR" w:eastAsia="en-US"/>
        </w:rPr>
        <w:t xml:space="preserve"> que les assemblées concernées doivent approuver</w:t>
      </w:r>
      <w:r w:rsidR="00A6155E" w:rsidRPr="004A032C">
        <w:rPr>
          <w:rStyle w:val="FootnoteReference"/>
          <w:rFonts w:eastAsia="Calibri"/>
          <w:szCs w:val="22"/>
          <w:lang w:val="fr-FR" w:eastAsia="en-US"/>
        </w:rPr>
        <w:footnoteReference w:id="7"/>
      </w:r>
      <w:r w:rsidR="00A6155E" w:rsidRPr="004A032C">
        <w:rPr>
          <w:rFonts w:eastAsia="Calibri"/>
          <w:szCs w:val="22"/>
          <w:lang w:val="fr-FR" w:eastAsia="en-US"/>
        </w:rPr>
        <w:t>.</w:t>
      </w:r>
    </w:p>
    <w:p w:rsidR="00DA0F7A" w:rsidRPr="004A032C" w:rsidRDefault="00DA0F7A" w:rsidP="004A032C">
      <w:pPr>
        <w:rPr>
          <w:rFonts w:eastAsia="Calibri"/>
          <w:szCs w:val="22"/>
          <w:lang w:val="fr-FR" w:eastAsia="en-US"/>
        </w:rPr>
      </w:pPr>
    </w:p>
    <w:p w:rsidR="007379AD" w:rsidRPr="004A032C" w:rsidRDefault="00496DED" w:rsidP="004A032C">
      <w:pPr>
        <w:rPr>
          <w:rFonts w:eastAsia="Calibri"/>
          <w:szCs w:val="22"/>
          <w:lang w:val="fr-FR" w:eastAsia="en-US"/>
        </w:rPr>
      </w:pPr>
      <w:r w:rsidRPr="004A032C">
        <w:rPr>
          <w:rFonts w:eastAsia="Calibri"/>
          <w:szCs w:val="22"/>
          <w:lang w:val="fr-FR" w:eastAsia="en-US"/>
        </w:rPr>
        <w:t>L</w:t>
      </w:r>
      <w:r w:rsidR="007379AD" w:rsidRPr="004A032C">
        <w:rPr>
          <w:rFonts w:eastAsia="Calibri"/>
          <w:szCs w:val="22"/>
          <w:lang w:val="fr-FR" w:eastAsia="en-US"/>
        </w:rPr>
        <w:t>’</w:t>
      </w:r>
      <w:r w:rsidRPr="004A032C">
        <w:rPr>
          <w:rFonts w:eastAsia="Calibri"/>
          <w:szCs w:val="22"/>
          <w:lang w:val="fr-FR" w:eastAsia="en-US"/>
        </w:rPr>
        <w:t>article</w:t>
      </w:r>
      <w:r w:rsidR="00F47E56" w:rsidRPr="004A032C">
        <w:rPr>
          <w:rFonts w:eastAsia="Calibri"/>
          <w:szCs w:val="22"/>
          <w:lang w:val="fr-FR" w:eastAsia="en-US"/>
        </w:rPr>
        <w:t> </w:t>
      </w:r>
      <w:r w:rsidRPr="004A032C">
        <w:rPr>
          <w:rFonts w:eastAsia="Calibri"/>
          <w:szCs w:val="22"/>
          <w:lang w:val="fr-FR" w:eastAsia="en-US"/>
        </w:rPr>
        <w:t>4.ii) traite des services administratifs des “unions particulières établies en relation” avec l</w:t>
      </w:r>
      <w:r w:rsidR="007379AD" w:rsidRPr="004A032C">
        <w:rPr>
          <w:rFonts w:eastAsia="Calibri"/>
          <w:szCs w:val="22"/>
          <w:lang w:val="fr-FR" w:eastAsia="en-US"/>
        </w:rPr>
        <w:t>’</w:t>
      </w:r>
      <w:r w:rsidRPr="004A032C">
        <w:rPr>
          <w:rFonts w:eastAsia="Calibri"/>
          <w:szCs w:val="22"/>
          <w:lang w:val="fr-FR" w:eastAsia="en-US"/>
        </w:rPr>
        <w:t>Union de Paris, c</w:t>
      </w:r>
      <w:r w:rsidR="007379AD" w:rsidRPr="004A032C">
        <w:rPr>
          <w:rFonts w:eastAsia="Calibri"/>
          <w:szCs w:val="22"/>
          <w:lang w:val="fr-FR" w:eastAsia="en-US"/>
        </w:rPr>
        <w:t>’</w:t>
      </w:r>
      <w:r w:rsidRPr="004A032C">
        <w:rPr>
          <w:rFonts w:eastAsia="Calibri"/>
          <w:szCs w:val="22"/>
          <w:lang w:val="fr-FR" w:eastAsia="en-US"/>
        </w:rPr>
        <w:t>est</w:t>
      </w:r>
      <w:r w:rsidR="00A24F52" w:rsidRPr="004A032C">
        <w:rPr>
          <w:rFonts w:eastAsia="Calibri"/>
          <w:szCs w:val="22"/>
          <w:lang w:val="fr-FR" w:eastAsia="en-US"/>
        </w:rPr>
        <w:noBreakHyphen/>
      </w:r>
      <w:r w:rsidRPr="004A032C">
        <w:rPr>
          <w:rFonts w:eastAsia="Calibri"/>
          <w:szCs w:val="22"/>
          <w:lang w:val="fr-FR" w:eastAsia="en-US"/>
        </w:rPr>
        <w:t>à</w:t>
      </w:r>
      <w:r w:rsidR="00A24F52" w:rsidRPr="004A032C">
        <w:rPr>
          <w:rFonts w:eastAsia="Calibri"/>
          <w:szCs w:val="22"/>
          <w:lang w:val="fr-FR" w:eastAsia="en-US"/>
        </w:rPr>
        <w:noBreakHyphen/>
      </w:r>
      <w:r w:rsidRPr="004A032C">
        <w:rPr>
          <w:rFonts w:eastAsia="Calibri"/>
          <w:szCs w:val="22"/>
          <w:lang w:val="fr-FR" w:eastAsia="en-US"/>
        </w:rPr>
        <w:t xml:space="preserve">dire celles </w:t>
      </w:r>
      <w:r w:rsidRPr="004A032C">
        <w:rPr>
          <w:rFonts w:eastAsia="Calibri"/>
          <w:b/>
          <w:szCs w:val="22"/>
          <w:lang w:val="fr-FR" w:eastAsia="en-US"/>
        </w:rPr>
        <w:t>qui existaient au moment de la conclusion de la Convention instituant l</w:t>
      </w:r>
      <w:r w:rsidR="007379AD" w:rsidRPr="004A032C">
        <w:rPr>
          <w:rFonts w:eastAsia="Calibri"/>
          <w:b/>
          <w:szCs w:val="22"/>
          <w:lang w:val="fr-FR" w:eastAsia="en-US"/>
        </w:rPr>
        <w:t>’</w:t>
      </w:r>
      <w:r w:rsidRPr="004A032C">
        <w:rPr>
          <w:rFonts w:eastAsia="Calibri"/>
          <w:b/>
          <w:szCs w:val="22"/>
          <w:lang w:val="fr-FR" w:eastAsia="en-US"/>
        </w:rPr>
        <w:t>OMPI</w:t>
      </w:r>
      <w:r w:rsidRPr="004A032C">
        <w:rPr>
          <w:rStyle w:val="FootnoteReference"/>
          <w:rFonts w:eastAsia="Calibri"/>
          <w:szCs w:val="22"/>
          <w:lang w:val="fr-FR" w:eastAsia="en-US"/>
        </w:rPr>
        <w:footnoteReference w:id="8"/>
      </w:r>
      <w:r w:rsidRPr="004A032C">
        <w:rPr>
          <w:rFonts w:eastAsia="Calibri"/>
          <w:szCs w:val="22"/>
          <w:lang w:val="fr-FR" w:eastAsia="en-US"/>
        </w:rPr>
        <w:t>.</w:t>
      </w:r>
      <w:r w:rsidR="0040390C" w:rsidRPr="004A032C">
        <w:rPr>
          <w:rFonts w:eastAsia="Calibri"/>
          <w:szCs w:val="22"/>
          <w:lang w:val="fr-FR" w:eastAsia="en-US"/>
        </w:rPr>
        <w:t xml:space="preserve"> </w:t>
      </w:r>
      <w:r w:rsidR="00D751D1" w:rsidRPr="004A032C">
        <w:rPr>
          <w:rFonts w:eastAsia="Calibri"/>
          <w:szCs w:val="22"/>
          <w:lang w:val="fr-FR" w:eastAsia="en-US"/>
        </w:rPr>
        <w:t xml:space="preserve"> </w:t>
      </w:r>
      <w:r w:rsidR="00AF2D2E" w:rsidRPr="004A032C">
        <w:rPr>
          <w:rFonts w:eastAsia="Calibri"/>
          <w:szCs w:val="22"/>
          <w:lang w:val="fr-FR" w:eastAsia="en-US"/>
        </w:rPr>
        <w:t>L</w:t>
      </w:r>
      <w:r w:rsidR="007379AD" w:rsidRPr="004A032C">
        <w:rPr>
          <w:rFonts w:eastAsia="Calibri"/>
          <w:szCs w:val="22"/>
          <w:lang w:val="fr-FR" w:eastAsia="en-US"/>
        </w:rPr>
        <w:t>’</w:t>
      </w:r>
      <w:r w:rsidR="00AF2D2E" w:rsidRPr="004A032C">
        <w:rPr>
          <w:rFonts w:eastAsia="Calibri"/>
          <w:szCs w:val="22"/>
          <w:lang w:val="fr-FR" w:eastAsia="en-US"/>
        </w:rPr>
        <w:t>union créée par l</w:t>
      </w:r>
      <w:r w:rsidR="007379AD" w:rsidRPr="004A032C">
        <w:rPr>
          <w:rFonts w:eastAsia="Calibri"/>
          <w:szCs w:val="22"/>
          <w:lang w:val="fr-FR" w:eastAsia="en-US"/>
        </w:rPr>
        <w:t>’</w:t>
      </w:r>
      <w:r w:rsidR="00AF2D2E" w:rsidRPr="004A032C">
        <w:rPr>
          <w:rFonts w:eastAsia="Calibri"/>
          <w:szCs w:val="22"/>
          <w:lang w:val="fr-FR" w:eastAsia="en-US"/>
        </w:rPr>
        <w:t>Acte de Genève de l</w:t>
      </w:r>
      <w:r w:rsidR="007379AD" w:rsidRPr="004A032C">
        <w:rPr>
          <w:rFonts w:eastAsia="Calibri"/>
          <w:szCs w:val="22"/>
          <w:lang w:val="fr-FR" w:eastAsia="en-US"/>
        </w:rPr>
        <w:t>’</w:t>
      </w:r>
      <w:r w:rsidR="00AF2D2E" w:rsidRPr="004A032C">
        <w:rPr>
          <w:rFonts w:eastAsia="Calibri"/>
          <w:szCs w:val="22"/>
          <w:lang w:val="fr-FR" w:eastAsia="en-US"/>
        </w:rPr>
        <w:t>Arrangement de Lisbonne n</w:t>
      </w:r>
      <w:r w:rsidR="007379AD" w:rsidRPr="004A032C">
        <w:rPr>
          <w:rFonts w:eastAsia="Calibri"/>
          <w:szCs w:val="22"/>
          <w:lang w:val="fr-FR" w:eastAsia="en-US"/>
        </w:rPr>
        <w:t>’</w:t>
      </w:r>
      <w:r w:rsidR="00AF2D2E" w:rsidRPr="004A032C">
        <w:rPr>
          <w:rFonts w:eastAsia="Calibri"/>
          <w:szCs w:val="22"/>
          <w:lang w:val="fr-FR" w:eastAsia="en-US"/>
        </w:rPr>
        <w:t>a pas encore été établie.</w:t>
      </w:r>
      <w:r w:rsidR="0040390C" w:rsidRPr="004A032C">
        <w:rPr>
          <w:rFonts w:eastAsia="Calibri"/>
          <w:szCs w:val="22"/>
          <w:lang w:val="fr-FR" w:eastAsia="en-US"/>
        </w:rPr>
        <w:t xml:space="preserve">  </w:t>
      </w:r>
      <w:r w:rsidR="00785384" w:rsidRPr="004A032C">
        <w:rPr>
          <w:rFonts w:eastAsia="Calibri"/>
          <w:szCs w:val="22"/>
          <w:lang w:val="fr-FR" w:eastAsia="en-US"/>
        </w:rPr>
        <w:t>Étant donné que tous les membres de l</w:t>
      </w:r>
      <w:r w:rsidR="007379AD" w:rsidRPr="004A032C">
        <w:rPr>
          <w:rFonts w:eastAsia="Calibri"/>
          <w:szCs w:val="22"/>
          <w:lang w:val="fr-FR" w:eastAsia="en-US"/>
        </w:rPr>
        <w:t>’</w:t>
      </w:r>
      <w:r w:rsidR="00785384" w:rsidRPr="004A032C">
        <w:rPr>
          <w:rFonts w:eastAsia="Calibri"/>
          <w:szCs w:val="22"/>
          <w:lang w:val="fr-FR" w:eastAsia="en-US"/>
        </w:rPr>
        <w:t>OMPI étaient invités à négocier la Convention instituant l</w:t>
      </w:r>
      <w:r w:rsidR="007379AD" w:rsidRPr="004A032C">
        <w:rPr>
          <w:rFonts w:eastAsia="Calibri"/>
          <w:szCs w:val="22"/>
          <w:lang w:val="fr-FR" w:eastAsia="en-US"/>
        </w:rPr>
        <w:t>’</w:t>
      </w:r>
      <w:r w:rsidR="00785384" w:rsidRPr="004A032C">
        <w:rPr>
          <w:rFonts w:eastAsia="Calibri"/>
          <w:szCs w:val="22"/>
          <w:lang w:val="fr-FR" w:eastAsia="en-US"/>
        </w:rPr>
        <w:t xml:space="preserve">OMPI, tous étaient </w:t>
      </w:r>
      <w:proofErr w:type="gramStart"/>
      <w:r w:rsidR="00785384" w:rsidRPr="004A032C">
        <w:rPr>
          <w:rFonts w:eastAsia="Calibri"/>
          <w:szCs w:val="22"/>
          <w:lang w:val="fr-FR" w:eastAsia="en-US"/>
        </w:rPr>
        <w:t>partie</w:t>
      </w:r>
      <w:r w:rsidR="00435956" w:rsidRPr="004A032C">
        <w:rPr>
          <w:rFonts w:eastAsia="Calibri"/>
          <w:szCs w:val="22"/>
          <w:lang w:val="fr-FR" w:eastAsia="en-US"/>
        </w:rPr>
        <w:t>s</w:t>
      </w:r>
      <w:proofErr w:type="gramEnd"/>
      <w:r w:rsidR="00435956" w:rsidRPr="004A032C">
        <w:rPr>
          <w:rFonts w:eastAsia="Calibri"/>
          <w:szCs w:val="22"/>
          <w:lang w:val="fr-FR" w:eastAsia="en-US"/>
        </w:rPr>
        <w:t xml:space="preserve"> </w:t>
      </w:r>
      <w:r w:rsidR="00785384" w:rsidRPr="004A032C">
        <w:rPr>
          <w:rFonts w:eastAsia="Calibri"/>
          <w:szCs w:val="22"/>
          <w:lang w:val="fr-FR" w:eastAsia="en-US"/>
        </w:rPr>
        <w:t xml:space="preserve">à la décision selon laquelle </w:t>
      </w:r>
      <w:r w:rsidR="00785384" w:rsidRPr="004A032C">
        <w:rPr>
          <w:rFonts w:eastAsia="Calibri"/>
          <w:szCs w:val="22"/>
          <w:lang w:val="fr-FR" w:eastAsia="en-US"/>
        </w:rPr>
        <w:lastRenderedPageBreak/>
        <w:t>les unions déjà établies devraient être administrées par l</w:t>
      </w:r>
      <w:r w:rsidR="007379AD" w:rsidRPr="004A032C">
        <w:rPr>
          <w:rFonts w:eastAsia="Calibri"/>
          <w:szCs w:val="22"/>
          <w:lang w:val="fr-FR" w:eastAsia="en-US"/>
        </w:rPr>
        <w:t>’</w:t>
      </w:r>
      <w:r w:rsidR="00785384" w:rsidRPr="004A032C">
        <w:rPr>
          <w:rFonts w:eastAsia="Calibri"/>
          <w:szCs w:val="22"/>
          <w:lang w:val="fr-FR" w:eastAsia="en-US"/>
        </w:rPr>
        <w:t>OMPI.</w:t>
      </w:r>
      <w:r w:rsidR="0040390C" w:rsidRPr="004A032C">
        <w:rPr>
          <w:rFonts w:eastAsia="Calibri"/>
          <w:szCs w:val="22"/>
          <w:lang w:val="fr-FR" w:eastAsia="en-US"/>
        </w:rPr>
        <w:t xml:space="preserve">  </w:t>
      </w:r>
      <w:r w:rsidR="00D75D3A" w:rsidRPr="004A032C">
        <w:rPr>
          <w:rFonts w:eastAsia="Calibri"/>
          <w:szCs w:val="22"/>
          <w:lang w:val="fr-FR" w:eastAsia="en-US"/>
        </w:rPr>
        <w:t>Les arrangements conclus après la Convention instituant l</w:t>
      </w:r>
      <w:r w:rsidR="007379AD" w:rsidRPr="004A032C">
        <w:rPr>
          <w:rFonts w:eastAsia="Calibri"/>
          <w:szCs w:val="22"/>
          <w:lang w:val="fr-FR" w:eastAsia="en-US"/>
        </w:rPr>
        <w:t>’</w:t>
      </w:r>
      <w:r w:rsidR="00D75D3A" w:rsidRPr="004A032C">
        <w:rPr>
          <w:rFonts w:eastAsia="Calibri"/>
          <w:szCs w:val="22"/>
          <w:lang w:val="fr-FR" w:eastAsia="en-US"/>
        </w:rPr>
        <w:t>OMPI ne jouissent pas de cette présomption, s</w:t>
      </w:r>
      <w:r w:rsidR="007379AD" w:rsidRPr="004A032C">
        <w:rPr>
          <w:rFonts w:eastAsia="Calibri"/>
          <w:szCs w:val="22"/>
          <w:lang w:val="fr-FR" w:eastAsia="en-US"/>
        </w:rPr>
        <w:t>’</w:t>
      </w:r>
      <w:r w:rsidR="00D75D3A" w:rsidRPr="004A032C">
        <w:rPr>
          <w:rFonts w:eastAsia="Calibri"/>
          <w:szCs w:val="22"/>
          <w:lang w:val="fr-FR" w:eastAsia="en-US"/>
        </w:rPr>
        <w:t>agissant en particulier de ceux qui ont été négociés par une fraction seulement des membres de l</w:t>
      </w:r>
      <w:r w:rsidR="007379AD" w:rsidRPr="004A032C">
        <w:rPr>
          <w:rFonts w:eastAsia="Calibri"/>
          <w:szCs w:val="22"/>
          <w:lang w:val="fr-FR" w:eastAsia="en-US"/>
        </w:rPr>
        <w:t>’</w:t>
      </w:r>
      <w:r w:rsidR="00D75D3A" w:rsidRPr="004A032C">
        <w:rPr>
          <w:rFonts w:eastAsia="Calibri"/>
          <w:szCs w:val="22"/>
          <w:lang w:val="fr-FR" w:eastAsia="en-US"/>
        </w:rPr>
        <w:t>Union de Paris ou de l</w:t>
      </w:r>
      <w:r w:rsidR="007379AD" w:rsidRPr="004A032C">
        <w:rPr>
          <w:rFonts w:eastAsia="Calibri"/>
          <w:szCs w:val="22"/>
          <w:lang w:val="fr-FR" w:eastAsia="en-US"/>
        </w:rPr>
        <w:t>’</w:t>
      </w:r>
      <w:r w:rsidR="00D75D3A" w:rsidRPr="004A032C">
        <w:rPr>
          <w:rFonts w:eastAsia="Calibri"/>
          <w:szCs w:val="22"/>
          <w:lang w:val="fr-FR" w:eastAsia="en-US"/>
        </w:rPr>
        <w:t>Union de Berne, selon le cas, ou des membres de l</w:t>
      </w:r>
      <w:r w:rsidR="007379AD" w:rsidRPr="004A032C">
        <w:rPr>
          <w:rFonts w:eastAsia="Calibri"/>
          <w:szCs w:val="22"/>
          <w:lang w:val="fr-FR" w:eastAsia="en-US"/>
        </w:rPr>
        <w:t>’</w:t>
      </w:r>
      <w:r w:rsidR="00D75D3A" w:rsidRPr="004A032C">
        <w:rPr>
          <w:rFonts w:eastAsia="Calibri"/>
          <w:szCs w:val="22"/>
          <w:lang w:val="fr-FR" w:eastAsia="en-US"/>
        </w:rPr>
        <w:t>OMPI, avec en outre la participation d</w:t>
      </w:r>
      <w:r w:rsidR="007379AD" w:rsidRPr="004A032C">
        <w:rPr>
          <w:rFonts w:eastAsia="Calibri"/>
          <w:szCs w:val="22"/>
          <w:lang w:val="fr-FR" w:eastAsia="en-US"/>
        </w:rPr>
        <w:t>’</w:t>
      </w:r>
      <w:r w:rsidR="00D751D1" w:rsidRPr="004A032C">
        <w:rPr>
          <w:rFonts w:eastAsia="Calibri"/>
          <w:szCs w:val="22"/>
          <w:lang w:val="fr-FR" w:eastAsia="en-US"/>
        </w:rPr>
        <w:t xml:space="preserve">autres </w:t>
      </w:r>
      <w:r w:rsidR="00D75D3A" w:rsidRPr="004A032C">
        <w:rPr>
          <w:rFonts w:eastAsia="Calibri"/>
          <w:szCs w:val="22"/>
          <w:lang w:val="fr-FR" w:eastAsia="en-US"/>
        </w:rPr>
        <w:t>entités.</w:t>
      </w:r>
      <w:r w:rsidR="0040390C" w:rsidRPr="004A032C">
        <w:rPr>
          <w:rFonts w:eastAsia="Calibri"/>
          <w:szCs w:val="22"/>
          <w:lang w:val="fr-FR" w:eastAsia="en-US"/>
        </w:rPr>
        <w:t xml:space="preserve">  </w:t>
      </w:r>
      <w:r w:rsidR="005D12EB" w:rsidRPr="004A032C">
        <w:rPr>
          <w:rFonts w:eastAsia="Calibri"/>
          <w:szCs w:val="22"/>
          <w:lang w:val="fr-FR" w:eastAsia="en-US"/>
        </w:rPr>
        <w:t>Même si les membres de l</w:t>
      </w:r>
      <w:r w:rsidR="007379AD" w:rsidRPr="004A032C">
        <w:rPr>
          <w:rFonts w:eastAsia="Calibri"/>
          <w:szCs w:val="22"/>
          <w:lang w:val="fr-FR" w:eastAsia="en-US"/>
        </w:rPr>
        <w:t>’</w:t>
      </w:r>
      <w:r w:rsidR="005D12EB" w:rsidRPr="004A032C">
        <w:rPr>
          <w:rFonts w:eastAsia="Calibri"/>
          <w:szCs w:val="22"/>
          <w:lang w:val="fr-FR" w:eastAsia="en-US"/>
        </w:rPr>
        <w:t xml:space="preserve">Union de Lisbonne peuvent </w:t>
      </w:r>
      <w:r w:rsidR="00D751D1" w:rsidRPr="004A032C">
        <w:rPr>
          <w:rFonts w:eastAsia="Calibri"/>
          <w:szCs w:val="22"/>
          <w:lang w:val="fr-FR" w:eastAsia="en-US"/>
        </w:rPr>
        <w:t>consentir</w:t>
      </w:r>
      <w:r w:rsidR="005D12EB" w:rsidRPr="004A032C">
        <w:rPr>
          <w:rFonts w:eastAsia="Calibri"/>
          <w:szCs w:val="22"/>
          <w:lang w:val="fr-FR" w:eastAsia="en-US"/>
        </w:rPr>
        <w:t xml:space="preserve"> à toute partie contractante du nouvel Acte de Genève le droit de faire partie de leur union (comme l</w:t>
      </w:r>
      <w:r w:rsidR="007379AD" w:rsidRPr="004A032C">
        <w:rPr>
          <w:rFonts w:eastAsia="Calibri"/>
          <w:szCs w:val="22"/>
          <w:lang w:val="fr-FR" w:eastAsia="en-US"/>
        </w:rPr>
        <w:t>’</w:t>
      </w:r>
      <w:r w:rsidR="005D12EB" w:rsidRPr="004A032C">
        <w:rPr>
          <w:rFonts w:eastAsia="Calibri"/>
          <w:szCs w:val="22"/>
          <w:lang w:val="fr-FR" w:eastAsia="en-US"/>
        </w:rPr>
        <w:t>entend l</w:t>
      </w:r>
      <w:r w:rsidR="007379AD" w:rsidRPr="004A032C">
        <w:rPr>
          <w:rFonts w:eastAsia="Calibri"/>
          <w:szCs w:val="22"/>
          <w:lang w:val="fr-FR" w:eastAsia="en-US"/>
        </w:rPr>
        <w:t>’</w:t>
      </w:r>
      <w:r w:rsidR="005D12EB" w:rsidRPr="004A032C">
        <w:rPr>
          <w:rFonts w:eastAsia="Calibri"/>
          <w:szCs w:val="22"/>
          <w:lang w:val="fr-FR" w:eastAsia="en-US"/>
        </w:rPr>
        <w:t>article</w:t>
      </w:r>
      <w:r w:rsidR="00F47E56" w:rsidRPr="004A032C">
        <w:rPr>
          <w:rFonts w:eastAsia="Calibri"/>
          <w:szCs w:val="22"/>
          <w:lang w:val="fr-FR" w:eastAsia="en-US"/>
        </w:rPr>
        <w:t> </w:t>
      </w:r>
      <w:r w:rsidR="005D12EB" w:rsidRPr="004A032C">
        <w:rPr>
          <w:rFonts w:eastAsia="Calibri"/>
          <w:szCs w:val="22"/>
          <w:lang w:val="fr-FR" w:eastAsia="en-US"/>
        </w:rPr>
        <w:t>21 de l</w:t>
      </w:r>
      <w:r w:rsidR="007379AD" w:rsidRPr="004A032C">
        <w:rPr>
          <w:rFonts w:eastAsia="Calibri"/>
          <w:szCs w:val="22"/>
          <w:lang w:val="fr-FR" w:eastAsia="en-US"/>
        </w:rPr>
        <w:t>’</w:t>
      </w:r>
      <w:r w:rsidR="005D12EB" w:rsidRPr="004A032C">
        <w:rPr>
          <w:rFonts w:eastAsia="Calibri"/>
          <w:szCs w:val="22"/>
          <w:lang w:val="fr-FR" w:eastAsia="en-US"/>
        </w:rPr>
        <w:t>Acte de Genève), l</w:t>
      </w:r>
      <w:r w:rsidR="007379AD" w:rsidRPr="004A032C">
        <w:rPr>
          <w:rFonts w:eastAsia="Calibri"/>
          <w:szCs w:val="22"/>
          <w:lang w:val="fr-FR" w:eastAsia="en-US"/>
        </w:rPr>
        <w:t>’</w:t>
      </w:r>
      <w:r w:rsidR="005D12EB" w:rsidRPr="004A032C">
        <w:rPr>
          <w:rFonts w:eastAsia="Calibri"/>
          <w:szCs w:val="22"/>
          <w:lang w:val="fr-FR" w:eastAsia="en-US"/>
        </w:rPr>
        <w:t>article</w:t>
      </w:r>
      <w:r w:rsidR="00F47E56" w:rsidRPr="004A032C">
        <w:rPr>
          <w:rFonts w:eastAsia="Calibri"/>
          <w:szCs w:val="22"/>
          <w:lang w:val="fr-FR" w:eastAsia="en-US"/>
        </w:rPr>
        <w:t> </w:t>
      </w:r>
      <w:r w:rsidR="005D12EB" w:rsidRPr="004A032C">
        <w:rPr>
          <w:rFonts w:eastAsia="Calibri"/>
          <w:szCs w:val="22"/>
          <w:lang w:val="fr-FR" w:eastAsia="en-US"/>
        </w:rPr>
        <w:t>4.ii) de la Convention instituant l</w:t>
      </w:r>
      <w:r w:rsidR="007379AD" w:rsidRPr="004A032C">
        <w:rPr>
          <w:rFonts w:eastAsia="Calibri"/>
          <w:szCs w:val="22"/>
          <w:lang w:val="fr-FR" w:eastAsia="en-US"/>
        </w:rPr>
        <w:t>’</w:t>
      </w:r>
      <w:r w:rsidR="005D12EB" w:rsidRPr="004A032C">
        <w:rPr>
          <w:rFonts w:eastAsia="Calibri"/>
          <w:szCs w:val="22"/>
          <w:lang w:val="fr-FR" w:eastAsia="en-US"/>
        </w:rPr>
        <w:t>OMPI ne saurait être interprété comme primant sur le reste de la Convention instituant l</w:t>
      </w:r>
      <w:r w:rsidR="007379AD" w:rsidRPr="004A032C">
        <w:rPr>
          <w:rFonts w:eastAsia="Calibri"/>
          <w:szCs w:val="22"/>
          <w:lang w:val="fr-FR" w:eastAsia="en-US"/>
        </w:rPr>
        <w:t>’</w:t>
      </w:r>
      <w:r w:rsidR="005D12EB" w:rsidRPr="004A032C">
        <w:rPr>
          <w:rFonts w:eastAsia="Calibri"/>
          <w:szCs w:val="22"/>
          <w:lang w:val="fr-FR" w:eastAsia="en-US"/>
        </w:rPr>
        <w:t>OMPI, qui confère aux membres de l</w:t>
      </w:r>
      <w:r w:rsidR="007379AD" w:rsidRPr="004A032C">
        <w:rPr>
          <w:rFonts w:eastAsia="Calibri"/>
          <w:szCs w:val="22"/>
          <w:lang w:val="fr-FR" w:eastAsia="en-US"/>
        </w:rPr>
        <w:t>’</w:t>
      </w:r>
      <w:r w:rsidR="005D12EB" w:rsidRPr="004A032C">
        <w:rPr>
          <w:rFonts w:eastAsia="Calibri"/>
          <w:szCs w:val="22"/>
          <w:lang w:val="fr-FR" w:eastAsia="en-US"/>
        </w:rPr>
        <w:t>OMPI la faculté de décider des tâches administratives, des mesures concernant l</w:t>
      </w:r>
      <w:r w:rsidR="007379AD" w:rsidRPr="004A032C">
        <w:rPr>
          <w:rFonts w:eastAsia="Calibri"/>
          <w:szCs w:val="22"/>
          <w:lang w:val="fr-FR" w:eastAsia="en-US"/>
        </w:rPr>
        <w:t>’</w:t>
      </w:r>
      <w:r w:rsidR="005D12EB" w:rsidRPr="004A032C">
        <w:rPr>
          <w:rFonts w:eastAsia="Calibri"/>
          <w:szCs w:val="22"/>
          <w:lang w:val="fr-FR" w:eastAsia="en-US"/>
        </w:rPr>
        <w:t>administration des arrangements internationaux, des programmes et budgets de l</w:t>
      </w:r>
      <w:r w:rsidR="007379AD" w:rsidRPr="004A032C">
        <w:rPr>
          <w:rFonts w:eastAsia="Calibri"/>
          <w:szCs w:val="22"/>
          <w:lang w:val="fr-FR" w:eastAsia="en-US"/>
        </w:rPr>
        <w:t>’</w:t>
      </w:r>
      <w:r w:rsidR="005D12EB" w:rsidRPr="004A032C">
        <w:rPr>
          <w:rFonts w:eastAsia="Calibri"/>
          <w:szCs w:val="22"/>
          <w:lang w:val="fr-FR" w:eastAsia="en-US"/>
        </w:rPr>
        <w:t>Organisation, etc.</w:t>
      </w:r>
    </w:p>
    <w:p w:rsidR="000B5A3C" w:rsidRPr="004A032C" w:rsidRDefault="000B5A3C" w:rsidP="004A032C">
      <w:pPr>
        <w:rPr>
          <w:rFonts w:eastAsia="Calibri"/>
          <w:szCs w:val="22"/>
          <w:lang w:val="fr-FR" w:eastAsia="en-US"/>
        </w:rPr>
      </w:pPr>
    </w:p>
    <w:p w:rsidR="00DA0F7A" w:rsidRPr="004A032C" w:rsidRDefault="005D12EB" w:rsidP="004A032C">
      <w:pPr>
        <w:rPr>
          <w:rFonts w:eastAsia="Calibri"/>
          <w:szCs w:val="22"/>
          <w:lang w:val="fr-FR" w:eastAsia="en-US"/>
        </w:rPr>
      </w:pPr>
      <w:r w:rsidRPr="004A032C">
        <w:rPr>
          <w:rFonts w:eastAsia="Calibri"/>
          <w:szCs w:val="22"/>
          <w:lang w:val="fr-FR" w:eastAsia="en-US"/>
        </w:rPr>
        <w:t>L</w:t>
      </w:r>
      <w:r w:rsidR="007379AD" w:rsidRPr="004A032C">
        <w:rPr>
          <w:rFonts w:eastAsia="Calibri"/>
          <w:szCs w:val="22"/>
          <w:lang w:val="fr-FR" w:eastAsia="en-US"/>
        </w:rPr>
        <w:t>’</w:t>
      </w:r>
      <w:r w:rsidRPr="004A032C">
        <w:rPr>
          <w:rFonts w:eastAsia="Calibri"/>
          <w:szCs w:val="22"/>
          <w:lang w:val="fr-FR" w:eastAsia="en-US"/>
        </w:rPr>
        <w:t>article</w:t>
      </w:r>
      <w:r w:rsidR="00F47E56" w:rsidRPr="004A032C">
        <w:rPr>
          <w:rFonts w:eastAsia="Calibri"/>
          <w:szCs w:val="22"/>
          <w:lang w:val="fr-FR" w:eastAsia="en-US"/>
        </w:rPr>
        <w:t> </w:t>
      </w:r>
      <w:r w:rsidRPr="004A032C">
        <w:rPr>
          <w:rFonts w:eastAsia="Calibri"/>
          <w:szCs w:val="22"/>
          <w:lang w:val="fr-FR" w:eastAsia="en-US"/>
        </w:rPr>
        <w:t>4.iii) prévoit que l</w:t>
      </w:r>
      <w:r w:rsidR="007379AD" w:rsidRPr="004A032C">
        <w:rPr>
          <w:rFonts w:eastAsia="Calibri"/>
          <w:szCs w:val="22"/>
          <w:lang w:val="fr-FR" w:eastAsia="en-US"/>
        </w:rPr>
        <w:t>’</w:t>
      </w:r>
      <w:r w:rsidRPr="004A032C">
        <w:rPr>
          <w:rFonts w:eastAsia="Calibri"/>
          <w:szCs w:val="22"/>
          <w:lang w:val="fr-FR" w:eastAsia="en-US"/>
        </w:rPr>
        <w:t xml:space="preserve">Organisation </w:t>
      </w:r>
      <w:r w:rsidRPr="004A032C">
        <w:rPr>
          <w:rFonts w:eastAsia="Calibri"/>
          <w:b/>
          <w:szCs w:val="22"/>
          <w:lang w:val="fr-FR" w:eastAsia="en-US"/>
        </w:rPr>
        <w:t>peut</w:t>
      </w:r>
      <w:r w:rsidRPr="004A032C">
        <w:rPr>
          <w:rFonts w:eastAsia="Calibri"/>
          <w:szCs w:val="22"/>
          <w:lang w:val="fr-FR" w:eastAsia="en-US"/>
        </w:rPr>
        <w:t xml:space="preserve"> accepter d</w:t>
      </w:r>
      <w:r w:rsidR="007379AD" w:rsidRPr="004A032C">
        <w:rPr>
          <w:rFonts w:eastAsia="Calibri"/>
          <w:szCs w:val="22"/>
          <w:lang w:val="fr-FR" w:eastAsia="en-US"/>
        </w:rPr>
        <w:t>’</w:t>
      </w:r>
      <w:r w:rsidRPr="004A032C">
        <w:rPr>
          <w:rFonts w:eastAsia="Calibri"/>
          <w:szCs w:val="22"/>
          <w:lang w:val="fr-FR" w:eastAsia="en-US"/>
        </w:rPr>
        <w:t>assumer l</w:t>
      </w:r>
      <w:r w:rsidR="007379AD" w:rsidRPr="004A032C">
        <w:rPr>
          <w:rFonts w:eastAsia="Calibri"/>
          <w:szCs w:val="22"/>
          <w:lang w:val="fr-FR" w:eastAsia="en-US"/>
        </w:rPr>
        <w:t>’</w:t>
      </w:r>
      <w:r w:rsidRPr="004A032C">
        <w:rPr>
          <w:rFonts w:eastAsia="Calibri"/>
          <w:szCs w:val="22"/>
          <w:lang w:val="fr-FR" w:eastAsia="en-US"/>
        </w:rPr>
        <w:t xml:space="preserve">administration de tout nouvel engagement, mais, </w:t>
      </w:r>
      <w:r w:rsidR="00D751D1" w:rsidRPr="004A032C">
        <w:rPr>
          <w:rFonts w:eastAsia="Calibri"/>
          <w:szCs w:val="22"/>
          <w:lang w:val="fr-FR" w:eastAsia="en-US"/>
        </w:rPr>
        <w:t>là encore</w:t>
      </w:r>
      <w:r w:rsidRPr="004A032C">
        <w:rPr>
          <w:rFonts w:eastAsia="Calibri"/>
          <w:szCs w:val="22"/>
          <w:lang w:val="fr-FR" w:eastAsia="en-US"/>
        </w:rPr>
        <w:t>, sans aucune obligation.</w:t>
      </w:r>
      <w:r w:rsidR="0040390C" w:rsidRPr="004A032C">
        <w:rPr>
          <w:rFonts w:eastAsia="Calibri"/>
          <w:szCs w:val="22"/>
          <w:lang w:val="fr-FR" w:eastAsia="en-US"/>
        </w:rPr>
        <w:t xml:space="preserve">  </w:t>
      </w:r>
      <w:r w:rsidRPr="004A032C">
        <w:rPr>
          <w:rFonts w:eastAsia="Calibri"/>
          <w:szCs w:val="22"/>
          <w:lang w:val="fr-FR" w:eastAsia="en-US"/>
        </w:rPr>
        <w:t>L</w:t>
      </w:r>
      <w:r w:rsidR="007379AD" w:rsidRPr="004A032C">
        <w:rPr>
          <w:rFonts w:eastAsia="Calibri"/>
          <w:szCs w:val="22"/>
          <w:lang w:val="fr-FR" w:eastAsia="en-US"/>
        </w:rPr>
        <w:t>’</w:t>
      </w:r>
      <w:r w:rsidRPr="004A032C">
        <w:rPr>
          <w:rFonts w:eastAsia="Calibri"/>
          <w:szCs w:val="22"/>
          <w:lang w:val="fr-FR" w:eastAsia="en-US"/>
        </w:rPr>
        <w:t>article</w:t>
      </w:r>
      <w:r w:rsidR="00F47E56" w:rsidRPr="004A032C">
        <w:rPr>
          <w:rFonts w:eastAsia="Calibri"/>
          <w:szCs w:val="22"/>
          <w:lang w:val="fr-FR" w:eastAsia="en-US"/>
        </w:rPr>
        <w:t> </w:t>
      </w:r>
      <w:r w:rsidRPr="004A032C">
        <w:rPr>
          <w:rFonts w:eastAsia="Calibri"/>
          <w:szCs w:val="22"/>
          <w:lang w:val="fr-FR" w:eastAsia="en-US"/>
        </w:rPr>
        <w:t>4.vii) porte que l</w:t>
      </w:r>
      <w:r w:rsidR="007379AD" w:rsidRPr="004A032C">
        <w:rPr>
          <w:rFonts w:eastAsia="Calibri"/>
          <w:szCs w:val="22"/>
          <w:lang w:val="fr-FR" w:eastAsia="en-US"/>
        </w:rPr>
        <w:t>’</w:t>
      </w:r>
      <w:r w:rsidRPr="004A032C">
        <w:rPr>
          <w:rFonts w:eastAsia="Calibri"/>
          <w:szCs w:val="22"/>
          <w:lang w:val="fr-FR" w:eastAsia="en-US"/>
        </w:rPr>
        <w:t xml:space="preserve">Organisation peut, </w:t>
      </w:r>
      <w:r w:rsidR="00F47E56" w:rsidRPr="004A032C">
        <w:rPr>
          <w:rFonts w:eastAsia="Calibri"/>
          <w:szCs w:val="22"/>
          <w:lang w:val="fr-FR" w:eastAsia="en-US"/>
        </w:rPr>
        <w:t>“</w:t>
      </w:r>
      <w:r w:rsidRPr="004A032C">
        <w:rPr>
          <w:rFonts w:eastAsia="Calibri"/>
          <w:szCs w:val="22"/>
          <w:lang w:val="fr-FR" w:eastAsia="en-US"/>
        </w:rPr>
        <w:t>le cas échéant</w:t>
      </w:r>
      <w:r w:rsidR="00F47E56" w:rsidRPr="004A032C">
        <w:rPr>
          <w:rFonts w:eastAsia="Calibri"/>
          <w:szCs w:val="22"/>
          <w:lang w:val="fr-FR" w:eastAsia="en-US"/>
        </w:rPr>
        <w:t>”</w:t>
      </w:r>
      <w:r w:rsidRPr="004A032C">
        <w:rPr>
          <w:rFonts w:eastAsia="Calibri"/>
          <w:szCs w:val="22"/>
          <w:lang w:val="fr-FR" w:eastAsia="en-US"/>
        </w:rPr>
        <w:t>, assurer des services d</w:t>
      </w:r>
      <w:r w:rsidR="007379AD" w:rsidRPr="004A032C">
        <w:rPr>
          <w:rFonts w:eastAsia="Calibri"/>
          <w:szCs w:val="22"/>
          <w:lang w:val="fr-FR" w:eastAsia="en-US"/>
        </w:rPr>
        <w:t>’</w:t>
      </w:r>
      <w:r w:rsidRPr="004A032C">
        <w:rPr>
          <w:rFonts w:eastAsia="Calibri"/>
          <w:szCs w:val="22"/>
          <w:lang w:val="fr-FR" w:eastAsia="en-US"/>
        </w:rPr>
        <w:t>enregistrement.</w:t>
      </w:r>
      <w:r w:rsidR="0040390C" w:rsidRPr="004A032C">
        <w:rPr>
          <w:rFonts w:eastAsia="Calibri"/>
          <w:szCs w:val="22"/>
          <w:lang w:val="fr-FR" w:eastAsia="en-US"/>
        </w:rPr>
        <w:t xml:space="preserve">  </w:t>
      </w:r>
      <w:r w:rsidR="005945DA" w:rsidRPr="004A032C">
        <w:rPr>
          <w:rFonts w:eastAsia="Calibri"/>
          <w:szCs w:val="22"/>
          <w:lang w:val="fr-FR" w:eastAsia="en-US"/>
        </w:rPr>
        <w:t>Là encore, le texte de la Convention instituant l</w:t>
      </w:r>
      <w:r w:rsidR="007379AD" w:rsidRPr="004A032C">
        <w:rPr>
          <w:rFonts w:eastAsia="Calibri"/>
          <w:szCs w:val="22"/>
          <w:lang w:val="fr-FR" w:eastAsia="en-US"/>
        </w:rPr>
        <w:t>’</w:t>
      </w:r>
      <w:r w:rsidR="005945DA" w:rsidRPr="004A032C">
        <w:rPr>
          <w:rFonts w:eastAsia="Calibri"/>
          <w:szCs w:val="22"/>
          <w:lang w:val="fr-FR" w:eastAsia="en-US"/>
        </w:rPr>
        <w:t>OMPI prévoit clairement que ces fonctions ne sont pas automatiques et ne sauraient être assumées par l</w:t>
      </w:r>
      <w:r w:rsidR="007379AD" w:rsidRPr="004A032C">
        <w:rPr>
          <w:rFonts w:eastAsia="Calibri"/>
          <w:szCs w:val="22"/>
          <w:lang w:val="fr-FR" w:eastAsia="en-US"/>
        </w:rPr>
        <w:t>’</w:t>
      </w:r>
      <w:r w:rsidR="005945DA" w:rsidRPr="004A032C">
        <w:rPr>
          <w:rFonts w:eastAsia="Calibri"/>
          <w:szCs w:val="22"/>
          <w:lang w:val="fr-FR" w:eastAsia="en-US"/>
        </w:rPr>
        <w:t>Organisation uniquement parce qu</w:t>
      </w:r>
      <w:r w:rsidR="007379AD" w:rsidRPr="004A032C">
        <w:rPr>
          <w:rFonts w:eastAsia="Calibri"/>
          <w:szCs w:val="22"/>
          <w:lang w:val="fr-FR" w:eastAsia="en-US"/>
        </w:rPr>
        <w:t>’</w:t>
      </w:r>
      <w:r w:rsidR="005945DA" w:rsidRPr="004A032C">
        <w:rPr>
          <w:rFonts w:eastAsia="Calibri"/>
          <w:szCs w:val="22"/>
          <w:lang w:val="fr-FR" w:eastAsia="en-US"/>
        </w:rPr>
        <w:t>une union le souhaite.</w:t>
      </w:r>
      <w:r w:rsidR="0040390C" w:rsidRPr="004A032C">
        <w:rPr>
          <w:rFonts w:eastAsia="Calibri"/>
          <w:szCs w:val="22"/>
          <w:lang w:val="fr-FR" w:eastAsia="en-US"/>
        </w:rPr>
        <w:t xml:space="preserve">  </w:t>
      </w:r>
      <w:r w:rsidR="00FC41D2" w:rsidRPr="004A032C">
        <w:rPr>
          <w:rFonts w:eastAsia="Calibri"/>
          <w:szCs w:val="22"/>
          <w:lang w:val="fr-FR" w:eastAsia="en-US"/>
        </w:rPr>
        <w:t>Bien que l</w:t>
      </w:r>
      <w:r w:rsidR="007379AD" w:rsidRPr="004A032C">
        <w:rPr>
          <w:rFonts w:eastAsia="Calibri"/>
          <w:szCs w:val="22"/>
          <w:lang w:val="fr-FR" w:eastAsia="en-US"/>
        </w:rPr>
        <w:t>’</w:t>
      </w:r>
      <w:r w:rsidR="00FC41D2" w:rsidRPr="004A032C">
        <w:rPr>
          <w:rFonts w:eastAsia="Calibri"/>
          <w:szCs w:val="22"/>
          <w:lang w:val="fr-FR" w:eastAsia="en-US"/>
        </w:rPr>
        <w:t>OMPI ait assumé l</w:t>
      </w:r>
      <w:r w:rsidR="007379AD" w:rsidRPr="004A032C">
        <w:rPr>
          <w:rFonts w:eastAsia="Calibri"/>
          <w:szCs w:val="22"/>
          <w:lang w:val="fr-FR" w:eastAsia="en-US"/>
        </w:rPr>
        <w:t>’</w:t>
      </w:r>
      <w:r w:rsidR="00FC41D2" w:rsidRPr="004A032C">
        <w:rPr>
          <w:rFonts w:eastAsia="Calibri"/>
          <w:szCs w:val="22"/>
          <w:lang w:val="fr-FR" w:eastAsia="en-US"/>
        </w:rPr>
        <w:t xml:space="preserve">administration de nombreux arrangements internationaux, </w:t>
      </w:r>
      <w:r w:rsidR="007379AD" w:rsidRPr="004A032C">
        <w:rPr>
          <w:rFonts w:eastAsia="Calibri"/>
          <w:szCs w:val="22"/>
          <w:lang w:val="fr-FR" w:eastAsia="en-US"/>
        </w:rPr>
        <w:t>y compris</w:t>
      </w:r>
      <w:r w:rsidR="00FC41D2" w:rsidRPr="004A032C">
        <w:rPr>
          <w:rFonts w:eastAsia="Calibri"/>
          <w:szCs w:val="22"/>
          <w:lang w:val="fr-FR" w:eastAsia="en-US"/>
        </w:rPr>
        <w:t xml:space="preserve"> des </w:t>
      </w:r>
      <w:r w:rsidR="00F47E56" w:rsidRPr="004A032C">
        <w:rPr>
          <w:rFonts w:eastAsia="Calibri"/>
          <w:szCs w:val="22"/>
          <w:lang w:val="fr-FR" w:eastAsia="en-US"/>
        </w:rPr>
        <w:t>“</w:t>
      </w:r>
      <w:r w:rsidR="00FC41D2" w:rsidRPr="004A032C">
        <w:rPr>
          <w:rFonts w:eastAsia="Calibri"/>
          <w:szCs w:val="22"/>
          <w:lang w:val="fr-FR" w:eastAsia="en-US"/>
        </w:rPr>
        <w:t>arrangements particuliers</w:t>
      </w:r>
      <w:r w:rsidR="00F47E56" w:rsidRPr="004A032C">
        <w:rPr>
          <w:rFonts w:eastAsia="Calibri"/>
          <w:szCs w:val="22"/>
          <w:lang w:val="fr-FR" w:eastAsia="en-US"/>
        </w:rPr>
        <w:t>”</w:t>
      </w:r>
      <w:r w:rsidR="00FC41D2" w:rsidRPr="004A032C">
        <w:rPr>
          <w:rFonts w:eastAsia="Calibri"/>
          <w:szCs w:val="22"/>
          <w:lang w:val="fr-FR" w:eastAsia="en-US"/>
        </w:rPr>
        <w:t xml:space="preserve"> selon l</w:t>
      </w:r>
      <w:r w:rsidR="007379AD" w:rsidRPr="004A032C">
        <w:rPr>
          <w:rFonts w:eastAsia="Calibri"/>
          <w:szCs w:val="22"/>
          <w:lang w:val="fr-FR" w:eastAsia="en-US"/>
        </w:rPr>
        <w:t>’</w:t>
      </w:r>
      <w:r w:rsidR="00FC41D2" w:rsidRPr="004A032C">
        <w:rPr>
          <w:rFonts w:eastAsia="Calibri"/>
          <w:szCs w:val="22"/>
          <w:lang w:val="fr-FR" w:eastAsia="en-US"/>
        </w:rPr>
        <w:t>article</w:t>
      </w:r>
      <w:r w:rsidR="00F47E56" w:rsidRPr="004A032C">
        <w:rPr>
          <w:rFonts w:eastAsia="Calibri"/>
          <w:szCs w:val="22"/>
          <w:lang w:val="fr-FR" w:eastAsia="en-US"/>
        </w:rPr>
        <w:t> </w:t>
      </w:r>
      <w:r w:rsidR="00FC41D2" w:rsidRPr="004A032C">
        <w:rPr>
          <w:rFonts w:eastAsia="Calibri"/>
          <w:szCs w:val="22"/>
          <w:lang w:val="fr-FR" w:eastAsia="en-US"/>
        </w:rPr>
        <w:t>19 de la Convention de Paris et l</w:t>
      </w:r>
      <w:r w:rsidR="007379AD" w:rsidRPr="004A032C">
        <w:rPr>
          <w:rFonts w:eastAsia="Calibri"/>
          <w:szCs w:val="22"/>
          <w:lang w:val="fr-FR" w:eastAsia="en-US"/>
        </w:rPr>
        <w:t>’</w:t>
      </w:r>
      <w:r w:rsidR="00FC41D2" w:rsidRPr="004A032C">
        <w:rPr>
          <w:rFonts w:eastAsia="Calibri"/>
          <w:szCs w:val="22"/>
          <w:lang w:val="fr-FR" w:eastAsia="en-US"/>
        </w:rPr>
        <w:t>article 20 de la Convention de Berne conclus après la Convention</w:t>
      </w:r>
      <w:r w:rsidR="00D751D1" w:rsidRPr="004A032C">
        <w:rPr>
          <w:rFonts w:eastAsia="Calibri"/>
          <w:szCs w:val="22"/>
          <w:lang w:val="fr-FR" w:eastAsia="en-US"/>
        </w:rPr>
        <w:t xml:space="preserve"> de</w:t>
      </w:r>
      <w:r w:rsidR="00F47E56" w:rsidRPr="004A032C">
        <w:rPr>
          <w:rFonts w:eastAsia="Calibri"/>
          <w:szCs w:val="22"/>
          <w:lang w:val="fr-FR" w:eastAsia="en-US"/>
        </w:rPr>
        <w:t> </w:t>
      </w:r>
      <w:r w:rsidR="00D751D1" w:rsidRPr="004A032C">
        <w:rPr>
          <w:rFonts w:eastAsia="Calibri"/>
          <w:szCs w:val="22"/>
          <w:lang w:val="fr-FR" w:eastAsia="en-US"/>
        </w:rPr>
        <w:t>1967</w:t>
      </w:r>
      <w:r w:rsidR="00FC41D2" w:rsidRPr="004A032C">
        <w:rPr>
          <w:rFonts w:eastAsia="Calibri"/>
          <w:szCs w:val="22"/>
          <w:lang w:val="fr-FR" w:eastAsia="en-US"/>
        </w:rPr>
        <w:t xml:space="preserve"> instituant l</w:t>
      </w:r>
      <w:r w:rsidR="007379AD" w:rsidRPr="004A032C">
        <w:rPr>
          <w:rFonts w:eastAsia="Calibri"/>
          <w:szCs w:val="22"/>
          <w:lang w:val="fr-FR" w:eastAsia="en-US"/>
        </w:rPr>
        <w:t>’</w:t>
      </w:r>
      <w:r w:rsidR="00FC41D2" w:rsidRPr="004A032C">
        <w:rPr>
          <w:rFonts w:eastAsia="Calibri"/>
          <w:szCs w:val="22"/>
          <w:lang w:val="fr-FR" w:eastAsia="en-US"/>
        </w:rPr>
        <w:t>OMPI</w:t>
      </w:r>
      <w:r w:rsidR="00FC41D2" w:rsidRPr="004A032C">
        <w:rPr>
          <w:rStyle w:val="FootnoteReference"/>
          <w:rFonts w:eastAsia="Calibri"/>
          <w:szCs w:val="22"/>
          <w:lang w:val="fr-FR" w:eastAsia="en-US"/>
        </w:rPr>
        <w:footnoteReference w:id="9"/>
      </w:r>
      <w:r w:rsidR="00FC41D2" w:rsidRPr="004A032C">
        <w:rPr>
          <w:rFonts w:eastAsia="Calibri"/>
          <w:szCs w:val="22"/>
          <w:lang w:val="fr-FR" w:eastAsia="en-US"/>
        </w:rPr>
        <w:t>, aucun membre de l</w:t>
      </w:r>
      <w:r w:rsidR="007379AD" w:rsidRPr="004A032C">
        <w:rPr>
          <w:rFonts w:eastAsia="Calibri"/>
          <w:szCs w:val="22"/>
          <w:lang w:val="fr-FR" w:eastAsia="en-US"/>
        </w:rPr>
        <w:t>’</w:t>
      </w:r>
      <w:r w:rsidR="00FC41D2" w:rsidRPr="004A032C">
        <w:rPr>
          <w:rFonts w:eastAsia="Calibri"/>
          <w:szCs w:val="22"/>
          <w:lang w:val="fr-FR" w:eastAsia="en-US"/>
        </w:rPr>
        <w:t>OMPI ou de ses organes compétents n</w:t>
      </w:r>
      <w:r w:rsidR="007379AD" w:rsidRPr="004A032C">
        <w:rPr>
          <w:rFonts w:eastAsia="Calibri"/>
          <w:szCs w:val="22"/>
          <w:lang w:val="fr-FR" w:eastAsia="en-US"/>
        </w:rPr>
        <w:t>’</w:t>
      </w:r>
      <w:r w:rsidR="00FC41D2" w:rsidRPr="004A032C">
        <w:rPr>
          <w:rFonts w:eastAsia="Calibri"/>
          <w:szCs w:val="22"/>
          <w:lang w:val="fr-FR" w:eastAsia="en-US"/>
        </w:rPr>
        <w:t>a contesté le rôle de l</w:t>
      </w:r>
      <w:r w:rsidR="007379AD" w:rsidRPr="004A032C">
        <w:rPr>
          <w:rFonts w:eastAsia="Calibri"/>
          <w:szCs w:val="22"/>
          <w:lang w:val="fr-FR" w:eastAsia="en-US"/>
        </w:rPr>
        <w:t>’</w:t>
      </w:r>
      <w:r w:rsidR="00FC41D2" w:rsidRPr="004A032C">
        <w:rPr>
          <w:rFonts w:eastAsia="Calibri"/>
          <w:szCs w:val="22"/>
          <w:lang w:val="fr-FR" w:eastAsia="en-US"/>
        </w:rPr>
        <w:t>Organisation dans leur administration étant donné que, à la différence de l</w:t>
      </w:r>
      <w:r w:rsidR="007379AD" w:rsidRPr="004A032C">
        <w:rPr>
          <w:rFonts w:eastAsia="Calibri"/>
          <w:szCs w:val="22"/>
          <w:lang w:val="fr-FR" w:eastAsia="en-US"/>
        </w:rPr>
        <w:t>’</w:t>
      </w:r>
      <w:r w:rsidR="00FC41D2" w:rsidRPr="004A032C">
        <w:rPr>
          <w:rFonts w:eastAsia="Calibri"/>
          <w:szCs w:val="22"/>
          <w:lang w:val="fr-FR" w:eastAsia="en-US"/>
        </w:rPr>
        <w:t>Acte de Genève de l</w:t>
      </w:r>
      <w:r w:rsidR="007379AD" w:rsidRPr="004A032C">
        <w:rPr>
          <w:rFonts w:eastAsia="Calibri"/>
          <w:szCs w:val="22"/>
          <w:lang w:val="fr-FR" w:eastAsia="en-US"/>
        </w:rPr>
        <w:t>’</w:t>
      </w:r>
      <w:r w:rsidR="00FC41D2" w:rsidRPr="004A032C">
        <w:rPr>
          <w:rFonts w:eastAsia="Calibri"/>
          <w:szCs w:val="22"/>
          <w:lang w:val="fr-FR" w:eastAsia="en-US"/>
        </w:rPr>
        <w:t xml:space="preserve">Arrangement de Lisbonne, leur </w:t>
      </w:r>
      <w:r w:rsidR="000B5A3C" w:rsidRPr="004A032C">
        <w:rPr>
          <w:rFonts w:eastAsia="Calibri"/>
          <w:szCs w:val="22"/>
          <w:lang w:val="fr-FR" w:eastAsia="en-US"/>
        </w:rPr>
        <w:t>négociation</w:t>
      </w:r>
      <w:r w:rsidR="00FC41D2" w:rsidRPr="004A032C">
        <w:rPr>
          <w:rFonts w:eastAsia="Calibri"/>
          <w:szCs w:val="22"/>
          <w:lang w:val="fr-FR" w:eastAsia="en-US"/>
        </w:rPr>
        <w:t xml:space="preserve"> était ouverte à toutes les parties intéressées de la Convention de Paris, de la Convention de Berne ou de la Convention instituant l</w:t>
      </w:r>
      <w:r w:rsidR="007379AD" w:rsidRPr="004A032C">
        <w:rPr>
          <w:rFonts w:eastAsia="Calibri"/>
          <w:szCs w:val="22"/>
          <w:lang w:val="fr-FR" w:eastAsia="en-US"/>
        </w:rPr>
        <w:t>’</w:t>
      </w:r>
      <w:r w:rsidR="00FC41D2" w:rsidRPr="004A032C">
        <w:rPr>
          <w:rFonts w:eastAsia="Calibri"/>
          <w:szCs w:val="22"/>
          <w:lang w:val="fr-FR" w:eastAsia="en-US"/>
        </w:rPr>
        <w:t>OMPI.</w:t>
      </w:r>
    </w:p>
    <w:p w:rsidR="00DA0F7A" w:rsidRPr="004A032C" w:rsidRDefault="00DA0F7A" w:rsidP="004A032C">
      <w:pPr>
        <w:rPr>
          <w:rFonts w:eastAsia="Calibri"/>
          <w:szCs w:val="22"/>
          <w:lang w:val="fr-FR" w:eastAsia="en-US"/>
        </w:rPr>
      </w:pPr>
    </w:p>
    <w:p w:rsidR="00DA0F7A" w:rsidRDefault="00FC41D2" w:rsidP="004A032C">
      <w:pPr>
        <w:rPr>
          <w:rFonts w:eastAsia="Calibri"/>
          <w:b/>
          <w:szCs w:val="22"/>
          <w:lang w:val="fr-FR" w:eastAsia="en-US"/>
        </w:rPr>
      </w:pPr>
      <w:r w:rsidRPr="004A032C">
        <w:rPr>
          <w:rFonts w:eastAsia="Calibri"/>
          <w:b/>
          <w:szCs w:val="22"/>
          <w:lang w:val="fr-FR" w:eastAsia="en-US"/>
        </w:rPr>
        <w:t>Deux entités juridiques distinctes avec une composition distincte</w:t>
      </w:r>
    </w:p>
    <w:p w:rsidR="004A032C" w:rsidRPr="004A032C" w:rsidRDefault="004A032C" w:rsidP="004A032C">
      <w:pPr>
        <w:rPr>
          <w:rFonts w:eastAsia="Calibri"/>
          <w:szCs w:val="22"/>
          <w:lang w:val="fr-FR" w:eastAsia="en-US"/>
        </w:rPr>
      </w:pPr>
    </w:p>
    <w:p w:rsidR="007379AD" w:rsidRDefault="006A61B0" w:rsidP="004A032C">
      <w:pPr>
        <w:rPr>
          <w:rFonts w:eastAsia="Calibri"/>
          <w:spacing w:val="-2"/>
          <w:szCs w:val="22"/>
          <w:lang w:val="fr-FR" w:eastAsia="en-US"/>
        </w:rPr>
      </w:pPr>
      <w:r w:rsidRPr="004A032C">
        <w:rPr>
          <w:rFonts w:eastAsia="Calibri"/>
          <w:spacing w:val="-2"/>
          <w:szCs w:val="22"/>
          <w:lang w:val="fr-FR" w:eastAsia="en-US"/>
        </w:rPr>
        <w:t>La nouvelle Union de Lisbonne établie par l</w:t>
      </w:r>
      <w:r w:rsidR="007379AD" w:rsidRPr="004A032C">
        <w:rPr>
          <w:rFonts w:eastAsia="Calibri"/>
          <w:spacing w:val="-2"/>
          <w:szCs w:val="22"/>
          <w:lang w:val="fr-FR" w:eastAsia="en-US"/>
        </w:rPr>
        <w:t>’</w:t>
      </w:r>
      <w:r w:rsidRPr="004A032C">
        <w:rPr>
          <w:rFonts w:eastAsia="Calibri"/>
          <w:spacing w:val="-2"/>
          <w:szCs w:val="22"/>
          <w:lang w:val="fr-FR" w:eastAsia="en-US"/>
        </w:rPr>
        <w:t>Acte de Genève ne saurait être considérée comme une union particulière établie en relation avec l</w:t>
      </w:r>
      <w:r w:rsidR="007379AD" w:rsidRPr="004A032C">
        <w:rPr>
          <w:rFonts w:eastAsia="Calibri"/>
          <w:spacing w:val="-2"/>
          <w:szCs w:val="22"/>
          <w:lang w:val="fr-FR" w:eastAsia="en-US"/>
        </w:rPr>
        <w:t>’</w:t>
      </w:r>
      <w:r w:rsidRPr="004A032C">
        <w:rPr>
          <w:rFonts w:eastAsia="Calibri"/>
          <w:spacing w:val="-2"/>
          <w:szCs w:val="22"/>
          <w:lang w:val="fr-FR" w:eastAsia="en-US"/>
        </w:rPr>
        <w:t>Union de Paris au sens de l</w:t>
      </w:r>
      <w:r w:rsidR="007379AD" w:rsidRPr="004A032C">
        <w:rPr>
          <w:rFonts w:eastAsia="Calibri"/>
          <w:spacing w:val="-2"/>
          <w:szCs w:val="22"/>
          <w:lang w:val="fr-FR" w:eastAsia="en-US"/>
        </w:rPr>
        <w:t>’</w:t>
      </w:r>
      <w:r w:rsidRPr="004A032C">
        <w:rPr>
          <w:rFonts w:eastAsia="Calibri"/>
          <w:spacing w:val="-2"/>
          <w:szCs w:val="22"/>
          <w:lang w:val="fr-FR" w:eastAsia="en-US"/>
        </w:rPr>
        <w:t>article</w:t>
      </w:r>
      <w:r w:rsidR="00F47E56" w:rsidRPr="004A032C">
        <w:rPr>
          <w:rFonts w:eastAsia="Calibri"/>
          <w:spacing w:val="-2"/>
          <w:szCs w:val="22"/>
          <w:lang w:val="fr-FR" w:eastAsia="en-US"/>
        </w:rPr>
        <w:t> </w:t>
      </w:r>
      <w:r w:rsidRPr="004A032C">
        <w:rPr>
          <w:rFonts w:eastAsia="Calibri"/>
          <w:spacing w:val="-2"/>
          <w:szCs w:val="22"/>
          <w:lang w:val="fr-FR" w:eastAsia="en-US"/>
        </w:rPr>
        <w:t>4.ii) de la Convention instituant l</w:t>
      </w:r>
      <w:r w:rsidR="007379AD" w:rsidRPr="004A032C">
        <w:rPr>
          <w:rFonts w:eastAsia="Calibri"/>
          <w:spacing w:val="-2"/>
          <w:szCs w:val="22"/>
          <w:lang w:val="fr-FR" w:eastAsia="en-US"/>
        </w:rPr>
        <w:t>’</w:t>
      </w:r>
      <w:r w:rsidRPr="004A032C">
        <w:rPr>
          <w:rFonts w:eastAsia="Calibri"/>
          <w:spacing w:val="-2"/>
          <w:szCs w:val="22"/>
          <w:lang w:val="fr-FR" w:eastAsia="en-US"/>
        </w:rPr>
        <w:t>OMPI;  le simple fait de prendre le même nom que l</w:t>
      </w:r>
      <w:r w:rsidR="007379AD" w:rsidRPr="004A032C">
        <w:rPr>
          <w:rFonts w:eastAsia="Calibri"/>
          <w:spacing w:val="-2"/>
          <w:szCs w:val="22"/>
          <w:lang w:val="fr-FR" w:eastAsia="en-US"/>
        </w:rPr>
        <w:t>’</w:t>
      </w:r>
      <w:r w:rsidRPr="004A032C">
        <w:rPr>
          <w:rFonts w:eastAsia="Calibri"/>
          <w:spacing w:val="-2"/>
          <w:szCs w:val="22"/>
          <w:lang w:val="fr-FR" w:eastAsia="en-US"/>
        </w:rPr>
        <w:t>Union de Lisbonne originale n</w:t>
      </w:r>
      <w:r w:rsidR="007379AD" w:rsidRPr="004A032C">
        <w:rPr>
          <w:rFonts w:eastAsia="Calibri"/>
          <w:spacing w:val="-2"/>
          <w:szCs w:val="22"/>
          <w:lang w:val="fr-FR" w:eastAsia="en-US"/>
        </w:rPr>
        <w:t>’</w:t>
      </w:r>
      <w:r w:rsidRPr="004A032C">
        <w:rPr>
          <w:rFonts w:eastAsia="Calibri"/>
          <w:spacing w:val="-2"/>
          <w:szCs w:val="22"/>
          <w:lang w:val="fr-FR" w:eastAsia="en-US"/>
        </w:rPr>
        <w:t>en fait pas la même entité de droit.</w:t>
      </w:r>
      <w:r w:rsidR="0040390C" w:rsidRPr="004A032C">
        <w:rPr>
          <w:rFonts w:eastAsia="Calibri"/>
          <w:spacing w:val="-2"/>
          <w:szCs w:val="22"/>
          <w:lang w:val="fr-FR" w:eastAsia="en-US"/>
        </w:rPr>
        <w:t xml:space="preserve">  </w:t>
      </w:r>
      <w:r w:rsidR="009201B9" w:rsidRPr="004A032C">
        <w:rPr>
          <w:rFonts w:eastAsia="Calibri"/>
          <w:spacing w:val="-2"/>
          <w:szCs w:val="22"/>
          <w:lang w:val="fr-FR" w:eastAsia="en-US"/>
        </w:rPr>
        <w:t>Premièrement, la nouvelle Union de Lisbonne est censée avoir des membre</w:t>
      </w:r>
      <w:r w:rsidR="00D751D1" w:rsidRPr="004A032C">
        <w:rPr>
          <w:rFonts w:eastAsia="Calibri"/>
          <w:spacing w:val="-2"/>
          <w:szCs w:val="22"/>
          <w:lang w:val="fr-FR" w:eastAsia="en-US"/>
        </w:rPr>
        <w:t>s</w:t>
      </w:r>
      <w:r w:rsidR="009201B9" w:rsidRPr="004A032C">
        <w:rPr>
          <w:rFonts w:eastAsia="Calibri"/>
          <w:spacing w:val="-2"/>
          <w:szCs w:val="22"/>
          <w:lang w:val="fr-FR" w:eastAsia="en-US"/>
        </w:rPr>
        <w:t xml:space="preserve"> différents (étant donné que de nouvelles parties contractantes peuvent </w:t>
      </w:r>
      <w:r w:rsidR="00D751D1" w:rsidRPr="004A032C">
        <w:rPr>
          <w:rFonts w:eastAsia="Calibri"/>
          <w:spacing w:val="-2"/>
          <w:szCs w:val="22"/>
          <w:lang w:val="fr-FR" w:eastAsia="en-US"/>
        </w:rPr>
        <w:t>y adhérer</w:t>
      </w:r>
      <w:r w:rsidR="009201B9" w:rsidRPr="004A032C">
        <w:rPr>
          <w:rFonts w:eastAsia="Calibri"/>
          <w:spacing w:val="-2"/>
          <w:szCs w:val="22"/>
          <w:lang w:val="fr-FR" w:eastAsia="en-US"/>
        </w:rPr>
        <w:t xml:space="preserve"> alors que toutes les parties actuelles de l</w:t>
      </w:r>
      <w:r w:rsidR="007379AD" w:rsidRPr="004A032C">
        <w:rPr>
          <w:rFonts w:eastAsia="Calibri"/>
          <w:spacing w:val="-2"/>
          <w:szCs w:val="22"/>
          <w:lang w:val="fr-FR" w:eastAsia="en-US"/>
        </w:rPr>
        <w:t>’</w:t>
      </w:r>
      <w:r w:rsidR="009201B9" w:rsidRPr="004A032C">
        <w:rPr>
          <w:rFonts w:eastAsia="Calibri"/>
          <w:spacing w:val="-2"/>
          <w:szCs w:val="22"/>
          <w:lang w:val="fr-FR" w:eastAsia="en-US"/>
        </w:rPr>
        <w:t>Arrangement de Lisbonne ne le feront peut</w:t>
      </w:r>
      <w:r w:rsidR="00A24F52" w:rsidRPr="004A032C">
        <w:rPr>
          <w:rFonts w:eastAsia="Calibri"/>
          <w:spacing w:val="-2"/>
          <w:szCs w:val="22"/>
          <w:lang w:val="fr-FR" w:eastAsia="en-US"/>
        </w:rPr>
        <w:noBreakHyphen/>
      </w:r>
      <w:r w:rsidR="009201B9" w:rsidRPr="004A032C">
        <w:rPr>
          <w:rFonts w:eastAsia="Calibri"/>
          <w:spacing w:val="-2"/>
          <w:szCs w:val="22"/>
          <w:lang w:val="fr-FR" w:eastAsia="en-US"/>
        </w:rPr>
        <w:t>être pas) et est établie en vertu d</w:t>
      </w:r>
      <w:r w:rsidR="007379AD" w:rsidRPr="004A032C">
        <w:rPr>
          <w:rFonts w:eastAsia="Calibri"/>
          <w:spacing w:val="-2"/>
          <w:szCs w:val="22"/>
          <w:lang w:val="fr-FR" w:eastAsia="en-US"/>
        </w:rPr>
        <w:t>’</w:t>
      </w:r>
      <w:r w:rsidR="009201B9" w:rsidRPr="004A032C">
        <w:rPr>
          <w:rFonts w:eastAsia="Calibri"/>
          <w:spacing w:val="-2"/>
          <w:szCs w:val="22"/>
          <w:lang w:val="fr-FR" w:eastAsia="en-US"/>
        </w:rPr>
        <w:t>un arrangement différent.</w:t>
      </w:r>
      <w:r w:rsidR="0040390C" w:rsidRPr="004A032C">
        <w:rPr>
          <w:rFonts w:eastAsia="Calibri"/>
          <w:spacing w:val="-2"/>
          <w:szCs w:val="22"/>
          <w:lang w:val="fr-FR" w:eastAsia="en-US"/>
        </w:rPr>
        <w:t xml:space="preserve">  </w:t>
      </w:r>
      <w:r w:rsidR="009201B9" w:rsidRPr="004A032C">
        <w:rPr>
          <w:rFonts w:eastAsia="Calibri"/>
          <w:spacing w:val="-2"/>
          <w:szCs w:val="22"/>
          <w:lang w:val="fr-FR" w:eastAsia="en-US"/>
        </w:rPr>
        <w:t>Selon les articles 21 et 22.1)a) de l</w:t>
      </w:r>
      <w:r w:rsidR="007379AD" w:rsidRPr="004A032C">
        <w:rPr>
          <w:rFonts w:eastAsia="Calibri"/>
          <w:spacing w:val="-2"/>
          <w:szCs w:val="22"/>
          <w:lang w:val="fr-FR" w:eastAsia="en-US"/>
        </w:rPr>
        <w:t>’</w:t>
      </w:r>
      <w:r w:rsidR="009201B9" w:rsidRPr="004A032C">
        <w:rPr>
          <w:rFonts w:eastAsia="Calibri"/>
          <w:spacing w:val="-2"/>
          <w:szCs w:val="22"/>
          <w:lang w:val="fr-FR" w:eastAsia="en-US"/>
        </w:rPr>
        <w:t>Acte de Genève, les futures parties contractantes de l</w:t>
      </w:r>
      <w:r w:rsidR="007379AD" w:rsidRPr="004A032C">
        <w:rPr>
          <w:rFonts w:eastAsia="Calibri"/>
          <w:spacing w:val="-2"/>
          <w:szCs w:val="22"/>
          <w:lang w:val="fr-FR" w:eastAsia="en-US"/>
        </w:rPr>
        <w:t>’</w:t>
      </w:r>
      <w:r w:rsidR="009201B9" w:rsidRPr="004A032C">
        <w:rPr>
          <w:rFonts w:eastAsia="Calibri"/>
          <w:spacing w:val="-2"/>
          <w:szCs w:val="22"/>
          <w:lang w:val="fr-FR" w:eastAsia="en-US"/>
        </w:rPr>
        <w:t>Acte de Genève sont censées</w:t>
      </w:r>
      <w:r w:rsidR="009201B9" w:rsidRPr="004A032C">
        <w:rPr>
          <w:rFonts w:eastAsia="Calibri"/>
          <w:szCs w:val="22"/>
          <w:lang w:val="fr-FR" w:eastAsia="en-US"/>
        </w:rPr>
        <w:t xml:space="preserve"> </w:t>
      </w:r>
      <w:r w:rsidR="009201B9" w:rsidRPr="004A032C">
        <w:rPr>
          <w:rFonts w:eastAsia="Calibri"/>
          <w:spacing w:val="-2"/>
          <w:szCs w:val="22"/>
          <w:lang w:val="fr-FR" w:eastAsia="en-US"/>
        </w:rPr>
        <w:t>faire partie de la même union et de la même assemblée que les parties contractantes de l</w:t>
      </w:r>
      <w:r w:rsidR="007379AD" w:rsidRPr="004A032C">
        <w:rPr>
          <w:rFonts w:eastAsia="Calibri"/>
          <w:spacing w:val="-2"/>
          <w:szCs w:val="22"/>
          <w:lang w:val="fr-FR" w:eastAsia="en-US"/>
        </w:rPr>
        <w:t>’</w:t>
      </w:r>
      <w:r w:rsidR="009201B9" w:rsidRPr="004A032C">
        <w:rPr>
          <w:rFonts w:eastAsia="Calibri"/>
          <w:spacing w:val="-2"/>
          <w:szCs w:val="22"/>
          <w:lang w:val="fr-FR" w:eastAsia="en-US"/>
        </w:rPr>
        <w:t>Arrangement de Lisbonne (c</w:t>
      </w:r>
      <w:r w:rsidR="007379AD" w:rsidRPr="004A032C">
        <w:rPr>
          <w:rFonts w:eastAsia="Calibri"/>
          <w:spacing w:val="-2"/>
          <w:szCs w:val="22"/>
          <w:lang w:val="fr-FR" w:eastAsia="en-US"/>
        </w:rPr>
        <w:t>’</w:t>
      </w:r>
      <w:r w:rsidR="009201B9" w:rsidRPr="004A032C">
        <w:rPr>
          <w:rFonts w:eastAsia="Calibri"/>
          <w:spacing w:val="-2"/>
          <w:szCs w:val="22"/>
          <w:lang w:val="fr-FR" w:eastAsia="en-US"/>
        </w:rPr>
        <w:t>est</w:t>
      </w:r>
      <w:r w:rsidR="00A24F52" w:rsidRPr="004A032C">
        <w:rPr>
          <w:rFonts w:eastAsia="Calibri"/>
          <w:spacing w:val="-2"/>
          <w:szCs w:val="22"/>
          <w:lang w:val="fr-FR" w:eastAsia="en-US"/>
        </w:rPr>
        <w:noBreakHyphen/>
      </w:r>
      <w:r w:rsidR="009201B9" w:rsidRPr="004A032C">
        <w:rPr>
          <w:rFonts w:eastAsia="Calibri"/>
          <w:spacing w:val="-2"/>
          <w:szCs w:val="22"/>
          <w:lang w:val="fr-FR" w:eastAsia="en-US"/>
        </w:rPr>
        <w:t>à</w:t>
      </w:r>
      <w:r w:rsidR="00A24F52" w:rsidRPr="004A032C">
        <w:rPr>
          <w:rFonts w:eastAsia="Calibri"/>
          <w:spacing w:val="-2"/>
          <w:szCs w:val="22"/>
          <w:lang w:val="fr-FR" w:eastAsia="en-US"/>
        </w:rPr>
        <w:noBreakHyphen/>
      </w:r>
      <w:r w:rsidR="009201B9" w:rsidRPr="004A032C">
        <w:rPr>
          <w:rFonts w:eastAsia="Calibri"/>
          <w:spacing w:val="-2"/>
          <w:szCs w:val="22"/>
          <w:lang w:val="fr-FR" w:eastAsia="en-US"/>
        </w:rPr>
        <w:t>dire, l</w:t>
      </w:r>
      <w:r w:rsidR="007379AD" w:rsidRPr="004A032C">
        <w:rPr>
          <w:rFonts w:eastAsia="Calibri"/>
          <w:spacing w:val="-2"/>
          <w:szCs w:val="22"/>
          <w:lang w:val="fr-FR" w:eastAsia="en-US"/>
        </w:rPr>
        <w:t>’</w:t>
      </w:r>
      <w:r w:rsidR="009201B9" w:rsidRPr="004A032C">
        <w:rPr>
          <w:rFonts w:eastAsia="Calibri"/>
          <w:spacing w:val="-2"/>
          <w:szCs w:val="22"/>
          <w:lang w:val="fr-FR" w:eastAsia="en-US"/>
        </w:rPr>
        <w:t>Union de Lisbonne et l</w:t>
      </w:r>
      <w:r w:rsidR="007379AD" w:rsidRPr="004A032C">
        <w:rPr>
          <w:rFonts w:eastAsia="Calibri"/>
          <w:spacing w:val="-2"/>
          <w:szCs w:val="22"/>
          <w:lang w:val="fr-FR" w:eastAsia="en-US"/>
        </w:rPr>
        <w:t>’</w:t>
      </w:r>
      <w:r w:rsidR="009201B9" w:rsidRPr="004A032C">
        <w:rPr>
          <w:rFonts w:eastAsia="Calibri"/>
          <w:spacing w:val="-2"/>
          <w:szCs w:val="22"/>
          <w:lang w:val="fr-FR" w:eastAsia="en-US"/>
        </w:rPr>
        <w:t>Assemblée de l</w:t>
      </w:r>
      <w:r w:rsidR="007379AD" w:rsidRPr="004A032C">
        <w:rPr>
          <w:rFonts w:eastAsia="Calibri"/>
          <w:spacing w:val="-2"/>
          <w:szCs w:val="22"/>
          <w:lang w:val="fr-FR" w:eastAsia="en-US"/>
        </w:rPr>
        <w:t>’</w:t>
      </w:r>
      <w:r w:rsidR="009201B9" w:rsidRPr="004A032C">
        <w:rPr>
          <w:rFonts w:eastAsia="Calibri"/>
          <w:spacing w:val="-2"/>
          <w:szCs w:val="22"/>
          <w:lang w:val="fr-FR" w:eastAsia="en-US"/>
        </w:rPr>
        <w:t>Union de Lisbonne).</w:t>
      </w:r>
      <w:r w:rsidR="0040390C" w:rsidRPr="004A032C">
        <w:rPr>
          <w:rFonts w:eastAsia="Calibri"/>
          <w:spacing w:val="-2"/>
          <w:szCs w:val="22"/>
          <w:lang w:val="fr-FR" w:eastAsia="en-US"/>
        </w:rPr>
        <w:t xml:space="preserve">  </w:t>
      </w:r>
      <w:r w:rsidR="00EB0705" w:rsidRPr="004A032C">
        <w:rPr>
          <w:rFonts w:eastAsia="Calibri"/>
          <w:spacing w:val="-2"/>
          <w:szCs w:val="22"/>
          <w:lang w:val="fr-FR" w:eastAsia="en-US"/>
        </w:rPr>
        <w:t>Or, bien qu</w:t>
      </w:r>
      <w:r w:rsidR="007379AD" w:rsidRPr="004A032C">
        <w:rPr>
          <w:rFonts w:eastAsia="Calibri"/>
          <w:spacing w:val="-2"/>
          <w:szCs w:val="22"/>
          <w:lang w:val="fr-FR" w:eastAsia="en-US"/>
        </w:rPr>
        <w:t>’</w:t>
      </w:r>
      <w:r w:rsidR="00EB0705" w:rsidRPr="004A032C">
        <w:rPr>
          <w:rFonts w:eastAsia="Calibri"/>
          <w:spacing w:val="-2"/>
          <w:szCs w:val="22"/>
          <w:lang w:val="fr-FR" w:eastAsia="en-US"/>
        </w:rPr>
        <w:t>elles partagent la même union et la même assemblée, en vertu de l</w:t>
      </w:r>
      <w:r w:rsidR="007379AD" w:rsidRPr="004A032C">
        <w:rPr>
          <w:rFonts w:eastAsia="Calibri"/>
          <w:spacing w:val="-2"/>
          <w:szCs w:val="22"/>
          <w:lang w:val="fr-FR" w:eastAsia="en-US"/>
        </w:rPr>
        <w:t>’</w:t>
      </w:r>
      <w:r w:rsidR="00EB0705" w:rsidRPr="004A032C">
        <w:rPr>
          <w:rFonts w:eastAsia="Calibri"/>
          <w:spacing w:val="-2"/>
          <w:szCs w:val="22"/>
          <w:lang w:val="fr-FR" w:eastAsia="en-US"/>
        </w:rPr>
        <w:t>article 22.4)c), seules les parties contractantes de l</w:t>
      </w:r>
      <w:r w:rsidR="007379AD" w:rsidRPr="004A032C">
        <w:rPr>
          <w:rFonts w:eastAsia="Calibri"/>
          <w:spacing w:val="-2"/>
          <w:szCs w:val="22"/>
          <w:lang w:val="fr-FR" w:eastAsia="en-US"/>
        </w:rPr>
        <w:t>’</w:t>
      </w:r>
      <w:r w:rsidR="00EB0705" w:rsidRPr="004A032C">
        <w:rPr>
          <w:rFonts w:eastAsia="Calibri"/>
          <w:spacing w:val="-2"/>
          <w:szCs w:val="22"/>
          <w:lang w:val="fr-FR" w:eastAsia="en-US"/>
        </w:rPr>
        <w:t>Acte de Genève peuvent prendre part aux décisions qui ne concernent que l</w:t>
      </w:r>
      <w:r w:rsidR="007379AD" w:rsidRPr="004A032C">
        <w:rPr>
          <w:rFonts w:eastAsia="Calibri"/>
          <w:spacing w:val="-2"/>
          <w:szCs w:val="22"/>
          <w:lang w:val="fr-FR" w:eastAsia="en-US"/>
        </w:rPr>
        <w:t>’</w:t>
      </w:r>
      <w:r w:rsidR="00EB0705" w:rsidRPr="004A032C">
        <w:rPr>
          <w:rFonts w:eastAsia="Calibri"/>
          <w:spacing w:val="-2"/>
          <w:szCs w:val="22"/>
          <w:lang w:val="fr-FR" w:eastAsia="en-US"/>
        </w:rPr>
        <w:t>Acte de Genève.</w:t>
      </w:r>
      <w:r w:rsidR="0040390C" w:rsidRPr="004A032C">
        <w:rPr>
          <w:rFonts w:eastAsia="Calibri"/>
          <w:spacing w:val="-2"/>
          <w:szCs w:val="22"/>
          <w:lang w:val="fr-FR" w:eastAsia="en-US"/>
        </w:rPr>
        <w:t xml:space="preserve">  </w:t>
      </w:r>
      <w:r w:rsidR="00EB0705" w:rsidRPr="004A032C">
        <w:rPr>
          <w:rFonts w:eastAsia="Calibri"/>
          <w:spacing w:val="-2"/>
          <w:szCs w:val="22"/>
          <w:lang w:val="fr-FR" w:eastAsia="en-US"/>
        </w:rPr>
        <w:t>En conséquence, il est illusoire de parler d</w:t>
      </w:r>
      <w:r w:rsidR="007379AD" w:rsidRPr="004A032C">
        <w:rPr>
          <w:rFonts w:eastAsia="Calibri"/>
          <w:spacing w:val="-2"/>
          <w:szCs w:val="22"/>
          <w:lang w:val="fr-FR" w:eastAsia="en-US"/>
        </w:rPr>
        <w:t>’</w:t>
      </w:r>
      <w:r w:rsidR="00EB0705" w:rsidRPr="004A032C">
        <w:rPr>
          <w:rFonts w:eastAsia="Calibri"/>
          <w:spacing w:val="-2"/>
          <w:szCs w:val="22"/>
          <w:lang w:val="fr-FR" w:eastAsia="en-US"/>
        </w:rPr>
        <w:t>une seule union alors qu</w:t>
      </w:r>
      <w:r w:rsidR="007379AD" w:rsidRPr="004A032C">
        <w:rPr>
          <w:rFonts w:eastAsia="Calibri"/>
          <w:spacing w:val="-2"/>
          <w:szCs w:val="22"/>
          <w:lang w:val="fr-FR" w:eastAsia="en-US"/>
        </w:rPr>
        <w:t>’</w:t>
      </w:r>
      <w:r w:rsidR="00EB0705" w:rsidRPr="004A032C">
        <w:rPr>
          <w:rFonts w:eastAsia="Calibri"/>
          <w:spacing w:val="-2"/>
          <w:szCs w:val="22"/>
          <w:lang w:val="fr-FR" w:eastAsia="en-US"/>
        </w:rPr>
        <w:t>il y a deux</w:t>
      </w:r>
      <w:r w:rsidR="00F47E56" w:rsidRPr="004A032C">
        <w:rPr>
          <w:rFonts w:eastAsia="Calibri"/>
          <w:spacing w:val="-2"/>
          <w:szCs w:val="22"/>
          <w:lang w:val="fr-FR" w:eastAsia="en-US"/>
        </w:rPr>
        <w:t> </w:t>
      </w:r>
      <w:r w:rsidR="00EB0705" w:rsidRPr="004A032C">
        <w:rPr>
          <w:rFonts w:eastAsia="Calibri"/>
          <w:spacing w:val="-2"/>
          <w:szCs w:val="22"/>
          <w:lang w:val="fr-FR" w:eastAsia="en-US"/>
        </w:rPr>
        <w:t>entités juridiques différentes en ce qui concerne la prise de décision.</w:t>
      </w:r>
    </w:p>
    <w:p w:rsidR="004A032C" w:rsidRPr="004A032C" w:rsidRDefault="004A032C" w:rsidP="004A032C">
      <w:pPr>
        <w:rPr>
          <w:rFonts w:eastAsia="Calibri"/>
          <w:szCs w:val="22"/>
          <w:lang w:val="fr-FR" w:eastAsia="en-US"/>
        </w:rPr>
      </w:pPr>
    </w:p>
    <w:p w:rsidR="007379AD" w:rsidRPr="004A032C" w:rsidRDefault="00EB0705" w:rsidP="004A032C">
      <w:pPr>
        <w:rPr>
          <w:rFonts w:eastAsia="Calibri"/>
          <w:szCs w:val="22"/>
          <w:lang w:val="fr-FR" w:eastAsia="en-US"/>
        </w:rPr>
      </w:pPr>
      <w:r w:rsidRPr="004A032C">
        <w:rPr>
          <w:rFonts w:eastAsia="Calibri"/>
          <w:szCs w:val="22"/>
          <w:lang w:val="fr-FR" w:eastAsia="en-US"/>
        </w:rPr>
        <w:t>Outre que, d</w:t>
      </w:r>
      <w:r w:rsidR="007379AD" w:rsidRPr="004A032C">
        <w:rPr>
          <w:rFonts w:eastAsia="Calibri"/>
          <w:szCs w:val="22"/>
          <w:lang w:val="fr-FR" w:eastAsia="en-US"/>
        </w:rPr>
        <w:t>’</w:t>
      </w:r>
      <w:r w:rsidRPr="004A032C">
        <w:rPr>
          <w:rFonts w:eastAsia="Calibri"/>
          <w:szCs w:val="22"/>
          <w:lang w:val="fr-FR" w:eastAsia="en-US"/>
        </w:rPr>
        <w:t>un point de vue juridique, il y a deux</w:t>
      </w:r>
      <w:r w:rsidR="00F47E56" w:rsidRPr="004A032C">
        <w:rPr>
          <w:rFonts w:eastAsia="Calibri"/>
          <w:szCs w:val="22"/>
          <w:lang w:val="fr-FR" w:eastAsia="en-US"/>
        </w:rPr>
        <w:t> </w:t>
      </w:r>
      <w:r w:rsidRPr="004A032C">
        <w:rPr>
          <w:rFonts w:eastAsia="Calibri"/>
          <w:szCs w:val="22"/>
          <w:lang w:val="fr-FR" w:eastAsia="en-US"/>
        </w:rPr>
        <w:t>unions différentes, l</w:t>
      </w:r>
      <w:r w:rsidR="007379AD" w:rsidRPr="004A032C">
        <w:rPr>
          <w:rFonts w:eastAsia="Calibri"/>
          <w:szCs w:val="22"/>
          <w:lang w:val="fr-FR" w:eastAsia="en-US"/>
        </w:rPr>
        <w:t>’</w:t>
      </w:r>
      <w:r w:rsidRPr="004A032C">
        <w:rPr>
          <w:rFonts w:eastAsia="Calibri"/>
          <w:szCs w:val="22"/>
          <w:lang w:val="fr-FR" w:eastAsia="en-US"/>
        </w:rPr>
        <w:t>Union de Lisbonne peut avoir pour membres des entités qui ne sont pas membres de l</w:t>
      </w:r>
      <w:r w:rsidR="007379AD" w:rsidRPr="004A032C">
        <w:rPr>
          <w:rFonts w:eastAsia="Calibri"/>
          <w:szCs w:val="22"/>
          <w:lang w:val="fr-FR" w:eastAsia="en-US"/>
        </w:rPr>
        <w:t>’</w:t>
      </w:r>
      <w:r w:rsidRPr="004A032C">
        <w:rPr>
          <w:rFonts w:eastAsia="Calibri"/>
          <w:szCs w:val="22"/>
          <w:lang w:val="fr-FR" w:eastAsia="en-US"/>
        </w:rPr>
        <w:t>OMPI, telles que des organisations intergouvernementales, voire être uniquement constituée de membres qui ne sont pas parties contractantes de l</w:t>
      </w:r>
      <w:r w:rsidR="007379AD" w:rsidRPr="004A032C">
        <w:rPr>
          <w:rFonts w:eastAsia="Calibri"/>
          <w:szCs w:val="22"/>
          <w:lang w:val="fr-FR" w:eastAsia="en-US"/>
        </w:rPr>
        <w:t>’</w:t>
      </w:r>
      <w:r w:rsidRPr="004A032C">
        <w:rPr>
          <w:rFonts w:eastAsia="Calibri"/>
          <w:szCs w:val="22"/>
          <w:lang w:val="fr-FR" w:eastAsia="en-US"/>
        </w:rPr>
        <w:t>Arrangement de Lisbonne initial.</w:t>
      </w:r>
      <w:r w:rsidR="0040390C" w:rsidRPr="004A032C">
        <w:rPr>
          <w:rFonts w:eastAsia="Calibri"/>
          <w:szCs w:val="22"/>
          <w:lang w:val="fr-FR" w:eastAsia="en-US"/>
        </w:rPr>
        <w:t xml:space="preserve">  </w:t>
      </w:r>
      <w:r w:rsidRPr="004A032C">
        <w:rPr>
          <w:rFonts w:eastAsia="Calibri"/>
          <w:szCs w:val="22"/>
          <w:lang w:val="fr-FR" w:eastAsia="en-US"/>
        </w:rPr>
        <w:t>L</w:t>
      </w:r>
      <w:r w:rsidR="007379AD" w:rsidRPr="004A032C">
        <w:rPr>
          <w:rFonts w:eastAsia="Calibri"/>
          <w:szCs w:val="22"/>
          <w:lang w:val="fr-FR" w:eastAsia="en-US"/>
        </w:rPr>
        <w:t>’</w:t>
      </w:r>
      <w:r w:rsidRPr="004A032C">
        <w:rPr>
          <w:rFonts w:eastAsia="Calibri"/>
          <w:szCs w:val="22"/>
          <w:lang w:val="fr-FR" w:eastAsia="en-US"/>
        </w:rPr>
        <w:t>Union pour l</w:t>
      </w:r>
      <w:r w:rsidR="007379AD" w:rsidRPr="004A032C">
        <w:rPr>
          <w:rFonts w:eastAsia="Calibri"/>
          <w:szCs w:val="22"/>
          <w:lang w:val="fr-FR" w:eastAsia="en-US"/>
        </w:rPr>
        <w:t>’</w:t>
      </w:r>
      <w:r w:rsidRPr="004A032C">
        <w:rPr>
          <w:rFonts w:eastAsia="Calibri"/>
          <w:szCs w:val="22"/>
          <w:lang w:val="fr-FR" w:eastAsia="en-US"/>
        </w:rPr>
        <w:t>Acte de Genève n</w:t>
      </w:r>
      <w:r w:rsidR="007379AD" w:rsidRPr="004A032C">
        <w:rPr>
          <w:rFonts w:eastAsia="Calibri"/>
          <w:szCs w:val="22"/>
          <w:lang w:val="fr-FR" w:eastAsia="en-US"/>
        </w:rPr>
        <w:t>’</w:t>
      </w:r>
      <w:r w:rsidRPr="004A032C">
        <w:rPr>
          <w:rFonts w:eastAsia="Calibri"/>
          <w:szCs w:val="22"/>
          <w:lang w:val="fr-FR" w:eastAsia="en-US"/>
        </w:rPr>
        <w:t>est pas la même que l</w:t>
      </w:r>
      <w:r w:rsidR="007379AD" w:rsidRPr="004A032C">
        <w:rPr>
          <w:rFonts w:eastAsia="Calibri"/>
          <w:szCs w:val="22"/>
          <w:lang w:val="fr-FR" w:eastAsia="en-US"/>
        </w:rPr>
        <w:t>’</w:t>
      </w:r>
      <w:r w:rsidRPr="004A032C">
        <w:rPr>
          <w:rFonts w:eastAsia="Calibri"/>
          <w:szCs w:val="22"/>
          <w:lang w:val="fr-FR" w:eastAsia="en-US"/>
        </w:rPr>
        <w:t>Union de Lisbonne en ce qui concerne le vote et pourrait comprendre des membres qui ne sont pas parties à la Convention de Paris ni même à l</w:t>
      </w:r>
      <w:r w:rsidR="007379AD" w:rsidRPr="004A032C">
        <w:rPr>
          <w:rFonts w:eastAsia="Calibri"/>
          <w:szCs w:val="22"/>
          <w:lang w:val="fr-FR" w:eastAsia="en-US"/>
        </w:rPr>
        <w:t>’</w:t>
      </w:r>
      <w:r w:rsidRPr="004A032C">
        <w:rPr>
          <w:rFonts w:eastAsia="Calibri"/>
          <w:szCs w:val="22"/>
          <w:lang w:val="fr-FR" w:eastAsia="en-US"/>
        </w:rPr>
        <w:t>Arrangement de Lisbonne, ce qui prouve qu</w:t>
      </w:r>
      <w:r w:rsidR="007379AD" w:rsidRPr="004A032C">
        <w:rPr>
          <w:rFonts w:eastAsia="Calibri"/>
          <w:szCs w:val="22"/>
          <w:lang w:val="fr-FR" w:eastAsia="en-US"/>
        </w:rPr>
        <w:t>’</w:t>
      </w:r>
      <w:r w:rsidRPr="004A032C">
        <w:rPr>
          <w:rFonts w:eastAsia="Calibri"/>
          <w:szCs w:val="22"/>
          <w:lang w:val="fr-FR" w:eastAsia="en-US"/>
        </w:rPr>
        <w:t>il ne s</w:t>
      </w:r>
      <w:r w:rsidR="007379AD" w:rsidRPr="004A032C">
        <w:rPr>
          <w:rFonts w:eastAsia="Calibri"/>
          <w:szCs w:val="22"/>
          <w:lang w:val="fr-FR" w:eastAsia="en-US"/>
        </w:rPr>
        <w:t>’</w:t>
      </w:r>
      <w:r w:rsidRPr="004A032C">
        <w:rPr>
          <w:rFonts w:eastAsia="Calibri"/>
          <w:szCs w:val="22"/>
          <w:lang w:val="fr-FR" w:eastAsia="en-US"/>
        </w:rPr>
        <w:t>agit pas d</w:t>
      </w:r>
      <w:r w:rsidR="007379AD" w:rsidRPr="004A032C">
        <w:rPr>
          <w:rFonts w:eastAsia="Calibri"/>
          <w:szCs w:val="22"/>
          <w:lang w:val="fr-FR" w:eastAsia="en-US"/>
        </w:rPr>
        <w:t>’</w:t>
      </w:r>
      <w:r w:rsidRPr="004A032C">
        <w:rPr>
          <w:rFonts w:eastAsia="Calibri"/>
          <w:szCs w:val="22"/>
          <w:lang w:val="fr-FR" w:eastAsia="en-US"/>
        </w:rPr>
        <w:t>une “union particulière” établie en relation avec la Convention de Paris.</w:t>
      </w:r>
    </w:p>
    <w:p w:rsidR="00DA0F7A" w:rsidRPr="004A032C" w:rsidRDefault="00DA0F7A" w:rsidP="004A032C">
      <w:pPr>
        <w:rPr>
          <w:rFonts w:eastAsia="Calibri"/>
          <w:szCs w:val="22"/>
          <w:lang w:val="fr-FR" w:eastAsia="en-US"/>
        </w:rPr>
      </w:pPr>
    </w:p>
    <w:p w:rsidR="00DA0F7A" w:rsidRDefault="00165709" w:rsidP="004A032C">
      <w:pPr>
        <w:keepNext/>
        <w:keepLines/>
        <w:rPr>
          <w:rFonts w:eastAsia="Calibri"/>
          <w:b/>
          <w:szCs w:val="22"/>
          <w:lang w:val="fr-FR" w:eastAsia="en-US"/>
        </w:rPr>
      </w:pPr>
      <w:r w:rsidRPr="004A032C">
        <w:rPr>
          <w:rFonts w:eastAsia="Calibri"/>
          <w:b/>
          <w:szCs w:val="22"/>
          <w:lang w:val="fr-FR" w:eastAsia="en-US"/>
        </w:rPr>
        <w:lastRenderedPageBreak/>
        <w:t>Structures budgétaires différentes</w:t>
      </w:r>
    </w:p>
    <w:p w:rsidR="004A032C" w:rsidRPr="004A032C" w:rsidRDefault="004A032C" w:rsidP="004A032C">
      <w:pPr>
        <w:keepNext/>
        <w:keepLines/>
        <w:rPr>
          <w:rFonts w:eastAsia="Calibri"/>
          <w:szCs w:val="22"/>
          <w:lang w:val="fr-FR" w:eastAsia="en-US"/>
        </w:rPr>
      </w:pPr>
    </w:p>
    <w:p w:rsidR="007379AD" w:rsidRPr="004A032C" w:rsidRDefault="00165709" w:rsidP="004A032C">
      <w:pPr>
        <w:keepNext/>
        <w:keepLines/>
        <w:rPr>
          <w:rFonts w:eastAsia="Calibri"/>
          <w:szCs w:val="22"/>
          <w:lang w:val="fr-FR" w:eastAsia="en-US"/>
        </w:rPr>
      </w:pPr>
      <w:r w:rsidRPr="004A032C">
        <w:rPr>
          <w:rFonts w:eastAsia="Calibri"/>
          <w:szCs w:val="22"/>
          <w:lang w:val="fr-FR" w:eastAsia="en-US"/>
        </w:rPr>
        <w:t>Leurs budgets sont une preuve supplémentaire de l</w:t>
      </w:r>
      <w:r w:rsidR="007379AD" w:rsidRPr="004A032C">
        <w:rPr>
          <w:rFonts w:eastAsia="Calibri"/>
          <w:szCs w:val="22"/>
          <w:lang w:val="fr-FR" w:eastAsia="en-US"/>
        </w:rPr>
        <w:t>’</w:t>
      </w:r>
      <w:r w:rsidRPr="004A032C">
        <w:rPr>
          <w:rFonts w:eastAsia="Calibri"/>
          <w:szCs w:val="22"/>
          <w:lang w:val="fr-FR" w:eastAsia="en-US"/>
        </w:rPr>
        <w:t>existence de deux</w:t>
      </w:r>
      <w:r w:rsidR="00F47E56" w:rsidRPr="004A032C">
        <w:rPr>
          <w:rFonts w:eastAsia="Calibri"/>
          <w:szCs w:val="22"/>
          <w:lang w:val="fr-FR" w:eastAsia="en-US"/>
        </w:rPr>
        <w:t> </w:t>
      </w:r>
      <w:r w:rsidRPr="004A032C">
        <w:rPr>
          <w:rFonts w:eastAsia="Calibri"/>
          <w:szCs w:val="22"/>
          <w:lang w:val="fr-FR" w:eastAsia="en-US"/>
        </w:rPr>
        <w:t>unions distinctes.</w:t>
      </w:r>
      <w:r w:rsidR="0040390C" w:rsidRPr="004A032C">
        <w:rPr>
          <w:rFonts w:eastAsia="Calibri"/>
          <w:szCs w:val="22"/>
          <w:lang w:val="fr-FR" w:eastAsia="en-US"/>
        </w:rPr>
        <w:t xml:space="preserve">  </w:t>
      </w:r>
      <w:r w:rsidRPr="004A032C">
        <w:rPr>
          <w:rFonts w:eastAsia="Calibri"/>
          <w:szCs w:val="22"/>
          <w:lang w:val="fr-FR" w:eastAsia="en-US"/>
        </w:rPr>
        <w:t>Les budgets des unions de Lisbonne ont des sources de financement potentiellement différentes et les entités habilitées à prendre des décisions quant à l</w:t>
      </w:r>
      <w:r w:rsidR="007379AD" w:rsidRPr="004A032C">
        <w:rPr>
          <w:rFonts w:eastAsia="Calibri"/>
          <w:szCs w:val="22"/>
          <w:lang w:val="fr-FR" w:eastAsia="en-US"/>
        </w:rPr>
        <w:t>’</w:t>
      </w:r>
      <w:r w:rsidRPr="004A032C">
        <w:rPr>
          <w:rFonts w:eastAsia="Calibri"/>
          <w:szCs w:val="22"/>
          <w:lang w:val="fr-FR" w:eastAsia="en-US"/>
        </w:rPr>
        <w:t>utilisation de ces ressources sont aussi différentes.</w:t>
      </w:r>
      <w:r w:rsidR="0040390C" w:rsidRPr="004A032C">
        <w:rPr>
          <w:rFonts w:eastAsia="Calibri"/>
          <w:szCs w:val="22"/>
          <w:lang w:val="fr-FR" w:eastAsia="en-US"/>
        </w:rPr>
        <w:t xml:space="preserve">  </w:t>
      </w:r>
      <w:r w:rsidR="003A4918" w:rsidRPr="004A032C">
        <w:rPr>
          <w:rFonts w:eastAsia="Calibri"/>
          <w:szCs w:val="22"/>
          <w:lang w:val="fr-FR" w:eastAsia="en-US"/>
        </w:rPr>
        <w:t>L</w:t>
      </w:r>
      <w:r w:rsidR="007379AD" w:rsidRPr="004A032C">
        <w:rPr>
          <w:rFonts w:eastAsia="Calibri"/>
          <w:szCs w:val="22"/>
          <w:lang w:val="fr-FR" w:eastAsia="en-US"/>
        </w:rPr>
        <w:t>’</w:t>
      </w:r>
      <w:r w:rsidR="003A4918" w:rsidRPr="004A032C">
        <w:rPr>
          <w:rFonts w:eastAsia="Calibri"/>
          <w:szCs w:val="22"/>
          <w:lang w:val="fr-FR" w:eastAsia="en-US"/>
        </w:rPr>
        <w:t>article</w:t>
      </w:r>
      <w:r w:rsidR="00F47E56" w:rsidRPr="004A032C">
        <w:rPr>
          <w:rFonts w:eastAsia="Calibri"/>
          <w:szCs w:val="22"/>
          <w:lang w:val="fr-FR" w:eastAsia="en-US"/>
        </w:rPr>
        <w:t> </w:t>
      </w:r>
      <w:r w:rsidR="003A4918" w:rsidRPr="004A032C">
        <w:rPr>
          <w:rFonts w:eastAsia="Calibri"/>
          <w:szCs w:val="22"/>
          <w:lang w:val="fr-FR" w:eastAsia="en-US"/>
        </w:rPr>
        <w:t>24 de l</w:t>
      </w:r>
      <w:r w:rsidR="007379AD" w:rsidRPr="004A032C">
        <w:rPr>
          <w:rFonts w:eastAsia="Calibri"/>
          <w:szCs w:val="22"/>
          <w:lang w:val="fr-FR" w:eastAsia="en-US"/>
        </w:rPr>
        <w:t>’</w:t>
      </w:r>
      <w:r w:rsidR="003A4918" w:rsidRPr="004A032C">
        <w:rPr>
          <w:rFonts w:eastAsia="Calibri"/>
          <w:szCs w:val="22"/>
          <w:lang w:val="fr-FR" w:eastAsia="en-US"/>
        </w:rPr>
        <w:t>Acte de Genève prévoit que son union a un budget provenant de sources spécifiques, en particulier les taxes d</w:t>
      </w:r>
      <w:r w:rsidR="007379AD" w:rsidRPr="004A032C">
        <w:rPr>
          <w:rFonts w:eastAsia="Calibri"/>
          <w:szCs w:val="22"/>
          <w:lang w:val="fr-FR" w:eastAsia="en-US"/>
        </w:rPr>
        <w:t>’</w:t>
      </w:r>
      <w:r w:rsidR="003A4918" w:rsidRPr="004A032C">
        <w:rPr>
          <w:rFonts w:eastAsia="Calibri"/>
          <w:szCs w:val="22"/>
          <w:lang w:val="fr-FR" w:eastAsia="en-US"/>
        </w:rPr>
        <w:t>enregistrement, les contributions spéciales et “toute autre ressource provenant des parties contractantes ou des bénéficiaires”</w:t>
      </w:r>
      <w:r w:rsidR="00C559A3" w:rsidRPr="004A032C">
        <w:rPr>
          <w:rFonts w:eastAsia="Calibri"/>
          <w:szCs w:val="22"/>
          <w:lang w:val="fr-FR" w:eastAsia="en-US"/>
        </w:rPr>
        <w:t>.</w:t>
      </w:r>
      <w:r w:rsidR="0040390C" w:rsidRPr="004A032C">
        <w:rPr>
          <w:rFonts w:eastAsia="Calibri"/>
          <w:szCs w:val="22"/>
          <w:lang w:val="fr-FR" w:eastAsia="en-US"/>
        </w:rPr>
        <w:t xml:space="preserve">  </w:t>
      </w:r>
      <w:r w:rsidR="003A4918" w:rsidRPr="004A032C">
        <w:rPr>
          <w:rFonts w:eastAsia="Calibri"/>
          <w:szCs w:val="22"/>
          <w:lang w:val="fr-FR" w:eastAsia="en-US"/>
        </w:rPr>
        <w:t>L</w:t>
      </w:r>
      <w:r w:rsidR="007379AD" w:rsidRPr="004A032C">
        <w:rPr>
          <w:rFonts w:eastAsia="Calibri"/>
          <w:szCs w:val="22"/>
          <w:lang w:val="fr-FR" w:eastAsia="en-US"/>
        </w:rPr>
        <w:t>’</w:t>
      </w:r>
      <w:r w:rsidR="003A4918" w:rsidRPr="004A032C">
        <w:rPr>
          <w:rFonts w:eastAsia="Calibri"/>
          <w:szCs w:val="22"/>
          <w:lang w:val="fr-FR" w:eastAsia="en-US"/>
        </w:rPr>
        <w:t xml:space="preserve">Arrangement de Lisbonne prévoit un budget alimenté </w:t>
      </w:r>
      <w:r w:rsidR="00C559A3" w:rsidRPr="004A032C">
        <w:rPr>
          <w:rFonts w:eastAsia="Calibri"/>
          <w:szCs w:val="22"/>
          <w:lang w:val="fr-FR" w:eastAsia="en-US"/>
        </w:rPr>
        <w:t>par l</w:t>
      </w:r>
      <w:r w:rsidR="003A4918" w:rsidRPr="004A032C">
        <w:rPr>
          <w:rFonts w:eastAsia="Calibri"/>
          <w:szCs w:val="22"/>
          <w:lang w:val="fr-FR" w:eastAsia="en-US"/>
        </w:rPr>
        <w:t>es mêmes sources, mais ne prévoit pas d</w:t>
      </w:r>
      <w:r w:rsidR="007379AD" w:rsidRPr="004A032C">
        <w:rPr>
          <w:rFonts w:eastAsia="Calibri"/>
          <w:szCs w:val="22"/>
          <w:lang w:val="fr-FR" w:eastAsia="en-US"/>
        </w:rPr>
        <w:t>’</w:t>
      </w:r>
      <w:r w:rsidR="003A4918" w:rsidRPr="004A032C">
        <w:rPr>
          <w:rFonts w:eastAsia="Calibri"/>
          <w:szCs w:val="22"/>
          <w:lang w:val="fr-FR" w:eastAsia="en-US"/>
        </w:rPr>
        <w:t>autres sources de financement.</w:t>
      </w:r>
    </w:p>
    <w:p w:rsidR="00DA0F7A" w:rsidRPr="004A032C" w:rsidRDefault="00DA0F7A" w:rsidP="004A032C">
      <w:pPr>
        <w:rPr>
          <w:rFonts w:eastAsia="Calibri"/>
          <w:szCs w:val="22"/>
          <w:lang w:val="fr-FR" w:eastAsia="en-US"/>
        </w:rPr>
      </w:pPr>
    </w:p>
    <w:p w:rsidR="00DA0F7A" w:rsidRPr="004A032C" w:rsidRDefault="003A4918" w:rsidP="004A032C">
      <w:pPr>
        <w:rPr>
          <w:rFonts w:eastAsia="Calibri"/>
          <w:szCs w:val="22"/>
          <w:lang w:val="fr-FR" w:eastAsia="en-US"/>
        </w:rPr>
      </w:pPr>
      <w:r w:rsidRPr="004A032C">
        <w:rPr>
          <w:rFonts w:eastAsia="Calibri"/>
          <w:szCs w:val="22"/>
          <w:lang w:val="fr-FR" w:eastAsia="en-US"/>
        </w:rPr>
        <w:t xml:space="preserve">Durant la conférence diplomatique, des débats </w:t>
      </w:r>
      <w:r w:rsidR="000B5A3C" w:rsidRPr="004A032C">
        <w:rPr>
          <w:rFonts w:eastAsia="Calibri"/>
          <w:szCs w:val="22"/>
          <w:lang w:val="fr-FR" w:eastAsia="en-US"/>
        </w:rPr>
        <w:t>prolongés</w:t>
      </w:r>
      <w:r w:rsidRPr="004A032C">
        <w:rPr>
          <w:rFonts w:eastAsia="Calibri"/>
          <w:szCs w:val="22"/>
          <w:lang w:val="fr-FR" w:eastAsia="en-US"/>
        </w:rPr>
        <w:t xml:space="preserve"> ont eu lieu sur la nécessité pour les parties contractantes de l</w:t>
      </w:r>
      <w:r w:rsidR="007379AD" w:rsidRPr="004A032C">
        <w:rPr>
          <w:rFonts w:eastAsia="Calibri"/>
          <w:szCs w:val="22"/>
          <w:lang w:val="fr-FR" w:eastAsia="en-US"/>
        </w:rPr>
        <w:t>’</w:t>
      </w:r>
      <w:r w:rsidRPr="004A032C">
        <w:rPr>
          <w:rFonts w:eastAsia="Calibri"/>
          <w:szCs w:val="22"/>
          <w:lang w:val="fr-FR" w:eastAsia="en-US"/>
        </w:rPr>
        <w:t>Acte de Genève de créer un système qui soit autofinancé.</w:t>
      </w:r>
      <w:r w:rsidR="0040390C" w:rsidRPr="004A032C">
        <w:rPr>
          <w:rFonts w:eastAsia="Calibri"/>
          <w:szCs w:val="22"/>
          <w:lang w:val="fr-FR" w:eastAsia="en-US"/>
        </w:rPr>
        <w:t xml:space="preserve">  </w:t>
      </w:r>
      <w:r w:rsidRPr="004A032C">
        <w:rPr>
          <w:rFonts w:eastAsia="Calibri"/>
          <w:szCs w:val="22"/>
          <w:lang w:val="fr-FR" w:eastAsia="en-US"/>
        </w:rPr>
        <w:t>Il avait été indiqué que l</w:t>
      </w:r>
      <w:r w:rsidR="007379AD" w:rsidRPr="004A032C">
        <w:rPr>
          <w:rFonts w:eastAsia="Calibri"/>
          <w:szCs w:val="22"/>
          <w:lang w:val="fr-FR" w:eastAsia="en-US"/>
        </w:rPr>
        <w:t>’</w:t>
      </w:r>
      <w:r w:rsidRPr="004A032C">
        <w:rPr>
          <w:rFonts w:eastAsia="Calibri"/>
          <w:szCs w:val="22"/>
          <w:lang w:val="fr-FR" w:eastAsia="en-US"/>
        </w:rPr>
        <w:t>Arrangement de Lisbonne n</w:t>
      </w:r>
      <w:r w:rsidR="007379AD" w:rsidRPr="004A032C">
        <w:rPr>
          <w:rFonts w:eastAsia="Calibri"/>
          <w:szCs w:val="22"/>
          <w:lang w:val="fr-FR" w:eastAsia="en-US"/>
        </w:rPr>
        <w:t>’</w:t>
      </w:r>
      <w:r w:rsidRPr="004A032C">
        <w:rPr>
          <w:rFonts w:eastAsia="Calibri"/>
          <w:szCs w:val="22"/>
          <w:lang w:val="fr-FR" w:eastAsia="en-US"/>
        </w:rPr>
        <w:t>était pas financièrement autonome et que, malgré un déficit de financement, les taxes n</w:t>
      </w:r>
      <w:r w:rsidR="007379AD" w:rsidRPr="004A032C">
        <w:rPr>
          <w:rFonts w:eastAsia="Calibri"/>
          <w:szCs w:val="22"/>
          <w:lang w:val="fr-FR" w:eastAsia="en-US"/>
        </w:rPr>
        <w:t>’</w:t>
      </w:r>
      <w:r w:rsidR="00435956" w:rsidRPr="004A032C">
        <w:rPr>
          <w:rFonts w:eastAsia="Calibri"/>
          <w:szCs w:val="22"/>
          <w:lang w:val="fr-FR" w:eastAsia="en-US"/>
        </w:rPr>
        <w:t>avaient</w:t>
      </w:r>
      <w:r w:rsidRPr="004A032C">
        <w:rPr>
          <w:rFonts w:eastAsia="Calibri"/>
          <w:szCs w:val="22"/>
          <w:lang w:val="fr-FR" w:eastAsia="en-US"/>
        </w:rPr>
        <w:t xml:space="preserve"> pas été augmentées en plus de vingt ans.</w:t>
      </w:r>
      <w:r w:rsidR="0040390C" w:rsidRPr="004A032C">
        <w:rPr>
          <w:rFonts w:eastAsia="Calibri"/>
          <w:szCs w:val="22"/>
          <w:lang w:val="fr-FR" w:eastAsia="en-US"/>
        </w:rPr>
        <w:t xml:space="preserve">  </w:t>
      </w:r>
      <w:r w:rsidRPr="004A032C">
        <w:rPr>
          <w:rFonts w:eastAsia="Calibri"/>
          <w:szCs w:val="22"/>
          <w:lang w:val="fr-FR" w:eastAsia="en-US"/>
        </w:rPr>
        <w:t>Aux termes de l</w:t>
      </w:r>
      <w:r w:rsidR="007379AD" w:rsidRPr="004A032C">
        <w:rPr>
          <w:rFonts w:eastAsia="Calibri"/>
          <w:szCs w:val="22"/>
          <w:lang w:val="fr-FR" w:eastAsia="en-US"/>
        </w:rPr>
        <w:t>’</w:t>
      </w:r>
      <w:r w:rsidRPr="004A032C">
        <w:rPr>
          <w:rFonts w:eastAsia="Calibri"/>
          <w:szCs w:val="22"/>
          <w:lang w:val="fr-FR" w:eastAsia="en-US"/>
        </w:rPr>
        <w:t>Acte de Genève et de l</w:t>
      </w:r>
      <w:r w:rsidR="007379AD" w:rsidRPr="004A032C">
        <w:rPr>
          <w:rFonts w:eastAsia="Calibri"/>
          <w:szCs w:val="22"/>
          <w:lang w:val="fr-FR" w:eastAsia="en-US"/>
        </w:rPr>
        <w:t>’</w:t>
      </w:r>
      <w:r w:rsidRPr="004A032C">
        <w:rPr>
          <w:rFonts w:eastAsia="Calibri"/>
          <w:szCs w:val="22"/>
          <w:lang w:val="fr-FR" w:eastAsia="en-US"/>
        </w:rPr>
        <w:t>Arrangement de Lisbonne, les parties contractantes de chacun de ces instruments — bien qu</w:t>
      </w:r>
      <w:r w:rsidR="007379AD" w:rsidRPr="004A032C">
        <w:rPr>
          <w:rFonts w:eastAsia="Calibri"/>
          <w:szCs w:val="22"/>
          <w:lang w:val="fr-FR" w:eastAsia="en-US"/>
        </w:rPr>
        <w:t>’</w:t>
      </w:r>
      <w:r w:rsidRPr="004A032C">
        <w:rPr>
          <w:rFonts w:eastAsia="Calibri"/>
          <w:szCs w:val="22"/>
          <w:lang w:val="fr-FR" w:eastAsia="en-US"/>
        </w:rPr>
        <w:t>elles soient censées partagées une même union et une même assemblée — pourraient choisir des modes de financement différents.</w:t>
      </w:r>
      <w:r w:rsidR="0040390C" w:rsidRPr="004A032C">
        <w:rPr>
          <w:rFonts w:eastAsia="Calibri"/>
          <w:szCs w:val="22"/>
          <w:lang w:val="fr-FR" w:eastAsia="en-US"/>
        </w:rPr>
        <w:t xml:space="preserve">  </w:t>
      </w:r>
      <w:r w:rsidR="00AF1CF5" w:rsidRPr="004A032C">
        <w:rPr>
          <w:rFonts w:eastAsia="Calibri"/>
          <w:szCs w:val="22"/>
          <w:lang w:val="fr-FR" w:eastAsia="en-US"/>
        </w:rPr>
        <w:t>Par exemple, les parties contractantes de l</w:t>
      </w:r>
      <w:r w:rsidR="007379AD" w:rsidRPr="004A032C">
        <w:rPr>
          <w:rFonts w:eastAsia="Calibri"/>
          <w:szCs w:val="22"/>
          <w:lang w:val="fr-FR" w:eastAsia="en-US"/>
        </w:rPr>
        <w:t>’</w:t>
      </w:r>
      <w:r w:rsidR="00AF1CF5" w:rsidRPr="004A032C">
        <w:rPr>
          <w:rFonts w:eastAsia="Calibri"/>
          <w:szCs w:val="22"/>
          <w:lang w:val="fr-FR" w:eastAsia="en-US"/>
        </w:rPr>
        <w:t>Acte de Genève pourraient, compte tenu de l</w:t>
      </w:r>
      <w:r w:rsidR="007379AD" w:rsidRPr="004A032C">
        <w:rPr>
          <w:rFonts w:eastAsia="Calibri"/>
          <w:szCs w:val="22"/>
          <w:lang w:val="fr-FR" w:eastAsia="en-US"/>
        </w:rPr>
        <w:t>’</w:t>
      </w:r>
      <w:r w:rsidR="00AF1CF5" w:rsidRPr="004A032C">
        <w:rPr>
          <w:rFonts w:eastAsia="Calibri"/>
          <w:szCs w:val="22"/>
          <w:lang w:val="fr-FR" w:eastAsia="en-US"/>
        </w:rPr>
        <w:t>accent mis sur la viabilité financière lors de la conférence diplomatique, décider de fixer des taxes pour tenter de recouvrer des coûts croissants, ou de prélever des contributions.</w:t>
      </w:r>
      <w:r w:rsidR="0040390C" w:rsidRPr="004A032C">
        <w:rPr>
          <w:rFonts w:eastAsia="Calibri"/>
          <w:szCs w:val="22"/>
          <w:lang w:val="fr-FR" w:eastAsia="en-US"/>
        </w:rPr>
        <w:t xml:space="preserve">  </w:t>
      </w:r>
      <w:r w:rsidR="00AF1CF5" w:rsidRPr="004A032C">
        <w:rPr>
          <w:rFonts w:eastAsia="Calibri"/>
          <w:szCs w:val="22"/>
          <w:lang w:val="fr-FR" w:eastAsia="en-US"/>
        </w:rPr>
        <w:t>Le déficit passé de l</w:t>
      </w:r>
      <w:r w:rsidR="007379AD" w:rsidRPr="004A032C">
        <w:rPr>
          <w:rFonts w:eastAsia="Calibri"/>
          <w:szCs w:val="22"/>
          <w:lang w:val="fr-FR" w:eastAsia="en-US"/>
        </w:rPr>
        <w:t>’</w:t>
      </w:r>
      <w:r w:rsidR="00AF1CF5" w:rsidRPr="004A032C">
        <w:rPr>
          <w:rFonts w:eastAsia="Calibri"/>
          <w:szCs w:val="22"/>
          <w:lang w:val="fr-FR" w:eastAsia="en-US"/>
        </w:rPr>
        <w:t>Arrangement de Lisbonne pourrait quant à lui être comblé, comme le prévoit l</w:t>
      </w:r>
      <w:r w:rsidR="007379AD" w:rsidRPr="004A032C">
        <w:rPr>
          <w:rFonts w:eastAsia="Calibri"/>
          <w:szCs w:val="22"/>
          <w:lang w:val="fr-FR" w:eastAsia="en-US"/>
        </w:rPr>
        <w:t>’</w:t>
      </w:r>
      <w:r w:rsidR="00AF1CF5" w:rsidRPr="004A032C">
        <w:rPr>
          <w:rFonts w:eastAsia="Calibri"/>
          <w:szCs w:val="22"/>
          <w:lang w:val="fr-FR" w:eastAsia="en-US"/>
        </w:rPr>
        <w:t xml:space="preserve">arrangement, </w:t>
      </w:r>
      <w:r w:rsidR="000B5A3C" w:rsidRPr="004A032C">
        <w:rPr>
          <w:rFonts w:eastAsia="Calibri"/>
          <w:szCs w:val="22"/>
          <w:lang w:val="fr-FR" w:eastAsia="en-US"/>
        </w:rPr>
        <w:t>par</w:t>
      </w:r>
      <w:r w:rsidR="00AF1CF5" w:rsidRPr="004A032C">
        <w:rPr>
          <w:rFonts w:eastAsia="Calibri"/>
          <w:szCs w:val="22"/>
          <w:lang w:val="fr-FR" w:eastAsia="en-US"/>
        </w:rPr>
        <w:t xml:space="preserve"> le Gouvernement du pays hôte, </w:t>
      </w:r>
      <w:r w:rsidR="007379AD" w:rsidRPr="004A032C">
        <w:rPr>
          <w:rFonts w:eastAsia="Calibri"/>
          <w:szCs w:val="22"/>
          <w:lang w:val="fr-FR" w:eastAsia="en-US"/>
        </w:rPr>
        <w:t>à savoir</w:t>
      </w:r>
      <w:r w:rsidR="00AF1CF5" w:rsidRPr="004A032C">
        <w:rPr>
          <w:rFonts w:eastAsia="Calibri"/>
          <w:szCs w:val="22"/>
          <w:lang w:val="fr-FR" w:eastAsia="en-US"/>
        </w:rPr>
        <w:t xml:space="preserve"> la Suisse.</w:t>
      </w:r>
      <w:r w:rsidR="0040390C" w:rsidRPr="004A032C">
        <w:rPr>
          <w:rFonts w:eastAsia="Calibri"/>
          <w:szCs w:val="22"/>
          <w:lang w:val="fr-FR" w:eastAsia="en-US"/>
        </w:rPr>
        <w:t xml:space="preserve">  </w:t>
      </w:r>
      <w:r w:rsidR="00AF1CF5" w:rsidRPr="004A032C">
        <w:rPr>
          <w:rFonts w:eastAsia="Calibri"/>
          <w:szCs w:val="22"/>
          <w:lang w:val="fr-FR" w:eastAsia="en-US"/>
        </w:rPr>
        <w:t>Ces sources de financement disparates démontrent que, concrètement, l</w:t>
      </w:r>
      <w:r w:rsidR="007379AD" w:rsidRPr="004A032C">
        <w:rPr>
          <w:rFonts w:eastAsia="Calibri"/>
          <w:szCs w:val="22"/>
          <w:lang w:val="fr-FR" w:eastAsia="en-US"/>
        </w:rPr>
        <w:t>’</w:t>
      </w:r>
      <w:r w:rsidR="00AF1CF5" w:rsidRPr="004A032C">
        <w:rPr>
          <w:rFonts w:eastAsia="Calibri"/>
          <w:szCs w:val="22"/>
          <w:lang w:val="fr-FR" w:eastAsia="en-US"/>
        </w:rPr>
        <w:t>Union de Lisbonne pour l</w:t>
      </w:r>
      <w:r w:rsidR="007379AD" w:rsidRPr="004A032C">
        <w:rPr>
          <w:rFonts w:eastAsia="Calibri"/>
          <w:szCs w:val="22"/>
          <w:lang w:val="fr-FR" w:eastAsia="en-US"/>
        </w:rPr>
        <w:t>’</w:t>
      </w:r>
      <w:r w:rsidR="00AF1CF5" w:rsidRPr="004A032C">
        <w:rPr>
          <w:rFonts w:eastAsia="Calibri"/>
          <w:szCs w:val="22"/>
          <w:lang w:val="fr-FR" w:eastAsia="en-US"/>
        </w:rPr>
        <w:t>Acte de Genève est une union différente de l</w:t>
      </w:r>
      <w:r w:rsidR="007379AD" w:rsidRPr="004A032C">
        <w:rPr>
          <w:rFonts w:eastAsia="Calibri"/>
          <w:szCs w:val="22"/>
          <w:lang w:val="fr-FR" w:eastAsia="en-US"/>
        </w:rPr>
        <w:t>’</w:t>
      </w:r>
      <w:r w:rsidR="00AF1CF5" w:rsidRPr="004A032C">
        <w:rPr>
          <w:rFonts w:eastAsia="Calibri"/>
          <w:szCs w:val="22"/>
          <w:lang w:val="fr-FR" w:eastAsia="en-US"/>
        </w:rPr>
        <w:t>Union de Lisbonne pour l</w:t>
      </w:r>
      <w:r w:rsidR="007379AD" w:rsidRPr="004A032C">
        <w:rPr>
          <w:rFonts w:eastAsia="Calibri"/>
          <w:szCs w:val="22"/>
          <w:lang w:val="fr-FR" w:eastAsia="en-US"/>
        </w:rPr>
        <w:t>’</w:t>
      </w:r>
      <w:r w:rsidR="00AF1CF5" w:rsidRPr="004A032C">
        <w:rPr>
          <w:rFonts w:eastAsia="Calibri"/>
          <w:szCs w:val="22"/>
          <w:lang w:val="fr-FR" w:eastAsia="en-US"/>
        </w:rPr>
        <w:t>Arrangement de Lisbonne et l</w:t>
      </w:r>
      <w:r w:rsidR="007379AD" w:rsidRPr="004A032C">
        <w:rPr>
          <w:rFonts w:eastAsia="Calibri"/>
          <w:szCs w:val="22"/>
          <w:lang w:val="fr-FR" w:eastAsia="en-US"/>
        </w:rPr>
        <w:t>’</w:t>
      </w:r>
      <w:r w:rsidR="00AF1CF5" w:rsidRPr="004A032C">
        <w:rPr>
          <w:rFonts w:eastAsia="Calibri"/>
          <w:szCs w:val="22"/>
          <w:lang w:val="fr-FR" w:eastAsia="en-US"/>
        </w:rPr>
        <w:t>Acte de</w:t>
      </w:r>
      <w:r w:rsidR="00F47E56" w:rsidRPr="004A032C">
        <w:rPr>
          <w:rFonts w:eastAsia="Calibri"/>
          <w:szCs w:val="22"/>
          <w:lang w:val="fr-FR" w:eastAsia="en-US"/>
        </w:rPr>
        <w:t> </w:t>
      </w:r>
      <w:r w:rsidR="00AF1CF5" w:rsidRPr="004A032C">
        <w:rPr>
          <w:rFonts w:eastAsia="Calibri"/>
          <w:szCs w:val="22"/>
          <w:lang w:val="fr-FR" w:eastAsia="en-US"/>
        </w:rPr>
        <w:t>1967.</w:t>
      </w:r>
    </w:p>
    <w:p w:rsidR="00DA0F7A" w:rsidRPr="004A032C" w:rsidRDefault="00DA0F7A" w:rsidP="004A032C">
      <w:pPr>
        <w:rPr>
          <w:rFonts w:eastAsia="Calibri"/>
          <w:szCs w:val="22"/>
          <w:lang w:val="fr-FR" w:eastAsia="en-US"/>
        </w:rPr>
      </w:pPr>
    </w:p>
    <w:p w:rsidR="007379AD" w:rsidRPr="004A032C" w:rsidRDefault="00BB58AC" w:rsidP="004A032C">
      <w:pPr>
        <w:rPr>
          <w:rFonts w:eastAsia="Calibri"/>
          <w:szCs w:val="22"/>
          <w:lang w:val="fr-FR" w:eastAsia="en-US"/>
        </w:rPr>
      </w:pPr>
      <w:r w:rsidRPr="004A032C">
        <w:rPr>
          <w:rFonts w:eastAsia="Calibri"/>
          <w:szCs w:val="22"/>
          <w:lang w:val="fr-FR" w:eastAsia="en-US"/>
        </w:rPr>
        <w:t>Même si les parties contractantes de l</w:t>
      </w:r>
      <w:r w:rsidR="007379AD" w:rsidRPr="004A032C">
        <w:rPr>
          <w:rFonts w:eastAsia="Calibri"/>
          <w:szCs w:val="22"/>
          <w:lang w:val="fr-FR" w:eastAsia="en-US"/>
        </w:rPr>
        <w:t>’</w:t>
      </w:r>
      <w:r w:rsidRPr="004A032C">
        <w:rPr>
          <w:rFonts w:eastAsia="Calibri"/>
          <w:szCs w:val="22"/>
          <w:lang w:val="fr-FR" w:eastAsia="en-US"/>
        </w:rPr>
        <w:t>Acte de Genève peuvent être considérées comme membres de l</w:t>
      </w:r>
      <w:r w:rsidR="007379AD" w:rsidRPr="004A032C">
        <w:rPr>
          <w:rFonts w:eastAsia="Calibri"/>
          <w:szCs w:val="22"/>
          <w:lang w:val="fr-FR" w:eastAsia="en-US"/>
        </w:rPr>
        <w:t>’</w:t>
      </w:r>
      <w:r w:rsidRPr="004A032C">
        <w:rPr>
          <w:rFonts w:eastAsia="Calibri"/>
          <w:szCs w:val="22"/>
          <w:lang w:val="fr-FR" w:eastAsia="en-US"/>
        </w:rPr>
        <w:t>actuelle Union particulière de Lisbonne, il est illogique et juridiquement infondé d</w:t>
      </w:r>
      <w:r w:rsidR="007379AD" w:rsidRPr="004A032C">
        <w:rPr>
          <w:rFonts w:eastAsia="Calibri"/>
          <w:szCs w:val="22"/>
          <w:lang w:val="fr-FR" w:eastAsia="en-US"/>
        </w:rPr>
        <w:t>’</w:t>
      </w:r>
      <w:r w:rsidRPr="004A032C">
        <w:rPr>
          <w:rFonts w:eastAsia="Calibri"/>
          <w:szCs w:val="22"/>
          <w:lang w:val="fr-FR" w:eastAsia="en-US"/>
        </w:rPr>
        <w:t>interpréter la Convention instituant l</w:t>
      </w:r>
      <w:r w:rsidR="007379AD" w:rsidRPr="004A032C">
        <w:rPr>
          <w:rFonts w:eastAsia="Calibri"/>
          <w:szCs w:val="22"/>
          <w:lang w:val="fr-FR" w:eastAsia="en-US"/>
        </w:rPr>
        <w:t>’</w:t>
      </w:r>
      <w:r w:rsidRPr="004A032C">
        <w:rPr>
          <w:rFonts w:eastAsia="Calibri"/>
          <w:szCs w:val="22"/>
          <w:lang w:val="fr-FR" w:eastAsia="en-US"/>
        </w:rPr>
        <w:t xml:space="preserve">OMPI comme autorisant une union particulière, </w:t>
      </w:r>
      <w:r w:rsidR="00C559A3" w:rsidRPr="004A032C">
        <w:rPr>
          <w:rFonts w:eastAsia="Calibri"/>
          <w:szCs w:val="22"/>
          <w:lang w:val="fr-FR" w:eastAsia="en-US"/>
        </w:rPr>
        <w:t>surtout si elle est</w:t>
      </w:r>
      <w:r w:rsidRPr="004A032C">
        <w:rPr>
          <w:rFonts w:eastAsia="Calibri"/>
          <w:szCs w:val="22"/>
          <w:lang w:val="fr-FR" w:eastAsia="en-US"/>
        </w:rPr>
        <w:t xml:space="preserve"> composée d</w:t>
      </w:r>
      <w:r w:rsidR="007379AD" w:rsidRPr="004A032C">
        <w:rPr>
          <w:rFonts w:eastAsia="Calibri"/>
          <w:szCs w:val="22"/>
          <w:lang w:val="fr-FR" w:eastAsia="en-US"/>
        </w:rPr>
        <w:t>’</w:t>
      </w:r>
      <w:r w:rsidRPr="004A032C">
        <w:rPr>
          <w:rFonts w:eastAsia="Calibri"/>
          <w:szCs w:val="22"/>
          <w:lang w:val="fr-FR" w:eastAsia="en-US"/>
        </w:rPr>
        <w:t>un sous</w:t>
      </w:r>
      <w:r w:rsidR="00A24F52" w:rsidRPr="004A032C">
        <w:rPr>
          <w:rFonts w:eastAsia="Calibri"/>
          <w:szCs w:val="22"/>
          <w:lang w:val="fr-FR" w:eastAsia="en-US"/>
        </w:rPr>
        <w:noBreakHyphen/>
      </w:r>
      <w:r w:rsidRPr="004A032C">
        <w:rPr>
          <w:rFonts w:eastAsia="Calibri"/>
          <w:szCs w:val="22"/>
          <w:lang w:val="fr-FR" w:eastAsia="en-US"/>
        </w:rPr>
        <w:t>ensemble de membres de l</w:t>
      </w:r>
      <w:r w:rsidR="007379AD" w:rsidRPr="004A032C">
        <w:rPr>
          <w:rFonts w:eastAsia="Calibri"/>
          <w:szCs w:val="22"/>
          <w:lang w:val="fr-FR" w:eastAsia="en-US"/>
        </w:rPr>
        <w:t>’</w:t>
      </w:r>
      <w:r w:rsidRPr="004A032C">
        <w:rPr>
          <w:rFonts w:eastAsia="Calibri"/>
          <w:szCs w:val="22"/>
          <w:lang w:val="fr-FR" w:eastAsia="en-US"/>
        </w:rPr>
        <w:t xml:space="preserve">OMPI, à dicter unilatéralement les tâches administratives, </w:t>
      </w:r>
      <w:r w:rsidR="007379AD" w:rsidRPr="004A032C">
        <w:rPr>
          <w:rFonts w:eastAsia="Calibri"/>
          <w:szCs w:val="22"/>
          <w:lang w:val="fr-FR" w:eastAsia="en-US"/>
        </w:rPr>
        <w:t>y compris</w:t>
      </w:r>
      <w:r w:rsidRPr="004A032C">
        <w:rPr>
          <w:rFonts w:eastAsia="Calibri"/>
          <w:szCs w:val="22"/>
          <w:lang w:val="fr-FR" w:eastAsia="en-US"/>
        </w:rPr>
        <w:t xml:space="preserve"> l</w:t>
      </w:r>
      <w:r w:rsidR="007379AD" w:rsidRPr="004A032C">
        <w:rPr>
          <w:rFonts w:eastAsia="Calibri"/>
          <w:szCs w:val="22"/>
          <w:lang w:val="fr-FR" w:eastAsia="en-US"/>
        </w:rPr>
        <w:t>’</w:t>
      </w:r>
      <w:r w:rsidRPr="004A032C">
        <w:rPr>
          <w:rFonts w:eastAsia="Calibri"/>
          <w:szCs w:val="22"/>
          <w:lang w:val="fr-FR" w:eastAsia="en-US"/>
        </w:rPr>
        <w:t>administration d</w:t>
      </w:r>
      <w:r w:rsidR="007379AD" w:rsidRPr="004A032C">
        <w:rPr>
          <w:rFonts w:eastAsia="Calibri"/>
          <w:szCs w:val="22"/>
          <w:lang w:val="fr-FR" w:eastAsia="en-US"/>
        </w:rPr>
        <w:t>’</w:t>
      </w:r>
      <w:r w:rsidRPr="004A032C">
        <w:rPr>
          <w:rFonts w:eastAsia="Calibri"/>
          <w:szCs w:val="22"/>
          <w:lang w:val="fr-FR" w:eastAsia="en-US"/>
        </w:rPr>
        <w:t>un nouvel arrangement international, que l</w:t>
      </w:r>
      <w:r w:rsidR="007379AD" w:rsidRPr="004A032C">
        <w:rPr>
          <w:rFonts w:eastAsia="Calibri"/>
          <w:szCs w:val="22"/>
          <w:lang w:val="fr-FR" w:eastAsia="en-US"/>
        </w:rPr>
        <w:t>’</w:t>
      </w:r>
      <w:r w:rsidRPr="004A032C">
        <w:rPr>
          <w:rFonts w:eastAsia="Calibri"/>
          <w:szCs w:val="22"/>
          <w:lang w:val="fr-FR" w:eastAsia="en-US"/>
        </w:rPr>
        <w:t>Organisation doit remplir.</w:t>
      </w:r>
      <w:r w:rsidR="0040390C" w:rsidRPr="004A032C">
        <w:rPr>
          <w:rFonts w:eastAsia="Calibri"/>
          <w:szCs w:val="22"/>
          <w:lang w:val="fr-FR" w:eastAsia="en-US"/>
        </w:rPr>
        <w:t xml:space="preserve">  </w:t>
      </w:r>
      <w:r w:rsidR="00ED1AEC" w:rsidRPr="004A032C">
        <w:rPr>
          <w:rFonts w:eastAsia="Calibri"/>
          <w:szCs w:val="22"/>
          <w:lang w:val="fr-FR" w:eastAsia="en-US"/>
        </w:rPr>
        <w:t>Une telle interprétation non seulement ne tient pas compte du pouvoir discrétionnaire dévolu à l</w:t>
      </w:r>
      <w:r w:rsidR="007379AD" w:rsidRPr="004A032C">
        <w:rPr>
          <w:rFonts w:eastAsia="Calibri"/>
          <w:szCs w:val="22"/>
          <w:lang w:val="fr-FR" w:eastAsia="en-US"/>
        </w:rPr>
        <w:t>’</w:t>
      </w:r>
      <w:r w:rsidR="00ED1AEC" w:rsidRPr="004A032C">
        <w:rPr>
          <w:rFonts w:eastAsia="Calibri"/>
          <w:szCs w:val="22"/>
          <w:lang w:val="fr-FR" w:eastAsia="en-US"/>
        </w:rPr>
        <w:t>Organisation par les articles 4 et 6, mais elle pourrait aboutir à une situation dans laquelle deux</w:t>
      </w:r>
      <w:r w:rsidR="00F47E56" w:rsidRPr="004A032C">
        <w:rPr>
          <w:rFonts w:eastAsia="Calibri"/>
          <w:szCs w:val="22"/>
          <w:lang w:val="fr-FR" w:eastAsia="en-US"/>
        </w:rPr>
        <w:t> </w:t>
      </w:r>
      <w:r w:rsidR="00ED1AEC" w:rsidRPr="004A032C">
        <w:rPr>
          <w:rFonts w:eastAsia="Calibri"/>
          <w:szCs w:val="22"/>
          <w:lang w:val="fr-FR" w:eastAsia="en-US"/>
        </w:rPr>
        <w:t>unions dicteraient des tâches contradictoires alors qu</w:t>
      </w:r>
      <w:r w:rsidR="007379AD" w:rsidRPr="004A032C">
        <w:rPr>
          <w:rFonts w:eastAsia="Calibri"/>
          <w:szCs w:val="22"/>
          <w:lang w:val="fr-FR" w:eastAsia="en-US"/>
        </w:rPr>
        <w:t>’</w:t>
      </w:r>
      <w:r w:rsidR="00ED1AEC" w:rsidRPr="004A032C">
        <w:rPr>
          <w:rFonts w:eastAsia="Calibri"/>
          <w:szCs w:val="22"/>
          <w:lang w:val="fr-FR" w:eastAsia="en-US"/>
        </w:rPr>
        <w:t>aucune n</w:t>
      </w:r>
      <w:r w:rsidR="007379AD" w:rsidRPr="004A032C">
        <w:rPr>
          <w:rFonts w:eastAsia="Calibri"/>
          <w:szCs w:val="22"/>
          <w:lang w:val="fr-FR" w:eastAsia="en-US"/>
        </w:rPr>
        <w:t>’</w:t>
      </w:r>
      <w:r w:rsidR="00ED1AEC" w:rsidRPr="004A032C">
        <w:rPr>
          <w:rFonts w:eastAsia="Calibri"/>
          <w:szCs w:val="22"/>
          <w:lang w:val="fr-FR" w:eastAsia="en-US"/>
        </w:rPr>
        <w:t>assumerait de responsabilité financière.</w:t>
      </w:r>
      <w:r w:rsidR="0040390C" w:rsidRPr="004A032C">
        <w:rPr>
          <w:rFonts w:eastAsia="Calibri"/>
          <w:szCs w:val="22"/>
          <w:lang w:val="fr-FR" w:eastAsia="en-US"/>
        </w:rPr>
        <w:t xml:space="preserve">  </w:t>
      </w:r>
      <w:r w:rsidR="00ED1AEC" w:rsidRPr="004A032C">
        <w:rPr>
          <w:rFonts w:eastAsia="Calibri"/>
          <w:szCs w:val="22"/>
          <w:lang w:val="fr-FR" w:eastAsia="en-US"/>
        </w:rPr>
        <w:t>Certes, l</w:t>
      </w:r>
      <w:r w:rsidR="007379AD" w:rsidRPr="004A032C">
        <w:rPr>
          <w:rFonts w:eastAsia="Calibri"/>
          <w:szCs w:val="22"/>
          <w:lang w:val="fr-FR" w:eastAsia="en-US"/>
        </w:rPr>
        <w:t>’</w:t>
      </w:r>
      <w:r w:rsidR="00ED1AEC" w:rsidRPr="004A032C">
        <w:rPr>
          <w:rFonts w:eastAsia="Calibri"/>
          <w:szCs w:val="22"/>
          <w:lang w:val="fr-FR" w:eastAsia="en-US"/>
        </w:rPr>
        <w:t>article 19 de la Convention de Paris reconnaît que les pays de l</w:t>
      </w:r>
      <w:r w:rsidR="007379AD" w:rsidRPr="004A032C">
        <w:rPr>
          <w:rFonts w:eastAsia="Calibri"/>
          <w:szCs w:val="22"/>
          <w:lang w:val="fr-FR" w:eastAsia="en-US"/>
        </w:rPr>
        <w:t>’</w:t>
      </w:r>
      <w:r w:rsidR="00ED1AEC" w:rsidRPr="004A032C">
        <w:rPr>
          <w:rFonts w:eastAsia="Calibri"/>
          <w:szCs w:val="22"/>
          <w:lang w:val="fr-FR" w:eastAsia="en-US"/>
        </w:rPr>
        <w:t>Union de Paris peuvent prendre en</w:t>
      </w:r>
      <w:r w:rsidR="00C559A3" w:rsidRPr="004A032C">
        <w:rPr>
          <w:rFonts w:eastAsia="Calibri"/>
          <w:szCs w:val="22"/>
          <w:lang w:val="fr-FR" w:eastAsia="en-US"/>
        </w:rPr>
        <w:t>tre</w:t>
      </w:r>
      <w:r w:rsidR="00ED1AEC" w:rsidRPr="004A032C">
        <w:rPr>
          <w:rFonts w:eastAsia="Calibri"/>
          <w:szCs w:val="22"/>
          <w:lang w:val="fr-FR" w:eastAsia="en-US"/>
        </w:rPr>
        <w:t xml:space="preserve"> eux des arrangements distincts pour la protection de la propriété intellectuelle, et rien n</w:t>
      </w:r>
      <w:r w:rsidR="007379AD" w:rsidRPr="004A032C">
        <w:rPr>
          <w:rFonts w:eastAsia="Calibri"/>
          <w:szCs w:val="22"/>
          <w:lang w:val="fr-FR" w:eastAsia="en-US"/>
        </w:rPr>
        <w:t>’</w:t>
      </w:r>
      <w:r w:rsidR="00ED1AEC" w:rsidRPr="004A032C">
        <w:rPr>
          <w:rFonts w:eastAsia="Calibri"/>
          <w:szCs w:val="22"/>
          <w:lang w:val="fr-FR" w:eastAsia="en-US"/>
        </w:rPr>
        <w:t>empêche de considérer l</w:t>
      </w:r>
      <w:r w:rsidR="007379AD" w:rsidRPr="004A032C">
        <w:rPr>
          <w:rFonts w:eastAsia="Calibri"/>
          <w:szCs w:val="22"/>
          <w:lang w:val="fr-FR" w:eastAsia="en-US"/>
        </w:rPr>
        <w:t>’</w:t>
      </w:r>
      <w:r w:rsidR="00ED1AEC" w:rsidRPr="004A032C">
        <w:rPr>
          <w:rFonts w:eastAsia="Calibri"/>
          <w:szCs w:val="22"/>
          <w:lang w:val="fr-FR" w:eastAsia="en-US"/>
        </w:rPr>
        <w:t>Acte de Genève comme tel.</w:t>
      </w:r>
      <w:r w:rsidR="0040390C" w:rsidRPr="004A032C">
        <w:rPr>
          <w:rFonts w:eastAsia="Calibri"/>
          <w:szCs w:val="22"/>
          <w:lang w:val="fr-FR" w:eastAsia="en-US"/>
        </w:rPr>
        <w:t xml:space="preserve">  </w:t>
      </w:r>
      <w:r w:rsidR="006A13CE" w:rsidRPr="004A032C">
        <w:rPr>
          <w:rFonts w:eastAsia="Calibri"/>
          <w:szCs w:val="22"/>
          <w:lang w:val="fr-FR" w:eastAsia="en-US"/>
        </w:rPr>
        <w:t>Mais l</w:t>
      </w:r>
      <w:r w:rsidR="007379AD" w:rsidRPr="004A032C">
        <w:rPr>
          <w:rFonts w:eastAsia="Calibri"/>
          <w:szCs w:val="22"/>
          <w:lang w:val="fr-FR" w:eastAsia="en-US"/>
        </w:rPr>
        <w:t>’</w:t>
      </w:r>
      <w:r w:rsidR="006A13CE" w:rsidRPr="004A032C">
        <w:rPr>
          <w:rFonts w:eastAsia="Calibri"/>
          <w:szCs w:val="22"/>
          <w:lang w:val="fr-FR" w:eastAsia="en-US"/>
        </w:rPr>
        <w:t>OMPI ne saurait être contrainte d</w:t>
      </w:r>
      <w:r w:rsidR="007379AD" w:rsidRPr="004A032C">
        <w:rPr>
          <w:rFonts w:eastAsia="Calibri"/>
          <w:szCs w:val="22"/>
          <w:lang w:val="fr-FR" w:eastAsia="en-US"/>
        </w:rPr>
        <w:t>’</w:t>
      </w:r>
      <w:r w:rsidR="006A13CE" w:rsidRPr="004A032C">
        <w:rPr>
          <w:rFonts w:eastAsia="Calibri"/>
          <w:szCs w:val="22"/>
          <w:lang w:val="fr-FR" w:eastAsia="en-US"/>
        </w:rPr>
        <w:t xml:space="preserve">administrer un arrangement </w:t>
      </w:r>
      <w:r w:rsidR="00C559A3" w:rsidRPr="004A032C">
        <w:rPr>
          <w:rFonts w:eastAsia="Calibri"/>
          <w:szCs w:val="22"/>
          <w:lang w:val="fr-FR" w:eastAsia="en-US"/>
        </w:rPr>
        <w:t xml:space="preserve">qui a été </w:t>
      </w:r>
      <w:r w:rsidR="006A13CE" w:rsidRPr="004A032C">
        <w:rPr>
          <w:rFonts w:eastAsia="Calibri"/>
          <w:szCs w:val="22"/>
          <w:lang w:val="fr-FR" w:eastAsia="en-US"/>
        </w:rPr>
        <w:t>conclu par une petite fraction de ses membres, que nombre de membres ne peuvent utiliser compte tenu de son incompatibilité avec leurs systèmes actuels de protection des indications géographiques et dont il n</w:t>
      </w:r>
      <w:r w:rsidR="007379AD" w:rsidRPr="004A032C">
        <w:rPr>
          <w:rFonts w:eastAsia="Calibri"/>
          <w:szCs w:val="22"/>
          <w:lang w:val="fr-FR" w:eastAsia="en-US"/>
        </w:rPr>
        <w:t>’</w:t>
      </w:r>
      <w:r w:rsidR="006A13CE" w:rsidRPr="004A032C">
        <w:rPr>
          <w:rFonts w:eastAsia="Calibri"/>
          <w:szCs w:val="22"/>
          <w:lang w:val="fr-FR" w:eastAsia="en-US"/>
        </w:rPr>
        <w:t>est pas sûr que les membres au complet de l</w:t>
      </w:r>
      <w:r w:rsidR="007379AD" w:rsidRPr="004A032C">
        <w:rPr>
          <w:rFonts w:eastAsia="Calibri"/>
          <w:szCs w:val="22"/>
          <w:lang w:val="fr-FR" w:eastAsia="en-US"/>
        </w:rPr>
        <w:t>’</w:t>
      </w:r>
      <w:r w:rsidR="006A13CE" w:rsidRPr="004A032C">
        <w:rPr>
          <w:rFonts w:eastAsia="Calibri"/>
          <w:szCs w:val="22"/>
          <w:lang w:val="fr-FR" w:eastAsia="en-US"/>
        </w:rPr>
        <w:t>OMPI, de l</w:t>
      </w:r>
      <w:r w:rsidR="007379AD" w:rsidRPr="004A032C">
        <w:rPr>
          <w:rFonts w:eastAsia="Calibri"/>
          <w:szCs w:val="22"/>
          <w:lang w:val="fr-FR" w:eastAsia="en-US"/>
        </w:rPr>
        <w:t>’</w:t>
      </w:r>
      <w:r w:rsidR="006A13CE" w:rsidRPr="004A032C">
        <w:rPr>
          <w:rFonts w:eastAsia="Calibri"/>
          <w:szCs w:val="22"/>
          <w:lang w:val="fr-FR" w:eastAsia="en-US"/>
        </w:rPr>
        <w:t>Union de Paris et de l</w:t>
      </w:r>
      <w:r w:rsidR="007379AD" w:rsidRPr="004A032C">
        <w:rPr>
          <w:rFonts w:eastAsia="Calibri"/>
          <w:szCs w:val="22"/>
          <w:lang w:val="fr-FR" w:eastAsia="en-US"/>
        </w:rPr>
        <w:t>’</w:t>
      </w:r>
      <w:r w:rsidR="006A13CE" w:rsidRPr="004A032C">
        <w:rPr>
          <w:rFonts w:eastAsia="Calibri"/>
          <w:szCs w:val="22"/>
          <w:lang w:val="fr-FR" w:eastAsia="en-US"/>
        </w:rPr>
        <w:t>Union de Berne souhaitent assumer les coûts.</w:t>
      </w:r>
    </w:p>
    <w:p w:rsidR="00DA0F7A" w:rsidRPr="004A032C" w:rsidRDefault="00DA0F7A" w:rsidP="004A032C">
      <w:pPr>
        <w:rPr>
          <w:rFonts w:eastAsia="Calibri"/>
          <w:szCs w:val="22"/>
          <w:lang w:val="fr-FR" w:eastAsia="en-US"/>
        </w:rPr>
      </w:pPr>
    </w:p>
    <w:p w:rsidR="00DA0F7A" w:rsidRDefault="006A13CE" w:rsidP="004A032C">
      <w:pPr>
        <w:rPr>
          <w:rFonts w:eastAsia="Calibri"/>
          <w:b/>
          <w:szCs w:val="22"/>
          <w:lang w:val="fr-FR" w:eastAsia="en-US"/>
        </w:rPr>
      </w:pPr>
      <w:r w:rsidRPr="004A032C">
        <w:rPr>
          <w:rFonts w:eastAsia="Calibri"/>
          <w:b/>
          <w:szCs w:val="22"/>
          <w:lang w:val="fr-FR" w:eastAsia="en-US"/>
        </w:rPr>
        <w:t>Mesures de mise en œuvre concernant l</w:t>
      </w:r>
      <w:r w:rsidR="007379AD" w:rsidRPr="004A032C">
        <w:rPr>
          <w:rFonts w:eastAsia="Calibri"/>
          <w:b/>
          <w:szCs w:val="22"/>
          <w:lang w:val="fr-FR" w:eastAsia="en-US"/>
        </w:rPr>
        <w:t>’</w:t>
      </w:r>
      <w:r w:rsidRPr="004A032C">
        <w:rPr>
          <w:rFonts w:eastAsia="Calibri"/>
          <w:b/>
          <w:szCs w:val="22"/>
          <w:lang w:val="fr-FR" w:eastAsia="en-US"/>
        </w:rPr>
        <w:t>administration de l</w:t>
      </w:r>
      <w:r w:rsidR="007379AD" w:rsidRPr="004A032C">
        <w:rPr>
          <w:rFonts w:eastAsia="Calibri"/>
          <w:b/>
          <w:szCs w:val="22"/>
          <w:lang w:val="fr-FR" w:eastAsia="en-US"/>
        </w:rPr>
        <w:t>’</w:t>
      </w:r>
      <w:r w:rsidRPr="004A032C">
        <w:rPr>
          <w:rFonts w:eastAsia="Calibri"/>
          <w:b/>
          <w:szCs w:val="22"/>
          <w:lang w:val="fr-FR" w:eastAsia="en-US"/>
        </w:rPr>
        <w:t>arrangement</w:t>
      </w:r>
    </w:p>
    <w:p w:rsidR="004A032C" w:rsidRPr="004A032C" w:rsidRDefault="004A032C" w:rsidP="004A032C">
      <w:pPr>
        <w:rPr>
          <w:rFonts w:eastAsia="Calibri"/>
          <w:szCs w:val="22"/>
          <w:lang w:val="fr-FR" w:eastAsia="en-US"/>
        </w:rPr>
      </w:pPr>
    </w:p>
    <w:p w:rsidR="007379AD" w:rsidRDefault="006A13CE" w:rsidP="004A032C">
      <w:pPr>
        <w:rPr>
          <w:rFonts w:eastAsia="Calibri"/>
          <w:szCs w:val="22"/>
          <w:lang w:val="fr-FR" w:eastAsia="en-US"/>
        </w:rPr>
      </w:pPr>
      <w:r w:rsidRPr="004A032C">
        <w:rPr>
          <w:rFonts w:eastAsia="Calibri"/>
          <w:szCs w:val="22"/>
          <w:lang w:val="fr-FR" w:eastAsia="en-US"/>
        </w:rPr>
        <w:t>En vertu de l</w:t>
      </w:r>
      <w:r w:rsidR="007379AD" w:rsidRPr="004A032C">
        <w:rPr>
          <w:rFonts w:eastAsia="Calibri"/>
          <w:szCs w:val="22"/>
          <w:lang w:val="fr-FR" w:eastAsia="en-US"/>
        </w:rPr>
        <w:t>’</w:t>
      </w:r>
      <w:r w:rsidRPr="004A032C">
        <w:rPr>
          <w:rFonts w:eastAsia="Calibri"/>
          <w:szCs w:val="22"/>
          <w:lang w:val="fr-FR" w:eastAsia="en-US"/>
        </w:rPr>
        <w:t>article 4.iii) de la Convention instituant l</w:t>
      </w:r>
      <w:r w:rsidR="007379AD" w:rsidRPr="004A032C">
        <w:rPr>
          <w:rFonts w:eastAsia="Calibri"/>
          <w:szCs w:val="22"/>
          <w:lang w:val="fr-FR" w:eastAsia="en-US"/>
        </w:rPr>
        <w:t>’</w:t>
      </w:r>
      <w:r w:rsidRPr="004A032C">
        <w:rPr>
          <w:rFonts w:eastAsia="Calibri"/>
          <w:szCs w:val="22"/>
          <w:lang w:val="fr-FR" w:eastAsia="en-US"/>
        </w:rPr>
        <w:t>OMPI, l</w:t>
      </w:r>
      <w:r w:rsidR="007379AD" w:rsidRPr="004A032C">
        <w:rPr>
          <w:rFonts w:eastAsia="Calibri"/>
          <w:szCs w:val="22"/>
          <w:lang w:val="fr-FR" w:eastAsia="en-US"/>
        </w:rPr>
        <w:t>’</w:t>
      </w:r>
      <w:r w:rsidRPr="004A032C">
        <w:rPr>
          <w:rFonts w:eastAsia="Calibri"/>
          <w:szCs w:val="22"/>
          <w:lang w:val="fr-FR" w:eastAsia="en-US"/>
        </w:rPr>
        <w:t>Organisation “peut accepter d</w:t>
      </w:r>
      <w:r w:rsidR="007379AD" w:rsidRPr="004A032C">
        <w:rPr>
          <w:rFonts w:eastAsia="Calibri"/>
          <w:szCs w:val="22"/>
          <w:lang w:val="fr-FR" w:eastAsia="en-US"/>
        </w:rPr>
        <w:t>’</w:t>
      </w:r>
      <w:r w:rsidRPr="004A032C">
        <w:rPr>
          <w:rFonts w:eastAsia="Calibri"/>
          <w:szCs w:val="22"/>
          <w:lang w:val="fr-FR" w:eastAsia="en-US"/>
        </w:rPr>
        <w:t>assumer l</w:t>
      </w:r>
      <w:r w:rsidR="007379AD" w:rsidRPr="004A032C">
        <w:rPr>
          <w:rFonts w:eastAsia="Calibri"/>
          <w:szCs w:val="22"/>
          <w:lang w:val="fr-FR" w:eastAsia="en-US"/>
        </w:rPr>
        <w:t>’</w:t>
      </w:r>
      <w:r w:rsidRPr="004A032C">
        <w:rPr>
          <w:rFonts w:eastAsia="Calibri"/>
          <w:szCs w:val="22"/>
          <w:lang w:val="fr-FR" w:eastAsia="en-US"/>
        </w:rPr>
        <w:t>administration qu</w:t>
      </w:r>
      <w:r w:rsidR="007379AD" w:rsidRPr="004A032C">
        <w:rPr>
          <w:rFonts w:eastAsia="Calibri"/>
          <w:szCs w:val="22"/>
          <w:lang w:val="fr-FR" w:eastAsia="en-US"/>
        </w:rPr>
        <w:t>’</w:t>
      </w:r>
      <w:r w:rsidRPr="004A032C">
        <w:rPr>
          <w:rFonts w:eastAsia="Calibri"/>
          <w:szCs w:val="22"/>
          <w:lang w:val="fr-FR" w:eastAsia="en-US"/>
        </w:rPr>
        <w:t xml:space="preserve">implique la mise en </w:t>
      </w:r>
      <w:r w:rsidR="000B5A3C" w:rsidRPr="004A032C">
        <w:rPr>
          <w:rFonts w:eastAsia="Calibri"/>
          <w:szCs w:val="22"/>
          <w:lang w:val="fr-FR" w:eastAsia="en-US"/>
        </w:rPr>
        <w:t>œuvre</w:t>
      </w:r>
      <w:r w:rsidRPr="004A032C">
        <w:rPr>
          <w:rFonts w:eastAsia="Calibri"/>
          <w:szCs w:val="22"/>
          <w:lang w:val="fr-FR" w:eastAsia="en-US"/>
        </w:rPr>
        <w:t xml:space="preserve"> de tout autre engagement international tendant à promouvoir la protection de la propriété intellectuelle ou de participer à une telle administration” après que des mesures proposées par le Directeur général ont été approuvées par l</w:t>
      </w:r>
      <w:r w:rsidR="007379AD" w:rsidRPr="004A032C">
        <w:rPr>
          <w:rFonts w:eastAsia="Calibri"/>
          <w:szCs w:val="22"/>
          <w:lang w:val="fr-FR" w:eastAsia="en-US"/>
        </w:rPr>
        <w:t>’</w:t>
      </w:r>
      <w:r w:rsidRPr="004A032C">
        <w:rPr>
          <w:rFonts w:eastAsia="Calibri"/>
          <w:szCs w:val="22"/>
          <w:lang w:val="fr-FR" w:eastAsia="en-US"/>
        </w:rPr>
        <w:t>Assemblée générale de l</w:t>
      </w:r>
      <w:r w:rsidR="007379AD" w:rsidRPr="004A032C">
        <w:rPr>
          <w:rFonts w:eastAsia="Calibri"/>
          <w:szCs w:val="22"/>
          <w:lang w:val="fr-FR" w:eastAsia="en-US"/>
        </w:rPr>
        <w:t>’</w:t>
      </w:r>
      <w:r w:rsidRPr="004A032C">
        <w:rPr>
          <w:rFonts w:eastAsia="Calibri"/>
          <w:szCs w:val="22"/>
          <w:lang w:val="fr-FR" w:eastAsia="en-US"/>
        </w:rPr>
        <w:t>OMPI, l</w:t>
      </w:r>
      <w:r w:rsidR="007379AD" w:rsidRPr="004A032C">
        <w:rPr>
          <w:rFonts w:eastAsia="Calibri"/>
          <w:szCs w:val="22"/>
          <w:lang w:val="fr-FR" w:eastAsia="en-US"/>
        </w:rPr>
        <w:t>’</w:t>
      </w:r>
      <w:r w:rsidRPr="004A032C">
        <w:rPr>
          <w:rFonts w:eastAsia="Calibri"/>
          <w:szCs w:val="22"/>
          <w:lang w:val="fr-FR" w:eastAsia="en-US"/>
        </w:rPr>
        <w:t>Assemblée de l</w:t>
      </w:r>
      <w:r w:rsidR="007379AD" w:rsidRPr="004A032C">
        <w:rPr>
          <w:rFonts w:eastAsia="Calibri"/>
          <w:szCs w:val="22"/>
          <w:lang w:val="fr-FR" w:eastAsia="en-US"/>
        </w:rPr>
        <w:t>’</w:t>
      </w:r>
      <w:r w:rsidRPr="004A032C">
        <w:rPr>
          <w:rFonts w:eastAsia="Calibri"/>
          <w:szCs w:val="22"/>
          <w:lang w:val="fr-FR" w:eastAsia="en-US"/>
        </w:rPr>
        <w:t>Union de Paris et l</w:t>
      </w:r>
      <w:r w:rsidR="007379AD" w:rsidRPr="004A032C">
        <w:rPr>
          <w:rFonts w:eastAsia="Calibri"/>
          <w:szCs w:val="22"/>
          <w:lang w:val="fr-FR" w:eastAsia="en-US"/>
        </w:rPr>
        <w:t>’</w:t>
      </w:r>
      <w:r w:rsidRPr="004A032C">
        <w:rPr>
          <w:rFonts w:eastAsia="Calibri"/>
          <w:szCs w:val="22"/>
          <w:lang w:val="fr-FR" w:eastAsia="en-US"/>
        </w:rPr>
        <w:t>Assemblée de l</w:t>
      </w:r>
      <w:r w:rsidR="007379AD" w:rsidRPr="004A032C">
        <w:rPr>
          <w:rFonts w:eastAsia="Calibri"/>
          <w:szCs w:val="22"/>
          <w:lang w:val="fr-FR" w:eastAsia="en-US"/>
        </w:rPr>
        <w:t>’</w:t>
      </w:r>
      <w:r w:rsidRPr="004A032C">
        <w:rPr>
          <w:rFonts w:eastAsia="Calibri"/>
          <w:szCs w:val="22"/>
          <w:lang w:val="fr-FR" w:eastAsia="en-US"/>
        </w:rPr>
        <w:t>Union de Berne.</w:t>
      </w:r>
      <w:r w:rsidR="0040390C" w:rsidRPr="004A032C">
        <w:rPr>
          <w:rFonts w:eastAsia="Calibri"/>
          <w:szCs w:val="22"/>
          <w:lang w:val="fr-FR" w:eastAsia="en-US"/>
        </w:rPr>
        <w:t xml:space="preserve">  </w:t>
      </w:r>
      <w:r w:rsidRPr="004A032C">
        <w:rPr>
          <w:rFonts w:eastAsia="Calibri"/>
          <w:szCs w:val="22"/>
          <w:lang w:val="fr-FR" w:eastAsia="en-US"/>
        </w:rPr>
        <w:t>Nous demandons que le Directeur général examine la nature de l</w:t>
      </w:r>
      <w:r w:rsidR="007379AD" w:rsidRPr="004A032C">
        <w:rPr>
          <w:rFonts w:eastAsia="Calibri"/>
          <w:szCs w:val="22"/>
          <w:lang w:val="fr-FR" w:eastAsia="en-US"/>
        </w:rPr>
        <w:t>’</w:t>
      </w:r>
      <w:r w:rsidRPr="004A032C">
        <w:rPr>
          <w:rFonts w:eastAsia="Calibri"/>
          <w:szCs w:val="22"/>
          <w:lang w:val="fr-FR" w:eastAsia="en-US"/>
        </w:rPr>
        <w:t>Acte de Genève et la situation financière de l</w:t>
      </w:r>
      <w:r w:rsidR="007379AD" w:rsidRPr="004A032C">
        <w:rPr>
          <w:rFonts w:eastAsia="Calibri"/>
          <w:szCs w:val="22"/>
          <w:lang w:val="fr-FR" w:eastAsia="en-US"/>
        </w:rPr>
        <w:t>’</w:t>
      </w:r>
      <w:r w:rsidRPr="004A032C">
        <w:rPr>
          <w:rFonts w:eastAsia="Calibri"/>
          <w:szCs w:val="22"/>
          <w:lang w:val="fr-FR" w:eastAsia="en-US"/>
        </w:rPr>
        <w:t>Arrangement de Lisbonne (telle qu</w:t>
      </w:r>
      <w:r w:rsidR="007379AD" w:rsidRPr="004A032C">
        <w:rPr>
          <w:rFonts w:eastAsia="Calibri"/>
          <w:szCs w:val="22"/>
          <w:lang w:val="fr-FR" w:eastAsia="en-US"/>
        </w:rPr>
        <w:t>’</w:t>
      </w:r>
      <w:r w:rsidRPr="004A032C">
        <w:rPr>
          <w:rFonts w:eastAsia="Calibri"/>
          <w:szCs w:val="22"/>
          <w:lang w:val="fr-FR" w:eastAsia="en-US"/>
        </w:rPr>
        <w:t>elle ressort du budget de l</w:t>
      </w:r>
      <w:r w:rsidR="007379AD" w:rsidRPr="004A032C">
        <w:rPr>
          <w:rFonts w:eastAsia="Calibri"/>
          <w:szCs w:val="22"/>
          <w:lang w:val="fr-FR" w:eastAsia="en-US"/>
        </w:rPr>
        <w:t>’</w:t>
      </w:r>
      <w:r w:rsidRPr="004A032C">
        <w:rPr>
          <w:rFonts w:eastAsia="Calibri"/>
          <w:szCs w:val="22"/>
          <w:lang w:val="fr-FR" w:eastAsia="en-US"/>
        </w:rPr>
        <w:t>Union de Lisbonne et du document WO/PBC/24/16) et propose des mesures en vue de permettre aux assemblées compétentes de déterminer s</w:t>
      </w:r>
      <w:r w:rsidR="007379AD" w:rsidRPr="004A032C">
        <w:rPr>
          <w:rFonts w:eastAsia="Calibri"/>
          <w:szCs w:val="22"/>
          <w:lang w:val="fr-FR" w:eastAsia="en-US"/>
        </w:rPr>
        <w:t>’</w:t>
      </w:r>
      <w:r w:rsidRPr="004A032C">
        <w:rPr>
          <w:rFonts w:eastAsia="Calibri"/>
          <w:szCs w:val="22"/>
          <w:lang w:val="fr-FR" w:eastAsia="en-US"/>
        </w:rPr>
        <w:t>il y a lieu que l</w:t>
      </w:r>
      <w:r w:rsidR="007379AD" w:rsidRPr="004A032C">
        <w:rPr>
          <w:rFonts w:eastAsia="Calibri"/>
          <w:szCs w:val="22"/>
          <w:lang w:val="fr-FR" w:eastAsia="en-US"/>
        </w:rPr>
        <w:t>’</w:t>
      </w:r>
      <w:r w:rsidRPr="004A032C">
        <w:rPr>
          <w:rFonts w:eastAsia="Calibri"/>
          <w:szCs w:val="22"/>
          <w:lang w:val="fr-FR" w:eastAsia="en-US"/>
        </w:rPr>
        <w:t>Acte de Genève soit administré par l</w:t>
      </w:r>
      <w:r w:rsidR="007379AD" w:rsidRPr="004A032C">
        <w:rPr>
          <w:rFonts w:eastAsia="Calibri"/>
          <w:szCs w:val="22"/>
          <w:lang w:val="fr-FR" w:eastAsia="en-US"/>
        </w:rPr>
        <w:t>’</w:t>
      </w:r>
      <w:r w:rsidRPr="004A032C">
        <w:rPr>
          <w:rFonts w:eastAsia="Calibri"/>
          <w:szCs w:val="22"/>
          <w:lang w:val="fr-FR" w:eastAsia="en-US"/>
        </w:rPr>
        <w:t>Organisation.</w:t>
      </w:r>
    </w:p>
    <w:p w:rsidR="004A032C" w:rsidRPr="004A032C" w:rsidRDefault="004A032C" w:rsidP="004A032C">
      <w:pPr>
        <w:rPr>
          <w:rFonts w:eastAsia="Calibri"/>
          <w:szCs w:val="22"/>
          <w:lang w:val="fr-FR" w:eastAsia="en-US"/>
        </w:rPr>
      </w:pPr>
    </w:p>
    <w:p w:rsidR="00DA0F7A" w:rsidRPr="004A032C" w:rsidRDefault="00212F43" w:rsidP="004A032C">
      <w:pPr>
        <w:rPr>
          <w:rFonts w:eastAsia="Calibri"/>
          <w:szCs w:val="22"/>
          <w:lang w:val="fr-FR" w:eastAsia="en-US"/>
        </w:rPr>
      </w:pPr>
      <w:r w:rsidRPr="004A032C">
        <w:rPr>
          <w:rFonts w:eastAsia="Calibri"/>
          <w:szCs w:val="22"/>
          <w:lang w:val="fr-FR" w:eastAsia="en-US"/>
        </w:rPr>
        <w:t>L</w:t>
      </w:r>
      <w:r w:rsidR="007379AD" w:rsidRPr="004A032C">
        <w:rPr>
          <w:rFonts w:eastAsia="Calibri"/>
          <w:szCs w:val="22"/>
          <w:lang w:val="fr-FR" w:eastAsia="en-US"/>
        </w:rPr>
        <w:t>’</w:t>
      </w:r>
      <w:r w:rsidRPr="004A032C">
        <w:rPr>
          <w:rFonts w:eastAsia="Calibri"/>
          <w:szCs w:val="22"/>
          <w:lang w:val="fr-FR" w:eastAsia="en-US"/>
        </w:rPr>
        <w:t>Union de Lisbonne est en déficit depuis de nombreuses années, si ce n</w:t>
      </w:r>
      <w:r w:rsidR="007379AD" w:rsidRPr="004A032C">
        <w:rPr>
          <w:rFonts w:eastAsia="Calibri"/>
          <w:szCs w:val="22"/>
          <w:lang w:val="fr-FR" w:eastAsia="en-US"/>
        </w:rPr>
        <w:t>’</w:t>
      </w:r>
      <w:r w:rsidRPr="004A032C">
        <w:rPr>
          <w:rFonts w:eastAsia="Calibri"/>
          <w:szCs w:val="22"/>
          <w:lang w:val="fr-FR" w:eastAsia="en-US"/>
        </w:rPr>
        <w:t>est depuis sa création.</w:t>
      </w:r>
      <w:r w:rsidR="0040390C" w:rsidRPr="004A032C">
        <w:rPr>
          <w:rFonts w:eastAsia="Calibri"/>
          <w:szCs w:val="22"/>
          <w:lang w:val="fr-FR" w:eastAsia="en-US"/>
        </w:rPr>
        <w:t xml:space="preserve"> </w:t>
      </w:r>
      <w:r w:rsidR="00F47E56" w:rsidRPr="004A032C">
        <w:rPr>
          <w:rFonts w:eastAsia="Calibri"/>
          <w:szCs w:val="22"/>
          <w:lang w:val="fr-FR" w:eastAsia="en-US"/>
        </w:rPr>
        <w:t xml:space="preserve"> </w:t>
      </w:r>
      <w:r w:rsidRPr="004A032C">
        <w:rPr>
          <w:rFonts w:eastAsia="Calibri"/>
          <w:szCs w:val="22"/>
          <w:lang w:val="fr-FR" w:eastAsia="en-US"/>
        </w:rPr>
        <w:t>Outre qu</w:t>
      </w:r>
      <w:r w:rsidR="007379AD" w:rsidRPr="004A032C">
        <w:rPr>
          <w:rFonts w:eastAsia="Calibri"/>
          <w:szCs w:val="22"/>
          <w:lang w:val="fr-FR" w:eastAsia="en-US"/>
        </w:rPr>
        <w:t>’</w:t>
      </w:r>
      <w:r w:rsidRPr="004A032C">
        <w:rPr>
          <w:rFonts w:eastAsia="Calibri"/>
          <w:szCs w:val="22"/>
          <w:lang w:val="fr-FR" w:eastAsia="en-US"/>
        </w:rPr>
        <w:t>elle accumule un déficit au titre de ses propres dépenses directes, l</w:t>
      </w:r>
      <w:r w:rsidR="007379AD" w:rsidRPr="004A032C">
        <w:rPr>
          <w:rFonts w:eastAsia="Calibri"/>
          <w:szCs w:val="22"/>
          <w:lang w:val="fr-FR" w:eastAsia="en-US"/>
        </w:rPr>
        <w:t>’</w:t>
      </w:r>
      <w:r w:rsidRPr="004A032C">
        <w:rPr>
          <w:rFonts w:eastAsia="Calibri"/>
          <w:szCs w:val="22"/>
          <w:lang w:val="fr-FR" w:eastAsia="en-US"/>
        </w:rPr>
        <w:t>Union de Lisbonne ne contribue pas, ou à peine, aux dépenses communes des unions ou aux travaux de l</w:t>
      </w:r>
      <w:r w:rsidR="007379AD" w:rsidRPr="004A032C">
        <w:rPr>
          <w:rFonts w:eastAsia="Calibri"/>
          <w:szCs w:val="22"/>
          <w:lang w:val="fr-FR" w:eastAsia="en-US"/>
        </w:rPr>
        <w:t>’</w:t>
      </w:r>
      <w:r w:rsidRPr="004A032C">
        <w:rPr>
          <w:rFonts w:eastAsia="Calibri"/>
          <w:szCs w:val="22"/>
          <w:lang w:val="fr-FR" w:eastAsia="en-US"/>
        </w:rPr>
        <w:t>Organisation qui ne concernent pas les systèmes d</w:t>
      </w:r>
      <w:r w:rsidR="007379AD" w:rsidRPr="004A032C">
        <w:rPr>
          <w:rFonts w:eastAsia="Calibri"/>
          <w:szCs w:val="22"/>
          <w:lang w:val="fr-FR" w:eastAsia="en-US"/>
        </w:rPr>
        <w:t>’</w:t>
      </w:r>
      <w:r w:rsidRPr="004A032C">
        <w:rPr>
          <w:rFonts w:eastAsia="Calibri"/>
          <w:szCs w:val="22"/>
          <w:lang w:val="fr-FR" w:eastAsia="en-US"/>
        </w:rPr>
        <w:t>enregistrement (tels que l</w:t>
      </w:r>
      <w:r w:rsidR="007379AD" w:rsidRPr="004A032C">
        <w:rPr>
          <w:rFonts w:eastAsia="Calibri"/>
          <w:szCs w:val="22"/>
          <w:lang w:val="fr-FR" w:eastAsia="en-US"/>
        </w:rPr>
        <w:t>’</w:t>
      </w:r>
      <w:r w:rsidRPr="004A032C">
        <w:rPr>
          <w:rFonts w:eastAsia="Calibri"/>
          <w:szCs w:val="22"/>
          <w:lang w:val="fr-FR" w:eastAsia="en-US"/>
        </w:rPr>
        <w:t>appui au Comité du développement et de la propriété intellectuelle).</w:t>
      </w:r>
      <w:r w:rsidR="0040390C" w:rsidRPr="004A032C">
        <w:rPr>
          <w:rFonts w:eastAsia="Calibri"/>
          <w:szCs w:val="22"/>
          <w:lang w:val="fr-FR" w:eastAsia="en-US"/>
        </w:rPr>
        <w:t xml:space="preserve">  </w:t>
      </w:r>
      <w:r w:rsidRPr="004A032C">
        <w:rPr>
          <w:rFonts w:eastAsia="Calibri"/>
          <w:szCs w:val="22"/>
          <w:lang w:val="fr-FR" w:eastAsia="en-US"/>
        </w:rPr>
        <w:t>À la différence des membres de l</w:t>
      </w:r>
      <w:r w:rsidR="007379AD" w:rsidRPr="004A032C">
        <w:rPr>
          <w:rFonts w:eastAsia="Calibri"/>
          <w:szCs w:val="22"/>
          <w:lang w:val="fr-FR" w:eastAsia="en-US"/>
        </w:rPr>
        <w:t>’</w:t>
      </w:r>
      <w:r w:rsidRPr="004A032C">
        <w:rPr>
          <w:rFonts w:eastAsia="Calibri"/>
          <w:szCs w:val="22"/>
          <w:lang w:val="fr-FR" w:eastAsia="en-US"/>
        </w:rPr>
        <w:t>Union de coopération en matière de brevets (Union</w:t>
      </w:r>
      <w:r w:rsidR="007379AD" w:rsidRPr="004A032C">
        <w:rPr>
          <w:rFonts w:eastAsia="Calibri"/>
          <w:szCs w:val="22"/>
          <w:lang w:val="fr-FR" w:eastAsia="en-US"/>
        </w:rPr>
        <w:t xml:space="preserve"> du PCT</w:t>
      </w:r>
      <w:r w:rsidRPr="004A032C">
        <w:rPr>
          <w:rFonts w:eastAsia="Calibri"/>
          <w:szCs w:val="22"/>
          <w:lang w:val="fr-FR" w:eastAsia="en-US"/>
        </w:rPr>
        <w:t>), les parties contractantes de l</w:t>
      </w:r>
      <w:r w:rsidR="007379AD" w:rsidRPr="004A032C">
        <w:rPr>
          <w:rFonts w:eastAsia="Calibri"/>
          <w:szCs w:val="22"/>
          <w:lang w:val="fr-FR" w:eastAsia="en-US"/>
        </w:rPr>
        <w:t>’</w:t>
      </w:r>
      <w:r w:rsidRPr="004A032C">
        <w:rPr>
          <w:rFonts w:eastAsia="Calibri"/>
          <w:szCs w:val="22"/>
          <w:lang w:val="fr-FR" w:eastAsia="en-US"/>
        </w:rPr>
        <w:t xml:space="preserve">Arrangement de Lisbonne </w:t>
      </w:r>
      <w:r w:rsidR="00C559A3" w:rsidRPr="004A032C">
        <w:rPr>
          <w:rFonts w:eastAsia="Calibri"/>
          <w:szCs w:val="22"/>
          <w:lang w:val="fr-FR" w:eastAsia="en-US"/>
        </w:rPr>
        <w:t>n</w:t>
      </w:r>
      <w:r w:rsidR="007379AD" w:rsidRPr="004A032C">
        <w:rPr>
          <w:rFonts w:eastAsia="Calibri"/>
          <w:szCs w:val="22"/>
          <w:lang w:val="fr-FR" w:eastAsia="en-US"/>
        </w:rPr>
        <w:t>’</w:t>
      </w:r>
      <w:r w:rsidR="00C559A3" w:rsidRPr="004A032C">
        <w:rPr>
          <w:rFonts w:eastAsia="Calibri"/>
          <w:szCs w:val="22"/>
          <w:lang w:val="fr-FR" w:eastAsia="en-US"/>
        </w:rPr>
        <w:t>ont jamais été assujetties à contribution</w:t>
      </w:r>
      <w:r w:rsidRPr="004A032C">
        <w:rPr>
          <w:rFonts w:eastAsia="Calibri"/>
          <w:szCs w:val="22"/>
          <w:lang w:val="fr-FR" w:eastAsia="en-US"/>
        </w:rPr>
        <w:t xml:space="preserve"> ni n</w:t>
      </w:r>
      <w:r w:rsidR="007379AD" w:rsidRPr="004A032C">
        <w:rPr>
          <w:rFonts w:eastAsia="Calibri"/>
          <w:szCs w:val="22"/>
          <w:lang w:val="fr-FR" w:eastAsia="en-US"/>
        </w:rPr>
        <w:t>’</w:t>
      </w:r>
      <w:r w:rsidRPr="004A032C">
        <w:rPr>
          <w:rFonts w:eastAsia="Calibri"/>
          <w:szCs w:val="22"/>
          <w:lang w:val="fr-FR" w:eastAsia="en-US"/>
        </w:rPr>
        <w:t xml:space="preserve">ont versé de contribution pour financer le système de Lisbonne, </w:t>
      </w:r>
      <w:r w:rsidR="00C559A3" w:rsidRPr="004A032C">
        <w:rPr>
          <w:rFonts w:eastAsia="Calibri"/>
          <w:szCs w:val="22"/>
          <w:lang w:val="fr-FR" w:eastAsia="en-US"/>
        </w:rPr>
        <w:t>pas plus qu</w:t>
      </w:r>
      <w:r w:rsidR="007379AD" w:rsidRPr="004A032C">
        <w:rPr>
          <w:rFonts w:eastAsia="Calibri"/>
          <w:szCs w:val="22"/>
          <w:lang w:val="fr-FR" w:eastAsia="en-US"/>
        </w:rPr>
        <w:t>’</w:t>
      </w:r>
      <w:r w:rsidR="00C559A3" w:rsidRPr="004A032C">
        <w:rPr>
          <w:rFonts w:eastAsia="Calibri"/>
          <w:szCs w:val="22"/>
          <w:lang w:val="fr-FR" w:eastAsia="en-US"/>
        </w:rPr>
        <w:t>elles n</w:t>
      </w:r>
      <w:r w:rsidR="007379AD" w:rsidRPr="004A032C">
        <w:rPr>
          <w:rFonts w:eastAsia="Calibri"/>
          <w:szCs w:val="22"/>
          <w:lang w:val="fr-FR" w:eastAsia="en-US"/>
        </w:rPr>
        <w:t>’</w:t>
      </w:r>
      <w:r w:rsidR="00C559A3" w:rsidRPr="004A032C">
        <w:rPr>
          <w:rFonts w:eastAsia="Calibri"/>
          <w:szCs w:val="22"/>
          <w:lang w:val="fr-FR" w:eastAsia="en-US"/>
        </w:rPr>
        <w:t>ont</w:t>
      </w:r>
      <w:r w:rsidRPr="004A032C">
        <w:rPr>
          <w:rFonts w:eastAsia="Calibri"/>
          <w:szCs w:val="22"/>
          <w:lang w:val="fr-FR" w:eastAsia="en-US"/>
        </w:rPr>
        <w:t xml:space="preserve"> participé aux </w:t>
      </w:r>
      <w:r w:rsidR="00F47E56" w:rsidRPr="004A032C">
        <w:rPr>
          <w:rFonts w:eastAsia="Calibri"/>
          <w:szCs w:val="22"/>
          <w:lang w:val="fr-FR" w:eastAsia="en-US"/>
        </w:rPr>
        <w:t>“</w:t>
      </w:r>
      <w:r w:rsidRPr="004A032C">
        <w:rPr>
          <w:rFonts w:eastAsia="Calibri"/>
          <w:szCs w:val="22"/>
          <w:lang w:val="fr-FR" w:eastAsia="en-US"/>
        </w:rPr>
        <w:t>dépenses communes</w:t>
      </w:r>
      <w:r w:rsidR="00F47E56" w:rsidRPr="004A032C">
        <w:rPr>
          <w:rFonts w:eastAsia="Calibri"/>
          <w:szCs w:val="22"/>
          <w:lang w:val="fr-FR" w:eastAsia="en-US"/>
        </w:rPr>
        <w:t>”</w:t>
      </w:r>
      <w:r w:rsidRPr="004A032C">
        <w:rPr>
          <w:rFonts w:eastAsia="Calibri"/>
          <w:szCs w:val="22"/>
          <w:lang w:val="fr-FR" w:eastAsia="en-US"/>
        </w:rPr>
        <w:t xml:space="preserve"> indirectes de l</w:t>
      </w:r>
      <w:r w:rsidR="007379AD" w:rsidRPr="004A032C">
        <w:rPr>
          <w:rFonts w:eastAsia="Calibri"/>
          <w:szCs w:val="22"/>
          <w:lang w:val="fr-FR" w:eastAsia="en-US"/>
        </w:rPr>
        <w:t>’</w:t>
      </w:r>
      <w:r w:rsidRPr="004A032C">
        <w:rPr>
          <w:rFonts w:eastAsia="Calibri"/>
          <w:szCs w:val="22"/>
          <w:lang w:val="fr-FR" w:eastAsia="en-US"/>
        </w:rPr>
        <w:t>Organisation.</w:t>
      </w:r>
      <w:r w:rsidR="00C559A3" w:rsidRPr="004A032C">
        <w:rPr>
          <w:rFonts w:eastAsia="Calibri"/>
          <w:szCs w:val="22"/>
          <w:lang w:val="fr-FR" w:eastAsia="en-US"/>
        </w:rPr>
        <w:t xml:space="preserve">  </w:t>
      </w:r>
      <w:r w:rsidR="002C6E66" w:rsidRPr="004A032C">
        <w:rPr>
          <w:rFonts w:eastAsia="Calibri"/>
          <w:szCs w:val="22"/>
          <w:lang w:val="fr-FR" w:eastAsia="en-US"/>
        </w:rPr>
        <w:t>En décidant de se passer de l</w:t>
      </w:r>
      <w:r w:rsidR="007379AD" w:rsidRPr="004A032C">
        <w:rPr>
          <w:rFonts w:eastAsia="Calibri"/>
          <w:szCs w:val="22"/>
          <w:lang w:val="fr-FR" w:eastAsia="en-US"/>
        </w:rPr>
        <w:t>’</w:t>
      </w:r>
      <w:r w:rsidR="002C6E66" w:rsidRPr="004A032C">
        <w:rPr>
          <w:rFonts w:eastAsia="Calibri"/>
          <w:szCs w:val="22"/>
          <w:lang w:val="fr-FR" w:eastAsia="en-US"/>
        </w:rPr>
        <w:t>avis du Comité de coordination en</w:t>
      </w:r>
      <w:r w:rsidR="00F47E56" w:rsidRPr="004A032C">
        <w:rPr>
          <w:rFonts w:eastAsia="Calibri"/>
          <w:szCs w:val="22"/>
          <w:lang w:val="fr-FR" w:eastAsia="en-US"/>
        </w:rPr>
        <w:t> </w:t>
      </w:r>
      <w:r w:rsidR="002C6E66" w:rsidRPr="004A032C">
        <w:rPr>
          <w:rFonts w:eastAsia="Calibri"/>
          <w:szCs w:val="22"/>
          <w:lang w:val="fr-FR" w:eastAsia="en-US"/>
        </w:rPr>
        <w:t>2014, les membres de l</w:t>
      </w:r>
      <w:r w:rsidR="007379AD" w:rsidRPr="004A032C">
        <w:rPr>
          <w:rFonts w:eastAsia="Calibri"/>
          <w:szCs w:val="22"/>
          <w:lang w:val="fr-FR" w:eastAsia="en-US"/>
        </w:rPr>
        <w:t>’</w:t>
      </w:r>
      <w:r w:rsidR="002C6E66" w:rsidRPr="004A032C">
        <w:rPr>
          <w:rFonts w:eastAsia="Calibri"/>
          <w:szCs w:val="22"/>
          <w:lang w:val="fr-FR" w:eastAsia="en-US"/>
        </w:rPr>
        <w:t>Assemblée de l</w:t>
      </w:r>
      <w:r w:rsidR="007379AD" w:rsidRPr="004A032C">
        <w:rPr>
          <w:rFonts w:eastAsia="Calibri"/>
          <w:szCs w:val="22"/>
          <w:lang w:val="fr-FR" w:eastAsia="en-US"/>
        </w:rPr>
        <w:t>’</w:t>
      </w:r>
      <w:r w:rsidR="002C6E66" w:rsidRPr="004A032C">
        <w:rPr>
          <w:rFonts w:eastAsia="Calibri"/>
          <w:szCs w:val="22"/>
          <w:lang w:val="fr-FR" w:eastAsia="en-US"/>
        </w:rPr>
        <w:t>Union de Lisbonne ont expressément indiqué que les actions de cette union n</w:t>
      </w:r>
      <w:r w:rsidR="007379AD" w:rsidRPr="004A032C">
        <w:rPr>
          <w:rFonts w:eastAsia="Calibri"/>
          <w:szCs w:val="22"/>
          <w:lang w:val="fr-FR" w:eastAsia="en-US"/>
        </w:rPr>
        <w:t>’</w:t>
      </w:r>
      <w:r w:rsidR="00C559A3" w:rsidRPr="004A032C">
        <w:rPr>
          <w:rFonts w:eastAsia="Calibri"/>
          <w:szCs w:val="22"/>
          <w:lang w:val="fr-FR" w:eastAsia="en-US"/>
        </w:rPr>
        <w:t>affectaient</w:t>
      </w:r>
      <w:r w:rsidR="002C6E66" w:rsidRPr="004A032C">
        <w:rPr>
          <w:rFonts w:eastAsia="Calibri"/>
          <w:szCs w:val="22"/>
          <w:lang w:val="fr-FR" w:eastAsia="en-US"/>
        </w:rPr>
        <w:t xml:space="preserve"> pas les </w:t>
      </w:r>
      <w:r w:rsidR="00C559A3" w:rsidRPr="004A032C">
        <w:rPr>
          <w:rFonts w:eastAsia="Calibri"/>
          <w:szCs w:val="22"/>
          <w:lang w:val="fr-FR" w:eastAsia="en-US"/>
        </w:rPr>
        <w:t xml:space="preserve">intérêts des </w:t>
      </w:r>
      <w:r w:rsidR="002C6E66" w:rsidRPr="004A032C">
        <w:rPr>
          <w:rFonts w:eastAsia="Calibri"/>
          <w:szCs w:val="22"/>
          <w:lang w:val="fr-FR" w:eastAsia="en-US"/>
        </w:rPr>
        <w:t>autres unions</w:t>
      </w:r>
      <w:r w:rsidR="002C6E66" w:rsidRPr="004A032C">
        <w:rPr>
          <w:rStyle w:val="FootnoteReference"/>
          <w:rFonts w:eastAsia="Calibri"/>
          <w:szCs w:val="22"/>
          <w:lang w:val="fr-FR" w:eastAsia="en-US"/>
        </w:rPr>
        <w:footnoteReference w:id="10"/>
      </w:r>
      <w:r w:rsidR="002C6E66" w:rsidRPr="004A032C">
        <w:rPr>
          <w:rFonts w:eastAsia="Calibri"/>
          <w:szCs w:val="22"/>
          <w:lang w:val="fr-FR" w:eastAsia="en-US"/>
        </w:rPr>
        <w:t>.</w:t>
      </w:r>
      <w:r w:rsidR="0040390C" w:rsidRPr="004A032C">
        <w:rPr>
          <w:rFonts w:eastAsia="Calibri"/>
          <w:szCs w:val="22"/>
          <w:lang w:val="fr-FR" w:eastAsia="en-US"/>
        </w:rPr>
        <w:t xml:space="preserve">  </w:t>
      </w:r>
      <w:r w:rsidR="002C6E66" w:rsidRPr="004A032C">
        <w:rPr>
          <w:rFonts w:eastAsia="Calibri"/>
          <w:szCs w:val="22"/>
          <w:lang w:val="fr-FR" w:eastAsia="en-US"/>
        </w:rPr>
        <w:t>Or l</w:t>
      </w:r>
      <w:r w:rsidR="007379AD" w:rsidRPr="004A032C">
        <w:rPr>
          <w:rFonts w:eastAsia="Calibri"/>
          <w:szCs w:val="22"/>
          <w:lang w:val="fr-FR" w:eastAsia="en-US"/>
        </w:rPr>
        <w:t>’</w:t>
      </w:r>
      <w:r w:rsidR="002C6E66" w:rsidRPr="004A032C">
        <w:rPr>
          <w:rFonts w:eastAsia="Calibri"/>
          <w:szCs w:val="22"/>
          <w:lang w:val="fr-FR" w:eastAsia="en-US"/>
        </w:rPr>
        <w:t>autosuffisance financière des systèmes d</w:t>
      </w:r>
      <w:r w:rsidR="007379AD" w:rsidRPr="004A032C">
        <w:rPr>
          <w:rFonts w:eastAsia="Calibri"/>
          <w:szCs w:val="22"/>
          <w:lang w:val="fr-FR" w:eastAsia="en-US"/>
        </w:rPr>
        <w:t>’</w:t>
      </w:r>
      <w:r w:rsidR="002C6E66" w:rsidRPr="004A032C">
        <w:rPr>
          <w:rFonts w:eastAsia="Calibri"/>
          <w:szCs w:val="22"/>
          <w:lang w:val="fr-FR" w:eastAsia="en-US"/>
        </w:rPr>
        <w:t>enregistrement intéresse les autres unions et l</w:t>
      </w:r>
      <w:r w:rsidR="007379AD" w:rsidRPr="004A032C">
        <w:rPr>
          <w:rFonts w:eastAsia="Calibri"/>
          <w:szCs w:val="22"/>
          <w:lang w:val="fr-FR" w:eastAsia="en-US"/>
        </w:rPr>
        <w:t>’</w:t>
      </w:r>
      <w:r w:rsidR="002C6E66" w:rsidRPr="004A032C">
        <w:rPr>
          <w:rFonts w:eastAsia="Calibri"/>
          <w:szCs w:val="22"/>
          <w:lang w:val="fr-FR" w:eastAsia="en-US"/>
        </w:rPr>
        <w:t>Organisation dans son ensemble, et il est important que l</w:t>
      </w:r>
      <w:r w:rsidR="007379AD" w:rsidRPr="004A032C">
        <w:rPr>
          <w:rFonts w:eastAsia="Calibri"/>
          <w:szCs w:val="22"/>
          <w:lang w:val="fr-FR" w:eastAsia="en-US"/>
        </w:rPr>
        <w:t>’</w:t>
      </w:r>
      <w:r w:rsidR="002C6E66" w:rsidRPr="004A032C">
        <w:rPr>
          <w:rFonts w:eastAsia="Calibri"/>
          <w:szCs w:val="22"/>
          <w:lang w:val="fr-FR" w:eastAsia="en-US"/>
        </w:rPr>
        <w:t xml:space="preserve">Assemblée générale donne son point de vue sur toute administration </w:t>
      </w:r>
      <w:r w:rsidR="00C559A3" w:rsidRPr="004A032C">
        <w:rPr>
          <w:rFonts w:eastAsia="Calibri"/>
          <w:szCs w:val="22"/>
          <w:lang w:val="fr-FR" w:eastAsia="en-US"/>
        </w:rPr>
        <w:t>éventuelle</w:t>
      </w:r>
      <w:r w:rsidR="002C6E66" w:rsidRPr="004A032C">
        <w:rPr>
          <w:rFonts w:eastAsia="Calibri"/>
          <w:szCs w:val="22"/>
          <w:lang w:val="fr-FR" w:eastAsia="en-US"/>
        </w:rPr>
        <w:t xml:space="preserve"> de l</w:t>
      </w:r>
      <w:r w:rsidR="007379AD" w:rsidRPr="004A032C">
        <w:rPr>
          <w:rFonts w:eastAsia="Calibri"/>
          <w:szCs w:val="22"/>
          <w:lang w:val="fr-FR" w:eastAsia="en-US"/>
        </w:rPr>
        <w:t>’</w:t>
      </w:r>
      <w:r w:rsidR="002C6E66" w:rsidRPr="004A032C">
        <w:rPr>
          <w:rFonts w:eastAsia="Calibri"/>
          <w:szCs w:val="22"/>
          <w:lang w:val="fr-FR" w:eastAsia="en-US"/>
        </w:rPr>
        <w:t>Acte de Genève par l</w:t>
      </w:r>
      <w:r w:rsidR="007379AD" w:rsidRPr="004A032C">
        <w:rPr>
          <w:rFonts w:eastAsia="Calibri"/>
          <w:szCs w:val="22"/>
          <w:lang w:val="fr-FR" w:eastAsia="en-US"/>
        </w:rPr>
        <w:t>’</w:t>
      </w:r>
      <w:r w:rsidR="002C6E66" w:rsidRPr="004A032C">
        <w:rPr>
          <w:rFonts w:eastAsia="Calibri"/>
          <w:szCs w:val="22"/>
          <w:lang w:val="fr-FR" w:eastAsia="en-US"/>
        </w:rPr>
        <w:t>Organisation.</w:t>
      </w:r>
    </w:p>
    <w:p w:rsidR="00DA0F7A" w:rsidRPr="004A032C" w:rsidRDefault="00DA0F7A" w:rsidP="004A032C">
      <w:pPr>
        <w:rPr>
          <w:rFonts w:eastAsia="Calibri"/>
          <w:szCs w:val="22"/>
          <w:lang w:val="fr-FR" w:eastAsia="en-US"/>
        </w:rPr>
      </w:pPr>
    </w:p>
    <w:p w:rsidR="00DA0F7A" w:rsidRPr="004A032C" w:rsidRDefault="002C6E66" w:rsidP="004A032C">
      <w:pPr>
        <w:rPr>
          <w:rFonts w:eastAsia="Calibri"/>
          <w:szCs w:val="22"/>
          <w:lang w:val="fr-FR" w:eastAsia="en-US"/>
        </w:rPr>
      </w:pPr>
      <w:r w:rsidRPr="004A032C">
        <w:rPr>
          <w:rFonts w:eastAsia="Calibri"/>
          <w:szCs w:val="22"/>
          <w:lang w:val="fr-FR" w:eastAsia="en-US"/>
        </w:rPr>
        <w:t>Enfin, quelle que soit la décision concernant l</w:t>
      </w:r>
      <w:r w:rsidR="007379AD" w:rsidRPr="004A032C">
        <w:rPr>
          <w:rFonts w:eastAsia="Calibri"/>
          <w:szCs w:val="22"/>
          <w:lang w:val="fr-FR" w:eastAsia="en-US"/>
        </w:rPr>
        <w:t>’</w:t>
      </w:r>
      <w:r w:rsidRPr="004A032C">
        <w:rPr>
          <w:rFonts w:eastAsia="Calibri"/>
          <w:szCs w:val="22"/>
          <w:lang w:val="fr-FR" w:eastAsia="en-US"/>
        </w:rPr>
        <w:t>administration de l</w:t>
      </w:r>
      <w:r w:rsidR="007379AD" w:rsidRPr="004A032C">
        <w:rPr>
          <w:rFonts w:eastAsia="Calibri"/>
          <w:szCs w:val="22"/>
          <w:lang w:val="fr-FR" w:eastAsia="en-US"/>
        </w:rPr>
        <w:t>’</w:t>
      </w:r>
      <w:r w:rsidRPr="004A032C">
        <w:rPr>
          <w:rFonts w:eastAsia="Calibri"/>
          <w:szCs w:val="22"/>
          <w:lang w:val="fr-FR" w:eastAsia="en-US"/>
        </w:rPr>
        <w:t>Acte de Genève en général, l</w:t>
      </w:r>
      <w:r w:rsidR="007379AD" w:rsidRPr="004A032C">
        <w:rPr>
          <w:rFonts w:eastAsia="Calibri"/>
          <w:szCs w:val="22"/>
          <w:lang w:val="fr-FR" w:eastAsia="en-US"/>
        </w:rPr>
        <w:t>’</w:t>
      </w:r>
      <w:r w:rsidRPr="004A032C">
        <w:rPr>
          <w:rFonts w:eastAsia="Calibri"/>
          <w:szCs w:val="22"/>
          <w:lang w:val="fr-FR" w:eastAsia="en-US"/>
        </w:rPr>
        <w:t>Organisation n</w:t>
      </w:r>
      <w:r w:rsidR="007379AD" w:rsidRPr="004A032C">
        <w:rPr>
          <w:rFonts w:eastAsia="Calibri"/>
          <w:szCs w:val="22"/>
          <w:lang w:val="fr-FR" w:eastAsia="en-US"/>
        </w:rPr>
        <w:t>’</w:t>
      </w:r>
      <w:r w:rsidRPr="004A032C">
        <w:rPr>
          <w:rFonts w:eastAsia="Calibri"/>
          <w:szCs w:val="22"/>
          <w:lang w:val="fr-FR" w:eastAsia="en-US"/>
        </w:rPr>
        <w:t>est pas tenue d</w:t>
      </w:r>
      <w:r w:rsidR="007379AD" w:rsidRPr="004A032C">
        <w:rPr>
          <w:rFonts w:eastAsia="Calibri"/>
          <w:szCs w:val="22"/>
          <w:lang w:val="fr-FR" w:eastAsia="en-US"/>
        </w:rPr>
        <w:t>’</w:t>
      </w:r>
      <w:r w:rsidRPr="004A032C">
        <w:rPr>
          <w:rFonts w:eastAsia="Calibri"/>
          <w:szCs w:val="22"/>
          <w:lang w:val="fr-FR" w:eastAsia="en-US"/>
        </w:rPr>
        <w:t>assurer les services d</w:t>
      </w:r>
      <w:r w:rsidR="007379AD" w:rsidRPr="004A032C">
        <w:rPr>
          <w:rFonts w:eastAsia="Calibri"/>
          <w:szCs w:val="22"/>
          <w:lang w:val="fr-FR" w:eastAsia="en-US"/>
        </w:rPr>
        <w:t>’</w:t>
      </w:r>
      <w:r w:rsidRPr="004A032C">
        <w:rPr>
          <w:rFonts w:eastAsia="Calibri"/>
          <w:szCs w:val="22"/>
          <w:lang w:val="fr-FR" w:eastAsia="en-US"/>
        </w:rPr>
        <w:t xml:space="preserve">enregistrement </w:t>
      </w:r>
      <w:r w:rsidR="00C559A3" w:rsidRPr="004A032C">
        <w:rPr>
          <w:rFonts w:eastAsia="Calibri"/>
          <w:szCs w:val="22"/>
          <w:lang w:val="fr-FR" w:eastAsia="en-US"/>
        </w:rPr>
        <w:t>correspondants</w:t>
      </w:r>
      <w:r w:rsidRPr="004A032C">
        <w:rPr>
          <w:rFonts w:eastAsia="Calibri"/>
          <w:szCs w:val="22"/>
          <w:lang w:val="fr-FR" w:eastAsia="en-US"/>
        </w:rPr>
        <w:t>.</w:t>
      </w:r>
      <w:r w:rsidR="0040390C" w:rsidRPr="004A032C">
        <w:rPr>
          <w:rFonts w:eastAsia="Calibri"/>
          <w:szCs w:val="22"/>
          <w:lang w:val="fr-FR" w:eastAsia="en-US"/>
        </w:rPr>
        <w:t xml:space="preserve">  </w:t>
      </w:r>
      <w:r w:rsidR="006B6804" w:rsidRPr="004A032C">
        <w:rPr>
          <w:rFonts w:eastAsia="Calibri"/>
          <w:szCs w:val="22"/>
          <w:lang w:val="fr-FR" w:eastAsia="en-US"/>
        </w:rPr>
        <w:t>Même en supposant que l</w:t>
      </w:r>
      <w:r w:rsidR="007379AD" w:rsidRPr="004A032C">
        <w:rPr>
          <w:rFonts w:eastAsia="Calibri"/>
          <w:szCs w:val="22"/>
          <w:lang w:val="fr-FR" w:eastAsia="en-US"/>
        </w:rPr>
        <w:t>’</w:t>
      </w:r>
      <w:r w:rsidR="006B6804" w:rsidRPr="004A032C">
        <w:rPr>
          <w:rFonts w:eastAsia="Calibri"/>
          <w:szCs w:val="22"/>
          <w:lang w:val="fr-FR" w:eastAsia="en-US"/>
        </w:rPr>
        <w:t>Union de Lisbonne établie par l</w:t>
      </w:r>
      <w:r w:rsidR="007379AD" w:rsidRPr="004A032C">
        <w:rPr>
          <w:rFonts w:eastAsia="Calibri"/>
          <w:szCs w:val="22"/>
          <w:lang w:val="fr-FR" w:eastAsia="en-US"/>
        </w:rPr>
        <w:t>’</w:t>
      </w:r>
      <w:r w:rsidR="006B6804" w:rsidRPr="004A032C">
        <w:rPr>
          <w:rFonts w:eastAsia="Calibri"/>
          <w:szCs w:val="22"/>
          <w:lang w:val="fr-FR" w:eastAsia="en-US"/>
        </w:rPr>
        <w:t>Acte de Genève est une union particulière, l</w:t>
      </w:r>
      <w:r w:rsidR="007379AD" w:rsidRPr="004A032C">
        <w:rPr>
          <w:rFonts w:eastAsia="Calibri"/>
          <w:szCs w:val="22"/>
          <w:lang w:val="fr-FR" w:eastAsia="en-US"/>
        </w:rPr>
        <w:t>’</w:t>
      </w:r>
      <w:r w:rsidR="006B6804" w:rsidRPr="004A032C">
        <w:rPr>
          <w:rFonts w:eastAsia="Calibri"/>
          <w:szCs w:val="22"/>
          <w:lang w:val="fr-FR" w:eastAsia="en-US"/>
        </w:rPr>
        <w:t>article</w:t>
      </w:r>
      <w:r w:rsidR="00F47E56" w:rsidRPr="004A032C">
        <w:rPr>
          <w:rFonts w:eastAsia="Calibri"/>
          <w:szCs w:val="22"/>
          <w:lang w:val="fr-FR" w:eastAsia="en-US"/>
        </w:rPr>
        <w:t> </w:t>
      </w:r>
      <w:r w:rsidR="006B6804" w:rsidRPr="004A032C">
        <w:rPr>
          <w:rFonts w:eastAsia="Calibri"/>
          <w:szCs w:val="22"/>
          <w:lang w:val="fr-FR" w:eastAsia="en-US"/>
        </w:rPr>
        <w:t>4 de la Convention instituant l</w:t>
      </w:r>
      <w:r w:rsidR="007379AD" w:rsidRPr="004A032C">
        <w:rPr>
          <w:rFonts w:eastAsia="Calibri"/>
          <w:szCs w:val="22"/>
          <w:lang w:val="fr-FR" w:eastAsia="en-US"/>
        </w:rPr>
        <w:t>’</w:t>
      </w:r>
      <w:r w:rsidR="006B6804" w:rsidRPr="004A032C">
        <w:rPr>
          <w:rFonts w:eastAsia="Calibri"/>
          <w:szCs w:val="22"/>
          <w:lang w:val="fr-FR" w:eastAsia="en-US"/>
        </w:rPr>
        <w:t>OMPI et l</w:t>
      </w:r>
      <w:r w:rsidR="007379AD" w:rsidRPr="004A032C">
        <w:rPr>
          <w:rFonts w:eastAsia="Calibri"/>
          <w:szCs w:val="22"/>
          <w:lang w:val="fr-FR" w:eastAsia="en-US"/>
        </w:rPr>
        <w:t>’</w:t>
      </w:r>
      <w:r w:rsidR="006B6804" w:rsidRPr="004A032C">
        <w:rPr>
          <w:rFonts w:eastAsia="Calibri"/>
          <w:szCs w:val="22"/>
          <w:lang w:val="fr-FR" w:eastAsia="en-US"/>
        </w:rPr>
        <w:t xml:space="preserve">historique de sa négociation montrent clairement </w:t>
      </w:r>
      <w:r w:rsidR="00C559A3" w:rsidRPr="004A032C">
        <w:rPr>
          <w:rFonts w:eastAsia="Calibri"/>
          <w:szCs w:val="22"/>
          <w:lang w:val="fr-FR" w:eastAsia="en-US"/>
        </w:rPr>
        <w:t>qu</w:t>
      </w:r>
      <w:r w:rsidR="007379AD" w:rsidRPr="004A032C">
        <w:rPr>
          <w:rFonts w:eastAsia="Calibri"/>
          <w:szCs w:val="22"/>
          <w:lang w:val="fr-FR" w:eastAsia="en-US"/>
        </w:rPr>
        <w:t>’</w:t>
      </w:r>
      <w:r w:rsidR="00C559A3" w:rsidRPr="004A032C">
        <w:rPr>
          <w:rFonts w:eastAsia="Calibri"/>
          <w:szCs w:val="22"/>
          <w:lang w:val="fr-FR" w:eastAsia="en-US"/>
        </w:rPr>
        <w:t xml:space="preserve">il y a une différence </w:t>
      </w:r>
      <w:r w:rsidR="006B6804" w:rsidRPr="004A032C">
        <w:rPr>
          <w:rFonts w:eastAsia="Calibri"/>
          <w:szCs w:val="22"/>
          <w:lang w:val="fr-FR" w:eastAsia="en-US"/>
        </w:rPr>
        <w:t xml:space="preserve">entre les </w:t>
      </w:r>
      <w:r w:rsidR="00F47E56" w:rsidRPr="004A032C">
        <w:rPr>
          <w:rFonts w:eastAsia="Calibri"/>
          <w:szCs w:val="22"/>
          <w:lang w:val="fr-FR" w:eastAsia="en-US"/>
        </w:rPr>
        <w:t>“</w:t>
      </w:r>
      <w:r w:rsidR="006B6804" w:rsidRPr="004A032C">
        <w:rPr>
          <w:rFonts w:eastAsia="Calibri"/>
          <w:szCs w:val="22"/>
          <w:lang w:val="fr-FR" w:eastAsia="en-US"/>
        </w:rPr>
        <w:t>services administratifs</w:t>
      </w:r>
      <w:r w:rsidR="00F47E56" w:rsidRPr="004A032C">
        <w:rPr>
          <w:rFonts w:eastAsia="Calibri"/>
          <w:szCs w:val="22"/>
          <w:lang w:val="fr-FR" w:eastAsia="en-US"/>
        </w:rPr>
        <w:t>”</w:t>
      </w:r>
      <w:r w:rsidR="006B6804" w:rsidRPr="004A032C">
        <w:rPr>
          <w:rFonts w:eastAsia="Calibri"/>
          <w:szCs w:val="22"/>
          <w:lang w:val="fr-FR" w:eastAsia="en-US"/>
        </w:rPr>
        <w:t xml:space="preserve"> visés à l</w:t>
      </w:r>
      <w:r w:rsidR="007379AD" w:rsidRPr="004A032C">
        <w:rPr>
          <w:rFonts w:eastAsia="Calibri"/>
          <w:szCs w:val="22"/>
          <w:lang w:val="fr-FR" w:eastAsia="en-US"/>
        </w:rPr>
        <w:t>’</w:t>
      </w:r>
      <w:r w:rsidR="006B6804" w:rsidRPr="004A032C">
        <w:rPr>
          <w:rFonts w:eastAsia="Calibri"/>
          <w:szCs w:val="22"/>
          <w:lang w:val="fr-FR" w:eastAsia="en-US"/>
        </w:rPr>
        <w:t>article</w:t>
      </w:r>
      <w:r w:rsidR="00F47E56" w:rsidRPr="004A032C">
        <w:rPr>
          <w:rFonts w:eastAsia="Calibri"/>
          <w:szCs w:val="22"/>
          <w:lang w:val="fr-FR" w:eastAsia="en-US"/>
        </w:rPr>
        <w:t> </w:t>
      </w:r>
      <w:r w:rsidR="006B6804" w:rsidRPr="004A032C">
        <w:rPr>
          <w:rFonts w:eastAsia="Calibri"/>
          <w:szCs w:val="22"/>
          <w:lang w:val="fr-FR" w:eastAsia="en-US"/>
        </w:rPr>
        <w:t>4.ii) et la fourniture de services d</w:t>
      </w:r>
      <w:r w:rsidR="007379AD" w:rsidRPr="004A032C">
        <w:rPr>
          <w:rFonts w:eastAsia="Calibri"/>
          <w:szCs w:val="22"/>
          <w:lang w:val="fr-FR" w:eastAsia="en-US"/>
        </w:rPr>
        <w:t>’</w:t>
      </w:r>
      <w:r w:rsidR="006B6804" w:rsidRPr="004A032C">
        <w:rPr>
          <w:rFonts w:eastAsia="Calibri"/>
          <w:szCs w:val="22"/>
          <w:lang w:val="fr-FR" w:eastAsia="en-US"/>
        </w:rPr>
        <w:t xml:space="preserve">enregistrement dont il est </w:t>
      </w:r>
      <w:r w:rsidR="003505D3" w:rsidRPr="004A032C">
        <w:rPr>
          <w:rFonts w:eastAsia="Calibri"/>
          <w:szCs w:val="22"/>
          <w:lang w:val="fr-FR" w:eastAsia="en-US"/>
        </w:rPr>
        <w:t>question</w:t>
      </w:r>
      <w:r w:rsidR="006B6804" w:rsidRPr="004A032C">
        <w:rPr>
          <w:rFonts w:eastAsia="Calibri"/>
          <w:szCs w:val="22"/>
          <w:lang w:val="fr-FR" w:eastAsia="en-US"/>
        </w:rPr>
        <w:t xml:space="preserve"> à l</w:t>
      </w:r>
      <w:r w:rsidR="007379AD" w:rsidRPr="004A032C">
        <w:rPr>
          <w:rFonts w:eastAsia="Calibri"/>
          <w:szCs w:val="22"/>
          <w:lang w:val="fr-FR" w:eastAsia="en-US"/>
        </w:rPr>
        <w:t>’</w:t>
      </w:r>
      <w:r w:rsidR="006B6804" w:rsidRPr="004A032C">
        <w:rPr>
          <w:rFonts w:eastAsia="Calibri"/>
          <w:szCs w:val="22"/>
          <w:lang w:val="fr-FR" w:eastAsia="en-US"/>
        </w:rPr>
        <w:t>article 4.vii)</w:t>
      </w:r>
      <w:r w:rsidR="006B6804" w:rsidRPr="004A032C">
        <w:rPr>
          <w:rStyle w:val="FootnoteReference"/>
          <w:rFonts w:eastAsia="Calibri"/>
          <w:szCs w:val="22"/>
          <w:lang w:val="fr-FR" w:eastAsia="en-US"/>
        </w:rPr>
        <w:footnoteReference w:id="11"/>
      </w:r>
      <w:r w:rsidR="006B6804" w:rsidRPr="004A032C">
        <w:rPr>
          <w:rFonts w:eastAsia="Calibri"/>
          <w:szCs w:val="22"/>
          <w:lang w:val="fr-FR" w:eastAsia="en-US"/>
        </w:rPr>
        <w:t>.</w:t>
      </w:r>
      <w:r w:rsidR="0040390C" w:rsidRPr="004A032C">
        <w:rPr>
          <w:rFonts w:eastAsia="Calibri"/>
          <w:szCs w:val="22"/>
          <w:lang w:val="fr-FR" w:eastAsia="en-US"/>
        </w:rPr>
        <w:t xml:space="preserve">  </w:t>
      </w:r>
      <w:r w:rsidR="00BC150D" w:rsidRPr="004A032C">
        <w:rPr>
          <w:rFonts w:eastAsia="Calibri"/>
          <w:szCs w:val="22"/>
          <w:lang w:val="fr-FR" w:eastAsia="en-US"/>
        </w:rPr>
        <w:t>L</w:t>
      </w:r>
      <w:r w:rsidR="007379AD" w:rsidRPr="004A032C">
        <w:rPr>
          <w:rFonts w:eastAsia="Calibri"/>
          <w:szCs w:val="22"/>
          <w:lang w:val="fr-FR" w:eastAsia="en-US"/>
        </w:rPr>
        <w:t>’</w:t>
      </w:r>
      <w:r w:rsidR="00BC150D" w:rsidRPr="004A032C">
        <w:rPr>
          <w:rFonts w:eastAsia="Calibri"/>
          <w:szCs w:val="22"/>
          <w:lang w:val="fr-FR" w:eastAsia="en-US"/>
        </w:rPr>
        <w:t>article</w:t>
      </w:r>
      <w:r w:rsidR="00F47E56" w:rsidRPr="004A032C">
        <w:rPr>
          <w:rFonts w:eastAsia="Calibri"/>
          <w:szCs w:val="22"/>
          <w:lang w:val="fr-FR" w:eastAsia="en-US"/>
        </w:rPr>
        <w:t> </w:t>
      </w:r>
      <w:r w:rsidR="00BC150D" w:rsidRPr="004A032C">
        <w:rPr>
          <w:rFonts w:eastAsia="Calibri"/>
          <w:szCs w:val="22"/>
          <w:lang w:val="fr-FR" w:eastAsia="en-US"/>
        </w:rPr>
        <w:t>4.vii) est modifié par l</w:t>
      </w:r>
      <w:r w:rsidR="007379AD" w:rsidRPr="004A032C">
        <w:rPr>
          <w:rFonts w:eastAsia="Calibri"/>
          <w:szCs w:val="22"/>
          <w:lang w:val="fr-FR" w:eastAsia="en-US"/>
        </w:rPr>
        <w:t>’</w:t>
      </w:r>
      <w:r w:rsidR="00BC150D" w:rsidRPr="004A032C">
        <w:rPr>
          <w:rFonts w:eastAsia="Calibri"/>
          <w:szCs w:val="22"/>
          <w:lang w:val="fr-FR" w:eastAsia="en-US"/>
        </w:rPr>
        <w:t>expression “le cas échéant”, qui prouve que l</w:t>
      </w:r>
      <w:r w:rsidR="007379AD" w:rsidRPr="004A032C">
        <w:rPr>
          <w:rFonts w:eastAsia="Calibri"/>
          <w:szCs w:val="22"/>
          <w:lang w:val="fr-FR" w:eastAsia="en-US"/>
        </w:rPr>
        <w:t>’</w:t>
      </w:r>
      <w:r w:rsidR="00BC150D" w:rsidRPr="004A032C">
        <w:rPr>
          <w:rFonts w:eastAsia="Calibri"/>
          <w:szCs w:val="22"/>
          <w:lang w:val="fr-FR" w:eastAsia="en-US"/>
        </w:rPr>
        <w:t>Organisation n</w:t>
      </w:r>
      <w:r w:rsidR="007379AD" w:rsidRPr="004A032C">
        <w:rPr>
          <w:rFonts w:eastAsia="Calibri"/>
          <w:szCs w:val="22"/>
          <w:lang w:val="fr-FR" w:eastAsia="en-US"/>
        </w:rPr>
        <w:t>’</w:t>
      </w:r>
      <w:r w:rsidR="00BC150D" w:rsidRPr="004A032C">
        <w:rPr>
          <w:rFonts w:eastAsia="Calibri"/>
          <w:szCs w:val="22"/>
          <w:lang w:val="fr-FR" w:eastAsia="en-US"/>
        </w:rPr>
        <w:t>a pas à assurer systématiquement les services d</w:t>
      </w:r>
      <w:r w:rsidR="007379AD" w:rsidRPr="004A032C">
        <w:rPr>
          <w:rFonts w:eastAsia="Calibri"/>
          <w:szCs w:val="22"/>
          <w:lang w:val="fr-FR" w:eastAsia="en-US"/>
        </w:rPr>
        <w:t>’</w:t>
      </w:r>
      <w:r w:rsidR="00BC150D" w:rsidRPr="004A032C">
        <w:rPr>
          <w:rFonts w:eastAsia="Calibri"/>
          <w:szCs w:val="22"/>
          <w:lang w:val="fr-FR" w:eastAsia="en-US"/>
        </w:rPr>
        <w:t xml:space="preserve">enregistrement correspondants;  il convient au contraire de prendre </w:t>
      </w:r>
      <w:r w:rsidR="003505D3" w:rsidRPr="004A032C">
        <w:rPr>
          <w:rFonts w:eastAsia="Calibri"/>
          <w:szCs w:val="22"/>
          <w:lang w:val="fr-FR" w:eastAsia="en-US"/>
        </w:rPr>
        <w:t>une</w:t>
      </w:r>
      <w:r w:rsidR="00BC150D" w:rsidRPr="004A032C">
        <w:rPr>
          <w:rFonts w:eastAsia="Calibri"/>
          <w:szCs w:val="22"/>
          <w:lang w:val="fr-FR" w:eastAsia="en-US"/>
        </w:rPr>
        <w:t xml:space="preserve"> décision quant à l</w:t>
      </w:r>
      <w:r w:rsidR="007379AD" w:rsidRPr="004A032C">
        <w:rPr>
          <w:rFonts w:eastAsia="Calibri"/>
          <w:szCs w:val="22"/>
          <w:lang w:val="fr-FR" w:eastAsia="en-US"/>
        </w:rPr>
        <w:t>’</w:t>
      </w:r>
      <w:r w:rsidR="00BC150D" w:rsidRPr="004A032C">
        <w:rPr>
          <w:rFonts w:eastAsia="Calibri"/>
          <w:szCs w:val="22"/>
          <w:lang w:val="fr-FR" w:eastAsia="en-US"/>
        </w:rPr>
        <w:t>opportunité de ces services.</w:t>
      </w:r>
      <w:r w:rsidR="0040390C" w:rsidRPr="004A032C">
        <w:rPr>
          <w:rFonts w:eastAsia="Calibri"/>
          <w:szCs w:val="22"/>
          <w:lang w:val="fr-FR" w:eastAsia="en-US"/>
        </w:rPr>
        <w:t xml:space="preserve">  </w:t>
      </w:r>
      <w:r w:rsidR="00BC150D" w:rsidRPr="004A032C">
        <w:rPr>
          <w:rFonts w:eastAsia="Calibri"/>
          <w:szCs w:val="22"/>
          <w:lang w:val="fr-FR" w:eastAsia="en-US"/>
        </w:rPr>
        <w:t>L</w:t>
      </w:r>
      <w:r w:rsidR="007379AD" w:rsidRPr="004A032C">
        <w:rPr>
          <w:rFonts w:eastAsia="Calibri"/>
          <w:szCs w:val="22"/>
          <w:lang w:val="fr-FR" w:eastAsia="en-US"/>
        </w:rPr>
        <w:t>’</w:t>
      </w:r>
      <w:r w:rsidR="00BC150D" w:rsidRPr="004A032C">
        <w:rPr>
          <w:rFonts w:eastAsia="Calibri"/>
          <w:szCs w:val="22"/>
          <w:lang w:val="fr-FR" w:eastAsia="en-US"/>
        </w:rPr>
        <w:t>incapacité de l</w:t>
      </w:r>
      <w:r w:rsidR="007379AD" w:rsidRPr="004A032C">
        <w:rPr>
          <w:rFonts w:eastAsia="Calibri"/>
          <w:szCs w:val="22"/>
          <w:lang w:val="fr-FR" w:eastAsia="en-US"/>
        </w:rPr>
        <w:t>’</w:t>
      </w:r>
      <w:r w:rsidR="00BC150D" w:rsidRPr="004A032C">
        <w:rPr>
          <w:rFonts w:eastAsia="Calibri"/>
          <w:szCs w:val="22"/>
          <w:lang w:val="fr-FR" w:eastAsia="en-US"/>
        </w:rPr>
        <w:t>Organisation de recouvrer les coûts d</w:t>
      </w:r>
      <w:r w:rsidR="007379AD" w:rsidRPr="004A032C">
        <w:rPr>
          <w:rFonts w:eastAsia="Calibri"/>
          <w:szCs w:val="22"/>
          <w:lang w:val="fr-FR" w:eastAsia="en-US"/>
        </w:rPr>
        <w:t>’</w:t>
      </w:r>
      <w:r w:rsidR="00BC150D" w:rsidRPr="004A032C">
        <w:rPr>
          <w:rFonts w:eastAsia="Calibri"/>
          <w:szCs w:val="22"/>
          <w:lang w:val="fr-FR" w:eastAsia="en-US"/>
        </w:rPr>
        <w:t>administration du système devrait conduire à la conclusion qu</w:t>
      </w:r>
      <w:r w:rsidR="007379AD" w:rsidRPr="004A032C">
        <w:rPr>
          <w:rFonts w:eastAsia="Calibri"/>
          <w:szCs w:val="22"/>
          <w:lang w:val="fr-FR" w:eastAsia="en-US"/>
        </w:rPr>
        <w:t>’</w:t>
      </w:r>
      <w:r w:rsidR="00BC150D" w:rsidRPr="004A032C">
        <w:rPr>
          <w:rFonts w:eastAsia="Calibri"/>
          <w:szCs w:val="22"/>
          <w:lang w:val="fr-FR" w:eastAsia="en-US"/>
        </w:rPr>
        <w:t>ils ne sont pas opportuns.</w:t>
      </w:r>
      <w:r w:rsidR="0040390C" w:rsidRPr="004A032C">
        <w:rPr>
          <w:rFonts w:eastAsia="Calibri"/>
          <w:szCs w:val="22"/>
          <w:lang w:val="fr-FR" w:eastAsia="en-US"/>
        </w:rPr>
        <w:t xml:space="preserve">  </w:t>
      </w:r>
      <w:r w:rsidR="00BC150D" w:rsidRPr="004A032C">
        <w:rPr>
          <w:rFonts w:eastAsia="Calibri"/>
          <w:szCs w:val="22"/>
          <w:lang w:val="fr-FR" w:eastAsia="en-US"/>
        </w:rPr>
        <w:t>Nous pensons toutefois qu</w:t>
      </w:r>
      <w:r w:rsidR="007379AD" w:rsidRPr="004A032C">
        <w:rPr>
          <w:rFonts w:eastAsia="Calibri"/>
          <w:szCs w:val="22"/>
          <w:lang w:val="fr-FR" w:eastAsia="en-US"/>
        </w:rPr>
        <w:t>’</w:t>
      </w:r>
      <w:r w:rsidR="00C559A3" w:rsidRPr="004A032C">
        <w:rPr>
          <w:rFonts w:eastAsia="Calibri"/>
          <w:szCs w:val="22"/>
          <w:lang w:val="fr-FR" w:eastAsia="en-US"/>
        </w:rPr>
        <w:t>il</w:t>
      </w:r>
      <w:r w:rsidR="00BC150D" w:rsidRPr="004A032C">
        <w:rPr>
          <w:rFonts w:eastAsia="Calibri"/>
          <w:szCs w:val="22"/>
          <w:lang w:val="fr-FR" w:eastAsia="en-US"/>
        </w:rPr>
        <w:t xml:space="preserve"> appartient à l</w:t>
      </w:r>
      <w:r w:rsidR="007379AD" w:rsidRPr="004A032C">
        <w:rPr>
          <w:rFonts w:eastAsia="Calibri"/>
          <w:szCs w:val="22"/>
          <w:lang w:val="fr-FR" w:eastAsia="en-US"/>
        </w:rPr>
        <w:t>’</w:t>
      </w:r>
      <w:r w:rsidR="00BC150D" w:rsidRPr="004A032C">
        <w:rPr>
          <w:rFonts w:eastAsia="Calibri"/>
          <w:szCs w:val="22"/>
          <w:lang w:val="fr-FR" w:eastAsia="en-US"/>
        </w:rPr>
        <w:t>Assemblée générale, à l</w:t>
      </w:r>
      <w:r w:rsidR="007379AD" w:rsidRPr="004A032C">
        <w:rPr>
          <w:rFonts w:eastAsia="Calibri"/>
          <w:szCs w:val="22"/>
          <w:lang w:val="fr-FR" w:eastAsia="en-US"/>
        </w:rPr>
        <w:t>’</w:t>
      </w:r>
      <w:r w:rsidR="00BC150D" w:rsidRPr="004A032C">
        <w:rPr>
          <w:rFonts w:eastAsia="Calibri"/>
          <w:szCs w:val="22"/>
          <w:lang w:val="fr-FR" w:eastAsia="en-US"/>
        </w:rPr>
        <w:t>Assemblée de l</w:t>
      </w:r>
      <w:r w:rsidR="007379AD" w:rsidRPr="004A032C">
        <w:rPr>
          <w:rFonts w:eastAsia="Calibri"/>
          <w:szCs w:val="22"/>
          <w:lang w:val="fr-FR" w:eastAsia="en-US"/>
        </w:rPr>
        <w:t>’</w:t>
      </w:r>
      <w:r w:rsidR="00BC150D" w:rsidRPr="004A032C">
        <w:rPr>
          <w:rFonts w:eastAsia="Calibri"/>
          <w:szCs w:val="22"/>
          <w:lang w:val="fr-FR" w:eastAsia="en-US"/>
        </w:rPr>
        <w:t>Union de Paris et à l</w:t>
      </w:r>
      <w:r w:rsidR="007379AD" w:rsidRPr="004A032C">
        <w:rPr>
          <w:rFonts w:eastAsia="Calibri"/>
          <w:szCs w:val="22"/>
          <w:lang w:val="fr-FR" w:eastAsia="en-US"/>
        </w:rPr>
        <w:t>’</w:t>
      </w:r>
      <w:r w:rsidR="00BC150D" w:rsidRPr="004A032C">
        <w:rPr>
          <w:rFonts w:eastAsia="Calibri"/>
          <w:szCs w:val="22"/>
          <w:lang w:val="fr-FR" w:eastAsia="en-US"/>
        </w:rPr>
        <w:t>Assemblée de l</w:t>
      </w:r>
      <w:r w:rsidR="007379AD" w:rsidRPr="004A032C">
        <w:rPr>
          <w:rFonts w:eastAsia="Calibri"/>
          <w:szCs w:val="22"/>
          <w:lang w:val="fr-FR" w:eastAsia="en-US"/>
        </w:rPr>
        <w:t>’</w:t>
      </w:r>
      <w:r w:rsidR="00BC150D" w:rsidRPr="004A032C">
        <w:rPr>
          <w:rFonts w:eastAsia="Calibri"/>
          <w:szCs w:val="22"/>
          <w:lang w:val="fr-FR" w:eastAsia="en-US"/>
        </w:rPr>
        <w:t xml:space="preserve">Union de Berne </w:t>
      </w:r>
      <w:r w:rsidR="00C559A3" w:rsidRPr="004A032C">
        <w:rPr>
          <w:rFonts w:eastAsia="Calibri"/>
          <w:szCs w:val="22"/>
          <w:lang w:val="fr-FR" w:eastAsia="en-US"/>
        </w:rPr>
        <w:t>de se prononcer en prenant une</w:t>
      </w:r>
      <w:r w:rsidR="00BC150D" w:rsidRPr="004A032C">
        <w:rPr>
          <w:rFonts w:eastAsia="Calibri"/>
          <w:szCs w:val="22"/>
          <w:lang w:val="fr-FR" w:eastAsia="en-US"/>
        </w:rPr>
        <w:t xml:space="preserve"> décision concernant l</w:t>
      </w:r>
      <w:r w:rsidR="007379AD" w:rsidRPr="004A032C">
        <w:rPr>
          <w:rFonts w:eastAsia="Calibri"/>
          <w:szCs w:val="22"/>
          <w:lang w:val="fr-FR" w:eastAsia="en-US"/>
        </w:rPr>
        <w:t>’</w:t>
      </w:r>
      <w:r w:rsidR="00BC150D" w:rsidRPr="004A032C">
        <w:rPr>
          <w:rFonts w:eastAsia="Calibri"/>
          <w:szCs w:val="22"/>
          <w:lang w:val="fr-FR" w:eastAsia="en-US"/>
        </w:rPr>
        <w:t>administration de l</w:t>
      </w:r>
      <w:r w:rsidR="007379AD" w:rsidRPr="004A032C">
        <w:rPr>
          <w:rFonts w:eastAsia="Calibri"/>
          <w:szCs w:val="22"/>
          <w:lang w:val="fr-FR" w:eastAsia="en-US"/>
        </w:rPr>
        <w:t>’</w:t>
      </w:r>
      <w:r w:rsidR="00BC150D" w:rsidRPr="004A032C">
        <w:rPr>
          <w:rFonts w:eastAsia="Calibri"/>
          <w:szCs w:val="22"/>
          <w:lang w:val="fr-FR" w:eastAsia="en-US"/>
        </w:rPr>
        <w:t>Acte de Genève par l</w:t>
      </w:r>
      <w:r w:rsidR="007379AD" w:rsidRPr="004A032C">
        <w:rPr>
          <w:rFonts w:eastAsia="Calibri"/>
          <w:szCs w:val="22"/>
          <w:lang w:val="fr-FR" w:eastAsia="en-US"/>
        </w:rPr>
        <w:t>’</w:t>
      </w:r>
      <w:r w:rsidR="00BC150D" w:rsidRPr="004A032C">
        <w:rPr>
          <w:rFonts w:eastAsia="Calibri"/>
          <w:szCs w:val="22"/>
          <w:lang w:val="fr-FR" w:eastAsia="en-US"/>
        </w:rPr>
        <w:t>Organisation.</w:t>
      </w:r>
    </w:p>
    <w:p w:rsidR="00DA0F7A" w:rsidRPr="004A032C" w:rsidRDefault="00DA0F7A" w:rsidP="004A032C">
      <w:pPr>
        <w:rPr>
          <w:rFonts w:eastAsia="Calibri"/>
          <w:szCs w:val="22"/>
          <w:lang w:val="fr-FR" w:eastAsia="en-US"/>
        </w:rPr>
      </w:pPr>
    </w:p>
    <w:p w:rsidR="00DA0F7A" w:rsidRDefault="00E6590C" w:rsidP="004A032C">
      <w:pPr>
        <w:rPr>
          <w:rFonts w:eastAsia="Calibri"/>
          <w:b/>
          <w:szCs w:val="22"/>
          <w:lang w:val="fr-FR" w:eastAsia="en-US"/>
        </w:rPr>
      </w:pPr>
      <w:r w:rsidRPr="004A032C">
        <w:rPr>
          <w:rFonts w:eastAsia="Calibri"/>
          <w:b/>
          <w:szCs w:val="22"/>
          <w:lang w:val="fr-FR" w:eastAsia="en-US"/>
        </w:rPr>
        <w:t>Conclusion</w:t>
      </w:r>
    </w:p>
    <w:p w:rsidR="004A032C" w:rsidRPr="004A032C" w:rsidRDefault="004A032C" w:rsidP="004A032C">
      <w:pPr>
        <w:rPr>
          <w:rFonts w:eastAsia="Calibri"/>
          <w:b/>
          <w:szCs w:val="22"/>
          <w:lang w:val="fr-FR" w:eastAsia="en-US"/>
        </w:rPr>
      </w:pPr>
    </w:p>
    <w:p w:rsidR="007379AD" w:rsidRDefault="00DA0F7A" w:rsidP="004A032C">
      <w:pPr>
        <w:rPr>
          <w:rFonts w:eastAsia="Calibri"/>
          <w:szCs w:val="22"/>
          <w:lang w:val="fr-FR" w:eastAsia="en-US"/>
        </w:rPr>
      </w:pPr>
      <w:r w:rsidRPr="004A032C">
        <w:rPr>
          <w:rFonts w:eastAsia="Calibri"/>
          <w:szCs w:val="22"/>
          <w:lang w:val="fr-FR" w:eastAsia="en-US"/>
        </w:rPr>
        <w:t>Nous suggérons que, en vertu des pouvoirs qui lui sont conférés par la Convention instituant l</w:t>
      </w:r>
      <w:r w:rsidR="007379AD" w:rsidRPr="004A032C">
        <w:rPr>
          <w:rFonts w:eastAsia="Calibri"/>
          <w:szCs w:val="22"/>
          <w:lang w:val="fr-FR" w:eastAsia="en-US"/>
        </w:rPr>
        <w:t>’</w:t>
      </w:r>
      <w:r w:rsidRPr="004A032C">
        <w:rPr>
          <w:rFonts w:eastAsia="Calibri"/>
          <w:szCs w:val="22"/>
          <w:lang w:val="fr-FR" w:eastAsia="en-US"/>
        </w:rPr>
        <w:t xml:space="preserve">OMPI, le Directeur général propose des mesures pour la mise en </w:t>
      </w:r>
      <w:r w:rsidR="000B5A3C" w:rsidRPr="004A032C">
        <w:rPr>
          <w:rFonts w:eastAsia="Calibri"/>
          <w:szCs w:val="22"/>
          <w:lang w:val="fr-FR" w:eastAsia="en-US"/>
        </w:rPr>
        <w:t>œuvre</w:t>
      </w:r>
      <w:r w:rsidRPr="004A032C">
        <w:rPr>
          <w:rFonts w:eastAsia="Calibri"/>
          <w:szCs w:val="22"/>
          <w:lang w:val="fr-FR" w:eastAsia="en-US"/>
        </w:rPr>
        <w:t xml:space="preserve"> de l</w:t>
      </w:r>
      <w:r w:rsidR="007379AD" w:rsidRPr="004A032C">
        <w:rPr>
          <w:rFonts w:eastAsia="Calibri"/>
          <w:szCs w:val="22"/>
          <w:lang w:val="fr-FR" w:eastAsia="en-US"/>
        </w:rPr>
        <w:t>’</w:t>
      </w:r>
      <w:r w:rsidRPr="004A032C">
        <w:rPr>
          <w:rFonts w:eastAsia="Calibri"/>
          <w:szCs w:val="22"/>
          <w:lang w:val="fr-FR" w:eastAsia="en-US"/>
        </w:rPr>
        <w:t>Acte de Genève afin qu</w:t>
      </w:r>
      <w:r w:rsidR="007379AD" w:rsidRPr="004A032C">
        <w:rPr>
          <w:rFonts w:eastAsia="Calibri"/>
          <w:szCs w:val="22"/>
          <w:lang w:val="fr-FR" w:eastAsia="en-US"/>
        </w:rPr>
        <w:t>’</w:t>
      </w:r>
      <w:r w:rsidRPr="004A032C">
        <w:rPr>
          <w:rFonts w:eastAsia="Calibri"/>
          <w:szCs w:val="22"/>
          <w:lang w:val="fr-FR" w:eastAsia="en-US"/>
        </w:rPr>
        <w:t>elles puissent être soient examinées en détail par l</w:t>
      </w:r>
      <w:r w:rsidR="007379AD" w:rsidRPr="004A032C">
        <w:rPr>
          <w:rFonts w:eastAsia="Calibri"/>
          <w:szCs w:val="22"/>
          <w:lang w:val="fr-FR" w:eastAsia="en-US"/>
        </w:rPr>
        <w:t>’</w:t>
      </w:r>
      <w:r w:rsidRPr="004A032C">
        <w:rPr>
          <w:rFonts w:eastAsia="Calibri"/>
          <w:szCs w:val="22"/>
          <w:lang w:val="fr-FR" w:eastAsia="en-US"/>
        </w:rPr>
        <w:t>Assemblée générale de l</w:t>
      </w:r>
      <w:r w:rsidR="007379AD" w:rsidRPr="004A032C">
        <w:rPr>
          <w:rFonts w:eastAsia="Calibri"/>
          <w:szCs w:val="22"/>
          <w:lang w:val="fr-FR" w:eastAsia="en-US"/>
        </w:rPr>
        <w:t>’</w:t>
      </w:r>
      <w:r w:rsidRPr="004A032C">
        <w:rPr>
          <w:rFonts w:eastAsia="Calibri"/>
          <w:szCs w:val="22"/>
          <w:lang w:val="fr-FR" w:eastAsia="en-US"/>
        </w:rPr>
        <w:t>OMPI, l</w:t>
      </w:r>
      <w:r w:rsidR="007379AD" w:rsidRPr="004A032C">
        <w:rPr>
          <w:rFonts w:eastAsia="Calibri"/>
          <w:szCs w:val="22"/>
          <w:lang w:val="fr-FR" w:eastAsia="en-US"/>
        </w:rPr>
        <w:t>’</w:t>
      </w:r>
      <w:r w:rsidRPr="004A032C">
        <w:rPr>
          <w:rFonts w:eastAsia="Calibri"/>
          <w:szCs w:val="22"/>
          <w:lang w:val="fr-FR" w:eastAsia="en-US"/>
        </w:rPr>
        <w:t>Assemblée de l</w:t>
      </w:r>
      <w:r w:rsidR="007379AD" w:rsidRPr="004A032C">
        <w:rPr>
          <w:rFonts w:eastAsia="Calibri"/>
          <w:szCs w:val="22"/>
          <w:lang w:val="fr-FR" w:eastAsia="en-US"/>
        </w:rPr>
        <w:t>’</w:t>
      </w:r>
      <w:r w:rsidRPr="004A032C">
        <w:rPr>
          <w:rFonts w:eastAsia="Calibri"/>
          <w:szCs w:val="22"/>
          <w:lang w:val="fr-FR" w:eastAsia="en-US"/>
        </w:rPr>
        <w:t>Union de Paris et l</w:t>
      </w:r>
      <w:r w:rsidR="007379AD" w:rsidRPr="004A032C">
        <w:rPr>
          <w:rFonts w:eastAsia="Calibri"/>
          <w:szCs w:val="22"/>
          <w:lang w:val="fr-FR" w:eastAsia="en-US"/>
        </w:rPr>
        <w:t>’</w:t>
      </w:r>
      <w:r w:rsidRPr="004A032C">
        <w:rPr>
          <w:rFonts w:eastAsia="Calibri"/>
          <w:szCs w:val="22"/>
          <w:lang w:val="fr-FR" w:eastAsia="en-US"/>
        </w:rPr>
        <w:t>Assemblée de l</w:t>
      </w:r>
      <w:r w:rsidR="007379AD" w:rsidRPr="004A032C">
        <w:rPr>
          <w:rFonts w:eastAsia="Calibri"/>
          <w:szCs w:val="22"/>
          <w:lang w:val="fr-FR" w:eastAsia="en-US"/>
        </w:rPr>
        <w:t>’</w:t>
      </w:r>
      <w:r w:rsidRPr="004A032C">
        <w:rPr>
          <w:rFonts w:eastAsia="Calibri"/>
          <w:szCs w:val="22"/>
          <w:lang w:val="fr-FR" w:eastAsia="en-US"/>
        </w:rPr>
        <w:t>Union de Berne et que ces organes puissent décider s</w:t>
      </w:r>
      <w:r w:rsidR="007379AD" w:rsidRPr="004A032C">
        <w:rPr>
          <w:rFonts w:eastAsia="Calibri"/>
          <w:szCs w:val="22"/>
          <w:lang w:val="fr-FR" w:eastAsia="en-US"/>
        </w:rPr>
        <w:t>’</w:t>
      </w:r>
      <w:r w:rsidRPr="004A032C">
        <w:rPr>
          <w:rFonts w:eastAsia="Calibri"/>
          <w:szCs w:val="22"/>
          <w:lang w:val="fr-FR" w:eastAsia="en-US"/>
        </w:rPr>
        <w:t>il convient de les approuver.</w:t>
      </w:r>
      <w:r w:rsidR="0040390C" w:rsidRPr="004A032C">
        <w:rPr>
          <w:rFonts w:eastAsia="Calibri"/>
          <w:szCs w:val="22"/>
          <w:lang w:val="fr-FR" w:eastAsia="en-US"/>
        </w:rPr>
        <w:t xml:space="preserve">  </w:t>
      </w:r>
      <w:r w:rsidRPr="004A032C">
        <w:rPr>
          <w:rFonts w:eastAsia="Calibri"/>
          <w:szCs w:val="22"/>
          <w:lang w:val="fr-FR" w:eastAsia="en-US"/>
        </w:rPr>
        <w:t>En vertu de la Convention instituant l</w:t>
      </w:r>
      <w:r w:rsidR="007379AD" w:rsidRPr="004A032C">
        <w:rPr>
          <w:rFonts w:eastAsia="Calibri"/>
          <w:szCs w:val="22"/>
          <w:lang w:val="fr-FR" w:eastAsia="en-US"/>
        </w:rPr>
        <w:t>’</w:t>
      </w:r>
      <w:r w:rsidRPr="004A032C">
        <w:rPr>
          <w:rFonts w:eastAsia="Calibri"/>
          <w:szCs w:val="22"/>
          <w:lang w:val="fr-FR" w:eastAsia="en-US"/>
        </w:rPr>
        <w:t>OMPI, l</w:t>
      </w:r>
      <w:r w:rsidR="007379AD" w:rsidRPr="004A032C">
        <w:rPr>
          <w:rFonts w:eastAsia="Calibri"/>
          <w:szCs w:val="22"/>
          <w:lang w:val="fr-FR" w:eastAsia="en-US"/>
        </w:rPr>
        <w:t>’</w:t>
      </w:r>
      <w:r w:rsidRPr="004A032C">
        <w:rPr>
          <w:rFonts w:eastAsia="Calibri"/>
          <w:szCs w:val="22"/>
          <w:lang w:val="fr-FR" w:eastAsia="en-US"/>
        </w:rPr>
        <w:t>Organisation n</w:t>
      </w:r>
      <w:r w:rsidR="007379AD" w:rsidRPr="004A032C">
        <w:rPr>
          <w:rFonts w:eastAsia="Calibri"/>
          <w:szCs w:val="22"/>
          <w:lang w:val="fr-FR" w:eastAsia="en-US"/>
        </w:rPr>
        <w:t>’</w:t>
      </w:r>
      <w:r w:rsidRPr="004A032C">
        <w:rPr>
          <w:rFonts w:eastAsia="Calibri"/>
          <w:szCs w:val="22"/>
          <w:lang w:val="fr-FR" w:eastAsia="en-US"/>
        </w:rPr>
        <w:t>a aucune obligation d</w:t>
      </w:r>
      <w:r w:rsidR="007379AD" w:rsidRPr="004A032C">
        <w:rPr>
          <w:rFonts w:eastAsia="Calibri"/>
          <w:szCs w:val="22"/>
          <w:lang w:val="fr-FR" w:eastAsia="en-US"/>
        </w:rPr>
        <w:t>’</w:t>
      </w:r>
      <w:r w:rsidRPr="004A032C">
        <w:rPr>
          <w:rFonts w:eastAsia="Calibri"/>
          <w:szCs w:val="22"/>
          <w:lang w:val="fr-FR" w:eastAsia="en-US"/>
        </w:rPr>
        <w:t>assumer des fonctions administratives ou d</w:t>
      </w:r>
      <w:r w:rsidR="007379AD" w:rsidRPr="004A032C">
        <w:rPr>
          <w:rFonts w:eastAsia="Calibri"/>
          <w:szCs w:val="22"/>
          <w:lang w:val="fr-FR" w:eastAsia="en-US"/>
        </w:rPr>
        <w:t>’</w:t>
      </w:r>
      <w:r w:rsidRPr="004A032C">
        <w:rPr>
          <w:rFonts w:eastAsia="Calibri"/>
          <w:szCs w:val="22"/>
          <w:lang w:val="fr-FR" w:eastAsia="en-US"/>
        </w:rPr>
        <w:t xml:space="preserve">assurer les services </w:t>
      </w:r>
      <w:r w:rsidRPr="004A032C">
        <w:rPr>
          <w:rFonts w:eastAsia="Calibri"/>
          <w:szCs w:val="22"/>
          <w:lang w:val="fr-FR" w:eastAsia="en-US"/>
        </w:rPr>
        <w:lastRenderedPageBreak/>
        <w:t>d</w:t>
      </w:r>
      <w:r w:rsidR="007379AD" w:rsidRPr="004A032C">
        <w:rPr>
          <w:rFonts w:eastAsia="Calibri"/>
          <w:szCs w:val="22"/>
          <w:lang w:val="fr-FR" w:eastAsia="en-US"/>
        </w:rPr>
        <w:t>’</w:t>
      </w:r>
      <w:r w:rsidRPr="004A032C">
        <w:rPr>
          <w:rFonts w:eastAsia="Calibri"/>
          <w:szCs w:val="22"/>
          <w:lang w:val="fr-FR" w:eastAsia="en-US"/>
        </w:rPr>
        <w:t>enregistrement pour la nouvelle Union de Lisbonne.  Au contraire, étant donné que l</w:t>
      </w:r>
      <w:r w:rsidR="007379AD" w:rsidRPr="004A032C">
        <w:rPr>
          <w:rFonts w:eastAsia="Calibri"/>
          <w:szCs w:val="22"/>
          <w:lang w:val="fr-FR" w:eastAsia="en-US"/>
        </w:rPr>
        <w:t>’</w:t>
      </w:r>
      <w:r w:rsidRPr="004A032C">
        <w:rPr>
          <w:rFonts w:eastAsia="Calibri"/>
          <w:szCs w:val="22"/>
          <w:lang w:val="fr-FR" w:eastAsia="en-US"/>
        </w:rPr>
        <w:t>Acte de Genève est un “autre engagement international” au sens de la Convention instituant l</w:t>
      </w:r>
      <w:r w:rsidR="007379AD" w:rsidRPr="004A032C">
        <w:rPr>
          <w:rFonts w:eastAsia="Calibri"/>
          <w:szCs w:val="22"/>
          <w:lang w:val="fr-FR" w:eastAsia="en-US"/>
        </w:rPr>
        <w:t>’</w:t>
      </w:r>
      <w:r w:rsidRPr="004A032C">
        <w:rPr>
          <w:rFonts w:eastAsia="Calibri"/>
          <w:szCs w:val="22"/>
          <w:lang w:val="fr-FR" w:eastAsia="en-US"/>
        </w:rPr>
        <w:t>OMPI, l</w:t>
      </w:r>
      <w:r w:rsidR="007379AD" w:rsidRPr="004A032C">
        <w:rPr>
          <w:rFonts w:eastAsia="Calibri"/>
          <w:szCs w:val="22"/>
          <w:lang w:val="fr-FR" w:eastAsia="en-US"/>
        </w:rPr>
        <w:t>’</w:t>
      </w:r>
      <w:r w:rsidRPr="004A032C">
        <w:rPr>
          <w:rFonts w:eastAsia="Calibri"/>
          <w:szCs w:val="22"/>
          <w:lang w:val="fr-FR" w:eastAsia="en-US"/>
        </w:rPr>
        <w:t>administration de ce nouvel Acte par l</w:t>
      </w:r>
      <w:r w:rsidR="007379AD" w:rsidRPr="004A032C">
        <w:rPr>
          <w:rFonts w:eastAsia="Calibri"/>
          <w:szCs w:val="22"/>
          <w:lang w:val="fr-FR" w:eastAsia="en-US"/>
        </w:rPr>
        <w:t>’</w:t>
      </w:r>
      <w:r w:rsidRPr="004A032C">
        <w:rPr>
          <w:rFonts w:eastAsia="Calibri"/>
          <w:szCs w:val="22"/>
          <w:lang w:val="fr-FR" w:eastAsia="en-US"/>
        </w:rPr>
        <w:t xml:space="preserve">OMPI requiert </w:t>
      </w:r>
      <w:r w:rsidR="00C559A3" w:rsidRPr="004A032C">
        <w:rPr>
          <w:rFonts w:eastAsia="Calibri"/>
          <w:szCs w:val="22"/>
          <w:lang w:val="fr-FR" w:eastAsia="en-US"/>
        </w:rPr>
        <w:t>l</w:t>
      </w:r>
      <w:r w:rsidR="007379AD" w:rsidRPr="004A032C">
        <w:rPr>
          <w:rFonts w:eastAsia="Calibri"/>
          <w:szCs w:val="22"/>
          <w:lang w:val="fr-FR" w:eastAsia="en-US"/>
        </w:rPr>
        <w:t>’</w:t>
      </w:r>
      <w:r w:rsidRPr="004A032C">
        <w:rPr>
          <w:rFonts w:eastAsia="Calibri"/>
          <w:szCs w:val="22"/>
          <w:lang w:val="fr-FR" w:eastAsia="en-US"/>
        </w:rPr>
        <w:t xml:space="preserve">examen et </w:t>
      </w:r>
      <w:r w:rsidR="00C559A3" w:rsidRPr="004A032C">
        <w:rPr>
          <w:rFonts w:eastAsia="Calibri"/>
          <w:szCs w:val="22"/>
          <w:lang w:val="fr-FR" w:eastAsia="en-US"/>
        </w:rPr>
        <w:t>l</w:t>
      </w:r>
      <w:r w:rsidR="007379AD" w:rsidRPr="004A032C">
        <w:rPr>
          <w:rFonts w:eastAsia="Calibri"/>
          <w:szCs w:val="22"/>
          <w:lang w:val="fr-FR" w:eastAsia="en-US"/>
        </w:rPr>
        <w:t>’</w:t>
      </w:r>
      <w:r w:rsidRPr="004A032C">
        <w:rPr>
          <w:rFonts w:eastAsia="Calibri"/>
          <w:szCs w:val="22"/>
          <w:lang w:val="fr-FR" w:eastAsia="en-US"/>
        </w:rPr>
        <w:t xml:space="preserve">approbation des organes </w:t>
      </w:r>
      <w:r w:rsidR="003505D3" w:rsidRPr="004A032C">
        <w:rPr>
          <w:rFonts w:eastAsia="Calibri"/>
          <w:szCs w:val="22"/>
          <w:lang w:val="fr-FR" w:eastAsia="en-US"/>
        </w:rPr>
        <w:t>compétents</w:t>
      </w:r>
      <w:r w:rsidRPr="004A032C">
        <w:rPr>
          <w:rFonts w:eastAsia="Calibri"/>
          <w:szCs w:val="22"/>
          <w:lang w:val="fr-FR" w:eastAsia="en-US"/>
        </w:rPr>
        <w:t xml:space="preserve"> de l</w:t>
      </w:r>
      <w:r w:rsidR="007379AD" w:rsidRPr="004A032C">
        <w:rPr>
          <w:rFonts w:eastAsia="Calibri"/>
          <w:szCs w:val="22"/>
          <w:lang w:val="fr-FR" w:eastAsia="en-US"/>
        </w:rPr>
        <w:t>’</w:t>
      </w:r>
      <w:r w:rsidRPr="004A032C">
        <w:rPr>
          <w:rFonts w:eastAsia="Calibri"/>
          <w:szCs w:val="22"/>
          <w:lang w:val="fr-FR" w:eastAsia="en-US"/>
        </w:rPr>
        <w:t>Organisation.</w:t>
      </w:r>
    </w:p>
    <w:p w:rsidR="004A032C" w:rsidRPr="004A032C" w:rsidRDefault="004A032C" w:rsidP="004A032C">
      <w:pPr>
        <w:rPr>
          <w:rFonts w:eastAsia="Calibri"/>
          <w:szCs w:val="22"/>
          <w:lang w:val="fr-FR" w:eastAsia="en-US"/>
        </w:rPr>
      </w:pPr>
    </w:p>
    <w:p w:rsidR="007379AD" w:rsidRPr="004A032C" w:rsidRDefault="00DA0F7A" w:rsidP="004A032C">
      <w:pPr>
        <w:ind w:left="5533"/>
        <w:rPr>
          <w:rFonts w:eastAsia="Calibri"/>
          <w:i/>
          <w:szCs w:val="22"/>
          <w:lang w:val="fr-FR" w:eastAsia="en-US"/>
        </w:rPr>
      </w:pPr>
      <w:r w:rsidRPr="004A032C">
        <w:rPr>
          <w:rFonts w:eastAsia="Calibri"/>
          <w:i/>
          <w:szCs w:val="22"/>
          <w:lang w:val="fr-FR" w:eastAsia="en-US"/>
        </w:rPr>
        <w:t>L</w:t>
      </w:r>
      <w:r w:rsidR="007379AD" w:rsidRPr="004A032C">
        <w:rPr>
          <w:rFonts w:eastAsia="Calibri"/>
          <w:i/>
          <w:szCs w:val="22"/>
          <w:lang w:val="fr-FR" w:eastAsia="en-US"/>
        </w:rPr>
        <w:t>’</w:t>
      </w:r>
      <w:r w:rsidRPr="004A032C">
        <w:rPr>
          <w:rFonts w:eastAsia="Calibri"/>
          <w:i/>
          <w:szCs w:val="22"/>
          <w:lang w:val="fr-FR" w:eastAsia="en-US"/>
        </w:rPr>
        <w:t>Assemblée générale est invité</w:t>
      </w:r>
      <w:r w:rsidR="00C559A3" w:rsidRPr="004A032C">
        <w:rPr>
          <w:rFonts w:eastAsia="Calibri"/>
          <w:i/>
          <w:szCs w:val="22"/>
          <w:lang w:val="fr-FR" w:eastAsia="en-US"/>
        </w:rPr>
        <w:t>e</w:t>
      </w:r>
      <w:r w:rsidRPr="004A032C">
        <w:rPr>
          <w:rFonts w:eastAsia="Calibri"/>
          <w:i/>
          <w:szCs w:val="22"/>
          <w:lang w:val="fr-FR" w:eastAsia="en-US"/>
        </w:rPr>
        <w:t xml:space="preserve"> à prier le Directeur général de proposer des mesures appropriées concernant l</w:t>
      </w:r>
      <w:r w:rsidR="007379AD" w:rsidRPr="004A032C">
        <w:rPr>
          <w:rFonts w:eastAsia="Calibri"/>
          <w:i/>
          <w:szCs w:val="22"/>
          <w:lang w:val="fr-FR" w:eastAsia="en-US"/>
        </w:rPr>
        <w:t>’</w:t>
      </w:r>
      <w:r w:rsidRPr="004A032C">
        <w:rPr>
          <w:rFonts w:eastAsia="Calibri"/>
          <w:i/>
          <w:szCs w:val="22"/>
          <w:lang w:val="fr-FR" w:eastAsia="en-US"/>
        </w:rPr>
        <w:t>administration de l</w:t>
      </w:r>
      <w:r w:rsidR="007379AD" w:rsidRPr="004A032C">
        <w:rPr>
          <w:rFonts w:eastAsia="Calibri"/>
          <w:i/>
          <w:szCs w:val="22"/>
          <w:lang w:val="fr-FR" w:eastAsia="en-US"/>
        </w:rPr>
        <w:t>’</w:t>
      </w:r>
      <w:r w:rsidRPr="004A032C">
        <w:rPr>
          <w:rFonts w:eastAsia="Calibri"/>
          <w:i/>
          <w:szCs w:val="22"/>
          <w:lang w:val="fr-FR" w:eastAsia="en-US"/>
        </w:rPr>
        <w:t>arrangement international susvisé en vue de leur examen détaillé par l</w:t>
      </w:r>
      <w:r w:rsidR="007379AD" w:rsidRPr="004A032C">
        <w:rPr>
          <w:rFonts w:eastAsia="Calibri"/>
          <w:i/>
          <w:szCs w:val="22"/>
          <w:lang w:val="fr-FR" w:eastAsia="en-US"/>
        </w:rPr>
        <w:t>’</w:t>
      </w:r>
      <w:r w:rsidRPr="004A032C">
        <w:rPr>
          <w:rFonts w:eastAsia="Calibri"/>
          <w:i/>
          <w:szCs w:val="22"/>
          <w:lang w:val="fr-FR" w:eastAsia="en-US"/>
        </w:rPr>
        <w:t>Assemblée générale de l</w:t>
      </w:r>
      <w:r w:rsidR="007379AD" w:rsidRPr="004A032C">
        <w:rPr>
          <w:rFonts w:eastAsia="Calibri"/>
          <w:i/>
          <w:szCs w:val="22"/>
          <w:lang w:val="fr-FR" w:eastAsia="en-US"/>
        </w:rPr>
        <w:t>’</w:t>
      </w:r>
      <w:r w:rsidRPr="004A032C">
        <w:rPr>
          <w:rFonts w:eastAsia="Calibri"/>
          <w:i/>
          <w:szCs w:val="22"/>
          <w:lang w:val="fr-FR" w:eastAsia="en-US"/>
        </w:rPr>
        <w:t>OMPI et les assemblées de l</w:t>
      </w:r>
      <w:r w:rsidR="007379AD" w:rsidRPr="004A032C">
        <w:rPr>
          <w:rFonts w:eastAsia="Calibri"/>
          <w:i/>
          <w:szCs w:val="22"/>
          <w:lang w:val="fr-FR" w:eastAsia="en-US"/>
        </w:rPr>
        <w:t>’</w:t>
      </w:r>
      <w:r w:rsidRPr="004A032C">
        <w:rPr>
          <w:rFonts w:eastAsia="Calibri"/>
          <w:i/>
          <w:szCs w:val="22"/>
          <w:lang w:val="fr-FR" w:eastAsia="en-US"/>
        </w:rPr>
        <w:t>Union de Paris et de l</w:t>
      </w:r>
      <w:r w:rsidR="007379AD" w:rsidRPr="004A032C">
        <w:rPr>
          <w:rFonts w:eastAsia="Calibri"/>
          <w:i/>
          <w:szCs w:val="22"/>
          <w:lang w:val="fr-FR" w:eastAsia="en-US"/>
        </w:rPr>
        <w:t>’</w:t>
      </w:r>
      <w:r w:rsidRPr="004A032C">
        <w:rPr>
          <w:rFonts w:eastAsia="Calibri"/>
          <w:i/>
          <w:szCs w:val="22"/>
          <w:lang w:val="fr-FR" w:eastAsia="en-US"/>
        </w:rPr>
        <w:t>Union de Berne, qui se prononceront sur l</w:t>
      </w:r>
      <w:r w:rsidR="007379AD" w:rsidRPr="004A032C">
        <w:rPr>
          <w:rFonts w:eastAsia="Calibri"/>
          <w:i/>
          <w:szCs w:val="22"/>
          <w:lang w:val="fr-FR" w:eastAsia="en-US"/>
        </w:rPr>
        <w:t>’</w:t>
      </w:r>
      <w:r w:rsidRPr="004A032C">
        <w:rPr>
          <w:rFonts w:eastAsia="Calibri"/>
          <w:i/>
          <w:szCs w:val="22"/>
          <w:lang w:val="fr-FR" w:eastAsia="en-US"/>
        </w:rPr>
        <w:t>opportunité de les approuver ou non.</w:t>
      </w:r>
    </w:p>
    <w:p w:rsidR="00DA0F7A" w:rsidRPr="004A032C" w:rsidRDefault="00DA0F7A" w:rsidP="004A032C">
      <w:pPr>
        <w:pStyle w:val="Endofdocument-Annex"/>
        <w:rPr>
          <w:lang w:val="fr-FR" w:eastAsia="en-US"/>
        </w:rPr>
      </w:pPr>
    </w:p>
    <w:p w:rsidR="00435956" w:rsidRDefault="00435956" w:rsidP="004A032C">
      <w:pPr>
        <w:pStyle w:val="Endofdocument-Annex"/>
        <w:rPr>
          <w:lang w:val="fr-FR" w:eastAsia="en-US"/>
        </w:rPr>
      </w:pPr>
    </w:p>
    <w:p w:rsidR="004A032C" w:rsidRPr="004A032C" w:rsidRDefault="004A032C" w:rsidP="004A032C">
      <w:pPr>
        <w:pStyle w:val="Endofdocument-Annex"/>
        <w:rPr>
          <w:lang w:val="fr-FR" w:eastAsia="en-US"/>
        </w:rPr>
      </w:pPr>
    </w:p>
    <w:p w:rsidR="005945DA" w:rsidRPr="004A032C" w:rsidRDefault="00DA0F7A" w:rsidP="004A032C">
      <w:pPr>
        <w:pStyle w:val="Endofdocument-Annex"/>
        <w:rPr>
          <w:lang w:val="fr-FR" w:eastAsia="en-US"/>
        </w:rPr>
      </w:pPr>
      <w:r w:rsidRPr="004A032C">
        <w:rPr>
          <w:lang w:val="fr-FR" w:eastAsia="en-US"/>
        </w:rPr>
        <w:t>[Fin de l</w:t>
      </w:r>
      <w:r w:rsidR="007379AD" w:rsidRPr="004A032C">
        <w:rPr>
          <w:lang w:val="fr-FR" w:eastAsia="en-US"/>
        </w:rPr>
        <w:t>’</w:t>
      </w:r>
      <w:r w:rsidRPr="004A032C">
        <w:rPr>
          <w:lang w:val="fr-FR" w:eastAsia="en-US"/>
        </w:rPr>
        <w:t>annexe et du document]</w:t>
      </w:r>
    </w:p>
    <w:sectPr w:rsidR="005945DA" w:rsidRPr="004A032C" w:rsidSect="00B66F3D">
      <w:footerReference w:type="first" r:id="rId16"/>
      <w:endnotePr>
        <w:numFmt w:val="decimal"/>
      </w:endnotePr>
      <w:pgSz w:w="11907" w:h="16840" w:code="9"/>
      <w:pgMar w:top="567" w:right="1015"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1AD" w:rsidRDefault="006771AD">
      <w:r>
        <w:separator/>
      </w:r>
    </w:p>
  </w:endnote>
  <w:endnote w:type="continuationSeparator" w:id="0">
    <w:p w:rsidR="006771AD" w:rsidRDefault="006771AD" w:rsidP="003B38C1">
      <w:r>
        <w:separator/>
      </w:r>
    </w:p>
    <w:p w:rsidR="006771AD" w:rsidRPr="003B38C1" w:rsidRDefault="006771AD" w:rsidP="003B38C1">
      <w:pPr>
        <w:spacing w:after="60"/>
        <w:rPr>
          <w:sz w:val="17"/>
        </w:rPr>
      </w:pPr>
      <w:r>
        <w:rPr>
          <w:sz w:val="17"/>
        </w:rPr>
        <w:t>[Endnote continued from previous page]</w:t>
      </w:r>
    </w:p>
  </w:endnote>
  <w:endnote w:type="continuationNotice" w:id="1">
    <w:p w:rsidR="006771AD" w:rsidRPr="003B38C1" w:rsidRDefault="006771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956" w:rsidRPr="00435956" w:rsidRDefault="00435956" w:rsidP="00435956">
    <w:pPr>
      <w:pStyle w:val="Footer"/>
      <w:jc w:val="center"/>
    </w:pPr>
    <w:r w:rsidRPr="00D13C08">
      <w:rPr>
        <w:szCs w:val="22"/>
      </w:rPr>
      <w:fldChar w:fldCharType="begin"/>
    </w:r>
    <w:r w:rsidRPr="00D13C08">
      <w:rPr>
        <w:szCs w:val="22"/>
      </w:rPr>
      <w:instrText xml:space="preserve"> </w:instrText>
    </w:r>
    <w:r>
      <w:rPr>
        <w:szCs w:val="22"/>
      </w:rPr>
      <w:instrText>=</w:instrText>
    </w:r>
    <w:r>
      <w:rPr>
        <w:szCs w:val="22"/>
      </w:rPr>
      <w:fldChar w:fldCharType="begin"/>
    </w:r>
    <w:r>
      <w:rPr>
        <w:szCs w:val="22"/>
      </w:rPr>
      <w:instrText xml:space="preserve"> PAGE </w:instrText>
    </w:r>
    <w:r>
      <w:rPr>
        <w:szCs w:val="22"/>
      </w:rPr>
      <w:fldChar w:fldCharType="separate"/>
    </w:r>
    <w:r w:rsidR="00675B6F">
      <w:rPr>
        <w:noProof/>
        <w:szCs w:val="22"/>
      </w:rPr>
      <w:instrText>7</w:instrText>
    </w:r>
    <w:r>
      <w:rPr>
        <w:szCs w:val="22"/>
      </w:rPr>
      <w:fldChar w:fldCharType="end"/>
    </w:r>
    <w:r>
      <w:rPr>
        <w:szCs w:val="22"/>
      </w:rPr>
      <w:instrText>-1</w:instrText>
    </w:r>
    <w:r w:rsidRPr="00D13C08">
      <w:rPr>
        <w:szCs w:val="22"/>
      </w:rPr>
      <w:instrText xml:space="preserve"> </w:instrText>
    </w:r>
    <w:r w:rsidRPr="00D13C08">
      <w:rPr>
        <w:szCs w:val="22"/>
      </w:rPr>
      <w:fldChar w:fldCharType="separate"/>
    </w:r>
    <w:r w:rsidR="00675B6F">
      <w:rPr>
        <w:noProof/>
        <w:szCs w:val="22"/>
      </w:rPr>
      <w:t>6</w:t>
    </w:r>
    <w:r w:rsidRPr="00D13C08">
      <w:rPr>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F3D" w:rsidRPr="00B66F3D" w:rsidRDefault="00B66F3D" w:rsidP="00B66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F6C" w:rsidRPr="00435956" w:rsidRDefault="00435956" w:rsidP="00435956">
    <w:pPr>
      <w:pStyle w:val="Footer"/>
      <w:jc w:val="center"/>
    </w:pPr>
    <w:r w:rsidRPr="00D13C08">
      <w:rPr>
        <w:szCs w:val="22"/>
      </w:rPr>
      <w:fldChar w:fldCharType="begin"/>
    </w:r>
    <w:r w:rsidRPr="00D13C08">
      <w:rPr>
        <w:szCs w:val="22"/>
      </w:rPr>
      <w:instrText xml:space="preserve"> </w:instrText>
    </w:r>
    <w:r>
      <w:rPr>
        <w:szCs w:val="22"/>
      </w:rPr>
      <w:instrText>=</w:instrText>
    </w:r>
    <w:r>
      <w:rPr>
        <w:szCs w:val="22"/>
      </w:rPr>
      <w:fldChar w:fldCharType="begin"/>
    </w:r>
    <w:r>
      <w:rPr>
        <w:szCs w:val="22"/>
      </w:rPr>
      <w:instrText xml:space="preserve"> PAGE </w:instrText>
    </w:r>
    <w:r>
      <w:rPr>
        <w:szCs w:val="22"/>
      </w:rPr>
      <w:fldChar w:fldCharType="separate"/>
    </w:r>
    <w:r w:rsidR="00675B6F">
      <w:rPr>
        <w:noProof/>
        <w:szCs w:val="22"/>
      </w:rPr>
      <w:instrText>3</w:instrText>
    </w:r>
    <w:r>
      <w:rPr>
        <w:szCs w:val="22"/>
      </w:rPr>
      <w:fldChar w:fldCharType="end"/>
    </w:r>
    <w:r>
      <w:rPr>
        <w:szCs w:val="22"/>
      </w:rPr>
      <w:instrText>-1</w:instrText>
    </w:r>
    <w:r w:rsidRPr="00D13C08">
      <w:rPr>
        <w:szCs w:val="22"/>
      </w:rPr>
      <w:instrText xml:space="preserve"> </w:instrText>
    </w:r>
    <w:r w:rsidRPr="00D13C08">
      <w:rPr>
        <w:szCs w:val="22"/>
      </w:rPr>
      <w:fldChar w:fldCharType="separate"/>
    </w:r>
    <w:r w:rsidR="00675B6F">
      <w:rPr>
        <w:noProof/>
        <w:szCs w:val="22"/>
      </w:rPr>
      <w:t>2</w:t>
    </w:r>
    <w:r w:rsidRPr="00D13C08">
      <w:rP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1AD" w:rsidRDefault="006771AD">
      <w:r>
        <w:separator/>
      </w:r>
    </w:p>
  </w:footnote>
  <w:footnote w:type="continuationSeparator" w:id="0">
    <w:p w:rsidR="006771AD" w:rsidRDefault="006771AD" w:rsidP="008B60B2">
      <w:r>
        <w:separator/>
      </w:r>
    </w:p>
    <w:p w:rsidR="006771AD" w:rsidRPr="00ED77FB" w:rsidRDefault="006771AD" w:rsidP="008B60B2">
      <w:pPr>
        <w:spacing w:after="60"/>
        <w:rPr>
          <w:sz w:val="17"/>
          <w:szCs w:val="17"/>
        </w:rPr>
      </w:pPr>
      <w:r w:rsidRPr="00ED77FB">
        <w:rPr>
          <w:sz w:val="17"/>
          <w:szCs w:val="17"/>
        </w:rPr>
        <w:t>[Footnote continued from previous page]</w:t>
      </w:r>
    </w:p>
  </w:footnote>
  <w:footnote w:type="continuationNotice" w:id="1">
    <w:p w:rsidR="006771AD" w:rsidRPr="00ED77FB" w:rsidRDefault="006771AD" w:rsidP="008B60B2">
      <w:pPr>
        <w:spacing w:before="60"/>
        <w:jc w:val="right"/>
        <w:rPr>
          <w:sz w:val="17"/>
          <w:szCs w:val="17"/>
        </w:rPr>
      </w:pPr>
      <w:r w:rsidRPr="00ED77FB">
        <w:rPr>
          <w:sz w:val="17"/>
          <w:szCs w:val="17"/>
        </w:rPr>
        <w:t>[Footnote continued on next page]</w:t>
      </w:r>
    </w:p>
  </w:footnote>
  <w:footnote w:id="2">
    <w:p w:rsidR="00985AAB" w:rsidRDefault="00DF4C0B" w:rsidP="00C90D04">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00C90D04" w:rsidRPr="000B5A3C">
        <w:rPr>
          <w:lang w:val="fr-FR"/>
        </w:rPr>
        <w:t>L</w:t>
      </w:r>
      <w:r w:rsidR="00985AAB">
        <w:rPr>
          <w:lang w:val="fr-FR"/>
        </w:rPr>
        <w:t>’</w:t>
      </w:r>
      <w:r w:rsidR="00C90D04" w:rsidRPr="000B5A3C">
        <w:rPr>
          <w:lang w:val="fr-FR"/>
        </w:rPr>
        <w:t>article</w:t>
      </w:r>
      <w:r w:rsidR="008715D4">
        <w:rPr>
          <w:lang w:val="fr-FR"/>
        </w:rPr>
        <w:t> </w:t>
      </w:r>
      <w:r w:rsidR="00C90D04" w:rsidRPr="000B5A3C">
        <w:rPr>
          <w:lang w:val="fr-FR"/>
        </w:rPr>
        <w:t>4 de la Convention instituant l</w:t>
      </w:r>
      <w:r w:rsidR="00985AAB">
        <w:rPr>
          <w:lang w:val="fr-FR"/>
        </w:rPr>
        <w:t>’</w:t>
      </w:r>
      <w:r w:rsidR="00C90D04" w:rsidRPr="000B5A3C">
        <w:rPr>
          <w:lang w:val="fr-FR"/>
        </w:rPr>
        <w:t xml:space="preserve">OMPI prévoit notamment ce qui suit : </w:t>
      </w:r>
      <w:r w:rsidR="000B5A3C" w:rsidRPr="000B5A3C">
        <w:rPr>
          <w:lang w:val="fr-FR"/>
        </w:rPr>
        <w:t>“</w:t>
      </w:r>
      <w:r w:rsidR="00C90D04" w:rsidRPr="000B5A3C">
        <w:rPr>
          <w:lang w:val="fr-FR"/>
        </w:rPr>
        <w:t>Aux fins d</w:t>
      </w:r>
      <w:r w:rsidR="00985AAB">
        <w:rPr>
          <w:lang w:val="fr-FR"/>
        </w:rPr>
        <w:t>’</w:t>
      </w:r>
      <w:r w:rsidR="00C90D04" w:rsidRPr="000B5A3C">
        <w:rPr>
          <w:lang w:val="fr-FR"/>
        </w:rPr>
        <w:t>atteindre le but défini à l</w:t>
      </w:r>
      <w:r w:rsidR="00985AAB">
        <w:rPr>
          <w:lang w:val="fr-FR"/>
        </w:rPr>
        <w:t>’</w:t>
      </w:r>
      <w:r w:rsidR="00C90D04" w:rsidRPr="000B5A3C">
        <w:rPr>
          <w:lang w:val="fr-FR"/>
        </w:rPr>
        <w:t>article 3, l</w:t>
      </w:r>
      <w:r w:rsidR="00985AAB">
        <w:rPr>
          <w:lang w:val="fr-FR"/>
        </w:rPr>
        <w:t>’</w:t>
      </w:r>
      <w:r w:rsidR="00C90D04" w:rsidRPr="000B5A3C">
        <w:rPr>
          <w:lang w:val="fr-FR"/>
        </w:rPr>
        <w:t>Organisation, par ses organes compétents et sous réserve de la compét</w:t>
      </w:r>
      <w:r w:rsidR="00B66F3D">
        <w:rPr>
          <w:lang w:val="fr-FR"/>
        </w:rPr>
        <w:t>ence de chacune des Unions… ii) </w:t>
      </w:r>
      <w:r w:rsidR="00C90D04" w:rsidRPr="000B5A3C">
        <w:rPr>
          <w:lang w:val="fr-FR"/>
        </w:rPr>
        <w:t>assure les services administratifs de l</w:t>
      </w:r>
      <w:r w:rsidR="00985AAB">
        <w:rPr>
          <w:lang w:val="fr-FR"/>
        </w:rPr>
        <w:t>’</w:t>
      </w:r>
      <w:r w:rsidR="00C90D04" w:rsidRPr="000B5A3C">
        <w:rPr>
          <w:lang w:val="fr-FR"/>
        </w:rPr>
        <w:t>Union de Paris, des Unions particulières établies en relation avec cette Union et de l</w:t>
      </w:r>
      <w:r w:rsidR="00985AAB">
        <w:rPr>
          <w:lang w:val="fr-FR"/>
        </w:rPr>
        <w:t>’</w:t>
      </w:r>
      <w:r w:rsidR="00C90D04" w:rsidRPr="000B5A3C">
        <w:rPr>
          <w:lang w:val="fr-FR"/>
        </w:rPr>
        <w:t>Union de Berne;  iii)</w:t>
      </w:r>
      <w:r w:rsidR="00B66F3D">
        <w:rPr>
          <w:lang w:val="fr-FR"/>
        </w:rPr>
        <w:t> </w:t>
      </w:r>
      <w:r w:rsidR="00C90D04" w:rsidRPr="000B5A3C">
        <w:rPr>
          <w:lang w:val="fr-FR"/>
        </w:rPr>
        <w:t>peut accepter d</w:t>
      </w:r>
      <w:r w:rsidR="00985AAB">
        <w:rPr>
          <w:lang w:val="fr-FR"/>
        </w:rPr>
        <w:t>’</w:t>
      </w:r>
      <w:r w:rsidR="00C90D04" w:rsidRPr="000B5A3C">
        <w:rPr>
          <w:lang w:val="fr-FR"/>
        </w:rPr>
        <w:t>assumer l</w:t>
      </w:r>
      <w:r w:rsidR="00985AAB">
        <w:rPr>
          <w:lang w:val="fr-FR"/>
        </w:rPr>
        <w:t>’</w:t>
      </w:r>
      <w:r w:rsidR="00C90D04" w:rsidRPr="000B5A3C">
        <w:rPr>
          <w:lang w:val="fr-FR"/>
        </w:rPr>
        <w:t>administration qu</w:t>
      </w:r>
      <w:r w:rsidR="00985AAB">
        <w:rPr>
          <w:lang w:val="fr-FR"/>
        </w:rPr>
        <w:t>’</w:t>
      </w:r>
      <w:r w:rsidR="000B5A3C">
        <w:rPr>
          <w:lang w:val="fr-FR"/>
        </w:rPr>
        <w:t>implique la mise en œu</w:t>
      </w:r>
      <w:r w:rsidR="000B5A3C" w:rsidRPr="000B5A3C">
        <w:rPr>
          <w:lang w:val="fr-FR"/>
        </w:rPr>
        <w:t>vre</w:t>
      </w:r>
      <w:r w:rsidR="00C90D04" w:rsidRPr="000B5A3C">
        <w:rPr>
          <w:lang w:val="fr-FR"/>
        </w:rPr>
        <w:t xml:space="preserve"> de tout autre engagement international tendant à promouvoir la protection de la propriété intellectuelle ou de participer à une telle administration;…vii</w:t>
      </w:r>
      <w:r w:rsidR="00435956">
        <w:rPr>
          <w:lang w:val="fr-FR"/>
        </w:rPr>
        <w:t>) …</w:t>
      </w:r>
      <w:r w:rsidR="00C90D04" w:rsidRPr="000B5A3C">
        <w:rPr>
          <w:lang w:val="fr-FR"/>
        </w:rPr>
        <w:t xml:space="preserve"> le cas échéant, procède à des enregistrements en la matière et publie les indications relatives à ces enregistrements</w:t>
      </w:r>
      <w:r w:rsidR="00435956">
        <w:rPr>
          <w:lang w:val="fr-FR"/>
        </w:rPr>
        <w:t>…</w:t>
      </w:r>
      <w:r w:rsidR="000B5A3C" w:rsidRPr="000B5A3C">
        <w:rPr>
          <w:lang w:val="fr-FR"/>
        </w:rPr>
        <w:t>”</w:t>
      </w:r>
      <w:r w:rsidR="00435956">
        <w:rPr>
          <w:lang w:val="fr-FR"/>
        </w:rPr>
        <w:t>.</w:t>
      </w:r>
    </w:p>
    <w:p w:rsidR="00DF4C0B" w:rsidRPr="000B5A3C" w:rsidRDefault="00302569">
      <w:pPr>
        <w:pStyle w:val="FootnoteText"/>
        <w:rPr>
          <w:lang w:val="fr-FR"/>
        </w:rPr>
      </w:pPr>
      <w:r w:rsidRPr="000B5A3C">
        <w:rPr>
          <w:lang w:val="fr-FR"/>
        </w:rPr>
        <w:t>L</w:t>
      </w:r>
      <w:r w:rsidR="00985AAB">
        <w:rPr>
          <w:lang w:val="fr-FR"/>
        </w:rPr>
        <w:t>’article </w:t>
      </w:r>
      <w:r w:rsidRPr="000B5A3C">
        <w:rPr>
          <w:lang w:val="fr-FR"/>
        </w:rPr>
        <w:t>6.2)v) stipule que l</w:t>
      </w:r>
      <w:r w:rsidR="00985AAB">
        <w:rPr>
          <w:lang w:val="fr-FR"/>
        </w:rPr>
        <w:t>’</w:t>
      </w:r>
      <w:r w:rsidRPr="000B5A3C">
        <w:rPr>
          <w:lang w:val="fr-FR"/>
        </w:rPr>
        <w:t>Assemblée générale de l</w:t>
      </w:r>
      <w:r w:rsidR="00985AAB">
        <w:rPr>
          <w:lang w:val="fr-FR"/>
        </w:rPr>
        <w:t>’</w:t>
      </w:r>
      <w:r w:rsidRPr="000B5A3C">
        <w:rPr>
          <w:lang w:val="fr-FR"/>
        </w:rPr>
        <w:t xml:space="preserve">OMPI </w:t>
      </w:r>
      <w:r w:rsidR="000B5A3C" w:rsidRPr="000B5A3C">
        <w:rPr>
          <w:lang w:val="fr-FR"/>
        </w:rPr>
        <w:t>“</w:t>
      </w:r>
      <w:r w:rsidRPr="000B5A3C">
        <w:rPr>
          <w:lang w:val="fr-FR"/>
        </w:rPr>
        <w:t>approuve les dispositions proposées par le Directeur général concernant l</w:t>
      </w:r>
      <w:r w:rsidR="00985AAB">
        <w:rPr>
          <w:lang w:val="fr-FR"/>
        </w:rPr>
        <w:t>’</w:t>
      </w:r>
      <w:r w:rsidRPr="000B5A3C">
        <w:rPr>
          <w:lang w:val="fr-FR"/>
        </w:rPr>
        <w:t xml:space="preserve">administration relative à la mise en </w:t>
      </w:r>
      <w:r w:rsidR="000B5A3C" w:rsidRPr="000B5A3C">
        <w:rPr>
          <w:lang w:val="fr-FR"/>
        </w:rPr>
        <w:t>œuvre</w:t>
      </w:r>
      <w:r w:rsidRPr="000B5A3C">
        <w:rPr>
          <w:lang w:val="fr-FR"/>
        </w:rPr>
        <w:t xml:space="preserve"> des engagements internationaux visés à l</w:t>
      </w:r>
      <w:r w:rsidR="00985AAB">
        <w:rPr>
          <w:lang w:val="fr-FR"/>
        </w:rPr>
        <w:t>’</w:t>
      </w:r>
      <w:r w:rsidRPr="000B5A3C">
        <w:rPr>
          <w:lang w:val="fr-FR"/>
        </w:rPr>
        <w:t>article 4.iii)</w:t>
      </w:r>
      <w:r w:rsidR="000B5A3C" w:rsidRPr="000B5A3C">
        <w:rPr>
          <w:lang w:val="fr-FR"/>
        </w:rPr>
        <w:t>”</w:t>
      </w:r>
      <w:r w:rsidR="00435956">
        <w:rPr>
          <w:lang w:val="fr-FR"/>
        </w:rPr>
        <w:t>.</w:t>
      </w:r>
      <w:r w:rsidR="00DF4C0B" w:rsidRPr="000B5A3C">
        <w:rPr>
          <w:lang w:val="fr-FR"/>
        </w:rPr>
        <w:t xml:space="preserve"> </w:t>
      </w:r>
      <w:r w:rsidR="008715D4">
        <w:rPr>
          <w:lang w:val="fr-FR"/>
        </w:rPr>
        <w:t xml:space="preserve"> </w:t>
      </w:r>
      <w:r w:rsidRPr="000B5A3C">
        <w:rPr>
          <w:lang w:val="fr-FR"/>
        </w:rPr>
        <w:t>L</w:t>
      </w:r>
      <w:r w:rsidR="00985AAB">
        <w:rPr>
          <w:lang w:val="fr-FR"/>
        </w:rPr>
        <w:t>’article </w:t>
      </w:r>
      <w:r w:rsidRPr="000B5A3C">
        <w:rPr>
          <w:lang w:val="fr-FR"/>
        </w:rPr>
        <w:t xml:space="preserve">6.3)e) prévoit que cette approbation </w:t>
      </w:r>
      <w:r w:rsidR="000B5A3C" w:rsidRPr="000B5A3C">
        <w:rPr>
          <w:lang w:val="fr-FR"/>
        </w:rPr>
        <w:t>“</w:t>
      </w:r>
      <w:r w:rsidRPr="000B5A3C">
        <w:rPr>
          <w:lang w:val="fr-FR"/>
        </w:rPr>
        <w:t>requiert la majorité des trois</w:t>
      </w:r>
      <w:r w:rsidR="008715D4">
        <w:rPr>
          <w:lang w:val="fr-FR"/>
        </w:rPr>
        <w:t> </w:t>
      </w:r>
      <w:r w:rsidRPr="000B5A3C">
        <w:rPr>
          <w:lang w:val="fr-FR"/>
        </w:rPr>
        <w:t>quarts des votes exprimés</w:t>
      </w:r>
      <w:r w:rsidR="000B5A3C" w:rsidRPr="000B5A3C">
        <w:rPr>
          <w:lang w:val="fr-FR"/>
        </w:rPr>
        <w:t>”</w:t>
      </w:r>
      <w:r w:rsidR="00A24F52">
        <w:rPr>
          <w:lang w:val="fr-FR"/>
        </w:rPr>
        <w:t>.</w:t>
      </w:r>
      <w:r w:rsidR="008715D4">
        <w:rPr>
          <w:lang w:val="fr-FR"/>
        </w:rPr>
        <w:t xml:space="preserve"> </w:t>
      </w:r>
      <w:r w:rsidR="00DF4C0B" w:rsidRPr="000B5A3C">
        <w:rPr>
          <w:lang w:val="fr-FR"/>
        </w:rPr>
        <w:t xml:space="preserve"> </w:t>
      </w:r>
      <w:r w:rsidRPr="000B5A3C">
        <w:rPr>
          <w:lang w:val="fr-FR"/>
        </w:rPr>
        <w:t>Enfin, l</w:t>
      </w:r>
      <w:r w:rsidR="00985AAB">
        <w:rPr>
          <w:lang w:val="fr-FR"/>
        </w:rPr>
        <w:t>’</w:t>
      </w:r>
      <w:r w:rsidRPr="000B5A3C">
        <w:rPr>
          <w:lang w:val="fr-FR"/>
        </w:rPr>
        <w:t xml:space="preserve">article 6.3)g) précise que cette approbation requiert </w:t>
      </w:r>
      <w:r w:rsidR="000B5A3C" w:rsidRPr="000B5A3C">
        <w:rPr>
          <w:lang w:val="fr-FR"/>
        </w:rPr>
        <w:t>“</w:t>
      </w:r>
      <w:r w:rsidRPr="000B5A3C">
        <w:rPr>
          <w:lang w:val="fr-FR"/>
        </w:rPr>
        <w:t>la majorité prévue, non seulement dans l</w:t>
      </w:r>
      <w:r w:rsidR="00985AAB">
        <w:rPr>
          <w:lang w:val="fr-FR"/>
        </w:rPr>
        <w:t>’</w:t>
      </w:r>
      <w:r w:rsidRPr="000B5A3C">
        <w:rPr>
          <w:lang w:val="fr-FR"/>
        </w:rPr>
        <w:t>Assemblée générale, mais également dans l</w:t>
      </w:r>
      <w:r w:rsidR="00985AAB">
        <w:rPr>
          <w:lang w:val="fr-FR"/>
        </w:rPr>
        <w:t>’</w:t>
      </w:r>
      <w:r w:rsidRPr="000B5A3C">
        <w:rPr>
          <w:lang w:val="fr-FR"/>
        </w:rPr>
        <w:t>Assemblée de l</w:t>
      </w:r>
      <w:r w:rsidR="00985AAB">
        <w:rPr>
          <w:lang w:val="fr-FR"/>
        </w:rPr>
        <w:t>’</w:t>
      </w:r>
      <w:r w:rsidRPr="000B5A3C">
        <w:rPr>
          <w:lang w:val="fr-FR"/>
        </w:rPr>
        <w:t>Union de Paris et dans l</w:t>
      </w:r>
      <w:r w:rsidR="00985AAB">
        <w:rPr>
          <w:lang w:val="fr-FR"/>
        </w:rPr>
        <w:t>’</w:t>
      </w:r>
      <w:r w:rsidRPr="000B5A3C">
        <w:rPr>
          <w:lang w:val="fr-FR"/>
        </w:rPr>
        <w:t>Assemblée de l</w:t>
      </w:r>
      <w:r w:rsidR="00985AAB">
        <w:rPr>
          <w:lang w:val="fr-FR"/>
        </w:rPr>
        <w:t>’</w:t>
      </w:r>
      <w:r w:rsidRPr="000B5A3C">
        <w:rPr>
          <w:lang w:val="fr-FR"/>
        </w:rPr>
        <w:t>Union de Berne</w:t>
      </w:r>
      <w:r w:rsidR="000B5A3C" w:rsidRPr="000B5A3C">
        <w:rPr>
          <w:lang w:val="fr-FR"/>
        </w:rPr>
        <w:t>”</w:t>
      </w:r>
      <w:r w:rsidR="00435956">
        <w:rPr>
          <w:lang w:val="fr-FR"/>
        </w:rPr>
        <w:t>.</w:t>
      </w:r>
    </w:p>
  </w:footnote>
  <w:footnote w:id="3">
    <w:p w:rsidR="00F251CD" w:rsidRPr="000B5A3C" w:rsidRDefault="00F251CD" w:rsidP="00F251CD">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Pr="000B5A3C">
        <w:rPr>
          <w:lang w:val="fr-FR"/>
        </w:rPr>
        <w:t>LI/DC/2</w:t>
      </w:r>
      <w:r w:rsidR="00B66F3D">
        <w:rPr>
          <w:lang w:val="fr-FR"/>
        </w:rPr>
        <w:t>.</w:t>
      </w:r>
    </w:p>
  </w:footnote>
  <w:footnote w:id="4">
    <w:p w:rsidR="00F251CD" w:rsidRPr="000B5A3C" w:rsidRDefault="00F251CD" w:rsidP="00F251CD">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Pr="000B5A3C">
        <w:rPr>
          <w:lang w:val="fr-FR"/>
        </w:rPr>
        <w:t>LI/DC/9</w:t>
      </w:r>
      <w:r w:rsidR="00B66F3D">
        <w:rPr>
          <w:lang w:val="fr-FR"/>
        </w:rPr>
        <w:t>.</w:t>
      </w:r>
    </w:p>
  </w:footnote>
  <w:footnote w:id="5">
    <w:p w:rsidR="00023A97" w:rsidRPr="000B5A3C" w:rsidRDefault="00023A97" w:rsidP="00267DFB">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00267DFB" w:rsidRPr="000B5A3C">
        <w:rPr>
          <w:lang w:val="fr-FR"/>
        </w:rPr>
        <w:t>LI/DC/2.  Les articles </w:t>
      </w:r>
      <w:r w:rsidR="00B66F3D">
        <w:rPr>
          <w:lang w:val="fr-FR"/>
        </w:rPr>
        <w:t>1, 2 et </w:t>
      </w:r>
      <w:r w:rsidR="00267DFB" w:rsidRPr="000B5A3C">
        <w:rPr>
          <w:lang w:val="fr-FR"/>
        </w:rPr>
        <w:t>34 prévoient que le nouvel Acte et son règlement d</w:t>
      </w:r>
      <w:r w:rsidR="00985AAB">
        <w:rPr>
          <w:lang w:val="fr-FR"/>
        </w:rPr>
        <w:t>’</w:t>
      </w:r>
      <w:r w:rsidR="00267DFB" w:rsidRPr="000B5A3C">
        <w:rPr>
          <w:lang w:val="fr-FR"/>
        </w:rPr>
        <w:t>exécution est adopté par la conférence (qui comprend les observateurs) dans la mesure du possible par consensus.</w:t>
      </w:r>
      <w:r w:rsidRPr="000B5A3C">
        <w:rPr>
          <w:lang w:val="fr-FR"/>
        </w:rPr>
        <w:t xml:space="preserve">  </w:t>
      </w:r>
      <w:r w:rsidR="00267DFB" w:rsidRPr="000B5A3C">
        <w:rPr>
          <w:lang w:val="fr-FR"/>
        </w:rPr>
        <w:t>Au début de la conférence diplomatique, les délégations observatrices ont eu la possibilité d</w:t>
      </w:r>
      <w:r w:rsidR="00985AAB">
        <w:rPr>
          <w:lang w:val="fr-FR"/>
        </w:rPr>
        <w:t>’</w:t>
      </w:r>
      <w:r w:rsidR="00267DFB" w:rsidRPr="000B5A3C">
        <w:rPr>
          <w:lang w:val="fr-FR"/>
        </w:rPr>
        <w:t>exprimer leurs préoccupations concernant le règlement intérieur et, au sein de la Commission principale 2, concernant certains articles, et de bloquer le consensus, mais, à la fin de la conférence, le processus a été nettement moins ouvert.</w:t>
      </w:r>
    </w:p>
  </w:footnote>
  <w:footnote w:id="6">
    <w:p w:rsidR="00267DFB" w:rsidRPr="000B5A3C" w:rsidRDefault="00267DFB" w:rsidP="00516AEE">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00516AEE" w:rsidRPr="000B5A3C">
        <w:rPr>
          <w:lang w:val="fr-FR"/>
        </w:rPr>
        <w:t>L</w:t>
      </w:r>
      <w:r w:rsidR="00985AAB">
        <w:rPr>
          <w:lang w:val="fr-FR"/>
        </w:rPr>
        <w:t>’</w:t>
      </w:r>
      <w:r w:rsidR="00516AEE" w:rsidRPr="000B5A3C">
        <w:rPr>
          <w:lang w:val="fr-FR"/>
        </w:rPr>
        <w:t>OMPI n</w:t>
      </w:r>
      <w:r w:rsidR="00985AAB">
        <w:rPr>
          <w:lang w:val="fr-FR"/>
        </w:rPr>
        <w:t>’</w:t>
      </w:r>
      <w:r w:rsidR="00516AEE" w:rsidRPr="000B5A3C">
        <w:rPr>
          <w:lang w:val="fr-FR"/>
        </w:rPr>
        <w:t xml:space="preserve">administre pas automatiquement tous les </w:t>
      </w:r>
      <w:r w:rsidR="000B5A3C" w:rsidRPr="000B5A3C">
        <w:rPr>
          <w:lang w:val="fr-FR"/>
        </w:rPr>
        <w:t>“</w:t>
      </w:r>
      <w:r w:rsidR="00516AEE" w:rsidRPr="000B5A3C">
        <w:rPr>
          <w:lang w:val="fr-FR"/>
        </w:rPr>
        <w:t>arrangements particuliers</w:t>
      </w:r>
      <w:r w:rsidR="000B5A3C" w:rsidRPr="000B5A3C">
        <w:rPr>
          <w:lang w:val="fr-FR"/>
        </w:rPr>
        <w:t>”</w:t>
      </w:r>
      <w:r w:rsidR="00516AEE" w:rsidRPr="000B5A3C">
        <w:rPr>
          <w:lang w:val="fr-FR"/>
        </w:rPr>
        <w:t xml:space="preserve"> établis par les parties à la Convention de Paris aux termes de son article 19.  Voir le </w:t>
      </w:r>
      <w:r w:rsidR="00516AEE" w:rsidRPr="00D751D1">
        <w:rPr>
          <w:i/>
          <w:lang w:val="fr-FR"/>
        </w:rPr>
        <w:t>Guide d</w:t>
      </w:r>
      <w:r w:rsidR="00985AAB">
        <w:rPr>
          <w:i/>
          <w:lang w:val="fr-FR"/>
        </w:rPr>
        <w:t>’</w:t>
      </w:r>
      <w:r w:rsidR="00516AEE" w:rsidRPr="00D751D1">
        <w:rPr>
          <w:i/>
          <w:lang w:val="fr-FR"/>
        </w:rPr>
        <w:t>application de la Convention de Paris pour la protection de la propriété industrielle telle que révisée à Stockholm en</w:t>
      </w:r>
      <w:r w:rsidR="008715D4">
        <w:rPr>
          <w:i/>
          <w:lang w:val="fr-FR"/>
        </w:rPr>
        <w:t> </w:t>
      </w:r>
      <w:r w:rsidR="00516AEE" w:rsidRPr="00D751D1">
        <w:rPr>
          <w:i/>
          <w:lang w:val="fr-FR"/>
        </w:rPr>
        <w:t>1967</w:t>
      </w:r>
      <w:r w:rsidR="00516AEE" w:rsidRPr="000B5A3C">
        <w:rPr>
          <w:lang w:val="fr-FR"/>
        </w:rPr>
        <w:t>, Georg</w:t>
      </w:r>
      <w:r w:rsidR="00B66F3D">
        <w:rPr>
          <w:lang w:val="fr-FR"/>
        </w:rPr>
        <w:t>e</w:t>
      </w:r>
      <w:r w:rsidR="00435956">
        <w:rPr>
          <w:lang w:val="fr-FR"/>
        </w:rPr>
        <w:t> </w:t>
      </w:r>
      <w:r w:rsidR="00B66F3D">
        <w:rPr>
          <w:lang w:val="fr-FR"/>
        </w:rPr>
        <w:t xml:space="preserve">H.C. </w:t>
      </w:r>
      <w:proofErr w:type="spellStart"/>
      <w:r w:rsidR="00B66F3D">
        <w:rPr>
          <w:lang w:val="fr-FR"/>
        </w:rPr>
        <w:t>Bodenhausen</w:t>
      </w:r>
      <w:proofErr w:type="spellEnd"/>
      <w:r w:rsidR="00B66F3D">
        <w:rPr>
          <w:lang w:val="fr-FR"/>
        </w:rPr>
        <w:t>, pages 176 à </w:t>
      </w:r>
      <w:r w:rsidR="00516AEE" w:rsidRPr="000B5A3C">
        <w:rPr>
          <w:lang w:val="fr-FR"/>
        </w:rPr>
        <w:t>178.</w:t>
      </w:r>
    </w:p>
  </w:footnote>
  <w:footnote w:id="7">
    <w:p w:rsidR="00A6155E" w:rsidRPr="000B5A3C" w:rsidRDefault="00A6155E" w:rsidP="00A6155E">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Pr="000B5A3C">
        <w:rPr>
          <w:lang w:val="fr-FR"/>
        </w:rPr>
        <w:t>Article 6.2)v) de la Convention instituant l</w:t>
      </w:r>
      <w:r w:rsidR="00985AAB">
        <w:rPr>
          <w:lang w:val="fr-FR"/>
        </w:rPr>
        <w:t>’</w:t>
      </w:r>
      <w:r w:rsidRPr="000B5A3C">
        <w:rPr>
          <w:lang w:val="fr-FR"/>
        </w:rPr>
        <w:t>OMPI.</w:t>
      </w:r>
    </w:p>
  </w:footnote>
  <w:footnote w:id="8">
    <w:p w:rsidR="00496DED" w:rsidRPr="000B5A3C" w:rsidRDefault="00496DED" w:rsidP="00AF2D2E">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00AF2D2E" w:rsidRPr="000B5A3C">
        <w:rPr>
          <w:lang w:val="fr-FR"/>
        </w:rPr>
        <w:t>Les Actes de la Conférence de Stockholm (1967), volume</w:t>
      </w:r>
      <w:r w:rsidR="00B66F3D">
        <w:rPr>
          <w:lang w:val="fr-FR"/>
        </w:rPr>
        <w:t> </w:t>
      </w:r>
      <w:r w:rsidR="00AF2D2E" w:rsidRPr="000B5A3C">
        <w:rPr>
          <w:lang w:val="fr-FR"/>
        </w:rPr>
        <w:t>II, p.</w:t>
      </w:r>
      <w:r w:rsidR="00B66F3D">
        <w:rPr>
          <w:lang w:val="fr-FR"/>
        </w:rPr>
        <w:t> </w:t>
      </w:r>
      <w:r w:rsidR="00AF2D2E" w:rsidRPr="000B5A3C">
        <w:rPr>
          <w:lang w:val="fr-FR"/>
        </w:rPr>
        <w:t>1234, paragraphe</w:t>
      </w:r>
      <w:r w:rsidR="00B66F3D">
        <w:rPr>
          <w:lang w:val="fr-FR"/>
        </w:rPr>
        <w:t> </w:t>
      </w:r>
      <w:r w:rsidR="00AF2D2E" w:rsidRPr="000B5A3C">
        <w:rPr>
          <w:lang w:val="fr-FR"/>
        </w:rPr>
        <w:t xml:space="preserve">20, indiquent notamment ceci : </w:t>
      </w:r>
      <w:r w:rsidR="000B5A3C" w:rsidRPr="000B5A3C">
        <w:rPr>
          <w:lang w:val="fr-FR"/>
        </w:rPr>
        <w:t>“</w:t>
      </w:r>
      <w:r w:rsidR="00AF2D2E" w:rsidRPr="000B5A3C">
        <w:rPr>
          <w:lang w:val="fr-FR"/>
        </w:rPr>
        <w:t>En outre, l</w:t>
      </w:r>
      <w:r w:rsidR="00985AAB">
        <w:rPr>
          <w:lang w:val="fr-FR"/>
        </w:rPr>
        <w:t>’</w:t>
      </w:r>
      <w:r w:rsidR="00AF2D2E" w:rsidRPr="000B5A3C">
        <w:rPr>
          <w:lang w:val="fr-FR"/>
        </w:rPr>
        <w:t xml:space="preserve">Organisation remplit diverses tâches administratives.  Elle assure les services administratifs des unions </w:t>
      </w:r>
      <w:r w:rsidR="00AF2D2E" w:rsidRPr="00C559A3">
        <w:rPr>
          <w:b/>
          <w:lang w:val="fr-FR"/>
        </w:rPr>
        <w:t>actuelles</w:t>
      </w:r>
      <w:r w:rsidR="00AF2D2E" w:rsidRPr="000B5A3C">
        <w:rPr>
          <w:lang w:val="fr-FR"/>
        </w:rPr>
        <w:t xml:space="preserve"> (article</w:t>
      </w:r>
      <w:r w:rsidR="008715D4">
        <w:rPr>
          <w:lang w:val="fr-FR"/>
        </w:rPr>
        <w:t> </w:t>
      </w:r>
      <w:r w:rsidR="00AF2D2E" w:rsidRPr="000B5A3C">
        <w:rPr>
          <w:lang w:val="fr-FR"/>
        </w:rPr>
        <w:t>4.ii)) et, si elle est saisie d</w:t>
      </w:r>
      <w:r w:rsidR="00985AAB">
        <w:rPr>
          <w:lang w:val="fr-FR"/>
        </w:rPr>
        <w:t>’</w:t>
      </w:r>
      <w:r w:rsidR="00AF2D2E" w:rsidRPr="000B5A3C">
        <w:rPr>
          <w:lang w:val="fr-FR"/>
        </w:rPr>
        <w:t>une demande émanant d</w:t>
      </w:r>
      <w:r w:rsidR="00985AAB">
        <w:rPr>
          <w:lang w:val="fr-FR"/>
        </w:rPr>
        <w:t>’</w:t>
      </w:r>
      <w:r w:rsidR="00AF2D2E" w:rsidRPr="000B5A3C">
        <w:rPr>
          <w:lang w:val="fr-FR"/>
        </w:rPr>
        <w:t>organes compétents, elle peut accepter d</w:t>
      </w:r>
      <w:r w:rsidR="00985AAB">
        <w:rPr>
          <w:lang w:val="fr-FR"/>
        </w:rPr>
        <w:t>’</w:t>
      </w:r>
      <w:r w:rsidR="00AF2D2E" w:rsidRPr="000B5A3C">
        <w:rPr>
          <w:lang w:val="fr-FR"/>
        </w:rPr>
        <w:t>assumer, soit seule, soit en coopération avec d</w:t>
      </w:r>
      <w:r w:rsidR="00985AAB">
        <w:rPr>
          <w:lang w:val="fr-FR"/>
        </w:rPr>
        <w:t>’</w:t>
      </w:r>
      <w:r w:rsidR="00AF2D2E" w:rsidRPr="000B5A3C">
        <w:rPr>
          <w:lang w:val="fr-FR"/>
        </w:rPr>
        <w:t>autres organisations internationales, l</w:t>
      </w:r>
      <w:r w:rsidR="00985AAB">
        <w:rPr>
          <w:lang w:val="fr-FR"/>
        </w:rPr>
        <w:t>’</w:t>
      </w:r>
      <w:r w:rsidR="00AF2D2E" w:rsidRPr="000B5A3C">
        <w:rPr>
          <w:lang w:val="fr-FR"/>
        </w:rPr>
        <w:t xml:space="preserve">administration exigée par la mise en </w:t>
      </w:r>
      <w:r w:rsidR="000B5A3C" w:rsidRPr="000B5A3C">
        <w:rPr>
          <w:lang w:val="fr-FR"/>
        </w:rPr>
        <w:t>œuvre</w:t>
      </w:r>
      <w:r w:rsidR="00AF2D2E" w:rsidRPr="000B5A3C">
        <w:rPr>
          <w:lang w:val="fr-FR"/>
        </w:rPr>
        <w:t xml:space="preserve"> de tout autre traité, convention ou arrangement ressortissant au domaine de la propriété intellectuelle</w:t>
      </w:r>
      <w:r w:rsidR="00C559A3">
        <w:rPr>
          <w:lang w:val="fr-FR"/>
        </w:rPr>
        <w:t xml:space="preserve"> </w:t>
      </w:r>
      <w:r w:rsidR="00AF2D2E" w:rsidRPr="000B5A3C">
        <w:rPr>
          <w:lang w:val="fr-FR"/>
        </w:rPr>
        <w:t>(article</w:t>
      </w:r>
      <w:r w:rsidR="008715D4">
        <w:rPr>
          <w:lang w:val="fr-FR"/>
        </w:rPr>
        <w:t> </w:t>
      </w:r>
      <w:r w:rsidR="00AF2D2E" w:rsidRPr="000B5A3C">
        <w:rPr>
          <w:lang w:val="fr-FR"/>
        </w:rPr>
        <w:t>4.iii)).</w:t>
      </w:r>
      <w:r w:rsidR="000B5A3C" w:rsidRPr="000B5A3C">
        <w:rPr>
          <w:lang w:val="fr-FR"/>
        </w:rPr>
        <w:t>”</w:t>
      </w:r>
      <w:r w:rsidR="00AF2D2E" w:rsidRPr="000B5A3C">
        <w:rPr>
          <w:lang w:val="fr-FR"/>
        </w:rPr>
        <w:t xml:space="preserve"> (</w:t>
      </w:r>
      <w:proofErr w:type="gramStart"/>
      <w:r w:rsidR="00AF2D2E" w:rsidRPr="000B5A3C">
        <w:rPr>
          <w:lang w:val="fr-FR"/>
        </w:rPr>
        <w:t>sans</w:t>
      </w:r>
      <w:proofErr w:type="gramEnd"/>
      <w:r w:rsidR="00AF2D2E" w:rsidRPr="000B5A3C">
        <w:rPr>
          <w:lang w:val="fr-FR"/>
        </w:rPr>
        <w:t xml:space="preserve"> caractères gras dans l</w:t>
      </w:r>
      <w:r w:rsidR="00985AAB">
        <w:rPr>
          <w:lang w:val="fr-FR"/>
        </w:rPr>
        <w:t>’</w:t>
      </w:r>
      <w:r w:rsidR="00AF2D2E" w:rsidRPr="000B5A3C">
        <w:rPr>
          <w:lang w:val="fr-FR"/>
        </w:rPr>
        <w:t>original)</w:t>
      </w:r>
      <w:r w:rsidR="00B66F3D">
        <w:rPr>
          <w:lang w:val="fr-FR"/>
        </w:rPr>
        <w:t>.</w:t>
      </w:r>
    </w:p>
  </w:footnote>
  <w:footnote w:id="9">
    <w:p w:rsidR="00FC41D2" w:rsidRPr="000B5A3C" w:rsidRDefault="00FC41D2" w:rsidP="00FC41D2">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00435956">
        <w:rPr>
          <w:lang w:val="fr-FR"/>
        </w:rPr>
        <w:t>Pour la liste complète des 26 </w:t>
      </w:r>
      <w:r w:rsidRPr="000B5A3C">
        <w:rPr>
          <w:lang w:val="fr-FR"/>
        </w:rPr>
        <w:t>traités administrés par l</w:t>
      </w:r>
      <w:r w:rsidR="00985AAB">
        <w:rPr>
          <w:lang w:val="fr-FR"/>
        </w:rPr>
        <w:t>’</w:t>
      </w:r>
      <w:r w:rsidRPr="000B5A3C">
        <w:rPr>
          <w:lang w:val="fr-FR"/>
        </w:rPr>
        <w:t>OMPI, voir www.wipo.int/treaties/fr/.</w:t>
      </w:r>
    </w:p>
  </w:footnote>
  <w:footnote w:id="10">
    <w:p w:rsidR="002C6E66" w:rsidRPr="000B5A3C" w:rsidRDefault="002C6E66">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Pr="000B5A3C">
        <w:rPr>
          <w:lang w:val="fr-FR"/>
        </w:rPr>
        <w:t>Comité de coordination de l</w:t>
      </w:r>
      <w:r w:rsidR="00985AAB">
        <w:rPr>
          <w:lang w:val="fr-FR"/>
        </w:rPr>
        <w:t>’</w:t>
      </w:r>
      <w:r w:rsidRPr="000B5A3C">
        <w:rPr>
          <w:lang w:val="fr-FR"/>
        </w:rPr>
        <w:t>OMPI</w:t>
      </w:r>
      <w:r w:rsidR="00C559A3">
        <w:rPr>
          <w:lang w:val="fr-FR"/>
        </w:rPr>
        <w:t>, soixante</w:t>
      </w:r>
      <w:r w:rsidR="00A24F52">
        <w:rPr>
          <w:lang w:val="fr-FR"/>
        </w:rPr>
        <w:noBreakHyphen/>
      </w:r>
      <w:r w:rsidR="00C559A3">
        <w:rPr>
          <w:lang w:val="fr-FR"/>
        </w:rPr>
        <w:t>dixième</w:t>
      </w:r>
      <w:r w:rsidR="008715D4">
        <w:rPr>
          <w:lang w:val="fr-FR"/>
        </w:rPr>
        <w:t> </w:t>
      </w:r>
      <w:r w:rsidR="00C559A3">
        <w:rPr>
          <w:lang w:val="fr-FR"/>
        </w:rPr>
        <w:t>session (45</w:t>
      </w:r>
      <w:r w:rsidR="00C559A3" w:rsidRPr="00C559A3">
        <w:rPr>
          <w:vertAlign w:val="superscript"/>
          <w:lang w:val="fr-FR"/>
        </w:rPr>
        <w:t>e</w:t>
      </w:r>
      <w:r w:rsidR="00C559A3">
        <w:rPr>
          <w:lang w:val="fr-FR"/>
        </w:rPr>
        <w:t> </w:t>
      </w:r>
      <w:r w:rsidRPr="000B5A3C">
        <w:rPr>
          <w:lang w:val="fr-FR"/>
        </w:rPr>
        <w:t xml:space="preserve">session ordinaire), Genève, </w:t>
      </w:r>
      <w:r w:rsidR="00A24F52">
        <w:rPr>
          <w:lang w:val="fr-FR"/>
        </w:rPr>
        <w:br/>
      </w:r>
      <w:r w:rsidRPr="000B5A3C">
        <w:rPr>
          <w:lang w:val="fr-FR"/>
        </w:rPr>
        <w:t>22</w:t>
      </w:r>
      <w:r w:rsidR="00985AAB">
        <w:rPr>
          <w:lang w:val="fr-FR"/>
        </w:rPr>
        <w:t xml:space="preserve"> – </w:t>
      </w:r>
      <w:r w:rsidRPr="000B5A3C">
        <w:rPr>
          <w:lang w:val="fr-FR"/>
        </w:rPr>
        <w:t>3</w:t>
      </w:r>
      <w:r w:rsidR="00985AAB" w:rsidRPr="000B5A3C">
        <w:rPr>
          <w:lang w:val="fr-FR"/>
        </w:rPr>
        <w:t>0</w:t>
      </w:r>
      <w:r w:rsidR="00985AAB">
        <w:rPr>
          <w:lang w:val="fr-FR"/>
        </w:rPr>
        <w:t> </w:t>
      </w:r>
      <w:r w:rsidR="00985AAB" w:rsidRPr="000B5A3C">
        <w:rPr>
          <w:lang w:val="fr-FR"/>
        </w:rPr>
        <w:t>septembre</w:t>
      </w:r>
      <w:r w:rsidR="00985AAB">
        <w:rPr>
          <w:lang w:val="fr-FR"/>
        </w:rPr>
        <w:t> </w:t>
      </w:r>
      <w:r w:rsidR="00985AAB" w:rsidRPr="000B5A3C">
        <w:rPr>
          <w:lang w:val="fr-FR"/>
        </w:rPr>
        <w:t>20</w:t>
      </w:r>
      <w:r w:rsidRPr="000B5A3C">
        <w:rPr>
          <w:lang w:val="fr-FR"/>
        </w:rPr>
        <w:t>14, RAPPORT (WO/CC/70/5), voir les paragraphes</w:t>
      </w:r>
      <w:r w:rsidR="008715D4">
        <w:rPr>
          <w:lang w:val="fr-FR"/>
        </w:rPr>
        <w:t> </w:t>
      </w:r>
      <w:r w:rsidRPr="000B5A3C">
        <w:rPr>
          <w:lang w:val="fr-FR"/>
        </w:rPr>
        <w:t>42 à</w:t>
      </w:r>
      <w:r w:rsidR="00A24F52">
        <w:rPr>
          <w:lang w:val="fr-FR"/>
        </w:rPr>
        <w:t> </w:t>
      </w:r>
      <w:r w:rsidRPr="000B5A3C">
        <w:rPr>
          <w:lang w:val="fr-FR"/>
        </w:rPr>
        <w:t>65, notamment l</w:t>
      </w:r>
      <w:r w:rsidR="00985AAB">
        <w:rPr>
          <w:lang w:val="fr-FR"/>
        </w:rPr>
        <w:t>’</w:t>
      </w:r>
      <w:r w:rsidRPr="000B5A3C">
        <w:rPr>
          <w:lang w:val="fr-FR"/>
        </w:rPr>
        <w:t>intervention de la délégation de la République tchèque au nom du groupe des pays d</w:t>
      </w:r>
      <w:r w:rsidR="00985AAB">
        <w:rPr>
          <w:lang w:val="fr-FR"/>
        </w:rPr>
        <w:t>’</w:t>
      </w:r>
      <w:r w:rsidRPr="000B5A3C">
        <w:rPr>
          <w:lang w:val="fr-FR"/>
        </w:rPr>
        <w:t>Europe centrale et des États baltes</w:t>
      </w:r>
      <w:r w:rsidR="008715D4">
        <w:rPr>
          <w:lang w:val="fr-FR"/>
        </w:rPr>
        <w:t> </w:t>
      </w:r>
      <w:r w:rsidRPr="000B5A3C">
        <w:rPr>
          <w:lang w:val="fr-FR"/>
        </w:rPr>
        <w:t xml:space="preserve">: </w:t>
      </w:r>
      <w:r w:rsidR="000B5A3C" w:rsidRPr="000B5A3C">
        <w:rPr>
          <w:lang w:val="fr-FR"/>
        </w:rPr>
        <w:t>“</w:t>
      </w:r>
      <w:r w:rsidRPr="000B5A3C">
        <w:rPr>
          <w:lang w:val="fr-FR"/>
        </w:rPr>
        <w:t>Les membres de l</w:t>
      </w:r>
      <w:r w:rsidR="00985AAB">
        <w:rPr>
          <w:lang w:val="fr-FR"/>
        </w:rPr>
        <w:t>’</w:t>
      </w:r>
      <w:r w:rsidRPr="000B5A3C">
        <w:rPr>
          <w:lang w:val="fr-FR"/>
        </w:rPr>
        <w:t>Assemblée de l</w:t>
      </w:r>
      <w:r w:rsidR="00985AAB">
        <w:rPr>
          <w:lang w:val="fr-FR"/>
        </w:rPr>
        <w:t>’</w:t>
      </w:r>
      <w:r w:rsidRPr="000B5A3C">
        <w:rPr>
          <w:lang w:val="fr-FR"/>
        </w:rPr>
        <w:t>Union de Lisbonne considéraient que l</w:t>
      </w:r>
      <w:r w:rsidR="00985AAB">
        <w:rPr>
          <w:lang w:val="fr-FR"/>
        </w:rPr>
        <w:t>’</w:t>
      </w:r>
      <w:r w:rsidRPr="000B5A3C">
        <w:rPr>
          <w:lang w:val="fr-FR"/>
        </w:rPr>
        <w:t>article</w:t>
      </w:r>
      <w:r w:rsidR="008715D4">
        <w:rPr>
          <w:lang w:val="fr-FR"/>
        </w:rPr>
        <w:t> </w:t>
      </w:r>
      <w:r w:rsidRPr="000B5A3C">
        <w:rPr>
          <w:lang w:val="fr-FR"/>
        </w:rPr>
        <w:t>9.2)b) de l</w:t>
      </w:r>
      <w:r w:rsidR="00985AAB">
        <w:rPr>
          <w:lang w:val="fr-FR"/>
        </w:rPr>
        <w:t>’</w:t>
      </w:r>
      <w:r w:rsidRPr="000B5A3C">
        <w:rPr>
          <w:lang w:val="fr-FR"/>
        </w:rPr>
        <w:t>Arrangement de Lisbonne n</w:t>
      </w:r>
      <w:r w:rsidR="00985AAB">
        <w:rPr>
          <w:lang w:val="fr-FR"/>
        </w:rPr>
        <w:t>’</w:t>
      </w:r>
      <w:r w:rsidRPr="000B5A3C">
        <w:rPr>
          <w:lang w:val="fr-FR"/>
        </w:rPr>
        <w:t>était pas applicable, étant donné que la décision n</w:t>
      </w:r>
      <w:r w:rsidR="00985AAB">
        <w:rPr>
          <w:lang w:val="fr-FR"/>
        </w:rPr>
        <w:t>’</w:t>
      </w:r>
      <w:r w:rsidRPr="000B5A3C">
        <w:rPr>
          <w:lang w:val="fr-FR"/>
        </w:rPr>
        <w:t>intéressait pas les autres unions administrées par l</w:t>
      </w:r>
      <w:r w:rsidR="00985AAB">
        <w:rPr>
          <w:lang w:val="fr-FR"/>
        </w:rPr>
        <w:t>’</w:t>
      </w:r>
      <w:r w:rsidRPr="000B5A3C">
        <w:rPr>
          <w:lang w:val="fr-FR"/>
        </w:rPr>
        <w:t>Organisation.</w:t>
      </w:r>
      <w:r w:rsidR="000B5A3C" w:rsidRPr="000B5A3C">
        <w:rPr>
          <w:lang w:val="fr-FR"/>
        </w:rPr>
        <w:t>”</w:t>
      </w:r>
      <w:r w:rsidRPr="000B5A3C">
        <w:rPr>
          <w:lang w:val="fr-FR"/>
        </w:rPr>
        <w:t xml:space="preserve"> (</w:t>
      </w:r>
      <w:proofErr w:type="gramStart"/>
      <w:r w:rsidRPr="000B5A3C">
        <w:rPr>
          <w:lang w:val="fr-FR"/>
        </w:rPr>
        <w:t>paragraphe</w:t>
      </w:r>
      <w:proofErr w:type="gramEnd"/>
      <w:r w:rsidRPr="000B5A3C">
        <w:rPr>
          <w:lang w:val="fr-FR"/>
        </w:rPr>
        <w:t xml:space="preserve"> 58) et </w:t>
      </w:r>
      <w:r w:rsidR="000B5A3C" w:rsidRPr="000B5A3C">
        <w:rPr>
          <w:lang w:val="fr-FR"/>
        </w:rPr>
        <w:t>“</w:t>
      </w:r>
      <w:r w:rsidRPr="000B5A3C">
        <w:rPr>
          <w:lang w:val="fr-FR"/>
        </w:rPr>
        <w:t>La délégation de la Hongrie a appuyé les déclarations faites par les délégations de la France et de l</w:t>
      </w:r>
      <w:r w:rsidR="00985AAB">
        <w:rPr>
          <w:lang w:val="fr-FR"/>
        </w:rPr>
        <w:t>’</w:t>
      </w:r>
      <w:r w:rsidRPr="000B5A3C">
        <w:rPr>
          <w:lang w:val="fr-FR"/>
        </w:rPr>
        <w:t>Italie et a pris note de la proposition de la délégation des États</w:t>
      </w:r>
      <w:r w:rsidR="00834171">
        <w:rPr>
          <w:lang w:val="fr-FR"/>
        </w:rPr>
        <w:noBreakHyphen/>
      </w:r>
      <w:r w:rsidRPr="000B5A3C">
        <w:rPr>
          <w:lang w:val="fr-FR"/>
        </w:rPr>
        <w:t>Unis d</w:t>
      </w:r>
      <w:r w:rsidR="00985AAB">
        <w:rPr>
          <w:lang w:val="fr-FR"/>
        </w:rPr>
        <w:t>’</w:t>
      </w:r>
      <w:r w:rsidRPr="000B5A3C">
        <w:rPr>
          <w:lang w:val="fr-FR"/>
        </w:rPr>
        <w:t>Amérique tendant à ajouter un point à l</w:t>
      </w:r>
      <w:r w:rsidR="00985AAB">
        <w:rPr>
          <w:lang w:val="fr-FR"/>
        </w:rPr>
        <w:t>’</w:t>
      </w:r>
      <w:r w:rsidRPr="000B5A3C">
        <w:rPr>
          <w:lang w:val="fr-FR"/>
        </w:rPr>
        <w:t>ordre du jour.  Pour autant, elle a précisé que l</w:t>
      </w:r>
      <w:r w:rsidR="00985AAB">
        <w:rPr>
          <w:lang w:val="fr-FR"/>
        </w:rPr>
        <w:t>’</w:t>
      </w:r>
      <w:r w:rsidRPr="000B5A3C">
        <w:rPr>
          <w:lang w:val="fr-FR"/>
        </w:rPr>
        <w:t>inscription de ce point à l</w:t>
      </w:r>
      <w:r w:rsidR="00985AAB">
        <w:rPr>
          <w:lang w:val="fr-FR"/>
        </w:rPr>
        <w:t>’</w:t>
      </w:r>
      <w:r w:rsidRPr="000B5A3C">
        <w:rPr>
          <w:lang w:val="fr-FR"/>
        </w:rPr>
        <w:t>ordre du jour ne signifiait en rien que la délégation de la Hongrie souscrivait à l</w:t>
      </w:r>
      <w:r w:rsidR="00985AAB">
        <w:rPr>
          <w:lang w:val="fr-FR"/>
        </w:rPr>
        <w:t>’</w:t>
      </w:r>
      <w:r w:rsidRPr="000B5A3C">
        <w:rPr>
          <w:lang w:val="fr-FR"/>
        </w:rPr>
        <w:t>idée selon laquelle le Comité de coordination devait donner son avis sur la question, étant donné qu</w:t>
      </w:r>
      <w:r w:rsidR="00985AAB">
        <w:rPr>
          <w:lang w:val="fr-FR"/>
        </w:rPr>
        <w:t>’</w:t>
      </w:r>
      <w:r w:rsidRPr="000B5A3C">
        <w:rPr>
          <w:lang w:val="fr-FR"/>
        </w:rPr>
        <w:t xml:space="preserve">elle pensait exactement le contraire. </w:t>
      </w:r>
      <w:r w:rsidR="008715D4">
        <w:rPr>
          <w:lang w:val="fr-FR"/>
        </w:rPr>
        <w:t xml:space="preserve"> </w:t>
      </w:r>
      <w:r w:rsidRPr="000B5A3C">
        <w:rPr>
          <w:lang w:val="fr-FR"/>
        </w:rPr>
        <w:t>La délégation a rappelé que l</w:t>
      </w:r>
      <w:r w:rsidR="00985AAB">
        <w:rPr>
          <w:lang w:val="fr-FR"/>
        </w:rPr>
        <w:t>’</w:t>
      </w:r>
      <w:r w:rsidRPr="000B5A3C">
        <w:rPr>
          <w:lang w:val="fr-FR"/>
        </w:rPr>
        <w:t>Assemblée de l</w:t>
      </w:r>
      <w:r w:rsidR="00985AAB">
        <w:rPr>
          <w:lang w:val="fr-FR"/>
        </w:rPr>
        <w:t>’</w:t>
      </w:r>
      <w:r w:rsidRPr="000B5A3C">
        <w:rPr>
          <w:lang w:val="fr-FR"/>
        </w:rPr>
        <w:t>Union de Lisbonne avait pris valablement la décision de convoquer une conférence diplomatique en</w:t>
      </w:r>
      <w:r w:rsidR="008715D4">
        <w:rPr>
          <w:lang w:val="fr-FR"/>
        </w:rPr>
        <w:t> </w:t>
      </w:r>
      <w:r w:rsidRPr="000B5A3C">
        <w:rPr>
          <w:lang w:val="fr-FR"/>
        </w:rPr>
        <w:t>2015.</w:t>
      </w:r>
      <w:r w:rsidR="008715D4">
        <w:rPr>
          <w:lang w:val="fr-FR"/>
        </w:rPr>
        <w:t xml:space="preserve"> </w:t>
      </w:r>
      <w:r w:rsidRPr="000B5A3C">
        <w:rPr>
          <w:lang w:val="fr-FR"/>
        </w:rPr>
        <w:t xml:space="preserve"> Lors de l</w:t>
      </w:r>
      <w:r w:rsidR="00985AAB">
        <w:rPr>
          <w:lang w:val="fr-FR"/>
        </w:rPr>
        <w:t>’</w:t>
      </w:r>
      <w:r w:rsidRPr="000B5A3C">
        <w:rPr>
          <w:lang w:val="fr-FR"/>
        </w:rPr>
        <w:t>adoption de cette décision, les membres de l</w:t>
      </w:r>
      <w:r w:rsidR="00985AAB">
        <w:rPr>
          <w:lang w:val="fr-FR"/>
        </w:rPr>
        <w:t>’</w:t>
      </w:r>
      <w:r w:rsidRPr="000B5A3C">
        <w:rPr>
          <w:lang w:val="fr-FR"/>
        </w:rPr>
        <w:t xml:space="preserve">Union de Lisbonne, </w:t>
      </w:r>
      <w:r w:rsidR="00985AAB">
        <w:rPr>
          <w:lang w:val="fr-FR"/>
        </w:rPr>
        <w:t>y compris</w:t>
      </w:r>
      <w:r w:rsidRPr="000B5A3C">
        <w:rPr>
          <w:lang w:val="fr-FR"/>
        </w:rPr>
        <w:t xml:space="preserve"> la délégation de la Hongrie, avaient estimé que les intérêts des autres unions administrées par l</w:t>
      </w:r>
      <w:r w:rsidR="00985AAB">
        <w:rPr>
          <w:lang w:val="fr-FR"/>
        </w:rPr>
        <w:t>’</w:t>
      </w:r>
      <w:r w:rsidRPr="000B5A3C">
        <w:rPr>
          <w:lang w:val="fr-FR"/>
        </w:rPr>
        <w:t>OMPI ne seraient pas affectés et que, par voie de conséquence, l</w:t>
      </w:r>
      <w:r w:rsidR="00985AAB">
        <w:rPr>
          <w:lang w:val="fr-FR"/>
        </w:rPr>
        <w:t>’</w:t>
      </w:r>
      <w:r w:rsidRPr="000B5A3C">
        <w:rPr>
          <w:lang w:val="fr-FR"/>
        </w:rPr>
        <w:t>article</w:t>
      </w:r>
      <w:r w:rsidR="008715D4">
        <w:rPr>
          <w:lang w:val="fr-FR"/>
        </w:rPr>
        <w:t> </w:t>
      </w:r>
      <w:r w:rsidRPr="000B5A3C">
        <w:rPr>
          <w:lang w:val="fr-FR"/>
        </w:rPr>
        <w:t>9.2)b) de l</w:t>
      </w:r>
      <w:r w:rsidR="00985AAB">
        <w:rPr>
          <w:lang w:val="fr-FR"/>
        </w:rPr>
        <w:t>’</w:t>
      </w:r>
      <w:r w:rsidRPr="000B5A3C">
        <w:rPr>
          <w:lang w:val="fr-FR"/>
        </w:rPr>
        <w:t>Arrangement de Lisbonne ne serait pas applicable et que l</w:t>
      </w:r>
      <w:r w:rsidR="00985AAB">
        <w:rPr>
          <w:lang w:val="fr-FR"/>
        </w:rPr>
        <w:t>’</w:t>
      </w:r>
      <w:r w:rsidRPr="000B5A3C">
        <w:rPr>
          <w:lang w:val="fr-FR"/>
        </w:rPr>
        <w:t>avis du Comité de coordination ne serait pas nécessaire.</w:t>
      </w:r>
      <w:r w:rsidR="000B5A3C" w:rsidRPr="000B5A3C">
        <w:rPr>
          <w:lang w:val="fr-FR"/>
        </w:rPr>
        <w:t>”</w:t>
      </w:r>
      <w:r w:rsidR="00C559A3">
        <w:rPr>
          <w:lang w:val="fr-FR"/>
        </w:rPr>
        <w:t xml:space="preserve"> (</w:t>
      </w:r>
      <w:proofErr w:type="gramStart"/>
      <w:r w:rsidR="00C559A3">
        <w:rPr>
          <w:lang w:val="fr-FR"/>
        </w:rPr>
        <w:t>paragraphe</w:t>
      </w:r>
      <w:proofErr w:type="gramEnd"/>
      <w:r w:rsidR="00C559A3">
        <w:rPr>
          <w:lang w:val="fr-FR"/>
        </w:rPr>
        <w:t> </w:t>
      </w:r>
      <w:r w:rsidRPr="000B5A3C">
        <w:rPr>
          <w:lang w:val="fr-FR"/>
        </w:rPr>
        <w:t xml:space="preserve">46). </w:t>
      </w:r>
      <w:r w:rsidR="00C559A3">
        <w:rPr>
          <w:lang w:val="fr-FR"/>
        </w:rPr>
        <w:t xml:space="preserve"> </w:t>
      </w:r>
      <w:r w:rsidRPr="000B5A3C">
        <w:rPr>
          <w:lang w:val="fr-FR"/>
        </w:rPr>
        <w:t xml:space="preserve">Document </w:t>
      </w:r>
      <w:r w:rsidR="00C559A3">
        <w:rPr>
          <w:lang w:val="fr-FR"/>
        </w:rPr>
        <w:t>consulté</w:t>
      </w:r>
      <w:r w:rsidRPr="000B5A3C">
        <w:rPr>
          <w:lang w:val="fr-FR"/>
        </w:rPr>
        <w:t xml:space="preserve"> à l</w:t>
      </w:r>
      <w:r w:rsidR="00985AAB">
        <w:rPr>
          <w:lang w:val="fr-FR"/>
        </w:rPr>
        <w:t>’</w:t>
      </w:r>
      <w:r w:rsidRPr="000B5A3C">
        <w:rPr>
          <w:lang w:val="fr-FR"/>
        </w:rPr>
        <w:t xml:space="preserve">adresse </w:t>
      </w:r>
      <w:hyperlink r:id="rId1" w:history="1">
        <w:r w:rsidR="00834171" w:rsidRPr="00834171">
          <w:rPr>
            <w:rStyle w:val="Hyperlink"/>
            <w:lang w:val="fr-FR"/>
          </w:rPr>
          <w:t>http://www.wipo.int/edocs/mdocs/govbody/fr/wo_cc_70/wo_cc_70_5.pdf</w:t>
        </w:r>
      </w:hyperlink>
      <w:r w:rsidR="00C559A3">
        <w:rPr>
          <w:lang w:val="fr-FR"/>
        </w:rPr>
        <w:t>.</w:t>
      </w:r>
    </w:p>
  </w:footnote>
  <w:footnote w:id="11">
    <w:p w:rsidR="006B6804" w:rsidRPr="000B5A3C" w:rsidRDefault="006B6804" w:rsidP="00E6590C">
      <w:pPr>
        <w:pStyle w:val="FootnoteText"/>
        <w:rPr>
          <w:lang w:val="fr-FR"/>
        </w:rPr>
      </w:pPr>
      <w:r w:rsidRPr="000B5A3C">
        <w:rPr>
          <w:rStyle w:val="FootnoteReference"/>
          <w:lang w:val="fr-FR"/>
        </w:rPr>
        <w:footnoteRef/>
      </w:r>
      <w:r w:rsidRPr="000B5A3C">
        <w:rPr>
          <w:lang w:val="fr-FR"/>
        </w:rPr>
        <w:t xml:space="preserve"> </w:t>
      </w:r>
      <w:r w:rsidR="00B66F3D">
        <w:rPr>
          <w:lang w:val="fr-FR"/>
        </w:rPr>
        <w:tab/>
      </w:r>
      <w:r w:rsidR="00E6590C" w:rsidRPr="000B5A3C">
        <w:rPr>
          <w:lang w:val="fr-FR"/>
        </w:rPr>
        <w:t xml:space="preserve">Voir </w:t>
      </w:r>
      <w:r w:rsidR="00E6590C" w:rsidRPr="00C559A3">
        <w:rPr>
          <w:i/>
          <w:lang w:val="fr-FR"/>
        </w:rPr>
        <w:t>Conférence de Stockholm de la propriété intellectuelle, 1967, Convention instituant l</w:t>
      </w:r>
      <w:r w:rsidR="00985AAB">
        <w:rPr>
          <w:i/>
          <w:lang w:val="fr-FR"/>
        </w:rPr>
        <w:t>’</w:t>
      </w:r>
      <w:r w:rsidR="00E6590C" w:rsidRPr="00C559A3">
        <w:rPr>
          <w:i/>
          <w:lang w:val="fr-FR"/>
        </w:rPr>
        <w:t>Organisation Mondiale de la Propriété Intellectuelle, propositions relatives à l</w:t>
      </w:r>
      <w:r w:rsidR="00985AAB">
        <w:rPr>
          <w:i/>
          <w:lang w:val="fr-FR"/>
        </w:rPr>
        <w:t>’</w:t>
      </w:r>
      <w:r w:rsidR="00E6590C" w:rsidRPr="00C559A3">
        <w:rPr>
          <w:i/>
          <w:lang w:val="fr-FR"/>
        </w:rPr>
        <w:t>institution de l</w:t>
      </w:r>
      <w:r w:rsidR="00985AAB">
        <w:rPr>
          <w:i/>
          <w:lang w:val="fr-FR"/>
        </w:rPr>
        <w:t>’</w:t>
      </w:r>
      <w:r w:rsidR="00E6590C" w:rsidRPr="00C559A3">
        <w:rPr>
          <w:i/>
          <w:lang w:val="fr-FR"/>
        </w:rPr>
        <w:t>Organisation</w:t>
      </w:r>
      <w:r w:rsidR="00E6590C" w:rsidRPr="000B5A3C">
        <w:rPr>
          <w:lang w:val="fr-FR"/>
        </w:rPr>
        <w:t xml:space="preserve"> (S/10, 1</w:t>
      </w:r>
      <w:r w:rsidR="00985AAB" w:rsidRPr="000B5A3C">
        <w:rPr>
          <w:lang w:val="fr-FR"/>
        </w:rPr>
        <w:t>6</w:t>
      </w:r>
      <w:r w:rsidR="00985AAB">
        <w:rPr>
          <w:lang w:val="fr-FR"/>
        </w:rPr>
        <w:t> </w:t>
      </w:r>
      <w:r w:rsidR="00985AAB" w:rsidRPr="000B5A3C">
        <w:rPr>
          <w:lang w:val="fr-FR"/>
        </w:rPr>
        <w:t>septembre</w:t>
      </w:r>
      <w:r w:rsidR="00E6590C" w:rsidRPr="000B5A3C">
        <w:rPr>
          <w:lang w:val="fr-FR"/>
        </w:rPr>
        <w:t>, 1966), commentaires sur l</w:t>
      </w:r>
      <w:r w:rsidR="00985AAB">
        <w:rPr>
          <w:lang w:val="fr-FR"/>
        </w:rPr>
        <w:t>’</w:t>
      </w:r>
      <w:r w:rsidR="00E6590C" w:rsidRPr="000B5A3C">
        <w:rPr>
          <w:lang w:val="fr-FR"/>
        </w:rPr>
        <w:t>article</w:t>
      </w:r>
      <w:r w:rsidR="008715D4">
        <w:rPr>
          <w:lang w:val="fr-FR"/>
        </w:rPr>
        <w:t> </w:t>
      </w:r>
      <w:r w:rsidR="00E6590C" w:rsidRPr="000B5A3C">
        <w:rPr>
          <w:lang w:val="fr-FR"/>
        </w:rPr>
        <w:t>3</w:t>
      </w:r>
      <w:r w:rsidR="00B66F3D">
        <w:rPr>
          <w:lang w:val="fr-FR"/>
        </w:rPr>
        <w:t> : but et fonctions, paragraphe </w:t>
      </w:r>
      <w:r w:rsidR="00E6590C" w:rsidRPr="000B5A3C">
        <w:rPr>
          <w:lang w:val="fr-FR"/>
        </w:rPr>
        <w:t>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477D6B">
    <w:pPr>
      <w:jc w:val="right"/>
      <w:rPr>
        <w:szCs w:val="22"/>
      </w:rPr>
    </w:pPr>
    <w:r w:rsidRPr="00D13C08">
      <w:rPr>
        <w:caps/>
        <w:szCs w:val="22"/>
      </w:rPr>
      <w:t>WO/GA/4</w:t>
    </w:r>
    <w:r w:rsidR="00C47B55">
      <w:rPr>
        <w:caps/>
        <w:szCs w:val="22"/>
      </w:rPr>
      <w:t>7</w:t>
    </w:r>
    <w:r w:rsidR="004243AF">
      <w:rPr>
        <w:caps/>
        <w:szCs w:val="22"/>
      </w:rPr>
      <w:t>/</w:t>
    </w:r>
    <w:r w:rsidR="0094724E">
      <w:rPr>
        <w:caps/>
        <w:szCs w:val="22"/>
      </w:rPr>
      <w:t>XX</w:t>
    </w:r>
  </w:p>
  <w:p w:rsidR="004E4C12" w:rsidRPr="00D13C08" w:rsidRDefault="004E4C12"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DB300D">
      <w:rPr>
        <w:noProof/>
        <w:szCs w:val="22"/>
      </w:rPr>
      <w:t>2</w:t>
    </w:r>
    <w:r w:rsidRPr="00D13C08">
      <w:rPr>
        <w:szCs w:val="22"/>
      </w:rPr>
      <w:fldChar w:fldCharType="end"/>
    </w:r>
  </w:p>
  <w:p w:rsidR="004E4C12" w:rsidRDefault="004E4C1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4E" w:rsidRPr="00D13C08" w:rsidRDefault="0094724E" w:rsidP="00477D6B">
    <w:pPr>
      <w:jc w:val="right"/>
      <w:rPr>
        <w:szCs w:val="22"/>
      </w:rPr>
    </w:pPr>
    <w:r w:rsidRPr="00D13C08">
      <w:rPr>
        <w:caps/>
        <w:szCs w:val="22"/>
      </w:rPr>
      <w:t>WO/GA/4</w:t>
    </w:r>
    <w:r>
      <w:rPr>
        <w:caps/>
        <w:szCs w:val="22"/>
      </w:rPr>
      <w:t>7/</w:t>
    </w:r>
    <w:r w:rsidR="00053EA1">
      <w:rPr>
        <w:caps/>
        <w:szCs w:val="22"/>
      </w:rPr>
      <w:t>3</w:t>
    </w:r>
  </w:p>
  <w:p w:rsidR="0094724E" w:rsidRPr="00D13C08" w:rsidRDefault="00777E9A" w:rsidP="00477D6B">
    <w:pPr>
      <w:jc w:val="right"/>
      <w:rPr>
        <w:szCs w:val="22"/>
      </w:rPr>
    </w:pPr>
    <w:proofErr w:type="spellStart"/>
    <w:r>
      <w:rPr>
        <w:szCs w:val="22"/>
      </w:rPr>
      <w:t>Annex</w:t>
    </w:r>
    <w:r w:rsidR="00B66F3D">
      <w:rPr>
        <w:szCs w:val="22"/>
      </w:rPr>
      <w:t>e</w:t>
    </w:r>
    <w:proofErr w:type="spellEnd"/>
    <w:r>
      <w:rPr>
        <w:szCs w:val="22"/>
      </w:rPr>
      <w:t xml:space="preserve">, </w:t>
    </w:r>
    <w:r w:rsidR="0094724E" w:rsidRPr="00D13C08">
      <w:rPr>
        <w:szCs w:val="22"/>
      </w:rPr>
      <w:t xml:space="preserve">page </w:t>
    </w:r>
    <w:r w:rsidR="0094724E" w:rsidRPr="00D13C08">
      <w:rPr>
        <w:szCs w:val="22"/>
      </w:rPr>
      <w:fldChar w:fldCharType="begin"/>
    </w:r>
    <w:r w:rsidR="0094724E" w:rsidRPr="00D13C08">
      <w:rPr>
        <w:szCs w:val="22"/>
      </w:rPr>
      <w:instrText xml:space="preserve"> PAGE  \* MERGEFORMAT </w:instrText>
    </w:r>
    <w:r w:rsidR="0094724E" w:rsidRPr="00D13C08">
      <w:rPr>
        <w:szCs w:val="22"/>
      </w:rPr>
      <w:fldChar w:fldCharType="separate"/>
    </w:r>
    <w:r w:rsidR="00675B6F">
      <w:rPr>
        <w:noProof/>
        <w:szCs w:val="22"/>
      </w:rPr>
      <w:t>7</w:t>
    </w:r>
    <w:r w:rsidR="0094724E" w:rsidRPr="00D13C08">
      <w:rPr>
        <w:szCs w:val="22"/>
      </w:rPr>
      <w:fldChar w:fldCharType="end"/>
    </w:r>
  </w:p>
  <w:p w:rsidR="0094724E" w:rsidRDefault="0094724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682" w:rsidRPr="00440682" w:rsidRDefault="00FB63BE" w:rsidP="00440682">
    <w:pPr>
      <w:jc w:val="right"/>
      <w:rPr>
        <w:szCs w:val="22"/>
        <w:lang w:val="fr-FR"/>
      </w:rPr>
    </w:pPr>
    <w:r>
      <w:rPr>
        <w:caps/>
        <w:szCs w:val="22"/>
        <w:lang w:val="fr-FR"/>
      </w:rPr>
      <w:t>WO/GA/47/</w:t>
    </w:r>
    <w:r w:rsidR="00053EA1">
      <w:rPr>
        <w:caps/>
        <w:szCs w:val="22"/>
        <w:lang w:val="fr-FR"/>
      </w:rPr>
      <w:t>3</w:t>
    </w:r>
  </w:p>
  <w:p w:rsidR="004E4C12" w:rsidRPr="00367FC1" w:rsidRDefault="0094724E" w:rsidP="00866152">
    <w:pPr>
      <w:pStyle w:val="Header"/>
      <w:jc w:val="right"/>
      <w:rPr>
        <w:lang w:val="fr-FR"/>
      </w:rPr>
    </w:pPr>
    <w:r>
      <w:rPr>
        <w:lang w:val="fr-FR"/>
      </w:rPr>
      <w:t>ANNEX</w:t>
    </w:r>
    <w:r w:rsidR="00B66F3D">
      <w:rPr>
        <w:lang w:val="fr-FR"/>
      </w:rPr>
      <w:t>E</w:t>
    </w:r>
  </w:p>
  <w:p w:rsidR="007A2BEC" w:rsidRPr="00695315" w:rsidRDefault="007A2BEC" w:rsidP="007F4665">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A" w:rsidRPr="00440682" w:rsidRDefault="0047062A" w:rsidP="00440682">
    <w:pPr>
      <w:jc w:val="right"/>
      <w:rPr>
        <w:szCs w:val="22"/>
        <w:lang w:val="fr-FR"/>
      </w:rPr>
    </w:pPr>
    <w:r>
      <w:rPr>
        <w:caps/>
        <w:szCs w:val="22"/>
        <w:lang w:val="fr-FR"/>
      </w:rPr>
      <w:t>WO/GA/47/3</w:t>
    </w:r>
  </w:p>
  <w:p w:rsidR="0047062A" w:rsidRPr="00367FC1" w:rsidRDefault="0047062A" w:rsidP="00866152">
    <w:pPr>
      <w:pStyle w:val="Header"/>
      <w:jc w:val="right"/>
      <w:rPr>
        <w:lang w:val="fr-FR"/>
      </w:rPr>
    </w:pPr>
    <w:r>
      <w:rPr>
        <w:lang w:val="fr-FR"/>
      </w:rPr>
      <w:t>Annex</w:t>
    </w:r>
    <w:r w:rsidR="00B66F3D">
      <w:rPr>
        <w:lang w:val="fr-FR"/>
      </w:rPr>
      <w:t>e</w:t>
    </w:r>
    <w:r>
      <w:rPr>
        <w:lang w:val="fr-FR"/>
      </w:rPr>
      <w:t>, page</w:t>
    </w:r>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675B6F">
      <w:rPr>
        <w:noProof/>
        <w:szCs w:val="22"/>
      </w:rPr>
      <w:t>3</w:t>
    </w:r>
    <w:r w:rsidRPr="00D13C08">
      <w:rPr>
        <w:szCs w:val="22"/>
      </w:rPr>
      <w:fldChar w:fldCharType="end"/>
    </w:r>
  </w:p>
  <w:p w:rsidR="0047062A" w:rsidRPr="00695315" w:rsidRDefault="0047062A" w:rsidP="007F466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2ED7586"/>
    <w:multiLevelType w:val="hybridMultilevel"/>
    <w:tmpl w:val="4832F836"/>
    <w:lvl w:ilvl="0" w:tplc="3C10978C">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0">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6">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1">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2728D"/>
    <w:multiLevelType w:val="hybridMultilevel"/>
    <w:tmpl w:val="DD1CF55E"/>
    <w:lvl w:ilvl="0" w:tplc="FF724F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3">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5">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8">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1"/>
  </w:num>
  <w:num w:numId="2">
    <w:abstractNumId w:val="2"/>
  </w:num>
  <w:num w:numId="3">
    <w:abstractNumId w:val="13"/>
  </w:num>
  <w:num w:numId="4">
    <w:abstractNumId w:val="3"/>
  </w:num>
  <w:num w:numId="5">
    <w:abstractNumId w:val="6"/>
  </w:num>
  <w:num w:numId="6">
    <w:abstractNumId w:val="0"/>
  </w:num>
  <w:num w:numId="7">
    <w:abstractNumId w:val="34"/>
  </w:num>
  <w:num w:numId="8">
    <w:abstractNumId w:val="8"/>
  </w:num>
  <w:num w:numId="9">
    <w:abstractNumId w:val="7"/>
  </w:num>
  <w:num w:numId="10">
    <w:abstractNumId w:val="31"/>
  </w:num>
  <w:num w:numId="11">
    <w:abstractNumId w:val="1"/>
  </w:num>
  <w:num w:numId="12">
    <w:abstractNumId w:val="11"/>
  </w:num>
  <w:num w:numId="13">
    <w:abstractNumId w:val="36"/>
  </w:num>
  <w:num w:numId="14">
    <w:abstractNumId w:val="12"/>
  </w:num>
  <w:num w:numId="15">
    <w:abstractNumId w:val="23"/>
  </w:num>
  <w:num w:numId="16">
    <w:abstractNumId w:val="35"/>
  </w:num>
  <w:num w:numId="17">
    <w:abstractNumId w:val="10"/>
  </w:num>
  <w:num w:numId="18">
    <w:abstractNumId w:val="30"/>
  </w:num>
  <w:num w:numId="19">
    <w:abstractNumId w:val="24"/>
  </w:num>
  <w:num w:numId="20">
    <w:abstractNumId w:val="33"/>
  </w:num>
  <w:num w:numId="21">
    <w:abstractNumId w:val="5"/>
  </w:num>
  <w:num w:numId="22">
    <w:abstractNumId w:val="39"/>
  </w:num>
  <w:num w:numId="23">
    <w:abstractNumId w:val="29"/>
  </w:num>
  <w:num w:numId="24">
    <w:abstractNumId w:val="19"/>
  </w:num>
  <w:num w:numId="25">
    <w:abstractNumId w:val="9"/>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7"/>
  </w:num>
  <w:num w:numId="38">
    <w:abstractNumId w:val="26"/>
  </w:num>
  <w:num w:numId="39">
    <w:abstractNumId w:val="18"/>
  </w:num>
  <w:num w:numId="40">
    <w:abstractNumId w:val="22"/>
  </w:num>
  <w:num w:numId="41">
    <w:abstractNumId w:val="28"/>
  </w:num>
  <w:num w:numId="42">
    <w:abstractNumId w:val="25"/>
  </w:num>
  <w:num w:numId="43">
    <w:abstractNumId w:val="27"/>
  </w:num>
  <w:num w:numId="44">
    <w:abstractNumId w:val="4"/>
  </w:num>
  <w:num w:numId="45">
    <w:abstractNumId w:val="32"/>
  </w:num>
  <w:num w:numId="46">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am Server TMs\Default"/>
    <w:docVar w:name="TextBaseURL" w:val="empty"/>
    <w:docVar w:name="UILng" w:val="en"/>
  </w:docVars>
  <w:rsids>
    <w:rsidRoot w:val="00885AD5"/>
    <w:rsid w:val="00020D21"/>
    <w:rsid w:val="00023A97"/>
    <w:rsid w:val="00030A5E"/>
    <w:rsid w:val="00031281"/>
    <w:rsid w:val="00032CE6"/>
    <w:rsid w:val="000351C2"/>
    <w:rsid w:val="00040E7F"/>
    <w:rsid w:val="0004352D"/>
    <w:rsid w:val="00043BFD"/>
    <w:rsid w:val="00043CAA"/>
    <w:rsid w:val="00050A19"/>
    <w:rsid w:val="0005260A"/>
    <w:rsid w:val="0005309B"/>
    <w:rsid w:val="00053EA1"/>
    <w:rsid w:val="00056113"/>
    <w:rsid w:val="00063B30"/>
    <w:rsid w:val="00064779"/>
    <w:rsid w:val="00071895"/>
    <w:rsid w:val="00072CE7"/>
    <w:rsid w:val="000744C8"/>
    <w:rsid w:val="00075432"/>
    <w:rsid w:val="00080178"/>
    <w:rsid w:val="000803E7"/>
    <w:rsid w:val="00080773"/>
    <w:rsid w:val="00080842"/>
    <w:rsid w:val="000817BE"/>
    <w:rsid w:val="00084DB6"/>
    <w:rsid w:val="000850C1"/>
    <w:rsid w:val="00086531"/>
    <w:rsid w:val="000871B1"/>
    <w:rsid w:val="000902F9"/>
    <w:rsid w:val="000968ED"/>
    <w:rsid w:val="00097289"/>
    <w:rsid w:val="000A6503"/>
    <w:rsid w:val="000B25CF"/>
    <w:rsid w:val="000B2714"/>
    <w:rsid w:val="000B4368"/>
    <w:rsid w:val="000B5A3C"/>
    <w:rsid w:val="000B5D94"/>
    <w:rsid w:val="000C2107"/>
    <w:rsid w:val="000C3E42"/>
    <w:rsid w:val="000D2AD8"/>
    <w:rsid w:val="000D2BF7"/>
    <w:rsid w:val="000D3CA8"/>
    <w:rsid w:val="000D4C36"/>
    <w:rsid w:val="000D71F6"/>
    <w:rsid w:val="000E00CE"/>
    <w:rsid w:val="000E0AC7"/>
    <w:rsid w:val="000E4177"/>
    <w:rsid w:val="000E774B"/>
    <w:rsid w:val="000F0E73"/>
    <w:rsid w:val="000F12F1"/>
    <w:rsid w:val="000F5E56"/>
    <w:rsid w:val="000F62F9"/>
    <w:rsid w:val="000F6C74"/>
    <w:rsid w:val="0010084E"/>
    <w:rsid w:val="00106A9F"/>
    <w:rsid w:val="0011162E"/>
    <w:rsid w:val="00114342"/>
    <w:rsid w:val="0012156C"/>
    <w:rsid w:val="00124877"/>
    <w:rsid w:val="00133D4A"/>
    <w:rsid w:val="001362EE"/>
    <w:rsid w:val="00142473"/>
    <w:rsid w:val="00142E7B"/>
    <w:rsid w:val="001452BF"/>
    <w:rsid w:val="00146AAE"/>
    <w:rsid w:val="00151FEA"/>
    <w:rsid w:val="00152211"/>
    <w:rsid w:val="001526BE"/>
    <w:rsid w:val="0016532C"/>
    <w:rsid w:val="00165709"/>
    <w:rsid w:val="0016773B"/>
    <w:rsid w:val="00180EDB"/>
    <w:rsid w:val="00181C9E"/>
    <w:rsid w:val="001830EB"/>
    <w:rsid w:val="001832A6"/>
    <w:rsid w:val="00185809"/>
    <w:rsid w:val="001904EC"/>
    <w:rsid w:val="001934AB"/>
    <w:rsid w:val="00196D4F"/>
    <w:rsid w:val="00197A4F"/>
    <w:rsid w:val="001B4113"/>
    <w:rsid w:val="001B7CBA"/>
    <w:rsid w:val="001C0E01"/>
    <w:rsid w:val="001C1BDE"/>
    <w:rsid w:val="001C1D1C"/>
    <w:rsid w:val="001C3E4B"/>
    <w:rsid w:val="001C729C"/>
    <w:rsid w:val="001D2CDD"/>
    <w:rsid w:val="001D5F56"/>
    <w:rsid w:val="001E2A29"/>
    <w:rsid w:val="001E3D0D"/>
    <w:rsid w:val="001E7A14"/>
    <w:rsid w:val="001F6290"/>
    <w:rsid w:val="001F62BC"/>
    <w:rsid w:val="001F65A7"/>
    <w:rsid w:val="00202284"/>
    <w:rsid w:val="002047D9"/>
    <w:rsid w:val="00210AD1"/>
    <w:rsid w:val="0021132B"/>
    <w:rsid w:val="00212F43"/>
    <w:rsid w:val="00215C13"/>
    <w:rsid w:val="002220E6"/>
    <w:rsid w:val="00223E8D"/>
    <w:rsid w:val="00230A34"/>
    <w:rsid w:val="00236EEC"/>
    <w:rsid w:val="00245C5B"/>
    <w:rsid w:val="002528B9"/>
    <w:rsid w:val="00253DC4"/>
    <w:rsid w:val="002634C4"/>
    <w:rsid w:val="00267DFB"/>
    <w:rsid w:val="002716B2"/>
    <w:rsid w:val="00275A5E"/>
    <w:rsid w:val="00283970"/>
    <w:rsid w:val="00290A90"/>
    <w:rsid w:val="002928D3"/>
    <w:rsid w:val="00295637"/>
    <w:rsid w:val="00297252"/>
    <w:rsid w:val="002A1F0E"/>
    <w:rsid w:val="002A4D86"/>
    <w:rsid w:val="002B0247"/>
    <w:rsid w:val="002B0413"/>
    <w:rsid w:val="002B062D"/>
    <w:rsid w:val="002B390C"/>
    <w:rsid w:val="002B5498"/>
    <w:rsid w:val="002B6F6C"/>
    <w:rsid w:val="002C098D"/>
    <w:rsid w:val="002C2FD4"/>
    <w:rsid w:val="002C44DE"/>
    <w:rsid w:val="002C6E66"/>
    <w:rsid w:val="002C7AC6"/>
    <w:rsid w:val="002D04CC"/>
    <w:rsid w:val="002D13A9"/>
    <w:rsid w:val="002D7D79"/>
    <w:rsid w:val="002E7203"/>
    <w:rsid w:val="002F0B89"/>
    <w:rsid w:val="002F0D14"/>
    <w:rsid w:val="002F1FE6"/>
    <w:rsid w:val="002F33C9"/>
    <w:rsid w:val="002F3A53"/>
    <w:rsid w:val="002F4E68"/>
    <w:rsid w:val="002F507F"/>
    <w:rsid w:val="00302569"/>
    <w:rsid w:val="00304DD0"/>
    <w:rsid w:val="003106D1"/>
    <w:rsid w:val="00312287"/>
    <w:rsid w:val="00312F7F"/>
    <w:rsid w:val="003162FF"/>
    <w:rsid w:val="00320E0C"/>
    <w:rsid w:val="003228B7"/>
    <w:rsid w:val="00325965"/>
    <w:rsid w:val="00325C7F"/>
    <w:rsid w:val="00326A67"/>
    <w:rsid w:val="00326E30"/>
    <w:rsid w:val="003318A8"/>
    <w:rsid w:val="003319E9"/>
    <w:rsid w:val="003359C1"/>
    <w:rsid w:val="003470F0"/>
    <w:rsid w:val="003504AE"/>
    <w:rsid w:val="003505D3"/>
    <w:rsid w:val="003533F2"/>
    <w:rsid w:val="00354B1F"/>
    <w:rsid w:val="00355CBD"/>
    <w:rsid w:val="003606F4"/>
    <w:rsid w:val="00362423"/>
    <w:rsid w:val="00362AEE"/>
    <w:rsid w:val="00362C33"/>
    <w:rsid w:val="003673CF"/>
    <w:rsid w:val="00367899"/>
    <w:rsid w:val="003678F1"/>
    <w:rsid w:val="00367FC1"/>
    <w:rsid w:val="00372E3B"/>
    <w:rsid w:val="00373A78"/>
    <w:rsid w:val="00373D8C"/>
    <w:rsid w:val="00381DC4"/>
    <w:rsid w:val="003845C1"/>
    <w:rsid w:val="0038500D"/>
    <w:rsid w:val="00387B93"/>
    <w:rsid w:val="00390E54"/>
    <w:rsid w:val="003A4918"/>
    <w:rsid w:val="003A6B33"/>
    <w:rsid w:val="003A6D31"/>
    <w:rsid w:val="003A6F89"/>
    <w:rsid w:val="003A7E9C"/>
    <w:rsid w:val="003B02F1"/>
    <w:rsid w:val="003B38C1"/>
    <w:rsid w:val="003B63EA"/>
    <w:rsid w:val="003C1277"/>
    <w:rsid w:val="003C1A39"/>
    <w:rsid w:val="003C2AAA"/>
    <w:rsid w:val="003D4C15"/>
    <w:rsid w:val="003E2E73"/>
    <w:rsid w:val="003E6358"/>
    <w:rsid w:val="003F1D0C"/>
    <w:rsid w:val="003F5C8B"/>
    <w:rsid w:val="00400C5B"/>
    <w:rsid w:val="0040251F"/>
    <w:rsid w:val="004036B8"/>
    <w:rsid w:val="0040390C"/>
    <w:rsid w:val="00404938"/>
    <w:rsid w:val="00410B1D"/>
    <w:rsid w:val="00413CD1"/>
    <w:rsid w:val="00415670"/>
    <w:rsid w:val="00420974"/>
    <w:rsid w:val="00423E3E"/>
    <w:rsid w:val="004243AF"/>
    <w:rsid w:val="004261D0"/>
    <w:rsid w:val="00427AF4"/>
    <w:rsid w:val="00432E28"/>
    <w:rsid w:val="00435956"/>
    <w:rsid w:val="004400E2"/>
    <w:rsid w:val="00440682"/>
    <w:rsid w:val="00445E5B"/>
    <w:rsid w:val="00446FA9"/>
    <w:rsid w:val="0045114C"/>
    <w:rsid w:val="004512F0"/>
    <w:rsid w:val="00456B3A"/>
    <w:rsid w:val="00461B92"/>
    <w:rsid w:val="00463629"/>
    <w:rsid w:val="00464779"/>
    <w:rsid w:val="004647DA"/>
    <w:rsid w:val="00465F62"/>
    <w:rsid w:val="004703BD"/>
    <w:rsid w:val="0047062A"/>
    <w:rsid w:val="00474062"/>
    <w:rsid w:val="00475FF3"/>
    <w:rsid w:val="004779B9"/>
    <w:rsid w:val="00477D6B"/>
    <w:rsid w:val="00481463"/>
    <w:rsid w:val="00483E25"/>
    <w:rsid w:val="00496B52"/>
    <w:rsid w:val="00496DED"/>
    <w:rsid w:val="004A032C"/>
    <w:rsid w:val="004A6654"/>
    <w:rsid w:val="004B37FC"/>
    <w:rsid w:val="004B7B38"/>
    <w:rsid w:val="004C086E"/>
    <w:rsid w:val="004C3375"/>
    <w:rsid w:val="004C4EC1"/>
    <w:rsid w:val="004E15B4"/>
    <w:rsid w:val="004E49A9"/>
    <w:rsid w:val="004E4C12"/>
    <w:rsid w:val="004E507F"/>
    <w:rsid w:val="004E7781"/>
    <w:rsid w:val="004F17F1"/>
    <w:rsid w:val="004F7A16"/>
    <w:rsid w:val="00500B93"/>
    <w:rsid w:val="00500CFD"/>
    <w:rsid w:val="0051426B"/>
    <w:rsid w:val="00514464"/>
    <w:rsid w:val="00516105"/>
    <w:rsid w:val="00516AEE"/>
    <w:rsid w:val="005203E5"/>
    <w:rsid w:val="005224BC"/>
    <w:rsid w:val="005229C6"/>
    <w:rsid w:val="00525193"/>
    <w:rsid w:val="00525F2E"/>
    <w:rsid w:val="0052699F"/>
    <w:rsid w:val="00527DA1"/>
    <w:rsid w:val="0053057A"/>
    <w:rsid w:val="00531B9E"/>
    <w:rsid w:val="00535F49"/>
    <w:rsid w:val="00541498"/>
    <w:rsid w:val="00544B00"/>
    <w:rsid w:val="00552176"/>
    <w:rsid w:val="00553DA5"/>
    <w:rsid w:val="005562C3"/>
    <w:rsid w:val="00557780"/>
    <w:rsid w:val="0056046F"/>
    <w:rsid w:val="00560A29"/>
    <w:rsid w:val="00566748"/>
    <w:rsid w:val="00572140"/>
    <w:rsid w:val="00572DFC"/>
    <w:rsid w:val="005808FB"/>
    <w:rsid w:val="00580911"/>
    <w:rsid w:val="00583199"/>
    <w:rsid w:val="00584A76"/>
    <w:rsid w:val="00584ED5"/>
    <w:rsid w:val="00586B62"/>
    <w:rsid w:val="00591C00"/>
    <w:rsid w:val="0059449D"/>
    <w:rsid w:val="005945DA"/>
    <w:rsid w:val="00594F55"/>
    <w:rsid w:val="005962A6"/>
    <w:rsid w:val="005A6390"/>
    <w:rsid w:val="005B31A2"/>
    <w:rsid w:val="005B5BE3"/>
    <w:rsid w:val="005C081A"/>
    <w:rsid w:val="005C32A9"/>
    <w:rsid w:val="005C7A0E"/>
    <w:rsid w:val="005D12EB"/>
    <w:rsid w:val="005D6CF5"/>
    <w:rsid w:val="005E7119"/>
    <w:rsid w:val="005F1557"/>
    <w:rsid w:val="005F441B"/>
    <w:rsid w:val="0060329A"/>
    <w:rsid w:val="0060353A"/>
    <w:rsid w:val="00603A56"/>
    <w:rsid w:val="00604AA6"/>
    <w:rsid w:val="00605827"/>
    <w:rsid w:val="00606C0F"/>
    <w:rsid w:val="00607122"/>
    <w:rsid w:val="00611836"/>
    <w:rsid w:val="006119FF"/>
    <w:rsid w:val="00612A4D"/>
    <w:rsid w:val="00623D59"/>
    <w:rsid w:val="00625D32"/>
    <w:rsid w:val="00626702"/>
    <w:rsid w:val="00641C98"/>
    <w:rsid w:val="00646050"/>
    <w:rsid w:val="006539CB"/>
    <w:rsid w:val="00660E6A"/>
    <w:rsid w:val="0066256D"/>
    <w:rsid w:val="006634E3"/>
    <w:rsid w:val="006713CA"/>
    <w:rsid w:val="00672D73"/>
    <w:rsid w:val="006737E9"/>
    <w:rsid w:val="00674983"/>
    <w:rsid w:val="00675B6F"/>
    <w:rsid w:val="00676C5C"/>
    <w:rsid w:val="006771AD"/>
    <w:rsid w:val="006807F4"/>
    <w:rsid w:val="00685F64"/>
    <w:rsid w:val="006879D6"/>
    <w:rsid w:val="00694E1A"/>
    <w:rsid w:val="00695315"/>
    <w:rsid w:val="00695AAA"/>
    <w:rsid w:val="006967B8"/>
    <w:rsid w:val="006A13CE"/>
    <w:rsid w:val="006A61B0"/>
    <w:rsid w:val="006A71A6"/>
    <w:rsid w:val="006B40D3"/>
    <w:rsid w:val="006B4195"/>
    <w:rsid w:val="006B6804"/>
    <w:rsid w:val="006C0E62"/>
    <w:rsid w:val="006C2D97"/>
    <w:rsid w:val="006D7271"/>
    <w:rsid w:val="006E4523"/>
    <w:rsid w:val="006F2EA8"/>
    <w:rsid w:val="006F44F1"/>
    <w:rsid w:val="006F5F17"/>
    <w:rsid w:val="006F6AAA"/>
    <w:rsid w:val="00701314"/>
    <w:rsid w:val="00701F62"/>
    <w:rsid w:val="007054EB"/>
    <w:rsid w:val="007058FB"/>
    <w:rsid w:val="00707BCC"/>
    <w:rsid w:val="00707E4A"/>
    <w:rsid w:val="007107B8"/>
    <w:rsid w:val="00712582"/>
    <w:rsid w:val="00717DD7"/>
    <w:rsid w:val="00717F52"/>
    <w:rsid w:val="00723F0B"/>
    <w:rsid w:val="00725BFE"/>
    <w:rsid w:val="00726A59"/>
    <w:rsid w:val="0073147D"/>
    <w:rsid w:val="00731F20"/>
    <w:rsid w:val="007379AD"/>
    <w:rsid w:val="00740BA9"/>
    <w:rsid w:val="00742E7C"/>
    <w:rsid w:val="00744071"/>
    <w:rsid w:val="00745A05"/>
    <w:rsid w:val="00751267"/>
    <w:rsid w:val="00753E6A"/>
    <w:rsid w:val="007547CE"/>
    <w:rsid w:val="0076026C"/>
    <w:rsid w:val="00777C32"/>
    <w:rsid w:val="00777E9A"/>
    <w:rsid w:val="00777ECB"/>
    <w:rsid w:val="007820E1"/>
    <w:rsid w:val="007822B7"/>
    <w:rsid w:val="00785384"/>
    <w:rsid w:val="0078605F"/>
    <w:rsid w:val="00786E1F"/>
    <w:rsid w:val="00787BCF"/>
    <w:rsid w:val="00787C1F"/>
    <w:rsid w:val="00790E56"/>
    <w:rsid w:val="00793D83"/>
    <w:rsid w:val="007976C1"/>
    <w:rsid w:val="007A2471"/>
    <w:rsid w:val="007A28DA"/>
    <w:rsid w:val="007A2BEC"/>
    <w:rsid w:val="007A6DC7"/>
    <w:rsid w:val="007A7EA3"/>
    <w:rsid w:val="007B0AAC"/>
    <w:rsid w:val="007B258A"/>
    <w:rsid w:val="007B6A58"/>
    <w:rsid w:val="007C276A"/>
    <w:rsid w:val="007C3A76"/>
    <w:rsid w:val="007C4FBB"/>
    <w:rsid w:val="007C69F4"/>
    <w:rsid w:val="007D1613"/>
    <w:rsid w:val="007E1A2C"/>
    <w:rsid w:val="007E212A"/>
    <w:rsid w:val="007F1F36"/>
    <w:rsid w:val="007F395B"/>
    <w:rsid w:val="007F4665"/>
    <w:rsid w:val="007F64EE"/>
    <w:rsid w:val="00801F84"/>
    <w:rsid w:val="0080703C"/>
    <w:rsid w:val="00807994"/>
    <w:rsid w:val="00812545"/>
    <w:rsid w:val="00815658"/>
    <w:rsid w:val="008173DD"/>
    <w:rsid w:val="00830891"/>
    <w:rsid w:val="00833D5F"/>
    <w:rsid w:val="00834171"/>
    <w:rsid w:val="00836967"/>
    <w:rsid w:val="0083790E"/>
    <w:rsid w:val="0084390C"/>
    <w:rsid w:val="008465B4"/>
    <w:rsid w:val="00860A87"/>
    <w:rsid w:val="00860CEA"/>
    <w:rsid w:val="00866152"/>
    <w:rsid w:val="008715D4"/>
    <w:rsid w:val="008812F2"/>
    <w:rsid w:val="008816ED"/>
    <w:rsid w:val="00884856"/>
    <w:rsid w:val="00885513"/>
    <w:rsid w:val="00885AD5"/>
    <w:rsid w:val="0089062D"/>
    <w:rsid w:val="008A3107"/>
    <w:rsid w:val="008A32D4"/>
    <w:rsid w:val="008A71A6"/>
    <w:rsid w:val="008B27C1"/>
    <w:rsid w:val="008B2CC1"/>
    <w:rsid w:val="008B4FB8"/>
    <w:rsid w:val="008B60B2"/>
    <w:rsid w:val="008C4837"/>
    <w:rsid w:val="008D0687"/>
    <w:rsid w:val="008D5B18"/>
    <w:rsid w:val="008D6B8B"/>
    <w:rsid w:val="008E0936"/>
    <w:rsid w:val="008E2637"/>
    <w:rsid w:val="008E7FE1"/>
    <w:rsid w:val="008F3013"/>
    <w:rsid w:val="008F62B0"/>
    <w:rsid w:val="008F6C62"/>
    <w:rsid w:val="00900AF3"/>
    <w:rsid w:val="00900C8D"/>
    <w:rsid w:val="009011EF"/>
    <w:rsid w:val="00906F8B"/>
    <w:rsid w:val="0090731E"/>
    <w:rsid w:val="00910C28"/>
    <w:rsid w:val="00911EAF"/>
    <w:rsid w:val="00914FF9"/>
    <w:rsid w:val="00916EE2"/>
    <w:rsid w:val="009201B9"/>
    <w:rsid w:val="00921AB6"/>
    <w:rsid w:val="00921E20"/>
    <w:rsid w:val="00921F5E"/>
    <w:rsid w:val="00927BE0"/>
    <w:rsid w:val="00931C7D"/>
    <w:rsid w:val="00935965"/>
    <w:rsid w:val="00936469"/>
    <w:rsid w:val="00940CC2"/>
    <w:rsid w:val="00945C90"/>
    <w:rsid w:val="0094724E"/>
    <w:rsid w:val="009519F3"/>
    <w:rsid w:val="009578D2"/>
    <w:rsid w:val="00962EF4"/>
    <w:rsid w:val="0096646F"/>
    <w:rsid w:val="00966A22"/>
    <w:rsid w:val="0096722F"/>
    <w:rsid w:val="00970C30"/>
    <w:rsid w:val="009727AB"/>
    <w:rsid w:val="00973183"/>
    <w:rsid w:val="009755D4"/>
    <w:rsid w:val="00980448"/>
    <w:rsid w:val="00980843"/>
    <w:rsid w:val="009823DB"/>
    <w:rsid w:val="0098515E"/>
    <w:rsid w:val="00985AAB"/>
    <w:rsid w:val="009868EF"/>
    <w:rsid w:val="00986937"/>
    <w:rsid w:val="009A0818"/>
    <w:rsid w:val="009A1292"/>
    <w:rsid w:val="009A2CEA"/>
    <w:rsid w:val="009A5AD2"/>
    <w:rsid w:val="009B307C"/>
    <w:rsid w:val="009B4EDD"/>
    <w:rsid w:val="009B6933"/>
    <w:rsid w:val="009B71E0"/>
    <w:rsid w:val="009D25F4"/>
    <w:rsid w:val="009D3CBF"/>
    <w:rsid w:val="009D454B"/>
    <w:rsid w:val="009D6982"/>
    <w:rsid w:val="009E2791"/>
    <w:rsid w:val="009E3F6F"/>
    <w:rsid w:val="009E45CB"/>
    <w:rsid w:val="009E56D6"/>
    <w:rsid w:val="009E6E09"/>
    <w:rsid w:val="009F4941"/>
    <w:rsid w:val="009F499F"/>
    <w:rsid w:val="009F5C00"/>
    <w:rsid w:val="009F68B2"/>
    <w:rsid w:val="009F6D61"/>
    <w:rsid w:val="009F7228"/>
    <w:rsid w:val="00A003E6"/>
    <w:rsid w:val="00A02A52"/>
    <w:rsid w:val="00A045B1"/>
    <w:rsid w:val="00A10D78"/>
    <w:rsid w:val="00A13751"/>
    <w:rsid w:val="00A14E55"/>
    <w:rsid w:val="00A16ED5"/>
    <w:rsid w:val="00A24F52"/>
    <w:rsid w:val="00A32045"/>
    <w:rsid w:val="00A42DAF"/>
    <w:rsid w:val="00A44B47"/>
    <w:rsid w:val="00A45BD8"/>
    <w:rsid w:val="00A46C8A"/>
    <w:rsid w:val="00A5309A"/>
    <w:rsid w:val="00A55DF7"/>
    <w:rsid w:val="00A6155E"/>
    <w:rsid w:val="00A64263"/>
    <w:rsid w:val="00A64C05"/>
    <w:rsid w:val="00A65835"/>
    <w:rsid w:val="00A71929"/>
    <w:rsid w:val="00A72149"/>
    <w:rsid w:val="00A724A4"/>
    <w:rsid w:val="00A736D6"/>
    <w:rsid w:val="00A77E54"/>
    <w:rsid w:val="00A80095"/>
    <w:rsid w:val="00A85B8E"/>
    <w:rsid w:val="00A91546"/>
    <w:rsid w:val="00A93E91"/>
    <w:rsid w:val="00A968EE"/>
    <w:rsid w:val="00AA4BA1"/>
    <w:rsid w:val="00AA6349"/>
    <w:rsid w:val="00AA7A06"/>
    <w:rsid w:val="00AA7FED"/>
    <w:rsid w:val="00AB216D"/>
    <w:rsid w:val="00AB2B04"/>
    <w:rsid w:val="00AB6632"/>
    <w:rsid w:val="00AC205C"/>
    <w:rsid w:val="00AC281B"/>
    <w:rsid w:val="00AD6ECB"/>
    <w:rsid w:val="00AE2C78"/>
    <w:rsid w:val="00AE6F9C"/>
    <w:rsid w:val="00AF1CF5"/>
    <w:rsid w:val="00AF2550"/>
    <w:rsid w:val="00AF2D2E"/>
    <w:rsid w:val="00AF327C"/>
    <w:rsid w:val="00AF6F41"/>
    <w:rsid w:val="00B05A69"/>
    <w:rsid w:val="00B0642F"/>
    <w:rsid w:val="00B133F3"/>
    <w:rsid w:val="00B20EC4"/>
    <w:rsid w:val="00B23003"/>
    <w:rsid w:val="00B23822"/>
    <w:rsid w:val="00B359F4"/>
    <w:rsid w:val="00B37B22"/>
    <w:rsid w:val="00B37E5B"/>
    <w:rsid w:val="00B43A24"/>
    <w:rsid w:val="00B464D3"/>
    <w:rsid w:val="00B50BD8"/>
    <w:rsid w:val="00B50E1D"/>
    <w:rsid w:val="00B56C69"/>
    <w:rsid w:val="00B6378E"/>
    <w:rsid w:val="00B63B24"/>
    <w:rsid w:val="00B65707"/>
    <w:rsid w:val="00B66F3D"/>
    <w:rsid w:val="00B736ED"/>
    <w:rsid w:val="00B755A5"/>
    <w:rsid w:val="00B822AD"/>
    <w:rsid w:val="00B824AD"/>
    <w:rsid w:val="00B82FDF"/>
    <w:rsid w:val="00B83120"/>
    <w:rsid w:val="00B9188F"/>
    <w:rsid w:val="00B91CA6"/>
    <w:rsid w:val="00B9625F"/>
    <w:rsid w:val="00B9734B"/>
    <w:rsid w:val="00B97833"/>
    <w:rsid w:val="00BA17A5"/>
    <w:rsid w:val="00BA3B42"/>
    <w:rsid w:val="00BA3FC7"/>
    <w:rsid w:val="00BB3484"/>
    <w:rsid w:val="00BB3B0B"/>
    <w:rsid w:val="00BB5442"/>
    <w:rsid w:val="00BB58AC"/>
    <w:rsid w:val="00BC0C2E"/>
    <w:rsid w:val="00BC150D"/>
    <w:rsid w:val="00BC5460"/>
    <w:rsid w:val="00BC5570"/>
    <w:rsid w:val="00BC7FD8"/>
    <w:rsid w:val="00BD087C"/>
    <w:rsid w:val="00BD2C4E"/>
    <w:rsid w:val="00BD2F0E"/>
    <w:rsid w:val="00BE3080"/>
    <w:rsid w:val="00BE3802"/>
    <w:rsid w:val="00BF1208"/>
    <w:rsid w:val="00BF1DA6"/>
    <w:rsid w:val="00BF42C3"/>
    <w:rsid w:val="00C032E5"/>
    <w:rsid w:val="00C06A9B"/>
    <w:rsid w:val="00C073AB"/>
    <w:rsid w:val="00C076E3"/>
    <w:rsid w:val="00C11BFE"/>
    <w:rsid w:val="00C169FD"/>
    <w:rsid w:val="00C20A2B"/>
    <w:rsid w:val="00C2410C"/>
    <w:rsid w:val="00C24568"/>
    <w:rsid w:val="00C250DB"/>
    <w:rsid w:val="00C31C9F"/>
    <w:rsid w:val="00C34511"/>
    <w:rsid w:val="00C4723A"/>
    <w:rsid w:val="00C47B55"/>
    <w:rsid w:val="00C501E9"/>
    <w:rsid w:val="00C5160E"/>
    <w:rsid w:val="00C53E79"/>
    <w:rsid w:val="00C553F8"/>
    <w:rsid w:val="00C55898"/>
    <w:rsid w:val="00C559A3"/>
    <w:rsid w:val="00C60346"/>
    <w:rsid w:val="00C62EA5"/>
    <w:rsid w:val="00C63A77"/>
    <w:rsid w:val="00C65B88"/>
    <w:rsid w:val="00C67829"/>
    <w:rsid w:val="00C729B6"/>
    <w:rsid w:val="00C73B11"/>
    <w:rsid w:val="00C74E0D"/>
    <w:rsid w:val="00C75F23"/>
    <w:rsid w:val="00C86F1C"/>
    <w:rsid w:val="00C90D04"/>
    <w:rsid w:val="00C91CD1"/>
    <w:rsid w:val="00C94629"/>
    <w:rsid w:val="00C94B42"/>
    <w:rsid w:val="00CA196A"/>
    <w:rsid w:val="00CB7815"/>
    <w:rsid w:val="00CC1E8E"/>
    <w:rsid w:val="00CC4DF2"/>
    <w:rsid w:val="00CC53F6"/>
    <w:rsid w:val="00CD076B"/>
    <w:rsid w:val="00CD51B2"/>
    <w:rsid w:val="00CD5517"/>
    <w:rsid w:val="00CD7798"/>
    <w:rsid w:val="00CE19BD"/>
    <w:rsid w:val="00CF220E"/>
    <w:rsid w:val="00CF3FFC"/>
    <w:rsid w:val="00CF7EE8"/>
    <w:rsid w:val="00D01483"/>
    <w:rsid w:val="00D128B0"/>
    <w:rsid w:val="00D13C08"/>
    <w:rsid w:val="00D16F2B"/>
    <w:rsid w:val="00D25B59"/>
    <w:rsid w:val="00D2711C"/>
    <w:rsid w:val="00D27E83"/>
    <w:rsid w:val="00D3178C"/>
    <w:rsid w:val="00D43852"/>
    <w:rsid w:val="00D44081"/>
    <w:rsid w:val="00D446E3"/>
    <w:rsid w:val="00D45252"/>
    <w:rsid w:val="00D4633D"/>
    <w:rsid w:val="00D50E00"/>
    <w:rsid w:val="00D55D27"/>
    <w:rsid w:val="00D56377"/>
    <w:rsid w:val="00D56461"/>
    <w:rsid w:val="00D611C1"/>
    <w:rsid w:val="00D71B4D"/>
    <w:rsid w:val="00D751D1"/>
    <w:rsid w:val="00D75D3A"/>
    <w:rsid w:val="00D763CE"/>
    <w:rsid w:val="00D816C0"/>
    <w:rsid w:val="00D81CC9"/>
    <w:rsid w:val="00D84C91"/>
    <w:rsid w:val="00D938DB"/>
    <w:rsid w:val="00D93D55"/>
    <w:rsid w:val="00DA0F7A"/>
    <w:rsid w:val="00DA4377"/>
    <w:rsid w:val="00DA61A4"/>
    <w:rsid w:val="00DB1D4B"/>
    <w:rsid w:val="00DB300D"/>
    <w:rsid w:val="00DB6E49"/>
    <w:rsid w:val="00DC21C7"/>
    <w:rsid w:val="00DC4A15"/>
    <w:rsid w:val="00DC7A54"/>
    <w:rsid w:val="00DD2432"/>
    <w:rsid w:val="00DD40EE"/>
    <w:rsid w:val="00DD44EA"/>
    <w:rsid w:val="00DE3260"/>
    <w:rsid w:val="00DE3FA4"/>
    <w:rsid w:val="00DE53B8"/>
    <w:rsid w:val="00DE5F13"/>
    <w:rsid w:val="00DF4C0B"/>
    <w:rsid w:val="00E02119"/>
    <w:rsid w:val="00E032B9"/>
    <w:rsid w:val="00E10A2C"/>
    <w:rsid w:val="00E170C2"/>
    <w:rsid w:val="00E179A0"/>
    <w:rsid w:val="00E2061F"/>
    <w:rsid w:val="00E24F42"/>
    <w:rsid w:val="00E31F13"/>
    <w:rsid w:val="00E33205"/>
    <w:rsid w:val="00E335FE"/>
    <w:rsid w:val="00E349E9"/>
    <w:rsid w:val="00E4015D"/>
    <w:rsid w:val="00E5021F"/>
    <w:rsid w:val="00E51F94"/>
    <w:rsid w:val="00E53A2E"/>
    <w:rsid w:val="00E62398"/>
    <w:rsid w:val="00E6296D"/>
    <w:rsid w:val="00E64F84"/>
    <w:rsid w:val="00E6590C"/>
    <w:rsid w:val="00E65DA7"/>
    <w:rsid w:val="00E66FE7"/>
    <w:rsid w:val="00E71871"/>
    <w:rsid w:val="00E72606"/>
    <w:rsid w:val="00E94784"/>
    <w:rsid w:val="00E95930"/>
    <w:rsid w:val="00E97565"/>
    <w:rsid w:val="00EA7319"/>
    <w:rsid w:val="00EB0705"/>
    <w:rsid w:val="00EB1DE7"/>
    <w:rsid w:val="00EB2F13"/>
    <w:rsid w:val="00EB4462"/>
    <w:rsid w:val="00EB47D5"/>
    <w:rsid w:val="00EC17C8"/>
    <w:rsid w:val="00EC4E49"/>
    <w:rsid w:val="00EC502B"/>
    <w:rsid w:val="00ED1AEC"/>
    <w:rsid w:val="00ED22D0"/>
    <w:rsid w:val="00ED77FB"/>
    <w:rsid w:val="00EE438E"/>
    <w:rsid w:val="00EE5943"/>
    <w:rsid w:val="00EE6EDE"/>
    <w:rsid w:val="00EF1DBD"/>
    <w:rsid w:val="00EF53BD"/>
    <w:rsid w:val="00EF56E6"/>
    <w:rsid w:val="00F021A6"/>
    <w:rsid w:val="00F069D5"/>
    <w:rsid w:val="00F07981"/>
    <w:rsid w:val="00F16050"/>
    <w:rsid w:val="00F16621"/>
    <w:rsid w:val="00F23B4F"/>
    <w:rsid w:val="00F251CD"/>
    <w:rsid w:val="00F309AD"/>
    <w:rsid w:val="00F31F03"/>
    <w:rsid w:val="00F32B1E"/>
    <w:rsid w:val="00F33D34"/>
    <w:rsid w:val="00F35338"/>
    <w:rsid w:val="00F36B57"/>
    <w:rsid w:val="00F42694"/>
    <w:rsid w:val="00F43092"/>
    <w:rsid w:val="00F47E56"/>
    <w:rsid w:val="00F50DD0"/>
    <w:rsid w:val="00F61D22"/>
    <w:rsid w:val="00F621DE"/>
    <w:rsid w:val="00F6421F"/>
    <w:rsid w:val="00F66152"/>
    <w:rsid w:val="00F75C57"/>
    <w:rsid w:val="00F77AD4"/>
    <w:rsid w:val="00F80B1F"/>
    <w:rsid w:val="00F8275B"/>
    <w:rsid w:val="00F8670A"/>
    <w:rsid w:val="00F90F5F"/>
    <w:rsid w:val="00F919C8"/>
    <w:rsid w:val="00F9251B"/>
    <w:rsid w:val="00FA222D"/>
    <w:rsid w:val="00FB2053"/>
    <w:rsid w:val="00FB63BE"/>
    <w:rsid w:val="00FB685C"/>
    <w:rsid w:val="00FC0814"/>
    <w:rsid w:val="00FC1F3C"/>
    <w:rsid w:val="00FC3802"/>
    <w:rsid w:val="00FC410E"/>
    <w:rsid w:val="00FC41D2"/>
    <w:rsid w:val="00FD2A62"/>
    <w:rsid w:val="00FD3C38"/>
    <w:rsid w:val="00FD44A7"/>
    <w:rsid w:val="00FD740B"/>
    <w:rsid w:val="00FD7CD8"/>
    <w:rsid w:val="00FE3925"/>
    <w:rsid w:val="00FE61F4"/>
    <w:rsid w:val="00FF18AE"/>
    <w:rsid w:val="00FF206E"/>
    <w:rsid w:val="00FF70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styleId="FootnoteReference">
    <w:name w:val="footnote reference"/>
    <w:uiPriority w:val="99"/>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uiPriority w:val="34"/>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SignatureChar">
    <w:name w:val="Signature Char"/>
    <w:basedOn w:val="DefaultParagraphFont"/>
    <w:link w:val="Signature"/>
    <w:rsid w:val="004A032C"/>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styleId="FootnoteReference">
    <w:name w:val="footnote reference"/>
    <w:uiPriority w:val="99"/>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uiPriority w:val="34"/>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SignatureChar">
    <w:name w:val="Signature Char"/>
    <w:basedOn w:val="DefaultParagraphFont"/>
    <w:link w:val="Signature"/>
    <w:rsid w:val="004A032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govbody/fr/wo_cc_70/wo_cc_70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F44F7-802B-4EBE-899F-F29FAC82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3226</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21766</CharactersWithSpaces>
  <SharedDoc>false</SharedDoc>
  <HLinks>
    <vt:vector size="6" baseType="variant">
      <vt:variant>
        <vt:i4>7864324</vt:i4>
      </vt:variant>
      <vt:variant>
        <vt:i4>0</vt:i4>
      </vt:variant>
      <vt:variant>
        <vt:i4>0</vt:i4>
      </vt:variant>
      <vt:variant>
        <vt:i4>5</vt:i4>
      </vt:variant>
      <vt:variant>
        <vt:lpwstr>http://www.wipo.int/edocs/mdocs/govbody/en/wo_cc_70/wo_cc_70_5.pdf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JCH/ko</cp:keywords>
  <cp:lastModifiedBy>HÄFLIGER Patience</cp:lastModifiedBy>
  <cp:revision>19</cp:revision>
  <cp:lastPrinted>2015-09-09T12:04:00Z</cp:lastPrinted>
  <dcterms:created xsi:type="dcterms:W3CDTF">2015-09-08T09:09:00Z</dcterms:created>
  <dcterms:modified xsi:type="dcterms:W3CDTF">2015-09-09T12:04:00Z</dcterms:modified>
</cp:coreProperties>
</file>