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2FDB" w:rsidRPr="00022FDB" w:rsidTr="009E31D7">
        <w:trPr>
          <w:trHeight w:val="2410"/>
        </w:trPr>
        <w:tc>
          <w:tcPr>
            <w:tcW w:w="4513" w:type="dxa"/>
            <w:tcBorders>
              <w:bottom w:val="single" w:sz="4" w:space="0" w:color="auto"/>
            </w:tcBorders>
            <w:tcMar>
              <w:bottom w:w="170" w:type="dxa"/>
            </w:tcMar>
          </w:tcPr>
          <w:p w:rsidR="00E4205C" w:rsidRPr="00022FDB" w:rsidRDefault="00E4205C" w:rsidP="00632833"/>
        </w:tc>
        <w:tc>
          <w:tcPr>
            <w:tcW w:w="4337" w:type="dxa"/>
            <w:tcBorders>
              <w:bottom w:val="single" w:sz="4" w:space="0" w:color="auto"/>
            </w:tcBorders>
            <w:tcMar>
              <w:left w:w="0" w:type="dxa"/>
              <w:right w:w="0" w:type="dxa"/>
            </w:tcMar>
          </w:tcPr>
          <w:p w:rsidR="00E4205C" w:rsidRPr="00022FDB" w:rsidRDefault="00E4205C" w:rsidP="00632833">
            <w:r w:rsidRPr="00022FDB">
              <w:rPr>
                <w:noProof/>
                <w:lang w:eastAsia="en-US"/>
              </w:rPr>
              <w:drawing>
                <wp:inline distT="0" distB="0" distL="0" distR="0" wp14:anchorId="5979E281" wp14:editId="33F34C4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4205C" w:rsidRPr="00022FDB" w:rsidRDefault="00E4205C" w:rsidP="00632833">
            <w:pPr>
              <w:jc w:val="right"/>
            </w:pPr>
            <w:r w:rsidRPr="00022FDB">
              <w:rPr>
                <w:b/>
                <w:sz w:val="40"/>
                <w:szCs w:val="40"/>
              </w:rPr>
              <w:t>F</w:t>
            </w:r>
          </w:p>
        </w:tc>
      </w:tr>
      <w:tr w:rsidR="00022FDB" w:rsidRPr="00022FDB" w:rsidTr="00632833">
        <w:trPr>
          <w:trHeight w:hRule="exact" w:val="340"/>
        </w:trPr>
        <w:tc>
          <w:tcPr>
            <w:tcW w:w="9356" w:type="dxa"/>
            <w:gridSpan w:val="3"/>
            <w:tcBorders>
              <w:top w:val="single" w:sz="4" w:space="0" w:color="auto"/>
            </w:tcBorders>
            <w:tcMar>
              <w:top w:w="170" w:type="dxa"/>
              <w:left w:w="0" w:type="dxa"/>
              <w:right w:w="0" w:type="dxa"/>
            </w:tcMar>
            <w:vAlign w:val="bottom"/>
          </w:tcPr>
          <w:p w:rsidR="00E4205C" w:rsidRPr="00022FDB" w:rsidRDefault="00E4205C" w:rsidP="00632833">
            <w:pPr>
              <w:jc w:val="right"/>
              <w:rPr>
                <w:rFonts w:ascii="Arial Black" w:hAnsi="Arial Black"/>
                <w:caps/>
                <w:sz w:val="15"/>
              </w:rPr>
            </w:pPr>
            <w:r w:rsidRPr="00022FDB">
              <w:rPr>
                <w:rFonts w:ascii="Arial Black" w:hAnsi="Arial Black"/>
                <w:caps/>
                <w:sz w:val="15"/>
              </w:rPr>
              <w:t>wo/ga/47/</w:t>
            </w:r>
            <w:bookmarkStart w:id="0" w:name="Code"/>
            <w:bookmarkEnd w:id="0"/>
            <w:r w:rsidRPr="00022FDB">
              <w:rPr>
                <w:rFonts w:ascii="Arial Black" w:hAnsi="Arial Black"/>
                <w:caps/>
                <w:sz w:val="15"/>
              </w:rPr>
              <w:t>14</w:t>
            </w:r>
          </w:p>
        </w:tc>
      </w:tr>
      <w:tr w:rsidR="00022FDB" w:rsidRPr="00022FDB" w:rsidTr="00632833">
        <w:trPr>
          <w:trHeight w:hRule="exact" w:val="170"/>
        </w:trPr>
        <w:tc>
          <w:tcPr>
            <w:tcW w:w="9356" w:type="dxa"/>
            <w:gridSpan w:val="3"/>
            <w:noWrap/>
            <w:tcMar>
              <w:left w:w="0" w:type="dxa"/>
              <w:right w:w="0" w:type="dxa"/>
            </w:tcMar>
            <w:vAlign w:val="bottom"/>
          </w:tcPr>
          <w:p w:rsidR="00E4205C" w:rsidRPr="00022FDB" w:rsidRDefault="00E4205C" w:rsidP="00632833">
            <w:pPr>
              <w:jc w:val="right"/>
              <w:rPr>
                <w:rFonts w:ascii="Arial Black" w:hAnsi="Arial Black"/>
                <w:caps/>
                <w:sz w:val="15"/>
              </w:rPr>
            </w:pPr>
            <w:r w:rsidRPr="00022FDB">
              <w:rPr>
                <w:rFonts w:ascii="Arial Black" w:hAnsi="Arial Black"/>
                <w:caps/>
                <w:sz w:val="15"/>
              </w:rPr>
              <w:t xml:space="preserve">ORIGINAL : </w:t>
            </w:r>
            <w:bookmarkStart w:id="1" w:name="Original"/>
            <w:bookmarkEnd w:id="1"/>
            <w:r w:rsidRPr="00022FDB">
              <w:rPr>
                <w:rFonts w:ascii="Arial Black" w:hAnsi="Arial Black"/>
                <w:caps/>
                <w:sz w:val="15"/>
              </w:rPr>
              <w:t>anglais</w:t>
            </w:r>
          </w:p>
        </w:tc>
      </w:tr>
      <w:tr w:rsidR="00022FDB" w:rsidRPr="00022FDB" w:rsidTr="00632833">
        <w:trPr>
          <w:trHeight w:hRule="exact" w:val="198"/>
        </w:trPr>
        <w:tc>
          <w:tcPr>
            <w:tcW w:w="9356" w:type="dxa"/>
            <w:gridSpan w:val="3"/>
            <w:tcMar>
              <w:left w:w="0" w:type="dxa"/>
              <w:right w:w="0" w:type="dxa"/>
            </w:tcMar>
            <w:vAlign w:val="bottom"/>
          </w:tcPr>
          <w:p w:rsidR="00E4205C" w:rsidRPr="00022FDB" w:rsidRDefault="00E4205C" w:rsidP="00632833">
            <w:pPr>
              <w:jc w:val="right"/>
              <w:rPr>
                <w:rFonts w:ascii="Arial Black" w:hAnsi="Arial Black"/>
                <w:caps/>
                <w:sz w:val="15"/>
              </w:rPr>
            </w:pPr>
            <w:r w:rsidRPr="00022FDB">
              <w:rPr>
                <w:rFonts w:ascii="Arial Black" w:hAnsi="Arial Black"/>
                <w:caps/>
                <w:sz w:val="15"/>
              </w:rPr>
              <w:t xml:space="preserve">DATE : </w:t>
            </w:r>
            <w:bookmarkStart w:id="2" w:name="Date"/>
            <w:bookmarkEnd w:id="2"/>
            <w:r w:rsidRPr="00022FDB">
              <w:rPr>
                <w:rFonts w:ascii="Arial Black" w:hAnsi="Arial Black"/>
                <w:caps/>
                <w:sz w:val="15"/>
              </w:rPr>
              <w:t>7 juillet 2015</w:t>
            </w:r>
          </w:p>
        </w:tc>
      </w:tr>
    </w:tbl>
    <w:p w:rsidR="00E4205C" w:rsidRPr="00022FDB" w:rsidRDefault="00E4205C" w:rsidP="00E4205C"/>
    <w:p w:rsidR="00E4205C" w:rsidRPr="00022FDB" w:rsidRDefault="00E4205C" w:rsidP="00E4205C"/>
    <w:p w:rsidR="00E4205C" w:rsidRPr="00022FDB" w:rsidRDefault="00E4205C" w:rsidP="00E4205C"/>
    <w:p w:rsidR="00E4205C" w:rsidRPr="00022FDB" w:rsidRDefault="00E4205C" w:rsidP="00E4205C"/>
    <w:p w:rsidR="00E4205C" w:rsidRPr="00022FDB" w:rsidRDefault="00E4205C" w:rsidP="00E4205C"/>
    <w:p w:rsidR="00E4205C" w:rsidRPr="00022FDB" w:rsidRDefault="00E4205C" w:rsidP="00E4205C">
      <w:r w:rsidRPr="00022FDB">
        <w:rPr>
          <w:b/>
          <w:sz w:val="28"/>
          <w:szCs w:val="28"/>
        </w:rPr>
        <w:t xml:space="preserve">Assemblée </w:t>
      </w:r>
      <w:proofErr w:type="spellStart"/>
      <w:r w:rsidRPr="00022FDB">
        <w:rPr>
          <w:b/>
          <w:sz w:val="28"/>
          <w:szCs w:val="28"/>
        </w:rPr>
        <w:t>générale</w:t>
      </w:r>
      <w:proofErr w:type="spellEnd"/>
      <w:r w:rsidRPr="00022FDB">
        <w:rPr>
          <w:b/>
          <w:sz w:val="28"/>
          <w:szCs w:val="28"/>
        </w:rPr>
        <w:t xml:space="preserve"> de </w:t>
      </w:r>
      <w:proofErr w:type="spellStart"/>
      <w:r w:rsidR="00D81604">
        <w:rPr>
          <w:b/>
          <w:sz w:val="28"/>
          <w:szCs w:val="28"/>
        </w:rPr>
        <w:t>l</w:t>
      </w:r>
      <w:r w:rsidR="007E6414">
        <w:rPr>
          <w:b/>
          <w:sz w:val="28"/>
          <w:szCs w:val="28"/>
        </w:rPr>
        <w:t>’</w:t>
      </w:r>
      <w:r w:rsidRPr="00022FDB">
        <w:rPr>
          <w:b/>
          <w:sz w:val="28"/>
          <w:szCs w:val="28"/>
        </w:rPr>
        <w:t>OMPI</w:t>
      </w:r>
      <w:proofErr w:type="spellEnd"/>
    </w:p>
    <w:p w:rsidR="00E4205C" w:rsidRPr="00022FDB" w:rsidRDefault="00E4205C" w:rsidP="00E4205C"/>
    <w:p w:rsidR="00E4205C" w:rsidRPr="00022FDB" w:rsidRDefault="00E4205C" w:rsidP="00E4205C"/>
    <w:p w:rsidR="00E4205C" w:rsidRPr="009E31D7" w:rsidRDefault="00E4205C" w:rsidP="00E4205C">
      <w:pPr>
        <w:rPr>
          <w:b/>
          <w:sz w:val="24"/>
          <w:szCs w:val="24"/>
          <w:lang w:val="fr-CH"/>
        </w:rPr>
      </w:pPr>
      <w:r w:rsidRPr="009E31D7">
        <w:rPr>
          <w:b/>
          <w:sz w:val="24"/>
          <w:szCs w:val="24"/>
          <w:lang w:val="fr-CH"/>
        </w:rPr>
        <w:t>Quarante</w:t>
      </w:r>
      <w:r w:rsidR="00687BC3" w:rsidRPr="009E31D7">
        <w:rPr>
          <w:b/>
          <w:sz w:val="24"/>
          <w:szCs w:val="24"/>
          <w:lang w:val="fr-CH"/>
        </w:rPr>
        <w:t>-</w:t>
      </w:r>
      <w:r w:rsidRPr="009E31D7">
        <w:rPr>
          <w:b/>
          <w:sz w:val="24"/>
          <w:szCs w:val="24"/>
          <w:lang w:val="fr-CH"/>
        </w:rPr>
        <w:t>septième</w:t>
      </w:r>
      <w:r w:rsidR="0035343A" w:rsidRPr="009E31D7">
        <w:rPr>
          <w:b/>
          <w:sz w:val="24"/>
          <w:szCs w:val="24"/>
          <w:lang w:val="fr-CH"/>
        </w:rPr>
        <w:t> </w:t>
      </w:r>
      <w:r w:rsidRPr="009E31D7">
        <w:rPr>
          <w:b/>
          <w:sz w:val="24"/>
          <w:szCs w:val="24"/>
          <w:lang w:val="fr-CH"/>
        </w:rPr>
        <w:t>session (22</w:t>
      </w:r>
      <w:r w:rsidRPr="009E31D7">
        <w:rPr>
          <w:b/>
          <w:sz w:val="24"/>
          <w:szCs w:val="24"/>
          <w:vertAlign w:val="superscript"/>
          <w:lang w:val="fr-CH"/>
        </w:rPr>
        <w:t>e</w:t>
      </w:r>
      <w:r w:rsidRPr="009E31D7">
        <w:rPr>
          <w:b/>
          <w:sz w:val="24"/>
          <w:szCs w:val="24"/>
          <w:lang w:val="fr-CH"/>
        </w:rPr>
        <w:t xml:space="preserve"> session ordinaire)</w:t>
      </w:r>
    </w:p>
    <w:p w:rsidR="00E4205C" w:rsidRPr="009E31D7" w:rsidRDefault="00E4205C" w:rsidP="00E4205C">
      <w:pPr>
        <w:rPr>
          <w:b/>
          <w:sz w:val="24"/>
          <w:szCs w:val="24"/>
          <w:lang w:val="fr-CH"/>
        </w:rPr>
      </w:pPr>
      <w:r w:rsidRPr="009E31D7">
        <w:rPr>
          <w:b/>
          <w:sz w:val="24"/>
          <w:szCs w:val="24"/>
          <w:lang w:val="fr-CH"/>
        </w:rPr>
        <w:t>Genève, 5 – 1</w:t>
      </w:r>
      <w:r w:rsidR="007E6414" w:rsidRPr="009E31D7">
        <w:rPr>
          <w:b/>
          <w:sz w:val="24"/>
          <w:szCs w:val="24"/>
          <w:lang w:val="fr-CH"/>
        </w:rPr>
        <w:t>4 octobre 20</w:t>
      </w:r>
      <w:r w:rsidRPr="009E31D7">
        <w:rPr>
          <w:b/>
          <w:sz w:val="24"/>
          <w:szCs w:val="24"/>
          <w:lang w:val="fr-CH"/>
        </w:rPr>
        <w:t>15</w:t>
      </w:r>
    </w:p>
    <w:p w:rsidR="00E4205C" w:rsidRPr="009E31D7" w:rsidRDefault="00E4205C" w:rsidP="00E4205C">
      <w:pPr>
        <w:rPr>
          <w:lang w:val="fr-CH"/>
        </w:rPr>
      </w:pPr>
    </w:p>
    <w:p w:rsidR="00E4205C" w:rsidRPr="009E31D7" w:rsidRDefault="00E4205C" w:rsidP="00E4205C">
      <w:pPr>
        <w:rPr>
          <w:lang w:val="fr-CH"/>
        </w:rPr>
      </w:pPr>
    </w:p>
    <w:p w:rsidR="00E4205C" w:rsidRPr="009E31D7" w:rsidRDefault="00E4205C" w:rsidP="00E4205C">
      <w:pPr>
        <w:rPr>
          <w:lang w:val="fr-CH"/>
        </w:rPr>
      </w:pPr>
    </w:p>
    <w:p w:rsidR="0024545E" w:rsidRPr="00022FDB" w:rsidRDefault="00302D16" w:rsidP="00302D16">
      <w:pPr>
        <w:rPr>
          <w:caps/>
          <w:sz w:val="24"/>
          <w:lang w:val="fr-FR"/>
        </w:rPr>
      </w:pPr>
      <w:r w:rsidRPr="00022FDB">
        <w:rPr>
          <w:caps/>
          <w:sz w:val="24"/>
          <w:lang w:val="fr-FR"/>
        </w:rPr>
        <w:t>CENTRE D</w:t>
      </w:r>
      <w:r w:rsidR="007E6414">
        <w:rPr>
          <w:caps/>
          <w:sz w:val="24"/>
          <w:lang w:val="fr-FR"/>
        </w:rPr>
        <w:t>’</w:t>
      </w:r>
      <w:r w:rsidRPr="00022FDB">
        <w:rPr>
          <w:caps/>
          <w:sz w:val="24"/>
          <w:lang w:val="fr-FR"/>
        </w:rPr>
        <w:t xml:space="preserve">ARBITRAGE ET DE </w:t>
      </w:r>
      <w:r w:rsidR="0024545E" w:rsidRPr="00022FDB">
        <w:rPr>
          <w:caps/>
          <w:sz w:val="24"/>
          <w:lang w:val="fr-FR"/>
        </w:rPr>
        <w:t>MÉDIATION DE L</w:t>
      </w:r>
      <w:r w:rsidR="007E6414">
        <w:rPr>
          <w:caps/>
          <w:sz w:val="24"/>
          <w:lang w:val="fr-FR"/>
        </w:rPr>
        <w:t>’</w:t>
      </w:r>
      <w:r w:rsidR="0024545E" w:rsidRPr="00022FDB">
        <w:rPr>
          <w:caps/>
          <w:sz w:val="24"/>
          <w:lang w:val="fr-FR"/>
        </w:rPr>
        <w:t xml:space="preserve">OMPI, </w:t>
      </w:r>
      <w:r w:rsidR="007E6414">
        <w:rPr>
          <w:caps/>
          <w:sz w:val="24"/>
          <w:lang w:val="fr-FR"/>
        </w:rPr>
        <w:t>Y COMPRIS</w:t>
      </w:r>
      <w:r w:rsidRPr="00022FDB">
        <w:rPr>
          <w:caps/>
          <w:sz w:val="24"/>
          <w:lang w:val="fr-FR"/>
        </w:rPr>
        <w:t xml:space="preserve"> LES NOMS DE DOMAINE</w:t>
      </w:r>
    </w:p>
    <w:p w:rsidR="0024545E" w:rsidRPr="00022FDB" w:rsidRDefault="0024545E" w:rsidP="008B2CC1">
      <w:pPr>
        <w:rPr>
          <w:lang w:val="fr-FR"/>
        </w:rPr>
      </w:pPr>
    </w:p>
    <w:p w:rsidR="0024545E" w:rsidRPr="00022FDB" w:rsidRDefault="00302D16" w:rsidP="00302D16">
      <w:pPr>
        <w:rPr>
          <w:i/>
          <w:lang w:val="fr-FR"/>
        </w:rPr>
      </w:pPr>
      <w:bookmarkStart w:id="3" w:name="Prepared"/>
      <w:bookmarkEnd w:id="3"/>
      <w:r w:rsidRPr="00022FDB">
        <w:rPr>
          <w:i/>
          <w:lang w:val="fr-FR"/>
        </w:rPr>
        <w:t>Document établi par le Secrétariat</w:t>
      </w:r>
    </w:p>
    <w:p w:rsidR="0024545E" w:rsidRPr="00022FDB" w:rsidRDefault="0024545E">
      <w:pPr>
        <w:rPr>
          <w:lang w:val="fr-FR"/>
        </w:rPr>
      </w:pPr>
    </w:p>
    <w:p w:rsidR="0024545E" w:rsidRPr="00022FDB" w:rsidRDefault="0024545E">
      <w:pPr>
        <w:rPr>
          <w:lang w:val="fr-FR"/>
        </w:rPr>
      </w:pPr>
    </w:p>
    <w:p w:rsidR="0024545E" w:rsidRPr="00022FDB" w:rsidRDefault="0024545E">
      <w:pPr>
        <w:rPr>
          <w:lang w:val="fr-FR"/>
        </w:rPr>
      </w:pPr>
    </w:p>
    <w:p w:rsidR="0024545E" w:rsidRPr="00022FDB" w:rsidRDefault="0024545E">
      <w:pPr>
        <w:rPr>
          <w:lang w:val="fr-FR"/>
        </w:rPr>
      </w:pPr>
    </w:p>
    <w:p w:rsidR="0024545E" w:rsidRPr="00022FDB" w:rsidRDefault="0024545E">
      <w:pPr>
        <w:rPr>
          <w:lang w:val="fr-FR"/>
        </w:rPr>
      </w:pPr>
    </w:p>
    <w:p w:rsidR="007E6414" w:rsidRDefault="006D7FBE" w:rsidP="00022FDB">
      <w:pPr>
        <w:pStyle w:val="ONUMFS"/>
        <w:rPr>
          <w:snapToGrid w:val="0"/>
          <w:lang w:val="fr-FR"/>
        </w:rPr>
      </w:pPr>
      <w:r w:rsidRPr="00022FDB">
        <w:rPr>
          <w:lang w:val="fr-FR"/>
        </w:rPr>
        <w:t>Le présent document fait le point sur les activités du Centre d</w:t>
      </w:r>
      <w:r w:rsidR="007E6414">
        <w:rPr>
          <w:lang w:val="fr-FR"/>
        </w:rPr>
        <w:t>’</w:t>
      </w:r>
      <w:r w:rsidRPr="00022FDB">
        <w:rPr>
          <w:lang w:val="fr-FR"/>
        </w:rPr>
        <w:t>arbitrage et de médiation de l</w:t>
      </w:r>
      <w:r w:rsidR="007E6414">
        <w:rPr>
          <w:lang w:val="fr-FR"/>
        </w:rPr>
        <w:t>’</w:t>
      </w:r>
      <w:r w:rsidRPr="00022FDB">
        <w:rPr>
          <w:lang w:val="fr-FR"/>
        </w:rPr>
        <w:t>OMPI (ci</w:t>
      </w:r>
      <w:r w:rsidR="00687BC3">
        <w:rPr>
          <w:lang w:val="fr-FR"/>
        </w:rPr>
        <w:noBreakHyphen/>
      </w:r>
      <w:r w:rsidRPr="00022FDB">
        <w:rPr>
          <w:lang w:val="fr-FR"/>
        </w:rPr>
        <w:t xml:space="preserve">après dénommé </w:t>
      </w:r>
      <w:r w:rsidR="00515856" w:rsidRPr="00022FDB">
        <w:rPr>
          <w:lang w:val="fr-FR"/>
        </w:rPr>
        <w:t>“</w:t>
      </w:r>
      <w:r w:rsidRPr="00022FDB">
        <w:rPr>
          <w:lang w:val="fr-FR"/>
        </w:rPr>
        <w:t>Centre</w:t>
      </w:r>
      <w:r w:rsidR="00515856" w:rsidRPr="00022FDB">
        <w:rPr>
          <w:lang w:val="fr-FR"/>
        </w:rPr>
        <w:t>”</w:t>
      </w:r>
      <w:r w:rsidRPr="00022FDB">
        <w:rPr>
          <w:lang w:val="fr-FR"/>
        </w:rPr>
        <w:t>) en tant que prestataire international de services extrajudiciaires rapides et économiques de règlement des litiges de propriété intellectuelle, proposant à la fois des services d</w:t>
      </w:r>
      <w:r w:rsidR="007E6414">
        <w:rPr>
          <w:lang w:val="fr-FR"/>
        </w:rPr>
        <w:t>’</w:t>
      </w:r>
      <w:r w:rsidRPr="00022FDB">
        <w:rPr>
          <w:lang w:val="fr-FR"/>
        </w:rPr>
        <w:t>administration de litiges et des services d</w:t>
      </w:r>
      <w:r w:rsidR="007E6414">
        <w:rPr>
          <w:lang w:val="fr-FR"/>
        </w:rPr>
        <w:t>’</w:t>
      </w:r>
      <w:r w:rsidRPr="00022FDB">
        <w:rPr>
          <w:lang w:val="fr-FR"/>
        </w:rPr>
        <w:t>expertise juridique et d</w:t>
      </w:r>
      <w:r w:rsidR="007E6414">
        <w:rPr>
          <w:lang w:val="fr-FR"/>
        </w:rPr>
        <w:t>’</w:t>
      </w:r>
      <w:r w:rsidRPr="00022FDB">
        <w:rPr>
          <w:lang w:val="fr-FR"/>
        </w:rPr>
        <w:t>organisation en matière de modes extrajudiciaires de règlement des litiges.</w:t>
      </w:r>
    </w:p>
    <w:p w:rsidR="007E6414" w:rsidRDefault="006D7FBE" w:rsidP="00022FDB">
      <w:pPr>
        <w:pStyle w:val="ONUMFS"/>
        <w:rPr>
          <w:rStyle w:val="ONUMEChar"/>
          <w:lang w:val="fr-FR"/>
        </w:rPr>
      </w:pPr>
      <w:r w:rsidRPr="00022FDB">
        <w:rPr>
          <w:rStyle w:val="ONUMEChar"/>
          <w:szCs w:val="22"/>
          <w:lang w:val="fr-FR"/>
        </w:rPr>
        <w:t xml:space="preserve">Il </w:t>
      </w:r>
      <w:r w:rsidR="00F45E7B" w:rsidRPr="00022FDB">
        <w:rPr>
          <w:rStyle w:val="ONUMEChar"/>
          <w:szCs w:val="22"/>
          <w:lang w:val="fr-FR"/>
        </w:rPr>
        <w:t>contient</w:t>
      </w:r>
      <w:r w:rsidRPr="00022FDB">
        <w:rPr>
          <w:rStyle w:val="ONUMEChar"/>
          <w:szCs w:val="22"/>
          <w:lang w:val="fr-FR"/>
        </w:rPr>
        <w:t xml:space="preserve"> également </w:t>
      </w:r>
      <w:r w:rsidR="00F45E7B" w:rsidRPr="00022FDB">
        <w:rPr>
          <w:rStyle w:val="ONUMEChar"/>
          <w:szCs w:val="22"/>
          <w:lang w:val="fr-FR"/>
        </w:rPr>
        <w:t xml:space="preserve">des informations actualisées </w:t>
      </w:r>
      <w:r w:rsidRPr="00022FDB">
        <w:rPr>
          <w:rStyle w:val="ONUMEChar"/>
          <w:szCs w:val="22"/>
          <w:lang w:val="fr-FR"/>
        </w:rPr>
        <w:t>sur les activités de l</w:t>
      </w:r>
      <w:r w:rsidR="007E6414">
        <w:rPr>
          <w:rStyle w:val="ONUMEChar"/>
          <w:szCs w:val="22"/>
          <w:lang w:val="fr-FR"/>
        </w:rPr>
        <w:t>’</w:t>
      </w:r>
      <w:r w:rsidRPr="00022FDB">
        <w:rPr>
          <w:rStyle w:val="ONUMEChar"/>
          <w:szCs w:val="22"/>
          <w:lang w:val="fr-FR"/>
        </w:rPr>
        <w:t xml:space="preserve">OMPI relatives aux noms de domaine dont il a précédemment été rendu compte dans le </w:t>
      </w:r>
      <w:r w:rsidR="00D81604">
        <w:rPr>
          <w:rStyle w:val="ONUMEChar"/>
          <w:szCs w:val="22"/>
          <w:lang w:val="fr-FR"/>
        </w:rPr>
        <w:t xml:space="preserve">document </w:t>
      </w:r>
      <w:r w:rsidRPr="00022FDB">
        <w:rPr>
          <w:rStyle w:val="ONUMEChar"/>
          <w:szCs w:val="22"/>
          <w:lang w:val="fr-FR"/>
        </w:rPr>
        <w:t>WO/GA/46/8</w:t>
      </w:r>
      <w:r w:rsidRPr="00022FDB">
        <w:rPr>
          <w:rStyle w:val="FootnoteReference"/>
          <w:szCs w:val="22"/>
          <w:lang w:val="fr-FR"/>
        </w:rPr>
        <w:footnoteReference w:id="2"/>
      </w:r>
      <w:r w:rsidRPr="00022FDB">
        <w:rPr>
          <w:rStyle w:val="ONUMEChar"/>
          <w:szCs w:val="22"/>
          <w:lang w:val="fr-FR"/>
        </w:rPr>
        <w:t>.</w:t>
      </w:r>
      <w:r w:rsidR="00384EE8" w:rsidRPr="00022FDB">
        <w:rPr>
          <w:rStyle w:val="ONUMEChar"/>
          <w:szCs w:val="22"/>
          <w:lang w:val="fr-FR"/>
        </w:rPr>
        <w:t xml:space="preserve">  </w:t>
      </w:r>
      <w:r w:rsidRPr="00022FDB">
        <w:rPr>
          <w:rStyle w:val="ONUMEChar"/>
          <w:szCs w:val="22"/>
          <w:lang w:val="fr-FR"/>
        </w:rPr>
        <w:t>Il traite des litiges relatifs aux noms de domaine administrés par le Centre en vertu des différents principes directeurs et des aspects connexes du système des noms de domaine de l</w:t>
      </w:r>
      <w:r w:rsidR="007E6414">
        <w:rPr>
          <w:rStyle w:val="ONUMEChar"/>
          <w:szCs w:val="22"/>
          <w:lang w:val="fr-FR"/>
        </w:rPr>
        <w:t>’</w:t>
      </w:r>
      <w:r w:rsidRPr="00022FDB">
        <w:rPr>
          <w:rStyle w:val="ONUMEChar"/>
          <w:szCs w:val="22"/>
          <w:lang w:val="fr-FR"/>
        </w:rPr>
        <w:t>Internet (DNS), ainsi que de certains faits de politique générale, en particulier les mécanismes de protection des droits pour l</w:t>
      </w:r>
      <w:r w:rsidR="007E6414">
        <w:rPr>
          <w:rStyle w:val="ONUMEChar"/>
          <w:szCs w:val="22"/>
          <w:lang w:val="fr-FR"/>
        </w:rPr>
        <w:t>’</w:t>
      </w:r>
      <w:r w:rsidRPr="00022FDB">
        <w:rPr>
          <w:rStyle w:val="ONUMEChar"/>
          <w:szCs w:val="22"/>
          <w:lang w:val="fr-FR"/>
        </w:rPr>
        <w:t>introduction de nouveaux domaines génériques de premier niveau (</w:t>
      </w:r>
      <w:proofErr w:type="spellStart"/>
      <w:r w:rsidRPr="00022FDB">
        <w:rPr>
          <w:rStyle w:val="ONUMEChar"/>
          <w:szCs w:val="22"/>
          <w:lang w:val="fr-FR"/>
        </w:rPr>
        <w:t>gTLD</w:t>
      </w:r>
      <w:proofErr w:type="spellEnd"/>
      <w:r w:rsidRPr="00022FDB">
        <w:rPr>
          <w:rStyle w:val="ONUMEChar"/>
          <w:szCs w:val="22"/>
          <w:lang w:val="fr-FR"/>
        </w:rPr>
        <w:t>), l</w:t>
      </w:r>
      <w:r w:rsidR="007E6414">
        <w:rPr>
          <w:rStyle w:val="ONUMEChar"/>
          <w:szCs w:val="22"/>
          <w:lang w:val="fr-FR"/>
        </w:rPr>
        <w:t>’</w:t>
      </w:r>
      <w:r w:rsidRPr="00022FDB">
        <w:rPr>
          <w:rStyle w:val="ONUMEChar"/>
          <w:szCs w:val="22"/>
          <w:lang w:val="fr-FR"/>
        </w:rPr>
        <w:t>émergence des noms de domaine internationalisés dans les </w:t>
      </w:r>
      <w:proofErr w:type="spellStart"/>
      <w:r w:rsidRPr="00022FDB">
        <w:rPr>
          <w:rStyle w:val="ONUMEChar"/>
          <w:szCs w:val="22"/>
          <w:lang w:val="fr-FR"/>
        </w:rPr>
        <w:t>gTLD</w:t>
      </w:r>
      <w:proofErr w:type="spellEnd"/>
      <w:r w:rsidRPr="00022FDB">
        <w:rPr>
          <w:rStyle w:val="ONUMEChar"/>
          <w:szCs w:val="22"/>
          <w:lang w:val="fr-FR"/>
        </w:rPr>
        <w:t>, la future révision par l</w:t>
      </w:r>
      <w:r w:rsidR="007E6414">
        <w:rPr>
          <w:rStyle w:val="ONUMEChar"/>
          <w:szCs w:val="22"/>
          <w:lang w:val="fr-FR"/>
        </w:rPr>
        <w:t>’</w:t>
      </w:r>
      <w:r w:rsidRPr="00022FDB">
        <w:rPr>
          <w:rStyle w:val="ONUMEChar"/>
          <w:szCs w:val="22"/>
          <w:lang w:val="fr-FR"/>
        </w:rPr>
        <w:t xml:space="preserve">Internet Corporation for </w:t>
      </w:r>
      <w:proofErr w:type="spellStart"/>
      <w:r w:rsidRPr="00022FDB">
        <w:rPr>
          <w:rStyle w:val="ONUMEChar"/>
          <w:szCs w:val="22"/>
          <w:lang w:val="fr-FR"/>
        </w:rPr>
        <w:t>Assigned</w:t>
      </w:r>
      <w:proofErr w:type="spellEnd"/>
      <w:r w:rsidRPr="00022FDB">
        <w:rPr>
          <w:rStyle w:val="ONUMEChar"/>
          <w:szCs w:val="22"/>
          <w:lang w:val="fr-FR"/>
        </w:rPr>
        <w:t xml:space="preserve"> </w:t>
      </w:r>
      <w:proofErr w:type="spellStart"/>
      <w:r w:rsidRPr="00022FDB">
        <w:rPr>
          <w:rStyle w:val="ONUMEChar"/>
          <w:szCs w:val="22"/>
          <w:lang w:val="fr-FR"/>
        </w:rPr>
        <w:t>Names</w:t>
      </w:r>
      <w:proofErr w:type="spellEnd"/>
      <w:r w:rsidRPr="00022FDB">
        <w:rPr>
          <w:rStyle w:val="ONUMEChar"/>
          <w:szCs w:val="22"/>
          <w:lang w:val="fr-FR"/>
        </w:rPr>
        <w:t xml:space="preserve"> and </w:t>
      </w:r>
      <w:proofErr w:type="spellStart"/>
      <w:r w:rsidRPr="00022FDB">
        <w:rPr>
          <w:rStyle w:val="ONUMEChar"/>
          <w:szCs w:val="22"/>
          <w:lang w:val="fr-FR"/>
        </w:rPr>
        <w:t>Numbers</w:t>
      </w:r>
      <w:proofErr w:type="spellEnd"/>
      <w:r w:rsidRPr="00022FDB">
        <w:rPr>
          <w:rStyle w:val="ONUMEChar"/>
          <w:szCs w:val="22"/>
          <w:lang w:val="fr-FR"/>
        </w:rPr>
        <w:t xml:space="preserve"> (ICANN) des Principes directeurs concernant le règlement uniforme des litiges relatifs aux noms de domaine (principes UDRP) et la suite donnée aux recommandations faites par les États membres de l</w:t>
      </w:r>
      <w:r w:rsidR="007E6414">
        <w:rPr>
          <w:rStyle w:val="ONUMEChar"/>
          <w:szCs w:val="22"/>
          <w:lang w:val="fr-FR"/>
        </w:rPr>
        <w:t>’</w:t>
      </w:r>
      <w:r w:rsidRPr="00022FDB">
        <w:rPr>
          <w:rStyle w:val="ONUMEChar"/>
          <w:szCs w:val="22"/>
          <w:lang w:val="fr-FR"/>
        </w:rPr>
        <w:t>OMPI dans le contexte du deuxième processus de consultations de l</w:t>
      </w:r>
      <w:r w:rsidR="007E6414">
        <w:rPr>
          <w:rStyle w:val="ONUMEChar"/>
          <w:szCs w:val="22"/>
          <w:lang w:val="fr-FR"/>
        </w:rPr>
        <w:t>’</w:t>
      </w:r>
      <w:r w:rsidRPr="00022FDB">
        <w:rPr>
          <w:rStyle w:val="ONUMEChar"/>
          <w:szCs w:val="22"/>
          <w:lang w:val="fr-FR"/>
        </w:rPr>
        <w:t>OMPI sur les noms de domaine de l</w:t>
      </w:r>
      <w:r w:rsidR="007E6414">
        <w:rPr>
          <w:rStyle w:val="ONUMEChar"/>
          <w:szCs w:val="22"/>
          <w:lang w:val="fr-FR"/>
        </w:rPr>
        <w:t>’</w:t>
      </w:r>
      <w:r w:rsidRPr="00022FDB">
        <w:rPr>
          <w:rStyle w:val="ONUMEChar"/>
          <w:szCs w:val="22"/>
          <w:lang w:val="fr-FR"/>
        </w:rPr>
        <w:t>Internet.</w:t>
      </w:r>
    </w:p>
    <w:p w:rsidR="0024545E" w:rsidRDefault="008A2DB7" w:rsidP="008A2DB7">
      <w:pPr>
        <w:pStyle w:val="Heading1"/>
        <w:rPr>
          <w:lang w:val="fr-FR"/>
        </w:rPr>
      </w:pPr>
      <w:r>
        <w:rPr>
          <w:lang w:val="fr-FR"/>
        </w:rPr>
        <w:lastRenderedPageBreak/>
        <w:t>I.</w:t>
      </w:r>
      <w:r>
        <w:rPr>
          <w:lang w:val="fr-FR"/>
        </w:rPr>
        <w:tab/>
        <w:t>A</w:t>
      </w:r>
      <w:r w:rsidRPr="00022FDB">
        <w:rPr>
          <w:lang w:val="fr-FR"/>
        </w:rPr>
        <w:t>rbitrage et médiation des liti</w:t>
      </w:r>
      <w:r>
        <w:rPr>
          <w:lang w:val="fr-FR"/>
        </w:rPr>
        <w:t>ges de propriété intellectuelle</w:t>
      </w:r>
    </w:p>
    <w:p w:rsidR="00022FDB" w:rsidRDefault="008A2DB7" w:rsidP="008A2DB7">
      <w:pPr>
        <w:pStyle w:val="Heading2"/>
        <w:rPr>
          <w:lang w:val="fr-FR"/>
        </w:rPr>
      </w:pPr>
      <w:r>
        <w:rPr>
          <w:lang w:val="fr-FR"/>
        </w:rPr>
        <w:t>A.</w:t>
      </w:r>
      <w:r>
        <w:rPr>
          <w:lang w:val="fr-FR"/>
        </w:rPr>
        <w:tab/>
        <w:t>A</w:t>
      </w:r>
      <w:r w:rsidRPr="00022FDB">
        <w:rPr>
          <w:lang w:val="fr-FR"/>
        </w:rPr>
        <w:t>dministration des procédures d</w:t>
      </w:r>
      <w:r w:rsidR="007E6414">
        <w:rPr>
          <w:lang w:val="fr-FR"/>
        </w:rPr>
        <w:t>’</w:t>
      </w:r>
      <w:r w:rsidRPr="00022FDB">
        <w:rPr>
          <w:lang w:val="fr-FR"/>
        </w:rPr>
        <w:t>arbitrage et de médiation</w:t>
      </w:r>
    </w:p>
    <w:p w:rsidR="008A2DB7" w:rsidRPr="008A2DB7" w:rsidRDefault="008A2DB7" w:rsidP="008A2DB7">
      <w:pPr>
        <w:rPr>
          <w:lang w:val="fr-FR"/>
        </w:rPr>
      </w:pPr>
    </w:p>
    <w:p w:rsidR="00022FDB" w:rsidRPr="00022FDB" w:rsidRDefault="006D7FBE" w:rsidP="00022FDB">
      <w:pPr>
        <w:pStyle w:val="ONUMFS"/>
        <w:rPr>
          <w:lang w:val="fr-FR"/>
        </w:rPr>
      </w:pPr>
      <w:r w:rsidRPr="00022FDB">
        <w:rPr>
          <w:lang w:val="fr-FR"/>
        </w:rPr>
        <w:t>Le Centre a poursuivi l</w:t>
      </w:r>
      <w:r w:rsidR="007E6414">
        <w:rPr>
          <w:lang w:val="fr-FR"/>
        </w:rPr>
        <w:t>’</w:t>
      </w:r>
      <w:r w:rsidRPr="00022FDB">
        <w:rPr>
          <w:lang w:val="fr-FR"/>
        </w:rPr>
        <w:t>optimisation du potentiel de ses procédures d</w:t>
      </w:r>
      <w:r w:rsidR="007E6414">
        <w:rPr>
          <w:lang w:val="fr-FR"/>
        </w:rPr>
        <w:t>’</w:t>
      </w:r>
      <w:r w:rsidRPr="00022FDB">
        <w:rPr>
          <w:lang w:val="fr-FR"/>
        </w:rPr>
        <w:t>arbitrage et de médiation afin de répondre aux besoins des titulaires de droits de propriété intellectuelle en matière de rapidité et de rentabilité dans le règlement des litiges relatifs à ces droits.</w:t>
      </w:r>
      <w:r w:rsidR="0035343A">
        <w:rPr>
          <w:lang w:val="fr-FR"/>
        </w:rPr>
        <w:t xml:space="preserve"> </w:t>
      </w:r>
      <w:r w:rsidR="00384EE8" w:rsidRPr="00022FDB">
        <w:rPr>
          <w:lang w:val="fr-FR"/>
        </w:rPr>
        <w:t xml:space="preserve"> </w:t>
      </w:r>
      <w:r w:rsidRPr="00022FDB">
        <w:rPr>
          <w:lang w:val="fr-FR"/>
        </w:rPr>
        <w:t>Ces efforts portent essentiellement sur la qualité de l</w:t>
      </w:r>
      <w:r w:rsidR="007E6414">
        <w:rPr>
          <w:lang w:val="fr-FR"/>
        </w:rPr>
        <w:t>’</w:t>
      </w:r>
      <w:r w:rsidRPr="00022FDB">
        <w:rPr>
          <w:lang w:val="fr-FR"/>
        </w:rPr>
        <w:t>administration et du règlement des litiges instruits dans le cadre de ces procédures, ce qui passe par la formation</w:t>
      </w:r>
      <w:r w:rsidRPr="00022FDB">
        <w:rPr>
          <w:rStyle w:val="FootnoteReference"/>
          <w:lang w:val="fr-FR"/>
        </w:rPr>
        <w:footnoteReference w:id="3"/>
      </w:r>
      <w:r w:rsidRPr="00022FDB">
        <w:rPr>
          <w:lang w:val="fr-FR"/>
        </w:rPr>
        <w:t>, la désignation d</w:t>
      </w:r>
      <w:r w:rsidR="007E6414">
        <w:rPr>
          <w:lang w:val="fr-FR"/>
        </w:rPr>
        <w:t>’</w:t>
      </w:r>
      <w:r w:rsidRPr="00022FDB">
        <w:rPr>
          <w:lang w:val="fr-FR"/>
        </w:rPr>
        <w:t>arbitres et de médiateurs qualifiés et le maintien d</w:t>
      </w:r>
      <w:r w:rsidR="007E6414">
        <w:rPr>
          <w:lang w:val="fr-FR"/>
        </w:rPr>
        <w:t>’</w:t>
      </w:r>
      <w:r w:rsidRPr="00022FDB">
        <w:rPr>
          <w:lang w:val="fr-FR"/>
        </w:rPr>
        <w:t>une infrastructure moderne d</w:t>
      </w:r>
      <w:r w:rsidR="007E6414">
        <w:rPr>
          <w:lang w:val="fr-FR"/>
        </w:rPr>
        <w:t>’</w:t>
      </w:r>
      <w:r w:rsidRPr="00022FDB">
        <w:rPr>
          <w:lang w:val="fr-FR"/>
        </w:rPr>
        <w:t>administration des litiges, grâce notamment à des solutions informatiques telles que le système OMPI de gestion électronique des litiges (ECAF)</w:t>
      </w:r>
      <w:r w:rsidRPr="00022FDB">
        <w:rPr>
          <w:rStyle w:val="FootnoteReference"/>
          <w:lang w:val="fr-FR"/>
        </w:rPr>
        <w:footnoteReference w:id="4"/>
      </w:r>
      <w:r w:rsidRPr="00022FDB">
        <w:rPr>
          <w:lang w:val="fr-FR"/>
        </w:rPr>
        <w:t>.</w:t>
      </w:r>
      <w:r w:rsidR="00BC5505" w:rsidRPr="00022FDB">
        <w:rPr>
          <w:lang w:val="fr-FR"/>
        </w:rPr>
        <w:t xml:space="preserve">  </w:t>
      </w:r>
      <w:r w:rsidR="00292E27" w:rsidRPr="00022FDB">
        <w:rPr>
          <w:lang w:val="fr-FR"/>
        </w:rPr>
        <w:t>Les litiges administrés par l</w:t>
      </w:r>
      <w:r w:rsidR="007E6414">
        <w:rPr>
          <w:lang w:val="fr-FR"/>
        </w:rPr>
        <w:t>’</w:t>
      </w:r>
      <w:r w:rsidR="00292E27" w:rsidRPr="00022FDB">
        <w:rPr>
          <w:lang w:val="fr-FR"/>
        </w:rPr>
        <w:t>OMPI pendant l</w:t>
      </w:r>
      <w:r w:rsidR="007E6414">
        <w:rPr>
          <w:lang w:val="fr-FR"/>
        </w:rPr>
        <w:t>’</w:t>
      </w:r>
      <w:r w:rsidR="00292E27" w:rsidRPr="00022FDB">
        <w:rPr>
          <w:lang w:val="fr-FR"/>
        </w:rPr>
        <w:t>année écoulée ont notamment porté sur des brevets, des marques, des logiciels, des activités de recherche</w:t>
      </w:r>
      <w:r w:rsidR="00687BC3">
        <w:rPr>
          <w:lang w:val="fr-FR"/>
        </w:rPr>
        <w:noBreakHyphen/>
      </w:r>
      <w:r w:rsidR="00292E27" w:rsidRPr="00022FDB">
        <w:rPr>
          <w:lang w:val="fr-FR"/>
        </w:rPr>
        <w:t>développement (R</w:t>
      </w:r>
      <w:r w:rsidR="00687BC3">
        <w:rPr>
          <w:lang w:val="fr-FR"/>
        </w:rPr>
        <w:noBreakHyphen/>
      </w:r>
      <w:r w:rsidR="00292E27" w:rsidRPr="00022FDB">
        <w:rPr>
          <w:lang w:val="fr-FR"/>
        </w:rPr>
        <w:t>D) et des accords de franchise, et ont été soumis au Centre par les parties sur la base de clauses contractuelles ou de conventions ad hoc préalables.</w:t>
      </w:r>
      <w:r w:rsidR="00BC5505" w:rsidRPr="00022FDB">
        <w:rPr>
          <w:lang w:val="fr-FR"/>
        </w:rPr>
        <w:t xml:space="preserve">  </w:t>
      </w:r>
      <w:r w:rsidR="00292E27" w:rsidRPr="00022FDB">
        <w:rPr>
          <w:lang w:val="fr-FR"/>
        </w:rPr>
        <w:t xml:space="preserve">Les </w:t>
      </w:r>
      <w:r w:rsidR="0024545E" w:rsidRPr="00022FDB">
        <w:rPr>
          <w:lang w:val="fr-FR"/>
        </w:rPr>
        <w:t>litiges</w:t>
      </w:r>
      <w:r w:rsidR="00292E27" w:rsidRPr="00022FDB">
        <w:rPr>
          <w:lang w:val="fr-FR"/>
        </w:rPr>
        <w:t xml:space="preserve"> soumis après le 1</w:t>
      </w:r>
      <w:r w:rsidR="00292E27" w:rsidRPr="00022FDB">
        <w:rPr>
          <w:vertAlign w:val="superscript"/>
          <w:lang w:val="fr-FR"/>
        </w:rPr>
        <w:t>er</w:t>
      </w:r>
      <w:r w:rsidR="00A6544F" w:rsidRPr="00022FDB">
        <w:rPr>
          <w:lang w:val="fr-FR"/>
        </w:rPr>
        <w:t> </w:t>
      </w:r>
      <w:r w:rsidR="007E6414" w:rsidRPr="00022FDB">
        <w:rPr>
          <w:lang w:val="fr-FR"/>
        </w:rPr>
        <w:t>juin</w:t>
      </w:r>
      <w:r w:rsidR="007E6414">
        <w:rPr>
          <w:lang w:val="fr-FR"/>
        </w:rPr>
        <w:t> </w:t>
      </w:r>
      <w:r w:rsidR="007E6414" w:rsidRPr="00022FDB">
        <w:rPr>
          <w:lang w:val="fr-FR"/>
        </w:rPr>
        <w:t>20</w:t>
      </w:r>
      <w:r w:rsidR="00292E27" w:rsidRPr="00022FDB">
        <w:rPr>
          <w:lang w:val="fr-FR"/>
        </w:rPr>
        <w:t>14 ont été administrés en vertu du nouveau règlement d</w:t>
      </w:r>
      <w:r w:rsidR="007E6414">
        <w:rPr>
          <w:lang w:val="fr-FR"/>
        </w:rPr>
        <w:t>’</w:t>
      </w:r>
      <w:r w:rsidR="00292E27" w:rsidRPr="00022FDB">
        <w:rPr>
          <w:lang w:val="fr-FR"/>
        </w:rPr>
        <w:t>arbitrage et de médiation de l</w:t>
      </w:r>
      <w:r w:rsidR="007E6414">
        <w:rPr>
          <w:lang w:val="fr-FR"/>
        </w:rPr>
        <w:t>’</w:t>
      </w:r>
      <w:r w:rsidR="00292E27" w:rsidRPr="00022FDB">
        <w:rPr>
          <w:lang w:val="fr-FR"/>
        </w:rPr>
        <w:t>OMPI entré en vigueur à cette date</w:t>
      </w:r>
      <w:r w:rsidR="00292E27" w:rsidRPr="00022FDB">
        <w:rPr>
          <w:rStyle w:val="FootnoteReference"/>
          <w:lang w:val="fr-FR"/>
        </w:rPr>
        <w:footnoteReference w:id="5"/>
      </w:r>
      <w:r w:rsidR="00292E27" w:rsidRPr="00022FDB">
        <w:rPr>
          <w:lang w:val="fr-FR"/>
        </w:rPr>
        <w:t>.</w:t>
      </w:r>
    </w:p>
    <w:p w:rsidR="00022FDB" w:rsidRPr="00022FDB" w:rsidRDefault="008A2DB7" w:rsidP="009E31D7">
      <w:pPr>
        <w:pStyle w:val="Heading2"/>
        <w:ind w:left="567" w:hanging="567"/>
        <w:rPr>
          <w:lang w:val="fr-FR"/>
        </w:rPr>
      </w:pPr>
      <w:r>
        <w:rPr>
          <w:lang w:val="fr-FR"/>
        </w:rPr>
        <w:t>B.</w:t>
      </w:r>
      <w:r>
        <w:rPr>
          <w:lang w:val="fr-FR"/>
        </w:rPr>
        <w:tab/>
        <w:t>S</w:t>
      </w:r>
      <w:r w:rsidRPr="00022FDB">
        <w:rPr>
          <w:lang w:val="fr-FR"/>
        </w:rPr>
        <w:t>ervices de règlement extrajudiciaire des litiges dans des secteurs particuliers</w:t>
      </w:r>
    </w:p>
    <w:p w:rsidR="00022FDB" w:rsidRPr="008A2DB7" w:rsidRDefault="00292E27" w:rsidP="008A2DB7">
      <w:pPr>
        <w:pStyle w:val="Heading3"/>
      </w:pPr>
      <w:r w:rsidRPr="008A2DB7">
        <w:t>Collaboration avec les offices de propriété intellectuelle</w:t>
      </w:r>
    </w:p>
    <w:p w:rsidR="008A2DB7" w:rsidRPr="008A2DB7" w:rsidRDefault="008A2DB7" w:rsidP="008A2DB7">
      <w:pPr>
        <w:rPr>
          <w:lang w:val="fr-FR"/>
        </w:rPr>
      </w:pPr>
    </w:p>
    <w:p w:rsidR="00022FDB" w:rsidRPr="00022FDB" w:rsidRDefault="00292E27" w:rsidP="00022FDB">
      <w:pPr>
        <w:pStyle w:val="ONUMFS"/>
        <w:rPr>
          <w:lang w:val="fr-FR"/>
        </w:rPr>
      </w:pPr>
      <w:r w:rsidRPr="00022FDB">
        <w:rPr>
          <w:lang w:val="fr-FR"/>
        </w:rPr>
        <w:t>Depuis peu, le Centre offre aux offices de propriété intellectuelle des services d</w:t>
      </w:r>
      <w:r w:rsidR="007E6414">
        <w:rPr>
          <w:lang w:val="fr-FR"/>
        </w:rPr>
        <w:t>’</w:t>
      </w:r>
      <w:r w:rsidRPr="00022FDB">
        <w:rPr>
          <w:lang w:val="fr-FR"/>
        </w:rPr>
        <w:t>aide à l</w:t>
      </w:r>
      <w:r w:rsidR="007E6414">
        <w:rPr>
          <w:lang w:val="fr-FR"/>
        </w:rPr>
        <w:t>’</w:t>
      </w:r>
      <w:r w:rsidRPr="00022FDB">
        <w:rPr>
          <w:lang w:val="fr-FR"/>
        </w:rPr>
        <w:t>établissement de leurs propres cadres facultatifs de règlement extrajudiciaire des litiges.</w:t>
      </w:r>
      <w:r w:rsidR="00384EE8" w:rsidRPr="00022FDB">
        <w:rPr>
          <w:lang w:val="fr-FR"/>
        </w:rPr>
        <w:t xml:space="preserve">  </w:t>
      </w:r>
      <w:r w:rsidRPr="00022FDB">
        <w:rPr>
          <w:lang w:val="fr-FR"/>
        </w:rPr>
        <w:t xml:space="preserve">Cette collaboration, qui </w:t>
      </w:r>
      <w:r w:rsidR="00F45E7B" w:rsidRPr="00022FDB">
        <w:rPr>
          <w:lang w:val="fr-FR"/>
        </w:rPr>
        <w:t>peut</w:t>
      </w:r>
      <w:r w:rsidRPr="00022FDB">
        <w:rPr>
          <w:lang w:val="fr-FR"/>
        </w:rPr>
        <w:t xml:space="preserve"> </w:t>
      </w:r>
      <w:r w:rsidR="00F45E7B" w:rsidRPr="00022FDB">
        <w:rPr>
          <w:lang w:val="fr-FR"/>
        </w:rPr>
        <w:t xml:space="preserve">comporter des activités </w:t>
      </w:r>
      <w:r w:rsidRPr="00022FDB">
        <w:rPr>
          <w:lang w:val="fr-FR"/>
        </w:rPr>
        <w:t xml:space="preserve">de formation, de promotion et </w:t>
      </w:r>
      <w:r w:rsidR="00F45E7B" w:rsidRPr="00022FDB">
        <w:rPr>
          <w:lang w:val="fr-FR"/>
        </w:rPr>
        <w:t>d</w:t>
      </w:r>
      <w:r w:rsidR="007E6414">
        <w:rPr>
          <w:lang w:val="fr-FR"/>
        </w:rPr>
        <w:t>’</w:t>
      </w:r>
      <w:r w:rsidRPr="00022FDB">
        <w:rPr>
          <w:lang w:val="fr-FR"/>
        </w:rPr>
        <w:t xml:space="preserve">administration des litiges, vise à mettre à la disposition des parties des solutions </w:t>
      </w:r>
      <w:r w:rsidR="00F45E7B" w:rsidRPr="00022FDB">
        <w:rPr>
          <w:lang w:val="fr-FR"/>
        </w:rPr>
        <w:t xml:space="preserve">souples et </w:t>
      </w:r>
      <w:r w:rsidRPr="00022FDB">
        <w:rPr>
          <w:lang w:val="fr-FR"/>
        </w:rPr>
        <w:t>économiques pour le règlement de leurs litiges devant les offices de propriété intellectuelle en ce qui concerne des droits octroyés ou en instance.</w:t>
      </w:r>
    </w:p>
    <w:p w:rsidR="007E6414" w:rsidRDefault="00292E27" w:rsidP="00022FDB">
      <w:pPr>
        <w:pStyle w:val="ONUMFS"/>
        <w:rPr>
          <w:lang w:val="fr-FR"/>
        </w:rPr>
      </w:pPr>
      <w:r w:rsidRPr="00022FDB">
        <w:rPr>
          <w:lang w:val="fr-FR"/>
        </w:rPr>
        <w:t>Suite à l</w:t>
      </w:r>
      <w:r w:rsidR="007E6414">
        <w:rPr>
          <w:lang w:val="fr-FR"/>
        </w:rPr>
        <w:t>’</w:t>
      </w:r>
      <w:r w:rsidRPr="00022FDB">
        <w:rPr>
          <w:lang w:val="fr-FR"/>
        </w:rPr>
        <w:t>établissement d</w:t>
      </w:r>
      <w:r w:rsidR="007E6414">
        <w:rPr>
          <w:lang w:val="fr-FR"/>
        </w:rPr>
        <w:t>’</w:t>
      </w:r>
      <w:r w:rsidRPr="00022FDB">
        <w:rPr>
          <w:lang w:val="fr-FR"/>
        </w:rPr>
        <w:t>une procédure conjointe de règlement des litiges pour faciliter la médiation des litiges en matière de marques soumis à l</w:t>
      </w:r>
      <w:r w:rsidR="007E6414">
        <w:rPr>
          <w:lang w:val="fr-FR"/>
        </w:rPr>
        <w:t>’</w:t>
      </w:r>
      <w:r w:rsidRPr="00022FDB">
        <w:rPr>
          <w:lang w:val="fr-FR"/>
        </w:rPr>
        <w:t>Office de la propriété intellectuelle de Singapour (IPOS), l</w:t>
      </w:r>
      <w:r w:rsidR="007E6414">
        <w:rPr>
          <w:lang w:val="fr-FR"/>
        </w:rPr>
        <w:t>’</w:t>
      </w:r>
      <w:r w:rsidRPr="00022FDB">
        <w:rPr>
          <w:lang w:val="fr-FR"/>
        </w:rPr>
        <w:t>IPOS et le Centre</w:t>
      </w:r>
      <w:r w:rsidR="00F45E7B" w:rsidRPr="00022FDB">
        <w:rPr>
          <w:lang w:val="fr-FR"/>
        </w:rPr>
        <w:t xml:space="preserve"> ont établi</w:t>
      </w:r>
      <w:r w:rsidRPr="00022FDB">
        <w:rPr>
          <w:lang w:val="fr-FR"/>
        </w:rPr>
        <w:t>, avec effet à compter du 1</w:t>
      </w:r>
      <w:r w:rsidRPr="00022FDB">
        <w:rPr>
          <w:vertAlign w:val="superscript"/>
          <w:lang w:val="fr-FR"/>
        </w:rPr>
        <w:t>er</w:t>
      </w:r>
      <w:r w:rsidR="00A6544F" w:rsidRPr="00022FDB">
        <w:rPr>
          <w:vertAlign w:val="superscript"/>
          <w:lang w:val="fr-FR"/>
        </w:rPr>
        <w:t> </w:t>
      </w:r>
      <w:r w:rsidR="007E6414" w:rsidRPr="00022FDB">
        <w:rPr>
          <w:lang w:val="fr-FR"/>
        </w:rPr>
        <w:t>avril</w:t>
      </w:r>
      <w:r w:rsidR="007E6414">
        <w:rPr>
          <w:lang w:val="fr-FR"/>
        </w:rPr>
        <w:t> </w:t>
      </w:r>
      <w:r w:rsidR="007E6414" w:rsidRPr="00022FDB">
        <w:rPr>
          <w:lang w:val="fr-FR"/>
        </w:rPr>
        <w:t>20</w:t>
      </w:r>
      <w:r w:rsidRPr="00022FDB">
        <w:rPr>
          <w:lang w:val="fr-FR"/>
        </w:rPr>
        <w:t>14, une procédure d</w:t>
      </w:r>
      <w:r w:rsidR="007E6414">
        <w:rPr>
          <w:lang w:val="fr-FR"/>
        </w:rPr>
        <w:t>’</w:t>
      </w:r>
      <w:r w:rsidRPr="00022FDB">
        <w:rPr>
          <w:lang w:val="fr-FR"/>
        </w:rPr>
        <w:t xml:space="preserve">expertise facultative pour </w:t>
      </w:r>
      <w:r w:rsidR="0024545E" w:rsidRPr="00022FDB">
        <w:rPr>
          <w:lang w:val="fr-FR"/>
        </w:rPr>
        <w:t>faciliter</w:t>
      </w:r>
      <w:r w:rsidRPr="00022FDB">
        <w:rPr>
          <w:lang w:val="fr-FR"/>
        </w:rPr>
        <w:t xml:space="preserve"> le règlement des litiges de brevet en instance devant l</w:t>
      </w:r>
      <w:r w:rsidR="007E6414">
        <w:rPr>
          <w:lang w:val="fr-FR"/>
        </w:rPr>
        <w:t>’</w:t>
      </w:r>
      <w:r w:rsidRPr="00022FDB">
        <w:rPr>
          <w:lang w:val="fr-FR"/>
        </w:rPr>
        <w:t>IPOS.</w:t>
      </w:r>
      <w:r w:rsidR="00124C28" w:rsidRPr="00022FDB">
        <w:rPr>
          <w:lang w:val="fr-FR"/>
        </w:rPr>
        <w:t xml:space="preserve">  </w:t>
      </w:r>
      <w:r w:rsidR="00647FE4" w:rsidRPr="00022FDB">
        <w:rPr>
          <w:lang w:val="fr-FR"/>
        </w:rPr>
        <w:t>Le Centre a également collaboré à l</w:t>
      </w:r>
      <w:r w:rsidR="007E6414">
        <w:rPr>
          <w:lang w:val="fr-FR"/>
        </w:rPr>
        <w:t>’</w:t>
      </w:r>
      <w:r w:rsidR="00647FE4" w:rsidRPr="00022FDB">
        <w:rPr>
          <w:lang w:val="fr-FR"/>
        </w:rPr>
        <w:t>élaboration d</w:t>
      </w:r>
      <w:r w:rsidR="007E6414">
        <w:rPr>
          <w:lang w:val="fr-FR"/>
        </w:rPr>
        <w:t>’</w:t>
      </w:r>
      <w:r w:rsidR="00647FE4" w:rsidRPr="00022FDB">
        <w:rPr>
          <w:lang w:val="fr-FR"/>
        </w:rPr>
        <w:t>une option de médiation pour les procédures en matière de marques intentées devant l</w:t>
      </w:r>
      <w:r w:rsidR="007E6414">
        <w:rPr>
          <w:lang w:val="fr-FR"/>
        </w:rPr>
        <w:t>’</w:t>
      </w:r>
      <w:r w:rsidR="00647FE4" w:rsidRPr="00022FDB">
        <w:rPr>
          <w:lang w:val="fr-FR"/>
        </w:rPr>
        <w:t>Institut national brésilien</w:t>
      </w:r>
      <w:r w:rsidR="0024545E" w:rsidRPr="00022FDB">
        <w:rPr>
          <w:lang w:val="fr-FR"/>
        </w:rPr>
        <w:t xml:space="preserve"> </w:t>
      </w:r>
      <w:r w:rsidR="00647FE4" w:rsidRPr="00022FDB">
        <w:rPr>
          <w:lang w:val="fr-FR"/>
        </w:rPr>
        <w:t>de la propriété industrielle (INPI</w:t>
      </w:r>
      <w:r w:rsidR="00687BC3">
        <w:rPr>
          <w:lang w:val="fr-FR"/>
        </w:rPr>
        <w:noBreakHyphen/>
      </w:r>
      <w:r w:rsidR="00647FE4" w:rsidRPr="00022FDB">
        <w:rPr>
          <w:lang w:val="fr-FR"/>
        </w:rPr>
        <w:t>BR), qui a désigné le Centre comme institution de médiation lorsque l</w:t>
      </w:r>
      <w:r w:rsidR="007E6414">
        <w:rPr>
          <w:lang w:val="fr-FR"/>
        </w:rPr>
        <w:t>’</w:t>
      </w:r>
      <w:r w:rsidR="00647FE4" w:rsidRPr="00022FDB">
        <w:rPr>
          <w:lang w:val="fr-FR"/>
        </w:rPr>
        <w:t>une des parties ou les deux</w:t>
      </w:r>
      <w:r w:rsidR="002C4243">
        <w:rPr>
          <w:lang w:val="fr-FR"/>
        </w:rPr>
        <w:t xml:space="preserve"> </w:t>
      </w:r>
      <w:r w:rsidR="00647FE4" w:rsidRPr="00022FDB">
        <w:rPr>
          <w:lang w:val="fr-FR"/>
        </w:rPr>
        <w:t>ont leur siège en dehors du Brésil.</w:t>
      </w:r>
      <w:r w:rsidR="00124C28" w:rsidRPr="00022FDB">
        <w:rPr>
          <w:lang w:val="fr-FR"/>
        </w:rPr>
        <w:t xml:space="preserve">  </w:t>
      </w:r>
      <w:r w:rsidR="00647FE4" w:rsidRPr="00022FDB">
        <w:rPr>
          <w:lang w:val="fr-FR"/>
        </w:rPr>
        <w:t>À la date du 4 mai 2015, l</w:t>
      </w:r>
      <w:r w:rsidR="007E6414">
        <w:rPr>
          <w:lang w:val="fr-FR"/>
        </w:rPr>
        <w:t>’</w:t>
      </w:r>
      <w:r w:rsidR="00647FE4" w:rsidRPr="00022FDB">
        <w:rPr>
          <w:lang w:val="fr-FR"/>
        </w:rPr>
        <w:t>Office de la propriété intellectuelle des Philippines (IPOPHL) a désigné le Centre comme institution de médiation potentielle, au choix des parties, pour les litiges portés devant l</w:t>
      </w:r>
      <w:r w:rsidR="007E6414">
        <w:rPr>
          <w:lang w:val="fr-FR"/>
        </w:rPr>
        <w:t>’</w:t>
      </w:r>
      <w:r w:rsidR="00647FE4" w:rsidRPr="00022FDB">
        <w:rPr>
          <w:lang w:val="fr-FR"/>
        </w:rPr>
        <w:t>IPOPHL impliquant une ou plusieurs parties ayant leur siège en dehors des Philippines.</w:t>
      </w:r>
    </w:p>
    <w:p w:rsidR="007E6414" w:rsidRDefault="00647FE4" w:rsidP="00022FDB">
      <w:pPr>
        <w:pStyle w:val="ONUMFS"/>
        <w:rPr>
          <w:lang w:val="fr-FR"/>
        </w:rPr>
      </w:pPr>
      <w:r w:rsidRPr="00022FDB">
        <w:rPr>
          <w:lang w:val="fr-FR"/>
        </w:rPr>
        <w:t>Suite à la conclusion d</w:t>
      </w:r>
      <w:r w:rsidR="007E6414">
        <w:rPr>
          <w:lang w:val="fr-FR"/>
        </w:rPr>
        <w:t>’</w:t>
      </w:r>
      <w:r w:rsidRPr="00022FDB">
        <w:rPr>
          <w:lang w:val="fr-FR"/>
        </w:rPr>
        <w:t>un accord avec l</w:t>
      </w:r>
      <w:r w:rsidR="007E6414">
        <w:rPr>
          <w:lang w:val="fr-FR"/>
        </w:rPr>
        <w:t>’</w:t>
      </w:r>
      <w:r w:rsidRPr="00022FDB">
        <w:rPr>
          <w:lang w:val="fr-FR"/>
        </w:rPr>
        <w:t xml:space="preserve">Institut mexicain de la propriété industrielle (IMPI), le Centre collabore avec </w:t>
      </w:r>
      <w:r w:rsidR="00F45E7B" w:rsidRPr="00022FDB">
        <w:rPr>
          <w:lang w:val="fr-FR"/>
        </w:rPr>
        <w:t>cet office</w:t>
      </w:r>
      <w:r w:rsidRPr="00022FDB">
        <w:rPr>
          <w:lang w:val="fr-FR"/>
        </w:rPr>
        <w:t xml:space="preserve"> à l</w:t>
      </w:r>
      <w:r w:rsidR="007E6414">
        <w:rPr>
          <w:lang w:val="fr-FR"/>
        </w:rPr>
        <w:t>’</w:t>
      </w:r>
      <w:r w:rsidRPr="00022FDB">
        <w:rPr>
          <w:lang w:val="fr-FR"/>
        </w:rPr>
        <w:t>élaboration de procédures et de services de règlement extrajudiciaire des litiges en instance devant l</w:t>
      </w:r>
      <w:r w:rsidR="007E6414">
        <w:rPr>
          <w:lang w:val="fr-FR"/>
        </w:rPr>
        <w:t>’</w:t>
      </w:r>
      <w:r w:rsidRPr="00022FDB">
        <w:rPr>
          <w:lang w:val="fr-FR"/>
        </w:rPr>
        <w:t xml:space="preserve">IMPI.  </w:t>
      </w:r>
      <w:r w:rsidR="00515856" w:rsidRPr="00022FDB">
        <w:rPr>
          <w:lang w:val="fr-FR"/>
        </w:rPr>
        <w:t>En vertu d</w:t>
      </w:r>
      <w:r w:rsidR="007E6414">
        <w:rPr>
          <w:lang w:val="fr-FR"/>
        </w:rPr>
        <w:t>’</w:t>
      </w:r>
      <w:r w:rsidRPr="00022FDB">
        <w:rPr>
          <w:lang w:val="fr-FR"/>
        </w:rPr>
        <w:t>un accord avec la Direction nationale du droit d</w:t>
      </w:r>
      <w:r w:rsidR="007E6414">
        <w:rPr>
          <w:lang w:val="fr-FR"/>
        </w:rPr>
        <w:t>’</w:t>
      </w:r>
      <w:r w:rsidRPr="00022FDB">
        <w:rPr>
          <w:lang w:val="fr-FR"/>
        </w:rPr>
        <w:t xml:space="preserve">auteur de la République de Colombie et avec la Direction générale des droits de propriété intellectuelle en Indonésie (DGIPR), le Centre collabore également à </w:t>
      </w:r>
      <w:r w:rsidRPr="00022FDB">
        <w:rPr>
          <w:lang w:val="fr-FR"/>
        </w:rPr>
        <w:lastRenderedPageBreak/>
        <w:t>l</w:t>
      </w:r>
      <w:r w:rsidR="007E6414">
        <w:rPr>
          <w:lang w:val="fr-FR"/>
        </w:rPr>
        <w:t>’</w:t>
      </w:r>
      <w:r w:rsidRPr="00022FDB">
        <w:rPr>
          <w:lang w:val="fr-FR"/>
        </w:rPr>
        <w:t>élaboration de procédures et de services de règlement extrajudiciaire des litiges relatifs à certains droits dans ces ressorts juridiques.</w:t>
      </w:r>
    </w:p>
    <w:p w:rsidR="007E6414" w:rsidRDefault="00490B8E" w:rsidP="00022FDB">
      <w:pPr>
        <w:pStyle w:val="ONUMFS"/>
        <w:rPr>
          <w:lang w:val="fr-FR"/>
        </w:rPr>
      </w:pPr>
      <w:r w:rsidRPr="00022FDB">
        <w:rPr>
          <w:lang w:val="fr-FR"/>
        </w:rPr>
        <w:t>Suite à la conclusion d</w:t>
      </w:r>
      <w:r w:rsidR="007E6414">
        <w:rPr>
          <w:lang w:val="fr-FR"/>
        </w:rPr>
        <w:t>’</w:t>
      </w:r>
      <w:r w:rsidRPr="00022FDB">
        <w:rPr>
          <w:lang w:val="fr-FR"/>
        </w:rPr>
        <w:t>accords, la Commission coréenne du droit d</w:t>
      </w:r>
      <w:r w:rsidR="007E6414">
        <w:rPr>
          <w:lang w:val="fr-FR"/>
        </w:rPr>
        <w:t>’</w:t>
      </w:r>
      <w:r w:rsidRPr="00022FDB">
        <w:rPr>
          <w:lang w:val="fr-FR"/>
        </w:rPr>
        <w:t>auteur (KCC) et l</w:t>
      </w:r>
      <w:r w:rsidR="007E6414">
        <w:rPr>
          <w:lang w:val="fr-FR"/>
        </w:rPr>
        <w:t>’</w:t>
      </w:r>
      <w:r w:rsidRPr="00022FDB">
        <w:rPr>
          <w:lang w:val="fr-FR"/>
        </w:rPr>
        <w:t>Agence coréenne du contenu créatif (KOCCA) proposent une procédure optionnelle de médiation de l</w:t>
      </w:r>
      <w:r w:rsidR="007E6414">
        <w:rPr>
          <w:lang w:val="fr-FR"/>
        </w:rPr>
        <w:t>’</w:t>
      </w:r>
      <w:r w:rsidRPr="00022FDB">
        <w:rPr>
          <w:lang w:val="fr-FR"/>
        </w:rPr>
        <w:t xml:space="preserve">OMPI aux parties potentielles à des litiges impliquant une partie internationale depuis les mois de février et </w:t>
      </w:r>
      <w:r w:rsidR="007E6414" w:rsidRPr="00022FDB">
        <w:rPr>
          <w:lang w:val="fr-FR"/>
        </w:rPr>
        <w:t>mai</w:t>
      </w:r>
      <w:r w:rsidR="007E6414">
        <w:rPr>
          <w:lang w:val="fr-FR"/>
        </w:rPr>
        <w:t> </w:t>
      </w:r>
      <w:r w:rsidR="007E6414" w:rsidRPr="00022FDB">
        <w:rPr>
          <w:lang w:val="fr-FR"/>
        </w:rPr>
        <w:t>20</w:t>
      </w:r>
      <w:r w:rsidRPr="00022FDB">
        <w:rPr>
          <w:lang w:val="fr-FR"/>
        </w:rPr>
        <w:t>15 respectivement.</w:t>
      </w:r>
    </w:p>
    <w:p w:rsidR="00022FDB" w:rsidRDefault="00490B8E" w:rsidP="008A2DB7">
      <w:pPr>
        <w:pStyle w:val="Heading3"/>
      </w:pPr>
      <w:r w:rsidRPr="00022FDB">
        <w:t xml:space="preserve">Procédure </w:t>
      </w:r>
      <w:r w:rsidR="00515856" w:rsidRPr="00022FDB">
        <w:t>d</w:t>
      </w:r>
      <w:r w:rsidR="007E6414">
        <w:t>’</w:t>
      </w:r>
      <w:r w:rsidR="00515856" w:rsidRPr="00022FDB">
        <w:t>urgence</w:t>
      </w:r>
    </w:p>
    <w:p w:rsidR="008A2DB7" w:rsidRPr="008A2DB7" w:rsidRDefault="008A2DB7" w:rsidP="008A2DB7">
      <w:pPr>
        <w:rPr>
          <w:lang w:val="fr-FR"/>
        </w:rPr>
      </w:pPr>
    </w:p>
    <w:p w:rsidR="007E6414" w:rsidRDefault="007D544C" w:rsidP="00022FDB">
      <w:pPr>
        <w:pStyle w:val="ONUMFS"/>
        <w:rPr>
          <w:szCs w:val="22"/>
          <w:lang w:val="fr-FR"/>
        </w:rPr>
      </w:pPr>
      <w:r w:rsidRPr="00022FDB">
        <w:rPr>
          <w:lang w:val="fr-FR"/>
        </w:rPr>
        <w:t>Le Centre a maintenu ses relations avec les organisateurs de salons et les associations en vue d</w:t>
      </w:r>
      <w:r w:rsidR="007E6414">
        <w:rPr>
          <w:lang w:val="fr-FR"/>
        </w:rPr>
        <w:t>’</w:t>
      </w:r>
      <w:r w:rsidRPr="00022FDB">
        <w:rPr>
          <w:lang w:val="fr-FR"/>
        </w:rPr>
        <w:t>explorer les possibilités d</w:t>
      </w:r>
      <w:r w:rsidR="007E6414">
        <w:rPr>
          <w:lang w:val="fr-FR"/>
        </w:rPr>
        <w:t>’</w:t>
      </w:r>
      <w:r w:rsidRPr="00022FDB">
        <w:rPr>
          <w:lang w:val="fr-FR"/>
        </w:rPr>
        <w:t>utilisation de mécanismes extrajudiciaires de règlement des litiges survenant à l</w:t>
      </w:r>
      <w:r w:rsidR="007E6414">
        <w:rPr>
          <w:lang w:val="fr-FR"/>
        </w:rPr>
        <w:t>’</w:t>
      </w:r>
      <w:r w:rsidRPr="00022FDB">
        <w:rPr>
          <w:lang w:val="fr-FR"/>
        </w:rPr>
        <w:t>occasion de salons.</w:t>
      </w:r>
      <w:r w:rsidR="00C72C92" w:rsidRPr="00022FDB">
        <w:rPr>
          <w:lang w:val="fr-FR"/>
        </w:rPr>
        <w:t xml:space="preserve">  </w:t>
      </w:r>
      <w:r w:rsidR="00C231F0" w:rsidRPr="00022FDB">
        <w:rPr>
          <w:lang w:val="fr-FR"/>
        </w:rPr>
        <w:t>En</w:t>
      </w:r>
      <w:r w:rsidR="0035343A">
        <w:rPr>
          <w:lang w:val="fr-FR"/>
        </w:rPr>
        <w:t> </w:t>
      </w:r>
      <w:r w:rsidR="00C231F0" w:rsidRPr="00022FDB">
        <w:rPr>
          <w:lang w:val="fr-FR"/>
        </w:rPr>
        <w:t>2015, le Centre a établi la procédure d</w:t>
      </w:r>
      <w:r w:rsidR="007E6414">
        <w:rPr>
          <w:lang w:val="fr-FR"/>
        </w:rPr>
        <w:t>’</w:t>
      </w:r>
      <w:r w:rsidR="00C231F0" w:rsidRPr="00022FDB">
        <w:rPr>
          <w:lang w:val="fr-FR"/>
        </w:rPr>
        <w:t xml:space="preserve">urgence pour le règlement des litiges de propriété intellectuelle survenant dans le cadre de salons organisés à </w:t>
      </w:r>
      <w:proofErr w:type="spellStart"/>
      <w:r w:rsidR="00C231F0" w:rsidRPr="00022FDB">
        <w:rPr>
          <w:lang w:val="fr-FR"/>
        </w:rPr>
        <w:t>Palexpo</w:t>
      </w:r>
      <w:proofErr w:type="spellEnd"/>
      <w:r w:rsidR="00C231F0" w:rsidRPr="00022FDB">
        <w:rPr>
          <w:lang w:val="fr-FR"/>
        </w:rPr>
        <w:t>.</w:t>
      </w:r>
      <w:r w:rsidR="007E22BD" w:rsidRPr="00022FDB">
        <w:rPr>
          <w:lang w:val="fr-FR"/>
        </w:rPr>
        <w:t xml:space="preserve">  </w:t>
      </w:r>
      <w:r w:rsidR="00E161BC" w:rsidRPr="00022FDB">
        <w:rPr>
          <w:lang w:val="fr-FR"/>
        </w:rPr>
        <w:t>Cette procédure vise à protéger dans les meilleurs délais et au meilleur coût les droits de propriété intellectuelle des exposants et des non</w:t>
      </w:r>
      <w:r w:rsidR="00687BC3">
        <w:rPr>
          <w:lang w:val="fr-FR"/>
        </w:rPr>
        <w:noBreakHyphen/>
      </w:r>
      <w:r w:rsidR="00E161BC" w:rsidRPr="00022FDB">
        <w:rPr>
          <w:lang w:val="fr-FR"/>
        </w:rPr>
        <w:t>exposants contre toute atteinte au droit d</w:t>
      </w:r>
      <w:r w:rsidR="007E6414">
        <w:rPr>
          <w:lang w:val="fr-FR"/>
        </w:rPr>
        <w:t>’</w:t>
      </w:r>
      <w:r w:rsidR="00E161BC" w:rsidRPr="00022FDB">
        <w:rPr>
          <w:lang w:val="fr-FR"/>
        </w:rPr>
        <w:t>auteur ou aux droits attachés à des marques ou à des dessins ou modèles ou contre toute violation de la législation suisse sur la concurrence déloyale survenant à l</w:t>
      </w:r>
      <w:r w:rsidR="007E6414">
        <w:rPr>
          <w:lang w:val="fr-FR"/>
        </w:rPr>
        <w:t>’</w:t>
      </w:r>
      <w:r w:rsidR="00E161BC" w:rsidRPr="00022FDB">
        <w:rPr>
          <w:lang w:val="fr-FR"/>
        </w:rPr>
        <w:t xml:space="preserve">occasion de salons tenus au centre </w:t>
      </w:r>
      <w:proofErr w:type="spellStart"/>
      <w:r w:rsidR="00E161BC" w:rsidRPr="00022FDB">
        <w:rPr>
          <w:lang w:val="fr-FR"/>
        </w:rPr>
        <w:t>Palexpo</w:t>
      </w:r>
      <w:proofErr w:type="spellEnd"/>
      <w:r w:rsidR="00E161BC" w:rsidRPr="00022FDB">
        <w:rPr>
          <w:lang w:val="fr-FR"/>
        </w:rPr>
        <w:t xml:space="preserve"> de Genève (Suisse).</w:t>
      </w:r>
      <w:r w:rsidR="007E22BD" w:rsidRPr="00022FDB">
        <w:rPr>
          <w:lang w:val="fr-FR"/>
        </w:rPr>
        <w:t xml:space="preserve">  </w:t>
      </w:r>
      <w:r w:rsidR="00E161BC" w:rsidRPr="00022FDB">
        <w:rPr>
          <w:lang w:val="fr-FR"/>
        </w:rPr>
        <w:t>Les décisions en vertu de la procédure d</w:t>
      </w:r>
      <w:r w:rsidR="007E6414">
        <w:rPr>
          <w:lang w:val="fr-FR"/>
        </w:rPr>
        <w:t>’</w:t>
      </w:r>
      <w:r w:rsidR="00E161BC" w:rsidRPr="00022FDB">
        <w:rPr>
          <w:lang w:val="fr-FR"/>
        </w:rPr>
        <w:t xml:space="preserve">urgence de </w:t>
      </w:r>
      <w:proofErr w:type="spellStart"/>
      <w:r w:rsidR="00E161BC" w:rsidRPr="00022FDB">
        <w:rPr>
          <w:lang w:val="fr-FR"/>
        </w:rPr>
        <w:t>Palexpo</w:t>
      </w:r>
      <w:proofErr w:type="spellEnd"/>
      <w:r w:rsidR="00E161BC" w:rsidRPr="00022FDB">
        <w:rPr>
          <w:lang w:val="fr-FR"/>
        </w:rPr>
        <w:t xml:space="preserve"> sont rendues par </w:t>
      </w:r>
      <w:r w:rsidR="00A6544F" w:rsidRPr="00022FDB">
        <w:rPr>
          <w:lang w:val="fr-FR"/>
        </w:rPr>
        <w:t>un</w:t>
      </w:r>
      <w:r w:rsidR="00E161BC" w:rsidRPr="00022FDB">
        <w:rPr>
          <w:lang w:val="fr-FR"/>
        </w:rPr>
        <w:t xml:space="preserve"> expert unique dans les </w:t>
      </w:r>
      <w:r w:rsidR="00D81604">
        <w:rPr>
          <w:lang w:val="fr-FR"/>
        </w:rPr>
        <w:t>24 </w:t>
      </w:r>
      <w:r w:rsidR="00E161BC" w:rsidRPr="00022FDB">
        <w:rPr>
          <w:lang w:val="fr-FR"/>
        </w:rPr>
        <w:t>heures suivant la requête et sont exécutoires avec effet immédiat dans l</w:t>
      </w:r>
      <w:r w:rsidR="007E6414">
        <w:rPr>
          <w:lang w:val="fr-FR"/>
        </w:rPr>
        <w:t>’</w:t>
      </w:r>
      <w:r w:rsidR="00E161BC" w:rsidRPr="00022FDB">
        <w:rPr>
          <w:lang w:val="fr-FR"/>
        </w:rPr>
        <w:t>enceinte du salon.</w:t>
      </w:r>
      <w:r w:rsidR="00C72C92" w:rsidRPr="00022FDB">
        <w:rPr>
          <w:szCs w:val="22"/>
          <w:lang w:val="fr-FR"/>
        </w:rPr>
        <w:t xml:space="preserve">  </w:t>
      </w:r>
      <w:r w:rsidR="00E161BC" w:rsidRPr="00022FDB">
        <w:rPr>
          <w:szCs w:val="22"/>
          <w:lang w:val="fr-FR"/>
        </w:rPr>
        <w:t>Chaque partie peut former recours contre la décision de l</w:t>
      </w:r>
      <w:r w:rsidR="007E6414">
        <w:rPr>
          <w:szCs w:val="22"/>
          <w:lang w:val="fr-FR"/>
        </w:rPr>
        <w:t>’</w:t>
      </w:r>
      <w:r w:rsidR="00E161BC" w:rsidRPr="00022FDB">
        <w:rPr>
          <w:szCs w:val="22"/>
          <w:lang w:val="fr-FR"/>
        </w:rPr>
        <w:t>expert dans le cadre d</w:t>
      </w:r>
      <w:r w:rsidR="007E6414">
        <w:rPr>
          <w:szCs w:val="22"/>
          <w:lang w:val="fr-FR"/>
        </w:rPr>
        <w:t>’</w:t>
      </w:r>
      <w:r w:rsidR="00E161BC" w:rsidRPr="00022FDB">
        <w:rPr>
          <w:szCs w:val="22"/>
          <w:lang w:val="fr-FR"/>
        </w:rPr>
        <w:t>un arbitrage accéléré de l</w:t>
      </w:r>
      <w:r w:rsidR="007E6414">
        <w:rPr>
          <w:szCs w:val="22"/>
          <w:lang w:val="fr-FR"/>
        </w:rPr>
        <w:t>’</w:t>
      </w:r>
      <w:r w:rsidR="00E161BC" w:rsidRPr="00022FDB">
        <w:rPr>
          <w:szCs w:val="22"/>
          <w:lang w:val="fr-FR"/>
        </w:rPr>
        <w:t>OMPI ou devant un tribunal.</w:t>
      </w:r>
      <w:r w:rsidR="007E22BD" w:rsidRPr="00022FDB">
        <w:rPr>
          <w:szCs w:val="22"/>
          <w:lang w:val="fr-FR"/>
        </w:rPr>
        <w:t xml:space="preserve">  </w:t>
      </w:r>
      <w:r w:rsidR="00E161BC" w:rsidRPr="00022FDB">
        <w:rPr>
          <w:szCs w:val="22"/>
          <w:lang w:val="fr-FR"/>
        </w:rPr>
        <w:t>La procédure d</w:t>
      </w:r>
      <w:r w:rsidR="007E6414">
        <w:rPr>
          <w:szCs w:val="22"/>
          <w:lang w:val="fr-FR"/>
        </w:rPr>
        <w:t>’</w:t>
      </w:r>
      <w:r w:rsidR="00E161BC" w:rsidRPr="00022FDB">
        <w:rPr>
          <w:szCs w:val="22"/>
          <w:lang w:val="fr-FR"/>
        </w:rPr>
        <w:t>urgence a été utilisée pour la première fois au 85</w:t>
      </w:r>
      <w:r w:rsidR="00E161BC" w:rsidRPr="00022FDB">
        <w:rPr>
          <w:szCs w:val="22"/>
          <w:vertAlign w:val="superscript"/>
          <w:lang w:val="fr-FR"/>
        </w:rPr>
        <w:t>e</w:t>
      </w:r>
      <w:r w:rsidR="00515856" w:rsidRPr="00022FDB">
        <w:rPr>
          <w:szCs w:val="22"/>
          <w:lang w:val="fr-FR"/>
        </w:rPr>
        <w:t xml:space="preserve"> Salon international</w:t>
      </w:r>
      <w:r w:rsidR="00E161BC" w:rsidRPr="00022FDB">
        <w:rPr>
          <w:szCs w:val="22"/>
          <w:lang w:val="fr-FR"/>
        </w:rPr>
        <w:t xml:space="preserve"> de l</w:t>
      </w:r>
      <w:r w:rsidR="007E6414">
        <w:rPr>
          <w:szCs w:val="22"/>
          <w:lang w:val="fr-FR"/>
        </w:rPr>
        <w:t>’</w:t>
      </w:r>
      <w:r w:rsidR="00E161BC" w:rsidRPr="00022FDB">
        <w:rPr>
          <w:szCs w:val="22"/>
          <w:lang w:val="fr-FR"/>
        </w:rPr>
        <w:t>auto de Genève qui s</w:t>
      </w:r>
      <w:r w:rsidR="007E6414">
        <w:rPr>
          <w:szCs w:val="22"/>
          <w:lang w:val="fr-FR"/>
        </w:rPr>
        <w:t>’</w:t>
      </w:r>
      <w:r w:rsidR="00E161BC" w:rsidRPr="00022FDB">
        <w:rPr>
          <w:szCs w:val="22"/>
          <w:lang w:val="fr-FR"/>
        </w:rPr>
        <w:t xml:space="preserve">est tenu à </w:t>
      </w:r>
      <w:proofErr w:type="spellStart"/>
      <w:r w:rsidR="00E161BC" w:rsidRPr="00022FDB">
        <w:rPr>
          <w:szCs w:val="22"/>
          <w:lang w:val="fr-FR"/>
        </w:rPr>
        <w:t>Palexpo</w:t>
      </w:r>
      <w:proofErr w:type="spellEnd"/>
      <w:r w:rsidR="00E161BC" w:rsidRPr="00022FDB">
        <w:rPr>
          <w:szCs w:val="22"/>
          <w:lang w:val="fr-FR"/>
        </w:rPr>
        <w:t xml:space="preserve"> du 5 au 1</w:t>
      </w:r>
      <w:r w:rsidR="007E6414" w:rsidRPr="00022FDB">
        <w:rPr>
          <w:szCs w:val="22"/>
          <w:lang w:val="fr-FR"/>
        </w:rPr>
        <w:t>5</w:t>
      </w:r>
      <w:r w:rsidR="007E6414">
        <w:rPr>
          <w:szCs w:val="22"/>
          <w:lang w:val="fr-FR"/>
        </w:rPr>
        <w:t> </w:t>
      </w:r>
      <w:r w:rsidR="007E6414" w:rsidRPr="00022FDB">
        <w:rPr>
          <w:szCs w:val="22"/>
          <w:lang w:val="fr-FR"/>
        </w:rPr>
        <w:t>mars</w:t>
      </w:r>
      <w:r w:rsidR="00E161BC" w:rsidRPr="00022FDB">
        <w:rPr>
          <w:szCs w:val="22"/>
          <w:lang w:val="fr-FR"/>
        </w:rPr>
        <w:t> 2015.</w:t>
      </w:r>
    </w:p>
    <w:p w:rsidR="00022FDB" w:rsidRDefault="00E161BC" w:rsidP="008A2DB7">
      <w:pPr>
        <w:pStyle w:val="Heading3"/>
      </w:pPr>
      <w:r w:rsidRPr="00022FDB">
        <w:t>Règlement des litiges en matière de marques</w:t>
      </w:r>
    </w:p>
    <w:p w:rsidR="008A2DB7" w:rsidRPr="008A2DB7" w:rsidRDefault="008A2DB7" w:rsidP="008A2DB7">
      <w:pPr>
        <w:rPr>
          <w:lang w:val="fr-FR"/>
        </w:rPr>
      </w:pPr>
    </w:p>
    <w:p w:rsidR="00022FDB" w:rsidRPr="00022FDB" w:rsidRDefault="00E161BC" w:rsidP="00022FDB">
      <w:pPr>
        <w:pStyle w:val="ONUMFS"/>
        <w:rPr>
          <w:lang w:val="fr-FR"/>
        </w:rPr>
      </w:pPr>
      <w:r w:rsidRPr="00022FDB">
        <w:rPr>
          <w:lang w:val="fr-FR"/>
        </w:rPr>
        <w:t>Pour stimuler l</w:t>
      </w:r>
      <w:r w:rsidR="007E6414">
        <w:rPr>
          <w:lang w:val="fr-FR"/>
        </w:rPr>
        <w:t>’</w:t>
      </w:r>
      <w:r w:rsidRPr="00022FDB">
        <w:rPr>
          <w:lang w:val="fr-FR"/>
        </w:rPr>
        <w:t>utilisation de la médiation par les parties et réduire l</w:t>
      </w:r>
      <w:r w:rsidR="007E6414">
        <w:rPr>
          <w:lang w:val="fr-FR"/>
        </w:rPr>
        <w:t>’</w:t>
      </w:r>
      <w:r w:rsidRPr="00022FDB">
        <w:rPr>
          <w:lang w:val="fr-FR"/>
        </w:rPr>
        <w:t>incidence négative des litiges sur l</w:t>
      </w:r>
      <w:r w:rsidR="007E6414">
        <w:rPr>
          <w:lang w:val="fr-FR"/>
        </w:rPr>
        <w:t>’</w:t>
      </w:r>
      <w:r w:rsidRPr="00022FDB">
        <w:rPr>
          <w:lang w:val="fr-FR"/>
        </w:rPr>
        <w:t>utilisation productive des droits attachés aux marques, le Centre et l</w:t>
      </w:r>
      <w:r w:rsidR="007E6414">
        <w:rPr>
          <w:lang w:val="fr-FR"/>
        </w:rPr>
        <w:t>’</w:t>
      </w:r>
      <w:r w:rsidRPr="00022FDB">
        <w:rPr>
          <w:lang w:val="fr-FR"/>
        </w:rPr>
        <w:t xml:space="preserve">Association internationale pour les marques (INTA) sont convenus en </w:t>
      </w:r>
      <w:r w:rsidR="007E6414" w:rsidRPr="00022FDB">
        <w:rPr>
          <w:lang w:val="fr-FR"/>
        </w:rPr>
        <w:t>février</w:t>
      </w:r>
      <w:r w:rsidR="007E6414">
        <w:rPr>
          <w:lang w:val="fr-FR"/>
        </w:rPr>
        <w:t> </w:t>
      </w:r>
      <w:r w:rsidR="007E6414" w:rsidRPr="00022FDB">
        <w:rPr>
          <w:lang w:val="fr-FR"/>
        </w:rPr>
        <w:t>20</w:t>
      </w:r>
      <w:r w:rsidRPr="00022FDB">
        <w:rPr>
          <w:lang w:val="fr-FR"/>
        </w:rPr>
        <w:t>15 d</w:t>
      </w:r>
      <w:r w:rsidR="007E6414">
        <w:rPr>
          <w:lang w:val="fr-FR"/>
        </w:rPr>
        <w:t>’</w:t>
      </w:r>
      <w:r w:rsidRPr="00022FDB">
        <w:rPr>
          <w:lang w:val="fr-FR"/>
        </w:rPr>
        <w:t>une collaboration visant à faire mieux connaître la médiation parmi les membres de l</w:t>
      </w:r>
      <w:r w:rsidR="007E6414">
        <w:rPr>
          <w:lang w:val="fr-FR"/>
        </w:rPr>
        <w:t>’</w:t>
      </w:r>
      <w:r w:rsidRPr="00022FDB">
        <w:rPr>
          <w:lang w:val="fr-FR"/>
        </w:rPr>
        <w:t>INTA.</w:t>
      </w:r>
    </w:p>
    <w:p w:rsidR="00022FDB" w:rsidRDefault="00022FDB" w:rsidP="008A2DB7">
      <w:pPr>
        <w:pStyle w:val="Heading3"/>
      </w:pPr>
      <w:r w:rsidRPr="00022FDB">
        <w:t>R</w:t>
      </w:r>
      <w:r w:rsidR="00F717BE" w:rsidRPr="00022FDB">
        <w:t>èglement des litiges portant sur les brevets dans les normes</w:t>
      </w:r>
    </w:p>
    <w:p w:rsidR="008A2DB7" w:rsidRPr="008A2DB7" w:rsidRDefault="008A2DB7" w:rsidP="008A2DB7">
      <w:pPr>
        <w:rPr>
          <w:lang w:val="fr-FR"/>
        </w:rPr>
      </w:pPr>
    </w:p>
    <w:p w:rsidR="00022FDB" w:rsidRPr="00022FDB" w:rsidRDefault="00F717BE" w:rsidP="00022FDB">
      <w:pPr>
        <w:pStyle w:val="ONUMFS"/>
        <w:rPr>
          <w:lang w:val="fr-FR"/>
        </w:rPr>
      </w:pPr>
      <w:r w:rsidRPr="00022FDB">
        <w:rPr>
          <w:szCs w:val="22"/>
          <w:lang w:val="fr-FR"/>
        </w:rPr>
        <w:t>Le Centre a poursuivi sa collaboration avec l</w:t>
      </w:r>
      <w:r w:rsidR="007E6414">
        <w:rPr>
          <w:szCs w:val="22"/>
          <w:lang w:val="fr-FR"/>
        </w:rPr>
        <w:t>’</w:t>
      </w:r>
      <w:r w:rsidRPr="00022FDB">
        <w:rPr>
          <w:szCs w:val="22"/>
          <w:lang w:val="fr-FR"/>
        </w:rPr>
        <w:t>Institut européen des normes de télécommunications (IENT) pour élaborer et promouvoir des conventions ad</w:t>
      </w:r>
      <w:r w:rsidR="0035343A">
        <w:rPr>
          <w:szCs w:val="22"/>
          <w:lang w:val="fr-FR"/>
        </w:rPr>
        <w:t> </w:t>
      </w:r>
      <w:r w:rsidRPr="00022FDB">
        <w:rPr>
          <w:szCs w:val="22"/>
          <w:lang w:val="fr-FR"/>
        </w:rPr>
        <w:t>hoc types sur mesure en matière d</w:t>
      </w:r>
      <w:r w:rsidR="007E6414">
        <w:rPr>
          <w:szCs w:val="22"/>
          <w:lang w:val="fr-FR"/>
        </w:rPr>
        <w:t>’</w:t>
      </w:r>
      <w:r w:rsidRPr="00022FDB">
        <w:rPr>
          <w:szCs w:val="22"/>
          <w:lang w:val="fr-FR"/>
        </w:rPr>
        <w:t>arbitrage qui offrent un cadre pour un règlement des litiges rapide et financièrement avantageux impliquant la concession de licences dans des conditions équitables, raisonnables et non discriminatoires (conditions FRAND)</w:t>
      </w:r>
      <w:r w:rsidRPr="00022FDB">
        <w:rPr>
          <w:rStyle w:val="FootnoteReference"/>
          <w:szCs w:val="22"/>
          <w:lang w:val="fr-FR"/>
        </w:rPr>
        <w:footnoteReference w:id="6"/>
      </w:r>
      <w:r w:rsidRPr="00022FDB">
        <w:rPr>
          <w:szCs w:val="22"/>
          <w:lang w:val="fr-FR"/>
        </w:rPr>
        <w:t>.</w:t>
      </w:r>
      <w:r w:rsidR="00384EE8" w:rsidRPr="00022FDB">
        <w:rPr>
          <w:szCs w:val="22"/>
          <w:lang w:val="fr-FR"/>
        </w:rPr>
        <w:t xml:space="preserve">  </w:t>
      </w:r>
      <w:r w:rsidRPr="00022FDB">
        <w:rPr>
          <w:szCs w:val="22"/>
          <w:lang w:val="fr-FR"/>
        </w:rPr>
        <w:t>Le recours au règlement extrajudiciaire pour ce type de litiges a été encouragé par les administrations chargées de la concurrence dans certains pays, et plusieurs organismes de normalisation intègrent les procédures de règlement extrajudiciaire des litiges dans leurs politiques en matière de propriété intellectuelle.</w:t>
      </w:r>
      <w:r w:rsidR="00384EE8" w:rsidRPr="00022FDB">
        <w:rPr>
          <w:lang w:val="fr-FR"/>
        </w:rPr>
        <w:t xml:space="preserve">  </w:t>
      </w:r>
      <w:r w:rsidRPr="00022FDB">
        <w:rPr>
          <w:lang w:val="fr-FR"/>
        </w:rPr>
        <w:t>Les conventions types OMPI FRAND s</w:t>
      </w:r>
      <w:r w:rsidR="007E6414">
        <w:rPr>
          <w:lang w:val="fr-FR"/>
        </w:rPr>
        <w:t>’</w:t>
      </w:r>
      <w:r w:rsidRPr="00022FDB">
        <w:rPr>
          <w:lang w:val="fr-FR"/>
        </w:rPr>
        <w:t>appuient sur l</w:t>
      </w:r>
      <w:r w:rsidR="007E6414">
        <w:rPr>
          <w:lang w:val="fr-FR"/>
        </w:rPr>
        <w:t>’</w:t>
      </w:r>
      <w:r w:rsidRPr="00022FDB">
        <w:rPr>
          <w:lang w:val="fr-FR"/>
        </w:rPr>
        <w:t>expérience du Centre en matière d</w:t>
      </w:r>
      <w:r w:rsidR="007E6414">
        <w:rPr>
          <w:lang w:val="fr-FR"/>
        </w:rPr>
        <w:t>’</w:t>
      </w:r>
      <w:r w:rsidRPr="00022FDB">
        <w:rPr>
          <w:lang w:val="fr-FR"/>
        </w:rPr>
        <w:t xml:space="preserve">arbitrages complexes </w:t>
      </w:r>
      <w:r w:rsidR="00515856" w:rsidRPr="00022FDB">
        <w:rPr>
          <w:lang w:val="fr-FR"/>
        </w:rPr>
        <w:t>dans le domaine des</w:t>
      </w:r>
      <w:r w:rsidRPr="00022FDB">
        <w:rPr>
          <w:lang w:val="fr-FR"/>
        </w:rPr>
        <w:t xml:space="preserve"> brevets et </w:t>
      </w:r>
      <w:r w:rsidR="00515856" w:rsidRPr="00022FDB">
        <w:rPr>
          <w:lang w:val="fr-FR"/>
        </w:rPr>
        <w:t xml:space="preserve">offrent une série </w:t>
      </w:r>
      <w:r w:rsidRPr="00022FDB">
        <w:rPr>
          <w:lang w:val="fr-FR"/>
        </w:rPr>
        <w:t xml:space="preserve">de </w:t>
      </w:r>
      <w:r w:rsidR="00515856" w:rsidRPr="00022FDB">
        <w:rPr>
          <w:lang w:val="fr-FR"/>
        </w:rPr>
        <w:t xml:space="preserve">clauses spécialement adaptées aux conditions </w:t>
      </w:r>
      <w:r w:rsidRPr="00022FDB">
        <w:rPr>
          <w:lang w:val="fr-FR"/>
        </w:rPr>
        <w:t>FRAND</w:t>
      </w:r>
      <w:r w:rsidRPr="00022FDB">
        <w:rPr>
          <w:rStyle w:val="FootnoteReference"/>
          <w:lang w:val="fr-FR"/>
        </w:rPr>
        <w:footnoteReference w:id="7"/>
      </w:r>
      <w:r w:rsidRPr="00022FDB">
        <w:rPr>
          <w:lang w:val="fr-FR"/>
        </w:rPr>
        <w:t>.</w:t>
      </w:r>
      <w:r w:rsidR="008B60B0" w:rsidRPr="00022FDB">
        <w:rPr>
          <w:szCs w:val="22"/>
          <w:lang w:val="fr-FR"/>
        </w:rPr>
        <w:t xml:space="preserve">  </w:t>
      </w:r>
      <w:r w:rsidRPr="00022FDB">
        <w:rPr>
          <w:szCs w:val="22"/>
          <w:lang w:val="fr-FR"/>
        </w:rPr>
        <w:t>La procédure d</w:t>
      </w:r>
      <w:r w:rsidR="007E6414">
        <w:rPr>
          <w:szCs w:val="22"/>
          <w:lang w:val="fr-FR"/>
        </w:rPr>
        <w:t>’</w:t>
      </w:r>
      <w:r w:rsidRPr="00022FDB">
        <w:rPr>
          <w:szCs w:val="22"/>
          <w:lang w:val="fr-FR"/>
        </w:rPr>
        <w:t>arbitrage FRAND de l</w:t>
      </w:r>
      <w:r w:rsidR="007E6414">
        <w:rPr>
          <w:szCs w:val="22"/>
          <w:lang w:val="fr-FR"/>
        </w:rPr>
        <w:t>’</w:t>
      </w:r>
      <w:r w:rsidRPr="00022FDB">
        <w:rPr>
          <w:szCs w:val="22"/>
          <w:lang w:val="fr-FR"/>
        </w:rPr>
        <w:t>OMPI peut être précédée d</w:t>
      </w:r>
      <w:r w:rsidR="007E6414">
        <w:rPr>
          <w:szCs w:val="22"/>
          <w:lang w:val="fr-FR"/>
        </w:rPr>
        <w:t>’</w:t>
      </w:r>
      <w:r w:rsidRPr="00022FDB">
        <w:rPr>
          <w:szCs w:val="22"/>
          <w:lang w:val="fr-FR"/>
        </w:rPr>
        <w:t>une médiation de l</w:t>
      </w:r>
      <w:r w:rsidR="007E6414">
        <w:rPr>
          <w:szCs w:val="22"/>
          <w:lang w:val="fr-FR"/>
        </w:rPr>
        <w:t>’</w:t>
      </w:r>
      <w:r w:rsidRPr="00022FDB">
        <w:rPr>
          <w:szCs w:val="22"/>
          <w:lang w:val="fr-FR"/>
        </w:rPr>
        <w:t>OMPI si les parties le souhaitent.</w:t>
      </w:r>
      <w:r w:rsidR="008B60B0" w:rsidRPr="00022FDB">
        <w:rPr>
          <w:szCs w:val="22"/>
          <w:lang w:val="fr-FR"/>
        </w:rPr>
        <w:t xml:space="preserve">  </w:t>
      </w:r>
      <w:r w:rsidRPr="00022FDB">
        <w:rPr>
          <w:szCs w:val="22"/>
          <w:lang w:val="fr-FR"/>
        </w:rPr>
        <w:t>Compte tenu du taux de réussite des médiations (70%) et des arbitrages de l</w:t>
      </w:r>
      <w:r w:rsidR="007E6414">
        <w:rPr>
          <w:szCs w:val="22"/>
          <w:lang w:val="fr-FR"/>
        </w:rPr>
        <w:t>’</w:t>
      </w:r>
      <w:r w:rsidRPr="00022FDB">
        <w:rPr>
          <w:szCs w:val="22"/>
          <w:lang w:val="fr-FR"/>
        </w:rPr>
        <w:t xml:space="preserve">OMPI (40%), un renvoi aux procédures </w:t>
      </w:r>
      <w:r w:rsidRPr="00022FDB">
        <w:rPr>
          <w:szCs w:val="22"/>
          <w:lang w:val="fr-FR"/>
        </w:rPr>
        <w:lastRenderedPageBreak/>
        <w:t>proposées par l</w:t>
      </w:r>
      <w:r w:rsidR="007E6414">
        <w:rPr>
          <w:szCs w:val="22"/>
          <w:lang w:val="fr-FR"/>
        </w:rPr>
        <w:t>’</w:t>
      </w:r>
      <w:r w:rsidR="00767D4A" w:rsidRPr="00022FDB">
        <w:rPr>
          <w:szCs w:val="22"/>
          <w:lang w:val="fr-FR"/>
        </w:rPr>
        <w:t>OMPI peut favoriser l</w:t>
      </w:r>
      <w:r w:rsidR="007E6414">
        <w:rPr>
          <w:szCs w:val="22"/>
          <w:lang w:val="fr-FR"/>
        </w:rPr>
        <w:t>’</w:t>
      </w:r>
      <w:r w:rsidR="00767D4A" w:rsidRPr="00022FDB">
        <w:rPr>
          <w:szCs w:val="22"/>
          <w:lang w:val="fr-FR"/>
        </w:rPr>
        <w:t xml:space="preserve">issue </w:t>
      </w:r>
      <w:r w:rsidRPr="00022FDB">
        <w:rPr>
          <w:szCs w:val="22"/>
          <w:lang w:val="fr-FR"/>
        </w:rPr>
        <w:t>des négociations de conditions équitables, raisonnables et non discriminatoires.</w:t>
      </w:r>
    </w:p>
    <w:p w:rsidR="00022FDB" w:rsidRDefault="00F717BE" w:rsidP="008A2DB7">
      <w:pPr>
        <w:pStyle w:val="Heading3"/>
      </w:pPr>
      <w:r w:rsidRPr="00022FDB">
        <w:t xml:space="preserve">Règlement des litiges </w:t>
      </w:r>
      <w:r w:rsidR="00767D4A" w:rsidRPr="00022FDB">
        <w:t>en matière de</w:t>
      </w:r>
      <w:r w:rsidRPr="00022FDB">
        <w:t xml:space="preserve"> recherche</w:t>
      </w:r>
      <w:r w:rsidR="00687BC3">
        <w:noBreakHyphen/>
      </w:r>
      <w:r w:rsidRPr="00022FDB">
        <w:t>développement</w:t>
      </w:r>
    </w:p>
    <w:p w:rsidR="008A2DB7" w:rsidRPr="008A2DB7" w:rsidRDefault="008A2DB7" w:rsidP="008A2DB7">
      <w:pPr>
        <w:rPr>
          <w:lang w:val="fr-FR"/>
        </w:rPr>
      </w:pPr>
    </w:p>
    <w:p w:rsidR="007E6414" w:rsidRDefault="00F717BE" w:rsidP="00022FDB">
      <w:pPr>
        <w:pStyle w:val="ONUMFS"/>
        <w:rPr>
          <w:lang w:val="fr-FR"/>
        </w:rPr>
      </w:pPr>
      <w:r w:rsidRPr="00022FDB">
        <w:rPr>
          <w:lang w:val="fr-FR"/>
        </w:rPr>
        <w:t>Suite à une collaboration avec les parties prenantes à la R</w:t>
      </w:r>
      <w:r w:rsidR="00687BC3">
        <w:rPr>
          <w:lang w:val="fr-FR"/>
        </w:rPr>
        <w:noBreakHyphen/>
      </w:r>
      <w:r w:rsidRPr="00022FDB">
        <w:rPr>
          <w:lang w:val="fr-FR"/>
        </w:rPr>
        <w:t>D européenne</w:t>
      </w:r>
      <w:r w:rsidRPr="00022FDB">
        <w:rPr>
          <w:rStyle w:val="FootnoteReference"/>
          <w:lang w:val="fr-FR"/>
        </w:rPr>
        <w:footnoteReference w:id="8"/>
      </w:r>
      <w:r w:rsidRPr="00022FDB">
        <w:rPr>
          <w:lang w:val="fr-FR"/>
        </w:rPr>
        <w:t xml:space="preserve">, </w:t>
      </w:r>
      <w:r w:rsidR="0024545E" w:rsidRPr="00022FDB">
        <w:rPr>
          <w:lang w:val="fr-FR"/>
        </w:rPr>
        <w:t>des institutions</w:t>
      </w:r>
      <w:r w:rsidRPr="00022FDB">
        <w:rPr>
          <w:lang w:val="fr-FR"/>
        </w:rPr>
        <w:t xml:space="preserve"> allemandes</w:t>
      </w:r>
      <w:r w:rsidRPr="00022FDB">
        <w:rPr>
          <w:rStyle w:val="FootnoteReference"/>
          <w:lang w:val="fr-FR"/>
        </w:rPr>
        <w:footnoteReference w:id="9"/>
      </w:r>
      <w:r w:rsidRPr="00022FDB">
        <w:rPr>
          <w:lang w:val="fr-FR"/>
        </w:rPr>
        <w:t xml:space="preserve"> et des entités autrichiennes</w:t>
      </w:r>
      <w:r w:rsidRPr="00022FDB">
        <w:rPr>
          <w:rStyle w:val="FootnoteReference"/>
          <w:lang w:val="fr-FR"/>
        </w:rPr>
        <w:footnoteReference w:id="10"/>
      </w:r>
      <w:r w:rsidRPr="00022FDB">
        <w:rPr>
          <w:lang w:val="fr-FR"/>
        </w:rPr>
        <w:t>, le Centre a participé à l</w:t>
      </w:r>
      <w:r w:rsidR="007E6414">
        <w:rPr>
          <w:lang w:val="fr-FR"/>
        </w:rPr>
        <w:t>’</w:t>
      </w:r>
      <w:r w:rsidRPr="00022FDB">
        <w:rPr>
          <w:lang w:val="fr-FR"/>
        </w:rPr>
        <w:t>élaboration d</w:t>
      </w:r>
      <w:r w:rsidR="007E6414">
        <w:rPr>
          <w:lang w:val="fr-FR"/>
        </w:rPr>
        <w:t>’</w:t>
      </w:r>
      <w:r w:rsidRPr="00022FDB">
        <w:rPr>
          <w:lang w:val="fr-FR"/>
        </w:rPr>
        <w:t>accords types visant à favoriser une transmission efficace du savoir et de la technologie.</w:t>
      </w:r>
      <w:r w:rsidR="00D36FF7" w:rsidRPr="00022FDB">
        <w:rPr>
          <w:lang w:val="fr-FR"/>
        </w:rPr>
        <w:t xml:space="preserve">  </w:t>
      </w:r>
      <w:r w:rsidRPr="00022FDB">
        <w:rPr>
          <w:lang w:val="fr-FR"/>
        </w:rPr>
        <w:t>Il s</w:t>
      </w:r>
      <w:r w:rsidR="007E6414">
        <w:rPr>
          <w:lang w:val="fr-FR"/>
        </w:rPr>
        <w:t>’</w:t>
      </w:r>
      <w:r w:rsidRPr="00022FDB">
        <w:rPr>
          <w:lang w:val="fr-FR"/>
        </w:rPr>
        <w:t>est notamment agi d</w:t>
      </w:r>
      <w:r w:rsidR="007E6414">
        <w:rPr>
          <w:lang w:val="fr-FR"/>
        </w:rPr>
        <w:t>’</w:t>
      </w:r>
      <w:r w:rsidRPr="00022FDB">
        <w:rPr>
          <w:lang w:val="fr-FR"/>
        </w:rPr>
        <w:t>une collaboration avec l</w:t>
      </w:r>
      <w:r w:rsidR="007E6414">
        <w:rPr>
          <w:lang w:val="fr-FR"/>
        </w:rPr>
        <w:t>’</w:t>
      </w:r>
      <w:r w:rsidRPr="00022FDB">
        <w:rPr>
          <w:lang w:val="fr-FR"/>
        </w:rPr>
        <w:t>Office espagnol des brevets et des marques (OEPM) pour l</w:t>
      </w:r>
      <w:r w:rsidR="007E6414">
        <w:rPr>
          <w:lang w:val="fr-FR"/>
        </w:rPr>
        <w:t>’</w:t>
      </w:r>
      <w:r w:rsidRPr="00022FDB">
        <w:rPr>
          <w:lang w:val="fr-FR"/>
        </w:rPr>
        <w:t>élaboration d</w:t>
      </w:r>
      <w:r w:rsidR="007E6414">
        <w:rPr>
          <w:lang w:val="fr-FR"/>
        </w:rPr>
        <w:t>’</w:t>
      </w:r>
      <w:r w:rsidRPr="00022FDB">
        <w:rPr>
          <w:lang w:val="fr-FR"/>
        </w:rPr>
        <w:t>accords types de R</w:t>
      </w:r>
      <w:r w:rsidR="00687BC3">
        <w:rPr>
          <w:lang w:val="fr-FR"/>
        </w:rPr>
        <w:noBreakHyphen/>
      </w:r>
      <w:r w:rsidRPr="00022FDB">
        <w:rPr>
          <w:lang w:val="fr-FR"/>
        </w:rPr>
        <w:t>D prévoyant des options de médiation et d</w:t>
      </w:r>
      <w:r w:rsidR="007E6414">
        <w:rPr>
          <w:lang w:val="fr-FR"/>
        </w:rPr>
        <w:t>’</w:t>
      </w:r>
      <w:r w:rsidR="0024545E" w:rsidRPr="00022FDB">
        <w:rPr>
          <w:lang w:val="fr-FR"/>
        </w:rPr>
        <w:t>arbitrage</w:t>
      </w:r>
      <w:r w:rsidRPr="00022FDB">
        <w:rPr>
          <w:lang w:val="fr-FR"/>
        </w:rPr>
        <w:t xml:space="preserve"> accéléré de l</w:t>
      </w:r>
      <w:r w:rsidR="007E6414">
        <w:rPr>
          <w:lang w:val="fr-FR"/>
        </w:rPr>
        <w:t>’</w:t>
      </w:r>
      <w:r w:rsidRPr="00022FDB">
        <w:rPr>
          <w:lang w:val="fr-FR"/>
        </w:rPr>
        <w:t>OMPI.</w:t>
      </w:r>
    </w:p>
    <w:p w:rsidR="00022FDB" w:rsidRPr="00022FDB" w:rsidRDefault="00022FDB" w:rsidP="00022FDB">
      <w:pPr>
        <w:pStyle w:val="ONUMFS"/>
        <w:rPr>
          <w:lang w:val="fr-FR"/>
        </w:rPr>
      </w:pPr>
      <w:r w:rsidRPr="00022FDB">
        <w:rPr>
          <w:lang w:val="fr-FR"/>
        </w:rPr>
        <w:t>E</w:t>
      </w:r>
      <w:r w:rsidR="00011017" w:rsidRPr="00022FDB">
        <w:rPr>
          <w:lang w:val="fr-FR"/>
        </w:rPr>
        <w:t>n outre, dans le cadre d</w:t>
      </w:r>
      <w:r w:rsidR="007E6414">
        <w:rPr>
          <w:lang w:val="fr-FR"/>
        </w:rPr>
        <w:t>’</w:t>
      </w:r>
      <w:r w:rsidR="00011017" w:rsidRPr="00022FDB">
        <w:rPr>
          <w:lang w:val="fr-FR"/>
        </w:rPr>
        <w:t>une initiative plus vaste faisant l</w:t>
      </w:r>
      <w:r w:rsidR="007E6414">
        <w:rPr>
          <w:lang w:val="fr-FR"/>
        </w:rPr>
        <w:t>’</w:t>
      </w:r>
      <w:r w:rsidR="00011017" w:rsidRPr="00022FDB">
        <w:rPr>
          <w:lang w:val="fr-FR"/>
        </w:rPr>
        <w:t>objet d</w:t>
      </w:r>
      <w:r w:rsidR="007E6414">
        <w:rPr>
          <w:lang w:val="fr-FR"/>
        </w:rPr>
        <w:t>’</w:t>
      </w:r>
      <w:r w:rsidR="00011017" w:rsidRPr="00022FDB">
        <w:rPr>
          <w:lang w:val="fr-FR"/>
        </w:rPr>
        <w:t>un mémorandum d</w:t>
      </w:r>
      <w:r w:rsidR="007E6414">
        <w:rPr>
          <w:lang w:val="fr-FR"/>
        </w:rPr>
        <w:t>’</w:t>
      </w:r>
      <w:r w:rsidR="00011017" w:rsidRPr="00022FDB">
        <w:rPr>
          <w:lang w:val="fr-FR"/>
        </w:rPr>
        <w:t>accord, le Centre a poursuivi sa collaboration avec l</w:t>
      </w:r>
      <w:r w:rsidR="007E6414">
        <w:rPr>
          <w:lang w:val="fr-FR"/>
        </w:rPr>
        <w:t>’</w:t>
      </w:r>
      <w:r w:rsidR="00011017" w:rsidRPr="00022FDB">
        <w:rPr>
          <w:lang w:val="fr-FR"/>
        </w:rPr>
        <w:t xml:space="preserve">Association of </w:t>
      </w:r>
      <w:proofErr w:type="spellStart"/>
      <w:r w:rsidR="00011017" w:rsidRPr="00022FDB">
        <w:rPr>
          <w:lang w:val="fr-FR"/>
        </w:rPr>
        <w:t>University</w:t>
      </w:r>
      <w:proofErr w:type="spellEnd"/>
      <w:r w:rsidR="00011017" w:rsidRPr="00022FDB">
        <w:rPr>
          <w:lang w:val="fr-FR"/>
        </w:rPr>
        <w:t xml:space="preserve"> </w:t>
      </w:r>
      <w:proofErr w:type="spellStart"/>
      <w:r w:rsidR="00011017" w:rsidRPr="00022FDB">
        <w:rPr>
          <w:lang w:val="fr-FR"/>
        </w:rPr>
        <w:t>Technology</w:t>
      </w:r>
      <w:proofErr w:type="spellEnd"/>
      <w:r w:rsidR="00011017" w:rsidRPr="00022FDB">
        <w:rPr>
          <w:lang w:val="fr-FR"/>
        </w:rPr>
        <w:t xml:space="preserve"> Managers (AUTM) pour promouvoir un règlement efficace des litiges à l</w:t>
      </w:r>
      <w:r w:rsidR="007E6414">
        <w:rPr>
          <w:lang w:val="fr-FR"/>
        </w:rPr>
        <w:t>’</w:t>
      </w:r>
      <w:r w:rsidR="00011017" w:rsidRPr="00022FDB">
        <w:rPr>
          <w:lang w:val="fr-FR"/>
        </w:rPr>
        <w:t>intention des services de transfert de technologie des universités du monde entier.</w:t>
      </w:r>
      <w:r w:rsidR="00261CAD" w:rsidRPr="00022FDB">
        <w:rPr>
          <w:lang w:val="fr-FR"/>
        </w:rPr>
        <w:t xml:space="preserve">  </w:t>
      </w:r>
      <w:r w:rsidR="00E01AD2" w:rsidRPr="00022FDB">
        <w:rPr>
          <w:lang w:val="fr-FR"/>
        </w:rPr>
        <w:t>Suite à la conclusion d</w:t>
      </w:r>
      <w:r w:rsidR="007E6414">
        <w:rPr>
          <w:lang w:val="fr-FR"/>
        </w:rPr>
        <w:t>’</w:t>
      </w:r>
      <w:r w:rsidR="00E01AD2" w:rsidRPr="00022FDB">
        <w:rPr>
          <w:lang w:val="fr-FR"/>
        </w:rPr>
        <w:t>un précédent mémorandum d</w:t>
      </w:r>
      <w:r w:rsidR="007E6414">
        <w:rPr>
          <w:lang w:val="fr-FR"/>
        </w:rPr>
        <w:t>’</w:t>
      </w:r>
      <w:r w:rsidR="00E01AD2" w:rsidRPr="00022FDB">
        <w:rPr>
          <w:lang w:val="fr-FR"/>
        </w:rPr>
        <w:t>accord sur les technologies vertes entre l</w:t>
      </w:r>
      <w:r w:rsidR="007E6414">
        <w:rPr>
          <w:lang w:val="fr-FR"/>
        </w:rPr>
        <w:t>’</w:t>
      </w:r>
      <w:r w:rsidR="00E01AD2" w:rsidRPr="00022FDB">
        <w:rPr>
          <w:lang w:val="fr-FR"/>
        </w:rPr>
        <w:t xml:space="preserve">OMPI et la </w:t>
      </w:r>
      <w:proofErr w:type="spellStart"/>
      <w:r w:rsidR="00E01AD2" w:rsidRPr="00022FDB">
        <w:rPr>
          <w:lang w:val="fr-FR"/>
        </w:rPr>
        <w:t>Korea</w:t>
      </w:r>
      <w:proofErr w:type="spellEnd"/>
      <w:r w:rsidR="00E01AD2" w:rsidRPr="00022FDB">
        <w:rPr>
          <w:lang w:val="fr-FR"/>
        </w:rPr>
        <w:t xml:space="preserve"> </w:t>
      </w:r>
      <w:proofErr w:type="spellStart"/>
      <w:r w:rsidR="00E01AD2" w:rsidRPr="00022FDB">
        <w:rPr>
          <w:lang w:val="fr-FR"/>
        </w:rPr>
        <w:t>Technology</w:t>
      </w:r>
      <w:proofErr w:type="spellEnd"/>
      <w:r w:rsidR="00E01AD2" w:rsidRPr="00022FDB">
        <w:rPr>
          <w:lang w:val="fr-FR"/>
        </w:rPr>
        <w:t xml:space="preserve"> Finance Corporation (KOTEC), institution financière sans but lucratif qui fournit aux petites entreprises de la République de Corée des garanties pour le développement technologique, le Centre et</w:t>
      </w:r>
      <w:r w:rsidR="007E6414" w:rsidRPr="00022FDB">
        <w:rPr>
          <w:lang w:val="fr-FR"/>
        </w:rPr>
        <w:t xml:space="preserve"> la</w:t>
      </w:r>
      <w:r w:rsidR="007E6414">
        <w:rPr>
          <w:lang w:val="fr-FR"/>
        </w:rPr>
        <w:t> </w:t>
      </w:r>
      <w:r w:rsidR="007E6414" w:rsidRPr="00022FDB">
        <w:rPr>
          <w:lang w:val="fr-FR"/>
        </w:rPr>
        <w:t>KOT</w:t>
      </w:r>
      <w:r w:rsidR="00E01AD2" w:rsidRPr="00022FDB">
        <w:rPr>
          <w:lang w:val="fr-FR"/>
        </w:rPr>
        <w:t>EC sont convenus le 1</w:t>
      </w:r>
      <w:r w:rsidR="007E6414" w:rsidRPr="00022FDB">
        <w:rPr>
          <w:lang w:val="fr-FR"/>
        </w:rPr>
        <w:t>4</w:t>
      </w:r>
      <w:r w:rsidR="007E6414">
        <w:rPr>
          <w:lang w:val="fr-FR"/>
        </w:rPr>
        <w:t> </w:t>
      </w:r>
      <w:r w:rsidR="007E6414" w:rsidRPr="00022FDB">
        <w:rPr>
          <w:lang w:val="fr-FR"/>
        </w:rPr>
        <w:t>mai</w:t>
      </w:r>
      <w:r w:rsidR="007E6414">
        <w:rPr>
          <w:lang w:val="fr-FR"/>
        </w:rPr>
        <w:t> </w:t>
      </w:r>
      <w:r w:rsidR="007E6414" w:rsidRPr="00022FDB">
        <w:rPr>
          <w:lang w:val="fr-FR"/>
        </w:rPr>
        <w:t>20</w:t>
      </w:r>
      <w:r w:rsidR="00E01AD2" w:rsidRPr="00022FDB">
        <w:rPr>
          <w:lang w:val="fr-FR"/>
        </w:rPr>
        <w:t>15 de collaborer à la promotion de l</w:t>
      </w:r>
      <w:r w:rsidR="007E6414">
        <w:rPr>
          <w:lang w:val="fr-FR"/>
        </w:rPr>
        <w:t>’</w:t>
      </w:r>
      <w:r w:rsidR="00E01AD2" w:rsidRPr="00022FDB">
        <w:rPr>
          <w:lang w:val="fr-FR"/>
        </w:rPr>
        <w:t>utilisation par les clients de</w:t>
      </w:r>
      <w:r w:rsidR="007E6414" w:rsidRPr="00022FDB">
        <w:rPr>
          <w:lang w:val="fr-FR"/>
        </w:rPr>
        <w:t xml:space="preserve"> la</w:t>
      </w:r>
      <w:r w:rsidR="007E6414">
        <w:rPr>
          <w:lang w:val="fr-FR"/>
        </w:rPr>
        <w:t> </w:t>
      </w:r>
      <w:r w:rsidR="007E6414" w:rsidRPr="00022FDB">
        <w:rPr>
          <w:lang w:val="fr-FR"/>
        </w:rPr>
        <w:t>KOT</w:t>
      </w:r>
      <w:r w:rsidR="00E01AD2" w:rsidRPr="00022FDB">
        <w:rPr>
          <w:lang w:val="fr-FR"/>
        </w:rPr>
        <w:t>EC des mécanismes extrajudiciaires de règlement des litiges proposés par l</w:t>
      </w:r>
      <w:r w:rsidR="007E6414">
        <w:rPr>
          <w:lang w:val="fr-FR"/>
        </w:rPr>
        <w:t>’</w:t>
      </w:r>
      <w:r w:rsidR="00E01AD2" w:rsidRPr="00022FDB">
        <w:rPr>
          <w:lang w:val="fr-FR"/>
        </w:rPr>
        <w:t>OMPI.</w:t>
      </w:r>
    </w:p>
    <w:p w:rsidR="00022FDB" w:rsidRDefault="00E01AD2" w:rsidP="008A2DB7">
      <w:pPr>
        <w:pStyle w:val="Heading3"/>
      </w:pPr>
      <w:r w:rsidRPr="00022FDB">
        <w:t xml:space="preserve">Règlement des litiges de </w:t>
      </w:r>
      <w:r w:rsidR="0024545E" w:rsidRPr="00022FDB">
        <w:t>franchisage</w:t>
      </w:r>
    </w:p>
    <w:p w:rsidR="008A2DB7" w:rsidRPr="008A2DB7" w:rsidRDefault="008A2DB7" w:rsidP="008A2DB7">
      <w:pPr>
        <w:rPr>
          <w:lang w:val="fr-FR"/>
        </w:rPr>
      </w:pPr>
    </w:p>
    <w:p w:rsidR="00022FDB" w:rsidRPr="00022FDB" w:rsidRDefault="00E01AD2" w:rsidP="00022FDB">
      <w:pPr>
        <w:pStyle w:val="ONUMFS"/>
        <w:rPr>
          <w:rStyle w:val="ONUMEChar"/>
          <w:szCs w:val="22"/>
          <w:lang w:val="fr-FR"/>
        </w:rPr>
      </w:pPr>
      <w:r w:rsidRPr="00022FDB">
        <w:rPr>
          <w:rStyle w:val="ONUMEChar"/>
          <w:szCs w:val="22"/>
          <w:lang w:val="fr-FR"/>
        </w:rPr>
        <w:t>Dans le cadre des services de règlement extrajudiciaire des litiges proposés dans des secteurs particuliers, le Centre offre des services de conseil et d</w:t>
      </w:r>
      <w:r w:rsidR="007E6414">
        <w:rPr>
          <w:rStyle w:val="ONUMEChar"/>
          <w:szCs w:val="22"/>
          <w:lang w:val="fr-FR"/>
        </w:rPr>
        <w:t>’</w:t>
      </w:r>
      <w:r w:rsidRPr="00022FDB">
        <w:rPr>
          <w:rStyle w:val="ONUMEChar"/>
          <w:szCs w:val="22"/>
          <w:lang w:val="fr-FR"/>
        </w:rPr>
        <w:t>administration des litiges pour régler les litiges relatifs à des droits de propriété intellectuelle portant sur des franchises sans recourir aux tribunaux.</w:t>
      </w:r>
      <w:r w:rsidR="00384EE8" w:rsidRPr="00022FDB">
        <w:rPr>
          <w:rStyle w:val="ONUMEChar"/>
          <w:szCs w:val="22"/>
          <w:lang w:val="fr-FR"/>
        </w:rPr>
        <w:t xml:space="preserve">  </w:t>
      </w:r>
      <w:r w:rsidR="00A407B6" w:rsidRPr="00022FDB">
        <w:rPr>
          <w:rStyle w:val="ONUMEChar"/>
          <w:szCs w:val="22"/>
          <w:lang w:val="fr-FR"/>
        </w:rPr>
        <w:t xml:space="preserve">En particulier, le Centre collabore avec la Franchising and </w:t>
      </w:r>
      <w:proofErr w:type="spellStart"/>
      <w:r w:rsidR="00A407B6" w:rsidRPr="00022FDB">
        <w:rPr>
          <w:rStyle w:val="ONUMEChar"/>
          <w:szCs w:val="22"/>
          <w:lang w:val="fr-FR"/>
        </w:rPr>
        <w:t>Licensing</w:t>
      </w:r>
      <w:proofErr w:type="spellEnd"/>
      <w:r w:rsidR="00A407B6" w:rsidRPr="00022FDB">
        <w:rPr>
          <w:rStyle w:val="ONUMEChar"/>
          <w:szCs w:val="22"/>
          <w:lang w:val="fr-FR"/>
        </w:rPr>
        <w:t xml:space="preserve"> Association (FLA) de Singapour et l</w:t>
      </w:r>
      <w:r w:rsidR="007E6414">
        <w:rPr>
          <w:rStyle w:val="ONUMEChar"/>
          <w:szCs w:val="22"/>
          <w:lang w:val="fr-FR"/>
        </w:rPr>
        <w:t>’</w:t>
      </w:r>
      <w:r w:rsidR="00A407B6" w:rsidRPr="00022FDB">
        <w:rPr>
          <w:rStyle w:val="ONUMEChar"/>
          <w:szCs w:val="22"/>
          <w:lang w:val="fr-FR"/>
        </w:rPr>
        <w:t>Association espagnole des franchiseurs (AEF) pour faire mieux connaître les modes extrajudiciaires de règlement des litiges à la disposition des parties prenantes aux contrats de franchise et de licence.</w:t>
      </w:r>
      <w:r w:rsidR="000D6A58" w:rsidRPr="00022FDB">
        <w:rPr>
          <w:rStyle w:val="ONUMEChar"/>
          <w:szCs w:val="22"/>
          <w:lang w:val="fr-FR"/>
        </w:rPr>
        <w:t xml:space="preserve">  </w:t>
      </w:r>
      <w:r w:rsidR="00910FA8" w:rsidRPr="00022FDB">
        <w:rPr>
          <w:rStyle w:val="ONUMEChar"/>
          <w:szCs w:val="22"/>
          <w:lang w:val="fr-FR"/>
        </w:rPr>
        <w:t>De même, en mai 2015, le Centre et la Fédération suisse de la franchise (FSF) ont conclu un accord pour collaborer à l</w:t>
      </w:r>
      <w:r w:rsidR="007E6414">
        <w:rPr>
          <w:rStyle w:val="ONUMEChar"/>
          <w:szCs w:val="22"/>
          <w:lang w:val="fr-FR"/>
        </w:rPr>
        <w:t>’</w:t>
      </w:r>
      <w:r w:rsidR="00910FA8" w:rsidRPr="00022FDB">
        <w:rPr>
          <w:rStyle w:val="ONUMEChar"/>
          <w:szCs w:val="22"/>
          <w:lang w:val="fr-FR"/>
        </w:rPr>
        <w:t>établissement de procédures et de services OMPI de règlement extrajudiciaire des litiges impliquant des membres de</w:t>
      </w:r>
      <w:r w:rsidR="007E6414" w:rsidRPr="00022FDB">
        <w:rPr>
          <w:rStyle w:val="ONUMEChar"/>
          <w:szCs w:val="22"/>
          <w:lang w:val="fr-FR"/>
        </w:rPr>
        <w:t xml:space="preserve"> la</w:t>
      </w:r>
      <w:r w:rsidR="007E6414">
        <w:rPr>
          <w:rStyle w:val="ONUMEChar"/>
          <w:szCs w:val="22"/>
          <w:lang w:val="fr-FR"/>
        </w:rPr>
        <w:t> </w:t>
      </w:r>
      <w:r w:rsidR="007E6414" w:rsidRPr="00022FDB">
        <w:rPr>
          <w:rStyle w:val="ONUMEChar"/>
          <w:szCs w:val="22"/>
          <w:lang w:val="fr-FR"/>
        </w:rPr>
        <w:t>FSF</w:t>
      </w:r>
      <w:r w:rsidR="00910FA8" w:rsidRPr="00022FDB">
        <w:rPr>
          <w:rStyle w:val="FootnoteReference"/>
          <w:szCs w:val="22"/>
          <w:lang w:val="fr-FR"/>
        </w:rPr>
        <w:footnoteReference w:id="11"/>
      </w:r>
      <w:r w:rsidR="00910FA8" w:rsidRPr="00022FDB">
        <w:rPr>
          <w:rStyle w:val="ONUMEChar"/>
          <w:szCs w:val="22"/>
          <w:lang w:val="fr-FR"/>
        </w:rPr>
        <w:t>.</w:t>
      </w:r>
    </w:p>
    <w:p w:rsidR="00022FDB" w:rsidRPr="00022FDB" w:rsidRDefault="00910FA8" w:rsidP="00D81604">
      <w:pPr>
        <w:pStyle w:val="Heading1"/>
        <w:keepLines/>
        <w:rPr>
          <w:lang w:val="fr-FR"/>
        </w:rPr>
      </w:pPr>
      <w:r w:rsidRPr="00022FDB">
        <w:rPr>
          <w:lang w:val="fr-FR"/>
        </w:rPr>
        <w:lastRenderedPageBreak/>
        <w:t>II.</w:t>
      </w:r>
      <w:r w:rsidRPr="00022FDB">
        <w:rPr>
          <w:lang w:val="fr-FR"/>
        </w:rPr>
        <w:tab/>
        <w:t>Administration des litiges relatifs aux noms de domaine</w:t>
      </w:r>
    </w:p>
    <w:p w:rsidR="00022FDB" w:rsidRDefault="008A2DB7" w:rsidP="00D81604">
      <w:pPr>
        <w:pStyle w:val="Heading2"/>
        <w:keepLines/>
        <w:rPr>
          <w:lang w:val="fr-FR"/>
        </w:rPr>
      </w:pPr>
      <w:r>
        <w:rPr>
          <w:lang w:val="fr-FR"/>
        </w:rPr>
        <w:t>A.</w:t>
      </w:r>
      <w:r>
        <w:rPr>
          <w:lang w:val="fr-FR"/>
        </w:rPr>
        <w:tab/>
      </w:r>
      <w:r w:rsidR="00910FA8" w:rsidRPr="00022FDB">
        <w:rPr>
          <w:lang w:val="fr-FR"/>
        </w:rPr>
        <w:t>Principes UDRP</w:t>
      </w:r>
    </w:p>
    <w:p w:rsidR="008A2DB7" w:rsidRPr="008A2DB7" w:rsidRDefault="008A2DB7" w:rsidP="00D81604">
      <w:pPr>
        <w:keepNext/>
        <w:keepLines/>
        <w:rPr>
          <w:lang w:val="fr-FR"/>
        </w:rPr>
      </w:pPr>
    </w:p>
    <w:p w:rsidR="00022FDB" w:rsidRPr="00022FDB" w:rsidRDefault="00910FA8" w:rsidP="00D81604">
      <w:pPr>
        <w:pStyle w:val="ONUMFS"/>
        <w:keepNext/>
        <w:keepLines/>
        <w:rPr>
          <w:szCs w:val="24"/>
          <w:lang w:val="fr-FR"/>
        </w:rPr>
      </w:pPr>
      <w:r w:rsidRPr="00022FDB">
        <w:rPr>
          <w:szCs w:val="24"/>
          <w:lang w:val="fr-FR"/>
        </w:rPr>
        <w:t>Le système de noms de domaine (DNS) soulève sur le plan de la protection de la propriété intellectuelle un certain nombre de défis qui, compte tenu de la nature planétaire de l</w:t>
      </w:r>
      <w:r w:rsidR="007E6414">
        <w:rPr>
          <w:szCs w:val="24"/>
          <w:lang w:val="fr-FR"/>
        </w:rPr>
        <w:t>’</w:t>
      </w:r>
      <w:r w:rsidRPr="00022FDB">
        <w:rPr>
          <w:szCs w:val="24"/>
          <w:lang w:val="fr-FR"/>
        </w:rPr>
        <w:t>Internet, appellent une action internationale.</w:t>
      </w:r>
      <w:r w:rsidR="00384EE8" w:rsidRPr="00022FDB">
        <w:rPr>
          <w:szCs w:val="24"/>
          <w:lang w:val="fr-FR"/>
        </w:rPr>
        <w:t xml:space="preserve">  </w:t>
      </w:r>
      <w:r w:rsidRPr="00022FDB">
        <w:rPr>
          <w:szCs w:val="24"/>
          <w:lang w:val="fr-FR"/>
        </w:rPr>
        <w:t>L</w:t>
      </w:r>
      <w:r w:rsidR="007E6414">
        <w:rPr>
          <w:szCs w:val="24"/>
          <w:lang w:val="fr-FR"/>
        </w:rPr>
        <w:t>’</w:t>
      </w:r>
      <w:r w:rsidRPr="00022FDB">
        <w:rPr>
          <w:szCs w:val="24"/>
          <w:lang w:val="fr-FR"/>
        </w:rPr>
        <w:t>OMPI répond à ces défis depuis</w:t>
      </w:r>
      <w:r w:rsidR="0035343A">
        <w:rPr>
          <w:szCs w:val="24"/>
          <w:lang w:val="fr-FR"/>
        </w:rPr>
        <w:t> </w:t>
      </w:r>
      <w:r w:rsidRPr="00022FDB">
        <w:rPr>
          <w:szCs w:val="24"/>
          <w:lang w:val="fr-FR"/>
        </w:rPr>
        <w:t>1998, en élaborant des solutions sur mesure, notamment dans le cadre des premier</w:t>
      </w:r>
      <w:r w:rsidRPr="00022FDB">
        <w:rPr>
          <w:rStyle w:val="FootnoteReference"/>
          <w:szCs w:val="24"/>
          <w:lang w:val="fr-FR"/>
        </w:rPr>
        <w:footnoteReference w:id="12"/>
      </w:r>
      <w:r w:rsidRPr="00022FDB">
        <w:rPr>
          <w:szCs w:val="24"/>
          <w:lang w:val="fr-FR"/>
        </w:rPr>
        <w:t xml:space="preserve"> et deuxième</w:t>
      </w:r>
      <w:r w:rsidRPr="00022FDB">
        <w:rPr>
          <w:rStyle w:val="FootnoteReference"/>
          <w:szCs w:val="24"/>
          <w:lang w:val="fr-FR"/>
        </w:rPr>
        <w:footnoteReference w:id="13"/>
      </w:r>
      <w:r w:rsidRPr="00022FDB">
        <w:rPr>
          <w:szCs w:val="24"/>
          <w:lang w:val="fr-FR"/>
        </w:rPr>
        <w:t xml:space="preserve"> processus de consultations de l</w:t>
      </w:r>
      <w:r w:rsidR="007E6414">
        <w:rPr>
          <w:szCs w:val="24"/>
          <w:lang w:val="fr-FR"/>
        </w:rPr>
        <w:t>’</w:t>
      </w:r>
      <w:r w:rsidRPr="00022FDB">
        <w:rPr>
          <w:szCs w:val="24"/>
          <w:lang w:val="fr-FR"/>
        </w:rPr>
        <w:t>OMPI sur les noms de domaine de l</w:t>
      </w:r>
      <w:r w:rsidR="007E6414">
        <w:rPr>
          <w:szCs w:val="24"/>
          <w:lang w:val="fr-FR"/>
        </w:rPr>
        <w:t>’</w:t>
      </w:r>
      <w:r w:rsidRPr="00022FDB">
        <w:rPr>
          <w:szCs w:val="24"/>
          <w:lang w:val="fr-FR"/>
        </w:rPr>
        <w:t>Internet.</w:t>
      </w:r>
      <w:r w:rsidR="009B3283" w:rsidRPr="00022FDB">
        <w:rPr>
          <w:szCs w:val="24"/>
          <w:lang w:val="fr-FR"/>
        </w:rPr>
        <w:t xml:space="preserve">  </w:t>
      </w:r>
      <w:r w:rsidRPr="00022FDB">
        <w:rPr>
          <w:szCs w:val="24"/>
          <w:lang w:val="fr-FR"/>
        </w:rPr>
        <w:t>Par l</w:t>
      </w:r>
      <w:r w:rsidR="007E6414">
        <w:rPr>
          <w:szCs w:val="24"/>
          <w:lang w:val="fr-FR"/>
        </w:rPr>
        <w:t>’</w:t>
      </w:r>
      <w:r w:rsidRPr="00022FDB">
        <w:rPr>
          <w:szCs w:val="24"/>
          <w:lang w:val="fr-FR"/>
        </w:rPr>
        <w:t>intermédiaire du Centre, l</w:t>
      </w:r>
      <w:r w:rsidR="007E6414">
        <w:rPr>
          <w:szCs w:val="24"/>
          <w:lang w:val="fr-FR"/>
        </w:rPr>
        <w:t>’</w:t>
      </w:r>
      <w:r w:rsidRPr="00022FDB">
        <w:rPr>
          <w:szCs w:val="24"/>
          <w:lang w:val="fr-FR"/>
        </w:rPr>
        <w:t>OMPI met à la disposition des propriétaires de marques des mécanismes internationaux efficaces contre l</w:t>
      </w:r>
      <w:r w:rsidR="007E6414">
        <w:rPr>
          <w:szCs w:val="24"/>
          <w:lang w:val="fr-FR"/>
        </w:rPr>
        <w:t>’</w:t>
      </w:r>
      <w:r w:rsidRPr="00022FDB">
        <w:rPr>
          <w:szCs w:val="24"/>
          <w:lang w:val="fr-FR"/>
        </w:rPr>
        <w:t>enregistrement et l</w:t>
      </w:r>
      <w:r w:rsidR="007E6414">
        <w:rPr>
          <w:szCs w:val="24"/>
          <w:lang w:val="fr-FR"/>
        </w:rPr>
        <w:t>’</w:t>
      </w:r>
      <w:r w:rsidRPr="00022FDB">
        <w:rPr>
          <w:szCs w:val="24"/>
          <w:lang w:val="fr-FR"/>
        </w:rPr>
        <w:t>utilisation de mauvaise foi de noms de domaine correspondant à leurs marques.</w:t>
      </w:r>
      <w:r w:rsidR="00D832E9" w:rsidRPr="00022FDB">
        <w:rPr>
          <w:szCs w:val="24"/>
          <w:lang w:val="fr-FR"/>
        </w:rPr>
        <w:t xml:space="preserve">  </w:t>
      </w:r>
      <w:r w:rsidRPr="00022FDB">
        <w:rPr>
          <w:szCs w:val="24"/>
          <w:lang w:val="fr-FR"/>
        </w:rPr>
        <w:t xml:space="preserve">Le principal mécanisme administré par le Centre, </w:t>
      </w:r>
      <w:r w:rsidR="007E6414">
        <w:rPr>
          <w:szCs w:val="24"/>
          <w:lang w:val="fr-FR"/>
        </w:rPr>
        <w:t>à savoir</w:t>
      </w:r>
      <w:r w:rsidRPr="00022FDB">
        <w:rPr>
          <w:szCs w:val="24"/>
          <w:lang w:val="fr-FR"/>
        </w:rPr>
        <w:t xml:space="preserve"> les principes UDRP, a été adopté par l</w:t>
      </w:r>
      <w:r w:rsidR="007E6414">
        <w:rPr>
          <w:szCs w:val="24"/>
          <w:lang w:val="fr-FR"/>
        </w:rPr>
        <w:t>’</w:t>
      </w:r>
      <w:r w:rsidRPr="00022FDB">
        <w:rPr>
          <w:szCs w:val="24"/>
          <w:lang w:val="fr-FR"/>
        </w:rPr>
        <w:t>ICANN sur la base des recommandations faites par l</w:t>
      </w:r>
      <w:r w:rsidR="007E6414">
        <w:rPr>
          <w:szCs w:val="24"/>
          <w:lang w:val="fr-FR"/>
        </w:rPr>
        <w:t>’</w:t>
      </w:r>
      <w:r w:rsidRPr="00022FDB">
        <w:rPr>
          <w:szCs w:val="24"/>
          <w:lang w:val="fr-FR"/>
        </w:rPr>
        <w:t>OMPI à l</w:t>
      </w:r>
      <w:r w:rsidR="007E6414">
        <w:rPr>
          <w:szCs w:val="24"/>
          <w:lang w:val="fr-FR"/>
        </w:rPr>
        <w:t>’</w:t>
      </w:r>
      <w:r w:rsidRPr="00022FDB">
        <w:rPr>
          <w:szCs w:val="24"/>
          <w:lang w:val="fr-FR"/>
        </w:rPr>
        <w:t>issue du premier processus de consultations sur les noms de domaine de l</w:t>
      </w:r>
      <w:r w:rsidR="007E6414">
        <w:rPr>
          <w:szCs w:val="24"/>
          <w:lang w:val="fr-FR"/>
        </w:rPr>
        <w:t>’</w:t>
      </w:r>
      <w:r w:rsidRPr="00022FDB">
        <w:rPr>
          <w:szCs w:val="24"/>
          <w:lang w:val="fr-FR"/>
        </w:rPr>
        <w:t>Internet.</w:t>
      </w:r>
    </w:p>
    <w:p w:rsidR="00022FDB" w:rsidRPr="00022FDB" w:rsidRDefault="00910FA8" w:rsidP="00022FDB">
      <w:pPr>
        <w:pStyle w:val="ONUMFS"/>
        <w:rPr>
          <w:szCs w:val="24"/>
          <w:lang w:val="fr-FR"/>
        </w:rPr>
      </w:pPr>
      <w:r w:rsidRPr="00022FDB">
        <w:rPr>
          <w:szCs w:val="24"/>
          <w:lang w:val="fr-FR"/>
        </w:rPr>
        <w:t>Les principes UDRP s</w:t>
      </w:r>
      <w:r w:rsidR="007E6414">
        <w:rPr>
          <w:szCs w:val="24"/>
          <w:lang w:val="fr-FR"/>
        </w:rPr>
        <w:t>’</w:t>
      </w:r>
      <w:r w:rsidRPr="00022FDB">
        <w:rPr>
          <w:szCs w:val="24"/>
          <w:lang w:val="fr-FR"/>
        </w:rPr>
        <w:t>appliquent exclusivement aux cas manifestes d</w:t>
      </w:r>
      <w:r w:rsidR="007E6414">
        <w:rPr>
          <w:szCs w:val="24"/>
          <w:lang w:val="fr-FR"/>
        </w:rPr>
        <w:t>’</w:t>
      </w:r>
      <w:r w:rsidRPr="00022FDB">
        <w:rPr>
          <w:szCs w:val="24"/>
          <w:lang w:val="fr-FR"/>
        </w:rPr>
        <w:t>enregistrement et d</w:t>
      </w:r>
      <w:r w:rsidR="007E6414">
        <w:rPr>
          <w:szCs w:val="24"/>
          <w:lang w:val="fr-FR"/>
        </w:rPr>
        <w:t>’</w:t>
      </w:r>
      <w:r w:rsidRPr="00022FDB">
        <w:rPr>
          <w:szCs w:val="24"/>
          <w:lang w:val="fr-FR"/>
        </w:rPr>
        <w:t>usage abusifs ou de mauvaise foi de noms de domaine et sont très appréciés parmi les propriétaires de marques</w:t>
      </w:r>
      <w:r w:rsidRPr="00022FDB">
        <w:rPr>
          <w:rStyle w:val="FootnoteReference"/>
          <w:szCs w:val="24"/>
          <w:lang w:val="fr-FR"/>
        </w:rPr>
        <w:footnoteReference w:id="14"/>
      </w:r>
      <w:r w:rsidRPr="00022FDB">
        <w:rPr>
          <w:szCs w:val="24"/>
          <w:lang w:val="fr-FR"/>
        </w:rPr>
        <w:t>.</w:t>
      </w:r>
      <w:r w:rsidR="008B60B0" w:rsidRPr="00022FDB">
        <w:rPr>
          <w:szCs w:val="24"/>
          <w:lang w:val="fr-FR"/>
        </w:rPr>
        <w:t xml:space="preserve">  </w:t>
      </w:r>
      <w:r w:rsidRPr="00022FDB">
        <w:rPr>
          <w:szCs w:val="24"/>
          <w:lang w:val="fr-FR"/>
        </w:rPr>
        <w:t xml:space="preserve">Depuis </w:t>
      </w:r>
      <w:r w:rsidR="007E6414" w:rsidRPr="00022FDB">
        <w:rPr>
          <w:szCs w:val="24"/>
          <w:lang w:val="fr-FR"/>
        </w:rPr>
        <w:t>décembre</w:t>
      </w:r>
      <w:r w:rsidR="007E6414">
        <w:rPr>
          <w:szCs w:val="24"/>
          <w:lang w:val="fr-FR"/>
        </w:rPr>
        <w:t> </w:t>
      </w:r>
      <w:r w:rsidR="007E6414" w:rsidRPr="00022FDB">
        <w:rPr>
          <w:szCs w:val="24"/>
          <w:lang w:val="fr-FR"/>
        </w:rPr>
        <w:t>19</w:t>
      </w:r>
      <w:r w:rsidRPr="00022FDB">
        <w:rPr>
          <w:szCs w:val="24"/>
          <w:lang w:val="fr-FR"/>
        </w:rPr>
        <w:t xml:space="preserve">99, le Centre a administré quelque </w:t>
      </w:r>
      <w:r w:rsidR="00D81604">
        <w:rPr>
          <w:szCs w:val="24"/>
          <w:lang w:val="fr-FR"/>
        </w:rPr>
        <w:t>32 000 </w:t>
      </w:r>
      <w:r w:rsidRPr="00022FDB">
        <w:rPr>
          <w:szCs w:val="24"/>
          <w:lang w:val="fr-FR"/>
        </w:rPr>
        <w:t>litiges sur la base des principes UDRP</w:t>
      </w:r>
      <w:r w:rsidRPr="00022FDB">
        <w:rPr>
          <w:rStyle w:val="FootnoteReference"/>
          <w:szCs w:val="24"/>
          <w:lang w:val="fr-FR"/>
        </w:rPr>
        <w:footnoteReference w:id="15"/>
      </w:r>
      <w:r w:rsidRPr="00022FDB">
        <w:rPr>
          <w:szCs w:val="24"/>
          <w:lang w:val="fr-FR"/>
        </w:rPr>
        <w:t>.</w:t>
      </w:r>
      <w:r w:rsidR="00384EE8" w:rsidRPr="00022FDB">
        <w:rPr>
          <w:szCs w:val="24"/>
          <w:lang w:val="fr-FR"/>
        </w:rPr>
        <w:t xml:space="preserve">  </w:t>
      </w:r>
      <w:r w:rsidRPr="00022FDB">
        <w:rPr>
          <w:szCs w:val="24"/>
          <w:lang w:val="fr-FR"/>
        </w:rPr>
        <w:t>En</w:t>
      </w:r>
      <w:r w:rsidR="0035343A">
        <w:rPr>
          <w:szCs w:val="24"/>
          <w:lang w:val="fr-FR"/>
        </w:rPr>
        <w:t> </w:t>
      </w:r>
      <w:r w:rsidRPr="00022FDB">
        <w:rPr>
          <w:szCs w:val="24"/>
          <w:lang w:val="fr-FR"/>
        </w:rPr>
        <w:t xml:space="preserve">2014, les propriétaires de marques ont déposé auprès du Centre </w:t>
      </w:r>
      <w:r w:rsidR="00D81604">
        <w:rPr>
          <w:szCs w:val="24"/>
          <w:lang w:val="fr-FR"/>
        </w:rPr>
        <w:t>2634 </w:t>
      </w:r>
      <w:r w:rsidRPr="00022FDB">
        <w:rPr>
          <w:szCs w:val="24"/>
          <w:lang w:val="fr-FR"/>
        </w:rPr>
        <w:t>plaintes en vertu des principes UDRP, en augmentation de 2% par rapport à 2013.</w:t>
      </w:r>
      <w:r w:rsidR="00027793" w:rsidRPr="00022FDB">
        <w:rPr>
          <w:szCs w:val="24"/>
          <w:lang w:val="fr-FR"/>
        </w:rPr>
        <w:t xml:space="preserve">  </w:t>
      </w:r>
      <w:r w:rsidRPr="00022FDB">
        <w:rPr>
          <w:szCs w:val="24"/>
          <w:lang w:val="fr-FR"/>
        </w:rPr>
        <w:t>Avec les plaintes déposées en</w:t>
      </w:r>
      <w:r w:rsidR="0035343A">
        <w:rPr>
          <w:szCs w:val="24"/>
          <w:lang w:val="fr-FR"/>
        </w:rPr>
        <w:t> </w:t>
      </w:r>
      <w:r w:rsidRPr="00022FDB">
        <w:rPr>
          <w:szCs w:val="24"/>
          <w:lang w:val="fr-FR"/>
        </w:rPr>
        <w:t>2014, le nombre total de litiges relatifs à des noms de domaine administrés par l</w:t>
      </w:r>
      <w:r w:rsidR="007E6414">
        <w:rPr>
          <w:szCs w:val="24"/>
          <w:lang w:val="fr-FR"/>
        </w:rPr>
        <w:t>’</w:t>
      </w:r>
      <w:r w:rsidRPr="00022FDB">
        <w:rPr>
          <w:szCs w:val="24"/>
          <w:lang w:val="fr-FR"/>
        </w:rPr>
        <w:t>OMPI en vertu des principes UDRP avoisin</w:t>
      </w:r>
      <w:r w:rsidR="00746030" w:rsidRPr="00022FDB">
        <w:rPr>
          <w:szCs w:val="24"/>
          <w:lang w:val="fr-FR"/>
        </w:rPr>
        <w:t>e</w:t>
      </w:r>
      <w:r w:rsidRPr="00022FDB">
        <w:rPr>
          <w:szCs w:val="24"/>
          <w:lang w:val="fr-FR"/>
        </w:rPr>
        <w:t xml:space="preserve"> les 57</w:t>
      </w:r>
      <w:r w:rsidR="0035343A">
        <w:rPr>
          <w:szCs w:val="24"/>
          <w:lang w:val="fr-FR"/>
        </w:rPr>
        <w:t> </w:t>
      </w:r>
      <w:r w:rsidRPr="00022FDB">
        <w:rPr>
          <w:szCs w:val="24"/>
          <w:lang w:val="fr-FR"/>
        </w:rPr>
        <w:t>000.</w:t>
      </w:r>
    </w:p>
    <w:p w:rsidR="00022FDB" w:rsidRPr="00022FDB" w:rsidRDefault="003548F8" w:rsidP="00022FDB">
      <w:pPr>
        <w:pStyle w:val="ONUMFS"/>
        <w:rPr>
          <w:szCs w:val="24"/>
          <w:lang w:val="fr-FR"/>
        </w:rPr>
      </w:pPr>
      <w:r w:rsidRPr="00022FDB">
        <w:rPr>
          <w:szCs w:val="24"/>
          <w:lang w:val="fr-FR"/>
        </w:rPr>
        <w:t>Un mélange d</w:t>
      </w:r>
      <w:r w:rsidR="007E6414">
        <w:rPr>
          <w:szCs w:val="24"/>
          <w:lang w:val="fr-FR"/>
        </w:rPr>
        <w:t>’</w:t>
      </w:r>
      <w:r w:rsidRPr="00022FDB">
        <w:rPr>
          <w:szCs w:val="24"/>
          <w:lang w:val="fr-FR"/>
        </w:rPr>
        <w:t>entreprises, d</w:t>
      </w:r>
      <w:r w:rsidR="007E6414">
        <w:rPr>
          <w:szCs w:val="24"/>
          <w:lang w:val="fr-FR"/>
        </w:rPr>
        <w:t>’</w:t>
      </w:r>
      <w:r w:rsidRPr="00022FDB">
        <w:rPr>
          <w:szCs w:val="24"/>
          <w:lang w:val="fr-FR"/>
        </w:rPr>
        <w:t>institutions et de particuliers ont fait appel aux procédures de règlement des litiges du Centre en</w:t>
      </w:r>
      <w:r w:rsidR="0035343A">
        <w:rPr>
          <w:szCs w:val="24"/>
          <w:lang w:val="fr-FR"/>
        </w:rPr>
        <w:t> </w:t>
      </w:r>
      <w:r w:rsidRPr="00022FDB">
        <w:rPr>
          <w:szCs w:val="24"/>
          <w:lang w:val="fr-FR"/>
        </w:rPr>
        <w:t>2014.</w:t>
      </w:r>
      <w:r w:rsidR="0035343A">
        <w:rPr>
          <w:szCs w:val="24"/>
          <w:lang w:val="fr-FR"/>
        </w:rPr>
        <w:t xml:space="preserve"> </w:t>
      </w:r>
      <w:r w:rsidR="00384EE8" w:rsidRPr="00022FDB">
        <w:rPr>
          <w:szCs w:val="24"/>
          <w:lang w:val="fr-FR"/>
        </w:rPr>
        <w:t xml:space="preserve"> </w:t>
      </w:r>
      <w:r w:rsidRPr="00022FDB">
        <w:rPr>
          <w:szCs w:val="24"/>
          <w:lang w:val="fr-FR"/>
        </w:rPr>
        <w:t>Les cinq</w:t>
      </w:r>
      <w:r w:rsidR="0035343A">
        <w:rPr>
          <w:szCs w:val="24"/>
          <w:lang w:val="fr-FR"/>
        </w:rPr>
        <w:t> </w:t>
      </w:r>
      <w:r w:rsidRPr="00022FDB">
        <w:rPr>
          <w:szCs w:val="24"/>
          <w:lang w:val="fr-FR"/>
        </w:rPr>
        <w:t>principaux secteurs d</w:t>
      </w:r>
      <w:r w:rsidR="007E6414">
        <w:rPr>
          <w:szCs w:val="24"/>
          <w:lang w:val="fr-FR"/>
        </w:rPr>
        <w:t>’</w:t>
      </w:r>
      <w:r w:rsidRPr="00022FDB">
        <w:rPr>
          <w:szCs w:val="24"/>
          <w:lang w:val="fr-FR"/>
        </w:rPr>
        <w:t>activité des requérants étaient le commerce de détail, la banque et la finance, la mode, l</w:t>
      </w:r>
      <w:r w:rsidR="007E6414">
        <w:rPr>
          <w:szCs w:val="24"/>
          <w:lang w:val="fr-FR"/>
        </w:rPr>
        <w:t>’</w:t>
      </w:r>
      <w:r w:rsidRPr="00022FDB">
        <w:rPr>
          <w:szCs w:val="24"/>
          <w:lang w:val="fr-FR"/>
        </w:rPr>
        <w:t>Internet et les technologies de l</w:t>
      </w:r>
      <w:r w:rsidR="007E6414">
        <w:rPr>
          <w:szCs w:val="24"/>
          <w:lang w:val="fr-FR"/>
        </w:rPr>
        <w:t>’</w:t>
      </w:r>
      <w:r w:rsidRPr="00022FDB">
        <w:rPr>
          <w:szCs w:val="24"/>
          <w:lang w:val="fr-FR"/>
        </w:rPr>
        <w:t>information, ainsi que l</w:t>
      </w:r>
      <w:r w:rsidR="007E6414">
        <w:rPr>
          <w:szCs w:val="24"/>
          <w:lang w:val="fr-FR"/>
        </w:rPr>
        <w:t>’</w:t>
      </w:r>
      <w:r w:rsidRPr="00022FDB">
        <w:rPr>
          <w:szCs w:val="24"/>
          <w:lang w:val="fr-FR"/>
        </w:rPr>
        <w:t>industrie lourde et la construction de machines.</w:t>
      </w:r>
      <w:r w:rsidR="00047A9D" w:rsidRPr="00022FDB">
        <w:rPr>
          <w:szCs w:val="24"/>
          <w:lang w:val="fr-FR"/>
        </w:rPr>
        <w:t xml:space="preserve">  </w:t>
      </w:r>
      <w:r w:rsidRPr="00022FDB">
        <w:rPr>
          <w:szCs w:val="24"/>
          <w:lang w:val="fr-FR"/>
        </w:rPr>
        <w:t>Les plaintes relatives à la mode et aux marques de luxe en particulier sont souvent déposées par des propriétaires de marques pour des contrefaçons proposées sur les pages Web du domaine en litige.</w:t>
      </w:r>
      <w:r w:rsidR="00384EE8" w:rsidRPr="00022FDB">
        <w:rPr>
          <w:szCs w:val="24"/>
          <w:lang w:val="fr-FR"/>
        </w:rPr>
        <w:t xml:space="preserve">  </w:t>
      </w:r>
      <w:r w:rsidRPr="00022FDB">
        <w:rPr>
          <w:szCs w:val="24"/>
          <w:lang w:val="fr-FR"/>
        </w:rPr>
        <w:t>Signe de la portée globale de ce mécanisme de règlement des litiges, les parties nommément désignées dans les procédures administrées par l</w:t>
      </w:r>
      <w:r w:rsidR="007E6414">
        <w:rPr>
          <w:szCs w:val="24"/>
          <w:lang w:val="fr-FR"/>
        </w:rPr>
        <w:t>’</w:t>
      </w:r>
      <w:r w:rsidRPr="00022FDB">
        <w:rPr>
          <w:szCs w:val="24"/>
          <w:lang w:val="fr-FR"/>
        </w:rPr>
        <w:t>OMPI en</w:t>
      </w:r>
      <w:r w:rsidR="0035343A">
        <w:rPr>
          <w:szCs w:val="24"/>
          <w:lang w:val="fr-FR"/>
        </w:rPr>
        <w:t> </w:t>
      </w:r>
      <w:r w:rsidRPr="00022FDB">
        <w:rPr>
          <w:szCs w:val="24"/>
          <w:lang w:val="fr-FR"/>
        </w:rPr>
        <w:t xml:space="preserve">2014 représentaient </w:t>
      </w:r>
      <w:r w:rsidR="00D81604">
        <w:rPr>
          <w:szCs w:val="24"/>
          <w:lang w:val="fr-FR"/>
        </w:rPr>
        <w:t>177 </w:t>
      </w:r>
      <w:r w:rsidRPr="00022FDB">
        <w:rPr>
          <w:szCs w:val="24"/>
          <w:lang w:val="fr-FR"/>
        </w:rPr>
        <w:t>pays.</w:t>
      </w:r>
      <w:r w:rsidR="00352DDF" w:rsidRPr="00022FDB">
        <w:rPr>
          <w:szCs w:val="24"/>
          <w:lang w:val="fr-FR"/>
        </w:rPr>
        <w:t xml:space="preserve">  </w:t>
      </w:r>
      <w:r w:rsidRPr="00022FDB">
        <w:rPr>
          <w:szCs w:val="24"/>
          <w:lang w:val="fr-FR"/>
        </w:rPr>
        <w:t>En fonction de la langue du contrat d</w:t>
      </w:r>
      <w:r w:rsidR="007E6414">
        <w:rPr>
          <w:szCs w:val="24"/>
          <w:lang w:val="fr-FR"/>
        </w:rPr>
        <w:t>’</w:t>
      </w:r>
      <w:r w:rsidRPr="00022FDB">
        <w:rPr>
          <w:szCs w:val="24"/>
          <w:lang w:val="fr-FR"/>
        </w:rPr>
        <w:t>enregistrement applicable au nom de domaine en cause, l</w:t>
      </w:r>
      <w:r w:rsidR="007E6414">
        <w:rPr>
          <w:szCs w:val="24"/>
          <w:lang w:val="fr-FR"/>
        </w:rPr>
        <w:t>’</w:t>
      </w:r>
      <w:r w:rsidRPr="00022FDB">
        <w:rPr>
          <w:szCs w:val="24"/>
          <w:lang w:val="fr-FR"/>
        </w:rPr>
        <w:t>OMPI a conduit jusqu</w:t>
      </w:r>
      <w:r w:rsidR="007E6414">
        <w:rPr>
          <w:szCs w:val="24"/>
          <w:lang w:val="fr-FR"/>
        </w:rPr>
        <w:t>’</w:t>
      </w:r>
      <w:r w:rsidRPr="00022FDB">
        <w:rPr>
          <w:szCs w:val="24"/>
          <w:lang w:val="fr-FR"/>
        </w:rPr>
        <w:t xml:space="preserve">ici des procédures en vertu des principes UDRP dans </w:t>
      </w:r>
      <w:r w:rsidR="00D81604">
        <w:rPr>
          <w:szCs w:val="24"/>
          <w:lang w:val="fr-FR"/>
        </w:rPr>
        <w:t>21 </w:t>
      </w:r>
      <w:r w:rsidRPr="00022FDB">
        <w:rPr>
          <w:szCs w:val="24"/>
          <w:lang w:val="fr-FR"/>
        </w:rPr>
        <w:t>langues</w:t>
      </w:r>
      <w:r w:rsidRPr="00022FDB">
        <w:rPr>
          <w:rStyle w:val="FootnoteReference"/>
          <w:szCs w:val="24"/>
          <w:lang w:val="fr-FR"/>
        </w:rPr>
        <w:footnoteReference w:id="16"/>
      </w:r>
      <w:r w:rsidRPr="00022FDB">
        <w:rPr>
          <w:szCs w:val="24"/>
          <w:lang w:val="fr-FR"/>
        </w:rPr>
        <w:t>.</w:t>
      </w:r>
    </w:p>
    <w:p w:rsidR="00022FDB" w:rsidRPr="00022FDB" w:rsidRDefault="003548F8" w:rsidP="00022FDB">
      <w:pPr>
        <w:pStyle w:val="ONUMFS"/>
        <w:rPr>
          <w:szCs w:val="24"/>
          <w:lang w:val="fr-FR"/>
        </w:rPr>
      </w:pPr>
      <w:r w:rsidRPr="00022FDB">
        <w:rPr>
          <w:szCs w:val="24"/>
          <w:lang w:val="fr-FR"/>
        </w:rPr>
        <w:t>Toutes les décisions rendues par les commissions administratives de l</w:t>
      </w:r>
      <w:r w:rsidR="007E6414">
        <w:rPr>
          <w:szCs w:val="24"/>
          <w:lang w:val="fr-FR"/>
        </w:rPr>
        <w:t>’</w:t>
      </w:r>
      <w:r w:rsidRPr="00022FDB">
        <w:rPr>
          <w:szCs w:val="24"/>
          <w:lang w:val="fr-FR"/>
        </w:rPr>
        <w:t>OMPI sont publiées sur le site</w:t>
      </w:r>
      <w:r w:rsidR="0035343A">
        <w:rPr>
          <w:szCs w:val="24"/>
          <w:lang w:val="fr-FR"/>
        </w:rPr>
        <w:t> </w:t>
      </w:r>
      <w:r w:rsidRPr="00022FDB">
        <w:rPr>
          <w:szCs w:val="24"/>
          <w:lang w:val="fr-FR"/>
        </w:rPr>
        <w:t>Web du Centre.</w:t>
      </w:r>
      <w:r w:rsidR="00384EE8" w:rsidRPr="00022FDB">
        <w:rPr>
          <w:szCs w:val="24"/>
          <w:lang w:val="fr-FR"/>
        </w:rPr>
        <w:t xml:space="preserve">  </w:t>
      </w:r>
      <w:r w:rsidRPr="00022FDB">
        <w:rPr>
          <w:szCs w:val="24"/>
          <w:lang w:val="fr-FR"/>
        </w:rPr>
        <w:t>Le Centre propose également une synthèse unique des tendances générales des décisions rendues sur certaines questions importantes dans le cadre d</w:t>
      </w:r>
      <w:r w:rsidR="007E6414">
        <w:rPr>
          <w:szCs w:val="24"/>
          <w:lang w:val="fr-FR"/>
        </w:rPr>
        <w:t>’</w:t>
      </w:r>
      <w:r w:rsidRPr="00022FDB">
        <w:rPr>
          <w:szCs w:val="24"/>
          <w:lang w:val="fr-FR"/>
        </w:rPr>
        <w:t xml:space="preserve">une rubrique intitulée </w:t>
      </w:r>
      <w:r w:rsidR="00515856" w:rsidRPr="00022FDB">
        <w:rPr>
          <w:szCs w:val="24"/>
          <w:lang w:val="fr-FR"/>
        </w:rPr>
        <w:t>“</w:t>
      </w:r>
      <w:r w:rsidRPr="00022FDB">
        <w:rPr>
          <w:szCs w:val="24"/>
          <w:lang w:val="fr-FR"/>
        </w:rPr>
        <w:t>Synthèse des avis des commissions administratives de l</w:t>
      </w:r>
      <w:r w:rsidR="007E6414">
        <w:rPr>
          <w:szCs w:val="24"/>
          <w:lang w:val="fr-FR"/>
        </w:rPr>
        <w:t>’</w:t>
      </w:r>
      <w:r w:rsidRPr="00022FDB">
        <w:rPr>
          <w:szCs w:val="24"/>
          <w:lang w:val="fr-FR"/>
        </w:rPr>
        <w:t xml:space="preserve">OMPI sur </w:t>
      </w:r>
      <w:r w:rsidRPr="00022FDB">
        <w:rPr>
          <w:szCs w:val="24"/>
          <w:lang w:val="fr-FR"/>
        </w:rPr>
        <w:lastRenderedPageBreak/>
        <w:t>certaines questions relatives aux principes UDRP</w:t>
      </w:r>
      <w:r w:rsidR="00515856" w:rsidRPr="00022FDB">
        <w:rPr>
          <w:szCs w:val="24"/>
          <w:lang w:val="fr-FR"/>
        </w:rPr>
        <w:t>”</w:t>
      </w:r>
      <w:r w:rsidRPr="00022FDB">
        <w:rPr>
          <w:szCs w:val="24"/>
          <w:lang w:val="fr-FR"/>
        </w:rPr>
        <w:t>.</w:t>
      </w:r>
      <w:r w:rsidR="00D832E9" w:rsidRPr="00022FDB">
        <w:rPr>
          <w:lang w:val="fr-FR"/>
        </w:rPr>
        <w:t xml:space="preserve">  </w:t>
      </w:r>
      <w:r w:rsidR="00B41AF2" w:rsidRPr="00022FDB">
        <w:rPr>
          <w:lang w:val="fr-FR"/>
        </w:rPr>
        <w:t>Résultat de l</w:t>
      </w:r>
      <w:r w:rsidR="007E6414">
        <w:rPr>
          <w:lang w:val="fr-FR"/>
        </w:rPr>
        <w:t>’</w:t>
      </w:r>
      <w:r w:rsidR="00B41AF2" w:rsidRPr="00022FDB">
        <w:rPr>
          <w:lang w:val="fr-FR"/>
        </w:rPr>
        <w:t xml:space="preserve">examen de milliers de litiges administrés par le Centre en vertu des principes UDRP, cet instrument de portée mondiale a été créé pour contribuer à dégager et à </w:t>
      </w:r>
      <w:r w:rsidR="00746030" w:rsidRPr="00022FDB">
        <w:rPr>
          <w:lang w:val="fr-FR"/>
        </w:rPr>
        <w:t>favoriser</w:t>
      </w:r>
      <w:r w:rsidR="00B41AF2" w:rsidRPr="00022FDB">
        <w:rPr>
          <w:lang w:val="fr-FR"/>
        </w:rPr>
        <w:t xml:space="preserve"> la cohérence de la jurisprudence UDRP de l</w:t>
      </w:r>
      <w:r w:rsidR="007E6414">
        <w:rPr>
          <w:lang w:val="fr-FR"/>
        </w:rPr>
        <w:t>’</w:t>
      </w:r>
      <w:r w:rsidR="00B41AF2" w:rsidRPr="00022FDB">
        <w:rPr>
          <w:lang w:val="fr-FR"/>
        </w:rPr>
        <w:t>OMPI</w:t>
      </w:r>
      <w:r w:rsidR="00B41AF2" w:rsidRPr="00022FDB">
        <w:rPr>
          <w:rStyle w:val="FootnoteReference"/>
          <w:lang w:val="fr-FR"/>
        </w:rPr>
        <w:footnoteReference w:id="17"/>
      </w:r>
      <w:r w:rsidR="00B41AF2" w:rsidRPr="00022FDB">
        <w:rPr>
          <w:lang w:val="fr-FR"/>
        </w:rPr>
        <w:t>.</w:t>
      </w:r>
      <w:r w:rsidR="00384EE8" w:rsidRPr="00022FDB">
        <w:rPr>
          <w:szCs w:val="24"/>
          <w:lang w:val="fr-FR"/>
        </w:rPr>
        <w:t xml:space="preserve">  </w:t>
      </w:r>
      <w:r w:rsidR="00B41AF2" w:rsidRPr="00022FDB">
        <w:rPr>
          <w:szCs w:val="24"/>
          <w:lang w:val="fr-FR"/>
        </w:rPr>
        <w:t>Pour faciliter l</w:t>
      </w:r>
      <w:r w:rsidR="007E6414">
        <w:rPr>
          <w:szCs w:val="24"/>
          <w:lang w:val="fr-FR"/>
        </w:rPr>
        <w:t>’</w:t>
      </w:r>
      <w:r w:rsidR="00B41AF2" w:rsidRPr="00022FDB">
        <w:rPr>
          <w:szCs w:val="24"/>
          <w:lang w:val="fr-FR"/>
        </w:rPr>
        <w:t>accès thématique à ces décisions, le Centre met aussi à disposition un index juridique des décisions rendues en vertu des principes UDRP</w:t>
      </w:r>
      <w:r w:rsidR="00B41AF2" w:rsidRPr="00022FDB">
        <w:rPr>
          <w:rStyle w:val="FootnoteReference"/>
          <w:szCs w:val="24"/>
          <w:lang w:val="fr-FR"/>
        </w:rPr>
        <w:footnoteReference w:id="18"/>
      </w:r>
      <w:r w:rsidR="00B41AF2" w:rsidRPr="00022FDB">
        <w:rPr>
          <w:szCs w:val="24"/>
          <w:lang w:val="fr-FR"/>
        </w:rPr>
        <w:t>, qui permet d</w:t>
      </w:r>
      <w:r w:rsidR="007E6414">
        <w:rPr>
          <w:szCs w:val="24"/>
          <w:lang w:val="fr-FR"/>
        </w:rPr>
        <w:t>’</w:t>
      </w:r>
      <w:r w:rsidR="00B41AF2" w:rsidRPr="00022FDB">
        <w:rPr>
          <w:szCs w:val="24"/>
          <w:lang w:val="fr-FR"/>
        </w:rPr>
        <w:t>effectuer des recherches en ligne</w:t>
      </w:r>
      <w:r w:rsidR="00746030" w:rsidRPr="00022FDB">
        <w:rPr>
          <w:szCs w:val="24"/>
          <w:lang w:val="fr-FR"/>
        </w:rPr>
        <w:t xml:space="preserve"> et qui est largement utilisé</w:t>
      </w:r>
      <w:r w:rsidR="00B41AF2" w:rsidRPr="00022FDB">
        <w:rPr>
          <w:szCs w:val="24"/>
          <w:lang w:val="fr-FR"/>
        </w:rPr>
        <w:t>.</w:t>
      </w:r>
      <w:r w:rsidR="0035343A">
        <w:rPr>
          <w:szCs w:val="24"/>
          <w:lang w:val="fr-FR"/>
        </w:rPr>
        <w:t xml:space="preserve"> </w:t>
      </w:r>
      <w:r w:rsidR="00384EE8" w:rsidRPr="00022FDB">
        <w:rPr>
          <w:szCs w:val="24"/>
          <w:lang w:val="fr-FR"/>
        </w:rPr>
        <w:t xml:space="preserve"> </w:t>
      </w:r>
      <w:r w:rsidR="00B41AF2" w:rsidRPr="00022FDB">
        <w:rPr>
          <w:szCs w:val="24"/>
          <w:lang w:val="fr-FR"/>
        </w:rPr>
        <w:t>Ces ressources de l</w:t>
      </w:r>
      <w:r w:rsidR="007E6414">
        <w:rPr>
          <w:szCs w:val="24"/>
          <w:lang w:val="fr-FR"/>
        </w:rPr>
        <w:t>’</w:t>
      </w:r>
      <w:r w:rsidR="00B41AF2" w:rsidRPr="00022FDB">
        <w:rPr>
          <w:szCs w:val="24"/>
          <w:lang w:val="fr-FR"/>
        </w:rPr>
        <w:t>OMPI sont accessibles gratuitement dans le monde entier.</w:t>
      </w:r>
    </w:p>
    <w:p w:rsidR="007E6414" w:rsidRDefault="00B41AF2" w:rsidP="00022FDB">
      <w:pPr>
        <w:pStyle w:val="ONUMFS"/>
        <w:rPr>
          <w:lang w:val="fr-FR"/>
        </w:rPr>
      </w:pPr>
      <w:r w:rsidRPr="00022FDB">
        <w:rPr>
          <w:szCs w:val="24"/>
          <w:lang w:val="fr-FR"/>
        </w:rPr>
        <w:t xml:space="preserve">Conscient du rôle </w:t>
      </w:r>
      <w:r w:rsidR="00746030" w:rsidRPr="00022FDB">
        <w:rPr>
          <w:szCs w:val="24"/>
          <w:lang w:val="fr-FR"/>
        </w:rPr>
        <w:t>moteur</w:t>
      </w:r>
      <w:r w:rsidRPr="00022FDB">
        <w:rPr>
          <w:szCs w:val="24"/>
          <w:lang w:val="fr-FR"/>
        </w:rPr>
        <w:t xml:space="preserve"> </w:t>
      </w:r>
      <w:r w:rsidR="00746030" w:rsidRPr="00022FDB">
        <w:rPr>
          <w:szCs w:val="24"/>
          <w:lang w:val="fr-FR"/>
        </w:rPr>
        <w:t>joué par</w:t>
      </w:r>
      <w:r w:rsidRPr="00022FDB">
        <w:rPr>
          <w:szCs w:val="24"/>
          <w:lang w:val="fr-FR"/>
        </w:rPr>
        <w:t xml:space="preserve"> l</w:t>
      </w:r>
      <w:r w:rsidR="007E6414">
        <w:rPr>
          <w:szCs w:val="24"/>
          <w:lang w:val="fr-FR"/>
        </w:rPr>
        <w:t>’</w:t>
      </w:r>
      <w:r w:rsidRPr="00022FDB">
        <w:rPr>
          <w:szCs w:val="24"/>
          <w:lang w:val="fr-FR"/>
        </w:rPr>
        <w:t xml:space="preserve">OMPI </w:t>
      </w:r>
      <w:r w:rsidR="00746030" w:rsidRPr="00022FDB">
        <w:rPr>
          <w:szCs w:val="24"/>
          <w:lang w:val="fr-FR"/>
        </w:rPr>
        <w:t>en ce qui concerne le</w:t>
      </w:r>
      <w:r w:rsidRPr="00022FDB">
        <w:rPr>
          <w:szCs w:val="24"/>
          <w:lang w:val="fr-FR"/>
        </w:rPr>
        <w:t xml:space="preserve">s principes UDRP, le Centre se tient informé des évolutions </w:t>
      </w:r>
      <w:r w:rsidR="00746030" w:rsidRPr="00022FDB">
        <w:rPr>
          <w:szCs w:val="24"/>
          <w:lang w:val="fr-FR"/>
        </w:rPr>
        <w:t>à l</w:t>
      </w:r>
      <w:r w:rsidR="007E6414">
        <w:rPr>
          <w:szCs w:val="24"/>
          <w:lang w:val="fr-FR"/>
        </w:rPr>
        <w:t>’</w:t>
      </w:r>
      <w:r w:rsidR="00746030" w:rsidRPr="00022FDB">
        <w:rPr>
          <w:szCs w:val="24"/>
          <w:lang w:val="fr-FR"/>
        </w:rPr>
        <w:t>œuvre</w:t>
      </w:r>
      <w:r w:rsidRPr="00022FDB">
        <w:rPr>
          <w:szCs w:val="24"/>
          <w:lang w:val="fr-FR"/>
        </w:rPr>
        <w:t xml:space="preserve"> dans</w:t>
      </w:r>
      <w:r w:rsidR="007E6414" w:rsidRPr="00022FDB">
        <w:rPr>
          <w:szCs w:val="24"/>
          <w:lang w:val="fr-FR"/>
        </w:rPr>
        <w:t xml:space="preserve"> le</w:t>
      </w:r>
      <w:r w:rsidR="007E6414">
        <w:rPr>
          <w:szCs w:val="24"/>
          <w:lang w:val="fr-FR"/>
        </w:rPr>
        <w:t> </w:t>
      </w:r>
      <w:r w:rsidR="007E6414" w:rsidRPr="00022FDB">
        <w:rPr>
          <w:szCs w:val="24"/>
          <w:lang w:val="fr-FR"/>
        </w:rPr>
        <w:t>DNS</w:t>
      </w:r>
      <w:r w:rsidRPr="00022FDB">
        <w:rPr>
          <w:szCs w:val="24"/>
          <w:lang w:val="fr-FR"/>
        </w:rPr>
        <w:t xml:space="preserve"> afin d</w:t>
      </w:r>
      <w:r w:rsidR="007E6414">
        <w:rPr>
          <w:szCs w:val="24"/>
          <w:lang w:val="fr-FR"/>
        </w:rPr>
        <w:t>’</w:t>
      </w:r>
      <w:r w:rsidRPr="00022FDB">
        <w:rPr>
          <w:szCs w:val="24"/>
          <w:lang w:val="fr-FR"/>
        </w:rPr>
        <w:t>ajuster ses ressources et ses pratiques</w:t>
      </w:r>
      <w:r w:rsidRPr="00022FDB">
        <w:rPr>
          <w:rStyle w:val="FootnoteReference"/>
          <w:szCs w:val="24"/>
          <w:lang w:val="fr-FR"/>
        </w:rPr>
        <w:footnoteReference w:id="19"/>
      </w:r>
      <w:r w:rsidRPr="00022FDB">
        <w:rPr>
          <w:szCs w:val="24"/>
          <w:lang w:val="fr-FR"/>
        </w:rPr>
        <w:t>.</w:t>
      </w:r>
      <w:r w:rsidR="00384EE8" w:rsidRPr="00022FDB">
        <w:rPr>
          <w:szCs w:val="24"/>
          <w:lang w:val="fr-FR"/>
        </w:rPr>
        <w:t xml:space="preserve">  </w:t>
      </w:r>
      <w:r w:rsidRPr="00022FDB">
        <w:rPr>
          <w:szCs w:val="24"/>
          <w:lang w:val="fr-FR"/>
        </w:rPr>
        <w:t>Le Centre organise régulièrement des ateliers sur le règlement des litiges relatifs aux noms de domaine pour informer les parties intéressées</w:t>
      </w:r>
      <w:r w:rsidRPr="00022FDB">
        <w:rPr>
          <w:rStyle w:val="FootnoteReference"/>
          <w:szCs w:val="24"/>
          <w:lang w:val="fr-FR"/>
        </w:rPr>
        <w:footnoteReference w:id="20"/>
      </w:r>
      <w:r w:rsidRPr="00022FDB">
        <w:rPr>
          <w:szCs w:val="24"/>
          <w:lang w:val="fr-FR"/>
        </w:rPr>
        <w:t>, ainsi que des réunions à l</w:t>
      </w:r>
      <w:r w:rsidR="007E6414">
        <w:rPr>
          <w:szCs w:val="24"/>
          <w:lang w:val="fr-FR"/>
        </w:rPr>
        <w:t>’</w:t>
      </w:r>
      <w:r w:rsidRPr="00022FDB">
        <w:rPr>
          <w:szCs w:val="24"/>
          <w:lang w:val="fr-FR"/>
        </w:rPr>
        <w:t>intention de ses experts des noms de domaine.</w:t>
      </w:r>
    </w:p>
    <w:p w:rsidR="00022FDB" w:rsidRDefault="00B41AF2" w:rsidP="008A2DB7">
      <w:pPr>
        <w:pStyle w:val="Heading2"/>
        <w:rPr>
          <w:lang w:val="fr-FR"/>
        </w:rPr>
      </w:pPr>
      <w:r w:rsidRPr="00022FDB">
        <w:rPr>
          <w:lang w:val="fr-FR"/>
        </w:rPr>
        <w:t>B.</w:t>
      </w:r>
      <w:r w:rsidRPr="00022FDB">
        <w:rPr>
          <w:lang w:val="fr-FR"/>
        </w:rPr>
        <w:tab/>
        <w:t xml:space="preserve">Domaines de premier niveau </w:t>
      </w:r>
      <w:r w:rsidR="00746030" w:rsidRPr="00022FDB">
        <w:rPr>
          <w:lang w:val="fr-FR"/>
        </w:rPr>
        <w:t>qui sont</w:t>
      </w:r>
      <w:r w:rsidRPr="00022FDB">
        <w:rPr>
          <w:lang w:val="fr-FR"/>
        </w:rPr>
        <w:t xml:space="preserve"> des codes de pays (</w:t>
      </w:r>
      <w:proofErr w:type="spellStart"/>
      <w:r w:rsidR="00D81604" w:rsidRPr="00022FDB">
        <w:rPr>
          <w:caps w:val="0"/>
          <w:lang w:val="fr-FR"/>
        </w:rPr>
        <w:t>cc</w:t>
      </w:r>
      <w:r w:rsidRPr="00022FDB">
        <w:rPr>
          <w:lang w:val="fr-FR"/>
        </w:rPr>
        <w:t>TLD</w:t>
      </w:r>
      <w:proofErr w:type="spellEnd"/>
      <w:r w:rsidRPr="00022FDB">
        <w:rPr>
          <w:lang w:val="fr-FR"/>
        </w:rPr>
        <w:t>)</w:t>
      </w:r>
    </w:p>
    <w:p w:rsidR="008A2DB7" w:rsidRPr="008A2DB7" w:rsidRDefault="008A2DB7" w:rsidP="008A2DB7">
      <w:pPr>
        <w:rPr>
          <w:lang w:val="fr-FR"/>
        </w:rPr>
      </w:pPr>
    </w:p>
    <w:p w:rsidR="00022FDB" w:rsidRPr="00022FDB" w:rsidRDefault="00B41AF2" w:rsidP="00022FDB">
      <w:pPr>
        <w:pStyle w:val="ONUMFS"/>
        <w:rPr>
          <w:lang w:val="fr-FR"/>
        </w:rPr>
      </w:pPr>
      <w:r w:rsidRPr="00022FDB">
        <w:rPr>
          <w:lang w:val="fr-FR"/>
        </w:rPr>
        <w:t>L</w:t>
      </w:r>
      <w:r w:rsidR="007E6414">
        <w:rPr>
          <w:lang w:val="fr-FR"/>
        </w:rPr>
        <w:t>’</w:t>
      </w:r>
      <w:r w:rsidRPr="00022FDB">
        <w:rPr>
          <w:lang w:val="fr-FR"/>
        </w:rPr>
        <w:t xml:space="preserve">application obligatoire des principes UDRP est limitée aux noms de domaine enregistrés dans les </w:t>
      </w:r>
      <w:proofErr w:type="spellStart"/>
      <w:r w:rsidRPr="00022FDB">
        <w:rPr>
          <w:lang w:val="fr-FR"/>
        </w:rPr>
        <w:t>gTLD</w:t>
      </w:r>
      <w:proofErr w:type="spellEnd"/>
      <w:r w:rsidR="00746030" w:rsidRPr="00022FDB">
        <w:rPr>
          <w:lang w:val="fr-FR"/>
        </w:rPr>
        <w:t xml:space="preserve"> traditionnels</w:t>
      </w:r>
      <w:r w:rsidRPr="00022FDB">
        <w:rPr>
          <w:lang w:val="fr-FR"/>
        </w:rPr>
        <w:t>, tels que .</w:t>
      </w:r>
      <w:proofErr w:type="spellStart"/>
      <w:r w:rsidRPr="00022FDB">
        <w:rPr>
          <w:lang w:val="fr-FR"/>
        </w:rPr>
        <w:t>com</w:t>
      </w:r>
      <w:proofErr w:type="spellEnd"/>
      <w:r w:rsidRPr="00022FDB">
        <w:rPr>
          <w:lang w:val="fr-FR"/>
        </w:rPr>
        <w:t xml:space="preserve">, et les nouveaux </w:t>
      </w:r>
      <w:proofErr w:type="spellStart"/>
      <w:r w:rsidRPr="00022FDB">
        <w:rPr>
          <w:lang w:val="fr-FR"/>
        </w:rPr>
        <w:t>gTLD</w:t>
      </w:r>
      <w:proofErr w:type="spellEnd"/>
      <w:r w:rsidRPr="00022FDB">
        <w:rPr>
          <w:lang w:val="fr-FR"/>
        </w:rPr>
        <w:t xml:space="preserve"> </w:t>
      </w:r>
      <w:r w:rsidR="0024545E" w:rsidRPr="00022FDB">
        <w:rPr>
          <w:lang w:val="fr-FR"/>
        </w:rPr>
        <w:t>introduits plus</w:t>
      </w:r>
      <w:r w:rsidRPr="00022FDB">
        <w:rPr>
          <w:lang w:val="fr-FR"/>
        </w:rPr>
        <w:t xml:space="preserve"> récemment, mais le Centre aide également de nombreux services d</w:t>
      </w:r>
      <w:r w:rsidR="007E6414">
        <w:rPr>
          <w:lang w:val="fr-FR"/>
        </w:rPr>
        <w:t>’</w:t>
      </w:r>
      <w:r w:rsidRPr="00022FDB">
        <w:rPr>
          <w:lang w:val="fr-FR"/>
        </w:rPr>
        <w:t xml:space="preserve">enregistrement de </w:t>
      </w:r>
      <w:proofErr w:type="spellStart"/>
      <w:r w:rsidRPr="00022FDB">
        <w:rPr>
          <w:lang w:val="fr-FR"/>
        </w:rPr>
        <w:t>ccTLD</w:t>
      </w:r>
      <w:proofErr w:type="spellEnd"/>
      <w:r w:rsidRPr="00022FDB">
        <w:rPr>
          <w:lang w:val="fr-FR"/>
        </w:rPr>
        <w:t xml:space="preserve"> à établir des conditions d</w:t>
      </w:r>
      <w:r w:rsidR="007E6414">
        <w:rPr>
          <w:lang w:val="fr-FR"/>
        </w:rPr>
        <w:t>’</w:t>
      </w:r>
      <w:r w:rsidRPr="00022FDB">
        <w:rPr>
          <w:lang w:val="fr-FR"/>
        </w:rPr>
        <w:t>enregistrement et des procédures de règlement des litiges conformes aux pratiques recommandées en matière de gestion des services d</w:t>
      </w:r>
      <w:r w:rsidR="007E6414">
        <w:rPr>
          <w:lang w:val="fr-FR"/>
        </w:rPr>
        <w:t>’</w:t>
      </w:r>
      <w:r w:rsidRPr="00022FDB">
        <w:rPr>
          <w:lang w:val="fr-FR"/>
        </w:rPr>
        <w:t>enregistrement et de protection de la propriété intellectuelle.</w:t>
      </w:r>
      <w:r w:rsidR="00384EE8" w:rsidRPr="00022FDB">
        <w:rPr>
          <w:lang w:val="fr-FR"/>
        </w:rPr>
        <w:t xml:space="preserve">  </w:t>
      </w:r>
      <w:r w:rsidRPr="00022FDB">
        <w:rPr>
          <w:lang w:val="fr-FR"/>
        </w:rPr>
        <w:t xml:space="preserve">Ces procédures sont pour la plupart calquées sur les principes UDRP mais peuvent tenir compte de la situation et des besoins particuliers des différents </w:t>
      </w:r>
      <w:proofErr w:type="spellStart"/>
      <w:r w:rsidRPr="00022FDB">
        <w:rPr>
          <w:lang w:val="fr-FR"/>
        </w:rPr>
        <w:t>ccTLD</w:t>
      </w:r>
      <w:proofErr w:type="spellEnd"/>
      <w:r w:rsidRPr="00022FDB">
        <w:rPr>
          <w:lang w:val="fr-FR"/>
        </w:rPr>
        <w:t>.  Le Centre assure actuellement des services de règlement des litiges relatifs aux noms de domaine à l</w:t>
      </w:r>
      <w:r w:rsidR="007E6414">
        <w:rPr>
          <w:lang w:val="fr-FR"/>
        </w:rPr>
        <w:t>’</w:t>
      </w:r>
      <w:r w:rsidRPr="00022FDB">
        <w:rPr>
          <w:lang w:val="fr-FR"/>
        </w:rPr>
        <w:t xml:space="preserve">intention de </w:t>
      </w:r>
      <w:r w:rsidR="00D81604">
        <w:rPr>
          <w:lang w:val="fr-FR"/>
        </w:rPr>
        <w:t>72 </w:t>
      </w:r>
      <w:r w:rsidRPr="00022FDB">
        <w:rPr>
          <w:lang w:val="fr-FR"/>
        </w:rPr>
        <w:t>services d</w:t>
      </w:r>
      <w:r w:rsidR="007E6414">
        <w:rPr>
          <w:lang w:val="fr-FR"/>
        </w:rPr>
        <w:t>’</w:t>
      </w:r>
      <w:r w:rsidRPr="00022FDB">
        <w:rPr>
          <w:lang w:val="fr-FR"/>
        </w:rPr>
        <w:t xml:space="preserve">enregistrement pour des </w:t>
      </w:r>
      <w:proofErr w:type="spellStart"/>
      <w:r w:rsidRPr="00022FDB">
        <w:rPr>
          <w:lang w:val="fr-FR"/>
        </w:rPr>
        <w:t>ccTLD</w:t>
      </w:r>
      <w:proofErr w:type="spellEnd"/>
      <w:r w:rsidRPr="00022FDB">
        <w:rPr>
          <w:lang w:val="fr-FR"/>
        </w:rPr>
        <w:t xml:space="preserve">, </w:t>
      </w:r>
      <w:r w:rsidR="007E6414">
        <w:rPr>
          <w:lang w:val="fr-FR"/>
        </w:rPr>
        <w:t>y compris</w:t>
      </w:r>
      <w:r w:rsidRPr="00022FDB">
        <w:rPr>
          <w:lang w:val="fr-FR"/>
        </w:rPr>
        <w:t xml:space="preserve"> dernièrement dans le domaine .GQ (Guinée équatoriale)</w:t>
      </w:r>
      <w:r w:rsidRPr="00022FDB">
        <w:rPr>
          <w:rStyle w:val="FootnoteReference"/>
          <w:lang w:val="fr-FR"/>
        </w:rPr>
        <w:footnoteReference w:id="21"/>
      </w:r>
      <w:r w:rsidRPr="00022FDB">
        <w:rPr>
          <w:lang w:val="fr-FR"/>
        </w:rPr>
        <w:t>.</w:t>
      </w:r>
    </w:p>
    <w:p w:rsidR="00022FDB" w:rsidRDefault="00B41AF2" w:rsidP="008A2DB7">
      <w:pPr>
        <w:pStyle w:val="Heading1"/>
        <w:rPr>
          <w:lang w:val="fr-FR"/>
        </w:rPr>
      </w:pPr>
      <w:r w:rsidRPr="00022FDB">
        <w:rPr>
          <w:lang w:val="fr-FR"/>
        </w:rPr>
        <w:t>III.</w:t>
      </w:r>
      <w:r w:rsidRPr="00022FDB">
        <w:rPr>
          <w:lang w:val="fr-FR"/>
        </w:rPr>
        <w:tab/>
        <w:t>Faits nouveaux de politique générale dans le système des noms de domaine</w:t>
      </w:r>
    </w:p>
    <w:p w:rsidR="008A2DB7" w:rsidRPr="008A2DB7" w:rsidRDefault="008A2DB7" w:rsidP="008A2DB7">
      <w:pPr>
        <w:rPr>
          <w:lang w:val="fr-FR"/>
        </w:rPr>
      </w:pPr>
    </w:p>
    <w:p w:rsidR="00022FDB" w:rsidRPr="00022FDB" w:rsidRDefault="00B41AF2" w:rsidP="00022FDB">
      <w:pPr>
        <w:pStyle w:val="ONUMFS"/>
        <w:rPr>
          <w:lang w:val="fr-FR"/>
        </w:rPr>
      </w:pPr>
      <w:r w:rsidRPr="00022FDB">
        <w:rPr>
          <w:lang w:val="fr-FR"/>
        </w:rPr>
        <w:t>Plusieurs initiatives de politique générale de l</w:t>
      </w:r>
      <w:r w:rsidR="007E6414">
        <w:rPr>
          <w:lang w:val="fr-FR"/>
        </w:rPr>
        <w:t>’</w:t>
      </w:r>
      <w:r w:rsidRPr="00022FDB">
        <w:rPr>
          <w:lang w:val="fr-FR"/>
        </w:rPr>
        <w:t>ICANN créent non seulement des opportunités mais également des difficultés pour les titulaires de droits de propriété intellectuelle et les utilisateurs.</w:t>
      </w:r>
      <w:r w:rsidR="00384EE8" w:rsidRPr="00022FDB">
        <w:rPr>
          <w:lang w:val="fr-FR"/>
        </w:rPr>
        <w:t xml:space="preserve">  </w:t>
      </w:r>
      <w:r w:rsidRPr="00022FDB">
        <w:rPr>
          <w:lang w:val="fr-FR"/>
        </w:rPr>
        <w:t>La première concerne l</w:t>
      </w:r>
      <w:r w:rsidR="007E6414">
        <w:rPr>
          <w:lang w:val="fr-FR"/>
        </w:rPr>
        <w:t>’</w:t>
      </w:r>
      <w:r w:rsidRPr="00022FDB">
        <w:rPr>
          <w:lang w:val="fr-FR"/>
        </w:rPr>
        <w:t>introduction de</w:t>
      </w:r>
      <w:r w:rsidR="0035343A">
        <w:rPr>
          <w:lang w:val="fr-FR"/>
        </w:rPr>
        <w:t> </w:t>
      </w:r>
      <w:r w:rsidR="00D81604">
        <w:rPr>
          <w:lang w:val="fr-FR"/>
        </w:rPr>
        <w:t>1400 </w:t>
      </w:r>
      <w:r w:rsidRPr="00022FDB">
        <w:rPr>
          <w:lang w:val="fr-FR"/>
        </w:rPr>
        <w:t xml:space="preserve">nouveaux </w:t>
      </w:r>
      <w:proofErr w:type="spellStart"/>
      <w:r w:rsidRPr="00022FDB">
        <w:rPr>
          <w:lang w:val="fr-FR"/>
        </w:rPr>
        <w:t>gTLD</w:t>
      </w:r>
      <w:proofErr w:type="spellEnd"/>
      <w:r w:rsidRPr="00022FDB">
        <w:rPr>
          <w:lang w:val="fr-FR"/>
        </w:rPr>
        <w:t xml:space="preserve"> par l</w:t>
      </w:r>
      <w:r w:rsidR="007E6414">
        <w:rPr>
          <w:lang w:val="fr-FR"/>
        </w:rPr>
        <w:t>’</w:t>
      </w:r>
      <w:r w:rsidRPr="00022FDB">
        <w:rPr>
          <w:lang w:val="fr-FR"/>
        </w:rPr>
        <w:t xml:space="preserve">ICANN.  Ces nouveaux domaines génériques de premier niveau peuvent être de nature </w:t>
      </w:r>
      <w:r w:rsidR="00515856" w:rsidRPr="00022FDB">
        <w:rPr>
          <w:lang w:val="fr-FR"/>
        </w:rPr>
        <w:t>“</w:t>
      </w:r>
      <w:r w:rsidRPr="00022FDB">
        <w:rPr>
          <w:lang w:val="fr-FR"/>
        </w:rPr>
        <w:t>ouverte</w:t>
      </w:r>
      <w:r w:rsidR="00515856" w:rsidRPr="00022FDB">
        <w:rPr>
          <w:lang w:val="fr-FR"/>
        </w:rPr>
        <w:t>”</w:t>
      </w:r>
      <w:r w:rsidRPr="00022FDB">
        <w:rPr>
          <w:lang w:val="fr-FR"/>
        </w:rPr>
        <w:t xml:space="preserve"> (similaires à .</w:t>
      </w:r>
      <w:proofErr w:type="spellStart"/>
      <w:r w:rsidRPr="00022FDB">
        <w:rPr>
          <w:lang w:val="fr-FR"/>
        </w:rPr>
        <w:t>com</w:t>
      </w:r>
      <w:proofErr w:type="spellEnd"/>
      <w:r w:rsidRPr="00022FDB">
        <w:rPr>
          <w:lang w:val="fr-FR"/>
        </w:rPr>
        <w:t>), ou plus spécifique ou restrictive, par exemple .[marque], .[ville], .[collectivité], .[culture], .[industrie] or .[langue].</w:t>
      </w:r>
      <w:r w:rsidR="00384EE8" w:rsidRPr="00022FDB">
        <w:rPr>
          <w:lang w:val="fr-FR"/>
        </w:rPr>
        <w:t xml:space="preserve">  </w:t>
      </w:r>
      <w:r w:rsidRPr="00022FDB">
        <w:rPr>
          <w:lang w:val="fr-FR"/>
        </w:rPr>
        <w:t>La deuxième initiative importante concerne l</w:t>
      </w:r>
      <w:r w:rsidR="007E6414">
        <w:rPr>
          <w:lang w:val="fr-FR"/>
        </w:rPr>
        <w:t>’</w:t>
      </w:r>
      <w:r w:rsidRPr="00022FDB">
        <w:rPr>
          <w:lang w:val="fr-FR"/>
        </w:rPr>
        <w:t>introduction de noms de domaine internationalisés au premier niveau.</w:t>
      </w:r>
      <w:r w:rsidR="00384EE8" w:rsidRPr="00022FDB">
        <w:rPr>
          <w:lang w:val="fr-FR"/>
        </w:rPr>
        <w:t xml:space="preserve">  </w:t>
      </w:r>
      <w:r w:rsidRPr="00022FDB">
        <w:rPr>
          <w:lang w:val="fr-FR"/>
        </w:rPr>
        <w:t>En outre, l</w:t>
      </w:r>
      <w:r w:rsidR="007E6414">
        <w:rPr>
          <w:lang w:val="fr-FR"/>
        </w:rPr>
        <w:t>’</w:t>
      </w:r>
      <w:r w:rsidRPr="00022FDB">
        <w:rPr>
          <w:lang w:val="fr-FR"/>
        </w:rPr>
        <w:t>expansion du système des noms de domaine (DNS) envisagée par l</w:t>
      </w:r>
      <w:r w:rsidR="007E6414">
        <w:rPr>
          <w:lang w:val="fr-FR"/>
        </w:rPr>
        <w:t>’</w:t>
      </w:r>
      <w:r w:rsidRPr="00022FDB">
        <w:rPr>
          <w:lang w:val="fr-FR"/>
        </w:rPr>
        <w:t>ICANN soulève des questions de protection des droits en rapport avec le deuxième processus de consultations de l</w:t>
      </w:r>
      <w:r w:rsidR="007E6414">
        <w:rPr>
          <w:lang w:val="fr-FR"/>
        </w:rPr>
        <w:t>’</w:t>
      </w:r>
      <w:r w:rsidRPr="00022FDB">
        <w:rPr>
          <w:lang w:val="fr-FR"/>
        </w:rPr>
        <w:t>OMPI sur les noms de domaine de l</w:t>
      </w:r>
      <w:r w:rsidR="007E6414">
        <w:rPr>
          <w:lang w:val="fr-FR"/>
        </w:rPr>
        <w:t>’</w:t>
      </w:r>
      <w:r w:rsidRPr="00022FDB">
        <w:rPr>
          <w:lang w:val="fr-FR"/>
        </w:rPr>
        <w:t>Internet.</w:t>
      </w:r>
    </w:p>
    <w:p w:rsidR="00022FDB" w:rsidRDefault="00A6544F" w:rsidP="00D81604">
      <w:pPr>
        <w:pStyle w:val="Heading2"/>
        <w:keepLines/>
        <w:rPr>
          <w:lang w:val="fr-FR"/>
        </w:rPr>
      </w:pPr>
      <w:r w:rsidRPr="00022FDB">
        <w:rPr>
          <w:lang w:val="fr-FR"/>
        </w:rPr>
        <w:lastRenderedPageBreak/>
        <w:t>A.</w:t>
      </w:r>
      <w:r w:rsidRPr="00022FDB">
        <w:rPr>
          <w:lang w:val="fr-FR"/>
        </w:rPr>
        <w:tab/>
        <w:t xml:space="preserve">Nouveaux </w:t>
      </w:r>
      <w:proofErr w:type="spellStart"/>
      <w:r w:rsidR="00D81604" w:rsidRPr="00022FDB">
        <w:rPr>
          <w:caps w:val="0"/>
          <w:lang w:val="fr-FR"/>
        </w:rPr>
        <w:t>g</w:t>
      </w:r>
      <w:r w:rsidRPr="00022FDB">
        <w:rPr>
          <w:lang w:val="fr-FR"/>
        </w:rPr>
        <w:t>TLD</w:t>
      </w:r>
      <w:proofErr w:type="spellEnd"/>
    </w:p>
    <w:p w:rsidR="008A2DB7" w:rsidRPr="008A2DB7" w:rsidRDefault="008A2DB7" w:rsidP="00D81604">
      <w:pPr>
        <w:keepNext/>
        <w:keepLines/>
        <w:rPr>
          <w:lang w:val="fr-FR"/>
        </w:rPr>
      </w:pPr>
    </w:p>
    <w:p w:rsidR="00022FDB" w:rsidRPr="00022FDB" w:rsidRDefault="003E1022" w:rsidP="00D81604">
      <w:pPr>
        <w:pStyle w:val="ONUMFS"/>
        <w:keepNext/>
        <w:keepLines/>
        <w:rPr>
          <w:szCs w:val="22"/>
          <w:lang w:val="fr-FR"/>
        </w:rPr>
      </w:pPr>
      <w:r w:rsidRPr="00022FDB">
        <w:rPr>
          <w:szCs w:val="22"/>
          <w:lang w:val="fr-FR"/>
        </w:rPr>
        <w:t xml:space="preserve">La mise en </w:t>
      </w:r>
      <w:r w:rsidR="0024545E" w:rsidRPr="00022FDB">
        <w:rPr>
          <w:szCs w:val="22"/>
          <w:lang w:val="fr-FR"/>
        </w:rPr>
        <w:t>œuvre</w:t>
      </w:r>
      <w:r w:rsidRPr="00022FDB">
        <w:rPr>
          <w:szCs w:val="22"/>
          <w:lang w:val="fr-FR"/>
        </w:rPr>
        <w:t xml:space="preserve"> du programme de l</w:t>
      </w:r>
      <w:r w:rsidR="007E6414">
        <w:rPr>
          <w:szCs w:val="22"/>
          <w:lang w:val="fr-FR"/>
        </w:rPr>
        <w:t>’</w:t>
      </w:r>
      <w:r w:rsidRPr="00022FDB">
        <w:rPr>
          <w:szCs w:val="22"/>
          <w:lang w:val="fr-FR"/>
        </w:rPr>
        <w:t xml:space="preserve">ICANN relatif aux nouveaux </w:t>
      </w:r>
      <w:proofErr w:type="spellStart"/>
      <w:r w:rsidRPr="00022FDB">
        <w:rPr>
          <w:szCs w:val="22"/>
          <w:lang w:val="fr-FR"/>
        </w:rPr>
        <w:t>gTLD</w:t>
      </w:r>
      <w:proofErr w:type="spellEnd"/>
      <w:r w:rsidRPr="00022FDB">
        <w:rPr>
          <w:szCs w:val="22"/>
          <w:lang w:val="fr-FR"/>
        </w:rPr>
        <w:t xml:space="preserve"> a été officiellement approuvée en </w:t>
      </w:r>
      <w:r w:rsidR="007E6414" w:rsidRPr="00022FDB">
        <w:rPr>
          <w:szCs w:val="22"/>
          <w:lang w:val="fr-FR"/>
        </w:rPr>
        <w:t>juin</w:t>
      </w:r>
      <w:r w:rsidR="007E6414">
        <w:rPr>
          <w:szCs w:val="22"/>
          <w:lang w:val="fr-FR"/>
        </w:rPr>
        <w:t> </w:t>
      </w:r>
      <w:r w:rsidR="007E6414" w:rsidRPr="00022FDB">
        <w:rPr>
          <w:szCs w:val="22"/>
          <w:lang w:val="fr-FR"/>
        </w:rPr>
        <w:t>20</w:t>
      </w:r>
      <w:r w:rsidRPr="00022FDB">
        <w:rPr>
          <w:szCs w:val="22"/>
          <w:lang w:val="fr-FR"/>
        </w:rPr>
        <w:t>11</w:t>
      </w:r>
      <w:r w:rsidRPr="00022FDB">
        <w:rPr>
          <w:rStyle w:val="FootnoteReference"/>
          <w:szCs w:val="22"/>
          <w:lang w:val="fr-FR"/>
        </w:rPr>
        <w:footnoteReference w:id="22"/>
      </w:r>
      <w:r w:rsidRPr="00022FDB">
        <w:rPr>
          <w:szCs w:val="22"/>
          <w:lang w:val="fr-FR"/>
        </w:rPr>
        <w:t>.</w:t>
      </w:r>
      <w:r w:rsidR="00384EE8" w:rsidRPr="00022FDB">
        <w:rPr>
          <w:szCs w:val="22"/>
          <w:lang w:val="fr-FR"/>
        </w:rPr>
        <w:t xml:space="preserve">  </w:t>
      </w:r>
      <w:r w:rsidRPr="00022FDB">
        <w:rPr>
          <w:szCs w:val="22"/>
          <w:lang w:val="fr-FR"/>
        </w:rPr>
        <w:t xml:space="preserve">Des informations ont été publiées dans le </w:t>
      </w:r>
      <w:r w:rsidR="00515856" w:rsidRPr="00022FDB">
        <w:rPr>
          <w:szCs w:val="22"/>
          <w:lang w:val="fr-FR"/>
        </w:rPr>
        <w:t>“</w:t>
      </w:r>
      <w:r w:rsidRPr="00022FDB">
        <w:rPr>
          <w:szCs w:val="22"/>
          <w:lang w:val="fr-FR"/>
        </w:rPr>
        <w:t>Guide de candidature</w:t>
      </w:r>
      <w:r w:rsidR="00515856" w:rsidRPr="00022FDB">
        <w:rPr>
          <w:szCs w:val="22"/>
          <w:lang w:val="fr-FR"/>
        </w:rPr>
        <w:t>”</w:t>
      </w:r>
      <w:r w:rsidRPr="00022FDB">
        <w:rPr>
          <w:szCs w:val="22"/>
          <w:lang w:val="fr-FR"/>
        </w:rPr>
        <w:t xml:space="preserve"> de l</w:t>
      </w:r>
      <w:r w:rsidR="007E6414">
        <w:rPr>
          <w:szCs w:val="22"/>
          <w:lang w:val="fr-FR"/>
        </w:rPr>
        <w:t>’</w:t>
      </w:r>
      <w:r w:rsidRPr="00022FDB">
        <w:rPr>
          <w:szCs w:val="22"/>
          <w:lang w:val="fr-FR"/>
        </w:rPr>
        <w:t>ICANN, qui a fait l</w:t>
      </w:r>
      <w:r w:rsidR="007E6414">
        <w:rPr>
          <w:szCs w:val="22"/>
          <w:lang w:val="fr-FR"/>
        </w:rPr>
        <w:t>’</w:t>
      </w:r>
      <w:r w:rsidRPr="00022FDB">
        <w:rPr>
          <w:szCs w:val="22"/>
          <w:lang w:val="fr-FR"/>
        </w:rPr>
        <w:t>objet de nombreuses révisions</w:t>
      </w:r>
      <w:r w:rsidRPr="00022FDB">
        <w:rPr>
          <w:rStyle w:val="FootnoteReference"/>
          <w:szCs w:val="22"/>
          <w:lang w:val="fr-FR"/>
        </w:rPr>
        <w:footnoteReference w:id="23"/>
      </w:r>
      <w:r w:rsidRPr="00022FDB">
        <w:rPr>
          <w:szCs w:val="22"/>
          <w:lang w:val="fr-FR"/>
        </w:rPr>
        <w:t>.</w:t>
      </w:r>
      <w:r w:rsidR="00384EE8" w:rsidRPr="00022FDB">
        <w:rPr>
          <w:szCs w:val="22"/>
          <w:lang w:val="fr-FR"/>
        </w:rPr>
        <w:t xml:space="preserve">  </w:t>
      </w:r>
      <w:r w:rsidRPr="00022FDB">
        <w:rPr>
          <w:szCs w:val="22"/>
          <w:lang w:val="fr-FR"/>
        </w:rPr>
        <w:t>L</w:t>
      </w:r>
      <w:r w:rsidR="007E6414">
        <w:rPr>
          <w:szCs w:val="22"/>
          <w:lang w:val="fr-FR"/>
        </w:rPr>
        <w:t>’</w:t>
      </w:r>
      <w:r w:rsidRPr="00022FDB">
        <w:rPr>
          <w:szCs w:val="22"/>
          <w:lang w:val="fr-FR"/>
        </w:rPr>
        <w:t xml:space="preserve">attribution des premiers nouveaux </w:t>
      </w:r>
      <w:proofErr w:type="spellStart"/>
      <w:r w:rsidRPr="00022FDB">
        <w:rPr>
          <w:szCs w:val="22"/>
          <w:lang w:val="fr-FR"/>
        </w:rPr>
        <w:t>gTLD</w:t>
      </w:r>
      <w:proofErr w:type="spellEnd"/>
      <w:r w:rsidRPr="00022FDB">
        <w:rPr>
          <w:szCs w:val="22"/>
          <w:lang w:val="fr-FR"/>
        </w:rPr>
        <w:t xml:space="preserve"> dans la zone racine de l</w:t>
      </w:r>
      <w:r w:rsidR="007E6414">
        <w:rPr>
          <w:szCs w:val="22"/>
          <w:lang w:val="fr-FR"/>
        </w:rPr>
        <w:t>’</w:t>
      </w:r>
      <w:r w:rsidRPr="00022FDB">
        <w:rPr>
          <w:szCs w:val="22"/>
          <w:lang w:val="fr-FR"/>
        </w:rPr>
        <w:t xml:space="preserve">Internet est intervenue en octobre 2013 et on dénombrait </w:t>
      </w:r>
      <w:r w:rsidR="00D81604">
        <w:rPr>
          <w:szCs w:val="22"/>
          <w:lang w:val="fr-FR"/>
        </w:rPr>
        <w:t>600 </w:t>
      </w:r>
      <w:proofErr w:type="spellStart"/>
      <w:r w:rsidRPr="00022FDB">
        <w:rPr>
          <w:szCs w:val="22"/>
          <w:lang w:val="fr-FR"/>
        </w:rPr>
        <w:t>gTLD</w:t>
      </w:r>
      <w:proofErr w:type="spellEnd"/>
      <w:r w:rsidRPr="00022FDB">
        <w:rPr>
          <w:szCs w:val="22"/>
          <w:lang w:val="fr-FR"/>
        </w:rPr>
        <w:t xml:space="preserve"> supplémentaires au mois de </w:t>
      </w:r>
      <w:r w:rsidR="007E6414" w:rsidRPr="00022FDB">
        <w:rPr>
          <w:szCs w:val="22"/>
          <w:lang w:val="fr-FR"/>
        </w:rPr>
        <w:t>juin</w:t>
      </w:r>
      <w:r w:rsidR="007E6414">
        <w:rPr>
          <w:szCs w:val="22"/>
          <w:lang w:val="fr-FR"/>
        </w:rPr>
        <w:t> </w:t>
      </w:r>
      <w:r w:rsidR="007E6414" w:rsidRPr="00022FDB">
        <w:rPr>
          <w:szCs w:val="22"/>
          <w:lang w:val="fr-FR"/>
        </w:rPr>
        <w:t>20</w:t>
      </w:r>
      <w:r w:rsidRPr="00022FDB">
        <w:rPr>
          <w:szCs w:val="22"/>
          <w:lang w:val="fr-FR"/>
        </w:rPr>
        <w:t>15</w:t>
      </w:r>
      <w:r w:rsidRPr="00022FDB">
        <w:rPr>
          <w:rStyle w:val="FootnoteReference"/>
          <w:szCs w:val="22"/>
          <w:lang w:val="fr-FR"/>
        </w:rPr>
        <w:footnoteReference w:id="24"/>
      </w:r>
      <w:r w:rsidRPr="00022FDB">
        <w:rPr>
          <w:szCs w:val="22"/>
          <w:lang w:val="fr-FR"/>
        </w:rPr>
        <w:t>.</w:t>
      </w:r>
    </w:p>
    <w:p w:rsidR="00022FDB" w:rsidRPr="00022FDB" w:rsidRDefault="003E1022" w:rsidP="00022FDB">
      <w:pPr>
        <w:pStyle w:val="ONUMFS"/>
        <w:rPr>
          <w:szCs w:val="22"/>
          <w:lang w:val="fr-FR"/>
        </w:rPr>
      </w:pPr>
      <w:r w:rsidRPr="00022FDB">
        <w:rPr>
          <w:szCs w:val="22"/>
          <w:lang w:val="fr-FR"/>
        </w:rPr>
        <w:t>Le Centre reste déterminé à travailler avec les parties prenantes pour tenter de préserver l</w:t>
      </w:r>
      <w:r w:rsidR="007E6414">
        <w:rPr>
          <w:szCs w:val="22"/>
          <w:lang w:val="fr-FR"/>
        </w:rPr>
        <w:t>’</w:t>
      </w:r>
      <w:r w:rsidRPr="00022FDB">
        <w:rPr>
          <w:szCs w:val="22"/>
          <w:lang w:val="fr-FR"/>
        </w:rPr>
        <w:t xml:space="preserve">observation des principes généraux de la protection de la propriété intellectuelle dans les nouveaux </w:t>
      </w:r>
      <w:proofErr w:type="spellStart"/>
      <w:r w:rsidRPr="00022FDB">
        <w:rPr>
          <w:szCs w:val="22"/>
          <w:lang w:val="fr-FR"/>
        </w:rPr>
        <w:t>gTLD</w:t>
      </w:r>
      <w:proofErr w:type="spellEnd"/>
      <w:r w:rsidRPr="00022FDB">
        <w:rPr>
          <w:szCs w:val="22"/>
          <w:lang w:val="fr-FR"/>
        </w:rPr>
        <w:t>.</w:t>
      </w:r>
      <w:r w:rsidR="00384EE8" w:rsidRPr="00022FDB">
        <w:rPr>
          <w:szCs w:val="22"/>
          <w:lang w:val="fr-FR"/>
        </w:rPr>
        <w:t xml:space="preserve"> </w:t>
      </w:r>
      <w:r w:rsidR="009D55D4" w:rsidRPr="00022FDB">
        <w:rPr>
          <w:szCs w:val="22"/>
          <w:lang w:val="fr-FR"/>
        </w:rPr>
        <w:t xml:space="preserve"> </w:t>
      </w:r>
      <w:r w:rsidR="00871368" w:rsidRPr="00022FDB">
        <w:rPr>
          <w:szCs w:val="22"/>
          <w:lang w:val="fr-FR"/>
        </w:rPr>
        <w:t>Certains mécanismes de protection des droits ont émergé d</w:t>
      </w:r>
      <w:r w:rsidR="007E6414">
        <w:rPr>
          <w:szCs w:val="22"/>
          <w:lang w:val="fr-FR"/>
        </w:rPr>
        <w:t>’</w:t>
      </w:r>
      <w:r w:rsidR="00871368" w:rsidRPr="00022FDB">
        <w:rPr>
          <w:szCs w:val="22"/>
          <w:lang w:val="fr-FR"/>
        </w:rPr>
        <w:t>une série de comités et processus de l</w:t>
      </w:r>
      <w:r w:rsidR="007E6414">
        <w:rPr>
          <w:szCs w:val="22"/>
          <w:lang w:val="fr-FR"/>
        </w:rPr>
        <w:t>’</w:t>
      </w:r>
      <w:r w:rsidR="00871368" w:rsidRPr="00022FDB">
        <w:rPr>
          <w:szCs w:val="22"/>
          <w:lang w:val="fr-FR"/>
        </w:rPr>
        <w:t xml:space="preserve">ICANN relatifs aux nouveaux </w:t>
      </w:r>
      <w:proofErr w:type="spellStart"/>
      <w:r w:rsidR="00871368" w:rsidRPr="00022FDB">
        <w:rPr>
          <w:szCs w:val="22"/>
          <w:lang w:val="fr-FR"/>
        </w:rPr>
        <w:t>gTLD</w:t>
      </w:r>
      <w:proofErr w:type="spellEnd"/>
      <w:r w:rsidR="00871368" w:rsidRPr="00022FDB">
        <w:rPr>
          <w:rStyle w:val="FootnoteReference"/>
          <w:szCs w:val="22"/>
          <w:lang w:val="fr-FR"/>
        </w:rPr>
        <w:footnoteReference w:id="25"/>
      </w:r>
      <w:r w:rsidR="00871368" w:rsidRPr="00022FDB">
        <w:rPr>
          <w:szCs w:val="22"/>
          <w:lang w:val="fr-FR"/>
        </w:rPr>
        <w:t>.</w:t>
      </w:r>
      <w:r w:rsidR="00384EE8" w:rsidRPr="00022FDB">
        <w:rPr>
          <w:szCs w:val="22"/>
          <w:lang w:val="fr-FR"/>
        </w:rPr>
        <w:t xml:space="preserve">  </w:t>
      </w:r>
      <w:r w:rsidR="00871368" w:rsidRPr="00022FDB">
        <w:rPr>
          <w:szCs w:val="22"/>
          <w:lang w:val="fr-FR"/>
        </w:rPr>
        <w:t>On trouvera ci</w:t>
      </w:r>
      <w:r w:rsidR="00687BC3">
        <w:rPr>
          <w:szCs w:val="22"/>
          <w:lang w:val="fr-FR"/>
        </w:rPr>
        <w:noBreakHyphen/>
      </w:r>
      <w:r w:rsidR="00871368" w:rsidRPr="00022FDB">
        <w:rPr>
          <w:szCs w:val="22"/>
          <w:lang w:val="fr-FR"/>
        </w:rPr>
        <w:t>après une description générale des mécanismes de protection des droits de l</w:t>
      </w:r>
      <w:r w:rsidR="007E6414">
        <w:rPr>
          <w:szCs w:val="22"/>
          <w:lang w:val="fr-FR"/>
        </w:rPr>
        <w:t>’</w:t>
      </w:r>
      <w:r w:rsidR="00871368" w:rsidRPr="00022FDB">
        <w:rPr>
          <w:szCs w:val="22"/>
          <w:lang w:val="fr-FR"/>
        </w:rPr>
        <w:t>ICANN, pour les premier et deuxième niveaux respectivement.</w:t>
      </w:r>
    </w:p>
    <w:p w:rsidR="00022FDB" w:rsidRDefault="008A2DB7" w:rsidP="008A2DB7">
      <w:pPr>
        <w:pStyle w:val="Heading3"/>
        <w:numPr>
          <w:ilvl w:val="0"/>
          <w:numId w:val="0"/>
        </w:numPr>
        <w:ind w:left="567"/>
      </w:pPr>
      <w:r w:rsidRPr="008A2DB7">
        <w:rPr>
          <w:u w:val="none"/>
        </w:rPr>
        <w:t>a)</w:t>
      </w:r>
      <w:r w:rsidRPr="008A2DB7">
        <w:rPr>
          <w:u w:val="none"/>
        </w:rPr>
        <w:tab/>
      </w:r>
      <w:r w:rsidR="00022FDB" w:rsidRPr="00022FDB">
        <w:t>M</w:t>
      </w:r>
      <w:r w:rsidR="00871368" w:rsidRPr="00022FDB">
        <w:t>écanismes de protection des droits de premier niveau</w:t>
      </w:r>
    </w:p>
    <w:p w:rsidR="008A2DB7" w:rsidRPr="008A2DB7" w:rsidRDefault="008A2DB7" w:rsidP="008A2DB7">
      <w:pPr>
        <w:rPr>
          <w:lang w:val="fr-FR"/>
        </w:rPr>
      </w:pPr>
    </w:p>
    <w:p w:rsidR="00022FDB" w:rsidRPr="00022FDB" w:rsidRDefault="008A2DB7" w:rsidP="008A2DB7">
      <w:pPr>
        <w:pStyle w:val="ONUMFS"/>
        <w:numPr>
          <w:ilvl w:val="0"/>
          <w:numId w:val="0"/>
        </w:numPr>
        <w:tabs>
          <w:tab w:val="left" w:pos="1701"/>
        </w:tabs>
        <w:ind w:left="1701" w:hanging="567"/>
        <w:rPr>
          <w:szCs w:val="22"/>
          <w:lang w:val="fr-FR"/>
        </w:rPr>
      </w:pPr>
      <w:r>
        <w:rPr>
          <w:szCs w:val="22"/>
          <w:lang w:val="fr-FR"/>
        </w:rPr>
        <w:t>i)</w:t>
      </w:r>
      <w:r>
        <w:rPr>
          <w:szCs w:val="22"/>
          <w:lang w:val="fr-FR"/>
        </w:rPr>
        <w:tab/>
      </w:r>
      <w:r w:rsidR="00871368" w:rsidRPr="008A2DB7">
        <w:rPr>
          <w:szCs w:val="22"/>
          <w:u w:val="single"/>
          <w:lang w:val="fr-FR"/>
        </w:rPr>
        <w:t>Procédure de règlement des litiges préalable à l</w:t>
      </w:r>
      <w:r w:rsidR="007E6414">
        <w:rPr>
          <w:szCs w:val="22"/>
          <w:u w:val="single"/>
          <w:lang w:val="fr-FR"/>
        </w:rPr>
        <w:t>’</w:t>
      </w:r>
      <w:r w:rsidR="00871368" w:rsidRPr="008A2DB7">
        <w:rPr>
          <w:szCs w:val="22"/>
          <w:u w:val="single"/>
          <w:lang w:val="fr-FR"/>
        </w:rPr>
        <w:t>attribution d</w:t>
      </w:r>
      <w:r w:rsidR="007E6414">
        <w:rPr>
          <w:szCs w:val="22"/>
          <w:u w:val="single"/>
          <w:lang w:val="fr-FR"/>
        </w:rPr>
        <w:t>’</w:t>
      </w:r>
      <w:r w:rsidR="00871368" w:rsidRPr="008A2DB7">
        <w:rPr>
          <w:szCs w:val="22"/>
          <w:u w:val="single"/>
          <w:lang w:val="fr-FR"/>
        </w:rPr>
        <w:t>un domaine de premier niveau</w:t>
      </w:r>
    </w:p>
    <w:p w:rsidR="00022FDB" w:rsidRPr="00022FDB" w:rsidRDefault="00871368" w:rsidP="00022FDB">
      <w:pPr>
        <w:pStyle w:val="ONUMFS"/>
        <w:rPr>
          <w:szCs w:val="22"/>
          <w:lang w:val="fr-FR"/>
        </w:rPr>
      </w:pPr>
      <w:r w:rsidRPr="00022FDB">
        <w:rPr>
          <w:szCs w:val="22"/>
          <w:lang w:val="fr-FR"/>
        </w:rPr>
        <w:t>Ce mécanisme permettait aux propriétaires de marques d</w:t>
      </w:r>
      <w:r w:rsidR="007E6414">
        <w:rPr>
          <w:szCs w:val="22"/>
          <w:lang w:val="fr-FR"/>
        </w:rPr>
        <w:t>’</w:t>
      </w:r>
      <w:r w:rsidRPr="00022FDB">
        <w:rPr>
          <w:szCs w:val="22"/>
          <w:lang w:val="fr-FR"/>
        </w:rPr>
        <w:t xml:space="preserve">opposer aux demandes de nouveaux </w:t>
      </w:r>
      <w:proofErr w:type="spellStart"/>
      <w:r w:rsidRPr="00022FDB">
        <w:rPr>
          <w:szCs w:val="22"/>
          <w:lang w:val="fr-FR"/>
        </w:rPr>
        <w:t>gTLD</w:t>
      </w:r>
      <w:proofErr w:type="spellEnd"/>
      <w:r w:rsidRPr="00022FDB">
        <w:rPr>
          <w:szCs w:val="22"/>
          <w:lang w:val="fr-FR"/>
        </w:rPr>
        <w:t xml:space="preserve"> au premier niveau des objections pour atteinte aux droits lorsque certains critères matériels étaient réunis</w:t>
      </w:r>
      <w:r w:rsidRPr="00022FDB">
        <w:rPr>
          <w:rStyle w:val="FootnoteReference"/>
          <w:szCs w:val="22"/>
          <w:lang w:val="fr-FR"/>
        </w:rPr>
        <w:footnoteReference w:id="26"/>
      </w:r>
      <w:r w:rsidRPr="00022FDB">
        <w:rPr>
          <w:szCs w:val="22"/>
          <w:lang w:val="fr-FR"/>
        </w:rPr>
        <w:t>.</w:t>
      </w:r>
      <w:r w:rsidR="00384EE8" w:rsidRPr="00022FDB">
        <w:rPr>
          <w:szCs w:val="22"/>
          <w:lang w:val="fr-FR"/>
        </w:rPr>
        <w:t xml:space="preserve">  </w:t>
      </w:r>
      <w:r w:rsidRPr="00022FDB">
        <w:rPr>
          <w:szCs w:val="22"/>
          <w:lang w:val="fr-FR"/>
        </w:rPr>
        <w:t>Le Centre a apporté à l</w:t>
      </w:r>
      <w:r w:rsidR="007E6414">
        <w:rPr>
          <w:szCs w:val="22"/>
          <w:lang w:val="fr-FR"/>
        </w:rPr>
        <w:t>’</w:t>
      </w:r>
      <w:r w:rsidRPr="00022FDB">
        <w:rPr>
          <w:szCs w:val="22"/>
          <w:lang w:val="fr-FR"/>
        </w:rPr>
        <w:t>ICANN une assistance pour l</w:t>
      </w:r>
      <w:r w:rsidR="007E6414">
        <w:rPr>
          <w:szCs w:val="22"/>
          <w:lang w:val="fr-FR"/>
        </w:rPr>
        <w:t>’</w:t>
      </w:r>
      <w:r w:rsidRPr="00022FDB">
        <w:rPr>
          <w:szCs w:val="22"/>
          <w:lang w:val="fr-FR"/>
        </w:rPr>
        <w:t xml:space="preserve">élaboration de ces critères sur la base de la </w:t>
      </w:r>
      <w:r w:rsidR="00515856" w:rsidRPr="00022FDB">
        <w:rPr>
          <w:szCs w:val="22"/>
          <w:lang w:val="fr-FR"/>
        </w:rPr>
        <w:t>“</w:t>
      </w:r>
      <w:r w:rsidRPr="00022FDB">
        <w:rPr>
          <w:szCs w:val="22"/>
          <w:lang w:val="fr-FR"/>
        </w:rPr>
        <w:t>Recommandation commune de l</w:t>
      </w:r>
      <w:r w:rsidR="007E6414">
        <w:rPr>
          <w:szCs w:val="22"/>
          <w:lang w:val="fr-FR"/>
        </w:rPr>
        <w:t>’</w:t>
      </w:r>
      <w:r w:rsidRPr="00022FDB">
        <w:rPr>
          <w:szCs w:val="22"/>
          <w:lang w:val="fr-FR"/>
        </w:rPr>
        <w:t>OMPI concernant la protection des marques, et autres droits de propriété industrielle relatifs à des signes, sur l</w:t>
      </w:r>
      <w:r w:rsidR="007E6414">
        <w:rPr>
          <w:szCs w:val="22"/>
          <w:lang w:val="fr-FR"/>
        </w:rPr>
        <w:t>’</w:t>
      </w:r>
      <w:r w:rsidRPr="00022FDB">
        <w:rPr>
          <w:szCs w:val="22"/>
          <w:lang w:val="fr-FR"/>
        </w:rPr>
        <w:t>Internet</w:t>
      </w:r>
      <w:r w:rsidR="00515856" w:rsidRPr="00022FDB">
        <w:rPr>
          <w:szCs w:val="22"/>
          <w:lang w:val="fr-FR"/>
        </w:rPr>
        <w:t>”</w:t>
      </w:r>
      <w:r w:rsidRPr="00022FDB">
        <w:rPr>
          <w:rStyle w:val="FootnoteReference"/>
          <w:szCs w:val="22"/>
          <w:lang w:val="fr-FR"/>
        </w:rPr>
        <w:footnoteReference w:id="27"/>
      </w:r>
      <w:r w:rsidRPr="00022FDB">
        <w:rPr>
          <w:szCs w:val="22"/>
          <w:lang w:val="fr-FR"/>
        </w:rPr>
        <w:t>.</w:t>
      </w:r>
    </w:p>
    <w:p w:rsidR="007E6414" w:rsidRDefault="00650554" w:rsidP="00022FDB">
      <w:pPr>
        <w:pStyle w:val="ONUMFS"/>
        <w:rPr>
          <w:szCs w:val="22"/>
          <w:lang w:val="fr-FR"/>
        </w:rPr>
      </w:pPr>
      <w:r w:rsidRPr="00022FDB">
        <w:rPr>
          <w:szCs w:val="22"/>
          <w:lang w:val="fr-FR"/>
        </w:rPr>
        <w:t>Désigné par l</w:t>
      </w:r>
      <w:r w:rsidR="007E6414">
        <w:rPr>
          <w:szCs w:val="22"/>
          <w:lang w:val="fr-FR"/>
        </w:rPr>
        <w:t>’</w:t>
      </w:r>
      <w:r w:rsidRPr="00022FDB">
        <w:rPr>
          <w:szCs w:val="22"/>
          <w:lang w:val="fr-FR"/>
        </w:rPr>
        <w:t>ICANN comme prestataire exclusif de services de règlement des litiges relatifs aux objections pour atteinte aux droits</w:t>
      </w:r>
      <w:r w:rsidRPr="00022FDB">
        <w:rPr>
          <w:rStyle w:val="FootnoteReference"/>
          <w:szCs w:val="22"/>
          <w:lang w:val="fr-FR"/>
        </w:rPr>
        <w:footnoteReference w:id="28"/>
      </w:r>
      <w:r w:rsidRPr="00022FDB">
        <w:rPr>
          <w:szCs w:val="22"/>
          <w:lang w:val="fr-FR"/>
        </w:rPr>
        <w:t>, le Centre a reçu à ce titre</w:t>
      </w:r>
      <w:r w:rsidR="002C4243">
        <w:rPr>
          <w:szCs w:val="22"/>
          <w:lang w:val="fr-FR"/>
        </w:rPr>
        <w:t xml:space="preserve"> </w:t>
      </w:r>
      <w:r w:rsidRPr="00022FDB">
        <w:rPr>
          <w:szCs w:val="22"/>
          <w:lang w:val="fr-FR"/>
        </w:rPr>
        <w:t>69</w:t>
      </w:r>
      <w:r w:rsidR="002C4243">
        <w:rPr>
          <w:szCs w:val="22"/>
          <w:lang w:val="fr-FR"/>
        </w:rPr>
        <w:t> </w:t>
      </w:r>
      <w:r w:rsidRPr="00022FDB">
        <w:rPr>
          <w:szCs w:val="22"/>
          <w:lang w:val="fr-FR"/>
        </w:rPr>
        <w:t>plaintes en bonne et due forme, dont il a achevé l</w:t>
      </w:r>
      <w:r w:rsidR="007E6414">
        <w:rPr>
          <w:szCs w:val="22"/>
          <w:lang w:val="fr-FR"/>
        </w:rPr>
        <w:t>’</w:t>
      </w:r>
      <w:r w:rsidRPr="00022FDB">
        <w:rPr>
          <w:szCs w:val="22"/>
          <w:lang w:val="fr-FR"/>
        </w:rPr>
        <w:t>instruction en septembre 2013</w:t>
      </w:r>
      <w:r w:rsidRPr="00022FDB">
        <w:rPr>
          <w:rStyle w:val="FootnoteReference"/>
          <w:szCs w:val="22"/>
          <w:lang w:val="fr-FR"/>
        </w:rPr>
        <w:footnoteReference w:id="29"/>
      </w:r>
      <w:r w:rsidRPr="00022FDB">
        <w:rPr>
          <w:szCs w:val="22"/>
          <w:lang w:val="fr-FR"/>
        </w:rPr>
        <w:t>.</w:t>
      </w:r>
      <w:r w:rsidR="00384EE8" w:rsidRPr="00022FDB">
        <w:rPr>
          <w:szCs w:val="22"/>
          <w:lang w:val="fr-FR"/>
        </w:rPr>
        <w:t xml:space="preserve">  </w:t>
      </w:r>
      <w:r w:rsidRPr="00022FDB">
        <w:rPr>
          <w:szCs w:val="22"/>
          <w:lang w:val="fr-FR"/>
        </w:rPr>
        <w:t xml:space="preserve">Toutes les décisions rendues </w:t>
      </w:r>
      <w:r w:rsidRPr="00022FDB">
        <w:rPr>
          <w:szCs w:val="22"/>
          <w:lang w:val="fr-FR"/>
        </w:rPr>
        <w:lastRenderedPageBreak/>
        <w:t>par les commissions administratives de l</w:t>
      </w:r>
      <w:r w:rsidR="007E6414">
        <w:rPr>
          <w:szCs w:val="22"/>
          <w:lang w:val="fr-FR"/>
        </w:rPr>
        <w:t>’</w:t>
      </w:r>
      <w:r w:rsidRPr="00022FDB">
        <w:rPr>
          <w:szCs w:val="22"/>
          <w:lang w:val="fr-FR"/>
        </w:rPr>
        <w:t>OMPI sont disponibles sur le site Internet du Centre</w:t>
      </w:r>
      <w:r w:rsidRPr="00022FDB">
        <w:rPr>
          <w:rStyle w:val="FootnoteReference"/>
          <w:szCs w:val="22"/>
          <w:lang w:val="fr-FR"/>
        </w:rPr>
        <w:footnoteReference w:id="30"/>
      </w:r>
      <w:r w:rsidRPr="00022FDB">
        <w:rPr>
          <w:szCs w:val="22"/>
          <w:lang w:val="fr-FR"/>
        </w:rPr>
        <w:t>, de même que le rapport établi sur les procédures d</w:t>
      </w:r>
      <w:r w:rsidR="007E6414">
        <w:rPr>
          <w:szCs w:val="22"/>
          <w:lang w:val="fr-FR"/>
        </w:rPr>
        <w:t>’</w:t>
      </w:r>
      <w:r w:rsidRPr="00022FDB">
        <w:rPr>
          <w:szCs w:val="22"/>
          <w:lang w:val="fr-FR"/>
        </w:rPr>
        <w:t>objection pour atteinte aux droits</w:t>
      </w:r>
      <w:r w:rsidRPr="00022FDB">
        <w:rPr>
          <w:rStyle w:val="FootnoteReference"/>
          <w:szCs w:val="22"/>
          <w:lang w:val="fr-FR"/>
        </w:rPr>
        <w:footnoteReference w:id="31"/>
      </w:r>
      <w:r w:rsidRPr="00022FDB">
        <w:rPr>
          <w:szCs w:val="22"/>
          <w:lang w:val="fr-FR"/>
        </w:rPr>
        <w:t>.</w:t>
      </w:r>
    </w:p>
    <w:p w:rsidR="007E6414" w:rsidRDefault="008A2DB7" w:rsidP="008A2DB7">
      <w:pPr>
        <w:pStyle w:val="ONUMFS"/>
        <w:numPr>
          <w:ilvl w:val="0"/>
          <w:numId w:val="0"/>
        </w:numPr>
        <w:ind w:left="1701" w:hanging="567"/>
        <w:rPr>
          <w:szCs w:val="22"/>
          <w:lang w:val="fr-FR"/>
        </w:rPr>
      </w:pPr>
      <w:r>
        <w:rPr>
          <w:szCs w:val="22"/>
          <w:lang w:val="fr-FR"/>
        </w:rPr>
        <w:t>ii)</w:t>
      </w:r>
      <w:r>
        <w:rPr>
          <w:szCs w:val="22"/>
          <w:lang w:val="fr-FR"/>
        </w:rPr>
        <w:tab/>
      </w:r>
      <w:r w:rsidR="00650554" w:rsidRPr="008A2DB7">
        <w:rPr>
          <w:szCs w:val="22"/>
          <w:u w:val="single"/>
          <w:lang w:val="fr-FR"/>
        </w:rPr>
        <w:t>Procédure de règlement des litiges postérieure à l</w:t>
      </w:r>
      <w:r w:rsidR="007E6414">
        <w:rPr>
          <w:szCs w:val="22"/>
          <w:u w:val="single"/>
          <w:lang w:val="fr-FR"/>
        </w:rPr>
        <w:t>’</w:t>
      </w:r>
      <w:r w:rsidR="00650554" w:rsidRPr="008A2DB7">
        <w:rPr>
          <w:szCs w:val="22"/>
          <w:u w:val="single"/>
          <w:lang w:val="fr-FR"/>
        </w:rPr>
        <w:t>attribution d</w:t>
      </w:r>
      <w:r w:rsidR="007E6414">
        <w:rPr>
          <w:szCs w:val="22"/>
          <w:u w:val="single"/>
          <w:lang w:val="fr-FR"/>
        </w:rPr>
        <w:t>’</w:t>
      </w:r>
      <w:r w:rsidR="00650554" w:rsidRPr="008A2DB7">
        <w:rPr>
          <w:szCs w:val="22"/>
          <w:u w:val="single"/>
          <w:lang w:val="fr-FR"/>
        </w:rPr>
        <w:t>un domaine de premier niveau</w:t>
      </w:r>
    </w:p>
    <w:p w:rsidR="007E6414" w:rsidRDefault="00D81604" w:rsidP="00022FDB">
      <w:pPr>
        <w:pStyle w:val="ONUMFS"/>
        <w:rPr>
          <w:szCs w:val="22"/>
          <w:lang w:val="fr-FR"/>
        </w:rPr>
      </w:pPr>
      <w:r>
        <w:rPr>
          <w:szCs w:val="22"/>
          <w:lang w:val="fr-FR"/>
        </w:rPr>
        <w:t>Début </w:t>
      </w:r>
      <w:r w:rsidR="00650554" w:rsidRPr="00022FDB">
        <w:rPr>
          <w:szCs w:val="22"/>
          <w:lang w:val="fr-FR"/>
        </w:rPr>
        <w:t>2009, le Centre a communiqué à l</w:t>
      </w:r>
      <w:r w:rsidR="007E6414">
        <w:rPr>
          <w:szCs w:val="22"/>
          <w:lang w:val="fr-FR"/>
        </w:rPr>
        <w:t>’</w:t>
      </w:r>
      <w:r w:rsidR="00650554" w:rsidRPr="00022FDB">
        <w:rPr>
          <w:szCs w:val="22"/>
          <w:lang w:val="fr-FR"/>
        </w:rPr>
        <w:t xml:space="preserve">ICANN une proposition concrète </w:t>
      </w:r>
      <w:r w:rsidR="00746030" w:rsidRPr="00022FDB">
        <w:rPr>
          <w:szCs w:val="22"/>
          <w:lang w:val="fr-FR"/>
        </w:rPr>
        <w:t>en faveur d</w:t>
      </w:r>
      <w:r w:rsidR="007E6414">
        <w:rPr>
          <w:szCs w:val="22"/>
          <w:lang w:val="fr-FR"/>
        </w:rPr>
        <w:t>’</w:t>
      </w:r>
      <w:r w:rsidR="00650554" w:rsidRPr="00022FDB">
        <w:rPr>
          <w:szCs w:val="22"/>
          <w:lang w:val="fr-FR"/>
        </w:rPr>
        <w:t>une option administrative permanente qui permettrait le dépôt d</w:t>
      </w:r>
      <w:r w:rsidR="007E6414">
        <w:rPr>
          <w:szCs w:val="22"/>
          <w:lang w:val="fr-FR"/>
        </w:rPr>
        <w:t>’</w:t>
      </w:r>
      <w:r w:rsidR="00650554" w:rsidRPr="00022FDB">
        <w:rPr>
          <w:szCs w:val="22"/>
          <w:lang w:val="fr-FR"/>
        </w:rPr>
        <w:t>une plainte contre l</w:t>
      </w:r>
      <w:r w:rsidR="007E6414">
        <w:rPr>
          <w:szCs w:val="22"/>
          <w:lang w:val="fr-FR"/>
        </w:rPr>
        <w:t>’</w:t>
      </w:r>
      <w:r w:rsidR="00650554" w:rsidRPr="00022FDB">
        <w:rPr>
          <w:szCs w:val="22"/>
          <w:lang w:val="fr-FR"/>
        </w:rPr>
        <w:t>administrateur d</w:t>
      </w:r>
      <w:r w:rsidR="007E6414">
        <w:rPr>
          <w:szCs w:val="22"/>
          <w:lang w:val="fr-FR"/>
        </w:rPr>
        <w:t>’</w:t>
      </w:r>
      <w:r w:rsidR="00650554" w:rsidRPr="00022FDB">
        <w:rPr>
          <w:szCs w:val="22"/>
          <w:lang w:val="fr-FR"/>
        </w:rPr>
        <w:t>un service d</w:t>
      </w:r>
      <w:r w:rsidR="007E6414">
        <w:rPr>
          <w:szCs w:val="22"/>
          <w:lang w:val="fr-FR"/>
        </w:rPr>
        <w:t>’</w:t>
      </w:r>
      <w:r w:rsidR="00650554" w:rsidRPr="00022FDB">
        <w:rPr>
          <w:szCs w:val="22"/>
          <w:lang w:val="fr-FR"/>
        </w:rPr>
        <w:t xml:space="preserve">enregistrement pour un </w:t>
      </w:r>
      <w:proofErr w:type="spellStart"/>
      <w:r w:rsidR="00650554" w:rsidRPr="00022FDB">
        <w:rPr>
          <w:szCs w:val="22"/>
          <w:lang w:val="fr-FR"/>
        </w:rPr>
        <w:t>gTLD</w:t>
      </w:r>
      <w:proofErr w:type="spellEnd"/>
      <w:r w:rsidR="00650554" w:rsidRPr="00022FDB">
        <w:rPr>
          <w:szCs w:val="22"/>
          <w:lang w:val="fr-FR"/>
        </w:rPr>
        <w:t xml:space="preserve"> nouvellement approuvé dont le mode de fonctionnement ou l</w:t>
      </w:r>
      <w:r w:rsidR="007E6414">
        <w:rPr>
          <w:szCs w:val="22"/>
          <w:lang w:val="fr-FR"/>
        </w:rPr>
        <w:t>’</w:t>
      </w:r>
      <w:r w:rsidR="00650554" w:rsidRPr="00022FDB">
        <w:rPr>
          <w:szCs w:val="22"/>
          <w:lang w:val="fr-FR"/>
        </w:rPr>
        <w:t>utilisation de son service porterait atteinte ou contribuerait matériellement à porter atteinte à une marque</w:t>
      </w:r>
      <w:r w:rsidR="00650554" w:rsidRPr="00022FDB">
        <w:rPr>
          <w:rStyle w:val="FootnoteReference"/>
          <w:szCs w:val="22"/>
          <w:lang w:val="fr-FR"/>
        </w:rPr>
        <w:footnoteReference w:id="32"/>
      </w:r>
      <w:r w:rsidR="00650554" w:rsidRPr="00022FDB">
        <w:rPr>
          <w:szCs w:val="22"/>
          <w:lang w:val="fr-FR"/>
        </w:rPr>
        <w:t>.</w:t>
      </w:r>
      <w:r w:rsidR="00384EE8" w:rsidRPr="00022FDB">
        <w:rPr>
          <w:szCs w:val="22"/>
          <w:lang w:val="fr-FR"/>
        </w:rPr>
        <w:t xml:space="preserve">  </w:t>
      </w:r>
      <w:r w:rsidR="003B6B6B" w:rsidRPr="00022FDB">
        <w:rPr>
          <w:szCs w:val="22"/>
          <w:lang w:val="fr-FR"/>
        </w:rPr>
        <w:t>L</w:t>
      </w:r>
      <w:r w:rsidR="007E6414">
        <w:rPr>
          <w:szCs w:val="22"/>
          <w:lang w:val="fr-FR"/>
        </w:rPr>
        <w:t>’</w:t>
      </w:r>
      <w:r w:rsidR="003B6B6B" w:rsidRPr="00022FDB">
        <w:rPr>
          <w:szCs w:val="22"/>
          <w:lang w:val="fr-FR"/>
        </w:rPr>
        <w:t>intention était de procurer une forme d</w:t>
      </w:r>
      <w:r w:rsidR="007E6414">
        <w:rPr>
          <w:szCs w:val="22"/>
          <w:lang w:val="fr-FR"/>
        </w:rPr>
        <w:t>’</w:t>
      </w:r>
      <w:r w:rsidR="003B6B6B" w:rsidRPr="00022FDB">
        <w:rPr>
          <w:szCs w:val="22"/>
          <w:lang w:val="fr-FR"/>
        </w:rPr>
        <w:t>assistance normalisée à l</w:t>
      </w:r>
      <w:r w:rsidR="007E6414">
        <w:rPr>
          <w:szCs w:val="22"/>
          <w:lang w:val="fr-FR"/>
        </w:rPr>
        <w:t>’</w:t>
      </w:r>
      <w:r w:rsidR="003B6B6B" w:rsidRPr="00022FDB">
        <w:rPr>
          <w:szCs w:val="22"/>
          <w:lang w:val="fr-FR"/>
        </w:rPr>
        <w:t>ICANN pour lui permettre de s</w:t>
      </w:r>
      <w:r w:rsidR="007E6414">
        <w:rPr>
          <w:szCs w:val="22"/>
          <w:lang w:val="fr-FR"/>
        </w:rPr>
        <w:t>’</w:t>
      </w:r>
      <w:r w:rsidR="003B6B6B" w:rsidRPr="00022FDB">
        <w:rPr>
          <w:szCs w:val="22"/>
          <w:lang w:val="fr-FR"/>
        </w:rPr>
        <w:t>acquitter de ses responsabilités en matière de supervision, en prévoyant une voie de règlement administrative pouvant se substituer à l</w:t>
      </w:r>
      <w:r w:rsidR="007E6414">
        <w:rPr>
          <w:szCs w:val="22"/>
          <w:lang w:val="fr-FR"/>
        </w:rPr>
        <w:t>’</w:t>
      </w:r>
      <w:r w:rsidR="003B6B6B" w:rsidRPr="00022FDB">
        <w:rPr>
          <w:szCs w:val="22"/>
          <w:lang w:val="fr-FR"/>
        </w:rPr>
        <w:t>action en justice et en encourageant les acteurs concernés à se comporter de manière responsable, le tout assorti de clauses d</w:t>
      </w:r>
      <w:r w:rsidR="007E6414">
        <w:rPr>
          <w:szCs w:val="22"/>
          <w:lang w:val="fr-FR"/>
        </w:rPr>
        <w:t>’</w:t>
      </w:r>
      <w:r w:rsidR="003B6B6B" w:rsidRPr="00022FDB">
        <w:rPr>
          <w:szCs w:val="22"/>
          <w:lang w:val="fr-FR"/>
        </w:rPr>
        <w:t>exonération de responsabilité</w:t>
      </w:r>
      <w:r w:rsidR="003B6B6B" w:rsidRPr="00022FDB">
        <w:rPr>
          <w:rStyle w:val="FootnoteReference"/>
          <w:szCs w:val="22"/>
          <w:lang w:val="fr-FR"/>
        </w:rPr>
        <w:footnoteReference w:id="33"/>
      </w:r>
      <w:r w:rsidR="003B6B6B" w:rsidRPr="00022FDB">
        <w:rPr>
          <w:szCs w:val="22"/>
          <w:lang w:val="fr-FR"/>
        </w:rPr>
        <w:t>.</w:t>
      </w:r>
    </w:p>
    <w:p w:rsidR="00022FDB" w:rsidRPr="00022FDB" w:rsidRDefault="002C71AF" w:rsidP="00022FDB">
      <w:pPr>
        <w:pStyle w:val="ONUMFS"/>
        <w:rPr>
          <w:szCs w:val="22"/>
          <w:lang w:val="fr-FR"/>
        </w:rPr>
      </w:pPr>
      <w:r w:rsidRPr="00022FDB">
        <w:rPr>
          <w:szCs w:val="22"/>
          <w:lang w:val="fr-FR"/>
        </w:rPr>
        <w:t>À la suite de différentes procédures internes de l</w:t>
      </w:r>
      <w:r w:rsidR="007E6414">
        <w:rPr>
          <w:szCs w:val="22"/>
          <w:lang w:val="fr-FR"/>
        </w:rPr>
        <w:t>’</w:t>
      </w:r>
      <w:r w:rsidRPr="00022FDB">
        <w:rPr>
          <w:szCs w:val="22"/>
          <w:lang w:val="fr-FR"/>
        </w:rPr>
        <w:t>ICANN et de consultations avec les administrateurs de services d</w:t>
      </w:r>
      <w:r w:rsidR="007E6414">
        <w:rPr>
          <w:szCs w:val="22"/>
          <w:lang w:val="fr-FR"/>
        </w:rPr>
        <w:t>’</w:t>
      </w:r>
      <w:r w:rsidRPr="00022FDB">
        <w:rPr>
          <w:szCs w:val="22"/>
          <w:lang w:val="fr-FR"/>
        </w:rPr>
        <w:t>enregistrement, l</w:t>
      </w:r>
      <w:r w:rsidR="007E6414">
        <w:rPr>
          <w:szCs w:val="22"/>
          <w:lang w:val="fr-FR"/>
        </w:rPr>
        <w:t>’</w:t>
      </w:r>
      <w:r w:rsidRPr="00022FDB">
        <w:rPr>
          <w:szCs w:val="22"/>
          <w:lang w:val="fr-FR"/>
        </w:rPr>
        <w:t>efficacité de la procédure de règlement des litiges postérieure à l</w:t>
      </w:r>
      <w:r w:rsidR="007E6414">
        <w:rPr>
          <w:szCs w:val="22"/>
          <w:lang w:val="fr-FR"/>
        </w:rPr>
        <w:t>’</w:t>
      </w:r>
      <w:r w:rsidRPr="00022FDB">
        <w:rPr>
          <w:szCs w:val="22"/>
          <w:lang w:val="fr-FR"/>
        </w:rPr>
        <w:t>attribution reste incertaine, compte tenu en particulier de la superposition de différentes couches procédurales et des problèmes concernant le champ d</w:t>
      </w:r>
      <w:r w:rsidR="007E6414">
        <w:rPr>
          <w:szCs w:val="22"/>
          <w:lang w:val="fr-FR"/>
        </w:rPr>
        <w:t>’</w:t>
      </w:r>
      <w:r w:rsidRPr="00022FDB">
        <w:rPr>
          <w:szCs w:val="22"/>
          <w:lang w:val="fr-FR"/>
        </w:rPr>
        <w:t>application de ce mécanisme.</w:t>
      </w:r>
      <w:r w:rsidR="00384EE8" w:rsidRPr="00022FDB">
        <w:rPr>
          <w:szCs w:val="22"/>
          <w:lang w:val="fr-FR"/>
        </w:rPr>
        <w:t xml:space="preserve">  </w:t>
      </w:r>
      <w:r w:rsidRPr="00022FDB">
        <w:rPr>
          <w:szCs w:val="22"/>
          <w:lang w:val="fr-FR"/>
        </w:rPr>
        <w:t>Compte tenu de certains intérêts plus généraux, le Centre est convenu en</w:t>
      </w:r>
      <w:r w:rsidR="0035343A">
        <w:rPr>
          <w:szCs w:val="22"/>
          <w:lang w:val="fr-FR"/>
        </w:rPr>
        <w:t> </w:t>
      </w:r>
      <w:r w:rsidRPr="00022FDB">
        <w:rPr>
          <w:szCs w:val="22"/>
          <w:lang w:val="fr-FR"/>
        </w:rPr>
        <w:t>2013 avec l</w:t>
      </w:r>
      <w:r w:rsidR="007E6414">
        <w:rPr>
          <w:szCs w:val="22"/>
          <w:lang w:val="fr-FR"/>
        </w:rPr>
        <w:t>’</w:t>
      </w:r>
      <w:r w:rsidRPr="00022FDB">
        <w:rPr>
          <w:szCs w:val="22"/>
          <w:lang w:val="fr-FR"/>
        </w:rPr>
        <w:t>ICANN de devenir prestataire de services dans le cadre de la procédure de règlement des litiges postérieure à l</w:t>
      </w:r>
      <w:r w:rsidR="007E6414">
        <w:rPr>
          <w:szCs w:val="22"/>
          <w:lang w:val="fr-FR"/>
        </w:rPr>
        <w:t>’</w:t>
      </w:r>
      <w:r w:rsidRPr="00022FDB">
        <w:rPr>
          <w:szCs w:val="22"/>
          <w:lang w:val="fr-FR"/>
        </w:rPr>
        <w:t>attribution en ce qui concerne les marques.</w:t>
      </w:r>
    </w:p>
    <w:p w:rsidR="0024545E" w:rsidRDefault="008A2DB7" w:rsidP="00D81604">
      <w:pPr>
        <w:pStyle w:val="Heading3"/>
        <w:keepLines/>
        <w:numPr>
          <w:ilvl w:val="0"/>
          <w:numId w:val="0"/>
        </w:numPr>
        <w:ind w:left="567"/>
      </w:pPr>
      <w:r w:rsidRPr="008A2DB7">
        <w:rPr>
          <w:u w:val="none"/>
        </w:rPr>
        <w:lastRenderedPageBreak/>
        <w:t>b)</w:t>
      </w:r>
      <w:r w:rsidRPr="008A2DB7">
        <w:rPr>
          <w:u w:val="none"/>
        </w:rPr>
        <w:tab/>
      </w:r>
      <w:r w:rsidR="002C71AF" w:rsidRPr="008A2DB7">
        <w:t>Mécanismes de protection des droits au deuxième niveau</w:t>
      </w:r>
    </w:p>
    <w:p w:rsidR="008A2DB7" w:rsidRPr="008A2DB7" w:rsidRDefault="008A2DB7" w:rsidP="00D81604">
      <w:pPr>
        <w:keepNext/>
        <w:keepLines/>
        <w:rPr>
          <w:lang w:val="fr-FR"/>
        </w:rPr>
      </w:pPr>
    </w:p>
    <w:p w:rsidR="00022FDB" w:rsidRPr="00022FDB" w:rsidRDefault="008A2DB7" w:rsidP="00D81604">
      <w:pPr>
        <w:pStyle w:val="ONUMFS"/>
        <w:keepNext/>
        <w:keepLines/>
        <w:numPr>
          <w:ilvl w:val="0"/>
          <w:numId w:val="0"/>
        </w:numPr>
        <w:ind w:left="1134"/>
        <w:rPr>
          <w:szCs w:val="22"/>
          <w:lang w:val="fr-FR"/>
        </w:rPr>
      </w:pPr>
      <w:r>
        <w:rPr>
          <w:szCs w:val="22"/>
          <w:lang w:val="fr-FR"/>
        </w:rPr>
        <w:t>i)</w:t>
      </w:r>
      <w:r>
        <w:rPr>
          <w:szCs w:val="22"/>
          <w:lang w:val="fr-FR"/>
        </w:rPr>
        <w:tab/>
      </w:r>
      <w:r w:rsidR="00022FDB" w:rsidRPr="008A2DB7">
        <w:rPr>
          <w:szCs w:val="22"/>
          <w:u w:val="single"/>
          <w:lang w:val="fr-FR"/>
        </w:rPr>
        <w:t>B</w:t>
      </w:r>
      <w:r w:rsidR="00F94E86" w:rsidRPr="008A2DB7">
        <w:rPr>
          <w:szCs w:val="22"/>
          <w:u w:val="single"/>
          <w:lang w:val="fr-FR"/>
        </w:rPr>
        <w:t>ase de données centrale</w:t>
      </w:r>
      <w:r w:rsidR="002C71AF" w:rsidRPr="008A2DB7">
        <w:rPr>
          <w:szCs w:val="22"/>
          <w:u w:val="single"/>
          <w:lang w:val="fr-FR"/>
        </w:rPr>
        <w:t xml:space="preserve"> sur les marques</w:t>
      </w:r>
    </w:p>
    <w:p w:rsidR="007E6414" w:rsidRDefault="002C71AF" w:rsidP="00D81604">
      <w:pPr>
        <w:pStyle w:val="ONUMFS"/>
        <w:keepNext/>
        <w:keepLines/>
        <w:rPr>
          <w:lang w:val="fr-FR"/>
        </w:rPr>
      </w:pPr>
      <w:r w:rsidRPr="00022FDB">
        <w:rPr>
          <w:lang w:val="fr-FR"/>
        </w:rPr>
        <w:t>Le programme de l</w:t>
      </w:r>
      <w:r w:rsidR="007E6414">
        <w:rPr>
          <w:lang w:val="fr-FR"/>
        </w:rPr>
        <w:t>’</w:t>
      </w:r>
      <w:r w:rsidRPr="00022FDB">
        <w:rPr>
          <w:lang w:val="fr-FR"/>
        </w:rPr>
        <w:t xml:space="preserve">ICANN relatif aux nouveaux </w:t>
      </w:r>
      <w:proofErr w:type="spellStart"/>
      <w:r w:rsidRPr="00022FDB">
        <w:rPr>
          <w:lang w:val="fr-FR"/>
        </w:rPr>
        <w:t>gTLD</w:t>
      </w:r>
      <w:proofErr w:type="spellEnd"/>
      <w:r w:rsidRPr="00022FDB">
        <w:rPr>
          <w:lang w:val="fr-FR"/>
        </w:rPr>
        <w:t xml:space="preserve"> prévoit l</w:t>
      </w:r>
      <w:r w:rsidR="007E6414">
        <w:rPr>
          <w:lang w:val="fr-FR"/>
        </w:rPr>
        <w:t>’</w:t>
      </w:r>
      <w:r w:rsidRPr="00022FDB">
        <w:rPr>
          <w:lang w:val="fr-FR"/>
        </w:rPr>
        <w:t>établissement d</w:t>
      </w:r>
      <w:r w:rsidR="007E6414">
        <w:rPr>
          <w:lang w:val="fr-FR"/>
        </w:rPr>
        <w:t>’</w:t>
      </w:r>
      <w:r w:rsidRPr="00022FDB">
        <w:rPr>
          <w:lang w:val="fr-FR"/>
        </w:rPr>
        <w:t xml:space="preserve">une base de données centrale sur les marques pouvant être invoquée en vertu des mécanismes de protection des droits relatifs aux nouveaux </w:t>
      </w:r>
      <w:proofErr w:type="spellStart"/>
      <w:r w:rsidRPr="00022FDB">
        <w:rPr>
          <w:lang w:val="fr-FR"/>
        </w:rPr>
        <w:t>gTLD</w:t>
      </w:r>
      <w:proofErr w:type="spellEnd"/>
      <w:r w:rsidRPr="00022FDB">
        <w:rPr>
          <w:rStyle w:val="FootnoteReference"/>
          <w:lang w:val="fr-FR"/>
        </w:rPr>
        <w:footnoteReference w:id="34"/>
      </w:r>
      <w:r w:rsidRPr="00022FDB">
        <w:rPr>
          <w:lang w:val="fr-FR"/>
        </w:rPr>
        <w:t>.</w:t>
      </w:r>
      <w:r w:rsidR="00384EE8" w:rsidRPr="00022FDB">
        <w:rPr>
          <w:lang w:val="fr-FR"/>
        </w:rPr>
        <w:t xml:space="preserve">  </w:t>
      </w:r>
      <w:r w:rsidRPr="00022FDB">
        <w:rPr>
          <w:lang w:val="fr-FR"/>
        </w:rPr>
        <w:t>Le Centre a fait valoir que toute base de données de ce type devrait éviter d</w:t>
      </w:r>
      <w:r w:rsidR="007E6414">
        <w:rPr>
          <w:lang w:val="fr-FR"/>
        </w:rPr>
        <w:t>’</w:t>
      </w:r>
      <w:r w:rsidRPr="00022FDB">
        <w:rPr>
          <w:lang w:val="fr-FR"/>
        </w:rPr>
        <w:t>alourdir la charge de travail des titulaires de droits en matière de traitement des enregistrements de marques légitimement obtenus dans le cadre des systèmes d</w:t>
      </w:r>
      <w:r w:rsidR="007E6414">
        <w:rPr>
          <w:lang w:val="fr-FR"/>
        </w:rPr>
        <w:t>’</w:t>
      </w:r>
      <w:r w:rsidRPr="00022FDB">
        <w:rPr>
          <w:lang w:val="fr-FR"/>
        </w:rPr>
        <w:t>examen et d</w:t>
      </w:r>
      <w:r w:rsidR="007E6414">
        <w:rPr>
          <w:lang w:val="fr-FR"/>
        </w:rPr>
        <w:t>’</w:t>
      </w:r>
      <w:r w:rsidRPr="00022FDB">
        <w:rPr>
          <w:lang w:val="fr-FR"/>
        </w:rPr>
        <w:t>enregistrement appliqués dans de nombreux ressorts juridiques et qu</w:t>
      </w:r>
      <w:r w:rsidR="007E6414">
        <w:rPr>
          <w:lang w:val="fr-FR"/>
        </w:rPr>
        <w:t>’</w:t>
      </w:r>
      <w:r w:rsidRPr="00022FDB">
        <w:rPr>
          <w:lang w:val="fr-FR"/>
        </w:rPr>
        <w:t>il conviendrait, le cas échéant, d</w:t>
      </w:r>
      <w:r w:rsidR="007E6414">
        <w:rPr>
          <w:lang w:val="fr-FR"/>
        </w:rPr>
        <w:t>’</w:t>
      </w:r>
      <w:r w:rsidRPr="00022FDB">
        <w:rPr>
          <w:lang w:val="fr-FR"/>
        </w:rPr>
        <w:t>envisager des mesures pratiques pour recenser toute invocation inappropriée de droits dans certains contextes.</w:t>
      </w:r>
      <w:r w:rsidR="00384EE8" w:rsidRPr="00022FDB">
        <w:rPr>
          <w:lang w:val="fr-FR"/>
        </w:rPr>
        <w:t xml:space="preserve">  </w:t>
      </w:r>
      <w:r w:rsidRPr="00022FDB">
        <w:rPr>
          <w:lang w:val="fr-FR"/>
        </w:rPr>
        <w:t xml:space="preserve">À la fin </w:t>
      </w:r>
      <w:r w:rsidR="007E6414" w:rsidRPr="00022FDB">
        <w:rPr>
          <w:lang w:val="fr-FR"/>
        </w:rPr>
        <w:t>juin</w:t>
      </w:r>
      <w:r w:rsidR="007E6414">
        <w:rPr>
          <w:lang w:val="fr-FR"/>
        </w:rPr>
        <w:t> </w:t>
      </w:r>
      <w:r w:rsidR="007E6414" w:rsidRPr="00022FDB">
        <w:rPr>
          <w:lang w:val="fr-FR"/>
        </w:rPr>
        <w:t>20</w:t>
      </w:r>
      <w:r w:rsidRPr="00022FDB">
        <w:rPr>
          <w:lang w:val="fr-FR"/>
        </w:rPr>
        <w:t xml:space="preserve">15, la base de données comptait </w:t>
      </w:r>
      <w:r w:rsidR="00D81604">
        <w:rPr>
          <w:lang w:val="fr-FR"/>
        </w:rPr>
        <w:t>quelque</w:t>
      </w:r>
      <w:r w:rsidRPr="00022FDB">
        <w:rPr>
          <w:lang w:val="fr-FR"/>
        </w:rPr>
        <w:t xml:space="preserve"> </w:t>
      </w:r>
      <w:r w:rsidR="00D81604">
        <w:rPr>
          <w:lang w:val="fr-FR"/>
        </w:rPr>
        <w:t>37 000 </w:t>
      </w:r>
      <w:r w:rsidRPr="00022FDB">
        <w:rPr>
          <w:lang w:val="fr-FR"/>
        </w:rPr>
        <w:t>enregistrements</w:t>
      </w:r>
      <w:r w:rsidRPr="00022FDB">
        <w:rPr>
          <w:rStyle w:val="FootnoteReference"/>
          <w:lang w:val="fr-FR"/>
        </w:rPr>
        <w:footnoteReference w:id="35"/>
      </w:r>
      <w:r w:rsidRPr="00022FDB">
        <w:rPr>
          <w:lang w:val="fr-FR"/>
        </w:rPr>
        <w:t>.</w:t>
      </w:r>
    </w:p>
    <w:p w:rsidR="00022FDB" w:rsidRPr="00022FDB" w:rsidRDefault="008A2DB7" w:rsidP="008A2DB7">
      <w:pPr>
        <w:pStyle w:val="ONUMFS"/>
        <w:numPr>
          <w:ilvl w:val="0"/>
          <w:numId w:val="0"/>
        </w:numPr>
        <w:ind w:left="1134"/>
        <w:rPr>
          <w:szCs w:val="22"/>
          <w:lang w:val="fr-FR"/>
        </w:rPr>
      </w:pPr>
      <w:r>
        <w:rPr>
          <w:szCs w:val="22"/>
          <w:lang w:val="fr-FR"/>
        </w:rPr>
        <w:t>ii)</w:t>
      </w:r>
      <w:r>
        <w:rPr>
          <w:szCs w:val="22"/>
          <w:lang w:val="fr-FR"/>
        </w:rPr>
        <w:tab/>
      </w:r>
      <w:r w:rsidR="002C71AF" w:rsidRPr="008A2DB7">
        <w:rPr>
          <w:szCs w:val="22"/>
          <w:u w:val="single"/>
          <w:lang w:val="fr-FR"/>
        </w:rPr>
        <w:t>Système de suspension uniforme rapide</w:t>
      </w:r>
    </w:p>
    <w:p w:rsidR="007E6414" w:rsidRDefault="002C71AF" w:rsidP="00022FDB">
      <w:pPr>
        <w:pStyle w:val="ONUMFS"/>
        <w:rPr>
          <w:lang w:val="fr-FR"/>
        </w:rPr>
      </w:pPr>
      <w:r w:rsidRPr="00022FDB">
        <w:rPr>
          <w:lang w:val="fr-FR"/>
        </w:rPr>
        <w:t xml:space="preserve">Les principes UDRP resteront un important instrument </w:t>
      </w:r>
      <w:r w:rsidR="00274241" w:rsidRPr="00022FDB">
        <w:rPr>
          <w:lang w:val="fr-FR"/>
        </w:rPr>
        <w:t>défensif</w:t>
      </w:r>
      <w:r w:rsidRPr="00022FDB">
        <w:rPr>
          <w:lang w:val="fr-FR"/>
        </w:rPr>
        <w:t xml:space="preserve"> pour certains litiges qui appellent le transfert du nom de domaine contesté au propriétaire de la marque, et l</w:t>
      </w:r>
      <w:r w:rsidR="007E6414">
        <w:rPr>
          <w:lang w:val="fr-FR"/>
        </w:rPr>
        <w:t>’</w:t>
      </w:r>
      <w:r w:rsidRPr="00022FDB">
        <w:rPr>
          <w:lang w:val="fr-FR"/>
        </w:rPr>
        <w:t>ICANN a mis en place un mécanisme allégé de protection des droits de deuxième niveau dans certains cas</w:t>
      </w:r>
      <w:r w:rsidRPr="00022FDB">
        <w:rPr>
          <w:rStyle w:val="FootnoteReference"/>
          <w:lang w:val="fr-FR"/>
        </w:rPr>
        <w:footnoteReference w:id="36"/>
      </w:r>
      <w:r w:rsidRPr="00022FDB">
        <w:rPr>
          <w:lang w:val="fr-FR"/>
        </w:rPr>
        <w:t>.</w:t>
      </w:r>
    </w:p>
    <w:p w:rsidR="007E6414" w:rsidRDefault="003D745D" w:rsidP="00022FDB">
      <w:pPr>
        <w:pStyle w:val="ONUMFS"/>
        <w:rPr>
          <w:lang w:val="fr-FR"/>
        </w:rPr>
      </w:pPr>
      <w:r w:rsidRPr="00022FDB">
        <w:rPr>
          <w:lang w:val="fr-FR"/>
        </w:rPr>
        <w:t>Issu d</w:t>
      </w:r>
      <w:r w:rsidR="007E6414">
        <w:rPr>
          <w:lang w:val="fr-FR"/>
        </w:rPr>
        <w:t>’</w:t>
      </w:r>
      <w:r w:rsidRPr="00022FDB">
        <w:rPr>
          <w:lang w:val="fr-FR"/>
        </w:rPr>
        <w:t>une série de procédures et de comités de l</w:t>
      </w:r>
      <w:r w:rsidR="007E6414">
        <w:rPr>
          <w:lang w:val="fr-FR"/>
        </w:rPr>
        <w:t>’</w:t>
      </w:r>
      <w:r w:rsidRPr="00022FDB">
        <w:rPr>
          <w:lang w:val="fr-FR"/>
        </w:rPr>
        <w:t>ICANN, le système de suspension uniforme rapide continue de soulever un certain nombre de questions, concernant en particulier son lien avec les principes UDRP</w:t>
      </w:r>
      <w:r w:rsidRPr="00022FDB">
        <w:rPr>
          <w:rStyle w:val="FootnoteReference"/>
          <w:lang w:val="fr-FR"/>
        </w:rPr>
        <w:footnoteReference w:id="37"/>
      </w:r>
      <w:r w:rsidRPr="00022FDB">
        <w:rPr>
          <w:lang w:val="fr-FR"/>
        </w:rPr>
        <w:t>.</w:t>
      </w:r>
      <w:r w:rsidR="00384EE8" w:rsidRPr="00022FDB">
        <w:rPr>
          <w:lang w:val="fr-FR"/>
        </w:rPr>
        <w:t xml:space="preserve">  </w:t>
      </w:r>
      <w:r w:rsidRPr="00022FDB">
        <w:rPr>
          <w:lang w:val="fr-FR"/>
        </w:rPr>
        <w:t>L</w:t>
      </w:r>
      <w:r w:rsidR="007E6414">
        <w:rPr>
          <w:lang w:val="fr-FR"/>
        </w:rPr>
        <w:t>’</w:t>
      </w:r>
      <w:r w:rsidRPr="00022FDB">
        <w:rPr>
          <w:lang w:val="fr-FR"/>
        </w:rPr>
        <w:t>ICANN a adressé aux prestataires potentiels de services de suspension uniforme rapide un appel d</w:t>
      </w:r>
      <w:r w:rsidR="007E6414">
        <w:rPr>
          <w:lang w:val="fr-FR"/>
        </w:rPr>
        <w:t>’</w:t>
      </w:r>
      <w:r w:rsidRPr="00022FDB">
        <w:rPr>
          <w:lang w:val="fr-FR"/>
        </w:rPr>
        <w:t>offres auquel, à l</w:t>
      </w:r>
      <w:r w:rsidR="007E6414">
        <w:rPr>
          <w:lang w:val="fr-FR"/>
        </w:rPr>
        <w:t>’</w:t>
      </w:r>
      <w:r w:rsidRPr="00022FDB">
        <w:rPr>
          <w:lang w:val="fr-FR"/>
        </w:rPr>
        <w:t>issue d</w:t>
      </w:r>
      <w:r w:rsidR="007E6414">
        <w:rPr>
          <w:lang w:val="fr-FR"/>
        </w:rPr>
        <w:t>’</w:t>
      </w:r>
      <w:r w:rsidRPr="00022FDB">
        <w:rPr>
          <w:lang w:val="fr-FR"/>
        </w:rPr>
        <w:t>un examen approfondi du modèle de suspension uniforme rapide de l</w:t>
      </w:r>
      <w:r w:rsidR="007E6414">
        <w:rPr>
          <w:lang w:val="fr-FR"/>
        </w:rPr>
        <w:t>’</w:t>
      </w:r>
      <w:r w:rsidRPr="00022FDB">
        <w:rPr>
          <w:lang w:val="fr-FR"/>
        </w:rPr>
        <w:t>ICANN et des ressources nécessaires, le Centre n</w:t>
      </w:r>
      <w:r w:rsidR="007E6414">
        <w:rPr>
          <w:lang w:val="fr-FR"/>
        </w:rPr>
        <w:t>’</w:t>
      </w:r>
      <w:r w:rsidRPr="00022FDB">
        <w:rPr>
          <w:lang w:val="fr-FR"/>
        </w:rPr>
        <w:t>a pas été en mesure de participer</w:t>
      </w:r>
      <w:r w:rsidRPr="00022FDB">
        <w:rPr>
          <w:rStyle w:val="FootnoteReference"/>
          <w:lang w:val="fr-FR"/>
        </w:rPr>
        <w:footnoteReference w:id="38"/>
      </w:r>
      <w:r w:rsidRPr="00022FDB">
        <w:rPr>
          <w:lang w:val="fr-FR"/>
        </w:rPr>
        <w:t>.</w:t>
      </w:r>
      <w:r w:rsidR="00384EE8" w:rsidRPr="00022FDB">
        <w:rPr>
          <w:lang w:val="fr-FR"/>
        </w:rPr>
        <w:t xml:space="preserve">  </w:t>
      </w:r>
      <w:r w:rsidRPr="00022FDB">
        <w:rPr>
          <w:lang w:val="fr-FR"/>
        </w:rPr>
        <w:t>Le Centre continue de suivre de près l</w:t>
      </w:r>
      <w:r w:rsidR="007E6414">
        <w:rPr>
          <w:lang w:val="fr-FR"/>
        </w:rPr>
        <w:t>’</w:t>
      </w:r>
      <w:r w:rsidRPr="00022FDB">
        <w:rPr>
          <w:lang w:val="fr-FR"/>
        </w:rPr>
        <w:t>évolution de la situation.</w:t>
      </w:r>
    </w:p>
    <w:p w:rsidR="00022FDB" w:rsidRDefault="003D745D" w:rsidP="00B21079">
      <w:pPr>
        <w:pStyle w:val="Heading2"/>
        <w:ind w:left="567" w:hanging="567"/>
        <w:rPr>
          <w:lang w:val="fr-FR"/>
        </w:rPr>
      </w:pPr>
      <w:r w:rsidRPr="00022FDB">
        <w:rPr>
          <w:lang w:val="fr-FR"/>
        </w:rPr>
        <w:lastRenderedPageBreak/>
        <w:t>B.</w:t>
      </w:r>
      <w:r w:rsidRPr="00022FDB">
        <w:rPr>
          <w:lang w:val="fr-FR"/>
        </w:rPr>
        <w:tab/>
        <w:t>Plans de l</w:t>
      </w:r>
      <w:r w:rsidR="007E6414">
        <w:rPr>
          <w:lang w:val="fr-FR"/>
        </w:rPr>
        <w:t>’</w:t>
      </w:r>
      <w:r w:rsidRPr="00022FDB">
        <w:rPr>
          <w:lang w:val="fr-FR"/>
        </w:rPr>
        <w:t>ICANN en vue d</w:t>
      </w:r>
      <w:r w:rsidR="007E6414">
        <w:rPr>
          <w:lang w:val="fr-FR"/>
        </w:rPr>
        <w:t>’</w:t>
      </w:r>
      <w:r w:rsidRPr="00022FDB">
        <w:rPr>
          <w:lang w:val="fr-FR"/>
        </w:rPr>
        <w:t>une révision des principes UDRP établis à l</w:t>
      </w:r>
      <w:r w:rsidR="007E6414">
        <w:rPr>
          <w:lang w:val="fr-FR"/>
        </w:rPr>
        <w:t>’</w:t>
      </w:r>
      <w:r w:rsidRPr="00022FDB">
        <w:rPr>
          <w:lang w:val="fr-FR"/>
        </w:rPr>
        <w:t>initiative de l</w:t>
      </w:r>
      <w:r w:rsidR="007E6414">
        <w:rPr>
          <w:lang w:val="fr-FR"/>
        </w:rPr>
        <w:t>’</w:t>
      </w:r>
      <w:r w:rsidRPr="00022FDB">
        <w:rPr>
          <w:lang w:val="fr-FR"/>
        </w:rPr>
        <w:t>OMPI et Groupe de travail chargé du verrouillage des noms domaine faisant l</w:t>
      </w:r>
      <w:r w:rsidR="007E6414">
        <w:rPr>
          <w:lang w:val="fr-FR"/>
        </w:rPr>
        <w:t>’</w:t>
      </w:r>
      <w:r w:rsidRPr="00022FDB">
        <w:rPr>
          <w:lang w:val="fr-FR"/>
        </w:rPr>
        <w:t>objet d</w:t>
      </w:r>
      <w:r w:rsidR="007E6414">
        <w:rPr>
          <w:lang w:val="fr-FR"/>
        </w:rPr>
        <w:t>’</w:t>
      </w:r>
      <w:r w:rsidRPr="00022FDB">
        <w:rPr>
          <w:lang w:val="fr-FR"/>
        </w:rPr>
        <w:t>une procédure UDRP</w:t>
      </w:r>
    </w:p>
    <w:p w:rsidR="008A2DB7" w:rsidRPr="008A2DB7" w:rsidRDefault="008A2DB7" w:rsidP="008A2DB7">
      <w:pPr>
        <w:rPr>
          <w:lang w:val="fr-FR"/>
        </w:rPr>
      </w:pPr>
    </w:p>
    <w:p w:rsidR="00022FDB" w:rsidRPr="00022FDB" w:rsidRDefault="003A2C2B" w:rsidP="00022FDB">
      <w:pPr>
        <w:pStyle w:val="ONUMFS"/>
        <w:rPr>
          <w:lang w:val="fr-FR"/>
        </w:rPr>
      </w:pPr>
      <w:r w:rsidRPr="00022FDB">
        <w:rPr>
          <w:lang w:val="fr-FR"/>
        </w:rPr>
        <w:t>Adaptés à l</w:t>
      </w:r>
      <w:r w:rsidR="007E6414">
        <w:rPr>
          <w:lang w:val="fr-FR"/>
        </w:rPr>
        <w:t>’</w:t>
      </w:r>
      <w:r w:rsidRPr="00022FDB">
        <w:rPr>
          <w:lang w:val="fr-FR"/>
        </w:rPr>
        <w:t>évolution dynamique</w:t>
      </w:r>
      <w:r w:rsidR="007E6414" w:rsidRPr="00022FDB">
        <w:rPr>
          <w:lang w:val="fr-FR"/>
        </w:rPr>
        <w:t xml:space="preserve"> du</w:t>
      </w:r>
      <w:r w:rsidR="007E6414">
        <w:rPr>
          <w:lang w:val="fr-FR"/>
        </w:rPr>
        <w:t> </w:t>
      </w:r>
      <w:r w:rsidR="007E6414" w:rsidRPr="00022FDB">
        <w:rPr>
          <w:lang w:val="fr-FR"/>
        </w:rPr>
        <w:t>DNS</w:t>
      </w:r>
      <w:r w:rsidRPr="00022FDB">
        <w:rPr>
          <w:lang w:val="fr-FR"/>
        </w:rPr>
        <w:t xml:space="preserve">, les principes UDRP offrent aux propriétaires de marques, aux </w:t>
      </w:r>
      <w:r w:rsidR="00274241" w:rsidRPr="00022FDB">
        <w:rPr>
          <w:lang w:val="fr-FR"/>
        </w:rPr>
        <w:t>détenteurs</w:t>
      </w:r>
      <w:r w:rsidRPr="00022FDB">
        <w:rPr>
          <w:lang w:val="fr-FR"/>
        </w:rPr>
        <w:t xml:space="preserve"> de noms de domaine et aux administrateurs de services d</w:t>
      </w:r>
      <w:r w:rsidR="007E6414">
        <w:rPr>
          <w:lang w:val="fr-FR"/>
        </w:rPr>
        <w:t>’</w:t>
      </w:r>
      <w:r w:rsidRPr="00022FDB">
        <w:rPr>
          <w:lang w:val="fr-FR"/>
        </w:rPr>
        <w:t>enregistrement une solution remplaçant avantageusement l</w:t>
      </w:r>
      <w:r w:rsidR="007E6414">
        <w:rPr>
          <w:lang w:val="fr-FR"/>
        </w:rPr>
        <w:t>’</w:t>
      </w:r>
      <w:r w:rsidRPr="00022FDB">
        <w:rPr>
          <w:lang w:val="fr-FR"/>
        </w:rPr>
        <w:t>action judiciaire.</w:t>
      </w:r>
      <w:r w:rsidR="00384EE8" w:rsidRPr="00022FDB">
        <w:rPr>
          <w:lang w:val="fr-FR"/>
        </w:rPr>
        <w:t xml:space="preserve">  </w:t>
      </w:r>
      <w:r w:rsidRPr="00022FDB">
        <w:rPr>
          <w:lang w:val="fr-FR"/>
        </w:rPr>
        <w:t>Or, à l</w:t>
      </w:r>
      <w:r w:rsidR="007E6414">
        <w:rPr>
          <w:lang w:val="fr-FR"/>
        </w:rPr>
        <w:t>’</w:t>
      </w:r>
      <w:r w:rsidRPr="00022FDB">
        <w:rPr>
          <w:lang w:val="fr-FR"/>
        </w:rPr>
        <w:t xml:space="preserve">issue de discussions au cours desquelles une nette majorité des participants </w:t>
      </w:r>
      <w:r w:rsidR="00274241" w:rsidRPr="00022FDB">
        <w:rPr>
          <w:lang w:val="fr-FR"/>
        </w:rPr>
        <w:t>a</w:t>
      </w:r>
      <w:r w:rsidRPr="00022FDB">
        <w:rPr>
          <w:lang w:val="fr-FR"/>
        </w:rPr>
        <w:t xml:space="preserve"> estimé qu</w:t>
      </w:r>
      <w:r w:rsidR="007E6414">
        <w:rPr>
          <w:lang w:val="fr-FR"/>
        </w:rPr>
        <w:t>’</w:t>
      </w:r>
      <w:r w:rsidRPr="00022FDB">
        <w:rPr>
          <w:lang w:val="fr-FR"/>
        </w:rPr>
        <w:t>une éventuelle révision des principes UDRP effectuée par l</w:t>
      </w:r>
      <w:r w:rsidR="007E6414">
        <w:rPr>
          <w:lang w:val="fr-FR"/>
        </w:rPr>
        <w:t>’</w:t>
      </w:r>
      <w:r w:rsidRPr="00022FDB">
        <w:rPr>
          <w:lang w:val="fr-FR"/>
        </w:rPr>
        <w:t>ICANN en tant qu</w:t>
      </w:r>
      <w:r w:rsidR="007E6414">
        <w:rPr>
          <w:lang w:val="fr-FR"/>
        </w:rPr>
        <w:t>’</w:t>
      </w:r>
      <w:r w:rsidRPr="00022FDB">
        <w:rPr>
          <w:lang w:val="fr-FR"/>
        </w:rPr>
        <w:t>organe axé sur les enregistrements ferait davantage de mal que de bien</w:t>
      </w:r>
      <w:r w:rsidRPr="00022FDB">
        <w:rPr>
          <w:rStyle w:val="FootnoteReference"/>
          <w:lang w:val="fr-FR"/>
        </w:rPr>
        <w:footnoteReference w:id="39"/>
      </w:r>
      <w:r w:rsidRPr="00022FDB">
        <w:rPr>
          <w:lang w:val="fr-FR"/>
        </w:rPr>
        <w:t>, l</w:t>
      </w:r>
      <w:r w:rsidR="007E6414">
        <w:rPr>
          <w:lang w:val="fr-FR"/>
        </w:rPr>
        <w:t>’</w:t>
      </w:r>
      <w:r w:rsidRPr="00022FDB">
        <w:rPr>
          <w:lang w:val="fr-FR"/>
        </w:rPr>
        <w:t>Organisation de soutien en matière de noms de domaine génériques de l</w:t>
      </w:r>
      <w:r w:rsidR="007E6414">
        <w:rPr>
          <w:lang w:val="fr-FR"/>
        </w:rPr>
        <w:t>’</w:t>
      </w:r>
      <w:r w:rsidRPr="00022FDB">
        <w:rPr>
          <w:lang w:val="fr-FR"/>
        </w:rPr>
        <w:t xml:space="preserve">Internet (GNSO) a pris la décision de procéder à la révision des principes UDRP.  Ce processus vient de débuter et le Centre </w:t>
      </w:r>
      <w:r w:rsidR="00274241" w:rsidRPr="00022FDB">
        <w:rPr>
          <w:lang w:val="fr-FR"/>
        </w:rPr>
        <w:t>y participera</w:t>
      </w:r>
      <w:r w:rsidRPr="00022FDB">
        <w:rPr>
          <w:lang w:val="fr-FR"/>
        </w:rPr>
        <w:t xml:space="preserve"> très attenti</w:t>
      </w:r>
      <w:r w:rsidR="00274241" w:rsidRPr="00022FDB">
        <w:rPr>
          <w:lang w:val="fr-FR"/>
        </w:rPr>
        <w:t>vement</w:t>
      </w:r>
      <w:r w:rsidRPr="00022FDB">
        <w:rPr>
          <w:rStyle w:val="FootnoteReference"/>
          <w:lang w:val="fr-FR"/>
        </w:rPr>
        <w:footnoteReference w:id="40"/>
      </w:r>
      <w:r w:rsidRPr="00022FDB">
        <w:rPr>
          <w:lang w:val="fr-FR"/>
        </w:rPr>
        <w:t>.</w:t>
      </w:r>
      <w:r w:rsidR="00F700F1" w:rsidRPr="00022FDB">
        <w:rPr>
          <w:lang w:val="fr-FR"/>
        </w:rPr>
        <w:t xml:space="preserve">  </w:t>
      </w:r>
      <w:r w:rsidRPr="00022FDB">
        <w:rPr>
          <w:lang w:val="fr-FR"/>
        </w:rPr>
        <w:t>Par ailleurs, le Centre a participé à un processus de politique générale de l</w:t>
      </w:r>
      <w:r w:rsidR="007E6414">
        <w:rPr>
          <w:lang w:val="fr-FR"/>
        </w:rPr>
        <w:t>’</w:t>
      </w:r>
      <w:r w:rsidRPr="00022FDB">
        <w:rPr>
          <w:lang w:val="fr-FR"/>
        </w:rPr>
        <w:t>ICANN qui a permis d</w:t>
      </w:r>
      <w:r w:rsidR="007E6414">
        <w:rPr>
          <w:lang w:val="fr-FR"/>
        </w:rPr>
        <w:t>’</w:t>
      </w:r>
      <w:r w:rsidRPr="00022FDB">
        <w:rPr>
          <w:lang w:val="fr-FR"/>
        </w:rPr>
        <w:t xml:space="preserve">étudier et de codifier la pratique consistant à </w:t>
      </w:r>
      <w:r w:rsidR="00515856" w:rsidRPr="00022FDB">
        <w:rPr>
          <w:lang w:val="fr-FR"/>
        </w:rPr>
        <w:t>“</w:t>
      </w:r>
      <w:r w:rsidRPr="00022FDB">
        <w:rPr>
          <w:lang w:val="fr-FR"/>
        </w:rPr>
        <w:t>verrouiller</w:t>
      </w:r>
      <w:r w:rsidR="00515856" w:rsidRPr="00022FDB">
        <w:rPr>
          <w:lang w:val="fr-FR"/>
        </w:rPr>
        <w:t>”</w:t>
      </w:r>
      <w:r w:rsidRPr="00022FDB">
        <w:rPr>
          <w:lang w:val="fr-FR"/>
        </w:rPr>
        <w:t xml:space="preserve"> les noms de domaine pour prévenir leur transfert frauduleux </w:t>
      </w:r>
      <w:r w:rsidR="005A5562" w:rsidRPr="00022FDB">
        <w:rPr>
          <w:lang w:val="fr-FR"/>
        </w:rPr>
        <w:t>pour se soustraire à une</w:t>
      </w:r>
      <w:r w:rsidRPr="00022FDB">
        <w:rPr>
          <w:lang w:val="fr-FR"/>
        </w:rPr>
        <w:t xml:space="preserve"> procédure UDRP.</w:t>
      </w:r>
    </w:p>
    <w:p w:rsidR="00022FDB" w:rsidRDefault="003A2C2B" w:rsidP="008A2DB7">
      <w:pPr>
        <w:pStyle w:val="Heading2"/>
      </w:pPr>
      <w:r w:rsidRPr="00022FDB">
        <w:rPr>
          <w:szCs w:val="22"/>
          <w:lang w:val="fr-FR"/>
        </w:rPr>
        <w:t>C.</w:t>
      </w:r>
      <w:r w:rsidRPr="00022FDB">
        <w:rPr>
          <w:szCs w:val="22"/>
          <w:lang w:val="fr-FR"/>
        </w:rPr>
        <w:tab/>
      </w:r>
      <w:r w:rsidR="008A2DB7">
        <w:rPr>
          <w:szCs w:val="22"/>
          <w:lang w:val="fr-FR"/>
        </w:rPr>
        <w:t>N</w:t>
      </w:r>
      <w:r w:rsidR="008A2DB7" w:rsidRPr="008A2DB7">
        <w:t>oms de domaine internationalisés</w:t>
      </w:r>
    </w:p>
    <w:p w:rsidR="008A2DB7" w:rsidRPr="008A2DB7" w:rsidRDefault="008A2DB7" w:rsidP="008A2DB7"/>
    <w:p w:rsidR="007E6414" w:rsidRDefault="003A2C2B" w:rsidP="00022FDB">
      <w:pPr>
        <w:pStyle w:val="ONUMFS"/>
        <w:rPr>
          <w:szCs w:val="22"/>
          <w:lang w:val="fr-FR"/>
        </w:rPr>
      </w:pPr>
      <w:r w:rsidRPr="00022FDB">
        <w:rPr>
          <w:szCs w:val="22"/>
          <w:lang w:val="fr-FR"/>
        </w:rPr>
        <w:t>Ainsi qu</w:t>
      </w:r>
      <w:r w:rsidR="007E6414">
        <w:rPr>
          <w:szCs w:val="22"/>
          <w:lang w:val="fr-FR"/>
        </w:rPr>
        <w:t>’</w:t>
      </w:r>
      <w:r w:rsidRPr="00022FDB">
        <w:rPr>
          <w:szCs w:val="22"/>
          <w:lang w:val="fr-FR"/>
        </w:rPr>
        <w:t>il est indiqué au paragraphe</w:t>
      </w:r>
      <w:r w:rsidR="0035343A">
        <w:rPr>
          <w:szCs w:val="22"/>
          <w:lang w:val="fr-FR"/>
        </w:rPr>
        <w:t> </w:t>
      </w:r>
      <w:r w:rsidRPr="00022FDB">
        <w:rPr>
          <w:szCs w:val="22"/>
          <w:lang w:val="fr-FR"/>
        </w:rPr>
        <w:t>20, l</w:t>
      </w:r>
      <w:r w:rsidR="007E6414">
        <w:rPr>
          <w:szCs w:val="22"/>
          <w:lang w:val="fr-FR"/>
        </w:rPr>
        <w:t>’</w:t>
      </w:r>
      <w:r w:rsidRPr="00022FDB">
        <w:rPr>
          <w:szCs w:val="22"/>
          <w:lang w:val="fr-FR"/>
        </w:rPr>
        <w:t>introduction de noms de domaine internationalisés (en caractères non latins) dans les domaines de premier niveau constitue une autre évolution importante</w:t>
      </w:r>
      <w:r w:rsidR="007E6414" w:rsidRPr="00022FDB">
        <w:rPr>
          <w:szCs w:val="22"/>
          <w:lang w:val="fr-FR"/>
        </w:rPr>
        <w:t xml:space="preserve"> du</w:t>
      </w:r>
      <w:r w:rsidR="007E6414">
        <w:rPr>
          <w:szCs w:val="22"/>
          <w:lang w:val="fr-FR"/>
        </w:rPr>
        <w:t> </w:t>
      </w:r>
      <w:r w:rsidR="007E6414" w:rsidRPr="00022FDB">
        <w:rPr>
          <w:szCs w:val="22"/>
          <w:lang w:val="fr-FR"/>
        </w:rPr>
        <w:t>DNS</w:t>
      </w:r>
      <w:r w:rsidRPr="00022FDB">
        <w:rPr>
          <w:rStyle w:val="FootnoteReference"/>
          <w:szCs w:val="22"/>
          <w:lang w:val="fr-FR"/>
        </w:rPr>
        <w:footnoteReference w:id="41"/>
      </w:r>
      <w:r w:rsidRPr="00022FDB">
        <w:rPr>
          <w:szCs w:val="22"/>
          <w:lang w:val="fr-FR"/>
        </w:rPr>
        <w:t>.</w:t>
      </w:r>
      <w:r w:rsidR="00384EE8" w:rsidRPr="00022FDB">
        <w:rPr>
          <w:szCs w:val="22"/>
          <w:lang w:val="fr-FR"/>
        </w:rPr>
        <w:t xml:space="preserve">  </w:t>
      </w:r>
      <w:r w:rsidRPr="00022FDB">
        <w:rPr>
          <w:szCs w:val="22"/>
          <w:lang w:val="fr-FR"/>
        </w:rPr>
        <w:t xml:space="preserve">Ces domaines étaient nombreux parmi les premiers </w:t>
      </w:r>
      <w:proofErr w:type="spellStart"/>
      <w:r w:rsidRPr="00022FDB">
        <w:rPr>
          <w:szCs w:val="22"/>
          <w:lang w:val="fr-FR"/>
        </w:rPr>
        <w:t>gTLD</w:t>
      </w:r>
      <w:proofErr w:type="spellEnd"/>
      <w:r w:rsidRPr="00022FDB">
        <w:rPr>
          <w:szCs w:val="22"/>
          <w:lang w:val="fr-FR"/>
        </w:rPr>
        <w:t xml:space="preserve"> dont l</w:t>
      </w:r>
      <w:r w:rsidR="007E6414">
        <w:rPr>
          <w:szCs w:val="22"/>
          <w:lang w:val="fr-FR"/>
        </w:rPr>
        <w:t>’</w:t>
      </w:r>
      <w:r w:rsidRPr="00022FDB">
        <w:rPr>
          <w:szCs w:val="22"/>
          <w:lang w:val="fr-FR"/>
        </w:rPr>
        <w:t>attribution dans la zone racine</w:t>
      </w:r>
      <w:r w:rsidR="007E6414" w:rsidRPr="00022FDB">
        <w:rPr>
          <w:szCs w:val="22"/>
          <w:lang w:val="fr-FR"/>
        </w:rPr>
        <w:t xml:space="preserve"> du</w:t>
      </w:r>
      <w:r w:rsidR="007E6414">
        <w:rPr>
          <w:szCs w:val="22"/>
          <w:lang w:val="fr-FR"/>
        </w:rPr>
        <w:t> </w:t>
      </w:r>
      <w:r w:rsidR="007E6414" w:rsidRPr="00022FDB">
        <w:rPr>
          <w:szCs w:val="22"/>
          <w:lang w:val="fr-FR"/>
        </w:rPr>
        <w:t>DNS</w:t>
      </w:r>
      <w:r w:rsidRPr="00022FDB">
        <w:rPr>
          <w:szCs w:val="22"/>
          <w:lang w:val="fr-FR"/>
        </w:rPr>
        <w:t xml:space="preserve"> a été annoncée par l</w:t>
      </w:r>
      <w:r w:rsidR="007E6414">
        <w:rPr>
          <w:szCs w:val="22"/>
          <w:lang w:val="fr-FR"/>
        </w:rPr>
        <w:t>’</w:t>
      </w:r>
      <w:r w:rsidRPr="00022FDB">
        <w:rPr>
          <w:szCs w:val="22"/>
          <w:lang w:val="fr-FR"/>
        </w:rPr>
        <w:t>ICANN.</w:t>
      </w:r>
    </w:p>
    <w:p w:rsidR="00022FDB" w:rsidRDefault="0094096D" w:rsidP="008A2DB7">
      <w:pPr>
        <w:pStyle w:val="Heading2"/>
        <w:rPr>
          <w:lang w:val="fr-FR"/>
        </w:rPr>
      </w:pPr>
      <w:r w:rsidRPr="00022FDB">
        <w:rPr>
          <w:lang w:val="fr-FR"/>
        </w:rPr>
        <w:t>D.</w:t>
      </w:r>
      <w:r w:rsidRPr="00022FDB">
        <w:rPr>
          <w:lang w:val="fr-FR"/>
        </w:rPr>
        <w:tab/>
        <w:t>Autres désignations</w:t>
      </w:r>
    </w:p>
    <w:p w:rsidR="008A2DB7" w:rsidRPr="008A2DB7" w:rsidRDefault="008A2DB7" w:rsidP="008A2DB7">
      <w:pPr>
        <w:rPr>
          <w:lang w:val="fr-FR"/>
        </w:rPr>
      </w:pPr>
    </w:p>
    <w:p w:rsidR="00022FDB" w:rsidRPr="00022FDB" w:rsidRDefault="0094096D" w:rsidP="00022FDB">
      <w:pPr>
        <w:pStyle w:val="ONUMFS"/>
        <w:rPr>
          <w:szCs w:val="22"/>
          <w:lang w:val="fr-FR"/>
        </w:rPr>
      </w:pPr>
      <w:r w:rsidRPr="00022FDB">
        <w:rPr>
          <w:szCs w:val="22"/>
          <w:lang w:val="fr-FR"/>
        </w:rPr>
        <w:t>Outre les évolutions susmentionnées et en relation avec celles</w:t>
      </w:r>
      <w:r w:rsidR="00687BC3">
        <w:rPr>
          <w:szCs w:val="22"/>
          <w:lang w:val="fr-FR"/>
        </w:rPr>
        <w:noBreakHyphen/>
      </w:r>
      <w:r w:rsidRPr="00022FDB">
        <w:rPr>
          <w:szCs w:val="22"/>
          <w:lang w:val="fr-FR"/>
        </w:rPr>
        <w:t>ci, d</w:t>
      </w:r>
      <w:r w:rsidR="007E6414">
        <w:rPr>
          <w:szCs w:val="22"/>
          <w:lang w:val="fr-FR"/>
        </w:rPr>
        <w:t>’</w:t>
      </w:r>
      <w:r w:rsidRPr="00022FDB">
        <w:rPr>
          <w:szCs w:val="22"/>
          <w:lang w:val="fr-FR"/>
        </w:rPr>
        <w:t>autres activités déployées par l</w:t>
      </w:r>
      <w:r w:rsidR="007E6414">
        <w:rPr>
          <w:szCs w:val="22"/>
          <w:lang w:val="fr-FR"/>
        </w:rPr>
        <w:t>’</w:t>
      </w:r>
      <w:r w:rsidRPr="00022FDB">
        <w:rPr>
          <w:szCs w:val="22"/>
          <w:lang w:val="fr-FR"/>
        </w:rPr>
        <w:t>ICANN touchent à la protection de désignations autres que les marques.</w:t>
      </w:r>
    </w:p>
    <w:p w:rsidR="00022FDB" w:rsidRDefault="008A2DB7" w:rsidP="008A2DB7">
      <w:pPr>
        <w:pStyle w:val="Heading3"/>
        <w:numPr>
          <w:ilvl w:val="0"/>
          <w:numId w:val="0"/>
        </w:numPr>
        <w:ind w:left="567"/>
      </w:pPr>
      <w:r w:rsidRPr="008A2DB7">
        <w:rPr>
          <w:u w:val="none"/>
        </w:rPr>
        <w:t>a)</w:t>
      </w:r>
      <w:r w:rsidRPr="008A2DB7">
        <w:rPr>
          <w:u w:val="none"/>
        </w:rPr>
        <w:tab/>
      </w:r>
      <w:r w:rsidR="0094096D" w:rsidRPr="00022FDB">
        <w:t>Organisations intergouvernementales</w:t>
      </w:r>
    </w:p>
    <w:p w:rsidR="008A2DB7" w:rsidRPr="008A2DB7" w:rsidRDefault="008A2DB7" w:rsidP="008A2DB7">
      <w:pPr>
        <w:rPr>
          <w:lang w:val="fr-FR"/>
        </w:rPr>
      </w:pPr>
    </w:p>
    <w:p w:rsidR="00022FDB" w:rsidRPr="00022FDB" w:rsidRDefault="0094096D" w:rsidP="00022FDB">
      <w:pPr>
        <w:pStyle w:val="ONUMFS"/>
        <w:rPr>
          <w:szCs w:val="22"/>
          <w:lang w:val="fr-FR"/>
        </w:rPr>
      </w:pPr>
      <w:r w:rsidRPr="00022FDB">
        <w:rPr>
          <w:szCs w:val="22"/>
          <w:lang w:val="fr-FR"/>
        </w:rPr>
        <w:t>Il est rappelé que le premier processus de consultations de l</w:t>
      </w:r>
      <w:r w:rsidR="007E6414">
        <w:rPr>
          <w:szCs w:val="22"/>
          <w:lang w:val="fr-FR"/>
        </w:rPr>
        <w:t>’</w:t>
      </w:r>
      <w:r w:rsidRPr="00022FDB">
        <w:rPr>
          <w:szCs w:val="22"/>
          <w:lang w:val="fr-FR"/>
        </w:rPr>
        <w:t>OMPI sur les noms de domaine de l</w:t>
      </w:r>
      <w:r w:rsidR="007E6414">
        <w:rPr>
          <w:szCs w:val="22"/>
          <w:lang w:val="fr-FR"/>
        </w:rPr>
        <w:t>’</w:t>
      </w:r>
      <w:r w:rsidRPr="00022FDB">
        <w:rPr>
          <w:szCs w:val="22"/>
          <w:lang w:val="fr-FR"/>
        </w:rPr>
        <w:t>Internet traitait du lien entre les noms de domaine et les marques.</w:t>
      </w:r>
      <w:r w:rsidR="00384EE8" w:rsidRPr="00022FDB">
        <w:rPr>
          <w:szCs w:val="22"/>
          <w:lang w:val="fr-FR"/>
        </w:rPr>
        <w:t xml:space="preserve">  </w:t>
      </w:r>
      <w:r w:rsidRPr="00022FDB">
        <w:rPr>
          <w:szCs w:val="22"/>
          <w:lang w:val="fr-FR"/>
        </w:rPr>
        <w:t>Le second traitait du lien entre les noms de domaine et d</w:t>
      </w:r>
      <w:r w:rsidR="007E6414">
        <w:rPr>
          <w:szCs w:val="22"/>
          <w:lang w:val="fr-FR"/>
        </w:rPr>
        <w:t>’</w:t>
      </w:r>
      <w:r w:rsidRPr="00022FDB">
        <w:rPr>
          <w:szCs w:val="22"/>
          <w:lang w:val="fr-FR"/>
        </w:rPr>
        <w:t>autres types de désignations, dont les noms de pays et les noms et sigles d</w:t>
      </w:r>
      <w:r w:rsidR="007E6414">
        <w:rPr>
          <w:szCs w:val="22"/>
          <w:lang w:val="fr-FR"/>
        </w:rPr>
        <w:t>’</w:t>
      </w:r>
      <w:r w:rsidRPr="00022FDB">
        <w:rPr>
          <w:szCs w:val="22"/>
          <w:lang w:val="fr-FR"/>
        </w:rPr>
        <w:t>organisations intergouvernementales.</w:t>
      </w:r>
    </w:p>
    <w:p w:rsidR="00022FDB" w:rsidRPr="00022FDB" w:rsidRDefault="0094096D" w:rsidP="00022FDB">
      <w:pPr>
        <w:pStyle w:val="ONUMFS"/>
        <w:rPr>
          <w:szCs w:val="22"/>
          <w:lang w:val="fr-FR"/>
        </w:rPr>
      </w:pPr>
      <w:r w:rsidRPr="00022FDB">
        <w:rPr>
          <w:szCs w:val="22"/>
          <w:lang w:val="fr-FR"/>
        </w:rPr>
        <w:t>En</w:t>
      </w:r>
      <w:r w:rsidR="0035343A">
        <w:rPr>
          <w:szCs w:val="22"/>
          <w:lang w:val="fr-FR"/>
        </w:rPr>
        <w:t> </w:t>
      </w:r>
      <w:r w:rsidRPr="00022FDB">
        <w:rPr>
          <w:szCs w:val="22"/>
          <w:lang w:val="fr-FR"/>
        </w:rPr>
        <w:t>2002, l</w:t>
      </w:r>
      <w:r w:rsidR="007E6414">
        <w:rPr>
          <w:szCs w:val="22"/>
          <w:lang w:val="fr-FR"/>
        </w:rPr>
        <w:t>’</w:t>
      </w:r>
      <w:r w:rsidRPr="00022FDB">
        <w:rPr>
          <w:szCs w:val="22"/>
          <w:lang w:val="fr-FR"/>
        </w:rPr>
        <w:t>Assemblée générale de l</w:t>
      </w:r>
      <w:r w:rsidR="007E6414">
        <w:rPr>
          <w:szCs w:val="22"/>
          <w:lang w:val="fr-FR"/>
        </w:rPr>
        <w:t>’</w:t>
      </w:r>
      <w:r w:rsidRPr="00022FDB">
        <w:rPr>
          <w:szCs w:val="22"/>
          <w:lang w:val="fr-FR"/>
        </w:rPr>
        <w:t>OMPI a recommandé de modifier les principes UDRP afin de protéger les noms de pays et les noms et sigles d</w:t>
      </w:r>
      <w:r w:rsidR="007E6414">
        <w:rPr>
          <w:szCs w:val="22"/>
          <w:lang w:val="fr-FR"/>
        </w:rPr>
        <w:t>’</w:t>
      </w:r>
      <w:r w:rsidRPr="00022FDB">
        <w:rPr>
          <w:szCs w:val="22"/>
          <w:lang w:val="fr-FR"/>
        </w:rPr>
        <w:t>organisations intergouvernementales</w:t>
      </w:r>
      <w:r w:rsidRPr="00022FDB">
        <w:rPr>
          <w:rStyle w:val="FootnoteReference"/>
          <w:szCs w:val="22"/>
          <w:lang w:val="fr-FR"/>
        </w:rPr>
        <w:footnoteReference w:id="42"/>
      </w:r>
      <w:r w:rsidRPr="00022FDB">
        <w:rPr>
          <w:szCs w:val="22"/>
          <w:lang w:val="fr-FR"/>
        </w:rPr>
        <w:t>.</w:t>
      </w:r>
      <w:r w:rsidR="00384EE8" w:rsidRPr="00022FDB">
        <w:rPr>
          <w:szCs w:val="22"/>
          <w:lang w:val="fr-FR"/>
        </w:rPr>
        <w:t xml:space="preserve">  </w:t>
      </w:r>
      <w:r w:rsidRPr="00022FDB">
        <w:rPr>
          <w:szCs w:val="22"/>
          <w:lang w:val="fr-FR"/>
        </w:rPr>
        <w:t>Le Secrétariat de l</w:t>
      </w:r>
      <w:r w:rsidR="007E6414">
        <w:rPr>
          <w:szCs w:val="22"/>
          <w:lang w:val="fr-FR"/>
        </w:rPr>
        <w:t>’</w:t>
      </w:r>
      <w:r w:rsidRPr="00022FDB">
        <w:rPr>
          <w:szCs w:val="22"/>
          <w:lang w:val="fr-FR"/>
        </w:rPr>
        <w:t>OMPI a transmis ces recommandations à l</w:t>
      </w:r>
      <w:r w:rsidR="007E6414">
        <w:rPr>
          <w:szCs w:val="22"/>
          <w:lang w:val="fr-FR"/>
        </w:rPr>
        <w:t>’</w:t>
      </w:r>
      <w:r w:rsidRPr="00022FDB">
        <w:rPr>
          <w:szCs w:val="22"/>
          <w:lang w:val="fr-FR"/>
        </w:rPr>
        <w:t xml:space="preserve">ICANN en </w:t>
      </w:r>
      <w:r w:rsidR="007E6414" w:rsidRPr="00022FDB">
        <w:rPr>
          <w:szCs w:val="22"/>
          <w:lang w:val="fr-FR"/>
        </w:rPr>
        <w:t>février</w:t>
      </w:r>
      <w:r w:rsidR="007E6414">
        <w:rPr>
          <w:szCs w:val="22"/>
          <w:lang w:val="fr-FR"/>
        </w:rPr>
        <w:t> </w:t>
      </w:r>
      <w:r w:rsidR="007E6414" w:rsidRPr="00022FDB">
        <w:rPr>
          <w:szCs w:val="22"/>
          <w:lang w:val="fr-FR"/>
        </w:rPr>
        <w:t>20</w:t>
      </w:r>
      <w:r w:rsidRPr="00022FDB">
        <w:rPr>
          <w:szCs w:val="22"/>
          <w:lang w:val="fr-FR"/>
        </w:rPr>
        <w:t>03</w:t>
      </w:r>
      <w:r w:rsidRPr="00022FDB">
        <w:rPr>
          <w:rStyle w:val="FootnoteReference"/>
          <w:szCs w:val="22"/>
          <w:lang w:val="fr-FR"/>
        </w:rPr>
        <w:footnoteReference w:id="43"/>
      </w:r>
      <w:r w:rsidRPr="00022FDB">
        <w:rPr>
          <w:szCs w:val="22"/>
          <w:lang w:val="fr-FR"/>
        </w:rPr>
        <w:t>.</w:t>
      </w:r>
    </w:p>
    <w:p w:rsidR="007E6414" w:rsidRDefault="0094096D" w:rsidP="00022FDB">
      <w:pPr>
        <w:pStyle w:val="ONUMFS"/>
        <w:rPr>
          <w:szCs w:val="22"/>
          <w:lang w:val="fr-FR"/>
        </w:rPr>
      </w:pPr>
      <w:r w:rsidRPr="00022FDB">
        <w:rPr>
          <w:szCs w:val="22"/>
          <w:lang w:val="fr-FR"/>
        </w:rPr>
        <w:lastRenderedPageBreak/>
        <w:t>À l</w:t>
      </w:r>
      <w:r w:rsidR="007E6414">
        <w:rPr>
          <w:szCs w:val="22"/>
          <w:lang w:val="fr-FR"/>
        </w:rPr>
        <w:t>’</w:t>
      </w:r>
      <w:r w:rsidRPr="00022FDB">
        <w:rPr>
          <w:szCs w:val="22"/>
          <w:lang w:val="fr-FR"/>
        </w:rPr>
        <w:t>issue de délibérations de l</w:t>
      </w:r>
      <w:r w:rsidR="007E6414">
        <w:rPr>
          <w:szCs w:val="22"/>
          <w:lang w:val="fr-FR"/>
        </w:rPr>
        <w:t>’</w:t>
      </w:r>
      <w:r w:rsidRPr="00022FDB">
        <w:rPr>
          <w:szCs w:val="22"/>
          <w:lang w:val="fr-FR"/>
        </w:rPr>
        <w:t>ICANN</w:t>
      </w:r>
      <w:r w:rsidRPr="00022FDB">
        <w:rPr>
          <w:rStyle w:val="FootnoteReference"/>
          <w:szCs w:val="22"/>
          <w:lang w:val="fr-FR"/>
        </w:rPr>
        <w:footnoteReference w:id="44"/>
      </w:r>
      <w:r w:rsidRPr="00022FDB">
        <w:rPr>
          <w:szCs w:val="22"/>
          <w:lang w:val="fr-FR"/>
        </w:rPr>
        <w:t xml:space="preserve">, le Guide de candidature aux nouveaux </w:t>
      </w:r>
      <w:proofErr w:type="spellStart"/>
      <w:r w:rsidRPr="00022FDB">
        <w:rPr>
          <w:szCs w:val="22"/>
          <w:lang w:val="fr-FR"/>
        </w:rPr>
        <w:t>gTLD</w:t>
      </w:r>
      <w:proofErr w:type="spellEnd"/>
      <w:r w:rsidRPr="00022FDB">
        <w:rPr>
          <w:szCs w:val="22"/>
          <w:lang w:val="fr-FR"/>
        </w:rPr>
        <w:t xml:space="preserve"> de l</w:t>
      </w:r>
      <w:r w:rsidR="007E6414">
        <w:rPr>
          <w:szCs w:val="22"/>
          <w:lang w:val="fr-FR"/>
        </w:rPr>
        <w:t>’</w:t>
      </w:r>
      <w:r w:rsidRPr="00022FDB">
        <w:rPr>
          <w:szCs w:val="22"/>
          <w:lang w:val="fr-FR"/>
        </w:rPr>
        <w:t>ICANN a limité la question de la protection des noms et sigles d</w:t>
      </w:r>
      <w:r w:rsidR="007E6414">
        <w:rPr>
          <w:szCs w:val="22"/>
          <w:lang w:val="fr-FR"/>
        </w:rPr>
        <w:t>’</w:t>
      </w:r>
      <w:r w:rsidRPr="00022FDB">
        <w:rPr>
          <w:szCs w:val="22"/>
          <w:lang w:val="fr-FR"/>
        </w:rPr>
        <w:t>organisations intergouvernementales au recours prévu dans le cadre des procédures d</w:t>
      </w:r>
      <w:r w:rsidR="007E6414">
        <w:rPr>
          <w:szCs w:val="22"/>
          <w:lang w:val="fr-FR"/>
        </w:rPr>
        <w:t>’</w:t>
      </w:r>
      <w:r w:rsidRPr="00022FDB">
        <w:rPr>
          <w:szCs w:val="22"/>
          <w:lang w:val="fr-FR"/>
        </w:rPr>
        <w:t>objection préalable à l</w:t>
      </w:r>
      <w:r w:rsidR="007E6414">
        <w:rPr>
          <w:szCs w:val="22"/>
          <w:lang w:val="fr-FR"/>
        </w:rPr>
        <w:t>’</w:t>
      </w:r>
      <w:r w:rsidRPr="00022FDB">
        <w:rPr>
          <w:szCs w:val="22"/>
          <w:lang w:val="fr-FR"/>
        </w:rPr>
        <w:t>attribution des domaines de premier niveau (pour les domaines demandés), dont il est question aux paragraphes</w:t>
      </w:r>
      <w:r w:rsidR="0035343A">
        <w:rPr>
          <w:szCs w:val="22"/>
          <w:lang w:val="fr-FR"/>
        </w:rPr>
        <w:t> </w:t>
      </w:r>
      <w:r w:rsidRPr="00022FDB">
        <w:rPr>
          <w:szCs w:val="22"/>
          <w:lang w:val="fr-FR"/>
        </w:rPr>
        <w:t>19 et 20 du ci</w:t>
      </w:r>
      <w:r w:rsidR="00687BC3">
        <w:rPr>
          <w:szCs w:val="22"/>
          <w:lang w:val="fr-FR"/>
        </w:rPr>
        <w:noBreakHyphen/>
      </w:r>
      <w:r w:rsidRPr="00022FDB">
        <w:rPr>
          <w:szCs w:val="22"/>
          <w:lang w:val="fr-FR"/>
        </w:rPr>
        <w:t>dessus.</w:t>
      </w:r>
      <w:r w:rsidR="00384EE8" w:rsidRPr="00022FDB">
        <w:rPr>
          <w:szCs w:val="22"/>
          <w:lang w:val="fr-FR"/>
        </w:rPr>
        <w:t xml:space="preserve">  </w:t>
      </w:r>
      <w:r w:rsidRPr="00022FDB">
        <w:rPr>
          <w:szCs w:val="22"/>
          <w:lang w:val="fr-FR"/>
        </w:rPr>
        <w:t>Toutefois, après des pressions soutenues des organisations intergouvernementales, le Comité consultatif gouvernemental (GAC) de l</w:t>
      </w:r>
      <w:r w:rsidR="007E6414">
        <w:rPr>
          <w:szCs w:val="22"/>
          <w:lang w:val="fr-FR"/>
        </w:rPr>
        <w:t>’</w:t>
      </w:r>
      <w:r w:rsidRPr="00022FDB">
        <w:rPr>
          <w:szCs w:val="22"/>
          <w:lang w:val="fr-FR"/>
        </w:rPr>
        <w:t>ICANN a conseillé au Conseil d</w:t>
      </w:r>
      <w:r w:rsidR="007E6414">
        <w:rPr>
          <w:szCs w:val="22"/>
          <w:lang w:val="fr-FR"/>
        </w:rPr>
        <w:t>’</w:t>
      </w:r>
      <w:r w:rsidRPr="00022FDB">
        <w:rPr>
          <w:szCs w:val="22"/>
          <w:lang w:val="fr-FR"/>
        </w:rPr>
        <w:t>administration de l</w:t>
      </w:r>
      <w:r w:rsidR="007E6414">
        <w:rPr>
          <w:szCs w:val="22"/>
          <w:lang w:val="fr-FR"/>
        </w:rPr>
        <w:t>’</w:t>
      </w:r>
      <w:r w:rsidRPr="00022FDB">
        <w:rPr>
          <w:szCs w:val="22"/>
          <w:lang w:val="fr-FR"/>
        </w:rPr>
        <w:t>ICANN de protéger les désignations d</w:t>
      </w:r>
      <w:r w:rsidR="007E6414">
        <w:rPr>
          <w:szCs w:val="22"/>
          <w:lang w:val="fr-FR"/>
        </w:rPr>
        <w:t>’</w:t>
      </w:r>
      <w:r w:rsidRPr="00022FDB">
        <w:rPr>
          <w:szCs w:val="22"/>
          <w:lang w:val="fr-FR"/>
        </w:rPr>
        <w:t>organisations intergouvernementales contre leur enregistrement abusif par des tiers dans</w:t>
      </w:r>
      <w:r w:rsidR="007E6414" w:rsidRPr="00022FDB">
        <w:rPr>
          <w:szCs w:val="22"/>
          <w:lang w:val="fr-FR"/>
        </w:rPr>
        <w:t xml:space="preserve"> le</w:t>
      </w:r>
      <w:r w:rsidR="007E6414">
        <w:rPr>
          <w:szCs w:val="22"/>
          <w:lang w:val="fr-FR"/>
        </w:rPr>
        <w:t> </w:t>
      </w:r>
      <w:r w:rsidR="007E6414" w:rsidRPr="00022FDB">
        <w:rPr>
          <w:szCs w:val="22"/>
          <w:lang w:val="fr-FR"/>
        </w:rPr>
        <w:t>DNS</w:t>
      </w:r>
      <w:r w:rsidRPr="00022FDB">
        <w:rPr>
          <w:szCs w:val="22"/>
          <w:lang w:val="fr-FR"/>
        </w:rPr>
        <w:t xml:space="preserve"> avant l</w:t>
      </w:r>
      <w:r w:rsidR="007E6414">
        <w:rPr>
          <w:szCs w:val="22"/>
          <w:lang w:val="fr-FR"/>
        </w:rPr>
        <w:t>’</w:t>
      </w:r>
      <w:r w:rsidRPr="00022FDB">
        <w:rPr>
          <w:szCs w:val="22"/>
          <w:lang w:val="fr-FR"/>
        </w:rPr>
        <w:t xml:space="preserve">attribution de tout nouveau </w:t>
      </w:r>
      <w:proofErr w:type="spellStart"/>
      <w:r w:rsidRPr="00022FDB">
        <w:rPr>
          <w:szCs w:val="22"/>
          <w:lang w:val="fr-FR"/>
        </w:rPr>
        <w:t>gTLD</w:t>
      </w:r>
      <w:proofErr w:type="spellEnd"/>
      <w:r w:rsidRPr="00022FDB">
        <w:rPr>
          <w:rStyle w:val="FootnoteReference"/>
          <w:szCs w:val="22"/>
          <w:lang w:val="fr-FR"/>
        </w:rPr>
        <w:footnoteReference w:id="45"/>
      </w:r>
      <w:r w:rsidRPr="00022FDB">
        <w:rPr>
          <w:szCs w:val="22"/>
          <w:lang w:val="fr-FR"/>
        </w:rPr>
        <w:t>.</w:t>
      </w:r>
      <w:r w:rsidR="00384EE8" w:rsidRPr="00022FDB">
        <w:rPr>
          <w:szCs w:val="22"/>
          <w:lang w:val="fr-FR"/>
        </w:rPr>
        <w:t xml:space="preserve"> </w:t>
      </w:r>
      <w:r w:rsidR="007E6414" w:rsidRPr="00022FDB">
        <w:rPr>
          <w:szCs w:val="22"/>
          <w:lang w:val="fr-FR"/>
        </w:rPr>
        <w:t xml:space="preserve"> Le</w:t>
      </w:r>
      <w:r w:rsidR="007E6414">
        <w:rPr>
          <w:szCs w:val="22"/>
          <w:lang w:val="fr-FR"/>
        </w:rPr>
        <w:t> </w:t>
      </w:r>
      <w:r w:rsidR="007E6414" w:rsidRPr="00022FDB">
        <w:rPr>
          <w:szCs w:val="22"/>
          <w:lang w:val="fr-FR"/>
        </w:rPr>
        <w:t>GAC</w:t>
      </w:r>
      <w:r w:rsidRPr="00022FDB">
        <w:rPr>
          <w:szCs w:val="22"/>
          <w:lang w:val="fr-FR"/>
        </w:rPr>
        <w:t xml:space="preserve"> a également recommandé au Conseil d</w:t>
      </w:r>
      <w:r w:rsidR="007E6414">
        <w:rPr>
          <w:szCs w:val="22"/>
          <w:lang w:val="fr-FR"/>
        </w:rPr>
        <w:t>’</w:t>
      </w:r>
      <w:r w:rsidRPr="00022FDB">
        <w:rPr>
          <w:szCs w:val="22"/>
          <w:lang w:val="fr-FR"/>
        </w:rPr>
        <w:t>administration de l</w:t>
      </w:r>
      <w:r w:rsidR="007E6414">
        <w:rPr>
          <w:szCs w:val="22"/>
          <w:lang w:val="fr-FR"/>
        </w:rPr>
        <w:t>’</w:t>
      </w:r>
      <w:r w:rsidRPr="00022FDB">
        <w:rPr>
          <w:szCs w:val="22"/>
          <w:lang w:val="fr-FR"/>
        </w:rPr>
        <w:t>ICANN, sur la base des critères existants pour l</w:t>
      </w:r>
      <w:r w:rsidR="007E6414">
        <w:rPr>
          <w:szCs w:val="22"/>
          <w:lang w:val="fr-FR"/>
        </w:rPr>
        <w:t>’</w:t>
      </w:r>
      <w:r w:rsidRPr="00022FDB">
        <w:rPr>
          <w:szCs w:val="22"/>
          <w:lang w:val="fr-FR"/>
        </w:rPr>
        <w:t>enregistrement sous le nom de domaine de premier niveau .</w:t>
      </w:r>
      <w:proofErr w:type="spellStart"/>
      <w:r w:rsidRPr="00022FDB">
        <w:rPr>
          <w:szCs w:val="22"/>
          <w:lang w:val="fr-FR"/>
        </w:rPr>
        <w:t>int</w:t>
      </w:r>
      <w:proofErr w:type="spellEnd"/>
      <w:r w:rsidRPr="00022FDB">
        <w:rPr>
          <w:szCs w:val="22"/>
          <w:lang w:val="fr-FR"/>
        </w:rPr>
        <w:t>, de collaborer avec les organisations intergouvernementales afin d</w:t>
      </w:r>
      <w:r w:rsidR="007E6414">
        <w:rPr>
          <w:szCs w:val="22"/>
          <w:lang w:val="fr-FR"/>
        </w:rPr>
        <w:t>’</w:t>
      </w:r>
      <w:r w:rsidRPr="00022FDB">
        <w:rPr>
          <w:szCs w:val="22"/>
          <w:lang w:val="fr-FR"/>
        </w:rPr>
        <w:t>établir une liste des noms et sigles d</w:t>
      </w:r>
      <w:r w:rsidR="007E6414">
        <w:rPr>
          <w:szCs w:val="22"/>
          <w:lang w:val="fr-FR"/>
        </w:rPr>
        <w:t>’</w:t>
      </w:r>
      <w:r w:rsidRPr="00022FDB">
        <w:rPr>
          <w:szCs w:val="22"/>
          <w:lang w:val="fr-FR"/>
        </w:rPr>
        <w:t>organisations intergouvernementales à protéger.</w:t>
      </w:r>
      <w:r w:rsidR="00384EE8" w:rsidRPr="00022FDB">
        <w:rPr>
          <w:szCs w:val="22"/>
          <w:lang w:val="fr-FR"/>
        </w:rPr>
        <w:t xml:space="preserve">  </w:t>
      </w:r>
      <w:r w:rsidRPr="00022FDB">
        <w:rPr>
          <w:szCs w:val="22"/>
          <w:lang w:val="fr-FR"/>
        </w:rPr>
        <w:t>Cette protection serait au deuxième niveau pour la phase actuelle de dépôt des demandes d</w:t>
      </w:r>
      <w:r w:rsidR="007E6414">
        <w:rPr>
          <w:szCs w:val="22"/>
          <w:lang w:val="fr-FR"/>
        </w:rPr>
        <w:t>’</w:t>
      </w:r>
      <w:r w:rsidRPr="00022FDB">
        <w:rPr>
          <w:szCs w:val="22"/>
          <w:lang w:val="fr-FR"/>
        </w:rPr>
        <w:t xml:space="preserve">enregistrement dans de nouveaux </w:t>
      </w:r>
      <w:proofErr w:type="spellStart"/>
      <w:r w:rsidRPr="00022FDB">
        <w:rPr>
          <w:szCs w:val="22"/>
          <w:lang w:val="fr-FR"/>
        </w:rPr>
        <w:t>gTLD</w:t>
      </w:r>
      <w:proofErr w:type="spellEnd"/>
      <w:r w:rsidRPr="00022FDB">
        <w:rPr>
          <w:szCs w:val="22"/>
          <w:lang w:val="fr-FR"/>
        </w:rPr>
        <w:t>, et aux deuxième et premier niveaux pour toute phase ultérieure de dépôt de demandes d</w:t>
      </w:r>
      <w:r w:rsidR="007E6414">
        <w:rPr>
          <w:szCs w:val="22"/>
          <w:lang w:val="fr-FR"/>
        </w:rPr>
        <w:t>’</w:t>
      </w:r>
      <w:r w:rsidRPr="00022FDB">
        <w:rPr>
          <w:szCs w:val="22"/>
          <w:lang w:val="fr-FR"/>
        </w:rPr>
        <w:t xml:space="preserve">enregistrement dans de nouveaux </w:t>
      </w:r>
      <w:proofErr w:type="spellStart"/>
      <w:r w:rsidRPr="00022FDB">
        <w:rPr>
          <w:szCs w:val="22"/>
          <w:lang w:val="fr-FR"/>
        </w:rPr>
        <w:t>gTLD</w:t>
      </w:r>
      <w:proofErr w:type="spellEnd"/>
      <w:r w:rsidRPr="00022FDB">
        <w:rPr>
          <w:szCs w:val="22"/>
          <w:lang w:val="fr-FR"/>
        </w:rPr>
        <w:t xml:space="preserve">. </w:t>
      </w:r>
      <w:r w:rsidR="007E6414" w:rsidRPr="00022FDB">
        <w:rPr>
          <w:szCs w:val="22"/>
          <w:lang w:val="fr-FR"/>
        </w:rPr>
        <w:t xml:space="preserve"> Le</w:t>
      </w:r>
      <w:r w:rsidR="007E6414">
        <w:rPr>
          <w:szCs w:val="22"/>
          <w:lang w:val="fr-FR"/>
        </w:rPr>
        <w:t> </w:t>
      </w:r>
      <w:r w:rsidR="007E6414" w:rsidRPr="00022FDB">
        <w:rPr>
          <w:szCs w:val="22"/>
          <w:lang w:val="fr-FR"/>
        </w:rPr>
        <w:t>GAC</w:t>
      </w:r>
      <w:r w:rsidRPr="00022FDB">
        <w:rPr>
          <w:szCs w:val="22"/>
          <w:lang w:val="fr-FR"/>
        </w:rPr>
        <w:t xml:space="preserve"> a également recommandé au Conseil d</w:t>
      </w:r>
      <w:r w:rsidR="007E6414">
        <w:rPr>
          <w:szCs w:val="22"/>
          <w:lang w:val="fr-FR"/>
        </w:rPr>
        <w:t>’</w:t>
      </w:r>
      <w:r w:rsidRPr="00022FDB">
        <w:rPr>
          <w:szCs w:val="22"/>
          <w:lang w:val="fr-FR"/>
        </w:rPr>
        <w:t>administration, dans l</w:t>
      </w:r>
      <w:r w:rsidR="007E6414">
        <w:rPr>
          <w:szCs w:val="22"/>
          <w:lang w:val="fr-FR"/>
        </w:rPr>
        <w:t>’</w:t>
      </w:r>
      <w:r w:rsidRPr="00022FDB">
        <w:rPr>
          <w:szCs w:val="22"/>
          <w:lang w:val="fr-FR"/>
        </w:rPr>
        <w:t>attente des travaux complémentaires sur des mesures de mise en œuvre spécifiques, de prévoir la protection à titre provisoire des noms et sigles d</w:t>
      </w:r>
      <w:r w:rsidR="007E6414">
        <w:rPr>
          <w:szCs w:val="22"/>
          <w:lang w:val="fr-FR"/>
        </w:rPr>
        <w:t>’</w:t>
      </w:r>
      <w:r w:rsidRPr="00022FDB">
        <w:rPr>
          <w:szCs w:val="22"/>
          <w:lang w:val="fr-FR"/>
        </w:rPr>
        <w:t>organisations intergouvernementales par le biais d</w:t>
      </w:r>
      <w:r w:rsidR="007E6414">
        <w:rPr>
          <w:szCs w:val="22"/>
          <w:lang w:val="fr-FR"/>
        </w:rPr>
        <w:t>’</w:t>
      </w:r>
      <w:r w:rsidRPr="00022FDB">
        <w:rPr>
          <w:szCs w:val="22"/>
          <w:lang w:val="fr-FR"/>
        </w:rPr>
        <w:t>un moratoire contre l</w:t>
      </w:r>
      <w:r w:rsidR="007E6414">
        <w:rPr>
          <w:szCs w:val="22"/>
          <w:lang w:val="fr-FR"/>
        </w:rPr>
        <w:t>’</w:t>
      </w:r>
      <w:r w:rsidRPr="00022FDB">
        <w:rPr>
          <w:szCs w:val="22"/>
          <w:lang w:val="fr-FR"/>
        </w:rPr>
        <w:t>enregistrement par un tiers, avant l</w:t>
      </w:r>
      <w:r w:rsidR="007E6414">
        <w:rPr>
          <w:szCs w:val="22"/>
          <w:lang w:val="fr-FR"/>
        </w:rPr>
        <w:t>’</w:t>
      </w:r>
      <w:r w:rsidRPr="00022FDB">
        <w:rPr>
          <w:szCs w:val="22"/>
          <w:lang w:val="fr-FR"/>
        </w:rPr>
        <w:t xml:space="preserve">attribution de tout nouveau </w:t>
      </w:r>
      <w:proofErr w:type="spellStart"/>
      <w:r w:rsidRPr="00022FDB">
        <w:rPr>
          <w:szCs w:val="22"/>
          <w:lang w:val="fr-FR"/>
        </w:rPr>
        <w:t>gTLD</w:t>
      </w:r>
      <w:proofErr w:type="spellEnd"/>
      <w:r w:rsidRPr="00022FDB">
        <w:rPr>
          <w:szCs w:val="22"/>
          <w:lang w:val="fr-FR"/>
        </w:rPr>
        <w:t>.</w:t>
      </w:r>
    </w:p>
    <w:p w:rsidR="00022FDB" w:rsidRPr="00022FDB" w:rsidRDefault="00C37469" w:rsidP="00022FDB">
      <w:pPr>
        <w:pStyle w:val="ONUMFS"/>
        <w:rPr>
          <w:szCs w:val="22"/>
          <w:lang w:val="fr-FR"/>
        </w:rPr>
      </w:pPr>
      <w:r w:rsidRPr="00022FDB">
        <w:rPr>
          <w:szCs w:val="22"/>
          <w:lang w:val="fr-FR"/>
        </w:rPr>
        <w:t>Dans sa réponse</w:t>
      </w:r>
      <w:r w:rsidR="007E6414" w:rsidRPr="00022FDB">
        <w:rPr>
          <w:szCs w:val="22"/>
          <w:lang w:val="fr-FR"/>
        </w:rPr>
        <w:t xml:space="preserve"> au</w:t>
      </w:r>
      <w:r w:rsidR="007E6414">
        <w:rPr>
          <w:szCs w:val="22"/>
          <w:lang w:val="fr-FR"/>
        </w:rPr>
        <w:t> </w:t>
      </w:r>
      <w:r w:rsidR="007E6414" w:rsidRPr="00022FDB">
        <w:rPr>
          <w:szCs w:val="22"/>
          <w:lang w:val="fr-FR"/>
        </w:rPr>
        <w:t>GAC</w:t>
      </w:r>
      <w:r w:rsidRPr="00022FDB">
        <w:rPr>
          <w:szCs w:val="22"/>
          <w:lang w:val="fr-FR"/>
        </w:rPr>
        <w:t>, le Conseil d</w:t>
      </w:r>
      <w:r w:rsidR="007E6414">
        <w:rPr>
          <w:szCs w:val="22"/>
          <w:lang w:val="fr-FR"/>
        </w:rPr>
        <w:t>’</w:t>
      </w:r>
      <w:r w:rsidRPr="00022FDB">
        <w:rPr>
          <w:szCs w:val="22"/>
          <w:lang w:val="fr-FR"/>
        </w:rPr>
        <w:t>administration de l</w:t>
      </w:r>
      <w:r w:rsidR="007E6414">
        <w:rPr>
          <w:szCs w:val="22"/>
          <w:lang w:val="fr-FR"/>
        </w:rPr>
        <w:t>’</w:t>
      </w:r>
      <w:r w:rsidRPr="00022FDB">
        <w:rPr>
          <w:szCs w:val="22"/>
          <w:lang w:val="fr-FR"/>
        </w:rPr>
        <w:t>ICANN a indiqué qu</w:t>
      </w:r>
      <w:r w:rsidR="007E6414">
        <w:rPr>
          <w:szCs w:val="22"/>
          <w:lang w:val="fr-FR"/>
        </w:rPr>
        <w:t>’</w:t>
      </w:r>
      <w:r w:rsidRPr="00022FDB">
        <w:rPr>
          <w:szCs w:val="22"/>
          <w:lang w:val="fr-FR"/>
        </w:rPr>
        <w:t>il avait adopté une résolution jetant les bases d</w:t>
      </w:r>
      <w:r w:rsidR="007E6414">
        <w:rPr>
          <w:szCs w:val="22"/>
          <w:lang w:val="fr-FR"/>
        </w:rPr>
        <w:t>’</w:t>
      </w:r>
      <w:r w:rsidRPr="00022FDB">
        <w:rPr>
          <w:szCs w:val="22"/>
          <w:lang w:val="fr-FR"/>
        </w:rPr>
        <w:t>une telle protection à titre provisoire au deuxième niveau sur la base des critères existants pour l</w:t>
      </w:r>
      <w:r w:rsidR="007E6414">
        <w:rPr>
          <w:szCs w:val="22"/>
          <w:lang w:val="fr-FR"/>
        </w:rPr>
        <w:t>’</w:t>
      </w:r>
      <w:r w:rsidRPr="00022FDB">
        <w:rPr>
          <w:szCs w:val="22"/>
          <w:lang w:val="fr-FR"/>
        </w:rPr>
        <w:t xml:space="preserve">enregistrement </w:t>
      </w:r>
      <w:r w:rsidR="00D04618" w:rsidRPr="00022FDB">
        <w:rPr>
          <w:szCs w:val="22"/>
          <w:lang w:val="fr-FR"/>
        </w:rPr>
        <w:t>dans</w:t>
      </w:r>
      <w:r w:rsidRPr="00022FDB">
        <w:rPr>
          <w:szCs w:val="22"/>
          <w:lang w:val="fr-FR"/>
        </w:rPr>
        <w:t xml:space="preserve"> le nom de domaine de premier niveau .</w:t>
      </w:r>
      <w:proofErr w:type="spellStart"/>
      <w:r w:rsidRPr="00022FDB">
        <w:rPr>
          <w:szCs w:val="22"/>
          <w:lang w:val="fr-FR"/>
        </w:rPr>
        <w:t>int</w:t>
      </w:r>
      <w:proofErr w:type="spellEnd"/>
      <w:r w:rsidRPr="00022FDB">
        <w:rPr>
          <w:szCs w:val="22"/>
          <w:lang w:val="fr-FR"/>
        </w:rPr>
        <w:t>, via une liste de réserve de l</w:t>
      </w:r>
      <w:r w:rsidR="007E6414">
        <w:rPr>
          <w:szCs w:val="22"/>
          <w:lang w:val="fr-FR"/>
        </w:rPr>
        <w:t>’</w:t>
      </w:r>
      <w:r w:rsidRPr="00022FDB">
        <w:rPr>
          <w:szCs w:val="22"/>
          <w:lang w:val="fr-FR"/>
        </w:rPr>
        <w:t>ICANN dans laquelle étaient recensés les noms et sigles d</w:t>
      </w:r>
      <w:r w:rsidR="007E6414">
        <w:rPr>
          <w:szCs w:val="22"/>
          <w:lang w:val="fr-FR"/>
        </w:rPr>
        <w:t>’</w:t>
      </w:r>
      <w:r w:rsidRPr="00022FDB">
        <w:rPr>
          <w:szCs w:val="22"/>
          <w:lang w:val="fr-FR"/>
        </w:rPr>
        <w:t>organisations intergouvernementales à protéger contre l</w:t>
      </w:r>
      <w:r w:rsidR="007E6414">
        <w:rPr>
          <w:szCs w:val="22"/>
          <w:lang w:val="fr-FR"/>
        </w:rPr>
        <w:t>’</w:t>
      </w:r>
      <w:r w:rsidRPr="00022FDB">
        <w:rPr>
          <w:szCs w:val="22"/>
          <w:lang w:val="fr-FR"/>
        </w:rPr>
        <w:t>enregistrement par un tiers, dans le cadre du contrat avec les services d</w:t>
      </w:r>
      <w:r w:rsidR="007E6414">
        <w:rPr>
          <w:szCs w:val="22"/>
          <w:lang w:val="fr-FR"/>
        </w:rPr>
        <w:t>’</w:t>
      </w:r>
      <w:r w:rsidRPr="00022FDB">
        <w:rPr>
          <w:szCs w:val="22"/>
          <w:lang w:val="fr-FR"/>
        </w:rPr>
        <w:t>enregistrement de TLD génériques.</w:t>
      </w:r>
      <w:r w:rsidR="00384EE8" w:rsidRPr="00022FDB">
        <w:rPr>
          <w:szCs w:val="22"/>
          <w:lang w:val="fr-FR"/>
        </w:rPr>
        <w:t xml:space="preserve">  </w:t>
      </w:r>
      <w:r w:rsidR="003E262C" w:rsidRPr="00022FDB">
        <w:rPr>
          <w:szCs w:val="22"/>
          <w:lang w:val="fr-FR"/>
        </w:rPr>
        <w:t>L</w:t>
      </w:r>
      <w:r w:rsidR="007E6414">
        <w:rPr>
          <w:szCs w:val="22"/>
          <w:lang w:val="fr-FR"/>
        </w:rPr>
        <w:t>’</w:t>
      </w:r>
      <w:r w:rsidR="003E262C" w:rsidRPr="00022FDB">
        <w:rPr>
          <w:szCs w:val="22"/>
          <w:lang w:val="fr-FR"/>
        </w:rPr>
        <w:t xml:space="preserve">ICANN a invité les organisations intergouvernementales remplissant les conditions requises à se faire connaître, tout en sollicitant </w:t>
      </w:r>
      <w:r w:rsidR="00D04618" w:rsidRPr="00022FDB">
        <w:rPr>
          <w:szCs w:val="22"/>
          <w:lang w:val="fr-FR"/>
        </w:rPr>
        <w:t>de la part</w:t>
      </w:r>
      <w:r w:rsidR="007E6414" w:rsidRPr="00022FDB">
        <w:rPr>
          <w:szCs w:val="22"/>
          <w:lang w:val="fr-FR"/>
        </w:rPr>
        <w:t xml:space="preserve"> du</w:t>
      </w:r>
      <w:r w:rsidR="007E6414">
        <w:rPr>
          <w:szCs w:val="22"/>
          <w:lang w:val="fr-FR"/>
        </w:rPr>
        <w:t> </w:t>
      </w:r>
      <w:r w:rsidR="007E6414" w:rsidRPr="00022FDB">
        <w:rPr>
          <w:szCs w:val="22"/>
          <w:lang w:val="fr-FR"/>
        </w:rPr>
        <w:t>GAC</w:t>
      </w:r>
      <w:r w:rsidR="003E262C" w:rsidRPr="00022FDB">
        <w:rPr>
          <w:szCs w:val="22"/>
          <w:lang w:val="fr-FR"/>
        </w:rPr>
        <w:t xml:space="preserve"> (</w:t>
      </w:r>
      <w:r w:rsidR="00D04618" w:rsidRPr="00022FDB">
        <w:rPr>
          <w:szCs w:val="22"/>
          <w:lang w:val="fr-FR"/>
        </w:rPr>
        <w:t>et d</w:t>
      </w:r>
      <w:r w:rsidR="003E262C" w:rsidRPr="00022FDB">
        <w:rPr>
          <w:szCs w:val="22"/>
          <w:lang w:val="fr-FR"/>
        </w:rPr>
        <w:t>es organisations intergouvernementales) une synthèse comprenant les critères et la liste des noms et sigles d</w:t>
      </w:r>
      <w:r w:rsidR="007E6414">
        <w:rPr>
          <w:szCs w:val="22"/>
          <w:lang w:val="fr-FR"/>
        </w:rPr>
        <w:t>’</w:t>
      </w:r>
      <w:r w:rsidR="003E262C" w:rsidRPr="00022FDB">
        <w:rPr>
          <w:szCs w:val="22"/>
          <w:lang w:val="fr-FR"/>
        </w:rPr>
        <w:t>organisations intergouvernementales dont</w:t>
      </w:r>
      <w:r w:rsidR="007E6414" w:rsidRPr="00022FDB">
        <w:rPr>
          <w:szCs w:val="22"/>
          <w:lang w:val="fr-FR"/>
        </w:rPr>
        <w:t xml:space="preserve"> le</w:t>
      </w:r>
      <w:r w:rsidR="007E6414">
        <w:rPr>
          <w:szCs w:val="22"/>
          <w:lang w:val="fr-FR"/>
        </w:rPr>
        <w:t> </w:t>
      </w:r>
      <w:r w:rsidR="007E6414" w:rsidRPr="00022FDB">
        <w:rPr>
          <w:szCs w:val="22"/>
          <w:lang w:val="fr-FR"/>
        </w:rPr>
        <w:t>GAC</w:t>
      </w:r>
      <w:r w:rsidR="003E262C" w:rsidRPr="00022FDB">
        <w:rPr>
          <w:szCs w:val="22"/>
          <w:lang w:val="fr-FR"/>
        </w:rPr>
        <w:t xml:space="preserve"> recommandait la protection</w:t>
      </w:r>
      <w:r w:rsidR="003E262C" w:rsidRPr="00022FDB">
        <w:rPr>
          <w:rStyle w:val="FootnoteReference"/>
          <w:szCs w:val="22"/>
          <w:lang w:val="fr-FR"/>
        </w:rPr>
        <w:footnoteReference w:id="46"/>
      </w:r>
      <w:r w:rsidR="003E262C" w:rsidRPr="00022FDB">
        <w:rPr>
          <w:szCs w:val="22"/>
          <w:lang w:val="fr-FR"/>
        </w:rPr>
        <w:t>.</w:t>
      </w:r>
      <w:r w:rsidR="00384EE8" w:rsidRPr="00022FDB">
        <w:rPr>
          <w:szCs w:val="22"/>
          <w:lang w:val="fr-FR"/>
        </w:rPr>
        <w:t xml:space="preserve">  </w:t>
      </w:r>
      <w:r w:rsidR="003E262C" w:rsidRPr="00022FDB">
        <w:rPr>
          <w:szCs w:val="22"/>
          <w:lang w:val="fr-FR"/>
        </w:rPr>
        <w:t>En réponse, une coalition d</w:t>
      </w:r>
      <w:r w:rsidR="007E6414">
        <w:rPr>
          <w:szCs w:val="22"/>
          <w:lang w:val="fr-FR"/>
        </w:rPr>
        <w:t>’</w:t>
      </w:r>
      <w:r w:rsidR="003E262C" w:rsidRPr="00022FDB">
        <w:rPr>
          <w:szCs w:val="22"/>
          <w:lang w:val="fr-FR"/>
        </w:rPr>
        <w:t>organisations intergouvernementales a élaboré des critères fondés sur le domaine .</w:t>
      </w:r>
      <w:proofErr w:type="spellStart"/>
      <w:r w:rsidR="003E262C" w:rsidRPr="00022FDB">
        <w:rPr>
          <w:szCs w:val="22"/>
          <w:lang w:val="fr-FR"/>
        </w:rPr>
        <w:t>int</w:t>
      </w:r>
      <w:proofErr w:type="spellEnd"/>
      <w:r w:rsidR="003E262C" w:rsidRPr="00022FDB">
        <w:rPr>
          <w:szCs w:val="22"/>
          <w:lang w:val="fr-FR"/>
        </w:rPr>
        <w:t xml:space="preserve"> pour la protection d</w:t>
      </w:r>
      <w:r w:rsidR="00D04618" w:rsidRPr="00022FDB">
        <w:rPr>
          <w:szCs w:val="22"/>
          <w:lang w:val="fr-FR"/>
        </w:rPr>
        <w:t xml:space="preserve">es </w:t>
      </w:r>
      <w:r w:rsidR="003E262C" w:rsidRPr="00022FDB">
        <w:rPr>
          <w:szCs w:val="22"/>
          <w:lang w:val="fr-FR"/>
        </w:rPr>
        <w:t xml:space="preserve">organisations intergouvernementales </w:t>
      </w:r>
      <w:r w:rsidR="00D04618" w:rsidRPr="00022FDB">
        <w:rPr>
          <w:szCs w:val="22"/>
          <w:lang w:val="fr-FR"/>
        </w:rPr>
        <w:t>ainsi qu</w:t>
      </w:r>
      <w:r w:rsidR="007E6414">
        <w:rPr>
          <w:szCs w:val="22"/>
          <w:lang w:val="fr-FR"/>
        </w:rPr>
        <w:t>’</w:t>
      </w:r>
      <w:r w:rsidR="00D04618" w:rsidRPr="00022FDB">
        <w:rPr>
          <w:szCs w:val="22"/>
          <w:lang w:val="fr-FR"/>
        </w:rPr>
        <w:t xml:space="preserve">une </w:t>
      </w:r>
      <w:r w:rsidR="003E262C" w:rsidRPr="00022FDB">
        <w:rPr>
          <w:szCs w:val="22"/>
          <w:lang w:val="fr-FR"/>
        </w:rPr>
        <w:t>liste d</w:t>
      </w:r>
      <w:r w:rsidR="00D04618" w:rsidRPr="00022FDB">
        <w:rPr>
          <w:szCs w:val="22"/>
          <w:lang w:val="fr-FR"/>
        </w:rPr>
        <w:t xml:space="preserve">e ces </w:t>
      </w:r>
      <w:r w:rsidR="003E262C" w:rsidRPr="00022FDB">
        <w:rPr>
          <w:szCs w:val="22"/>
          <w:lang w:val="fr-FR"/>
        </w:rPr>
        <w:t xml:space="preserve">organisations, </w:t>
      </w:r>
      <w:r w:rsidR="00D04618" w:rsidRPr="00022FDB">
        <w:rPr>
          <w:szCs w:val="22"/>
          <w:lang w:val="fr-FR"/>
        </w:rPr>
        <w:t>qu</w:t>
      </w:r>
      <w:r w:rsidR="007E6414">
        <w:rPr>
          <w:szCs w:val="22"/>
          <w:lang w:val="fr-FR"/>
        </w:rPr>
        <w:t>’</w:t>
      </w:r>
      <w:r w:rsidR="00D04618" w:rsidRPr="00022FDB">
        <w:rPr>
          <w:szCs w:val="22"/>
          <w:lang w:val="fr-FR"/>
        </w:rPr>
        <w:t xml:space="preserve">elle a </w:t>
      </w:r>
      <w:r w:rsidR="003E262C" w:rsidRPr="00022FDB">
        <w:rPr>
          <w:szCs w:val="22"/>
          <w:lang w:val="fr-FR"/>
        </w:rPr>
        <w:t>transmis au Conseil d</w:t>
      </w:r>
      <w:r w:rsidR="007E6414">
        <w:rPr>
          <w:szCs w:val="22"/>
          <w:lang w:val="fr-FR"/>
        </w:rPr>
        <w:t>’</w:t>
      </w:r>
      <w:r w:rsidR="003E262C" w:rsidRPr="00022FDB">
        <w:rPr>
          <w:szCs w:val="22"/>
          <w:lang w:val="fr-FR"/>
        </w:rPr>
        <w:t>administration de l</w:t>
      </w:r>
      <w:r w:rsidR="007E6414">
        <w:rPr>
          <w:szCs w:val="22"/>
          <w:lang w:val="fr-FR"/>
        </w:rPr>
        <w:t>’</w:t>
      </w:r>
      <w:r w:rsidR="003E262C" w:rsidRPr="00022FDB">
        <w:rPr>
          <w:szCs w:val="22"/>
          <w:lang w:val="fr-FR"/>
        </w:rPr>
        <w:t>ICANN en février</w:t>
      </w:r>
      <w:r w:rsidR="00F94E86" w:rsidRPr="00022FDB">
        <w:rPr>
          <w:szCs w:val="22"/>
          <w:lang w:val="fr-FR"/>
        </w:rPr>
        <w:t> </w:t>
      </w:r>
      <w:r w:rsidR="003E262C" w:rsidRPr="00022FDB">
        <w:rPr>
          <w:szCs w:val="22"/>
          <w:lang w:val="fr-FR"/>
        </w:rPr>
        <w:t>2013.</w:t>
      </w:r>
      <w:r w:rsidR="00384EE8" w:rsidRPr="00022FDB">
        <w:rPr>
          <w:szCs w:val="22"/>
          <w:lang w:val="fr-FR"/>
        </w:rPr>
        <w:t xml:space="preserve">  </w:t>
      </w:r>
      <w:r w:rsidR="00D04618" w:rsidRPr="00022FDB">
        <w:rPr>
          <w:szCs w:val="22"/>
          <w:lang w:val="fr-FR"/>
        </w:rPr>
        <w:t xml:space="preserve">Par la </w:t>
      </w:r>
      <w:r w:rsidR="003E262C" w:rsidRPr="00022FDB">
        <w:rPr>
          <w:szCs w:val="22"/>
          <w:lang w:val="fr-FR"/>
        </w:rPr>
        <w:t>suite, le GAC a communiqué au Conseil d</w:t>
      </w:r>
      <w:r w:rsidR="007E6414">
        <w:rPr>
          <w:szCs w:val="22"/>
          <w:lang w:val="fr-FR"/>
        </w:rPr>
        <w:t>’</w:t>
      </w:r>
      <w:r w:rsidR="003E262C" w:rsidRPr="00022FDB">
        <w:rPr>
          <w:szCs w:val="22"/>
          <w:lang w:val="fr-FR"/>
        </w:rPr>
        <w:t>administration de l</w:t>
      </w:r>
      <w:r w:rsidR="007E6414">
        <w:rPr>
          <w:szCs w:val="22"/>
          <w:lang w:val="fr-FR"/>
        </w:rPr>
        <w:t>’</w:t>
      </w:r>
      <w:r w:rsidR="003E262C" w:rsidRPr="00022FDB">
        <w:rPr>
          <w:szCs w:val="22"/>
          <w:lang w:val="fr-FR"/>
        </w:rPr>
        <w:t>ICANN ses recommandations sur les conditions que devaient remplir les organisations intergouvernementales pour pouvoir bénéficier de la protection</w:t>
      </w:r>
      <w:r w:rsidR="003E262C" w:rsidRPr="00022FDB">
        <w:rPr>
          <w:rStyle w:val="FootnoteReference"/>
          <w:szCs w:val="22"/>
          <w:lang w:val="fr-FR"/>
        </w:rPr>
        <w:footnoteReference w:id="47"/>
      </w:r>
      <w:r w:rsidR="003E262C" w:rsidRPr="00022FDB">
        <w:rPr>
          <w:szCs w:val="22"/>
          <w:lang w:val="fr-FR"/>
        </w:rPr>
        <w:t>, ainsi qu</w:t>
      </w:r>
      <w:r w:rsidR="007E6414">
        <w:rPr>
          <w:szCs w:val="22"/>
          <w:lang w:val="fr-FR"/>
        </w:rPr>
        <w:t>’</w:t>
      </w:r>
      <w:r w:rsidR="003E262C" w:rsidRPr="00022FDB">
        <w:rPr>
          <w:szCs w:val="22"/>
          <w:lang w:val="fr-FR"/>
        </w:rPr>
        <w:t>une liste des noms et sigles d</w:t>
      </w:r>
      <w:r w:rsidR="007E6414">
        <w:rPr>
          <w:szCs w:val="22"/>
          <w:lang w:val="fr-FR"/>
        </w:rPr>
        <w:t>’</w:t>
      </w:r>
      <w:r w:rsidR="003E262C" w:rsidRPr="00022FDB">
        <w:rPr>
          <w:szCs w:val="22"/>
          <w:lang w:val="fr-FR"/>
        </w:rPr>
        <w:t>organisations intergouvernementales à protéger</w:t>
      </w:r>
      <w:r w:rsidR="003E262C" w:rsidRPr="00022FDB">
        <w:rPr>
          <w:rStyle w:val="FootnoteReference"/>
          <w:szCs w:val="22"/>
          <w:lang w:val="fr-FR"/>
        </w:rPr>
        <w:footnoteReference w:id="48"/>
      </w:r>
      <w:r w:rsidR="003E262C" w:rsidRPr="00022FDB">
        <w:rPr>
          <w:szCs w:val="22"/>
          <w:lang w:val="fr-FR"/>
        </w:rPr>
        <w:t>.</w:t>
      </w:r>
    </w:p>
    <w:p w:rsidR="00022FDB" w:rsidRPr="00022FDB" w:rsidRDefault="003E262C" w:rsidP="00022FDB">
      <w:pPr>
        <w:pStyle w:val="ONUMFS"/>
        <w:rPr>
          <w:szCs w:val="22"/>
          <w:lang w:val="fr-FR"/>
        </w:rPr>
      </w:pPr>
      <w:r w:rsidRPr="00022FDB">
        <w:rPr>
          <w:szCs w:val="22"/>
          <w:lang w:val="fr-FR"/>
        </w:rPr>
        <w:t>Le 1</w:t>
      </w:r>
      <w:r w:rsidRPr="00022FDB">
        <w:rPr>
          <w:szCs w:val="22"/>
          <w:vertAlign w:val="superscript"/>
          <w:lang w:val="fr-FR"/>
        </w:rPr>
        <w:t>er</w:t>
      </w:r>
      <w:r w:rsidR="00F94E86" w:rsidRPr="00022FDB">
        <w:rPr>
          <w:szCs w:val="22"/>
          <w:lang w:val="fr-FR"/>
        </w:rPr>
        <w:t> </w:t>
      </w:r>
      <w:r w:rsidR="007E6414" w:rsidRPr="00022FDB">
        <w:rPr>
          <w:szCs w:val="22"/>
          <w:lang w:val="fr-FR"/>
        </w:rPr>
        <w:t>avril</w:t>
      </w:r>
      <w:r w:rsidR="007E6414">
        <w:rPr>
          <w:szCs w:val="22"/>
          <w:lang w:val="fr-FR"/>
        </w:rPr>
        <w:t> </w:t>
      </w:r>
      <w:r w:rsidR="007E6414" w:rsidRPr="00022FDB">
        <w:rPr>
          <w:szCs w:val="22"/>
          <w:lang w:val="fr-FR"/>
        </w:rPr>
        <w:t>20</w:t>
      </w:r>
      <w:r w:rsidRPr="00022FDB">
        <w:rPr>
          <w:szCs w:val="22"/>
          <w:lang w:val="fr-FR"/>
        </w:rPr>
        <w:t>13, le Conseil d</w:t>
      </w:r>
      <w:r w:rsidR="007E6414">
        <w:rPr>
          <w:szCs w:val="22"/>
          <w:lang w:val="fr-FR"/>
        </w:rPr>
        <w:t>’</w:t>
      </w:r>
      <w:r w:rsidRPr="00022FDB">
        <w:rPr>
          <w:szCs w:val="22"/>
          <w:lang w:val="fr-FR"/>
        </w:rPr>
        <w:t>administration a fait part</w:t>
      </w:r>
      <w:r w:rsidR="007E6414" w:rsidRPr="00022FDB">
        <w:rPr>
          <w:szCs w:val="22"/>
          <w:lang w:val="fr-FR"/>
        </w:rPr>
        <w:t xml:space="preserve"> au</w:t>
      </w:r>
      <w:r w:rsidR="007E6414">
        <w:rPr>
          <w:szCs w:val="22"/>
          <w:lang w:val="fr-FR"/>
        </w:rPr>
        <w:t> </w:t>
      </w:r>
      <w:r w:rsidR="007E6414" w:rsidRPr="00022FDB">
        <w:rPr>
          <w:szCs w:val="22"/>
          <w:lang w:val="fr-FR"/>
        </w:rPr>
        <w:t>GAC</w:t>
      </w:r>
      <w:r w:rsidRPr="00022FDB">
        <w:rPr>
          <w:szCs w:val="22"/>
          <w:lang w:val="fr-FR"/>
        </w:rPr>
        <w:t xml:space="preserve"> de ses préoccupations quant à la manière dont la protection des sigles d</w:t>
      </w:r>
      <w:r w:rsidR="007E6414">
        <w:rPr>
          <w:szCs w:val="22"/>
          <w:lang w:val="fr-FR"/>
        </w:rPr>
        <w:t>’</w:t>
      </w:r>
      <w:r w:rsidRPr="00022FDB">
        <w:rPr>
          <w:szCs w:val="22"/>
          <w:lang w:val="fr-FR"/>
        </w:rPr>
        <w:t xml:space="preserve">organisations intergouvernementales pourrait être conciliée avec </w:t>
      </w:r>
      <w:r w:rsidR="00D04618" w:rsidRPr="00022FDB">
        <w:rPr>
          <w:szCs w:val="22"/>
          <w:lang w:val="fr-FR"/>
        </w:rPr>
        <w:t>les</w:t>
      </w:r>
      <w:r w:rsidRPr="00022FDB">
        <w:rPr>
          <w:szCs w:val="22"/>
          <w:lang w:val="fr-FR"/>
        </w:rPr>
        <w:t xml:space="preserve"> </w:t>
      </w:r>
      <w:r w:rsidR="00D04618" w:rsidRPr="00022FDB">
        <w:rPr>
          <w:szCs w:val="22"/>
          <w:lang w:val="fr-FR"/>
        </w:rPr>
        <w:t>demandes d</w:t>
      </w:r>
      <w:r w:rsidR="007E6414">
        <w:rPr>
          <w:szCs w:val="22"/>
          <w:lang w:val="fr-FR"/>
        </w:rPr>
        <w:t>’</w:t>
      </w:r>
      <w:r w:rsidR="00D04618" w:rsidRPr="00022FDB">
        <w:rPr>
          <w:szCs w:val="22"/>
          <w:lang w:val="fr-FR"/>
        </w:rPr>
        <w:t xml:space="preserve">enregistrement </w:t>
      </w:r>
      <w:r w:rsidRPr="00022FDB">
        <w:rPr>
          <w:szCs w:val="22"/>
          <w:lang w:val="fr-FR"/>
        </w:rPr>
        <w:t xml:space="preserve">potentiellement légitimes </w:t>
      </w:r>
      <w:r w:rsidR="00D04618" w:rsidRPr="00022FDB">
        <w:rPr>
          <w:szCs w:val="22"/>
          <w:lang w:val="fr-FR"/>
        </w:rPr>
        <w:t xml:space="preserve">de </w:t>
      </w:r>
      <w:r w:rsidRPr="00022FDB">
        <w:rPr>
          <w:szCs w:val="22"/>
          <w:lang w:val="fr-FR"/>
        </w:rPr>
        <w:t xml:space="preserve">tiers </w:t>
      </w:r>
      <w:r w:rsidR="00D04618" w:rsidRPr="00022FDB">
        <w:rPr>
          <w:szCs w:val="22"/>
          <w:lang w:val="fr-FR"/>
        </w:rPr>
        <w:t xml:space="preserve">portant sur </w:t>
      </w:r>
      <w:r w:rsidRPr="00022FDB">
        <w:rPr>
          <w:szCs w:val="22"/>
          <w:lang w:val="fr-FR"/>
        </w:rPr>
        <w:t xml:space="preserve">des noms de domaine </w:t>
      </w:r>
      <w:r w:rsidR="00471B97" w:rsidRPr="00022FDB">
        <w:rPr>
          <w:szCs w:val="22"/>
          <w:lang w:val="fr-FR"/>
        </w:rPr>
        <w:t>équivala</w:t>
      </w:r>
      <w:r w:rsidR="00D04618" w:rsidRPr="00022FDB">
        <w:rPr>
          <w:szCs w:val="22"/>
          <w:lang w:val="fr-FR"/>
        </w:rPr>
        <w:t>nt</w:t>
      </w:r>
      <w:r w:rsidRPr="00022FDB">
        <w:rPr>
          <w:szCs w:val="22"/>
          <w:lang w:val="fr-FR"/>
        </w:rPr>
        <w:t xml:space="preserve"> à </w:t>
      </w:r>
      <w:r w:rsidR="00471B97" w:rsidRPr="00022FDB">
        <w:rPr>
          <w:szCs w:val="22"/>
          <w:lang w:val="fr-FR"/>
        </w:rPr>
        <w:t>des</w:t>
      </w:r>
      <w:r w:rsidRPr="00022FDB">
        <w:rPr>
          <w:szCs w:val="22"/>
          <w:lang w:val="fr-FR"/>
        </w:rPr>
        <w:t xml:space="preserve"> sigle</w:t>
      </w:r>
      <w:r w:rsidR="00471B97" w:rsidRPr="00022FDB">
        <w:rPr>
          <w:szCs w:val="22"/>
          <w:lang w:val="fr-FR"/>
        </w:rPr>
        <w:t>s</w:t>
      </w:r>
      <w:r w:rsidRPr="00022FDB">
        <w:rPr>
          <w:szCs w:val="22"/>
          <w:lang w:val="fr-FR"/>
        </w:rPr>
        <w:t xml:space="preserve"> d</w:t>
      </w:r>
      <w:r w:rsidR="007E6414">
        <w:rPr>
          <w:szCs w:val="22"/>
          <w:lang w:val="fr-FR"/>
        </w:rPr>
        <w:t>’</w:t>
      </w:r>
      <w:r w:rsidRPr="00022FDB">
        <w:rPr>
          <w:szCs w:val="22"/>
          <w:lang w:val="fr-FR"/>
        </w:rPr>
        <w:t>organisation</w:t>
      </w:r>
      <w:r w:rsidR="00471B97" w:rsidRPr="00022FDB">
        <w:rPr>
          <w:szCs w:val="22"/>
          <w:lang w:val="fr-FR"/>
        </w:rPr>
        <w:t>s</w:t>
      </w:r>
      <w:r w:rsidRPr="00022FDB">
        <w:rPr>
          <w:szCs w:val="22"/>
          <w:lang w:val="fr-FR"/>
        </w:rPr>
        <w:t xml:space="preserve"> intergouvernementale</w:t>
      </w:r>
      <w:r w:rsidR="00471B97" w:rsidRPr="00022FDB">
        <w:rPr>
          <w:szCs w:val="22"/>
          <w:lang w:val="fr-FR"/>
        </w:rPr>
        <w:t>s</w:t>
      </w:r>
      <w:r w:rsidRPr="00022FDB">
        <w:rPr>
          <w:szCs w:val="22"/>
          <w:lang w:val="fr-FR"/>
        </w:rPr>
        <w:t xml:space="preserve"> protégé</w:t>
      </w:r>
      <w:r w:rsidR="00471B97" w:rsidRPr="00022FDB">
        <w:rPr>
          <w:szCs w:val="22"/>
          <w:lang w:val="fr-FR"/>
        </w:rPr>
        <w:t>s</w:t>
      </w:r>
      <w:r w:rsidRPr="00022FDB">
        <w:rPr>
          <w:szCs w:val="22"/>
          <w:lang w:val="fr-FR"/>
        </w:rPr>
        <w:t xml:space="preserve">, et </w:t>
      </w:r>
      <w:r w:rsidR="005139AE" w:rsidRPr="00022FDB">
        <w:rPr>
          <w:szCs w:val="22"/>
          <w:lang w:val="fr-FR"/>
        </w:rPr>
        <w:t>demandé</w:t>
      </w:r>
      <w:r w:rsidRPr="00022FDB">
        <w:rPr>
          <w:szCs w:val="22"/>
          <w:lang w:val="fr-FR"/>
        </w:rPr>
        <w:t xml:space="preserve"> des éclaircissements sur les moyens de gérer dans la pratique les cas </w:t>
      </w:r>
      <w:r w:rsidRPr="00022FDB">
        <w:rPr>
          <w:szCs w:val="22"/>
          <w:lang w:val="fr-FR"/>
        </w:rPr>
        <w:lastRenderedPageBreak/>
        <w:t>potentiellement légitimes d</w:t>
      </w:r>
      <w:r w:rsidR="007E6414">
        <w:rPr>
          <w:szCs w:val="22"/>
          <w:lang w:val="fr-FR"/>
        </w:rPr>
        <w:t>’</w:t>
      </w:r>
      <w:r w:rsidRPr="00022FDB">
        <w:rPr>
          <w:szCs w:val="22"/>
          <w:lang w:val="fr-FR"/>
        </w:rPr>
        <w:t>utilisation concomitante de ce</w:t>
      </w:r>
      <w:r w:rsidR="00471B97" w:rsidRPr="00022FDB">
        <w:rPr>
          <w:szCs w:val="22"/>
          <w:lang w:val="fr-FR"/>
        </w:rPr>
        <w:t>s</w:t>
      </w:r>
      <w:r w:rsidRPr="00022FDB">
        <w:rPr>
          <w:szCs w:val="22"/>
          <w:lang w:val="fr-FR"/>
        </w:rPr>
        <w:t xml:space="preserve"> sigle</w:t>
      </w:r>
      <w:r w:rsidR="00471B97" w:rsidRPr="00022FDB">
        <w:rPr>
          <w:szCs w:val="22"/>
          <w:lang w:val="fr-FR"/>
        </w:rPr>
        <w:t>s</w:t>
      </w:r>
      <w:r w:rsidRPr="00022FDB">
        <w:rPr>
          <w:rStyle w:val="FootnoteReference"/>
          <w:szCs w:val="22"/>
          <w:lang w:val="fr-FR"/>
        </w:rPr>
        <w:footnoteReference w:id="49"/>
      </w:r>
      <w:r w:rsidRPr="00022FDB">
        <w:rPr>
          <w:szCs w:val="22"/>
          <w:lang w:val="fr-FR"/>
        </w:rPr>
        <w:t>.</w:t>
      </w:r>
      <w:r w:rsidR="00384EE8" w:rsidRPr="00022FDB">
        <w:rPr>
          <w:szCs w:val="22"/>
          <w:lang w:val="fr-FR"/>
        </w:rPr>
        <w:t xml:space="preserve">  </w:t>
      </w:r>
      <w:r w:rsidR="00A5029A" w:rsidRPr="00022FDB">
        <w:rPr>
          <w:szCs w:val="22"/>
          <w:lang w:val="fr-FR"/>
        </w:rPr>
        <w:t>Dans sa réponse,</w:t>
      </w:r>
      <w:r w:rsidR="007E6414" w:rsidRPr="00022FDB">
        <w:rPr>
          <w:szCs w:val="22"/>
          <w:lang w:val="fr-FR"/>
        </w:rPr>
        <w:t xml:space="preserve"> le</w:t>
      </w:r>
      <w:r w:rsidR="007E6414">
        <w:rPr>
          <w:szCs w:val="22"/>
          <w:lang w:val="fr-FR"/>
        </w:rPr>
        <w:t> </w:t>
      </w:r>
      <w:r w:rsidR="007E6414" w:rsidRPr="00022FDB">
        <w:rPr>
          <w:szCs w:val="22"/>
          <w:lang w:val="fr-FR"/>
        </w:rPr>
        <w:t>GAC</w:t>
      </w:r>
      <w:r w:rsidR="00A5029A" w:rsidRPr="00022FDB">
        <w:rPr>
          <w:szCs w:val="22"/>
          <w:lang w:val="fr-FR"/>
        </w:rPr>
        <w:t xml:space="preserve"> soulignait l</w:t>
      </w:r>
      <w:r w:rsidR="007E6414">
        <w:rPr>
          <w:szCs w:val="22"/>
          <w:lang w:val="fr-FR"/>
        </w:rPr>
        <w:t>’</w:t>
      </w:r>
      <w:r w:rsidR="00A5029A" w:rsidRPr="00022FDB">
        <w:rPr>
          <w:szCs w:val="22"/>
          <w:lang w:val="fr-FR"/>
        </w:rPr>
        <w:t>importance de la mission d</w:t>
      </w:r>
      <w:r w:rsidR="007E6414">
        <w:rPr>
          <w:szCs w:val="22"/>
          <w:lang w:val="fr-FR"/>
        </w:rPr>
        <w:t>’</w:t>
      </w:r>
      <w:r w:rsidR="00A5029A" w:rsidRPr="00022FDB">
        <w:rPr>
          <w:szCs w:val="22"/>
          <w:lang w:val="fr-FR"/>
        </w:rPr>
        <w:t>intérêt général remplie par les organisations intergouvernementales, s</w:t>
      </w:r>
      <w:r w:rsidR="007E6414">
        <w:rPr>
          <w:szCs w:val="22"/>
          <w:lang w:val="fr-FR"/>
        </w:rPr>
        <w:t>’</w:t>
      </w:r>
      <w:r w:rsidR="00A5029A" w:rsidRPr="00022FDB">
        <w:rPr>
          <w:szCs w:val="22"/>
          <w:lang w:val="fr-FR"/>
        </w:rPr>
        <w:t>engageait à participer activement à la recherche d</w:t>
      </w:r>
      <w:r w:rsidR="007E6414">
        <w:rPr>
          <w:szCs w:val="22"/>
          <w:lang w:val="fr-FR"/>
        </w:rPr>
        <w:t>’</w:t>
      </w:r>
      <w:r w:rsidR="00A5029A" w:rsidRPr="00022FDB">
        <w:rPr>
          <w:szCs w:val="22"/>
          <w:lang w:val="fr-FR"/>
        </w:rPr>
        <w:t>une solution et réitérait sa recommandation à l</w:t>
      </w:r>
      <w:r w:rsidR="007E6414">
        <w:rPr>
          <w:szCs w:val="22"/>
          <w:lang w:val="fr-FR"/>
        </w:rPr>
        <w:t>’</w:t>
      </w:r>
      <w:r w:rsidR="00A5029A" w:rsidRPr="00022FDB">
        <w:rPr>
          <w:szCs w:val="22"/>
          <w:lang w:val="fr-FR"/>
        </w:rPr>
        <w:t>intention du Conseil d</w:t>
      </w:r>
      <w:r w:rsidR="007E6414">
        <w:rPr>
          <w:szCs w:val="22"/>
          <w:lang w:val="fr-FR"/>
        </w:rPr>
        <w:t>’</w:t>
      </w:r>
      <w:r w:rsidR="00A5029A" w:rsidRPr="00022FDB">
        <w:rPr>
          <w:szCs w:val="22"/>
          <w:lang w:val="fr-FR"/>
        </w:rPr>
        <w:t>administration de l</w:t>
      </w:r>
      <w:r w:rsidR="007E6414">
        <w:rPr>
          <w:szCs w:val="22"/>
          <w:lang w:val="fr-FR"/>
        </w:rPr>
        <w:t>’</w:t>
      </w:r>
      <w:r w:rsidR="00A5029A" w:rsidRPr="00022FDB">
        <w:rPr>
          <w:szCs w:val="22"/>
          <w:lang w:val="fr-FR"/>
        </w:rPr>
        <w:t xml:space="preserve">ICANN, en vue de la mise en place, avant le lancement de tout nouveau </w:t>
      </w:r>
      <w:proofErr w:type="spellStart"/>
      <w:r w:rsidR="00A5029A" w:rsidRPr="00022FDB">
        <w:rPr>
          <w:szCs w:val="22"/>
          <w:lang w:val="fr-FR"/>
        </w:rPr>
        <w:t>gTLD</w:t>
      </w:r>
      <w:proofErr w:type="spellEnd"/>
      <w:r w:rsidR="00A5029A" w:rsidRPr="00022FDB">
        <w:rPr>
          <w:szCs w:val="22"/>
          <w:lang w:val="fr-FR"/>
        </w:rPr>
        <w:t>, d</w:t>
      </w:r>
      <w:r w:rsidR="007E6414">
        <w:rPr>
          <w:szCs w:val="22"/>
          <w:lang w:val="fr-FR"/>
        </w:rPr>
        <w:t>’</w:t>
      </w:r>
      <w:r w:rsidR="00A5029A" w:rsidRPr="00022FDB">
        <w:rPr>
          <w:szCs w:val="22"/>
          <w:lang w:val="fr-FR"/>
        </w:rPr>
        <w:t>une protection initiale de nature préventive qui soit appropriée pour les noms et sigles d</w:t>
      </w:r>
      <w:r w:rsidR="007E6414">
        <w:rPr>
          <w:szCs w:val="22"/>
          <w:lang w:val="fr-FR"/>
        </w:rPr>
        <w:t>’</w:t>
      </w:r>
      <w:r w:rsidR="00A5029A" w:rsidRPr="00022FDB">
        <w:rPr>
          <w:szCs w:val="22"/>
          <w:lang w:val="fr-FR"/>
        </w:rPr>
        <w:t>organisations intergouvernementales</w:t>
      </w:r>
      <w:r w:rsidR="00A5029A" w:rsidRPr="00022FDB">
        <w:rPr>
          <w:rStyle w:val="FootnoteReference"/>
          <w:szCs w:val="22"/>
          <w:lang w:val="fr-FR"/>
        </w:rPr>
        <w:footnoteReference w:id="50"/>
      </w:r>
      <w:r w:rsidR="00A5029A" w:rsidRPr="00022FDB">
        <w:rPr>
          <w:szCs w:val="22"/>
          <w:lang w:val="fr-FR"/>
        </w:rPr>
        <w:t>.</w:t>
      </w:r>
    </w:p>
    <w:p w:rsidR="007E6414" w:rsidRDefault="00A5029A" w:rsidP="00022FDB">
      <w:pPr>
        <w:pStyle w:val="ONUMFS"/>
        <w:rPr>
          <w:szCs w:val="22"/>
          <w:lang w:val="fr-FR"/>
        </w:rPr>
      </w:pPr>
      <w:r w:rsidRPr="00022FDB">
        <w:rPr>
          <w:szCs w:val="22"/>
          <w:lang w:val="fr-FR"/>
        </w:rPr>
        <w:t xml:space="preserve">En </w:t>
      </w:r>
      <w:r w:rsidR="007E6414" w:rsidRPr="00022FDB">
        <w:rPr>
          <w:szCs w:val="22"/>
          <w:lang w:val="fr-FR"/>
        </w:rPr>
        <w:t>juillet</w:t>
      </w:r>
      <w:r w:rsidR="007E6414">
        <w:rPr>
          <w:szCs w:val="22"/>
          <w:lang w:val="fr-FR"/>
        </w:rPr>
        <w:t> </w:t>
      </w:r>
      <w:r w:rsidR="007E6414" w:rsidRPr="00022FDB">
        <w:rPr>
          <w:szCs w:val="22"/>
          <w:lang w:val="fr-FR"/>
        </w:rPr>
        <w:t>20</w:t>
      </w:r>
      <w:r w:rsidRPr="00022FDB">
        <w:rPr>
          <w:szCs w:val="22"/>
          <w:lang w:val="fr-FR"/>
        </w:rPr>
        <w:t>13, à la suite de délibérations approfondies avec l</w:t>
      </w:r>
      <w:r w:rsidR="007E6414">
        <w:rPr>
          <w:szCs w:val="22"/>
          <w:lang w:val="fr-FR"/>
        </w:rPr>
        <w:t>’</w:t>
      </w:r>
      <w:r w:rsidRPr="00022FDB">
        <w:rPr>
          <w:szCs w:val="22"/>
          <w:lang w:val="fr-FR"/>
        </w:rPr>
        <w:t>ICANN et des efforts soutenus déployés par les organisations intergouvernementales,</w:t>
      </w:r>
      <w:r w:rsidR="007E6414" w:rsidRPr="00022FDB">
        <w:rPr>
          <w:szCs w:val="22"/>
          <w:lang w:val="fr-FR"/>
        </w:rPr>
        <w:t xml:space="preserve"> le</w:t>
      </w:r>
      <w:r w:rsidR="007E6414">
        <w:rPr>
          <w:szCs w:val="22"/>
          <w:lang w:val="fr-FR"/>
        </w:rPr>
        <w:t> </w:t>
      </w:r>
      <w:r w:rsidR="007E6414" w:rsidRPr="00022FDB">
        <w:rPr>
          <w:szCs w:val="22"/>
          <w:lang w:val="fr-FR"/>
        </w:rPr>
        <w:t>GAC</w:t>
      </w:r>
      <w:r w:rsidRPr="00022FDB">
        <w:rPr>
          <w:szCs w:val="22"/>
          <w:lang w:val="fr-FR"/>
        </w:rPr>
        <w:t xml:space="preserve"> a fait des recommandations au Conseil d</w:t>
      </w:r>
      <w:r w:rsidR="007E6414">
        <w:rPr>
          <w:szCs w:val="22"/>
          <w:lang w:val="fr-FR"/>
        </w:rPr>
        <w:t>’</w:t>
      </w:r>
      <w:r w:rsidRPr="00022FDB">
        <w:rPr>
          <w:szCs w:val="22"/>
          <w:lang w:val="fr-FR"/>
        </w:rPr>
        <w:t>administration de l</w:t>
      </w:r>
      <w:r w:rsidR="007E6414">
        <w:rPr>
          <w:szCs w:val="22"/>
          <w:lang w:val="fr-FR"/>
        </w:rPr>
        <w:t>’</w:t>
      </w:r>
      <w:r w:rsidRPr="00022FDB">
        <w:rPr>
          <w:szCs w:val="22"/>
          <w:lang w:val="fr-FR"/>
        </w:rPr>
        <w:t>ICANN soulignant la nécessité d</w:t>
      </w:r>
      <w:r w:rsidR="007E6414">
        <w:rPr>
          <w:szCs w:val="22"/>
          <w:lang w:val="fr-FR"/>
        </w:rPr>
        <w:t>’</w:t>
      </w:r>
      <w:r w:rsidRPr="00022FDB">
        <w:rPr>
          <w:szCs w:val="22"/>
          <w:lang w:val="fr-FR"/>
        </w:rPr>
        <w:t>une protection spéciale de nature préventive pour les noms et sigles d</w:t>
      </w:r>
      <w:r w:rsidR="007E6414">
        <w:rPr>
          <w:szCs w:val="22"/>
          <w:lang w:val="fr-FR"/>
        </w:rPr>
        <w:t>’</w:t>
      </w:r>
      <w:r w:rsidRPr="00022FDB">
        <w:rPr>
          <w:szCs w:val="22"/>
          <w:lang w:val="fr-FR"/>
        </w:rPr>
        <w:t>organisations intergouvernementales dans</w:t>
      </w:r>
      <w:r w:rsidR="007E6414" w:rsidRPr="00022FDB">
        <w:rPr>
          <w:szCs w:val="22"/>
          <w:lang w:val="fr-FR"/>
        </w:rPr>
        <w:t xml:space="preserve"> le</w:t>
      </w:r>
      <w:r w:rsidR="007E6414">
        <w:rPr>
          <w:szCs w:val="22"/>
          <w:lang w:val="fr-FR"/>
        </w:rPr>
        <w:t> </w:t>
      </w:r>
      <w:r w:rsidR="007E6414" w:rsidRPr="00022FDB">
        <w:rPr>
          <w:szCs w:val="22"/>
          <w:lang w:val="fr-FR"/>
        </w:rPr>
        <w:t>DNS</w:t>
      </w:r>
      <w:r w:rsidRPr="00022FDB">
        <w:rPr>
          <w:rStyle w:val="FootnoteReference"/>
          <w:szCs w:val="22"/>
          <w:lang w:val="fr-FR"/>
        </w:rPr>
        <w:footnoteReference w:id="51"/>
      </w:r>
      <w:r w:rsidRPr="00022FDB">
        <w:rPr>
          <w:szCs w:val="22"/>
          <w:lang w:val="fr-FR"/>
        </w:rPr>
        <w:t>.</w:t>
      </w:r>
      <w:r w:rsidR="00384EE8" w:rsidRPr="00022FDB">
        <w:rPr>
          <w:szCs w:val="22"/>
          <w:lang w:val="fr-FR"/>
        </w:rPr>
        <w:t xml:space="preserve">  </w:t>
      </w:r>
      <w:r w:rsidRPr="00022FDB">
        <w:rPr>
          <w:szCs w:val="22"/>
          <w:lang w:val="fr-FR"/>
        </w:rPr>
        <w:t>Dans ce contexte, le Conseil d</w:t>
      </w:r>
      <w:r w:rsidR="007E6414">
        <w:rPr>
          <w:szCs w:val="22"/>
          <w:lang w:val="fr-FR"/>
        </w:rPr>
        <w:t>’</w:t>
      </w:r>
      <w:r w:rsidRPr="00022FDB">
        <w:rPr>
          <w:szCs w:val="22"/>
          <w:lang w:val="fr-FR"/>
        </w:rPr>
        <w:t>administration de l</w:t>
      </w:r>
      <w:r w:rsidR="007E6414">
        <w:rPr>
          <w:szCs w:val="22"/>
          <w:lang w:val="fr-FR"/>
        </w:rPr>
        <w:t>’</w:t>
      </w:r>
      <w:r w:rsidRPr="00022FDB">
        <w:rPr>
          <w:szCs w:val="22"/>
          <w:lang w:val="fr-FR"/>
        </w:rPr>
        <w:t xml:space="preserve">ICANN a </w:t>
      </w:r>
      <w:r w:rsidR="005139AE" w:rsidRPr="00022FDB">
        <w:rPr>
          <w:szCs w:val="22"/>
          <w:lang w:val="fr-FR"/>
        </w:rPr>
        <w:t>pris</w:t>
      </w:r>
      <w:r w:rsidRPr="00022FDB">
        <w:rPr>
          <w:szCs w:val="22"/>
          <w:lang w:val="fr-FR"/>
        </w:rPr>
        <w:t xml:space="preserve"> une résolution </w:t>
      </w:r>
      <w:r w:rsidR="005139AE" w:rsidRPr="00022FDB">
        <w:rPr>
          <w:szCs w:val="22"/>
          <w:lang w:val="fr-FR"/>
        </w:rPr>
        <w:t xml:space="preserve">tendant à prolonger </w:t>
      </w:r>
      <w:r w:rsidRPr="00022FDB">
        <w:rPr>
          <w:szCs w:val="22"/>
          <w:lang w:val="fr-FR"/>
        </w:rPr>
        <w:t xml:space="preserve">la </w:t>
      </w:r>
      <w:r w:rsidR="005139AE" w:rsidRPr="00022FDB">
        <w:rPr>
          <w:szCs w:val="22"/>
          <w:lang w:val="fr-FR"/>
        </w:rPr>
        <w:t xml:space="preserve">période de </w:t>
      </w:r>
      <w:r w:rsidRPr="00022FDB">
        <w:rPr>
          <w:szCs w:val="22"/>
          <w:lang w:val="fr-FR"/>
        </w:rPr>
        <w:t>protection provisoire jusqu</w:t>
      </w:r>
      <w:r w:rsidR="007E6414">
        <w:rPr>
          <w:szCs w:val="22"/>
          <w:lang w:val="fr-FR"/>
        </w:rPr>
        <w:t>’</w:t>
      </w:r>
      <w:r w:rsidRPr="00022FDB">
        <w:rPr>
          <w:szCs w:val="22"/>
          <w:lang w:val="fr-FR"/>
        </w:rPr>
        <w:t>à la première réunion du comité chargé du programme de l</w:t>
      </w:r>
      <w:r w:rsidR="007E6414">
        <w:rPr>
          <w:szCs w:val="22"/>
          <w:lang w:val="fr-FR"/>
        </w:rPr>
        <w:t>’</w:t>
      </w:r>
      <w:r w:rsidRPr="00022FDB">
        <w:rPr>
          <w:szCs w:val="22"/>
          <w:lang w:val="fr-FR"/>
        </w:rPr>
        <w:t xml:space="preserve">ICANN relatif aux nouveaux </w:t>
      </w:r>
      <w:proofErr w:type="spellStart"/>
      <w:r w:rsidRPr="00022FDB">
        <w:rPr>
          <w:szCs w:val="22"/>
          <w:lang w:val="fr-FR"/>
        </w:rPr>
        <w:t>gTLD</w:t>
      </w:r>
      <w:proofErr w:type="spellEnd"/>
      <w:r w:rsidRPr="00022FDB">
        <w:rPr>
          <w:szCs w:val="22"/>
          <w:lang w:val="fr-FR"/>
        </w:rPr>
        <w:t xml:space="preserve"> (NGPC), après la réunion de l</w:t>
      </w:r>
      <w:r w:rsidR="007E6414">
        <w:rPr>
          <w:szCs w:val="22"/>
          <w:lang w:val="fr-FR"/>
        </w:rPr>
        <w:t>’</w:t>
      </w:r>
      <w:r w:rsidRPr="00022FDB">
        <w:rPr>
          <w:szCs w:val="22"/>
          <w:lang w:val="fr-FR"/>
        </w:rPr>
        <w:t xml:space="preserve">ICANN de </w:t>
      </w:r>
      <w:r w:rsidR="007E6414" w:rsidRPr="00022FDB">
        <w:rPr>
          <w:szCs w:val="22"/>
          <w:lang w:val="fr-FR"/>
        </w:rPr>
        <w:t>novembre</w:t>
      </w:r>
      <w:r w:rsidR="007E6414">
        <w:rPr>
          <w:szCs w:val="22"/>
          <w:lang w:val="fr-FR"/>
        </w:rPr>
        <w:t> </w:t>
      </w:r>
      <w:r w:rsidR="007E6414" w:rsidRPr="00022FDB">
        <w:rPr>
          <w:szCs w:val="22"/>
          <w:lang w:val="fr-FR"/>
        </w:rPr>
        <w:t>20</w:t>
      </w:r>
      <w:r w:rsidRPr="00022FDB">
        <w:rPr>
          <w:szCs w:val="22"/>
          <w:lang w:val="fr-FR"/>
        </w:rPr>
        <w:t>13</w:t>
      </w:r>
      <w:r w:rsidRPr="00022FDB">
        <w:rPr>
          <w:rStyle w:val="FootnoteReference"/>
          <w:szCs w:val="22"/>
          <w:lang w:val="fr-FR"/>
        </w:rPr>
        <w:footnoteReference w:id="52"/>
      </w:r>
      <w:r w:rsidRPr="00022FDB">
        <w:rPr>
          <w:szCs w:val="22"/>
          <w:lang w:val="fr-FR"/>
        </w:rPr>
        <w:t>.</w:t>
      </w:r>
    </w:p>
    <w:p w:rsidR="00022FDB" w:rsidRPr="00022FDB" w:rsidRDefault="00A5029A" w:rsidP="00022FDB">
      <w:pPr>
        <w:pStyle w:val="ONUMFS"/>
        <w:rPr>
          <w:szCs w:val="22"/>
          <w:lang w:val="fr-FR"/>
        </w:rPr>
      </w:pPr>
      <w:r w:rsidRPr="00022FDB">
        <w:rPr>
          <w:szCs w:val="22"/>
          <w:lang w:val="fr-FR"/>
        </w:rPr>
        <w:t xml:space="preserve">En </w:t>
      </w:r>
      <w:r w:rsidR="007E6414" w:rsidRPr="00022FDB">
        <w:rPr>
          <w:szCs w:val="22"/>
          <w:lang w:val="fr-FR"/>
        </w:rPr>
        <w:t>octobre</w:t>
      </w:r>
      <w:r w:rsidR="007E6414">
        <w:rPr>
          <w:szCs w:val="22"/>
          <w:lang w:val="fr-FR"/>
        </w:rPr>
        <w:t> </w:t>
      </w:r>
      <w:r w:rsidR="007E6414" w:rsidRPr="00022FDB">
        <w:rPr>
          <w:szCs w:val="22"/>
          <w:lang w:val="fr-FR"/>
        </w:rPr>
        <w:t>20</w:t>
      </w:r>
      <w:r w:rsidRPr="00022FDB">
        <w:rPr>
          <w:szCs w:val="22"/>
          <w:lang w:val="fr-FR"/>
        </w:rPr>
        <w:t>13,</w:t>
      </w:r>
      <w:r w:rsidR="007E6414" w:rsidRPr="00022FDB">
        <w:rPr>
          <w:szCs w:val="22"/>
          <w:lang w:val="fr-FR"/>
        </w:rPr>
        <w:t xml:space="preserve"> le</w:t>
      </w:r>
      <w:r w:rsidR="007E6414">
        <w:rPr>
          <w:szCs w:val="22"/>
          <w:lang w:val="fr-FR"/>
        </w:rPr>
        <w:t> </w:t>
      </w:r>
      <w:r w:rsidR="007E6414" w:rsidRPr="00022FDB">
        <w:rPr>
          <w:szCs w:val="22"/>
          <w:lang w:val="fr-FR"/>
        </w:rPr>
        <w:t>NGP</w:t>
      </w:r>
      <w:r w:rsidRPr="00022FDB">
        <w:rPr>
          <w:szCs w:val="22"/>
          <w:lang w:val="fr-FR"/>
        </w:rPr>
        <w:t>C a présenté une proposition de protection des sigles d</w:t>
      </w:r>
      <w:r w:rsidR="007E6414">
        <w:rPr>
          <w:szCs w:val="22"/>
          <w:lang w:val="fr-FR"/>
        </w:rPr>
        <w:t>’</w:t>
      </w:r>
      <w:r w:rsidRPr="00022FDB">
        <w:rPr>
          <w:szCs w:val="22"/>
          <w:lang w:val="fr-FR"/>
        </w:rPr>
        <w:t>organisations intergouvernementales au deuxième niveau qui ne conférait pas auxdits sigles la protection permanente de nature préventive évoquée dans les précédents communiqués</w:t>
      </w:r>
      <w:r w:rsidR="007E6414" w:rsidRPr="00022FDB">
        <w:rPr>
          <w:szCs w:val="22"/>
          <w:lang w:val="fr-FR"/>
        </w:rPr>
        <w:t xml:space="preserve"> du</w:t>
      </w:r>
      <w:r w:rsidR="007E6414">
        <w:rPr>
          <w:szCs w:val="22"/>
          <w:lang w:val="fr-FR"/>
        </w:rPr>
        <w:t> </w:t>
      </w:r>
      <w:r w:rsidR="007E6414" w:rsidRPr="00022FDB">
        <w:rPr>
          <w:szCs w:val="22"/>
          <w:lang w:val="fr-FR"/>
        </w:rPr>
        <w:t>GAC</w:t>
      </w:r>
      <w:r w:rsidRPr="00022FDB">
        <w:rPr>
          <w:rStyle w:val="FootnoteReference"/>
          <w:szCs w:val="22"/>
          <w:lang w:val="fr-FR"/>
        </w:rPr>
        <w:footnoteReference w:id="53"/>
      </w:r>
      <w:r w:rsidRPr="00022FDB">
        <w:rPr>
          <w:szCs w:val="22"/>
          <w:lang w:val="fr-FR"/>
        </w:rPr>
        <w:t>.  Dans sa réponse</w:t>
      </w:r>
      <w:r w:rsidR="007E6414" w:rsidRPr="00022FDB">
        <w:rPr>
          <w:szCs w:val="22"/>
          <w:lang w:val="fr-FR"/>
        </w:rPr>
        <w:t xml:space="preserve"> au</w:t>
      </w:r>
      <w:r w:rsidR="007E6414">
        <w:rPr>
          <w:szCs w:val="22"/>
          <w:lang w:val="fr-FR"/>
        </w:rPr>
        <w:t> </w:t>
      </w:r>
      <w:r w:rsidR="007E6414" w:rsidRPr="00022FDB">
        <w:rPr>
          <w:szCs w:val="22"/>
          <w:lang w:val="fr-FR"/>
        </w:rPr>
        <w:t>NGP</w:t>
      </w:r>
      <w:r w:rsidRPr="00022FDB">
        <w:rPr>
          <w:szCs w:val="22"/>
          <w:lang w:val="fr-FR"/>
        </w:rPr>
        <w:t xml:space="preserve">C, la coalition des organisations intergouvernementales a exprimé sa déception </w:t>
      </w:r>
      <w:r w:rsidR="007E6414">
        <w:rPr>
          <w:szCs w:val="22"/>
          <w:lang w:val="fr-FR"/>
        </w:rPr>
        <w:t>à l’égard</w:t>
      </w:r>
      <w:r w:rsidRPr="00022FDB">
        <w:rPr>
          <w:szCs w:val="22"/>
          <w:lang w:val="fr-FR"/>
        </w:rPr>
        <w:t xml:space="preserve"> de la proposition qui était de nature strictement </w:t>
      </w:r>
      <w:r w:rsidR="005139AE" w:rsidRPr="00022FDB">
        <w:rPr>
          <w:szCs w:val="22"/>
          <w:lang w:val="fr-FR"/>
        </w:rPr>
        <w:t>défensive</w:t>
      </w:r>
      <w:r w:rsidRPr="00022FDB">
        <w:rPr>
          <w:szCs w:val="22"/>
          <w:lang w:val="fr-FR"/>
        </w:rPr>
        <w:t xml:space="preserve"> et ne contribuait en rien à éviter qu</w:t>
      </w:r>
      <w:r w:rsidR="007E6414">
        <w:rPr>
          <w:szCs w:val="22"/>
          <w:lang w:val="fr-FR"/>
        </w:rPr>
        <w:t>’</w:t>
      </w:r>
      <w:r w:rsidRPr="00022FDB">
        <w:rPr>
          <w:szCs w:val="22"/>
          <w:lang w:val="fr-FR"/>
        </w:rPr>
        <w:t>un préjudice survienne, et a fait part de ses inquiétudes</w:t>
      </w:r>
      <w:r w:rsidR="007E6414" w:rsidRPr="00022FDB">
        <w:rPr>
          <w:szCs w:val="22"/>
          <w:lang w:val="fr-FR"/>
        </w:rPr>
        <w:t xml:space="preserve"> au</w:t>
      </w:r>
      <w:r w:rsidR="007E6414">
        <w:rPr>
          <w:szCs w:val="22"/>
          <w:lang w:val="fr-FR"/>
        </w:rPr>
        <w:t> </w:t>
      </w:r>
      <w:r w:rsidR="007E6414" w:rsidRPr="00022FDB">
        <w:rPr>
          <w:szCs w:val="22"/>
          <w:lang w:val="fr-FR"/>
        </w:rPr>
        <w:t>GAC</w:t>
      </w:r>
      <w:r w:rsidRPr="00022FDB">
        <w:rPr>
          <w:szCs w:val="22"/>
          <w:lang w:val="fr-FR"/>
        </w:rPr>
        <w:t>.</w:t>
      </w:r>
    </w:p>
    <w:p w:rsidR="00022FDB" w:rsidRPr="00022FDB" w:rsidRDefault="00A5029A" w:rsidP="00022FDB">
      <w:pPr>
        <w:pStyle w:val="ONUMFS"/>
        <w:rPr>
          <w:szCs w:val="22"/>
          <w:lang w:val="fr-FR"/>
        </w:rPr>
      </w:pPr>
      <w:r w:rsidRPr="00022FDB">
        <w:rPr>
          <w:szCs w:val="22"/>
          <w:lang w:val="fr-FR"/>
        </w:rPr>
        <w:t>Le NGPC,</w:t>
      </w:r>
      <w:r w:rsidR="007E6414" w:rsidRPr="00022FDB">
        <w:rPr>
          <w:szCs w:val="22"/>
          <w:lang w:val="fr-FR"/>
        </w:rPr>
        <w:t xml:space="preserve"> le</w:t>
      </w:r>
      <w:r w:rsidR="007E6414">
        <w:rPr>
          <w:szCs w:val="22"/>
          <w:lang w:val="fr-FR"/>
        </w:rPr>
        <w:t> </w:t>
      </w:r>
      <w:r w:rsidR="007E6414" w:rsidRPr="00022FDB">
        <w:rPr>
          <w:szCs w:val="22"/>
          <w:lang w:val="fr-FR"/>
        </w:rPr>
        <w:t>GAC</w:t>
      </w:r>
      <w:r w:rsidRPr="00022FDB">
        <w:rPr>
          <w:szCs w:val="22"/>
          <w:lang w:val="fr-FR"/>
        </w:rPr>
        <w:t xml:space="preserve"> et les organisations intergouvernementales se sont rencontrés en marge de la réunion tenue par l</w:t>
      </w:r>
      <w:r w:rsidR="007E6414">
        <w:rPr>
          <w:szCs w:val="22"/>
          <w:lang w:val="fr-FR"/>
        </w:rPr>
        <w:t>’</w:t>
      </w:r>
      <w:r w:rsidRPr="00022FDB">
        <w:rPr>
          <w:szCs w:val="22"/>
          <w:lang w:val="fr-FR"/>
        </w:rPr>
        <w:t xml:space="preserve">ICANN en </w:t>
      </w:r>
      <w:r w:rsidR="007E6414" w:rsidRPr="00022FDB">
        <w:rPr>
          <w:szCs w:val="22"/>
          <w:lang w:val="fr-FR"/>
        </w:rPr>
        <w:t>novembre</w:t>
      </w:r>
      <w:r w:rsidR="007E6414">
        <w:rPr>
          <w:szCs w:val="22"/>
          <w:lang w:val="fr-FR"/>
        </w:rPr>
        <w:t> </w:t>
      </w:r>
      <w:r w:rsidR="007E6414" w:rsidRPr="00022FDB">
        <w:rPr>
          <w:szCs w:val="22"/>
          <w:lang w:val="fr-FR"/>
        </w:rPr>
        <w:t>20</w:t>
      </w:r>
      <w:r w:rsidRPr="00022FDB">
        <w:rPr>
          <w:szCs w:val="22"/>
          <w:lang w:val="fr-FR"/>
        </w:rPr>
        <w:t>13 à Buenos Aires.</w:t>
      </w:r>
      <w:r w:rsidR="00384EE8" w:rsidRPr="00022FDB">
        <w:rPr>
          <w:szCs w:val="22"/>
          <w:lang w:val="fr-FR"/>
        </w:rPr>
        <w:t xml:space="preserve"> </w:t>
      </w:r>
      <w:r w:rsidR="007E6414" w:rsidRPr="00022FDB">
        <w:rPr>
          <w:szCs w:val="22"/>
          <w:lang w:val="fr-FR"/>
        </w:rPr>
        <w:t xml:space="preserve"> Le</w:t>
      </w:r>
      <w:r w:rsidR="007E6414">
        <w:rPr>
          <w:szCs w:val="22"/>
          <w:lang w:val="fr-FR"/>
        </w:rPr>
        <w:t> </w:t>
      </w:r>
      <w:r w:rsidR="007E6414" w:rsidRPr="00022FDB">
        <w:rPr>
          <w:szCs w:val="22"/>
          <w:lang w:val="fr-FR"/>
        </w:rPr>
        <w:t>NGP</w:t>
      </w:r>
      <w:r w:rsidRPr="00022FDB">
        <w:rPr>
          <w:szCs w:val="22"/>
          <w:lang w:val="fr-FR"/>
        </w:rPr>
        <w:t>C a indiqué que, bien qu</w:t>
      </w:r>
      <w:r w:rsidR="007E6414">
        <w:rPr>
          <w:szCs w:val="22"/>
          <w:lang w:val="fr-FR"/>
        </w:rPr>
        <w:t>’</w:t>
      </w:r>
      <w:r w:rsidRPr="00022FDB">
        <w:rPr>
          <w:szCs w:val="22"/>
          <w:lang w:val="fr-FR"/>
        </w:rPr>
        <w:t>il soit possible d</w:t>
      </w:r>
      <w:r w:rsidR="007E6414">
        <w:rPr>
          <w:szCs w:val="22"/>
          <w:lang w:val="fr-FR"/>
        </w:rPr>
        <w:t>’</w:t>
      </w:r>
      <w:r w:rsidRPr="00022FDB">
        <w:rPr>
          <w:szCs w:val="22"/>
          <w:lang w:val="fr-FR"/>
        </w:rPr>
        <w:t>examiner des points techniques précis de la proposition qu</w:t>
      </w:r>
      <w:r w:rsidR="007E6414">
        <w:rPr>
          <w:szCs w:val="22"/>
          <w:lang w:val="fr-FR"/>
        </w:rPr>
        <w:t>’</w:t>
      </w:r>
      <w:r w:rsidRPr="00022FDB">
        <w:rPr>
          <w:szCs w:val="22"/>
          <w:lang w:val="fr-FR"/>
        </w:rPr>
        <w:t xml:space="preserve">il avait formulée en </w:t>
      </w:r>
      <w:r w:rsidR="007E6414" w:rsidRPr="00022FDB">
        <w:rPr>
          <w:szCs w:val="22"/>
          <w:lang w:val="fr-FR"/>
        </w:rPr>
        <w:t>octobre</w:t>
      </w:r>
      <w:r w:rsidR="007E6414">
        <w:rPr>
          <w:szCs w:val="22"/>
          <w:lang w:val="fr-FR"/>
        </w:rPr>
        <w:t> </w:t>
      </w:r>
      <w:r w:rsidR="007E6414" w:rsidRPr="00022FDB">
        <w:rPr>
          <w:szCs w:val="22"/>
          <w:lang w:val="fr-FR"/>
        </w:rPr>
        <w:t>20</w:t>
      </w:r>
      <w:r w:rsidRPr="00022FDB">
        <w:rPr>
          <w:szCs w:val="22"/>
          <w:lang w:val="fr-FR"/>
        </w:rPr>
        <w:t xml:space="preserve">13, une protection totale de nature préventive des sigles </w:t>
      </w:r>
      <w:r w:rsidR="005139AE" w:rsidRPr="00022FDB">
        <w:rPr>
          <w:szCs w:val="22"/>
          <w:lang w:val="fr-FR"/>
        </w:rPr>
        <w:t>d</w:t>
      </w:r>
      <w:r w:rsidR="007E6414">
        <w:rPr>
          <w:szCs w:val="22"/>
          <w:lang w:val="fr-FR"/>
        </w:rPr>
        <w:t>’</w:t>
      </w:r>
      <w:r w:rsidRPr="00022FDB">
        <w:rPr>
          <w:szCs w:val="22"/>
          <w:lang w:val="fr-FR"/>
        </w:rPr>
        <w:t xml:space="preserve">organisations intergouvernementales était volontairement exclue. </w:t>
      </w:r>
      <w:r w:rsidR="007E6414" w:rsidRPr="00022FDB">
        <w:rPr>
          <w:szCs w:val="22"/>
          <w:lang w:val="fr-FR"/>
        </w:rPr>
        <w:t xml:space="preserve"> Le</w:t>
      </w:r>
      <w:r w:rsidR="007E6414">
        <w:rPr>
          <w:szCs w:val="22"/>
          <w:lang w:val="fr-FR"/>
        </w:rPr>
        <w:t> </w:t>
      </w:r>
      <w:r w:rsidR="007E6414" w:rsidRPr="00022FDB">
        <w:rPr>
          <w:szCs w:val="22"/>
          <w:lang w:val="fr-FR"/>
        </w:rPr>
        <w:t>GAC</w:t>
      </w:r>
      <w:r w:rsidRPr="00022FDB">
        <w:rPr>
          <w:szCs w:val="22"/>
          <w:lang w:val="fr-FR"/>
        </w:rPr>
        <w:t xml:space="preserve"> a recommandé au Conseil d</w:t>
      </w:r>
      <w:r w:rsidR="007E6414">
        <w:rPr>
          <w:szCs w:val="22"/>
          <w:lang w:val="fr-FR"/>
        </w:rPr>
        <w:t>’</w:t>
      </w:r>
      <w:r w:rsidRPr="00022FDB">
        <w:rPr>
          <w:szCs w:val="22"/>
          <w:lang w:val="fr-FR"/>
        </w:rPr>
        <w:t>administration de l</w:t>
      </w:r>
      <w:r w:rsidR="007E6414">
        <w:rPr>
          <w:szCs w:val="22"/>
          <w:lang w:val="fr-FR"/>
        </w:rPr>
        <w:t>’</w:t>
      </w:r>
      <w:r w:rsidRPr="00022FDB">
        <w:rPr>
          <w:szCs w:val="22"/>
          <w:lang w:val="fr-FR"/>
        </w:rPr>
        <w:t>ICANN que les mesures de protection provisoires pour les sigles d</w:t>
      </w:r>
      <w:r w:rsidR="007E6414">
        <w:rPr>
          <w:szCs w:val="22"/>
          <w:lang w:val="fr-FR"/>
        </w:rPr>
        <w:t>’</w:t>
      </w:r>
      <w:r w:rsidRPr="00022FDB">
        <w:rPr>
          <w:szCs w:val="22"/>
          <w:lang w:val="fr-FR"/>
        </w:rPr>
        <w:t>organisations intergouvernementales restent en place jusqu</w:t>
      </w:r>
      <w:r w:rsidR="007E6414">
        <w:rPr>
          <w:szCs w:val="22"/>
          <w:lang w:val="fr-FR"/>
        </w:rPr>
        <w:t>’</w:t>
      </w:r>
      <w:r w:rsidRPr="00022FDB">
        <w:rPr>
          <w:szCs w:val="22"/>
          <w:lang w:val="fr-FR"/>
        </w:rPr>
        <w:t>à la fin des échanges entre</w:t>
      </w:r>
      <w:r w:rsidR="007E6414" w:rsidRPr="00022FDB">
        <w:rPr>
          <w:szCs w:val="22"/>
          <w:lang w:val="fr-FR"/>
        </w:rPr>
        <w:t xml:space="preserve"> le</w:t>
      </w:r>
      <w:r w:rsidR="007E6414">
        <w:rPr>
          <w:szCs w:val="22"/>
          <w:lang w:val="fr-FR"/>
        </w:rPr>
        <w:t> </w:t>
      </w:r>
      <w:r w:rsidR="007E6414" w:rsidRPr="00022FDB">
        <w:rPr>
          <w:szCs w:val="22"/>
          <w:lang w:val="fr-FR"/>
        </w:rPr>
        <w:t>GAC</w:t>
      </w:r>
      <w:r w:rsidRPr="00022FDB">
        <w:rPr>
          <w:szCs w:val="22"/>
          <w:lang w:val="fr-FR"/>
        </w:rPr>
        <w:t>,</w:t>
      </w:r>
      <w:r w:rsidR="007E6414" w:rsidRPr="00022FDB">
        <w:rPr>
          <w:szCs w:val="22"/>
          <w:lang w:val="fr-FR"/>
        </w:rPr>
        <w:t xml:space="preserve"> le</w:t>
      </w:r>
      <w:r w:rsidR="007E6414">
        <w:rPr>
          <w:szCs w:val="22"/>
          <w:lang w:val="fr-FR"/>
        </w:rPr>
        <w:t> </w:t>
      </w:r>
      <w:r w:rsidR="007E6414" w:rsidRPr="00022FDB">
        <w:rPr>
          <w:szCs w:val="22"/>
          <w:lang w:val="fr-FR"/>
        </w:rPr>
        <w:t>NGP</w:t>
      </w:r>
      <w:r w:rsidRPr="00022FDB">
        <w:rPr>
          <w:szCs w:val="22"/>
          <w:lang w:val="fr-FR"/>
        </w:rPr>
        <w:t>C et les organisations intergouvernementales assurant la mise en œuvre de la protection, mais sans réitérer la position précédente</w:t>
      </w:r>
      <w:r w:rsidR="007E6414" w:rsidRPr="00022FDB">
        <w:rPr>
          <w:szCs w:val="22"/>
          <w:lang w:val="fr-FR"/>
        </w:rPr>
        <w:t xml:space="preserve"> du</w:t>
      </w:r>
      <w:r w:rsidR="007E6414">
        <w:rPr>
          <w:szCs w:val="22"/>
          <w:lang w:val="fr-FR"/>
        </w:rPr>
        <w:t> </w:t>
      </w:r>
      <w:r w:rsidR="007E6414" w:rsidRPr="00022FDB">
        <w:rPr>
          <w:szCs w:val="22"/>
          <w:lang w:val="fr-FR"/>
        </w:rPr>
        <w:t>GAC</w:t>
      </w:r>
      <w:r w:rsidRPr="00022FDB">
        <w:rPr>
          <w:szCs w:val="22"/>
          <w:lang w:val="fr-FR"/>
        </w:rPr>
        <w:t xml:space="preserve"> concernant la nécessité d</w:t>
      </w:r>
      <w:r w:rsidR="007E6414">
        <w:rPr>
          <w:szCs w:val="22"/>
          <w:lang w:val="fr-FR"/>
        </w:rPr>
        <w:t>’</w:t>
      </w:r>
      <w:r w:rsidRPr="00022FDB">
        <w:rPr>
          <w:szCs w:val="22"/>
          <w:lang w:val="fr-FR"/>
        </w:rPr>
        <w:t>une protection de nature préventive</w:t>
      </w:r>
      <w:r w:rsidRPr="00022FDB">
        <w:rPr>
          <w:rStyle w:val="FootnoteReference"/>
          <w:szCs w:val="22"/>
          <w:lang w:val="fr-FR"/>
        </w:rPr>
        <w:footnoteReference w:id="54"/>
      </w:r>
      <w:r w:rsidRPr="00022FDB">
        <w:rPr>
          <w:szCs w:val="22"/>
          <w:lang w:val="fr-FR"/>
        </w:rPr>
        <w:t>.</w:t>
      </w:r>
      <w:r w:rsidR="00384EE8" w:rsidRPr="00022FDB">
        <w:rPr>
          <w:szCs w:val="22"/>
          <w:lang w:val="fr-FR"/>
        </w:rPr>
        <w:t xml:space="preserve">  </w:t>
      </w:r>
      <w:r w:rsidRPr="00022FDB">
        <w:rPr>
          <w:szCs w:val="22"/>
          <w:lang w:val="fr-FR"/>
        </w:rPr>
        <w:t xml:space="preserve">En </w:t>
      </w:r>
      <w:r w:rsidR="007E6414" w:rsidRPr="00022FDB">
        <w:rPr>
          <w:szCs w:val="22"/>
          <w:lang w:val="fr-FR"/>
        </w:rPr>
        <w:t>janvier</w:t>
      </w:r>
      <w:r w:rsidR="007E6414">
        <w:rPr>
          <w:szCs w:val="22"/>
          <w:lang w:val="fr-FR"/>
        </w:rPr>
        <w:t> </w:t>
      </w:r>
      <w:r w:rsidR="007E6414" w:rsidRPr="00022FDB">
        <w:rPr>
          <w:szCs w:val="22"/>
          <w:lang w:val="fr-FR"/>
        </w:rPr>
        <w:t>20</w:t>
      </w:r>
      <w:r w:rsidRPr="00022FDB">
        <w:rPr>
          <w:szCs w:val="22"/>
          <w:lang w:val="fr-FR"/>
        </w:rPr>
        <w:t>14,</w:t>
      </w:r>
      <w:r w:rsidR="007E6414" w:rsidRPr="00022FDB">
        <w:rPr>
          <w:szCs w:val="22"/>
          <w:lang w:val="fr-FR"/>
        </w:rPr>
        <w:t xml:space="preserve"> le</w:t>
      </w:r>
      <w:r w:rsidR="007E6414">
        <w:rPr>
          <w:szCs w:val="22"/>
          <w:lang w:val="fr-FR"/>
        </w:rPr>
        <w:t> </w:t>
      </w:r>
      <w:r w:rsidR="007E6414" w:rsidRPr="00022FDB">
        <w:rPr>
          <w:szCs w:val="22"/>
          <w:lang w:val="fr-FR"/>
        </w:rPr>
        <w:t>NGP</w:t>
      </w:r>
      <w:r w:rsidRPr="00022FDB">
        <w:rPr>
          <w:szCs w:val="22"/>
          <w:lang w:val="fr-FR"/>
        </w:rPr>
        <w:t>C a décidé de prolonger la protection provisoire des sigles d</w:t>
      </w:r>
      <w:r w:rsidR="007E6414">
        <w:rPr>
          <w:szCs w:val="22"/>
          <w:lang w:val="fr-FR"/>
        </w:rPr>
        <w:t>’</w:t>
      </w:r>
      <w:r w:rsidRPr="00022FDB">
        <w:rPr>
          <w:szCs w:val="22"/>
          <w:lang w:val="fr-FR"/>
        </w:rPr>
        <w:t>organisations intergouvernementales jusqu</w:t>
      </w:r>
      <w:r w:rsidR="007E6414">
        <w:rPr>
          <w:szCs w:val="22"/>
          <w:lang w:val="fr-FR"/>
        </w:rPr>
        <w:t>’</w:t>
      </w:r>
      <w:r w:rsidRPr="00022FDB">
        <w:rPr>
          <w:szCs w:val="22"/>
          <w:lang w:val="fr-FR"/>
        </w:rPr>
        <w:t>à ce qu</w:t>
      </w:r>
      <w:r w:rsidR="007E6414">
        <w:rPr>
          <w:szCs w:val="22"/>
          <w:lang w:val="fr-FR"/>
        </w:rPr>
        <w:t>’</w:t>
      </w:r>
      <w:r w:rsidR="005139AE" w:rsidRPr="00022FDB">
        <w:rPr>
          <w:szCs w:val="22"/>
          <w:lang w:val="fr-FR"/>
        </w:rPr>
        <w:t xml:space="preserve">il </w:t>
      </w:r>
      <w:r w:rsidRPr="00022FDB">
        <w:rPr>
          <w:szCs w:val="22"/>
          <w:lang w:val="fr-FR"/>
        </w:rPr>
        <w:t>prenne une décision finale</w:t>
      </w:r>
      <w:r w:rsidRPr="00022FDB">
        <w:rPr>
          <w:rStyle w:val="FootnoteReference"/>
          <w:szCs w:val="22"/>
          <w:lang w:val="fr-FR"/>
        </w:rPr>
        <w:footnoteReference w:id="55"/>
      </w:r>
      <w:r w:rsidRPr="00022FDB">
        <w:rPr>
          <w:szCs w:val="22"/>
          <w:lang w:val="fr-FR"/>
        </w:rPr>
        <w:t>.</w:t>
      </w:r>
    </w:p>
    <w:p w:rsidR="007E6414" w:rsidRDefault="003E64A4" w:rsidP="00022FDB">
      <w:pPr>
        <w:pStyle w:val="ONUMFS"/>
        <w:rPr>
          <w:szCs w:val="22"/>
          <w:lang w:val="fr-FR"/>
        </w:rPr>
      </w:pPr>
      <w:r w:rsidRPr="00022FDB">
        <w:rPr>
          <w:szCs w:val="22"/>
          <w:lang w:val="fr-FR"/>
        </w:rPr>
        <w:t>Parallèlement à ces efforts,</w:t>
      </w:r>
      <w:r w:rsidR="007E6414" w:rsidRPr="00022FDB">
        <w:rPr>
          <w:szCs w:val="22"/>
          <w:lang w:val="fr-FR"/>
        </w:rPr>
        <w:t xml:space="preserve"> la</w:t>
      </w:r>
      <w:r w:rsidR="007E6414">
        <w:rPr>
          <w:szCs w:val="22"/>
          <w:lang w:val="fr-FR"/>
        </w:rPr>
        <w:t> </w:t>
      </w:r>
      <w:r w:rsidR="007E6414" w:rsidRPr="00022FDB">
        <w:rPr>
          <w:szCs w:val="22"/>
          <w:lang w:val="fr-FR"/>
        </w:rPr>
        <w:t>GNS</w:t>
      </w:r>
      <w:r w:rsidRPr="00022FDB">
        <w:rPr>
          <w:szCs w:val="22"/>
          <w:lang w:val="fr-FR"/>
        </w:rPr>
        <w:t xml:space="preserve">O avait lancé un </w:t>
      </w:r>
      <w:r w:rsidR="00515856" w:rsidRPr="00022FDB">
        <w:rPr>
          <w:szCs w:val="22"/>
          <w:lang w:val="fr-FR"/>
        </w:rPr>
        <w:t>“</w:t>
      </w:r>
      <w:r w:rsidRPr="00022FDB">
        <w:rPr>
          <w:szCs w:val="22"/>
          <w:lang w:val="fr-FR"/>
        </w:rPr>
        <w:t>processus d</w:t>
      </w:r>
      <w:r w:rsidR="007E6414">
        <w:rPr>
          <w:szCs w:val="22"/>
          <w:lang w:val="fr-FR"/>
        </w:rPr>
        <w:t>’</w:t>
      </w:r>
      <w:r w:rsidR="005139AE" w:rsidRPr="00022FDB">
        <w:rPr>
          <w:szCs w:val="22"/>
          <w:lang w:val="fr-FR"/>
        </w:rPr>
        <w:t>élaboration de politique</w:t>
      </w:r>
      <w:r w:rsidR="00515856" w:rsidRPr="00022FDB">
        <w:rPr>
          <w:szCs w:val="22"/>
          <w:lang w:val="fr-FR"/>
        </w:rPr>
        <w:t>”</w:t>
      </w:r>
      <w:r w:rsidRPr="00022FDB">
        <w:rPr>
          <w:szCs w:val="22"/>
          <w:lang w:val="fr-FR"/>
        </w:rPr>
        <w:t xml:space="preserve"> sur la protection des organisations intergouvernementales, auquel ont participé le Centre et des représentants d</w:t>
      </w:r>
      <w:r w:rsidR="007E6414">
        <w:rPr>
          <w:szCs w:val="22"/>
          <w:lang w:val="fr-FR"/>
        </w:rPr>
        <w:t>’</w:t>
      </w:r>
      <w:r w:rsidRPr="00022FDB">
        <w:rPr>
          <w:szCs w:val="22"/>
          <w:lang w:val="fr-FR"/>
        </w:rPr>
        <w:t>autres organisations intergouvernementales.</w:t>
      </w:r>
      <w:r w:rsidR="00384EE8" w:rsidRPr="00022FDB">
        <w:rPr>
          <w:szCs w:val="22"/>
          <w:lang w:val="fr-FR"/>
        </w:rPr>
        <w:t xml:space="preserve">  </w:t>
      </w:r>
      <w:r w:rsidRPr="00022FDB">
        <w:rPr>
          <w:szCs w:val="22"/>
          <w:lang w:val="fr-FR"/>
        </w:rPr>
        <w:t xml:space="preserve">Passant outre les objections des organisations intergouvernementales, en </w:t>
      </w:r>
      <w:r w:rsidR="007E6414" w:rsidRPr="00022FDB">
        <w:rPr>
          <w:szCs w:val="22"/>
          <w:lang w:val="fr-FR"/>
        </w:rPr>
        <w:t>novembre</w:t>
      </w:r>
      <w:r w:rsidR="007E6414">
        <w:rPr>
          <w:szCs w:val="22"/>
          <w:lang w:val="fr-FR"/>
        </w:rPr>
        <w:t> </w:t>
      </w:r>
      <w:r w:rsidR="007E6414" w:rsidRPr="00022FDB">
        <w:rPr>
          <w:szCs w:val="22"/>
          <w:lang w:val="fr-FR"/>
        </w:rPr>
        <w:t>20</w:t>
      </w:r>
      <w:r w:rsidRPr="00022FDB">
        <w:rPr>
          <w:szCs w:val="22"/>
          <w:lang w:val="fr-FR"/>
        </w:rPr>
        <w:t>13, ce processus a rejeté la protection de nature préventive des sigles d</w:t>
      </w:r>
      <w:r w:rsidR="007E6414">
        <w:rPr>
          <w:szCs w:val="22"/>
          <w:lang w:val="fr-FR"/>
        </w:rPr>
        <w:t>’</w:t>
      </w:r>
      <w:r w:rsidRPr="00022FDB">
        <w:rPr>
          <w:szCs w:val="22"/>
          <w:lang w:val="fr-FR"/>
        </w:rPr>
        <w:t>organisations intergouvernementales au deuxième niveau.</w:t>
      </w:r>
      <w:r w:rsidR="00384EE8" w:rsidRPr="00022FDB">
        <w:rPr>
          <w:szCs w:val="22"/>
          <w:lang w:val="fr-FR"/>
        </w:rPr>
        <w:t xml:space="preserve">  </w:t>
      </w:r>
      <w:r w:rsidRPr="00022FDB">
        <w:rPr>
          <w:szCs w:val="22"/>
          <w:lang w:val="fr-FR"/>
        </w:rPr>
        <w:t xml:space="preserve">À la </w:t>
      </w:r>
      <w:r w:rsidRPr="00022FDB">
        <w:rPr>
          <w:szCs w:val="22"/>
          <w:lang w:val="fr-FR"/>
        </w:rPr>
        <w:lastRenderedPageBreak/>
        <w:t xml:space="preserve">place, il a préconisé la mise en </w:t>
      </w:r>
      <w:r w:rsidR="005139AE" w:rsidRPr="00022FDB">
        <w:rPr>
          <w:szCs w:val="22"/>
          <w:lang w:val="fr-FR"/>
        </w:rPr>
        <w:t xml:space="preserve">œuvre </w:t>
      </w:r>
      <w:r w:rsidRPr="00022FDB">
        <w:rPr>
          <w:szCs w:val="22"/>
          <w:lang w:val="fr-FR"/>
        </w:rPr>
        <w:t xml:space="preserve">de mécanismes de protection </w:t>
      </w:r>
      <w:r w:rsidR="005139AE" w:rsidRPr="00022FDB">
        <w:rPr>
          <w:szCs w:val="22"/>
          <w:lang w:val="fr-FR"/>
        </w:rPr>
        <w:t>défensive</w:t>
      </w:r>
      <w:r w:rsidRPr="00022FDB">
        <w:rPr>
          <w:szCs w:val="22"/>
          <w:lang w:val="fr-FR"/>
        </w:rPr>
        <w:t xml:space="preserve"> pour les sigles des organisations intergouvernementales, conjuguée à la suppression des mesures de protection provisoires en place pour ces sigles.</w:t>
      </w:r>
      <w:r w:rsidR="00384EE8" w:rsidRPr="00022FDB">
        <w:rPr>
          <w:szCs w:val="22"/>
          <w:lang w:val="fr-FR"/>
        </w:rPr>
        <w:t xml:space="preserve">  </w:t>
      </w:r>
      <w:r w:rsidRPr="00022FDB">
        <w:rPr>
          <w:szCs w:val="22"/>
          <w:lang w:val="fr-FR"/>
        </w:rPr>
        <w:t>Ces recommandations ont été adoptées à l</w:t>
      </w:r>
      <w:r w:rsidR="007E6414">
        <w:rPr>
          <w:szCs w:val="22"/>
          <w:lang w:val="fr-FR"/>
        </w:rPr>
        <w:t>’</w:t>
      </w:r>
      <w:r w:rsidRPr="00022FDB">
        <w:rPr>
          <w:szCs w:val="22"/>
          <w:lang w:val="fr-FR"/>
        </w:rPr>
        <w:t>unanimité par le Conseil de</w:t>
      </w:r>
      <w:r w:rsidR="007E6414" w:rsidRPr="00022FDB">
        <w:rPr>
          <w:szCs w:val="22"/>
          <w:lang w:val="fr-FR"/>
        </w:rPr>
        <w:t xml:space="preserve"> la</w:t>
      </w:r>
      <w:r w:rsidR="007E6414">
        <w:rPr>
          <w:szCs w:val="22"/>
          <w:lang w:val="fr-FR"/>
        </w:rPr>
        <w:t> </w:t>
      </w:r>
      <w:r w:rsidR="007E6414" w:rsidRPr="00022FDB">
        <w:rPr>
          <w:szCs w:val="22"/>
          <w:lang w:val="fr-FR"/>
        </w:rPr>
        <w:t>GNS</w:t>
      </w:r>
      <w:r w:rsidRPr="00022FDB">
        <w:rPr>
          <w:szCs w:val="22"/>
          <w:lang w:val="fr-FR"/>
        </w:rPr>
        <w:t xml:space="preserve">O en </w:t>
      </w:r>
      <w:r w:rsidR="007E6414" w:rsidRPr="00022FDB">
        <w:rPr>
          <w:szCs w:val="22"/>
          <w:lang w:val="fr-FR"/>
        </w:rPr>
        <w:t>novembre</w:t>
      </w:r>
      <w:r w:rsidR="007E6414">
        <w:rPr>
          <w:szCs w:val="22"/>
          <w:lang w:val="fr-FR"/>
        </w:rPr>
        <w:t> </w:t>
      </w:r>
      <w:r w:rsidR="007E6414" w:rsidRPr="00022FDB">
        <w:rPr>
          <w:szCs w:val="22"/>
          <w:lang w:val="fr-FR"/>
        </w:rPr>
        <w:t>20</w:t>
      </w:r>
      <w:r w:rsidRPr="00022FDB">
        <w:rPr>
          <w:szCs w:val="22"/>
          <w:lang w:val="fr-FR"/>
        </w:rPr>
        <w:t>13.</w:t>
      </w:r>
      <w:r w:rsidR="00384EE8" w:rsidRPr="00022FDB">
        <w:rPr>
          <w:szCs w:val="22"/>
          <w:lang w:val="fr-FR"/>
        </w:rPr>
        <w:t xml:space="preserve">  </w:t>
      </w:r>
      <w:r w:rsidRPr="00022FDB">
        <w:rPr>
          <w:szCs w:val="22"/>
          <w:lang w:val="fr-FR"/>
        </w:rPr>
        <w:t xml:space="preserve">En réponse à cette évolution, les organisations intergouvernementales ont exprimé leur préoccupation </w:t>
      </w:r>
      <w:r w:rsidR="005139AE" w:rsidRPr="00022FDB">
        <w:rPr>
          <w:szCs w:val="22"/>
          <w:lang w:val="fr-FR"/>
        </w:rPr>
        <w:t>au moyen d</w:t>
      </w:r>
      <w:r w:rsidR="007E6414">
        <w:rPr>
          <w:szCs w:val="22"/>
          <w:lang w:val="fr-FR"/>
        </w:rPr>
        <w:t>’</w:t>
      </w:r>
      <w:r w:rsidR="005139AE" w:rsidRPr="00022FDB">
        <w:rPr>
          <w:szCs w:val="22"/>
          <w:lang w:val="fr-FR"/>
        </w:rPr>
        <w:t>une</w:t>
      </w:r>
      <w:r w:rsidRPr="00022FDB">
        <w:rPr>
          <w:szCs w:val="22"/>
          <w:lang w:val="fr-FR"/>
        </w:rPr>
        <w:t xml:space="preserve"> lettre indiquant que les mécanismes qui étaient désormais prévus passeraient à côté d</w:t>
      </w:r>
      <w:r w:rsidR="007E6414">
        <w:rPr>
          <w:szCs w:val="22"/>
          <w:lang w:val="fr-FR"/>
        </w:rPr>
        <w:t>’</w:t>
      </w:r>
      <w:r w:rsidRPr="00022FDB">
        <w:rPr>
          <w:szCs w:val="22"/>
          <w:lang w:val="fr-FR"/>
        </w:rPr>
        <w:t>une importante occasion de limiter l</w:t>
      </w:r>
      <w:r w:rsidR="007E6414">
        <w:rPr>
          <w:szCs w:val="22"/>
          <w:lang w:val="fr-FR"/>
        </w:rPr>
        <w:t>’</w:t>
      </w:r>
      <w:r w:rsidRPr="00022FDB">
        <w:rPr>
          <w:szCs w:val="22"/>
          <w:lang w:val="fr-FR"/>
        </w:rPr>
        <w:t>utilisation abusive des sigles des organisations intergouvernementales dans</w:t>
      </w:r>
      <w:r w:rsidR="007E6414" w:rsidRPr="00022FDB">
        <w:rPr>
          <w:szCs w:val="22"/>
          <w:lang w:val="fr-FR"/>
        </w:rPr>
        <w:t xml:space="preserve"> le</w:t>
      </w:r>
      <w:r w:rsidR="007E6414">
        <w:rPr>
          <w:szCs w:val="22"/>
          <w:lang w:val="fr-FR"/>
        </w:rPr>
        <w:t> </w:t>
      </w:r>
      <w:r w:rsidR="007E6414" w:rsidRPr="00022FDB">
        <w:rPr>
          <w:szCs w:val="22"/>
          <w:lang w:val="fr-FR"/>
        </w:rPr>
        <w:t>DNS</w:t>
      </w:r>
      <w:r w:rsidRPr="00022FDB">
        <w:rPr>
          <w:szCs w:val="22"/>
          <w:lang w:val="fr-FR"/>
        </w:rPr>
        <w:t xml:space="preserve"> avant qu</w:t>
      </w:r>
      <w:r w:rsidR="007E6414">
        <w:rPr>
          <w:szCs w:val="22"/>
          <w:lang w:val="fr-FR"/>
        </w:rPr>
        <w:t>’</w:t>
      </w:r>
      <w:r w:rsidRPr="00022FDB">
        <w:rPr>
          <w:szCs w:val="22"/>
          <w:lang w:val="fr-FR"/>
        </w:rPr>
        <w:t xml:space="preserve">un préjudice ne soit </w:t>
      </w:r>
      <w:r w:rsidR="005139AE" w:rsidRPr="00022FDB">
        <w:rPr>
          <w:szCs w:val="22"/>
          <w:lang w:val="fr-FR"/>
        </w:rPr>
        <w:t>causé</w:t>
      </w:r>
      <w:r w:rsidRPr="00022FDB">
        <w:rPr>
          <w:rStyle w:val="FootnoteReference"/>
          <w:szCs w:val="22"/>
          <w:lang w:val="fr-FR"/>
        </w:rPr>
        <w:footnoteReference w:id="56"/>
      </w:r>
      <w:r w:rsidRPr="00022FDB">
        <w:rPr>
          <w:szCs w:val="22"/>
          <w:lang w:val="fr-FR"/>
        </w:rPr>
        <w:t>.</w:t>
      </w:r>
    </w:p>
    <w:p w:rsidR="007E6414" w:rsidRDefault="003E64A4" w:rsidP="00022FDB">
      <w:pPr>
        <w:pStyle w:val="ONUMFS"/>
        <w:rPr>
          <w:szCs w:val="22"/>
          <w:lang w:val="fr-FR"/>
        </w:rPr>
      </w:pPr>
      <w:r w:rsidRPr="00022FDB">
        <w:rPr>
          <w:szCs w:val="22"/>
          <w:lang w:val="fr-FR"/>
        </w:rPr>
        <w:t xml:space="preserve">En </w:t>
      </w:r>
      <w:r w:rsidR="007E6414" w:rsidRPr="00022FDB">
        <w:rPr>
          <w:szCs w:val="22"/>
          <w:lang w:val="fr-FR"/>
        </w:rPr>
        <w:t>février</w:t>
      </w:r>
      <w:r w:rsidR="007E6414">
        <w:rPr>
          <w:szCs w:val="22"/>
          <w:lang w:val="fr-FR"/>
        </w:rPr>
        <w:t> </w:t>
      </w:r>
      <w:r w:rsidR="007E6414" w:rsidRPr="00022FDB">
        <w:rPr>
          <w:szCs w:val="22"/>
          <w:lang w:val="fr-FR"/>
        </w:rPr>
        <w:t>20</w:t>
      </w:r>
      <w:r w:rsidRPr="00022FDB">
        <w:rPr>
          <w:szCs w:val="22"/>
          <w:lang w:val="fr-FR"/>
        </w:rPr>
        <w:t>14, les organisations intergouvernementales se sont entretenues avec le représentant</w:t>
      </w:r>
      <w:r w:rsidR="007E6414" w:rsidRPr="00022FDB">
        <w:rPr>
          <w:szCs w:val="22"/>
          <w:lang w:val="fr-FR"/>
        </w:rPr>
        <w:t xml:space="preserve"> du</w:t>
      </w:r>
      <w:r w:rsidR="007E6414">
        <w:rPr>
          <w:szCs w:val="22"/>
          <w:lang w:val="fr-FR"/>
        </w:rPr>
        <w:t> </w:t>
      </w:r>
      <w:r w:rsidR="007E6414" w:rsidRPr="00022FDB">
        <w:rPr>
          <w:szCs w:val="22"/>
          <w:lang w:val="fr-FR"/>
        </w:rPr>
        <w:t>NGP</w:t>
      </w:r>
      <w:r w:rsidRPr="00022FDB">
        <w:rPr>
          <w:szCs w:val="22"/>
          <w:lang w:val="fr-FR"/>
        </w:rPr>
        <w:t>C de la proposition d</w:t>
      </w:r>
      <w:r w:rsidR="007E6414">
        <w:rPr>
          <w:szCs w:val="22"/>
          <w:lang w:val="fr-FR"/>
        </w:rPr>
        <w:t>’</w:t>
      </w:r>
      <w:r w:rsidR="007E6414" w:rsidRPr="00022FDB">
        <w:rPr>
          <w:szCs w:val="22"/>
          <w:lang w:val="fr-FR"/>
        </w:rPr>
        <w:t>octobre</w:t>
      </w:r>
      <w:r w:rsidR="007E6414">
        <w:rPr>
          <w:szCs w:val="22"/>
          <w:lang w:val="fr-FR"/>
        </w:rPr>
        <w:t> </w:t>
      </w:r>
      <w:r w:rsidR="007E6414" w:rsidRPr="00022FDB">
        <w:rPr>
          <w:szCs w:val="22"/>
          <w:lang w:val="fr-FR"/>
        </w:rPr>
        <w:t>20</w:t>
      </w:r>
      <w:r w:rsidRPr="00022FDB">
        <w:rPr>
          <w:szCs w:val="22"/>
          <w:lang w:val="fr-FR"/>
        </w:rPr>
        <w:t>13</w:t>
      </w:r>
      <w:r w:rsidR="007E6414" w:rsidRPr="00022FDB">
        <w:rPr>
          <w:szCs w:val="22"/>
          <w:lang w:val="fr-FR"/>
        </w:rPr>
        <w:t xml:space="preserve"> du</w:t>
      </w:r>
      <w:r w:rsidR="007E6414">
        <w:rPr>
          <w:szCs w:val="22"/>
          <w:lang w:val="fr-FR"/>
        </w:rPr>
        <w:t> </w:t>
      </w:r>
      <w:r w:rsidR="007E6414" w:rsidRPr="00022FDB">
        <w:rPr>
          <w:szCs w:val="22"/>
          <w:lang w:val="fr-FR"/>
        </w:rPr>
        <w:t>NGP</w:t>
      </w:r>
      <w:r w:rsidRPr="00022FDB">
        <w:rPr>
          <w:szCs w:val="22"/>
          <w:lang w:val="fr-FR"/>
        </w:rPr>
        <w:t>C.</w:t>
      </w:r>
      <w:r w:rsidR="00384EE8" w:rsidRPr="00022FDB">
        <w:rPr>
          <w:szCs w:val="22"/>
          <w:lang w:val="fr-FR"/>
        </w:rPr>
        <w:t xml:space="preserve">  </w:t>
      </w:r>
      <w:r w:rsidR="007455CA" w:rsidRPr="00022FDB">
        <w:rPr>
          <w:szCs w:val="22"/>
          <w:lang w:val="fr-FR"/>
        </w:rPr>
        <w:t xml:space="preserve">Par la suite, en </w:t>
      </w:r>
      <w:r w:rsidR="007E6414" w:rsidRPr="00022FDB">
        <w:rPr>
          <w:szCs w:val="22"/>
          <w:lang w:val="fr-FR"/>
        </w:rPr>
        <w:t>mars</w:t>
      </w:r>
      <w:r w:rsidR="007E6414">
        <w:rPr>
          <w:szCs w:val="22"/>
          <w:lang w:val="fr-FR"/>
        </w:rPr>
        <w:t> </w:t>
      </w:r>
      <w:r w:rsidR="007E6414" w:rsidRPr="00022FDB">
        <w:rPr>
          <w:szCs w:val="22"/>
          <w:lang w:val="fr-FR"/>
        </w:rPr>
        <w:t>20</w:t>
      </w:r>
      <w:r w:rsidR="007455CA" w:rsidRPr="00022FDB">
        <w:rPr>
          <w:szCs w:val="22"/>
          <w:lang w:val="fr-FR"/>
        </w:rPr>
        <w:t>14,</w:t>
      </w:r>
      <w:r w:rsidR="007E6414" w:rsidRPr="00022FDB">
        <w:rPr>
          <w:szCs w:val="22"/>
          <w:lang w:val="fr-FR"/>
        </w:rPr>
        <w:t xml:space="preserve"> le</w:t>
      </w:r>
      <w:r w:rsidR="007E6414">
        <w:rPr>
          <w:szCs w:val="22"/>
          <w:lang w:val="fr-FR"/>
        </w:rPr>
        <w:t> </w:t>
      </w:r>
      <w:r w:rsidR="007E6414" w:rsidRPr="00022FDB">
        <w:rPr>
          <w:szCs w:val="22"/>
          <w:lang w:val="fr-FR"/>
        </w:rPr>
        <w:t>NGP</w:t>
      </w:r>
      <w:r w:rsidR="007455CA" w:rsidRPr="00022FDB">
        <w:rPr>
          <w:szCs w:val="22"/>
          <w:lang w:val="fr-FR"/>
        </w:rPr>
        <w:t xml:space="preserve">C a présenté un projet de proposition prévoyant une protection </w:t>
      </w:r>
      <w:r w:rsidR="005139AE" w:rsidRPr="00022FDB">
        <w:rPr>
          <w:szCs w:val="22"/>
          <w:lang w:val="fr-FR"/>
        </w:rPr>
        <w:t>défensive</w:t>
      </w:r>
      <w:r w:rsidR="007455CA" w:rsidRPr="00022FDB">
        <w:rPr>
          <w:szCs w:val="22"/>
          <w:lang w:val="fr-FR"/>
        </w:rPr>
        <w:t xml:space="preserve"> pour les sigles d</w:t>
      </w:r>
      <w:r w:rsidR="007E6414">
        <w:rPr>
          <w:szCs w:val="22"/>
          <w:lang w:val="fr-FR"/>
        </w:rPr>
        <w:t>’</w:t>
      </w:r>
      <w:r w:rsidR="007455CA" w:rsidRPr="00022FDB">
        <w:rPr>
          <w:szCs w:val="22"/>
          <w:lang w:val="fr-FR"/>
        </w:rPr>
        <w:t>organisations intergouvernementales.</w:t>
      </w:r>
      <w:r w:rsidR="00384EE8" w:rsidRPr="00022FDB">
        <w:rPr>
          <w:szCs w:val="22"/>
          <w:lang w:val="fr-FR"/>
        </w:rPr>
        <w:t xml:space="preserve">  </w:t>
      </w:r>
      <w:r w:rsidR="007455CA" w:rsidRPr="00022FDB">
        <w:rPr>
          <w:szCs w:val="22"/>
          <w:lang w:val="fr-FR"/>
        </w:rPr>
        <w:t>De nouvelles discussions ont été menées entre les organisations intergouvernementales et</w:t>
      </w:r>
      <w:r w:rsidR="007E6414" w:rsidRPr="00022FDB">
        <w:rPr>
          <w:szCs w:val="22"/>
          <w:lang w:val="fr-FR"/>
        </w:rPr>
        <w:t xml:space="preserve"> le</w:t>
      </w:r>
      <w:r w:rsidR="007E6414">
        <w:rPr>
          <w:szCs w:val="22"/>
          <w:lang w:val="fr-FR"/>
        </w:rPr>
        <w:t> </w:t>
      </w:r>
      <w:r w:rsidR="007E6414" w:rsidRPr="00022FDB">
        <w:rPr>
          <w:szCs w:val="22"/>
          <w:lang w:val="fr-FR"/>
        </w:rPr>
        <w:t>NGP</w:t>
      </w:r>
      <w:r w:rsidR="007455CA" w:rsidRPr="00022FDB">
        <w:rPr>
          <w:szCs w:val="22"/>
          <w:lang w:val="fr-FR"/>
        </w:rPr>
        <w:t xml:space="preserve">C à la réunion de </w:t>
      </w:r>
      <w:r w:rsidR="007E6414" w:rsidRPr="00022FDB">
        <w:rPr>
          <w:szCs w:val="22"/>
          <w:lang w:val="fr-FR"/>
        </w:rPr>
        <w:t>mars</w:t>
      </w:r>
      <w:r w:rsidR="007E6414">
        <w:rPr>
          <w:szCs w:val="22"/>
          <w:lang w:val="fr-FR"/>
        </w:rPr>
        <w:t> </w:t>
      </w:r>
      <w:r w:rsidR="007E6414" w:rsidRPr="00022FDB">
        <w:rPr>
          <w:szCs w:val="22"/>
          <w:lang w:val="fr-FR"/>
        </w:rPr>
        <w:t>20</w:t>
      </w:r>
      <w:r w:rsidR="007455CA" w:rsidRPr="00022FDB">
        <w:rPr>
          <w:szCs w:val="22"/>
          <w:lang w:val="fr-FR"/>
        </w:rPr>
        <w:t>14 de l</w:t>
      </w:r>
      <w:r w:rsidR="007E6414">
        <w:rPr>
          <w:szCs w:val="22"/>
          <w:lang w:val="fr-FR"/>
        </w:rPr>
        <w:t>’</w:t>
      </w:r>
      <w:r w:rsidR="007455CA" w:rsidRPr="00022FDB">
        <w:rPr>
          <w:szCs w:val="22"/>
          <w:lang w:val="fr-FR"/>
        </w:rPr>
        <w:t>ICANN, au cours de laquelle</w:t>
      </w:r>
      <w:r w:rsidR="007E6414" w:rsidRPr="00022FDB">
        <w:rPr>
          <w:szCs w:val="22"/>
          <w:lang w:val="fr-FR"/>
        </w:rPr>
        <w:t xml:space="preserve"> le</w:t>
      </w:r>
      <w:r w:rsidR="007E6414">
        <w:rPr>
          <w:szCs w:val="22"/>
          <w:lang w:val="fr-FR"/>
        </w:rPr>
        <w:t> </w:t>
      </w:r>
      <w:r w:rsidR="007E6414" w:rsidRPr="00022FDB">
        <w:rPr>
          <w:szCs w:val="22"/>
          <w:lang w:val="fr-FR"/>
        </w:rPr>
        <w:t>GAC</w:t>
      </w:r>
      <w:r w:rsidR="007455CA" w:rsidRPr="00022FDB">
        <w:rPr>
          <w:szCs w:val="22"/>
          <w:lang w:val="fr-FR"/>
        </w:rPr>
        <w:t xml:space="preserve"> a également indiqué au Conseil d</w:t>
      </w:r>
      <w:r w:rsidR="007E6414">
        <w:rPr>
          <w:szCs w:val="22"/>
          <w:lang w:val="fr-FR"/>
        </w:rPr>
        <w:t>’</w:t>
      </w:r>
      <w:r w:rsidR="007455CA" w:rsidRPr="00022FDB">
        <w:rPr>
          <w:szCs w:val="22"/>
          <w:lang w:val="fr-FR"/>
        </w:rPr>
        <w:t>administration de l</w:t>
      </w:r>
      <w:r w:rsidR="007E6414">
        <w:rPr>
          <w:szCs w:val="22"/>
          <w:lang w:val="fr-FR"/>
        </w:rPr>
        <w:t>’</w:t>
      </w:r>
      <w:r w:rsidR="007455CA" w:rsidRPr="00022FDB">
        <w:rPr>
          <w:szCs w:val="22"/>
          <w:lang w:val="fr-FR"/>
        </w:rPr>
        <w:t>ICANN qu</w:t>
      </w:r>
      <w:r w:rsidR="007E6414">
        <w:rPr>
          <w:szCs w:val="22"/>
          <w:lang w:val="fr-FR"/>
        </w:rPr>
        <w:t>’</w:t>
      </w:r>
      <w:r w:rsidR="007455CA" w:rsidRPr="00022FDB">
        <w:rPr>
          <w:szCs w:val="22"/>
          <w:lang w:val="fr-FR"/>
        </w:rPr>
        <w:t>il attendait la réponse du Conseil concernant la mise en œuvre de sa précédente recommandation.</w:t>
      </w:r>
    </w:p>
    <w:p w:rsidR="00022FDB" w:rsidRPr="00567473" w:rsidRDefault="007455CA" w:rsidP="00022FDB">
      <w:pPr>
        <w:pStyle w:val="ONUMFS"/>
        <w:rPr>
          <w:spacing w:val="-2"/>
          <w:szCs w:val="22"/>
          <w:lang w:val="fr-FR"/>
        </w:rPr>
      </w:pPr>
      <w:r w:rsidRPr="00567473">
        <w:rPr>
          <w:spacing w:val="-2"/>
          <w:szCs w:val="22"/>
          <w:lang w:val="fr-FR"/>
        </w:rPr>
        <w:t xml:space="preserve">En </w:t>
      </w:r>
      <w:r w:rsidR="007E6414" w:rsidRPr="00567473">
        <w:rPr>
          <w:spacing w:val="-2"/>
          <w:szCs w:val="22"/>
          <w:lang w:val="fr-FR"/>
        </w:rPr>
        <w:t>avril 20</w:t>
      </w:r>
      <w:r w:rsidRPr="00567473">
        <w:rPr>
          <w:spacing w:val="-2"/>
          <w:szCs w:val="22"/>
          <w:lang w:val="fr-FR"/>
        </w:rPr>
        <w:t>14, le Conseil d</w:t>
      </w:r>
      <w:r w:rsidR="007E6414" w:rsidRPr="00567473">
        <w:rPr>
          <w:spacing w:val="-2"/>
          <w:szCs w:val="22"/>
          <w:lang w:val="fr-FR"/>
        </w:rPr>
        <w:t>’</w:t>
      </w:r>
      <w:r w:rsidRPr="00567473">
        <w:rPr>
          <w:spacing w:val="-2"/>
          <w:szCs w:val="22"/>
          <w:lang w:val="fr-FR"/>
        </w:rPr>
        <w:t>administration de l</w:t>
      </w:r>
      <w:r w:rsidR="007E6414" w:rsidRPr="00567473">
        <w:rPr>
          <w:spacing w:val="-2"/>
          <w:szCs w:val="22"/>
          <w:lang w:val="fr-FR"/>
        </w:rPr>
        <w:t>’</w:t>
      </w:r>
      <w:r w:rsidRPr="00567473">
        <w:rPr>
          <w:spacing w:val="-2"/>
          <w:szCs w:val="22"/>
          <w:lang w:val="fr-FR"/>
        </w:rPr>
        <w:t>ICANN a décidé d</w:t>
      </w:r>
      <w:r w:rsidR="007E6414" w:rsidRPr="00567473">
        <w:rPr>
          <w:spacing w:val="-2"/>
          <w:szCs w:val="22"/>
          <w:lang w:val="fr-FR"/>
        </w:rPr>
        <w:t>’</w:t>
      </w:r>
      <w:r w:rsidRPr="00567473">
        <w:rPr>
          <w:spacing w:val="-2"/>
          <w:szCs w:val="22"/>
          <w:lang w:val="fr-FR"/>
        </w:rPr>
        <w:t>adopter les recommandations du Conseil de</w:t>
      </w:r>
      <w:r w:rsidR="007E6414" w:rsidRPr="00567473">
        <w:rPr>
          <w:spacing w:val="-2"/>
          <w:szCs w:val="22"/>
          <w:lang w:val="fr-FR"/>
        </w:rPr>
        <w:t xml:space="preserve"> la GNS</w:t>
      </w:r>
      <w:r w:rsidRPr="00567473">
        <w:rPr>
          <w:spacing w:val="-2"/>
          <w:szCs w:val="22"/>
          <w:lang w:val="fr-FR"/>
        </w:rPr>
        <w:t>O qui n</w:t>
      </w:r>
      <w:r w:rsidR="007E6414" w:rsidRPr="00567473">
        <w:rPr>
          <w:spacing w:val="-2"/>
          <w:szCs w:val="22"/>
          <w:lang w:val="fr-FR"/>
        </w:rPr>
        <w:t>’</w:t>
      </w:r>
      <w:r w:rsidRPr="00567473">
        <w:rPr>
          <w:spacing w:val="-2"/>
          <w:szCs w:val="22"/>
          <w:lang w:val="fr-FR"/>
        </w:rPr>
        <w:t>allaient pas à l</w:t>
      </w:r>
      <w:r w:rsidR="007E6414" w:rsidRPr="00567473">
        <w:rPr>
          <w:spacing w:val="-2"/>
          <w:szCs w:val="22"/>
          <w:lang w:val="fr-FR"/>
        </w:rPr>
        <w:t>’</w:t>
      </w:r>
      <w:r w:rsidRPr="00567473">
        <w:rPr>
          <w:spacing w:val="-2"/>
          <w:szCs w:val="22"/>
          <w:lang w:val="fr-FR"/>
        </w:rPr>
        <w:t>encontre des recommandations</w:t>
      </w:r>
      <w:r w:rsidR="007E6414" w:rsidRPr="00567473">
        <w:rPr>
          <w:spacing w:val="-2"/>
          <w:szCs w:val="22"/>
          <w:lang w:val="fr-FR"/>
        </w:rPr>
        <w:t xml:space="preserve"> du GAC</w:t>
      </w:r>
      <w:r w:rsidRPr="00567473">
        <w:rPr>
          <w:spacing w:val="-2"/>
          <w:szCs w:val="22"/>
          <w:lang w:val="fr-FR"/>
        </w:rPr>
        <w:t xml:space="preserve"> (protéger contre l</w:t>
      </w:r>
      <w:r w:rsidR="007E6414" w:rsidRPr="00567473">
        <w:rPr>
          <w:spacing w:val="-2"/>
          <w:szCs w:val="22"/>
          <w:lang w:val="fr-FR"/>
        </w:rPr>
        <w:t>’</w:t>
      </w:r>
      <w:r w:rsidRPr="00567473">
        <w:rPr>
          <w:spacing w:val="-2"/>
          <w:szCs w:val="22"/>
          <w:lang w:val="fr-FR"/>
        </w:rPr>
        <w:t>enregistrement les noms complets des organisations intergouvernementales aux premier et deuxième niveaux, dans deux</w:t>
      </w:r>
      <w:r w:rsidR="0035343A" w:rsidRPr="00567473">
        <w:rPr>
          <w:spacing w:val="-2"/>
          <w:szCs w:val="22"/>
          <w:lang w:val="fr-FR"/>
        </w:rPr>
        <w:t> </w:t>
      </w:r>
      <w:r w:rsidRPr="00567473">
        <w:rPr>
          <w:spacing w:val="-2"/>
          <w:szCs w:val="22"/>
          <w:lang w:val="fr-FR"/>
        </w:rPr>
        <w:t>langues) tout en demandant un délai supplémentaire pour examiner les recommandations qui s</w:t>
      </w:r>
      <w:r w:rsidR="007E6414" w:rsidRPr="00567473">
        <w:rPr>
          <w:spacing w:val="-2"/>
          <w:szCs w:val="22"/>
          <w:lang w:val="fr-FR"/>
        </w:rPr>
        <w:t>’</w:t>
      </w:r>
      <w:r w:rsidRPr="00567473">
        <w:rPr>
          <w:spacing w:val="-2"/>
          <w:szCs w:val="22"/>
          <w:lang w:val="fr-FR"/>
        </w:rPr>
        <w:t xml:space="preserve">en écartaient alors (durée du </w:t>
      </w:r>
      <w:r w:rsidR="00515856" w:rsidRPr="00567473">
        <w:rPr>
          <w:spacing w:val="-2"/>
          <w:szCs w:val="22"/>
          <w:lang w:val="fr-FR"/>
        </w:rPr>
        <w:t>“</w:t>
      </w:r>
      <w:r w:rsidRPr="00567473">
        <w:rPr>
          <w:spacing w:val="-2"/>
          <w:szCs w:val="22"/>
          <w:lang w:val="fr-FR"/>
        </w:rPr>
        <w:t>délai applicable aux contentieux</w:t>
      </w:r>
      <w:r w:rsidR="00515856" w:rsidRPr="00567473">
        <w:rPr>
          <w:spacing w:val="-2"/>
          <w:szCs w:val="22"/>
          <w:lang w:val="fr-FR"/>
        </w:rPr>
        <w:t>”</w:t>
      </w:r>
      <w:r w:rsidRPr="00567473">
        <w:rPr>
          <w:rStyle w:val="FootnoteReference"/>
          <w:spacing w:val="-2"/>
          <w:szCs w:val="22"/>
          <w:lang w:val="fr-FR"/>
        </w:rPr>
        <w:footnoteReference w:id="57"/>
      </w:r>
      <w:r w:rsidRPr="00567473">
        <w:rPr>
          <w:spacing w:val="-2"/>
          <w:szCs w:val="22"/>
          <w:lang w:val="fr-FR"/>
        </w:rPr>
        <w:t xml:space="preserve"> et éventuel mécanisme défensif de protection des droits).</w:t>
      </w:r>
      <w:r w:rsidR="000D6DE0" w:rsidRPr="00567473">
        <w:rPr>
          <w:spacing w:val="-2"/>
          <w:szCs w:val="22"/>
          <w:lang w:val="fr-FR"/>
        </w:rPr>
        <w:t xml:space="preserve">  </w:t>
      </w:r>
      <w:r w:rsidR="0017115E" w:rsidRPr="00567473">
        <w:rPr>
          <w:spacing w:val="-2"/>
          <w:szCs w:val="22"/>
          <w:lang w:val="fr-FR"/>
        </w:rPr>
        <w:t>Nonobstant cette recommandation</w:t>
      </w:r>
      <w:r w:rsidR="007E6414" w:rsidRPr="00567473">
        <w:rPr>
          <w:spacing w:val="-2"/>
          <w:szCs w:val="22"/>
          <w:lang w:val="fr-FR"/>
        </w:rPr>
        <w:t xml:space="preserve"> du GAC</w:t>
      </w:r>
      <w:r w:rsidR="0017115E" w:rsidRPr="00567473">
        <w:rPr>
          <w:spacing w:val="-2"/>
          <w:szCs w:val="22"/>
          <w:lang w:val="fr-FR"/>
        </w:rPr>
        <w:t xml:space="preserve"> et la position des organisations intergouvernementales, en </w:t>
      </w:r>
      <w:r w:rsidR="007E6414" w:rsidRPr="00567473">
        <w:rPr>
          <w:spacing w:val="-2"/>
          <w:szCs w:val="22"/>
          <w:lang w:val="fr-FR"/>
        </w:rPr>
        <w:t>juin 20</w:t>
      </w:r>
      <w:r w:rsidR="0017115E" w:rsidRPr="00567473">
        <w:rPr>
          <w:spacing w:val="-2"/>
          <w:szCs w:val="22"/>
          <w:lang w:val="fr-FR"/>
        </w:rPr>
        <w:t>14 le Conseil de</w:t>
      </w:r>
      <w:r w:rsidR="007E6414" w:rsidRPr="00567473">
        <w:rPr>
          <w:spacing w:val="-2"/>
          <w:szCs w:val="22"/>
          <w:lang w:val="fr-FR"/>
        </w:rPr>
        <w:t xml:space="preserve"> la GNS</w:t>
      </w:r>
      <w:r w:rsidR="0017115E" w:rsidRPr="00567473">
        <w:rPr>
          <w:spacing w:val="-2"/>
          <w:szCs w:val="22"/>
          <w:lang w:val="fr-FR"/>
        </w:rPr>
        <w:t>O a voté en faveur du lancement d</w:t>
      </w:r>
      <w:r w:rsidR="007E6414" w:rsidRPr="00567473">
        <w:rPr>
          <w:spacing w:val="-2"/>
          <w:szCs w:val="22"/>
          <w:lang w:val="fr-FR"/>
        </w:rPr>
        <w:t>’</w:t>
      </w:r>
      <w:r w:rsidR="0017115E" w:rsidRPr="00567473">
        <w:rPr>
          <w:spacing w:val="-2"/>
          <w:szCs w:val="22"/>
          <w:lang w:val="fr-FR"/>
        </w:rPr>
        <w:t>un deuxième processus d</w:t>
      </w:r>
      <w:r w:rsidR="007E6414" w:rsidRPr="00567473">
        <w:rPr>
          <w:spacing w:val="-2"/>
          <w:szCs w:val="22"/>
          <w:lang w:val="fr-FR"/>
        </w:rPr>
        <w:t>’</w:t>
      </w:r>
      <w:r w:rsidR="0017115E" w:rsidRPr="00567473">
        <w:rPr>
          <w:spacing w:val="-2"/>
          <w:szCs w:val="22"/>
          <w:lang w:val="fr-FR"/>
        </w:rPr>
        <w:t xml:space="preserve">élaboration de politique sur </w:t>
      </w:r>
      <w:r w:rsidR="005139AE" w:rsidRPr="00567473">
        <w:rPr>
          <w:spacing w:val="-2"/>
          <w:szCs w:val="22"/>
          <w:lang w:val="fr-FR"/>
        </w:rPr>
        <w:t>l</w:t>
      </w:r>
      <w:r w:rsidR="007E6414" w:rsidRPr="00567473">
        <w:rPr>
          <w:spacing w:val="-2"/>
          <w:szCs w:val="22"/>
          <w:lang w:val="fr-FR"/>
        </w:rPr>
        <w:t>’</w:t>
      </w:r>
      <w:r w:rsidR="005139AE" w:rsidRPr="00567473">
        <w:rPr>
          <w:spacing w:val="-2"/>
          <w:szCs w:val="22"/>
          <w:lang w:val="fr-FR"/>
        </w:rPr>
        <w:t>opportunité</w:t>
      </w:r>
      <w:r w:rsidR="0017115E" w:rsidRPr="00567473">
        <w:rPr>
          <w:spacing w:val="-2"/>
          <w:szCs w:val="22"/>
          <w:lang w:val="fr-FR"/>
        </w:rPr>
        <w:t xml:space="preserve"> de donner aux organisations intergouvernementales l</w:t>
      </w:r>
      <w:r w:rsidR="007E6414" w:rsidRPr="00567473">
        <w:rPr>
          <w:spacing w:val="-2"/>
          <w:szCs w:val="22"/>
          <w:lang w:val="fr-FR"/>
        </w:rPr>
        <w:t>’</w:t>
      </w:r>
      <w:r w:rsidR="0017115E" w:rsidRPr="00567473">
        <w:rPr>
          <w:spacing w:val="-2"/>
          <w:szCs w:val="22"/>
          <w:lang w:val="fr-FR"/>
        </w:rPr>
        <w:t>accès à des mécanismes défensifs de protection des droits (tels que les principes UDRP ou les mécanismes de suspension uniforme rapide).</w:t>
      </w:r>
      <w:r w:rsidR="000D6DE0" w:rsidRPr="00567473">
        <w:rPr>
          <w:spacing w:val="-2"/>
          <w:szCs w:val="22"/>
          <w:lang w:val="fr-FR"/>
        </w:rPr>
        <w:t xml:space="preserve">  </w:t>
      </w:r>
      <w:r w:rsidR="0017115E" w:rsidRPr="00567473">
        <w:rPr>
          <w:spacing w:val="-2"/>
          <w:szCs w:val="22"/>
          <w:lang w:val="fr-FR"/>
        </w:rPr>
        <w:t>En octobre 2014,</w:t>
      </w:r>
      <w:r w:rsidR="007E6414" w:rsidRPr="00567473">
        <w:rPr>
          <w:spacing w:val="-2"/>
          <w:szCs w:val="22"/>
          <w:lang w:val="fr-FR"/>
        </w:rPr>
        <w:t xml:space="preserve"> le GAC</w:t>
      </w:r>
      <w:r w:rsidR="0017115E" w:rsidRPr="00567473">
        <w:rPr>
          <w:spacing w:val="-2"/>
          <w:szCs w:val="22"/>
          <w:lang w:val="fr-FR"/>
        </w:rPr>
        <w:t xml:space="preserve"> a confirmé son avis précédent selon lequel il convenait de rechercher une solution pour protéger les désignations d</w:t>
      </w:r>
      <w:r w:rsidR="007E6414" w:rsidRPr="00567473">
        <w:rPr>
          <w:spacing w:val="-2"/>
          <w:szCs w:val="22"/>
          <w:lang w:val="fr-FR"/>
        </w:rPr>
        <w:t>’</w:t>
      </w:r>
      <w:r w:rsidR="0017115E" w:rsidRPr="00567473">
        <w:rPr>
          <w:spacing w:val="-2"/>
          <w:szCs w:val="22"/>
          <w:lang w:val="fr-FR"/>
        </w:rPr>
        <w:t>organisations intergouvernementales au deuxième niveau sans qu</w:t>
      </w:r>
      <w:r w:rsidR="007E6414" w:rsidRPr="00567473">
        <w:rPr>
          <w:spacing w:val="-2"/>
          <w:szCs w:val="22"/>
          <w:lang w:val="fr-FR"/>
        </w:rPr>
        <w:t>’</w:t>
      </w:r>
      <w:r w:rsidR="0017115E" w:rsidRPr="00567473">
        <w:rPr>
          <w:spacing w:val="-2"/>
          <w:szCs w:val="22"/>
          <w:lang w:val="fr-FR"/>
        </w:rPr>
        <w:t>il soit nécessaire de modifier les principes UDRP existants</w:t>
      </w:r>
      <w:r w:rsidR="0017115E" w:rsidRPr="00567473">
        <w:rPr>
          <w:rStyle w:val="FootnoteReference"/>
          <w:spacing w:val="-2"/>
          <w:szCs w:val="22"/>
          <w:lang w:val="fr-FR"/>
        </w:rPr>
        <w:footnoteReference w:id="58"/>
      </w:r>
      <w:r w:rsidR="0017115E" w:rsidRPr="00567473">
        <w:rPr>
          <w:spacing w:val="-2"/>
          <w:szCs w:val="22"/>
          <w:lang w:val="fr-FR"/>
        </w:rPr>
        <w:t>.</w:t>
      </w:r>
      <w:r w:rsidR="000D6DE0" w:rsidRPr="00567473">
        <w:rPr>
          <w:spacing w:val="-2"/>
          <w:szCs w:val="22"/>
          <w:lang w:val="fr-FR"/>
        </w:rPr>
        <w:t xml:space="preserve">  </w:t>
      </w:r>
      <w:r w:rsidR="005D2C92" w:rsidRPr="00567473">
        <w:rPr>
          <w:spacing w:val="-2"/>
          <w:szCs w:val="22"/>
          <w:lang w:val="fr-FR"/>
        </w:rPr>
        <w:t xml:space="preserve">En </w:t>
      </w:r>
      <w:r w:rsidR="007E6414" w:rsidRPr="00567473">
        <w:rPr>
          <w:spacing w:val="-2"/>
          <w:szCs w:val="22"/>
          <w:lang w:val="fr-FR"/>
        </w:rPr>
        <w:t>janvier 20</w:t>
      </w:r>
      <w:r w:rsidR="00F94E86" w:rsidRPr="00567473">
        <w:rPr>
          <w:spacing w:val="-2"/>
          <w:szCs w:val="22"/>
          <w:lang w:val="fr-FR"/>
        </w:rPr>
        <w:t>15,</w:t>
      </w:r>
      <w:r w:rsidR="007E6414" w:rsidRPr="00567473">
        <w:rPr>
          <w:spacing w:val="-2"/>
          <w:szCs w:val="22"/>
          <w:lang w:val="fr-FR"/>
        </w:rPr>
        <w:t xml:space="preserve"> le NGP</w:t>
      </w:r>
      <w:r w:rsidR="005D2C92" w:rsidRPr="00567473">
        <w:rPr>
          <w:spacing w:val="-2"/>
          <w:szCs w:val="22"/>
          <w:lang w:val="fr-FR"/>
        </w:rPr>
        <w:t>C a de nouveau demandé</w:t>
      </w:r>
      <w:r w:rsidR="007E6414" w:rsidRPr="00567473">
        <w:rPr>
          <w:spacing w:val="-2"/>
          <w:szCs w:val="22"/>
          <w:lang w:val="fr-FR"/>
        </w:rPr>
        <w:t xml:space="preserve"> au GAC</w:t>
      </w:r>
      <w:r w:rsidR="005D2C92" w:rsidRPr="00567473">
        <w:rPr>
          <w:spacing w:val="-2"/>
          <w:szCs w:val="22"/>
          <w:lang w:val="fr-FR"/>
        </w:rPr>
        <w:t xml:space="preserve"> comment il interprétait </w:t>
      </w:r>
      <w:r w:rsidR="00515856" w:rsidRPr="00567473">
        <w:rPr>
          <w:spacing w:val="-2"/>
          <w:szCs w:val="22"/>
          <w:lang w:val="fr-FR"/>
        </w:rPr>
        <w:t>“</w:t>
      </w:r>
      <w:r w:rsidR="005D2C92" w:rsidRPr="00567473">
        <w:rPr>
          <w:spacing w:val="-2"/>
          <w:szCs w:val="22"/>
          <w:lang w:val="fr-FR"/>
        </w:rPr>
        <w:t>la nature et l</w:t>
      </w:r>
      <w:r w:rsidR="007E6414" w:rsidRPr="00567473">
        <w:rPr>
          <w:spacing w:val="-2"/>
          <w:szCs w:val="22"/>
          <w:lang w:val="fr-FR"/>
        </w:rPr>
        <w:t>’</w:t>
      </w:r>
      <w:r w:rsidR="005D2C92" w:rsidRPr="00567473">
        <w:rPr>
          <w:spacing w:val="-2"/>
          <w:szCs w:val="22"/>
          <w:lang w:val="fr-FR"/>
        </w:rPr>
        <w:t>étendue des droits des organisations intergouvernementales concernant la protection défensive des droits sur les noms et sigles de ces organisations</w:t>
      </w:r>
      <w:r w:rsidR="00515856" w:rsidRPr="00567473">
        <w:rPr>
          <w:spacing w:val="-2"/>
          <w:szCs w:val="22"/>
          <w:lang w:val="fr-FR"/>
        </w:rPr>
        <w:t>”</w:t>
      </w:r>
      <w:r w:rsidR="005D2C92" w:rsidRPr="00567473">
        <w:rPr>
          <w:rStyle w:val="FootnoteReference"/>
          <w:spacing w:val="-2"/>
          <w:szCs w:val="22"/>
          <w:lang w:val="fr-FR"/>
        </w:rPr>
        <w:footnoteReference w:id="59"/>
      </w:r>
      <w:r w:rsidR="005D2C92" w:rsidRPr="00567473">
        <w:rPr>
          <w:spacing w:val="-2"/>
          <w:szCs w:val="22"/>
          <w:lang w:val="fr-FR"/>
        </w:rPr>
        <w:t>.</w:t>
      </w:r>
      <w:r w:rsidR="000D6DE0" w:rsidRPr="00567473">
        <w:rPr>
          <w:spacing w:val="-2"/>
          <w:szCs w:val="22"/>
          <w:lang w:val="fr-FR"/>
        </w:rPr>
        <w:t xml:space="preserve">  </w:t>
      </w:r>
      <w:r w:rsidR="005D2C92" w:rsidRPr="00567473">
        <w:rPr>
          <w:spacing w:val="-2"/>
          <w:szCs w:val="22"/>
          <w:lang w:val="fr-FR"/>
        </w:rPr>
        <w:t>Parallèlement,</w:t>
      </w:r>
      <w:r w:rsidR="007E6414" w:rsidRPr="00567473">
        <w:rPr>
          <w:spacing w:val="-2"/>
          <w:szCs w:val="22"/>
          <w:lang w:val="fr-FR"/>
        </w:rPr>
        <w:t xml:space="preserve"> le GAC</w:t>
      </w:r>
      <w:r w:rsidR="005D2C92" w:rsidRPr="00567473">
        <w:rPr>
          <w:spacing w:val="-2"/>
          <w:szCs w:val="22"/>
          <w:lang w:val="fr-FR"/>
        </w:rPr>
        <w:t xml:space="preserve"> a précisé sa position sur la protection des organisations intergouvernementales </w:t>
      </w:r>
      <w:r w:rsidR="005139AE" w:rsidRPr="00567473">
        <w:rPr>
          <w:spacing w:val="-2"/>
          <w:szCs w:val="22"/>
          <w:lang w:val="fr-FR"/>
        </w:rPr>
        <w:t>au g</w:t>
      </w:r>
      <w:r w:rsidR="005D2C92" w:rsidRPr="00567473">
        <w:rPr>
          <w:spacing w:val="-2"/>
          <w:szCs w:val="22"/>
          <w:lang w:val="fr-FR"/>
        </w:rPr>
        <w:t>roupe de travail de</w:t>
      </w:r>
      <w:r w:rsidR="007E6414" w:rsidRPr="00567473">
        <w:rPr>
          <w:spacing w:val="-2"/>
          <w:szCs w:val="22"/>
          <w:lang w:val="fr-FR"/>
        </w:rPr>
        <w:t xml:space="preserve"> la GNS</w:t>
      </w:r>
      <w:r w:rsidR="005D2C92" w:rsidRPr="00567473">
        <w:rPr>
          <w:spacing w:val="-2"/>
          <w:szCs w:val="22"/>
          <w:lang w:val="fr-FR"/>
        </w:rPr>
        <w:t>O chargé de cette question</w:t>
      </w:r>
      <w:r w:rsidR="005D2C92" w:rsidRPr="00567473">
        <w:rPr>
          <w:rStyle w:val="FootnoteReference"/>
          <w:spacing w:val="-2"/>
          <w:szCs w:val="22"/>
          <w:lang w:val="fr-FR"/>
        </w:rPr>
        <w:footnoteReference w:id="60"/>
      </w:r>
      <w:r w:rsidR="005D2C92" w:rsidRPr="00567473">
        <w:rPr>
          <w:spacing w:val="-2"/>
          <w:szCs w:val="22"/>
          <w:lang w:val="fr-FR"/>
        </w:rPr>
        <w:t>.</w:t>
      </w:r>
      <w:r w:rsidR="00687020" w:rsidRPr="00567473">
        <w:rPr>
          <w:spacing w:val="-2"/>
          <w:szCs w:val="22"/>
          <w:lang w:val="fr-FR"/>
        </w:rPr>
        <w:t xml:space="preserve">  </w:t>
      </w:r>
      <w:r w:rsidR="005D2C92" w:rsidRPr="00567473">
        <w:rPr>
          <w:spacing w:val="-2"/>
          <w:szCs w:val="22"/>
          <w:lang w:val="fr-FR"/>
        </w:rPr>
        <w:t>Avec les autres organisations intergouvernementales, le Centre continue de surveiller de près ce dossier déjà ancien de l</w:t>
      </w:r>
      <w:r w:rsidR="007E6414" w:rsidRPr="00567473">
        <w:rPr>
          <w:spacing w:val="-2"/>
          <w:szCs w:val="22"/>
          <w:lang w:val="fr-FR"/>
        </w:rPr>
        <w:t>’</w:t>
      </w:r>
      <w:r w:rsidR="005D2C92" w:rsidRPr="00567473">
        <w:rPr>
          <w:spacing w:val="-2"/>
          <w:szCs w:val="22"/>
          <w:lang w:val="fr-FR"/>
        </w:rPr>
        <w:t>ICANN.</w:t>
      </w:r>
    </w:p>
    <w:p w:rsidR="00022FDB" w:rsidRDefault="00343ACE" w:rsidP="00567473">
      <w:pPr>
        <w:pStyle w:val="Heading3"/>
        <w:keepNext w:val="0"/>
        <w:numPr>
          <w:ilvl w:val="0"/>
          <w:numId w:val="0"/>
        </w:numPr>
        <w:ind w:left="567"/>
      </w:pPr>
      <w:r w:rsidRPr="00343ACE">
        <w:rPr>
          <w:u w:val="none"/>
        </w:rPr>
        <w:t>b)</w:t>
      </w:r>
      <w:r w:rsidRPr="00343ACE">
        <w:rPr>
          <w:u w:val="none"/>
        </w:rPr>
        <w:tab/>
      </w:r>
      <w:r w:rsidR="00022FDB" w:rsidRPr="00022FDB">
        <w:t>T</w:t>
      </w:r>
      <w:r w:rsidR="005D2C92" w:rsidRPr="00022FDB">
        <w:t>ermes géographiques</w:t>
      </w:r>
    </w:p>
    <w:p w:rsidR="00343ACE" w:rsidRPr="00343ACE" w:rsidRDefault="00343ACE" w:rsidP="00567473">
      <w:pPr>
        <w:rPr>
          <w:lang w:val="fr-FR"/>
        </w:rPr>
      </w:pPr>
    </w:p>
    <w:p w:rsidR="00567473" w:rsidRDefault="005D2C92" w:rsidP="00567473">
      <w:pPr>
        <w:pStyle w:val="ONUMFS"/>
        <w:rPr>
          <w:szCs w:val="22"/>
          <w:lang w:val="fr-FR"/>
        </w:rPr>
      </w:pPr>
      <w:r w:rsidRPr="00022FDB">
        <w:rPr>
          <w:szCs w:val="22"/>
          <w:lang w:val="fr-FR"/>
        </w:rPr>
        <w:t>En ce qui concerne les termes géographiques,</w:t>
      </w:r>
      <w:r w:rsidR="007E6414" w:rsidRPr="00022FDB">
        <w:rPr>
          <w:szCs w:val="22"/>
          <w:lang w:val="fr-FR"/>
        </w:rPr>
        <w:t xml:space="preserve"> le</w:t>
      </w:r>
      <w:r w:rsidR="007E6414">
        <w:rPr>
          <w:szCs w:val="22"/>
          <w:lang w:val="fr-FR"/>
        </w:rPr>
        <w:t> </w:t>
      </w:r>
      <w:r w:rsidR="007E6414" w:rsidRPr="00022FDB">
        <w:rPr>
          <w:szCs w:val="22"/>
          <w:lang w:val="fr-FR"/>
        </w:rPr>
        <w:t>GAC</w:t>
      </w:r>
      <w:r w:rsidRPr="00022FDB">
        <w:rPr>
          <w:szCs w:val="22"/>
          <w:lang w:val="fr-FR"/>
        </w:rPr>
        <w:t xml:space="preserve"> en particulier a exprimé des préoccupations quant à leur utilisation et leur protection dans les nouveaux </w:t>
      </w:r>
      <w:r w:rsidR="00567473">
        <w:rPr>
          <w:szCs w:val="22"/>
          <w:lang w:val="fr-FR"/>
        </w:rPr>
        <w:br/>
      </w:r>
    </w:p>
    <w:p w:rsidR="00567473" w:rsidRDefault="00567473">
      <w:pPr>
        <w:rPr>
          <w:szCs w:val="22"/>
          <w:lang w:val="fr-FR"/>
        </w:rPr>
      </w:pPr>
      <w:r>
        <w:rPr>
          <w:szCs w:val="22"/>
          <w:lang w:val="fr-FR"/>
        </w:rPr>
        <w:br w:type="page"/>
      </w:r>
    </w:p>
    <w:p w:rsidR="007E6414" w:rsidRDefault="005D2C92" w:rsidP="00567473">
      <w:pPr>
        <w:pStyle w:val="ONUMFS"/>
        <w:numPr>
          <w:ilvl w:val="0"/>
          <w:numId w:val="0"/>
        </w:numPr>
        <w:rPr>
          <w:szCs w:val="22"/>
          <w:lang w:val="fr-FR"/>
        </w:rPr>
      </w:pPr>
      <w:proofErr w:type="spellStart"/>
      <w:proofErr w:type="gramStart"/>
      <w:r w:rsidRPr="00022FDB">
        <w:rPr>
          <w:szCs w:val="22"/>
          <w:lang w:val="fr-FR"/>
        </w:rPr>
        <w:lastRenderedPageBreak/>
        <w:t>gTLD</w:t>
      </w:r>
      <w:proofErr w:type="spellEnd"/>
      <w:proofErr w:type="gramEnd"/>
      <w:r w:rsidRPr="00022FDB">
        <w:rPr>
          <w:rStyle w:val="FootnoteReference"/>
          <w:szCs w:val="22"/>
          <w:lang w:val="fr-FR"/>
        </w:rPr>
        <w:footnoteReference w:id="61"/>
      </w:r>
      <w:r w:rsidRPr="00022FDB">
        <w:rPr>
          <w:szCs w:val="22"/>
          <w:lang w:val="fr-FR"/>
        </w:rPr>
        <w:t>.</w:t>
      </w:r>
      <w:r w:rsidR="00166C30" w:rsidRPr="00022FDB">
        <w:rPr>
          <w:szCs w:val="22"/>
          <w:lang w:val="fr-FR"/>
        </w:rPr>
        <w:t xml:space="preserve">  </w:t>
      </w:r>
      <w:r w:rsidR="005139AE" w:rsidRPr="00022FDB">
        <w:rPr>
          <w:szCs w:val="22"/>
          <w:lang w:val="fr-FR"/>
        </w:rPr>
        <w:t xml:space="preserve">Pour </w:t>
      </w:r>
      <w:r w:rsidR="006E1BD0" w:rsidRPr="00022FDB">
        <w:rPr>
          <w:szCs w:val="22"/>
          <w:lang w:val="fr-FR"/>
        </w:rPr>
        <w:t>le premier niveau</w:t>
      </w:r>
      <w:r w:rsidR="006E1BD0" w:rsidRPr="00022FDB">
        <w:rPr>
          <w:rStyle w:val="FootnoteReference"/>
          <w:szCs w:val="22"/>
          <w:lang w:val="fr-FR"/>
        </w:rPr>
        <w:footnoteReference w:id="62"/>
      </w:r>
      <w:r w:rsidR="006E1BD0" w:rsidRPr="00022FDB">
        <w:rPr>
          <w:szCs w:val="22"/>
          <w:lang w:val="fr-FR"/>
        </w:rPr>
        <w:t xml:space="preserve">, le Guide </w:t>
      </w:r>
      <w:r w:rsidR="005139AE" w:rsidRPr="00022FDB">
        <w:rPr>
          <w:szCs w:val="22"/>
          <w:lang w:val="fr-FR"/>
        </w:rPr>
        <w:t>de</w:t>
      </w:r>
      <w:r w:rsidR="006E1BD0" w:rsidRPr="00022FDB">
        <w:rPr>
          <w:szCs w:val="22"/>
          <w:lang w:val="fr-FR"/>
        </w:rPr>
        <w:t xml:space="preserve"> candidat</w:t>
      </w:r>
      <w:r w:rsidR="005139AE" w:rsidRPr="00022FDB">
        <w:rPr>
          <w:szCs w:val="22"/>
          <w:lang w:val="fr-FR"/>
        </w:rPr>
        <w:t>ure</w:t>
      </w:r>
      <w:r w:rsidR="006E1BD0" w:rsidRPr="00022FDB">
        <w:rPr>
          <w:szCs w:val="22"/>
          <w:lang w:val="fr-FR"/>
        </w:rPr>
        <w:t xml:space="preserve"> de l</w:t>
      </w:r>
      <w:r w:rsidR="007E6414">
        <w:rPr>
          <w:szCs w:val="22"/>
          <w:lang w:val="fr-FR"/>
        </w:rPr>
        <w:t>’</w:t>
      </w:r>
      <w:r w:rsidR="006E1BD0" w:rsidRPr="00022FDB">
        <w:rPr>
          <w:szCs w:val="22"/>
          <w:lang w:val="fr-FR"/>
        </w:rPr>
        <w:t xml:space="preserve">ICANN stipule que </w:t>
      </w:r>
      <w:r w:rsidR="00515856" w:rsidRPr="00022FDB">
        <w:rPr>
          <w:szCs w:val="22"/>
          <w:lang w:val="fr-FR"/>
        </w:rPr>
        <w:t>“</w:t>
      </w:r>
      <w:r w:rsidR="006E1BD0" w:rsidRPr="00022FDB">
        <w:rPr>
          <w:szCs w:val="22"/>
          <w:lang w:val="fr-FR"/>
        </w:rPr>
        <w:t xml:space="preserve">les demandes portant sur des chaînes de caractères qui sont des noms de pays ou de territoires ne seront pas approuvées car elles ne sont pas prévues dans le programme relatif aux nouveaux </w:t>
      </w:r>
      <w:proofErr w:type="spellStart"/>
      <w:r w:rsidR="006E1BD0" w:rsidRPr="00022FDB">
        <w:rPr>
          <w:szCs w:val="22"/>
          <w:lang w:val="fr-FR"/>
        </w:rPr>
        <w:t>gTLD</w:t>
      </w:r>
      <w:proofErr w:type="spellEnd"/>
      <w:r w:rsidR="006E1BD0" w:rsidRPr="00022FDB">
        <w:rPr>
          <w:szCs w:val="22"/>
          <w:lang w:val="fr-FR"/>
        </w:rPr>
        <w:t xml:space="preserve"> pour cette série de demandes</w:t>
      </w:r>
      <w:r w:rsidR="00515856" w:rsidRPr="00022FDB">
        <w:rPr>
          <w:szCs w:val="22"/>
          <w:lang w:val="fr-FR"/>
        </w:rPr>
        <w:t>”</w:t>
      </w:r>
      <w:r w:rsidR="006E1BD0" w:rsidRPr="00022FDB">
        <w:rPr>
          <w:rStyle w:val="FootnoteReference"/>
          <w:szCs w:val="22"/>
          <w:lang w:val="fr-FR"/>
        </w:rPr>
        <w:footnoteReference w:id="63"/>
      </w:r>
      <w:r w:rsidR="006E1BD0" w:rsidRPr="00022FDB">
        <w:rPr>
          <w:szCs w:val="22"/>
          <w:lang w:val="fr-FR"/>
        </w:rPr>
        <w:t>.  Les chaînes de caractères présentée</w:t>
      </w:r>
      <w:r w:rsidR="005139AE" w:rsidRPr="00022FDB">
        <w:rPr>
          <w:szCs w:val="22"/>
          <w:lang w:val="fr-FR"/>
        </w:rPr>
        <w:t>s</w:t>
      </w:r>
      <w:r w:rsidR="006E1BD0" w:rsidRPr="00022FDB">
        <w:rPr>
          <w:szCs w:val="22"/>
          <w:lang w:val="fr-FR"/>
        </w:rPr>
        <w:t xml:space="preserve"> à l</w:t>
      </w:r>
      <w:r w:rsidR="007E6414">
        <w:rPr>
          <w:szCs w:val="22"/>
          <w:lang w:val="fr-FR"/>
        </w:rPr>
        <w:t>’</w:t>
      </w:r>
      <w:r w:rsidR="006E1BD0" w:rsidRPr="00022FDB">
        <w:rPr>
          <w:szCs w:val="22"/>
          <w:lang w:val="fr-FR"/>
        </w:rPr>
        <w:t>enregistrement que l</w:t>
      </w:r>
      <w:r w:rsidR="007E6414">
        <w:rPr>
          <w:szCs w:val="22"/>
          <w:lang w:val="fr-FR"/>
        </w:rPr>
        <w:t>’</w:t>
      </w:r>
      <w:r w:rsidR="006E1BD0" w:rsidRPr="00022FDB">
        <w:rPr>
          <w:szCs w:val="22"/>
          <w:lang w:val="fr-FR"/>
        </w:rPr>
        <w:t xml:space="preserve">ICANN </w:t>
      </w:r>
      <w:proofErr w:type="gramStart"/>
      <w:r w:rsidR="006E1BD0" w:rsidRPr="00022FDB">
        <w:rPr>
          <w:szCs w:val="22"/>
          <w:lang w:val="fr-FR"/>
        </w:rPr>
        <w:t>considère</w:t>
      </w:r>
      <w:proofErr w:type="gramEnd"/>
      <w:r w:rsidR="006E1BD0" w:rsidRPr="00022FDB">
        <w:rPr>
          <w:szCs w:val="22"/>
          <w:lang w:val="fr-FR"/>
        </w:rPr>
        <w:t xml:space="preserve"> comme </w:t>
      </w:r>
      <w:r w:rsidR="005139AE" w:rsidRPr="00022FDB">
        <w:rPr>
          <w:szCs w:val="22"/>
          <w:lang w:val="fr-FR"/>
        </w:rPr>
        <w:t xml:space="preserve">correspondant à </w:t>
      </w:r>
      <w:r w:rsidR="006E1BD0" w:rsidRPr="00022FDB">
        <w:rPr>
          <w:szCs w:val="22"/>
          <w:lang w:val="fr-FR"/>
        </w:rPr>
        <w:t>d</w:t>
      </w:r>
      <w:r w:rsidR="007E6414">
        <w:rPr>
          <w:szCs w:val="22"/>
          <w:lang w:val="fr-FR"/>
        </w:rPr>
        <w:t>’</w:t>
      </w:r>
      <w:r w:rsidR="006E1BD0" w:rsidRPr="00022FDB">
        <w:rPr>
          <w:szCs w:val="22"/>
          <w:lang w:val="fr-FR"/>
        </w:rPr>
        <w:t xml:space="preserve">autres </w:t>
      </w:r>
      <w:r w:rsidR="005139AE" w:rsidRPr="00022FDB">
        <w:rPr>
          <w:szCs w:val="22"/>
          <w:lang w:val="fr-FR"/>
        </w:rPr>
        <w:t xml:space="preserve">désignations </w:t>
      </w:r>
      <w:r w:rsidR="006E1BD0" w:rsidRPr="00022FDB">
        <w:rPr>
          <w:szCs w:val="22"/>
          <w:lang w:val="fr-FR"/>
        </w:rPr>
        <w:t>géographiques, par exemple des noms de capitales, doi</w:t>
      </w:r>
      <w:r w:rsidR="005139AE" w:rsidRPr="00022FDB">
        <w:rPr>
          <w:szCs w:val="22"/>
          <w:lang w:val="fr-FR"/>
        </w:rPr>
        <w:t>ve</w:t>
      </w:r>
      <w:r w:rsidR="00D81604">
        <w:rPr>
          <w:szCs w:val="22"/>
          <w:lang w:val="fr-FR"/>
        </w:rPr>
        <w:t>nt</w:t>
      </w:r>
      <w:r w:rsidR="006E1BD0" w:rsidRPr="00022FDB">
        <w:rPr>
          <w:szCs w:val="22"/>
          <w:lang w:val="fr-FR"/>
        </w:rPr>
        <w:t xml:space="preserve"> être accompagnées de pièces justificatives ou d</w:t>
      </w:r>
      <w:r w:rsidR="007E6414">
        <w:rPr>
          <w:szCs w:val="22"/>
          <w:lang w:val="fr-FR"/>
        </w:rPr>
        <w:t>’</w:t>
      </w:r>
      <w:r w:rsidR="005139AE" w:rsidRPr="00022FDB">
        <w:rPr>
          <w:szCs w:val="22"/>
          <w:lang w:val="fr-FR"/>
        </w:rPr>
        <w:t>une attestation de non</w:t>
      </w:r>
      <w:r w:rsidR="00687BC3">
        <w:rPr>
          <w:szCs w:val="22"/>
          <w:lang w:val="fr-FR"/>
        </w:rPr>
        <w:noBreakHyphen/>
      </w:r>
      <w:r w:rsidR="006E1BD0" w:rsidRPr="00022FDB">
        <w:rPr>
          <w:szCs w:val="22"/>
          <w:lang w:val="fr-FR"/>
        </w:rPr>
        <w:t>objection des gouvernements ou autorités publiques concernés</w:t>
      </w:r>
      <w:r w:rsidR="006E1BD0" w:rsidRPr="00022FDB">
        <w:rPr>
          <w:rStyle w:val="FootnoteReference"/>
          <w:szCs w:val="22"/>
          <w:lang w:val="fr-FR"/>
        </w:rPr>
        <w:footnoteReference w:id="64"/>
      </w:r>
      <w:r w:rsidR="006E1BD0" w:rsidRPr="00022FDB">
        <w:rPr>
          <w:szCs w:val="22"/>
          <w:lang w:val="fr-FR"/>
        </w:rPr>
        <w:t>.</w:t>
      </w:r>
    </w:p>
    <w:p w:rsidR="00022FDB" w:rsidRPr="00022FDB" w:rsidRDefault="00022FDB" w:rsidP="00022FDB">
      <w:pPr>
        <w:pStyle w:val="ONUMFS"/>
        <w:rPr>
          <w:szCs w:val="22"/>
          <w:lang w:val="fr-FR"/>
        </w:rPr>
      </w:pPr>
      <w:r w:rsidRPr="00022FDB">
        <w:rPr>
          <w:szCs w:val="22"/>
          <w:lang w:val="fr-FR"/>
        </w:rPr>
        <w:t>L</w:t>
      </w:r>
      <w:r w:rsidR="00D0663D" w:rsidRPr="00022FDB">
        <w:rPr>
          <w:szCs w:val="22"/>
          <w:lang w:val="fr-FR"/>
        </w:rPr>
        <w:t>es membres</w:t>
      </w:r>
      <w:r w:rsidR="007E6414" w:rsidRPr="00022FDB">
        <w:rPr>
          <w:szCs w:val="22"/>
          <w:lang w:val="fr-FR"/>
        </w:rPr>
        <w:t xml:space="preserve"> du</w:t>
      </w:r>
      <w:r w:rsidR="007E6414">
        <w:rPr>
          <w:szCs w:val="22"/>
          <w:lang w:val="fr-FR"/>
        </w:rPr>
        <w:t> </w:t>
      </w:r>
      <w:r w:rsidR="007E6414" w:rsidRPr="00022FDB">
        <w:rPr>
          <w:szCs w:val="22"/>
          <w:lang w:val="fr-FR"/>
        </w:rPr>
        <w:t>GAC</w:t>
      </w:r>
      <w:r w:rsidR="00D0663D" w:rsidRPr="00022FDB">
        <w:rPr>
          <w:szCs w:val="22"/>
          <w:lang w:val="fr-FR"/>
        </w:rPr>
        <w:t xml:space="preserve"> </w:t>
      </w:r>
      <w:r w:rsidR="0024545E" w:rsidRPr="00022FDB">
        <w:rPr>
          <w:szCs w:val="22"/>
          <w:lang w:val="fr-FR"/>
        </w:rPr>
        <w:t>ont</w:t>
      </w:r>
      <w:r w:rsidR="00D0663D" w:rsidRPr="00022FDB">
        <w:rPr>
          <w:szCs w:val="22"/>
          <w:lang w:val="fr-FR"/>
        </w:rPr>
        <w:t xml:space="preserve"> exprimé d</w:t>
      </w:r>
      <w:r w:rsidR="007E6414">
        <w:rPr>
          <w:szCs w:val="22"/>
          <w:lang w:val="fr-FR"/>
        </w:rPr>
        <w:t>’</w:t>
      </w:r>
      <w:r w:rsidR="00D0663D" w:rsidRPr="00022FDB">
        <w:rPr>
          <w:szCs w:val="22"/>
          <w:lang w:val="fr-FR"/>
        </w:rPr>
        <w:t xml:space="preserve">autres réserves concernant un certain nombre de demandes portant sur de </w:t>
      </w:r>
      <w:r w:rsidR="0024545E" w:rsidRPr="00022FDB">
        <w:rPr>
          <w:szCs w:val="22"/>
          <w:lang w:val="fr-FR"/>
        </w:rPr>
        <w:t>nouveaux</w:t>
      </w:r>
      <w:r w:rsidR="00D0663D" w:rsidRPr="00022FDB">
        <w:rPr>
          <w:szCs w:val="22"/>
          <w:lang w:val="fr-FR"/>
        </w:rPr>
        <w:t xml:space="preserve"> </w:t>
      </w:r>
      <w:proofErr w:type="spellStart"/>
      <w:r w:rsidR="00D0663D" w:rsidRPr="00022FDB">
        <w:rPr>
          <w:szCs w:val="22"/>
          <w:lang w:val="fr-FR"/>
        </w:rPr>
        <w:t>gTLD</w:t>
      </w:r>
      <w:proofErr w:type="spellEnd"/>
      <w:r w:rsidR="00D0663D" w:rsidRPr="00022FDB">
        <w:rPr>
          <w:szCs w:val="22"/>
          <w:lang w:val="fr-FR"/>
        </w:rPr>
        <w:t xml:space="preserve"> pour cause de correspondance avec des termes géographiques ou d</w:t>
      </w:r>
      <w:r w:rsidR="007E6414">
        <w:rPr>
          <w:szCs w:val="22"/>
          <w:lang w:val="fr-FR"/>
        </w:rPr>
        <w:t>’</w:t>
      </w:r>
      <w:r w:rsidR="00D0663D" w:rsidRPr="00022FDB">
        <w:rPr>
          <w:szCs w:val="22"/>
          <w:lang w:val="fr-FR"/>
        </w:rPr>
        <w:t xml:space="preserve">autres termes </w:t>
      </w:r>
      <w:r w:rsidR="00515856" w:rsidRPr="00022FDB">
        <w:rPr>
          <w:szCs w:val="22"/>
          <w:lang w:val="fr-FR"/>
        </w:rPr>
        <w:t>“</w:t>
      </w:r>
      <w:r w:rsidR="00D0663D" w:rsidRPr="00022FDB">
        <w:rPr>
          <w:szCs w:val="22"/>
          <w:lang w:val="fr-FR"/>
        </w:rPr>
        <w:t>sensibles</w:t>
      </w:r>
      <w:r w:rsidR="00515856" w:rsidRPr="00022FDB">
        <w:rPr>
          <w:szCs w:val="22"/>
          <w:lang w:val="fr-FR"/>
        </w:rPr>
        <w:t>”</w:t>
      </w:r>
      <w:r w:rsidR="00D0663D" w:rsidRPr="00022FDB">
        <w:rPr>
          <w:szCs w:val="22"/>
          <w:lang w:val="fr-FR"/>
        </w:rPr>
        <w:t>, recommandant au Conseil d</w:t>
      </w:r>
      <w:r w:rsidR="007E6414">
        <w:rPr>
          <w:szCs w:val="22"/>
          <w:lang w:val="fr-FR"/>
        </w:rPr>
        <w:t>’</w:t>
      </w:r>
      <w:r w:rsidR="00D0663D" w:rsidRPr="00022FDB">
        <w:rPr>
          <w:szCs w:val="22"/>
          <w:lang w:val="fr-FR"/>
        </w:rPr>
        <w:t>administration de l</w:t>
      </w:r>
      <w:r w:rsidR="007E6414">
        <w:rPr>
          <w:szCs w:val="22"/>
          <w:lang w:val="fr-FR"/>
        </w:rPr>
        <w:t>’</w:t>
      </w:r>
      <w:r w:rsidR="00D0663D" w:rsidRPr="00022FDB">
        <w:rPr>
          <w:szCs w:val="22"/>
          <w:lang w:val="fr-FR"/>
        </w:rPr>
        <w:t>ICANN de ne pas aller au</w:t>
      </w:r>
      <w:r w:rsidR="00687BC3">
        <w:rPr>
          <w:szCs w:val="22"/>
          <w:lang w:val="fr-FR"/>
        </w:rPr>
        <w:noBreakHyphen/>
      </w:r>
      <w:r w:rsidR="00D0663D" w:rsidRPr="00022FDB">
        <w:rPr>
          <w:szCs w:val="22"/>
          <w:lang w:val="fr-FR"/>
        </w:rPr>
        <w:t>delà d</w:t>
      </w:r>
      <w:r w:rsidR="007E6414">
        <w:rPr>
          <w:szCs w:val="22"/>
          <w:lang w:val="fr-FR"/>
        </w:rPr>
        <w:t>’</w:t>
      </w:r>
      <w:r w:rsidR="00D0663D" w:rsidRPr="00022FDB">
        <w:rPr>
          <w:szCs w:val="22"/>
          <w:lang w:val="fr-FR"/>
        </w:rPr>
        <w:t xml:space="preserve">une évaluation </w:t>
      </w:r>
      <w:r w:rsidR="0024545E" w:rsidRPr="00022FDB">
        <w:rPr>
          <w:szCs w:val="22"/>
          <w:lang w:val="fr-FR"/>
        </w:rPr>
        <w:t>initiale</w:t>
      </w:r>
      <w:r w:rsidR="00D0663D" w:rsidRPr="00022FDB">
        <w:rPr>
          <w:szCs w:val="22"/>
          <w:lang w:val="fr-FR"/>
        </w:rPr>
        <w:t xml:space="preserve"> et demandant des précisions au Conseil sur la possibilité pou</w:t>
      </w:r>
      <w:r w:rsidR="005139AE" w:rsidRPr="00022FDB">
        <w:rPr>
          <w:szCs w:val="22"/>
          <w:lang w:val="fr-FR"/>
        </w:rPr>
        <w:t>r les candidats de modifier le</w:t>
      </w:r>
      <w:r w:rsidR="00D0663D" w:rsidRPr="00022FDB">
        <w:rPr>
          <w:szCs w:val="22"/>
          <w:lang w:val="fr-FR"/>
        </w:rPr>
        <w:t xml:space="preserve">s demandes portant sur de nouveaux </w:t>
      </w:r>
      <w:proofErr w:type="spellStart"/>
      <w:r w:rsidR="00D0663D" w:rsidRPr="00022FDB">
        <w:rPr>
          <w:szCs w:val="22"/>
          <w:lang w:val="fr-FR"/>
        </w:rPr>
        <w:t>gTLD</w:t>
      </w:r>
      <w:proofErr w:type="spellEnd"/>
      <w:r w:rsidR="00D0663D" w:rsidRPr="00022FDB">
        <w:rPr>
          <w:szCs w:val="22"/>
          <w:lang w:val="fr-FR"/>
        </w:rPr>
        <w:t xml:space="preserve"> afin de tenir compte </w:t>
      </w:r>
      <w:r w:rsidR="0024545E" w:rsidRPr="00022FDB">
        <w:rPr>
          <w:szCs w:val="22"/>
          <w:lang w:val="fr-FR"/>
        </w:rPr>
        <w:t>des</w:t>
      </w:r>
      <w:r w:rsidR="00D0663D" w:rsidRPr="00022FDB">
        <w:rPr>
          <w:szCs w:val="22"/>
          <w:lang w:val="fr-FR"/>
        </w:rPr>
        <w:t xml:space="preserve"> préoccupations particulières</w:t>
      </w:r>
      <w:r w:rsidR="007E6414" w:rsidRPr="00022FDB">
        <w:rPr>
          <w:szCs w:val="22"/>
          <w:lang w:val="fr-FR"/>
        </w:rPr>
        <w:t xml:space="preserve"> du</w:t>
      </w:r>
      <w:r w:rsidR="007E6414">
        <w:rPr>
          <w:szCs w:val="22"/>
          <w:lang w:val="fr-FR"/>
        </w:rPr>
        <w:t> </w:t>
      </w:r>
      <w:r w:rsidR="007E6414" w:rsidRPr="00022FDB">
        <w:rPr>
          <w:szCs w:val="22"/>
          <w:lang w:val="fr-FR"/>
        </w:rPr>
        <w:t>GAC</w:t>
      </w:r>
      <w:r w:rsidR="00D0663D" w:rsidRPr="00022FDB">
        <w:rPr>
          <w:rStyle w:val="FootnoteReference"/>
          <w:szCs w:val="22"/>
          <w:lang w:val="fr-FR"/>
        </w:rPr>
        <w:footnoteReference w:id="65"/>
      </w:r>
      <w:r w:rsidR="00D0663D" w:rsidRPr="00022FDB">
        <w:rPr>
          <w:szCs w:val="22"/>
          <w:lang w:val="fr-FR"/>
        </w:rPr>
        <w:t>.</w:t>
      </w:r>
    </w:p>
    <w:p w:rsidR="007E6414" w:rsidRDefault="0024545E" w:rsidP="00022FDB">
      <w:pPr>
        <w:pStyle w:val="ONUMFS"/>
        <w:rPr>
          <w:szCs w:val="24"/>
          <w:lang w:val="fr-FR"/>
        </w:rPr>
      </w:pPr>
      <w:r w:rsidRPr="00022FDB">
        <w:rPr>
          <w:szCs w:val="22"/>
          <w:lang w:val="fr-FR"/>
        </w:rPr>
        <w:t>D</w:t>
      </w:r>
      <w:r w:rsidR="007E6414">
        <w:rPr>
          <w:szCs w:val="22"/>
          <w:lang w:val="fr-FR"/>
        </w:rPr>
        <w:t>’</w:t>
      </w:r>
      <w:r w:rsidRPr="00022FDB">
        <w:rPr>
          <w:szCs w:val="22"/>
          <w:lang w:val="fr-FR"/>
        </w:rPr>
        <w:t>une manière générale, le Centre s</w:t>
      </w:r>
      <w:r w:rsidR="007E6414">
        <w:rPr>
          <w:szCs w:val="22"/>
          <w:lang w:val="fr-FR"/>
        </w:rPr>
        <w:t>’</w:t>
      </w:r>
      <w:r w:rsidRPr="00022FDB">
        <w:rPr>
          <w:szCs w:val="22"/>
          <w:lang w:val="fr-FR"/>
        </w:rPr>
        <w:t>est efforcé d</w:t>
      </w:r>
      <w:r w:rsidR="007E6414">
        <w:rPr>
          <w:szCs w:val="22"/>
          <w:lang w:val="fr-FR"/>
        </w:rPr>
        <w:t>’</w:t>
      </w:r>
      <w:r w:rsidRPr="00022FDB">
        <w:rPr>
          <w:szCs w:val="22"/>
          <w:lang w:val="fr-FR"/>
        </w:rPr>
        <w:t>informer les secteurs compétents du Secrétariat des questions susmentionnées, notamment à l</w:t>
      </w:r>
      <w:r w:rsidR="007E6414">
        <w:rPr>
          <w:szCs w:val="22"/>
          <w:lang w:val="fr-FR"/>
        </w:rPr>
        <w:t>’</w:t>
      </w:r>
      <w:r w:rsidRPr="00022FDB">
        <w:rPr>
          <w:szCs w:val="22"/>
          <w:lang w:val="fr-FR"/>
        </w:rPr>
        <w:t>appui des travaux du Comité permanent du droit des marques, des dessins et modèles industriels et des indications géographiques (SCT)</w:t>
      </w:r>
      <w:r w:rsidRPr="00022FDB">
        <w:rPr>
          <w:rStyle w:val="FootnoteReference"/>
          <w:szCs w:val="22"/>
          <w:lang w:val="fr-FR"/>
        </w:rPr>
        <w:footnoteReference w:id="66"/>
      </w:r>
      <w:r w:rsidRPr="00022FDB">
        <w:rPr>
          <w:szCs w:val="22"/>
          <w:lang w:val="fr-FR"/>
        </w:rPr>
        <w:t>.  Le Secrétariat continuera de se tenir informé de ces évolutions et d</w:t>
      </w:r>
      <w:r w:rsidR="007E6414">
        <w:rPr>
          <w:szCs w:val="22"/>
          <w:lang w:val="fr-FR"/>
        </w:rPr>
        <w:t>’</w:t>
      </w:r>
      <w:r w:rsidRPr="00022FDB">
        <w:rPr>
          <w:szCs w:val="22"/>
          <w:lang w:val="fr-FR"/>
        </w:rPr>
        <w:t>y contribuer le cas échéant.</w:t>
      </w:r>
    </w:p>
    <w:p w:rsidR="0024545E" w:rsidRPr="00343ACE" w:rsidRDefault="0024545E" w:rsidP="00343ACE">
      <w:pPr>
        <w:pStyle w:val="ONUMFS"/>
        <w:ind w:left="5533"/>
        <w:rPr>
          <w:i/>
          <w:szCs w:val="22"/>
          <w:lang w:val="fr-FR"/>
        </w:rPr>
      </w:pPr>
      <w:r w:rsidRPr="00343ACE">
        <w:rPr>
          <w:i/>
          <w:szCs w:val="22"/>
          <w:lang w:val="fr-FR"/>
        </w:rPr>
        <w:t>L</w:t>
      </w:r>
      <w:r w:rsidR="007E6414">
        <w:rPr>
          <w:i/>
          <w:szCs w:val="22"/>
          <w:lang w:val="fr-FR"/>
        </w:rPr>
        <w:t>’</w:t>
      </w:r>
      <w:r w:rsidRPr="00343ACE">
        <w:rPr>
          <w:i/>
          <w:szCs w:val="22"/>
          <w:lang w:val="fr-FR"/>
        </w:rPr>
        <w:t>Assemblée générale de l</w:t>
      </w:r>
      <w:r w:rsidR="007E6414">
        <w:rPr>
          <w:i/>
          <w:szCs w:val="22"/>
          <w:lang w:val="fr-FR"/>
        </w:rPr>
        <w:t>’</w:t>
      </w:r>
      <w:r w:rsidRPr="00343ACE">
        <w:rPr>
          <w:i/>
          <w:szCs w:val="22"/>
          <w:lang w:val="fr-FR"/>
        </w:rPr>
        <w:t xml:space="preserve">OMPI est invitée à prendre note du contenu du document intitulé </w:t>
      </w:r>
      <w:r w:rsidR="00515856" w:rsidRPr="00343ACE">
        <w:rPr>
          <w:i/>
          <w:szCs w:val="22"/>
          <w:lang w:val="fr-FR"/>
        </w:rPr>
        <w:t>“</w:t>
      </w:r>
      <w:r w:rsidRPr="00343ACE">
        <w:rPr>
          <w:i/>
          <w:szCs w:val="22"/>
          <w:lang w:val="fr-FR"/>
        </w:rPr>
        <w:t>Centre d</w:t>
      </w:r>
      <w:r w:rsidR="007E6414">
        <w:rPr>
          <w:i/>
          <w:szCs w:val="22"/>
          <w:lang w:val="fr-FR"/>
        </w:rPr>
        <w:t>’</w:t>
      </w:r>
      <w:r w:rsidRPr="00343ACE">
        <w:rPr>
          <w:i/>
          <w:szCs w:val="22"/>
          <w:lang w:val="fr-FR"/>
        </w:rPr>
        <w:t>arbitrage et de médiation de l</w:t>
      </w:r>
      <w:r w:rsidR="007E6414">
        <w:rPr>
          <w:i/>
          <w:szCs w:val="22"/>
          <w:lang w:val="fr-FR"/>
        </w:rPr>
        <w:t>’</w:t>
      </w:r>
      <w:r w:rsidRPr="00343ACE">
        <w:rPr>
          <w:i/>
          <w:szCs w:val="22"/>
          <w:lang w:val="fr-FR"/>
        </w:rPr>
        <w:t xml:space="preserve">OMPI, </w:t>
      </w:r>
      <w:r w:rsidR="007E6414">
        <w:rPr>
          <w:i/>
          <w:szCs w:val="22"/>
          <w:lang w:val="fr-FR"/>
        </w:rPr>
        <w:t>y compris</w:t>
      </w:r>
      <w:r w:rsidRPr="00343ACE">
        <w:rPr>
          <w:i/>
          <w:szCs w:val="22"/>
          <w:lang w:val="fr-FR"/>
        </w:rPr>
        <w:t xml:space="preserve"> les noms de domaine</w:t>
      </w:r>
      <w:r w:rsidR="00515856" w:rsidRPr="00343ACE">
        <w:rPr>
          <w:i/>
          <w:szCs w:val="22"/>
          <w:lang w:val="fr-FR"/>
        </w:rPr>
        <w:t>”</w:t>
      </w:r>
      <w:r w:rsidRPr="00343ACE">
        <w:rPr>
          <w:i/>
          <w:szCs w:val="22"/>
          <w:lang w:val="fr-FR"/>
        </w:rPr>
        <w:t xml:space="preserve"> (</w:t>
      </w:r>
      <w:r w:rsidR="00D81604">
        <w:rPr>
          <w:i/>
          <w:szCs w:val="22"/>
          <w:lang w:val="fr-FR"/>
        </w:rPr>
        <w:t xml:space="preserve">document </w:t>
      </w:r>
      <w:r w:rsidRPr="00343ACE">
        <w:rPr>
          <w:i/>
          <w:szCs w:val="22"/>
          <w:lang w:val="fr-FR"/>
        </w:rPr>
        <w:t>WO/GA/47/14).</w:t>
      </w:r>
    </w:p>
    <w:p w:rsidR="0024545E" w:rsidRPr="00022FDB" w:rsidRDefault="0024545E" w:rsidP="00022FDB">
      <w:pPr>
        <w:pStyle w:val="Endofdocument-Annex"/>
        <w:rPr>
          <w:lang w:val="fr-FR"/>
        </w:rPr>
      </w:pPr>
    </w:p>
    <w:p w:rsidR="0024545E" w:rsidRPr="00022FDB" w:rsidRDefault="0024545E" w:rsidP="00022FDB">
      <w:pPr>
        <w:pStyle w:val="Endofdocument-Annex"/>
        <w:rPr>
          <w:lang w:val="fr-FR"/>
        </w:rPr>
      </w:pPr>
    </w:p>
    <w:p w:rsidR="002928D3" w:rsidRPr="00022FDB" w:rsidRDefault="0024545E" w:rsidP="00022FDB">
      <w:pPr>
        <w:pStyle w:val="Endofdocument-Annex"/>
        <w:rPr>
          <w:lang w:val="fr-FR"/>
        </w:rPr>
      </w:pPr>
      <w:r w:rsidRPr="00022FDB">
        <w:rPr>
          <w:lang w:val="fr-FR"/>
        </w:rPr>
        <w:t>[Fin du document]</w:t>
      </w:r>
    </w:p>
    <w:sectPr w:rsidR="002928D3" w:rsidRPr="00022FDB" w:rsidSect="007E641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618" w:rsidRDefault="00D04618">
      <w:r>
        <w:separator/>
      </w:r>
    </w:p>
  </w:endnote>
  <w:endnote w:type="continuationSeparator" w:id="0">
    <w:p w:rsidR="00D04618" w:rsidRDefault="00D04618" w:rsidP="003B38C1">
      <w:r>
        <w:separator/>
      </w:r>
    </w:p>
    <w:p w:rsidR="00D04618" w:rsidRPr="003B38C1" w:rsidRDefault="00D04618" w:rsidP="003B38C1">
      <w:pPr>
        <w:spacing w:after="60"/>
        <w:rPr>
          <w:sz w:val="17"/>
        </w:rPr>
      </w:pPr>
      <w:r>
        <w:rPr>
          <w:sz w:val="17"/>
        </w:rPr>
        <w:t>[Endnote continued from previous page]</w:t>
      </w:r>
    </w:p>
  </w:endnote>
  <w:endnote w:type="continuationNotice" w:id="1">
    <w:p w:rsidR="00D04618" w:rsidRPr="003B38C1" w:rsidRDefault="00D046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618" w:rsidRDefault="00D04618">
      <w:r>
        <w:separator/>
      </w:r>
    </w:p>
  </w:footnote>
  <w:footnote w:type="continuationSeparator" w:id="0">
    <w:p w:rsidR="00D04618" w:rsidRDefault="00D04618" w:rsidP="008B60B2">
      <w:r>
        <w:separator/>
      </w:r>
    </w:p>
    <w:p w:rsidR="00D04618" w:rsidRPr="009E31D7" w:rsidRDefault="00D04618" w:rsidP="008B60B2">
      <w:pPr>
        <w:spacing w:after="60"/>
        <w:rPr>
          <w:sz w:val="17"/>
          <w:szCs w:val="17"/>
          <w:lang w:val="fr-CH"/>
        </w:rPr>
      </w:pPr>
      <w:r w:rsidRPr="009E31D7">
        <w:rPr>
          <w:sz w:val="17"/>
          <w:szCs w:val="17"/>
          <w:lang w:val="fr-CH"/>
        </w:rPr>
        <w:t>[</w:t>
      </w:r>
      <w:r w:rsidR="00567473" w:rsidRPr="009E31D7">
        <w:rPr>
          <w:sz w:val="17"/>
          <w:szCs w:val="17"/>
          <w:lang w:val="fr-CH"/>
        </w:rPr>
        <w:t>Suite de la note de la page précédente</w:t>
      </w:r>
      <w:r w:rsidRPr="009E31D7">
        <w:rPr>
          <w:sz w:val="17"/>
          <w:szCs w:val="17"/>
          <w:lang w:val="fr-CH"/>
        </w:rPr>
        <w:t>]</w:t>
      </w:r>
    </w:p>
  </w:footnote>
  <w:footnote w:type="continuationNotice" w:id="1">
    <w:p w:rsidR="00D04618" w:rsidRPr="009E31D7" w:rsidRDefault="00D04618" w:rsidP="008B60B2">
      <w:pPr>
        <w:spacing w:before="60"/>
        <w:jc w:val="right"/>
        <w:rPr>
          <w:sz w:val="17"/>
          <w:szCs w:val="17"/>
          <w:lang w:val="fr-CH"/>
        </w:rPr>
      </w:pPr>
      <w:r w:rsidRPr="009E31D7">
        <w:rPr>
          <w:sz w:val="17"/>
          <w:szCs w:val="17"/>
          <w:lang w:val="fr-CH"/>
        </w:rPr>
        <w:t>[</w:t>
      </w:r>
      <w:r w:rsidR="00567473" w:rsidRPr="009E31D7">
        <w:rPr>
          <w:sz w:val="17"/>
          <w:szCs w:val="17"/>
          <w:lang w:val="fr-CH"/>
        </w:rPr>
        <w:t>Suite de la note page suivante</w:t>
      </w:r>
      <w:r w:rsidRPr="009E31D7">
        <w:rPr>
          <w:sz w:val="17"/>
          <w:szCs w:val="17"/>
          <w:lang w:val="fr-CH"/>
        </w:rPr>
        <w:t>]</w:t>
      </w:r>
    </w:p>
  </w:footnote>
  <w:footnote w:id="2">
    <w:p w:rsidR="00D04618" w:rsidRPr="002C4243" w:rsidRDefault="00D04618" w:rsidP="006D7FBE">
      <w:pPr>
        <w:pStyle w:val="FootnoteText"/>
        <w:rPr>
          <w:szCs w:val="18"/>
          <w:lang w:val="fr-FR"/>
        </w:rPr>
      </w:pPr>
      <w:r w:rsidRPr="002C4243">
        <w:rPr>
          <w:rStyle w:val="FootnoteReference"/>
          <w:szCs w:val="18"/>
          <w:lang w:val="fr-FR"/>
        </w:rPr>
        <w:footnoteRef/>
      </w:r>
      <w:r w:rsidRPr="002C4243">
        <w:rPr>
          <w:szCs w:val="18"/>
          <w:lang w:val="fr-FR"/>
        </w:rPr>
        <w:tab/>
        <w:t xml:space="preserve">Voir http://www.wipo.int/edocs/mdocs/govbody/en/wo_ga_46/wo_ga_46_8.pdf.  </w:t>
      </w:r>
    </w:p>
  </w:footnote>
  <w:footnote w:id="3">
    <w:p w:rsidR="00D04618" w:rsidRPr="002C4243" w:rsidRDefault="00D04618" w:rsidP="00292E27">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La liste des ateliers et autres manifestations organisés par le Centre figure à l</w:t>
      </w:r>
      <w:r w:rsidR="002C4243">
        <w:rPr>
          <w:szCs w:val="18"/>
          <w:lang w:val="fr-FR"/>
        </w:rPr>
        <w:t>’</w:t>
      </w:r>
      <w:r w:rsidRPr="002C4243">
        <w:rPr>
          <w:szCs w:val="18"/>
          <w:lang w:val="fr-FR"/>
        </w:rPr>
        <w:t>adresse http://www.wipo.int/amc/en/events.</w:t>
      </w:r>
    </w:p>
  </w:footnote>
  <w:footnote w:id="4">
    <w:p w:rsidR="00D04618" w:rsidRPr="002C4243" w:rsidRDefault="00D04618" w:rsidP="00292E27">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 système ECAF permet la communication et le stockage en ligne des documents, ce qui rend les procédures d</w:t>
      </w:r>
      <w:r w:rsidR="002C4243">
        <w:rPr>
          <w:szCs w:val="18"/>
          <w:lang w:val="fr-FR"/>
        </w:rPr>
        <w:t>’</w:t>
      </w:r>
      <w:r w:rsidRPr="002C4243">
        <w:rPr>
          <w:szCs w:val="18"/>
          <w:lang w:val="fr-FR"/>
        </w:rPr>
        <w:t xml:space="preserve">arbitrage et de médiation plus rapides et plus économiques.  Voir </w:t>
      </w:r>
      <w:r w:rsidRPr="00D81604">
        <w:rPr>
          <w:szCs w:val="18"/>
          <w:lang w:val="fr-FR"/>
        </w:rPr>
        <w:t>http://www.wipo.int/amc/fr/ecaf/index.html</w:t>
      </w:r>
      <w:r w:rsidRPr="002C4243">
        <w:rPr>
          <w:szCs w:val="18"/>
          <w:lang w:val="fr-FR"/>
        </w:rPr>
        <w:t>.</w:t>
      </w:r>
    </w:p>
  </w:footnote>
  <w:footnote w:id="5">
    <w:p w:rsidR="00D04618" w:rsidRPr="002C4243" w:rsidRDefault="00D04618" w:rsidP="00292E27">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http://www.wipo.int/amc/en/rules/newrules.html.</w:t>
      </w:r>
    </w:p>
  </w:footnote>
  <w:footnote w:id="6">
    <w:p w:rsidR="00D04618" w:rsidRPr="002C4243" w:rsidRDefault="00D04618" w:rsidP="00F717BE">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http://www.wipo.int/amc/en/center/specific</w:t>
      </w:r>
      <w:r w:rsidR="00687BC3">
        <w:rPr>
          <w:szCs w:val="18"/>
          <w:lang w:val="fr-FR"/>
        </w:rPr>
        <w:noBreakHyphen/>
      </w:r>
      <w:r w:rsidRPr="002C4243">
        <w:rPr>
          <w:szCs w:val="18"/>
          <w:lang w:val="fr-FR"/>
        </w:rPr>
        <w:t>sectors/ict/frand/.</w:t>
      </w:r>
    </w:p>
  </w:footnote>
  <w:footnote w:id="7">
    <w:p w:rsidR="00D04618" w:rsidRPr="002C4243" w:rsidRDefault="00D04618" w:rsidP="00F717BE">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Deux modèles différents sont proposés</w:t>
      </w:r>
      <w:r w:rsidR="0087649E">
        <w:rPr>
          <w:szCs w:val="18"/>
          <w:lang w:val="fr-FR"/>
        </w:rPr>
        <w:t> </w:t>
      </w:r>
      <w:r w:rsidRPr="002C4243">
        <w:rPr>
          <w:szCs w:val="18"/>
          <w:lang w:val="fr-FR"/>
        </w:rPr>
        <w:t>: i)</w:t>
      </w:r>
      <w:r w:rsidR="0087649E">
        <w:rPr>
          <w:szCs w:val="18"/>
          <w:lang w:val="fr-FR"/>
        </w:rPr>
        <w:t> </w:t>
      </w:r>
      <w:r w:rsidRPr="002C4243">
        <w:rPr>
          <w:szCs w:val="18"/>
          <w:lang w:val="fr-FR"/>
        </w:rPr>
        <w:t>l</w:t>
      </w:r>
      <w:r w:rsidR="002C4243">
        <w:rPr>
          <w:szCs w:val="18"/>
          <w:lang w:val="fr-FR"/>
        </w:rPr>
        <w:t>’</w:t>
      </w:r>
      <w:r w:rsidRPr="002C4243">
        <w:rPr>
          <w:szCs w:val="18"/>
          <w:lang w:val="fr-FR"/>
        </w:rPr>
        <w:t>arbitrage OMPI FRAND et</w:t>
      </w:r>
      <w:r w:rsidR="00687BC3">
        <w:rPr>
          <w:szCs w:val="18"/>
          <w:lang w:val="fr-FR"/>
        </w:rPr>
        <w:t> </w:t>
      </w:r>
      <w:r w:rsidRPr="002C4243">
        <w:rPr>
          <w:szCs w:val="18"/>
          <w:lang w:val="fr-FR"/>
        </w:rPr>
        <w:t>ii), pour des cas moins complexes, notamment lorsque le nombre de brevets essentiels pour la norme soumis à arbitrage est limité, l</w:t>
      </w:r>
      <w:r w:rsidR="002C4243">
        <w:rPr>
          <w:szCs w:val="18"/>
          <w:lang w:val="fr-FR"/>
        </w:rPr>
        <w:t>’</w:t>
      </w:r>
      <w:r w:rsidRPr="002C4243">
        <w:rPr>
          <w:szCs w:val="18"/>
          <w:lang w:val="fr-FR"/>
        </w:rPr>
        <w:t>arbitrage accéléré OMPI FRAND.</w:t>
      </w:r>
    </w:p>
  </w:footnote>
  <w:footnote w:id="8">
    <w:p w:rsidR="00D04618" w:rsidRPr="002C4243" w:rsidRDefault="00D04618" w:rsidP="00011017">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On peut citer notamment les collaborations multipartites financées par le Septième programme</w:t>
      </w:r>
      <w:r w:rsidR="00687BC3">
        <w:rPr>
          <w:szCs w:val="18"/>
          <w:lang w:val="fr-FR"/>
        </w:rPr>
        <w:noBreakHyphen/>
      </w:r>
      <w:r w:rsidRPr="002C4243">
        <w:rPr>
          <w:szCs w:val="18"/>
          <w:lang w:val="fr-FR"/>
        </w:rPr>
        <w:t>cadre (7</w:t>
      </w:r>
      <w:r w:rsidRPr="002C4243">
        <w:rPr>
          <w:szCs w:val="18"/>
          <w:vertAlign w:val="superscript"/>
          <w:lang w:val="fr-FR"/>
        </w:rPr>
        <w:t>e</w:t>
      </w:r>
      <w:r w:rsidRPr="002C4243">
        <w:rPr>
          <w:szCs w:val="18"/>
          <w:lang w:val="fr-FR"/>
        </w:rPr>
        <w:t xml:space="preserve"> PC) de l</w:t>
      </w:r>
      <w:r w:rsidR="002C4243">
        <w:rPr>
          <w:szCs w:val="18"/>
          <w:lang w:val="fr-FR"/>
        </w:rPr>
        <w:t>’</w:t>
      </w:r>
      <w:r w:rsidRPr="002C4243">
        <w:rPr>
          <w:szCs w:val="18"/>
          <w:lang w:val="fr-FR"/>
        </w:rPr>
        <w:t>Union européenne, dans le cadre desquelles les parties utilisent l</w:t>
      </w:r>
      <w:r w:rsidR="002C4243">
        <w:rPr>
          <w:szCs w:val="18"/>
          <w:lang w:val="fr-FR"/>
        </w:rPr>
        <w:t>’</w:t>
      </w:r>
      <w:r w:rsidRPr="002C4243">
        <w:rPr>
          <w:szCs w:val="18"/>
          <w:lang w:val="fr-FR"/>
        </w:rPr>
        <w:t xml:space="preserve">accord type de consortium </w:t>
      </w:r>
      <w:r w:rsidR="0065467E" w:rsidRPr="002C4243">
        <w:rPr>
          <w:szCs w:val="18"/>
          <w:lang w:val="fr-FR"/>
        </w:rPr>
        <w:t>“</w:t>
      </w:r>
      <w:r w:rsidRPr="002C4243">
        <w:rPr>
          <w:szCs w:val="18"/>
          <w:lang w:val="fr-FR"/>
        </w:rPr>
        <w:t>DESCA</w:t>
      </w:r>
      <w:r w:rsidR="0065467E" w:rsidRPr="002C4243">
        <w:rPr>
          <w:szCs w:val="18"/>
          <w:lang w:val="fr-FR"/>
        </w:rPr>
        <w:t>”</w:t>
      </w:r>
      <w:r w:rsidRPr="002C4243">
        <w:rPr>
          <w:szCs w:val="18"/>
          <w:lang w:val="fr-FR"/>
        </w:rPr>
        <w:t>, qui préconise le recours aux procédures de médiation et d</w:t>
      </w:r>
      <w:r w:rsidR="002C4243">
        <w:rPr>
          <w:szCs w:val="18"/>
          <w:lang w:val="fr-FR"/>
        </w:rPr>
        <w:t>’</w:t>
      </w:r>
      <w:r w:rsidRPr="002C4243">
        <w:rPr>
          <w:szCs w:val="18"/>
          <w:lang w:val="fr-FR"/>
        </w:rPr>
        <w:t>arbitrage accéléré de l</w:t>
      </w:r>
      <w:r w:rsidR="002C4243">
        <w:rPr>
          <w:szCs w:val="18"/>
          <w:lang w:val="fr-FR"/>
        </w:rPr>
        <w:t>’</w:t>
      </w:r>
      <w:r w:rsidRPr="002C4243">
        <w:rPr>
          <w:szCs w:val="18"/>
          <w:lang w:val="fr-FR"/>
        </w:rPr>
        <w:t xml:space="preserve">OMPI.  Cet accord type de consortium </w:t>
      </w:r>
      <w:r w:rsidR="0065467E" w:rsidRPr="002C4243">
        <w:rPr>
          <w:szCs w:val="18"/>
          <w:lang w:val="fr-FR"/>
        </w:rPr>
        <w:t>“</w:t>
      </w:r>
      <w:r w:rsidRPr="002C4243">
        <w:rPr>
          <w:szCs w:val="18"/>
          <w:lang w:val="fr-FR"/>
        </w:rPr>
        <w:t>DESCA</w:t>
      </w:r>
      <w:r w:rsidR="0065467E" w:rsidRPr="002C4243">
        <w:rPr>
          <w:szCs w:val="18"/>
          <w:lang w:val="fr-FR"/>
        </w:rPr>
        <w:t>”</w:t>
      </w:r>
      <w:r w:rsidRPr="002C4243">
        <w:rPr>
          <w:szCs w:val="18"/>
          <w:lang w:val="fr-FR"/>
        </w:rPr>
        <w:t xml:space="preserve"> (Élaboration d</w:t>
      </w:r>
      <w:r w:rsidR="002C4243">
        <w:rPr>
          <w:szCs w:val="18"/>
          <w:lang w:val="fr-FR"/>
        </w:rPr>
        <w:t>’</w:t>
      </w:r>
      <w:r w:rsidRPr="002C4243">
        <w:rPr>
          <w:szCs w:val="18"/>
          <w:lang w:val="fr-FR"/>
        </w:rPr>
        <w:t>un accord de consortium simple) était initialement destiné à des projets de recherche financés par la Commission européenne en vertu du Septième programme</w:t>
      </w:r>
      <w:r w:rsidR="00687BC3">
        <w:rPr>
          <w:szCs w:val="18"/>
          <w:lang w:val="fr-FR"/>
        </w:rPr>
        <w:noBreakHyphen/>
      </w:r>
      <w:r w:rsidRPr="002C4243">
        <w:rPr>
          <w:szCs w:val="18"/>
          <w:lang w:val="fr-FR"/>
        </w:rPr>
        <w:t>cadre (7</w:t>
      </w:r>
      <w:r w:rsidR="00687BC3">
        <w:rPr>
          <w:szCs w:val="18"/>
          <w:vertAlign w:val="superscript"/>
          <w:lang w:val="fr-FR"/>
        </w:rPr>
        <w:t>e</w:t>
      </w:r>
      <w:r w:rsidR="00687BC3" w:rsidRPr="00687BC3">
        <w:rPr>
          <w:szCs w:val="18"/>
          <w:lang w:val="fr-FR"/>
        </w:rPr>
        <w:t> </w:t>
      </w:r>
      <w:r w:rsidRPr="002C4243">
        <w:rPr>
          <w:szCs w:val="18"/>
          <w:lang w:val="fr-FR"/>
        </w:rPr>
        <w:t>PC).  On estime que l</w:t>
      </w:r>
      <w:r w:rsidR="002C4243">
        <w:rPr>
          <w:szCs w:val="18"/>
          <w:lang w:val="fr-FR"/>
        </w:rPr>
        <w:t>’</w:t>
      </w:r>
      <w:r w:rsidRPr="002C4243">
        <w:rPr>
          <w:szCs w:val="18"/>
          <w:lang w:val="fr-FR"/>
        </w:rPr>
        <w:t>accord type DESCA est utilisé par quelque 75% d</w:t>
      </w:r>
      <w:r w:rsidR="002C4243">
        <w:rPr>
          <w:szCs w:val="18"/>
          <w:lang w:val="fr-FR"/>
        </w:rPr>
        <w:t>’</w:t>
      </w:r>
      <w:r w:rsidRPr="002C4243">
        <w:rPr>
          <w:szCs w:val="18"/>
          <w:lang w:val="fr-FR"/>
        </w:rPr>
        <w:t>entreprises, d</w:t>
      </w:r>
      <w:r w:rsidR="002C4243">
        <w:rPr>
          <w:szCs w:val="18"/>
          <w:lang w:val="fr-FR"/>
        </w:rPr>
        <w:t>’</w:t>
      </w:r>
      <w:r w:rsidRPr="002C4243">
        <w:rPr>
          <w:szCs w:val="18"/>
          <w:lang w:val="fr-FR"/>
        </w:rPr>
        <w:t>organismes de recherche, d</w:t>
      </w:r>
      <w:r w:rsidR="002C4243">
        <w:rPr>
          <w:szCs w:val="18"/>
          <w:lang w:val="fr-FR"/>
        </w:rPr>
        <w:t>’</w:t>
      </w:r>
      <w:r w:rsidRPr="002C4243">
        <w:rPr>
          <w:szCs w:val="18"/>
          <w:lang w:val="fr-FR"/>
        </w:rPr>
        <w:t>universités et de particuliers participant à des projets de recherche transfrontières financés par le 7</w:t>
      </w:r>
      <w:r w:rsidRPr="002C4243">
        <w:rPr>
          <w:szCs w:val="18"/>
          <w:vertAlign w:val="superscript"/>
          <w:lang w:val="fr-FR"/>
        </w:rPr>
        <w:t>e</w:t>
      </w:r>
      <w:r w:rsidR="00687BC3">
        <w:rPr>
          <w:szCs w:val="18"/>
          <w:lang w:val="fr-FR"/>
        </w:rPr>
        <w:t> </w:t>
      </w:r>
      <w:r w:rsidRPr="002C4243">
        <w:rPr>
          <w:szCs w:val="18"/>
          <w:lang w:val="fr-FR"/>
        </w:rPr>
        <w:t>PC.  Voir http://www.desca</w:t>
      </w:r>
      <w:r w:rsidR="00687BC3">
        <w:rPr>
          <w:szCs w:val="18"/>
          <w:lang w:val="fr-FR"/>
        </w:rPr>
        <w:noBreakHyphen/>
      </w:r>
      <w:r w:rsidRPr="002C4243">
        <w:rPr>
          <w:szCs w:val="18"/>
          <w:lang w:val="fr-FR"/>
        </w:rPr>
        <w:t>fp7.eu/.</w:t>
      </w:r>
    </w:p>
  </w:footnote>
  <w:footnote w:id="9">
    <w:p w:rsidR="00D04618" w:rsidRPr="002C4243" w:rsidRDefault="00D04618" w:rsidP="00011017">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http://www.bmwi.de/English/Redaktion/Pdf/sample</w:t>
      </w:r>
      <w:r w:rsidR="002C4243">
        <w:rPr>
          <w:szCs w:val="18"/>
          <w:lang w:val="fr-FR"/>
        </w:rPr>
        <w:t>-</w:t>
      </w:r>
      <w:r w:rsidRPr="002C4243">
        <w:rPr>
          <w:szCs w:val="18"/>
          <w:lang w:val="fr-FR"/>
        </w:rPr>
        <w:t>agreements</w:t>
      </w:r>
      <w:r w:rsidR="002C4243">
        <w:rPr>
          <w:szCs w:val="18"/>
          <w:lang w:val="fr-FR"/>
        </w:rPr>
        <w:t>-</w:t>
      </w:r>
      <w:r w:rsidRPr="002C4243">
        <w:rPr>
          <w:szCs w:val="18"/>
          <w:lang w:val="fr-FR"/>
        </w:rPr>
        <w:t>for</w:t>
      </w:r>
      <w:r w:rsidR="002C4243">
        <w:rPr>
          <w:szCs w:val="18"/>
          <w:lang w:val="fr-FR"/>
        </w:rPr>
        <w:t>-</w:t>
      </w:r>
      <w:r w:rsidRPr="002C4243">
        <w:rPr>
          <w:szCs w:val="18"/>
          <w:lang w:val="fr-FR"/>
        </w:rPr>
        <w:t>research</w:t>
      </w:r>
      <w:r w:rsidR="002C4243">
        <w:rPr>
          <w:szCs w:val="18"/>
          <w:lang w:val="fr-FR"/>
        </w:rPr>
        <w:t>-</w:t>
      </w:r>
      <w:r w:rsidRPr="002C4243">
        <w:rPr>
          <w:szCs w:val="18"/>
          <w:lang w:val="fr-FR"/>
        </w:rPr>
        <w:t>and</w:t>
      </w:r>
      <w:r w:rsidR="002C4243">
        <w:rPr>
          <w:szCs w:val="18"/>
          <w:lang w:val="fr-FR"/>
        </w:rPr>
        <w:t>-</w:t>
      </w:r>
      <w:r w:rsidRPr="002C4243">
        <w:rPr>
          <w:szCs w:val="18"/>
          <w:lang w:val="fr-FR"/>
        </w:rPr>
        <w:t>development</w:t>
      </w:r>
      <w:r w:rsidR="002C4243">
        <w:rPr>
          <w:szCs w:val="18"/>
          <w:lang w:val="fr-FR"/>
        </w:rPr>
        <w:t>-</w:t>
      </w:r>
      <w:r w:rsidRPr="002C4243">
        <w:rPr>
          <w:szCs w:val="18"/>
          <w:lang w:val="fr-FR"/>
        </w:rPr>
        <w:t>cooperation,property=pdf,bereich=bmwi,sprache=en,rwb=true.pdf.</w:t>
      </w:r>
    </w:p>
  </w:footnote>
  <w:footnote w:id="10">
    <w:p w:rsidR="00D04618" w:rsidRPr="002C4243" w:rsidRDefault="00D04618" w:rsidP="00011017">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http://www.wipo.int/amc/en/center/specific</w:t>
      </w:r>
      <w:r w:rsidR="002C4243">
        <w:rPr>
          <w:szCs w:val="18"/>
          <w:lang w:val="fr-FR"/>
        </w:rPr>
        <w:t>-</w:t>
      </w:r>
      <w:r w:rsidR="00687BC3">
        <w:rPr>
          <w:szCs w:val="18"/>
          <w:lang w:val="fr-FR"/>
        </w:rPr>
        <w:t>sectors/rd/ipag/.</w:t>
      </w:r>
    </w:p>
  </w:footnote>
  <w:footnote w:id="11">
    <w:p w:rsidR="00D04618" w:rsidRPr="002C4243" w:rsidRDefault="00D04618" w:rsidP="00910FA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http://www.wipo.int/amc/en/center/specific</w:t>
      </w:r>
      <w:r w:rsidR="002C4243">
        <w:rPr>
          <w:szCs w:val="18"/>
          <w:lang w:val="fr-FR"/>
        </w:rPr>
        <w:t>-</w:t>
      </w:r>
      <w:r w:rsidRPr="002C4243">
        <w:rPr>
          <w:szCs w:val="18"/>
          <w:lang w:val="fr-FR"/>
        </w:rPr>
        <w:t>sectors/franchising/.</w:t>
      </w:r>
    </w:p>
  </w:footnote>
  <w:footnote w:id="12">
    <w:p w:rsidR="00D04618" w:rsidRPr="002C4243" w:rsidRDefault="00D04618" w:rsidP="00910FA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La gestion des noms et adresses de l</w:t>
      </w:r>
      <w:r w:rsidR="002C4243">
        <w:rPr>
          <w:szCs w:val="18"/>
          <w:lang w:val="fr-FR"/>
        </w:rPr>
        <w:t>’</w:t>
      </w:r>
      <w:r w:rsidRPr="002C4243">
        <w:rPr>
          <w:szCs w:val="18"/>
          <w:lang w:val="fr-FR"/>
        </w:rPr>
        <w:t>Internet – questions de propriété intellectuelle – rapport final concernant le premier processus de consultations de l</w:t>
      </w:r>
      <w:r w:rsidR="002C4243">
        <w:rPr>
          <w:szCs w:val="18"/>
          <w:lang w:val="fr-FR"/>
        </w:rPr>
        <w:t>’</w:t>
      </w:r>
      <w:r w:rsidRPr="002C4243">
        <w:rPr>
          <w:szCs w:val="18"/>
          <w:lang w:val="fr-FR"/>
        </w:rPr>
        <w:t>OMPI sur les noms de domaine, publication de l</w:t>
      </w:r>
      <w:r w:rsidR="002C4243">
        <w:rPr>
          <w:szCs w:val="18"/>
          <w:lang w:val="fr-FR"/>
        </w:rPr>
        <w:t>’</w:t>
      </w:r>
      <w:r w:rsidRPr="002C4243">
        <w:rPr>
          <w:szCs w:val="18"/>
          <w:lang w:val="fr-FR"/>
        </w:rPr>
        <w:t>OMPI n°</w:t>
      </w:r>
      <w:r w:rsidR="0087649E">
        <w:rPr>
          <w:szCs w:val="18"/>
          <w:lang w:val="fr-FR"/>
        </w:rPr>
        <w:t> </w:t>
      </w:r>
      <w:r w:rsidRPr="002C4243">
        <w:rPr>
          <w:szCs w:val="18"/>
          <w:lang w:val="fr-FR"/>
        </w:rPr>
        <w:t>439, également disponible à l</w:t>
      </w:r>
      <w:r w:rsidR="002C4243">
        <w:rPr>
          <w:szCs w:val="18"/>
          <w:lang w:val="fr-FR"/>
        </w:rPr>
        <w:t>’</w:t>
      </w:r>
      <w:r w:rsidRPr="002C4243">
        <w:rPr>
          <w:szCs w:val="18"/>
          <w:lang w:val="fr-FR"/>
        </w:rPr>
        <w:t>adresse http://www.wipo.int/amc/fr/processes/process1/report.</w:t>
      </w:r>
    </w:p>
  </w:footnote>
  <w:footnote w:id="13">
    <w:p w:rsidR="00D04618" w:rsidRPr="002C4243" w:rsidRDefault="00D04618" w:rsidP="00910FA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La reconnaissance des droits et l</w:t>
      </w:r>
      <w:r w:rsidR="002C4243">
        <w:rPr>
          <w:szCs w:val="18"/>
          <w:lang w:val="fr-FR"/>
        </w:rPr>
        <w:t>’</w:t>
      </w:r>
      <w:r w:rsidRPr="002C4243">
        <w:rPr>
          <w:szCs w:val="18"/>
          <w:lang w:val="fr-FR"/>
        </w:rPr>
        <w:t>utilisation des noms dans le système des noms de domaine de l</w:t>
      </w:r>
      <w:r w:rsidR="002C4243">
        <w:rPr>
          <w:szCs w:val="18"/>
          <w:lang w:val="fr-FR"/>
        </w:rPr>
        <w:t>’</w:t>
      </w:r>
      <w:r w:rsidRPr="002C4243">
        <w:rPr>
          <w:szCs w:val="18"/>
          <w:lang w:val="fr-FR"/>
        </w:rPr>
        <w:t>Internet – rapport concernant le deuxième processus de consultations de l</w:t>
      </w:r>
      <w:r w:rsidR="002C4243">
        <w:rPr>
          <w:szCs w:val="18"/>
          <w:lang w:val="fr-FR"/>
        </w:rPr>
        <w:t>’</w:t>
      </w:r>
      <w:r w:rsidRPr="002C4243">
        <w:rPr>
          <w:szCs w:val="18"/>
          <w:lang w:val="fr-FR"/>
        </w:rPr>
        <w:t>OMPI sur les noms de domaine de l</w:t>
      </w:r>
      <w:r w:rsidR="002C4243">
        <w:rPr>
          <w:szCs w:val="18"/>
          <w:lang w:val="fr-FR"/>
        </w:rPr>
        <w:t>’</w:t>
      </w:r>
      <w:r w:rsidRPr="002C4243">
        <w:rPr>
          <w:szCs w:val="18"/>
          <w:lang w:val="fr-FR"/>
        </w:rPr>
        <w:t>Internet, publication de l</w:t>
      </w:r>
      <w:r w:rsidR="002C4243">
        <w:rPr>
          <w:szCs w:val="18"/>
          <w:lang w:val="fr-FR"/>
        </w:rPr>
        <w:t>’</w:t>
      </w:r>
      <w:r w:rsidRPr="002C4243">
        <w:rPr>
          <w:szCs w:val="18"/>
          <w:lang w:val="fr-FR"/>
        </w:rPr>
        <w:t>OMPI n°</w:t>
      </w:r>
      <w:r w:rsidR="0087649E">
        <w:rPr>
          <w:szCs w:val="18"/>
          <w:lang w:val="fr-FR"/>
        </w:rPr>
        <w:t> </w:t>
      </w:r>
      <w:r w:rsidRPr="002C4243">
        <w:rPr>
          <w:szCs w:val="18"/>
          <w:lang w:val="fr-FR"/>
        </w:rPr>
        <w:t>843, également disponible à l</w:t>
      </w:r>
      <w:r w:rsidR="002C4243">
        <w:rPr>
          <w:szCs w:val="18"/>
          <w:lang w:val="fr-FR"/>
        </w:rPr>
        <w:t>’</w:t>
      </w:r>
      <w:r w:rsidRPr="002C4243">
        <w:rPr>
          <w:szCs w:val="18"/>
          <w:lang w:val="fr-FR"/>
        </w:rPr>
        <w:t>adresse http://www.wipo.int/amc/fr/processes/process2/report.</w:t>
      </w:r>
    </w:p>
  </w:footnote>
  <w:footnote w:id="14">
    <w:p w:rsidR="00D04618" w:rsidRPr="002C4243" w:rsidRDefault="00D04618" w:rsidP="00910FA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Les principes UDRP ne préjugent pas du droit des parties de saisir un tribunal compétent, mais rares sont les litiges ayant fait l</w:t>
      </w:r>
      <w:r w:rsidR="002C4243">
        <w:rPr>
          <w:szCs w:val="18"/>
          <w:lang w:val="fr-FR"/>
        </w:rPr>
        <w:t>’</w:t>
      </w:r>
      <w:r w:rsidRPr="002C4243">
        <w:rPr>
          <w:szCs w:val="18"/>
          <w:lang w:val="fr-FR"/>
        </w:rPr>
        <w:t>objet d</w:t>
      </w:r>
      <w:r w:rsidR="002C4243">
        <w:rPr>
          <w:szCs w:val="18"/>
          <w:lang w:val="fr-FR"/>
        </w:rPr>
        <w:t>’</w:t>
      </w:r>
      <w:r w:rsidRPr="002C4243">
        <w:rPr>
          <w:szCs w:val="18"/>
          <w:lang w:val="fr-FR"/>
        </w:rPr>
        <w:t>un règlement au titre de ces principes qui ont également été portés devant un tribunal national.  Voir le Recueil de jurisprudenc</w:t>
      </w:r>
      <w:r w:rsidR="00687BC3">
        <w:rPr>
          <w:szCs w:val="18"/>
          <w:lang w:val="fr-FR"/>
        </w:rPr>
        <w:t>e en rapport avec les principes </w:t>
      </w:r>
      <w:r w:rsidRPr="002C4243">
        <w:rPr>
          <w:szCs w:val="18"/>
          <w:lang w:val="fr-FR"/>
        </w:rPr>
        <w:t>UDRP à l</w:t>
      </w:r>
      <w:r w:rsidR="002C4243">
        <w:rPr>
          <w:szCs w:val="18"/>
          <w:lang w:val="fr-FR"/>
        </w:rPr>
        <w:t>’</w:t>
      </w:r>
      <w:r w:rsidRPr="002C4243">
        <w:rPr>
          <w:szCs w:val="18"/>
          <w:lang w:val="fr-FR"/>
        </w:rPr>
        <w:t>adresse suivante</w:t>
      </w:r>
      <w:r w:rsidR="0087649E">
        <w:rPr>
          <w:szCs w:val="18"/>
          <w:lang w:val="fr-FR"/>
        </w:rPr>
        <w:t> </w:t>
      </w:r>
      <w:r w:rsidRPr="002C4243">
        <w:rPr>
          <w:szCs w:val="18"/>
          <w:lang w:val="fr-FR"/>
        </w:rPr>
        <w:t>: http://www.wipo.int/amc/fr/domains/challenged.</w:t>
      </w:r>
    </w:p>
  </w:footnote>
  <w:footnote w:id="15">
    <w:p w:rsidR="00D04618" w:rsidRPr="002C4243" w:rsidRDefault="00D04618" w:rsidP="00910FA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 Centre publie en ligne des statistiques actualisées pour aider les parties à un litige, les experts, les conseils en marques, les détenteurs de noms de domaine enregistrés, les responsables des politiques applicables aux noms de domaine, les journalistes et les chercheurs.  Les statistiques disponibles englobent de nombreuses catégories, dont le domaine d</w:t>
      </w:r>
      <w:r w:rsidR="002C4243">
        <w:rPr>
          <w:szCs w:val="18"/>
          <w:lang w:val="fr-FR"/>
        </w:rPr>
        <w:t>’</w:t>
      </w:r>
      <w:r w:rsidRPr="002C4243">
        <w:rPr>
          <w:szCs w:val="18"/>
          <w:lang w:val="fr-FR"/>
        </w:rPr>
        <w:t>activité du requérant, les caractères de rédact</w:t>
      </w:r>
      <w:r w:rsidR="00687BC3">
        <w:rPr>
          <w:szCs w:val="18"/>
          <w:lang w:val="fr-FR"/>
        </w:rPr>
        <w:t>ion du nom de domaine et les 25 </w:t>
      </w:r>
      <w:r w:rsidRPr="002C4243">
        <w:rPr>
          <w:szCs w:val="18"/>
          <w:lang w:val="fr-FR"/>
        </w:rPr>
        <w:t xml:space="preserve">décisions les plus souvent citées dans les plaintes.  Voir http://www.wipo.int/amc/en/domains/statistics. </w:t>
      </w:r>
      <w:r w:rsidR="0087649E">
        <w:rPr>
          <w:szCs w:val="18"/>
          <w:lang w:val="fr-FR"/>
        </w:rPr>
        <w:t xml:space="preserve"> </w:t>
      </w:r>
    </w:p>
  </w:footnote>
  <w:footnote w:id="16">
    <w:p w:rsidR="00D04618" w:rsidRPr="002C4243" w:rsidRDefault="00D04618" w:rsidP="003548F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Par ordre alphabétique</w:t>
      </w:r>
      <w:r w:rsidR="0087649E">
        <w:rPr>
          <w:szCs w:val="18"/>
          <w:lang w:val="fr-FR"/>
        </w:rPr>
        <w:t> </w:t>
      </w:r>
      <w:r w:rsidRPr="002C4243">
        <w:rPr>
          <w:szCs w:val="18"/>
          <w:lang w:val="fr-FR"/>
        </w:rPr>
        <w:t>: allemand, anglais, chinois, coréen, danois, espagnol, français, hébreu, italien, japonais, néerlandais, norvégien, polonais, portugais, roumain, russe, slovaque, suédois, tchèque, turc et vietnamien.</w:t>
      </w:r>
    </w:p>
  </w:footnote>
  <w:footnote w:id="17">
    <w:p w:rsidR="00D04618" w:rsidRPr="002C4243" w:rsidRDefault="00D04618" w:rsidP="00B41AF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w:t>
      </w:r>
      <w:r w:rsidR="002C4243">
        <w:rPr>
          <w:szCs w:val="18"/>
          <w:lang w:val="fr-FR"/>
        </w:rPr>
        <w:t>’</w:t>
      </w:r>
      <w:r w:rsidRPr="002C4243">
        <w:rPr>
          <w:szCs w:val="18"/>
          <w:lang w:val="fr-FR"/>
        </w:rPr>
        <w:t>aperçu est disponible à l</w:t>
      </w:r>
      <w:r w:rsidR="002C4243">
        <w:rPr>
          <w:szCs w:val="18"/>
          <w:lang w:val="fr-FR"/>
        </w:rPr>
        <w:t>’</w:t>
      </w:r>
      <w:r w:rsidRPr="002C4243">
        <w:rPr>
          <w:szCs w:val="18"/>
          <w:lang w:val="fr-FR"/>
        </w:rPr>
        <w:t>adresse suivante</w:t>
      </w:r>
      <w:r w:rsidR="0087649E">
        <w:rPr>
          <w:szCs w:val="18"/>
          <w:lang w:val="fr-FR"/>
        </w:rPr>
        <w:t> </w:t>
      </w:r>
      <w:r w:rsidRPr="002C4243">
        <w:rPr>
          <w:szCs w:val="18"/>
          <w:lang w:val="fr-FR"/>
        </w:rPr>
        <w:t>: http://www.wipo.int/amc/en/domains/search/overview2.0.</w:t>
      </w:r>
    </w:p>
  </w:footnote>
  <w:footnote w:id="18">
    <w:p w:rsidR="00D04618" w:rsidRPr="002C4243" w:rsidRDefault="00D04618" w:rsidP="00B41AF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Cette ressource professionnelle est disponible à l</w:t>
      </w:r>
      <w:r w:rsidR="002C4243">
        <w:rPr>
          <w:szCs w:val="18"/>
          <w:lang w:val="fr-FR"/>
        </w:rPr>
        <w:t>’</w:t>
      </w:r>
      <w:r w:rsidRPr="002C4243">
        <w:rPr>
          <w:szCs w:val="18"/>
          <w:lang w:val="fr-FR"/>
        </w:rPr>
        <w:t>adresse suivante</w:t>
      </w:r>
      <w:r w:rsidR="0087649E">
        <w:rPr>
          <w:szCs w:val="18"/>
          <w:lang w:val="fr-FR"/>
        </w:rPr>
        <w:t> </w:t>
      </w:r>
      <w:r w:rsidRPr="002C4243">
        <w:rPr>
          <w:szCs w:val="18"/>
          <w:lang w:val="fr-FR"/>
        </w:rPr>
        <w:t>: http://www.wipo.int/cgi</w:t>
      </w:r>
      <w:r w:rsidR="002C4243">
        <w:rPr>
          <w:szCs w:val="18"/>
          <w:lang w:val="fr-FR"/>
        </w:rPr>
        <w:t>-</w:t>
      </w:r>
      <w:r w:rsidRPr="002C4243">
        <w:rPr>
          <w:szCs w:val="18"/>
          <w:lang w:val="fr-FR"/>
        </w:rPr>
        <w:t>bin/domains/search/legalindex.</w:t>
      </w:r>
    </w:p>
  </w:footnote>
  <w:footnote w:id="19">
    <w:p w:rsidR="00D04618" w:rsidRPr="002C4243" w:rsidRDefault="00D04618" w:rsidP="00B41AF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par exemple les paragraphes</w:t>
      </w:r>
      <w:r w:rsidR="0087649E">
        <w:rPr>
          <w:szCs w:val="18"/>
          <w:lang w:val="fr-FR"/>
        </w:rPr>
        <w:t> </w:t>
      </w:r>
      <w:r w:rsidRPr="002C4243">
        <w:rPr>
          <w:szCs w:val="18"/>
          <w:lang w:val="fr-FR"/>
        </w:rPr>
        <w:t>14 à 16 du document WO/GA/41/17</w:t>
      </w:r>
      <w:r w:rsidR="0087649E">
        <w:rPr>
          <w:szCs w:val="18"/>
          <w:lang w:val="fr-FR"/>
        </w:rPr>
        <w:t> </w:t>
      </w:r>
      <w:r w:rsidRPr="002C4243">
        <w:rPr>
          <w:szCs w:val="18"/>
          <w:lang w:val="fr-FR"/>
        </w:rPr>
        <w:t>Rev.2.</w:t>
      </w:r>
    </w:p>
  </w:footnote>
  <w:footnote w:id="20">
    <w:p w:rsidR="00D04618" w:rsidRPr="002C4243" w:rsidRDefault="00D04618" w:rsidP="00B41AF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la note 2 ci</w:t>
      </w:r>
      <w:r w:rsidR="00687BC3">
        <w:rPr>
          <w:szCs w:val="18"/>
          <w:lang w:val="fr-FR"/>
        </w:rPr>
        <w:noBreakHyphen/>
      </w:r>
      <w:r w:rsidRPr="002C4243">
        <w:rPr>
          <w:szCs w:val="18"/>
          <w:lang w:val="fr-FR"/>
        </w:rPr>
        <w:t>dessus.</w:t>
      </w:r>
    </w:p>
  </w:footnote>
  <w:footnote w:id="21">
    <w:p w:rsidR="00D04618" w:rsidRPr="002C4243" w:rsidRDefault="00D04618" w:rsidP="00B41AF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La liste complète des </w:t>
      </w:r>
      <w:proofErr w:type="spellStart"/>
      <w:r w:rsidRPr="002C4243">
        <w:rPr>
          <w:szCs w:val="18"/>
          <w:lang w:val="fr-FR"/>
        </w:rPr>
        <w:t>ccTLD</w:t>
      </w:r>
      <w:proofErr w:type="spellEnd"/>
      <w:r w:rsidRPr="002C4243">
        <w:rPr>
          <w:szCs w:val="18"/>
          <w:lang w:val="fr-FR"/>
        </w:rPr>
        <w:t xml:space="preserve"> qui ont désigné le Centre comme prestataire de services de règlement des litiges relatifs aux noms de domaine est disponible à l</w:t>
      </w:r>
      <w:r w:rsidR="002C4243">
        <w:rPr>
          <w:szCs w:val="18"/>
          <w:lang w:val="fr-FR"/>
        </w:rPr>
        <w:t>’</w:t>
      </w:r>
      <w:r w:rsidRPr="002C4243">
        <w:rPr>
          <w:szCs w:val="18"/>
          <w:lang w:val="fr-FR"/>
        </w:rPr>
        <w:t>adresse suivante</w:t>
      </w:r>
      <w:r w:rsidR="0087649E">
        <w:rPr>
          <w:szCs w:val="18"/>
          <w:lang w:val="fr-FR"/>
        </w:rPr>
        <w:t> </w:t>
      </w:r>
      <w:r w:rsidRPr="002C4243">
        <w:rPr>
          <w:szCs w:val="18"/>
          <w:lang w:val="fr-FR"/>
        </w:rPr>
        <w:t>: http://www.wipo.int/amc/fr/domains/cctld.</w:t>
      </w:r>
    </w:p>
  </w:footnote>
  <w:footnote w:id="22">
    <w:p w:rsidR="00D04618" w:rsidRPr="002C4243" w:rsidRDefault="00D04618" w:rsidP="003E102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http://www.icann.org/fr/minutes/resolutions</w:t>
      </w:r>
      <w:r w:rsidR="002C4243">
        <w:rPr>
          <w:szCs w:val="18"/>
          <w:lang w:val="fr-FR"/>
        </w:rPr>
        <w:t>-</w:t>
      </w:r>
      <w:r w:rsidRPr="002C4243">
        <w:rPr>
          <w:szCs w:val="18"/>
          <w:lang w:val="fr-FR"/>
        </w:rPr>
        <w:t>20jun11</w:t>
      </w:r>
      <w:r w:rsidR="002C4243">
        <w:rPr>
          <w:szCs w:val="18"/>
          <w:lang w:val="fr-FR"/>
        </w:rPr>
        <w:t>-</w:t>
      </w:r>
      <w:r w:rsidRPr="002C4243">
        <w:rPr>
          <w:szCs w:val="18"/>
          <w:lang w:val="fr-FR"/>
        </w:rPr>
        <w:t>fr.htm.  Pour davantage d</w:t>
      </w:r>
      <w:r w:rsidR="002C4243">
        <w:rPr>
          <w:szCs w:val="18"/>
          <w:lang w:val="fr-FR"/>
        </w:rPr>
        <w:t>’</w:t>
      </w:r>
      <w:r w:rsidRPr="002C4243">
        <w:rPr>
          <w:szCs w:val="18"/>
          <w:lang w:val="fr-FR"/>
        </w:rPr>
        <w:t xml:space="preserve">informations, </w:t>
      </w:r>
      <w:r w:rsidR="002C4243">
        <w:rPr>
          <w:szCs w:val="18"/>
          <w:lang w:val="fr-FR"/>
        </w:rPr>
        <w:t>y compris</w:t>
      </w:r>
      <w:r w:rsidRPr="002C4243">
        <w:rPr>
          <w:szCs w:val="18"/>
          <w:lang w:val="fr-FR"/>
        </w:rPr>
        <w:t xml:space="preserve"> des références, voir le document WO/GA/39/10, en particulier le paragraphe</w:t>
      </w:r>
      <w:r w:rsidR="0087649E">
        <w:rPr>
          <w:szCs w:val="18"/>
          <w:lang w:val="fr-FR"/>
        </w:rPr>
        <w:t> </w:t>
      </w:r>
      <w:r w:rsidRPr="002C4243">
        <w:rPr>
          <w:szCs w:val="18"/>
          <w:lang w:val="fr-FR"/>
        </w:rPr>
        <w:t>14.</w:t>
      </w:r>
    </w:p>
  </w:footnote>
  <w:footnote w:id="23">
    <w:p w:rsidR="00D04618" w:rsidRPr="002C4243" w:rsidRDefault="00D04618" w:rsidP="003E102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La version actuelle du </w:t>
      </w:r>
      <w:r w:rsidR="0065467E" w:rsidRPr="002C4243">
        <w:rPr>
          <w:szCs w:val="18"/>
          <w:lang w:val="fr-FR"/>
        </w:rPr>
        <w:t>“</w:t>
      </w:r>
      <w:r w:rsidRPr="002C4243">
        <w:rPr>
          <w:szCs w:val="18"/>
          <w:lang w:val="fr-FR"/>
        </w:rPr>
        <w:t>Guide de candidature</w:t>
      </w:r>
      <w:r w:rsidR="0065467E" w:rsidRPr="002C4243">
        <w:rPr>
          <w:szCs w:val="18"/>
          <w:lang w:val="fr-FR"/>
        </w:rPr>
        <w:t>”</w:t>
      </w:r>
      <w:r w:rsidRPr="002C4243">
        <w:rPr>
          <w:szCs w:val="18"/>
          <w:lang w:val="fr-FR"/>
        </w:rPr>
        <w:t xml:space="preserve"> de l</w:t>
      </w:r>
      <w:r w:rsidR="002C4243">
        <w:rPr>
          <w:szCs w:val="18"/>
          <w:lang w:val="fr-FR"/>
        </w:rPr>
        <w:t>’</w:t>
      </w:r>
      <w:r w:rsidRPr="002C4243">
        <w:rPr>
          <w:szCs w:val="18"/>
          <w:lang w:val="fr-FR"/>
        </w:rPr>
        <w:t>ICANN est publiée à l</w:t>
      </w:r>
      <w:r w:rsidR="002C4243">
        <w:rPr>
          <w:szCs w:val="18"/>
          <w:lang w:val="fr-FR"/>
        </w:rPr>
        <w:t>’</w:t>
      </w:r>
      <w:r w:rsidRPr="002C4243">
        <w:rPr>
          <w:szCs w:val="18"/>
          <w:lang w:val="fr-FR"/>
        </w:rPr>
        <w:t xml:space="preserve">adresse http://newgtlds.icann.org/en/applicants/agb. </w:t>
      </w:r>
      <w:r w:rsidR="0087649E">
        <w:rPr>
          <w:szCs w:val="18"/>
          <w:lang w:val="fr-FR"/>
        </w:rPr>
        <w:t xml:space="preserve"> </w:t>
      </w:r>
    </w:p>
  </w:footnote>
  <w:footnote w:id="24">
    <w:p w:rsidR="00D04618" w:rsidRPr="002C4243" w:rsidRDefault="00D04618" w:rsidP="003E1022">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La liste des nouveaux </w:t>
      </w:r>
      <w:proofErr w:type="spellStart"/>
      <w:r w:rsidRPr="002C4243">
        <w:rPr>
          <w:szCs w:val="18"/>
          <w:lang w:val="fr-FR"/>
        </w:rPr>
        <w:t>gTLD</w:t>
      </w:r>
      <w:proofErr w:type="spellEnd"/>
      <w:r w:rsidRPr="002C4243">
        <w:rPr>
          <w:szCs w:val="18"/>
          <w:lang w:val="fr-FR"/>
        </w:rPr>
        <w:t xml:space="preserve"> attribués figure à l</w:t>
      </w:r>
      <w:r w:rsidR="002C4243">
        <w:rPr>
          <w:szCs w:val="18"/>
          <w:lang w:val="fr-FR"/>
        </w:rPr>
        <w:t>’</w:t>
      </w:r>
      <w:r w:rsidRPr="002C4243">
        <w:rPr>
          <w:szCs w:val="18"/>
          <w:lang w:val="fr-FR"/>
        </w:rPr>
        <w:t>adresse http://newgtlds.icann.org/en/program</w:t>
      </w:r>
      <w:r w:rsidR="002C4243">
        <w:rPr>
          <w:szCs w:val="18"/>
          <w:lang w:val="fr-FR"/>
        </w:rPr>
        <w:t>-</w:t>
      </w:r>
      <w:r w:rsidRPr="002C4243">
        <w:rPr>
          <w:szCs w:val="18"/>
          <w:lang w:val="fr-FR"/>
        </w:rPr>
        <w:t>status/delegated</w:t>
      </w:r>
      <w:r w:rsidR="002C4243">
        <w:rPr>
          <w:szCs w:val="18"/>
          <w:lang w:val="fr-FR"/>
        </w:rPr>
        <w:t>-</w:t>
      </w:r>
      <w:r w:rsidRPr="002C4243">
        <w:rPr>
          <w:szCs w:val="18"/>
          <w:lang w:val="fr-FR"/>
        </w:rPr>
        <w:t xml:space="preserve">strings.  </w:t>
      </w:r>
    </w:p>
  </w:footnote>
  <w:footnote w:id="25">
    <w:p w:rsidR="00D04618" w:rsidRPr="002C4243" w:rsidRDefault="00D04618" w:rsidP="0087136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Pour davantage d</w:t>
      </w:r>
      <w:r w:rsidR="002C4243">
        <w:rPr>
          <w:szCs w:val="18"/>
          <w:lang w:val="fr-FR"/>
        </w:rPr>
        <w:t>’</w:t>
      </w:r>
      <w:r w:rsidRPr="002C4243">
        <w:rPr>
          <w:szCs w:val="18"/>
          <w:lang w:val="fr-FR"/>
        </w:rPr>
        <w:t xml:space="preserve">informations, </w:t>
      </w:r>
      <w:r w:rsidR="002C4243">
        <w:rPr>
          <w:szCs w:val="18"/>
          <w:lang w:val="fr-FR"/>
        </w:rPr>
        <w:t>y compris</w:t>
      </w:r>
      <w:r w:rsidRPr="002C4243">
        <w:rPr>
          <w:szCs w:val="18"/>
          <w:lang w:val="fr-FR"/>
        </w:rPr>
        <w:t xml:space="preserve"> des références, voir le document WO/GA/39/10, en particulier les paragraphes</w:t>
      </w:r>
      <w:r w:rsidR="0087649E">
        <w:rPr>
          <w:szCs w:val="18"/>
          <w:lang w:val="fr-FR"/>
        </w:rPr>
        <w:t> </w:t>
      </w:r>
      <w:r w:rsidR="00687BC3">
        <w:rPr>
          <w:szCs w:val="18"/>
          <w:lang w:val="fr-FR"/>
        </w:rPr>
        <w:t>23 à </w:t>
      </w:r>
      <w:r w:rsidRPr="002C4243">
        <w:rPr>
          <w:szCs w:val="18"/>
          <w:lang w:val="fr-FR"/>
        </w:rPr>
        <w:t>30.  Il y est indiqué que l</w:t>
      </w:r>
      <w:r w:rsidR="002C4243">
        <w:rPr>
          <w:szCs w:val="18"/>
          <w:lang w:val="fr-FR"/>
        </w:rPr>
        <w:t>’</w:t>
      </w:r>
      <w:r w:rsidRPr="002C4243">
        <w:rPr>
          <w:szCs w:val="18"/>
          <w:lang w:val="fr-FR"/>
        </w:rPr>
        <w:t>ICANN a rejeté de façon expéditive une proposition en faveur d</w:t>
      </w:r>
      <w:r w:rsidR="002C4243">
        <w:rPr>
          <w:szCs w:val="18"/>
          <w:lang w:val="fr-FR"/>
        </w:rPr>
        <w:t>’</w:t>
      </w:r>
      <w:r w:rsidRPr="002C4243">
        <w:rPr>
          <w:szCs w:val="18"/>
          <w:lang w:val="fr-FR"/>
        </w:rPr>
        <w:t>une liste de marques mondialement protégées.</w:t>
      </w:r>
    </w:p>
  </w:footnote>
  <w:footnote w:id="26">
    <w:p w:rsidR="00D04618" w:rsidRPr="002C4243" w:rsidRDefault="00D04618" w:rsidP="0087136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Les autres motifs d</w:t>
      </w:r>
      <w:r w:rsidR="002C4243">
        <w:rPr>
          <w:szCs w:val="18"/>
          <w:lang w:val="fr-FR"/>
        </w:rPr>
        <w:t>’</w:t>
      </w:r>
      <w:r w:rsidRPr="002C4243">
        <w:rPr>
          <w:szCs w:val="18"/>
          <w:lang w:val="fr-FR"/>
        </w:rPr>
        <w:t>objection reconnus par l</w:t>
      </w:r>
      <w:r w:rsidR="002C4243">
        <w:rPr>
          <w:szCs w:val="18"/>
          <w:lang w:val="fr-FR"/>
        </w:rPr>
        <w:t>’</w:t>
      </w:r>
      <w:r w:rsidRPr="002C4243">
        <w:rPr>
          <w:szCs w:val="18"/>
          <w:lang w:val="fr-FR"/>
        </w:rPr>
        <w:t>ICANN étaient</w:t>
      </w:r>
      <w:r w:rsidR="0087649E">
        <w:rPr>
          <w:szCs w:val="18"/>
          <w:lang w:val="fr-FR"/>
        </w:rPr>
        <w:t> </w:t>
      </w:r>
      <w:r w:rsidRPr="002C4243">
        <w:rPr>
          <w:szCs w:val="18"/>
          <w:lang w:val="fr-FR"/>
        </w:rPr>
        <w:t xml:space="preserve">: </w:t>
      </w:r>
      <w:r w:rsidR="0065467E" w:rsidRPr="002C4243">
        <w:rPr>
          <w:szCs w:val="18"/>
          <w:lang w:val="fr-FR"/>
        </w:rPr>
        <w:t>“</w:t>
      </w:r>
      <w:r w:rsidRPr="002C4243">
        <w:rPr>
          <w:szCs w:val="18"/>
          <w:lang w:val="fr-FR"/>
        </w:rPr>
        <w:t>objections relatives aux chaînes de caractères prêtant à confusion</w:t>
      </w:r>
      <w:r w:rsidR="0065467E" w:rsidRPr="002C4243">
        <w:rPr>
          <w:szCs w:val="18"/>
          <w:lang w:val="fr-FR"/>
        </w:rPr>
        <w:t>”</w:t>
      </w:r>
      <w:r w:rsidRPr="002C4243">
        <w:rPr>
          <w:szCs w:val="18"/>
          <w:lang w:val="fr-FR"/>
        </w:rPr>
        <w:t xml:space="preserve">, </w:t>
      </w:r>
      <w:r w:rsidR="0065467E" w:rsidRPr="002C4243">
        <w:rPr>
          <w:szCs w:val="18"/>
          <w:lang w:val="fr-FR"/>
        </w:rPr>
        <w:t>“</w:t>
      </w:r>
      <w:r w:rsidRPr="002C4243">
        <w:rPr>
          <w:szCs w:val="18"/>
          <w:lang w:val="fr-FR"/>
        </w:rPr>
        <w:t>objections à titre communautaire</w:t>
      </w:r>
      <w:r w:rsidR="0065467E" w:rsidRPr="002C4243">
        <w:rPr>
          <w:szCs w:val="18"/>
          <w:lang w:val="fr-FR"/>
        </w:rPr>
        <w:t>”</w:t>
      </w:r>
      <w:r w:rsidRPr="002C4243">
        <w:rPr>
          <w:szCs w:val="18"/>
          <w:lang w:val="fr-FR"/>
        </w:rPr>
        <w:t xml:space="preserve"> et </w:t>
      </w:r>
      <w:r w:rsidR="0065467E" w:rsidRPr="002C4243">
        <w:rPr>
          <w:szCs w:val="18"/>
          <w:lang w:val="fr-FR"/>
        </w:rPr>
        <w:t>“</w:t>
      </w:r>
      <w:r w:rsidRPr="002C4243">
        <w:rPr>
          <w:szCs w:val="18"/>
          <w:lang w:val="fr-FR"/>
        </w:rPr>
        <w:t>objections limitées à titre d</w:t>
      </w:r>
      <w:r w:rsidR="002C4243">
        <w:rPr>
          <w:szCs w:val="18"/>
          <w:lang w:val="fr-FR"/>
        </w:rPr>
        <w:t>’</w:t>
      </w:r>
      <w:r w:rsidRPr="002C4243">
        <w:rPr>
          <w:szCs w:val="18"/>
          <w:lang w:val="fr-FR"/>
        </w:rPr>
        <w:t>intérêt public</w:t>
      </w:r>
      <w:r w:rsidR="0065467E" w:rsidRPr="002C4243">
        <w:rPr>
          <w:szCs w:val="18"/>
          <w:lang w:val="fr-FR"/>
        </w:rPr>
        <w:t>”</w:t>
      </w:r>
      <w:r w:rsidRPr="002C4243">
        <w:rPr>
          <w:szCs w:val="18"/>
          <w:lang w:val="fr-FR"/>
        </w:rPr>
        <w:t>.  Le Guide de candidature prévoit par ailleurs plusieurs autres procédures dont peuvent se prévaloir les gouvernements suite à l</w:t>
      </w:r>
      <w:r w:rsidR="002C4243">
        <w:rPr>
          <w:szCs w:val="18"/>
          <w:lang w:val="fr-FR"/>
        </w:rPr>
        <w:t>’</w:t>
      </w:r>
      <w:r w:rsidRPr="002C4243">
        <w:rPr>
          <w:szCs w:val="18"/>
          <w:lang w:val="fr-FR"/>
        </w:rPr>
        <w:t>annonce par l</w:t>
      </w:r>
      <w:r w:rsidR="002C4243">
        <w:rPr>
          <w:szCs w:val="18"/>
          <w:lang w:val="fr-FR"/>
        </w:rPr>
        <w:t>’</w:t>
      </w:r>
      <w:r w:rsidRPr="002C4243">
        <w:rPr>
          <w:szCs w:val="18"/>
          <w:lang w:val="fr-FR"/>
        </w:rPr>
        <w:t xml:space="preserve">ICANN de nouvelles demandes de </w:t>
      </w:r>
      <w:proofErr w:type="spellStart"/>
      <w:r w:rsidRPr="002C4243">
        <w:rPr>
          <w:szCs w:val="18"/>
          <w:lang w:val="fr-FR"/>
        </w:rPr>
        <w:t>gTLD</w:t>
      </w:r>
      <w:proofErr w:type="spellEnd"/>
      <w:r w:rsidRPr="002C4243">
        <w:rPr>
          <w:szCs w:val="18"/>
          <w:lang w:val="fr-FR"/>
        </w:rPr>
        <w:t>.  À cet égard, la section</w:t>
      </w:r>
      <w:r w:rsidR="0087649E">
        <w:rPr>
          <w:szCs w:val="18"/>
          <w:lang w:val="fr-FR"/>
        </w:rPr>
        <w:t> </w:t>
      </w:r>
      <w:r w:rsidRPr="002C4243">
        <w:rPr>
          <w:szCs w:val="18"/>
          <w:lang w:val="fr-FR"/>
        </w:rPr>
        <w:t>1.1.2.4 prévoit l</w:t>
      </w:r>
      <w:r w:rsidR="002C4243">
        <w:rPr>
          <w:szCs w:val="18"/>
          <w:lang w:val="fr-FR"/>
        </w:rPr>
        <w:t>’</w:t>
      </w:r>
      <w:r w:rsidR="0065467E" w:rsidRPr="002C4243">
        <w:rPr>
          <w:szCs w:val="18"/>
          <w:lang w:val="fr-FR"/>
        </w:rPr>
        <w:t>“</w:t>
      </w:r>
      <w:r w:rsidRPr="002C4243">
        <w:rPr>
          <w:szCs w:val="18"/>
          <w:lang w:val="fr-FR"/>
        </w:rPr>
        <w:t>Avertissement anticipé</w:t>
      </w:r>
      <w:r w:rsidR="002C4243" w:rsidRPr="002C4243">
        <w:rPr>
          <w:szCs w:val="18"/>
          <w:lang w:val="fr-FR"/>
        </w:rPr>
        <w:t xml:space="preserve"> du</w:t>
      </w:r>
      <w:r w:rsidR="002C4243">
        <w:rPr>
          <w:szCs w:val="18"/>
          <w:lang w:val="fr-FR"/>
        </w:rPr>
        <w:t> </w:t>
      </w:r>
      <w:r w:rsidR="002C4243" w:rsidRPr="002C4243">
        <w:rPr>
          <w:szCs w:val="18"/>
          <w:lang w:val="fr-FR"/>
        </w:rPr>
        <w:t>GAC</w:t>
      </w:r>
      <w:r w:rsidR="0065467E" w:rsidRPr="002C4243">
        <w:rPr>
          <w:szCs w:val="18"/>
          <w:lang w:val="fr-FR"/>
        </w:rPr>
        <w:t>”</w:t>
      </w:r>
      <w:r w:rsidRPr="002C4243">
        <w:rPr>
          <w:szCs w:val="18"/>
          <w:lang w:val="fr-FR"/>
        </w:rPr>
        <w:t xml:space="preserve"> et la section</w:t>
      </w:r>
      <w:r w:rsidR="0087649E">
        <w:rPr>
          <w:szCs w:val="18"/>
          <w:lang w:val="fr-FR"/>
        </w:rPr>
        <w:t> </w:t>
      </w:r>
      <w:r w:rsidRPr="002C4243">
        <w:rPr>
          <w:szCs w:val="18"/>
          <w:lang w:val="fr-FR"/>
        </w:rPr>
        <w:t xml:space="preserve">1.1.2.7 la </w:t>
      </w:r>
      <w:r w:rsidR="0065467E" w:rsidRPr="002C4243">
        <w:rPr>
          <w:szCs w:val="18"/>
          <w:lang w:val="fr-FR"/>
        </w:rPr>
        <w:t>“</w:t>
      </w:r>
      <w:r w:rsidRPr="002C4243">
        <w:rPr>
          <w:szCs w:val="18"/>
          <w:lang w:val="fr-FR"/>
        </w:rPr>
        <w:t>Réception d</w:t>
      </w:r>
      <w:r w:rsidR="002C4243">
        <w:rPr>
          <w:szCs w:val="18"/>
          <w:lang w:val="fr-FR"/>
        </w:rPr>
        <w:t>’</w:t>
      </w:r>
      <w:r w:rsidRPr="002C4243">
        <w:rPr>
          <w:szCs w:val="18"/>
          <w:lang w:val="fr-FR"/>
        </w:rPr>
        <w:t>avis</w:t>
      </w:r>
      <w:r w:rsidR="002C4243" w:rsidRPr="002C4243">
        <w:rPr>
          <w:szCs w:val="18"/>
          <w:lang w:val="fr-FR"/>
        </w:rPr>
        <w:t xml:space="preserve"> du</w:t>
      </w:r>
      <w:r w:rsidR="002C4243">
        <w:rPr>
          <w:szCs w:val="18"/>
          <w:lang w:val="fr-FR"/>
        </w:rPr>
        <w:t> </w:t>
      </w:r>
      <w:r w:rsidR="002C4243" w:rsidRPr="002C4243">
        <w:rPr>
          <w:szCs w:val="18"/>
          <w:lang w:val="fr-FR"/>
        </w:rPr>
        <w:t>GAC</w:t>
      </w:r>
      <w:r w:rsidRPr="002C4243">
        <w:rPr>
          <w:szCs w:val="18"/>
          <w:lang w:val="fr-FR"/>
        </w:rPr>
        <w:t xml:space="preserve"> sur les nouveaux </w:t>
      </w:r>
      <w:proofErr w:type="spellStart"/>
      <w:r w:rsidRPr="002C4243">
        <w:rPr>
          <w:szCs w:val="18"/>
          <w:lang w:val="fr-FR"/>
        </w:rPr>
        <w:t>gTLD</w:t>
      </w:r>
      <w:proofErr w:type="spellEnd"/>
      <w:r w:rsidR="0065467E" w:rsidRPr="002C4243">
        <w:rPr>
          <w:szCs w:val="18"/>
          <w:lang w:val="fr-FR"/>
        </w:rPr>
        <w:t>”</w:t>
      </w:r>
      <w:r w:rsidRPr="002C4243">
        <w:rPr>
          <w:szCs w:val="18"/>
          <w:lang w:val="fr-FR"/>
        </w:rPr>
        <w:t xml:space="preserve"> pour examen du Conseil d</w:t>
      </w:r>
      <w:r w:rsidR="002C4243">
        <w:rPr>
          <w:szCs w:val="18"/>
          <w:lang w:val="fr-FR"/>
        </w:rPr>
        <w:t>’</w:t>
      </w:r>
      <w:r w:rsidRPr="002C4243">
        <w:rPr>
          <w:szCs w:val="18"/>
          <w:lang w:val="fr-FR"/>
        </w:rPr>
        <w:t>administration de l</w:t>
      </w:r>
      <w:r w:rsidR="002C4243">
        <w:rPr>
          <w:szCs w:val="18"/>
          <w:lang w:val="fr-FR"/>
        </w:rPr>
        <w:t>’</w:t>
      </w:r>
      <w:r w:rsidRPr="002C4243">
        <w:rPr>
          <w:szCs w:val="18"/>
          <w:lang w:val="fr-FR"/>
        </w:rPr>
        <w:t>ICANN.</w:t>
      </w:r>
    </w:p>
  </w:footnote>
  <w:footnote w:id="27">
    <w:p w:rsidR="00D04618" w:rsidRPr="002C4243" w:rsidRDefault="00D04618" w:rsidP="00871368">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Adoptée par l</w:t>
      </w:r>
      <w:r w:rsidR="002C4243">
        <w:rPr>
          <w:szCs w:val="18"/>
          <w:lang w:val="fr-FR"/>
        </w:rPr>
        <w:t>’</w:t>
      </w:r>
      <w:r w:rsidRPr="002C4243">
        <w:rPr>
          <w:szCs w:val="18"/>
          <w:lang w:val="fr-FR"/>
        </w:rPr>
        <w:t>Assemblée générale de l</w:t>
      </w:r>
      <w:r w:rsidR="002C4243">
        <w:rPr>
          <w:szCs w:val="18"/>
          <w:lang w:val="fr-FR"/>
        </w:rPr>
        <w:t>’</w:t>
      </w:r>
      <w:r w:rsidRPr="002C4243">
        <w:rPr>
          <w:szCs w:val="18"/>
          <w:lang w:val="fr-FR"/>
        </w:rPr>
        <w:t>OMPI en septembre 2001;  voir http://www.wipo.int/aboutip/en/development_iplaw/pub845</w:t>
      </w:r>
      <w:r w:rsidR="002C4243">
        <w:rPr>
          <w:szCs w:val="18"/>
          <w:lang w:val="fr-FR"/>
        </w:rPr>
        <w:t>-</w:t>
      </w:r>
      <w:r w:rsidRPr="002C4243">
        <w:rPr>
          <w:szCs w:val="18"/>
          <w:lang w:val="fr-FR"/>
        </w:rPr>
        <w:t>toc.htm.</w:t>
      </w:r>
    </w:p>
  </w:footnote>
  <w:footnote w:id="28">
    <w:p w:rsidR="00D04618" w:rsidRPr="002C4243" w:rsidRDefault="00D04618" w:rsidP="00650554">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la section</w:t>
      </w:r>
      <w:r w:rsidR="0087649E">
        <w:rPr>
          <w:szCs w:val="18"/>
          <w:lang w:val="fr-FR"/>
        </w:rPr>
        <w:t> </w:t>
      </w:r>
      <w:r w:rsidRPr="002C4243">
        <w:rPr>
          <w:szCs w:val="18"/>
          <w:lang w:val="fr-FR"/>
        </w:rPr>
        <w:t xml:space="preserve">3.2 du Guide de candidature </w:t>
      </w:r>
      <w:proofErr w:type="spellStart"/>
      <w:r w:rsidRPr="002C4243">
        <w:rPr>
          <w:szCs w:val="18"/>
          <w:lang w:val="fr-FR"/>
        </w:rPr>
        <w:t>gTLD</w:t>
      </w:r>
      <w:proofErr w:type="spellEnd"/>
      <w:r w:rsidRPr="002C4243">
        <w:rPr>
          <w:szCs w:val="18"/>
          <w:lang w:val="fr-FR"/>
        </w:rPr>
        <w:t xml:space="preserve"> de l</w:t>
      </w:r>
      <w:r w:rsidR="002C4243">
        <w:rPr>
          <w:szCs w:val="18"/>
          <w:lang w:val="fr-FR"/>
        </w:rPr>
        <w:t>’</w:t>
      </w:r>
      <w:r w:rsidRPr="002C4243">
        <w:rPr>
          <w:szCs w:val="18"/>
          <w:lang w:val="fr-FR"/>
        </w:rPr>
        <w:t>ICANN à l</w:t>
      </w:r>
      <w:r w:rsidR="002C4243">
        <w:rPr>
          <w:szCs w:val="18"/>
          <w:lang w:val="fr-FR"/>
        </w:rPr>
        <w:t>’</w:t>
      </w:r>
      <w:r w:rsidRPr="002C4243">
        <w:rPr>
          <w:szCs w:val="18"/>
          <w:lang w:val="fr-FR"/>
        </w:rPr>
        <w:t>adresse suivante</w:t>
      </w:r>
      <w:r w:rsidR="0087649E">
        <w:rPr>
          <w:szCs w:val="18"/>
          <w:lang w:val="fr-FR"/>
        </w:rPr>
        <w:t> </w:t>
      </w:r>
      <w:r w:rsidRPr="002C4243">
        <w:rPr>
          <w:szCs w:val="18"/>
          <w:lang w:val="fr-FR"/>
        </w:rPr>
        <w:t>: http://newgtlds.icann.org/en/applicants/agb/objection</w:t>
      </w:r>
      <w:r w:rsidR="002C4243">
        <w:rPr>
          <w:szCs w:val="18"/>
          <w:lang w:val="fr-FR"/>
        </w:rPr>
        <w:t>-</w:t>
      </w:r>
      <w:r w:rsidRPr="002C4243">
        <w:rPr>
          <w:szCs w:val="18"/>
          <w:lang w:val="fr-FR"/>
        </w:rPr>
        <w:t>procedures</w:t>
      </w:r>
      <w:r w:rsidR="002C4243">
        <w:rPr>
          <w:szCs w:val="18"/>
          <w:lang w:val="fr-FR"/>
        </w:rPr>
        <w:t>-</w:t>
      </w:r>
      <w:r w:rsidRPr="002C4243">
        <w:rPr>
          <w:szCs w:val="18"/>
          <w:lang w:val="fr-FR"/>
        </w:rPr>
        <w:t>04jun12</w:t>
      </w:r>
      <w:r w:rsidR="002C4243">
        <w:rPr>
          <w:szCs w:val="18"/>
          <w:lang w:val="fr-FR"/>
        </w:rPr>
        <w:t>-</w:t>
      </w:r>
      <w:r w:rsidRPr="002C4243">
        <w:rPr>
          <w:szCs w:val="18"/>
          <w:lang w:val="fr-FR"/>
        </w:rPr>
        <w:t>en.pdf.</w:t>
      </w:r>
    </w:p>
  </w:footnote>
  <w:footnote w:id="29">
    <w:p w:rsidR="00D04618" w:rsidRPr="002C4243" w:rsidRDefault="00D04618" w:rsidP="00650554">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les règles de l</w:t>
      </w:r>
      <w:r w:rsidR="002C4243">
        <w:rPr>
          <w:szCs w:val="18"/>
          <w:lang w:val="fr-FR"/>
        </w:rPr>
        <w:t>’</w:t>
      </w:r>
      <w:r w:rsidRPr="002C4243">
        <w:rPr>
          <w:szCs w:val="18"/>
          <w:lang w:val="fr-FR"/>
        </w:rPr>
        <w:t xml:space="preserve">OMPI concernant le règlement des litiges relatifs aux nouveaux </w:t>
      </w:r>
      <w:proofErr w:type="spellStart"/>
      <w:r w:rsidRPr="002C4243">
        <w:rPr>
          <w:szCs w:val="18"/>
          <w:lang w:val="fr-FR"/>
        </w:rPr>
        <w:t>gTLD</w:t>
      </w:r>
      <w:proofErr w:type="spellEnd"/>
      <w:r w:rsidRPr="002C4243">
        <w:rPr>
          <w:szCs w:val="18"/>
          <w:lang w:val="fr-FR"/>
        </w:rPr>
        <w:t xml:space="preserve"> et le barème des taxes, honoraires et frais, respectivement aux adresses suivantes</w:t>
      </w:r>
      <w:r w:rsidR="0087649E">
        <w:rPr>
          <w:szCs w:val="18"/>
          <w:lang w:val="fr-FR"/>
        </w:rPr>
        <w:t> </w:t>
      </w:r>
      <w:r w:rsidRPr="002C4243">
        <w:rPr>
          <w:szCs w:val="18"/>
          <w:lang w:val="fr-FR"/>
        </w:rPr>
        <w:t>: http://www.wipo.int/amc/en/docs/wipolrorules.pdf et http://www.wipo.int/amc/en/domains/lro/fees/;  voir les cas d</w:t>
      </w:r>
      <w:r w:rsidR="002C4243">
        <w:rPr>
          <w:szCs w:val="18"/>
          <w:lang w:val="fr-FR"/>
        </w:rPr>
        <w:t>’</w:t>
      </w:r>
      <w:r w:rsidRPr="002C4243">
        <w:rPr>
          <w:szCs w:val="18"/>
          <w:lang w:val="fr-FR"/>
        </w:rPr>
        <w:t>objections déposés à l</w:t>
      </w:r>
      <w:r w:rsidR="002C4243">
        <w:rPr>
          <w:szCs w:val="18"/>
          <w:lang w:val="fr-FR"/>
        </w:rPr>
        <w:t>’</w:t>
      </w:r>
      <w:r w:rsidRPr="002C4243">
        <w:rPr>
          <w:szCs w:val="18"/>
          <w:lang w:val="fr-FR"/>
        </w:rPr>
        <w:t>OMPI à l</w:t>
      </w:r>
      <w:r w:rsidR="002C4243">
        <w:rPr>
          <w:szCs w:val="18"/>
          <w:lang w:val="fr-FR"/>
        </w:rPr>
        <w:t>’</w:t>
      </w:r>
      <w:r w:rsidRPr="002C4243">
        <w:rPr>
          <w:szCs w:val="18"/>
          <w:lang w:val="fr-FR"/>
        </w:rPr>
        <w:t>adresse suivante</w:t>
      </w:r>
      <w:r w:rsidR="0087649E">
        <w:rPr>
          <w:szCs w:val="18"/>
          <w:lang w:val="fr-FR"/>
        </w:rPr>
        <w:t> </w:t>
      </w:r>
      <w:r w:rsidRPr="002C4243">
        <w:rPr>
          <w:szCs w:val="18"/>
          <w:lang w:val="fr-FR"/>
        </w:rPr>
        <w:t xml:space="preserve">: http://www.wipo.int/amc/en/domains/lro/cases/. </w:t>
      </w:r>
      <w:r w:rsidR="0087649E">
        <w:rPr>
          <w:szCs w:val="18"/>
          <w:lang w:val="fr-FR"/>
        </w:rPr>
        <w:t xml:space="preserve"> </w:t>
      </w:r>
    </w:p>
  </w:footnote>
  <w:footnote w:id="30">
    <w:p w:rsidR="00D04618" w:rsidRPr="002C4243" w:rsidRDefault="00D04618" w:rsidP="00650554">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Voir http://www.wipo.int/amc/en/domains/lro/cases/. </w:t>
      </w:r>
      <w:r w:rsidR="0087649E">
        <w:rPr>
          <w:szCs w:val="18"/>
          <w:lang w:val="fr-FR"/>
        </w:rPr>
        <w:t xml:space="preserve"> </w:t>
      </w:r>
    </w:p>
  </w:footnote>
  <w:footnote w:id="31">
    <w:p w:rsidR="00D04618" w:rsidRPr="002C4243" w:rsidRDefault="00D04618" w:rsidP="00650554">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 rapport de l</w:t>
      </w:r>
      <w:r w:rsidR="002C4243">
        <w:rPr>
          <w:szCs w:val="18"/>
          <w:lang w:val="fr-FR"/>
        </w:rPr>
        <w:t>’</w:t>
      </w:r>
      <w:r w:rsidRPr="002C4243">
        <w:rPr>
          <w:szCs w:val="18"/>
          <w:lang w:val="fr-FR"/>
        </w:rPr>
        <w:t>OMPI sur les objections pour atteinte aux droits note qu</w:t>
      </w:r>
      <w:r w:rsidR="002C4243">
        <w:rPr>
          <w:szCs w:val="18"/>
          <w:lang w:val="fr-FR"/>
        </w:rPr>
        <w:t>’</w:t>
      </w:r>
      <w:r w:rsidRPr="002C4243">
        <w:rPr>
          <w:szCs w:val="18"/>
          <w:lang w:val="fr-FR"/>
        </w:rPr>
        <w:t xml:space="preserve">une forte majorité des objections ont été déposées contre des demandes de </w:t>
      </w:r>
      <w:proofErr w:type="spellStart"/>
      <w:r w:rsidRPr="002C4243">
        <w:rPr>
          <w:szCs w:val="18"/>
          <w:lang w:val="fr-FR"/>
        </w:rPr>
        <w:t>gTLD</w:t>
      </w:r>
      <w:proofErr w:type="spellEnd"/>
      <w:r w:rsidRPr="002C4243">
        <w:rPr>
          <w:szCs w:val="18"/>
          <w:lang w:val="fr-FR"/>
        </w:rPr>
        <w:t xml:space="preserve"> portant sur des extensions ayant un sens descriptif ou donné par le dictionnaire.  De nombreux groupes d</w:t>
      </w:r>
      <w:r w:rsidR="002C4243">
        <w:rPr>
          <w:szCs w:val="18"/>
          <w:lang w:val="fr-FR"/>
        </w:rPr>
        <w:t>’</w:t>
      </w:r>
      <w:r w:rsidRPr="002C4243">
        <w:rPr>
          <w:szCs w:val="18"/>
          <w:lang w:val="fr-FR"/>
        </w:rPr>
        <w:t>experts sont parvenus à la conclusion que, lorsque le propriétaire d</w:t>
      </w:r>
      <w:r w:rsidR="002C4243">
        <w:rPr>
          <w:szCs w:val="18"/>
          <w:lang w:val="fr-FR"/>
        </w:rPr>
        <w:t>’</w:t>
      </w:r>
      <w:r w:rsidRPr="002C4243">
        <w:rPr>
          <w:szCs w:val="18"/>
          <w:lang w:val="fr-FR"/>
        </w:rPr>
        <w:t xml:space="preserve">une marque a adopté un terme commun du dictionnaire comme nom de marque, une demande de </w:t>
      </w:r>
      <w:proofErr w:type="spellStart"/>
      <w:r w:rsidRPr="002C4243">
        <w:rPr>
          <w:szCs w:val="18"/>
          <w:lang w:val="fr-FR"/>
        </w:rPr>
        <w:t>gTLD</w:t>
      </w:r>
      <w:proofErr w:type="spellEnd"/>
      <w:r w:rsidRPr="002C4243">
        <w:rPr>
          <w:szCs w:val="18"/>
          <w:lang w:val="fr-FR"/>
        </w:rPr>
        <w:t xml:space="preserve"> visant uniquement à tirer avantage de ce sens commun ne violerait pas en soi les normes en matière de décisions applicables aux objections pour atteinte aux droits.  Dans certains cas, les groupes d</w:t>
      </w:r>
      <w:r w:rsidR="002C4243">
        <w:rPr>
          <w:szCs w:val="18"/>
          <w:lang w:val="fr-FR"/>
        </w:rPr>
        <w:t>’</w:t>
      </w:r>
      <w:r w:rsidRPr="002C4243">
        <w:rPr>
          <w:szCs w:val="18"/>
          <w:lang w:val="fr-FR"/>
        </w:rPr>
        <w:t>experts se sont intéressés aux enregistrements de marques obtenus en premier lieu dans le but d</w:t>
      </w:r>
      <w:r w:rsidR="002C4243">
        <w:rPr>
          <w:szCs w:val="18"/>
          <w:lang w:val="fr-FR"/>
        </w:rPr>
        <w:t>’</w:t>
      </w:r>
      <w:r w:rsidRPr="002C4243">
        <w:rPr>
          <w:szCs w:val="18"/>
          <w:lang w:val="fr-FR"/>
        </w:rPr>
        <w:t xml:space="preserve">appuyer une demande de nouveau </w:t>
      </w:r>
      <w:proofErr w:type="spellStart"/>
      <w:r w:rsidRPr="002C4243">
        <w:rPr>
          <w:szCs w:val="18"/>
          <w:lang w:val="fr-FR"/>
        </w:rPr>
        <w:t>gTLD</w:t>
      </w:r>
      <w:proofErr w:type="spellEnd"/>
      <w:r w:rsidRPr="002C4243">
        <w:rPr>
          <w:szCs w:val="18"/>
          <w:lang w:val="fr-FR"/>
        </w:rPr>
        <w:t xml:space="preserve"> ou une objection pour atteinte aux droits, avec peu ou pas d</w:t>
      </w:r>
      <w:r w:rsidR="002C4243">
        <w:rPr>
          <w:szCs w:val="18"/>
          <w:lang w:val="fr-FR"/>
        </w:rPr>
        <w:t>’</w:t>
      </w:r>
      <w:r w:rsidRPr="002C4243">
        <w:rPr>
          <w:szCs w:val="18"/>
          <w:lang w:val="fr-FR"/>
        </w:rPr>
        <w:t xml:space="preserve">usage antérieur avéré.  Voir http://www.wipo.int/amc/en/docs/lroreport.pdf. </w:t>
      </w:r>
      <w:r w:rsidR="0087649E">
        <w:rPr>
          <w:szCs w:val="18"/>
          <w:lang w:val="fr-FR"/>
        </w:rPr>
        <w:t xml:space="preserve"> </w:t>
      </w:r>
    </w:p>
  </w:footnote>
  <w:footnote w:id="32">
    <w:p w:rsidR="00D04618" w:rsidRPr="002C4243" w:rsidRDefault="00D04618" w:rsidP="002C71AF">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http://www.wipo.int/amc/en/docs/icann130309.pdf.</w:t>
      </w:r>
    </w:p>
  </w:footnote>
  <w:footnote w:id="33">
    <w:p w:rsidR="00D04618" w:rsidRPr="002C4243" w:rsidRDefault="00D04618" w:rsidP="002C71AF">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Étant donné la convergence que l</w:t>
      </w:r>
      <w:r w:rsidR="002C4243">
        <w:rPr>
          <w:szCs w:val="18"/>
          <w:lang w:val="fr-FR"/>
        </w:rPr>
        <w:t>’</w:t>
      </w:r>
      <w:r w:rsidRPr="002C4243">
        <w:rPr>
          <w:szCs w:val="18"/>
          <w:lang w:val="fr-FR"/>
        </w:rPr>
        <w:t>on perçoit entre les rôles du service d</w:t>
      </w:r>
      <w:r w:rsidR="002C4243">
        <w:rPr>
          <w:szCs w:val="18"/>
          <w:lang w:val="fr-FR"/>
        </w:rPr>
        <w:t>’</w:t>
      </w:r>
      <w:r w:rsidRPr="002C4243">
        <w:rPr>
          <w:szCs w:val="18"/>
          <w:lang w:val="fr-FR"/>
        </w:rPr>
        <w:t>enregistrement, de l</w:t>
      </w:r>
      <w:r w:rsidR="002C4243">
        <w:rPr>
          <w:szCs w:val="18"/>
          <w:lang w:val="fr-FR"/>
        </w:rPr>
        <w:t>’</w:t>
      </w:r>
      <w:r w:rsidRPr="002C4243">
        <w:rPr>
          <w:szCs w:val="18"/>
          <w:lang w:val="fr-FR"/>
        </w:rPr>
        <w:t>unité d</w:t>
      </w:r>
      <w:r w:rsidR="002C4243">
        <w:rPr>
          <w:szCs w:val="18"/>
          <w:lang w:val="fr-FR"/>
        </w:rPr>
        <w:t>’</w:t>
      </w:r>
      <w:r w:rsidRPr="002C4243">
        <w:rPr>
          <w:szCs w:val="18"/>
          <w:lang w:val="fr-FR"/>
        </w:rPr>
        <w:t>enregistrement et du détenteur de l</w:t>
      </w:r>
      <w:r w:rsidR="002C4243">
        <w:rPr>
          <w:szCs w:val="18"/>
          <w:lang w:val="fr-FR"/>
        </w:rPr>
        <w:t>’</w:t>
      </w:r>
      <w:r w:rsidRPr="002C4243">
        <w:rPr>
          <w:szCs w:val="18"/>
          <w:lang w:val="fr-FR"/>
        </w:rPr>
        <w:t>enregistrement au sein</w:t>
      </w:r>
      <w:r w:rsidR="002C4243" w:rsidRPr="002C4243">
        <w:rPr>
          <w:szCs w:val="18"/>
          <w:lang w:val="fr-FR"/>
        </w:rPr>
        <w:t xml:space="preserve"> du</w:t>
      </w:r>
      <w:r w:rsidR="002C4243">
        <w:rPr>
          <w:szCs w:val="18"/>
          <w:lang w:val="fr-FR"/>
        </w:rPr>
        <w:t> </w:t>
      </w:r>
      <w:r w:rsidR="002C4243" w:rsidRPr="002C4243">
        <w:rPr>
          <w:szCs w:val="18"/>
          <w:lang w:val="fr-FR"/>
        </w:rPr>
        <w:t>DNS</w:t>
      </w:r>
      <w:r w:rsidRPr="002C4243">
        <w:rPr>
          <w:szCs w:val="18"/>
          <w:lang w:val="fr-FR"/>
        </w:rPr>
        <w:t>, le Centre a également recommandé à l</w:t>
      </w:r>
      <w:r w:rsidR="002C4243">
        <w:rPr>
          <w:szCs w:val="18"/>
          <w:lang w:val="fr-FR"/>
        </w:rPr>
        <w:t>’</w:t>
      </w:r>
      <w:r w:rsidRPr="002C4243">
        <w:rPr>
          <w:szCs w:val="18"/>
          <w:lang w:val="fr-FR"/>
        </w:rPr>
        <w:t>ICANN, compte tenu notamment de son expérience des principes UDRP et de la décision de l</w:t>
      </w:r>
      <w:r w:rsidR="002C4243">
        <w:rPr>
          <w:szCs w:val="18"/>
          <w:lang w:val="fr-FR"/>
        </w:rPr>
        <w:t>’</w:t>
      </w:r>
      <w:r w:rsidRPr="002C4243">
        <w:rPr>
          <w:szCs w:val="18"/>
          <w:lang w:val="fr-FR"/>
        </w:rPr>
        <w:t>ICANN d</w:t>
      </w:r>
      <w:r w:rsidR="002C4243">
        <w:rPr>
          <w:szCs w:val="18"/>
          <w:lang w:val="fr-FR"/>
        </w:rPr>
        <w:t>’</w:t>
      </w:r>
      <w:r w:rsidRPr="002C4243">
        <w:rPr>
          <w:szCs w:val="18"/>
          <w:lang w:val="fr-FR"/>
        </w:rPr>
        <w:t>autoriser la propriété croisée entre unités d</w:t>
      </w:r>
      <w:r w:rsidR="002C4243">
        <w:rPr>
          <w:szCs w:val="18"/>
          <w:lang w:val="fr-FR"/>
        </w:rPr>
        <w:t>’</w:t>
      </w:r>
      <w:r w:rsidRPr="002C4243">
        <w:rPr>
          <w:szCs w:val="18"/>
          <w:lang w:val="fr-FR"/>
        </w:rPr>
        <w:t>enregistrement et services d</w:t>
      </w:r>
      <w:r w:rsidR="002C4243">
        <w:rPr>
          <w:szCs w:val="18"/>
          <w:lang w:val="fr-FR"/>
        </w:rPr>
        <w:t>’</w:t>
      </w:r>
      <w:r w:rsidRPr="002C4243">
        <w:rPr>
          <w:szCs w:val="18"/>
          <w:lang w:val="fr-FR"/>
        </w:rPr>
        <w:t>enregistrement (voir http://www.icann.org/en/minutes/resolutions</w:t>
      </w:r>
      <w:r w:rsidR="002C4243">
        <w:rPr>
          <w:szCs w:val="18"/>
          <w:lang w:val="fr-FR"/>
        </w:rPr>
        <w:t>-</w:t>
      </w:r>
      <w:r w:rsidRPr="002C4243">
        <w:rPr>
          <w:szCs w:val="18"/>
          <w:lang w:val="fr-FR"/>
        </w:rPr>
        <w:t>05nov10</w:t>
      </w:r>
      <w:r w:rsidR="002C4243">
        <w:rPr>
          <w:szCs w:val="18"/>
          <w:lang w:val="fr-FR"/>
        </w:rPr>
        <w:t>-</w:t>
      </w:r>
      <w:r w:rsidRPr="002C4243">
        <w:rPr>
          <w:szCs w:val="18"/>
          <w:lang w:val="fr-FR"/>
        </w:rPr>
        <w:t>en.htm), d</w:t>
      </w:r>
      <w:r w:rsidR="002C4243">
        <w:rPr>
          <w:szCs w:val="18"/>
          <w:lang w:val="fr-FR"/>
        </w:rPr>
        <w:t>’</w:t>
      </w:r>
      <w:r w:rsidRPr="002C4243">
        <w:rPr>
          <w:szCs w:val="18"/>
          <w:lang w:val="fr-FR"/>
        </w:rPr>
        <w:t>étudier la possibilité d</w:t>
      </w:r>
      <w:r w:rsidR="002C4243">
        <w:rPr>
          <w:szCs w:val="18"/>
          <w:lang w:val="fr-FR"/>
        </w:rPr>
        <w:t>’</w:t>
      </w:r>
      <w:r w:rsidRPr="002C4243">
        <w:rPr>
          <w:szCs w:val="18"/>
          <w:lang w:val="fr-FR"/>
        </w:rPr>
        <w:t>étendre aux unités d</w:t>
      </w:r>
      <w:r w:rsidR="002C4243">
        <w:rPr>
          <w:szCs w:val="18"/>
          <w:lang w:val="fr-FR"/>
        </w:rPr>
        <w:t>’</w:t>
      </w:r>
      <w:r w:rsidRPr="002C4243">
        <w:rPr>
          <w:szCs w:val="18"/>
          <w:lang w:val="fr-FR"/>
        </w:rPr>
        <w:t>enregistrement la procédure postérieure à l</w:t>
      </w:r>
      <w:r w:rsidR="002C4243">
        <w:rPr>
          <w:szCs w:val="18"/>
          <w:lang w:val="fr-FR"/>
        </w:rPr>
        <w:t>’</w:t>
      </w:r>
      <w:r w:rsidRPr="002C4243">
        <w:rPr>
          <w:szCs w:val="18"/>
          <w:lang w:val="fr-FR"/>
        </w:rPr>
        <w:t>attribution à l</w:t>
      </w:r>
      <w:r w:rsidR="002C4243">
        <w:rPr>
          <w:szCs w:val="18"/>
          <w:lang w:val="fr-FR"/>
        </w:rPr>
        <w:t>’</w:t>
      </w:r>
      <w:r w:rsidRPr="002C4243">
        <w:rPr>
          <w:szCs w:val="18"/>
          <w:lang w:val="fr-FR"/>
        </w:rPr>
        <w:t>intention des services d</w:t>
      </w:r>
      <w:r w:rsidR="002C4243">
        <w:rPr>
          <w:szCs w:val="18"/>
          <w:lang w:val="fr-FR"/>
        </w:rPr>
        <w:t>’</w:t>
      </w:r>
      <w:r w:rsidRPr="002C4243">
        <w:rPr>
          <w:szCs w:val="18"/>
          <w:lang w:val="fr-FR"/>
        </w:rPr>
        <w:t>enregistrement (voir, notamment, http://www.wipo.int/amc/en/docs/icann260310rap.pdf).</w:t>
      </w:r>
    </w:p>
  </w:footnote>
  <w:footnote w:id="34">
    <w:p w:rsidR="00D04618" w:rsidRPr="002C4243" w:rsidRDefault="00D04618" w:rsidP="002C71AF">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La base de données permet l</w:t>
      </w:r>
      <w:r w:rsidR="002C4243">
        <w:rPr>
          <w:szCs w:val="18"/>
          <w:lang w:val="fr-FR"/>
        </w:rPr>
        <w:t>’</w:t>
      </w:r>
      <w:r w:rsidRPr="002C4243">
        <w:rPr>
          <w:szCs w:val="18"/>
          <w:lang w:val="fr-FR"/>
        </w:rPr>
        <w:t xml:space="preserve">inclusion de toutes les marques textuelles enregistrées, de toutes marques textuelles protégées par un règlement ou un traité ou validées par un tribunal, ainsi que les </w:t>
      </w:r>
      <w:r w:rsidR="0065467E" w:rsidRPr="002C4243">
        <w:rPr>
          <w:szCs w:val="18"/>
          <w:lang w:val="fr-FR"/>
        </w:rPr>
        <w:t>“</w:t>
      </w:r>
      <w:r w:rsidRPr="002C4243">
        <w:rPr>
          <w:szCs w:val="18"/>
          <w:lang w:val="fr-FR"/>
        </w:rPr>
        <w:t>[a]</w:t>
      </w:r>
      <w:proofErr w:type="spellStart"/>
      <w:r w:rsidRPr="002C4243">
        <w:rPr>
          <w:szCs w:val="18"/>
          <w:lang w:val="fr-FR"/>
        </w:rPr>
        <w:t>utres</w:t>
      </w:r>
      <w:proofErr w:type="spellEnd"/>
      <w:r w:rsidRPr="002C4243">
        <w:rPr>
          <w:szCs w:val="18"/>
          <w:lang w:val="fr-FR"/>
        </w:rPr>
        <w:t xml:space="preserve"> marques constituant un objet de propriété intellectuelle</w:t>
      </w:r>
      <w:r w:rsidR="0065467E" w:rsidRPr="002C4243">
        <w:rPr>
          <w:szCs w:val="18"/>
          <w:lang w:val="fr-FR"/>
        </w:rPr>
        <w:t>”</w:t>
      </w:r>
      <w:r w:rsidRPr="002C4243">
        <w:rPr>
          <w:szCs w:val="18"/>
          <w:lang w:val="fr-FR"/>
        </w:rPr>
        <w:t xml:space="preserve"> (cette dernière catégorie n</w:t>
      </w:r>
      <w:r w:rsidR="002C4243">
        <w:rPr>
          <w:szCs w:val="18"/>
          <w:lang w:val="fr-FR"/>
        </w:rPr>
        <w:t>’</w:t>
      </w:r>
      <w:r w:rsidRPr="002C4243">
        <w:rPr>
          <w:szCs w:val="18"/>
          <w:lang w:val="fr-FR"/>
        </w:rPr>
        <w:t>étant pas définie).  En ce qui concerne les mécanismes de protection des droits fondés sur la base de données, l</w:t>
      </w:r>
      <w:r w:rsidR="002C4243">
        <w:rPr>
          <w:szCs w:val="18"/>
          <w:lang w:val="fr-FR"/>
        </w:rPr>
        <w:t>’</w:t>
      </w:r>
      <w:r w:rsidRPr="002C4243">
        <w:rPr>
          <w:szCs w:val="18"/>
          <w:lang w:val="fr-FR"/>
        </w:rPr>
        <w:t>ICANN propose actuellement de limiter l</w:t>
      </w:r>
      <w:r w:rsidR="002C4243">
        <w:rPr>
          <w:szCs w:val="18"/>
          <w:lang w:val="fr-FR"/>
        </w:rPr>
        <w:t>’</w:t>
      </w:r>
      <w:r w:rsidRPr="002C4243">
        <w:rPr>
          <w:szCs w:val="18"/>
          <w:lang w:val="fr-FR"/>
        </w:rPr>
        <w:t xml:space="preserve">application des services </w:t>
      </w:r>
      <w:r w:rsidR="0065467E" w:rsidRPr="002C4243">
        <w:rPr>
          <w:szCs w:val="18"/>
          <w:lang w:val="fr-FR"/>
        </w:rPr>
        <w:t>“</w:t>
      </w:r>
      <w:r w:rsidRPr="002C4243">
        <w:rPr>
          <w:szCs w:val="18"/>
          <w:lang w:val="fr-FR"/>
        </w:rPr>
        <w:t>préliminaires</w:t>
      </w:r>
      <w:r w:rsidR="0065467E" w:rsidRPr="002C4243">
        <w:rPr>
          <w:szCs w:val="18"/>
          <w:lang w:val="fr-FR"/>
        </w:rPr>
        <w:t>”</w:t>
      </w:r>
      <w:r w:rsidRPr="002C4243">
        <w:rPr>
          <w:szCs w:val="18"/>
          <w:lang w:val="fr-FR"/>
        </w:rPr>
        <w:t xml:space="preserve"> (c</w:t>
      </w:r>
      <w:r w:rsidR="002C4243">
        <w:rPr>
          <w:szCs w:val="18"/>
          <w:lang w:val="fr-FR"/>
        </w:rPr>
        <w:t>’</w:t>
      </w:r>
      <w:r w:rsidRPr="002C4243">
        <w:rPr>
          <w:szCs w:val="18"/>
          <w:lang w:val="fr-FR"/>
        </w:rPr>
        <w:t>est</w:t>
      </w:r>
      <w:r w:rsidR="002C4243">
        <w:rPr>
          <w:szCs w:val="18"/>
          <w:lang w:val="fr-FR"/>
        </w:rPr>
        <w:t>-</w:t>
      </w:r>
      <w:r w:rsidRPr="002C4243">
        <w:rPr>
          <w:szCs w:val="18"/>
          <w:lang w:val="fr-FR"/>
        </w:rPr>
        <w:t>à</w:t>
      </w:r>
      <w:r w:rsidR="002C4243">
        <w:rPr>
          <w:szCs w:val="18"/>
          <w:lang w:val="fr-FR"/>
        </w:rPr>
        <w:t>-</w:t>
      </w:r>
      <w:r w:rsidRPr="002C4243">
        <w:rPr>
          <w:szCs w:val="18"/>
          <w:lang w:val="fr-FR"/>
        </w:rPr>
        <w:t>dire, la possibilité pour un propriétaire de marque d</w:t>
      </w:r>
      <w:r w:rsidR="002C4243">
        <w:rPr>
          <w:szCs w:val="18"/>
          <w:lang w:val="fr-FR"/>
        </w:rPr>
        <w:t>’</w:t>
      </w:r>
      <w:r w:rsidRPr="002C4243">
        <w:rPr>
          <w:szCs w:val="18"/>
          <w:lang w:val="fr-FR"/>
        </w:rPr>
        <w:t>enregistrer de manière préventive en tant que nom de domaine, contre paiement d</w:t>
      </w:r>
      <w:r w:rsidR="002C4243">
        <w:rPr>
          <w:szCs w:val="18"/>
          <w:lang w:val="fr-FR"/>
        </w:rPr>
        <w:t>’</w:t>
      </w:r>
      <w:r w:rsidRPr="002C4243">
        <w:rPr>
          <w:szCs w:val="18"/>
          <w:lang w:val="fr-FR"/>
        </w:rPr>
        <w:t>une taxe, une chaîne de caractères correspondant exactement à sa marque) aux marques dont l</w:t>
      </w:r>
      <w:r w:rsidR="002C4243">
        <w:rPr>
          <w:szCs w:val="18"/>
          <w:lang w:val="fr-FR"/>
        </w:rPr>
        <w:t>’</w:t>
      </w:r>
      <w:r w:rsidRPr="002C4243">
        <w:rPr>
          <w:szCs w:val="18"/>
          <w:lang w:val="fr-FR"/>
        </w:rPr>
        <w:t>usage actuel peut être prouvé.  Que l</w:t>
      </w:r>
      <w:r w:rsidR="002C4243">
        <w:rPr>
          <w:szCs w:val="18"/>
          <w:lang w:val="fr-FR"/>
        </w:rPr>
        <w:t>’</w:t>
      </w:r>
      <w:r w:rsidRPr="002C4243">
        <w:rPr>
          <w:szCs w:val="18"/>
          <w:lang w:val="fr-FR"/>
        </w:rPr>
        <w:t xml:space="preserve">usage actuel soit ou non prouvé, les propriétaires de marques pourraient participer à un système de </w:t>
      </w:r>
      <w:r w:rsidR="0065467E" w:rsidRPr="002C4243">
        <w:rPr>
          <w:szCs w:val="18"/>
          <w:lang w:val="fr-FR"/>
        </w:rPr>
        <w:t>“</w:t>
      </w:r>
      <w:r w:rsidRPr="002C4243">
        <w:rPr>
          <w:szCs w:val="18"/>
          <w:lang w:val="fr-FR"/>
        </w:rPr>
        <w:t>contentieux</w:t>
      </w:r>
      <w:r w:rsidR="0065467E" w:rsidRPr="002C4243">
        <w:rPr>
          <w:szCs w:val="18"/>
          <w:lang w:val="fr-FR"/>
        </w:rPr>
        <w:t>”</w:t>
      </w:r>
      <w:r w:rsidRPr="002C4243">
        <w:rPr>
          <w:szCs w:val="18"/>
          <w:lang w:val="fr-FR"/>
        </w:rPr>
        <w:t xml:space="preserve"> d</w:t>
      </w:r>
      <w:r w:rsidR="002C4243">
        <w:rPr>
          <w:szCs w:val="18"/>
          <w:lang w:val="fr-FR"/>
        </w:rPr>
        <w:t>’</w:t>
      </w:r>
      <w:r w:rsidRPr="002C4243">
        <w:rPr>
          <w:szCs w:val="18"/>
          <w:lang w:val="fr-FR"/>
        </w:rPr>
        <w:t>une durée limitée (permettant de notifier au demandeur d</w:t>
      </w:r>
      <w:r w:rsidR="002C4243">
        <w:rPr>
          <w:szCs w:val="18"/>
          <w:lang w:val="fr-FR"/>
        </w:rPr>
        <w:t>’</w:t>
      </w:r>
      <w:r w:rsidRPr="002C4243">
        <w:rPr>
          <w:szCs w:val="18"/>
          <w:lang w:val="fr-FR"/>
        </w:rPr>
        <w:t>un nom de domaine l</w:t>
      </w:r>
      <w:r w:rsidR="002C4243">
        <w:rPr>
          <w:szCs w:val="18"/>
          <w:lang w:val="fr-FR"/>
        </w:rPr>
        <w:t>’</w:t>
      </w:r>
      <w:r w:rsidRPr="002C4243">
        <w:rPr>
          <w:szCs w:val="18"/>
          <w:lang w:val="fr-FR"/>
        </w:rPr>
        <w:t>existence d</w:t>
      </w:r>
      <w:r w:rsidR="002C4243">
        <w:rPr>
          <w:szCs w:val="18"/>
          <w:lang w:val="fr-FR"/>
        </w:rPr>
        <w:t>’</w:t>
      </w:r>
      <w:r w:rsidRPr="002C4243">
        <w:rPr>
          <w:szCs w:val="18"/>
          <w:lang w:val="fr-FR"/>
        </w:rPr>
        <w:t>un conflit potentiel avec un droit attaché à une marque, et d</w:t>
      </w:r>
      <w:r w:rsidR="002C4243">
        <w:rPr>
          <w:szCs w:val="18"/>
          <w:lang w:val="fr-FR"/>
        </w:rPr>
        <w:t>’</w:t>
      </w:r>
      <w:r w:rsidRPr="002C4243">
        <w:rPr>
          <w:szCs w:val="18"/>
          <w:lang w:val="fr-FR"/>
        </w:rPr>
        <w:t>informer les propriétaires de marques concernés dans le cas où le demandeur procéderait tout de même à l</w:t>
      </w:r>
      <w:r w:rsidR="002C4243">
        <w:rPr>
          <w:szCs w:val="18"/>
          <w:lang w:val="fr-FR"/>
        </w:rPr>
        <w:t>’</w:t>
      </w:r>
      <w:r w:rsidRPr="002C4243">
        <w:rPr>
          <w:szCs w:val="18"/>
          <w:lang w:val="fr-FR"/>
        </w:rPr>
        <w:t>enregistrement du nom de domaine).  Comme le prescrit l</w:t>
      </w:r>
      <w:r w:rsidR="002C4243">
        <w:rPr>
          <w:szCs w:val="18"/>
          <w:lang w:val="fr-FR"/>
        </w:rPr>
        <w:t>’</w:t>
      </w:r>
      <w:r w:rsidRPr="002C4243">
        <w:rPr>
          <w:szCs w:val="18"/>
          <w:lang w:val="fr-FR"/>
        </w:rPr>
        <w:t xml:space="preserve">ICANN, le système de </w:t>
      </w:r>
      <w:r w:rsidR="0065467E" w:rsidRPr="002C4243">
        <w:rPr>
          <w:szCs w:val="18"/>
          <w:lang w:val="fr-FR"/>
        </w:rPr>
        <w:t>“</w:t>
      </w:r>
      <w:r w:rsidRPr="002C4243">
        <w:rPr>
          <w:szCs w:val="18"/>
          <w:lang w:val="fr-FR"/>
        </w:rPr>
        <w:t>contentieux</w:t>
      </w:r>
      <w:r w:rsidR="0065467E" w:rsidRPr="002C4243">
        <w:rPr>
          <w:szCs w:val="18"/>
          <w:lang w:val="fr-FR"/>
        </w:rPr>
        <w:t>”</w:t>
      </w:r>
      <w:r w:rsidRPr="002C4243">
        <w:rPr>
          <w:szCs w:val="18"/>
          <w:lang w:val="fr-FR"/>
        </w:rPr>
        <w:t xml:space="preserve"> est limité à une durée de 90</w:t>
      </w:r>
      <w:r w:rsidR="00687BC3">
        <w:rPr>
          <w:szCs w:val="18"/>
          <w:lang w:val="fr-FR"/>
        </w:rPr>
        <w:t> </w:t>
      </w:r>
      <w:r w:rsidRPr="002C4243">
        <w:rPr>
          <w:szCs w:val="18"/>
          <w:lang w:val="fr-FR"/>
        </w:rPr>
        <w:t>jours à compter de la date d</w:t>
      </w:r>
      <w:r w:rsidR="002C4243">
        <w:rPr>
          <w:szCs w:val="18"/>
          <w:lang w:val="fr-FR"/>
        </w:rPr>
        <w:t>’</w:t>
      </w:r>
      <w:r w:rsidRPr="002C4243">
        <w:rPr>
          <w:szCs w:val="18"/>
          <w:lang w:val="fr-FR"/>
        </w:rPr>
        <w:t>ouverture au public de l</w:t>
      </w:r>
      <w:r w:rsidR="002C4243">
        <w:rPr>
          <w:szCs w:val="18"/>
          <w:lang w:val="fr-FR"/>
        </w:rPr>
        <w:t>’</w:t>
      </w:r>
      <w:r w:rsidRPr="002C4243">
        <w:rPr>
          <w:szCs w:val="18"/>
          <w:lang w:val="fr-FR"/>
        </w:rPr>
        <w:t>enregistrement d</w:t>
      </w:r>
      <w:r w:rsidR="002C4243">
        <w:rPr>
          <w:szCs w:val="18"/>
          <w:lang w:val="fr-FR"/>
        </w:rPr>
        <w:t>’</w:t>
      </w:r>
      <w:r w:rsidRPr="002C4243">
        <w:rPr>
          <w:szCs w:val="18"/>
          <w:lang w:val="fr-FR"/>
        </w:rPr>
        <w:t xml:space="preserve">un nouveau </w:t>
      </w:r>
      <w:proofErr w:type="spellStart"/>
      <w:r w:rsidRPr="002C4243">
        <w:rPr>
          <w:szCs w:val="18"/>
          <w:lang w:val="fr-FR"/>
        </w:rPr>
        <w:t>gTLD</w:t>
      </w:r>
      <w:proofErr w:type="spellEnd"/>
      <w:r w:rsidRPr="002C4243">
        <w:rPr>
          <w:szCs w:val="18"/>
          <w:lang w:val="fr-FR"/>
        </w:rPr>
        <w:t>, mais les utilisateurs de la base de données peuvent choisir de recevoir des notifications indéfiniment.  La preuve de l</w:t>
      </w:r>
      <w:r w:rsidR="002C4243">
        <w:rPr>
          <w:szCs w:val="18"/>
          <w:lang w:val="fr-FR"/>
        </w:rPr>
        <w:t>’</w:t>
      </w:r>
      <w:r w:rsidRPr="002C4243">
        <w:rPr>
          <w:szCs w:val="18"/>
          <w:lang w:val="fr-FR"/>
        </w:rPr>
        <w:t>usage requise pour les services préliminaires s</w:t>
      </w:r>
      <w:r w:rsidR="002C4243">
        <w:rPr>
          <w:szCs w:val="18"/>
          <w:lang w:val="fr-FR"/>
        </w:rPr>
        <w:t>’</w:t>
      </w:r>
      <w:r w:rsidRPr="002C4243">
        <w:rPr>
          <w:szCs w:val="18"/>
          <w:lang w:val="fr-FR"/>
        </w:rPr>
        <w:t>applique de la même manière à l</w:t>
      </w:r>
      <w:r w:rsidR="002C4243">
        <w:rPr>
          <w:szCs w:val="18"/>
          <w:lang w:val="fr-FR"/>
        </w:rPr>
        <w:t>’</w:t>
      </w:r>
      <w:r w:rsidRPr="002C4243">
        <w:rPr>
          <w:szCs w:val="18"/>
          <w:lang w:val="fr-FR"/>
        </w:rPr>
        <w:t>invocation de marques comme motif de dépôt de plaintes en vertu du mécanisme de suspension uniforme rapide décrit dans les paragraphes ci</w:t>
      </w:r>
      <w:r w:rsidR="00687BC3">
        <w:rPr>
          <w:szCs w:val="18"/>
          <w:lang w:val="fr-FR"/>
        </w:rPr>
        <w:noBreakHyphen/>
      </w:r>
      <w:r w:rsidRPr="002C4243">
        <w:rPr>
          <w:szCs w:val="18"/>
          <w:lang w:val="fr-FR"/>
        </w:rPr>
        <w:t>dessous.</w:t>
      </w:r>
    </w:p>
  </w:footnote>
  <w:footnote w:id="35">
    <w:p w:rsidR="00D04618" w:rsidRPr="002C4243" w:rsidRDefault="00D04618" w:rsidP="002C71AF">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http://trademark</w:t>
      </w:r>
      <w:r w:rsidR="002C4243">
        <w:rPr>
          <w:szCs w:val="18"/>
          <w:lang w:val="fr-FR"/>
        </w:rPr>
        <w:t>-</w:t>
      </w:r>
      <w:r w:rsidRPr="002C4243">
        <w:rPr>
          <w:szCs w:val="18"/>
          <w:lang w:val="fr-FR"/>
        </w:rPr>
        <w:t>clearinghouse.com/content/tmch</w:t>
      </w:r>
      <w:r w:rsidR="002C4243">
        <w:rPr>
          <w:szCs w:val="18"/>
          <w:lang w:val="fr-FR"/>
        </w:rPr>
        <w:t>-</w:t>
      </w:r>
      <w:r w:rsidRPr="002C4243">
        <w:rPr>
          <w:szCs w:val="18"/>
          <w:lang w:val="fr-FR"/>
        </w:rPr>
        <w:t>stats.</w:t>
      </w:r>
    </w:p>
  </w:footnote>
  <w:footnote w:id="36">
    <w:p w:rsidR="00D04618" w:rsidRPr="002C4243" w:rsidRDefault="00D04618" w:rsidP="003D745D">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 Centre a pour sa part transmis à l</w:t>
      </w:r>
      <w:r w:rsidR="002C4243">
        <w:rPr>
          <w:szCs w:val="18"/>
          <w:lang w:val="fr-FR"/>
        </w:rPr>
        <w:t>’</w:t>
      </w:r>
      <w:r w:rsidRPr="002C4243">
        <w:rPr>
          <w:szCs w:val="18"/>
          <w:lang w:val="fr-FR"/>
        </w:rPr>
        <w:t xml:space="preserve">ICANN, en avril 2009, un projet concernant un </w:t>
      </w:r>
      <w:r w:rsidR="0065467E" w:rsidRPr="002C4243">
        <w:rPr>
          <w:szCs w:val="18"/>
          <w:lang w:val="fr-FR"/>
        </w:rPr>
        <w:t>“</w:t>
      </w:r>
      <w:r w:rsidRPr="002C4243">
        <w:rPr>
          <w:szCs w:val="18"/>
          <w:lang w:val="fr-FR"/>
        </w:rPr>
        <w:t>mécanisme de suspension accéléré (des noms de domaine)</w:t>
      </w:r>
      <w:r w:rsidR="0065467E" w:rsidRPr="002C4243">
        <w:rPr>
          <w:szCs w:val="18"/>
          <w:lang w:val="fr-FR"/>
        </w:rPr>
        <w:t>”“</w:t>
      </w:r>
      <w:r w:rsidRPr="002C4243">
        <w:rPr>
          <w:szCs w:val="18"/>
          <w:lang w:val="fr-FR"/>
        </w:rPr>
        <w:t>, (voir http://www.wipo.int/amc/en/docs/icann030409.pdf) et a ensuite fait des propositions en faveur d</w:t>
      </w:r>
      <w:r w:rsidR="002C4243">
        <w:rPr>
          <w:szCs w:val="18"/>
          <w:lang w:val="fr-FR"/>
        </w:rPr>
        <w:t>’</w:t>
      </w:r>
      <w:r w:rsidRPr="002C4243">
        <w:rPr>
          <w:szCs w:val="18"/>
          <w:lang w:val="fr-FR"/>
        </w:rPr>
        <w:t>un mécanisme simplifié reposant sur ce modèle lors des réunions de l</w:t>
      </w:r>
      <w:r w:rsidR="002C4243">
        <w:rPr>
          <w:szCs w:val="18"/>
          <w:lang w:val="fr-FR"/>
        </w:rPr>
        <w:t>’</w:t>
      </w:r>
      <w:r w:rsidRPr="002C4243">
        <w:rPr>
          <w:szCs w:val="18"/>
          <w:lang w:val="fr-FR"/>
        </w:rPr>
        <w:t>ICANN (voir http://prague44.icann.org/node/31773 et http://toronto45.icann.org/node/34325).  Ces propositions tenaient compte de la nécessité d</w:t>
      </w:r>
      <w:r w:rsidR="002C4243">
        <w:rPr>
          <w:szCs w:val="18"/>
          <w:lang w:val="fr-FR"/>
        </w:rPr>
        <w:t>’</w:t>
      </w:r>
      <w:r w:rsidRPr="002C4243">
        <w:rPr>
          <w:szCs w:val="18"/>
          <w:lang w:val="fr-FR"/>
        </w:rPr>
        <w:t>établir un équilibre entre la protection des droits sur les marques reconnus par la loi, les intérêts concrets des opérateurs de services d</w:t>
      </w:r>
      <w:r w:rsidR="002C4243">
        <w:rPr>
          <w:szCs w:val="18"/>
          <w:lang w:val="fr-FR"/>
        </w:rPr>
        <w:t>’</w:t>
      </w:r>
      <w:r w:rsidRPr="002C4243">
        <w:rPr>
          <w:szCs w:val="18"/>
          <w:lang w:val="fr-FR"/>
        </w:rPr>
        <w:t xml:space="preserve">enregistrement respectueux des règles qui veulent réduire autant que possible leurs frais de fonctionnement, et les attentes légitimes des détenteurs de noms de domaine enregistrés de bonne foi.  </w:t>
      </w:r>
    </w:p>
  </w:footnote>
  <w:footnote w:id="37">
    <w:p w:rsidR="00D04618" w:rsidRPr="002C4243" w:rsidRDefault="00D04618" w:rsidP="003D745D">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Une liste extensive de ces questions figure notamment dans la lettre du Centre adressée à l</w:t>
      </w:r>
      <w:r w:rsidR="002C4243">
        <w:rPr>
          <w:szCs w:val="18"/>
          <w:lang w:val="fr-FR"/>
        </w:rPr>
        <w:t>’</w:t>
      </w:r>
      <w:r w:rsidRPr="002C4243">
        <w:rPr>
          <w:szCs w:val="18"/>
          <w:lang w:val="fr-FR"/>
        </w:rPr>
        <w:t xml:space="preserve">ICANN le </w:t>
      </w:r>
      <w:r w:rsidR="002C4243" w:rsidRPr="002C4243">
        <w:rPr>
          <w:szCs w:val="18"/>
          <w:lang w:val="fr-FR"/>
        </w:rPr>
        <w:t>2</w:t>
      </w:r>
      <w:r w:rsidR="002C4243">
        <w:rPr>
          <w:szCs w:val="18"/>
          <w:lang w:val="fr-FR"/>
        </w:rPr>
        <w:t> </w:t>
      </w:r>
      <w:r w:rsidR="002C4243" w:rsidRPr="002C4243">
        <w:rPr>
          <w:szCs w:val="18"/>
          <w:lang w:val="fr-FR"/>
        </w:rPr>
        <w:t>décembre</w:t>
      </w:r>
      <w:r w:rsidR="002C4243">
        <w:rPr>
          <w:szCs w:val="18"/>
          <w:lang w:val="fr-FR"/>
        </w:rPr>
        <w:t> </w:t>
      </w:r>
      <w:r w:rsidR="002C4243" w:rsidRPr="002C4243">
        <w:rPr>
          <w:szCs w:val="18"/>
          <w:lang w:val="fr-FR"/>
        </w:rPr>
        <w:t>20</w:t>
      </w:r>
      <w:r w:rsidRPr="002C4243">
        <w:rPr>
          <w:szCs w:val="18"/>
          <w:lang w:val="fr-FR"/>
        </w:rPr>
        <w:t>10, publiée à l</w:t>
      </w:r>
      <w:r w:rsidR="002C4243">
        <w:rPr>
          <w:szCs w:val="18"/>
          <w:lang w:val="fr-FR"/>
        </w:rPr>
        <w:t>’</w:t>
      </w:r>
      <w:r w:rsidRPr="002C4243">
        <w:rPr>
          <w:szCs w:val="18"/>
          <w:lang w:val="fr-FR"/>
        </w:rPr>
        <w:t xml:space="preserve">adresse http://www.wipo.int/amc/en/docs/icann021210.pdf.  </w:t>
      </w:r>
    </w:p>
  </w:footnote>
  <w:footnote w:id="38">
    <w:p w:rsidR="00D04618" w:rsidRPr="002C4243" w:rsidRDefault="00D04618" w:rsidP="003D745D">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La question de l</w:t>
      </w:r>
      <w:r w:rsidR="002C4243">
        <w:rPr>
          <w:szCs w:val="18"/>
          <w:lang w:val="fr-FR"/>
        </w:rPr>
        <w:t>’</w:t>
      </w:r>
      <w:r w:rsidRPr="002C4243">
        <w:rPr>
          <w:szCs w:val="18"/>
          <w:lang w:val="fr-FR"/>
        </w:rPr>
        <w:t>accréditation des prestataires suscite des craintes quant à la stabilité des mécanismes de protection des droits;  l</w:t>
      </w:r>
      <w:r w:rsidR="002C4243">
        <w:rPr>
          <w:szCs w:val="18"/>
          <w:lang w:val="fr-FR"/>
        </w:rPr>
        <w:t>’</w:t>
      </w:r>
      <w:r w:rsidRPr="002C4243">
        <w:rPr>
          <w:szCs w:val="18"/>
          <w:lang w:val="fr-FR"/>
        </w:rPr>
        <w:t>OMPI s</w:t>
      </w:r>
      <w:r w:rsidR="002C4243">
        <w:rPr>
          <w:szCs w:val="18"/>
          <w:lang w:val="fr-FR"/>
        </w:rPr>
        <w:t>’</w:t>
      </w:r>
      <w:r w:rsidRPr="002C4243">
        <w:rPr>
          <w:szCs w:val="18"/>
          <w:lang w:val="fr-FR"/>
        </w:rPr>
        <w:t xml:space="preserve">était inquiétée de cette question dès 2007, dans le cadre des principes UDRP (voir http://www.wipo.int/amc/en/docs/icann040707.pdf).  </w:t>
      </w:r>
    </w:p>
  </w:footnote>
  <w:footnote w:id="39">
    <w:p w:rsidR="00D04618" w:rsidRPr="002C4243" w:rsidRDefault="00D04618" w:rsidP="003A2C2B">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Voir https://community.icann.org/display/gnsoudrpdt/Webinar+on+the+Current+State+of+the+UDRP;  </w:t>
      </w:r>
      <w:proofErr w:type="spellStart"/>
      <w:r w:rsidRPr="002C4243">
        <w:rPr>
          <w:szCs w:val="18"/>
          <w:lang w:val="fr-FR"/>
        </w:rPr>
        <w:t>voir</w:t>
      </w:r>
      <w:proofErr w:type="spellEnd"/>
      <w:r w:rsidRPr="002C4243">
        <w:rPr>
          <w:szCs w:val="18"/>
          <w:lang w:val="fr-FR"/>
        </w:rPr>
        <w:t xml:space="preserve"> également de manière plus générale le paragraphe</w:t>
      </w:r>
      <w:r w:rsidR="0087649E">
        <w:rPr>
          <w:szCs w:val="18"/>
          <w:lang w:val="fr-FR"/>
        </w:rPr>
        <w:t> </w:t>
      </w:r>
      <w:r w:rsidRPr="002C4243">
        <w:rPr>
          <w:szCs w:val="18"/>
          <w:lang w:val="fr-FR"/>
        </w:rPr>
        <w:t>31 du document WO/GA/39/10.</w:t>
      </w:r>
    </w:p>
  </w:footnote>
  <w:footnote w:id="40">
    <w:p w:rsidR="00D04618" w:rsidRPr="002C4243" w:rsidRDefault="00D04618" w:rsidP="003A2C2B">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http://gnso.icann.org/meetings/minutes</w:t>
      </w:r>
      <w:r w:rsidR="002C4243">
        <w:rPr>
          <w:szCs w:val="18"/>
          <w:lang w:val="fr-FR"/>
        </w:rPr>
        <w:t>-</w:t>
      </w:r>
      <w:r w:rsidRPr="002C4243">
        <w:rPr>
          <w:szCs w:val="18"/>
          <w:lang w:val="fr-FR"/>
        </w:rPr>
        <w:t>council</w:t>
      </w:r>
      <w:r w:rsidR="002C4243">
        <w:rPr>
          <w:szCs w:val="18"/>
          <w:lang w:val="fr-FR"/>
        </w:rPr>
        <w:t>-</w:t>
      </w:r>
      <w:r w:rsidRPr="002C4243">
        <w:rPr>
          <w:szCs w:val="18"/>
          <w:lang w:val="fr-FR"/>
        </w:rPr>
        <w:t>15dec11</w:t>
      </w:r>
      <w:r w:rsidR="002C4243">
        <w:rPr>
          <w:szCs w:val="18"/>
          <w:lang w:val="fr-FR"/>
        </w:rPr>
        <w:t>-</w:t>
      </w:r>
      <w:r w:rsidRPr="002C4243">
        <w:rPr>
          <w:szCs w:val="18"/>
          <w:lang w:val="fr-FR"/>
        </w:rPr>
        <w:t>en.htm.</w:t>
      </w:r>
    </w:p>
  </w:footnote>
  <w:footnote w:id="41">
    <w:p w:rsidR="00D04618" w:rsidRPr="002C4243" w:rsidRDefault="00D04618" w:rsidP="0094096D">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également le plan final de l</w:t>
      </w:r>
      <w:r w:rsidR="002C4243">
        <w:rPr>
          <w:szCs w:val="18"/>
          <w:lang w:val="fr-FR"/>
        </w:rPr>
        <w:t>’</w:t>
      </w:r>
      <w:r w:rsidRPr="002C4243">
        <w:rPr>
          <w:szCs w:val="18"/>
          <w:lang w:val="fr-FR"/>
        </w:rPr>
        <w:t>ICANN pour la mise en œuvre d</w:t>
      </w:r>
      <w:r w:rsidR="002C4243">
        <w:rPr>
          <w:szCs w:val="18"/>
          <w:lang w:val="fr-FR"/>
        </w:rPr>
        <w:t>’</w:t>
      </w:r>
      <w:r w:rsidRPr="002C4243">
        <w:rPr>
          <w:szCs w:val="18"/>
          <w:lang w:val="fr-FR"/>
        </w:rPr>
        <w:t>un processus accéléré d</w:t>
      </w:r>
      <w:r w:rsidR="002C4243">
        <w:rPr>
          <w:szCs w:val="18"/>
          <w:lang w:val="fr-FR"/>
        </w:rPr>
        <w:t>’</w:t>
      </w:r>
      <w:r w:rsidRPr="002C4243">
        <w:rPr>
          <w:szCs w:val="18"/>
          <w:lang w:val="fr-FR"/>
        </w:rPr>
        <w:t xml:space="preserve">établissement de noms de </w:t>
      </w:r>
      <w:proofErr w:type="spellStart"/>
      <w:r w:rsidRPr="002C4243">
        <w:rPr>
          <w:szCs w:val="18"/>
          <w:lang w:val="fr-FR"/>
        </w:rPr>
        <w:t>ccTLD</w:t>
      </w:r>
      <w:proofErr w:type="spellEnd"/>
      <w:r w:rsidRPr="002C4243">
        <w:rPr>
          <w:szCs w:val="18"/>
          <w:lang w:val="fr-FR"/>
        </w:rPr>
        <w:t xml:space="preserve"> internationalisés publié en </w:t>
      </w:r>
      <w:r w:rsidR="002C4243" w:rsidRPr="002C4243">
        <w:rPr>
          <w:szCs w:val="18"/>
          <w:lang w:val="fr-FR"/>
        </w:rPr>
        <w:t>novembre</w:t>
      </w:r>
      <w:r w:rsidR="002C4243">
        <w:rPr>
          <w:szCs w:val="18"/>
          <w:lang w:val="fr-FR"/>
        </w:rPr>
        <w:t> </w:t>
      </w:r>
      <w:r w:rsidR="002C4243" w:rsidRPr="002C4243">
        <w:rPr>
          <w:szCs w:val="18"/>
          <w:lang w:val="fr-FR"/>
        </w:rPr>
        <w:t>20</w:t>
      </w:r>
      <w:r w:rsidRPr="002C4243">
        <w:rPr>
          <w:szCs w:val="18"/>
          <w:lang w:val="fr-FR"/>
        </w:rPr>
        <w:t>09 (voir http://www.icann.org/en/topics/idn/fast</w:t>
      </w:r>
      <w:r w:rsidR="002C4243">
        <w:rPr>
          <w:szCs w:val="18"/>
          <w:lang w:val="fr-FR"/>
        </w:rPr>
        <w:t>-</w:t>
      </w:r>
      <w:r w:rsidRPr="002C4243">
        <w:rPr>
          <w:szCs w:val="18"/>
          <w:lang w:val="fr-FR"/>
        </w:rPr>
        <w:t>track/idn</w:t>
      </w:r>
      <w:r w:rsidR="002C4243">
        <w:rPr>
          <w:szCs w:val="18"/>
          <w:lang w:val="fr-FR"/>
        </w:rPr>
        <w:t>-</w:t>
      </w:r>
      <w:r w:rsidRPr="002C4243">
        <w:rPr>
          <w:szCs w:val="18"/>
          <w:lang w:val="fr-FR"/>
        </w:rPr>
        <w:t>cctld</w:t>
      </w:r>
      <w:r w:rsidR="002C4243">
        <w:rPr>
          <w:szCs w:val="18"/>
          <w:lang w:val="fr-FR"/>
        </w:rPr>
        <w:t>-</w:t>
      </w:r>
      <w:r w:rsidRPr="002C4243">
        <w:rPr>
          <w:szCs w:val="18"/>
          <w:lang w:val="fr-FR"/>
        </w:rPr>
        <w:t>implementation</w:t>
      </w:r>
      <w:r w:rsidR="002C4243">
        <w:rPr>
          <w:szCs w:val="18"/>
          <w:lang w:val="fr-FR"/>
        </w:rPr>
        <w:t>-</w:t>
      </w:r>
      <w:r w:rsidRPr="002C4243">
        <w:rPr>
          <w:szCs w:val="18"/>
          <w:lang w:val="fr-FR"/>
        </w:rPr>
        <w:t>plan</w:t>
      </w:r>
      <w:r w:rsidR="002C4243">
        <w:rPr>
          <w:szCs w:val="18"/>
          <w:lang w:val="fr-FR"/>
        </w:rPr>
        <w:t>-</w:t>
      </w:r>
      <w:r w:rsidRPr="002C4243">
        <w:rPr>
          <w:szCs w:val="18"/>
          <w:lang w:val="fr-FR"/>
        </w:rPr>
        <w:t>16nov09</w:t>
      </w:r>
      <w:r w:rsidR="002C4243">
        <w:rPr>
          <w:szCs w:val="18"/>
          <w:lang w:val="fr-FR"/>
        </w:rPr>
        <w:t>-</w:t>
      </w:r>
      <w:r w:rsidRPr="002C4243">
        <w:rPr>
          <w:szCs w:val="18"/>
          <w:lang w:val="fr-FR"/>
        </w:rPr>
        <w:t>en.pdf).  Depuis lors, cette procédure a permis d</w:t>
      </w:r>
      <w:r w:rsidR="002C4243">
        <w:rPr>
          <w:szCs w:val="18"/>
          <w:lang w:val="fr-FR"/>
        </w:rPr>
        <w:t>’</w:t>
      </w:r>
      <w:r w:rsidRPr="002C4243">
        <w:rPr>
          <w:szCs w:val="18"/>
          <w:lang w:val="fr-FR"/>
        </w:rPr>
        <w:t xml:space="preserve">introduire plusieurs </w:t>
      </w:r>
      <w:proofErr w:type="spellStart"/>
      <w:r w:rsidRPr="002C4243">
        <w:rPr>
          <w:szCs w:val="18"/>
          <w:lang w:val="fr-FR"/>
        </w:rPr>
        <w:t>ccTLD</w:t>
      </w:r>
      <w:proofErr w:type="spellEnd"/>
      <w:r w:rsidRPr="002C4243">
        <w:rPr>
          <w:szCs w:val="18"/>
          <w:lang w:val="fr-FR"/>
        </w:rPr>
        <w:t xml:space="preserve"> internationalisés associés aux codes à deux</w:t>
      </w:r>
      <w:r w:rsidR="0087649E">
        <w:rPr>
          <w:szCs w:val="18"/>
          <w:lang w:val="fr-FR"/>
        </w:rPr>
        <w:t> </w:t>
      </w:r>
      <w:r w:rsidRPr="002C4243">
        <w:rPr>
          <w:szCs w:val="18"/>
          <w:lang w:val="fr-FR"/>
        </w:rPr>
        <w:t>lettres figurant dans la norme</w:t>
      </w:r>
      <w:r w:rsidR="0087649E">
        <w:rPr>
          <w:szCs w:val="18"/>
          <w:lang w:val="fr-FR"/>
        </w:rPr>
        <w:t> </w:t>
      </w:r>
      <w:r w:rsidRPr="002C4243">
        <w:rPr>
          <w:szCs w:val="18"/>
          <w:lang w:val="fr-FR"/>
        </w:rPr>
        <w:t>ISO 3166</w:t>
      </w:r>
      <w:r w:rsidR="002C4243">
        <w:rPr>
          <w:szCs w:val="18"/>
          <w:lang w:val="fr-FR"/>
        </w:rPr>
        <w:t>-</w:t>
      </w:r>
      <w:r w:rsidRPr="002C4243">
        <w:rPr>
          <w:szCs w:val="18"/>
          <w:lang w:val="fr-FR"/>
        </w:rPr>
        <w:t xml:space="preserve">1 (voir http://www.iso.org/iso/english_country_names_and_code_elements).  </w:t>
      </w:r>
    </w:p>
  </w:footnote>
  <w:footnote w:id="42">
    <w:p w:rsidR="00D04618" w:rsidRPr="002C4243" w:rsidRDefault="00D04618" w:rsidP="0094096D">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Voir http://www.wipo.int/edocs/mdocs/govbody/fr/wo_ga_28/wo_ga_28_3.pdf;  </w:t>
      </w:r>
      <w:proofErr w:type="spellStart"/>
      <w:r w:rsidRPr="002C4243">
        <w:rPr>
          <w:szCs w:val="18"/>
          <w:lang w:val="fr-FR"/>
        </w:rPr>
        <w:t>voir</w:t>
      </w:r>
      <w:proofErr w:type="spellEnd"/>
      <w:r w:rsidRPr="002C4243">
        <w:rPr>
          <w:szCs w:val="18"/>
          <w:lang w:val="fr-FR"/>
        </w:rPr>
        <w:t xml:space="preserve"> également les paragraphes</w:t>
      </w:r>
      <w:r w:rsidR="0087649E">
        <w:rPr>
          <w:szCs w:val="18"/>
          <w:lang w:val="fr-FR"/>
        </w:rPr>
        <w:t> </w:t>
      </w:r>
      <w:r w:rsidRPr="002C4243">
        <w:rPr>
          <w:szCs w:val="18"/>
          <w:lang w:val="fr-FR"/>
        </w:rPr>
        <w:t>6 à 11 du document SCT/9/8, et le paragraphe</w:t>
      </w:r>
      <w:r w:rsidR="0087649E">
        <w:rPr>
          <w:szCs w:val="18"/>
          <w:lang w:val="fr-FR"/>
        </w:rPr>
        <w:t> </w:t>
      </w:r>
      <w:r w:rsidRPr="002C4243">
        <w:rPr>
          <w:szCs w:val="18"/>
          <w:lang w:val="fr-FR"/>
        </w:rPr>
        <w:t>149 du document SCT/9/9.</w:t>
      </w:r>
    </w:p>
  </w:footnote>
  <w:footnote w:id="43">
    <w:p w:rsidR="00D04618" w:rsidRPr="002C4243" w:rsidRDefault="00D04618" w:rsidP="0094096D">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http://www.wipo.int/amc/fr/docs/wipo.doc.</w:t>
      </w:r>
    </w:p>
  </w:footnote>
  <w:footnote w:id="44">
    <w:p w:rsidR="00D04618" w:rsidRPr="002C4243" w:rsidRDefault="00D04618" w:rsidP="00C37469">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À titre d</w:t>
      </w:r>
      <w:r w:rsidR="002C4243">
        <w:rPr>
          <w:szCs w:val="18"/>
          <w:lang w:val="fr-FR"/>
        </w:rPr>
        <w:t>’</w:t>
      </w:r>
      <w:r w:rsidRPr="002C4243">
        <w:rPr>
          <w:szCs w:val="18"/>
          <w:lang w:val="fr-FR"/>
        </w:rPr>
        <w:t>information, voir le document WO/GA/41/17</w:t>
      </w:r>
      <w:r w:rsidR="0087649E">
        <w:rPr>
          <w:szCs w:val="18"/>
          <w:lang w:val="fr-FR"/>
        </w:rPr>
        <w:t> </w:t>
      </w:r>
      <w:r w:rsidRPr="002C4243">
        <w:rPr>
          <w:szCs w:val="18"/>
          <w:lang w:val="fr-FR"/>
        </w:rPr>
        <w:t>Rev.2, notamment les paragraphes</w:t>
      </w:r>
      <w:r w:rsidR="0087649E">
        <w:rPr>
          <w:szCs w:val="18"/>
          <w:lang w:val="fr-FR"/>
        </w:rPr>
        <w:t> </w:t>
      </w:r>
      <w:r w:rsidRPr="002C4243">
        <w:rPr>
          <w:szCs w:val="18"/>
          <w:lang w:val="fr-FR"/>
        </w:rPr>
        <w:t>40 et 41.</w:t>
      </w:r>
    </w:p>
  </w:footnote>
  <w:footnote w:id="45">
    <w:p w:rsidR="00D04618" w:rsidRPr="002C4243" w:rsidRDefault="00D04618" w:rsidP="00C37469">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Voir https://gacweb.icann.org/download/attachments/27132070/FINAL_Toronto_Communique_20121017.pdf?version=1&amp;modificationDate=1354149148000&amp;api=v2. </w:t>
      </w:r>
      <w:r w:rsidR="0087649E">
        <w:rPr>
          <w:szCs w:val="18"/>
          <w:lang w:val="fr-FR"/>
        </w:rPr>
        <w:t xml:space="preserve"> </w:t>
      </w:r>
    </w:p>
  </w:footnote>
  <w:footnote w:id="46">
    <w:p w:rsidR="00D04618" w:rsidRPr="002C4243" w:rsidRDefault="00D04618" w:rsidP="003E262C">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 xml:space="preserve">Voir https://gacweb.icann.org/download/attachments/27132070/Board%20Response%20to%20GAC%20Toronto%20Communique.pdf?version=1&amp;modificationDate=1361909146000&amp;api=v2. </w:t>
      </w:r>
      <w:r w:rsidR="0087649E">
        <w:rPr>
          <w:szCs w:val="18"/>
          <w:lang w:val="fr-FR"/>
        </w:rPr>
        <w:t xml:space="preserve"> </w:t>
      </w:r>
    </w:p>
  </w:footnote>
  <w:footnote w:id="47">
    <w:p w:rsidR="00D04618" w:rsidRPr="002C4243" w:rsidRDefault="00D04618" w:rsidP="003E262C">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Ces critères comprennent le statut d</w:t>
      </w:r>
      <w:r w:rsidR="002C4243">
        <w:rPr>
          <w:szCs w:val="18"/>
          <w:lang w:val="fr-FR"/>
        </w:rPr>
        <w:t>’</w:t>
      </w:r>
      <w:r w:rsidRPr="002C4243">
        <w:rPr>
          <w:szCs w:val="18"/>
          <w:lang w:val="fr-FR"/>
        </w:rPr>
        <w:t>organisation intergouvernementale établie par un traité et dotée d</w:t>
      </w:r>
      <w:r w:rsidR="002C4243">
        <w:rPr>
          <w:szCs w:val="18"/>
          <w:lang w:val="fr-FR"/>
        </w:rPr>
        <w:t>’</w:t>
      </w:r>
      <w:r w:rsidRPr="002C4243">
        <w:rPr>
          <w:szCs w:val="18"/>
          <w:lang w:val="fr-FR"/>
        </w:rPr>
        <w:t>une personnalité juridique internationale, le statut d</w:t>
      </w:r>
      <w:r w:rsidR="002C4243">
        <w:rPr>
          <w:szCs w:val="18"/>
          <w:lang w:val="fr-FR"/>
        </w:rPr>
        <w:t>’</w:t>
      </w:r>
      <w:r w:rsidRPr="002C4243">
        <w:rPr>
          <w:szCs w:val="18"/>
          <w:lang w:val="fr-FR"/>
        </w:rPr>
        <w:t>observateur auprès de l</w:t>
      </w:r>
      <w:r w:rsidR="002C4243">
        <w:rPr>
          <w:szCs w:val="18"/>
          <w:lang w:val="fr-FR"/>
        </w:rPr>
        <w:t>’</w:t>
      </w:r>
      <w:r w:rsidRPr="002C4243">
        <w:rPr>
          <w:szCs w:val="18"/>
          <w:lang w:val="fr-FR"/>
        </w:rPr>
        <w:t>ONU ou le statut de fonds ou de programme de l</w:t>
      </w:r>
      <w:r w:rsidR="002C4243">
        <w:rPr>
          <w:szCs w:val="18"/>
          <w:lang w:val="fr-FR"/>
        </w:rPr>
        <w:t>’</w:t>
      </w:r>
      <w:r w:rsidRPr="002C4243">
        <w:rPr>
          <w:szCs w:val="18"/>
          <w:lang w:val="fr-FR"/>
        </w:rPr>
        <w:t>ONU.</w:t>
      </w:r>
    </w:p>
  </w:footnote>
  <w:footnote w:id="48">
    <w:p w:rsidR="00D04618" w:rsidRPr="002C4243" w:rsidRDefault="00D04618" w:rsidP="003E262C">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http://www.icann.org/en/news/correspondence/dryden</w:t>
      </w:r>
      <w:r w:rsidR="002C4243">
        <w:rPr>
          <w:szCs w:val="18"/>
          <w:lang w:val="fr-FR"/>
        </w:rPr>
        <w:t>-</w:t>
      </w:r>
      <w:r w:rsidRPr="002C4243">
        <w:rPr>
          <w:szCs w:val="18"/>
          <w:lang w:val="fr-FR"/>
        </w:rPr>
        <w:t>to</w:t>
      </w:r>
      <w:r w:rsidR="002C4243">
        <w:rPr>
          <w:szCs w:val="18"/>
          <w:lang w:val="fr-FR"/>
        </w:rPr>
        <w:t>-</w:t>
      </w:r>
      <w:r w:rsidRPr="002C4243">
        <w:rPr>
          <w:szCs w:val="18"/>
          <w:lang w:val="fr-FR"/>
        </w:rPr>
        <w:t>crocker</w:t>
      </w:r>
      <w:r w:rsidR="002C4243">
        <w:rPr>
          <w:szCs w:val="18"/>
          <w:lang w:val="fr-FR"/>
        </w:rPr>
        <w:t>-</w:t>
      </w:r>
      <w:r w:rsidRPr="002C4243">
        <w:rPr>
          <w:szCs w:val="18"/>
          <w:lang w:val="fr-FR"/>
        </w:rPr>
        <w:t>chalaby</w:t>
      </w:r>
      <w:r w:rsidR="002C4243">
        <w:rPr>
          <w:szCs w:val="18"/>
          <w:lang w:val="fr-FR"/>
        </w:rPr>
        <w:t>-</w:t>
      </w:r>
      <w:r w:rsidRPr="002C4243">
        <w:rPr>
          <w:szCs w:val="18"/>
          <w:lang w:val="fr-FR"/>
        </w:rPr>
        <w:t>22mar13</w:t>
      </w:r>
      <w:r w:rsidR="002C4243">
        <w:rPr>
          <w:szCs w:val="18"/>
          <w:lang w:val="fr-FR"/>
        </w:rPr>
        <w:t>-</w:t>
      </w:r>
      <w:r w:rsidRPr="002C4243">
        <w:rPr>
          <w:szCs w:val="18"/>
          <w:lang w:val="fr-FR"/>
        </w:rPr>
        <w:t xml:space="preserve">en. </w:t>
      </w:r>
      <w:r w:rsidR="0087649E">
        <w:rPr>
          <w:szCs w:val="18"/>
          <w:lang w:val="fr-FR"/>
        </w:rPr>
        <w:t xml:space="preserve"> </w:t>
      </w:r>
    </w:p>
  </w:footnote>
  <w:footnote w:id="49">
    <w:p w:rsidR="00D04618" w:rsidRPr="002C4243" w:rsidRDefault="00D04618" w:rsidP="00A5029A">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 Conseil d</w:t>
      </w:r>
      <w:r w:rsidR="002C4243">
        <w:rPr>
          <w:szCs w:val="18"/>
          <w:lang w:val="fr-FR"/>
        </w:rPr>
        <w:t>’</w:t>
      </w:r>
      <w:r w:rsidRPr="002C4243">
        <w:rPr>
          <w:szCs w:val="18"/>
          <w:lang w:val="fr-FR"/>
        </w:rPr>
        <w:t>administration a également demandé des éclaircissements sur les moyens de réviser périodiquement la liste et sur les langues additionnelles éventuelles dans lesquelles la protection des noms et sigles d</w:t>
      </w:r>
      <w:r w:rsidR="002C4243">
        <w:rPr>
          <w:szCs w:val="18"/>
          <w:lang w:val="fr-FR"/>
        </w:rPr>
        <w:t>’</w:t>
      </w:r>
      <w:r w:rsidRPr="002C4243">
        <w:rPr>
          <w:szCs w:val="18"/>
          <w:lang w:val="fr-FR"/>
        </w:rPr>
        <w:t>organisations intergouvernementales pourrait être demandée.  Voir http://www.icann.org/en/news/correspondence/crocker</w:t>
      </w:r>
      <w:r w:rsidR="002C4243">
        <w:rPr>
          <w:szCs w:val="18"/>
          <w:lang w:val="fr-FR"/>
        </w:rPr>
        <w:t>-</w:t>
      </w:r>
      <w:r w:rsidRPr="002C4243">
        <w:rPr>
          <w:szCs w:val="18"/>
          <w:lang w:val="fr-FR"/>
        </w:rPr>
        <w:t>to</w:t>
      </w:r>
      <w:r w:rsidR="002C4243">
        <w:rPr>
          <w:szCs w:val="18"/>
          <w:lang w:val="fr-FR"/>
        </w:rPr>
        <w:t>-</w:t>
      </w:r>
      <w:r w:rsidRPr="002C4243">
        <w:rPr>
          <w:szCs w:val="18"/>
          <w:lang w:val="fr-FR"/>
        </w:rPr>
        <w:t>dryden</w:t>
      </w:r>
      <w:r w:rsidR="002C4243">
        <w:rPr>
          <w:szCs w:val="18"/>
          <w:lang w:val="fr-FR"/>
        </w:rPr>
        <w:t>-</w:t>
      </w:r>
      <w:r w:rsidRPr="002C4243">
        <w:rPr>
          <w:szCs w:val="18"/>
          <w:lang w:val="fr-FR"/>
        </w:rPr>
        <w:t>01apr13</w:t>
      </w:r>
      <w:r w:rsidR="002C4243">
        <w:rPr>
          <w:szCs w:val="18"/>
          <w:lang w:val="fr-FR"/>
        </w:rPr>
        <w:t>-</w:t>
      </w:r>
      <w:r w:rsidRPr="002C4243">
        <w:rPr>
          <w:szCs w:val="18"/>
          <w:lang w:val="fr-FR"/>
        </w:rPr>
        <w:t xml:space="preserve">en. </w:t>
      </w:r>
      <w:r w:rsidR="0087649E">
        <w:rPr>
          <w:szCs w:val="18"/>
          <w:lang w:val="fr-FR"/>
        </w:rPr>
        <w:t xml:space="preserve"> </w:t>
      </w:r>
    </w:p>
  </w:footnote>
  <w:footnote w:id="50">
    <w:p w:rsidR="00D04618" w:rsidRPr="002C4243" w:rsidRDefault="00D04618" w:rsidP="00A5029A">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https://www.icann.org/en/system/files/correspondence/gac</w:t>
      </w:r>
      <w:r w:rsidR="002C4243">
        <w:rPr>
          <w:szCs w:val="18"/>
          <w:lang w:val="fr-FR"/>
        </w:rPr>
        <w:t>-</w:t>
      </w:r>
      <w:r w:rsidRPr="002C4243">
        <w:rPr>
          <w:szCs w:val="18"/>
          <w:lang w:val="fr-FR"/>
        </w:rPr>
        <w:t>to</w:t>
      </w:r>
      <w:r w:rsidR="002C4243">
        <w:rPr>
          <w:szCs w:val="18"/>
          <w:lang w:val="fr-FR"/>
        </w:rPr>
        <w:t>-</w:t>
      </w:r>
      <w:r w:rsidRPr="002C4243">
        <w:rPr>
          <w:szCs w:val="18"/>
          <w:lang w:val="fr-FR"/>
        </w:rPr>
        <w:t>board</w:t>
      </w:r>
      <w:r w:rsidR="002C4243">
        <w:rPr>
          <w:szCs w:val="18"/>
          <w:lang w:val="fr-FR"/>
        </w:rPr>
        <w:t>-</w:t>
      </w:r>
      <w:r w:rsidRPr="002C4243">
        <w:rPr>
          <w:szCs w:val="18"/>
          <w:lang w:val="fr-FR"/>
        </w:rPr>
        <w:t>18apr13</w:t>
      </w:r>
      <w:r w:rsidR="002C4243">
        <w:rPr>
          <w:szCs w:val="18"/>
          <w:lang w:val="fr-FR"/>
        </w:rPr>
        <w:t>-</w:t>
      </w:r>
      <w:r w:rsidRPr="002C4243">
        <w:rPr>
          <w:szCs w:val="18"/>
          <w:lang w:val="fr-FR"/>
        </w:rPr>
        <w:t xml:space="preserve">en.pdf. </w:t>
      </w:r>
      <w:r w:rsidR="0087649E">
        <w:rPr>
          <w:szCs w:val="18"/>
          <w:lang w:val="fr-FR"/>
        </w:rPr>
        <w:t xml:space="preserve"> </w:t>
      </w:r>
    </w:p>
  </w:footnote>
  <w:footnote w:id="51">
    <w:p w:rsidR="00D04618" w:rsidRPr="002C4243" w:rsidRDefault="00D04618" w:rsidP="00A5029A">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 GAC a en outre indiqué qu</w:t>
      </w:r>
      <w:r w:rsidR="002C4243">
        <w:rPr>
          <w:szCs w:val="18"/>
          <w:lang w:val="fr-FR"/>
        </w:rPr>
        <w:t>’</w:t>
      </w:r>
      <w:r w:rsidRPr="002C4243">
        <w:rPr>
          <w:szCs w:val="18"/>
          <w:lang w:val="fr-FR"/>
        </w:rPr>
        <w:t>il supposait expressément que le Conseil d</w:t>
      </w:r>
      <w:r w:rsidR="002C4243">
        <w:rPr>
          <w:szCs w:val="18"/>
          <w:lang w:val="fr-FR"/>
        </w:rPr>
        <w:t>’</w:t>
      </w:r>
      <w:r w:rsidRPr="002C4243">
        <w:rPr>
          <w:szCs w:val="18"/>
          <w:lang w:val="fr-FR"/>
        </w:rPr>
        <w:t>administration de l</w:t>
      </w:r>
      <w:r w:rsidR="002C4243">
        <w:rPr>
          <w:szCs w:val="18"/>
          <w:lang w:val="fr-FR"/>
        </w:rPr>
        <w:t>’</w:t>
      </w:r>
      <w:r w:rsidRPr="002C4243">
        <w:rPr>
          <w:szCs w:val="18"/>
          <w:lang w:val="fr-FR"/>
        </w:rPr>
        <w:t>ICANN était prêt à appliquer pleinement les recommandations</w:t>
      </w:r>
      <w:r w:rsidR="002C4243" w:rsidRPr="002C4243">
        <w:rPr>
          <w:szCs w:val="18"/>
          <w:lang w:val="fr-FR"/>
        </w:rPr>
        <w:t xml:space="preserve"> du</w:t>
      </w:r>
      <w:r w:rsidR="002C4243">
        <w:rPr>
          <w:szCs w:val="18"/>
          <w:lang w:val="fr-FR"/>
        </w:rPr>
        <w:t> </w:t>
      </w:r>
      <w:r w:rsidR="002C4243" w:rsidRPr="002C4243">
        <w:rPr>
          <w:szCs w:val="18"/>
          <w:lang w:val="fr-FR"/>
        </w:rPr>
        <w:t>GAC</w:t>
      </w:r>
      <w:r w:rsidRPr="002C4243">
        <w:rPr>
          <w:szCs w:val="18"/>
          <w:lang w:val="fr-FR"/>
        </w:rPr>
        <w:t xml:space="preserve"> en vue d</w:t>
      </w:r>
      <w:r w:rsidR="002C4243">
        <w:rPr>
          <w:szCs w:val="18"/>
          <w:lang w:val="fr-FR"/>
        </w:rPr>
        <w:t>’</w:t>
      </w:r>
      <w:r w:rsidRPr="002C4243">
        <w:rPr>
          <w:szCs w:val="18"/>
          <w:lang w:val="fr-FR"/>
        </w:rPr>
        <w:t xml:space="preserve">une mise en œuvre pratique et efficace de la protection de nature préventive au deuxième niveau dans les nouveaux </w:t>
      </w:r>
      <w:proofErr w:type="spellStart"/>
      <w:r w:rsidRPr="002C4243">
        <w:rPr>
          <w:szCs w:val="18"/>
          <w:lang w:val="fr-FR"/>
        </w:rPr>
        <w:t>gTLD</w:t>
      </w:r>
      <w:proofErr w:type="spellEnd"/>
      <w:r w:rsidRPr="002C4243">
        <w:rPr>
          <w:szCs w:val="18"/>
          <w:lang w:val="fr-FR"/>
        </w:rPr>
        <w:t>, et a précisé que les mesures de protection provisoires pour les noms et sigles d</w:t>
      </w:r>
      <w:r w:rsidR="002C4243">
        <w:rPr>
          <w:szCs w:val="18"/>
          <w:lang w:val="fr-FR"/>
        </w:rPr>
        <w:t>’</w:t>
      </w:r>
      <w:r w:rsidRPr="002C4243">
        <w:rPr>
          <w:szCs w:val="18"/>
          <w:lang w:val="fr-FR"/>
        </w:rPr>
        <w:t>organisations intergouvernementales devraient rester en place jusqu</w:t>
      </w:r>
      <w:r w:rsidR="002C4243">
        <w:rPr>
          <w:szCs w:val="18"/>
          <w:lang w:val="fr-FR"/>
        </w:rPr>
        <w:t>’</w:t>
      </w:r>
      <w:r w:rsidRPr="002C4243">
        <w:rPr>
          <w:szCs w:val="18"/>
          <w:lang w:val="fr-FR"/>
        </w:rPr>
        <w:t>à la fin des échanges entre</w:t>
      </w:r>
      <w:r w:rsidR="002C4243" w:rsidRPr="002C4243">
        <w:rPr>
          <w:szCs w:val="18"/>
          <w:lang w:val="fr-FR"/>
        </w:rPr>
        <w:t xml:space="preserve"> le</w:t>
      </w:r>
      <w:r w:rsidR="002C4243">
        <w:rPr>
          <w:szCs w:val="18"/>
          <w:lang w:val="fr-FR"/>
        </w:rPr>
        <w:t> </w:t>
      </w:r>
      <w:r w:rsidR="002C4243" w:rsidRPr="002C4243">
        <w:rPr>
          <w:szCs w:val="18"/>
          <w:lang w:val="fr-FR"/>
        </w:rPr>
        <w:t>GAC</w:t>
      </w:r>
      <w:r w:rsidRPr="002C4243">
        <w:rPr>
          <w:szCs w:val="18"/>
          <w:lang w:val="fr-FR"/>
        </w:rPr>
        <w:t>, l</w:t>
      </w:r>
      <w:r w:rsidR="002C4243">
        <w:rPr>
          <w:szCs w:val="18"/>
          <w:lang w:val="fr-FR"/>
        </w:rPr>
        <w:t>’</w:t>
      </w:r>
      <w:r w:rsidRPr="002C4243">
        <w:rPr>
          <w:szCs w:val="18"/>
          <w:lang w:val="fr-FR"/>
        </w:rPr>
        <w:t>ICANN et les organisations intergouvernementales.  Voir http://durban47.icann.org/meetings/durban2013/presentation</w:t>
      </w:r>
      <w:r w:rsidR="002C4243">
        <w:rPr>
          <w:szCs w:val="18"/>
          <w:lang w:val="fr-FR"/>
        </w:rPr>
        <w:t>-</w:t>
      </w:r>
      <w:r w:rsidRPr="002C4243">
        <w:rPr>
          <w:szCs w:val="18"/>
          <w:lang w:val="fr-FR"/>
        </w:rPr>
        <w:t>gac</w:t>
      </w:r>
      <w:r w:rsidR="002C4243">
        <w:rPr>
          <w:szCs w:val="18"/>
          <w:lang w:val="fr-FR"/>
        </w:rPr>
        <w:t>-</w:t>
      </w:r>
      <w:r w:rsidRPr="002C4243">
        <w:rPr>
          <w:szCs w:val="18"/>
          <w:lang w:val="fr-FR"/>
        </w:rPr>
        <w:t>communique</w:t>
      </w:r>
      <w:r w:rsidR="002C4243">
        <w:rPr>
          <w:szCs w:val="18"/>
          <w:lang w:val="fr-FR"/>
        </w:rPr>
        <w:t>-</w:t>
      </w:r>
      <w:r w:rsidRPr="002C4243">
        <w:rPr>
          <w:szCs w:val="18"/>
          <w:lang w:val="fr-FR"/>
        </w:rPr>
        <w:t>18jul13</w:t>
      </w:r>
      <w:r w:rsidR="002C4243">
        <w:rPr>
          <w:szCs w:val="18"/>
          <w:lang w:val="fr-FR"/>
        </w:rPr>
        <w:t>-</w:t>
      </w:r>
      <w:r w:rsidRPr="002C4243">
        <w:rPr>
          <w:szCs w:val="18"/>
          <w:lang w:val="fr-FR"/>
        </w:rPr>
        <w:t xml:space="preserve">en.pdf. </w:t>
      </w:r>
      <w:r w:rsidR="0087649E">
        <w:rPr>
          <w:szCs w:val="18"/>
          <w:lang w:val="fr-FR"/>
        </w:rPr>
        <w:t xml:space="preserve"> </w:t>
      </w:r>
    </w:p>
  </w:footnote>
  <w:footnote w:id="52">
    <w:p w:rsidR="00D04618" w:rsidRPr="002C4243" w:rsidRDefault="00D04618" w:rsidP="00A5029A">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http://www.icann.org/en/groups/board/documents/resolutions</w:t>
      </w:r>
      <w:r w:rsidR="002C4243">
        <w:rPr>
          <w:szCs w:val="18"/>
          <w:lang w:val="fr-FR"/>
        </w:rPr>
        <w:t>-</w:t>
      </w:r>
      <w:r w:rsidRPr="002C4243">
        <w:rPr>
          <w:szCs w:val="18"/>
          <w:lang w:val="fr-FR"/>
        </w:rPr>
        <w:t>new</w:t>
      </w:r>
      <w:r w:rsidR="002C4243">
        <w:rPr>
          <w:szCs w:val="18"/>
          <w:lang w:val="fr-FR"/>
        </w:rPr>
        <w:t>-</w:t>
      </w:r>
      <w:r w:rsidRPr="002C4243">
        <w:rPr>
          <w:szCs w:val="18"/>
          <w:lang w:val="fr-FR"/>
        </w:rPr>
        <w:t>gtld</w:t>
      </w:r>
      <w:r w:rsidR="002C4243">
        <w:rPr>
          <w:szCs w:val="18"/>
          <w:lang w:val="fr-FR"/>
        </w:rPr>
        <w:t>-</w:t>
      </w:r>
      <w:r w:rsidRPr="002C4243">
        <w:rPr>
          <w:szCs w:val="18"/>
          <w:lang w:val="fr-FR"/>
        </w:rPr>
        <w:t>17jul13</w:t>
      </w:r>
      <w:r w:rsidR="002C4243">
        <w:rPr>
          <w:szCs w:val="18"/>
          <w:lang w:val="fr-FR"/>
        </w:rPr>
        <w:t>-</w:t>
      </w:r>
      <w:r w:rsidRPr="002C4243">
        <w:rPr>
          <w:szCs w:val="18"/>
          <w:lang w:val="fr-FR"/>
        </w:rPr>
        <w:t>en.htm.</w:t>
      </w:r>
    </w:p>
  </w:footnote>
  <w:footnote w:id="53">
    <w:p w:rsidR="00D04618" w:rsidRPr="002C4243" w:rsidRDefault="00D04618" w:rsidP="00A5029A">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Le GAC et</w:t>
      </w:r>
      <w:r w:rsidR="002C4243" w:rsidRPr="002C4243">
        <w:rPr>
          <w:szCs w:val="18"/>
          <w:lang w:val="fr-FR"/>
        </w:rPr>
        <w:t xml:space="preserve"> le</w:t>
      </w:r>
      <w:r w:rsidR="002C4243">
        <w:rPr>
          <w:szCs w:val="18"/>
          <w:lang w:val="fr-FR"/>
        </w:rPr>
        <w:t> </w:t>
      </w:r>
      <w:r w:rsidR="002C4243" w:rsidRPr="002C4243">
        <w:rPr>
          <w:szCs w:val="18"/>
          <w:lang w:val="fr-FR"/>
        </w:rPr>
        <w:t>NGP</w:t>
      </w:r>
      <w:r w:rsidRPr="002C4243">
        <w:rPr>
          <w:szCs w:val="18"/>
          <w:lang w:val="fr-FR"/>
        </w:rPr>
        <w:t>C avaient annulé leur participation à une réunion proposée par les organisations intergouvernementales le 3</w:t>
      </w:r>
      <w:r w:rsidR="002C4243" w:rsidRPr="002C4243">
        <w:rPr>
          <w:szCs w:val="18"/>
          <w:lang w:val="fr-FR"/>
        </w:rPr>
        <w:t>0</w:t>
      </w:r>
      <w:r w:rsidR="002C4243">
        <w:rPr>
          <w:szCs w:val="18"/>
          <w:lang w:val="fr-FR"/>
        </w:rPr>
        <w:t> </w:t>
      </w:r>
      <w:r w:rsidR="002C4243" w:rsidRPr="002C4243">
        <w:rPr>
          <w:szCs w:val="18"/>
          <w:lang w:val="fr-FR"/>
        </w:rPr>
        <w:t>septembre</w:t>
      </w:r>
      <w:r w:rsidRPr="002C4243">
        <w:rPr>
          <w:szCs w:val="18"/>
          <w:lang w:val="fr-FR"/>
        </w:rPr>
        <w:t xml:space="preserve">.  </w:t>
      </w:r>
    </w:p>
  </w:footnote>
  <w:footnote w:id="54">
    <w:p w:rsidR="00D04618" w:rsidRPr="002C4243" w:rsidRDefault="00D04618" w:rsidP="00A5029A">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http://www.icann.org/en/news/correspondence/gac</w:t>
      </w:r>
      <w:r w:rsidR="002C4243">
        <w:rPr>
          <w:szCs w:val="18"/>
          <w:lang w:val="fr-FR"/>
        </w:rPr>
        <w:t>-</w:t>
      </w:r>
      <w:r w:rsidRPr="002C4243">
        <w:rPr>
          <w:szCs w:val="18"/>
          <w:lang w:val="fr-FR"/>
        </w:rPr>
        <w:t>to</w:t>
      </w:r>
      <w:r w:rsidR="002C4243">
        <w:rPr>
          <w:szCs w:val="18"/>
          <w:lang w:val="fr-FR"/>
        </w:rPr>
        <w:t>-</w:t>
      </w:r>
      <w:r w:rsidRPr="002C4243">
        <w:rPr>
          <w:szCs w:val="18"/>
          <w:lang w:val="fr-FR"/>
        </w:rPr>
        <w:t>board</w:t>
      </w:r>
      <w:r w:rsidR="002C4243">
        <w:rPr>
          <w:szCs w:val="18"/>
          <w:lang w:val="fr-FR"/>
        </w:rPr>
        <w:t>-</w:t>
      </w:r>
      <w:r w:rsidRPr="002C4243">
        <w:rPr>
          <w:szCs w:val="18"/>
          <w:lang w:val="fr-FR"/>
        </w:rPr>
        <w:t>20nov13</w:t>
      </w:r>
      <w:r w:rsidR="002C4243">
        <w:rPr>
          <w:szCs w:val="18"/>
          <w:lang w:val="fr-FR"/>
        </w:rPr>
        <w:t>-</w:t>
      </w:r>
      <w:r w:rsidRPr="002C4243">
        <w:rPr>
          <w:szCs w:val="18"/>
          <w:lang w:val="fr-FR"/>
        </w:rPr>
        <w:t xml:space="preserve">en.pdf. </w:t>
      </w:r>
      <w:r w:rsidR="0087649E">
        <w:rPr>
          <w:szCs w:val="18"/>
          <w:lang w:val="fr-FR"/>
        </w:rPr>
        <w:t xml:space="preserve"> </w:t>
      </w:r>
    </w:p>
  </w:footnote>
  <w:footnote w:id="55">
    <w:p w:rsidR="00D04618" w:rsidRPr="002C4243" w:rsidRDefault="00D04618" w:rsidP="00A5029A">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t>Voir http://www.icann.org/en/groups/board/documents/resolutions</w:t>
      </w:r>
      <w:r w:rsidR="002C4243">
        <w:rPr>
          <w:szCs w:val="18"/>
          <w:lang w:val="fr-FR"/>
        </w:rPr>
        <w:t>-</w:t>
      </w:r>
      <w:r w:rsidRPr="002C4243">
        <w:rPr>
          <w:szCs w:val="18"/>
          <w:lang w:val="fr-FR"/>
        </w:rPr>
        <w:t>new</w:t>
      </w:r>
      <w:r w:rsidR="002C4243">
        <w:rPr>
          <w:szCs w:val="18"/>
          <w:lang w:val="fr-FR"/>
        </w:rPr>
        <w:t>-</w:t>
      </w:r>
      <w:r w:rsidRPr="002C4243">
        <w:rPr>
          <w:szCs w:val="18"/>
          <w:lang w:val="fr-FR"/>
        </w:rPr>
        <w:t>gtld</w:t>
      </w:r>
      <w:r w:rsidR="002C4243">
        <w:rPr>
          <w:szCs w:val="18"/>
          <w:lang w:val="fr-FR"/>
        </w:rPr>
        <w:t>-</w:t>
      </w:r>
      <w:r w:rsidRPr="002C4243">
        <w:rPr>
          <w:szCs w:val="18"/>
          <w:lang w:val="fr-FR"/>
        </w:rPr>
        <w:t>09jan14</w:t>
      </w:r>
      <w:r w:rsidR="002C4243">
        <w:rPr>
          <w:szCs w:val="18"/>
          <w:lang w:val="fr-FR"/>
        </w:rPr>
        <w:t>-</w:t>
      </w:r>
      <w:r w:rsidRPr="002C4243">
        <w:rPr>
          <w:szCs w:val="18"/>
          <w:lang w:val="fr-FR"/>
        </w:rPr>
        <w:t xml:space="preserve">en.htm#2.d.i. </w:t>
      </w:r>
      <w:r w:rsidR="0087649E">
        <w:rPr>
          <w:szCs w:val="18"/>
          <w:lang w:val="fr-FR"/>
        </w:rPr>
        <w:t xml:space="preserve"> </w:t>
      </w:r>
    </w:p>
  </w:footnote>
  <w:footnote w:id="56">
    <w:p w:rsidR="00D04618" w:rsidRPr="00567473" w:rsidRDefault="00D04618" w:rsidP="003E64A4">
      <w:pPr>
        <w:pStyle w:val="FootnoteText"/>
        <w:rPr>
          <w:szCs w:val="18"/>
          <w:lang w:val="fr-FR"/>
        </w:rPr>
      </w:pPr>
      <w:r w:rsidRPr="002C4243">
        <w:rPr>
          <w:rStyle w:val="FootnoteReference"/>
          <w:szCs w:val="18"/>
          <w:lang w:val="fr-FR"/>
        </w:rPr>
        <w:footnoteRef/>
      </w:r>
      <w:r w:rsidRPr="002C4243">
        <w:rPr>
          <w:szCs w:val="18"/>
          <w:lang w:val="fr-FR"/>
        </w:rPr>
        <w:t xml:space="preserve"> </w:t>
      </w:r>
      <w:r w:rsidRPr="002C4243">
        <w:rPr>
          <w:szCs w:val="18"/>
          <w:lang w:val="fr-FR"/>
        </w:rPr>
        <w:tab/>
      </w:r>
      <w:r w:rsidRPr="00567473">
        <w:rPr>
          <w:szCs w:val="18"/>
          <w:lang w:val="fr-FR"/>
        </w:rPr>
        <w:t>À titre d</w:t>
      </w:r>
      <w:r w:rsidR="002C4243" w:rsidRPr="00567473">
        <w:rPr>
          <w:szCs w:val="18"/>
          <w:lang w:val="fr-FR"/>
        </w:rPr>
        <w:t>’</w:t>
      </w:r>
      <w:r w:rsidRPr="00567473">
        <w:rPr>
          <w:szCs w:val="18"/>
          <w:lang w:val="fr-FR"/>
        </w:rPr>
        <w:t>exemple, la lettre des organisations intergouvernementales citait les bénéfices illicites tirés des campagnes de l</w:t>
      </w:r>
      <w:r w:rsidR="002C4243" w:rsidRPr="00567473">
        <w:rPr>
          <w:szCs w:val="18"/>
          <w:lang w:val="fr-FR"/>
        </w:rPr>
        <w:t>’</w:t>
      </w:r>
      <w:r w:rsidRPr="00567473">
        <w:rPr>
          <w:szCs w:val="18"/>
          <w:lang w:val="fr-FR"/>
        </w:rPr>
        <w:t xml:space="preserve">UNICEF visant à lever des fonds à la suite de catastrophes humanitaires.  </w:t>
      </w:r>
    </w:p>
  </w:footnote>
  <w:footnote w:id="57">
    <w:p w:rsidR="00D04618" w:rsidRPr="00567473" w:rsidRDefault="00D04618" w:rsidP="005D2C92">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la note 23.</w:t>
      </w:r>
    </w:p>
  </w:footnote>
  <w:footnote w:id="58">
    <w:p w:rsidR="00D04618" w:rsidRPr="00567473" w:rsidRDefault="00D04618" w:rsidP="005D2C92">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https://gacweb.icann.org/download/attachments/27132037/Los%20Angeles_GAC%20Communique_Final.pdf?version=1&amp;modificationDate=1413479079000&amp;api=v2.</w:t>
      </w:r>
    </w:p>
  </w:footnote>
  <w:footnote w:id="59">
    <w:p w:rsidR="00D04618" w:rsidRPr="00567473" w:rsidRDefault="00D04618" w:rsidP="005D2C92">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https://www.icann.org/en/system/files/correspondence/chalaby</w:t>
      </w:r>
      <w:r w:rsidR="002C4243" w:rsidRPr="00567473">
        <w:rPr>
          <w:szCs w:val="18"/>
          <w:lang w:val="fr-FR"/>
        </w:rPr>
        <w:t>-</w:t>
      </w:r>
      <w:r w:rsidRPr="00567473">
        <w:rPr>
          <w:szCs w:val="18"/>
          <w:lang w:val="fr-FR"/>
        </w:rPr>
        <w:t>to</w:t>
      </w:r>
      <w:r w:rsidR="002C4243" w:rsidRPr="00567473">
        <w:rPr>
          <w:szCs w:val="18"/>
          <w:lang w:val="fr-FR"/>
        </w:rPr>
        <w:t>-</w:t>
      </w:r>
      <w:r w:rsidRPr="00567473">
        <w:rPr>
          <w:szCs w:val="18"/>
          <w:lang w:val="fr-FR"/>
        </w:rPr>
        <w:t>schneider</w:t>
      </w:r>
      <w:r w:rsidR="002C4243" w:rsidRPr="00567473">
        <w:rPr>
          <w:szCs w:val="18"/>
          <w:lang w:val="fr-FR"/>
        </w:rPr>
        <w:t>-</w:t>
      </w:r>
      <w:r w:rsidRPr="00567473">
        <w:rPr>
          <w:szCs w:val="18"/>
          <w:lang w:val="fr-FR"/>
        </w:rPr>
        <w:t>22jan15</w:t>
      </w:r>
      <w:r w:rsidR="002C4243" w:rsidRPr="00567473">
        <w:rPr>
          <w:szCs w:val="18"/>
          <w:lang w:val="fr-FR"/>
        </w:rPr>
        <w:t>-</w:t>
      </w:r>
      <w:r w:rsidRPr="00567473">
        <w:rPr>
          <w:szCs w:val="18"/>
          <w:lang w:val="fr-FR"/>
        </w:rPr>
        <w:t>en.pdf.</w:t>
      </w:r>
    </w:p>
  </w:footnote>
  <w:footnote w:id="60">
    <w:p w:rsidR="00D04618" w:rsidRPr="00567473" w:rsidRDefault="00D04618" w:rsidP="005D2C92">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http://mm.icann.org/pipermail/gnso</w:t>
      </w:r>
      <w:r w:rsidR="002C4243" w:rsidRPr="00567473">
        <w:rPr>
          <w:szCs w:val="18"/>
          <w:lang w:val="fr-FR"/>
        </w:rPr>
        <w:t>-</w:t>
      </w:r>
      <w:r w:rsidRPr="00567473">
        <w:rPr>
          <w:szCs w:val="18"/>
          <w:lang w:val="fr-FR"/>
        </w:rPr>
        <w:t>igo</w:t>
      </w:r>
      <w:r w:rsidR="002C4243" w:rsidRPr="00567473">
        <w:rPr>
          <w:szCs w:val="18"/>
          <w:lang w:val="fr-FR"/>
        </w:rPr>
        <w:t>-</w:t>
      </w:r>
      <w:r w:rsidRPr="00567473">
        <w:rPr>
          <w:szCs w:val="18"/>
          <w:lang w:val="fr-FR"/>
        </w:rPr>
        <w:t>ingo</w:t>
      </w:r>
      <w:r w:rsidR="002C4243" w:rsidRPr="00567473">
        <w:rPr>
          <w:szCs w:val="18"/>
          <w:lang w:val="fr-FR"/>
        </w:rPr>
        <w:t>-</w:t>
      </w:r>
      <w:r w:rsidRPr="00567473">
        <w:rPr>
          <w:szCs w:val="18"/>
          <w:lang w:val="fr-FR"/>
        </w:rPr>
        <w:t>crp/2015</w:t>
      </w:r>
      <w:r w:rsidR="002C4243" w:rsidRPr="00567473">
        <w:rPr>
          <w:szCs w:val="18"/>
          <w:lang w:val="fr-FR"/>
        </w:rPr>
        <w:t>-</w:t>
      </w:r>
      <w:r w:rsidRPr="00567473">
        <w:rPr>
          <w:szCs w:val="18"/>
          <w:lang w:val="fr-FR"/>
        </w:rPr>
        <w:t>April/000345.html.</w:t>
      </w:r>
    </w:p>
  </w:footnote>
  <w:footnote w:id="61">
    <w:p w:rsidR="00D04618" w:rsidRPr="00567473" w:rsidRDefault="00D04618" w:rsidP="006E1BD0">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En</w:t>
      </w:r>
      <w:r w:rsidR="0087649E" w:rsidRPr="00567473">
        <w:rPr>
          <w:szCs w:val="18"/>
          <w:lang w:val="fr-FR"/>
        </w:rPr>
        <w:t> </w:t>
      </w:r>
      <w:r w:rsidRPr="00567473">
        <w:rPr>
          <w:szCs w:val="18"/>
          <w:lang w:val="fr-FR"/>
        </w:rPr>
        <w:t>2007,</w:t>
      </w:r>
      <w:r w:rsidR="002C4243" w:rsidRPr="00567473">
        <w:rPr>
          <w:szCs w:val="18"/>
          <w:lang w:val="fr-FR"/>
        </w:rPr>
        <w:t xml:space="preserve"> le GAC</w:t>
      </w:r>
      <w:r w:rsidRPr="00567473">
        <w:rPr>
          <w:szCs w:val="18"/>
          <w:lang w:val="fr-FR"/>
        </w:rPr>
        <w:t xml:space="preserve"> a publié les </w:t>
      </w:r>
      <w:r w:rsidR="0065467E" w:rsidRPr="00567473">
        <w:rPr>
          <w:szCs w:val="18"/>
          <w:lang w:val="fr-FR"/>
        </w:rPr>
        <w:t>“</w:t>
      </w:r>
      <w:r w:rsidRPr="00567473">
        <w:rPr>
          <w:szCs w:val="18"/>
          <w:lang w:val="fr-FR"/>
        </w:rPr>
        <w:t>Principes</w:t>
      </w:r>
      <w:r w:rsidR="002C4243" w:rsidRPr="00567473">
        <w:rPr>
          <w:szCs w:val="18"/>
          <w:lang w:val="fr-FR"/>
        </w:rPr>
        <w:t xml:space="preserve"> du GAC</w:t>
      </w:r>
      <w:r w:rsidRPr="00567473">
        <w:rPr>
          <w:szCs w:val="18"/>
          <w:lang w:val="fr-FR"/>
        </w:rPr>
        <w:t xml:space="preserve"> concernant les nouveaux </w:t>
      </w:r>
      <w:proofErr w:type="spellStart"/>
      <w:r w:rsidRPr="00567473">
        <w:rPr>
          <w:szCs w:val="18"/>
          <w:lang w:val="fr-FR"/>
        </w:rPr>
        <w:t>gTLD</w:t>
      </w:r>
      <w:proofErr w:type="spellEnd"/>
      <w:r w:rsidR="0065467E" w:rsidRPr="00567473">
        <w:rPr>
          <w:szCs w:val="18"/>
          <w:lang w:val="fr-FR"/>
        </w:rPr>
        <w:t>”</w:t>
      </w:r>
      <w:r w:rsidRPr="00567473">
        <w:rPr>
          <w:szCs w:val="18"/>
          <w:lang w:val="fr-FR"/>
        </w:rPr>
        <w:t>, qui prévoient notamment que l</w:t>
      </w:r>
      <w:r w:rsidR="002C4243" w:rsidRPr="00567473">
        <w:rPr>
          <w:szCs w:val="18"/>
          <w:lang w:val="fr-FR"/>
        </w:rPr>
        <w:t>’</w:t>
      </w:r>
      <w:r w:rsidRPr="00567473">
        <w:rPr>
          <w:szCs w:val="18"/>
          <w:lang w:val="fr-FR"/>
        </w:rPr>
        <w:t>ICANN devrait éviter d</w:t>
      </w:r>
      <w:r w:rsidR="002C4243" w:rsidRPr="00567473">
        <w:rPr>
          <w:szCs w:val="18"/>
          <w:lang w:val="fr-FR"/>
        </w:rPr>
        <w:t>’</w:t>
      </w:r>
      <w:r w:rsidRPr="00567473">
        <w:rPr>
          <w:szCs w:val="18"/>
          <w:lang w:val="fr-FR"/>
        </w:rPr>
        <w:t xml:space="preserve">attribuer tout nouveau </w:t>
      </w:r>
      <w:proofErr w:type="spellStart"/>
      <w:r w:rsidRPr="00567473">
        <w:rPr>
          <w:szCs w:val="18"/>
          <w:lang w:val="fr-FR"/>
        </w:rPr>
        <w:t>gTLD</w:t>
      </w:r>
      <w:proofErr w:type="spellEnd"/>
      <w:r w:rsidRPr="00567473">
        <w:rPr>
          <w:szCs w:val="18"/>
          <w:lang w:val="fr-FR"/>
        </w:rPr>
        <w:t xml:space="preserve"> contenant le nom d</w:t>
      </w:r>
      <w:r w:rsidR="002C4243" w:rsidRPr="00567473">
        <w:rPr>
          <w:szCs w:val="18"/>
          <w:lang w:val="fr-FR"/>
        </w:rPr>
        <w:t>’</w:t>
      </w:r>
      <w:r w:rsidRPr="00567473">
        <w:rPr>
          <w:szCs w:val="18"/>
          <w:lang w:val="fr-FR"/>
        </w:rPr>
        <w:t>un pays, d</w:t>
      </w:r>
      <w:r w:rsidR="002C4243" w:rsidRPr="00567473">
        <w:rPr>
          <w:szCs w:val="18"/>
          <w:lang w:val="fr-FR"/>
        </w:rPr>
        <w:t>’</w:t>
      </w:r>
      <w:r w:rsidRPr="00567473">
        <w:rPr>
          <w:szCs w:val="18"/>
          <w:lang w:val="fr-FR"/>
        </w:rPr>
        <w:t>un territoire ou d</w:t>
      </w:r>
      <w:r w:rsidR="002C4243" w:rsidRPr="00567473">
        <w:rPr>
          <w:szCs w:val="18"/>
          <w:lang w:val="fr-FR"/>
        </w:rPr>
        <w:t>’</w:t>
      </w:r>
      <w:r w:rsidRPr="00567473">
        <w:rPr>
          <w:szCs w:val="18"/>
          <w:lang w:val="fr-FR"/>
        </w:rPr>
        <w:t xml:space="preserve">un lieu </w:t>
      </w:r>
      <w:proofErr w:type="spellStart"/>
      <w:r w:rsidRPr="00567473">
        <w:rPr>
          <w:szCs w:val="18"/>
          <w:lang w:val="fr-FR"/>
        </w:rPr>
        <w:t>ou</w:t>
      </w:r>
      <w:proofErr w:type="spellEnd"/>
      <w:r w:rsidRPr="00567473">
        <w:rPr>
          <w:szCs w:val="18"/>
          <w:lang w:val="fr-FR"/>
        </w:rPr>
        <w:t xml:space="preserve"> la désignation d</w:t>
      </w:r>
      <w:r w:rsidR="002C4243" w:rsidRPr="00567473">
        <w:rPr>
          <w:szCs w:val="18"/>
          <w:lang w:val="fr-FR"/>
        </w:rPr>
        <w:t>’</w:t>
      </w:r>
      <w:r w:rsidRPr="00567473">
        <w:rPr>
          <w:szCs w:val="18"/>
          <w:lang w:val="fr-FR"/>
        </w:rPr>
        <w:t>une langue régionale ou d</w:t>
      </w:r>
      <w:r w:rsidR="002C4243" w:rsidRPr="00567473">
        <w:rPr>
          <w:szCs w:val="18"/>
          <w:lang w:val="fr-FR"/>
        </w:rPr>
        <w:t>’</w:t>
      </w:r>
      <w:r w:rsidRPr="00567473">
        <w:rPr>
          <w:szCs w:val="18"/>
          <w:lang w:val="fr-FR"/>
        </w:rPr>
        <w:t>une population, sauf accord des gouvernements ou autorités publiques concernés.  Ces principes</w:t>
      </w:r>
      <w:r w:rsidR="002C4243" w:rsidRPr="00567473">
        <w:rPr>
          <w:szCs w:val="18"/>
          <w:lang w:val="fr-FR"/>
        </w:rPr>
        <w:t xml:space="preserve"> du GAC</w:t>
      </w:r>
      <w:r w:rsidRPr="00567473">
        <w:rPr>
          <w:szCs w:val="18"/>
          <w:lang w:val="fr-FR"/>
        </w:rPr>
        <w:t xml:space="preserve"> indiquent en outre que les nouveaux services d</w:t>
      </w:r>
      <w:r w:rsidR="002C4243" w:rsidRPr="00567473">
        <w:rPr>
          <w:szCs w:val="18"/>
          <w:lang w:val="fr-FR"/>
        </w:rPr>
        <w:t>’</w:t>
      </w:r>
      <w:r w:rsidRPr="00567473">
        <w:rPr>
          <w:szCs w:val="18"/>
          <w:lang w:val="fr-FR"/>
        </w:rPr>
        <w:t>enregistrement devraient adopter des procédures pour bloquer/contester les noms ayant une signification nationale ou géographique au deuxième niveau sur demande des gouvernements.  Voir http://gac.icann.org/web/home/gTLD_principles.pdf.</w:t>
      </w:r>
    </w:p>
  </w:footnote>
  <w:footnote w:id="62">
    <w:p w:rsidR="00D04618" w:rsidRPr="00567473" w:rsidRDefault="00D04618" w:rsidP="00D0663D">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En ce qui concerne les enregistrements au deuxième niveau, le contrat de base de l</w:t>
      </w:r>
      <w:r w:rsidR="002C4243" w:rsidRPr="00567473">
        <w:rPr>
          <w:szCs w:val="18"/>
          <w:lang w:val="fr-FR"/>
        </w:rPr>
        <w:t>’</w:t>
      </w:r>
      <w:r w:rsidRPr="00567473">
        <w:rPr>
          <w:szCs w:val="18"/>
          <w:lang w:val="fr-FR"/>
        </w:rPr>
        <w:t>ICANN avec les services d</w:t>
      </w:r>
      <w:r w:rsidR="002C4243" w:rsidRPr="00567473">
        <w:rPr>
          <w:szCs w:val="18"/>
          <w:lang w:val="fr-FR"/>
        </w:rPr>
        <w:t>’</w:t>
      </w:r>
      <w:r w:rsidRPr="00567473">
        <w:rPr>
          <w:szCs w:val="18"/>
          <w:lang w:val="fr-FR"/>
        </w:rPr>
        <w:t xml:space="preserve">enregistrement contient un </w:t>
      </w:r>
      <w:r w:rsidR="0065467E" w:rsidRPr="00567473">
        <w:rPr>
          <w:szCs w:val="18"/>
          <w:lang w:val="fr-FR"/>
        </w:rPr>
        <w:t>“</w:t>
      </w:r>
      <w:r w:rsidRPr="00567473">
        <w:rPr>
          <w:szCs w:val="18"/>
          <w:lang w:val="fr-FR"/>
        </w:rPr>
        <w:t>Inventaire des noms réservés au deuxième niveau dans les services d</w:t>
      </w:r>
      <w:r w:rsidR="002C4243" w:rsidRPr="00567473">
        <w:rPr>
          <w:szCs w:val="18"/>
          <w:lang w:val="fr-FR"/>
        </w:rPr>
        <w:t>’</w:t>
      </w:r>
      <w:r w:rsidRPr="00567473">
        <w:rPr>
          <w:szCs w:val="18"/>
          <w:lang w:val="fr-FR"/>
        </w:rPr>
        <w:t xml:space="preserve">enregistrement pour les </w:t>
      </w:r>
      <w:proofErr w:type="spellStart"/>
      <w:r w:rsidRPr="00567473">
        <w:rPr>
          <w:szCs w:val="18"/>
          <w:lang w:val="fr-FR"/>
        </w:rPr>
        <w:t>gTLD</w:t>
      </w:r>
      <w:proofErr w:type="spellEnd"/>
      <w:r w:rsidR="0065467E" w:rsidRPr="00567473">
        <w:rPr>
          <w:szCs w:val="18"/>
          <w:lang w:val="fr-FR"/>
        </w:rPr>
        <w:t>”</w:t>
      </w:r>
      <w:r w:rsidRPr="00567473">
        <w:rPr>
          <w:szCs w:val="18"/>
          <w:lang w:val="fr-FR"/>
        </w:rPr>
        <w:t xml:space="preserve"> où figurent certains noms de pays et de territoires.  Voir http://newgtlds.icann.org/en/applicants/agb/base</w:t>
      </w:r>
      <w:r w:rsidR="002C4243" w:rsidRPr="00567473">
        <w:rPr>
          <w:szCs w:val="18"/>
          <w:lang w:val="fr-FR"/>
        </w:rPr>
        <w:t>-</w:t>
      </w:r>
      <w:r w:rsidRPr="00567473">
        <w:rPr>
          <w:szCs w:val="18"/>
          <w:lang w:val="fr-FR"/>
        </w:rPr>
        <w:t>arrangement</w:t>
      </w:r>
      <w:r w:rsidR="002C4243" w:rsidRPr="00567473">
        <w:rPr>
          <w:szCs w:val="18"/>
          <w:lang w:val="fr-FR"/>
        </w:rPr>
        <w:t>-</w:t>
      </w:r>
      <w:r w:rsidRPr="00567473">
        <w:rPr>
          <w:szCs w:val="18"/>
          <w:lang w:val="fr-FR"/>
        </w:rPr>
        <w:t>specs</w:t>
      </w:r>
      <w:r w:rsidR="002C4243" w:rsidRPr="00567473">
        <w:rPr>
          <w:szCs w:val="18"/>
          <w:lang w:val="fr-FR"/>
        </w:rPr>
        <w:t>-</w:t>
      </w:r>
      <w:r w:rsidRPr="00567473">
        <w:rPr>
          <w:szCs w:val="18"/>
          <w:lang w:val="fr-FR"/>
        </w:rPr>
        <w:t>04jun12</w:t>
      </w:r>
      <w:r w:rsidR="002C4243" w:rsidRPr="00567473">
        <w:rPr>
          <w:szCs w:val="18"/>
          <w:lang w:val="fr-FR"/>
        </w:rPr>
        <w:t>-</w:t>
      </w:r>
      <w:r w:rsidRPr="00567473">
        <w:rPr>
          <w:szCs w:val="18"/>
          <w:lang w:val="fr-FR"/>
        </w:rPr>
        <w:t xml:space="preserve">en.pdf, </w:t>
      </w:r>
      <w:proofErr w:type="spellStart"/>
      <w:r w:rsidRPr="00567473">
        <w:rPr>
          <w:szCs w:val="18"/>
          <w:lang w:val="fr-FR"/>
        </w:rPr>
        <w:t>Specification</w:t>
      </w:r>
      <w:proofErr w:type="spellEnd"/>
      <w:r w:rsidRPr="00567473">
        <w:rPr>
          <w:szCs w:val="18"/>
          <w:lang w:val="fr-FR"/>
        </w:rPr>
        <w:t xml:space="preserve"> 5.</w:t>
      </w:r>
    </w:p>
  </w:footnote>
  <w:footnote w:id="63">
    <w:p w:rsidR="00D04618" w:rsidRPr="00567473" w:rsidRDefault="00D04618" w:rsidP="00D0663D">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http://newgtlds.icann.org/en/applicants/agb/evaluation</w:t>
      </w:r>
      <w:r w:rsidR="002C4243" w:rsidRPr="00567473">
        <w:rPr>
          <w:szCs w:val="18"/>
          <w:lang w:val="fr-FR"/>
        </w:rPr>
        <w:t>-</w:t>
      </w:r>
      <w:r w:rsidRPr="00567473">
        <w:rPr>
          <w:szCs w:val="18"/>
          <w:lang w:val="fr-FR"/>
        </w:rPr>
        <w:t>procedures</w:t>
      </w:r>
      <w:r w:rsidR="002C4243" w:rsidRPr="00567473">
        <w:rPr>
          <w:szCs w:val="18"/>
          <w:lang w:val="fr-FR"/>
        </w:rPr>
        <w:t>-</w:t>
      </w:r>
      <w:r w:rsidRPr="00567473">
        <w:rPr>
          <w:szCs w:val="18"/>
          <w:lang w:val="fr-FR"/>
        </w:rPr>
        <w:t>04jun12</w:t>
      </w:r>
      <w:r w:rsidR="002C4243" w:rsidRPr="00567473">
        <w:rPr>
          <w:szCs w:val="18"/>
          <w:lang w:val="fr-FR"/>
        </w:rPr>
        <w:t>-</w:t>
      </w:r>
      <w:r w:rsidRPr="00567473">
        <w:rPr>
          <w:szCs w:val="18"/>
          <w:lang w:val="fr-FR"/>
        </w:rPr>
        <w:t>en.pdf, à partir de la section</w:t>
      </w:r>
      <w:r w:rsidR="0087649E" w:rsidRPr="00567473">
        <w:rPr>
          <w:szCs w:val="18"/>
          <w:lang w:val="fr-FR"/>
        </w:rPr>
        <w:t> </w:t>
      </w:r>
      <w:r w:rsidRPr="00567473">
        <w:rPr>
          <w:szCs w:val="18"/>
          <w:lang w:val="fr-FR"/>
        </w:rPr>
        <w:t xml:space="preserve">2.2.1.4.1 </w:t>
      </w:r>
      <w:r w:rsidR="0065467E" w:rsidRPr="00567473">
        <w:rPr>
          <w:szCs w:val="18"/>
          <w:lang w:val="fr-FR"/>
        </w:rPr>
        <w:t>“</w:t>
      </w:r>
      <w:proofErr w:type="spellStart"/>
      <w:r w:rsidRPr="00567473">
        <w:rPr>
          <w:szCs w:val="18"/>
          <w:lang w:val="fr-FR"/>
        </w:rPr>
        <w:t>Treatment</w:t>
      </w:r>
      <w:proofErr w:type="spellEnd"/>
      <w:r w:rsidRPr="00567473">
        <w:rPr>
          <w:szCs w:val="18"/>
          <w:lang w:val="fr-FR"/>
        </w:rPr>
        <w:t xml:space="preserve"> of Country or </w:t>
      </w:r>
      <w:proofErr w:type="spellStart"/>
      <w:r w:rsidRPr="00567473">
        <w:rPr>
          <w:szCs w:val="18"/>
          <w:lang w:val="fr-FR"/>
        </w:rPr>
        <w:t>Territory</w:t>
      </w:r>
      <w:proofErr w:type="spellEnd"/>
      <w:r w:rsidRPr="00567473">
        <w:rPr>
          <w:szCs w:val="18"/>
          <w:lang w:val="fr-FR"/>
        </w:rPr>
        <w:t xml:space="preserve"> </w:t>
      </w:r>
      <w:proofErr w:type="spellStart"/>
      <w:r w:rsidRPr="00567473">
        <w:rPr>
          <w:szCs w:val="18"/>
          <w:lang w:val="fr-FR"/>
        </w:rPr>
        <w:t>N</w:t>
      </w:r>
      <w:bookmarkStart w:id="4" w:name="_GoBack"/>
      <w:bookmarkEnd w:id="4"/>
      <w:r w:rsidRPr="00567473">
        <w:rPr>
          <w:szCs w:val="18"/>
          <w:lang w:val="fr-FR"/>
        </w:rPr>
        <w:t>ames</w:t>
      </w:r>
      <w:proofErr w:type="spellEnd"/>
      <w:r w:rsidR="0065467E" w:rsidRPr="00567473">
        <w:rPr>
          <w:szCs w:val="18"/>
          <w:lang w:val="fr-FR"/>
        </w:rPr>
        <w:t>”</w:t>
      </w:r>
      <w:r w:rsidRPr="00567473">
        <w:rPr>
          <w:szCs w:val="18"/>
          <w:lang w:val="fr-FR"/>
        </w:rPr>
        <w:t>.</w:t>
      </w:r>
    </w:p>
  </w:footnote>
  <w:footnote w:id="64">
    <w:p w:rsidR="00D04618" w:rsidRPr="00567473" w:rsidRDefault="00D04618" w:rsidP="00D0663D">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http://newgtlds.icann.org/en/applicants/agb/evaluation</w:t>
      </w:r>
      <w:r w:rsidR="002C4243" w:rsidRPr="00567473">
        <w:rPr>
          <w:szCs w:val="18"/>
          <w:lang w:val="fr-FR"/>
        </w:rPr>
        <w:t>-</w:t>
      </w:r>
      <w:r w:rsidRPr="00567473">
        <w:rPr>
          <w:szCs w:val="18"/>
          <w:lang w:val="fr-FR"/>
        </w:rPr>
        <w:t>procedures</w:t>
      </w:r>
      <w:r w:rsidR="002C4243" w:rsidRPr="00567473">
        <w:rPr>
          <w:szCs w:val="18"/>
          <w:lang w:val="fr-FR"/>
        </w:rPr>
        <w:t>-</w:t>
      </w:r>
      <w:r w:rsidRPr="00567473">
        <w:rPr>
          <w:szCs w:val="18"/>
          <w:lang w:val="fr-FR"/>
        </w:rPr>
        <w:t>04jun12</w:t>
      </w:r>
      <w:r w:rsidR="002C4243" w:rsidRPr="00567473">
        <w:rPr>
          <w:szCs w:val="18"/>
          <w:lang w:val="fr-FR"/>
        </w:rPr>
        <w:t>-</w:t>
      </w:r>
      <w:r w:rsidRPr="00567473">
        <w:rPr>
          <w:szCs w:val="18"/>
          <w:lang w:val="fr-FR"/>
        </w:rPr>
        <w:t>en.pdf, à partir de la section</w:t>
      </w:r>
      <w:r w:rsidR="0087649E" w:rsidRPr="00567473">
        <w:rPr>
          <w:szCs w:val="18"/>
          <w:lang w:val="fr-FR"/>
        </w:rPr>
        <w:t> </w:t>
      </w:r>
      <w:r w:rsidRPr="00567473">
        <w:rPr>
          <w:szCs w:val="18"/>
          <w:lang w:val="fr-FR"/>
        </w:rPr>
        <w:t xml:space="preserve">2.2.1.4.2 </w:t>
      </w:r>
      <w:r w:rsidR="0065467E" w:rsidRPr="00567473">
        <w:rPr>
          <w:szCs w:val="18"/>
          <w:lang w:val="fr-FR"/>
        </w:rPr>
        <w:t>“</w:t>
      </w:r>
      <w:r w:rsidRPr="00567473">
        <w:rPr>
          <w:szCs w:val="18"/>
          <w:lang w:val="fr-FR"/>
        </w:rPr>
        <w:t xml:space="preserve">Geographic </w:t>
      </w:r>
      <w:proofErr w:type="spellStart"/>
      <w:r w:rsidRPr="00567473">
        <w:rPr>
          <w:szCs w:val="18"/>
          <w:lang w:val="fr-FR"/>
        </w:rPr>
        <w:t>Names</w:t>
      </w:r>
      <w:proofErr w:type="spellEnd"/>
      <w:r w:rsidRPr="00567473">
        <w:rPr>
          <w:szCs w:val="18"/>
          <w:lang w:val="fr-FR"/>
        </w:rPr>
        <w:t xml:space="preserve"> </w:t>
      </w:r>
      <w:proofErr w:type="spellStart"/>
      <w:r w:rsidRPr="00567473">
        <w:rPr>
          <w:szCs w:val="18"/>
          <w:lang w:val="fr-FR"/>
        </w:rPr>
        <w:t>Requiring</w:t>
      </w:r>
      <w:proofErr w:type="spellEnd"/>
      <w:r w:rsidRPr="00567473">
        <w:rPr>
          <w:szCs w:val="18"/>
          <w:lang w:val="fr-FR"/>
        </w:rPr>
        <w:t xml:space="preserve"> </w:t>
      </w:r>
      <w:proofErr w:type="spellStart"/>
      <w:r w:rsidRPr="00567473">
        <w:rPr>
          <w:szCs w:val="18"/>
          <w:lang w:val="fr-FR"/>
        </w:rPr>
        <w:t>Government</w:t>
      </w:r>
      <w:proofErr w:type="spellEnd"/>
      <w:r w:rsidRPr="00567473">
        <w:rPr>
          <w:szCs w:val="18"/>
          <w:lang w:val="fr-FR"/>
        </w:rPr>
        <w:t xml:space="preserve"> Support</w:t>
      </w:r>
      <w:r w:rsidR="0065467E" w:rsidRPr="00567473">
        <w:rPr>
          <w:szCs w:val="18"/>
          <w:lang w:val="fr-FR"/>
        </w:rPr>
        <w:t>”</w:t>
      </w:r>
      <w:r w:rsidRPr="00567473">
        <w:rPr>
          <w:szCs w:val="18"/>
          <w:lang w:val="fr-FR"/>
        </w:rPr>
        <w:t xml:space="preserve">. </w:t>
      </w:r>
      <w:r w:rsidR="0087649E" w:rsidRPr="00567473">
        <w:rPr>
          <w:szCs w:val="18"/>
          <w:lang w:val="fr-FR"/>
        </w:rPr>
        <w:t xml:space="preserve"> </w:t>
      </w:r>
    </w:p>
  </w:footnote>
  <w:footnote w:id="65">
    <w:p w:rsidR="00D04618" w:rsidRPr="00567473" w:rsidRDefault="00D04618" w:rsidP="008A2532">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https://www.icann.org/en/system/files/correspondence/gac</w:t>
      </w:r>
      <w:r w:rsidR="002C4243" w:rsidRPr="00567473">
        <w:rPr>
          <w:szCs w:val="18"/>
          <w:lang w:val="fr-FR"/>
        </w:rPr>
        <w:t>-</w:t>
      </w:r>
      <w:r w:rsidRPr="00567473">
        <w:rPr>
          <w:szCs w:val="18"/>
          <w:lang w:val="fr-FR"/>
        </w:rPr>
        <w:t>to</w:t>
      </w:r>
      <w:r w:rsidR="002C4243" w:rsidRPr="00567473">
        <w:rPr>
          <w:szCs w:val="18"/>
          <w:lang w:val="fr-FR"/>
        </w:rPr>
        <w:t>-</w:t>
      </w:r>
      <w:r w:rsidRPr="00567473">
        <w:rPr>
          <w:szCs w:val="18"/>
          <w:lang w:val="fr-FR"/>
        </w:rPr>
        <w:t>board</w:t>
      </w:r>
      <w:r w:rsidR="002C4243" w:rsidRPr="00567473">
        <w:rPr>
          <w:szCs w:val="18"/>
          <w:lang w:val="fr-FR"/>
        </w:rPr>
        <w:t>-</w:t>
      </w:r>
      <w:r w:rsidRPr="00567473">
        <w:rPr>
          <w:szCs w:val="18"/>
          <w:lang w:val="fr-FR"/>
        </w:rPr>
        <w:t>27mar14</w:t>
      </w:r>
      <w:r w:rsidR="002C4243" w:rsidRPr="00567473">
        <w:rPr>
          <w:szCs w:val="18"/>
          <w:lang w:val="fr-FR"/>
        </w:rPr>
        <w:t>-</w:t>
      </w:r>
      <w:r w:rsidRPr="00567473">
        <w:rPr>
          <w:szCs w:val="18"/>
          <w:lang w:val="fr-FR"/>
        </w:rPr>
        <w:t xml:space="preserve">en.pdf, rubrique </w:t>
      </w:r>
      <w:r w:rsidR="0065467E" w:rsidRPr="00567473">
        <w:rPr>
          <w:szCs w:val="18"/>
          <w:lang w:val="fr-FR"/>
        </w:rPr>
        <w:t>“</w:t>
      </w:r>
      <w:r w:rsidRPr="00567473">
        <w:rPr>
          <w:szCs w:val="18"/>
          <w:lang w:val="fr-FR"/>
        </w:rPr>
        <w:t xml:space="preserve">4. </w:t>
      </w:r>
      <w:r w:rsidR="0087649E" w:rsidRPr="00567473">
        <w:rPr>
          <w:szCs w:val="18"/>
          <w:lang w:val="fr-FR"/>
        </w:rPr>
        <w:t xml:space="preserve"> </w:t>
      </w:r>
      <w:proofErr w:type="spellStart"/>
      <w:r w:rsidRPr="00567473">
        <w:rPr>
          <w:szCs w:val="18"/>
          <w:lang w:val="fr-FR"/>
        </w:rPr>
        <w:t>Specific</w:t>
      </w:r>
      <w:proofErr w:type="spellEnd"/>
      <w:r w:rsidRPr="00567473">
        <w:rPr>
          <w:szCs w:val="18"/>
          <w:lang w:val="fr-FR"/>
        </w:rPr>
        <w:t xml:space="preserve"> Strings</w:t>
      </w:r>
      <w:r w:rsidR="0065467E" w:rsidRPr="00567473">
        <w:rPr>
          <w:szCs w:val="18"/>
          <w:lang w:val="fr-FR"/>
        </w:rPr>
        <w:t>”</w:t>
      </w:r>
      <w:r w:rsidRPr="00567473">
        <w:rPr>
          <w:szCs w:val="18"/>
          <w:lang w:val="fr-FR"/>
        </w:rPr>
        <w:t>.  Bien que le Conseil ait accepté la recommandation</w:t>
      </w:r>
      <w:r w:rsidR="002C4243" w:rsidRPr="00567473">
        <w:rPr>
          <w:szCs w:val="18"/>
          <w:lang w:val="fr-FR"/>
        </w:rPr>
        <w:t xml:space="preserve"> du GAC</w:t>
      </w:r>
      <w:r w:rsidRPr="00567473">
        <w:rPr>
          <w:szCs w:val="18"/>
          <w:lang w:val="fr-FR"/>
        </w:rPr>
        <w:t xml:space="preserve"> tendant à ne pas donner suite à certain</w:t>
      </w:r>
      <w:r w:rsidR="005139AE" w:rsidRPr="00567473">
        <w:rPr>
          <w:szCs w:val="18"/>
          <w:lang w:val="fr-FR"/>
        </w:rPr>
        <w:t>e</w:t>
      </w:r>
      <w:r w:rsidRPr="00567473">
        <w:rPr>
          <w:szCs w:val="18"/>
          <w:lang w:val="fr-FR"/>
        </w:rPr>
        <w:t>s demandes, il a sollicité des informations supplémentaires</w:t>
      </w:r>
      <w:r w:rsidR="002C4243" w:rsidRPr="00567473">
        <w:rPr>
          <w:szCs w:val="18"/>
          <w:lang w:val="fr-FR"/>
        </w:rPr>
        <w:t xml:space="preserve"> du GAC</w:t>
      </w:r>
      <w:r w:rsidRPr="00567473">
        <w:rPr>
          <w:szCs w:val="18"/>
          <w:lang w:val="fr-FR"/>
        </w:rPr>
        <w:t>, ainsi que des commentaires du public, sur une série de garanties complémentaires demandées par</w:t>
      </w:r>
      <w:r w:rsidR="002C4243" w:rsidRPr="00567473">
        <w:rPr>
          <w:szCs w:val="18"/>
          <w:lang w:val="fr-FR"/>
        </w:rPr>
        <w:t xml:space="preserve"> le GAC</w:t>
      </w:r>
      <w:r w:rsidRPr="00567473">
        <w:rPr>
          <w:szCs w:val="18"/>
          <w:lang w:val="fr-FR"/>
        </w:rPr>
        <w:t xml:space="preserve"> au sujet de plusieurs catégo</w:t>
      </w:r>
      <w:r w:rsidR="005139AE" w:rsidRPr="00567473">
        <w:rPr>
          <w:szCs w:val="18"/>
          <w:lang w:val="fr-FR"/>
        </w:rPr>
        <w:t>ries de demandes portant sur de</w:t>
      </w:r>
      <w:r w:rsidRPr="00567473">
        <w:rPr>
          <w:szCs w:val="18"/>
          <w:lang w:val="fr-FR"/>
        </w:rPr>
        <w:t xml:space="preserve"> nouveaux </w:t>
      </w:r>
      <w:proofErr w:type="spellStart"/>
      <w:r w:rsidRPr="00567473">
        <w:rPr>
          <w:szCs w:val="18"/>
          <w:lang w:val="fr-FR"/>
        </w:rPr>
        <w:t>gTLD</w:t>
      </w:r>
      <w:proofErr w:type="spellEnd"/>
      <w:r w:rsidRPr="00567473">
        <w:rPr>
          <w:szCs w:val="18"/>
          <w:lang w:val="fr-FR"/>
        </w:rPr>
        <w:t xml:space="preserve"> correspondant à des secteurs réglementés ou à des termes du dictionnaire.  Voir https://gacweb.icann.org/download/attachments/27132037/Beijing%20Communique%20april2013_Final.pdf.  Un sous</w:t>
      </w:r>
      <w:r w:rsidR="002C4243" w:rsidRPr="00567473">
        <w:rPr>
          <w:szCs w:val="18"/>
          <w:lang w:val="fr-FR"/>
        </w:rPr>
        <w:t>-</w:t>
      </w:r>
      <w:r w:rsidRPr="00567473">
        <w:rPr>
          <w:szCs w:val="18"/>
          <w:lang w:val="fr-FR"/>
        </w:rPr>
        <w:t>groupe</w:t>
      </w:r>
      <w:r w:rsidR="002C4243" w:rsidRPr="00567473">
        <w:rPr>
          <w:szCs w:val="18"/>
          <w:lang w:val="fr-FR"/>
        </w:rPr>
        <w:t xml:space="preserve"> du GAC</w:t>
      </w:r>
      <w:r w:rsidRPr="00567473">
        <w:rPr>
          <w:szCs w:val="18"/>
          <w:lang w:val="fr-FR"/>
        </w:rPr>
        <w:t xml:space="preserve"> sur les noms géographiques (relevant du Groupe de travail</w:t>
      </w:r>
      <w:r w:rsidR="002C4243" w:rsidRPr="00567473">
        <w:rPr>
          <w:szCs w:val="18"/>
          <w:lang w:val="fr-FR"/>
        </w:rPr>
        <w:t xml:space="preserve"> du GAC</w:t>
      </w:r>
      <w:r w:rsidRPr="00567473">
        <w:rPr>
          <w:szCs w:val="18"/>
          <w:lang w:val="fr-FR"/>
        </w:rPr>
        <w:t xml:space="preserve"> sur les futurs </w:t>
      </w:r>
      <w:proofErr w:type="spellStart"/>
      <w:r w:rsidRPr="00567473">
        <w:rPr>
          <w:szCs w:val="18"/>
          <w:lang w:val="fr-FR"/>
        </w:rPr>
        <w:t>gTLD</w:t>
      </w:r>
      <w:proofErr w:type="spellEnd"/>
      <w:r w:rsidRPr="00567473">
        <w:rPr>
          <w:szCs w:val="18"/>
          <w:lang w:val="fr-FR"/>
        </w:rPr>
        <w:t xml:space="preserve">) a établi un projet de document pour la prochaine série de </w:t>
      </w:r>
      <w:proofErr w:type="spellStart"/>
      <w:r w:rsidRPr="00567473">
        <w:rPr>
          <w:szCs w:val="18"/>
          <w:lang w:val="fr-FR"/>
        </w:rPr>
        <w:t>gTLD</w:t>
      </w:r>
      <w:proofErr w:type="spellEnd"/>
      <w:r w:rsidRPr="00567473">
        <w:rPr>
          <w:szCs w:val="18"/>
          <w:lang w:val="fr-FR"/>
        </w:rPr>
        <w:t xml:space="preserve"> mettant en évidence plusieurs questions d</w:t>
      </w:r>
      <w:r w:rsidR="002C4243" w:rsidRPr="00567473">
        <w:rPr>
          <w:szCs w:val="18"/>
          <w:lang w:val="fr-FR"/>
        </w:rPr>
        <w:t>’</w:t>
      </w:r>
      <w:r w:rsidRPr="00567473">
        <w:rPr>
          <w:szCs w:val="18"/>
          <w:lang w:val="fr-FR"/>
        </w:rPr>
        <w:t>intérêt général en rapport avec les noms géographiques</w:t>
      </w:r>
      <w:r w:rsidR="005139AE" w:rsidRPr="00567473">
        <w:rPr>
          <w:szCs w:val="18"/>
          <w:lang w:val="fr-FR"/>
        </w:rPr>
        <w:t>,</w:t>
      </w:r>
      <w:r w:rsidRPr="00567473">
        <w:rPr>
          <w:szCs w:val="18"/>
          <w:lang w:val="fr-FR"/>
        </w:rPr>
        <w:t xml:space="preserve"> qui fait actuellement l</w:t>
      </w:r>
      <w:r w:rsidR="002C4243" w:rsidRPr="00567473">
        <w:rPr>
          <w:szCs w:val="18"/>
          <w:lang w:val="fr-FR"/>
        </w:rPr>
        <w:t>’</w:t>
      </w:r>
      <w:r w:rsidRPr="00567473">
        <w:rPr>
          <w:szCs w:val="18"/>
          <w:lang w:val="fr-FR"/>
        </w:rPr>
        <w:t>objet de discussions supplémentaires au sein de l</w:t>
      </w:r>
      <w:r w:rsidR="002C4243" w:rsidRPr="00567473">
        <w:rPr>
          <w:szCs w:val="18"/>
          <w:lang w:val="fr-FR"/>
        </w:rPr>
        <w:t>’</w:t>
      </w:r>
      <w:r w:rsidRPr="00567473">
        <w:rPr>
          <w:szCs w:val="18"/>
          <w:lang w:val="fr-FR"/>
        </w:rPr>
        <w:t>ICANN.  Voir https://gacweb.icann.org/download/attachments/27132037/Geo%20names%20in%20new%20gTLDs%20Updated%20%20V3%20%2029%20august%202014%5B4%5D.pdf?version=1&amp;modificationDate=1411549935000&amp;api=v2.</w:t>
      </w:r>
    </w:p>
  </w:footnote>
  <w:footnote w:id="66">
    <w:p w:rsidR="00D04618" w:rsidRPr="002C4243" w:rsidRDefault="00D04618" w:rsidP="0024545E">
      <w:pPr>
        <w:pStyle w:val="FootnoteText"/>
        <w:rPr>
          <w:szCs w:val="18"/>
          <w:lang w:val="fr-FR"/>
        </w:rPr>
      </w:pPr>
      <w:r w:rsidRPr="00567473">
        <w:rPr>
          <w:rStyle w:val="FootnoteReference"/>
          <w:szCs w:val="18"/>
          <w:lang w:val="fr-FR"/>
        </w:rPr>
        <w:footnoteRef/>
      </w:r>
      <w:r w:rsidRPr="00567473">
        <w:rPr>
          <w:szCs w:val="18"/>
          <w:lang w:val="fr-FR"/>
        </w:rPr>
        <w:t xml:space="preserve"> </w:t>
      </w:r>
      <w:r w:rsidRPr="00567473">
        <w:rPr>
          <w:szCs w:val="18"/>
          <w:lang w:val="fr-FR"/>
        </w:rPr>
        <w:tab/>
        <w:t>Voir par exemple les documents SCT/24/4, SCT/25/3, SCT/26/6 et SCT/27/8.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618" w:rsidRDefault="00D04618" w:rsidP="00477D6B">
    <w:pPr>
      <w:jc w:val="right"/>
    </w:pPr>
    <w:bookmarkStart w:id="5" w:name="Code2"/>
    <w:bookmarkEnd w:id="5"/>
    <w:r>
      <w:t>WO/GA/47/14</w:t>
    </w:r>
  </w:p>
  <w:p w:rsidR="00D04618" w:rsidRDefault="00D04618" w:rsidP="00477D6B">
    <w:pPr>
      <w:jc w:val="right"/>
    </w:pPr>
    <w:proofErr w:type="gramStart"/>
    <w:r>
      <w:t>page</w:t>
    </w:r>
    <w:proofErr w:type="gramEnd"/>
    <w:r>
      <w:t xml:space="preserve"> </w:t>
    </w:r>
    <w:r>
      <w:fldChar w:fldCharType="begin"/>
    </w:r>
    <w:r>
      <w:instrText xml:space="preserve"> PAGE  \* MERGEFORMAT </w:instrText>
    </w:r>
    <w:r>
      <w:fldChar w:fldCharType="separate"/>
    </w:r>
    <w:r w:rsidR="00B21079">
      <w:rPr>
        <w:noProof/>
      </w:rPr>
      <w:t>14</w:t>
    </w:r>
    <w:r>
      <w:fldChar w:fldCharType="end"/>
    </w:r>
  </w:p>
  <w:p w:rsidR="00D04618" w:rsidRDefault="00D0461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51515"/>
    <w:multiLevelType w:val="hybridMultilevel"/>
    <w:tmpl w:val="CDA019A2"/>
    <w:lvl w:ilvl="0" w:tplc="6F1E5460">
      <w:start w:val="1"/>
      <w:numFmt w:val="lowerLetter"/>
      <w:lvlText w:val="%1)"/>
      <w:lvlJc w:val="right"/>
      <w:pPr>
        <w:ind w:left="1287" w:hanging="360"/>
      </w:pPr>
      <w:rPr>
        <w:rFonts w:hint="default"/>
      </w:rPr>
    </w:lvl>
    <w:lvl w:ilvl="1" w:tplc="56208DF8">
      <w:start w:val="1"/>
      <w:numFmt w:val="lowerLetter"/>
      <w:pStyle w:val="Heading3"/>
      <w:lvlText w:val="%2)"/>
      <w:lvlJc w:val="left"/>
      <w:pPr>
        <w:tabs>
          <w:tab w:val="num" w:pos="567"/>
        </w:tabs>
        <w:ind w:left="567" w:firstLine="0"/>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BB1F57"/>
    <w:multiLevelType w:val="hybridMultilevel"/>
    <w:tmpl w:val="D5D4AD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06548"/>
    <w:multiLevelType w:val="hybridMultilevel"/>
    <w:tmpl w:val="C5E8EEB6"/>
    <w:lvl w:ilvl="0" w:tplc="B07AC554">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5">
    <w:nsid w:val="0D354EA7"/>
    <w:multiLevelType w:val="hybridMultilevel"/>
    <w:tmpl w:val="E0F60134"/>
    <w:lvl w:ilvl="0" w:tplc="04090017">
      <w:start w:val="1"/>
      <w:numFmt w:val="lowerLetter"/>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AFE3A1D"/>
    <w:multiLevelType w:val="hybridMultilevel"/>
    <w:tmpl w:val="FB6ADDE2"/>
    <w:lvl w:ilvl="0" w:tplc="F996B52C">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nsid w:val="1BCD3DE8"/>
    <w:multiLevelType w:val="hybridMultilevel"/>
    <w:tmpl w:val="ECE0E356"/>
    <w:lvl w:ilvl="0" w:tplc="0FD6DA12">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2747A9A"/>
    <w:multiLevelType w:val="hybridMultilevel"/>
    <w:tmpl w:val="CC9E7D70"/>
    <w:lvl w:ilvl="0" w:tplc="A536958E">
      <w:start w:val="3"/>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2F72A8"/>
    <w:multiLevelType w:val="hybridMultilevel"/>
    <w:tmpl w:val="CDB05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8E4F86"/>
    <w:multiLevelType w:val="hybridMultilevel"/>
    <w:tmpl w:val="C9CC3F8C"/>
    <w:lvl w:ilvl="0" w:tplc="005C486C">
      <w:start w:val="2"/>
      <w:numFmt w:val="low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C34847"/>
    <w:multiLevelType w:val="hybridMultilevel"/>
    <w:tmpl w:val="D410E016"/>
    <w:lvl w:ilvl="0" w:tplc="23D867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8537663"/>
    <w:multiLevelType w:val="hybridMultilevel"/>
    <w:tmpl w:val="F4E0E82E"/>
    <w:lvl w:ilvl="0" w:tplc="0032FEF8">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3A1CE0"/>
    <w:multiLevelType w:val="hybridMultilevel"/>
    <w:tmpl w:val="4AE6BE0E"/>
    <w:lvl w:ilvl="0" w:tplc="7D3A76C2">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num w:numId="1">
    <w:abstractNumId w:val="6"/>
  </w:num>
  <w:num w:numId="2">
    <w:abstractNumId w:val="11"/>
  </w:num>
  <w:num w:numId="3">
    <w:abstractNumId w:val="0"/>
  </w:num>
  <w:num w:numId="4">
    <w:abstractNumId w:val="14"/>
  </w:num>
  <w:num w:numId="5">
    <w:abstractNumId w:val="2"/>
  </w:num>
  <w:num w:numId="6">
    <w:abstractNumId w:val="9"/>
  </w:num>
  <w:num w:numId="7">
    <w:abstractNumId w:val="5"/>
  </w:num>
  <w:num w:numId="8">
    <w:abstractNumId w:val="8"/>
  </w:num>
  <w:num w:numId="9">
    <w:abstractNumId w:val="12"/>
  </w:num>
  <w:num w:numId="10">
    <w:abstractNumId w:val="3"/>
  </w:num>
  <w:num w:numId="11">
    <w:abstractNumId w:val="15"/>
  </w:num>
  <w:num w:numId="12">
    <w:abstractNumId w:val="13"/>
  </w:num>
  <w:num w:numId="13">
    <w:abstractNumId w:val="10"/>
  </w:num>
  <w:num w:numId="14">
    <w:abstractNumId w:val="16"/>
  </w:num>
  <w:num w:numId="15">
    <w:abstractNumId w:val="4"/>
  </w:num>
  <w:num w:numId="16">
    <w:abstractNumId w:val="17"/>
  </w:num>
  <w:num w:numId="17">
    <w:abstractNumId w:val="7"/>
  </w:num>
  <w:num w:numId="18">
    <w:abstractNumId w:val="1"/>
  </w:num>
  <w:num w:numId="19">
    <w:abstractNumId w:val="1"/>
    <w:lvlOverride w:ilvl="0">
      <w:startOverride w:val="1"/>
    </w:lvlOverride>
  </w:num>
  <w:num w:numId="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Budget and Finance\Meetings|TextBase TMs\Budget and Finance\Other|TextBase TMs\Budget and Finance\Publications|TextBase TMs\Administrative\Meetings|TextBase TMs\Administrative\Other|TextBase TMs\Administrative\Publications|TextBase TMs\Trademarks\Meetings|TextBase TMs\Trademarks\Other|TextBase TMs\Trademarks\Publications|TextBase TMs\Patents\Meetings|TextBase TMs\Patents\Other|TextBase TMs\Patent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D24D7"/>
    <w:rsid w:val="00011017"/>
    <w:rsid w:val="0001182E"/>
    <w:rsid w:val="00022FDB"/>
    <w:rsid w:val="00027793"/>
    <w:rsid w:val="00043CAA"/>
    <w:rsid w:val="000442D5"/>
    <w:rsid w:val="00047A9D"/>
    <w:rsid w:val="00047E13"/>
    <w:rsid w:val="00075432"/>
    <w:rsid w:val="00086BE7"/>
    <w:rsid w:val="00086C90"/>
    <w:rsid w:val="000968ED"/>
    <w:rsid w:val="000D6A58"/>
    <w:rsid w:val="000D6DE0"/>
    <w:rsid w:val="000E2EF1"/>
    <w:rsid w:val="000F5E56"/>
    <w:rsid w:val="00102167"/>
    <w:rsid w:val="00113061"/>
    <w:rsid w:val="00123300"/>
    <w:rsid w:val="00124C28"/>
    <w:rsid w:val="00131099"/>
    <w:rsid w:val="001362EE"/>
    <w:rsid w:val="00140AF1"/>
    <w:rsid w:val="00141A29"/>
    <w:rsid w:val="0015130E"/>
    <w:rsid w:val="001607D6"/>
    <w:rsid w:val="00166C30"/>
    <w:rsid w:val="0017115E"/>
    <w:rsid w:val="001832A6"/>
    <w:rsid w:val="00194CA1"/>
    <w:rsid w:val="00194EFB"/>
    <w:rsid w:val="001B44A3"/>
    <w:rsid w:val="001B516F"/>
    <w:rsid w:val="001C3405"/>
    <w:rsid w:val="001C6973"/>
    <w:rsid w:val="001D0864"/>
    <w:rsid w:val="001D2551"/>
    <w:rsid w:val="002205EA"/>
    <w:rsid w:val="00223A9B"/>
    <w:rsid w:val="00233CCC"/>
    <w:rsid w:val="0024545E"/>
    <w:rsid w:val="00261CAD"/>
    <w:rsid w:val="002634C4"/>
    <w:rsid w:val="0026657A"/>
    <w:rsid w:val="00272EB9"/>
    <w:rsid w:val="00274241"/>
    <w:rsid w:val="0029121F"/>
    <w:rsid w:val="002928D3"/>
    <w:rsid w:val="00292E27"/>
    <w:rsid w:val="002C4243"/>
    <w:rsid w:val="002C71AF"/>
    <w:rsid w:val="002F1FE6"/>
    <w:rsid w:val="002F4E68"/>
    <w:rsid w:val="00302D16"/>
    <w:rsid w:val="00312F7F"/>
    <w:rsid w:val="003228B7"/>
    <w:rsid w:val="00331C07"/>
    <w:rsid w:val="00340400"/>
    <w:rsid w:val="00343ACE"/>
    <w:rsid w:val="00351399"/>
    <w:rsid w:val="00352DDF"/>
    <w:rsid w:val="0035343A"/>
    <w:rsid w:val="003548F8"/>
    <w:rsid w:val="00362FD0"/>
    <w:rsid w:val="003673CF"/>
    <w:rsid w:val="0037155E"/>
    <w:rsid w:val="003845C1"/>
    <w:rsid w:val="00384EE8"/>
    <w:rsid w:val="003A09DF"/>
    <w:rsid w:val="003A2C2B"/>
    <w:rsid w:val="003A6F89"/>
    <w:rsid w:val="003B38C1"/>
    <w:rsid w:val="003B6B6B"/>
    <w:rsid w:val="003D0E9F"/>
    <w:rsid w:val="003D745D"/>
    <w:rsid w:val="003E1022"/>
    <w:rsid w:val="003E262C"/>
    <w:rsid w:val="003E64A4"/>
    <w:rsid w:val="003F266C"/>
    <w:rsid w:val="003F346D"/>
    <w:rsid w:val="00423E3E"/>
    <w:rsid w:val="00427AF4"/>
    <w:rsid w:val="004400E2"/>
    <w:rsid w:val="00455036"/>
    <w:rsid w:val="004640C0"/>
    <w:rsid w:val="004647DA"/>
    <w:rsid w:val="00471B97"/>
    <w:rsid w:val="00474062"/>
    <w:rsid w:val="00477D6B"/>
    <w:rsid w:val="00486A94"/>
    <w:rsid w:val="00490B8E"/>
    <w:rsid w:val="004B5D31"/>
    <w:rsid w:val="004C2D33"/>
    <w:rsid w:val="004E2B46"/>
    <w:rsid w:val="004E4C31"/>
    <w:rsid w:val="004F0CFE"/>
    <w:rsid w:val="004F16FF"/>
    <w:rsid w:val="004F1EC3"/>
    <w:rsid w:val="0050649E"/>
    <w:rsid w:val="00506EE2"/>
    <w:rsid w:val="005139AE"/>
    <w:rsid w:val="00515856"/>
    <w:rsid w:val="0053057A"/>
    <w:rsid w:val="005447C7"/>
    <w:rsid w:val="00553814"/>
    <w:rsid w:val="00560A29"/>
    <w:rsid w:val="00567473"/>
    <w:rsid w:val="005731B6"/>
    <w:rsid w:val="00577D56"/>
    <w:rsid w:val="0058307C"/>
    <w:rsid w:val="00592397"/>
    <w:rsid w:val="005A4169"/>
    <w:rsid w:val="005A5562"/>
    <w:rsid w:val="005A7E4F"/>
    <w:rsid w:val="005B099F"/>
    <w:rsid w:val="005B35E3"/>
    <w:rsid w:val="005D2C92"/>
    <w:rsid w:val="005E5F2B"/>
    <w:rsid w:val="005F543A"/>
    <w:rsid w:val="005F7F38"/>
    <w:rsid w:val="006013CB"/>
    <w:rsid w:val="00605827"/>
    <w:rsid w:val="0063452C"/>
    <w:rsid w:val="00643CBB"/>
    <w:rsid w:val="00646050"/>
    <w:rsid w:val="00647B5B"/>
    <w:rsid w:val="00647F81"/>
    <w:rsid w:val="00647FE4"/>
    <w:rsid w:val="00650554"/>
    <w:rsid w:val="0065467E"/>
    <w:rsid w:val="006562D8"/>
    <w:rsid w:val="006713CA"/>
    <w:rsid w:val="00676C5C"/>
    <w:rsid w:val="00687020"/>
    <w:rsid w:val="00687BC3"/>
    <w:rsid w:val="006A5051"/>
    <w:rsid w:val="006B0ABD"/>
    <w:rsid w:val="006B2C62"/>
    <w:rsid w:val="006B4418"/>
    <w:rsid w:val="006B57CE"/>
    <w:rsid w:val="006D6DDB"/>
    <w:rsid w:val="006D7FBE"/>
    <w:rsid w:val="006E1BD0"/>
    <w:rsid w:val="006E66DA"/>
    <w:rsid w:val="007058FB"/>
    <w:rsid w:val="007455CA"/>
    <w:rsid w:val="00746030"/>
    <w:rsid w:val="00754A54"/>
    <w:rsid w:val="00767D4A"/>
    <w:rsid w:val="007764D2"/>
    <w:rsid w:val="007B17B5"/>
    <w:rsid w:val="007B3153"/>
    <w:rsid w:val="007B3921"/>
    <w:rsid w:val="007B6A58"/>
    <w:rsid w:val="007D1613"/>
    <w:rsid w:val="007D544C"/>
    <w:rsid w:val="007E22BD"/>
    <w:rsid w:val="007E6414"/>
    <w:rsid w:val="00812D68"/>
    <w:rsid w:val="00816A60"/>
    <w:rsid w:val="008232F5"/>
    <w:rsid w:val="008603F8"/>
    <w:rsid w:val="00871368"/>
    <w:rsid w:val="0087649E"/>
    <w:rsid w:val="00880158"/>
    <w:rsid w:val="00895213"/>
    <w:rsid w:val="008A2532"/>
    <w:rsid w:val="008A2DB7"/>
    <w:rsid w:val="008A7C96"/>
    <w:rsid w:val="008B1844"/>
    <w:rsid w:val="008B2CC1"/>
    <w:rsid w:val="008B2E20"/>
    <w:rsid w:val="008B60B0"/>
    <w:rsid w:val="008B60B2"/>
    <w:rsid w:val="008C7934"/>
    <w:rsid w:val="008D07ED"/>
    <w:rsid w:val="0090731E"/>
    <w:rsid w:val="00910FA8"/>
    <w:rsid w:val="00916EE2"/>
    <w:rsid w:val="0092594C"/>
    <w:rsid w:val="0094096D"/>
    <w:rsid w:val="009417B6"/>
    <w:rsid w:val="009546F2"/>
    <w:rsid w:val="00955AF2"/>
    <w:rsid w:val="00956D69"/>
    <w:rsid w:val="00966A22"/>
    <w:rsid w:val="00966BE0"/>
    <w:rsid w:val="0096722F"/>
    <w:rsid w:val="00980843"/>
    <w:rsid w:val="009933F9"/>
    <w:rsid w:val="009B3283"/>
    <w:rsid w:val="009B59E6"/>
    <w:rsid w:val="009C4996"/>
    <w:rsid w:val="009D55D4"/>
    <w:rsid w:val="009E2791"/>
    <w:rsid w:val="009E31D7"/>
    <w:rsid w:val="009E3F6F"/>
    <w:rsid w:val="009F499F"/>
    <w:rsid w:val="009F707A"/>
    <w:rsid w:val="00A31B5D"/>
    <w:rsid w:val="00A407B6"/>
    <w:rsid w:val="00A42DAF"/>
    <w:rsid w:val="00A43C58"/>
    <w:rsid w:val="00A45BD8"/>
    <w:rsid w:val="00A5029A"/>
    <w:rsid w:val="00A57D58"/>
    <w:rsid w:val="00A6544F"/>
    <w:rsid w:val="00A85B8E"/>
    <w:rsid w:val="00AC205C"/>
    <w:rsid w:val="00AC6B02"/>
    <w:rsid w:val="00AF415E"/>
    <w:rsid w:val="00B00C4D"/>
    <w:rsid w:val="00B05A69"/>
    <w:rsid w:val="00B21079"/>
    <w:rsid w:val="00B26D45"/>
    <w:rsid w:val="00B40326"/>
    <w:rsid w:val="00B41AF2"/>
    <w:rsid w:val="00B5235C"/>
    <w:rsid w:val="00B55059"/>
    <w:rsid w:val="00B60E66"/>
    <w:rsid w:val="00B761FB"/>
    <w:rsid w:val="00B8411E"/>
    <w:rsid w:val="00B9734B"/>
    <w:rsid w:val="00BB3ADD"/>
    <w:rsid w:val="00BC36C3"/>
    <w:rsid w:val="00BC5505"/>
    <w:rsid w:val="00BE2EF8"/>
    <w:rsid w:val="00BE6F54"/>
    <w:rsid w:val="00BF7E86"/>
    <w:rsid w:val="00C11BFE"/>
    <w:rsid w:val="00C231F0"/>
    <w:rsid w:val="00C32196"/>
    <w:rsid w:val="00C339B8"/>
    <w:rsid w:val="00C37469"/>
    <w:rsid w:val="00C53186"/>
    <w:rsid w:val="00C65F2F"/>
    <w:rsid w:val="00C72C92"/>
    <w:rsid w:val="00C74E09"/>
    <w:rsid w:val="00C94629"/>
    <w:rsid w:val="00CC2D01"/>
    <w:rsid w:val="00CE1B4E"/>
    <w:rsid w:val="00CF4D8B"/>
    <w:rsid w:val="00D04618"/>
    <w:rsid w:val="00D04990"/>
    <w:rsid w:val="00D0663D"/>
    <w:rsid w:val="00D11707"/>
    <w:rsid w:val="00D11D05"/>
    <w:rsid w:val="00D36FF7"/>
    <w:rsid w:val="00D45252"/>
    <w:rsid w:val="00D61B74"/>
    <w:rsid w:val="00D71B4D"/>
    <w:rsid w:val="00D80760"/>
    <w:rsid w:val="00D81604"/>
    <w:rsid w:val="00D832E9"/>
    <w:rsid w:val="00D913A3"/>
    <w:rsid w:val="00D9278A"/>
    <w:rsid w:val="00D93D55"/>
    <w:rsid w:val="00DB651B"/>
    <w:rsid w:val="00DC4340"/>
    <w:rsid w:val="00DC527E"/>
    <w:rsid w:val="00DF0CA4"/>
    <w:rsid w:val="00DF420B"/>
    <w:rsid w:val="00DF4485"/>
    <w:rsid w:val="00DF67C1"/>
    <w:rsid w:val="00E01AD2"/>
    <w:rsid w:val="00E03485"/>
    <w:rsid w:val="00E15A73"/>
    <w:rsid w:val="00E161BC"/>
    <w:rsid w:val="00E30E6B"/>
    <w:rsid w:val="00E335FE"/>
    <w:rsid w:val="00E4205C"/>
    <w:rsid w:val="00E46CAE"/>
    <w:rsid w:val="00E5021F"/>
    <w:rsid w:val="00E5343C"/>
    <w:rsid w:val="00E71985"/>
    <w:rsid w:val="00E71BC9"/>
    <w:rsid w:val="00E85A8B"/>
    <w:rsid w:val="00E932F6"/>
    <w:rsid w:val="00E936FC"/>
    <w:rsid w:val="00EA32DB"/>
    <w:rsid w:val="00EC4E49"/>
    <w:rsid w:val="00EC781E"/>
    <w:rsid w:val="00EC7C95"/>
    <w:rsid w:val="00ED77FB"/>
    <w:rsid w:val="00EE61C1"/>
    <w:rsid w:val="00EF5710"/>
    <w:rsid w:val="00F021A6"/>
    <w:rsid w:val="00F03388"/>
    <w:rsid w:val="00F07344"/>
    <w:rsid w:val="00F30B69"/>
    <w:rsid w:val="00F455B5"/>
    <w:rsid w:val="00F45E7B"/>
    <w:rsid w:val="00F51C50"/>
    <w:rsid w:val="00F52A26"/>
    <w:rsid w:val="00F55A1C"/>
    <w:rsid w:val="00F66152"/>
    <w:rsid w:val="00F700F1"/>
    <w:rsid w:val="00F717BE"/>
    <w:rsid w:val="00F73D73"/>
    <w:rsid w:val="00F807AD"/>
    <w:rsid w:val="00F92B15"/>
    <w:rsid w:val="00F94DDB"/>
    <w:rsid w:val="00F94E86"/>
    <w:rsid w:val="00FA0B25"/>
    <w:rsid w:val="00FB0E81"/>
    <w:rsid w:val="00FD0DD4"/>
    <w:rsid w:val="00FD24D7"/>
    <w:rsid w:val="00FD5764"/>
    <w:rsid w:val="00FE1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8A2DB7"/>
    <w:pPr>
      <w:keepNext/>
      <w:numPr>
        <w:ilvl w:val="1"/>
        <w:numId w:val="18"/>
      </w:numPr>
      <w:spacing w:before="240" w:after="60"/>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link w:val="Heading1"/>
    <w:rsid w:val="00384EE8"/>
    <w:rPr>
      <w:rFonts w:ascii="Arial" w:eastAsia="SimSun" w:hAnsi="Arial" w:cs="Arial"/>
      <w:b/>
      <w:bCs/>
      <w:caps/>
      <w:kern w:val="32"/>
      <w:sz w:val="22"/>
      <w:szCs w:val="32"/>
    </w:rPr>
  </w:style>
  <w:style w:type="character" w:customStyle="1" w:styleId="Heading2Char">
    <w:name w:val="Heading 2 Char"/>
    <w:link w:val="Heading2"/>
    <w:rsid w:val="00384EE8"/>
    <w:rPr>
      <w:rFonts w:ascii="Arial" w:eastAsia="SimSun" w:hAnsi="Arial" w:cs="Arial"/>
      <w:bCs/>
      <w:iCs/>
      <w:caps/>
      <w:sz w:val="22"/>
      <w:szCs w:val="28"/>
    </w:rPr>
  </w:style>
  <w:style w:type="character" w:customStyle="1" w:styleId="Heading3Char">
    <w:name w:val="Heading 3 Char"/>
    <w:link w:val="Heading3"/>
    <w:rsid w:val="008A2DB7"/>
    <w:rPr>
      <w:rFonts w:ascii="Arial" w:eastAsia="SimSun" w:hAnsi="Arial" w:cs="Arial"/>
      <w:bCs/>
      <w:sz w:val="22"/>
      <w:szCs w:val="26"/>
      <w:u w:val="single"/>
      <w:lang w:val="fr-FR"/>
    </w:rPr>
  </w:style>
  <w:style w:type="character" w:customStyle="1" w:styleId="FooterChar">
    <w:name w:val="Footer Char"/>
    <w:link w:val="Footer"/>
    <w:semiHidden/>
    <w:rsid w:val="00384EE8"/>
    <w:rPr>
      <w:rFonts w:ascii="Arial" w:eastAsia="SimSun" w:hAnsi="Arial" w:cs="Arial"/>
      <w:sz w:val="22"/>
    </w:rPr>
  </w:style>
  <w:style w:type="character" w:customStyle="1" w:styleId="FootnoteTextChar">
    <w:name w:val="Footnote Text Char"/>
    <w:link w:val="FootnoteText"/>
    <w:uiPriority w:val="99"/>
    <w:semiHidden/>
    <w:rsid w:val="00384EE8"/>
    <w:rPr>
      <w:rFonts w:ascii="Arial" w:eastAsia="SimSun" w:hAnsi="Arial" w:cs="Arial"/>
      <w:sz w:val="18"/>
    </w:rPr>
  </w:style>
  <w:style w:type="paragraph" w:customStyle="1" w:styleId="DecisionInvitingPara">
    <w:name w:val="Decision Inviting Para."/>
    <w:basedOn w:val="Normal"/>
    <w:rsid w:val="00384EE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384EE8"/>
    <w:rPr>
      <w:vertAlign w:val="superscript"/>
    </w:rPr>
  </w:style>
  <w:style w:type="character" w:customStyle="1" w:styleId="ONUMEChar">
    <w:name w:val="ONUM E Char"/>
    <w:link w:val="ONUME"/>
    <w:rsid w:val="00384EE8"/>
    <w:rPr>
      <w:rFonts w:ascii="Arial" w:eastAsia="SimSun" w:hAnsi="Arial" w:cs="Arial"/>
      <w:sz w:val="22"/>
    </w:rPr>
  </w:style>
  <w:style w:type="paragraph" w:styleId="NormalWeb">
    <w:name w:val="Normal (Web)"/>
    <w:basedOn w:val="Normal"/>
    <w:uiPriority w:val="99"/>
    <w:rsid w:val="00384EE8"/>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5F7F38"/>
    <w:rPr>
      <w:color w:val="0000FF" w:themeColor="hyperlink"/>
      <w:u w:val="single"/>
    </w:rPr>
  </w:style>
  <w:style w:type="character" w:styleId="CommentReference">
    <w:name w:val="annotation reference"/>
    <w:basedOn w:val="DefaultParagraphFont"/>
    <w:rsid w:val="00124C28"/>
    <w:rPr>
      <w:sz w:val="16"/>
      <w:szCs w:val="16"/>
    </w:rPr>
  </w:style>
  <w:style w:type="paragraph" w:styleId="CommentSubject">
    <w:name w:val="annotation subject"/>
    <w:basedOn w:val="CommentText"/>
    <w:next w:val="CommentText"/>
    <w:link w:val="CommentSubjectChar"/>
    <w:rsid w:val="00124C28"/>
    <w:rPr>
      <w:b/>
      <w:bCs/>
      <w:sz w:val="20"/>
    </w:rPr>
  </w:style>
  <w:style w:type="character" w:customStyle="1" w:styleId="CommentTextChar">
    <w:name w:val="Comment Text Char"/>
    <w:basedOn w:val="DefaultParagraphFont"/>
    <w:link w:val="CommentText"/>
    <w:semiHidden/>
    <w:rsid w:val="00124C28"/>
    <w:rPr>
      <w:rFonts w:ascii="Arial" w:eastAsia="SimSun" w:hAnsi="Arial" w:cs="Arial"/>
      <w:sz w:val="18"/>
    </w:rPr>
  </w:style>
  <w:style w:type="character" w:customStyle="1" w:styleId="CommentSubjectChar">
    <w:name w:val="Comment Subject Char"/>
    <w:basedOn w:val="CommentTextChar"/>
    <w:link w:val="CommentSubject"/>
    <w:rsid w:val="00124C28"/>
    <w:rPr>
      <w:rFonts w:ascii="Arial" w:eastAsia="SimSun" w:hAnsi="Arial" w:cs="Arial"/>
      <w:b/>
      <w:bCs/>
      <w:sz w:val="18"/>
    </w:rPr>
  </w:style>
  <w:style w:type="paragraph" w:styleId="ListParagraph">
    <w:name w:val="List Paragraph"/>
    <w:basedOn w:val="Normal"/>
    <w:uiPriority w:val="34"/>
    <w:qFormat/>
    <w:rsid w:val="00C72C92"/>
    <w:pPr>
      <w:ind w:left="720"/>
      <w:contextualSpacing/>
    </w:pPr>
    <w:rPr>
      <w:rFonts w:eastAsia="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8A2DB7"/>
    <w:pPr>
      <w:keepNext/>
      <w:numPr>
        <w:ilvl w:val="1"/>
        <w:numId w:val="18"/>
      </w:numPr>
      <w:spacing w:before="240" w:after="60"/>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link w:val="Heading1"/>
    <w:rsid w:val="00384EE8"/>
    <w:rPr>
      <w:rFonts w:ascii="Arial" w:eastAsia="SimSun" w:hAnsi="Arial" w:cs="Arial"/>
      <w:b/>
      <w:bCs/>
      <w:caps/>
      <w:kern w:val="32"/>
      <w:sz w:val="22"/>
      <w:szCs w:val="32"/>
    </w:rPr>
  </w:style>
  <w:style w:type="character" w:customStyle="1" w:styleId="Heading2Char">
    <w:name w:val="Heading 2 Char"/>
    <w:link w:val="Heading2"/>
    <w:rsid w:val="00384EE8"/>
    <w:rPr>
      <w:rFonts w:ascii="Arial" w:eastAsia="SimSun" w:hAnsi="Arial" w:cs="Arial"/>
      <w:bCs/>
      <w:iCs/>
      <w:caps/>
      <w:sz w:val="22"/>
      <w:szCs w:val="28"/>
    </w:rPr>
  </w:style>
  <w:style w:type="character" w:customStyle="1" w:styleId="Heading3Char">
    <w:name w:val="Heading 3 Char"/>
    <w:link w:val="Heading3"/>
    <w:rsid w:val="008A2DB7"/>
    <w:rPr>
      <w:rFonts w:ascii="Arial" w:eastAsia="SimSun" w:hAnsi="Arial" w:cs="Arial"/>
      <w:bCs/>
      <w:sz w:val="22"/>
      <w:szCs w:val="26"/>
      <w:u w:val="single"/>
      <w:lang w:val="fr-FR"/>
    </w:rPr>
  </w:style>
  <w:style w:type="character" w:customStyle="1" w:styleId="FooterChar">
    <w:name w:val="Footer Char"/>
    <w:link w:val="Footer"/>
    <w:semiHidden/>
    <w:rsid w:val="00384EE8"/>
    <w:rPr>
      <w:rFonts w:ascii="Arial" w:eastAsia="SimSun" w:hAnsi="Arial" w:cs="Arial"/>
      <w:sz w:val="22"/>
    </w:rPr>
  </w:style>
  <w:style w:type="character" w:customStyle="1" w:styleId="FootnoteTextChar">
    <w:name w:val="Footnote Text Char"/>
    <w:link w:val="FootnoteText"/>
    <w:uiPriority w:val="99"/>
    <w:semiHidden/>
    <w:rsid w:val="00384EE8"/>
    <w:rPr>
      <w:rFonts w:ascii="Arial" w:eastAsia="SimSun" w:hAnsi="Arial" w:cs="Arial"/>
      <w:sz w:val="18"/>
    </w:rPr>
  </w:style>
  <w:style w:type="paragraph" w:customStyle="1" w:styleId="DecisionInvitingPara">
    <w:name w:val="Decision Inviting Para."/>
    <w:basedOn w:val="Normal"/>
    <w:rsid w:val="00384EE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384EE8"/>
    <w:rPr>
      <w:vertAlign w:val="superscript"/>
    </w:rPr>
  </w:style>
  <w:style w:type="character" w:customStyle="1" w:styleId="ONUMEChar">
    <w:name w:val="ONUM E Char"/>
    <w:link w:val="ONUME"/>
    <w:rsid w:val="00384EE8"/>
    <w:rPr>
      <w:rFonts w:ascii="Arial" w:eastAsia="SimSun" w:hAnsi="Arial" w:cs="Arial"/>
      <w:sz w:val="22"/>
    </w:rPr>
  </w:style>
  <w:style w:type="paragraph" w:styleId="NormalWeb">
    <w:name w:val="Normal (Web)"/>
    <w:basedOn w:val="Normal"/>
    <w:uiPriority w:val="99"/>
    <w:rsid w:val="00384EE8"/>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5F7F38"/>
    <w:rPr>
      <w:color w:val="0000FF" w:themeColor="hyperlink"/>
      <w:u w:val="single"/>
    </w:rPr>
  </w:style>
  <w:style w:type="character" w:styleId="CommentReference">
    <w:name w:val="annotation reference"/>
    <w:basedOn w:val="DefaultParagraphFont"/>
    <w:rsid w:val="00124C28"/>
    <w:rPr>
      <w:sz w:val="16"/>
      <w:szCs w:val="16"/>
    </w:rPr>
  </w:style>
  <w:style w:type="paragraph" w:styleId="CommentSubject">
    <w:name w:val="annotation subject"/>
    <w:basedOn w:val="CommentText"/>
    <w:next w:val="CommentText"/>
    <w:link w:val="CommentSubjectChar"/>
    <w:rsid w:val="00124C28"/>
    <w:rPr>
      <w:b/>
      <w:bCs/>
      <w:sz w:val="20"/>
    </w:rPr>
  </w:style>
  <w:style w:type="character" w:customStyle="1" w:styleId="CommentTextChar">
    <w:name w:val="Comment Text Char"/>
    <w:basedOn w:val="DefaultParagraphFont"/>
    <w:link w:val="CommentText"/>
    <w:semiHidden/>
    <w:rsid w:val="00124C28"/>
    <w:rPr>
      <w:rFonts w:ascii="Arial" w:eastAsia="SimSun" w:hAnsi="Arial" w:cs="Arial"/>
      <w:sz w:val="18"/>
    </w:rPr>
  </w:style>
  <w:style w:type="character" w:customStyle="1" w:styleId="CommentSubjectChar">
    <w:name w:val="Comment Subject Char"/>
    <w:basedOn w:val="CommentTextChar"/>
    <w:link w:val="CommentSubject"/>
    <w:rsid w:val="00124C28"/>
    <w:rPr>
      <w:rFonts w:ascii="Arial" w:eastAsia="SimSun" w:hAnsi="Arial" w:cs="Arial"/>
      <w:b/>
      <w:bCs/>
      <w:sz w:val="18"/>
    </w:rPr>
  </w:style>
  <w:style w:type="paragraph" w:styleId="ListParagraph">
    <w:name w:val="List Paragraph"/>
    <w:basedOn w:val="Normal"/>
    <w:uiPriority w:val="34"/>
    <w:qFormat/>
    <w:rsid w:val="00C72C92"/>
    <w:pPr>
      <w:ind w:left="720"/>
      <w:contextualSpacing/>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A1D8-2324-4A55-9930-3B6340D1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47 (E) .dotm</Template>
  <TotalTime>51</TotalTime>
  <Pages>14</Pages>
  <Words>5441</Words>
  <Characters>30804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36173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RATTRAY Adam</dc:creator>
  <cp:keywords>JCH/ko</cp:keywords>
  <cp:lastModifiedBy>MARIN-CUDRAZ DAVI Nicoletta</cp:lastModifiedBy>
  <cp:revision>12</cp:revision>
  <cp:lastPrinted>2015-06-30T09:26:00Z</cp:lastPrinted>
  <dcterms:created xsi:type="dcterms:W3CDTF">2015-06-24T08:04:00Z</dcterms:created>
  <dcterms:modified xsi:type="dcterms:W3CDTF">2015-07-03T08:28:00Z</dcterms:modified>
</cp:coreProperties>
</file>