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E60A4" w:rsidRPr="00686D5A" w:rsidTr="004E60A4">
        <w:tc>
          <w:tcPr>
            <w:tcW w:w="4513" w:type="dxa"/>
            <w:tcBorders>
              <w:bottom w:val="single" w:sz="4" w:space="0" w:color="auto"/>
            </w:tcBorders>
            <w:tcMar>
              <w:bottom w:w="170" w:type="dxa"/>
            </w:tcMar>
          </w:tcPr>
          <w:p w:rsidR="004E60A4" w:rsidRPr="00686D5A" w:rsidRDefault="004E60A4" w:rsidP="004E60A4">
            <w:pPr>
              <w:rPr>
                <w:lang w:val="fr-FR"/>
              </w:rPr>
            </w:pPr>
          </w:p>
        </w:tc>
        <w:tc>
          <w:tcPr>
            <w:tcW w:w="4337" w:type="dxa"/>
            <w:tcBorders>
              <w:bottom w:val="single" w:sz="4" w:space="0" w:color="auto"/>
            </w:tcBorders>
            <w:tcMar>
              <w:left w:w="0" w:type="dxa"/>
              <w:right w:w="0" w:type="dxa"/>
            </w:tcMar>
          </w:tcPr>
          <w:p w:rsidR="004E60A4" w:rsidRPr="00686D5A" w:rsidRDefault="004E60A4" w:rsidP="004E60A4">
            <w:pPr>
              <w:rPr>
                <w:lang w:val="fr-FR"/>
              </w:rPr>
            </w:pPr>
            <w:r w:rsidRPr="00686D5A">
              <w:rPr>
                <w:noProof/>
                <w:lang w:eastAsia="en-US"/>
              </w:rPr>
              <w:drawing>
                <wp:inline distT="0" distB="0" distL="0" distR="0" wp14:anchorId="5EF513A0" wp14:editId="7AFECC7E">
                  <wp:extent cx="180975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E60A4" w:rsidRPr="00686D5A" w:rsidRDefault="004E60A4" w:rsidP="004E60A4">
            <w:pPr>
              <w:jc w:val="right"/>
              <w:rPr>
                <w:lang w:val="fr-FR"/>
              </w:rPr>
            </w:pPr>
            <w:r w:rsidRPr="00686D5A">
              <w:rPr>
                <w:b/>
                <w:sz w:val="40"/>
                <w:szCs w:val="40"/>
                <w:lang w:val="fr-FR"/>
              </w:rPr>
              <w:t>F</w:t>
            </w:r>
          </w:p>
        </w:tc>
      </w:tr>
      <w:tr w:rsidR="004E60A4" w:rsidRPr="00686D5A" w:rsidTr="004E60A4">
        <w:trPr>
          <w:trHeight w:hRule="exact" w:val="340"/>
        </w:trPr>
        <w:tc>
          <w:tcPr>
            <w:tcW w:w="9356" w:type="dxa"/>
            <w:gridSpan w:val="3"/>
            <w:tcBorders>
              <w:top w:val="single" w:sz="4" w:space="0" w:color="auto"/>
            </w:tcBorders>
            <w:tcMar>
              <w:top w:w="170" w:type="dxa"/>
              <w:left w:w="0" w:type="dxa"/>
              <w:right w:w="0" w:type="dxa"/>
            </w:tcMar>
            <w:vAlign w:val="bottom"/>
          </w:tcPr>
          <w:p w:rsidR="004E60A4" w:rsidRPr="00686D5A" w:rsidRDefault="004E60A4" w:rsidP="004E60A4">
            <w:pPr>
              <w:jc w:val="right"/>
              <w:rPr>
                <w:rFonts w:ascii="Arial Black" w:hAnsi="Arial Black"/>
                <w:caps/>
                <w:sz w:val="15"/>
                <w:lang w:val="fr-FR"/>
              </w:rPr>
            </w:pPr>
            <w:r w:rsidRPr="00686D5A">
              <w:rPr>
                <w:rFonts w:ascii="Arial Black" w:hAnsi="Arial Black"/>
                <w:caps/>
                <w:sz w:val="15"/>
                <w:lang w:val="fr-FR"/>
              </w:rPr>
              <w:t>WO/GA/46/</w:t>
            </w:r>
            <w:bookmarkStart w:id="0" w:name="Code"/>
            <w:bookmarkEnd w:id="0"/>
            <w:r w:rsidRPr="00686D5A">
              <w:rPr>
                <w:rFonts w:ascii="Arial Black" w:hAnsi="Arial Black"/>
                <w:caps/>
                <w:sz w:val="15"/>
                <w:lang w:val="fr-FR"/>
              </w:rPr>
              <w:t xml:space="preserve">2 </w:t>
            </w:r>
          </w:p>
        </w:tc>
      </w:tr>
      <w:tr w:rsidR="004E60A4" w:rsidRPr="00686D5A" w:rsidTr="004E60A4">
        <w:trPr>
          <w:trHeight w:hRule="exact" w:val="170"/>
        </w:trPr>
        <w:tc>
          <w:tcPr>
            <w:tcW w:w="9356" w:type="dxa"/>
            <w:gridSpan w:val="3"/>
            <w:noWrap/>
            <w:tcMar>
              <w:left w:w="0" w:type="dxa"/>
              <w:right w:w="0" w:type="dxa"/>
            </w:tcMar>
            <w:vAlign w:val="bottom"/>
          </w:tcPr>
          <w:p w:rsidR="004E60A4" w:rsidRPr="00686D5A" w:rsidRDefault="004E60A4" w:rsidP="004E60A4">
            <w:pPr>
              <w:jc w:val="right"/>
              <w:rPr>
                <w:rFonts w:ascii="Arial Black" w:hAnsi="Arial Black"/>
                <w:caps/>
                <w:sz w:val="15"/>
                <w:lang w:val="fr-FR"/>
              </w:rPr>
            </w:pPr>
            <w:r w:rsidRPr="00686D5A">
              <w:rPr>
                <w:rFonts w:ascii="Arial Black" w:hAnsi="Arial Black"/>
                <w:caps/>
                <w:sz w:val="15"/>
                <w:lang w:val="fr-FR"/>
              </w:rPr>
              <w:t xml:space="preserve">ORIGINAL : </w:t>
            </w:r>
            <w:bookmarkStart w:id="1" w:name="Original"/>
            <w:bookmarkEnd w:id="1"/>
            <w:r w:rsidRPr="00686D5A">
              <w:rPr>
                <w:rFonts w:ascii="Arial Black" w:hAnsi="Arial Black"/>
                <w:caps/>
                <w:sz w:val="15"/>
                <w:lang w:val="fr-FR"/>
              </w:rPr>
              <w:t>anglais</w:t>
            </w:r>
          </w:p>
        </w:tc>
      </w:tr>
      <w:tr w:rsidR="004E60A4" w:rsidRPr="00686D5A" w:rsidTr="004E60A4">
        <w:trPr>
          <w:trHeight w:hRule="exact" w:val="198"/>
        </w:trPr>
        <w:tc>
          <w:tcPr>
            <w:tcW w:w="9356" w:type="dxa"/>
            <w:gridSpan w:val="3"/>
            <w:tcMar>
              <w:left w:w="0" w:type="dxa"/>
              <w:right w:w="0" w:type="dxa"/>
            </w:tcMar>
            <w:vAlign w:val="bottom"/>
          </w:tcPr>
          <w:p w:rsidR="004E60A4" w:rsidRPr="00686D5A" w:rsidRDefault="004E60A4" w:rsidP="004E60A4">
            <w:pPr>
              <w:jc w:val="right"/>
              <w:rPr>
                <w:rFonts w:ascii="Arial Black" w:hAnsi="Arial Black"/>
                <w:caps/>
                <w:sz w:val="15"/>
                <w:lang w:val="fr-FR"/>
              </w:rPr>
            </w:pPr>
            <w:r w:rsidRPr="00686D5A">
              <w:rPr>
                <w:rFonts w:ascii="Arial Black" w:hAnsi="Arial Black"/>
                <w:caps/>
                <w:sz w:val="15"/>
                <w:lang w:val="fr-FR"/>
              </w:rPr>
              <w:t>DATE : 22 juillet 2014</w:t>
            </w:r>
          </w:p>
        </w:tc>
      </w:tr>
    </w:tbl>
    <w:p w:rsidR="004E60A4" w:rsidRPr="00686D5A" w:rsidRDefault="004E60A4" w:rsidP="004E60A4">
      <w:pPr>
        <w:rPr>
          <w:lang w:val="fr-FR"/>
        </w:rPr>
      </w:pPr>
    </w:p>
    <w:p w:rsidR="004E60A4" w:rsidRPr="00686D5A" w:rsidRDefault="004E60A4" w:rsidP="004E60A4">
      <w:pPr>
        <w:rPr>
          <w:lang w:val="fr-FR"/>
        </w:rPr>
      </w:pPr>
    </w:p>
    <w:p w:rsidR="004E60A4" w:rsidRPr="00686D5A" w:rsidRDefault="004E60A4" w:rsidP="004E60A4">
      <w:pPr>
        <w:rPr>
          <w:lang w:val="fr-FR"/>
        </w:rPr>
      </w:pPr>
    </w:p>
    <w:p w:rsidR="004E60A4" w:rsidRPr="00686D5A" w:rsidRDefault="004E60A4" w:rsidP="004E60A4">
      <w:pPr>
        <w:rPr>
          <w:lang w:val="fr-FR"/>
        </w:rPr>
      </w:pPr>
    </w:p>
    <w:p w:rsidR="004E60A4" w:rsidRPr="00686D5A" w:rsidRDefault="004E60A4" w:rsidP="004E60A4">
      <w:pPr>
        <w:rPr>
          <w:lang w:val="fr-FR"/>
        </w:rPr>
      </w:pPr>
    </w:p>
    <w:p w:rsidR="004E60A4" w:rsidRPr="00686D5A" w:rsidRDefault="004E60A4" w:rsidP="004E60A4">
      <w:pPr>
        <w:rPr>
          <w:b/>
          <w:sz w:val="28"/>
          <w:szCs w:val="28"/>
          <w:lang w:val="fr-FR"/>
        </w:rPr>
      </w:pPr>
      <w:r w:rsidRPr="00686D5A">
        <w:rPr>
          <w:b/>
          <w:sz w:val="28"/>
          <w:szCs w:val="28"/>
          <w:lang w:val="fr-FR"/>
        </w:rPr>
        <w:t>Assemblée générale de l</w:t>
      </w:r>
      <w:r>
        <w:rPr>
          <w:b/>
          <w:sz w:val="28"/>
          <w:szCs w:val="28"/>
          <w:lang w:val="fr-FR"/>
        </w:rPr>
        <w:t>’</w:t>
      </w:r>
      <w:r w:rsidRPr="00686D5A">
        <w:rPr>
          <w:b/>
          <w:sz w:val="28"/>
          <w:szCs w:val="28"/>
          <w:lang w:val="fr-FR"/>
        </w:rPr>
        <w:t>OMPI</w:t>
      </w:r>
    </w:p>
    <w:p w:rsidR="004E60A4" w:rsidRPr="00686D5A" w:rsidRDefault="004E60A4" w:rsidP="004E60A4">
      <w:pPr>
        <w:rPr>
          <w:lang w:val="fr-FR"/>
        </w:rPr>
      </w:pPr>
    </w:p>
    <w:p w:rsidR="004E60A4" w:rsidRPr="00686D5A" w:rsidRDefault="004E60A4" w:rsidP="004E60A4">
      <w:pPr>
        <w:rPr>
          <w:lang w:val="fr-FR"/>
        </w:rPr>
      </w:pPr>
    </w:p>
    <w:p w:rsidR="004E60A4" w:rsidRPr="00686D5A" w:rsidRDefault="004E60A4" w:rsidP="004E60A4">
      <w:pPr>
        <w:rPr>
          <w:b/>
          <w:sz w:val="24"/>
          <w:szCs w:val="24"/>
          <w:lang w:val="fr-FR"/>
        </w:rPr>
      </w:pPr>
      <w:r w:rsidRPr="00686D5A">
        <w:rPr>
          <w:b/>
          <w:sz w:val="24"/>
          <w:szCs w:val="24"/>
          <w:lang w:val="fr-FR"/>
        </w:rPr>
        <w:t>Quarante</w:t>
      </w:r>
      <w:r>
        <w:rPr>
          <w:b/>
          <w:sz w:val="24"/>
          <w:szCs w:val="24"/>
          <w:lang w:val="fr-FR"/>
        </w:rPr>
        <w:noBreakHyphen/>
      </w:r>
      <w:r w:rsidRPr="00686D5A">
        <w:rPr>
          <w:b/>
          <w:sz w:val="24"/>
          <w:szCs w:val="24"/>
          <w:lang w:val="fr-FR"/>
        </w:rPr>
        <w:t>sixième session (25</w:t>
      </w:r>
      <w:r w:rsidRPr="00686D5A">
        <w:rPr>
          <w:b/>
          <w:sz w:val="24"/>
          <w:szCs w:val="24"/>
          <w:vertAlign w:val="superscript"/>
          <w:lang w:val="fr-FR"/>
        </w:rPr>
        <w:t>e</w:t>
      </w:r>
      <w:r w:rsidRPr="00686D5A">
        <w:rPr>
          <w:b/>
          <w:sz w:val="24"/>
          <w:szCs w:val="24"/>
          <w:lang w:val="fr-FR"/>
        </w:rPr>
        <w:t xml:space="preserve"> session extraordinaire)</w:t>
      </w:r>
    </w:p>
    <w:p w:rsidR="004E60A4" w:rsidRPr="00686D5A" w:rsidRDefault="004E60A4" w:rsidP="004E60A4">
      <w:pPr>
        <w:rPr>
          <w:b/>
          <w:sz w:val="24"/>
          <w:szCs w:val="24"/>
          <w:lang w:val="fr-FR"/>
        </w:rPr>
      </w:pPr>
      <w:r w:rsidRPr="00686D5A">
        <w:rPr>
          <w:b/>
          <w:sz w:val="24"/>
          <w:szCs w:val="24"/>
          <w:lang w:val="fr-FR"/>
        </w:rPr>
        <w:t>Genève, 22 – 30 septembre 2014</w:t>
      </w:r>
    </w:p>
    <w:p w:rsidR="004E60A4" w:rsidRPr="00686D5A" w:rsidRDefault="004E60A4" w:rsidP="004E60A4">
      <w:pPr>
        <w:rPr>
          <w:lang w:val="fr-FR"/>
        </w:rPr>
      </w:pPr>
    </w:p>
    <w:p w:rsidR="004E60A4" w:rsidRPr="00686D5A" w:rsidRDefault="004E60A4" w:rsidP="004E60A4">
      <w:pPr>
        <w:rPr>
          <w:lang w:val="fr-FR"/>
        </w:rPr>
      </w:pPr>
    </w:p>
    <w:p w:rsidR="004E60A4" w:rsidRPr="00686D5A" w:rsidRDefault="004E60A4" w:rsidP="004E60A4">
      <w:pPr>
        <w:rPr>
          <w:lang w:val="fr-FR"/>
        </w:rPr>
      </w:pPr>
    </w:p>
    <w:p w:rsidR="004E60A4" w:rsidRPr="00686D5A" w:rsidRDefault="00934421" w:rsidP="004E60A4">
      <w:pPr>
        <w:rPr>
          <w:caps/>
          <w:sz w:val="24"/>
          <w:lang w:val="fr-FR"/>
        </w:rPr>
      </w:pPr>
      <w:r>
        <w:rPr>
          <w:caps/>
          <w:sz w:val="24"/>
          <w:lang w:val="fr-FR"/>
        </w:rPr>
        <w:t>Rapport de synthÈ</w:t>
      </w:r>
      <w:bookmarkStart w:id="2" w:name="_GoBack"/>
      <w:bookmarkEnd w:id="2"/>
      <w:r w:rsidR="004E60A4" w:rsidRPr="00686D5A">
        <w:rPr>
          <w:caps/>
          <w:sz w:val="24"/>
          <w:lang w:val="fr-FR"/>
        </w:rPr>
        <w:t>se annuel du directeur de la Division de l</w:t>
      </w:r>
      <w:r w:rsidR="004E60A4">
        <w:rPr>
          <w:caps/>
          <w:sz w:val="24"/>
          <w:lang w:val="fr-FR"/>
        </w:rPr>
        <w:t>’</w:t>
      </w:r>
      <w:r w:rsidR="004E60A4" w:rsidRPr="00686D5A">
        <w:rPr>
          <w:caps/>
          <w:sz w:val="24"/>
          <w:lang w:val="fr-FR"/>
        </w:rPr>
        <w:t>audit et de la supervision internes</w:t>
      </w:r>
      <w:r w:rsidR="004E60A4">
        <w:rPr>
          <w:caps/>
          <w:sz w:val="24"/>
          <w:lang w:val="fr-FR"/>
        </w:rPr>
        <w:t xml:space="preserve"> (DASI)</w:t>
      </w:r>
    </w:p>
    <w:p w:rsidR="004E60A4" w:rsidRPr="00686D5A" w:rsidRDefault="004E60A4" w:rsidP="004E60A4">
      <w:pPr>
        <w:rPr>
          <w:lang w:val="fr-FR"/>
        </w:rPr>
      </w:pPr>
    </w:p>
    <w:p w:rsidR="004E60A4" w:rsidRPr="00686D5A" w:rsidRDefault="004E60A4" w:rsidP="004E60A4">
      <w:pPr>
        <w:rPr>
          <w:i/>
          <w:lang w:val="fr-FR"/>
        </w:rPr>
      </w:pPr>
      <w:r w:rsidRPr="00686D5A">
        <w:rPr>
          <w:i/>
          <w:lang w:val="fr-FR"/>
        </w:rPr>
        <w:t>établi par le Secrétariat</w:t>
      </w:r>
    </w:p>
    <w:p w:rsidR="004E60A4" w:rsidRPr="00686D5A" w:rsidRDefault="004E60A4" w:rsidP="004E60A4">
      <w:pPr>
        <w:rPr>
          <w:lang w:val="fr-FR"/>
        </w:rPr>
      </w:pPr>
    </w:p>
    <w:p w:rsidR="004E60A4" w:rsidRPr="00686D5A" w:rsidRDefault="004E60A4" w:rsidP="004E60A4">
      <w:pPr>
        <w:rPr>
          <w:lang w:val="fr-FR"/>
        </w:rPr>
      </w:pPr>
    </w:p>
    <w:p w:rsidR="004E60A4" w:rsidRPr="00686D5A" w:rsidRDefault="004E60A4" w:rsidP="004E60A4">
      <w:pPr>
        <w:rPr>
          <w:lang w:val="fr-FR"/>
        </w:rPr>
      </w:pPr>
    </w:p>
    <w:p w:rsidR="004E60A4" w:rsidRPr="00686D5A" w:rsidRDefault="004E60A4" w:rsidP="004E60A4">
      <w:pPr>
        <w:rPr>
          <w:lang w:val="fr-FR"/>
        </w:rPr>
      </w:pPr>
    </w:p>
    <w:p w:rsidR="004E60A4" w:rsidRPr="00686D5A" w:rsidRDefault="004E60A4" w:rsidP="004E60A4">
      <w:pPr>
        <w:rPr>
          <w:lang w:val="fr-FR"/>
        </w:rPr>
      </w:pPr>
    </w:p>
    <w:p w:rsidR="004E60A4" w:rsidRPr="00686D5A" w:rsidRDefault="004E60A4" w:rsidP="004E60A4">
      <w:pPr>
        <w:pStyle w:val="ONUMFS"/>
        <w:rPr>
          <w:lang w:val="fr-FR"/>
        </w:rPr>
      </w:pPr>
      <w:r w:rsidRPr="00686D5A">
        <w:rPr>
          <w:lang w:val="fr-FR"/>
        </w:rPr>
        <w:t>Le présent document contient le rapport de synthèse annuel établi par le directeur de la Division de l</w:t>
      </w:r>
      <w:r>
        <w:rPr>
          <w:lang w:val="fr-FR"/>
        </w:rPr>
        <w:t>’</w:t>
      </w:r>
      <w:r w:rsidRPr="00686D5A">
        <w:rPr>
          <w:lang w:val="fr-FR"/>
        </w:rPr>
        <w:t>audit et de la supervision internes (DASI) (document</w:t>
      </w:r>
      <w:r>
        <w:rPr>
          <w:lang w:val="fr-FR"/>
        </w:rPr>
        <w:t xml:space="preserve"> </w:t>
      </w:r>
      <w:r w:rsidRPr="00686D5A">
        <w:rPr>
          <w:lang w:val="fr-FR"/>
        </w:rPr>
        <w:t>WO/PBC/22/4), qui sera examiné par le Comité du programme et budget de l</w:t>
      </w:r>
      <w:r>
        <w:rPr>
          <w:lang w:val="fr-FR"/>
        </w:rPr>
        <w:t>’</w:t>
      </w:r>
      <w:r w:rsidRPr="00686D5A">
        <w:rPr>
          <w:lang w:val="fr-FR"/>
        </w:rPr>
        <w:t>OMPI (PBC) à sa vingt</w:t>
      </w:r>
      <w:r>
        <w:rPr>
          <w:lang w:val="fr-FR"/>
        </w:rPr>
        <w:noBreakHyphen/>
      </w:r>
      <w:r w:rsidRPr="00686D5A">
        <w:rPr>
          <w:lang w:val="fr-FR"/>
        </w:rPr>
        <w:t>deuxième session (1</w:t>
      </w:r>
      <w:r w:rsidRPr="00686D5A">
        <w:rPr>
          <w:vertAlign w:val="superscript"/>
          <w:lang w:val="fr-FR"/>
        </w:rPr>
        <w:t>er</w:t>
      </w:r>
      <w:r w:rsidRPr="00686D5A">
        <w:rPr>
          <w:lang w:val="fr-FR"/>
        </w:rPr>
        <w:t> – 5 septembre 2014).</w:t>
      </w:r>
    </w:p>
    <w:p w:rsidR="004E60A4" w:rsidRPr="00686D5A" w:rsidRDefault="004E60A4" w:rsidP="004E60A4">
      <w:pPr>
        <w:pStyle w:val="ONUMFS"/>
        <w:rPr>
          <w:lang w:val="fr-FR"/>
        </w:rPr>
      </w:pPr>
      <w:r w:rsidRPr="00686D5A">
        <w:rPr>
          <w:lang w:val="fr-FR"/>
        </w:rPr>
        <w:t>Toutes les décisions du PBC relatives à ce document figureront dans la Liste des décisions prises par le Comité du programme et budget à sa vingt</w:t>
      </w:r>
      <w:r>
        <w:rPr>
          <w:lang w:val="fr-FR"/>
        </w:rPr>
        <w:noBreakHyphen/>
      </w:r>
      <w:r w:rsidRPr="00686D5A">
        <w:rPr>
          <w:lang w:val="fr-FR"/>
        </w:rPr>
        <w:t xml:space="preserve">deuxième session </w:t>
      </w:r>
      <w:r w:rsidRPr="00686D5A">
        <w:rPr>
          <w:lang w:val="fr-FR"/>
        </w:rPr>
        <w:br/>
        <w:t>(1</w:t>
      </w:r>
      <w:r w:rsidRPr="00686D5A">
        <w:rPr>
          <w:vertAlign w:val="superscript"/>
          <w:lang w:val="fr-FR"/>
        </w:rPr>
        <w:t>er</w:t>
      </w:r>
      <w:r w:rsidRPr="00686D5A">
        <w:rPr>
          <w:lang w:val="fr-FR"/>
        </w:rPr>
        <w:t> – 5 septembre 2014) (document A/54/5).</w:t>
      </w:r>
    </w:p>
    <w:p w:rsidR="004E60A4" w:rsidRPr="00686D5A" w:rsidRDefault="004E60A4" w:rsidP="004E60A4">
      <w:pPr>
        <w:pStyle w:val="Endofdocument-Annex"/>
        <w:rPr>
          <w:lang w:val="fr-FR"/>
        </w:rPr>
      </w:pPr>
    </w:p>
    <w:p w:rsidR="004E60A4" w:rsidRPr="00686D5A" w:rsidRDefault="004E60A4" w:rsidP="004E60A4">
      <w:pPr>
        <w:pStyle w:val="Endofdocument-Annex"/>
        <w:rPr>
          <w:lang w:val="fr-FR"/>
        </w:rPr>
      </w:pPr>
    </w:p>
    <w:p w:rsidR="004E60A4" w:rsidRPr="00686D5A" w:rsidRDefault="004E60A4" w:rsidP="004E60A4">
      <w:pPr>
        <w:pStyle w:val="Endofdocument-Annex"/>
        <w:rPr>
          <w:lang w:val="fr-FR"/>
        </w:rPr>
      </w:pPr>
      <w:r w:rsidRPr="00686D5A">
        <w:rPr>
          <w:lang w:val="fr-FR"/>
        </w:rPr>
        <w:t>[Le document</w:t>
      </w:r>
      <w:r>
        <w:rPr>
          <w:lang w:val="fr-FR"/>
        </w:rPr>
        <w:t xml:space="preserve"> </w:t>
      </w:r>
      <w:r w:rsidRPr="00686D5A">
        <w:rPr>
          <w:lang w:val="fr-FR"/>
        </w:rPr>
        <w:t>WO/PBC/22/4 suit]</w:t>
      </w:r>
    </w:p>
    <w:p w:rsidR="004E60A4" w:rsidRPr="00686D5A" w:rsidRDefault="004E60A4" w:rsidP="004E60A4">
      <w:pPr>
        <w:rPr>
          <w:i/>
          <w:lang w:val="fr-FR"/>
        </w:rPr>
      </w:pPr>
      <w:r w:rsidRPr="00686D5A">
        <w:rPr>
          <w:i/>
          <w:lang w:val="fr-FR"/>
        </w:rPr>
        <w:br w:type="page"/>
      </w:r>
    </w:p>
    <w:p w:rsidR="004E60A4" w:rsidRPr="00686D5A" w:rsidRDefault="004E60A4" w:rsidP="004E60A4">
      <w:pPr>
        <w:pStyle w:val="ONUME"/>
        <w:numPr>
          <w:ilvl w:val="0"/>
          <w:numId w:val="0"/>
        </w:numPr>
        <w:tabs>
          <w:tab w:val="left" w:pos="6096"/>
        </w:tabs>
        <w:spacing w:after="0"/>
        <w:ind w:left="5533"/>
        <w:rPr>
          <w:i/>
        </w:rPr>
      </w:pPr>
    </w:p>
    <w:p w:rsidR="004E60A4" w:rsidRPr="00686D5A" w:rsidRDefault="004E60A4" w:rsidP="004E60A4">
      <w:pPr>
        <w:rPr>
          <w:lang w:val="fr-FR"/>
        </w:rPr>
        <w:sectPr w:rsidR="004E60A4" w:rsidRPr="00686D5A" w:rsidSect="00D7054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9A7E4C" w:rsidRPr="00686D5A" w:rsidTr="0008793C">
        <w:tc>
          <w:tcPr>
            <w:tcW w:w="4513" w:type="dxa"/>
            <w:tcBorders>
              <w:bottom w:val="single" w:sz="4" w:space="0" w:color="auto"/>
            </w:tcBorders>
            <w:tcMar>
              <w:bottom w:w="170" w:type="dxa"/>
            </w:tcMar>
          </w:tcPr>
          <w:p w:rsidR="009A7E4C" w:rsidRPr="00686D5A" w:rsidRDefault="009A7E4C" w:rsidP="00526D46">
            <w:pPr>
              <w:rPr>
                <w:lang w:val="fr-FR"/>
              </w:rPr>
            </w:pPr>
          </w:p>
        </w:tc>
        <w:tc>
          <w:tcPr>
            <w:tcW w:w="4337" w:type="dxa"/>
            <w:tcBorders>
              <w:bottom w:val="single" w:sz="4" w:space="0" w:color="auto"/>
            </w:tcBorders>
            <w:tcMar>
              <w:left w:w="0" w:type="dxa"/>
              <w:right w:w="0" w:type="dxa"/>
            </w:tcMar>
          </w:tcPr>
          <w:p w:rsidR="009A7E4C" w:rsidRPr="00686D5A" w:rsidRDefault="00914669" w:rsidP="00526D46">
            <w:pPr>
              <w:rPr>
                <w:lang w:val="fr-FR"/>
              </w:rPr>
            </w:pPr>
            <w:r w:rsidRPr="00686D5A">
              <w:rPr>
                <w:noProof/>
                <w:lang w:eastAsia="en-US"/>
              </w:rPr>
              <w:drawing>
                <wp:inline distT="0" distB="0" distL="0" distR="0" wp14:anchorId="00D08243" wp14:editId="5A2204B4">
                  <wp:extent cx="1809750" cy="1323975"/>
                  <wp:effectExtent l="0" t="0" r="0" b="9525"/>
                  <wp:docPr id="2" name="Picture 3"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9A7E4C" w:rsidRPr="00686D5A" w:rsidRDefault="009A7E4C" w:rsidP="00526D46">
            <w:pPr>
              <w:jc w:val="right"/>
              <w:rPr>
                <w:lang w:val="fr-FR"/>
              </w:rPr>
            </w:pPr>
            <w:r w:rsidRPr="00686D5A">
              <w:rPr>
                <w:b/>
                <w:sz w:val="40"/>
                <w:szCs w:val="40"/>
                <w:lang w:val="fr-FR"/>
              </w:rPr>
              <w:t>F</w:t>
            </w:r>
          </w:p>
        </w:tc>
      </w:tr>
      <w:tr w:rsidR="009A7E4C" w:rsidRPr="00686D5A" w:rsidTr="00526D46">
        <w:trPr>
          <w:trHeight w:hRule="exact" w:val="340"/>
        </w:trPr>
        <w:tc>
          <w:tcPr>
            <w:tcW w:w="9356" w:type="dxa"/>
            <w:gridSpan w:val="3"/>
            <w:tcBorders>
              <w:top w:val="single" w:sz="4" w:space="0" w:color="auto"/>
            </w:tcBorders>
            <w:tcMar>
              <w:top w:w="170" w:type="dxa"/>
              <w:left w:w="0" w:type="dxa"/>
              <w:right w:w="0" w:type="dxa"/>
            </w:tcMar>
            <w:vAlign w:val="bottom"/>
          </w:tcPr>
          <w:p w:rsidR="009A7E4C" w:rsidRPr="00686D5A" w:rsidRDefault="009A7E4C" w:rsidP="00526D46">
            <w:pPr>
              <w:jc w:val="right"/>
              <w:rPr>
                <w:rFonts w:ascii="Arial Black" w:hAnsi="Arial Black"/>
                <w:caps/>
                <w:sz w:val="15"/>
                <w:lang w:val="fr-FR"/>
              </w:rPr>
            </w:pPr>
            <w:r w:rsidRPr="00686D5A">
              <w:rPr>
                <w:rFonts w:ascii="Arial Black" w:hAnsi="Arial Black"/>
                <w:caps/>
                <w:sz w:val="15"/>
                <w:lang w:val="fr-FR"/>
              </w:rPr>
              <w:t xml:space="preserve">WO/PBC/22/4 </w:t>
            </w:r>
          </w:p>
        </w:tc>
      </w:tr>
      <w:tr w:rsidR="009A7E4C" w:rsidRPr="00686D5A" w:rsidTr="00526D46">
        <w:trPr>
          <w:trHeight w:hRule="exact" w:val="170"/>
        </w:trPr>
        <w:tc>
          <w:tcPr>
            <w:tcW w:w="9356" w:type="dxa"/>
            <w:gridSpan w:val="3"/>
            <w:noWrap/>
            <w:tcMar>
              <w:left w:w="0" w:type="dxa"/>
              <w:right w:w="0" w:type="dxa"/>
            </w:tcMar>
            <w:vAlign w:val="bottom"/>
          </w:tcPr>
          <w:p w:rsidR="009A7E4C" w:rsidRPr="00686D5A" w:rsidRDefault="009A7E4C" w:rsidP="00526D46">
            <w:pPr>
              <w:jc w:val="right"/>
              <w:rPr>
                <w:rFonts w:ascii="Arial Black" w:hAnsi="Arial Black"/>
                <w:caps/>
                <w:sz w:val="15"/>
                <w:lang w:val="fr-FR"/>
              </w:rPr>
            </w:pPr>
            <w:r w:rsidRPr="00686D5A">
              <w:rPr>
                <w:rFonts w:ascii="Arial Black" w:hAnsi="Arial Black"/>
                <w:caps/>
                <w:sz w:val="15"/>
                <w:lang w:val="fr-FR"/>
              </w:rPr>
              <w:t>ORIGINAL</w:t>
            </w:r>
            <w:r w:rsidR="00413B67" w:rsidRPr="00686D5A">
              <w:rPr>
                <w:rFonts w:ascii="Arial Black" w:hAnsi="Arial Black"/>
                <w:caps/>
                <w:sz w:val="15"/>
                <w:lang w:val="fr-FR"/>
              </w:rPr>
              <w:t> </w:t>
            </w:r>
            <w:r w:rsidRPr="00686D5A">
              <w:rPr>
                <w:rFonts w:ascii="Arial Black" w:hAnsi="Arial Black"/>
                <w:caps/>
                <w:sz w:val="15"/>
                <w:lang w:val="fr-FR"/>
              </w:rPr>
              <w:t>: anglais</w:t>
            </w:r>
          </w:p>
        </w:tc>
      </w:tr>
      <w:tr w:rsidR="009A7E4C" w:rsidRPr="00686D5A" w:rsidTr="00526D46">
        <w:trPr>
          <w:trHeight w:hRule="exact" w:val="198"/>
        </w:trPr>
        <w:tc>
          <w:tcPr>
            <w:tcW w:w="9356" w:type="dxa"/>
            <w:gridSpan w:val="3"/>
            <w:tcMar>
              <w:left w:w="0" w:type="dxa"/>
              <w:right w:w="0" w:type="dxa"/>
            </w:tcMar>
            <w:vAlign w:val="bottom"/>
          </w:tcPr>
          <w:p w:rsidR="009A7E4C" w:rsidRPr="00686D5A" w:rsidRDefault="009A7E4C" w:rsidP="00526D46">
            <w:pPr>
              <w:jc w:val="right"/>
              <w:rPr>
                <w:rFonts w:ascii="Arial Black" w:hAnsi="Arial Black"/>
                <w:caps/>
                <w:sz w:val="15"/>
                <w:lang w:val="fr-FR"/>
              </w:rPr>
            </w:pPr>
            <w:r w:rsidRPr="00686D5A">
              <w:rPr>
                <w:rFonts w:ascii="Arial Black" w:hAnsi="Arial Black"/>
                <w:caps/>
                <w:sz w:val="15"/>
                <w:lang w:val="fr-FR"/>
              </w:rPr>
              <w:t>DATE</w:t>
            </w:r>
            <w:r w:rsidR="00413B67" w:rsidRPr="00686D5A">
              <w:rPr>
                <w:rFonts w:ascii="Arial Black" w:hAnsi="Arial Black"/>
                <w:caps/>
                <w:sz w:val="15"/>
                <w:lang w:val="fr-FR"/>
              </w:rPr>
              <w:t> </w:t>
            </w:r>
            <w:r w:rsidRPr="00686D5A">
              <w:rPr>
                <w:rFonts w:ascii="Arial Black" w:hAnsi="Arial Black"/>
                <w:caps/>
                <w:sz w:val="15"/>
                <w:lang w:val="fr-FR"/>
              </w:rPr>
              <w:t xml:space="preserve">: </w:t>
            </w:r>
            <w:bookmarkStart w:id="3" w:name="Date"/>
            <w:bookmarkEnd w:id="3"/>
            <w:r w:rsidR="00E11857" w:rsidRPr="00686D5A">
              <w:rPr>
                <w:rFonts w:ascii="Arial Black" w:hAnsi="Arial Black"/>
                <w:caps/>
                <w:sz w:val="15"/>
                <w:lang w:val="fr-FR"/>
              </w:rPr>
              <w:t>4 juillet 20</w:t>
            </w:r>
            <w:r w:rsidRPr="00686D5A">
              <w:rPr>
                <w:rFonts w:ascii="Arial Black" w:hAnsi="Arial Black"/>
                <w:caps/>
                <w:sz w:val="15"/>
                <w:lang w:val="fr-FR"/>
              </w:rPr>
              <w:t>14</w:t>
            </w:r>
          </w:p>
        </w:tc>
      </w:tr>
    </w:tbl>
    <w:p w:rsidR="009A7E4C" w:rsidRDefault="009A7E4C" w:rsidP="00526D46">
      <w:pPr>
        <w:rPr>
          <w:lang w:val="fr-FR"/>
        </w:rPr>
      </w:pPr>
    </w:p>
    <w:p w:rsidR="009A7E4C" w:rsidRPr="00686D5A" w:rsidRDefault="009A7E4C" w:rsidP="00526D46">
      <w:pPr>
        <w:rPr>
          <w:lang w:val="fr-FR"/>
        </w:rPr>
      </w:pPr>
    </w:p>
    <w:p w:rsidR="009A7E4C" w:rsidRPr="00686D5A" w:rsidRDefault="009A7E4C" w:rsidP="00526D46">
      <w:pPr>
        <w:rPr>
          <w:lang w:val="fr-FR"/>
        </w:rPr>
      </w:pPr>
    </w:p>
    <w:p w:rsidR="009A7E4C" w:rsidRPr="00686D5A" w:rsidRDefault="009A7E4C" w:rsidP="00526D46">
      <w:pPr>
        <w:rPr>
          <w:lang w:val="fr-FR"/>
        </w:rPr>
      </w:pPr>
    </w:p>
    <w:p w:rsidR="009A7E4C" w:rsidRPr="00686D5A" w:rsidRDefault="009A7E4C" w:rsidP="00526D46">
      <w:pPr>
        <w:rPr>
          <w:lang w:val="fr-FR"/>
        </w:rPr>
      </w:pPr>
    </w:p>
    <w:p w:rsidR="009A7E4C" w:rsidRPr="00686D5A" w:rsidRDefault="009A7E4C" w:rsidP="00526D46">
      <w:pPr>
        <w:rPr>
          <w:b/>
          <w:sz w:val="28"/>
          <w:szCs w:val="28"/>
          <w:lang w:val="fr-FR"/>
        </w:rPr>
      </w:pPr>
      <w:r w:rsidRPr="00686D5A">
        <w:rPr>
          <w:b/>
          <w:sz w:val="28"/>
          <w:szCs w:val="28"/>
          <w:lang w:val="fr-FR"/>
        </w:rPr>
        <w:t>Comit</w:t>
      </w:r>
      <w:r w:rsidRPr="00686D5A">
        <w:rPr>
          <w:rFonts w:cs="Simplified Arabic"/>
          <w:b/>
          <w:sz w:val="28"/>
          <w:szCs w:val="28"/>
          <w:lang w:val="fr-FR"/>
        </w:rPr>
        <w:t>é</w:t>
      </w:r>
      <w:r w:rsidRPr="00686D5A">
        <w:rPr>
          <w:b/>
          <w:sz w:val="28"/>
          <w:szCs w:val="28"/>
          <w:lang w:val="fr-FR"/>
        </w:rPr>
        <w:t xml:space="preserve"> du programme et budget</w:t>
      </w:r>
    </w:p>
    <w:p w:rsidR="009A7E4C" w:rsidRPr="00686D5A" w:rsidRDefault="009A7E4C" w:rsidP="00526D46">
      <w:pPr>
        <w:rPr>
          <w:lang w:val="fr-FR"/>
        </w:rPr>
      </w:pPr>
    </w:p>
    <w:p w:rsidR="009A7E4C" w:rsidRPr="00686D5A" w:rsidRDefault="009A7E4C" w:rsidP="00526D46">
      <w:pPr>
        <w:rPr>
          <w:lang w:val="fr-FR"/>
        </w:rPr>
      </w:pPr>
    </w:p>
    <w:p w:rsidR="009A7E4C" w:rsidRPr="00686D5A" w:rsidRDefault="009A7E4C" w:rsidP="00526D46">
      <w:pPr>
        <w:rPr>
          <w:b/>
          <w:sz w:val="24"/>
          <w:szCs w:val="24"/>
          <w:lang w:val="fr-FR"/>
        </w:rPr>
      </w:pPr>
      <w:r w:rsidRPr="00686D5A">
        <w:rPr>
          <w:b/>
          <w:bCs/>
          <w:sz w:val="24"/>
          <w:szCs w:val="24"/>
          <w:lang w:val="fr-FR"/>
        </w:rPr>
        <w:t>Vingt</w:t>
      </w:r>
      <w:r w:rsidR="001F4EED">
        <w:rPr>
          <w:b/>
          <w:bCs/>
          <w:sz w:val="24"/>
          <w:szCs w:val="24"/>
          <w:lang w:val="fr-FR"/>
        </w:rPr>
        <w:noBreakHyphen/>
      </w:r>
      <w:r w:rsidRPr="00686D5A">
        <w:rPr>
          <w:b/>
          <w:bCs/>
          <w:sz w:val="24"/>
          <w:szCs w:val="24"/>
          <w:lang w:val="fr-FR"/>
        </w:rPr>
        <w:t>deuxième</w:t>
      </w:r>
      <w:r w:rsidR="00413B67" w:rsidRPr="00686D5A">
        <w:rPr>
          <w:b/>
          <w:bCs/>
          <w:sz w:val="24"/>
          <w:szCs w:val="24"/>
          <w:lang w:val="fr-FR"/>
        </w:rPr>
        <w:t> </w:t>
      </w:r>
      <w:r w:rsidRPr="00686D5A">
        <w:rPr>
          <w:b/>
          <w:bCs/>
          <w:sz w:val="24"/>
          <w:szCs w:val="24"/>
          <w:lang w:val="fr-FR"/>
        </w:rPr>
        <w:t>se</w:t>
      </w:r>
      <w:r w:rsidRPr="00686D5A">
        <w:rPr>
          <w:b/>
          <w:sz w:val="24"/>
          <w:szCs w:val="24"/>
          <w:lang w:val="fr-FR"/>
        </w:rPr>
        <w:t>ssion</w:t>
      </w:r>
    </w:p>
    <w:p w:rsidR="009A7E4C" w:rsidRPr="00686D5A" w:rsidRDefault="009A7E4C" w:rsidP="00526D46">
      <w:pPr>
        <w:rPr>
          <w:lang w:val="fr-FR"/>
        </w:rPr>
      </w:pPr>
      <w:r w:rsidRPr="00686D5A">
        <w:rPr>
          <w:b/>
          <w:sz w:val="24"/>
          <w:szCs w:val="24"/>
          <w:lang w:val="fr-FR"/>
        </w:rPr>
        <w:t xml:space="preserve">Genève, </w:t>
      </w:r>
      <w:r w:rsidR="00E11857" w:rsidRPr="00686D5A">
        <w:rPr>
          <w:b/>
          <w:sz w:val="24"/>
          <w:szCs w:val="24"/>
          <w:lang w:val="fr-FR"/>
        </w:rPr>
        <w:t>1</w:t>
      </w:r>
      <w:r w:rsidR="00E11857" w:rsidRPr="00686D5A">
        <w:rPr>
          <w:b/>
          <w:sz w:val="24"/>
          <w:szCs w:val="24"/>
          <w:vertAlign w:val="superscript"/>
          <w:lang w:val="fr-FR"/>
        </w:rPr>
        <w:t>er</w:t>
      </w:r>
      <w:r w:rsidR="00E11857" w:rsidRPr="00686D5A">
        <w:rPr>
          <w:b/>
          <w:sz w:val="24"/>
          <w:szCs w:val="24"/>
          <w:lang w:val="fr-FR"/>
        </w:rPr>
        <w:t> </w:t>
      </w:r>
      <w:r w:rsidRPr="00686D5A">
        <w:rPr>
          <w:b/>
          <w:sz w:val="24"/>
          <w:szCs w:val="24"/>
          <w:lang w:val="fr-FR"/>
        </w:rPr>
        <w:t xml:space="preserve">– </w:t>
      </w:r>
      <w:r w:rsidR="00E11857" w:rsidRPr="00686D5A">
        <w:rPr>
          <w:b/>
          <w:sz w:val="24"/>
          <w:szCs w:val="24"/>
          <w:lang w:val="fr-FR"/>
        </w:rPr>
        <w:t>5 septembre 20</w:t>
      </w:r>
      <w:r w:rsidRPr="00686D5A">
        <w:rPr>
          <w:b/>
          <w:sz w:val="24"/>
          <w:szCs w:val="24"/>
          <w:lang w:val="fr-FR"/>
        </w:rPr>
        <w:t>14</w:t>
      </w:r>
    </w:p>
    <w:p w:rsidR="009A7E4C" w:rsidRPr="00686D5A" w:rsidRDefault="009A7E4C" w:rsidP="00526D46">
      <w:pPr>
        <w:rPr>
          <w:lang w:val="fr-FR"/>
        </w:rPr>
      </w:pPr>
    </w:p>
    <w:p w:rsidR="009A7E4C" w:rsidRPr="00686D5A" w:rsidRDefault="009A7E4C" w:rsidP="00526D46">
      <w:pPr>
        <w:rPr>
          <w:lang w:val="fr-FR"/>
        </w:rPr>
      </w:pPr>
    </w:p>
    <w:p w:rsidR="009A7E4C" w:rsidRPr="00686D5A" w:rsidRDefault="009A7E4C" w:rsidP="00526D46">
      <w:pPr>
        <w:rPr>
          <w:caps/>
          <w:sz w:val="24"/>
          <w:lang w:val="fr-FR"/>
        </w:rPr>
      </w:pPr>
      <w:r w:rsidRPr="00686D5A">
        <w:rPr>
          <w:caps/>
          <w:sz w:val="24"/>
          <w:lang w:val="fr-FR"/>
        </w:rPr>
        <w:t>Rapport de synthèse annuel du directeur de la Division de l</w:t>
      </w:r>
      <w:r w:rsidR="00D565F4">
        <w:rPr>
          <w:caps/>
          <w:sz w:val="24"/>
          <w:lang w:val="fr-FR"/>
        </w:rPr>
        <w:t>’</w:t>
      </w:r>
      <w:r w:rsidRPr="00686D5A">
        <w:rPr>
          <w:caps/>
          <w:sz w:val="24"/>
          <w:lang w:val="fr-FR"/>
        </w:rPr>
        <w:t>audit et de la supervision internes</w:t>
      </w:r>
      <w:r w:rsidR="00682CAF">
        <w:rPr>
          <w:caps/>
          <w:sz w:val="24"/>
          <w:lang w:val="fr-FR"/>
        </w:rPr>
        <w:t xml:space="preserve"> (DASI)</w:t>
      </w:r>
    </w:p>
    <w:p w:rsidR="009A7E4C" w:rsidRPr="00686D5A" w:rsidRDefault="009A7E4C" w:rsidP="004B6701">
      <w:pPr>
        <w:rPr>
          <w:lang w:val="fr-FR"/>
        </w:rPr>
      </w:pPr>
    </w:p>
    <w:p w:rsidR="009A7E4C" w:rsidRPr="00686D5A" w:rsidRDefault="009A7E4C" w:rsidP="00526D46">
      <w:pPr>
        <w:rPr>
          <w:i/>
          <w:lang w:val="fr-FR"/>
        </w:rPr>
      </w:pPr>
      <w:r w:rsidRPr="00686D5A">
        <w:rPr>
          <w:i/>
          <w:lang w:val="fr-FR"/>
        </w:rPr>
        <w:t>établi par le Secrétariat</w:t>
      </w:r>
    </w:p>
    <w:p w:rsidR="009A7E4C" w:rsidRPr="00686D5A" w:rsidRDefault="009A7E4C" w:rsidP="004B6701">
      <w:pPr>
        <w:rPr>
          <w:lang w:val="fr-FR"/>
        </w:rPr>
      </w:pPr>
    </w:p>
    <w:p w:rsidR="009A7E4C" w:rsidRPr="00686D5A" w:rsidRDefault="009A7E4C" w:rsidP="004B6701">
      <w:pPr>
        <w:rPr>
          <w:lang w:val="fr-FR"/>
        </w:rPr>
      </w:pPr>
    </w:p>
    <w:p w:rsidR="009A7E4C" w:rsidRPr="00686D5A" w:rsidRDefault="009A7E4C" w:rsidP="004B6701">
      <w:pPr>
        <w:rPr>
          <w:lang w:val="fr-FR"/>
        </w:rPr>
      </w:pPr>
    </w:p>
    <w:p w:rsidR="009A7E4C" w:rsidRPr="00686D5A" w:rsidRDefault="009A7E4C" w:rsidP="004B6701">
      <w:pPr>
        <w:rPr>
          <w:lang w:val="fr-FR"/>
        </w:rPr>
      </w:pPr>
    </w:p>
    <w:p w:rsidR="009A7E4C" w:rsidRPr="00686D5A" w:rsidRDefault="009A7E4C" w:rsidP="004B6701">
      <w:pPr>
        <w:rPr>
          <w:lang w:val="fr-FR"/>
        </w:rPr>
      </w:pPr>
    </w:p>
    <w:p w:rsidR="009A7E4C" w:rsidRPr="00686D5A" w:rsidRDefault="009A7E4C" w:rsidP="005E0EEF">
      <w:pPr>
        <w:pStyle w:val="ONUMFS"/>
        <w:numPr>
          <w:ilvl w:val="0"/>
          <w:numId w:val="45"/>
        </w:numPr>
        <w:rPr>
          <w:lang w:val="fr-FR"/>
        </w:rPr>
      </w:pPr>
      <w:r w:rsidRPr="00686D5A">
        <w:rPr>
          <w:lang w:val="fr-FR"/>
        </w:rPr>
        <w:t>Conformément au paragraphe 25 de la Charte de la supervision interne, le directeur de la Division de l</w:t>
      </w:r>
      <w:r w:rsidR="00D565F4">
        <w:rPr>
          <w:lang w:val="fr-FR"/>
        </w:rPr>
        <w:t>’</w:t>
      </w:r>
      <w:r w:rsidRPr="00686D5A">
        <w:rPr>
          <w:lang w:val="fr-FR"/>
        </w:rPr>
        <w:t xml:space="preserve">audit et de la supervision internes </w:t>
      </w:r>
      <w:r w:rsidR="00E90725">
        <w:rPr>
          <w:lang w:val="fr-FR"/>
        </w:rPr>
        <w:t xml:space="preserve">(DASI) </w:t>
      </w:r>
      <w:r w:rsidRPr="00686D5A">
        <w:rPr>
          <w:lang w:val="fr-FR"/>
        </w:rPr>
        <w:t>présente un rapport de synthèse par écrit au Comité du programme et budget (PBC).  Ce rapport contient des informations sur les principales activités menées par</w:t>
      </w:r>
      <w:r w:rsidR="00D565F4" w:rsidRPr="00686D5A">
        <w:rPr>
          <w:lang w:val="fr-FR"/>
        </w:rPr>
        <w:t xml:space="preserve"> la</w:t>
      </w:r>
      <w:r w:rsidR="00D565F4">
        <w:rPr>
          <w:lang w:val="fr-FR"/>
        </w:rPr>
        <w:t> </w:t>
      </w:r>
      <w:r w:rsidR="00D565F4" w:rsidRPr="00686D5A">
        <w:rPr>
          <w:lang w:val="fr-FR"/>
        </w:rPr>
        <w:t>D</w:t>
      </w:r>
      <w:r w:rsidR="00D565F4">
        <w:rPr>
          <w:lang w:val="fr-FR"/>
        </w:rPr>
        <w:t>AS</w:t>
      </w:r>
      <w:r w:rsidR="00E90725">
        <w:rPr>
          <w:lang w:val="fr-FR"/>
        </w:rPr>
        <w:t>I</w:t>
      </w:r>
      <w:r w:rsidRPr="00686D5A">
        <w:rPr>
          <w:lang w:val="fr-FR"/>
        </w:rPr>
        <w:t xml:space="preserve"> entre le 1</w:t>
      </w:r>
      <w:r w:rsidRPr="00686D5A">
        <w:rPr>
          <w:vertAlign w:val="superscript"/>
          <w:lang w:val="fr-FR"/>
        </w:rPr>
        <w:t>er</w:t>
      </w:r>
      <w:r w:rsidRPr="00686D5A">
        <w:rPr>
          <w:lang w:val="fr-FR"/>
        </w:rPr>
        <w:t> juillet 2013 et le 30 juin 2014.</w:t>
      </w:r>
    </w:p>
    <w:p w:rsidR="009A7E4C" w:rsidRPr="00686D5A" w:rsidRDefault="009A7E4C" w:rsidP="005E0EEF">
      <w:pPr>
        <w:pStyle w:val="ONUMFS"/>
        <w:rPr>
          <w:i/>
          <w:lang w:val="fr-FR"/>
        </w:rPr>
      </w:pPr>
      <w:r w:rsidRPr="00686D5A">
        <w:rPr>
          <w:lang w:val="fr-FR"/>
        </w:rPr>
        <w:t xml:space="preserve">Le paragraphe </w:t>
      </w:r>
      <w:r w:rsidR="00BF78D8">
        <w:rPr>
          <w:lang w:val="fr-FR"/>
        </w:rPr>
        <w:t xml:space="preserve">de décision </w:t>
      </w:r>
      <w:r w:rsidRPr="00686D5A">
        <w:rPr>
          <w:lang w:val="fr-FR"/>
        </w:rPr>
        <w:t>ci</w:t>
      </w:r>
      <w:r w:rsidR="001F4EED">
        <w:rPr>
          <w:lang w:val="fr-FR"/>
        </w:rPr>
        <w:noBreakHyphen/>
      </w:r>
      <w:r w:rsidRPr="00686D5A">
        <w:rPr>
          <w:lang w:val="fr-FR"/>
        </w:rPr>
        <w:t>après est proposé.</w:t>
      </w:r>
    </w:p>
    <w:p w:rsidR="009A7E4C" w:rsidRPr="00686D5A" w:rsidRDefault="009A7E4C" w:rsidP="005E0EEF">
      <w:pPr>
        <w:pStyle w:val="ONUMFS"/>
        <w:ind w:left="5533"/>
        <w:rPr>
          <w:i/>
          <w:lang w:val="fr-FR"/>
        </w:rPr>
      </w:pPr>
      <w:r w:rsidRPr="00686D5A">
        <w:rPr>
          <w:i/>
          <w:lang w:val="fr-FR"/>
        </w:rPr>
        <w:t>Le Comité du programme et budget a pris note du rapport de synthèse annuel du directeur de la Division de l</w:t>
      </w:r>
      <w:r w:rsidR="00D565F4">
        <w:rPr>
          <w:i/>
          <w:lang w:val="fr-FR"/>
        </w:rPr>
        <w:t>’</w:t>
      </w:r>
      <w:r w:rsidRPr="00686D5A">
        <w:rPr>
          <w:i/>
          <w:lang w:val="fr-FR"/>
        </w:rPr>
        <w:t>audit et de la supervision internes (DASI) (</w:t>
      </w:r>
      <w:r w:rsidR="00D565F4" w:rsidRPr="00686D5A">
        <w:rPr>
          <w:i/>
          <w:lang w:val="fr-FR"/>
        </w:rPr>
        <w:t>document</w:t>
      </w:r>
      <w:r w:rsidR="00D565F4">
        <w:rPr>
          <w:i/>
          <w:lang w:val="fr-FR"/>
        </w:rPr>
        <w:t xml:space="preserve"> </w:t>
      </w:r>
      <w:r w:rsidR="00D565F4" w:rsidRPr="00686D5A">
        <w:rPr>
          <w:i/>
          <w:lang w:val="fr-FR"/>
        </w:rPr>
        <w:t>WO</w:t>
      </w:r>
      <w:r w:rsidRPr="00686D5A">
        <w:rPr>
          <w:i/>
          <w:lang w:val="fr-FR"/>
        </w:rPr>
        <w:t>/PBC/22/4).</w:t>
      </w:r>
    </w:p>
    <w:p w:rsidR="009A7E4C" w:rsidRPr="00686D5A" w:rsidRDefault="009A7E4C" w:rsidP="005E0EEF">
      <w:pPr>
        <w:pStyle w:val="Endofdocument-Annex"/>
        <w:rPr>
          <w:lang w:val="fr-FR"/>
        </w:rPr>
      </w:pPr>
    </w:p>
    <w:p w:rsidR="005E0EEF" w:rsidRPr="00686D5A" w:rsidRDefault="005E0EEF" w:rsidP="005E0EEF">
      <w:pPr>
        <w:pStyle w:val="Endofdocument-Annex"/>
        <w:rPr>
          <w:lang w:val="fr-FR"/>
        </w:rPr>
      </w:pPr>
    </w:p>
    <w:p w:rsidR="009A7E4C" w:rsidRPr="00686D5A" w:rsidRDefault="009A7E4C" w:rsidP="005E0EEF">
      <w:pPr>
        <w:pStyle w:val="Endofdocument-Annex"/>
        <w:rPr>
          <w:szCs w:val="22"/>
          <w:lang w:val="fr-FR"/>
        </w:rPr>
      </w:pPr>
      <w:r w:rsidRPr="00686D5A">
        <w:rPr>
          <w:szCs w:val="22"/>
          <w:lang w:val="fr-FR"/>
        </w:rPr>
        <w:t>[Le rapport de synthèse annuel du directeur de la Division de l</w:t>
      </w:r>
      <w:r w:rsidR="00D565F4">
        <w:rPr>
          <w:szCs w:val="22"/>
          <w:lang w:val="fr-FR"/>
        </w:rPr>
        <w:t>’</w:t>
      </w:r>
      <w:r w:rsidRPr="00686D5A">
        <w:rPr>
          <w:szCs w:val="22"/>
          <w:lang w:val="fr-FR"/>
        </w:rPr>
        <w:t>audit et de la supervision internes suit]</w:t>
      </w:r>
    </w:p>
    <w:p w:rsidR="00E11857" w:rsidRPr="00686D5A" w:rsidRDefault="00E11857" w:rsidP="005E0EEF">
      <w:pPr>
        <w:rPr>
          <w:rFonts w:eastAsia="Times New Roman" w:cs="Times New Roman"/>
          <w:lang w:val="fr-FR" w:eastAsia="en-US"/>
        </w:rPr>
      </w:pPr>
    </w:p>
    <w:p w:rsidR="009A7E4C" w:rsidRPr="00686D5A" w:rsidRDefault="009A7E4C" w:rsidP="004B6701">
      <w:pPr>
        <w:jc w:val="both"/>
        <w:rPr>
          <w:lang w:val="fr-FR"/>
        </w:rPr>
      </w:pPr>
    </w:p>
    <w:p w:rsidR="009A7E4C" w:rsidRPr="00686D5A" w:rsidRDefault="009A7E4C" w:rsidP="004B6701">
      <w:pPr>
        <w:spacing w:after="200" w:line="276" w:lineRule="auto"/>
        <w:rPr>
          <w:rFonts w:eastAsia="Times New Roman" w:cs="Times New Roman"/>
          <w:b/>
          <w:bCs/>
          <w:lang w:val="fr-FR"/>
        </w:rPr>
      </w:pPr>
      <w:r w:rsidRPr="00686D5A">
        <w:rPr>
          <w:lang w:val="fr-FR"/>
        </w:rPr>
        <w:br w:type="page"/>
      </w:r>
    </w:p>
    <w:p w:rsidR="009A7E4C" w:rsidRPr="00686D5A" w:rsidRDefault="009A7E4C" w:rsidP="004B6701">
      <w:pPr>
        <w:keepLines/>
        <w:jc w:val="both"/>
        <w:rPr>
          <w:lang w:val="fr-FR"/>
        </w:rPr>
      </w:pPr>
    </w:p>
    <w:p w:rsidR="009A7E4C" w:rsidRPr="00686D5A" w:rsidRDefault="009A7E4C" w:rsidP="004B6701">
      <w:pPr>
        <w:rPr>
          <w:lang w:val="fr-FR"/>
        </w:rPr>
        <w:sectPr w:rsidR="009A7E4C" w:rsidRPr="00686D5A" w:rsidSect="004E60A4">
          <w:headerReference w:type="default" r:id="rId17"/>
          <w:endnotePr>
            <w:numFmt w:val="decimal"/>
          </w:endnotePr>
          <w:pgSz w:w="11907" w:h="16840" w:code="9"/>
          <w:pgMar w:top="340" w:right="1134" w:bottom="1418" w:left="1418" w:header="340" w:footer="1021" w:gutter="0"/>
          <w:pgNumType w:start="1"/>
          <w:cols w:space="720"/>
          <w:titlePg/>
          <w:docGrid w:linePitch="299"/>
        </w:sectPr>
      </w:pPr>
    </w:p>
    <w:p w:rsidR="009A7E4C" w:rsidRPr="00490CDD" w:rsidRDefault="00490CDD" w:rsidP="00490CDD">
      <w:pPr>
        <w:jc w:val="center"/>
        <w:rPr>
          <w:b/>
          <w:lang w:val="fr-FR"/>
        </w:rPr>
      </w:pPr>
      <w:r w:rsidRPr="00490CDD">
        <w:rPr>
          <w:b/>
          <w:lang w:val="fr-FR"/>
        </w:rPr>
        <w:lastRenderedPageBreak/>
        <w:t>TABLE DES MATIÈRES</w:t>
      </w:r>
    </w:p>
    <w:p w:rsidR="009A7E4C" w:rsidRPr="00686D5A" w:rsidRDefault="009A7E4C" w:rsidP="004B6701">
      <w:pPr>
        <w:keepLines/>
        <w:rPr>
          <w:lang w:val="fr-FR"/>
        </w:rPr>
      </w:pPr>
    </w:p>
    <w:p w:rsidR="00490CDD" w:rsidRDefault="00640720">
      <w:pPr>
        <w:pStyle w:val="TOC1"/>
        <w:rPr>
          <w:rFonts w:asciiTheme="minorHAnsi" w:eastAsiaTheme="minorEastAsia" w:hAnsiTheme="minorHAnsi" w:cstheme="minorBidi"/>
          <w:caps w:val="0"/>
          <w:noProof/>
          <w:szCs w:val="22"/>
          <w:lang w:val="fr-FR" w:eastAsia="fr-FR"/>
        </w:rPr>
      </w:pPr>
      <w:r w:rsidRPr="00686D5A">
        <w:rPr>
          <w:lang w:val="fr-FR"/>
        </w:rPr>
        <w:fldChar w:fldCharType="begin"/>
      </w:r>
      <w:r w:rsidRPr="00686D5A">
        <w:rPr>
          <w:lang w:val="fr-FR"/>
        </w:rPr>
        <w:instrText xml:space="preserve"> TOC \o "1-1" \u </w:instrText>
      </w:r>
      <w:r w:rsidRPr="00686D5A">
        <w:rPr>
          <w:lang w:val="fr-FR"/>
        </w:rPr>
        <w:fldChar w:fldCharType="separate"/>
      </w:r>
      <w:r w:rsidR="00490CDD" w:rsidRPr="006C45E8">
        <w:rPr>
          <w:noProof/>
          <w:lang w:val="fr-FR"/>
        </w:rPr>
        <w:t>Liste des sigles</w:t>
      </w:r>
      <w:r w:rsidR="00490CDD" w:rsidRPr="004E60A4">
        <w:rPr>
          <w:noProof/>
          <w:lang w:val="fr-FR"/>
        </w:rPr>
        <w:tab/>
      </w:r>
      <w:r w:rsidR="00490CDD">
        <w:rPr>
          <w:noProof/>
        </w:rPr>
        <w:fldChar w:fldCharType="begin"/>
      </w:r>
      <w:r w:rsidR="00490CDD" w:rsidRPr="004E60A4">
        <w:rPr>
          <w:noProof/>
          <w:lang w:val="fr-FR"/>
        </w:rPr>
        <w:instrText xml:space="preserve"> PAGEREF _Toc393891962 \h </w:instrText>
      </w:r>
      <w:r w:rsidR="00490CDD">
        <w:rPr>
          <w:noProof/>
        </w:rPr>
      </w:r>
      <w:r w:rsidR="00490CDD">
        <w:rPr>
          <w:noProof/>
        </w:rPr>
        <w:fldChar w:fldCharType="separate"/>
      </w:r>
      <w:r w:rsidR="00D74313">
        <w:rPr>
          <w:noProof/>
          <w:lang w:val="fr-FR"/>
        </w:rPr>
        <w:t>4</w:t>
      </w:r>
      <w:r w:rsidR="00490CDD">
        <w:rPr>
          <w:noProof/>
        </w:rPr>
        <w:fldChar w:fldCharType="end"/>
      </w:r>
    </w:p>
    <w:p w:rsidR="00490CDD" w:rsidRDefault="00490CDD">
      <w:pPr>
        <w:pStyle w:val="TOC1"/>
        <w:rPr>
          <w:rFonts w:asciiTheme="minorHAnsi" w:eastAsiaTheme="minorEastAsia" w:hAnsiTheme="minorHAnsi" w:cstheme="minorBidi"/>
          <w:caps w:val="0"/>
          <w:noProof/>
          <w:szCs w:val="22"/>
          <w:lang w:val="fr-FR" w:eastAsia="fr-FR"/>
        </w:rPr>
      </w:pPr>
      <w:r w:rsidRPr="006C45E8">
        <w:rPr>
          <w:noProof/>
          <w:lang w:val="fr-FR"/>
        </w:rPr>
        <w:t>Généralités</w:t>
      </w:r>
      <w:r w:rsidRPr="004E60A4">
        <w:rPr>
          <w:noProof/>
          <w:lang w:val="fr-FR"/>
        </w:rPr>
        <w:tab/>
      </w:r>
      <w:r>
        <w:rPr>
          <w:noProof/>
        </w:rPr>
        <w:fldChar w:fldCharType="begin"/>
      </w:r>
      <w:r w:rsidRPr="004E60A4">
        <w:rPr>
          <w:noProof/>
          <w:lang w:val="fr-FR"/>
        </w:rPr>
        <w:instrText xml:space="preserve"> PAGEREF _Toc393891963 \h </w:instrText>
      </w:r>
      <w:r>
        <w:rPr>
          <w:noProof/>
        </w:rPr>
      </w:r>
      <w:r>
        <w:rPr>
          <w:noProof/>
        </w:rPr>
        <w:fldChar w:fldCharType="separate"/>
      </w:r>
      <w:r w:rsidR="00D74313">
        <w:rPr>
          <w:noProof/>
          <w:lang w:val="fr-FR"/>
        </w:rPr>
        <w:t>5</w:t>
      </w:r>
      <w:r>
        <w:rPr>
          <w:noProof/>
        </w:rPr>
        <w:fldChar w:fldCharType="end"/>
      </w:r>
    </w:p>
    <w:p w:rsidR="00490CDD" w:rsidRDefault="00490CDD">
      <w:pPr>
        <w:pStyle w:val="TOC1"/>
        <w:rPr>
          <w:rFonts w:asciiTheme="minorHAnsi" w:eastAsiaTheme="minorEastAsia" w:hAnsiTheme="minorHAnsi" w:cstheme="minorBidi"/>
          <w:caps w:val="0"/>
          <w:noProof/>
          <w:szCs w:val="22"/>
          <w:lang w:val="fr-FR" w:eastAsia="fr-FR"/>
        </w:rPr>
      </w:pPr>
      <w:r w:rsidRPr="006C45E8">
        <w:rPr>
          <w:noProof/>
          <w:lang w:val="fr-FR"/>
        </w:rPr>
        <w:t>Planification et application des normes</w:t>
      </w:r>
      <w:r w:rsidRPr="004E60A4">
        <w:rPr>
          <w:noProof/>
          <w:lang w:val="fr-FR"/>
        </w:rPr>
        <w:tab/>
      </w:r>
      <w:r>
        <w:rPr>
          <w:noProof/>
        </w:rPr>
        <w:fldChar w:fldCharType="begin"/>
      </w:r>
      <w:r w:rsidRPr="004E60A4">
        <w:rPr>
          <w:noProof/>
          <w:lang w:val="fr-FR"/>
        </w:rPr>
        <w:instrText xml:space="preserve"> PAGEREF _Toc393891964 \h </w:instrText>
      </w:r>
      <w:r>
        <w:rPr>
          <w:noProof/>
        </w:rPr>
      </w:r>
      <w:r>
        <w:rPr>
          <w:noProof/>
        </w:rPr>
        <w:fldChar w:fldCharType="separate"/>
      </w:r>
      <w:r w:rsidR="00D74313">
        <w:rPr>
          <w:noProof/>
          <w:lang w:val="fr-FR"/>
        </w:rPr>
        <w:t>5</w:t>
      </w:r>
      <w:r>
        <w:rPr>
          <w:noProof/>
        </w:rPr>
        <w:fldChar w:fldCharType="end"/>
      </w:r>
    </w:p>
    <w:p w:rsidR="00490CDD" w:rsidRDefault="00490CDD">
      <w:pPr>
        <w:pStyle w:val="TOC1"/>
        <w:rPr>
          <w:rFonts w:asciiTheme="minorHAnsi" w:eastAsiaTheme="minorEastAsia" w:hAnsiTheme="minorHAnsi" w:cstheme="minorBidi"/>
          <w:caps w:val="0"/>
          <w:noProof/>
          <w:szCs w:val="22"/>
          <w:lang w:val="fr-FR" w:eastAsia="fr-FR"/>
        </w:rPr>
      </w:pPr>
      <w:r w:rsidRPr="006C45E8">
        <w:rPr>
          <w:noProof/>
          <w:lang w:val="fr-FR"/>
        </w:rPr>
        <w:t>Principales conclusions et recommandations de la supervision interne</w:t>
      </w:r>
      <w:r w:rsidRPr="004E60A4">
        <w:rPr>
          <w:noProof/>
          <w:lang w:val="fr-FR"/>
        </w:rPr>
        <w:tab/>
      </w:r>
      <w:r>
        <w:rPr>
          <w:noProof/>
        </w:rPr>
        <w:fldChar w:fldCharType="begin"/>
      </w:r>
      <w:r w:rsidRPr="004E60A4">
        <w:rPr>
          <w:noProof/>
          <w:lang w:val="fr-FR"/>
        </w:rPr>
        <w:instrText xml:space="preserve"> PAGEREF _Toc393891965 \h </w:instrText>
      </w:r>
      <w:r>
        <w:rPr>
          <w:noProof/>
        </w:rPr>
      </w:r>
      <w:r>
        <w:rPr>
          <w:noProof/>
        </w:rPr>
        <w:fldChar w:fldCharType="separate"/>
      </w:r>
      <w:r w:rsidR="00D74313">
        <w:rPr>
          <w:noProof/>
          <w:lang w:val="fr-FR"/>
        </w:rPr>
        <w:t>6</w:t>
      </w:r>
      <w:r>
        <w:rPr>
          <w:noProof/>
        </w:rPr>
        <w:fldChar w:fldCharType="end"/>
      </w:r>
    </w:p>
    <w:p w:rsidR="00490CDD" w:rsidRDefault="00490CDD">
      <w:pPr>
        <w:pStyle w:val="TOC1"/>
        <w:rPr>
          <w:rFonts w:asciiTheme="minorHAnsi" w:eastAsiaTheme="minorEastAsia" w:hAnsiTheme="minorHAnsi" w:cstheme="minorBidi"/>
          <w:caps w:val="0"/>
          <w:noProof/>
          <w:szCs w:val="22"/>
          <w:lang w:val="fr-FR" w:eastAsia="fr-FR"/>
        </w:rPr>
      </w:pPr>
      <w:r w:rsidRPr="006C45E8">
        <w:rPr>
          <w:noProof/>
          <w:lang w:val="fr-FR"/>
        </w:rPr>
        <w:t>Activités d’enquête menées pendant la période couverte par le présent rapport</w:t>
      </w:r>
      <w:r w:rsidRPr="004E60A4">
        <w:rPr>
          <w:noProof/>
          <w:lang w:val="fr-FR"/>
        </w:rPr>
        <w:tab/>
      </w:r>
      <w:r>
        <w:rPr>
          <w:noProof/>
        </w:rPr>
        <w:fldChar w:fldCharType="begin"/>
      </w:r>
      <w:r w:rsidRPr="004E60A4">
        <w:rPr>
          <w:noProof/>
          <w:lang w:val="fr-FR"/>
        </w:rPr>
        <w:instrText xml:space="preserve"> PAGEREF _Toc393891966 \h </w:instrText>
      </w:r>
      <w:r>
        <w:rPr>
          <w:noProof/>
        </w:rPr>
      </w:r>
      <w:r>
        <w:rPr>
          <w:noProof/>
        </w:rPr>
        <w:fldChar w:fldCharType="separate"/>
      </w:r>
      <w:r w:rsidR="00D74313">
        <w:rPr>
          <w:noProof/>
          <w:lang w:val="fr-FR"/>
        </w:rPr>
        <w:t>13</w:t>
      </w:r>
      <w:r>
        <w:rPr>
          <w:noProof/>
        </w:rPr>
        <w:fldChar w:fldCharType="end"/>
      </w:r>
    </w:p>
    <w:p w:rsidR="00490CDD" w:rsidRDefault="00490CDD">
      <w:pPr>
        <w:pStyle w:val="TOC1"/>
        <w:rPr>
          <w:rFonts w:asciiTheme="minorHAnsi" w:eastAsiaTheme="minorEastAsia" w:hAnsiTheme="minorHAnsi" w:cstheme="minorBidi"/>
          <w:caps w:val="0"/>
          <w:noProof/>
          <w:szCs w:val="22"/>
          <w:lang w:val="fr-FR" w:eastAsia="fr-FR"/>
        </w:rPr>
      </w:pPr>
      <w:r w:rsidRPr="006C45E8">
        <w:rPr>
          <w:noProof/>
          <w:lang w:val="fr-FR"/>
        </w:rPr>
        <w:t>Cas dans lesquels des demandes d’information ou d’assistance ont été rejetées</w:t>
      </w:r>
      <w:r w:rsidRPr="004E60A4">
        <w:rPr>
          <w:noProof/>
          <w:lang w:val="fr-FR"/>
        </w:rPr>
        <w:tab/>
      </w:r>
      <w:r>
        <w:rPr>
          <w:noProof/>
        </w:rPr>
        <w:fldChar w:fldCharType="begin"/>
      </w:r>
      <w:r w:rsidRPr="004E60A4">
        <w:rPr>
          <w:noProof/>
          <w:lang w:val="fr-FR"/>
        </w:rPr>
        <w:instrText xml:space="preserve"> PAGEREF _Toc393891967 \h </w:instrText>
      </w:r>
      <w:r>
        <w:rPr>
          <w:noProof/>
        </w:rPr>
      </w:r>
      <w:r>
        <w:rPr>
          <w:noProof/>
        </w:rPr>
        <w:fldChar w:fldCharType="separate"/>
      </w:r>
      <w:r w:rsidR="00D74313">
        <w:rPr>
          <w:noProof/>
          <w:lang w:val="fr-FR"/>
        </w:rPr>
        <w:t>16</w:t>
      </w:r>
      <w:r>
        <w:rPr>
          <w:noProof/>
        </w:rPr>
        <w:fldChar w:fldCharType="end"/>
      </w:r>
    </w:p>
    <w:p w:rsidR="00490CDD" w:rsidRDefault="00490CDD">
      <w:pPr>
        <w:pStyle w:val="TOC1"/>
        <w:rPr>
          <w:rFonts w:asciiTheme="minorHAnsi" w:eastAsiaTheme="minorEastAsia" w:hAnsiTheme="minorHAnsi" w:cstheme="minorBidi"/>
          <w:caps w:val="0"/>
          <w:noProof/>
          <w:szCs w:val="22"/>
          <w:lang w:val="fr-FR" w:eastAsia="fr-FR"/>
        </w:rPr>
      </w:pPr>
      <w:r w:rsidRPr="006C45E8">
        <w:rPr>
          <w:noProof/>
          <w:lang w:val="fr-FR"/>
        </w:rPr>
        <w:t>État d’avancement de la mise en œuvre des précédentes recommandations</w:t>
      </w:r>
      <w:r w:rsidRPr="004E60A4">
        <w:rPr>
          <w:noProof/>
          <w:lang w:val="fr-FR"/>
        </w:rPr>
        <w:tab/>
      </w:r>
      <w:r>
        <w:rPr>
          <w:noProof/>
        </w:rPr>
        <w:fldChar w:fldCharType="begin"/>
      </w:r>
      <w:r w:rsidRPr="004E60A4">
        <w:rPr>
          <w:noProof/>
          <w:lang w:val="fr-FR"/>
        </w:rPr>
        <w:instrText xml:space="preserve"> PAGEREF _Toc393891968 \h </w:instrText>
      </w:r>
      <w:r>
        <w:rPr>
          <w:noProof/>
        </w:rPr>
      </w:r>
      <w:r>
        <w:rPr>
          <w:noProof/>
        </w:rPr>
        <w:fldChar w:fldCharType="separate"/>
      </w:r>
      <w:r w:rsidR="00D74313">
        <w:rPr>
          <w:noProof/>
          <w:lang w:val="fr-FR"/>
        </w:rPr>
        <w:t>16</w:t>
      </w:r>
      <w:r>
        <w:rPr>
          <w:noProof/>
        </w:rPr>
        <w:fldChar w:fldCharType="end"/>
      </w:r>
    </w:p>
    <w:p w:rsidR="00490CDD" w:rsidRDefault="00490CDD">
      <w:pPr>
        <w:pStyle w:val="TOC1"/>
        <w:rPr>
          <w:rFonts w:asciiTheme="minorHAnsi" w:eastAsiaTheme="minorEastAsia" w:hAnsiTheme="minorHAnsi" w:cstheme="minorBidi"/>
          <w:caps w:val="0"/>
          <w:noProof/>
          <w:szCs w:val="22"/>
          <w:lang w:val="fr-FR" w:eastAsia="fr-FR"/>
        </w:rPr>
      </w:pPr>
      <w:r w:rsidRPr="006C45E8">
        <w:rPr>
          <w:noProof/>
          <w:lang w:val="fr-FR"/>
        </w:rPr>
        <w:t>Évaluation externe des activités de la Division de l’audit et de la supervision internes</w:t>
      </w:r>
      <w:r w:rsidRPr="004E60A4">
        <w:rPr>
          <w:noProof/>
          <w:lang w:val="fr-FR"/>
        </w:rPr>
        <w:tab/>
      </w:r>
      <w:r>
        <w:rPr>
          <w:noProof/>
        </w:rPr>
        <w:fldChar w:fldCharType="begin"/>
      </w:r>
      <w:r w:rsidRPr="004E60A4">
        <w:rPr>
          <w:noProof/>
          <w:lang w:val="fr-FR"/>
        </w:rPr>
        <w:instrText xml:space="preserve"> PAGEREF _Toc393891969 \h </w:instrText>
      </w:r>
      <w:r>
        <w:rPr>
          <w:noProof/>
        </w:rPr>
      </w:r>
      <w:r>
        <w:rPr>
          <w:noProof/>
        </w:rPr>
        <w:fldChar w:fldCharType="separate"/>
      </w:r>
      <w:r w:rsidR="00D74313">
        <w:rPr>
          <w:noProof/>
          <w:lang w:val="fr-FR"/>
        </w:rPr>
        <w:t>18</w:t>
      </w:r>
      <w:r>
        <w:rPr>
          <w:noProof/>
        </w:rPr>
        <w:fldChar w:fldCharType="end"/>
      </w:r>
    </w:p>
    <w:p w:rsidR="00490CDD" w:rsidRDefault="00490CDD">
      <w:pPr>
        <w:pStyle w:val="TOC1"/>
        <w:rPr>
          <w:rFonts w:asciiTheme="minorHAnsi" w:eastAsiaTheme="minorEastAsia" w:hAnsiTheme="minorHAnsi" w:cstheme="minorBidi"/>
          <w:caps w:val="0"/>
          <w:noProof/>
          <w:szCs w:val="22"/>
          <w:lang w:val="fr-FR" w:eastAsia="fr-FR"/>
        </w:rPr>
      </w:pPr>
      <w:r w:rsidRPr="006C45E8">
        <w:rPr>
          <w:noProof/>
          <w:lang w:val="fr-FR"/>
        </w:rPr>
        <w:t>Autres activités de supervision</w:t>
      </w:r>
      <w:r w:rsidRPr="004E60A4">
        <w:rPr>
          <w:noProof/>
          <w:lang w:val="fr-FR"/>
        </w:rPr>
        <w:tab/>
      </w:r>
      <w:r>
        <w:rPr>
          <w:noProof/>
        </w:rPr>
        <w:fldChar w:fldCharType="begin"/>
      </w:r>
      <w:r w:rsidRPr="004E60A4">
        <w:rPr>
          <w:noProof/>
          <w:lang w:val="fr-FR"/>
        </w:rPr>
        <w:instrText xml:space="preserve"> PAGEREF _Toc393891970 \h </w:instrText>
      </w:r>
      <w:r>
        <w:rPr>
          <w:noProof/>
        </w:rPr>
      </w:r>
      <w:r>
        <w:rPr>
          <w:noProof/>
        </w:rPr>
        <w:fldChar w:fldCharType="separate"/>
      </w:r>
      <w:r w:rsidR="00D74313">
        <w:rPr>
          <w:noProof/>
          <w:lang w:val="fr-FR"/>
        </w:rPr>
        <w:t>19</w:t>
      </w:r>
      <w:r>
        <w:rPr>
          <w:noProof/>
        </w:rPr>
        <w:fldChar w:fldCharType="end"/>
      </w:r>
    </w:p>
    <w:p w:rsidR="00490CDD" w:rsidRDefault="00490CDD">
      <w:pPr>
        <w:pStyle w:val="TOC1"/>
        <w:rPr>
          <w:rFonts w:asciiTheme="minorHAnsi" w:eastAsiaTheme="minorEastAsia" w:hAnsiTheme="minorHAnsi" w:cstheme="minorBidi"/>
          <w:caps w:val="0"/>
          <w:noProof/>
          <w:szCs w:val="22"/>
          <w:lang w:val="fr-FR" w:eastAsia="fr-FR"/>
        </w:rPr>
      </w:pPr>
      <w:r w:rsidRPr="006C45E8">
        <w:rPr>
          <w:noProof/>
          <w:lang w:val="fr-FR"/>
        </w:rPr>
        <w:t>Ressources en matière de supervision</w:t>
      </w:r>
      <w:r w:rsidRPr="004E60A4">
        <w:rPr>
          <w:noProof/>
          <w:lang w:val="fr-FR"/>
        </w:rPr>
        <w:tab/>
      </w:r>
      <w:r>
        <w:rPr>
          <w:noProof/>
        </w:rPr>
        <w:fldChar w:fldCharType="begin"/>
      </w:r>
      <w:r w:rsidRPr="004E60A4">
        <w:rPr>
          <w:noProof/>
          <w:lang w:val="fr-FR"/>
        </w:rPr>
        <w:instrText xml:space="preserve"> PAGEREF _Toc393891971 \h </w:instrText>
      </w:r>
      <w:r>
        <w:rPr>
          <w:noProof/>
        </w:rPr>
      </w:r>
      <w:r>
        <w:rPr>
          <w:noProof/>
        </w:rPr>
        <w:fldChar w:fldCharType="separate"/>
      </w:r>
      <w:r w:rsidR="00D74313">
        <w:rPr>
          <w:noProof/>
          <w:lang w:val="fr-FR"/>
        </w:rPr>
        <w:t>21</w:t>
      </w:r>
      <w:r>
        <w:rPr>
          <w:noProof/>
        </w:rPr>
        <w:fldChar w:fldCharType="end"/>
      </w:r>
    </w:p>
    <w:p w:rsidR="009A7E4C" w:rsidRPr="00686D5A" w:rsidRDefault="00640720" w:rsidP="004B6701">
      <w:pPr>
        <w:keepLines/>
        <w:tabs>
          <w:tab w:val="left" w:leader="dot" w:pos="8910"/>
        </w:tabs>
        <w:spacing w:before="240" w:after="120" w:line="360" w:lineRule="auto"/>
        <w:rPr>
          <w:lang w:val="fr-FR"/>
        </w:rPr>
      </w:pPr>
      <w:r w:rsidRPr="00686D5A">
        <w:rPr>
          <w:lang w:val="fr-FR"/>
        </w:rPr>
        <w:fldChar w:fldCharType="end"/>
      </w:r>
    </w:p>
    <w:p w:rsidR="009A7E4C" w:rsidRPr="00686D5A" w:rsidRDefault="009A7E4C" w:rsidP="004B6701">
      <w:pPr>
        <w:keepLines/>
        <w:tabs>
          <w:tab w:val="left" w:leader="dot" w:pos="8910"/>
        </w:tabs>
        <w:spacing w:before="240" w:after="120" w:line="360" w:lineRule="auto"/>
        <w:rPr>
          <w:lang w:val="fr-FR"/>
        </w:rPr>
      </w:pPr>
    </w:p>
    <w:p w:rsidR="009A7E4C" w:rsidRPr="00686D5A" w:rsidRDefault="009A7E4C" w:rsidP="00526D46">
      <w:pPr>
        <w:keepLines/>
        <w:tabs>
          <w:tab w:val="left" w:leader="dot" w:pos="8910"/>
        </w:tabs>
        <w:spacing w:before="240" w:after="120" w:line="360" w:lineRule="auto"/>
        <w:rPr>
          <w:b/>
          <w:lang w:val="fr-FR"/>
        </w:rPr>
      </w:pPr>
      <w:r w:rsidRPr="00686D5A">
        <w:rPr>
          <w:b/>
          <w:lang w:val="fr-FR"/>
        </w:rPr>
        <w:t>ANNEXES</w:t>
      </w:r>
    </w:p>
    <w:p w:rsidR="009A7E4C" w:rsidRPr="00686D5A" w:rsidRDefault="005E0EEF" w:rsidP="005E0EEF">
      <w:pPr>
        <w:keepLines/>
        <w:tabs>
          <w:tab w:val="left" w:pos="1418"/>
          <w:tab w:val="left" w:pos="1843"/>
        </w:tabs>
        <w:ind w:left="1843" w:hanging="1843"/>
        <w:rPr>
          <w:lang w:val="fr-FR"/>
        </w:rPr>
      </w:pPr>
      <w:r w:rsidRPr="00686D5A">
        <w:rPr>
          <w:lang w:val="fr-FR"/>
        </w:rPr>
        <w:t>ANNEXE</w:t>
      </w:r>
      <w:r w:rsidR="00640720" w:rsidRPr="00686D5A">
        <w:rPr>
          <w:lang w:val="fr-FR"/>
        </w:rPr>
        <w:t> </w:t>
      </w:r>
      <w:r w:rsidRPr="00686D5A">
        <w:rPr>
          <w:lang w:val="fr-FR"/>
        </w:rPr>
        <w:t>I</w:t>
      </w:r>
      <w:r w:rsidRPr="00686D5A">
        <w:rPr>
          <w:lang w:val="fr-FR"/>
        </w:rPr>
        <w:tab/>
      </w:r>
      <w:r w:rsidR="009A7E4C" w:rsidRPr="00686D5A">
        <w:rPr>
          <w:lang w:val="fr-FR"/>
        </w:rPr>
        <w:t xml:space="preserve">– </w:t>
      </w:r>
      <w:r w:rsidR="009A7E4C" w:rsidRPr="00686D5A">
        <w:rPr>
          <w:lang w:val="fr-FR"/>
        </w:rPr>
        <w:tab/>
        <w:t>État d</w:t>
      </w:r>
      <w:r w:rsidR="00D565F4">
        <w:rPr>
          <w:lang w:val="fr-FR"/>
        </w:rPr>
        <w:t>’</w:t>
      </w:r>
      <w:r w:rsidR="009A7E4C" w:rsidRPr="00686D5A">
        <w:rPr>
          <w:lang w:val="fr-FR"/>
        </w:rPr>
        <w:t>avancement des missions de supervision</w:t>
      </w:r>
    </w:p>
    <w:p w:rsidR="009A7E4C" w:rsidRPr="00686D5A" w:rsidRDefault="009A7E4C" w:rsidP="005E0EEF">
      <w:pPr>
        <w:keepLines/>
        <w:tabs>
          <w:tab w:val="left" w:pos="1418"/>
          <w:tab w:val="left" w:pos="1843"/>
        </w:tabs>
        <w:ind w:left="1843" w:hanging="1843"/>
        <w:rPr>
          <w:lang w:val="fr-FR"/>
        </w:rPr>
      </w:pPr>
      <w:r w:rsidRPr="00686D5A">
        <w:rPr>
          <w:lang w:val="fr-FR"/>
        </w:rPr>
        <w:t>ANNEXE</w:t>
      </w:r>
      <w:r w:rsidR="00640720" w:rsidRPr="00686D5A">
        <w:rPr>
          <w:lang w:val="fr-FR"/>
        </w:rPr>
        <w:t> </w:t>
      </w:r>
      <w:r w:rsidRPr="00686D5A">
        <w:rPr>
          <w:lang w:val="fr-FR"/>
        </w:rPr>
        <w:t xml:space="preserve">II </w:t>
      </w:r>
      <w:r w:rsidRPr="00686D5A">
        <w:rPr>
          <w:lang w:val="fr-FR"/>
        </w:rPr>
        <w:tab/>
        <w:t xml:space="preserve">– </w:t>
      </w:r>
      <w:r w:rsidRPr="00686D5A">
        <w:rPr>
          <w:lang w:val="fr-FR"/>
        </w:rPr>
        <w:tab/>
        <w:t>Liste des rapports établis par la Division de l</w:t>
      </w:r>
      <w:r w:rsidR="00D565F4">
        <w:rPr>
          <w:lang w:val="fr-FR"/>
        </w:rPr>
        <w:t>’</w:t>
      </w:r>
      <w:r w:rsidRPr="00686D5A">
        <w:rPr>
          <w:lang w:val="fr-FR"/>
        </w:rPr>
        <w:t>audit et de la supervision internes</w:t>
      </w:r>
    </w:p>
    <w:p w:rsidR="009A7E4C" w:rsidRPr="00686D5A" w:rsidRDefault="009A7E4C" w:rsidP="005E0EEF">
      <w:pPr>
        <w:keepLines/>
        <w:tabs>
          <w:tab w:val="left" w:pos="1418"/>
          <w:tab w:val="left" w:pos="1843"/>
        </w:tabs>
        <w:ind w:left="1843" w:hanging="1843"/>
        <w:rPr>
          <w:lang w:val="fr-FR"/>
        </w:rPr>
      </w:pPr>
      <w:r w:rsidRPr="00686D5A">
        <w:rPr>
          <w:lang w:val="fr-FR"/>
        </w:rPr>
        <w:t>ANNEXE</w:t>
      </w:r>
      <w:r w:rsidR="00640720" w:rsidRPr="00686D5A">
        <w:rPr>
          <w:lang w:val="fr-FR"/>
        </w:rPr>
        <w:t> </w:t>
      </w:r>
      <w:r w:rsidRPr="00686D5A">
        <w:rPr>
          <w:lang w:val="fr-FR"/>
        </w:rPr>
        <w:t xml:space="preserve">III </w:t>
      </w:r>
      <w:r w:rsidRPr="00686D5A">
        <w:rPr>
          <w:lang w:val="fr-FR"/>
        </w:rPr>
        <w:tab/>
        <w:t xml:space="preserve">– </w:t>
      </w:r>
      <w:r w:rsidRPr="00686D5A">
        <w:rPr>
          <w:lang w:val="fr-FR"/>
        </w:rPr>
        <w:tab/>
        <w:t>Statistiques relatives aux enquêtes</w:t>
      </w:r>
    </w:p>
    <w:p w:rsidR="009A7E4C" w:rsidRPr="00686D5A" w:rsidRDefault="009A7E4C" w:rsidP="005E0EEF">
      <w:pPr>
        <w:keepLines/>
        <w:tabs>
          <w:tab w:val="left" w:pos="1418"/>
          <w:tab w:val="left" w:pos="1843"/>
        </w:tabs>
        <w:ind w:left="1843" w:hanging="1843"/>
        <w:rPr>
          <w:lang w:val="fr-FR"/>
        </w:rPr>
      </w:pPr>
      <w:r w:rsidRPr="00686D5A">
        <w:rPr>
          <w:lang w:val="fr-FR"/>
        </w:rPr>
        <w:t>ANNEXE</w:t>
      </w:r>
      <w:r w:rsidR="00640720" w:rsidRPr="00686D5A">
        <w:rPr>
          <w:lang w:val="fr-FR"/>
        </w:rPr>
        <w:t> </w:t>
      </w:r>
      <w:r w:rsidRPr="00686D5A">
        <w:rPr>
          <w:lang w:val="fr-FR"/>
        </w:rPr>
        <w:t xml:space="preserve">IV </w:t>
      </w:r>
      <w:r w:rsidRPr="00686D5A">
        <w:rPr>
          <w:lang w:val="fr-FR"/>
        </w:rPr>
        <w:tab/>
        <w:t xml:space="preserve">– </w:t>
      </w:r>
      <w:r w:rsidRPr="00686D5A">
        <w:rPr>
          <w:lang w:val="fr-FR"/>
        </w:rPr>
        <w:tab/>
        <w:t xml:space="preserve">Liste des recommandations de la </w:t>
      </w:r>
      <w:r w:rsidR="00C86837" w:rsidRPr="00686D5A">
        <w:rPr>
          <w:lang w:val="fr-FR"/>
        </w:rPr>
        <w:t>Division de l</w:t>
      </w:r>
      <w:r w:rsidR="00D565F4">
        <w:rPr>
          <w:lang w:val="fr-FR"/>
        </w:rPr>
        <w:t>’</w:t>
      </w:r>
      <w:r w:rsidR="00C86837" w:rsidRPr="00686D5A">
        <w:rPr>
          <w:lang w:val="fr-FR"/>
        </w:rPr>
        <w:t>audit et de la supervision internes</w:t>
      </w:r>
      <w:r w:rsidR="005E0EEF" w:rsidRPr="00686D5A">
        <w:rPr>
          <w:lang w:val="fr-FR"/>
        </w:rPr>
        <w:t xml:space="preserve"> closes sans avoir été mises en </w:t>
      </w:r>
      <w:r w:rsidRPr="00686D5A">
        <w:rPr>
          <w:lang w:val="fr-FR"/>
        </w:rPr>
        <w:t>œuvre</w:t>
      </w:r>
    </w:p>
    <w:p w:rsidR="009A7E4C" w:rsidRPr="00686D5A" w:rsidRDefault="009A7E4C" w:rsidP="005E0EEF">
      <w:pPr>
        <w:keepLines/>
        <w:tabs>
          <w:tab w:val="left" w:pos="1418"/>
          <w:tab w:val="left" w:pos="1843"/>
        </w:tabs>
        <w:ind w:left="1843" w:hanging="1843"/>
        <w:rPr>
          <w:lang w:val="fr-FR"/>
        </w:rPr>
      </w:pPr>
      <w:r w:rsidRPr="00686D5A">
        <w:rPr>
          <w:lang w:val="fr-FR"/>
        </w:rPr>
        <w:t>ANNEXE</w:t>
      </w:r>
      <w:r w:rsidR="00640720" w:rsidRPr="00686D5A">
        <w:rPr>
          <w:lang w:val="fr-FR"/>
        </w:rPr>
        <w:t> </w:t>
      </w:r>
      <w:r w:rsidRPr="00686D5A">
        <w:rPr>
          <w:lang w:val="fr-FR"/>
        </w:rPr>
        <w:t xml:space="preserve">V </w:t>
      </w:r>
      <w:r w:rsidRPr="00686D5A">
        <w:rPr>
          <w:lang w:val="fr-FR"/>
        </w:rPr>
        <w:tab/>
        <w:t xml:space="preserve">– </w:t>
      </w:r>
      <w:r w:rsidRPr="00686D5A">
        <w:rPr>
          <w:lang w:val="fr-FR"/>
        </w:rPr>
        <w:tab/>
        <w:t>Liste des activités de consultation et de conseil de la Division de l</w:t>
      </w:r>
      <w:r w:rsidR="00D565F4">
        <w:rPr>
          <w:lang w:val="fr-FR"/>
        </w:rPr>
        <w:t>’</w:t>
      </w:r>
      <w:r w:rsidRPr="00686D5A">
        <w:rPr>
          <w:lang w:val="fr-FR"/>
        </w:rPr>
        <w:t>audit et de la supervision internes</w:t>
      </w:r>
    </w:p>
    <w:p w:rsidR="009A7E4C" w:rsidRPr="00686D5A" w:rsidRDefault="009A7E4C" w:rsidP="004B6701">
      <w:pPr>
        <w:keepLines/>
        <w:tabs>
          <w:tab w:val="left" w:pos="1134"/>
          <w:tab w:val="left" w:pos="1560"/>
        </w:tabs>
        <w:rPr>
          <w:lang w:val="fr-FR"/>
        </w:rPr>
      </w:pPr>
    </w:p>
    <w:p w:rsidR="009A7E4C" w:rsidRPr="00686D5A" w:rsidRDefault="009A7E4C" w:rsidP="004B6701">
      <w:pPr>
        <w:keepLines/>
        <w:tabs>
          <w:tab w:val="left" w:pos="1134"/>
          <w:tab w:val="left" w:pos="1560"/>
        </w:tabs>
        <w:rPr>
          <w:lang w:val="fr-FR"/>
        </w:rPr>
        <w:sectPr w:rsidR="009A7E4C" w:rsidRPr="00686D5A" w:rsidSect="00D7054D">
          <w:headerReference w:type="first" r:id="rId18"/>
          <w:endnotePr>
            <w:numFmt w:val="decimal"/>
          </w:endnotePr>
          <w:pgSz w:w="11907" w:h="16840" w:code="9"/>
          <w:pgMar w:top="567" w:right="1134" w:bottom="1418" w:left="1418" w:header="510" w:footer="1021" w:gutter="0"/>
          <w:cols w:space="720"/>
          <w:titlePg/>
          <w:docGrid w:linePitch="299"/>
        </w:sectPr>
      </w:pPr>
    </w:p>
    <w:p w:rsidR="009A7E4C" w:rsidRPr="00686D5A" w:rsidRDefault="009A7E4C" w:rsidP="005E0EEF">
      <w:pPr>
        <w:pStyle w:val="Heading1"/>
        <w:rPr>
          <w:lang w:val="fr-FR"/>
        </w:rPr>
      </w:pPr>
      <w:bookmarkStart w:id="4" w:name="_Toc393891962"/>
      <w:r w:rsidRPr="00686D5A">
        <w:rPr>
          <w:lang w:val="fr-FR"/>
        </w:rPr>
        <w:lastRenderedPageBreak/>
        <w:t>Liste des sigles</w:t>
      </w:r>
      <w:bookmarkEnd w:id="4"/>
    </w:p>
    <w:p w:rsidR="009A7E4C" w:rsidRPr="00686D5A" w:rsidRDefault="009A7E4C" w:rsidP="004B6701">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8079"/>
      </w:tblGrid>
      <w:tr w:rsidR="009A7E4C" w:rsidRPr="00682CAF" w:rsidTr="0026102F">
        <w:trPr>
          <w:trHeight w:val="340"/>
        </w:trPr>
        <w:tc>
          <w:tcPr>
            <w:tcW w:w="1384" w:type="dxa"/>
            <w:vAlign w:val="center"/>
          </w:tcPr>
          <w:p w:rsidR="009A7E4C" w:rsidRPr="00682CAF" w:rsidRDefault="009A7E4C" w:rsidP="00CC3F2D">
            <w:pPr>
              <w:spacing w:after="120" w:line="260" w:lineRule="exact"/>
              <w:rPr>
                <w:b/>
                <w:bCs/>
                <w:szCs w:val="22"/>
                <w:lang w:val="fr-FR"/>
              </w:rPr>
            </w:pPr>
            <w:r w:rsidRPr="00682CAF">
              <w:rPr>
                <w:b/>
                <w:bCs/>
                <w:szCs w:val="22"/>
                <w:lang w:val="fr-FR"/>
              </w:rPr>
              <w:t>CCI</w:t>
            </w:r>
          </w:p>
        </w:tc>
        <w:tc>
          <w:tcPr>
            <w:tcW w:w="8079" w:type="dxa"/>
            <w:vAlign w:val="center"/>
          </w:tcPr>
          <w:p w:rsidR="009A7E4C" w:rsidRPr="00682CAF" w:rsidRDefault="009A7E4C" w:rsidP="00CC3F2D">
            <w:pPr>
              <w:spacing w:after="120" w:line="260" w:lineRule="exact"/>
              <w:ind w:left="43"/>
              <w:rPr>
                <w:lang w:val="fr-FR"/>
              </w:rPr>
            </w:pPr>
            <w:r w:rsidRPr="00682CAF">
              <w:rPr>
                <w:lang w:val="fr-FR"/>
              </w:rPr>
              <w:t>Corps commun d</w:t>
            </w:r>
            <w:r w:rsidR="00D565F4">
              <w:rPr>
                <w:lang w:val="fr-FR"/>
              </w:rPr>
              <w:t>’</w:t>
            </w:r>
            <w:r w:rsidRPr="00682CAF">
              <w:rPr>
                <w:lang w:val="fr-FR"/>
              </w:rPr>
              <w:t>inspection</w:t>
            </w:r>
          </w:p>
        </w:tc>
      </w:tr>
      <w:tr w:rsidR="009A7E4C" w:rsidRPr="004E60A4" w:rsidTr="0026102F">
        <w:trPr>
          <w:trHeight w:val="340"/>
        </w:trPr>
        <w:tc>
          <w:tcPr>
            <w:tcW w:w="1384" w:type="dxa"/>
            <w:vAlign w:val="center"/>
          </w:tcPr>
          <w:p w:rsidR="009A7E4C" w:rsidRPr="00682CAF" w:rsidRDefault="009A7E4C" w:rsidP="00CC3F2D">
            <w:pPr>
              <w:spacing w:after="120" w:line="260" w:lineRule="exact"/>
              <w:rPr>
                <w:b/>
                <w:bCs/>
                <w:szCs w:val="22"/>
                <w:lang w:val="fr-FR"/>
              </w:rPr>
            </w:pPr>
            <w:r w:rsidRPr="00682CAF">
              <w:rPr>
                <w:b/>
                <w:bCs/>
                <w:szCs w:val="22"/>
                <w:lang w:val="fr-FR"/>
              </w:rPr>
              <w:t>CDIP</w:t>
            </w:r>
          </w:p>
        </w:tc>
        <w:tc>
          <w:tcPr>
            <w:tcW w:w="8079" w:type="dxa"/>
            <w:vAlign w:val="center"/>
          </w:tcPr>
          <w:p w:rsidR="009A7E4C" w:rsidRPr="00682CAF" w:rsidRDefault="009A7E4C" w:rsidP="00CC3F2D">
            <w:pPr>
              <w:spacing w:after="120" w:line="260" w:lineRule="exact"/>
              <w:ind w:left="43"/>
              <w:rPr>
                <w:lang w:val="fr-FR"/>
              </w:rPr>
            </w:pPr>
            <w:r w:rsidRPr="00682CAF">
              <w:rPr>
                <w:lang w:val="fr-FR"/>
              </w:rPr>
              <w:t>Comité du développement et de la propriété intellectuelle</w:t>
            </w:r>
          </w:p>
        </w:tc>
      </w:tr>
      <w:tr w:rsidR="003B7767" w:rsidRPr="004E60A4" w:rsidTr="0026102F">
        <w:trPr>
          <w:trHeight w:val="340"/>
        </w:trPr>
        <w:tc>
          <w:tcPr>
            <w:tcW w:w="1384" w:type="dxa"/>
            <w:vAlign w:val="center"/>
          </w:tcPr>
          <w:p w:rsidR="003B7767" w:rsidRPr="00682CAF" w:rsidRDefault="003B7767" w:rsidP="00CC3F2D">
            <w:pPr>
              <w:spacing w:after="120" w:line="260" w:lineRule="exact"/>
              <w:rPr>
                <w:b/>
                <w:bCs/>
                <w:szCs w:val="22"/>
                <w:lang w:val="fr-FR"/>
              </w:rPr>
            </w:pPr>
            <w:r w:rsidRPr="00682CAF">
              <w:rPr>
                <w:b/>
                <w:bCs/>
                <w:szCs w:val="22"/>
                <w:lang w:val="fr-FR"/>
              </w:rPr>
              <w:t>DASI</w:t>
            </w:r>
          </w:p>
        </w:tc>
        <w:tc>
          <w:tcPr>
            <w:tcW w:w="8079" w:type="dxa"/>
            <w:vAlign w:val="center"/>
          </w:tcPr>
          <w:p w:rsidR="003B7767" w:rsidRPr="00682CAF" w:rsidRDefault="003B7767" w:rsidP="00CC3F2D">
            <w:pPr>
              <w:spacing w:after="120" w:line="260" w:lineRule="exact"/>
              <w:ind w:left="43"/>
              <w:rPr>
                <w:lang w:val="fr-FR"/>
              </w:rPr>
            </w:pPr>
            <w:r w:rsidRPr="00682CAF">
              <w:rPr>
                <w:lang w:val="fr-FR"/>
              </w:rPr>
              <w:t>Division de l</w:t>
            </w:r>
            <w:r w:rsidR="00D565F4">
              <w:rPr>
                <w:lang w:val="fr-FR"/>
              </w:rPr>
              <w:t>’</w:t>
            </w:r>
            <w:r w:rsidRPr="00682CAF">
              <w:rPr>
                <w:lang w:val="fr-FR"/>
              </w:rPr>
              <w:t>audit et de la supervision internes</w:t>
            </w:r>
          </w:p>
        </w:tc>
      </w:tr>
      <w:tr w:rsidR="009A7E4C" w:rsidRPr="004E60A4" w:rsidTr="0026102F">
        <w:trPr>
          <w:trHeight w:val="340"/>
        </w:trPr>
        <w:tc>
          <w:tcPr>
            <w:tcW w:w="1384" w:type="dxa"/>
            <w:vAlign w:val="center"/>
          </w:tcPr>
          <w:p w:rsidR="009A7E4C" w:rsidRPr="00682CAF" w:rsidRDefault="009A7E4C" w:rsidP="00CC3F2D">
            <w:pPr>
              <w:spacing w:after="120" w:line="260" w:lineRule="exact"/>
              <w:rPr>
                <w:b/>
                <w:bCs/>
                <w:szCs w:val="22"/>
                <w:lang w:val="fr-FR"/>
              </w:rPr>
            </w:pPr>
            <w:r w:rsidRPr="00682CAF">
              <w:rPr>
                <w:b/>
                <w:bCs/>
                <w:szCs w:val="22"/>
                <w:lang w:val="fr-FR"/>
              </w:rPr>
              <w:t>DGRH</w:t>
            </w:r>
          </w:p>
        </w:tc>
        <w:tc>
          <w:tcPr>
            <w:tcW w:w="8079" w:type="dxa"/>
            <w:vAlign w:val="center"/>
          </w:tcPr>
          <w:p w:rsidR="009A7E4C" w:rsidRPr="00682CAF" w:rsidRDefault="009A7E4C" w:rsidP="00CC3F2D">
            <w:pPr>
              <w:spacing w:after="120" w:line="260" w:lineRule="exact"/>
              <w:ind w:left="43"/>
              <w:rPr>
                <w:lang w:val="fr-FR"/>
              </w:rPr>
            </w:pPr>
            <w:r w:rsidRPr="00682CAF">
              <w:rPr>
                <w:lang w:val="fr-FR"/>
              </w:rPr>
              <w:t>Département de la gestion des ressources humaines</w:t>
            </w:r>
          </w:p>
        </w:tc>
      </w:tr>
      <w:tr w:rsidR="009A7E4C" w:rsidRPr="004E60A4" w:rsidTr="0026102F">
        <w:trPr>
          <w:trHeight w:val="340"/>
        </w:trPr>
        <w:tc>
          <w:tcPr>
            <w:tcW w:w="1384" w:type="dxa"/>
            <w:vAlign w:val="center"/>
          </w:tcPr>
          <w:p w:rsidR="009A7E4C" w:rsidRPr="00682CAF" w:rsidRDefault="009A7E4C" w:rsidP="00CC3F2D">
            <w:pPr>
              <w:spacing w:after="120" w:line="260" w:lineRule="exact"/>
              <w:rPr>
                <w:b/>
                <w:bCs/>
                <w:szCs w:val="22"/>
                <w:lang w:val="fr-FR"/>
              </w:rPr>
            </w:pPr>
            <w:r w:rsidRPr="00682CAF">
              <w:rPr>
                <w:b/>
                <w:bCs/>
                <w:szCs w:val="22"/>
                <w:lang w:val="fr-FR"/>
              </w:rPr>
              <w:t>IGC</w:t>
            </w:r>
          </w:p>
        </w:tc>
        <w:tc>
          <w:tcPr>
            <w:tcW w:w="8079" w:type="dxa"/>
            <w:vAlign w:val="center"/>
          </w:tcPr>
          <w:p w:rsidR="009A7E4C" w:rsidRPr="00682CAF" w:rsidRDefault="009A7E4C" w:rsidP="00CC3F2D">
            <w:pPr>
              <w:spacing w:after="120" w:line="260" w:lineRule="exact"/>
              <w:ind w:left="43"/>
              <w:rPr>
                <w:lang w:val="fr-FR"/>
              </w:rPr>
            </w:pPr>
            <w:r w:rsidRPr="00682CAF">
              <w:rPr>
                <w:lang w:val="fr-FR"/>
              </w:rPr>
              <w:t>Comité intergouvernemental de la propriété intellectuelle relative aux ressources génétiques, aux savoirs traditionnels et au folklore</w:t>
            </w:r>
          </w:p>
        </w:tc>
      </w:tr>
      <w:tr w:rsidR="009A7E4C" w:rsidRPr="004E60A4" w:rsidTr="0026102F">
        <w:trPr>
          <w:trHeight w:val="340"/>
        </w:trPr>
        <w:tc>
          <w:tcPr>
            <w:tcW w:w="1384" w:type="dxa"/>
            <w:vAlign w:val="center"/>
          </w:tcPr>
          <w:p w:rsidR="009A7E4C" w:rsidRPr="00682CAF" w:rsidRDefault="009A7E4C" w:rsidP="00CC3F2D">
            <w:pPr>
              <w:spacing w:after="120" w:line="260" w:lineRule="exact"/>
              <w:rPr>
                <w:b/>
                <w:bCs/>
                <w:szCs w:val="22"/>
                <w:lang w:val="fr-FR"/>
              </w:rPr>
            </w:pPr>
            <w:r w:rsidRPr="00682CAF">
              <w:rPr>
                <w:b/>
                <w:bCs/>
                <w:szCs w:val="22"/>
                <w:lang w:val="fr-FR"/>
              </w:rPr>
              <w:t>OCIS</w:t>
            </w:r>
          </w:p>
        </w:tc>
        <w:tc>
          <w:tcPr>
            <w:tcW w:w="8079" w:type="dxa"/>
            <w:vAlign w:val="center"/>
          </w:tcPr>
          <w:p w:rsidR="009A7E4C" w:rsidRPr="00682CAF" w:rsidRDefault="009A7E4C" w:rsidP="00CC3F2D">
            <w:pPr>
              <w:spacing w:after="120" w:line="260" w:lineRule="exact"/>
              <w:ind w:left="43"/>
              <w:rPr>
                <w:lang w:val="fr-FR"/>
              </w:rPr>
            </w:pPr>
            <w:r w:rsidRPr="00682CAF">
              <w:rPr>
                <w:lang w:val="fr-FR"/>
              </w:rPr>
              <w:t>Organe consultatif indépendant de surveillance</w:t>
            </w:r>
          </w:p>
        </w:tc>
      </w:tr>
      <w:tr w:rsidR="009A7E4C" w:rsidRPr="00682CAF" w:rsidTr="0026102F">
        <w:trPr>
          <w:trHeight w:val="340"/>
        </w:trPr>
        <w:tc>
          <w:tcPr>
            <w:tcW w:w="1384" w:type="dxa"/>
            <w:vAlign w:val="center"/>
          </w:tcPr>
          <w:p w:rsidR="009A7E4C" w:rsidRPr="00682CAF" w:rsidRDefault="009A7E4C" w:rsidP="00CC3F2D">
            <w:pPr>
              <w:spacing w:after="120" w:line="260" w:lineRule="exact"/>
              <w:rPr>
                <w:b/>
                <w:bCs/>
                <w:szCs w:val="22"/>
                <w:lang w:val="fr-FR"/>
              </w:rPr>
            </w:pPr>
            <w:r w:rsidRPr="00682CAF">
              <w:rPr>
                <w:b/>
                <w:bCs/>
                <w:szCs w:val="22"/>
                <w:lang w:val="fr-FR"/>
              </w:rPr>
              <w:t>ONU</w:t>
            </w:r>
          </w:p>
        </w:tc>
        <w:tc>
          <w:tcPr>
            <w:tcW w:w="8079" w:type="dxa"/>
            <w:vAlign w:val="center"/>
          </w:tcPr>
          <w:p w:rsidR="009A7E4C" w:rsidRPr="00682CAF" w:rsidRDefault="009A7E4C" w:rsidP="00CC3F2D">
            <w:pPr>
              <w:spacing w:after="120" w:line="260" w:lineRule="exact"/>
              <w:ind w:left="43"/>
              <w:rPr>
                <w:lang w:val="fr-FR"/>
              </w:rPr>
            </w:pPr>
            <w:r w:rsidRPr="00682CAF">
              <w:rPr>
                <w:lang w:val="fr-FR"/>
              </w:rPr>
              <w:t xml:space="preserve">Organisation des </w:t>
            </w:r>
            <w:r w:rsidR="00D565F4">
              <w:rPr>
                <w:lang w:val="fr-FR"/>
              </w:rPr>
              <w:t>Nations Unies</w:t>
            </w:r>
          </w:p>
        </w:tc>
      </w:tr>
      <w:tr w:rsidR="009A7E4C" w:rsidRPr="004E60A4" w:rsidTr="0026102F">
        <w:trPr>
          <w:trHeight w:val="340"/>
        </w:trPr>
        <w:tc>
          <w:tcPr>
            <w:tcW w:w="1384" w:type="dxa"/>
            <w:vAlign w:val="center"/>
          </w:tcPr>
          <w:p w:rsidR="009A7E4C" w:rsidRPr="00682CAF" w:rsidRDefault="009A7E4C" w:rsidP="00CC3F2D">
            <w:pPr>
              <w:spacing w:after="120" w:line="260" w:lineRule="exact"/>
              <w:rPr>
                <w:b/>
                <w:bCs/>
                <w:szCs w:val="22"/>
                <w:lang w:val="fr-FR"/>
              </w:rPr>
            </w:pPr>
            <w:r w:rsidRPr="00682CAF">
              <w:rPr>
                <w:b/>
                <w:bCs/>
                <w:szCs w:val="22"/>
                <w:lang w:val="fr-FR"/>
              </w:rPr>
              <w:t>PBC</w:t>
            </w:r>
          </w:p>
        </w:tc>
        <w:tc>
          <w:tcPr>
            <w:tcW w:w="8079" w:type="dxa"/>
            <w:vAlign w:val="center"/>
          </w:tcPr>
          <w:p w:rsidR="009A7E4C" w:rsidRPr="00682CAF" w:rsidRDefault="009A7E4C" w:rsidP="00CC3F2D">
            <w:pPr>
              <w:spacing w:after="120" w:line="260" w:lineRule="exact"/>
              <w:ind w:left="43"/>
              <w:rPr>
                <w:lang w:val="fr-FR"/>
              </w:rPr>
            </w:pPr>
            <w:r w:rsidRPr="00682CAF">
              <w:rPr>
                <w:lang w:val="fr-FR"/>
              </w:rPr>
              <w:t>Comité du programme et budget</w:t>
            </w:r>
          </w:p>
        </w:tc>
      </w:tr>
      <w:tr w:rsidR="009A7E4C" w:rsidRPr="004E60A4" w:rsidTr="0026102F">
        <w:trPr>
          <w:trHeight w:val="340"/>
        </w:trPr>
        <w:tc>
          <w:tcPr>
            <w:tcW w:w="1384" w:type="dxa"/>
            <w:vAlign w:val="center"/>
          </w:tcPr>
          <w:p w:rsidR="009A7E4C" w:rsidRPr="00682CAF" w:rsidRDefault="009A7E4C" w:rsidP="00CC3F2D">
            <w:pPr>
              <w:spacing w:after="120" w:line="260" w:lineRule="exact"/>
              <w:rPr>
                <w:b/>
                <w:bCs/>
                <w:szCs w:val="22"/>
                <w:lang w:val="fr-FR"/>
              </w:rPr>
            </w:pPr>
            <w:r w:rsidRPr="00682CAF">
              <w:rPr>
                <w:b/>
                <w:bCs/>
                <w:szCs w:val="22"/>
                <w:lang w:val="fr-FR"/>
              </w:rPr>
              <w:t>PCT</w:t>
            </w:r>
          </w:p>
        </w:tc>
        <w:tc>
          <w:tcPr>
            <w:tcW w:w="8079" w:type="dxa"/>
            <w:vAlign w:val="center"/>
          </w:tcPr>
          <w:p w:rsidR="009A7E4C" w:rsidRPr="00682CAF" w:rsidRDefault="009A7E4C" w:rsidP="00CC3F2D">
            <w:pPr>
              <w:spacing w:after="120" w:line="260" w:lineRule="exact"/>
              <w:ind w:left="43"/>
              <w:rPr>
                <w:lang w:val="fr-FR"/>
              </w:rPr>
            </w:pPr>
            <w:r w:rsidRPr="00682CAF">
              <w:rPr>
                <w:lang w:val="fr-FR"/>
              </w:rPr>
              <w:t>Traité de coopération en matière de brevets</w:t>
            </w:r>
          </w:p>
        </w:tc>
      </w:tr>
      <w:tr w:rsidR="008C603B" w:rsidRPr="005A7DA1" w:rsidTr="004E60A4">
        <w:trPr>
          <w:trHeight w:val="340"/>
        </w:trPr>
        <w:tc>
          <w:tcPr>
            <w:tcW w:w="1384" w:type="dxa"/>
            <w:vAlign w:val="center"/>
          </w:tcPr>
          <w:p w:rsidR="008C603B" w:rsidRPr="00682CAF" w:rsidRDefault="008C603B" w:rsidP="004E60A4">
            <w:pPr>
              <w:spacing w:after="120" w:line="260" w:lineRule="exact"/>
              <w:rPr>
                <w:b/>
                <w:bCs/>
                <w:szCs w:val="22"/>
                <w:lang w:val="fr-FR"/>
              </w:rPr>
            </w:pPr>
            <w:r>
              <w:rPr>
                <w:b/>
                <w:bCs/>
                <w:szCs w:val="22"/>
                <w:lang w:val="fr-FR"/>
              </w:rPr>
              <w:t>PGI</w:t>
            </w:r>
          </w:p>
        </w:tc>
        <w:tc>
          <w:tcPr>
            <w:tcW w:w="8079" w:type="dxa"/>
            <w:vAlign w:val="center"/>
          </w:tcPr>
          <w:p w:rsidR="008C603B" w:rsidRPr="00682CAF" w:rsidRDefault="008C603B" w:rsidP="004E60A4">
            <w:pPr>
              <w:tabs>
                <w:tab w:val="right" w:pos="6880"/>
              </w:tabs>
              <w:spacing w:after="120" w:line="260" w:lineRule="exact"/>
              <w:ind w:left="43"/>
              <w:rPr>
                <w:lang w:val="fr-FR"/>
              </w:rPr>
            </w:pPr>
            <w:r>
              <w:rPr>
                <w:lang w:val="fr-FR"/>
              </w:rPr>
              <w:t>Progiciel de gestion intégrée</w:t>
            </w:r>
          </w:p>
        </w:tc>
      </w:tr>
      <w:tr w:rsidR="009A7E4C" w:rsidRPr="004E60A4" w:rsidTr="0026102F">
        <w:trPr>
          <w:trHeight w:val="340"/>
        </w:trPr>
        <w:tc>
          <w:tcPr>
            <w:tcW w:w="1384" w:type="dxa"/>
            <w:vAlign w:val="center"/>
          </w:tcPr>
          <w:p w:rsidR="009A7E4C" w:rsidRPr="00682CAF" w:rsidRDefault="009A7E4C" w:rsidP="00CC3F2D">
            <w:pPr>
              <w:spacing w:after="120" w:line="260" w:lineRule="exact"/>
              <w:rPr>
                <w:b/>
                <w:bCs/>
                <w:szCs w:val="22"/>
                <w:lang w:val="fr-FR"/>
              </w:rPr>
            </w:pPr>
            <w:r w:rsidRPr="00682CAF">
              <w:rPr>
                <w:b/>
                <w:bCs/>
                <w:szCs w:val="22"/>
                <w:lang w:val="fr-FR"/>
              </w:rPr>
              <w:t>PLT</w:t>
            </w:r>
          </w:p>
        </w:tc>
        <w:tc>
          <w:tcPr>
            <w:tcW w:w="8079" w:type="dxa"/>
            <w:vAlign w:val="center"/>
          </w:tcPr>
          <w:p w:rsidR="009A7E4C" w:rsidRPr="00682CAF" w:rsidRDefault="009A7E4C" w:rsidP="00CC3F2D">
            <w:pPr>
              <w:spacing w:after="120" w:line="260" w:lineRule="exact"/>
              <w:ind w:left="43"/>
              <w:rPr>
                <w:lang w:val="fr-FR"/>
              </w:rPr>
            </w:pPr>
            <w:r w:rsidRPr="00682CAF">
              <w:rPr>
                <w:lang w:val="fr-FR"/>
              </w:rPr>
              <w:t>Traité sur le droit des brevets</w:t>
            </w:r>
          </w:p>
        </w:tc>
      </w:tr>
      <w:tr w:rsidR="009A7E4C" w:rsidRPr="00686D5A" w:rsidTr="0026102F">
        <w:trPr>
          <w:trHeight w:val="340"/>
        </w:trPr>
        <w:tc>
          <w:tcPr>
            <w:tcW w:w="1384" w:type="dxa"/>
            <w:vAlign w:val="center"/>
          </w:tcPr>
          <w:p w:rsidR="009A7E4C" w:rsidRPr="00682CAF" w:rsidRDefault="009A7E4C" w:rsidP="00F24930">
            <w:pPr>
              <w:spacing w:after="120" w:line="260" w:lineRule="exact"/>
              <w:rPr>
                <w:b/>
                <w:bCs/>
                <w:szCs w:val="22"/>
                <w:lang w:val="fr-FR"/>
              </w:rPr>
            </w:pPr>
            <w:r w:rsidRPr="00682CAF">
              <w:rPr>
                <w:b/>
                <w:bCs/>
                <w:szCs w:val="22"/>
                <w:lang w:val="fr-FR"/>
              </w:rPr>
              <w:t>PRS</w:t>
            </w:r>
          </w:p>
        </w:tc>
        <w:tc>
          <w:tcPr>
            <w:tcW w:w="8079" w:type="dxa"/>
            <w:vAlign w:val="center"/>
          </w:tcPr>
          <w:p w:rsidR="009A7E4C" w:rsidRPr="00686D5A" w:rsidRDefault="009A7E4C" w:rsidP="00F24930">
            <w:pPr>
              <w:spacing w:after="120" w:line="260" w:lineRule="exact"/>
              <w:ind w:left="43"/>
              <w:rPr>
                <w:lang w:val="fr-FR"/>
              </w:rPr>
            </w:pPr>
            <w:r w:rsidRPr="00682CAF">
              <w:rPr>
                <w:lang w:val="fr-FR"/>
              </w:rPr>
              <w:t>Programme de réorientation stratégique</w:t>
            </w:r>
          </w:p>
        </w:tc>
      </w:tr>
      <w:tr w:rsidR="00464784" w:rsidRPr="004E60A4" w:rsidTr="0026102F">
        <w:trPr>
          <w:trHeight w:val="340"/>
        </w:trPr>
        <w:tc>
          <w:tcPr>
            <w:tcW w:w="1384" w:type="dxa"/>
            <w:vAlign w:val="center"/>
          </w:tcPr>
          <w:p w:rsidR="00464784" w:rsidRPr="00682CAF" w:rsidRDefault="00464784" w:rsidP="00052412">
            <w:pPr>
              <w:spacing w:after="120" w:line="260" w:lineRule="exact"/>
              <w:rPr>
                <w:b/>
                <w:bCs/>
                <w:szCs w:val="22"/>
                <w:lang w:val="fr-FR"/>
              </w:rPr>
            </w:pPr>
            <w:r>
              <w:rPr>
                <w:b/>
                <w:bCs/>
                <w:szCs w:val="22"/>
                <w:lang w:val="fr-FR"/>
              </w:rPr>
              <w:t>UNEG</w:t>
            </w:r>
          </w:p>
        </w:tc>
        <w:tc>
          <w:tcPr>
            <w:tcW w:w="8079" w:type="dxa"/>
            <w:vAlign w:val="center"/>
          </w:tcPr>
          <w:p w:rsidR="00464784" w:rsidRPr="00682CAF" w:rsidRDefault="00464784" w:rsidP="00F24930">
            <w:pPr>
              <w:spacing w:after="120" w:line="260" w:lineRule="exact"/>
              <w:ind w:left="43"/>
              <w:rPr>
                <w:lang w:val="fr-FR"/>
              </w:rPr>
            </w:pPr>
            <w:r w:rsidRPr="00682CAF">
              <w:rPr>
                <w:lang w:val="fr-FR"/>
              </w:rPr>
              <w:t xml:space="preserve">Groupe des </w:t>
            </w:r>
            <w:r w:rsidR="00D565F4">
              <w:rPr>
                <w:lang w:val="fr-FR"/>
              </w:rPr>
              <w:t>Nations Unies</w:t>
            </w:r>
            <w:r w:rsidRPr="00682CAF">
              <w:rPr>
                <w:lang w:val="fr-FR"/>
              </w:rPr>
              <w:t xml:space="preserve"> pour l</w:t>
            </w:r>
            <w:r w:rsidR="00D565F4">
              <w:rPr>
                <w:lang w:val="fr-FR"/>
              </w:rPr>
              <w:t>’</w:t>
            </w:r>
            <w:r w:rsidRPr="00682CAF">
              <w:rPr>
                <w:lang w:val="fr-FR"/>
              </w:rPr>
              <w:t>évaluation</w:t>
            </w:r>
          </w:p>
        </w:tc>
      </w:tr>
    </w:tbl>
    <w:p w:rsidR="009A7E4C" w:rsidRDefault="009A7E4C" w:rsidP="004B6701">
      <w:pPr>
        <w:rPr>
          <w:lang w:val="fr-FR"/>
        </w:rPr>
      </w:pPr>
    </w:p>
    <w:p w:rsidR="00682CAF" w:rsidRDefault="00682CAF" w:rsidP="004B6701">
      <w:pPr>
        <w:rPr>
          <w:lang w:val="fr-FR"/>
        </w:rPr>
      </w:pPr>
    </w:p>
    <w:p w:rsidR="00682CAF" w:rsidRPr="00686D5A" w:rsidRDefault="00682CAF" w:rsidP="004B6701">
      <w:pPr>
        <w:rPr>
          <w:lang w:val="fr-FR"/>
        </w:rPr>
        <w:sectPr w:rsidR="00682CAF" w:rsidRPr="00686D5A" w:rsidSect="00490CDD">
          <w:endnotePr>
            <w:numFmt w:val="decimal"/>
          </w:endnotePr>
          <w:pgSz w:w="11907" w:h="16840" w:code="9"/>
          <w:pgMar w:top="1305" w:right="1134" w:bottom="1418" w:left="1418" w:header="510" w:footer="1021" w:gutter="0"/>
          <w:cols w:space="720"/>
          <w:titlePg/>
          <w:docGrid w:linePitch="299"/>
        </w:sectPr>
      </w:pPr>
    </w:p>
    <w:p w:rsidR="009A7E4C" w:rsidRPr="00490CDD" w:rsidRDefault="00490CDD" w:rsidP="00490CDD">
      <w:pPr>
        <w:jc w:val="center"/>
        <w:rPr>
          <w:b/>
          <w:lang w:val="fr-FR"/>
        </w:rPr>
      </w:pPr>
      <w:r w:rsidRPr="00490CDD">
        <w:rPr>
          <w:b/>
          <w:lang w:val="fr-FR"/>
        </w:rPr>
        <w:lastRenderedPageBreak/>
        <w:t xml:space="preserve">RAPPORT DE SYNTHÈSE ANNUEL DU DIRECTEUR DE LA DIVISION DE L’AUDIT </w:t>
      </w:r>
      <w:r w:rsidRPr="00490CDD">
        <w:rPr>
          <w:b/>
          <w:lang w:val="fr-FR"/>
        </w:rPr>
        <w:br/>
        <w:t>ET DE LA SUPERVISION INTERNES</w:t>
      </w:r>
    </w:p>
    <w:p w:rsidR="009A7E4C" w:rsidRDefault="009A7E4C" w:rsidP="00E365E6">
      <w:pPr>
        <w:keepLines/>
        <w:rPr>
          <w:lang w:val="fr-FR"/>
        </w:rPr>
      </w:pPr>
    </w:p>
    <w:p w:rsidR="00C85009" w:rsidRPr="00686D5A" w:rsidRDefault="00C85009" w:rsidP="00E365E6">
      <w:pPr>
        <w:keepLines/>
        <w:rPr>
          <w:lang w:val="fr-FR"/>
        </w:rPr>
      </w:pPr>
    </w:p>
    <w:p w:rsidR="009A7E4C" w:rsidRPr="00686D5A" w:rsidRDefault="009A7E4C" w:rsidP="00E935FC">
      <w:pPr>
        <w:keepLines/>
        <w:rPr>
          <w:lang w:val="fr-FR"/>
        </w:rPr>
      </w:pPr>
      <w:r w:rsidRPr="00686D5A">
        <w:rPr>
          <w:lang w:val="fr-FR"/>
        </w:rPr>
        <w:t>1</w:t>
      </w:r>
      <w:r w:rsidRPr="00686D5A">
        <w:rPr>
          <w:vertAlign w:val="superscript"/>
          <w:lang w:val="fr-FR"/>
        </w:rPr>
        <w:t>er</w:t>
      </w:r>
      <w:r w:rsidRPr="00686D5A">
        <w:rPr>
          <w:lang w:val="fr-FR"/>
        </w:rPr>
        <w:t> juillet 2013 – 30 juin 2014</w:t>
      </w:r>
    </w:p>
    <w:p w:rsidR="009A7E4C" w:rsidRPr="00686D5A" w:rsidRDefault="009A7E4C" w:rsidP="004B6701">
      <w:pPr>
        <w:rPr>
          <w:lang w:val="fr-FR"/>
        </w:rPr>
      </w:pPr>
    </w:p>
    <w:p w:rsidR="009A7E4C" w:rsidRPr="00686D5A" w:rsidRDefault="005E0EEF" w:rsidP="005E0EEF">
      <w:pPr>
        <w:pStyle w:val="Heading1"/>
        <w:rPr>
          <w:lang w:val="fr-FR"/>
        </w:rPr>
      </w:pPr>
      <w:bookmarkStart w:id="5" w:name="_Toc393891963"/>
      <w:r w:rsidRPr="00686D5A">
        <w:rPr>
          <w:lang w:val="fr-FR"/>
        </w:rPr>
        <w:t>Généralités</w:t>
      </w:r>
      <w:bookmarkEnd w:id="5"/>
    </w:p>
    <w:p w:rsidR="009A7E4C" w:rsidRPr="00686D5A" w:rsidRDefault="009A7E4C" w:rsidP="005E0EEF">
      <w:pPr>
        <w:pStyle w:val="ONUMFS"/>
        <w:numPr>
          <w:ilvl w:val="0"/>
          <w:numId w:val="46"/>
        </w:numPr>
        <w:rPr>
          <w:lang w:val="fr-FR"/>
        </w:rPr>
      </w:pPr>
      <w:r w:rsidRPr="00686D5A">
        <w:rPr>
          <w:lang w:val="fr-FR"/>
        </w:rPr>
        <w:t>La Division de l</w:t>
      </w:r>
      <w:r w:rsidR="00D565F4">
        <w:rPr>
          <w:lang w:val="fr-FR"/>
        </w:rPr>
        <w:t>’</w:t>
      </w:r>
      <w:r w:rsidRPr="00686D5A">
        <w:rPr>
          <w:lang w:val="fr-FR"/>
        </w:rPr>
        <w:t>audit et de la supervision internes de l</w:t>
      </w:r>
      <w:r w:rsidR="00D565F4">
        <w:rPr>
          <w:lang w:val="fr-FR"/>
        </w:rPr>
        <w:t>’</w:t>
      </w:r>
      <w:r w:rsidRPr="00686D5A">
        <w:rPr>
          <w:lang w:val="fr-FR"/>
        </w:rPr>
        <w:t>OMPI (ci</w:t>
      </w:r>
      <w:r w:rsidR="001F4EED">
        <w:rPr>
          <w:lang w:val="fr-FR"/>
        </w:rPr>
        <w:noBreakHyphen/>
      </w:r>
      <w:r w:rsidRPr="00686D5A">
        <w:rPr>
          <w:lang w:val="fr-FR"/>
        </w:rPr>
        <w:t>après dénommée “D</w:t>
      </w:r>
      <w:r w:rsidR="0002511C">
        <w:rPr>
          <w:lang w:val="fr-FR"/>
        </w:rPr>
        <w:t>ASI</w:t>
      </w:r>
      <w:r w:rsidRPr="00686D5A">
        <w:rPr>
          <w:lang w:val="fr-FR"/>
        </w:rPr>
        <w:t>”) a pour mission d</w:t>
      </w:r>
      <w:r w:rsidR="00D565F4">
        <w:rPr>
          <w:lang w:val="fr-FR"/>
        </w:rPr>
        <w:t>’</w:t>
      </w:r>
      <w:r w:rsidRPr="00686D5A">
        <w:rPr>
          <w:lang w:val="fr-FR"/>
        </w:rPr>
        <w:t>assurer à l</w:t>
      </w:r>
      <w:r w:rsidR="00D565F4">
        <w:rPr>
          <w:lang w:val="fr-FR"/>
        </w:rPr>
        <w:t>’</w:t>
      </w:r>
      <w:r w:rsidRPr="00686D5A">
        <w:rPr>
          <w:lang w:val="fr-FR"/>
        </w:rPr>
        <w:t>Organisation une supervision interne indépendante et efficace, conformément aux dispositions définies par les États membres dans la Charte de la supervision interne.</w:t>
      </w:r>
    </w:p>
    <w:p w:rsidR="009A7E4C" w:rsidRPr="00686D5A" w:rsidRDefault="009A7E4C" w:rsidP="005E0EEF">
      <w:pPr>
        <w:pStyle w:val="ONUMFS"/>
        <w:rPr>
          <w:lang w:val="fr-FR"/>
        </w:rPr>
      </w:pPr>
      <w:r w:rsidRPr="00686D5A">
        <w:rPr>
          <w:lang w:val="fr-FR"/>
        </w:rPr>
        <w:t>En vertu de la Charte de la supervision interne de l</w:t>
      </w:r>
      <w:r w:rsidR="00D565F4">
        <w:rPr>
          <w:lang w:val="fr-FR"/>
        </w:rPr>
        <w:t>’</w:t>
      </w:r>
      <w:r w:rsidRPr="00686D5A">
        <w:rPr>
          <w:lang w:val="fr-FR"/>
        </w:rPr>
        <w:t>OMPI, le directeur de</w:t>
      </w:r>
      <w:r w:rsidR="00D565F4" w:rsidRPr="00686D5A">
        <w:rPr>
          <w:lang w:val="fr-FR"/>
        </w:rPr>
        <w:t xml:space="preserve"> la</w:t>
      </w:r>
      <w:r w:rsidR="00D565F4">
        <w:rPr>
          <w:lang w:val="fr-FR"/>
        </w:rPr>
        <w:t> DAS</w:t>
      </w:r>
      <w:r w:rsidR="00E90725">
        <w:rPr>
          <w:lang w:val="fr-FR"/>
        </w:rPr>
        <w:t>I</w:t>
      </w:r>
      <w:r w:rsidRPr="00686D5A">
        <w:rPr>
          <w:lang w:val="fr-FR"/>
        </w:rPr>
        <w:t xml:space="preserve"> présente à l</w:t>
      </w:r>
      <w:r w:rsidR="00D565F4">
        <w:rPr>
          <w:lang w:val="fr-FR"/>
        </w:rPr>
        <w:t>’</w:t>
      </w:r>
      <w:r w:rsidRPr="00686D5A">
        <w:rPr>
          <w:lang w:val="fr-FR"/>
        </w:rPr>
        <w:t>Organe consultatif indépendant de surveillance (OCIS), avec copie au Directeur général et au vérificateur externe des comptes, un rapport de synthèse annuel sur les activités entreprises, en indiquant notamment l</w:t>
      </w:r>
      <w:r w:rsidR="00D565F4">
        <w:rPr>
          <w:lang w:val="fr-FR"/>
        </w:rPr>
        <w:t>’</w:t>
      </w:r>
      <w:r w:rsidRPr="00686D5A">
        <w:rPr>
          <w:lang w:val="fr-FR"/>
        </w:rPr>
        <w:t>orientation et la portée de celles</w:t>
      </w:r>
      <w:r w:rsidR="001F4EED">
        <w:rPr>
          <w:lang w:val="fr-FR"/>
        </w:rPr>
        <w:noBreakHyphen/>
      </w:r>
      <w:r w:rsidRPr="00686D5A">
        <w:rPr>
          <w:lang w:val="fr-FR"/>
        </w:rPr>
        <w:t>ci, le calendrier des travaux et les progrès réalisés dans la mise en œuvre des recommandations.  Le présent rapport de synthèse est également présenté à l</w:t>
      </w:r>
      <w:r w:rsidR="00D565F4">
        <w:rPr>
          <w:lang w:val="fr-FR"/>
        </w:rPr>
        <w:t>’</w:t>
      </w:r>
      <w:r w:rsidRPr="00686D5A">
        <w:rPr>
          <w:lang w:val="fr-FR"/>
        </w:rPr>
        <w:t>Assemblée générale et permet aux principales parties prenantes et au personnel de l</w:t>
      </w:r>
      <w:r w:rsidR="00D565F4">
        <w:rPr>
          <w:lang w:val="fr-FR"/>
        </w:rPr>
        <w:t>’</w:t>
      </w:r>
      <w:r w:rsidRPr="00686D5A">
        <w:rPr>
          <w:lang w:val="fr-FR"/>
        </w:rPr>
        <w:t>OMPI en général de s</w:t>
      </w:r>
      <w:r w:rsidR="00D565F4">
        <w:rPr>
          <w:lang w:val="fr-FR"/>
        </w:rPr>
        <w:t>’</w:t>
      </w:r>
      <w:r w:rsidRPr="00686D5A">
        <w:rPr>
          <w:lang w:val="fr-FR"/>
        </w:rPr>
        <w:t>informer des rapports, activités et défis rencontrés par</w:t>
      </w:r>
      <w:r w:rsidR="00D565F4" w:rsidRPr="00686D5A">
        <w:rPr>
          <w:lang w:val="fr-FR"/>
        </w:rPr>
        <w:t xml:space="preserve"> la</w:t>
      </w:r>
      <w:r w:rsidR="00D565F4">
        <w:rPr>
          <w:lang w:val="fr-FR"/>
        </w:rPr>
        <w:t> DAS</w:t>
      </w:r>
      <w:r w:rsidR="00E90725">
        <w:rPr>
          <w:lang w:val="fr-FR"/>
        </w:rPr>
        <w:t>I</w:t>
      </w:r>
      <w:r w:rsidRPr="00686D5A">
        <w:rPr>
          <w:lang w:val="fr-FR"/>
        </w:rPr>
        <w:t xml:space="preserve"> dans l</w:t>
      </w:r>
      <w:r w:rsidR="00D565F4">
        <w:rPr>
          <w:lang w:val="fr-FR"/>
        </w:rPr>
        <w:t>’</w:t>
      </w:r>
      <w:r w:rsidRPr="00686D5A">
        <w:rPr>
          <w:lang w:val="fr-FR"/>
        </w:rPr>
        <w:t xml:space="preserve">accomplissement de sa mission. </w:t>
      </w:r>
      <w:r w:rsidR="00D565F4" w:rsidRPr="00686D5A">
        <w:rPr>
          <w:lang w:val="fr-FR"/>
        </w:rPr>
        <w:t xml:space="preserve"> La</w:t>
      </w:r>
      <w:r w:rsidR="00D565F4">
        <w:rPr>
          <w:lang w:val="fr-FR"/>
        </w:rPr>
        <w:t> DAS</w:t>
      </w:r>
      <w:r w:rsidR="00E90725">
        <w:rPr>
          <w:lang w:val="fr-FR"/>
        </w:rPr>
        <w:t>I</w:t>
      </w:r>
      <w:r w:rsidRPr="00686D5A">
        <w:rPr>
          <w:lang w:val="fr-FR"/>
        </w:rPr>
        <w:t xml:space="preserve"> présente également un rapport sur l</w:t>
      </w:r>
      <w:r w:rsidR="00D565F4">
        <w:rPr>
          <w:lang w:val="fr-FR"/>
        </w:rPr>
        <w:t>’</w:t>
      </w:r>
      <w:r w:rsidRPr="00686D5A">
        <w:rPr>
          <w:lang w:val="fr-FR"/>
        </w:rPr>
        <w:t>état d</w:t>
      </w:r>
      <w:r w:rsidR="00D565F4">
        <w:rPr>
          <w:lang w:val="fr-FR"/>
        </w:rPr>
        <w:t>’</w:t>
      </w:r>
      <w:r w:rsidRPr="00686D5A">
        <w:rPr>
          <w:lang w:val="fr-FR"/>
        </w:rPr>
        <w:t>avancement des programmes de travail annuels par écrit au Comité du programme et budget (PBC).</w:t>
      </w:r>
    </w:p>
    <w:p w:rsidR="009A7E4C" w:rsidRPr="00686D5A" w:rsidRDefault="009F5530" w:rsidP="009F5530">
      <w:pPr>
        <w:pStyle w:val="Heading1"/>
        <w:rPr>
          <w:lang w:val="fr-FR"/>
        </w:rPr>
      </w:pPr>
      <w:bookmarkStart w:id="6" w:name="_Toc328920434"/>
      <w:bookmarkStart w:id="7" w:name="_Toc393891964"/>
      <w:r w:rsidRPr="00686D5A">
        <w:rPr>
          <w:lang w:val="fr-FR"/>
        </w:rPr>
        <w:t>Planification et application des normes</w:t>
      </w:r>
      <w:bookmarkEnd w:id="6"/>
      <w:bookmarkEnd w:id="7"/>
    </w:p>
    <w:p w:rsidR="009A7E4C" w:rsidRPr="00686D5A" w:rsidRDefault="009A7E4C" w:rsidP="009F5530">
      <w:pPr>
        <w:pStyle w:val="ONUMFS"/>
        <w:rPr>
          <w:lang w:val="fr-FR"/>
        </w:rPr>
      </w:pPr>
      <w:r w:rsidRPr="00686D5A">
        <w:rPr>
          <w:lang w:val="fr-FR"/>
        </w:rPr>
        <w:t>Les activités de</w:t>
      </w:r>
      <w:r w:rsidR="00D565F4" w:rsidRPr="00686D5A">
        <w:rPr>
          <w:lang w:val="fr-FR"/>
        </w:rPr>
        <w:t xml:space="preserve"> la</w:t>
      </w:r>
      <w:r w:rsidR="00D565F4">
        <w:rPr>
          <w:lang w:val="fr-FR"/>
        </w:rPr>
        <w:t> DAS</w:t>
      </w:r>
      <w:r w:rsidR="00E90725">
        <w:rPr>
          <w:lang w:val="fr-FR"/>
        </w:rPr>
        <w:t>I</w:t>
      </w:r>
      <w:r w:rsidRPr="00686D5A">
        <w:rPr>
          <w:lang w:val="fr-FR"/>
        </w:rPr>
        <w:t xml:space="preserve"> comprennent l</w:t>
      </w:r>
      <w:r w:rsidR="00D565F4">
        <w:rPr>
          <w:lang w:val="fr-FR"/>
        </w:rPr>
        <w:t>’</w:t>
      </w:r>
      <w:r w:rsidRPr="00686D5A">
        <w:rPr>
          <w:lang w:val="fr-FR"/>
        </w:rPr>
        <w:t>audit et l</w:t>
      </w:r>
      <w:r w:rsidR="00D565F4">
        <w:rPr>
          <w:lang w:val="fr-FR"/>
        </w:rPr>
        <w:t>’</w:t>
      </w:r>
      <w:r w:rsidRPr="00686D5A">
        <w:rPr>
          <w:lang w:val="fr-FR"/>
        </w:rPr>
        <w:t>évaluation internes des mécanismes de contrôle, programmes, projets et processus opérationnels de l</w:t>
      </w:r>
      <w:r w:rsidR="00D565F4">
        <w:rPr>
          <w:lang w:val="fr-FR"/>
        </w:rPr>
        <w:t>’</w:t>
      </w:r>
      <w:r w:rsidRPr="00686D5A">
        <w:rPr>
          <w:lang w:val="fr-FR"/>
        </w:rPr>
        <w:t xml:space="preserve">OMPI. </w:t>
      </w:r>
      <w:r w:rsidR="00D565F4" w:rsidRPr="00686D5A">
        <w:rPr>
          <w:lang w:val="fr-FR"/>
        </w:rPr>
        <w:t xml:space="preserve"> La</w:t>
      </w:r>
      <w:r w:rsidR="00D565F4">
        <w:rPr>
          <w:lang w:val="fr-FR"/>
        </w:rPr>
        <w:t> DAS</w:t>
      </w:r>
      <w:r w:rsidR="00E90725">
        <w:rPr>
          <w:lang w:val="fr-FR"/>
        </w:rPr>
        <w:t>I</w:t>
      </w:r>
      <w:r w:rsidRPr="00686D5A">
        <w:rPr>
          <w:lang w:val="fr-FR"/>
        </w:rPr>
        <w:t xml:space="preserve"> surveille et évalue </w:t>
      </w:r>
      <w:r w:rsidR="00464784">
        <w:rPr>
          <w:lang w:val="fr-FR"/>
        </w:rPr>
        <w:t>le caractère approprié</w:t>
      </w:r>
      <w:r w:rsidR="00464784" w:rsidRPr="00686D5A">
        <w:rPr>
          <w:lang w:val="fr-FR"/>
        </w:rPr>
        <w:t xml:space="preserve"> </w:t>
      </w:r>
      <w:r w:rsidRPr="00686D5A">
        <w:rPr>
          <w:lang w:val="fr-FR"/>
        </w:rPr>
        <w:t>et l</w:t>
      </w:r>
      <w:r w:rsidR="00D565F4">
        <w:rPr>
          <w:lang w:val="fr-FR"/>
        </w:rPr>
        <w:t>’</w:t>
      </w:r>
      <w:r w:rsidRPr="00686D5A">
        <w:rPr>
          <w:lang w:val="fr-FR"/>
        </w:rPr>
        <w:t>efficacité de l</w:t>
      </w:r>
      <w:r w:rsidR="00D565F4">
        <w:rPr>
          <w:lang w:val="fr-FR"/>
        </w:rPr>
        <w:t>’</w:t>
      </w:r>
      <w:r w:rsidRPr="00686D5A">
        <w:rPr>
          <w:lang w:val="fr-FR"/>
        </w:rPr>
        <w:t>environnement de contrôle de l</w:t>
      </w:r>
      <w:r w:rsidR="00D565F4">
        <w:rPr>
          <w:lang w:val="fr-FR"/>
        </w:rPr>
        <w:t>’</w:t>
      </w:r>
      <w:r w:rsidRPr="00686D5A">
        <w:rPr>
          <w:lang w:val="fr-FR"/>
        </w:rPr>
        <w:t>OMPI et l</w:t>
      </w:r>
      <w:r w:rsidR="00D565F4">
        <w:rPr>
          <w:lang w:val="fr-FR"/>
        </w:rPr>
        <w:t>’</w:t>
      </w:r>
      <w:r w:rsidRPr="00686D5A">
        <w:rPr>
          <w:lang w:val="fr-FR"/>
        </w:rPr>
        <w:t xml:space="preserve">utilisation efficace et rationnelle des ressources.  Elle enquête également sur les </w:t>
      </w:r>
      <w:r w:rsidRPr="00686D5A">
        <w:rPr>
          <w:szCs w:val="22"/>
          <w:lang w:val="fr-FR"/>
        </w:rPr>
        <w:t>allégations de fautes, d</w:t>
      </w:r>
      <w:r w:rsidR="00D565F4">
        <w:rPr>
          <w:szCs w:val="22"/>
          <w:lang w:val="fr-FR"/>
        </w:rPr>
        <w:t>’</w:t>
      </w:r>
      <w:r w:rsidRPr="00686D5A">
        <w:rPr>
          <w:szCs w:val="22"/>
          <w:lang w:val="fr-FR"/>
        </w:rPr>
        <w:t>irrégularités ou de malversations incluant, mais sans s</w:t>
      </w:r>
      <w:r w:rsidR="00D565F4">
        <w:rPr>
          <w:szCs w:val="22"/>
          <w:lang w:val="fr-FR"/>
        </w:rPr>
        <w:t>’</w:t>
      </w:r>
      <w:r w:rsidRPr="00686D5A">
        <w:rPr>
          <w:szCs w:val="22"/>
          <w:lang w:val="fr-FR"/>
        </w:rPr>
        <w:t>y limiter : les fraudes et la corruption, le gaspillage, l</w:t>
      </w:r>
      <w:r w:rsidR="00D565F4">
        <w:rPr>
          <w:szCs w:val="22"/>
          <w:lang w:val="fr-FR"/>
        </w:rPr>
        <w:t>’</w:t>
      </w:r>
      <w:r w:rsidRPr="00686D5A">
        <w:rPr>
          <w:szCs w:val="22"/>
          <w:lang w:val="fr-FR"/>
        </w:rPr>
        <w:t>abus de privilèges et d</w:t>
      </w:r>
      <w:r w:rsidR="00D565F4">
        <w:rPr>
          <w:szCs w:val="22"/>
          <w:lang w:val="fr-FR"/>
        </w:rPr>
        <w:t>’</w:t>
      </w:r>
      <w:r w:rsidRPr="00686D5A">
        <w:rPr>
          <w:szCs w:val="22"/>
          <w:lang w:val="fr-FR"/>
        </w:rPr>
        <w:t>immunités, l</w:t>
      </w:r>
      <w:r w:rsidR="00D565F4">
        <w:rPr>
          <w:szCs w:val="22"/>
          <w:lang w:val="fr-FR"/>
        </w:rPr>
        <w:t>’</w:t>
      </w:r>
      <w:r w:rsidRPr="00686D5A">
        <w:rPr>
          <w:szCs w:val="22"/>
          <w:lang w:val="fr-FR"/>
        </w:rPr>
        <w:t>abus de pouvoir et le non</w:t>
      </w:r>
      <w:r w:rsidR="001F4EED">
        <w:rPr>
          <w:szCs w:val="22"/>
          <w:lang w:val="fr-FR"/>
        </w:rPr>
        <w:noBreakHyphen/>
      </w:r>
      <w:r w:rsidRPr="00686D5A">
        <w:rPr>
          <w:szCs w:val="22"/>
          <w:lang w:val="fr-FR"/>
        </w:rPr>
        <w:t>respect des règles et règlements de l</w:t>
      </w:r>
      <w:r w:rsidR="00D565F4">
        <w:rPr>
          <w:szCs w:val="22"/>
          <w:lang w:val="fr-FR"/>
        </w:rPr>
        <w:t>’</w:t>
      </w:r>
      <w:r w:rsidRPr="00686D5A">
        <w:rPr>
          <w:szCs w:val="22"/>
          <w:lang w:val="fr-FR"/>
        </w:rPr>
        <w:t>OMPI</w:t>
      </w:r>
      <w:r w:rsidRPr="00686D5A">
        <w:rPr>
          <w:lang w:val="fr-FR"/>
        </w:rPr>
        <w:t>.</w:t>
      </w:r>
    </w:p>
    <w:p w:rsidR="009A7E4C" w:rsidRPr="00686D5A" w:rsidRDefault="009A7E4C" w:rsidP="002E193B">
      <w:pPr>
        <w:pStyle w:val="ONUMFS"/>
        <w:rPr>
          <w:lang w:val="fr-FR"/>
        </w:rPr>
      </w:pPr>
      <w:r w:rsidRPr="00686D5A">
        <w:rPr>
          <w:lang w:val="fr-FR"/>
        </w:rPr>
        <w:t>Pour ses activités d</w:t>
      </w:r>
      <w:r w:rsidR="00D565F4">
        <w:rPr>
          <w:lang w:val="fr-FR"/>
        </w:rPr>
        <w:t>’</w:t>
      </w:r>
      <w:r w:rsidRPr="00686D5A">
        <w:rPr>
          <w:lang w:val="fr-FR"/>
        </w:rPr>
        <w:t>audit,</w:t>
      </w:r>
      <w:r w:rsidR="00D565F4" w:rsidRPr="00686D5A">
        <w:rPr>
          <w:lang w:val="fr-FR"/>
        </w:rPr>
        <w:t xml:space="preserve"> la</w:t>
      </w:r>
      <w:r w:rsidR="00D565F4">
        <w:rPr>
          <w:lang w:val="fr-FR"/>
        </w:rPr>
        <w:t> DAS</w:t>
      </w:r>
      <w:r w:rsidR="00E90725">
        <w:rPr>
          <w:lang w:val="fr-FR"/>
        </w:rPr>
        <w:t>I</w:t>
      </w:r>
      <w:r w:rsidRPr="00686D5A">
        <w:rPr>
          <w:lang w:val="fr-FR"/>
        </w:rPr>
        <w:t xml:space="preserve"> adhère au </w:t>
      </w:r>
      <w:r w:rsidR="00BF78D8">
        <w:rPr>
          <w:lang w:val="fr-FR"/>
        </w:rPr>
        <w:t>c</w:t>
      </w:r>
      <w:r w:rsidR="002E193B" w:rsidRPr="002E193B">
        <w:rPr>
          <w:lang w:val="fr-FR"/>
        </w:rPr>
        <w:t xml:space="preserve">adre de </w:t>
      </w:r>
      <w:r w:rsidR="00BF78D8">
        <w:rPr>
          <w:lang w:val="fr-FR"/>
        </w:rPr>
        <w:t>r</w:t>
      </w:r>
      <w:r w:rsidR="002E193B" w:rsidRPr="002E193B">
        <w:rPr>
          <w:lang w:val="fr-FR"/>
        </w:rPr>
        <w:t xml:space="preserve">éférence </w:t>
      </w:r>
      <w:r w:rsidR="00BF78D8">
        <w:rPr>
          <w:lang w:val="fr-FR"/>
        </w:rPr>
        <w:t>i</w:t>
      </w:r>
      <w:r w:rsidR="002E193B" w:rsidRPr="002E193B">
        <w:rPr>
          <w:lang w:val="fr-FR"/>
        </w:rPr>
        <w:t>nternational de l</w:t>
      </w:r>
      <w:r w:rsidR="00D565F4">
        <w:rPr>
          <w:lang w:val="fr-FR"/>
        </w:rPr>
        <w:t>’</w:t>
      </w:r>
      <w:r w:rsidR="00BF78D8">
        <w:rPr>
          <w:lang w:val="fr-FR"/>
        </w:rPr>
        <w:t>a</w:t>
      </w:r>
      <w:r w:rsidR="002E193B" w:rsidRPr="002E193B">
        <w:rPr>
          <w:lang w:val="fr-FR"/>
        </w:rPr>
        <w:t xml:space="preserve">udit </w:t>
      </w:r>
      <w:r w:rsidR="00BF78D8">
        <w:rPr>
          <w:lang w:val="fr-FR"/>
        </w:rPr>
        <w:t>i</w:t>
      </w:r>
      <w:r w:rsidR="002E193B" w:rsidRPr="002E193B">
        <w:rPr>
          <w:lang w:val="fr-FR"/>
        </w:rPr>
        <w:t>nterne</w:t>
      </w:r>
      <w:r w:rsidR="002E193B">
        <w:rPr>
          <w:lang w:val="fr-FR"/>
        </w:rPr>
        <w:t xml:space="preserve"> </w:t>
      </w:r>
      <w:r w:rsidRPr="00686D5A">
        <w:rPr>
          <w:lang w:val="fr-FR"/>
        </w:rPr>
        <w:t>promulgué par l</w:t>
      </w:r>
      <w:r w:rsidR="00D565F4">
        <w:rPr>
          <w:lang w:val="fr-FR"/>
        </w:rPr>
        <w:t>’</w:t>
      </w:r>
      <w:r w:rsidRPr="00686D5A">
        <w:rPr>
          <w:lang w:val="fr-FR"/>
        </w:rPr>
        <w:t>Institut des auditeurs internes.  Par ailleurs, dans son travail d</w:t>
      </w:r>
      <w:r w:rsidR="00D565F4">
        <w:rPr>
          <w:lang w:val="fr-FR"/>
        </w:rPr>
        <w:t>’</w:t>
      </w:r>
      <w:r w:rsidRPr="00686D5A">
        <w:rPr>
          <w:lang w:val="fr-FR"/>
        </w:rPr>
        <w:t>enquête,</w:t>
      </w:r>
      <w:r w:rsidR="00D565F4" w:rsidRPr="00686D5A">
        <w:rPr>
          <w:lang w:val="fr-FR"/>
        </w:rPr>
        <w:t xml:space="preserve"> la</w:t>
      </w:r>
      <w:r w:rsidR="00D565F4">
        <w:rPr>
          <w:lang w:val="fr-FR"/>
        </w:rPr>
        <w:t> DAS</w:t>
      </w:r>
      <w:r w:rsidR="00E90725">
        <w:rPr>
          <w:lang w:val="fr-FR"/>
        </w:rPr>
        <w:t>I</w:t>
      </w:r>
      <w:r w:rsidRPr="00686D5A">
        <w:rPr>
          <w:lang w:val="fr-FR"/>
        </w:rPr>
        <w:t xml:space="preserve"> s</w:t>
      </w:r>
      <w:r w:rsidR="00D565F4">
        <w:rPr>
          <w:lang w:val="fr-FR"/>
        </w:rPr>
        <w:t>’</w:t>
      </w:r>
      <w:r w:rsidRPr="00686D5A">
        <w:rPr>
          <w:lang w:val="fr-FR"/>
        </w:rPr>
        <w:t>inspire des principes et lignes directrices uniformes adoptés par la Conférence des enquêteurs internationaux en</w:t>
      </w:r>
      <w:r w:rsidR="00413B67" w:rsidRPr="00686D5A">
        <w:rPr>
          <w:lang w:val="fr-FR"/>
        </w:rPr>
        <w:t> </w:t>
      </w:r>
      <w:r w:rsidRPr="00686D5A">
        <w:rPr>
          <w:lang w:val="fr-FR"/>
        </w:rPr>
        <w:t>2009.  L</w:t>
      </w:r>
      <w:r w:rsidR="00D565F4">
        <w:rPr>
          <w:lang w:val="fr-FR"/>
        </w:rPr>
        <w:t>’</w:t>
      </w:r>
      <w:r w:rsidRPr="00686D5A">
        <w:rPr>
          <w:lang w:val="fr-FR"/>
        </w:rPr>
        <w:t xml:space="preserve">évaluation suit les normes internationales en la matière élaborées par le Groupe des </w:t>
      </w:r>
      <w:r w:rsidR="00D565F4">
        <w:rPr>
          <w:lang w:val="fr-FR"/>
        </w:rPr>
        <w:t>Nations Unies</w:t>
      </w:r>
      <w:r w:rsidRPr="00686D5A">
        <w:rPr>
          <w:lang w:val="fr-FR"/>
        </w:rPr>
        <w:t xml:space="preserve"> pour l</w:t>
      </w:r>
      <w:r w:rsidR="00D565F4">
        <w:rPr>
          <w:lang w:val="fr-FR"/>
        </w:rPr>
        <w:t>’</w:t>
      </w:r>
      <w:r w:rsidRPr="00686D5A">
        <w:rPr>
          <w:lang w:val="fr-FR"/>
        </w:rPr>
        <w:t>évaluation (</w:t>
      </w:r>
      <w:r w:rsidR="002E193B">
        <w:rPr>
          <w:lang w:val="fr-FR"/>
        </w:rPr>
        <w:t>UNEG</w:t>
      </w:r>
      <w:r w:rsidRPr="00686D5A">
        <w:rPr>
          <w:lang w:val="fr-FR"/>
        </w:rPr>
        <w:t>).</w:t>
      </w:r>
    </w:p>
    <w:p w:rsidR="009A7E4C" w:rsidRPr="00686D5A" w:rsidRDefault="009A7E4C" w:rsidP="009F5530">
      <w:pPr>
        <w:pStyle w:val="ONUMFS"/>
        <w:rPr>
          <w:lang w:val="fr-FR"/>
        </w:rPr>
      </w:pPr>
      <w:r w:rsidRPr="00686D5A">
        <w:rPr>
          <w:lang w:val="fr-FR"/>
        </w:rPr>
        <w:t>Conformément à la Charte de la supervision interne,</w:t>
      </w:r>
      <w:r w:rsidR="00D565F4" w:rsidRPr="00686D5A">
        <w:rPr>
          <w:lang w:val="fr-FR"/>
        </w:rPr>
        <w:t xml:space="preserve"> la</w:t>
      </w:r>
      <w:r w:rsidR="00D565F4">
        <w:rPr>
          <w:lang w:val="fr-FR"/>
        </w:rPr>
        <w:t> DAS</w:t>
      </w:r>
      <w:r w:rsidR="00E90725">
        <w:rPr>
          <w:lang w:val="fr-FR"/>
        </w:rPr>
        <w:t>I</w:t>
      </w:r>
      <w:r w:rsidRPr="00686D5A">
        <w:rPr>
          <w:lang w:val="fr-FR"/>
        </w:rPr>
        <w:t xml:space="preserve"> a tenu compte des facteurs suivants dans l</w:t>
      </w:r>
      <w:r w:rsidR="00D565F4">
        <w:rPr>
          <w:lang w:val="fr-FR"/>
        </w:rPr>
        <w:t>’</w:t>
      </w:r>
      <w:r w:rsidRPr="00686D5A">
        <w:rPr>
          <w:lang w:val="fr-FR"/>
        </w:rPr>
        <w:t xml:space="preserve">établissement de son programme de travail : évaluation des risques, pertinence, incidence au niveau national, cycle de supervision, observations présentées par la </w:t>
      </w:r>
      <w:r w:rsidR="002E193B">
        <w:rPr>
          <w:lang w:val="fr-FR"/>
        </w:rPr>
        <w:t xml:space="preserve">haute </w:t>
      </w:r>
      <w:r w:rsidRPr="00686D5A">
        <w:rPr>
          <w:lang w:val="fr-FR"/>
        </w:rPr>
        <w:t xml:space="preserve">direction </w:t>
      </w:r>
      <w:r w:rsidR="002E193B">
        <w:rPr>
          <w:lang w:val="fr-FR"/>
        </w:rPr>
        <w:t xml:space="preserve">et les chefs de programme </w:t>
      </w:r>
      <w:r w:rsidRPr="00686D5A">
        <w:rPr>
          <w:lang w:val="fr-FR"/>
        </w:rPr>
        <w:t>de l</w:t>
      </w:r>
      <w:r w:rsidR="00D565F4">
        <w:rPr>
          <w:lang w:val="fr-FR"/>
        </w:rPr>
        <w:t>’</w:t>
      </w:r>
      <w:r w:rsidRPr="00686D5A">
        <w:rPr>
          <w:lang w:val="fr-FR"/>
        </w:rPr>
        <w:t>OMPI et observations formulées par les États membres.  Elle a également pris en considération les ressources disponibles.</w:t>
      </w:r>
    </w:p>
    <w:p w:rsidR="009A7E4C" w:rsidRPr="00686D5A" w:rsidRDefault="009A7E4C" w:rsidP="009F5530">
      <w:pPr>
        <w:pStyle w:val="ONUMFS"/>
        <w:rPr>
          <w:lang w:val="fr-FR"/>
        </w:rPr>
      </w:pPr>
      <w:r w:rsidRPr="00686D5A">
        <w:rPr>
          <w:lang w:val="fr-FR"/>
        </w:rPr>
        <w:t xml:space="preserve">La </w:t>
      </w:r>
      <w:r w:rsidR="00E90725">
        <w:rPr>
          <w:lang w:val="fr-FR"/>
        </w:rPr>
        <w:t>DASI</w:t>
      </w:r>
      <w:r w:rsidRPr="00686D5A">
        <w:rPr>
          <w:lang w:val="fr-FR"/>
        </w:rPr>
        <w:t xml:space="preserve"> a mis au point une méthode d</w:t>
      </w:r>
      <w:r w:rsidR="00D565F4">
        <w:rPr>
          <w:lang w:val="fr-FR"/>
        </w:rPr>
        <w:t>’</w:t>
      </w:r>
      <w:r w:rsidRPr="00686D5A">
        <w:rPr>
          <w:lang w:val="fr-FR"/>
        </w:rPr>
        <w:t>évaluation des risques fondée sur les indications de l</w:t>
      </w:r>
      <w:r w:rsidR="00D565F4">
        <w:rPr>
          <w:lang w:val="fr-FR"/>
        </w:rPr>
        <w:t>’</w:t>
      </w:r>
      <w:r w:rsidRPr="00686D5A">
        <w:rPr>
          <w:lang w:val="fr-FR"/>
        </w:rPr>
        <w:t xml:space="preserve">Institut des auditeurs internes ainsi que sur les pratiques recommandées largement </w:t>
      </w:r>
      <w:r w:rsidRPr="00686D5A">
        <w:rPr>
          <w:lang w:val="fr-FR"/>
        </w:rPr>
        <w:lastRenderedPageBreak/>
        <w:t>admises en la matière.  Elle a utilisé sa propre méthodologie d</w:t>
      </w:r>
      <w:r w:rsidR="00D565F4">
        <w:rPr>
          <w:lang w:val="fr-FR"/>
        </w:rPr>
        <w:t>’</w:t>
      </w:r>
      <w:r w:rsidRPr="00686D5A">
        <w:rPr>
          <w:lang w:val="fr-FR"/>
        </w:rPr>
        <w:t>évaluation des risques</w:t>
      </w:r>
      <w:r w:rsidRPr="00686D5A">
        <w:rPr>
          <w:rStyle w:val="FootnoteReference"/>
          <w:szCs w:val="22"/>
          <w:lang w:val="fr-FR"/>
        </w:rPr>
        <w:footnoteReference w:id="2"/>
      </w:r>
      <w:r w:rsidRPr="00686D5A">
        <w:rPr>
          <w:lang w:val="fr-FR"/>
        </w:rPr>
        <w:t xml:space="preserve"> pour déterminer la portée de l</w:t>
      </w:r>
      <w:r w:rsidR="00D565F4">
        <w:rPr>
          <w:lang w:val="fr-FR"/>
        </w:rPr>
        <w:t>’</w:t>
      </w:r>
      <w:r w:rsidRPr="00686D5A">
        <w:rPr>
          <w:lang w:val="fr-FR"/>
        </w:rPr>
        <w:t>audit nécessaire pour l</w:t>
      </w:r>
      <w:r w:rsidR="00D565F4">
        <w:rPr>
          <w:lang w:val="fr-FR"/>
        </w:rPr>
        <w:t>’</w:t>
      </w:r>
      <w:r w:rsidRPr="00686D5A">
        <w:rPr>
          <w:lang w:val="fr-FR"/>
        </w:rPr>
        <w:t>exercice biennal en cours.</w:t>
      </w:r>
    </w:p>
    <w:p w:rsidR="009A7E4C" w:rsidRPr="00686D5A" w:rsidRDefault="009A7E4C" w:rsidP="009F5530">
      <w:pPr>
        <w:pStyle w:val="ONUMFS"/>
        <w:rPr>
          <w:lang w:val="fr-FR"/>
        </w:rPr>
      </w:pPr>
      <w:r w:rsidRPr="00686D5A">
        <w:rPr>
          <w:lang w:val="fr-FR"/>
        </w:rPr>
        <w:t xml:space="preserve">La </w:t>
      </w:r>
      <w:r w:rsidR="00E90725">
        <w:rPr>
          <w:lang w:val="fr-FR"/>
        </w:rPr>
        <w:t>DASI</w:t>
      </w:r>
      <w:r w:rsidRPr="00686D5A">
        <w:rPr>
          <w:lang w:val="fr-FR"/>
        </w:rPr>
        <w:t xml:space="preserve"> déploie également des efforts concertés pour inclure dans son programme en matière de supervision des domaines </w:t>
      </w:r>
      <w:r w:rsidRPr="00686D5A">
        <w:rPr>
          <w:lang w:val="fr-FR" w:eastAsia="fr-FR"/>
        </w:rPr>
        <w:t>qui soient conformes aux priorités de politique générale et de programme de l</w:t>
      </w:r>
      <w:r w:rsidR="00D565F4">
        <w:rPr>
          <w:lang w:val="fr-FR" w:eastAsia="fr-FR"/>
        </w:rPr>
        <w:t>’</w:t>
      </w:r>
      <w:r w:rsidRPr="00686D5A">
        <w:rPr>
          <w:lang w:val="fr-FR" w:eastAsia="fr-FR"/>
        </w:rPr>
        <w:t>OMPI, dans la mesure où celles</w:t>
      </w:r>
      <w:r w:rsidR="001F4EED">
        <w:rPr>
          <w:lang w:val="fr-FR" w:eastAsia="fr-FR"/>
        </w:rPr>
        <w:noBreakHyphen/>
      </w:r>
      <w:r w:rsidRPr="00686D5A">
        <w:rPr>
          <w:lang w:val="fr-FR" w:eastAsia="fr-FR"/>
        </w:rPr>
        <w:t xml:space="preserve">ci figurent dans des documents publics ou sont </w:t>
      </w:r>
      <w:r w:rsidRPr="00686D5A">
        <w:rPr>
          <w:rFonts w:eastAsia="Times New Roman"/>
          <w:lang w:val="fr-FR" w:eastAsia="fr-FR"/>
        </w:rPr>
        <w:t>communiquées à</w:t>
      </w:r>
      <w:r w:rsidR="00D565F4" w:rsidRPr="00686D5A">
        <w:rPr>
          <w:rFonts w:eastAsia="Times New Roman"/>
          <w:lang w:val="fr-FR" w:eastAsia="fr-FR"/>
        </w:rPr>
        <w:t xml:space="preserve"> la</w:t>
      </w:r>
      <w:r w:rsidR="00D565F4">
        <w:rPr>
          <w:rFonts w:eastAsia="Times New Roman"/>
          <w:lang w:val="fr-FR" w:eastAsia="fr-FR"/>
        </w:rPr>
        <w:t> DAS</w:t>
      </w:r>
      <w:r w:rsidR="00E90725">
        <w:rPr>
          <w:rFonts w:eastAsia="Times New Roman"/>
          <w:lang w:val="fr-FR" w:eastAsia="fr-FR"/>
        </w:rPr>
        <w:t>I</w:t>
      </w:r>
      <w:r w:rsidRPr="00686D5A">
        <w:rPr>
          <w:rFonts w:eastAsia="Times New Roman"/>
          <w:lang w:val="fr-FR" w:eastAsia="fr-FR"/>
        </w:rPr>
        <w:t xml:space="preserve">. </w:t>
      </w:r>
      <w:r w:rsidR="00D565F4" w:rsidRPr="00686D5A">
        <w:rPr>
          <w:rFonts w:eastAsia="Times New Roman"/>
          <w:lang w:val="fr-FR" w:eastAsia="fr-FR"/>
        </w:rPr>
        <w:t xml:space="preserve"> La</w:t>
      </w:r>
      <w:r w:rsidR="00D565F4">
        <w:rPr>
          <w:rFonts w:eastAsia="Times New Roman"/>
          <w:lang w:val="fr-FR" w:eastAsia="fr-FR"/>
        </w:rPr>
        <w:t> DAS</w:t>
      </w:r>
      <w:r w:rsidR="00E90725">
        <w:rPr>
          <w:rFonts w:eastAsia="Times New Roman"/>
          <w:lang w:val="fr-FR" w:eastAsia="fr-FR"/>
        </w:rPr>
        <w:t>I</w:t>
      </w:r>
      <w:r w:rsidRPr="00686D5A">
        <w:rPr>
          <w:rFonts w:eastAsia="Times New Roman"/>
          <w:lang w:val="fr-FR" w:eastAsia="fr-FR"/>
        </w:rPr>
        <w:t xml:space="preserve"> se tient informée des orientations de politique générale en consultant les documents stratégiques et opérationnels, tels ceux de l</w:t>
      </w:r>
      <w:r w:rsidR="00D565F4">
        <w:rPr>
          <w:rFonts w:eastAsia="Times New Roman"/>
          <w:lang w:val="fr-FR" w:eastAsia="fr-FR"/>
        </w:rPr>
        <w:t>’</w:t>
      </w:r>
      <w:r w:rsidRPr="00686D5A">
        <w:rPr>
          <w:rFonts w:eastAsia="Times New Roman"/>
          <w:lang w:val="fr-FR" w:eastAsia="fr-FR"/>
        </w:rPr>
        <w:t>Assemblée générale, du programme et budget, des comités permanents, ainsi que les révisions apportées au Statut et Règlement du personnel et les autres documents de programmation et de planification.  Par ailleurs, le directeur de</w:t>
      </w:r>
      <w:r w:rsidR="00D565F4" w:rsidRPr="00686D5A">
        <w:rPr>
          <w:rFonts w:eastAsia="Times New Roman"/>
          <w:lang w:val="fr-FR" w:eastAsia="fr-FR"/>
        </w:rPr>
        <w:t xml:space="preserve"> la</w:t>
      </w:r>
      <w:r w:rsidR="00D565F4">
        <w:rPr>
          <w:rFonts w:eastAsia="Times New Roman"/>
          <w:lang w:val="fr-FR" w:eastAsia="fr-FR"/>
        </w:rPr>
        <w:t> DAS</w:t>
      </w:r>
      <w:r w:rsidR="00E90725">
        <w:rPr>
          <w:rFonts w:eastAsia="Times New Roman"/>
          <w:lang w:val="fr-FR" w:eastAsia="fr-FR"/>
        </w:rPr>
        <w:t>I</w:t>
      </w:r>
      <w:r w:rsidRPr="00686D5A">
        <w:rPr>
          <w:rFonts w:eastAsia="Times New Roman"/>
          <w:lang w:val="fr-FR" w:eastAsia="fr-FR"/>
        </w:rPr>
        <w:t xml:space="preserve"> ou </w:t>
      </w:r>
      <w:r w:rsidR="002E193B">
        <w:rPr>
          <w:rFonts w:eastAsia="Times New Roman"/>
          <w:lang w:val="fr-FR" w:eastAsia="fr-FR"/>
        </w:rPr>
        <w:t>ses</w:t>
      </w:r>
      <w:r w:rsidR="002E193B" w:rsidRPr="00686D5A">
        <w:rPr>
          <w:rFonts w:eastAsia="Times New Roman"/>
          <w:lang w:val="fr-FR" w:eastAsia="fr-FR"/>
        </w:rPr>
        <w:t xml:space="preserve"> </w:t>
      </w:r>
      <w:r w:rsidRPr="00686D5A">
        <w:rPr>
          <w:rFonts w:eastAsia="Times New Roman"/>
          <w:lang w:val="fr-FR" w:eastAsia="fr-FR"/>
        </w:rPr>
        <w:t>suppléant</w:t>
      </w:r>
      <w:r w:rsidR="002E193B">
        <w:rPr>
          <w:rFonts w:eastAsia="Times New Roman"/>
          <w:lang w:val="fr-FR" w:eastAsia="fr-FR"/>
        </w:rPr>
        <w:t>s</w:t>
      </w:r>
      <w:r w:rsidRPr="00686D5A">
        <w:rPr>
          <w:rFonts w:eastAsia="Times New Roman"/>
          <w:lang w:val="fr-FR" w:eastAsia="fr-FR"/>
        </w:rPr>
        <w:t xml:space="preserve"> participe</w:t>
      </w:r>
      <w:r w:rsidR="002E193B">
        <w:rPr>
          <w:rFonts w:eastAsia="Times New Roman"/>
          <w:lang w:val="fr-FR" w:eastAsia="fr-FR"/>
        </w:rPr>
        <w:t>nt</w:t>
      </w:r>
      <w:r w:rsidRPr="00686D5A">
        <w:rPr>
          <w:rFonts w:eastAsia="Times New Roman"/>
          <w:lang w:val="fr-FR" w:eastAsia="fr-FR"/>
        </w:rPr>
        <w:t xml:space="preserve"> aux réunions ordinaires et ad</w:t>
      </w:r>
      <w:r w:rsidR="00413B67" w:rsidRPr="00686D5A">
        <w:rPr>
          <w:rFonts w:eastAsia="Times New Roman"/>
          <w:lang w:val="fr-FR" w:eastAsia="fr-FR"/>
        </w:rPr>
        <w:t> </w:t>
      </w:r>
      <w:r w:rsidRPr="00686D5A">
        <w:rPr>
          <w:rFonts w:eastAsia="Times New Roman"/>
          <w:lang w:val="fr-FR" w:eastAsia="fr-FR"/>
        </w:rPr>
        <w:t xml:space="preserve">hoc de la haute direction convoquées par le Directeur général ou aux réunions </w:t>
      </w:r>
      <w:r w:rsidR="002E193B">
        <w:rPr>
          <w:rFonts w:eastAsia="Times New Roman"/>
          <w:lang w:val="fr-FR" w:eastAsia="fr-FR"/>
        </w:rPr>
        <w:t>régulières</w:t>
      </w:r>
      <w:r w:rsidR="002E193B" w:rsidRPr="00686D5A">
        <w:rPr>
          <w:rFonts w:eastAsia="Times New Roman"/>
          <w:lang w:val="fr-FR" w:eastAsia="fr-FR"/>
        </w:rPr>
        <w:t xml:space="preserve"> </w:t>
      </w:r>
      <w:r w:rsidRPr="00686D5A">
        <w:rPr>
          <w:rFonts w:eastAsia="Times New Roman"/>
          <w:lang w:val="fr-FR" w:eastAsia="fr-FR"/>
        </w:rPr>
        <w:t>en tête à tête avec ce dernier</w:t>
      </w:r>
      <w:r w:rsidRPr="00686D5A">
        <w:rPr>
          <w:lang w:val="fr-FR"/>
        </w:rPr>
        <w:t>.  Dans le cadre de ces processus,</w:t>
      </w:r>
      <w:r w:rsidR="00D565F4" w:rsidRPr="00686D5A">
        <w:rPr>
          <w:lang w:val="fr-FR"/>
        </w:rPr>
        <w:t xml:space="preserve"> la</w:t>
      </w:r>
      <w:r w:rsidR="00D565F4">
        <w:rPr>
          <w:lang w:val="fr-FR"/>
        </w:rPr>
        <w:t> DAS</w:t>
      </w:r>
      <w:r w:rsidR="00E90725">
        <w:rPr>
          <w:lang w:val="fr-FR"/>
        </w:rPr>
        <w:t>I</w:t>
      </w:r>
      <w:r w:rsidRPr="00686D5A">
        <w:rPr>
          <w:lang w:val="fr-FR"/>
        </w:rPr>
        <w:t xml:space="preserve"> s</w:t>
      </w:r>
      <w:r w:rsidR="00D565F4">
        <w:rPr>
          <w:lang w:val="fr-FR"/>
        </w:rPr>
        <w:t>’</w:t>
      </w:r>
      <w:r w:rsidRPr="00686D5A">
        <w:rPr>
          <w:lang w:val="fr-FR"/>
        </w:rPr>
        <w:t>informe des priorités programmatiques et des objectifs généraux de l</w:t>
      </w:r>
      <w:r w:rsidR="00D565F4">
        <w:rPr>
          <w:lang w:val="fr-FR"/>
        </w:rPr>
        <w:t>’</w:t>
      </w:r>
      <w:r w:rsidRPr="00686D5A">
        <w:rPr>
          <w:lang w:val="fr-FR"/>
        </w:rPr>
        <w:t>Organisation.</w:t>
      </w:r>
    </w:p>
    <w:p w:rsidR="009A7E4C" w:rsidRPr="00686D5A" w:rsidRDefault="009A7E4C" w:rsidP="009F5530">
      <w:pPr>
        <w:pStyle w:val="ONUMFS"/>
        <w:rPr>
          <w:lang w:val="fr-FR"/>
        </w:rPr>
      </w:pPr>
      <w:r w:rsidRPr="00686D5A">
        <w:rPr>
          <w:lang w:val="fr-FR"/>
        </w:rPr>
        <w:t xml:space="preserve">Dans </w:t>
      </w:r>
      <w:r w:rsidRPr="00686D5A">
        <w:rPr>
          <w:lang w:val="fr-FR" w:eastAsia="fr-FR"/>
        </w:rPr>
        <w:t>l</w:t>
      </w:r>
      <w:r w:rsidR="00D565F4">
        <w:rPr>
          <w:lang w:val="fr-FR" w:eastAsia="fr-FR"/>
        </w:rPr>
        <w:t>’</w:t>
      </w:r>
      <w:r w:rsidRPr="00686D5A">
        <w:rPr>
          <w:lang w:val="fr-FR" w:eastAsia="fr-FR"/>
        </w:rPr>
        <w:t>élaboration de son programme de travail,</w:t>
      </w:r>
      <w:r w:rsidR="00D565F4" w:rsidRPr="00686D5A">
        <w:rPr>
          <w:lang w:val="fr-FR" w:eastAsia="fr-FR"/>
        </w:rPr>
        <w:t xml:space="preserve"> la</w:t>
      </w:r>
      <w:r w:rsidR="00D565F4">
        <w:rPr>
          <w:lang w:val="fr-FR" w:eastAsia="fr-FR"/>
        </w:rPr>
        <w:t> DAS</w:t>
      </w:r>
      <w:r w:rsidR="00E90725">
        <w:rPr>
          <w:lang w:val="fr-FR" w:eastAsia="fr-FR"/>
        </w:rPr>
        <w:t>I</w:t>
      </w:r>
      <w:r w:rsidRPr="00686D5A">
        <w:rPr>
          <w:lang w:val="fr-FR" w:eastAsia="fr-FR"/>
        </w:rPr>
        <w:t xml:space="preserve"> a également pris en considération les travaux menés par d</w:t>
      </w:r>
      <w:r w:rsidR="00D565F4">
        <w:rPr>
          <w:lang w:val="fr-FR" w:eastAsia="fr-FR"/>
        </w:rPr>
        <w:t>’</w:t>
      </w:r>
      <w:r w:rsidRPr="00686D5A">
        <w:rPr>
          <w:lang w:val="fr-FR" w:eastAsia="fr-FR"/>
        </w:rPr>
        <w:t xml:space="preserve">autres organes de supervision, tels que le vérificateur </w:t>
      </w:r>
      <w:r w:rsidRPr="00686D5A">
        <w:rPr>
          <w:rFonts w:eastAsia="Times New Roman"/>
          <w:lang w:val="fr-FR" w:eastAsia="fr-FR"/>
        </w:rPr>
        <w:t>externe des comptes ou le Corps commun d</w:t>
      </w:r>
      <w:r w:rsidR="00D565F4">
        <w:rPr>
          <w:rFonts w:eastAsia="Times New Roman"/>
          <w:lang w:val="fr-FR" w:eastAsia="fr-FR"/>
        </w:rPr>
        <w:t>’</w:t>
      </w:r>
      <w:r w:rsidRPr="00686D5A">
        <w:rPr>
          <w:rFonts w:eastAsia="Times New Roman"/>
          <w:lang w:val="fr-FR" w:eastAsia="fr-FR"/>
        </w:rPr>
        <w:t>inspection (CCI), de même que les évaluations que le Comité du développement et de la propriété intellectue</w:t>
      </w:r>
      <w:r w:rsidR="009F5530" w:rsidRPr="00686D5A">
        <w:rPr>
          <w:rFonts w:eastAsia="Times New Roman"/>
          <w:lang w:val="fr-FR" w:eastAsia="fr-FR"/>
        </w:rPr>
        <w:t>lle (CDIP) a fait réaliser.  La </w:t>
      </w:r>
      <w:r w:rsidRPr="00686D5A">
        <w:rPr>
          <w:rFonts w:eastAsia="Times New Roman"/>
          <w:lang w:val="fr-FR" w:eastAsia="fr-FR"/>
        </w:rPr>
        <w:t>coordination avec ces organes de supervision permet à</w:t>
      </w:r>
      <w:r w:rsidR="00D565F4" w:rsidRPr="00686D5A">
        <w:rPr>
          <w:rFonts w:eastAsia="Times New Roman"/>
          <w:lang w:val="fr-FR" w:eastAsia="fr-FR"/>
        </w:rPr>
        <w:t xml:space="preserve"> la</w:t>
      </w:r>
      <w:r w:rsidR="00D565F4">
        <w:rPr>
          <w:rFonts w:eastAsia="Times New Roman"/>
          <w:lang w:val="fr-FR" w:eastAsia="fr-FR"/>
        </w:rPr>
        <w:t> DAS</w:t>
      </w:r>
      <w:r w:rsidR="00E90725">
        <w:rPr>
          <w:rFonts w:eastAsia="Times New Roman"/>
          <w:lang w:val="fr-FR" w:eastAsia="fr-FR"/>
        </w:rPr>
        <w:t>I</w:t>
      </w:r>
      <w:r w:rsidRPr="00686D5A">
        <w:rPr>
          <w:rFonts w:eastAsia="Times New Roman"/>
          <w:lang w:val="fr-FR" w:eastAsia="fr-FR"/>
        </w:rPr>
        <w:t xml:space="preserve"> d</w:t>
      </w:r>
      <w:r w:rsidR="00D565F4">
        <w:rPr>
          <w:rFonts w:eastAsia="Times New Roman"/>
          <w:lang w:val="fr-FR" w:eastAsia="fr-FR"/>
        </w:rPr>
        <w:t>’</w:t>
      </w:r>
      <w:r w:rsidRPr="00686D5A">
        <w:rPr>
          <w:rFonts w:eastAsia="Times New Roman"/>
          <w:lang w:val="fr-FR" w:eastAsia="fr-FR"/>
        </w:rPr>
        <w:t xml:space="preserve">assurer une couverture appropriée, tout en évitant une “lassitude” </w:t>
      </w:r>
      <w:r w:rsidR="002E193B">
        <w:rPr>
          <w:rFonts w:eastAsia="Times New Roman"/>
          <w:lang w:val="fr-FR" w:eastAsia="fr-FR"/>
        </w:rPr>
        <w:t>des</w:t>
      </w:r>
      <w:r w:rsidRPr="00686D5A">
        <w:rPr>
          <w:rFonts w:eastAsia="Times New Roman"/>
          <w:lang w:val="fr-FR" w:eastAsia="fr-FR"/>
        </w:rPr>
        <w:t xml:space="preserve"> secteurs qui pourraient, par exemple, faire l</w:t>
      </w:r>
      <w:r w:rsidR="00D565F4">
        <w:rPr>
          <w:rFonts w:eastAsia="Times New Roman"/>
          <w:lang w:val="fr-FR" w:eastAsia="fr-FR"/>
        </w:rPr>
        <w:t>’</w:t>
      </w:r>
      <w:r w:rsidRPr="00686D5A">
        <w:rPr>
          <w:rFonts w:eastAsia="Times New Roman"/>
          <w:lang w:val="fr-FR" w:eastAsia="fr-FR"/>
        </w:rPr>
        <w:t>objet de multiples activités de supervision, d</w:t>
      </w:r>
      <w:r w:rsidR="00D565F4">
        <w:rPr>
          <w:rFonts w:eastAsia="Times New Roman"/>
          <w:lang w:val="fr-FR" w:eastAsia="fr-FR"/>
        </w:rPr>
        <w:t>’</w:t>
      </w:r>
      <w:r w:rsidRPr="00686D5A">
        <w:rPr>
          <w:rFonts w:eastAsia="Times New Roman"/>
          <w:lang w:val="fr-FR" w:eastAsia="fr-FR"/>
        </w:rPr>
        <w:t xml:space="preserve">un audit </w:t>
      </w:r>
      <w:r w:rsidR="002E193B">
        <w:rPr>
          <w:rFonts w:eastAsia="Times New Roman"/>
          <w:lang w:val="fr-FR" w:eastAsia="fr-FR"/>
        </w:rPr>
        <w:t>interne</w:t>
      </w:r>
      <w:r w:rsidR="002E193B" w:rsidRPr="00686D5A">
        <w:rPr>
          <w:rFonts w:eastAsia="Times New Roman"/>
          <w:lang w:val="fr-FR" w:eastAsia="fr-FR"/>
        </w:rPr>
        <w:t xml:space="preserve"> </w:t>
      </w:r>
      <w:r w:rsidRPr="00686D5A">
        <w:rPr>
          <w:rFonts w:eastAsia="Times New Roman"/>
          <w:lang w:val="fr-FR" w:eastAsia="fr-FR"/>
        </w:rPr>
        <w:t>et d</w:t>
      </w:r>
      <w:r w:rsidR="00D565F4">
        <w:rPr>
          <w:rFonts w:eastAsia="Times New Roman"/>
          <w:lang w:val="fr-FR" w:eastAsia="fr-FR"/>
        </w:rPr>
        <w:t>’</w:t>
      </w:r>
      <w:r w:rsidRPr="00686D5A">
        <w:rPr>
          <w:rFonts w:eastAsia="Times New Roman"/>
          <w:lang w:val="fr-FR" w:eastAsia="fr-FR"/>
        </w:rPr>
        <w:t xml:space="preserve">une vérification </w:t>
      </w:r>
      <w:r w:rsidR="002E193B">
        <w:rPr>
          <w:rFonts w:eastAsia="Times New Roman"/>
          <w:lang w:val="fr-FR" w:eastAsia="fr-FR"/>
        </w:rPr>
        <w:t>ex</w:t>
      </w:r>
      <w:r w:rsidRPr="00686D5A">
        <w:rPr>
          <w:rFonts w:eastAsia="Times New Roman"/>
          <w:lang w:val="fr-FR" w:eastAsia="fr-FR"/>
        </w:rPr>
        <w:t>terne</w:t>
      </w:r>
      <w:r w:rsidRPr="00686D5A">
        <w:rPr>
          <w:lang w:val="fr-FR"/>
        </w:rPr>
        <w:t>.</w:t>
      </w:r>
    </w:p>
    <w:p w:rsidR="009A7E4C" w:rsidRPr="00686D5A" w:rsidRDefault="009A7E4C" w:rsidP="009F5530">
      <w:pPr>
        <w:pStyle w:val="ONUMFS"/>
        <w:rPr>
          <w:lang w:val="fr-FR"/>
        </w:rPr>
      </w:pPr>
      <w:r w:rsidRPr="00686D5A">
        <w:rPr>
          <w:lang w:val="fr-FR"/>
        </w:rPr>
        <w:t xml:space="preserve">Conformément à la Charte de </w:t>
      </w:r>
      <w:r w:rsidR="002E193B">
        <w:rPr>
          <w:lang w:val="fr-FR"/>
        </w:rPr>
        <w:t>la supervision</w:t>
      </w:r>
      <w:r w:rsidR="002E193B" w:rsidRPr="00686D5A">
        <w:rPr>
          <w:lang w:val="fr-FR"/>
        </w:rPr>
        <w:t xml:space="preserve"> </w:t>
      </w:r>
      <w:r w:rsidRPr="00686D5A">
        <w:rPr>
          <w:lang w:val="fr-FR"/>
        </w:rPr>
        <w:t>interne,</w:t>
      </w:r>
      <w:r w:rsidR="00D565F4" w:rsidRPr="00686D5A">
        <w:rPr>
          <w:lang w:val="fr-FR"/>
        </w:rPr>
        <w:t xml:space="preserve"> la</w:t>
      </w:r>
      <w:r w:rsidR="00D565F4">
        <w:rPr>
          <w:lang w:val="fr-FR"/>
        </w:rPr>
        <w:t> DAS</w:t>
      </w:r>
      <w:r w:rsidR="00E90725">
        <w:rPr>
          <w:lang w:val="fr-FR"/>
        </w:rPr>
        <w:t>I</w:t>
      </w:r>
      <w:r w:rsidRPr="00686D5A">
        <w:rPr>
          <w:lang w:val="fr-FR"/>
        </w:rPr>
        <w:t xml:space="preserve"> a tenu compte, tout au long du processus de planification, des observations émanant des États membres, de l</w:t>
      </w:r>
      <w:r w:rsidR="00D565F4">
        <w:rPr>
          <w:lang w:val="fr-FR"/>
        </w:rPr>
        <w:t>’</w:t>
      </w:r>
      <w:r w:rsidRPr="00686D5A">
        <w:rPr>
          <w:lang w:val="fr-FR"/>
        </w:rPr>
        <w:t xml:space="preserve">OCIS, du Directeur général et de la </w:t>
      </w:r>
      <w:r w:rsidR="002E193B">
        <w:rPr>
          <w:lang w:val="fr-FR"/>
        </w:rPr>
        <w:t xml:space="preserve">haute </w:t>
      </w:r>
      <w:r w:rsidRPr="00686D5A">
        <w:rPr>
          <w:lang w:val="fr-FR"/>
        </w:rPr>
        <w:t>direction.</w:t>
      </w:r>
    </w:p>
    <w:p w:rsidR="009A7E4C" w:rsidRPr="00686D5A" w:rsidRDefault="009F5530" w:rsidP="009F5530">
      <w:pPr>
        <w:pStyle w:val="ONUMFS"/>
        <w:rPr>
          <w:lang w:val="fr-FR"/>
        </w:rPr>
      </w:pPr>
      <w:r w:rsidRPr="00686D5A">
        <w:rPr>
          <w:lang w:val="fr-FR"/>
        </w:rPr>
        <w:t>Enfin, en ce</w:t>
      </w:r>
      <w:r w:rsidR="009A7E4C" w:rsidRPr="00686D5A">
        <w:rPr>
          <w:lang w:val="fr-FR"/>
        </w:rPr>
        <w:t xml:space="preserve"> qui concerne les enquêtes,</w:t>
      </w:r>
      <w:r w:rsidR="00D565F4" w:rsidRPr="00686D5A">
        <w:rPr>
          <w:lang w:val="fr-FR"/>
        </w:rPr>
        <w:t xml:space="preserve"> la</w:t>
      </w:r>
      <w:r w:rsidR="00D565F4">
        <w:rPr>
          <w:lang w:val="fr-FR"/>
        </w:rPr>
        <w:t> DAS</w:t>
      </w:r>
      <w:r w:rsidR="00E90725">
        <w:rPr>
          <w:lang w:val="fr-FR"/>
        </w:rPr>
        <w:t>I</w:t>
      </w:r>
      <w:r w:rsidR="009A7E4C" w:rsidRPr="00686D5A">
        <w:rPr>
          <w:lang w:val="fr-FR"/>
        </w:rPr>
        <w:t xml:space="preserve"> s</w:t>
      </w:r>
      <w:r w:rsidR="00D565F4">
        <w:rPr>
          <w:lang w:val="fr-FR"/>
        </w:rPr>
        <w:t>’</w:t>
      </w:r>
      <w:r w:rsidR="009A7E4C" w:rsidRPr="00686D5A">
        <w:rPr>
          <w:lang w:val="fr-FR"/>
        </w:rPr>
        <w:t>est efforcée de traiter en temps voulu les plaintes reçues.  Des résultats importants ont été atteints dans ce domaine au cours de la période considérée, ainsi qu</w:t>
      </w:r>
      <w:r w:rsidR="00D565F4">
        <w:rPr>
          <w:lang w:val="fr-FR"/>
        </w:rPr>
        <w:t>’</w:t>
      </w:r>
      <w:r w:rsidR="009A7E4C" w:rsidRPr="00686D5A">
        <w:rPr>
          <w:lang w:val="fr-FR"/>
        </w:rPr>
        <w:t>il est indiqué dans la section intitulée “Activités d</w:t>
      </w:r>
      <w:r w:rsidR="00D565F4">
        <w:rPr>
          <w:lang w:val="fr-FR"/>
        </w:rPr>
        <w:t>’</w:t>
      </w:r>
      <w:r w:rsidR="009A7E4C" w:rsidRPr="00686D5A">
        <w:rPr>
          <w:lang w:val="fr-FR"/>
        </w:rPr>
        <w:t>enquête”.  Cela a permis à</w:t>
      </w:r>
      <w:r w:rsidR="00D565F4" w:rsidRPr="00686D5A">
        <w:rPr>
          <w:lang w:val="fr-FR"/>
        </w:rPr>
        <w:t xml:space="preserve"> la</w:t>
      </w:r>
      <w:r w:rsidR="00D565F4">
        <w:rPr>
          <w:lang w:val="fr-FR"/>
        </w:rPr>
        <w:t> DAS</w:t>
      </w:r>
      <w:r w:rsidR="00E90725">
        <w:rPr>
          <w:lang w:val="fr-FR"/>
        </w:rPr>
        <w:t>I</w:t>
      </w:r>
      <w:r w:rsidR="009A7E4C" w:rsidRPr="00686D5A">
        <w:rPr>
          <w:lang w:val="fr-FR"/>
        </w:rPr>
        <w:t xml:space="preserve"> de prendre davantage d</w:t>
      </w:r>
      <w:r w:rsidR="00D565F4">
        <w:rPr>
          <w:lang w:val="fr-FR"/>
        </w:rPr>
        <w:t>’</w:t>
      </w:r>
      <w:r w:rsidR="009A7E4C" w:rsidRPr="00686D5A">
        <w:rPr>
          <w:lang w:val="fr-FR"/>
        </w:rPr>
        <w:t>initiatives dans le domaine de la prévention des fraudes, de la dissuasion et de la détection.</w:t>
      </w:r>
    </w:p>
    <w:p w:rsidR="009A7E4C" w:rsidRPr="00686D5A" w:rsidRDefault="009A7E4C" w:rsidP="009F5530">
      <w:pPr>
        <w:pStyle w:val="ONUMFS"/>
        <w:rPr>
          <w:lang w:val="fr-FR"/>
        </w:rPr>
      </w:pPr>
      <w:r w:rsidRPr="00686D5A">
        <w:rPr>
          <w:lang w:val="fr-FR"/>
        </w:rPr>
        <w:t>Les programmes en matière de supervision pour 2013 et 2014 ont été distribués aux chefs de programme et ont été communiqués à tous les membres du personnel de l</w:t>
      </w:r>
      <w:r w:rsidR="00D565F4">
        <w:rPr>
          <w:lang w:val="fr-FR"/>
        </w:rPr>
        <w:t>’</w:t>
      </w:r>
      <w:r w:rsidRPr="00686D5A">
        <w:rPr>
          <w:lang w:val="fr-FR"/>
        </w:rPr>
        <w:t xml:space="preserve">OMPI </w:t>
      </w:r>
      <w:r w:rsidR="002E193B">
        <w:rPr>
          <w:lang w:val="fr-FR"/>
        </w:rPr>
        <w:t>via</w:t>
      </w:r>
      <w:r w:rsidRPr="00686D5A">
        <w:rPr>
          <w:lang w:val="fr-FR"/>
        </w:rPr>
        <w:t xml:space="preserve"> l</w:t>
      </w:r>
      <w:r w:rsidR="00D565F4">
        <w:rPr>
          <w:lang w:val="fr-FR"/>
        </w:rPr>
        <w:t>’</w:t>
      </w:r>
      <w:r w:rsidRPr="00686D5A">
        <w:rPr>
          <w:lang w:val="fr-FR"/>
        </w:rPr>
        <w:t>Intranet de l</w:t>
      </w:r>
      <w:r w:rsidR="00D565F4">
        <w:rPr>
          <w:lang w:val="fr-FR"/>
        </w:rPr>
        <w:t>’</w:t>
      </w:r>
      <w:r w:rsidRPr="00686D5A">
        <w:rPr>
          <w:lang w:val="fr-FR"/>
        </w:rPr>
        <w:t>Organisation.  Le programme pour 2013, à l</w:t>
      </w:r>
      <w:r w:rsidR="00D565F4">
        <w:rPr>
          <w:lang w:val="fr-FR"/>
        </w:rPr>
        <w:t>’</w:t>
      </w:r>
      <w:r w:rsidRPr="00686D5A">
        <w:rPr>
          <w:lang w:val="fr-FR"/>
        </w:rPr>
        <w:t>exception d</w:t>
      </w:r>
      <w:r w:rsidR="00D565F4">
        <w:rPr>
          <w:lang w:val="fr-FR"/>
        </w:rPr>
        <w:t>’</w:t>
      </w:r>
      <w:r w:rsidRPr="00686D5A">
        <w:rPr>
          <w:lang w:val="fr-FR"/>
        </w:rPr>
        <w:t>ajustements mineurs, a été mené à bien dans les délais et les limites du budget.  Le programme pour 2014 est actuellement mis en œuvre tel que décrit à l</w:t>
      </w:r>
      <w:r w:rsidR="00D565F4">
        <w:rPr>
          <w:lang w:val="fr-FR"/>
        </w:rPr>
        <w:t>’</w:t>
      </w:r>
      <w:r w:rsidRPr="00686D5A">
        <w:rPr>
          <w:lang w:val="fr-FR"/>
        </w:rPr>
        <w:t>annexe I.</w:t>
      </w:r>
    </w:p>
    <w:p w:rsidR="009A7E4C" w:rsidRPr="00686D5A" w:rsidRDefault="009F5530" w:rsidP="009F5530">
      <w:pPr>
        <w:pStyle w:val="Heading1"/>
        <w:rPr>
          <w:lang w:val="fr-FR"/>
        </w:rPr>
      </w:pPr>
      <w:bookmarkStart w:id="8" w:name="_Toc393891965"/>
      <w:r w:rsidRPr="00686D5A">
        <w:rPr>
          <w:lang w:val="fr-FR"/>
        </w:rPr>
        <w:t>Principales conclusions et recommandations de la supervision interne</w:t>
      </w:r>
      <w:bookmarkEnd w:id="8"/>
    </w:p>
    <w:p w:rsidR="009A7E4C" w:rsidRPr="00686D5A" w:rsidRDefault="009A7E4C" w:rsidP="009F5530">
      <w:pPr>
        <w:pStyle w:val="ONUMFS"/>
        <w:rPr>
          <w:lang w:val="fr-FR"/>
        </w:rPr>
      </w:pPr>
      <w:r w:rsidRPr="00686D5A">
        <w:rPr>
          <w:lang w:val="fr-FR"/>
        </w:rPr>
        <w:t xml:space="preserve">Les </w:t>
      </w:r>
      <w:r w:rsidRPr="00686D5A">
        <w:rPr>
          <w:rFonts w:eastAsia="Times New Roman"/>
          <w:lang w:val="fr-FR" w:eastAsia="fr-FR"/>
        </w:rPr>
        <w:t>rapports établis par</w:t>
      </w:r>
      <w:r w:rsidR="00D565F4" w:rsidRPr="00686D5A">
        <w:rPr>
          <w:rFonts w:eastAsia="Times New Roman"/>
          <w:lang w:val="fr-FR" w:eastAsia="fr-FR"/>
        </w:rPr>
        <w:t xml:space="preserve"> la</w:t>
      </w:r>
      <w:r w:rsidR="00D565F4">
        <w:rPr>
          <w:rFonts w:eastAsia="Times New Roman"/>
          <w:lang w:val="fr-FR" w:eastAsia="fr-FR"/>
        </w:rPr>
        <w:t> DAS</w:t>
      </w:r>
      <w:r w:rsidR="00E90725">
        <w:rPr>
          <w:rFonts w:eastAsia="Times New Roman"/>
          <w:lang w:val="fr-FR" w:eastAsia="fr-FR"/>
        </w:rPr>
        <w:t>I</w:t>
      </w:r>
      <w:r w:rsidRPr="00686D5A">
        <w:rPr>
          <w:rFonts w:eastAsia="Times New Roman"/>
          <w:lang w:val="fr-FR" w:eastAsia="fr-FR"/>
        </w:rPr>
        <w:t xml:space="preserve"> touchent les domaines suivants</w:t>
      </w:r>
      <w:r w:rsidRPr="00686D5A">
        <w:rPr>
          <w:rStyle w:val="FootnoteReference"/>
          <w:szCs w:val="22"/>
          <w:lang w:val="fr-FR"/>
        </w:rPr>
        <w:footnoteReference w:id="3"/>
      </w:r>
      <w:r w:rsidRPr="00686D5A">
        <w:rPr>
          <w:rFonts w:eastAsia="Times New Roman"/>
          <w:lang w:val="fr-FR" w:eastAsia="fr-FR"/>
        </w:rPr>
        <w:t> </w:t>
      </w:r>
      <w:r w:rsidRPr="00686D5A">
        <w:rPr>
          <w:lang w:val="fr-FR"/>
        </w:rPr>
        <w:t>: gestion des programmes et des projets par le biais de différents a</w:t>
      </w:r>
      <w:r w:rsidR="002E193B">
        <w:rPr>
          <w:lang w:val="fr-FR"/>
        </w:rPr>
        <w:t>udits et évaluations</w:t>
      </w:r>
      <w:r w:rsidRPr="00686D5A">
        <w:rPr>
          <w:lang w:val="fr-FR"/>
        </w:rPr>
        <w:t xml:space="preserve">, processus de création de recettes au titre des systèmes de Madrid et de La Haye, gestion des ressources humaines, gestion des manifestations officielles, partage des connaissances et sécurité </w:t>
      </w:r>
      <w:r w:rsidRPr="00686D5A">
        <w:rPr>
          <w:lang w:val="fr-FR"/>
        </w:rPr>
        <w:lastRenderedPageBreak/>
        <w:t>informatique.  Conformément à la Charte de la supervision interne, les observations ci</w:t>
      </w:r>
      <w:r w:rsidR="001F4EED">
        <w:rPr>
          <w:lang w:val="fr-FR"/>
        </w:rPr>
        <w:noBreakHyphen/>
      </w:r>
      <w:r w:rsidRPr="00686D5A">
        <w:rPr>
          <w:lang w:val="fr-FR"/>
        </w:rPr>
        <w:t>après rendent compte des résultats du travail de supervision effectué au cours de la période considérée.</w:t>
      </w:r>
    </w:p>
    <w:p w:rsidR="009A7E4C" w:rsidRPr="00686D5A" w:rsidRDefault="009A7E4C" w:rsidP="009F5530">
      <w:pPr>
        <w:pStyle w:val="ONUMFS"/>
        <w:rPr>
          <w:lang w:val="fr-FR"/>
        </w:rPr>
      </w:pPr>
      <w:r w:rsidRPr="00686D5A">
        <w:rPr>
          <w:lang w:val="fr-FR"/>
        </w:rPr>
        <w:t>La direction a déjà pris des mesures pour remédier aux problèmes recensés.  Toutes les recommandations de</w:t>
      </w:r>
      <w:r w:rsidR="00D565F4" w:rsidRPr="00686D5A">
        <w:rPr>
          <w:lang w:val="fr-FR"/>
        </w:rPr>
        <w:t xml:space="preserve"> la</w:t>
      </w:r>
      <w:r w:rsidR="00D565F4">
        <w:rPr>
          <w:lang w:val="fr-FR"/>
        </w:rPr>
        <w:t> DAS</w:t>
      </w:r>
      <w:r w:rsidR="00E90725">
        <w:rPr>
          <w:lang w:val="fr-FR"/>
        </w:rPr>
        <w:t>I</w:t>
      </w:r>
      <w:r w:rsidRPr="00686D5A">
        <w:rPr>
          <w:lang w:val="fr-FR"/>
        </w:rPr>
        <w:t xml:space="preserve"> sont mises en œuvre par la direction sous la forme d</w:t>
      </w:r>
      <w:r w:rsidR="00D565F4">
        <w:rPr>
          <w:lang w:val="fr-FR"/>
        </w:rPr>
        <w:t>’</w:t>
      </w:r>
      <w:r w:rsidRPr="00686D5A">
        <w:rPr>
          <w:lang w:val="fr-FR"/>
        </w:rPr>
        <w:t>un plan comprenant les suggestions d</w:t>
      </w:r>
      <w:r w:rsidR="00D565F4">
        <w:rPr>
          <w:lang w:val="fr-FR"/>
        </w:rPr>
        <w:t>’</w:t>
      </w:r>
      <w:r w:rsidRPr="00686D5A">
        <w:rPr>
          <w:lang w:val="fr-FR"/>
        </w:rPr>
        <w:t xml:space="preserve">activités, les noms des membres du personnel </w:t>
      </w:r>
      <w:r w:rsidR="004A4314">
        <w:rPr>
          <w:lang w:val="fr-FR"/>
        </w:rPr>
        <w:t>responsable</w:t>
      </w:r>
      <w:r w:rsidR="00E5785D">
        <w:rPr>
          <w:lang w:val="fr-FR"/>
        </w:rPr>
        <w:t>s de</w:t>
      </w:r>
      <w:r w:rsidR="004A4314">
        <w:rPr>
          <w:lang w:val="fr-FR"/>
        </w:rPr>
        <w:t xml:space="preserve"> la mise en œuvre de la recommandation</w:t>
      </w:r>
      <w:r w:rsidR="004A4314" w:rsidRPr="00686D5A">
        <w:rPr>
          <w:lang w:val="fr-FR"/>
        </w:rPr>
        <w:t xml:space="preserve"> </w:t>
      </w:r>
      <w:r w:rsidRPr="00686D5A">
        <w:rPr>
          <w:lang w:val="fr-FR"/>
        </w:rPr>
        <w:t>et une date</w:t>
      </w:r>
      <w:r w:rsidR="001F4EED">
        <w:rPr>
          <w:lang w:val="fr-FR"/>
        </w:rPr>
        <w:noBreakHyphen/>
      </w:r>
      <w:r w:rsidRPr="00686D5A">
        <w:rPr>
          <w:lang w:val="fr-FR"/>
        </w:rPr>
        <w:t>butoir.  Les plans d</w:t>
      </w:r>
      <w:r w:rsidR="00D565F4">
        <w:rPr>
          <w:lang w:val="fr-FR"/>
        </w:rPr>
        <w:t>’</w:t>
      </w:r>
      <w:r w:rsidRPr="00686D5A">
        <w:rPr>
          <w:lang w:val="fr-FR"/>
        </w:rPr>
        <w:t>action de la direction sont émis avec les rapports de</w:t>
      </w:r>
      <w:r w:rsidR="00D565F4" w:rsidRPr="00686D5A">
        <w:rPr>
          <w:lang w:val="fr-FR"/>
        </w:rPr>
        <w:t xml:space="preserve"> la</w:t>
      </w:r>
      <w:r w:rsidR="00D565F4">
        <w:rPr>
          <w:lang w:val="fr-FR"/>
        </w:rPr>
        <w:t> DAS</w:t>
      </w:r>
      <w:r w:rsidR="00E90725">
        <w:rPr>
          <w:lang w:val="fr-FR"/>
        </w:rPr>
        <w:t>I</w:t>
      </w:r>
      <w:r w:rsidRPr="00686D5A">
        <w:rPr>
          <w:lang w:val="fr-FR"/>
        </w:rPr>
        <w:t xml:space="preserve"> ou sont examinés en détail au cours du mois suivant la publication du rapport. </w:t>
      </w:r>
      <w:r w:rsidR="00D565F4" w:rsidRPr="00686D5A">
        <w:rPr>
          <w:lang w:val="fr-FR"/>
        </w:rPr>
        <w:t xml:space="preserve"> La</w:t>
      </w:r>
      <w:r w:rsidR="00D565F4">
        <w:rPr>
          <w:lang w:val="fr-FR"/>
        </w:rPr>
        <w:t> DAS</w:t>
      </w:r>
      <w:r w:rsidR="00E90725">
        <w:rPr>
          <w:lang w:val="fr-FR"/>
        </w:rPr>
        <w:t>I</w:t>
      </w:r>
      <w:r w:rsidRPr="00686D5A">
        <w:rPr>
          <w:lang w:val="fr-FR"/>
        </w:rPr>
        <w:t xml:space="preserve"> et </w:t>
      </w:r>
      <w:r w:rsidR="004A4314">
        <w:rPr>
          <w:lang w:val="fr-FR"/>
        </w:rPr>
        <w:t>les chefs de programme</w:t>
      </w:r>
      <w:r w:rsidRPr="00686D5A">
        <w:rPr>
          <w:lang w:val="fr-FR"/>
        </w:rPr>
        <w:t xml:space="preserve"> se réunissent régulièrement pour passer en revue le niveau de mise en œuvre des recommandations restantes.</w:t>
      </w:r>
    </w:p>
    <w:p w:rsidR="009A7E4C" w:rsidRPr="00686D5A" w:rsidRDefault="009A7E4C" w:rsidP="009F5530">
      <w:pPr>
        <w:pStyle w:val="Heading2"/>
      </w:pPr>
      <w:r w:rsidRPr="00686D5A">
        <w:t>Gestion des performances</w:t>
      </w:r>
    </w:p>
    <w:p w:rsidR="009A7E4C" w:rsidRPr="00686D5A" w:rsidRDefault="009A7E4C" w:rsidP="009F5530">
      <w:pPr>
        <w:pStyle w:val="ONUMFS"/>
        <w:rPr>
          <w:lang w:val="fr-FR"/>
        </w:rPr>
      </w:pPr>
      <w:r w:rsidRPr="00686D5A">
        <w:rPr>
          <w:lang w:val="fr-FR"/>
        </w:rPr>
        <w:t>La validation du rapport sur l</w:t>
      </w:r>
      <w:r w:rsidR="00D565F4">
        <w:rPr>
          <w:lang w:val="fr-FR"/>
        </w:rPr>
        <w:t>’</w:t>
      </w:r>
      <w:r w:rsidRPr="00686D5A">
        <w:rPr>
          <w:lang w:val="fr-FR"/>
        </w:rPr>
        <w:t>exécution du programme</w:t>
      </w:r>
      <w:r w:rsidR="004A4314">
        <w:rPr>
          <w:lang w:val="fr-FR"/>
        </w:rPr>
        <w:t xml:space="preserve"> </w:t>
      </w:r>
      <w:r w:rsidR="00E5785D">
        <w:rPr>
          <w:lang w:val="fr-FR"/>
        </w:rPr>
        <w:t>en</w:t>
      </w:r>
      <w:r w:rsidR="00B859AA">
        <w:rPr>
          <w:lang w:val="fr-FR"/>
        </w:rPr>
        <w:t> </w:t>
      </w:r>
      <w:r w:rsidR="004A4314">
        <w:rPr>
          <w:lang w:val="fr-FR"/>
        </w:rPr>
        <w:t>2012</w:t>
      </w:r>
      <w:r w:rsidR="001F4EED">
        <w:rPr>
          <w:lang w:val="fr-FR"/>
        </w:rPr>
        <w:noBreakHyphen/>
      </w:r>
      <w:r w:rsidR="004A4314">
        <w:rPr>
          <w:lang w:val="fr-FR"/>
        </w:rPr>
        <w:t>2013</w:t>
      </w:r>
      <w:r w:rsidRPr="00686D5A">
        <w:rPr>
          <w:rStyle w:val="FootnoteReference"/>
          <w:lang w:val="fr-FR"/>
        </w:rPr>
        <w:footnoteReference w:id="4"/>
      </w:r>
      <w:r w:rsidRPr="00686D5A">
        <w:rPr>
          <w:lang w:val="fr-FR"/>
        </w:rPr>
        <w:t xml:space="preserve"> et l</w:t>
      </w:r>
      <w:r w:rsidR="00D565F4">
        <w:rPr>
          <w:lang w:val="fr-FR"/>
        </w:rPr>
        <w:t>’</w:t>
      </w:r>
      <w:r w:rsidRPr="00686D5A">
        <w:rPr>
          <w:lang w:val="fr-FR"/>
        </w:rPr>
        <w:t>audit de la gestion axée sur les résultats à l</w:t>
      </w:r>
      <w:r w:rsidR="00D565F4">
        <w:rPr>
          <w:lang w:val="fr-FR"/>
        </w:rPr>
        <w:t>’</w:t>
      </w:r>
      <w:r w:rsidRPr="00686D5A">
        <w:rPr>
          <w:lang w:val="fr-FR"/>
        </w:rPr>
        <w:t>OMPI ont permis de dresser le bilan des progrès réalisés en matière de gestion axée sur les résultats au sein de l</w:t>
      </w:r>
      <w:r w:rsidR="00D565F4">
        <w:rPr>
          <w:lang w:val="fr-FR"/>
        </w:rPr>
        <w:t>’</w:t>
      </w:r>
      <w:r w:rsidRPr="00686D5A">
        <w:rPr>
          <w:lang w:val="fr-FR"/>
        </w:rPr>
        <w:t>Organisation.</w:t>
      </w:r>
    </w:p>
    <w:p w:rsidR="009A7E4C" w:rsidRPr="00686D5A" w:rsidRDefault="009A7E4C" w:rsidP="009F5530">
      <w:pPr>
        <w:pStyle w:val="ONUMFS"/>
        <w:rPr>
          <w:lang w:val="fr-FR"/>
        </w:rPr>
      </w:pPr>
      <w:r w:rsidRPr="00686D5A">
        <w:rPr>
          <w:lang w:val="fr-FR"/>
        </w:rPr>
        <w:t xml:space="preserve">La </w:t>
      </w:r>
      <w:r w:rsidR="00E90725">
        <w:rPr>
          <w:lang w:val="fr-FR"/>
        </w:rPr>
        <w:t>DASI</w:t>
      </w:r>
      <w:r w:rsidRPr="00686D5A">
        <w:rPr>
          <w:lang w:val="fr-FR"/>
        </w:rPr>
        <w:t xml:space="preserve"> a mené des enquêtes auprès des États membres de l</w:t>
      </w:r>
      <w:r w:rsidR="00D565F4">
        <w:rPr>
          <w:lang w:val="fr-FR"/>
        </w:rPr>
        <w:t>’</w:t>
      </w:r>
      <w:r w:rsidRPr="00686D5A">
        <w:rPr>
          <w:lang w:val="fr-FR"/>
        </w:rPr>
        <w:t>OMPI, des chefs de programme ainsi que de l</w:t>
      </w:r>
      <w:r w:rsidR="00D565F4">
        <w:rPr>
          <w:lang w:val="fr-FR"/>
        </w:rPr>
        <w:t>’</w:t>
      </w:r>
      <w:r w:rsidRPr="00686D5A">
        <w:rPr>
          <w:lang w:val="fr-FR"/>
        </w:rPr>
        <w:t xml:space="preserve">Organisation des </w:t>
      </w:r>
      <w:r w:rsidR="00D565F4">
        <w:rPr>
          <w:lang w:val="fr-FR"/>
        </w:rPr>
        <w:t>Nations Unies</w:t>
      </w:r>
      <w:r w:rsidRPr="00686D5A">
        <w:rPr>
          <w:lang w:val="fr-FR"/>
        </w:rPr>
        <w:t xml:space="preserve"> (ONU) et d</w:t>
      </w:r>
      <w:r w:rsidR="00D565F4">
        <w:rPr>
          <w:lang w:val="fr-FR"/>
        </w:rPr>
        <w:t>’</w:t>
      </w:r>
      <w:r w:rsidRPr="00686D5A">
        <w:rPr>
          <w:lang w:val="fr-FR"/>
        </w:rPr>
        <w:t>autres organisations internationales.  Les résultats de ces enquêtes situent l</w:t>
      </w:r>
      <w:r w:rsidR="00D565F4">
        <w:rPr>
          <w:lang w:val="fr-FR"/>
        </w:rPr>
        <w:t>’</w:t>
      </w:r>
      <w:r w:rsidRPr="00686D5A">
        <w:rPr>
          <w:lang w:val="fr-FR"/>
        </w:rPr>
        <w:t>OMPI parmi les organisations qui ont accompli des progrès importants dans l</w:t>
      </w:r>
      <w:r w:rsidR="00D565F4">
        <w:rPr>
          <w:lang w:val="fr-FR"/>
        </w:rPr>
        <w:t>’</w:t>
      </w:r>
      <w:r w:rsidRPr="00686D5A">
        <w:rPr>
          <w:lang w:val="fr-FR"/>
        </w:rPr>
        <w:t>élaboration et la mise en œuvre d</w:t>
      </w:r>
      <w:r w:rsidR="00D565F4">
        <w:rPr>
          <w:lang w:val="fr-FR"/>
        </w:rPr>
        <w:t>’</w:t>
      </w:r>
      <w:r w:rsidRPr="00686D5A">
        <w:rPr>
          <w:lang w:val="fr-FR"/>
        </w:rPr>
        <w:t>un système de gestion axée sur les résultats.</w:t>
      </w:r>
    </w:p>
    <w:p w:rsidR="009A7E4C" w:rsidRPr="00686D5A" w:rsidRDefault="009A7E4C" w:rsidP="009F5530">
      <w:pPr>
        <w:pStyle w:val="ONUMFS"/>
        <w:rPr>
          <w:lang w:val="fr-FR"/>
        </w:rPr>
      </w:pPr>
      <w:r w:rsidRPr="00686D5A">
        <w:rPr>
          <w:lang w:val="fr-FR"/>
        </w:rPr>
        <w:t>Les progrès réalisés dans l</w:t>
      </w:r>
      <w:r w:rsidR="00D565F4">
        <w:rPr>
          <w:lang w:val="fr-FR"/>
        </w:rPr>
        <w:t>’</w:t>
      </w:r>
      <w:r w:rsidRPr="00686D5A">
        <w:rPr>
          <w:lang w:val="fr-FR"/>
        </w:rPr>
        <w:t xml:space="preserve">élaboration </w:t>
      </w:r>
      <w:r w:rsidR="004A4314">
        <w:rPr>
          <w:lang w:val="fr-FR"/>
        </w:rPr>
        <w:t>d</w:t>
      </w:r>
      <w:r w:rsidR="00D565F4">
        <w:rPr>
          <w:lang w:val="fr-FR"/>
        </w:rPr>
        <w:t>’</w:t>
      </w:r>
      <w:r w:rsidR="004A4314">
        <w:rPr>
          <w:lang w:val="fr-FR"/>
        </w:rPr>
        <w:t>un meilleur cadre de performance</w:t>
      </w:r>
      <w:r w:rsidRPr="00686D5A">
        <w:rPr>
          <w:lang w:val="fr-FR"/>
        </w:rPr>
        <w:t xml:space="preserve"> (résultats escomptés, indicateurs de résultats, valeurs de référence et objectifs visés) et dans l</w:t>
      </w:r>
      <w:r w:rsidR="00D565F4">
        <w:rPr>
          <w:lang w:val="fr-FR"/>
        </w:rPr>
        <w:t>’</w:t>
      </w:r>
      <w:r w:rsidRPr="00686D5A">
        <w:rPr>
          <w:lang w:val="fr-FR"/>
        </w:rPr>
        <w:t>acquisition de connaissances en interne dans la mise en œuvre de la gestion axée sur les résultats à l</w:t>
      </w:r>
      <w:r w:rsidR="00D565F4">
        <w:rPr>
          <w:lang w:val="fr-FR"/>
        </w:rPr>
        <w:t>’</w:t>
      </w:r>
      <w:r w:rsidRPr="00686D5A">
        <w:rPr>
          <w:lang w:val="fr-FR"/>
        </w:rPr>
        <w:t xml:space="preserve">OMPI </w:t>
      </w:r>
      <w:r w:rsidR="005E35C2" w:rsidRPr="00686D5A">
        <w:rPr>
          <w:lang w:val="fr-FR"/>
        </w:rPr>
        <w:t>sont</w:t>
      </w:r>
      <w:r w:rsidRPr="00686D5A">
        <w:rPr>
          <w:lang w:val="fr-FR"/>
        </w:rPr>
        <w:t xml:space="preserve"> </w:t>
      </w:r>
      <w:r w:rsidR="005E35C2" w:rsidRPr="00686D5A">
        <w:rPr>
          <w:lang w:val="fr-FR"/>
        </w:rPr>
        <w:t>dignes</w:t>
      </w:r>
      <w:r w:rsidRPr="00686D5A">
        <w:rPr>
          <w:lang w:val="fr-FR"/>
        </w:rPr>
        <w:t xml:space="preserve"> </w:t>
      </w:r>
      <w:r w:rsidR="004A4314">
        <w:rPr>
          <w:lang w:val="fr-FR"/>
        </w:rPr>
        <w:t>d</w:t>
      </w:r>
      <w:r w:rsidR="00D565F4">
        <w:rPr>
          <w:lang w:val="fr-FR"/>
        </w:rPr>
        <w:t>’</w:t>
      </w:r>
      <w:r w:rsidR="004A4314">
        <w:rPr>
          <w:lang w:val="fr-FR"/>
        </w:rPr>
        <w:t>être louées</w:t>
      </w:r>
      <w:r w:rsidRPr="00686D5A">
        <w:rPr>
          <w:lang w:val="fr-FR"/>
        </w:rPr>
        <w:t>.  Le résultat de ces efforts peut se mesurer à l</w:t>
      </w:r>
      <w:r w:rsidR="00D565F4">
        <w:rPr>
          <w:lang w:val="fr-FR"/>
        </w:rPr>
        <w:t>’</w:t>
      </w:r>
      <w:r w:rsidRPr="00686D5A">
        <w:rPr>
          <w:lang w:val="fr-FR"/>
        </w:rPr>
        <w:t>amélioration du processus de planification des travaux et à la qualité de la documentation correspondante.  L</w:t>
      </w:r>
      <w:r w:rsidR="00D565F4">
        <w:rPr>
          <w:lang w:val="fr-FR"/>
        </w:rPr>
        <w:t>’</w:t>
      </w:r>
      <w:r w:rsidRPr="00686D5A">
        <w:rPr>
          <w:lang w:val="fr-FR"/>
        </w:rPr>
        <w:t>élaboration d</w:t>
      </w:r>
      <w:r w:rsidR="00D565F4">
        <w:rPr>
          <w:lang w:val="fr-FR"/>
        </w:rPr>
        <w:t>’</w:t>
      </w:r>
      <w:r w:rsidRPr="00686D5A">
        <w:rPr>
          <w:lang w:val="fr-FR"/>
        </w:rPr>
        <w:t>un cadre de responsabilisation officiel visant à consolider la structure actuelle et à améliorer la gouvernance à tous les échelons de l</w:t>
      </w:r>
      <w:r w:rsidR="00D565F4">
        <w:rPr>
          <w:lang w:val="fr-FR"/>
        </w:rPr>
        <w:t>’</w:t>
      </w:r>
      <w:r w:rsidRPr="00686D5A">
        <w:rPr>
          <w:lang w:val="fr-FR"/>
        </w:rPr>
        <w:t xml:space="preserve">Organisation devrait constituer une priorité, afin de renforcer la gestion des performances. </w:t>
      </w:r>
      <w:r w:rsidR="00D565F4" w:rsidRPr="00686D5A">
        <w:rPr>
          <w:lang w:val="fr-FR"/>
        </w:rPr>
        <w:t xml:space="preserve"> La</w:t>
      </w:r>
      <w:r w:rsidR="00D565F4">
        <w:rPr>
          <w:lang w:val="fr-FR"/>
        </w:rPr>
        <w:t> DAS</w:t>
      </w:r>
      <w:r w:rsidR="00E90725">
        <w:rPr>
          <w:lang w:val="fr-FR"/>
        </w:rPr>
        <w:t>I</w:t>
      </w:r>
      <w:r w:rsidRPr="00686D5A">
        <w:rPr>
          <w:lang w:val="fr-FR"/>
        </w:rPr>
        <w:t xml:space="preserve"> note avec satisfaction qu</w:t>
      </w:r>
      <w:r w:rsidR="00D565F4">
        <w:rPr>
          <w:lang w:val="fr-FR"/>
        </w:rPr>
        <w:t>’</w:t>
      </w:r>
      <w:r w:rsidRPr="00686D5A">
        <w:rPr>
          <w:lang w:val="fr-FR"/>
        </w:rPr>
        <w:t>une proposition de cadre de responsabilisation sera présentée aux États membres en septembre 2014.</w:t>
      </w:r>
    </w:p>
    <w:p w:rsidR="009A7E4C" w:rsidRPr="00686D5A" w:rsidRDefault="009A7E4C" w:rsidP="009F5530">
      <w:pPr>
        <w:pStyle w:val="ONUMFS"/>
        <w:rPr>
          <w:lang w:val="fr-FR"/>
        </w:rPr>
      </w:pPr>
      <w:r w:rsidRPr="00686D5A">
        <w:rPr>
          <w:lang w:val="fr-FR"/>
        </w:rPr>
        <w:t>Des améliorations s</w:t>
      </w:r>
      <w:r w:rsidR="00D565F4">
        <w:rPr>
          <w:lang w:val="fr-FR"/>
        </w:rPr>
        <w:t>’</w:t>
      </w:r>
      <w:r w:rsidRPr="00686D5A">
        <w:rPr>
          <w:lang w:val="fr-FR"/>
        </w:rPr>
        <w:t>imposent aussi dans d</w:t>
      </w:r>
      <w:r w:rsidR="00D565F4">
        <w:rPr>
          <w:lang w:val="fr-FR"/>
        </w:rPr>
        <w:t>’</w:t>
      </w:r>
      <w:r w:rsidRPr="00686D5A">
        <w:rPr>
          <w:lang w:val="fr-FR"/>
        </w:rPr>
        <w:t xml:space="preserve">autres domaines tels que </w:t>
      </w:r>
      <w:r w:rsidR="00185C42">
        <w:rPr>
          <w:lang w:val="fr-FR"/>
        </w:rPr>
        <w:t>la revue annuelle</w:t>
      </w:r>
      <w:r w:rsidRPr="00686D5A">
        <w:rPr>
          <w:lang w:val="fr-FR"/>
        </w:rPr>
        <w:t>/l</w:t>
      </w:r>
      <w:r w:rsidR="00185C42">
        <w:rPr>
          <w:lang w:val="fr-FR"/>
        </w:rPr>
        <w:t>a session d</w:t>
      </w:r>
      <w:r w:rsidR="00D565F4">
        <w:rPr>
          <w:lang w:val="fr-FR"/>
        </w:rPr>
        <w:t>’</w:t>
      </w:r>
      <w:r w:rsidR="00185C42">
        <w:rPr>
          <w:lang w:val="fr-FR"/>
        </w:rPr>
        <w:t>information</w:t>
      </w:r>
      <w:r w:rsidRPr="00686D5A">
        <w:rPr>
          <w:lang w:val="fr-FR"/>
        </w:rPr>
        <w:t xml:space="preserve"> pratique de gestion axée sur les résultats destiné aux représentants des États membres.  De même, un plan de formation du personnel devrait être élaboré en fonction des besoins recensés en matière de gestion axée sur les résultats, et être intégré dans le programme de formation générale de l</w:t>
      </w:r>
      <w:r w:rsidR="00D565F4">
        <w:rPr>
          <w:lang w:val="fr-FR"/>
        </w:rPr>
        <w:t>’</w:t>
      </w:r>
      <w:r w:rsidRPr="00686D5A">
        <w:rPr>
          <w:lang w:val="fr-FR"/>
        </w:rPr>
        <w:t>OMPI.</w:t>
      </w:r>
    </w:p>
    <w:p w:rsidR="009A7E4C" w:rsidRPr="00686D5A" w:rsidRDefault="009A7E4C" w:rsidP="009F5530">
      <w:pPr>
        <w:pStyle w:val="ONUMFS"/>
        <w:rPr>
          <w:lang w:val="fr-FR"/>
        </w:rPr>
      </w:pPr>
      <w:r w:rsidRPr="00686D5A">
        <w:rPr>
          <w:lang w:val="fr-FR"/>
        </w:rPr>
        <w:t>L</w:t>
      </w:r>
      <w:r w:rsidR="00D565F4">
        <w:rPr>
          <w:lang w:val="fr-FR"/>
        </w:rPr>
        <w:t>’</w:t>
      </w:r>
      <w:r w:rsidRPr="00686D5A">
        <w:rPr>
          <w:lang w:val="fr-FR"/>
        </w:rPr>
        <w:t>exercice de validation a montré que des progrès ont été réalisés au chapitre des indicateurs de résultats et des données de performance.  Toutefois, des efforts supplémentaires peuvent être consentis pour fournir des résultats pertinents en matière d</w:t>
      </w:r>
      <w:r w:rsidR="00D565F4">
        <w:rPr>
          <w:lang w:val="fr-FR"/>
        </w:rPr>
        <w:t>’</w:t>
      </w:r>
      <w:r w:rsidRPr="00686D5A">
        <w:rPr>
          <w:lang w:val="fr-FR"/>
        </w:rPr>
        <w:t>impact et veiller à ce que tous les indicateurs de résultats aient des valeurs de référence appropriées.</w:t>
      </w:r>
    </w:p>
    <w:p w:rsidR="009A7E4C" w:rsidRPr="00686D5A" w:rsidRDefault="009F5530" w:rsidP="009F5530">
      <w:pPr>
        <w:pStyle w:val="Heading2"/>
      </w:pPr>
      <w:r w:rsidRPr="00686D5A">
        <w:t>Évaluation du portefeuille d</w:t>
      </w:r>
      <w:r w:rsidR="00D565F4">
        <w:t>’</w:t>
      </w:r>
      <w:r w:rsidRPr="00686D5A">
        <w:t>activités d</w:t>
      </w:r>
      <w:r w:rsidR="00D565F4">
        <w:t>’</w:t>
      </w:r>
      <w:r w:rsidRPr="00686D5A">
        <w:t>un pays</w:t>
      </w:r>
    </w:p>
    <w:p w:rsidR="009A7E4C" w:rsidRPr="00686D5A" w:rsidRDefault="009A7E4C" w:rsidP="009F5530">
      <w:pPr>
        <w:pStyle w:val="ONUMFS"/>
        <w:rPr>
          <w:lang w:val="fr-FR"/>
        </w:rPr>
      </w:pPr>
      <w:r w:rsidRPr="00686D5A">
        <w:rPr>
          <w:lang w:val="fr-FR"/>
        </w:rPr>
        <w:t>L</w:t>
      </w:r>
      <w:r w:rsidR="00D565F4">
        <w:rPr>
          <w:lang w:val="fr-FR"/>
        </w:rPr>
        <w:t>’</w:t>
      </w:r>
      <w:r w:rsidRPr="00686D5A">
        <w:rPr>
          <w:lang w:val="fr-FR"/>
        </w:rPr>
        <w:t>évaluation indépendante du portefeuille d</w:t>
      </w:r>
      <w:r w:rsidR="00D565F4">
        <w:rPr>
          <w:lang w:val="fr-FR"/>
        </w:rPr>
        <w:t>’</w:t>
      </w:r>
      <w:r w:rsidRPr="00686D5A">
        <w:rPr>
          <w:lang w:val="fr-FR"/>
        </w:rPr>
        <w:t>activités d</w:t>
      </w:r>
      <w:r w:rsidR="00D565F4">
        <w:rPr>
          <w:lang w:val="fr-FR"/>
        </w:rPr>
        <w:t>’</w:t>
      </w:r>
      <w:r w:rsidRPr="00686D5A">
        <w:rPr>
          <w:lang w:val="fr-FR"/>
        </w:rPr>
        <w:t>un pays, la Thaïlande, a porté sur l</w:t>
      </w:r>
      <w:r w:rsidR="00D565F4">
        <w:rPr>
          <w:lang w:val="fr-FR"/>
        </w:rPr>
        <w:t>’</w:t>
      </w:r>
      <w:r w:rsidRPr="00686D5A">
        <w:rPr>
          <w:lang w:val="fr-FR"/>
        </w:rPr>
        <w:t>analyse de 70 activités se rapportant, depuis 2007, à l</w:t>
      </w:r>
      <w:r w:rsidR="00D565F4">
        <w:rPr>
          <w:lang w:val="fr-FR"/>
        </w:rPr>
        <w:t>’</w:t>
      </w:r>
      <w:r w:rsidRPr="00686D5A">
        <w:rPr>
          <w:lang w:val="fr-FR"/>
        </w:rPr>
        <w:t>Académie de l</w:t>
      </w:r>
      <w:r w:rsidR="00D565F4">
        <w:rPr>
          <w:lang w:val="fr-FR"/>
        </w:rPr>
        <w:t>’</w:t>
      </w:r>
      <w:r w:rsidRPr="00686D5A">
        <w:rPr>
          <w:lang w:val="fr-FR"/>
        </w:rPr>
        <w:t>OMPI, aux activités de modernisation des entreprises, au Projet du Plan d</w:t>
      </w:r>
      <w:r w:rsidR="00D565F4">
        <w:rPr>
          <w:lang w:val="fr-FR"/>
        </w:rPr>
        <w:t>’</w:t>
      </w:r>
      <w:r w:rsidRPr="00686D5A">
        <w:rPr>
          <w:lang w:val="fr-FR"/>
        </w:rPr>
        <w:t>action pour le développement relatif à la propriété intellectuelle, à la création de marques de produits et à l</w:t>
      </w:r>
      <w:r w:rsidR="00D565F4">
        <w:rPr>
          <w:lang w:val="fr-FR"/>
        </w:rPr>
        <w:t>’</w:t>
      </w:r>
      <w:r w:rsidRPr="00686D5A">
        <w:rPr>
          <w:lang w:val="fr-FR"/>
        </w:rPr>
        <w:t>appui au processus d</w:t>
      </w:r>
      <w:r w:rsidR="00D565F4">
        <w:rPr>
          <w:lang w:val="fr-FR"/>
        </w:rPr>
        <w:t>’</w:t>
      </w:r>
      <w:r w:rsidRPr="00686D5A">
        <w:rPr>
          <w:lang w:val="fr-FR"/>
        </w:rPr>
        <w:t>adhésion aux systèmes de Madrid et de La Haye.  Elle a également porté sur l</w:t>
      </w:r>
      <w:r w:rsidR="00D565F4">
        <w:rPr>
          <w:lang w:val="fr-FR"/>
        </w:rPr>
        <w:t>’</w:t>
      </w:r>
      <w:r w:rsidRPr="00686D5A">
        <w:rPr>
          <w:lang w:val="fr-FR"/>
        </w:rPr>
        <w:t xml:space="preserve">approche de </w:t>
      </w:r>
      <w:r w:rsidRPr="00686D5A">
        <w:rPr>
          <w:lang w:val="fr-FR"/>
        </w:rPr>
        <w:lastRenderedPageBreak/>
        <w:t>l</w:t>
      </w:r>
      <w:r w:rsidR="00D565F4">
        <w:rPr>
          <w:lang w:val="fr-FR"/>
        </w:rPr>
        <w:t>’</w:t>
      </w:r>
      <w:r w:rsidRPr="00686D5A">
        <w:rPr>
          <w:lang w:val="fr-FR"/>
        </w:rPr>
        <w:t>OMPI, le rôle du Bureau régional pour l</w:t>
      </w:r>
      <w:r w:rsidR="00D565F4">
        <w:rPr>
          <w:lang w:val="fr-FR"/>
        </w:rPr>
        <w:t>’</w:t>
      </w:r>
      <w:r w:rsidRPr="00686D5A">
        <w:rPr>
          <w:lang w:val="fr-FR"/>
        </w:rPr>
        <w:t>Asie et le Pacifique et celui des bureaux extérieurs, la coordination et le positionnement stratégique de l</w:t>
      </w:r>
      <w:r w:rsidR="00D565F4">
        <w:rPr>
          <w:lang w:val="fr-FR"/>
        </w:rPr>
        <w:t>’</w:t>
      </w:r>
      <w:r w:rsidRPr="00686D5A">
        <w:rPr>
          <w:lang w:val="fr-FR"/>
        </w:rPr>
        <w:t>Organisation dans le pays.</w:t>
      </w:r>
    </w:p>
    <w:p w:rsidR="009A7E4C" w:rsidRPr="00686D5A" w:rsidRDefault="009A7E4C" w:rsidP="009F5530">
      <w:pPr>
        <w:pStyle w:val="ONUMFS"/>
        <w:rPr>
          <w:lang w:val="fr-FR"/>
        </w:rPr>
      </w:pPr>
      <w:r w:rsidRPr="00686D5A">
        <w:rPr>
          <w:lang w:val="fr-FR"/>
        </w:rPr>
        <w:t xml:space="preserve">En tout, 57 des </w:t>
      </w:r>
      <w:r w:rsidR="005E35C2" w:rsidRPr="00686D5A">
        <w:rPr>
          <w:lang w:val="fr-FR"/>
        </w:rPr>
        <w:t>70 </w:t>
      </w:r>
      <w:r w:rsidRPr="00686D5A">
        <w:rPr>
          <w:lang w:val="fr-FR"/>
        </w:rPr>
        <w:t>activités dont il a été rendu compte ont, au cours des six</w:t>
      </w:r>
      <w:r w:rsidR="00413B67" w:rsidRPr="00686D5A">
        <w:rPr>
          <w:lang w:val="fr-FR"/>
        </w:rPr>
        <w:t> </w:t>
      </w:r>
      <w:r w:rsidRPr="00686D5A">
        <w:rPr>
          <w:lang w:val="fr-FR"/>
        </w:rPr>
        <w:t>dernières années, contribué à la réalisation des résultats escomptés de l</w:t>
      </w:r>
      <w:r w:rsidR="00D565F4">
        <w:rPr>
          <w:lang w:val="fr-FR"/>
        </w:rPr>
        <w:t>’</w:t>
      </w:r>
      <w:r w:rsidRPr="00686D5A">
        <w:rPr>
          <w:lang w:val="fr-FR"/>
        </w:rPr>
        <w:t>OMPI au niveau des activités.  Les activités de l</w:t>
      </w:r>
      <w:r w:rsidR="00D565F4">
        <w:rPr>
          <w:lang w:val="fr-FR"/>
        </w:rPr>
        <w:t>’</w:t>
      </w:r>
      <w:r w:rsidRPr="00686D5A">
        <w:rPr>
          <w:lang w:val="fr-FR"/>
        </w:rPr>
        <w:t>Organisation ont été conformes aux besoins institutionnels et régionaux du pays et ont contribué à la réalisation des objectifs stratégiques de l</w:t>
      </w:r>
      <w:r w:rsidR="00D565F4">
        <w:rPr>
          <w:lang w:val="fr-FR"/>
        </w:rPr>
        <w:t>’</w:t>
      </w:r>
      <w:r w:rsidRPr="00686D5A">
        <w:rPr>
          <w:lang w:val="fr-FR"/>
        </w:rPr>
        <w:t>OMPI.  L</w:t>
      </w:r>
      <w:r w:rsidR="00D565F4">
        <w:rPr>
          <w:lang w:val="fr-FR"/>
        </w:rPr>
        <w:t>’</w:t>
      </w:r>
      <w:r w:rsidRPr="00686D5A">
        <w:rPr>
          <w:lang w:val="fr-FR"/>
        </w:rPr>
        <w:t>Organisation s</w:t>
      </w:r>
      <w:r w:rsidR="00D565F4">
        <w:rPr>
          <w:lang w:val="fr-FR"/>
        </w:rPr>
        <w:t>’</w:t>
      </w:r>
      <w:r w:rsidRPr="00686D5A">
        <w:rPr>
          <w:lang w:val="fr-FR"/>
        </w:rPr>
        <w:t>est positionnée comme un protagoniste important en matière de propriété intellectuelle en Thaïlande, notamment pour le Département de la propriété intellectuelle.</w:t>
      </w:r>
    </w:p>
    <w:p w:rsidR="009A7E4C" w:rsidRPr="00686D5A" w:rsidRDefault="009A7E4C" w:rsidP="009F5530">
      <w:pPr>
        <w:pStyle w:val="ONUMFS"/>
        <w:rPr>
          <w:lang w:val="fr-FR"/>
        </w:rPr>
      </w:pPr>
      <w:r w:rsidRPr="00686D5A">
        <w:rPr>
          <w:lang w:val="fr-FR"/>
        </w:rPr>
        <w:t>Les activités des différents programmes lancés en Thaïlande se sont cependant avérées ne pas avoir été privilégiées en tant qu</w:t>
      </w:r>
      <w:r w:rsidR="00D565F4">
        <w:rPr>
          <w:lang w:val="fr-FR"/>
        </w:rPr>
        <w:t>’</w:t>
      </w:r>
      <w:r w:rsidRPr="00686D5A">
        <w:rPr>
          <w:lang w:val="fr-FR"/>
        </w:rPr>
        <w:t xml:space="preserve">éléments de plans ou de cadres nationaux consolidés, la responsabilité </w:t>
      </w:r>
      <w:r w:rsidR="00185C42" w:rsidRPr="00686D5A">
        <w:rPr>
          <w:lang w:val="fr-FR"/>
        </w:rPr>
        <w:t xml:space="preserve">de planification et de suivi consolidées </w:t>
      </w:r>
      <w:r w:rsidRPr="00686D5A">
        <w:rPr>
          <w:lang w:val="fr-FR"/>
        </w:rPr>
        <w:t>à</w:t>
      </w:r>
      <w:r w:rsidR="00413B67" w:rsidRPr="00686D5A">
        <w:rPr>
          <w:lang w:val="fr-FR"/>
        </w:rPr>
        <w:t> </w:t>
      </w:r>
      <w:r w:rsidRPr="00686D5A">
        <w:rPr>
          <w:lang w:val="fr-FR"/>
        </w:rPr>
        <w:t>l</w:t>
      </w:r>
      <w:r w:rsidR="00D565F4">
        <w:rPr>
          <w:lang w:val="fr-FR"/>
        </w:rPr>
        <w:t>’</w:t>
      </w:r>
      <w:r w:rsidRPr="00686D5A">
        <w:rPr>
          <w:lang w:val="fr-FR"/>
        </w:rPr>
        <w:t xml:space="preserve">égard des </w:t>
      </w:r>
      <w:r w:rsidR="00A02402" w:rsidRPr="00686D5A">
        <w:rPr>
          <w:lang w:val="fr-FR"/>
        </w:rPr>
        <w:t>“</w:t>
      </w:r>
      <w:r w:rsidRPr="00686D5A">
        <w:rPr>
          <w:lang w:val="fr-FR"/>
        </w:rPr>
        <w:t>opérations</w:t>
      </w:r>
      <w:r w:rsidR="001F4EED">
        <w:rPr>
          <w:lang w:val="fr-FR"/>
        </w:rPr>
        <w:noBreakHyphen/>
      </w:r>
      <w:r w:rsidRPr="00686D5A">
        <w:rPr>
          <w:lang w:val="fr-FR"/>
        </w:rPr>
        <w:t>pays</w:t>
      </w:r>
      <w:r w:rsidR="00A02402" w:rsidRPr="00686D5A">
        <w:rPr>
          <w:lang w:val="fr-FR"/>
        </w:rPr>
        <w:t>”</w:t>
      </w:r>
      <w:r w:rsidRPr="00686D5A">
        <w:rPr>
          <w:lang w:val="fr-FR"/>
        </w:rPr>
        <w:t xml:space="preserve"> n</w:t>
      </w:r>
      <w:r w:rsidR="00D565F4">
        <w:rPr>
          <w:lang w:val="fr-FR"/>
        </w:rPr>
        <w:t>’</w:t>
      </w:r>
      <w:r w:rsidRPr="00686D5A">
        <w:rPr>
          <w:lang w:val="fr-FR"/>
        </w:rPr>
        <w:t>ayant pas été définie.  Les activités de l</w:t>
      </w:r>
      <w:r w:rsidR="00D565F4">
        <w:rPr>
          <w:lang w:val="fr-FR"/>
        </w:rPr>
        <w:t>’</w:t>
      </w:r>
      <w:r w:rsidRPr="00686D5A">
        <w:rPr>
          <w:lang w:val="fr-FR"/>
        </w:rPr>
        <w:t>OMPI n</w:t>
      </w:r>
      <w:r w:rsidR="00D565F4">
        <w:rPr>
          <w:lang w:val="fr-FR"/>
        </w:rPr>
        <w:t>’</w:t>
      </w:r>
      <w:r w:rsidRPr="00686D5A">
        <w:rPr>
          <w:lang w:val="fr-FR"/>
        </w:rPr>
        <w:t>ont pas beaucoup contribué au renforcement des capacités</w:t>
      </w:r>
      <w:r w:rsidR="00185C42">
        <w:rPr>
          <w:lang w:val="fr-FR"/>
        </w:rPr>
        <w:t xml:space="preserve"> nationales</w:t>
      </w:r>
      <w:r w:rsidRPr="00686D5A">
        <w:rPr>
          <w:lang w:val="fr-FR"/>
        </w:rPr>
        <w:t xml:space="preserve"> en raison de l</w:t>
      </w:r>
      <w:r w:rsidR="00D565F4">
        <w:rPr>
          <w:lang w:val="fr-FR"/>
        </w:rPr>
        <w:t>’</w:t>
      </w:r>
      <w:r w:rsidRPr="00686D5A">
        <w:rPr>
          <w:lang w:val="fr-FR"/>
        </w:rPr>
        <w:t>absence d</w:t>
      </w:r>
      <w:r w:rsidR="00D565F4">
        <w:rPr>
          <w:lang w:val="fr-FR"/>
        </w:rPr>
        <w:t>’</w:t>
      </w:r>
      <w:r w:rsidRPr="00686D5A">
        <w:rPr>
          <w:lang w:val="fr-FR"/>
        </w:rPr>
        <w:t>une évaluation et d</w:t>
      </w:r>
      <w:r w:rsidR="00D565F4">
        <w:rPr>
          <w:lang w:val="fr-FR"/>
        </w:rPr>
        <w:t>’</w:t>
      </w:r>
      <w:r w:rsidRPr="00686D5A">
        <w:rPr>
          <w:lang w:val="fr-FR"/>
        </w:rPr>
        <w:t>une p</w:t>
      </w:r>
      <w:r w:rsidR="00686D5A">
        <w:rPr>
          <w:lang w:val="fr-FR"/>
        </w:rPr>
        <w:t>lanification approfondies.  Les </w:t>
      </w:r>
      <w:r w:rsidRPr="00686D5A">
        <w:rPr>
          <w:lang w:val="fr-FR"/>
        </w:rPr>
        <w:t>activités n</w:t>
      </w:r>
      <w:r w:rsidR="00D565F4">
        <w:rPr>
          <w:lang w:val="fr-FR"/>
        </w:rPr>
        <w:t>’</w:t>
      </w:r>
      <w:r w:rsidRPr="00686D5A">
        <w:rPr>
          <w:lang w:val="fr-FR"/>
        </w:rPr>
        <w:t>ont pas fait l</w:t>
      </w:r>
      <w:r w:rsidR="00D565F4">
        <w:rPr>
          <w:lang w:val="fr-FR"/>
        </w:rPr>
        <w:t>’</w:t>
      </w:r>
      <w:r w:rsidRPr="00686D5A">
        <w:rPr>
          <w:lang w:val="fr-FR"/>
        </w:rPr>
        <w:t>objet d</w:t>
      </w:r>
      <w:r w:rsidR="00D565F4">
        <w:rPr>
          <w:lang w:val="fr-FR"/>
        </w:rPr>
        <w:t>’</w:t>
      </w:r>
      <w:r w:rsidRPr="00686D5A">
        <w:rPr>
          <w:lang w:val="fr-FR"/>
        </w:rPr>
        <w:t>un suivi régulier de leurs effets en vue de maintenir un service de haute qualité, et n</w:t>
      </w:r>
      <w:r w:rsidR="00D565F4">
        <w:rPr>
          <w:lang w:val="fr-FR"/>
        </w:rPr>
        <w:t>’</w:t>
      </w:r>
      <w:r w:rsidRPr="00686D5A">
        <w:rPr>
          <w:lang w:val="fr-FR"/>
        </w:rPr>
        <w:t>ont pas toujours été durables faute de stratégies de sortie de programmes, d</w:t>
      </w:r>
      <w:r w:rsidR="00D565F4">
        <w:rPr>
          <w:lang w:val="fr-FR"/>
        </w:rPr>
        <w:t>’</w:t>
      </w:r>
      <w:r w:rsidRPr="00686D5A">
        <w:rPr>
          <w:lang w:val="fr-FR"/>
        </w:rPr>
        <w:t>évaluations conjointes des besoins et de planification avec des partenaires capables d</w:t>
      </w:r>
      <w:r w:rsidR="00D565F4">
        <w:rPr>
          <w:lang w:val="fr-FR"/>
        </w:rPr>
        <w:t>’</w:t>
      </w:r>
      <w:r w:rsidRPr="00686D5A">
        <w:rPr>
          <w:lang w:val="fr-FR"/>
        </w:rPr>
        <w:t>assurer des avantages progrès à long terme.</w:t>
      </w:r>
    </w:p>
    <w:p w:rsidR="009A7E4C" w:rsidRPr="00686D5A" w:rsidRDefault="009F5530" w:rsidP="009F5530">
      <w:pPr>
        <w:pStyle w:val="Heading2"/>
      </w:pPr>
      <w:r w:rsidRPr="00686D5A">
        <w:t>Gestion des fonds fiduciaires</w:t>
      </w:r>
    </w:p>
    <w:p w:rsidR="009A7E4C" w:rsidRPr="00686D5A" w:rsidRDefault="009A7E4C" w:rsidP="009F5530">
      <w:pPr>
        <w:pStyle w:val="ONUMFS"/>
        <w:rPr>
          <w:lang w:val="fr-FR"/>
        </w:rPr>
      </w:pPr>
      <w:r w:rsidRPr="00686D5A">
        <w:rPr>
          <w:lang w:val="fr-FR"/>
        </w:rPr>
        <w:t>Les ressources de l</w:t>
      </w:r>
      <w:r w:rsidR="00D565F4">
        <w:rPr>
          <w:lang w:val="fr-FR"/>
        </w:rPr>
        <w:t>’</w:t>
      </w:r>
      <w:r w:rsidRPr="00686D5A">
        <w:rPr>
          <w:lang w:val="fr-FR"/>
        </w:rPr>
        <w:t>OMPI destinées à la poursuite des activités de programmation proviennent principalement de son budget biennal ordinaire.  S</w:t>
      </w:r>
      <w:r w:rsidR="00D565F4">
        <w:rPr>
          <w:lang w:val="fr-FR"/>
        </w:rPr>
        <w:t>’</w:t>
      </w:r>
      <w:r w:rsidRPr="00686D5A">
        <w:rPr>
          <w:lang w:val="fr-FR"/>
        </w:rPr>
        <w:t>y ajoutent des ressources extrabudgétaires, dans le cadre d</w:t>
      </w:r>
      <w:r w:rsidR="00D565F4">
        <w:rPr>
          <w:lang w:val="fr-FR"/>
        </w:rPr>
        <w:t>’</w:t>
      </w:r>
      <w:r w:rsidRPr="00686D5A">
        <w:rPr>
          <w:lang w:val="fr-FR"/>
        </w:rPr>
        <w:t>un certain nombre d</w:t>
      </w:r>
      <w:r w:rsidR="00D565F4">
        <w:rPr>
          <w:lang w:val="fr-FR"/>
        </w:rPr>
        <w:t>’</w:t>
      </w:r>
      <w:r w:rsidRPr="00686D5A">
        <w:rPr>
          <w:lang w:val="fr-FR"/>
        </w:rPr>
        <w:t>accords conclus par l</w:t>
      </w:r>
      <w:r w:rsidR="00D565F4">
        <w:rPr>
          <w:lang w:val="fr-FR"/>
        </w:rPr>
        <w:t>’</w:t>
      </w:r>
      <w:r w:rsidRPr="00686D5A">
        <w:rPr>
          <w:lang w:val="fr-FR"/>
        </w:rPr>
        <w:t>OMPI avec des pays donateurs dans le but de réaliser des activités précises dans les limites de son mandat.  Ces accords prennent généralement la forme de protocoles d</w:t>
      </w:r>
      <w:r w:rsidR="00D565F4">
        <w:rPr>
          <w:lang w:val="fr-FR"/>
        </w:rPr>
        <w:t>’</w:t>
      </w:r>
      <w:r w:rsidRPr="00686D5A">
        <w:rPr>
          <w:lang w:val="fr-FR"/>
        </w:rPr>
        <w:t>accord et les fonds sont gérés par le biais de fonds fiduciaires</w:t>
      </w:r>
      <w:r w:rsidRPr="00686D5A">
        <w:rPr>
          <w:rStyle w:val="FootnoteReference"/>
          <w:lang w:val="fr-FR"/>
        </w:rPr>
        <w:footnoteReference w:id="5"/>
      </w:r>
      <w:r w:rsidRPr="00686D5A">
        <w:rPr>
          <w:lang w:val="fr-FR"/>
        </w:rPr>
        <w:t>.</w:t>
      </w:r>
    </w:p>
    <w:p w:rsidR="009A7E4C" w:rsidRPr="00686D5A" w:rsidRDefault="009A7E4C" w:rsidP="009F5530">
      <w:pPr>
        <w:pStyle w:val="ONUMFS"/>
        <w:rPr>
          <w:lang w:val="fr-FR"/>
        </w:rPr>
      </w:pPr>
      <w:r w:rsidRPr="00686D5A">
        <w:rPr>
          <w:lang w:val="fr-FR"/>
        </w:rPr>
        <w:t>Au niveau des transactions, on observe un degré élevé de conformité aux procédures de l</w:t>
      </w:r>
      <w:r w:rsidR="00D565F4">
        <w:rPr>
          <w:lang w:val="fr-FR"/>
        </w:rPr>
        <w:t>’</w:t>
      </w:r>
      <w:r w:rsidRPr="00686D5A">
        <w:rPr>
          <w:lang w:val="fr-FR"/>
        </w:rPr>
        <w:t>OMPI établies pour amorcer, approuver et enregistrer les transactions liées aux fonds fiduciaires.  Dans le cadre de la gestion et de l</w:t>
      </w:r>
      <w:r w:rsidR="00D565F4">
        <w:rPr>
          <w:lang w:val="fr-FR"/>
        </w:rPr>
        <w:t>’</w:t>
      </w:r>
      <w:r w:rsidRPr="00686D5A">
        <w:rPr>
          <w:lang w:val="fr-FR"/>
        </w:rPr>
        <w:t>administration de ces derniers, il importe que soit élaborée une stratégie officielle en ce qui concerne les ressources extrabudgétaires – dont font partie les fonds fiduciaires – qui permette de mieux faire coïncider les activités financées à l</w:t>
      </w:r>
      <w:r w:rsidR="00D565F4">
        <w:rPr>
          <w:lang w:val="fr-FR"/>
        </w:rPr>
        <w:t>’</w:t>
      </w:r>
      <w:r w:rsidRPr="00686D5A">
        <w:rPr>
          <w:lang w:val="fr-FR"/>
        </w:rPr>
        <w:t>aide de ces fonds avec les objectifs de programme et les résultats escomptés à l</w:t>
      </w:r>
      <w:r w:rsidR="00D565F4">
        <w:rPr>
          <w:lang w:val="fr-FR"/>
        </w:rPr>
        <w:t>’</w:t>
      </w:r>
      <w:r w:rsidRPr="00686D5A">
        <w:rPr>
          <w:lang w:val="fr-FR"/>
        </w:rPr>
        <w:t>échelle de l</w:t>
      </w:r>
      <w:r w:rsidR="00D565F4">
        <w:rPr>
          <w:lang w:val="fr-FR"/>
        </w:rPr>
        <w:t>’</w:t>
      </w:r>
      <w:r w:rsidRPr="00686D5A">
        <w:rPr>
          <w:lang w:val="fr-FR"/>
        </w:rPr>
        <w:t>Organisation.  Cette stratégie devrait également préciser le contexte dans lequel l</w:t>
      </w:r>
      <w:r w:rsidR="00D565F4">
        <w:rPr>
          <w:lang w:val="fr-FR"/>
        </w:rPr>
        <w:t>’</w:t>
      </w:r>
      <w:r w:rsidRPr="00686D5A">
        <w:rPr>
          <w:lang w:val="fr-FR"/>
        </w:rPr>
        <w:t>OMPI et les donateurs pourraient mieux remplir leurs objectifs respectifs par le biais d</w:t>
      </w:r>
      <w:r w:rsidR="00D565F4">
        <w:rPr>
          <w:lang w:val="fr-FR"/>
        </w:rPr>
        <w:t>’</w:t>
      </w:r>
      <w:r w:rsidRPr="00686D5A">
        <w:rPr>
          <w:lang w:val="fr-FR"/>
        </w:rPr>
        <w:t>accords de fonds fiduciaires.</w:t>
      </w:r>
    </w:p>
    <w:p w:rsidR="009A7E4C" w:rsidRPr="00686D5A" w:rsidRDefault="009A7E4C" w:rsidP="009F5530">
      <w:pPr>
        <w:pStyle w:val="ONUMFS"/>
        <w:rPr>
          <w:lang w:val="fr-FR"/>
        </w:rPr>
      </w:pPr>
      <w:r w:rsidRPr="00686D5A">
        <w:rPr>
          <w:lang w:val="fr-FR"/>
        </w:rPr>
        <w:t>Une définition claire des rôles et responsabilités au sein des programmes, des bureaux extérieurs et des bureaux régionaux de l</w:t>
      </w:r>
      <w:r w:rsidR="00D565F4">
        <w:rPr>
          <w:lang w:val="fr-FR"/>
        </w:rPr>
        <w:t>’</w:t>
      </w:r>
      <w:r w:rsidRPr="00686D5A">
        <w:rPr>
          <w:lang w:val="fr-FR"/>
        </w:rPr>
        <w:t>OMPI renforcerait davantage la planification, l</w:t>
      </w:r>
      <w:r w:rsidR="00D565F4">
        <w:rPr>
          <w:lang w:val="fr-FR"/>
        </w:rPr>
        <w:t>’</w:t>
      </w:r>
      <w:r w:rsidRPr="00686D5A">
        <w:rPr>
          <w:lang w:val="fr-FR"/>
        </w:rPr>
        <w:t>exécution et le suivi des activités financées par les fonds fiduciaires ainsi que la communication d</w:t>
      </w:r>
      <w:r w:rsidR="00D565F4">
        <w:rPr>
          <w:lang w:val="fr-FR"/>
        </w:rPr>
        <w:t>’</w:t>
      </w:r>
      <w:r w:rsidRPr="00686D5A">
        <w:rPr>
          <w:lang w:val="fr-FR"/>
        </w:rPr>
        <w:t>informations à leur sujet, et permettrait de gérer de manière plus efficace les relations avec les donateurs.  Cela exige aussi d</w:t>
      </w:r>
      <w:r w:rsidR="00D565F4">
        <w:rPr>
          <w:lang w:val="fr-FR"/>
        </w:rPr>
        <w:t>’</w:t>
      </w:r>
      <w:r w:rsidRPr="00686D5A">
        <w:rPr>
          <w:lang w:val="fr-FR"/>
        </w:rPr>
        <w:t>améliorer la coordination et la coopération entre les programmes de l</w:t>
      </w:r>
      <w:r w:rsidR="00D565F4">
        <w:rPr>
          <w:lang w:val="fr-FR"/>
        </w:rPr>
        <w:t>’</w:t>
      </w:r>
      <w:r w:rsidRPr="00686D5A">
        <w:rPr>
          <w:lang w:val="fr-FR"/>
        </w:rPr>
        <w:t>OMPI qui utilisent des fonds partagés et gèrent conjointement des fonds fiduciaires.</w:t>
      </w:r>
    </w:p>
    <w:p w:rsidR="009A7E4C" w:rsidRPr="00686D5A" w:rsidRDefault="009F5530" w:rsidP="009F5530">
      <w:pPr>
        <w:pStyle w:val="Heading2"/>
      </w:pPr>
      <w:r w:rsidRPr="00686D5A">
        <w:t>Programme 1 (droit des brevets)</w:t>
      </w:r>
    </w:p>
    <w:p w:rsidR="009A7E4C" w:rsidRPr="00686D5A" w:rsidRDefault="009A7E4C" w:rsidP="009F5530">
      <w:pPr>
        <w:pStyle w:val="ONUMFS"/>
        <w:rPr>
          <w:lang w:val="fr-FR"/>
        </w:rPr>
      </w:pPr>
      <w:r w:rsidRPr="00686D5A">
        <w:rPr>
          <w:lang w:val="fr-FR"/>
        </w:rPr>
        <w:t xml:space="preserve">La </w:t>
      </w:r>
      <w:r w:rsidR="00E90725">
        <w:rPr>
          <w:lang w:val="fr-FR"/>
        </w:rPr>
        <w:t>DASI</w:t>
      </w:r>
      <w:r w:rsidRPr="00686D5A">
        <w:rPr>
          <w:lang w:val="fr-FR"/>
        </w:rPr>
        <w:t xml:space="preserve"> a mené sa première évaluation des activités normatives de l</w:t>
      </w:r>
      <w:r w:rsidR="00D565F4">
        <w:rPr>
          <w:lang w:val="fr-FR"/>
        </w:rPr>
        <w:t>’</w:t>
      </w:r>
      <w:r w:rsidRPr="00686D5A">
        <w:rPr>
          <w:lang w:val="fr-FR"/>
        </w:rPr>
        <w:t>OMPI.  Cela s</w:t>
      </w:r>
      <w:r w:rsidR="00D565F4">
        <w:rPr>
          <w:lang w:val="fr-FR"/>
        </w:rPr>
        <w:t>’</w:t>
      </w:r>
      <w:r w:rsidRPr="00686D5A">
        <w:rPr>
          <w:lang w:val="fr-FR"/>
        </w:rPr>
        <w:t>est révélé un défi en l</w:t>
      </w:r>
      <w:r w:rsidR="00D565F4">
        <w:rPr>
          <w:lang w:val="fr-FR"/>
        </w:rPr>
        <w:t>’</w:t>
      </w:r>
      <w:r w:rsidRPr="00686D5A">
        <w:rPr>
          <w:lang w:val="fr-FR"/>
        </w:rPr>
        <w:t>absence d</w:t>
      </w:r>
      <w:r w:rsidR="00D565F4">
        <w:rPr>
          <w:lang w:val="fr-FR"/>
        </w:rPr>
        <w:t>’</w:t>
      </w:r>
      <w:r w:rsidRPr="00686D5A">
        <w:rPr>
          <w:lang w:val="fr-FR"/>
        </w:rPr>
        <w:t>évaluations analogues effectuées dans d</w:t>
      </w:r>
      <w:r w:rsidR="00D565F4">
        <w:rPr>
          <w:lang w:val="fr-FR"/>
        </w:rPr>
        <w:t>’</w:t>
      </w:r>
      <w:r w:rsidRPr="00686D5A">
        <w:rPr>
          <w:lang w:val="fr-FR"/>
        </w:rPr>
        <w:t xml:space="preserve">autres organisations du système des </w:t>
      </w:r>
      <w:r w:rsidR="00D565F4">
        <w:rPr>
          <w:lang w:val="fr-FR"/>
        </w:rPr>
        <w:t>Nations Unies</w:t>
      </w:r>
      <w:r w:rsidRPr="00686D5A">
        <w:rPr>
          <w:lang w:val="fr-FR"/>
        </w:rPr>
        <w:t>, malgré l</w:t>
      </w:r>
      <w:r w:rsidR="00D565F4">
        <w:rPr>
          <w:lang w:val="fr-FR"/>
        </w:rPr>
        <w:t>’</w:t>
      </w:r>
      <w:r w:rsidRPr="00686D5A">
        <w:rPr>
          <w:lang w:val="fr-FR"/>
        </w:rPr>
        <w:t>importance de ces activités dans le mandat des institutions onusiennes.</w:t>
      </w:r>
    </w:p>
    <w:p w:rsidR="009A7E4C" w:rsidRPr="00686D5A" w:rsidRDefault="009A7E4C" w:rsidP="009F5530">
      <w:pPr>
        <w:pStyle w:val="ONUMFS"/>
        <w:rPr>
          <w:lang w:val="fr-FR"/>
        </w:rPr>
      </w:pPr>
      <w:r w:rsidRPr="00686D5A">
        <w:rPr>
          <w:lang w:val="fr-FR"/>
        </w:rPr>
        <w:lastRenderedPageBreak/>
        <w:t xml:space="preserve">Le </w:t>
      </w:r>
      <w:r w:rsidR="005E35C2" w:rsidRPr="00686D5A">
        <w:rPr>
          <w:lang w:val="fr-FR"/>
        </w:rPr>
        <w:t>p</w:t>
      </w:r>
      <w:r w:rsidRPr="00686D5A">
        <w:rPr>
          <w:lang w:val="fr-FR"/>
        </w:rPr>
        <w:t>rogramme 1 a pour objectif général “le développement progressif et équilibré du droit international des brevets et de sa pratique, qui sert aux États membres, aux utilisateurs et à la société en tant qu</w:t>
      </w:r>
      <w:r w:rsidR="00D565F4">
        <w:rPr>
          <w:lang w:val="fr-FR"/>
        </w:rPr>
        <w:t>’</w:t>
      </w:r>
      <w:r w:rsidRPr="00686D5A">
        <w:rPr>
          <w:lang w:val="fr-FR"/>
        </w:rPr>
        <w:t>instrument visant à encourager l</w:t>
      </w:r>
      <w:r w:rsidR="00D565F4">
        <w:rPr>
          <w:lang w:val="fr-FR"/>
        </w:rPr>
        <w:t>’</w:t>
      </w:r>
      <w:r w:rsidRPr="00686D5A">
        <w:rPr>
          <w:lang w:val="fr-FR"/>
        </w:rPr>
        <w:t xml:space="preserve">innovation et le transfert de technologies, en particulier dans les pays en développement et les pays à économie en transition”.  Les activités du </w:t>
      </w:r>
      <w:r w:rsidR="005E35C2" w:rsidRPr="00686D5A">
        <w:rPr>
          <w:lang w:val="fr-FR"/>
        </w:rPr>
        <w:t>p</w:t>
      </w:r>
      <w:r w:rsidRPr="00686D5A">
        <w:rPr>
          <w:lang w:val="fr-FR"/>
        </w:rPr>
        <w:t>rogramme 1 sont exercées dans les domaines suivants : appui aux discussions et aux activités du Comité permanent du droit des brevets;  conseils juridiques et stratégiques aux États membres;  et administration des traités, s</w:t>
      </w:r>
      <w:r w:rsidR="00D565F4">
        <w:rPr>
          <w:lang w:val="fr-FR"/>
        </w:rPr>
        <w:t>’</w:t>
      </w:r>
      <w:r w:rsidRPr="00686D5A">
        <w:rPr>
          <w:lang w:val="fr-FR"/>
        </w:rPr>
        <w:t>agissant du Traité de Budapest, de la Convention de Paris et du Traité sur le droit des brevets (PLT).</w:t>
      </w:r>
    </w:p>
    <w:p w:rsidR="009A7E4C" w:rsidRPr="00686D5A" w:rsidRDefault="009A7E4C" w:rsidP="009F5530">
      <w:pPr>
        <w:pStyle w:val="ONUMFS"/>
        <w:rPr>
          <w:lang w:val="fr-FR"/>
        </w:rPr>
      </w:pPr>
      <w:r w:rsidRPr="00686D5A">
        <w:rPr>
          <w:lang w:val="fr-FR"/>
        </w:rPr>
        <w:t>Il est ressorti de l</w:t>
      </w:r>
      <w:r w:rsidR="00D565F4">
        <w:rPr>
          <w:lang w:val="fr-FR"/>
        </w:rPr>
        <w:t>’</w:t>
      </w:r>
      <w:r w:rsidRPr="00686D5A">
        <w:rPr>
          <w:lang w:val="fr-FR"/>
        </w:rPr>
        <w:t xml:space="preserve">évaluation que le </w:t>
      </w:r>
      <w:r w:rsidR="00FE1E93" w:rsidRPr="00686D5A">
        <w:rPr>
          <w:lang w:val="fr-FR"/>
        </w:rPr>
        <w:t>p</w:t>
      </w:r>
      <w:r w:rsidRPr="00686D5A">
        <w:rPr>
          <w:lang w:val="fr-FR"/>
        </w:rPr>
        <w:t>rogramme 1 était efficace et atteignait les résultats prévus grâce à des activités sérieuses de très bonne qualité et à leur adaptation aux besoins des bénéficiaires de services.  Nonobstant tous ses résultats clés conformément au programme et budget, le programme n</w:t>
      </w:r>
      <w:r w:rsidR="00D565F4">
        <w:rPr>
          <w:lang w:val="fr-FR"/>
        </w:rPr>
        <w:t>’</w:t>
      </w:r>
      <w:r w:rsidRPr="00686D5A">
        <w:rPr>
          <w:lang w:val="fr-FR"/>
        </w:rPr>
        <w:t xml:space="preserve">a accompli que des progrès modestes dans la réalisation de son objectif général, </w:t>
      </w:r>
      <w:r w:rsidR="00D565F4">
        <w:rPr>
          <w:lang w:val="fr-FR"/>
        </w:rPr>
        <w:t>à savoir</w:t>
      </w:r>
      <w:r w:rsidRPr="00686D5A">
        <w:rPr>
          <w:lang w:val="fr-FR"/>
        </w:rPr>
        <w:t xml:space="preserve"> le développement progressif et équilibré du droit international des brevets et de sa pratique.  En termes d</w:t>
      </w:r>
      <w:r w:rsidR="00D565F4">
        <w:rPr>
          <w:lang w:val="fr-FR"/>
        </w:rPr>
        <w:t>’</w:t>
      </w:r>
      <w:r w:rsidRPr="00686D5A">
        <w:rPr>
          <w:lang w:val="fr-FR"/>
        </w:rPr>
        <w:t>efficacité, il a donné, dans les délais, des résultats de qualité.  Un cadre de planification, de suivi et de résultats plus précis est nécessaire pour pouvoir apprécier exactement l</w:t>
      </w:r>
      <w:r w:rsidR="00D565F4">
        <w:rPr>
          <w:lang w:val="fr-FR"/>
        </w:rPr>
        <w:t>’</w:t>
      </w:r>
      <w:r w:rsidRPr="00686D5A">
        <w:rPr>
          <w:lang w:val="fr-FR"/>
        </w:rPr>
        <w:t>efficacité, la pertinence et l</w:t>
      </w:r>
      <w:r w:rsidR="00D565F4">
        <w:rPr>
          <w:lang w:val="fr-FR"/>
        </w:rPr>
        <w:t>’</w:t>
      </w:r>
      <w:r w:rsidRPr="00686D5A">
        <w:rPr>
          <w:lang w:val="fr-FR"/>
        </w:rPr>
        <w:t>incidence des volets du programme.  Le cadre qui figurait dans le programme et budget 2010</w:t>
      </w:r>
      <w:r w:rsidR="001F4EED">
        <w:rPr>
          <w:lang w:val="fr-FR"/>
        </w:rPr>
        <w:noBreakHyphen/>
      </w:r>
      <w:r w:rsidRPr="00686D5A">
        <w:rPr>
          <w:lang w:val="fr-FR"/>
        </w:rPr>
        <w:t>2011 comportait d</w:t>
      </w:r>
      <w:r w:rsidR="00D565F4">
        <w:rPr>
          <w:lang w:val="fr-FR"/>
        </w:rPr>
        <w:t>’</w:t>
      </w:r>
      <w:r w:rsidRPr="00686D5A">
        <w:rPr>
          <w:lang w:val="fr-FR"/>
        </w:rPr>
        <w:t>importantes faiblesses, auxquelles il a été remédié dans les programmes et budgets plus récents.</w:t>
      </w:r>
    </w:p>
    <w:p w:rsidR="009A7E4C" w:rsidRPr="00686D5A" w:rsidRDefault="009F5530" w:rsidP="009F5530">
      <w:pPr>
        <w:pStyle w:val="Heading2"/>
      </w:pPr>
      <w:r w:rsidRPr="00686D5A">
        <w:t>Processus de création de recettes au titre des systèmes de M</w:t>
      </w:r>
      <w:r w:rsidR="00686D5A">
        <w:t>adrid et </w:t>
      </w:r>
      <w:r w:rsidRPr="00686D5A">
        <w:t>de La Haye</w:t>
      </w:r>
    </w:p>
    <w:p w:rsidR="009A7E4C" w:rsidRPr="00686D5A" w:rsidRDefault="009A7E4C" w:rsidP="009F5530">
      <w:pPr>
        <w:pStyle w:val="ONUMFS"/>
        <w:rPr>
          <w:lang w:val="fr-FR"/>
        </w:rPr>
      </w:pPr>
      <w:r w:rsidRPr="00686D5A">
        <w:rPr>
          <w:lang w:val="fr-FR"/>
        </w:rPr>
        <w:t>Le système de Madrid concernant l</w:t>
      </w:r>
      <w:r w:rsidR="00D565F4">
        <w:rPr>
          <w:lang w:val="fr-FR"/>
        </w:rPr>
        <w:t>’</w:t>
      </w:r>
      <w:r w:rsidRPr="00686D5A">
        <w:rPr>
          <w:lang w:val="fr-FR"/>
        </w:rPr>
        <w:t>enregistrement international des marques facilite l</w:t>
      </w:r>
      <w:r w:rsidR="00D565F4">
        <w:rPr>
          <w:lang w:val="fr-FR"/>
        </w:rPr>
        <w:t>’</w:t>
      </w:r>
      <w:r w:rsidRPr="00686D5A">
        <w:rPr>
          <w:lang w:val="fr-FR"/>
        </w:rPr>
        <w:t>enregistrement des marques (marques de commerce et marques de service).  Le système de La</w:t>
      </w:r>
      <w:r w:rsidR="00413B67" w:rsidRPr="00686D5A">
        <w:rPr>
          <w:lang w:val="fr-FR"/>
        </w:rPr>
        <w:t> </w:t>
      </w:r>
      <w:r w:rsidRPr="00686D5A">
        <w:rPr>
          <w:lang w:val="fr-FR"/>
        </w:rPr>
        <w:t>Haye concernant l</w:t>
      </w:r>
      <w:r w:rsidR="00D565F4">
        <w:rPr>
          <w:lang w:val="fr-FR"/>
        </w:rPr>
        <w:t>’</w:t>
      </w:r>
      <w:r w:rsidRPr="00686D5A">
        <w:rPr>
          <w:lang w:val="fr-FR"/>
        </w:rPr>
        <w:t>enregistrement international des dessins et modèles industriels prévoit un mécanisme d</w:t>
      </w:r>
      <w:r w:rsidR="00D565F4">
        <w:rPr>
          <w:lang w:val="fr-FR"/>
        </w:rPr>
        <w:t>’</w:t>
      </w:r>
      <w:r w:rsidRPr="00686D5A">
        <w:rPr>
          <w:lang w:val="fr-FR"/>
        </w:rPr>
        <w:t>enregistrement des dessins ou modèles dans les pays et au niveau des organisations intergouvernementales membres de l</w:t>
      </w:r>
      <w:r w:rsidR="00D565F4">
        <w:rPr>
          <w:lang w:val="fr-FR"/>
        </w:rPr>
        <w:t>’</w:t>
      </w:r>
      <w:r w:rsidRPr="00686D5A">
        <w:rPr>
          <w:lang w:val="fr-FR"/>
        </w:rPr>
        <w:t>Arrangement de La Haye.</w:t>
      </w:r>
    </w:p>
    <w:p w:rsidR="009A7E4C" w:rsidRPr="00686D5A" w:rsidRDefault="009A7E4C" w:rsidP="009F5530">
      <w:pPr>
        <w:pStyle w:val="ONUMFS"/>
        <w:rPr>
          <w:lang w:val="fr-FR"/>
        </w:rPr>
      </w:pPr>
      <w:r w:rsidRPr="00686D5A">
        <w:rPr>
          <w:lang w:val="fr-FR"/>
        </w:rPr>
        <w:t>Les systèmes précités offrent au propriétaire d</w:t>
      </w:r>
      <w:r w:rsidR="00D565F4">
        <w:rPr>
          <w:lang w:val="fr-FR"/>
        </w:rPr>
        <w:t>’</w:t>
      </w:r>
      <w:r w:rsidRPr="00686D5A">
        <w:rPr>
          <w:lang w:val="fr-FR"/>
        </w:rPr>
        <w:t>une marque de commerce ou d</w:t>
      </w:r>
      <w:r w:rsidR="00D565F4">
        <w:rPr>
          <w:lang w:val="fr-FR"/>
        </w:rPr>
        <w:t>’</w:t>
      </w:r>
      <w:r w:rsidRPr="00686D5A">
        <w:rPr>
          <w:lang w:val="fr-FR"/>
        </w:rPr>
        <w:t>un dessin ou modèle industriel un moyen d</w:t>
      </w:r>
      <w:r w:rsidR="00D565F4">
        <w:rPr>
          <w:lang w:val="fr-FR"/>
        </w:rPr>
        <w:t>’</w:t>
      </w:r>
      <w:r w:rsidRPr="00686D5A">
        <w:rPr>
          <w:lang w:val="fr-FR"/>
        </w:rPr>
        <w:t>obtenir une protection dans plusieurs pays sur simple dépôt d</w:t>
      </w:r>
      <w:r w:rsidR="00D565F4">
        <w:rPr>
          <w:lang w:val="fr-FR"/>
        </w:rPr>
        <w:t>’</w:t>
      </w:r>
      <w:r w:rsidRPr="00686D5A">
        <w:rPr>
          <w:lang w:val="fr-FR"/>
        </w:rPr>
        <w:t>une demande auprès du Bureau international de l</w:t>
      </w:r>
      <w:r w:rsidR="00D565F4">
        <w:rPr>
          <w:lang w:val="fr-FR"/>
        </w:rPr>
        <w:t>’</w:t>
      </w:r>
      <w:r w:rsidRPr="00686D5A">
        <w:rPr>
          <w:lang w:val="fr-FR"/>
        </w:rPr>
        <w:t>OMPI, dans une langue, après paiement en francs suisses d</w:t>
      </w:r>
      <w:r w:rsidR="00D565F4">
        <w:rPr>
          <w:lang w:val="fr-FR"/>
        </w:rPr>
        <w:t>’</w:t>
      </w:r>
      <w:r w:rsidRPr="00686D5A">
        <w:rPr>
          <w:lang w:val="fr-FR"/>
        </w:rPr>
        <w:t>une taxe unique.  L</w:t>
      </w:r>
      <w:r w:rsidR="00D565F4">
        <w:rPr>
          <w:lang w:val="fr-FR"/>
        </w:rPr>
        <w:t>’</w:t>
      </w:r>
      <w:r w:rsidRPr="00686D5A">
        <w:rPr>
          <w:lang w:val="fr-FR"/>
        </w:rPr>
        <w:t>enregistrement international produit les mêmes effets dans chacun des pays désignés, comme si la marque de commerce ou le dessin ou modèle industriel avait été enregistré directement auprès de chaque office national, à moins que la protection soit refusée par l</w:t>
      </w:r>
      <w:r w:rsidR="00D565F4">
        <w:rPr>
          <w:lang w:val="fr-FR"/>
        </w:rPr>
        <w:t>’</w:t>
      </w:r>
      <w:r w:rsidRPr="00686D5A">
        <w:rPr>
          <w:lang w:val="fr-FR"/>
        </w:rPr>
        <w:t>office national de ce pays.</w:t>
      </w:r>
    </w:p>
    <w:p w:rsidR="009A7E4C" w:rsidRPr="00686D5A" w:rsidRDefault="009A7E4C" w:rsidP="009F5530">
      <w:pPr>
        <w:pStyle w:val="ONUMFS"/>
        <w:rPr>
          <w:lang w:val="fr-FR"/>
        </w:rPr>
      </w:pPr>
      <w:r w:rsidRPr="00686D5A">
        <w:rPr>
          <w:lang w:val="fr-FR"/>
        </w:rPr>
        <w:t>Afin que les systèmes de Madrid et de La Haye puissent atteindre l</w:t>
      </w:r>
      <w:r w:rsidR="00D565F4">
        <w:rPr>
          <w:lang w:val="fr-FR"/>
        </w:rPr>
        <w:t>’</w:t>
      </w:r>
      <w:r w:rsidRPr="00686D5A">
        <w:rPr>
          <w:lang w:val="fr-FR"/>
        </w:rPr>
        <w:t>objectif stratégique consistant à fournir des services de propriété intellectuelle de premier choix à l</w:t>
      </w:r>
      <w:r w:rsidR="00D565F4">
        <w:rPr>
          <w:lang w:val="fr-FR"/>
        </w:rPr>
        <w:t>’</w:t>
      </w:r>
      <w:r w:rsidRPr="00686D5A">
        <w:rPr>
          <w:lang w:val="fr-FR"/>
        </w:rPr>
        <w:t>échelle mondiale en matière de marques et dessins et modèles, un document stratégique devait être élaboré de manière à servir de feuille de route pour la définition précise des objectifs opérationnels et des moyens permettant d</w:t>
      </w:r>
      <w:r w:rsidR="00D565F4">
        <w:rPr>
          <w:lang w:val="fr-FR"/>
        </w:rPr>
        <w:t>’</w:t>
      </w:r>
      <w:r w:rsidRPr="00686D5A">
        <w:rPr>
          <w:lang w:val="fr-FR"/>
        </w:rPr>
        <w:t>atteindre ces derniers à moyen et à long terme.  La direction a élaboré et approuvé un tel document.</w:t>
      </w:r>
    </w:p>
    <w:p w:rsidR="009A7E4C" w:rsidRPr="00686D5A" w:rsidRDefault="009A7E4C" w:rsidP="009F5530">
      <w:pPr>
        <w:pStyle w:val="ONUMFS"/>
        <w:rPr>
          <w:lang w:val="fr-FR"/>
        </w:rPr>
      </w:pPr>
      <w:r w:rsidRPr="00686D5A">
        <w:rPr>
          <w:lang w:val="fr-FR"/>
        </w:rPr>
        <w:t>Le barème des droits et les procédures de paiement actuels doivent être analysés dans le but de concevoir une procédure de paiement plus efficace et un barème des droits plus approprié, afin de maintenir une viabilité financière au vu de l</w:t>
      </w:r>
      <w:r w:rsidR="00D565F4">
        <w:rPr>
          <w:lang w:val="fr-FR"/>
        </w:rPr>
        <w:t>’</w:t>
      </w:r>
      <w:r w:rsidRPr="00686D5A">
        <w:rPr>
          <w:lang w:val="fr-FR"/>
        </w:rPr>
        <w:t>augmentation prévue du nombre de membres et de l</w:t>
      </w:r>
      <w:r w:rsidR="00D565F4">
        <w:rPr>
          <w:lang w:val="fr-FR"/>
        </w:rPr>
        <w:t>’</w:t>
      </w:r>
      <w:r w:rsidRPr="00686D5A">
        <w:rPr>
          <w:lang w:val="fr-FR"/>
        </w:rPr>
        <w:t>extension géographique escomptée des deux</w:t>
      </w:r>
      <w:r w:rsidR="00413B67" w:rsidRPr="00686D5A">
        <w:rPr>
          <w:lang w:val="fr-FR"/>
        </w:rPr>
        <w:t> </w:t>
      </w:r>
      <w:r w:rsidRPr="00686D5A">
        <w:rPr>
          <w:lang w:val="fr-FR"/>
        </w:rPr>
        <w:t>systèmes.  L</w:t>
      </w:r>
      <w:r w:rsidR="00D565F4">
        <w:rPr>
          <w:lang w:val="fr-FR"/>
        </w:rPr>
        <w:t>’</w:t>
      </w:r>
      <w:r w:rsidRPr="00686D5A">
        <w:rPr>
          <w:lang w:val="fr-FR"/>
        </w:rPr>
        <w:t>amélioration des procédures devrait également avoir pour objet de mieux évaluer le coût des transactions et d</w:t>
      </w:r>
      <w:r w:rsidR="00D565F4">
        <w:rPr>
          <w:lang w:val="fr-FR"/>
        </w:rPr>
        <w:t>’</w:t>
      </w:r>
      <w:r w:rsidRPr="00686D5A">
        <w:rPr>
          <w:lang w:val="fr-FR"/>
        </w:rPr>
        <w:t>accroître la précision du calcul du coût unitaire.</w:t>
      </w:r>
    </w:p>
    <w:p w:rsidR="009A7E4C" w:rsidRPr="00686D5A" w:rsidRDefault="009A7E4C" w:rsidP="009F5530">
      <w:pPr>
        <w:pStyle w:val="ONUMFS"/>
        <w:rPr>
          <w:lang w:val="fr-FR"/>
        </w:rPr>
      </w:pPr>
      <w:r w:rsidRPr="00686D5A">
        <w:rPr>
          <w:lang w:val="fr-FR"/>
        </w:rPr>
        <w:t>Une analyse approfondie des besoins en personnel, auxquels s</w:t>
      </w:r>
      <w:r w:rsidR="00D565F4">
        <w:rPr>
          <w:lang w:val="fr-FR"/>
        </w:rPr>
        <w:t>’</w:t>
      </w:r>
      <w:r w:rsidRPr="00686D5A">
        <w:rPr>
          <w:lang w:val="fr-FR"/>
        </w:rPr>
        <w:t>ajoutent les compétences et les qualifications nécessaires aux deux</w:t>
      </w:r>
      <w:r w:rsidR="00413B67" w:rsidRPr="00686D5A">
        <w:rPr>
          <w:lang w:val="fr-FR"/>
        </w:rPr>
        <w:t> </w:t>
      </w:r>
      <w:r w:rsidRPr="00686D5A">
        <w:rPr>
          <w:lang w:val="fr-FR"/>
        </w:rPr>
        <w:t>systèmes, fournira à la direction des informations précieuses qui lui permettront de prendre des décisions en connaissance de cause, afin de traiter efficacement de ces questions dans un environnement, en matière de propriété intellectuelle, en constante évolution.  À titre indicatif, l</w:t>
      </w:r>
      <w:r w:rsidR="00D565F4">
        <w:rPr>
          <w:lang w:val="fr-FR"/>
        </w:rPr>
        <w:t>’</w:t>
      </w:r>
      <w:r w:rsidRPr="00686D5A">
        <w:rPr>
          <w:lang w:val="fr-FR"/>
        </w:rPr>
        <w:t xml:space="preserve">augmentation attendue du nombre de </w:t>
      </w:r>
      <w:r w:rsidRPr="00686D5A">
        <w:rPr>
          <w:lang w:val="fr-FR"/>
        </w:rPr>
        <w:lastRenderedPageBreak/>
        <w:t>membres pourrait conduire à la nécessité de recruter du personnel disposant de compétences linguistiques spécifiques.</w:t>
      </w:r>
    </w:p>
    <w:p w:rsidR="009A7E4C" w:rsidRPr="00686D5A" w:rsidRDefault="009A7E4C" w:rsidP="009F5530">
      <w:pPr>
        <w:pStyle w:val="ONUMFS"/>
        <w:rPr>
          <w:lang w:val="fr-FR"/>
        </w:rPr>
      </w:pPr>
      <w:r w:rsidRPr="00686D5A">
        <w:rPr>
          <w:lang w:val="fr-FR"/>
        </w:rPr>
        <w:t>D</w:t>
      </w:r>
      <w:r w:rsidR="00D565F4">
        <w:rPr>
          <w:lang w:val="fr-FR"/>
        </w:rPr>
        <w:t>’</w:t>
      </w:r>
      <w:r w:rsidRPr="00686D5A">
        <w:rPr>
          <w:lang w:val="fr-FR"/>
        </w:rPr>
        <w:t>autres aspects à améliorer ont été relevés au niveau des services aux clients et des fonctions de contrôle de la qualité, où l</w:t>
      </w:r>
      <w:r w:rsidR="00D565F4">
        <w:rPr>
          <w:lang w:val="fr-FR"/>
        </w:rPr>
        <w:t>’</w:t>
      </w:r>
      <w:r w:rsidRPr="00686D5A">
        <w:rPr>
          <w:lang w:val="fr-FR"/>
        </w:rPr>
        <w:t>efficacité et l</w:t>
      </w:r>
      <w:r w:rsidR="00D565F4">
        <w:rPr>
          <w:lang w:val="fr-FR"/>
        </w:rPr>
        <w:t>’</w:t>
      </w:r>
      <w:r w:rsidRPr="00686D5A">
        <w:rPr>
          <w:lang w:val="fr-FR"/>
        </w:rPr>
        <w:t>efficience opérationnelles seront renforcées si des outils appropriés sont proposés et utilisés.  Afin d</w:t>
      </w:r>
      <w:r w:rsidR="00D565F4">
        <w:rPr>
          <w:lang w:val="fr-FR"/>
        </w:rPr>
        <w:t>’</w:t>
      </w:r>
      <w:r w:rsidRPr="00686D5A">
        <w:rPr>
          <w:lang w:val="fr-FR"/>
        </w:rPr>
        <w:t>accroître la cohérence et l</w:t>
      </w:r>
      <w:r w:rsidR="00D565F4">
        <w:rPr>
          <w:lang w:val="fr-FR"/>
        </w:rPr>
        <w:t>’</w:t>
      </w:r>
      <w:r w:rsidRPr="00686D5A">
        <w:rPr>
          <w:lang w:val="fr-FR"/>
        </w:rPr>
        <w:t>efficacité, une première étape serait d</w:t>
      </w:r>
      <w:r w:rsidR="00D565F4">
        <w:rPr>
          <w:lang w:val="fr-FR"/>
        </w:rPr>
        <w:t>’</w:t>
      </w:r>
      <w:r w:rsidRPr="00686D5A">
        <w:rPr>
          <w:lang w:val="fr-FR"/>
        </w:rPr>
        <w:t>élaborer des politiques et des lignes directrices pour les deux</w:t>
      </w:r>
      <w:r w:rsidR="00413B67" w:rsidRPr="00686D5A">
        <w:rPr>
          <w:lang w:val="fr-FR"/>
        </w:rPr>
        <w:t> </w:t>
      </w:r>
      <w:r w:rsidRPr="00686D5A">
        <w:rPr>
          <w:lang w:val="fr-FR"/>
        </w:rPr>
        <w:t>services.</w:t>
      </w:r>
    </w:p>
    <w:p w:rsidR="009A7E4C" w:rsidRPr="00686D5A" w:rsidRDefault="009A7E4C" w:rsidP="009F5530">
      <w:pPr>
        <w:pStyle w:val="ONUMFS"/>
        <w:rPr>
          <w:lang w:val="fr-FR"/>
        </w:rPr>
      </w:pPr>
      <w:r w:rsidRPr="00686D5A">
        <w:rPr>
          <w:lang w:val="fr-FR"/>
        </w:rPr>
        <w:t>Il est prévu que le projet de modernisation du système informatique, qui vise à améliorer les systèmes informatiques utilisés dans le cadre des systèmes de Madrid et de La</w:t>
      </w:r>
      <w:r w:rsidR="00413B67" w:rsidRPr="00686D5A">
        <w:rPr>
          <w:lang w:val="fr-FR"/>
        </w:rPr>
        <w:t> </w:t>
      </w:r>
      <w:r w:rsidRPr="00686D5A">
        <w:rPr>
          <w:lang w:val="fr-FR"/>
        </w:rPr>
        <w:t>Haye, sera achevé d</w:t>
      </w:r>
      <w:r w:rsidR="00D565F4">
        <w:rPr>
          <w:lang w:val="fr-FR"/>
        </w:rPr>
        <w:t>’</w:t>
      </w:r>
      <w:r w:rsidRPr="00686D5A">
        <w:rPr>
          <w:lang w:val="fr-FR"/>
        </w:rPr>
        <w:t>ici la fin de</w:t>
      </w:r>
      <w:r w:rsidR="00413B67" w:rsidRPr="00686D5A">
        <w:rPr>
          <w:lang w:val="fr-FR"/>
        </w:rPr>
        <w:t> </w:t>
      </w:r>
      <w:r w:rsidRPr="00686D5A">
        <w:rPr>
          <w:lang w:val="fr-FR"/>
        </w:rPr>
        <w:t>2014.  La direction devrait procéder à un examen de suivi du projet.</w:t>
      </w:r>
    </w:p>
    <w:p w:rsidR="009A7E4C" w:rsidRPr="00686D5A" w:rsidRDefault="009A7E4C" w:rsidP="009F5530">
      <w:pPr>
        <w:pStyle w:val="Heading2"/>
      </w:pPr>
      <w:r w:rsidRPr="00686D5A">
        <w:t>Évaluation des services d</w:t>
      </w:r>
      <w:r w:rsidR="00D565F4">
        <w:t>’</w:t>
      </w:r>
      <w:r w:rsidRPr="00686D5A">
        <w:t>appui au c</w:t>
      </w:r>
      <w:r w:rsidR="009F5530" w:rsidRPr="00686D5A">
        <w:t>omité intergouvernemental de la </w:t>
      </w:r>
      <w:r w:rsidRPr="00686D5A">
        <w:t>propriété intellectuelle relative</w:t>
      </w:r>
      <w:r w:rsidR="009F5530" w:rsidRPr="00686D5A">
        <w:t xml:space="preserve"> aux ressources génétiques, aux </w:t>
      </w:r>
      <w:r w:rsidRPr="00686D5A">
        <w:t>savoirs traditionnels et au folklore (IGC)</w:t>
      </w:r>
    </w:p>
    <w:p w:rsidR="009A7E4C" w:rsidRPr="00686D5A" w:rsidRDefault="009A7E4C" w:rsidP="009F5530">
      <w:pPr>
        <w:pStyle w:val="ONUMFS"/>
        <w:rPr>
          <w:lang w:val="fr-FR"/>
        </w:rPr>
      </w:pPr>
      <w:r w:rsidRPr="00686D5A">
        <w:rPr>
          <w:lang w:val="fr-FR"/>
        </w:rPr>
        <w:t>Cette évaluation avait pour principal objectif d</w:t>
      </w:r>
      <w:r w:rsidR="00D565F4">
        <w:rPr>
          <w:lang w:val="fr-FR"/>
        </w:rPr>
        <w:t>’</w:t>
      </w:r>
      <w:r w:rsidRPr="00686D5A">
        <w:rPr>
          <w:lang w:val="fr-FR"/>
        </w:rPr>
        <w:t>apprécier l</w:t>
      </w:r>
      <w:r w:rsidR="00D565F4">
        <w:rPr>
          <w:lang w:val="fr-FR"/>
        </w:rPr>
        <w:t>’</w:t>
      </w:r>
      <w:r w:rsidRPr="00686D5A">
        <w:rPr>
          <w:lang w:val="fr-FR"/>
        </w:rPr>
        <w:t>efficacité et l</w:t>
      </w:r>
      <w:r w:rsidR="00D565F4">
        <w:rPr>
          <w:lang w:val="fr-FR"/>
        </w:rPr>
        <w:t>’</w:t>
      </w:r>
      <w:r w:rsidRPr="00686D5A">
        <w:rPr>
          <w:lang w:val="fr-FR"/>
        </w:rPr>
        <w:t>efficience des services d</w:t>
      </w:r>
      <w:r w:rsidR="00D565F4">
        <w:rPr>
          <w:lang w:val="fr-FR"/>
        </w:rPr>
        <w:t>’</w:t>
      </w:r>
      <w:r w:rsidRPr="00686D5A">
        <w:rPr>
          <w:lang w:val="fr-FR"/>
        </w:rPr>
        <w:t>appui fournis par le Secrétariat de l</w:t>
      </w:r>
      <w:r w:rsidR="00D565F4">
        <w:rPr>
          <w:lang w:val="fr-FR"/>
        </w:rPr>
        <w:t>’</w:t>
      </w:r>
      <w:r w:rsidRPr="00686D5A">
        <w:rPr>
          <w:lang w:val="fr-FR"/>
        </w:rPr>
        <w:t>OMPI à l</w:t>
      </w:r>
      <w:r w:rsidR="00D565F4">
        <w:rPr>
          <w:lang w:val="fr-FR"/>
        </w:rPr>
        <w:t>’</w:t>
      </w:r>
      <w:r w:rsidRPr="00686D5A">
        <w:rPr>
          <w:lang w:val="fr-FR"/>
        </w:rPr>
        <w:t>IGC.  Elle avait pour objet de déterminer dans quelle mesure les services d</w:t>
      </w:r>
      <w:r w:rsidR="00D565F4">
        <w:rPr>
          <w:lang w:val="fr-FR"/>
        </w:rPr>
        <w:t>’</w:t>
      </w:r>
      <w:r w:rsidRPr="00686D5A">
        <w:rPr>
          <w:lang w:val="fr-FR"/>
        </w:rPr>
        <w:t>appui répondaient aux besoins de l</w:t>
      </w:r>
      <w:r w:rsidR="00D565F4">
        <w:rPr>
          <w:lang w:val="fr-FR"/>
        </w:rPr>
        <w:t>’</w:t>
      </w:r>
      <w:r w:rsidRPr="00686D5A">
        <w:rPr>
          <w:lang w:val="fr-FR"/>
        </w:rPr>
        <w:t>IGC, et a permis de dégager des enseignements quant à ce processus et à d</w:t>
      </w:r>
      <w:r w:rsidR="00D565F4">
        <w:rPr>
          <w:lang w:val="fr-FR"/>
        </w:rPr>
        <w:t>’</w:t>
      </w:r>
      <w:r w:rsidRPr="00686D5A">
        <w:rPr>
          <w:lang w:val="fr-FR"/>
        </w:rPr>
        <w:t>autres processus multilatéraux.</w:t>
      </w:r>
    </w:p>
    <w:p w:rsidR="009A7E4C" w:rsidRPr="00686D5A" w:rsidRDefault="009A7E4C" w:rsidP="009F5530">
      <w:pPr>
        <w:pStyle w:val="ONUMFS"/>
        <w:rPr>
          <w:lang w:val="fr-FR"/>
        </w:rPr>
      </w:pPr>
      <w:r w:rsidRPr="00686D5A">
        <w:rPr>
          <w:lang w:val="fr-FR"/>
        </w:rPr>
        <w:t>Ainsi, l</w:t>
      </w:r>
      <w:r w:rsidR="00D565F4">
        <w:rPr>
          <w:lang w:val="fr-FR"/>
        </w:rPr>
        <w:t>’</w:t>
      </w:r>
      <w:r w:rsidRPr="00686D5A">
        <w:rPr>
          <w:lang w:val="fr-FR"/>
        </w:rPr>
        <w:t>OMPI répondait</w:t>
      </w:r>
      <w:r w:rsidR="001F4EED">
        <w:rPr>
          <w:lang w:val="fr-FR"/>
        </w:rPr>
        <w:noBreakHyphen/>
      </w:r>
      <w:r w:rsidRPr="00686D5A">
        <w:rPr>
          <w:lang w:val="fr-FR"/>
        </w:rPr>
        <w:t>elle aux besoins d</w:t>
      </w:r>
      <w:r w:rsidR="00D565F4">
        <w:rPr>
          <w:lang w:val="fr-FR"/>
        </w:rPr>
        <w:t>’</w:t>
      </w:r>
      <w:r w:rsidRPr="00686D5A">
        <w:rPr>
          <w:lang w:val="fr-FR"/>
        </w:rPr>
        <w:t>ensemble de l</w:t>
      </w:r>
      <w:r w:rsidR="00D565F4">
        <w:rPr>
          <w:lang w:val="fr-FR"/>
        </w:rPr>
        <w:t>’</w:t>
      </w:r>
      <w:r w:rsidRPr="00686D5A">
        <w:rPr>
          <w:lang w:val="fr-FR"/>
        </w:rPr>
        <w:t>IGC, le taux de satisfaction des participants étant de 96%.  Il a été trouvé qu</w:t>
      </w:r>
      <w:r w:rsidR="00D565F4">
        <w:rPr>
          <w:lang w:val="fr-FR"/>
        </w:rPr>
        <w:t>’</w:t>
      </w:r>
      <w:r w:rsidRPr="00686D5A">
        <w:rPr>
          <w:lang w:val="fr-FR"/>
        </w:rPr>
        <w:t>en fournissant les compétences nécessaires, le Secrétariat remplissait efficacement son rôle.  Des recommandations concrètes ont été formulées sur la communication et les publications, le processus d</w:t>
      </w:r>
      <w:r w:rsidR="00D565F4">
        <w:rPr>
          <w:lang w:val="fr-FR"/>
        </w:rPr>
        <w:t>’</w:t>
      </w:r>
      <w:r w:rsidRPr="00686D5A">
        <w:rPr>
          <w:lang w:val="fr-FR"/>
        </w:rPr>
        <w:t>enregistrement et le processus de sélection pour le Fonds de contributions volontaires de l</w:t>
      </w:r>
      <w:r w:rsidR="00D565F4">
        <w:rPr>
          <w:lang w:val="fr-FR"/>
        </w:rPr>
        <w:t>’</w:t>
      </w:r>
      <w:r w:rsidRPr="00686D5A">
        <w:rPr>
          <w:lang w:val="fr-FR"/>
        </w:rPr>
        <w:t>OMPI.  Par ailleurs, vu le stade actuel des négociations, certains participants ont estimé que le Secrétariat pourrait être encore plus proactif.</w:t>
      </w:r>
    </w:p>
    <w:p w:rsidR="009A7E4C" w:rsidRPr="00686D5A" w:rsidRDefault="009A7E4C" w:rsidP="00E365E6">
      <w:pPr>
        <w:pStyle w:val="Heading2"/>
      </w:pPr>
      <w:r w:rsidRPr="00686D5A">
        <w:t>gestion des ressources humaines : cessa</w:t>
      </w:r>
      <w:r w:rsidR="009F5530" w:rsidRPr="00686D5A">
        <w:t>tion de service, prestations et </w:t>
      </w:r>
      <w:r w:rsidRPr="00686D5A">
        <w:t>avantages, récompenses et reconnaissance</w:t>
      </w:r>
    </w:p>
    <w:p w:rsidR="009A7E4C" w:rsidRPr="00686D5A" w:rsidRDefault="009A7E4C" w:rsidP="009F5530">
      <w:pPr>
        <w:pStyle w:val="ONUMFS"/>
        <w:rPr>
          <w:lang w:val="fr-FR"/>
        </w:rPr>
      </w:pPr>
      <w:r w:rsidRPr="00686D5A">
        <w:rPr>
          <w:lang w:val="fr-FR"/>
        </w:rPr>
        <w:t xml:space="preserve">La mise en œuvre du programme de cessation volontaire de service entre octobre 2009 et juin 2010 a conduit au départ de 87 membres du personnel occupant des postes du budget ordinaire, pour un coût estimatif de 22 millions de francs suisses.  Suivant la proposition du programme de cessation volontaire de service approuvée par les États membres, les postes devenus vacants seraient utilisés pour recruter du personnel disposant de qualifications et de compétences non disponibles </w:t>
      </w:r>
      <w:r w:rsidR="004643B2">
        <w:rPr>
          <w:lang w:val="fr-FR"/>
        </w:rPr>
        <w:t xml:space="preserve">en </w:t>
      </w:r>
      <w:r w:rsidRPr="00686D5A">
        <w:rPr>
          <w:lang w:val="fr-FR"/>
        </w:rPr>
        <w:t>interne, telles que des compétences en matière de gestion, des compétences linguistiques spécifiques, des compétences techniques ainsi qu</w:t>
      </w:r>
      <w:r w:rsidR="00D565F4">
        <w:rPr>
          <w:lang w:val="fr-FR"/>
        </w:rPr>
        <w:t>’</w:t>
      </w:r>
      <w:r w:rsidRPr="00686D5A">
        <w:rPr>
          <w:lang w:val="fr-FR"/>
        </w:rPr>
        <w:t>en matière de technologie de l</w:t>
      </w:r>
      <w:r w:rsidR="00D565F4">
        <w:rPr>
          <w:lang w:val="fr-FR"/>
        </w:rPr>
        <w:t>’</w:t>
      </w:r>
      <w:r w:rsidRPr="00686D5A">
        <w:rPr>
          <w:lang w:val="fr-FR"/>
        </w:rPr>
        <w:t>information.</w:t>
      </w:r>
    </w:p>
    <w:p w:rsidR="009A7E4C" w:rsidRPr="00686D5A" w:rsidRDefault="009A7E4C" w:rsidP="009F5530">
      <w:pPr>
        <w:pStyle w:val="ONUMFS"/>
        <w:rPr>
          <w:lang w:val="fr-FR"/>
        </w:rPr>
      </w:pPr>
      <w:r w:rsidRPr="00686D5A">
        <w:rPr>
          <w:lang w:val="fr-FR"/>
        </w:rPr>
        <w:t>La proposition du Secrétariat était également de ne pas remplacer les employés de longue date régularisés, ce qui se traduirait par une réduction nette des effectifs.  Cela ne s</w:t>
      </w:r>
      <w:r w:rsidR="00D565F4">
        <w:rPr>
          <w:lang w:val="fr-FR"/>
        </w:rPr>
        <w:t>’</w:t>
      </w:r>
      <w:r w:rsidRPr="00686D5A">
        <w:rPr>
          <w:lang w:val="fr-FR"/>
        </w:rPr>
        <w:t>est pas produit.  Le Département de la gestion des ressources humaines (DGRH) a néanmoins indiqué que pourvoir les postes devenus vacants à la suite du programme de cessation volontaire de service avec de nouveaux employés disposant de compétences/qualifications nouvelles comblait le déficit en qualifications et contribuait à répondre aux besoins de l</w:t>
      </w:r>
      <w:r w:rsidR="00D565F4">
        <w:rPr>
          <w:lang w:val="fr-FR"/>
        </w:rPr>
        <w:t>’</w:t>
      </w:r>
      <w:r w:rsidRPr="00686D5A">
        <w:rPr>
          <w:lang w:val="fr-FR"/>
        </w:rPr>
        <w:t>Organisation, entraînant une productivité accrue et une amélioration des salaires.</w:t>
      </w:r>
    </w:p>
    <w:p w:rsidR="009A7E4C" w:rsidRPr="00686D5A" w:rsidRDefault="009A7E4C" w:rsidP="009F5530">
      <w:pPr>
        <w:pStyle w:val="ONUMFS"/>
        <w:rPr>
          <w:lang w:val="fr-FR"/>
        </w:rPr>
      </w:pPr>
      <w:r w:rsidRPr="00686D5A">
        <w:rPr>
          <w:lang w:val="fr-FR"/>
        </w:rPr>
        <w:t>Il ressort de l</w:t>
      </w:r>
      <w:r w:rsidR="00D565F4">
        <w:rPr>
          <w:lang w:val="fr-FR"/>
        </w:rPr>
        <w:t>’</w:t>
      </w:r>
      <w:r w:rsidRPr="00686D5A">
        <w:rPr>
          <w:lang w:val="fr-FR"/>
        </w:rPr>
        <w:t>examen du programme de cessation volontaire de service et des accords de cessation individuels que la valeur monétaire des indemnités de départ a été moindre que le coût de rétention des membres du personnel, s</w:t>
      </w:r>
      <w:r w:rsidR="00D565F4">
        <w:rPr>
          <w:lang w:val="fr-FR"/>
        </w:rPr>
        <w:t>’</w:t>
      </w:r>
      <w:r w:rsidRPr="00686D5A">
        <w:rPr>
          <w:lang w:val="fr-FR"/>
        </w:rPr>
        <w:t>ils avaient choisi de rester en service jusqu</w:t>
      </w:r>
      <w:r w:rsidR="00D565F4">
        <w:rPr>
          <w:lang w:val="fr-FR"/>
        </w:rPr>
        <w:t>’</w:t>
      </w:r>
      <w:r w:rsidRPr="00686D5A">
        <w:rPr>
          <w:lang w:val="fr-FR"/>
        </w:rPr>
        <w:t>à l</w:t>
      </w:r>
      <w:r w:rsidR="00D565F4">
        <w:rPr>
          <w:lang w:val="fr-FR"/>
        </w:rPr>
        <w:t>’</w:t>
      </w:r>
      <w:r w:rsidRPr="00686D5A">
        <w:rPr>
          <w:lang w:val="fr-FR"/>
        </w:rPr>
        <w:t>âge de la retraite.  Toutefois, le calcul des éléments de la rémunération annexés à un certain nombre d</w:t>
      </w:r>
      <w:r w:rsidR="00D565F4">
        <w:rPr>
          <w:lang w:val="fr-FR"/>
        </w:rPr>
        <w:t>’</w:t>
      </w:r>
      <w:r w:rsidRPr="00686D5A">
        <w:rPr>
          <w:lang w:val="fr-FR"/>
        </w:rPr>
        <w:t>accords de cessation de service n</w:t>
      </w:r>
      <w:r w:rsidR="00D565F4">
        <w:rPr>
          <w:lang w:val="fr-FR"/>
        </w:rPr>
        <w:t>’</w:t>
      </w:r>
      <w:r w:rsidRPr="00686D5A">
        <w:rPr>
          <w:lang w:val="fr-FR"/>
        </w:rPr>
        <w:t xml:space="preserve">était pas détaillé et ne définissait pas clairement les éléments de la rémunération, ni les dérogations prévues par le Statut et Règlement du </w:t>
      </w:r>
      <w:r w:rsidRPr="00686D5A">
        <w:rPr>
          <w:lang w:val="fr-FR"/>
        </w:rPr>
        <w:lastRenderedPageBreak/>
        <w:t>personnel.  Dans plusieurs cas, les formulaires de départ des membres du personnel quittant l</w:t>
      </w:r>
      <w:r w:rsidR="00D565F4">
        <w:rPr>
          <w:lang w:val="fr-FR"/>
        </w:rPr>
        <w:t>’</w:t>
      </w:r>
      <w:r w:rsidRPr="00686D5A">
        <w:rPr>
          <w:lang w:val="fr-FR"/>
        </w:rPr>
        <w:t>Organisation n</w:t>
      </w:r>
      <w:r w:rsidR="00D565F4">
        <w:rPr>
          <w:lang w:val="fr-FR"/>
        </w:rPr>
        <w:t>’</w:t>
      </w:r>
      <w:r w:rsidRPr="00686D5A">
        <w:rPr>
          <w:lang w:val="fr-FR"/>
        </w:rPr>
        <w:t>étaient pas correctement remplis et aucun des accords de cessation de service examinés ne comportait de clause rappelant aux membres du personnel leur obligation de confidentialité quant aux informations de l</w:t>
      </w:r>
      <w:r w:rsidR="00D565F4">
        <w:rPr>
          <w:lang w:val="fr-FR"/>
        </w:rPr>
        <w:t>’</w:t>
      </w:r>
      <w:r w:rsidRPr="00686D5A">
        <w:rPr>
          <w:lang w:val="fr-FR"/>
        </w:rPr>
        <w:t>OMPI, obligation qui persiste après leur cessation de fonctions.</w:t>
      </w:r>
    </w:p>
    <w:p w:rsidR="009A7E4C" w:rsidRPr="00686D5A" w:rsidRDefault="009A7E4C" w:rsidP="009F5530">
      <w:pPr>
        <w:pStyle w:val="ONUMFS"/>
        <w:rPr>
          <w:lang w:val="fr-FR"/>
        </w:rPr>
      </w:pPr>
      <w:r w:rsidRPr="00686D5A">
        <w:rPr>
          <w:lang w:val="fr-FR"/>
        </w:rPr>
        <w:t>D</w:t>
      </w:r>
      <w:r w:rsidR="00D565F4">
        <w:rPr>
          <w:lang w:val="fr-FR"/>
        </w:rPr>
        <w:t>’</w:t>
      </w:r>
      <w:r w:rsidRPr="00686D5A">
        <w:rPr>
          <w:lang w:val="fr-FR"/>
        </w:rPr>
        <w:t>autres organisations</w:t>
      </w:r>
      <w:r w:rsidR="004643B2">
        <w:rPr>
          <w:lang w:val="fr-FR"/>
        </w:rPr>
        <w:t xml:space="preserve"> internationales</w:t>
      </w:r>
      <w:r w:rsidRPr="00686D5A">
        <w:rPr>
          <w:lang w:val="fr-FR"/>
        </w:rPr>
        <w:t xml:space="preserve"> </w:t>
      </w:r>
      <w:r w:rsidR="004643B2">
        <w:rPr>
          <w:lang w:val="fr-FR"/>
        </w:rPr>
        <w:t xml:space="preserve">ayant procédé à des </w:t>
      </w:r>
      <w:r w:rsidRPr="00686D5A">
        <w:rPr>
          <w:lang w:val="fr-FR"/>
        </w:rPr>
        <w:t>cessation</w:t>
      </w:r>
      <w:r w:rsidR="004643B2">
        <w:rPr>
          <w:lang w:val="fr-FR"/>
        </w:rPr>
        <w:t>s</w:t>
      </w:r>
      <w:r w:rsidRPr="00686D5A">
        <w:rPr>
          <w:lang w:val="fr-FR"/>
        </w:rPr>
        <w:t xml:space="preserve"> de service par accord mutuel</w:t>
      </w:r>
      <w:r w:rsidR="004643B2">
        <w:rPr>
          <w:lang w:val="fr-FR"/>
        </w:rPr>
        <w:t xml:space="preserve"> ont été consultés</w:t>
      </w:r>
      <w:r w:rsidRPr="00686D5A">
        <w:rPr>
          <w:lang w:val="fr-FR"/>
        </w:rPr>
        <w:t>.  Le résumé des résultats de l</w:t>
      </w:r>
      <w:r w:rsidR="00D565F4">
        <w:rPr>
          <w:lang w:val="fr-FR"/>
        </w:rPr>
        <w:t>’</w:t>
      </w:r>
      <w:r w:rsidRPr="00686D5A">
        <w:rPr>
          <w:lang w:val="fr-FR"/>
        </w:rPr>
        <w:t xml:space="preserve">étude </w:t>
      </w:r>
      <w:r w:rsidR="004643B2">
        <w:rPr>
          <w:lang w:val="fr-FR"/>
        </w:rPr>
        <w:t>montre</w:t>
      </w:r>
      <w:r w:rsidRPr="00686D5A">
        <w:rPr>
          <w:lang w:val="fr-FR"/>
        </w:rPr>
        <w:t xml:space="preserve"> que les pratiques de l</w:t>
      </w:r>
      <w:r w:rsidR="00D565F4">
        <w:rPr>
          <w:lang w:val="fr-FR"/>
        </w:rPr>
        <w:t>’</w:t>
      </w:r>
      <w:r w:rsidRPr="00686D5A">
        <w:rPr>
          <w:lang w:val="fr-FR"/>
        </w:rPr>
        <w:t>OMPI pour ce qui est de la cessation de service par accord mutuel ne diffèrent pas notablement de celles d</w:t>
      </w:r>
      <w:r w:rsidR="00D565F4">
        <w:rPr>
          <w:lang w:val="fr-FR"/>
        </w:rPr>
        <w:t>’</w:t>
      </w:r>
      <w:r w:rsidRPr="00686D5A">
        <w:rPr>
          <w:lang w:val="fr-FR"/>
        </w:rPr>
        <w:t>autres organisations internationales.</w:t>
      </w:r>
    </w:p>
    <w:p w:rsidR="009A7E4C" w:rsidRPr="00686D5A" w:rsidRDefault="009A7E4C" w:rsidP="009F5530">
      <w:pPr>
        <w:pStyle w:val="ONUMFS"/>
        <w:rPr>
          <w:lang w:val="fr-FR"/>
        </w:rPr>
      </w:pPr>
      <w:r w:rsidRPr="00686D5A">
        <w:rPr>
          <w:lang w:val="fr-FR"/>
        </w:rPr>
        <w:t xml:space="preserve">La </w:t>
      </w:r>
      <w:r w:rsidR="00E90725">
        <w:rPr>
          <w:lang w:val="fr-FR"/>
        </w:rPr>
        <w:t>DASI</w:t>
      </w:r>
      <w:r w:rsidRPr="00686D5A">
        <w:rPr>
          <w:lang w:val="fr-FR"/>
        </w:rPr>
        <w:t xml:space="preserve"> a aussi effectué un audit des prestations et avantages.  Les coûts afférents au personnel constituent une part importante du budget total des dépenses (environ 63,3% au cours de l</w:t>
      </w:r>
      <w:r w:rsidR="00D565F4">
        <w:rPr>
          <w:lang w:val="fr-FR"/>
        </w:rPr>
        <w:t>’</w:t>
      </w:r>
      <w:r w:rsidRPr="00686D5A">
        <w:rPr>
          <w:lang w:val="fr-FR"/>
        </w:rPr>
        <w:t>exercice biennal</w:t>
      </w:r>
      <w:r w:rsidR="00413B67" w:rsidRPr="00686D5A">
        <w:rPr>
          <w:lang w:val="fr-FR"/>
        </w:rPr>
        <w:t> </w:t>
      </w:r>
      <w:r w:rsidRPr="00686D5A">
        <w:rPr>
          <w:lang w:val="fr-FR"/>
        </w:rPr>
        <w:t>2012</w:t>
      </w:r>
      <w:r w:rsidR="001F4EED">
        <w:rPr>
          <w:lang w:val="fr-FR"/>
        </w:rPr>
        <w:noBreakHyphen/>
      </w:r>
      <w:r w:rsidRPr="00686D5A">
        <w:rPr>
          <w:lang w:val="fr-FR"/>
        </w:rPr>
        <w:t>2013).  Outre les traitements versés, ils comprennent d</w:t>
      </w:r>
      <w:r w:rsidR="00D565F4">
        <w:rPr>
          <w:lang w:val="fr-FR"/>
        </w:rPr>
        <w:t>’</w:t>
      </w:r>
      <w:r w:rsidRPr="00686D5A">
        <w:rPr>
          <w:lang w:val="fr-FR"/>
        </w:rPr>
        <w:t>autres prestations et avantages, tels que les indemnités pour frais d</w:t>
      </w:r>
      <w:r w:rsidR="00D565F4">
        <w:rPr>
          <w:lang w:val="fr-FR"/>
        </w:rPr>
        <w:t>’</w:t>
      </w:r>
      <w:r w:rsidRPr="00686D5A">
        <w:rPr>
          <w:lang w:val="fr-FR"/>
        </w:rPr>
        <w:t>études, les frais de voyage au titre du congé dans les foyers, l</w:t>
      </w:r>
      <w:r w:rsidR="00D565F4">
        <w:rPr>
          <w:lang w:val="fr-FR"/>
        </w:rPr>
        <w:t>’</w:t>
      </w:r>
      <w:r w:rsidRPr="00686D5A">
        <w:rPr>
          <w:lang w:val="fr-FR"/>
        </w:rPr>
        <w:t>indemnité pour charges de famille, la prime de connaissances linguistiques, la prime d</w:t>
      </w:r>
      <w:r w:rsidR="00D565F4">
        <w:rPr>
          <w:lang w:val="fr-FR"/>
        </w:rPr>
        <w:t>’</w:t>
      </w:r>
      <w:r w:rsidRPr="00686D5A">
        <w:rPr>
          <w:lang w:val="fr-FR"/>
        </w:rPr>
        <w:t>affectation et l</w:t>
      </w:r>
      <w:r w:rsidR="00D565F4">
        <w:rPr>
          <w:lang w:val="fr-FR"/>
        </w:rPr>
        <w:t>’</w:t>
      </w:r>
      <w:r w:rsidRPr="00686D5A">
        <w:rPr>
          <w:lang w:val="fr-FR"/>
        </w:rPr>
        <w:t>allocation</w:t>
      </w:r>
      <w:r w:rsidR="001F4EED">
        <w:rPr>
          <w:lang w:val="fr-FR"/>
        </w:rPr>
        <w:noBreakHyphen/>
      </w:r>
      <w:r w:rsidRPr="00686D5A">
        <w:rPr>
          <w:lang w:val="fr-FR"/>
        </w:rPr>
        <w:t>logement, qui sont administrés par le Service des opérations relatives aux ressources humaines.</w:t>
      </w:r>
    </w:p>
    <w:p w:rsidR="009A7E4C" w:rsidRPr="00686D5A" w:rsidRDefault="009A7E4C" w:rsidP="009F5530">
      <w:pPr>
        <w:pStyle w:val="ONUMFS"/>
        <w:rPr>
          <w:lang w:val="fr-FR"/>
        </w:rPr>
      </w:pPr>
      <w:r w:rsidRPr="00686D5A">
        <w:rPr>
          <w:lang w:val="fr-FR"/>
        </w:rPr>
        <w:t>Bien que le Service des opérations relatives aux ressources humaines suive systématiquement certaines procédures standards en matière de traitement des demandes, ces procédures ne sont pas correctement documentées.  La cohérence et l</w:t>
      </w:r>
      <w:r w:rsidR="00D565F4">
        <w:rPr>
          <w:lang w:val="fr-FR"/>
        </w:rPr>
        <w:t>’</w:t>
      </w:r>
      <w:r w:rsidRPr="00686D5A">
        <w:rPr>
          <w:lang w:val="fr-FR"/>
        </w:rPr>
        <w:t>efficacité des prestations de services seront améliorées en documentant adéquatement et en intégrant les procédures standards en vigueur dans un guide des opérations relatives aux ressources humaines.</w:t>
      </w:r>
    </w:p>
    <w:p w:rsidR="009A7E4C" w:rsidRPr="00686D5A" w:rsidRDefault="009A7E4C" w:rsidP="009F5530">
      <w:pPr>
        <w:pStyle w:val="ONUMFS"/>
        <w:rPr>
          <w:lang w:val="fr-FR"/>
        </w:rPr>
      </w:pPr>
      <w:r w:rsidRPr="00686D5A">
        <w:rPr>
          <w:lang w:val="fr-FR"/>
        </w:rPr>
        <w:t>L</w:t>
      </w:r>
      <w:r w:rsidR="00D565F4">
        <w:rPr>
          <w:lang w:val="fr-FR"/>
        </w:rPr>
        <w:t>’</w:t>
      </w:r>
      <w:r w:rsidRPr="00686D5A">
        <w:rPr>
          <w:lang w:val="fr-FR"/>
        </w:rPr>
        <w:t>examen d</w:t>
      </w:r>
      <w:r w:rsidR="00D565F4">
        <w:rPr>
          <w:lang w:val="fr-FR"/>
        </w:rPr>
        <w:t>’</w:t>
      </w:r>
      <w:r w:rsidRPr="00686D5A">
        <w:rPr>
          <w:lang w:val="fr-FR"/>
        </w:rPr>
        <w:t>un échantillon de transactions a fait ressortir un certain</w:t>
      </w:r>
      <w:r w:rsidR="004643B2">
        <w:rPr>
          <w:lang w:val="fr-FR"/>
        </w:rPr>
        <w:t xml:space="preserve"> nombre de cas de</w:t>
      </w:r>
      <w:r w:rsidRPr="00686D5A">
        <w:rPr>
          <w:lang w:val="fr-FR"/>
        </w:rPr>
        <w:t xml:space="preserve"> non</w:t>
      </w:r>
      <w:r w:rsidR="001F4EED">
        <w:rPr>
          <w:lang w:val="fr-FR"/>
        </w:rPr>
        <w:noBreakHyphen/>
      </w:r>
      <w:r w:rsidRPr="00686D5A">
        <w:rPr>
          <w:lang w:val="fr-FR"/>
        </w:rPr>
        <w:t>respect des dispositions du Statut et Règlement du personnel s</w:t>
      </w:r>
      <w:r w:rsidR="00D565F4">
        <w:rPr>
          <w:lang w:val="fr-FR"/>
        </w:rPr>
        <w:t>’</w:t>
      </w:r>
      <w:r w:rsidRPr="00686D5A">
        <w:rPr>
          <w:lang w:val="fr-FR"/>
        </w:rPr>
        <w:t>agissant du traitement des demandes d</w:t>
      </w:r>
      <w:r w:rsidR="00D565F4">
        <w:rPr>
          <w:lang w:val="fr-FR"/>
        </w:rPr>
        <w:t>’</w:t>
      </w:r>
      <w:r w:rsidRPr="00686D5A">
        <w:rPr>
          <w:lang w:val="fr-FR"/>
        </w:rPr>
        <w:t>indemnités pour frais d</w:t>
      </w:r>
      <w:r w:rsidR="00D565F4">
        <w:rPr>
          <w:lang w:val="fr-FR"/>
        </w:rPr>
        <w:t>’</w:t>
      </w:r>
      <w:r w:rsidRPr="00686D5A">
        <w:rPr>
          <w:lang w:val="fr-FR"/>
        </w:rPr>
        <w:t>études, d</w:t>
      </w:r>
      <w:r w:rsidR="00D565F4">
        <w:rPr>
          <w:lang w:val="fr-FR"/>
        </w:rPr>
        <w:t>’</w:t>
      </w:r>
      <w:r w:rsidRPr="00686D5A">
        <w:rPr>
          <w:lang w:val="fr-FR"/>
        </w:rPr>
        <w:t>allocation</w:t>
      </w:r>
      <w:r w:rsidR="001F4EED">
        <w:rPr>
          <w:lang w:val="fr-FR"/>
        </w:rPr>
        <w:noBreakHyphen/>
      </w:r>
      <w:r w:rsidRPr="00686D5A">
        <w:rPr>
          <w:lang w:val="fr-FR"/>
        </w:rPr>
        <w:t>logement et d</w:t>
      </w:r>
      <w:r w:rsidR="00D565F4">
        <w:rPr>
          <w:lang w:val="fr-FR"/>
        </w:rPr>
        <w:t>’</w:t>
      </w:r>
      <w:r w:rsidRPr="00686D5A">
        <w:rPr>
          <w:lang w:val="fr-FR"/>
        </w:rPr>
        <w:t>indemnité pour charges de famille.  Le plein respect du Statut et Règlement du personnel permettra de garantir l</w:t>
      </w:r>
      <w:r w:rsidR="00D565F4">
        <w:rPr>
          <w:lang w:val="fr-FR"/>
        </w:rPr>
        <w:t>’</w:t>
      </w:r>
      <w:r w:rsidRPr="00686D5A">
        <w:rPr>
          <w:lang w:val="fr-FR"/>
        </w:rPr>
        <w:t>efficacité des contrôles internes prévus et de limiter le risque de pertes financières pour l</w:t>
      </w:r>
      <w:r w:rsidR="00D565F4">
        <w:rPr>
          <w:lang w:val="fr-FR"/>
        </w:rPr>
        <w:t>’</w:t>
      </w:r>
      <w:r w:rsidRPr="00686D5A">
        <w:rPr>
          <w:lang w:val="fr-FR"/>
        </w:rPr>
        <w:t>Organisation.</w:t>
      </w:r>
    </w:p>
    <w:p w:rsidR="009A7E4C" w:rsidRPr="00686D5A" w:rsidRDefault="009A7E4C" w:rsidP="009F5530">
      <w:pPr>
        <w:pStyle w:val="ONUMFS"/>
        <w:rPr>
          <w:lang w:val="fr-FR"/>
        </w:rPr>
      </w:pPr>
      <w:r w:rsidRPr="00686D5A">
        <w:rPr>
          <w:lang w:val="fr-FR"/>
        </w:rPr>
        <w:t xml:space="preserve">La </w:t>
      </w:r>
      <w:r w:rsidR="00E90725">
        <w:rPr>
          <w:lang w:val="fr-FR"/>
        </w:rPr>
        <w:t>DASI</w:t>
      </w:r>
      <w:r w:rsidRPr="00686D5A">
        <w:rPr>
          <w:lang w:val="fr-FR"/>
        </w:rPr>
        <w:t xml:space="preserve"> a également examiné les transactions liées à la prime d</w:t>
      </w:r>
      <w:r w:rsidR="00D565F4">
        <w:rPr>
          <w:lang w:val="fr-FR"/>
        </w:rPr>
        <w:t>’</w:t>
      </w:r>
      <w:r w:rsidRPr="00686D5A">
        <w:rPr>
          <w:lang w:val="fr-FR"/>
        </w:rPr>
        <w:t>affection, aux indemnités de représentation et à la prime de mobilité et de sujétion;  aucune anomalie n</w:t>
      </w:r>
      <w:r w:rsidR="00D565F4">
        <w:rPr>
          <w:lang w:val="fr-FR"/>
        </w:rPr>
        <w:t>’</w:t>
      </w:r>
      <w:r w:rsidRPr="00686D5A">
        <w:rPr>
          <w:lang w:val="fr-FR"/>
        </w:rPr>
        <w:t>y a été relevée.</w:t>
      </w:r>
    </w:p>
    <w:p w:rsidR="009A7E4C" w:rsidRPr="00686D5A" w:rsidRDefault="009A7E4C" w:rsidP="009F5530">
      <w:pPr>
        <w:pStyle w:val="ONUMFS"/>
        <w:rPr>
          <w:lang w:val="fr-FR"/>
        </w:rPr>
      </w:pPr>
      <w:r w:rsidRPr="00686D5A">
        <w:rPr>
          <w:lang w:val="fr-FR"/>
        </w:rPr>
        <w:t>Enfin,</w:t>
      </w:r>
      <w:r w:rsidR="00D565F4" w:rsidRPr="00686D5A">
        <w:rPr>
          <w:lang w:val="fr-FR"/>
        </w:rPr>
        <w:t xml:space="preserve"> la</w:t>
      </w:r>
      <w:r w:rsidR="00D565F4">
        <w:rPr>
          <w:lang w:val="fr-FR"/>
        </w:rPr>
        <w:t> DAS</w:t>
      </w:r>
      <w:r w:rsidR="00E90725">
        <w:rPr>
          <w:lang w:val="fr-FR"/>
        </w:rPr>
        <w:t>I</w:t>
      </w:r>
      <w:r w:rsidRPr="00686D5A">
        <w:rPr>
          <w:lang w:val="fr-FR"/>
        </w:rPr>
        <w:t xml:space="preserve"> s</w:t>
      </w:r>
      <w:r w:rsidR="00D565F4">
        <w:rPr>
          <w:lang w:val="fr-FR"/>
        </w:rPr>
        <w:t>’</w:t>
      </w:r>
      <w:r w:rsidRPr="00686D5A">
        <w:rPr>
          <w:lang w:val="fr-FR"/>
        </w:rPr>
        <w:t>est jointe au Département de la gestion des ressources humaines pour l</w:t>
      </w:r>
      <w:r w:rsidR="00D565F4">
        <w:rPr>
          <w:lang w:val="fr-FR"/>
        </w:rPr>
        <w:t>’</w:t>
      </w:r>
      <w:r w:rsidRPr="00686D5A">
        <w:rPr>
          <w:lang w:val="fr-FR"/>
        </w:rPr>
        <w:t>évaluation du programme pilote de récompenses et de reconnaissance.  Ce programme vise à reconnaître et à apprécier publiquement les excellents résultats de membres du personnel et d</w:t>
      </w:r>
      <w:r w:rsidR="00D565F4">
        <w:rPr>
          <w:lang w:val="fr-FR"/>
        </w:rPr>
        <w:t>’</w:t>
      </w:r>
      <w:r w:rsidRPr="00686D5A">
        <w:rPr>
          <w:lang w:val="fr-FR"/>
        </w:rPr>
        <w:t>équipes, et à susciter l</w:t>
      </w:r>
      <w:r w:rsidR="00D565F4">
        <w:rPr>
          <w:lang w:val="fr-FR"/>
        </w:rPr>
        <w:t>’</w:t>
      </w:r>
      <w:r w:rsidRPr="00686D5A">
        <w:rPr>
          <w:lang w:val="fr-FR"/>
        </w:rPr>
        <w:t>intérêt et la motivation pour que tous les membres du personnel puissent, à l</w:t>
      </w:r>
      <w:r w:rsidR="00D565F4">
        <w:rPr>
          <w:lang w:val="fr-FR"/>
        </w:rPr>
        <w:t>’</w:t>
      </w:r>
      <w:r w:rsidRPr="00686D5A">
        <w:rPr>
          <w:lang w:val="fr-FR"/>
        </w:rPr>
        <w:t>avenir, obtenir une reconnaissance et des récompenses analogues.</w:t>
      </w:r>
    </w:p>
    <w:p w:rsidR="009A7E4C" w:rsidRPr="00686D5A" w:rsidRDefault="009A7E4C" w:rsidP="009F5530">
      <w:pPr>
        <w:pStyle w:val="ONUMFS"/>
        <w:rPr>
          <w:lang w:val="fr-FR"/>
        </w:rPr>
      </w:pPr>
      <w:r w:rsidRPr="00686D5A">
        <w:rPr>
          <w:lang w:val="fr-FR"/>
        </w:rPr>
        <w:t>Le programme pilote de récompenses et de reconnaissance est constitué de trois</w:t>
      </w:r>
      <w:r w:rsidR="00413B67" w:rsidRPr="00686D5A">
        <w:rPr>
          <w:lang w:val="fr-FR"/>
        </w:rPr>
        <w:t> </w:t>
      </w:r>
      <w:r w:rsidRPr="00686D5A">
        <w:rPr>
          <w:lang w:val="fr-FR"/>
        </w:rPr>
        <w:t xml:space="preserve">mécanismes : reconnaissance informelle par les </w:t>
      </w:r>
      <w:r w:rsidR="004643B2">
        <w:rPr>
          <w:lang w:val="fr-FR"/>
        </w:rPr>
        <w:t>supérieurs hiérarchiques</w:t>
      </w:r>
      <w:r w:rsidRPr="00686D5A">
        <w:rPr>
          <w:lang w:val="fr-FR"/>
        </w:rPr>
        <w:t>, sur une base régulière;  reconnaissance formelle par lettres de félicitation pour les exécutants exceptionnels;  et récompenses pécuniaires pour les membres du personnel et les équipes.</w:t>
      </w:r>
    </w:p>
    <w:p w:rsidR="009A7E4C" w:rsidRPr="00686D5A" w:rsidRDefault="009A7E4C" w:rsidP="009F5530">
      <w:pPr>
        <w:pStyle w:val="ONUMFS"/>
        <w:rPr>
          <w:lang w:val="fr-FR"/>
        </w:rPr>
      </w:pPr>
      <w:r w:rsidRPr="00686D5A">
        <w:rPr>
          <w:lang w:val="fr-FR"/>
        </w:rPr>
        <w:t>Les résultats de la première phase de l</w:t>
      </w:r>
      <w:r w:rsidR="00D565F4">
        <w:rPr>
          <w:lang w:val="fr-FR"/>
        </w:rPr>
        <w:t>’</w:t>
      </w:r>
      <w:r w:rsidRPr="00686D5A">
        <w:rPr>
          <w:lang w:val="fr-FR"/>
        </w:rPr>
        <w:t>évaluation ont montré que le programme pilote devait être poursuivi avec la même combinaison de reconnaissance informelle et de récompenses formelles (pécuniaires et autres) pour les membres du personnel et les équipes.  Le programme gagnerait à offrir davantage de récompenses pour le travail d</w:t>
      </w:r>
      <w:r w:rsidR="00D565F4">
        <w:rPr>
          <w:lang w:val="fr-FR"/>
        </w:rPr>
        <w:t>’</w:t>
      </w:r>
      <w:r w:rsidRPr="00686D5A">
        <w:rPr>
          <w:lang w:val="fr-FR"/>
        </w:rPr>
        <w:t>équipe et moins de récompenses individuelles, ainsi que plus de récompenses en nature (par exemple sous forme de formations, de participation à des missions ou à des manifestations officielles ciblées) que de récompenses pécuniaires.</w:t>
      </w:r>
    </w:p>
    <w:p w:rsidR="009A7E4C" w:rsidRPr="00686D5A" w:rsidRDefault="009A7E4C" w:rsidP="009F5530">
      <w:pPr>
        <w:pStyle w:val="ONUMFS"/>
        <w:rPr>
          <w:lang w:val="fr-FR"/>
        </w:rPr>
      </w:pPr>
      <w:r w:rsidRPr="00686D5A">
        <w:rPr>
          <w:lang w:val="fr-FR"/>
        </w:rPr>
        <w:lastRenderedPageBreak/>
        <w:t>À plus long terme, il est jugé nécessaire d</w:t>
      </w:r>
      <w:r w:rsidR="00D565F4">
        <w:rPr>
          <w:lang w:val="fr-FR"/>
        </w:rPr>
        <w:t>’</w:t>
      </w:r>
      <w:r w:rsidRPr="00686D5A">
        <w:rPr>
          <w:lang w:val="fr-FR"/>
        </w:rPr>
        <w:t>envisager d</w:t>
      </w:r>
      <w:r w:rsidR="00D565F4">
        <w:rPr>
          <w:lang w:val="fr-FR"/>
        </w:rPr>
        <w:t>’</w:t>
      </w:r>
      <w:r w:rsidRPr="00686D5A">
        <w:rPr>
          <w:lang w:val="fr-FR"/>
        </w:rPr>
        <w:t>autres éléments (que ceux dont il est tenu compte dans le programme pilote) contribuant à la création d</w:t>
      </w:r>
      <w:r w:rsidR="00D565F4">
        <w:rPr>
          <w:lang w:val="fr-FR"/>
        </w:rPr>
        <w:t>’</w:t>
      </w:r>
      <w:r w:rsidRPr="00686D5A">
        <w:rPr>
          <w:lang w:val="fr-FR"/>
        </w:rPr>
        <w:t>une culture de l</w:t>
      </w:r>
      <w:r w:rsidR="00D565F4">
        <w:rPr>
          <w:lang w:val="fr-FR"/>
        </w:rPr>
        <w:t>’</w:t>
      </w:r>
      <w:r w:rsidRPr="00686D5A">
        <w:rPr>
          <w:lang w:val="fr-FR"/>
        </w:rPr>
        <w:t>efficacité.</w:t>
      </w:r>
    </w:p>
    <w:p w:rsidR="009A7E4C" w:rsidRPr="00686D5A" w:rsidRDefault="009F5530" w:rsidP="009F5530">
      <w:pPr>
        <w:pStyle w:val="Heading2"/>
      </w:pPr>
      <w:r w:rsidRPr="00686D5A">
        <w:t>Sécurité informatique et migration des données</w:t>
      </w:r>
    </w:p>
    <w:p w:rsidR="009A7E4C" w:rsidRPr="00686D5A" w:rsidRDefault="009A7E4C" w:rsidP="009F5530">
      <w:pPr>
        <w:pStyle w:val="ONUMFS"/>
        <w:rPr>
          <w:lang w:val="fr-FR"/>
        </w:rPr>
      </w:pPr>
      <w:r w:rsidRPr="00686D5A">
        <w:rPr>
          <w:lang w:val="fr-FR"/>
        </w:rPr>
        <w:t>La direction et le personnel ont fourni des preuves de leur engagement à mettre en place un système de gestion de la sécurité informatique à l</w:t>
      </w:r>
      <w:r w:rsidR="00D565F4">
        <w:rPr>
          <w:lang w:val="fr-FR"/>
        </w:rPr>
        <w:t>’</w:t>
      </w:r>
      <w:r w:rsidRPr="00686D5A">
        <w:rPr>
          <w:lang w:val="fr-FR"/>
        </w:rPr>
        <w:t>OMPI, à en assurer le fonctionnement et à l</w:t>
      </w:r>
      <w:r w:rsidR="00D565F4">
        <w:rPr>
          <w:lang w:val="fr-FR"/>
        </w:rPr>
        <w:t>’</w:t>
      </w:r>
      <w:r w:rsidRPr="00686D5A">
        <w:rPr>
          <w:lang w:val="fr-FR"/>
        </w:rPr>
        <w:t>améliorer.  La certification de l</w:t>
      </w:r>
      <w:r w:rsidR="00D565F4">
        <w:rPr>
          <w:lang w:val="fr-FR"/>
        </w:rPr>
        <w:t>’</w:t>
      </w:r>
      <w:r w:rsidRPr="00686D5A">
        <w:rPr>
          <w:lang w:val="fr-FR"/>
        </w:rPr>
        <w:t xml:space="preserve">Organisation internationale de normalisation (ISO) obtenue pour </w:t>
      </w:r>
      <w:r w:rsidR="00760A27">
        <w:rPr>
          <w:lang w:val="fr-FR"/>
        </w:rPr>
        <w:t>la gestion</w:t>
      </w:r>
      <w:r w:rsidRPr="00686D5A">
        <w:rPr>
          <w:lang w:val="fr-FR"/>
        </w:rPr>
        <w:t xml:space="preserve"> </w:t>
      </w:r>
      <w:r w:rsidR="00760A27">
        <w:rPr>
          <w:lang w:val="fr-FR"/>
        </w:rPr>
        <w:t>de la sécurité de l</w:t>
      </w:r>
      <w:r w:rsidR="00D565F4">
        <w:rPr>
          <w:lang w:val="fr-FR"/>
        </w:rPr>
        <w:t>’</w:t>
      </w:r>
      <w:r w:rsidR="00760A27">
        <w:rPr>
          <w:lang w:val="fr-FR"/>
        </w:rPr>
        <w:t>information</w:t>
      </w:r>
      <w:r w:rsidR="00760A27" w:rsidRPr="00686D5A">
        <w:rPr>
          <w:lang w:val="fr-FR"/>
        </w:rPr>
        <w:t xml:space="preserve"> </w:t>
      </w:r>
      <w:r w:rsidRPr="00686D5A">
        <w:rPr>
          <w:lang w:val="fr-FR"/>
        </w:rPr>
        <w:t>du Traité de coopération en matière de brevets (PCT) est un succès notable.</w:t>
      </w:r>
    </w:p>
    <w:p w:rsidR="009A7E4C" w:rsidRPr="00686D5A" w:rsidRDefault="009A7E4C" w:rsidP="009F5530">
      <w:pPr>
        <w:pStyle w:val="ONUMFS"/>
        <w:rPr>
          <w:lang w:val="fr-FR"/>
        </w:rPr>
      </w:pPr>
      <w:r w:rsidRPr="00686D5A">
        <w:rPr>
          <w:lang w:val="fr-FR"/>
        </w:rPr>
        <w:t>Des recommandations ont été formulées dans le cadre de l</w:t>
      </w:r>
      <w:r w:rsidR="00D565F4">
        <w:rPr>
          <w:lang w:val="fr-FR"/>
        </w:rPr>
        <w:t>’</w:t>
      </w:r>
      <w:r w:rsidRPr="00686D5A">
        <w:rPr>
          <w:lang w:val="fr-FR"/>
        </w:rPr>
        <w:t>audit aux fins de renforcer les contrôles internes et d</w:t>
      </w:r>
      <w:r w:rsidR="00D565F4">
        <w:rPr>
          <w:lang w:val="fr-FR"/>
        </w:rPr>
        <w:t>’</w:t>
      </w:r>
      <w:r w:rsidRPr="00686D5A">
        <w:rPr>
          <w:lang w:val="fr-FR"/>
        </w:rPr>
        <w:t>améliorer les processus opérationnels s</w:t>
      </w:r>
      <w:r w:rsidR="00D565F4">
        <w:rPr>
          <w:lang w:val="fr-FR"/>
        </w:rPr>
        <w:t>’</w:t>
      </w:r>
      <w:r w:rsidRPr="00686D5A">
        <w:rPr>
          <w:lang w:val="fr-FR"/>
        </w:rPr>
        <w:t>agissant de l</w:t>
      </w:r>
      <w:r w:rsidR="00D565F4">
        <w:rPr>
          <w:lang w:val="fr-FR"/>
        </w:rPr>
        <w:t>’</w:t>
      </w:r>
      <w:r w:rsidRPr="00686D5A">
        <w:rPr>
          <w:lang w:val="fr-FR"/>
        </w:rPr>
        <w:t>exactitude du registre des risques sur l</w:t>
      </w:r>
      <w:r w:rsidR="00D565F4">
        <w:rPr>
          <w:lang w:val="fr-FR"/>
        </w:rPr>
        <w:t>’</w:t>
      </w:r>
      <w:r w:rsidRPr="00686D5A">
        <w:rPr>
          <w:lang w:val="fr-FR"/>
        </w:rPr>
        <w:t>information, du système centralisé de suivi des vulnérabilités informatiques, de l</w:t>
      </w:r>
      <w:r w:rsidR="00D565F4">
        <w:rPr>
          <w:lang w:val="fr-FR"/>
        </w:rPr>
        <w:t>’</w:t>
      </w:r>
      <w:r w:rsidRPr="00686D5A">
        <w:rPr>
          <w:lang w:val="fr-FR"/>
        </w:rPr>
        <w:t>accès partagé et de l</w:t>
      </w:r>
      <w:r w:rsidR="00D565F4">
        <w:rPr>
          <w:lang w:val="fr-FR"/>
        </w:rPr>
        <w:t>’</w:t>
      </w:r>
      <w:r w:rsidRPr="00686D5A">
        <w:rPr>
          <w:lang w:val="fr-FR"/>
        </w:rPr>
        <w:t>examen périodique des activités d</w:t>
      </w:r>
      <w:r w:rsidR="00D565F4">
        <w:rPr>
          <w:lang w:val="fr-FR"/>
        </w:rPr>
        <w:t>’</w:t>
      </w:r>
      <w:r w:rsidRPr="00686D5A">
        <w:rPr>
          <w:lang w:val="fr-FR"/>
        </w:rPr>
        <w:t>administration du système, de la désactivation du compte d</w:t>
      </w:r>
      <w:r w:rsidR="00D565F4">
        <w:rPr>
          <w:lang w:val="fr-FR"/>
        </w:rPr>
        <w:t>’</w:t>
      </w:r>
      <w:r w:rsidRPr="00686D5A">
        <w:rPr>
          <w:lang w:val="fr-FR"/>
        </w:rPr>
        <w:t>utilisateur AIMS (</w:t>
      </w:r>
      <w:proofErr w:type="spellStart"/>
      <w:r w:rsidRPr="00686D5A">
        <w:rPr>
          <w:lang w:val="fr-FR"/>
        </w:rPr>
        <w:t>PeopleSoft</w:t>
      </w:r>
      <w:proofErr w:type="spellEnd"/>
      <w:r w:rsidRPr="00686D5A">
        <w:rPr>
          <w:vertAlign w:val="superscript"/>
          <w:lang w:val="fr-FR"/>
        </w:rPr>
        <w:t>©</w:t>
      </w:r>
      <w:r w:rsidRPr="00686D5A">
        <w:rPr>
          <w:lang w:val="fr-FR"/>
        </w:rPr>
        <w:t>), ainsi que des examens et des exigences de sécurité convenus formellement avec le Centre international de calcul de l</w:t>
      </w:r>
      <w:r w:rsidR="00D565F4">
        <w:rPr>
          <w:lang w:val="fr-FR"/>
        </w:rPr>
        <w:t>’</w:t>
      </w:r>
      <w:r w:rsidRPr="00686D5A">
        <w:rPr>
          <w:lang w:val="fr-FR"/>
        </w:rPr>
        <w:t>ONU.</w:t>
      </w:r>
    </w:p>
    <w:p w:rsidR="009A7E4C" w:rsidRPr="00686D5A" w:rsidRDefault="009A7E4C" w:rsidP="009F5530">
      <w:pPr>
        <w:pStyle w:val="ONUMFS"/>
        <w:rPr>
          <w:lang w:val="fr-FR"/>
        </w:rPr>
      </w:pPr>
      <w:r w:rsidRPr="00686D5A">
        <w:rPr>
          <w:lang w:val="fr-FR"/>
        </w:rPr>
        <w:t>Un projet plus précis en rapport avec le traitement de l</w:t>
      </w:r>
      <w:r w:rsidR="00D565F4">
        <w:rPr>
          <w:lang w:val="fr-FR"/>
        </w:rPr>
        <w:t>’</w:t>
      </w:r>
      <w:r w:rsidR="005E35C2" w:rsidRPr="00686D5A">
        <w:rPr>
          <w:lang w:val="fr-FR"/>
        </w:rPr>
        <w:t>informatique a été examiné.  L</w:t>
      </w:r>
      <w:r w:rsidR="00760A27">
        <w:rPr>
          <w:lang w:val="fr-FR"/>
        </w:rPr>
        <w:t>a</w:t>
      </w:r>
      <w:r w:rsidR="007A2DAE">
        <w:rPr>
          <w:lang w:val="fr-FR"/>
        </w:rPr>
        <w:t> </w:t>
      </w:r>
      <w:r w:rsidRPr="00686D5A">
        <w:rPr>
          <w:lang w:val="fr-FR"/>
        </w:rPr>
        <w:t xml:space="preserve">mise en œuvre </w:t>
      </w:r>
      <w:r w:rsidR="00760A27">
        <w:rPr>
          <w:lang w:val="fr-FR"/>
        </w:rPr>
        <w:t xml:space="preserve">du module </w:t>
      </w:r>
      <w:proofErr w:type="spellStart"/>
      <w:r w:rsidR="00760A27">
        <w:rPr>
          <w:lang w:val="fr-FR"/>
        </w:rPr>
        <w:t>degestion</w:t>
      </w:r>
      <w:proofErr w:type="spellEnd"/>
      <w:r w:rsidR="005E35C2" w:rsidRPr="00686D5A">
        <w:rPr>
          <w:lang w:val="fr-FR"/>
        </w:rPr>
        <w:t xml:space="preserve"> de ressources humaines</w:t>
      </w:r>
      <w:r w:rsidRPr="00686D5A">
        <w:rPr>
          <w:lang w:val="fr-FR"/>
        </w:rPr>
        <w:t xml:space="preserve"> constitue l</w:t>
      </w:r>
      <w:r w:rsidR="00D565F4">
        <w:rPr>
          <w:lang w:val="fr-FR"/>
        </w:rPr>
        <w:t>’</w:t>
      </w:r>
      <w:r w:rsidRPr="00686D5A">
        <w:rPr>
          <w:lang w:val="fr-FR"/>
        </w:rPr>
        <w:t>une des composantes importantes de la mise en œuvre, au sein de l</w:t>
      </w:r>
      <w:r w:rsidR="00D565F4">
        <w:rPr>
          <w:lang w:val="fr-FR"/>
        </w:rPr>
        <w:t>’</w:t>
      </w:r>
      <w:r w:rsidRPr="00686D5A">
        <w:rPr>
          <w:lang w:val="fr-FR"/>
        </w:rPr>
        <w:t>OMPI, d</w:t>
      </w:r>
      <w:r w:rsidR="00D565F4">
        <w:rPr>
          <w:lang w:val="fr-FR"/>
        </w:rPr>
        <w:t>’</w:t>
      </w:r>
      <w:r w:rsidRPr="00686D5A">
        <w:rPr>
          <w:lang w:val="fr-FR"/>
        </w:rPr>
        <w:t>un système global de planification des ressources de l</w:t>
      </w:r>
      <w:r w:rsidR="00D565F4">
        <w:rPr>
          <w:lang w:val="fr-FR"/>
        </w:rPr>
        <w:t>’</w:t>
      </w:r>
      <w:r w:rsidRPr="00686D5A">
        <w:rPr>
          <w:lang w:val="fr-FR"/>
        </w:rPr>
        <w:t>Organisation (</w:t>
      </w:r>
      <w:r w:rsidR="00464784">
        <w:rPr>
          <w:lang w:val="fr-FR"/>
        </w:rPr>
        <w:t>progiciel de gestion intégrée, PGI</w:t>
      </w:r>
      <w:r w:rsidRPr="00686D5A">
        <w:rPr>
          <w:lang w:val="fr-FR"/>
        </w:rPr>
        <w:t>).  L</w:t>
      </w:r>
      <w:r w:rsidR="00D565F4">
        <w:rPr>
          <w:lang w:val="fr-FR"/>
        </w:rPr>
        <w:t>’</w:t>
      </w:r>
      <w:r w:rsidRPr="00686D5A">
        <w:rPr>
          <w:lang w:val="fr-FR"/>
        </w:rPr>
        <w:t xml:space="preserve">une des tâches essentielles, dans la mise en œuvre du système, est la conversion ou la migration des données du système </w:t>
      </w:r>
      <w:r w:rsidR="005E35C2" w:rsidRPr="00686D5A">
        <w:rPr>
          <w:lang w:val="fr-FR"/>
        </w:rPr>
        <w:t>en matière de ressources humaines</w:t>
      </w:r>
      <w:r w:rsidRPr="00686D5A">
        <w:rPr>
          <w:lang w:val="fr-FR"/>
        </w:rPr>
        <w:t xml:space="preserve"> en place (c</w:t>
      </w:r>
      <w:r w:rsidR="00D565F4">
        <w:rPr>
          <w:lang w:val="fr-FR"/>
        </w:rPr>
        <w:t>’</w:t>
      </w:r>
      <w:r w:rsidRPr="00686D5A">
        <w:rPr>
          <w:lang w:val="fr-FR"/>
        </w:rPr>
        <w:t>est</w:t>
      </w:r>
      <w:r w:rsidR="001F4EED">
        <w:rPr>
          <w:lang w:val="fr-FR"/>
        </w:rPr>
        <w:noBreakHyphen/>
      </w:r>
      <w:r w:rsidRPr="00686D5A">
        <w:rPr>
          <w:lang w:val="fr-FR"/>
        </w:rPr>
        <w:t>à</w:t>
      </w:r>
      <w:r w:rsidR="001F4EED">
        <w:rPr>
          <w:lang w:val="fr-FR"/>
        </w:rPr>
        <w:noBreakHyphen/>
      </w:r>
      <w:r w:rsidRPr="00686D5A">
        <w:rPr>
          <w:lang w:val="fr-FR"/>
        </w:rPr>
        <w:t>dire SIGAGIP) vers le nouveau système</w:t>
      </w:r>
      <w:r w:rsidR="00686D5A">
        <w:rPr>
          <w:lang w:val="fr-FR"/>
        </w:rPr>
        <w:t> </w:t>
      </w:r>
      <w:r w:rsidR="00464784">
        <w:rPr>
          <w:lang w:val="fr-FR"/>
        </w:rPr>
        <w:t>PGI</w:t>
      </w:r>
      <w:r w:rsidR="00464784" w:rsidRPr="00686D5A">
        <w:rPr>
          <w:lang w:val="fr-FR"/>
        </w:rPr>
        <w:t xml:space="preserve"> </w:t>
      </w:r>
      <w:r w:rsidRPr="00686D5A">
        <w:rPr>
          <w:lang w:val="fr-FR"/>
        </w:rPr>
        <w:t>(</w:t>
      </w:r>
      <w:proofErr w:type="spellStart"/>
      <w:r w:rsidRPr="00686D5A">
        <w:rPr>
          <w:lang w:val="fr-FR"/>
        </w:rPr>
        <w:t>PeopleSoft</w:t>
      </w:r>
      <w:proofErr w:type="spellEnd"/>
      <w:r w:rsidRPr="00686D5A">
        <w:rPr>
          <w:vertAlign w:val="superscript"/>
          <w:lang w:val="fr-FR"/>
        </w:rPr>
        <w:t>©</w:t>
      </w:r>
      <w:r w:rsidRPr="00686D5A">
        <w:rPr>
          <w:lang w:val="fr-FR"/>
        </w:rPr>
        <w:t>), que</w:t>
      </w:r>
      <w:r w:rsidR="00D565F4" w:rsidRPr="00686D5A">
        <w:rPr>
          <w:lang w:val="fr-FR"/>
        </w:rPr>
        <w:t xml:space="preserve"> la</w:t>
      </w:r>
      <w:r w:rsidR="00D565F4">
        <w:rPr>
          <w:lang w:val="fr-FR"/>
        </w:rPr>
        <w:t> DAS</w:t>
      </w:r>
      <w:r w:rsidR="00E90725">
        <w:rPr>
          <w:lang w:val="fr-FR"/>
        </w:rPr>
        <w:t>I</w:t>
      </w:r>
      <w:r w:rsidRPr="00686D5A">
        <w:rPr>
          <w:lang w:val="fr-FR"/>
        </w:rPr>
        <w:t xml:space="preserve"> a examiné au cours de la période considérée.</w:t>
      </w:r>
    </w:p>
    <w:p w:rsidR="009A7E4C" w:rsidRPr="00686D5A" w:rsidRDefault="009A7E4C" w:rsidP="009F5530">
      <w:pPr>
        <w:pStyle w:val="ONUMFS"/>
        <w:rPr>
          <w:lang w:val="fr-FR"/>
        </w:rPr>
      </w:pPr>
      <w:r w:rsidRPr="00686D5A">
        <w:rPr>
          <w:lang w:val="fr-FR"/>
        </w:rPr>
        <w:t>L</w:t>
      </w:r>
      <w:r w:rsidR="00D565F4">
        <w:rPr>
          <w:lang w:val="fr-FR"/>
        </w:rPr>
        <w:t>’</w:t>
      </w:r>
      <w:r w:rsidRPr="00686D5A">
        <w:rPr>
          <w:lang w:val="fr-FR"/>
        </w:rPr>
        <w:t xml:space="preserve">audit ayant coïncidé avec </w:t>
      </w:r>
      <w:r w:rsidR="00760A27">
        <w:rPr>
          <w:lang w:val="fr-FR"/>
        </w:rPr>
        <w:t>l</w:t>
      </w:r>
      <w:r w:rsidRPr="00686D5A">
        <w:rPr>
          <w:lang w:val="fr-FR"/>
        </w:rPr>
        <w:t xml:space="preserve">e projet </w:t>
      </w:r>
      <w:r w:rsidR="00760A27">
        <w:rPr>
          <w:lang w:val="fr-FR"/>
        </w:rPr>
        <w:t>de migration</w:t>
      </w:r>
      <w:r w:rsidRPr="00686D5A">
        <w:rPr>
          <w:lang w:val="fr-FR"/>
        </w:rPr>
        <w:t>, aux fins d</w:t>
      </w:r>
      <w:r w:rsidR="00D565F4">
        <w:rPr>
          <w:lang w:val="fr-FR"/>
        </w:rPr>
        <w:t>’</w:t>
      </w:r>
      <w:r w:rsidRPr="00686D5A">
        <w:rPr>
          <w:lang w:val="fr-FR"/>
        </w:rPr>
        <w:t xml:space="preserve">améliorer la mise en œuvre du projet, </w:t>
      </w:r>
      <w:r w:rsidR="00E5785D">
        <w:rPr>
          <w:lang w:val="fr-FR"/>
        </w:rPr>
        <w:t>il</w:t>
      </w:r>
      <w:r w:rsidR="00760A27">
        <w:rPr>
          <w:lang w:val="fr-FR"/>
        </w:rPr>
        <w:t xml:space="preserve"> a</w:t>
      </w:r>
      <w:r w:rsidRPr="00686D5A">
        <w:rPr>
          <w:lang w:val="fr-FR"/>
        </w:rPr>
        <w:t xml:space="preserve"> fourni à l</w:t>
      </w:r>
      <w:r w:rsidR="00D565F4">
        <w:rPr>
          <w:lang w:val="fr-FR"/>
        </w:rPr>
        <w:t>’</w:t>
      </w:r>
      <w:r w:rsidRPr="00686D5A">
        <w:rPr>
          <w:lang w:val="fr-FR"/>
        </w:rPr>
        <w:t xml:space="preserve">équipe de gestion de projet </w:t>
      </w:r>
      <w:r w:rsidR="00760A27">
        <w:rPr>
          <w:lang w:val="fr-FR"/>
        </w:rPr>
        <w:t xml:space="preserve">de migration avis et conseils en temps réels </w:t>
      </w:r>
      <w:r w:rsidRPr="00686D5A">
        <w:rPr>
          <w:lang w:val="fr-FR"/>
        </w:rPr>
        <w:t>sur l</w:t>
      </w:r>
      <w:r w:rsidR="00D565F4">
        <w:rPr>
          <w:lang w:val="fr-FR"/>
        </w:rPr>
        <w:t>’</w:t>
      </w:r>
      <w:r w:rsidRPr="00686D5A">
        <w:rPr>
          <w:lang w:val="fr-FR"/>
        </w:rPr>
        <w:t>élaboration et la mise en œuvre d</w:t>
      </w:r>
      <w:r w:rsidR="00D565F4">
        <w:rPr>
          <w:lang w:val="fr-FR"/>
        </w:rPr>
        <w:t>’</w:t>
      </w:r>
      <w:r w:rsidRPr="00686D5A">
        <w:rPr>
          <w:lang w:val="fr-FR"/>
        </w:rPr>
        <w:t xml:space="preserve">un plan concret de rapprochement des données </w:t>
      </w:r>
      <w:r w:rsidR="00760A27">
        <w:rPr>
          <w:lang w:val="fr-FR"/>
        </w:rPr>
        <w:t>ainsi que</w:t>
      </w:r>
      <w:r w:rsidR="00760A27" w:rsidRPr="00686D5A">
        <w:rPr>
          <w:lang w:val="fr-FR"/>
        </w:rPr>
        <w:t xml:space="preserve"> </w:t>
      </w:r>
      <w:r w:rsidRPr="00686D5A">
        <w:rPr>
          <w:lang w:val="fr-FR"/>
        </w:rPr>
        <w:t>d</w:t>
      </w:r>
      <w:r w:rsidR="00D565F4">
        <w:rPr>
          <w:lang w:val="fr-FR"/>
        </w:rPr>
        <w:t>’</w:t>
      </w:r>
      <w:r w:rsidRPr="00686D5A">
        <w:rPr>
          <w:lang w:val="fr-FR"/>
        </w:rPr>
        <w:t>une liste de vérification</w:t>
      </w:r>
      <w:r w:rsidR="00760A27">
        <w:rPr>
          <w:lang w:val="fr-FR"/>
        </w:rPr>
        <w:t xml:space="preserve"> de la bonne réalisa</w:t>
      </w:r>
      <w:r w:rsidR="00E5785D">
        <w:rPr>
          <w:lang w:val="fr-FR"/>
        </w:rPr>
        <w:t>t</w:t>
      </w:r>
      <w:r w:rsidR="00760A27">
        <w:rPr>
          <w:lang w:val="fr-FR"/>
        </w:rPr>
        <w:t>ion de la migration</w:t>
      </w:r>
      <w:r w:rsidRPr="00686D5A">
        <w:rPr>
          <w:lang w:val="fr-FR"/>
        </w:rPr>
        <w:t>.</w:t>
      </w:r>
    </w:p>
    <w:p w:rsidR="009A7E4C" w:rsidRPr="00686D5A" w:rsidRDefault="009A7E4C" w:rsidP="009F5530">
      <w:pPr>
        <w:pStyle w:val="ONUMFS"/>
        <w:rPr>
          <w:lang w:val="fr-FR"/>
        </w:rPr>
      </w:pPr>
      <w:r w:rsidRPr="00686D5A">
        <w:rPr>
          <w:lang w:val="fr-FR"/>
        </w:rPr>
        <w:t xml:space="preserve">La mise en œuvre de ce projet de conversion </w:t>
      </w:r>
      <w:r w:rsidR="00760A27">
        <w:rPr>
          <w:lang w:val="fr-FR"/>
        </w:rPr>
        <w:t>vers le module ressources humaines</w:t>
      </w:r>
      <w:r w:rsidR="00D565F4">
        <w:rPr>
          <w:lang w:val="fr-FR"/>
        </w:rPr>
        <w:t xml:space="preserve"> du PGI</w:t>
      </w:r>
      <w:r w:rsidR="00E5785D">
        <w:rPr>
          <w:lang w:val="fr-FR"/>
        </w:rPr>
        <w:t xml:space="preserve"> </w:t>
      </w:r>
      <w:r w:rsidRPr="00686D5A">
        <w:rPr>
          <w:lang w:val="fr-FR"/>
        </w:rPr>
        <w:t>a dû être retardée en raison, essentiellement, du grand nombre d</w:t>
      </w:r>
      <w:r w:rsidR="00D565F4">
        <w:rPr>
          <w:lang w:val="fr-FR"/>
        </w:rPr>
        <w:t>’</w:t>
      </w:r>
      <w:r w:rsidRPr="00686D5A">
        <w:rPr>
          <w:lang w:val="fr-FR"/>
        </w:rPr>
        <w:t>essais d</w:t>
      </w:r>
      <w:r w:rsidR="00D565F4">
        <w:rPr>
          <w:lang w:val="fr-FR"/>
        </w:rPr>
        <w:t>’</w:t>
      </w:r>
      <w:r w:rsidRPr="00686D5A">
        <w:rPr>
          <w:lang w:val="fr-FR"/>
        </w:rPr>
        <w:t>acceptation par utilisateur</w:t>
      </w:r>
      <w:r w:rsidRPr="00686D5A">
        <w:rPr>
          <w:vertAlign w:val="superscript"/>
          <w:lang w:val="fr-FR"/>
        </w:rPr>
        <w:footnoteReference w:id="6"/>
      </w:r>
      <w:r w:rsidRPr="00686D5A">
        <w:rPr>
          <w:lang w:val="fr-FR"/>
        </w:rPr>
        <w:t xml:space="preserve"> ayant échoué pendant la phase de tests.  La raison principale en est l</w:t>
      </w:r>
      <w:r w:rsidR="00D565F4">
        <w:rPr>
          <w:lang w:val="fr-FR"/>
        </w:rPr>
        <w:t>’</w:t>
      </w:r>
      <w:r w:rsidRPr="00686D5A">
        <w:rPr>
          <w:lang w:val="fr-FR"/>
        </w:rPr>
        <w:t>absence d</w:t>
      </w:r>
      <w:r w:rsidR="00D565F4">
        <w:rPr>
          <w:lang w:val="fr-FR"/>
        </w:rPr>
        <w:t>’</w:t>
      </w:r>
      <w:r w:rsidRPr="00686D5A">
        <w:rPr>
          <w:lang w:val="fr-FR"/>
        </w:rPr>
        <w:t xml:space="preserve">intervention en amont de toutes les divisions opérationnelles concernées, dès le début du projet.  Certains de ces échecs tenaient aussi à la migration inexacte ou incomplète des données.  Une analyse des causes fondamentales des échecs </w:t>
      </w:r>
      <w:r w:rsidR="00682CAF" w:rsidRPr="00686D5A">
        <w:rPr>
          <w:lang w:val="fr-FR"/>
        </w:rPr>
        <w:t>d</w:t>
      </w:r>
      <w:r w:rsidR="00682CAF">
        <w:rPr>
          <w:lang w:val="fr-FR"/>
        </w:rPr>
        <w:t xml:space="preserve">es </w:t>
      </w:r>
      <w:r w:rsidR="00682CAF" w:rsidRPr="00686D5A">
        <w:rPr>
          <w:lang w:val="fr-FR"/>
        </w:rPr>
        <w:t>essais d</w:t>
      </w:r>
      <w:r w:rsidR="00D565F4">
        <w:rPr>
          <w:lang w:val="fr-FR"/>
        </w:rPr>
        <w:t>’</w:t>
      </w:r>
      <w:r w:rsidR="00682CAF" w:rsidRPr="00686D5A">
        <w:rPr>
          <w:lang w:val="fr-FR"/>
        </w:rPr>
        <w:t>acceptation par utilisateur</w:t>
      </w:r>
      <w:r w:rsidRPr="00686D5A">
        <w:rPr>
          <w:lang w:val="fr-FR"/>
        </w:rPr>
        <w:t xml:space="preserve"> et du retard du projet sera très précieuse comme enseignements à utiliser au cours des phases ultérieures du projet.</w:t>
      </w:r>
    </w:p>
    <w:p w:rsidR="009A7E4C" w:rsidRPr="00686D5A" w:rsidRDefault="009A7E4C" w:rsidP="009F5530">
      <w:pPr>
        <w:pStyle w:val="Heading2"/>
      </w:pPr>
      <w:r w:rsidRPr="00686D5A">
        <w:t>Partage des connaissances</w:t>
      </w:r>
    </w:p>
    <w:p w:rsidR="009A7E4C" w:rsidRPr="00686D5A" w:rsidRDefault="009A7E4C" w:rsidP="009F5530">
      <w:pPr>
        <w:pStyle w:val="ONUMFS"/>
        <w:rPr>
          <w:lang w:val="fr-FR"/>
        </w:rPr>
      </w:pPr>
      <w:r w:rsidRPr="00686D5A">
        <w:rPr>
          <w:lang w:val="fr-FR"/>
        </w:rPr>
        <w:t>L</w:t>
      </w:r>
      <w:r w:rsidR="00D565F4">
        <w:rPr>
          <w:lang w:val="fr-FR"/>
        </w:rPr>
        <w:t>’</w:t>
      </w:r>
      <w:r w:rsidRPr="00686D5A">
        <w:rPr>
          <w:lang w:val="fr-FR"/>
        </w:rPr>
        <w:t xml:space="preserve">OMPI a élaboré un certain nombre de politiques, de processus et de procédures utiles se rapportant au partage des connaissances.  Des améliorations ont été apportées </w:t>
      </w:r>
      <w:r w:rsidR="00760A27">
        <w:rPr>
          <w:lang w:val="fr-FR"/>
        </w:rPr>
        <w:t>via</w:t>
      </w:r>
      <w:r w:rsidR="00760A27" w:rsidRPr="00686D5A">
        <w:rPr>
          <w:lang w:val="fr-FR"/>
        </w:rPr>
        <w:t xml:space="preserve"> </w:t>
      </w:r>
      <w:r w:rsidRPr="00686D5A">
        <w:rPr>
          <w:lang w:val="fr-FR"/>
        </w:rPr>
        <w:t>l</w:t>
      </w:r>
      <w:r w:rsidR="00D565F4">
        <w:rPr>
          <w:lang w:val="fr-FR"/>
        </w:rPr>
        <w:t>’</w:t>
      </w:r>
      <w:r w:rsidRPr="00686D5A">
        <w:rPr>
          <w:lang w:val="fr-FR"/>
        </w:rPr>
        <w:t>approche intitulée “Unis dans l</w:t>
      </w:r>
      <w:r w:rsidR="00D565F4">
        <w:rPr>
          <w:lang w:val="fr-FR"/>
        </w:rPr>
        <w:t>’</w:t>
      </w:r>
      <w:r w:rsidRPr="00686D5A">
        <w:rPr>
          <w:lang w:val="fr-FR"/>
        </w:rPr>
        <w:t>action”, véhiculée par le Programme de réorientation stratégique (PRS).  Des approches novatrices ou multidimensionnelles de partage des connaissances, notamment en matière d</w:t>
      </w:r>
      <w:r w:rsidR="00D565F4">
        <w:rPr>
          <w:lang w:val="fr-FR"/>
        </w:rPr>
        <w:t>’</w:t>
      </w:r>
      <w:r w:rsidRPr="00686D5A">
        <w:rPr>
          <w:lang w:val="fr-FR"/>
        </w:rPr>
        <w:t>élaboration de stratégies ou de planification de missions, ne prévalent toutefois pas au sein de l</w:t>
      </w:r>
      <w:r w:rsidR="00D565F4">
        <w:rPr>
          <w:lang w:val="fr-FR"/>
        </w:rPr>
        <w:t>’</w:t>
      </w:r>
      <w:r w:rsidRPr="00686D5A">
        <w:rPr>
          <w:lang w:val="fr-FR"/>
        </w:rPr>
        <w:t>Organisation.</w:t>
      </w:r>
    </w:p>
    <w:p w:rsidR="009A7E4C" w:rsidRPr="00686D5A" w:rsidRDefault="009A7E4C" w:rsidP="009F5530">
      <w:pPr>
        <w:pStyle w:val="ONUMFS"/>
        <w:rPr>
          <w:lang w:val="fr-FR"/>
        </w:rPr>
      </w:pPr>
      <w:r w:rsidRPr="00686D5A">
        <w:rPr>
          <w:lang w:val="fr-FR"/>
        </w:rPr>
        <w:lastRenderedPageBreak/>
        <w:t>Des activités de communication ont contribué à une meilleure compréhension des tâches propres à l</w:t>
      </w:r>
      <w:r w:rsidR="00D565F4">
        <w:rPr>
          <w:lang w:val="fr-FR"/>
        </w:rPr>
        <w:t>’</w:t>
      </w:r>
      <w:r w:rsidRPr="00686D5A">
        <w:rPr>
          <w:lang w:val="fr-FR"/>
        </w:rPr>
        <w:t>OMPI, mais le partage efficace de l</w:t>
      </w:r>
      <w:r w:rsidR="00D565F4">
        <w:rPr>
          <w:lang w:val="fr-FR"/>
        </w:rPr>
        <w:t>’</w:t>
      </w:r>
      <w:r w:rsidRPr="00686D5A">
        <w:rPr>
          <w:lang w:val="fr-FR"/>
        </w:rPr>
        <w:t>information et des connaissances entre les secteurs fait encore défaut.  Il n</w:t>
      </w:r>
      <w:r w:rsidR="00D565F4">
        <w:rPr>
          <w:lang w:val="fr-FR"/>
        </w:rPr>
        <w:t>’</w:t>
      </w:r>
      <w:r w:rsidRPr="00686D5A">
        <w:rPr>
          <w:lang w:val="fr-FR"/>
        </w:rPr>
        <w:t>existe aucun instrument ni processus cohérent à l</w:t>
      </w:r>
      <w:r w:rsidR="00D565F4">
        <w:rPr>
          <w:lang w:val="fr-FR"/>
        </w:rPr>
        <w:t>’</w:t>
      </w:r>
      <w:r w:rsidRPr="00686D5A">
        <w:rPr>
          <w:lang w:val="fr-FR"/>
        </w:rPr>
        <w:t>échelle de l</w:t>
      </w:r>
      <w:r w:rsidR="00D565F4">
        <w:rPr>
          <w:lang w:val="fr-FR"/>
        </w:rPr>
        <w:t>’</w:t>
      </w:r>
      <w:r w:rsidRPr="00686D5A">
        <w:rPr>
          <w:lang w:val="fr-FR"/>
        </w:rPr>
        <w:t>Organisation visant à faciliter la gestion des contenus, et les rôles en matière de conservation des données ne sont pas précisés.  Le partage des connaissances ne constitue pas une composante essentielle de la culture institutionnelle de l</w:t>
      </w:r>
      <w:r w:rsidR="00D565F4">
        <w:rPr>
          <w:lang w:val="fr-FR"/>
        </w:rPr>
        <w:t>’</w:t>
      </w:r>
      <w:r w:rsidRPr="00686D5A">
        <w:rPr>
          <w:lang w:val="fr-FR"/>
        </w:rPr>
        <w:t>OMPI.</w:t>
      </w:r>
    </w:p>
    <w:p w:rsidR="009A7E4C" w:rsidRPr="00686D5A" w:rsidRDefault="009A7E4C" w:rsidP="009F5530">
      <w:pPr>
        <w:pStyle w:val="ONUMFS"/>
        <w:rPr>
          <w:lang w:val="fr-FR"/>
        </w:rPr>
      </w:pPr>
      <w:r w:rsidRPr="00686D5A">
        <w:rPr>
          <w:lang w:val="fr-FR"/>
        </w:rPr>
        <w:t>Plusieurs applications et outils informatiques ont été élaborés et mis en œuvre au sein de l</w:t>
      </w:r>
      <w:r w:rsidR="00D565F4">
        <w:rPr>
          <w:lang w:val="fr-FR"/>
        </w:rPr>
        <w:t>’</w:t>
      </w:r>
      <w:r w:rsidRPr="00686D5A">
        <w:rPr>
          <w:lang w:val="fr-FR"/>
        </w:rPr>
        <w:t>OMPI au cours des dernières années, parmi lesquels le site</w:t>
      </w:r>
      <w:r w:rsidR="00413B67" w:rsidRPr="00686D5A">
        <w:rPr>
          <w:lang w:val="fr-FR"/>
        </w:rPr>
        <w:t> </w:t>
      </w:r>
      <w:r w:rsidRPr="00686D5A">
        <w:rPr>
          <w:lang w:val="fr-FR"/>
        </w:rPr>
        <w:t>Web remodelé, un site Wiki</w:t>
      </w:r>
      <w:r w:rsidRPr="00686D5A">
        <w:rPr>
          <w:rStyle w:val="FootnoteReference"/>
          <w:lang w:val="fr-FR"/>
        </w:rPr>
        <w:footnoteReference w:id="7"/>
      </w:r>
      <w:r w:rsidRPr="00686D5A">
        <w:rPr>
          <w:lang w:val="fr-FR"/>
        </w:rPr>
        <w:t>, l</w:t>
      </w:r>
      <w:r w:rsidR="00D565F4">
        <w:rPr>
          <w:lang w:val="fr-FR"/>
        </w:rPr>
        <w:t>’</w:t>
      </w:r>
      <w:r w:rsidRPr="00686D5A">
        <w:rPr>
          <w:lang w:val="fr-FR"/>
        </w:rPr>
        <w:t xml:space="preserve">Intranet et le système </w:t>
      </w:r>
      <w:r w:rsidR="00464784">
        <w:rPr>
          <w:lang w:val="fr-FR"/>
        </w:rPr>
        <w:t>PGI</w:t>
      </w:r>
      <w:r w:rsidRPr="00686D5A">
        <w:rPr>
          <w:lang w:val="fr-FR"/>
        </w:rPr>
        <w:t>, qui ont eu des répercussions positives sur l</w:t>
      </w:r>
      <w:r w:rsidR="00D565F4">
        <w:rPr>
          <w:lang w:val="fr-FR"/>
        </w:rPr>
        <w:t>’</w:t>
      </w:r>
      <w:r w:rsidRPr="00686D5A">
        <w:rPr>
          <w:lang w:val="fr-FR"/>
        </w:rPr>
        <w:t>échange d</w:t>
      </w:r>
      <w:r w:rsidR="00D565F4">
        <w:rPr>
          <w:lang w:val="fr-FR"/>
        </w:rPr>
        <w:t>’</w:t>
      </w:r>
      <w:r w:rsidRPr="00686D5A">
        <w:rPr>
          <w:lang w:val="fr-FR"/>
        </w:rPr>
        <w:t>informations et le partage des connaissances.  Une approche stratégique est nécessaire aux fins de la transition numérique et d</w:t>
      </w:r>
      <w:r w:rsidR="00D565F4">
        <w:rPr>
          <w:lang w:val="fr-FR"/>
        </w:rPr>
        <w:t>’</w:t>
      </w:r>
      <w:r w:rsidRPr="00686D5A">
        <w:rPr>
          <w:lang w:val="fr-FR"/>
        </w:rPr>
        <w:t>une meilleure gestion des contenus, pour offrir de meilleurs modes d</w:t>
      </w:r>
      <w:r w:rsidR="00D565F4">
        <w:rPr>
          <w:lang w:val="fr-FR"/>
        </w:rPr>
        <w:t>’</w:t>
      </w:r>
      <w:r w:rsidRPr="00686D5A">
        <w:rPr>
          <w:lang w:val="fr-FR"/>
        </w:rPr>
        <w:t>organisation des données et des informations, d</w:t>
      </w:r>
      <w:r w:rsidR="00D565F4">
        <w:rPr>
          <w:lang w:val="fr-FR"/>
        </w:rPr>
        <w:t>’</w:t>
      </w:r>
      <w:r w:rsidRPr="00686D5A">
        <w:rPr>
          <w:lang w:val="fr-FR"/>
        </w:rPr>
        <w:t>accès à celles</w:t>
      </w:r>
      <w:r w:rsidR="001F4EED">
        <w:rPr>
          <w:lang w:val="fr-FR"/>
        </w:rPr>
        <w:noBreakHyphen/>
      </w:r>
      <w:r w:rsidRPr="00686D5A">
        <w:rPr>
          <w:lang w:val="fr-FR"/>
        </w:rPr>
        <w:t>ci et de leur utilisation au sein de l</w:t>
      </w:r>
      <w:r w:rsidR="00D565F4">
        <w:rPr>
          <w:lang w:val="fr-FR"/>
        </w:rPr>
        <w:t>’</w:t>
      </w:r>
      <w:r w:rsidRPr="00686D5A">
        <w:rPr>
          <w:lang w:val="fr-FR"/>
        </w:rPr>
        <w:t>OMPI.</w:t>
      </w:r>
    </w:p>
    <w:p w:rsidR="009A7E4C" w:rsidRPr="00686D5A" w:rsidRDefault="009F5530" w:rsidP="009F5530">
      <w:pPr>
        <w:pStyle w:val="Heading2"/>
      </w:pPr>
      <w:r w:rsidRPr="00686D5A">
        <w:t>G</w:t>
      </w:r>
      <w:r w:rsidR="009A7E4C" w:rsidRPr="00686D5A">
        <w:t>estion des manifestations officielles</w:t>
      </w:r>
    </w:p>
    <w:p w:rsidR="009A7E4C" w:rsidRPr="00686D5A" w:rsidRDefault="009A7E4C" w:rsidP="009F5530">
      <w:pPr>
        <w:pStyle w:val="ONUMFS"/>
        <w:rPr>
          <w:lang w:val="fr-FR"/>
        </w:rPr>
      </w:pPr>
      <w:r w:rsidRPr="00686D5A">
        <w:rPr>
          <w:lang w:val="fr-FR"/>
        </w:rPr>
        <w:t>Si les manifestations officielles</w:t>
      </w:r>
      <w:r w:rsidRPr="00686D5A">
        <w:rPr>
          <w:vertAlign w:val="superscript"/>
          <w:lang w:val="fr-FR"/>
        </w:rPr>
        <w:footnoteReference w:id="8"/>
      </w:r>
      <w:r w:rsidRPr="00686D5A">
        <w:rPr>
          <w:lang w:val="fr-FR"/>
        </w:rPr>
        <w:t xml:space="preserve"> sont un élément important des activités de l</w:t>
      </w:r>
      <w:r w:rsidR="00D565F4">
        <w:rPr>
          <w:lang w:val="fr-FR"/>
        </w:rPr>
        <w:t>’</w:t>
      </w:r>
      <w:r w:rsidRPr="00686D5A">
        <w:rPr>
          <w:lang w:val="fr-FR"/>
        </w:rPr>
        <w:t>OMPI et un moyen pour l</w:t>
      </w:r>
      <w:r w:rsidR="00D565F4">
        <w:rPr>
          <w:lang w:val="fr-FR"/>
        </w:rPr>
        <w:t>’</w:t>
      </w:r>
      <w:r w:rsidRPr="00686D5A">
        <w:rPr>
          <w:lang w:val="fr-FR"/>
        </w:rPr>
        <w:t>Organisation de réaliser ses objectifs et d</w:t>
      </w:r>
      <w:r w:rsidR="00D565F4">
        <w:rPr>
          <w:lang w:val="fr-FR"/>
        </w:rPr>
        <w:t>’</w:t>
      </w:r>
      <w:r w:rsidRPr="00686D5A">
        <w:rPr>
          <w:lang w:val="fr-FR"/>
        </w:rPr>
        <w:t>atteindre les résultats escomptés conformément à son système de gestion axée sur les résultats, la gestion des manifestations officielles n</w:t>
      </w:r>
      <w:r w:rsidR="00D565F4">
        <w:rPr>
          <w:lang w:val="fr-FR"/>
        </w:rPr>
        <w:t>’</w:t>
      </w:r>
      <w:r w:rsidRPr="00686D5A">
        <w:rPr>
          <w:lang w:val="fr-FR"/>
        </w:rPr>
        <w:t>est, à l</w:t>
      </w:r>
      <w:r w:rsidR="00D565F4">
        <w:rPr>
          <w:lang w:val="fr-FR"/>
        </w:rPr>
        <w:t>’</w:t>
      </w:r>
      <w:r w:rsidRPr="00686D5A">
        <w:rPr>
          <w:lang w:val="fr-FR"/>
        </w:rPr>
        <w:t>heure actuelle, pas pleinement intégrée aux autres instruments et systèmes utilisés pour appuyer la gestion axée sur les résultats à l</w:t>
      </w:r>
      <w:r w:rsidR="00D565F4">
        <w:rPr>
          <w:lang w:val="fr-FR"/>
        </w:rPr>
        <w:t>’</w:t>
      </w:r>
      <w:r w:rsidRPr="00686D5A">
        <w:rPr>
          <w:lang w:val="fr-FR"/>
        </w:rPr>
        <w:t>OMPI.  Partant, les manifestations officielles sont communément gérées en dehors de la chaîne de résultats et non dans le cadre d</w:t>
      </w:r>
      <w:r w:rsidR="00D565F4">
        <w:rPr>
          <w:lang w:val="fr-FR"/>
        </w:rPr>
        <w:t>’</w:t>
      </w:r>
      <w:r w:rsidRPr="00686D5A">
        <w:rPr>
          <w:lang w:val="fr-FR"/>
        </w:rPr>
        <w:t>un système intégré.</w:t>
      </w:r>
    </w:p>
    <w:p w:rsidR="009A7E4C" w:rsidRPr="00686D5A" w:rsidRDefault="009A7E4C" w:rsidP="009F5530">
      <w:pPr>
        <w:pStyle w:val="ONUMFS"/>
        <w:rPr>
          <w:lang w:val="fr-FR"/>
        </w:rPr>
      </w:pPr>
      <w:r w:rsidRPr="00686D5A">
        <w:rPr>
          <w:lang w:val="fr-FR"/>
        </w:rPr>
        <w:t>Les outils de programmation et de mise en œuvre dont dispose actuellement l</w:t>
      </w:r>
      <w:r w:rsidR="00D565F4">
        <w:rPr>
          <w:lang w:val="fr-FR"/>
        </w:rPr>
        <w:t>’</w:t>
      </w:r>
      <w:r w:rsidRPr="00686D5A">
        <w:rPr>
          <w:lang w:val="fr-FR"/>
        </w:rPr>
        <w:t>OMPI doivent être consolidés pour améliorer la planification et la coordination, et un meilleur contrôle devrait être exercé lors de l</w:t>
      </w:r>
      <w:r w:rsidR="00D565F4">
        <w:rPr>
          <w:lang w:val="fr-FR"/>
        </w:rPr>
        <w:t>’</w:t>
      </w:r>
      <w:r w:rsidRPr="00686D5A">
        <w:rPr>
          <w:lang w:val="fr-FR"/>
        </w:rPr>
        <w:t>évaluation trimestrielle des plans de travail afin d</w:t>
      </w:r>
      <w:r w:rsidR="00D565F4">
        <w:rPr>
          <w:lang w:val="fr-FR"/>
        </w:rPr>
        <w:t>’</w:t>
      </w:r>
      <w:r w:rsidRPr="00686D5A">
        <w:rPr>
          <w:lang w:val="fr-FR"/>
        </w:rPr>
        <w:t>éviter les cas éventuels de manifestations multiples au même endroit, durant la même période.</w:t>
      </w:r>
    </w:p>
    <w:p w:rsidR="009A7E4C" w:rsidRPr="00686D5A" w:rsidRDefault="009A7E4C" w:rsidP="009F5530">
      <w:pPr>
        <w:pStyle w:val="ONUMFS"/>
        <w:rPr>
          <w:lang w:val="fr-FR"/>
        </w:rPr>
      </w:pPr>
      <w:r w:rsidRPr="00686D5A">
        <w:rPr>
          <w:lang w:val="fr-FR"/>
        </w:rPr>
        <w:t>Les demandes de participation et les autorisations de voyage tardives occasionnent, pour l</w:t>
      </w:r>
      <w:r w:rsidR="00D565F4">
        <w:rPr>
          <w:lang w:val="fr-FR"/>
        </w:rPr>
        <w:t>’</w:t>
      </w:r>
      <w:r w:rsidRPr="00686D5A">
        <w:rPr>
          <w:lang w:val="fr-FR"/>
        </w:rPr>
        <w:t>Organisation, des frais de voyage plus élevés, la possibilité d</w:t>
      </w:r>
      <w:r w:rsidR="00D565F4">
        <w:rPr>
          <w:lang w:val="fr-FR"/>
        </w:rPr>
        <w:t>’</w:t>
      </w:r>
      <w:r w:rsidRPr="00686D5A">
        <w:rPr>
          <w:lang w:val="fr-FR"/>
        </w:rPr>
        <w:t xml:space="preserve">acheter des billets à des prix inférieurs étant perdue.  Par ailleurs, des économies supplémentaires pourraient être réalisées en ayant recours aux </w:t>
      </w:r>
      <w:r w:rsidR="00413B67" w:rsidRPr="00686D5A">
        <w:rPr>
          <w:lang w:val="fr-FR"/>
        </w:rPr>
        <w:t>Web</w:t>
      </w:r>
      <w:r w:rsidRPr="00686D5A">
        <w:rPr>
          <w:lang w:val="fr-FR"/>
        </w:rPr>
        <w:t>inaires en lieu et place des voyages de membres du personnel ou de tiers devant participer à de petites manifestations officielles dans des lieux où la technologie est disponible et efficace.  Des mesures appropriées devraient être prises pour mieux tirer profit de ces possibilités d</w:t>
      </w:r>
      <w:r w:rsidR="00D565F4">
        <w:rPr>
          <w:lang w:val="fr-FR"/>
        </w:rPr>
        <w:t>’</w:t>
      </w:r>
      <w:r w:rsidRPr="00686D5A">
        <w:rPr>
          <w:lang w:val="fr-FR"/>
        </w:rPr>
        <w:t>économies.</w:t>
      </w:r>
    </w:p>
    <w:p w:rsidR="009A7E4C" w:rsidRPr="00686D5A" w:rsidRDefault="009F5530" w:rsidP="009F5530">
      <w:pPr>
        <w:pStyle w:val="Heading1"/>
        <w:rPr>
          <w:lang w:val="fr-FR"/>
        </w:rPr>
      </w:pPr>
      <w:bookmarkStart w:id="9" w:name="_Toc393891966"/>
      <w:r w:rsidRPr="00686D5A">
        <w:rPr>
          <w:lang w:val="fr-FR"/>
        </w:rPr>
        <w:t>Activités d</w:t>
      </w:r>
      <w:r w:rsidR="00D565F4">
        <w:rPr>
          <w:lang w:val="fr-FR"/>
        </w:rPr>
        <w:t>’</w:t>
      </w:r>
      <w:r w:rsidRPr="00686D5A">
        <w:rPr>
          <w:lang w:val="fr-FR"/>
        </w:rPr>
        <w:t>enquête menées pendant la période couverte par le présent rapport</w:t>
      </w:r>
      <w:bookmarkEnd w:id="9"/>
    </w:p>
    <w:p w:rsidR="009A7E4C" w:rsidRPr="00686D5A" w:rsidRDefault="009A7E4C" w:rsidP="009F5530">
      <w:pPr>
        <w:pStyle w:val="ONUMFS"/>
        <w:rPr>
          <w:lang w:val="fr-FR"/>
        </w:rPr>
      </w:pPr>
      <w:r w:rsidRPr="00686D5A">
        <w:rPr>
          <w:lang w:val="fr-FR"/>
        </w:rPr>
        <w:t>Depuis 2008,</w:t>
      </w:r>
      <w:r w:rsidR="00D565F4" w:rsidRPr="00686D5A">
        <w:rPr>
          <w:lang w:val="fr-FR"/>
        </w:rPr>
        <w:t xml:space="preserve"> la</w:t>
      </w:r>
      <w:r w:rsidR="00D565F4">
        <w:rPr>
          <w:lang w:val="fr-FR"/>
        </w:rPr>
        <w:t> DAS</w:t>
      </w:r>
      <w:r w:rsidR="00E90725">
        <w:rPr>
          <w:lang w:val="fr-FR"/>
        </w:rPr>
        <w:t>I</w:t>
      </w:r>
      <w:r w:rsidRPr="00686D5A">
        <w:rPr>
          <w:lang w:val="fr-FR"/>
        </w:rPr>
        <w:t xml:space="preserve"> a enregistré au total 127 affaires, dont 115 étaient closes au 30 juin 2014.  Au cours de la période considérée, 26 affaires no</w:t>
      </w:r>
      <w:r w:rsidR="009F5530" w:rsidRPr="00686D5A">
        <w:rPr>
          <w:lang w:val="fr-FR"/>
        </w:rPr>
        <w:t>uvelles ont été enregistrées et </w:t>
      </w:r>
      <w:r w:rsidRPr="00686D5A">
        <w:rPr>
          <w:lang w:val="fr-FR"/>
        </w:rPr>
        <w:t>16 ont été clôturées (contre</w:t>
      </w:r>
      <w:r w:rsidR="009F5530" w:rsidRPr="00686D5A">
        <w:rPr>
          <w:lang w:val="fr-FR"/>
        </w:rPr>
        <w:t> </w:t>
      </w:r>
      <w:r w:rsidRPr="00686D5A">
        <w:rPr>
          <w:lang w:val="fr-FR"/>
        </w:rPr>
        <w:t>16 et</w:t>
      </w:r>
      <w:r w:rsidR="009F5530" w:rsidRPr="00686D5A">
        <w:rPr>
          <w:lang w:val="fr-FR"/>
        </w:rPr>
        <w:t> </w:t>
      </w:r>
      <w:r w:rsidRPr="00686D5A">
        <w:rPr>
          <w:lang w:val="fr-FR"/>
        </w:rPr>
        <w:t>28 respectivement au cours de l</w:t>
      </w:r>
      <w:r w:rsidR="00D565F4">
        <w:rPr>
          <w:lang w:val="fr-FR"/>
        </w:rPr>
        <w:t>’</w:t>
      </w:r>
      <w:r w:rsidRPr="00686D5A">
        <w:rPr>
          <w:lang w:val="fr-FR"/>
        </w:rPr>
        <w:t>exercice précédent).</w:t>
      </w:r>
    </w:p>
    <w:p w:rsidR="009A7E4C" w:rsidRPr="00686D5A" w:rsidRDefault="009A7E4C" w:rsidP="009F5530">
      <w:pPr>
        <w:pStyle w:val="ONUMFS"/>
        <w:rPr>
          <w:lang w:val="fr-FR"/>
        </w:rPr>
      </w:pPr>
      <w:r w:rsidRPr="00686D5A">
        <w:rPr>
          <w:lang w:val="fr-FR"/>
        </w:rPr>
        <w:lastRenderedPageBreak/>
        <w:t>Parmi les nouvelles affaires, trois</w:t>
      </w:r>
      <w:r w:rsidR="001F4EED">
        <w:rPr>
          <w:lang w:val="fr-FR"/>
        </w:rPr>
        <w:t xml:space="preserve"> </w:t>
      </w:r>
      <w:r w:rsidRPr="00686D5A">
        <w:rPr>
          <w:lang w:val="fr-FR"/>
        </w:rPr>
        <w:t xml:space="preserve">ont été transmises à </w:t>
      </w:r>
      <w:r w:rsidR="00760A27">
        <w:rPr>
          <w:lang w:val="fr-FR"/>
        </w:rPr>
        <w:t>l</w:t>
      </w:r>
      <w:r w:rsidR="00D565F4">
        <w:rPr>
          <w:lang w:val="fr-FR"/>
        </w:rPr>
        <w:t>’</w:t>
      </w:r>
      <w:r w:rsidR="00760A27">
        <w:rPr>
          <w:lang w:val="fr-FR"/>
        </w:rPr>
        <w:t>OCIS</w:t>
      </w:r>
      <w:r w:rsidRPr="00686D5A">
        <w:rPr>
          <w:lang w:val="fr-FR"/>
        </w:rPr>
        <w:t>, conformément au paragraphe 5 de la Charte de la supervision interne</w:t>
      </w:r>
      <w:r w:rsidRPr="00686D5A">
        <w:rPr>
          <w:rStyle w:val="FootnoteReference"/>
          <w:lang w:val="fr-FR"/>
        </w:rPr>
        <w:footnoteReference w:id="9"/>
      </w:r>
      <w:r w:rsidRPr="00686D5A">
        <w:rPr>
          <w:lang w:val="fr-FR"/>
        </w:rPr>
        <w:t xml:space="preserve">.  Comme suite aux recommandations formulées par </w:t>
      </w:r>
      <w:r w:rsidR="00760A27">
        <w:rPr>
          <w:lang w:val="fr-FR"/>
        </w:rPr>
        <w:t>l</w:t>
      </w:r>
      <w:r w:rsidR="00D565F4">
        <w:rPr>
          <w:lang w:val="fr-FR"/>
        </w:rPr>
        <w:t>’</w:t>
      </w:r>
      <w:r w:rsidR="00760A27">
        <w:rPr>
          <w:lang w:val="fr-FR"/>
        </w:rPr>
        <w:t>OCIS</w:t>
      </w:r>
      <w:r w:rsidRPr="00686D5A">
        <w:rPr>
          <w:lang w:val="fr-FR"/>
        </w:rPr>
        <w:t>, les affaires ont été transmises à des unités d</w:t>
      </w:r>
      <w:r w:rsidR="00D565F4">
        <w:rPr>
          <w:lang w:val="fr-FR"/>
        </w:rPr>
        <w:t>’</w:t>
      </w:r>
      <w:r w:rsidRPr="00686D5A">
        <w:rPr>
          <w:lang w:val="fr-FR"/>
        </w:rPr>
        <w:t>enquête extérieures à l</w:t>
      </w:r>
      <w:r w:rsidR="00D565F4">
        <w:rPr>
          <w:lang w:val="fr-FR"/>
        </w:rPr>
        <w:t>’</w:t>
      </w:r>
      <w:r w:rsidRPr="00686D5A">
        <w:rPr>
          <w:lang w:val="fr-FR"/>
        </w:rPr>
        <w:t>OMPI (deux au sein d</w:t>
      </w:r>
      <w:r w:rsidR="00D565F4">
        <w:rPr>
          <w:lang w:val="fr-FR"/>
        </w:rPr>
        <w:t>’</w:t>
      </w:r>
      <w:r w:rsidRPr="00686D5A">
        <w:rPr>
          <w:lang w:val="fr-FR"/>
        </w:rPr>
        <w:t>organisations onusiennes et une à un contractant externe).  Deux</w:t>
      </w:r>
      <w:r w:rsidR="00413B67" w:rsidRPr="00686D5A">
        <w:rPr>
          <w:lang w:val="fr-FR"/>
        </w:rPr>
        <w:t> </w:t>
      </w:r>
      <w:r w:rsidRPr="00686D5A">
        <w:rPr>
          <w:lang w:val="fr-FR"/>
        </w:rPr>
        <w:t>des trois</w:t>
      </w:r>
      <w:r w:rsidR="00413B67" w:rsidRPr="00686D5A">
        <w:rPr>
          <w:lang w:val="fr-FR"/>
        </w:rPr>
        <w:t> </w:t>
      </w:r>
      <w:r w:rsidRPr="00686D5A">
        <w:rPr>
          <w:lang w:val="fr-FR"/>
        </w:rPr>
        <w:t>affaires étaient encore en cours d</w:t>
      </w:r>
      <w:r w:rsidR="00D565F4">
        <w:rPr>
          <w:lang w:val="fr-FR"/>
        </w:rPr>
        <w:t>’</w:t>
      </w:r>
      <w:r w:rsidRPr="00686D5A">
        <w:rPr>
          <w:lang w:val="fr-FR"/>
        </w:rPr>
        <w:t>évaluation préliminaire au 30 </w:t>
      </w:r>
      <w:r w:rsidR="00E11857" w:rsidRPr="00686D5A">
        <w:rPr>
          <w:lang w:val="fr-FR"/>
        </w:rPr>
        <w:t>juin 20</w:t>
      </w:r>
      <w:r w:rsidRPr="00686D5A">
        <w:rPr>
          <w:lang w:val="fr-FR"/>
        </w:rPr>
        <w:t>14.</w:t>
      </w:r>
    </w:p>
    <w:p w:rsidR="009A7E4C" w:rsidRPr="00686D5A" w:rsidRDefault="009A7E4C" w:rsidP="009F5530">
      <w:pPr>
        <w:pStyle w:val="ONUMFS"/>
        <w:rPr>
          <w:lang w:val="fr-FR"/>
        </w:rPr>
      </w:pPr>
      <w:r w:rsidRPr="00686D5A">
        <w:rPr>
          <w:lang w:val="fr-FR"/>
        </w:rPr>
        <w:t>En tout, 12 affaires étaient ouvertes au moment de la publication du présent rapport.  Outre les affaires examinées par des tiers, toutes les affaires, sauf deux, avaient été ouvertes depuis moins de trois</w:t>
      </w:r>
      <w:r w:rsidR="00413B67" w:rsidRPr="00686D5A">
        <w:rPr>
          <w:lang w:val="fr-FR"/>
        </w:rPr>
        <w:t> </w:t>
      </w:r>
      <w:r w:rsidRPr="00686D5A">
        <w:rPr>
          <w:lang w:val="fr-FR"/>
        </w:rPr>
        <w:t>mois au moment de la publication du présent rapport.  Dans deux</w:t>
      </w:r>
      <w:r w:rsidR="00413B67" w:rsidRPr="00686D5A">
        <w:rPr>
          <w:lang w:val="fr-FR"/>
        </w:rPr>
        <w:t> </w:t>
      </w:r>
      <w:r w:rsidRPr="00686D5A">
        <w:rPr>
          <w:lang w:val="fr-FR"/>
        </w:rPr>
        <w:t>affaires, les résultats des enquêtes ont été retardés par l</w:t>
      </w:r>
      <w:r w:rsidR="00D565F4">
        <w:rPr>
          <w:lang w:val="fr-FR"/>
        </w:rPr>
        <w:t>’</w:t>
      </w:r>
      <w:r w:rsidRPr="00686D5A">
        <w:rPr>
          <w:lang w:val="fr-FR"/>
        </w:rPr>
        <w:t>absence, pour raison de longue maladie, des personnes concernées.</w:t>
      </w:r>
    </w:p>
    <w:p w:rsidR="009A7E4C" w:rsidRPr="00686D5A" w:rsidRDefault="009A7E4C" w:rsidP="009F5530">
      <w:pPr>
        <w:pStyle w:val="ONUMFS"/>
        <w:rPr>
          <w:szCs w:val="22"/>
          <w:lang w:val="fr-FR"/>
        </w:rPr>
      </w:pPr>
      <w:r w:rsidRPr="00686D5A">
        <w:rPr>
          <w:szCs w:val="22"/>
          <w:lang w:val="fr-FR"/>
        </w:rPr>
        <w:t xml:space="preserve">La </w:t>
      </w:r>
      <w:r w:rsidRPr="00686D5A">
        <w:rPr>
          <w:szCs w:val="22"/>
          <w:lang w:val="fr-FR" w:eastAsia="fr-FR"/>
        </w:rPr>
        <w:t xml:space="preserve">durée moyenne des enquêtes clôturées au cours de la période couverte par le </w:t>
      </w:r>
      <w:r w:rsidRPr="00686D5A">
        <w:rPr>
          <w:rFonts w:eastAsia="Times New Roman"/>
          <w:szCs w:val="22"/>
          <w:lang w:val="fr-FR" w:eastAsia="fr-FR"/>
        </w:rPr>
        <w:t>présent rapport a été de trois</w:t>
      </w:r>
      <w:r w:rsidR="00413B67" w:rsidRPr="00686D5A">
        <w:rPr>
          <w:rFonts w:eastAsia="Times New Roman"/>
          <w:szCs w:val="22"/>
          <w:lang w:val="fr-FR" w:eastAsia="fr-FR"/>
        </w:rPr>
        <w:t> </w:t>
      </w:r>
      <w:r w:rsidRPr="00686D5A">
        <w:rPr>
          <w:rFonts w:eastAsia="Times New Roman"/>
          <w:szCs w:val="22"/>
          <w:lang w:val="fr-FR" w:eastAsia="fr-FR"/>
        </w:rPr>
        <w:t>mois, contre six</w:t>
      </w:r>
      <w:r w:rsidR="00413B67" w:rsidRPr="00686D5A">
        <w:rPr>
          <w:rFonts w:eastAsia="Times New Roman"/>
          <w:szCs w:val="22"/>
          <w:lang w:val="fr-FR" w:eastAsia="fr-FR"/>
        </w:rPr>
        <w:t> </w:t>
      </w:r>
      <w:r w:rsidRPr="00686D5A">
        <w:rPr>
          <w:rFonts w:eastAsia="Times New Roman"/>
          <w:szCs w:val="22"/>
          <w:lang w:val="fr-FR" w:eastAsia="fr-FR"/>
        </w:rPr>
        <w:t>mois pour l</w:t>
      </w:r>
      <w:r w:rsidR="00D565F4">
        <w:rPr>
          <w:rFonts w:eastAsia="Times New Roman"/>
          <w:szCs w:val="22"/>
          <w:lang w:val="fr-FR" w:eastAsia="fr-FR"/>
        </w:rPr>
        <w:t>’</w:t>
      </w:r>
      <w:r w:rsidRPr="00686D5A">
        <w:rPr>
          <w:rFonts w:eastAsia="Times New Roman"/>
          <w:szCs w:val="22"/>
          <w:lang w:val="fr-FR" w:eastAsia="fr-FR"/>
        </w:rPr>
        <w:t>exercice précédent</w:t>
      </w:r>
      <w:r w:rsidRPr="00686D5A">
        <w:rPr>
          <w:szCs w:val="22"/>
          <w:lang w:val="fr-FR"/>
        </w:rPr>
        <w:t>.</w:t>
      </w:r>
    </w:p>
    <w:p w:rsidR="009A7E4C" w:rsidRPr="00686D5A" w:rsidRDefault="009A7E4C" w:rsidP="009F5530">
      <w:pPr>
        <w:pStyle w:val="ONUMFS"/>
        <w:rPr>
          <w:lang w:val="fr-FR"/>
        </w:rPr>
      </w:pPr>
      <w:r w:rsidRPr="00686D5A">
        <w:rPr>
          <w:lang w:val="fr-FR"/>
        </w:rPr>
        <w:t>Le type de plaintes reçues pendant la période considérée est mis en évidence dans le tableau ci</w:t>
      </w:r>
      <w:r w:rsidR="001F4EED">
        <w:rPr>
          <w:lang w:val="fr-FR"/>
        </w:rPr>
        <w:noBreakHyphen/>
      </w:r>
      <w:r w:rsidRPr="00686D5A">
        <w:rPr>
          <w:lang w:val="fr-FR"/>
        </w:rPr>
        <w:t>après.  La nature des plaintes reçues appartient aux mêmes catégories, le harcèlement, le manquement aux obligations du fonctionnaire international et les pratiques dans le domaine des ressources humaines étant les trois</w:t>
      </w:r>
      <w:r w:rsidR="00413B67" w:rsidRPr="00686D5A">
        <w:rPr>
          <w:lang w:val="fr-FR"/>
        </w:rPr>
        <w:t> </w:t>
      </w:r>
      <w:r w:rsidRPr="00686D5A">
        <w:rPr>
          <w:lang w:val="fr-FR"/>
        </w:rPr>
        <w:t>premières catégories d</w:t>
      </w:r>
      <w:r w:rsidR="00D565F4">
        <w:rPr>
          <w:lang w:val="fr-FR"/>
        </w:rPr>
        <w:t>’</w:t>
      </w:r>
      <w:r w:rsidRPr="00686D5A">
        <w:rPr>
          <w:lang w:val="fr-FR"/>
        </w:rPr>
        <w:t>allégations d</w:t>
      </w:r>
      <w:r w:rsidR="00D565F4">
        <w:rPr>
          <w:lang w:val="fr-FR"/>
        </w:rPr>
        <w:t>’</w:t>
      </w:r>
      <w:r w:rsidRPr="00686D5A">
        <w:rPr>
          <w:lang w:val="fr-FR"/>
        </w:rPr>
        <w:t>actes répréhensibles.</w:t>
      </w:r>
    </w:p>
    <w:p w:rsidR="009A7E4C" w:rsidRPr="00686D5A" w:rsidRDefault="009A7E4C" w:rsidP="00B66F63">
      <w:pPr>
        <w:pStyle w:val="Caption"/>
        <w:spacing w:after="120"/>
        <w:jc w:val="center"/>
        <w:rPr>
          <w:lang w:val="fr-FR"/>
        </w:rPr>
      </w:pPr>
      <w:r w:rsidRPr="00686D5A">
        <w:rPr>
          <w:lang w:val="fr-FR"/>
        </w:rPr>
        <w:t xml:space="preserve">Tableau </w:t>
      </w:r>
      <w:r w:rsidRPr="00686D5A">
        <w:rPr>
          <w:lang w:val="fr-FR"/>
        </w:rPr>
        <w:fldChar w:fldCharType="begin"/>
      </w:r>
      <w:r w:rsidRPr="00686D5A">
        <w:rPr>
          <w:lang w:val="fr-FR"/>
        </w:rPr>
        <w:instrText xml:space="preserve"> SEQ Table \* ARABIC </w:instrText>
      </w:r>
      <w:r w:rsidRPr="00686D5A">
        <w:rPr>
          <w:lang w:val="fr-FR"/>
        </w:rPr>
        <w:fldChar w:fldCharType="separate"/>
      </w:r>
      <w:r w:rsidR="00D74313">
        <w:rPr>
          <w:noProof/>
          <w:lang w:val="fr-FR"/>
        </w:rPr>
        <w:t>1</w:t>
      </w:r>
      <w:r w:rsidRPr="00686D5A">
        <w:rPr>
          <w:lang w:val="fr-FR"/>
        </w:rPr>
        <w:fldChar w:fldCharType="end"/>
      </w:r>
      <w:r w:rsidRPr="00686D5A">
        <w:rPr>
          <w:lang w:val="fr-FR"/>
        </w:rPr>
        <w:t xml:space="preserve"> – Type de plaintes reçues au cours de la période considérée</w:t>
      </w:r>
    </w:p>
    <w:tbl>
      <w:tblPr>
        <w:tblW w:w="8971" w:type="dxa"/>
        <w:jc w:val="center"/>
        <w:tblLook w:val="00A0" w:firstRow="1" w:lastRow="0" w:firstColumn="1" w:lastColumn="0" w:noHBand="0" w:noVBand="0"/>
      </w:tblPr>
      <w:tblGrid>
        <w:gridCol w:w="7420"/>
        <w:gridCol w:w="823"/>
        <w:gridCol w:w="728"/>
      </w:tblGrid>
      <w:tr w:rsidR="00686D5A" w:rsidRPr="00686D5A" w:rsidTr="001E2D32">
        <w:trPr>
          <w:cantSplit/>
          <w:trHeight w:val="397"/>
          <w:jc w:val="center"/>
        </w:trPr>
        <w:tc>
          <w:tcPr>
            <w:tcW w:w="7420" w:type="dxa"/>
            <w:tcBorders>
              <w:top w:val="single" w:sz="4" w:space="0" w:color="000000"/>
              <w:left w:val="single" w:sz="4" w:space="0" w:color="000000"/>
              <w:bottom w:val="nil"/>
              <w:right w:val="nil"/>
            </w:tcBorders>
            <w:shd w:val="clear" w:color="auto" w:fill="D9D9D9"/>
            <w:noWrap/>
            <w:vAlign w:val="center"/>
          </w:tcPr>
          <w:p w:rsidR="009A7E4C" w:rsidRPr="00686D5A" w:rsidRDefault="009A7E4C" w:rsidP="001E2D32">
            <w:pPr>
              <w:keepNext/>
              <w:keepLines/>
              <w:rPr>
                <w:b/>
                <w:highlight w:val="cyan"/>
                <w:lang w:val="fr-FR"/>
              </w:rPr>
            </w:pPr>
            <w:r w:rsidRPr="00686D5A">
              <w:rPr>
                <w:b/>
                <w:lang w:val="fr-FR"/>
              </w:rPr>
              <w:t>Comportement répréhensible signalé/catégorie de plainte</w:t>
            </w:r>
          </w:p>
        </w:tc>
        <w:tc>
          <w:tcPr>
            <w:tcW w:w="823" w:type="dxa"/>
            <w:tcBorders>
              <w:top w:val="single" w:sz="4" w:space="0" w:color="000000"/>
              <w:left w:val="single" w:sz="4" w:space="0" w:color="000000"/>
              <w:bottom w:val="nil"/>
              <w:right w:val="single" w:sz="4" w:space="0" w:color="000000"/>
            </w:tcBorders>
            <w:shd w:val="clear" w:color="auto" w:fill="D9D9D9"/>
            <w:noWrap/>
            <w:vAlign w:val="center"/>
          </w:tcPr>
          <w:p w:rsidR="009A7E4C" w:rsidRPr="00686D5A" w:rsidRDefault="009A7E4C" w:rsidP="001E2D32">
            <w:pPr>
              <w:keepNext/>
              <w:keepLines/>
              <w:jc w:val="center"/>
              <w:rPr>
                <w:b/>
                <w:lang w:val="fr-FR"/>
              </w:rPr>
            </w:pPr>
            <w:r w:rsidRPr="00686D5A">
              <w:rPr>
                <w:b/>
                <w:lang w:val="fr-FR"/>
              </w:rPr>
              <w:t>Total</w:t>
            </w:r>
          </w:p>
        </w:tc>
        <w:tc>
          <w:tcPr>
            <w:tcW w:w="728" w:type="dxa"/>
            <w:tcBorders>
              <w:top w:val="single" w:sz="4" w:space="0" w:color="000000"/>
              <w:left w:val="single" w:sz="4" w:space="0" w:color="000000"/>
              <w:bottom w:val="nil"/>
              <w:right w:val="single" w:sz="4" w:space="0" w:color="000000"/>
            </w:tcBorders>
            <w:shd w:val="clear" w:color="auto" w:fill="D9D9D9"/>
            <w:vAlign w:val="center"/>
          </w:tcPr>
          <w:p w:rsidR="009A7E4C" w:rsidRPr="00686D5A" w:rsidRDefault="009A7E4C" w:rsidP="001E2D32">
            <w:pPr>
              <w:keepNext/>
              <w:keepLines/>
              <w:jc w:val="center"/>
              <w:rPr>
                <w:b/>
                <w:lang w:val="fr-FR"/>
              </w:rPr>
            </w:pPr>
            <w:r w:rsidRPr="00686D5A">
              <w:rPr>
                <w:b/>
                <w:lang w:val="fr-FR"/>
              </w:rPr>
              <w:t>%</w:t>
            </w:r>
          </w:p>
        </w:tc>
      </w:tr>
      <w:tr w:rsidR="00686D5A" w:rsidRPr="00686D5A" w:rsidTr="001E2D32">
        <w:trPr>
          <w:cantSplit/>
          <w:trHeight w:val="397"/>
          <w:jc w:val="center"/>
        </w:trPr>
        <w:tc>
          <w:tcPr>
            <w:tcW w:w="7420" w:type="dxa"/>
            <w:tcBorders>
              <w:top w:val="single" w:sz="4" w:space="0" w:color="000000"/>
              <w:left w:val="single" w:sz="4" w:space="0" w:color="000000"/>
              <w:bottom w:val="nil"/>
              <w:right w:val="nil"/>
            </w:tcBorders>
            <w:vAlign w:val="center"/>
          </w:tcPr>
          <w:p w:rsidR="009A7E4C" w:rsidRPr="00686D5A" w:rsidRDefault="009A7E4C" w:rsidP="00087BAE">
            <w:pPr>
              <w:keepLines/>
              <w:rPr>
                <w:rFonts w:eastAsia="Times New Roman"/>
                <w:sz w:val="20"/>
                <w:lang w:val="fr-FR" w:eastAsia="en-US"/>
              </w:rPr>
            </w:pPr>
            <w:r w:rsidRPr="00686D5A">
              <w:rPr>
                <w:rFonts w:eastAsia="Times New Roman"/>
                <w:sz w:val="20"/>
                <w:lang w:val="fr-FR" w:eastAsia="en-US"/>
              </w:rPr>
              <w:t>Harcèlement/discrimination/abus de pouvoir</w:t>
            </w:r>
          </w:p>
        </w:tc>
        <w:tc>
          <w:tcPr>
            <w:tcW w:w="823" w:type="dxa"/>
            <w:tcBorders>
              <w:top w:val="single" w:sz="4" w:space="0" w:color="000000"/>
              <w:left w:val="single" w:sz="4" w:space="0" w:color="000000"/>
              <w:bottom w:val="nil"/>
              <w:right w:val="single" w:sz="4" w:space="0" w:color="000000"/>
            </w:tcBorders>
            <w:noWrap/>
            <w:vAlign w:val="bottom"/>
          </w:tcPr>
          <w:p w:rsidR="009A7E4C" w:rsidRPr="00686D5A" w:rsidRDefault="009A7E4C" w:rsidP="001E2D32">
            <w:pPr>
              <w:keepLines/>
              <w:jc w:val="center"/>
              <w:rPr>
                <w:rFonts w:eastAsia="Times New Roman"/>
                <w:sz w:val="20"/>
                <w:lang w:val="fr-FR" w:eastAsia="en-US"/>
              </w:rPr>
            </w:pPr>
            <w:r w:rsidRPr="00686D5A">
              <w:rPr>
                <w:rFonts w:eastAsia="Times New Roman"/>
                <w:sz w:val="20"/>
                <w:lang w:val="fr-FR" w:eastAsia="en-US"/>
              </w:rPr>
              <w:t>7</w:t>
            </w:r>
          </w:p>
        </w:tc>
        <w:tc>
          <w:tcPr>
            <w:tcW w:w="728" w:type="dxa"/>
            <w:tcBorders>
              <w:top w:val="single" w:sz="4" w:space="0" w:color="000000"/>
              <w:left w:val="single" w:sz="4" w:space="0" w:color="000000"/>
              <w:bottom w:val="nil"/>
              <w:right w:val="single" w:sz="4" w:space="0" w:color="000000"/>
            </w:tcBorders>
            <w:vAlign w:val="bottom"/>
          </w:tcPr>
          <w:p w:rsidR="009A7E4C" w:rsidRPr="00686D5A" w:rsidRDefault="009A7E4C" w:rsidP="001E2D32">
            <w:pPr>
              <w:keepLines/>
              <w:jc w:val="center"/>
              <w:rPr>
                <w:sz w:val="20"/>
                <w:lang w:val="fr-FR"/>
              </w:rPr>
            </w:pPr>
            <w:r w:rsidRPr="00686D5A">
              <w:rPr>
                <w:sz w:val="20"/>
                <w:lang w:val="fr-FR"/>
              </w:rPr>
              <w:t>27%</w:t>
            </w:r>
          </w:p>
        </w:tc>
      </w:tr>
      <w:tr w:rsidR="00686D5A" w:rsidRPr="00686D5A" w:rsidTr="001E2D32">
        <w:trPr>
          <w:cantSplit/>
          <w:trHeight w:val="397"/>
          <w:jc w:val="center"/>
        </w:trPr>
        <w:tc>
          <w:tcPr>
            <w:tcW w:w="7420" w:type="dxa"/>
            <w:tcBorders>
              <w:top w:val="nil"/>
              <w:left w:val="single" w:sz="4" w:space="0" w:color="000000"/>
              <w:bottom w:val="nil"/>
              <w:right w:val="nil"/>
            </w:tcBorders>
            <w:vAlign w:val="center"/>
          </w:tcPr>
          <w:p w:rsidR="009A7E4C" w:rsidRPr="00686D5A" w:rsidRDefault="009A7E4C" w:rsidP="00087BAE">
            <w:pPr>
              <w:keepLines/>
              <w:rPr>
                <w:rFonts w:eastAsia="Times New Roman"/>
                <w:sz w:val="20"/>
                <w:lang w:val="fr-FR" w:eastAsia="en-US"/>
              </w:rPr>
            </w:pPr>
            <w:r w:rsidRPr="00686D5A">
              <w:rPr>
                <w:rFonts w:eastAsia="Times New Roman"/>
                <w:sz w:val="20"/>
                <w:lang w:val="fr-FR" w:eastAsia="en-US"/>
              </w:rPr>
              <w:t>Déclarations et activités incompatibles avec le statut de fonctionnaire international</w:t>
            </w:r>
          </w:p>
        </w:tc>
        <w:tc>
          <w:tcPr>
            <w:tcW w:w="823" w:type="dxa"/>
            <w:tcBorders>
              <w:top w:val="nil"/>
              <w:left w:val="single" w:sz="4" w:space="0" w:color="000000"/>
              <w:bottom w:val="nil"/>
              <w:right w:val="single" w:sz="4" w:space="0" w:color="000000"/>
            </w:tcBorders>
            <w:noWrap/>
            <w:vAlign w:val="bottom"/>
          </w:tcPr>
          <w:p w:rsidR="009A7E4C" w:rsidRPr="00686D5A" w:rsidRDefault="009A7E4C" w:rsidP="001E2D32">
            <w:pPr>
              <w:keepLines/>
              <w:jc w:val="center"/>
              <w:rPr>
                <w:rFonts w:eastAsia="Times New Roman"/>
                <w:sz w:val="20"/>
                <w:lang w:val="fr-FR" w:eastAsia="en-US"/>
              </w:rPr>
            </w:pPr>
            <w:r w:rsidRPr="00686D5A">
              <w:rPr>
                <w:rFonts w:eastAsia="Times New Roman"/>
                <w:sz w:val="20"/>
                <w:lang w:val="fr-FR" w:eastAsia="en-US"/>
              </w:rPr>
              <w:t>7</w:t>
            </w:r>
          </w:p>
        </w:tc>
        <w:tc>
          <w:tcPr>
            <w:tcW w:w="728" w:type="dxa"/>
            <w:tcBorders>
              <w:top w:val="nil"/>
              <w:left w:val="single" w:sz="4" w:space="0" w:color="000000"/>
              <w:bottom w:val="nil"/>
              <w:right w:val="single" w:sz="4" w:space="0" w:color="000000"/>
            </w:tcBorders>
            <w:vAlign w:val="bottom"/>
          </w:tcPr>
          <w:p w:rsidR="009A7E4C" w:rsidRPr="00686D5A" w:rsidRDefault="009A7E4C" w:rsidP="001E2D32">
            <w:pPr>
              <w:keepLines/>
              <w:jc w:val="center"/>
              <w:rPr>
                <w:sz w:val="20"/>
                <w:lang w:val="fr-FR"/>
              </w:rPr>
            </w:pPr>
            <w:r w:rsidRPr="00686D5A">
              <w:rPr>
                <w:sz w:val="20"/>
                <w:lang w:val="fr-FR"/>
              </w:rPr>
              <w:t>27%</w:t>
            </w:r>
          </w:p>
        </w:tc>
      </w:tr>
      <w:tr w:rsidR="00686D5A" w:rsidRPr="00686D5A" w:rsidTr="001E2D32">
        <w:trPr>
          <w:cantSplit/>
          <w:trHeight w:val="397"/>
          <w:jc w:val="center"/>
        </w:trPr>
        <w:tc>
          <w:tcPr>
            <w:tcW w:w="7420" w:type="dxa"/>
            <w:tcBorders>
              <w:top w:val="nil"/>
              <w:left w:val="single" w:sz="4" w:space="0" w:color="000000"/>
              <w:bottom w:val="nil"/>
              <w:right w:val="nil"/>
            </w:tcBorders>
            <w:vAlign w:val="center"/>
          </w:tcPr>
          <w:p w:rsidR="009A7E4C" w:rsidRPr="00686D5A" w:rsidRDefault="009A7E4C" w:rsidP="00087BAE">
            <w:pPr>
              <w:keepLines/>
              <w:rPr>
                <w:rFonts w:eastAsia="Times New Roman"/>
                <w:sz w:val="20"/>
                <w:lang w:val="fr-FR" w:eastAsia="en-US"/>
              </w:rPr>
            </w:pPr>
            <w:r w:rsidRPr="00686D5A">
              <w:rPr>
                <w:rFonts w:eastAsia="Times New Roman"/>
                <w:sz w:val="20"/>
                <w:lang w:val="fr-FR" w:eastAsia="en-US"/>
              </w:rPr>
              <w:t>Pratiques irrégulières dans le domaine des ressources humaines</w:t>
            </w:r>
          </w:p>
        </w:tc>
        <w:tc>
          <w:tcPr>
            <w:tcW w:w="823" w:type="dxa"/>
            <w:tcBorders>
              <w:top w:val="nil"/>
              <w:left w:val="single" w:sz="4" w:space="0" w:color="000000"/>
              <w:bottom w:val="nil"/>
              <w:right w:val="single" w:sz="4" w:space="0" w:color="000000"/>
            </w:tcBorders>
            <w:noWrap/>
            <w:vAlign w:val="bottom"/>
          </w:tcPr>
          <w:p w:rsidR="009A7E4C" w:rsidRPr="00686D5A" w:rsidRDefault="009A7E4C" w:rsidP="001E2D32">
            <w:pPr>
              <w:keepLines/>
              <w:jc w:val="center"/>
              <w:rPr>
                <w:rFonts w:eastAsia="Times New Roman"/>
                <w:sz w:val="20"/>
                <w:lang w:val="fr-FR" w:eastAsia="en-US"/>
              </w:rPr>
            </w:pPr>
            <w:r w:rsidRPr="00686D5A">
              <w:rPr>
                <w:rFonts w:eastAsia="Times New Roman"/>
                <w:sz w:val="20"/>
                <w:lang w:val="fr-FR" w:eastAsia="en-US"/>
              </w:rPr>
              <w:t>4</w:t>
            </w:r>
          </w:p>
        </w:tc>
        <w:tc>
          <w:tcPr>
            <w:tcW w:w="728" w:type="dxa"/>
            <w:tcBorders>
              <w:top w:val="nil"/>
              <w:left w:val="single" w:sz="4" w:space="0" w:color="000000"/>
              <w:bottom w:val="nil"/>
              <w:right w:val="single" w:sz="4" w:space="0" w:color="000000"/>
            </w:tcBorders>
            <w:vAlign w:val="bottom"/>
          </w:tcPr>
          <w:p w:rsidR="009A7E4C" w:rsidRPr="00686D5A" w:rsidRDefault="009A7E4C" w:rsidP="001E2D32">
            <w:pPr>
              <w:keepLines/>
              <w:jc w:val="center"/>
              <w:rPr>
                <w:sz w:val="20"/>
                <w:lang w:val="fr-FR"/>
              </w:rPr>
            </w:pPr>
            <w:r w:rsidRPr="00686D5A">
              <w:rPr>
                <w:sz w:val="20"/>
                <w:lang w:val="fr-FR"/>
              </w:rPr>
              <w:t>15%</w:t>
            </w:r>
          </w:p>
        </w:tc>
      </w:tr>
      <w:tr w:rsidR="00686D5A" w:rsidRPr="00686D5A" w:rsidTr="001E2D32">
        <w:trPr>
          <w:cantSplit/>
          <w:trHeight w:val="397"/>
          <w:jc w:val="center"/>
        </w:trPr>
        <w:tc>
          <w:tcPr>
            <w:tcW w:w="7420" w:type="dxa"/>
            <w:tcBorders>
              <w:top w:val="nil"/>
              <w:left w:val="single" w:sz="4" w:space="0" w:color="000000"/>
              <w:bottom w:val="nil"/>
              <w:right w:val="nil"/>
            </w:tcBorders>
            <w:vAlign w:val="center"/>
          </w:tcPr>
          <w:p w:rsidR="009A7E4C" w:rsidRPr="00686D5A" w:rsidRDefault="009A7E4C" w:rsidP="00087BAE">
            <w:pPr>
              <w:keepLines/>
              <w:rPr>
                <w:rFonts w:eastAsia="Times New Roman"/>
                <w:sz w:val="20"/>
                <w:lang w:val="fr-FR" w:eastAsia="en-US"/>
              </w:rPr>
            </w:pPr>
            <w:r w:rsidRPr="00686D5A">
              <w:rPr>
                <w:rFonts w:eastAsia="Times New Roman"/>
                <w:sz w:val="20"/>
                <w:lang w:val="fr-FR" w:eastAsia="en-US"/>
              </w:rPr>
              <w:t>Communication non autorisée d</w:t>
            </w:r>
            <w:r w:rsidR="00D565F4">
              <w:rPr>
                <w:rFonts w:eastAsia="Times New Roman"/>
                <w:sz w:val="20"/>
                <w:lang w:val="fr-FR" w:eastAsia="en-US"/>
              </w:rPr>
              <w:t>’</w:t>
            </w:r>
            <w:r w:rsidRPr="00686D5A">
              <w:rPr>
                <w:rFonts w:eastAsia="Times New Roman"/>
                <w:sz w:val="20"/>
                <w:lang w:val="fr-FR" w:eastAsia="en-US"/>
              </w:rPr>
              <w:t>informations</w:t>
            </w:r>
          </w:p>
        </w:tc>
        <w:tc>
          <w:tcPr>
            <w:tcW w:w="823" w:type="dxa"/>
            <w:tcBorders>
              <w:top w:val="nil"/>
              <w:left w:val="single" w:sz="4" w:space="0" w:color="000000"/>
              <w:bottom w:val="nil"/>
              <w:right w:val="single" w:sz="4" w:space="0" w:color="000000"/>
            </w:tcBorders>
            <w:noWrap/>
            <w:vAlign w:val="bottom"/>
          </w:tcPr>
          <w:p w:rsidR="009A7E4C" w:rsidRPr="00686D5A" w:rsidRDefault="009A7E4C" w:rsidP="001E2D32">
            <w:pPr>
              <w:keepLines/>
              <w:jc w:val="center"/>
              <w:rPr>
                <w:rFonts w:eastAsia="Times New Roman"/>
                <w:sz w:val="20"/>
                <w:lang w:val="fr-FR" w:eastAsia="en-US"/>
              </w:rPr>
            </w:pPr>
            <w:r w:rsidRPr="00686D5A">
              <w:rPr>
                <w:rFonts w:eastAsia="Times New Roman"/>
                <w:sz w:val="20"/>
                <w:lang w:val="fr-FR" w:eastAsia="en-US"/>
              </w:rPr>
              <w:t>3</w:t>
            </w:r>
          </w:p>
        </w:tc>
        <w:tc>
          <w:tcPr>
            <w:tcW w:w="728" w:type="dxa"/>
            <w:tcBorders>
              <w:top w:val="nil"/>
              <w:left w:val="single" w:sz="4" w:space="0" w:color="000000"/>
              <w:bottom w:val="nil"/>
              <w:right w:val="single" w:sz="4" w:space="0" w:color="000000"/>
            </w:tcBorders>
            <w:vAlign w:val="bottom"/>
          </w:tcPr>
          <w:p w:rsidR="009A7E4C" w:rsidRPr="00686D5A" w:rsidRDefault="009A7E4C" w:rsidP="001E2D32">
            <w:pPr>
              <w:keepLines/>
              <w:jc w:val="center"/>
              <w:rPr>
                <w:sz w:val="20"/>
                <w:lang w:val="fr-FR"/>
              </w:rPr>
            </w:pPr>
            <w:r w:rsidRPr="00686D5A">
              <w:rPr>
                <w:sz w:val="20"/>
                <w:lang w:val="fr-FR"/>
              </w:rPr>
              <w:t>12%</w:t>
            </w:r>
          </w:p>
        </w:tc>
      </w:tr>
      <w:tr w:rsidR="00686D5A" w:rsidRPr="00686D5A" w:rsidTr="001E2D32">
        <w:trPr>
          <w:cantSplit/>
          <w:trHeight w:val="397"/>
          <w:jc w:val="center"/>
        </w:trPr>
        <w:tc>
          <w:tcPr>
            <w:tcW w:w="7420" w:type="dxa"/>
            <w:tcBorders>
              <w:top w:val="nil"/>
              <w:left w:val="single" w:sz="4" w:space="0" w:color="000000"/>
              <w:bottom w:val="nil"/>
              <w:right w:val="nil"/>
            </w:tcBorders>
            <w:vAlign w:val="center"/>
          </w:tcPr>
          <w:p w:rsidR="009A7E4C" w:rsidRPr="00686D5A" w:rsidRDefault="009A7E4C" w:rsidP="0040199A">
            <w:pPr>
              <w:keepLines/>
              <w:rPr>
                <w:rFonts w:eastAsia="Times New Roman"/>
                <w:sz w:val="20"/>
                <w:lang w:val="fr-FR" w:eastAsia="en-US"/>
              </w:rPr>
            </w:pPr>
            <w:r w:rsidRPr="00686D5A">
              <w:rPr>
                <w:rFonts w:eastAsia="Times New Roman"/>
                <w:sz w:val="20"/>
                <w:lang w:val="fr-FR" w:eastAsia="en-US"/>
              </w:rPr>
              <w:t>Pratiques frauduleuses et répréhensibles en général (autres que la fraude aux prestations)/détournement ou utilisation illicite de fonds et biens appartenant à l</w:t>
            </w:r>
            <w:r w:rsidR="00D565F4">
              <w:rPr>
                <w:rFonts w:eastAsia="Times New Roman"/>
                <w:sz w:val="20"/>
                <w:lang w:val="fr-FR" w:eastAsia="en-US"/>
              </w:rPr>
              <w:t>’</w:t>
            </w:r>
            <w:r w:rsidRPr="00686D5A">
              <w:rPr>
                <w:rFonts w:eastAsia="Times New Roman"/>
                <w:sz w:val="20"/>
                <w:lang w:val="fr-FR" w:eastAsia="en-US"/>
              </w:rPr>
              <w:t>Organisation (autres que les ressources informatiques)</w:t>
            </w:r>
          </w:p>
        </w:tc>
        <w:tc>
          <w:tcPr>
            <w:tcW w:w="823" w:type="dxa"/>
            <w:tcBorders>
              <w:top w:val="nil"/>
              <w:left w:val="single" w:sz="4" w:space="0" w:color="000000"/>
              <w:bottom w:val="nil"/>
              <w:right w:val="single" w:sz="4" w:space="0" w:color="000000"/>
            </w:tcBorders>
            <w:noWrap/>
            <w:vAlign w:val="bottom"/>
          </w:tcPr>
          <w:p w:rsidR="009A7E4C" w:rsidRPr="00686D5A" w:rsidRDefault="009A7E4C" w:rsidP="001E2D32">
            <w:pPr>
              <w:keepLines/>
              <w:jc w:val="center"/>
              <w:rPr>
                <w:rFonts w:eastAsia="Times New Roman"/>
                <w:sz w:val="20"/>
                <w:lang w:val="fr-FR" w:eastAsia="en-US"/>
              </w:rPr>
            </w:pPr>
            <w:r w:rsidRPr="00686D5A">
              <w:rPr>
                <w:rFonts w:eastAsia="Times New Roman"/>
                <w:sz w:val="20"/>
                <w:lang w:val="fr-FR" w:eastAsia="en-US"/>
              </w:rPr>
              <w:t>3</w:t>
            </w:r>
          </w:p>
        </w:tc>
        <w:tc>
          <w:tcPr>
            <w:tcW w:w="728" w:type="dxa"/>
            <w:tcBorders>
              <w:top w:val="nil"/>
              <w:left w:val="single" w:sz="4" w:space="0" w:color="000000"/>
              <w:bottom w:val="nil"/>
              <w:right w:val="single" w:sz="4" w:space="0" w:color="000000"/>
            </w:tcBorders>
            <w:vAlign w:val="bottom"/>
          </w:tcPr>
          <w:p w:rsidR="009A7E4C" w:rsidRPr="00686D5A" w:rsidRDefault="009A7E4C" w:rsidP="001E2D32">
            <w:pPr>
              <w:keepLines/>
              <w:jc w:val="center"/>
              <w:rPr>
                <w:sz w:val="20"/>
                <w:lang w:val="fr-FR"/>
              </w:rPr>
            </w:pPr>
            <w:r w:rsidRPr="00686D5A">
              <w:rPr>
                <w:sz w:val="20"/>
                <w:lang w:val="fr-FR"/>
              </w:rPr>
              <w:t>12%</w:t>
            </w:r>
          </w:p>
        </w:tc>
      </w:tr>
      <w:tr w:rsidR="00686D5A" w:rsidRPr="00686D5A" w:rsidTr="001E2D32">
        <w:trPr>
          <w:cantSplit/>
          <w:trHeight w:val="397"/>
          <w:jc w:val="center"/>
        </w:trPr>
        <w:tc>
          <w:tcPr>
            <w:tcW w:w="7420" w:type="dxa"/>
            <w:tcBorders>
              <w:top w:val="nil"/>
              <w:left w:val="single" w:sz="4" w:space="0" w:color="000000"/>
              <w:bottom w:val="nil"/>
              <w:right w:val="nil"/>
            </w:tcBorders>
            <w:vAlign w:val="center"/>
          </w:tcPr>
          <w:p w:rsidR="009A7E4C" w:rsidRPr="00686D5A" w:rsidRDefault="009A7E4C" w:rsidP="0040199A">
            <w:pPr>
              <w:keepLines/>
              <w:rPr>
                <w:rFonts w:eastAsia="Times New Roman"/>
                <w:sz w:val="20"/>
                <w:lang w:val="fr-FR" w:eastAsia="en-US"/>
              </w:rPr>
            </w:pPr>
            <w:r w:rsidRPr="00686D5A">
              <w:rPr>
                <w:rFonts w:eastAsia="Times New Roman"/>
                <w:sz w:val="20"/>
                <w:lang w:val="fr-FR" w:eastAsia="en-US"/>
              </w:rPr>
              <w:t>Fraude aux prestations/fausses déclarations</w:t>
            </w:r>
          </w:p>
        </w:tc>
        <w:tc>
          <w:tcPr>
            <w:tcW w:w="823" w:type="dxa"/>
            <w:tcBorders>
              <w:top w:val="nil"/>
              <w:left w:val="single" w:sz="4" w:space="0" w:color="000000"/>
              <w:bottom w:val="nil"/>
              <w:right w:val="single" w:sz="4" w:space="0" w:color="000000"/>
            </w:tcBorders>
            <w:noWrap/>
            <w:vAlign w:val="bottom"/>
          </w:tcPr>
          <w:p w:rsidR="009A7E4C" w:rsidRPr="00686D5A" w:rsidRDefault="009A7E4C" w:rsidP="001E2D32">
            <w:pPr>
              <w:keepLines/>
              <w:jc w:val="center"/>
              <w:rPr>
                <w:rFonts w:eastAsia="Times New Roman"/>
                <w:sz w:val="20"/>
                <w:lang w:val="fr-FR" w:eastAsia="en-US"/>
              </w:rPr>
            </w:pPr>
            <w:r w:rsidRPr="00686D5A">
              <w:rPr>
                <w:rFonts w:eastAsia="Times New Roman"/>
                <w:sz w:val="20"/>
                <w:lang w:val="fr-FR" w:eastAsia="en-US"/>
              </w:rPr>
              <w:t>1</w:t>
            </w:r>
          </w:p>
        </w:tc>
        <w:tc>
          <w:tcPr>
            <w:tcW w:w="728" w:type="dxa"/>
            <w:tcBorders>
              <w:top w:val="nil"/>
              <w:left w:val="single" w:sz="4" w:space="0" w:color="000000"/>
              <w:bottom w:val="nil"/>
              <w:right w:val="single" w:sz="4" w:space="0" w:color="000000"/>
            </w:tcBorders>
            <w:vAlign w:val="bottom"/>
          </w:tcPr>
          <w:p w:rsidR="009A7E4C" w:rsidRPr="00686D5A" w:rsidRDefault="009A7E4C" w:rsidP="001E2D32">
            <w:pPr>
              <w:keepLines/>
              <w:jc w:val="center"/>
              <w:rPr>
                <w:sz w:val="20"/>
                <w:lang w:val="fr-FR"/>
              </w:rPr>
            </w:pPr>
            <w:r w:rsidRPr="00686D5A">
              <w:rPr>
                <w:sz w:val="20"/>
                <w:lang w:val="fr-FR"/>
              </w:rPr>
              <w:t>4%</w:t>
            </w:r>
          </w:p>
        </w:tc>
      </w:tr>
      <w:tr w:rsidR="00686D5A" w:rsidRPr="00686D5A" w:rsidTr="001E2D32">
        <w:trPr>
          <w:cantSplit/>
          <w:trHeight w:val="397"/>
          <w:jc w:val="center"/>
        </w:trPr>
        <w:tc>
          <w:tcPr>
            <w:tcW w:w="7420" w:type="dxa"/>
            <w:tcBorders>
              <w:top w:val="nil"/>
              <w:left w:val="single" w:sz="4" w:space="0" w:color="000000"/>
              <w:bottom w:val="nil"/>
              <w:right w:val="nil"/>
            </w:tcBorders>
            <w:vAlign w:val="center"/>
          </w:tcPr>
          <w:p w:rsidR="009A7E4C" w:rsidRPr="00686D5A" w:rsidRDefault="009A7E4C" w:rsidP="0040199A">
            <w:pPr>
              <w:keepLines/>
              <w:rPr>
                <w:rFonts w:eastAsia="Times New Roman"/>
                <w:sz w:val="20"/>
                <w:lang w:val="fr-FR" w:eastAsia="en-US"/>
              </w:rPr>
            </w:pPr>
            <w:r w:rsidRPr="00686D5A">
              <w:rPr>
                <w:rFonts w:eastAsia="Times New Roman"/>
                <w:sz w:val="20"/>
                <w:lang w:val="fr-FR" w:eastAsia="en-US"/>
              </w:rPr>
              <w:t>Utilisation abusive des ressources informatiques</w:t>
            </w:r>
          </w:p>
        </w:tc>
        <w:tc>
          <w:tcPr>
            <w:tcW w:w="823" w:type="dxa"/>
            <w:tcBorders>
              <w:top w:val="nil"/>
              <w:left w:val="single" w:sz="4" w:space="0" w:color="000000"/>
              <w:bottom w:val="nil"/>
              <w:right w:val="single" w:sz="4" w:space="0" w:color="000000"/>
            </w:tcBorders>
            <w:noWrap/>
            <w:vAlign w:val="bottom"/>
          </w:tcPr>
          <w:p w:rsidR="009A7E4C" w:rsidRPr="00686D5A" w:rsidRDefault="009A7E4C" w:rsidP="001E2D32">
            <w:pPr>
              <w:keepLines/>
              <w:jc w:val="center"/>
              <w:rPr>
                <w:rFonts w:eastAsia="Times New Roman"/>
                <w:sz w:val="20"/>
                <w:lang w:val="fr-FR" w:eastAsia="en-US"/>
              </w:rPr>
            </w:pPr>
            <w:r w:rsidRPr="00686D5A">
              <w:rPr>
                <w:rFonts w:eastAsia="Times New Roman"/>
                <w:sz w:val="20"/>
                <w:lang w:val="fr-FR" w:eastAsia="en-US"/>
              </w:rPr>
              <w:t>1</w:t>
            </w:r>
          </w:p>
        </w:tc>
        <w:tc>
          <w:tcPr>
            <w:tcW w:w="728" w:type="dxa"/>
            <w:tcBorders>
              <w:top w:val="nil"/>
              <w:left w:val="single" w:sz="4" w:space="0" w:color="000000"/>
              <w:bottom w:val="nil"/>
              <w:right w:val="single" w:sz="4" w:space="0" w:color="000000"/>
            </w:tcBorders>
            <w:vAlign w:val="bottom"/>
          </w:tcPr>
          <w:p w:rsidR="009A7E4C" w:rsidRPr="00686D5A" w:rsidRDefault="009A7E4C" w:rsidP="001E2D32">
            <w:pPr>
              <w:keepLines/>
              <w:jc w:val="center"/>
              <w:rPr>
                <w:sz w:val="20"/>
                <w:lang w:val="fr-FR"/>
              </w:rPr>
            </w:pPr>
            <w:r w:rsidRPr="00686D5A">
              <w:rPr>
                <w:sz w:val="20"/>
                <w:lang w:val="fr-FR"/>
              </w:rPr>
              <w:t>4%</w:t>
            </w:r>
          </w:p>
        </w:tc>
      </w:tr>
      <w:tr w:rsidR="00686D5A" w:rsidRPr="00686D5A" w:rsidTr="001E2D32">
        <w:trPr>
          <w:cantSplit/>
          <w:trHeight w:val="397"/>
          <w:jc w:val="center"/>
        </w:trPr>
        <w:tc>
          <w:tcPr>
            <w:tcW w:w="7420" w:type="dxa"/>
            <w:tcBorders>
              <w:top w:val="single" w:sz="4" w:space="0" w:color="000000"/>
              <w:left w:val="single" w:sz="4" w:space="0" w:color="000000"/>
              <w:bottom w:val="single" w:sz="4" w:space="0" w:color="000000"/>
              <w:right w:val="nil"/>
            </w:tcBorders>
            <w:noWrap/>
            <w:vAlign w:val="bottom"/>
          </w:tcPr>
          <w:p w:rsidR="009A7E4C" w:rsidRPr="00686D5A" w:rsidRDefault="009A7E4C" w:rsidP="0040199A">
            <w:pPr>
              <w:keepLines/>
              <w:rPr>
                <w:rFonts w:eastAsia="Times New Roman"/>
                <w:sz w:val="20"/>
                <w:lang w:val="fr-FR" w:eastAsia="en-US"/>
              </w:rPr>
            </w:pPr>
            <w:r w:rsidRPr="00686D5A">
              <w:rPr>
                <w:rFonts w:eastAsia="Times New Roman"/>
                <w:sz w:val="20"/>
                <w:lang w:val="fr-FR" w:eastAsia="en-US"/>
              </w:rPr>
              <w:t>Total</w:t>
            </w:r>
          </w:p>
        </w:tc>
        <w:tc>
          <w:tcPr>
            <w:tcW w:w="823" w:type="dxa"/>
            <w:tcBorders>
              <w:top w:val="single" w:sz="4" w:space="0" w:color="000000"/>
              <w:left w:val="single" w:sz="4" w:space="0" w:color="000000"/>
              <w:bottom w:val="single" w:sz="4" w:space="0" w:color="000000"/>
              <w:right w:val="single" w:sz="4" w:space="0" w:color="000000"/>
            </w:tcBorders>
            <w:noWrap/>
            <w:vAlign w:val="bottom"/>
          </w:tcPr>
          <w:p w:rsidR="009A7E4C" w:rsidRPr="00686D5A" w:rsidRDefault="009A7E4C" w:rsidP="001E2D32">
            <w:pPr>
              <w:keepLines/>
              <w:jc w:val="center"/>
              <w:rPr>
                <w:rFonts w:eastAsia="Times New Roman"/>
                <w:sz w:val="20"/>
                <w:lang w:val="fr-FR" w:eastAsia="en-US"/>
              </w:rPr>
            </w:pPr>
            <w:r w:rsidRPr="00686D5A">
              <w:rPr>
                <w:rFonts w:eastAsia="Times New Roman"/>
                <w:sz w:val="20"/>
                <w:lang w:val="fr-FR" w:eastAsia="en-US"/>
              </w:rPr>
              <w:t>26</w:t>
            </w:r>
          </w:p>
        </w:tc>
        <w:tc>
          <w:tcPr>
            <w:tcW w:w="728" w:type="dxa"/>
            <w:tcBorders>
              <w:top w:val="single" w:sz="4" w:space="0" w:color="000000"/>
              <w:left w:val="single" w:sz="4" w:space="0" w:color="000000"/>
              <w:bottom w:val="single" w:sz="4" w:space="0" w:color="000000"/>
              <w:right w:val="single" w:sz="4" w:space="0" w:color="000000"/>
            </w:tcBorders>
            <w:vAlign w:val="bottom"/>
          </w:tcPr>
          <w:p w:rsidR="009A7E4C" w:rsidRPr="00686D5A" w:rsidRDefault="009A7E4C" w:rsidP="001E2D32">
            <w:pPr>
              <w:keepLines/>
              <w:jc w:val="center"/>
              <w:rPr>
                <w:sz w:val="20"/>
                <w:lang w:val="fr-FR"/>
              </w:rPr>
            </w:pPr>
          </w:p>
        </w:tc>
      </w:tr>
    </w:tbl>
    <w:p w:rsidR="00946C7E" w:rsidRPr="00686D5A" w:rsidRDefault="00946C7E" w:rsidP="00946C7E">
      <w:pPr>
        <w:rPr>
          <w:lang w:val="fr-FR"/>
        </w:rPr>
      </w:pPr>
    </w:p>
    <w:p w:rsidR="009A7E4C" w:rsidRPr="00686D5A" w:rsidRDefault="009A7E4C" w:rsidP="00946C7E">
      <w:pPr>
        <w:pStyle w:val="ONUMFS"/>
        <w:rPr>
          <w:lang w:val="fr-FR"/>
        </w:rPr>
      </w:pPr>
      <w:r w:rsidRPr="00686D5A">
        <w:rPr>
          <w:lang w:val="fr-FR"/>
        </w:rPr>
        <w:t>Trois des 26 nouvelles affaires enregistrées au cours de la période considérée ont été transmises à</w:t>
      </w:r>
      <w:r w:rsidR="00D565F4" w:rsidRPr="00686D5A">
        <w:rPr>
          <w:lang w:val="fr-FR"/>
        </w:rPr>
        <w:t xml:space="preserve"> la</w:t>
      </w:r>
      <w:r w:rsidR="00D565F4">
        <w:rPr>
          <w:lang w:val="fr-FR"/>
        </w:rPr>
        <w:t> DAS</w:t>
      </w:r>
      <w:r w:rsidR="00E90725">
        <w:rPr>
          <w:lang w:val="fr-FR"/>
        </w:rPr>
        <w:t>I</w:t>
      </w:r>
      <w:r w:rsidRPr="00686D5A">
        <w:rPr>
          <w:lang w:val="fr-FR"/>
        </w:rPr>
        <w:t xml:space="preserve"> par le Jury mixte chargé de l</w:t>
      </w:r>
      <w:r w:rsidR="00D565F4">
        <w:rPr>
          <w:lang w:val="fr-FR"/>
        </w:rPr>
        <w:t>’</w:t>
      </w:r>
      <w:r w:rsidRPr="00686D5A">
        <w:rPr>
          <w:lang w:val="fr-FR"/>
        </w:rPr>
        <w:t>examen des plaintes, contre une au cours de l</w:t>
      </w:r>
      <w:r w:rsidR="00D565F4">
        <w:rPr>
          <w:lang w:val="fr-FR"/>
        </w:rPr>
        <w:t>’</w:t>
      </w:r>
      <w:r w:rsidRPr="00686D5A">
        <w:rPr>
          <w:lang w:val="fr-FR"/>
        </w:rPr>
        <w:t>exercice précédent.  Trois</w:t>
      </w:r>
      <w:r w:rsidR="00413B67" w:rsidRPr="00686D5A">
        <w:rPr>
          <w:lang w:val="fr-FR"/>
        </w:rPr>
        <w:t> </w:t>
      </w:r>
      <w:r w:rsidRPr="00686D5A">
        <w:rPr>
          <w:lang w:val="fr-FR"/>
        </w:rPr>
        <w:t>affaires ont été reçues via la ligne d</w:t>
      </w:r>
      <w:r w:rsidR="00D565F4">
        <w:rPr>
          <w:lang w:val="fr-FR"/>
        </w:rPr>
        <w:t>’</w:t>
      </w:r>
      <w:r w:rsidRPr="00686D5A">
        <w:rPr>
          <w:lang w:val="fr-FR"/>
        </w:rPr>
        <w:t>alerte permettant de signaler les actes répréhensibles.  Toutes les autres affaires ont été enregistrées suite à des plaintes ou demandes émanant de fonctionnaires de l</w:t>
      </w:r>
      <w:r w:rsidR="00D565F4">
        <w:rPr>
          <w:lang w:val="fr-FR"/>
        </w:rPr>
        <w:t>’</w:t>
      </w:r>
      <w:r w:rsidRPr="00686D5A">
        <w:rPr>
          <w:lang w:val="fr-FR"/>
        </w:rPr>
        <w:t>OMPI, soit en leur qualité personnelle soit en tant que représentants de la direction.</w:t>
      </w:r>
    </w:p>
    <w:p w:rsidR="009A7E4C" w:rsidRPr="00686D5A" w:rsidRDefault="009A7E4C" w:rsidP="00946C7E">
      <w:pPr>
        <w:pStyle w:val="ONUMFS"/>
        <w:rPr>
          <w:lang w:val="fr-FR"/>
        </w:rPr>
      </w:pPr>
      <w:r w:rsidRPr="00686D5A">
        <w:rPr>
          <w:lang w:val="fr-FR"/>
        </w:rPr>
        <w:t>Sur les 16 affaires clôturées au cours de la période couverte par le présent rapport, quatre</w:t>
      </w:r>
      <w:r w:rsidR="00413B67" w:rsidRPr="00686D5A">
        <w:rPr>
          <w:lang w:val="fr-FR"/>
        </w:rPr>
        <w:t> </w:t>
      </w:r>
      <w:r w:rsidRPr="00686D5A">
        <w:rPr>
          <w:lang w:val="fr-FR"/>
        </w:rPr>
        <w:t xml:space="preserve">(soit 25%) </w:t>
      </w:r>
      <w:r w:rsidRPr="00686D5A">
        <w:rPr>
          <w:lang w:val="fr-FR" w:eastAsia="fr-FR"/>
        </w:rPr>
        <w:t>ont donné lieu à une enquête complète, soit à la suite d</w:t>
      </w:r>
      <w:r w:rsidR="00D565F4">
        <w:rPr>
          <w:lang w:val="fr-FR" w:eastAsia="fr-FR"/>
        </w:rPr>
        <w:t>’</w:t>
      </w:r>
      <w:r w:rsidRPr="00686D5A">
        <w:rPr>
          <w:lang w:val="fr-FR" w:eastAsia="fr-FR"/>
        </w:rPr>
        <w:t>une décision du directeur de</w:t>
      </w:r>
      <w:r w:rsidR="00D565F4" w:rsidRPr="00686D5A">
        <w:rPr>
          <w:lang w:val="fr-FR" w:eastAsia="fr-FR"/>
        </w:rPr>
        <w:t xml:space="preserve"> la</w:t>
      </w:r>
      <w:r w:rsidR="00D565F4">
        <w:rPr>
          <w:lang w:val="fr-FR" w:eastAsia="fr-FR"/>
        </w:rPr>
        <w:t> DAS</w:t>
      </w:r>
      <w:r w:rsidR="00E90725">
        <w:rPr>
          <w:lang w:val="fr-FR" w:eastAsia="fr-FR"/>
        </w:rPr>
        <w:t>I</w:t>
      </w:r>
      <w:r w:rsidRPr="00686D5A">
        <w:rPr>
          <w:lang w:val="fr-FR" w:eastAsia="fr-FR"/>
        </w:rPr>
        <w:t xml:space="preserve"> sur la base des conclusions de l</w:t>
      </w:r>
      <w:r w:rsidR="00D565F4">
        <w:rPr>
          <w:lang w:val="fr-FR" w:eastAsia="fr-FR"/>
        </w:rPr>
        <w:t>’</w:t>
      </w:r>
      <w:r w:rsidRPr="00686D5A">
        <w:rPr>
          <w:lang w:val="fr-FR" w:eastAsia="fr-FR"/>
        </w:rPr>
        <w:t xml:space="preserve">évaluation préliminaire, soit sur </w:t>
      </w:r>
      <w:r w:rsidRPr="00686D5A">
        <w:rPr>
          <w:rFonts w:eastAsia="Times New Roman"/>
          <w:lang w:val="fr-FR" w:eastAsia="fr-FR"/>
        </w:rPr>
        <w:t>renvoi du Jury mixte chargé de l</w:t>
      </w:r>
      <w:r w:rsidR="00D565F4">
        <w:rPr>
          <w:rFonts w:eastAsia="Times New Roman"/>
          <w:lang w:val="fr-FR" w:eastAsia="fr-FR"/>
        </w:rPr>
        <w:t>’</w:t>
      </w:r>
      <w:r w:rsidRPr="00686D5A">
        <w:rPr>
          <w:rFonts w:eastAsia="Times New Roman"/>
          <w:lang w:val="fr-FR" w:eastAsia="fr-FR"/>
        </w:rPr>
        <w:t>examen des plaintes.  Dans les deux</w:t>
      </w:r>
      <w:r w:rsidR="00413B67" w:rsidRPr="00686D5A">
        <w:rPr>
          <w:rFonts w:eastAsia="Times New Roman"/>
          <w:lang w:val="fr-FR" w:eastAsia="fr-FR"/>
        </w:rPr>
        <w:t> </w:t>
      </w:r>
      <w:r w:rsidRPr="00686D5A">
        <w:rPr>
          <w:rFonts w:eastAsia="Times New Roman"/>
          <w:lang w:val="fr-FR" w:eastAsia="fr-FR"/>
        </w:rPr>
        <w:t>affaires renvoyées par ce dernier,</w:t>
      </w:r>
      <w:r w:rsidR="00D565F4" w:rsidRPr="00686D5A">
        <w:rPr>
          <w:rFonts w:eastAsia="Times New Roman"/>
          <w:lang w:val="fr-FR" w:eastAsia="fr-FR"/>
        </w:rPr>
        <w:t xml:space="preserve"> la</w:t>
      </w:r>
      <w:r w:rsidR="00D565F4">
        <w:rPr>
          <w:rFonts w:eastAsia="Times New Roman"/>
          <w:lang w:val="fr-FR" w:eastAsia="fr-FR"/>
        </w:rPr>
        <w:t> DAS</w:t>
      </w:r>
      <w:r w:rsidR="00E90725">
        <w:rPr>
          <w:rFonts w:eastAsia="Times New Roman"/>
          <w:lang w:val="fr-FR" w:eastAsia="fr-FR"/>
        </w:rPr>
        <w:t>I</w:t>
      </w:r>
      <w:r w:rsidRPr="00686D5A">
        <w:rPr>
          <w:rFonts w:eastAsia="Times New Roman"/>
          <w:lang w:val="fr-FR" w:eastAsia="fr-FR"/>
        </w:rPr>
        <w:t xml:space="preserve"> n</w:t>
      </w:r>
      <w:r w:rsidR="00D565F4">
        <w:rPr>
          <w:rFonts w:eastAsia="Times New Roman"/>
          <w:lang w:val="fr-FR" w:eastAsia="fr-FR"/>
        </w:rPr>
        <w:t>’</w:t>
      </w:r>
      <w:r w:rsidRPr="00686D5A">
        <w:rPr>
          <w:rFonts w:eastAsia="Times New Roman"/>
          <w:lang w:val="fr-FR" w:eastAsia="fr-FR"/>
        </w:rPr>
        <w:t>a trouvé aucune preuve de faute commise par l</w:t>
      </w:r>
      <w:r w:rsidR="00D565F4">
        <w:rPr>
          <w:rFonts w:eastAsia="Times New Roman"/>
          <w:lang w:val="fr-FR" w:eastAsia="fr-FR"/>
        </w:rPr>
        <w:t>’</w:t>
      </w:r>
      <w:r w:rsidRPr="00686D5A">
        <w:rPr>
          <w:rFonts w:eastAsia="Times New Roman"/>
          <w:lang w:val="fr-FR" w:eastAsia="fr-FR"/>
        </w:rPr>
        <w:t xml:space="preserve">auteur présumé.  Dans les </w:t>
      </w:r>
      <w:r w:rsidRPr="00686D5A">
        <w:rPr>
          <w:rFonts w:eastAsia="Times New Roman"/>
          <w:lang w:val="fr-FR" w:eastAsia="fr-FR"/>
        </w:rPr>
        <w:lastRenderedPageBreak/>
        <w:t>deux</w:t>
      </w:r>
      <w:r w:rsidR="00413B67" w:rsidRPr="00686D5A">
        <w:rPr>
          <w:rFonts w:eastAsia="Times New Roman"/>
          <w:lang w:val="fr-FR" w:eastAsia="fr-FR"/>
        </w:rPr>
        <w:t> </w:t>
      </w:r>
      <w:r w:rsidRPr="00686D5A">
        <w:rPr>
          <w:rFonts w:eastAsia="Times New Roman"/>
          <w:lang w:val="fr-FR" w:eastAsia="fr-FR"/>
        </w:rPr>
        <w:t>autres affaires,</w:t>
      </w:r>
      <w:r w:rsidR="00D565F4" w:rsidRPr="00686D5A">
        <w:rPr>
          <w:rFonts w:eastAsia="Times New Roman"/>
          <w:lang w:val="fr-FR" w:eastAsia="fr-FR"/>
        </w:rPr>
        <w:t xml:space="preserve"> la</w:t>
      </w:r>
      <w:r w:rsidR="00D565F4">
        <w:rPr>
          <w:rFonts w:eastAsia="Times New Roman"/>
          <w:lang w:val="fr-FR" w:eastAsia="fr-FR"/>
        </w:rPr>
        <w:t> DAS</w:t>
      </w:r>
      <w:r w:rsidR="00E90725">
        <w:rPr>
          <w:rFonts w:eastAsia="Times New Roman"/>
          <w:lang w:val="fr-FR" w:eastAsia="fr-FR"/>
        </w:rPr>
        <w:t>I</w:t>
      </w:r>
      <w:r w:rsidRPr="00686D5A">
        <w:rPr>
          <w:rFonts w:eastAsia="Times New Roman"/>
          <w:lang w:val="fr-FR" w:eastAsia="fr-FR"/>
        </w:rPr>
        <w:t xml:space="preserve"> a conclu que les allégations de faute étaient avérées.  Dans ces affaires, une procédure disciplinaire a été engagée et des fonctionnaires ont été renvoyés</w:t>
      </w:r>
      <w:r w:rsidRPr="00686D5A">
        <w:rPr>
          <w:rStyle w:val="FootnoteReference"/>
          <w:szCs w:val="22"/>
          <w:lang w:val="fr-FR"/>
        </w:rPr>
        <w:footnoteReference w:id="10"/>
      </w:r>
      <w:r w:rsidRPr="00686D5A">
        <w:rPr>
          <w:lang w:val="fr-FR"/>
        </w:rPr>
        <w:t>.</w:t>
      </w:r>
    </w:p>
    <w:p w:rsidR="009A7E4C" w:rsidRPr="00686D5A" w:rsidRDefault="009A7E4C" w:rsidP="00946C7E">
      <w:pPr>
        <w:pStyle w:val="ONUMFS"/>
        <w:rPr>
          <w:lang w:val="fr-FR"/>
        </w:rPr>
      </w:pPr>
      <w:r w:rsidRPr="00686D5A">
        <w:rPr>
          <w:lang w:val="fr-FR"/>
        </w:rPr>
        <w:t>Les activités d</w:t>
      </w:r>
      <w:r w:rsidR="00D565F4">
        <w:rPr>
          <w:lang w:val="fr-FR"/>
        </w:rPr>
        <w:t>’</w:t>
      </w:r>
      <w:r w:rsidRPr="00686D5A">
        <w:rPr>
          <w:lang w:val="fr-FR"/>
        </w:rPr>
        <w:t>enquête entreprises pendant la période visée dans le présent rapport ont également amené</w:t>
      </w:r>
      <w:r w:rsidR="00D565F4" w:rsidRPr="00686D5A">
        <w:rPr>
          <w:lang w:val="fr-FR"/>
        </w:rPr>
        <w:t xml:space="preserve"> la</w:t>
      </w:r>
      <w:r w:rsidR="00D565F4">
        <w:rPr>
          <w:lang w:val="fr-FR"/>
        </w:rPr>
        <w:t> DAS</w:t>
      </w:r>
      <w:r w:rsidR="00E90725">
        <w:rPr>
          <w:lang w:val="fr-FR"/>
        </w:rPr>
        <w:t>I</w:t>
      </w:r>
      <w:r w:rsidRPr="00686D5A">
        <w:rPr>
          <w:lang w:val="fr-FR"/>
        </w:rPr>
        <w:t xml:space="preserve"> à tirer un certain nombre d</w:t>
      </w:r>
      <w:r w:rsidR="00D565F4">
        <w:rPr>
          <w:lang w:val="fr-FR"/>
        </w:rPr>
        <w:t>’</w:t>
      </w:r>
      <w:r w:rsidRPr="00686D5A">
        <w:rPr>
          <w:lang w:val="fr-FR"/>
        </w:rPr>
        <w:t>enseignements.  Des rapports sur des problèmes en matière de gestion et des recommandations ont été établis à l</w:t>
      </w:r>
      <w:r w:rsidR="00D565F4">
        <w:rPr>
          <w:lang w:val="fr-FR"/>
        </w:rPr>
        <w:t>’</w:t>
      </w:r>
      <w:r w:rsidRPr="00686D5A">
        <w:rPr>
          <w:lang w:val="fr-FR"/>
        </w:rPr>
        <w:t>intention de la direction sur les moyens d</w:t>
      </w:r>
      <w:r w:rsidR="00D565F4">
        <w:rPr>
          <w:lang w:val="fr-FR"/>
        </w:rPr>
        <w:t>’</w:t>
      </w:r>
      <w:r w:rsidRPr="00686D5A">
        <w:rPr>
          <w:lang w:val="fr-FR"/>
        </w:rPr>
        <w:t>améliorer les systèmes, politiques et procédures existants.  Parmi les questions portées à l</w:t>
      </w:r>
      <w:r w:rsidR="00D565F4">
        <w:rPr>
          <w:lang w:val="fr-FR"/>
        </w:rPr>
        <w:t>’</w:t>
      </w:r>
      <w:r w:rsidRPr="00686D5A">
        <w:rPr>
          <w:lang w:val="fr-FR"/>
        </w:rPr>
        <w:t>attention de la direction figuraient notamment les activités extérieures, les périodes de conservation des images de vidéosurveillance, l</w:t>
      </w:r>
      <w:r w:rsidR="00D565F4">
        <w:rPr>
          <w:lang w:val="fr-FR"/>
        </w:rPr>
        <w:t>’</w:t>
      </w:r>
      <w:r w:rsidRPr="00686D5A">
        <w:rPr>
          <w:lang w:val="fr-FR"/>
        </w:rPr>
        <w:t>accès aux sites</w:t>
      </w:r>
      <w:r w:rsidR="00413B67" w:rsidRPr="00686D5A">
        <w:rPr>
          <w:lang w:val="fr-FR"/>
        </w:rPr>
        <w:t> </w:t>
      </w:r>
      <w:r w:rsidRPr="00686D5A">
        <w:rPr>
          <w:lang w:val="fr-FR"/>
        </w:rPr>
        <w:t>Web non autorisés, les conflits d</w:t>
      </w:r>
      <w:r w:rsidR="00D565F4">
        <w:rPr>
          <w:lang w:val="fr-FR"/>
        </w:rPr>
        <w:t>’</w:t>
      </w:r>
      <w:r w:rsidRPr="00686D5A">
        <w:rPr>
          <w:lang w:val="fr-FR"/>
        </w:rPr>
        <w:t>intérêts et la détermination du statut de personne à charge.</w:t>
      </w:r>
    </w:p>
    <w:p w:rsidR="009A7E4C" w:rsidRPr="00686D5A" w:rsidRDefault="009A7E4C" w:rsidP="00946C7E">
      <w:pPr>
        <w:pStyle w:val="ONUMFS"/>
        <w:rPr>
          <w:lang w:val="fr-FR"/>
        </w:rPr>
      </w:pPr>
      <w:r w:rsidRPr="00686D5A">
        <w:rPr>
          <w:lang w:val="fr-FR"/>
        </w:rPr>
        <w:t>Le tableau et le diagramme figurant à l</w:t>
      </w:r>
      <w:r w:rsidR="00D565F4">
        <w:rPr>
          <w:lang w:val="fr-FR"/>
        </w:rPr>
        <w:t>’</w:t>
      </w:r>
      <w:r w:rsidRPr="00686D5A">
        <w:rPr>
          <w:lang w:val="fr-FR"/>
        </w:rPr>
        <w:t>annexe III contiennent des statistiques supplémentaires sur les activités d</w:t>
      </w:r>
      <w:r w:rsidR="00D565F4">
        <w:rPr>
          <w:lang w:val="fr-FR"/>
        </w:rPr>
        <w:t>’</w:t>
      </w:r>
      <w:r w:rsidRPr="00686D5A">
        <w:rPr>
          <w:lang w:val="fr-FR"/>
        </w:rPr>
        <w:t>enquête.</w:t>
      </w:r>
    </w:p>
    <w:p w:rsidR="009A7E4C" w:rsidRPr="00686D5A" w:rsidRDefault="009A7E4C" w:rsidP="00946C7E">
      <w:pPr>
        <w:pStyle w:val="ONUMFS"/>
        <w:rPr>
          <w:lang w:val="fr-FR"/>
        </w:rPr>
      </w:pPr>
      <w:r w:rsidRPr="00686D5A">
        <w:rPr>
          <w:lang w:val="fr-FR"/>
        </w:rPr>
        <w:t>Au cours de la période couverte par le présent rapport,</w:t>
      </w:r>
      <w:r w:rsidR="00D565F4" w:rsidRPr="00686D5A">
        <w:rPr>
          <w:lang w:val="fr-FR"/>
        </w:rPr>
        <w:t xml:space="preserve"> la</w:t>
      </w:r>
      <w:r w:rsidR="00D565F4">
        <w:rPr>
          <w:lang w:val="fr-FR"/>
        </w:rPr>
        <w:t> DAS</w:t>
      </w:r>
      <w:r w:rsidR="00E90725">
        <w:rPr>
          <w:lang w:val="fr-FR"/>
        </w:rPr>
        <w:t>I</w:t>
      </w:r>
      <w:r w:rsidRPr="00686D5A">
        <w:rPr>
          <w:lang w:val="fr-FR"/>
        </w:rPr>
        <w:t>, à l</w:t>
      </w:r>
      <w:r w:rsidR="00D565F4">
        <w:rPr>
          <w:lang w:val="fr-FR"/>
        </w:rPr>
        <w:t>’</w:t>
      </w:r>
      <w:r w:rsidRPr="00686D5A">
        <w:rPr>
          <w:lang w:val="fr-FR"/>
        </w:rPr>
        <w:t xml:space="preserve">issue de consultations approfondies, a publié la </w:t>
      </w:r>
      <w:r w:rsidRPr="00686D5A">
        <w:rPr>
          <w:rFonts w:eastAsia="Times New Roman"/>
          <w:lang w:val="fr-FR" w:eastAsia="fr-FR"/>
        </w:rPr>
        <w:t>politique en matière d</w:t>
      </w:r>
      <w:r w:rsidR="00D565F4">
        <w:rPr>
          <w:rFonts w:eastAsia="Times New Roman"/>
          <w:lang w:val="fr-FR" w:eastAsia="fr-FR"/>
        </w:rPr>
        <w:t>’</w:t>
      </w:r>
      <w:r w:rsidRPr="00686D5A">
        <w:rPr>
          <w:rFonts w:eastAsia="Times New Roman"/>
          <w:lang w:val="fr-FR" w:eastAsia="fr-FR"/>
        </w:rPr>
        <w:t>enquêtes qui était en suspens depuis le mois d</w:t>
      </w:r>
      <w:r w:rsidR="00D565F4">
        <w:rPr>
          <w:rFonts w:eastAsia="Times New Roman"/>
          <w:lang w:val="fr-FR" w:eastAsia="fr-FR"/>
        </w:rPr>
        <w:t>’</w:t>
      </w:r>
      <w:r w:rsidR="00E11857" w:rsidRPr="00686D5A">
        <w:rPr>
          <w:rFonts w:eastAsia="Times New Roman"/>
          <w:lang w:val="fr-FR" w:eastAsia="fr-FR"/>
        </w:rPr>
        <w:t>août 20</w:t>
      </w:r>
      <w:r w:rsidRPr="00686D5A">
        <w:rPr>
          <w:rFonts w:eastAsia="Times New Roman"/>
          <w:lang w:val="fr-FR" w:eastAsia="fr-FR"/>
        </w:rPr>
        <w:t>10, ainsi qu</w:t>
      </w:r>
      <w:r w:rsidR="00D565F4">
        <w:rPr>
          <w:rFonts w:eastAsia="Times New Roman"/>
          <w:lang w:val="fr-FR" w:eastAsia="fr-FR"/>
        </w:rPr>
        <w:t>’</w:t>
      </w:r>
      <w:r w:rsidRPr="00686D5A">
        <w:rPr>
          <w:rFonts w:eastAsia="Times New Roman"/>
          <w:lang w:val="fr-FR" w:eastAsia="fr-FR"/>
        </w:rPr>
        <w:t>une version révisée du Manuel de procédures en matière d</w:t>
      </w:r>
      <w:r w:rsidR="00D565F4">
        <w:rPr>
          <w:rFonts w:eastAsia="Times New Roman"/>
          <w:lang w:val="fr-FR" w:eastAsia="fr-FR"/>
        </w:rPr>
        <w:t>’</w:t>
      </w:r>
      <w:r w:rsidRPr="00686D5A">
        <w:rPr>
          <w:rFonts w:eastAsia="Times New Roman"/>
          <w:lang w:val="fr-FR" w:eastAsia="fr-FR"/>
        </w:rPr>
        <w:t>enquêtes.  Reposant sur les Lignes directrices uniformes pour les enquêtes adoptées par la Conférence des enquêteurs internationaux (à laquelle ont participé le système de l</w:t>
      </w:r>
      <w:r w:rsidR="00D565F4">
        <w:rPr>
          <w:rFonts w:eastAsia="Times New Roman"/>
          <w:lang w:val="fr-FR" w:eastAsia="fr-FR"/>
        </w:rPr>
        <w:t>’</w:t>
      </w:r>
      <w:r w:rsidRPr="00686D5A">
        <w:rPr>
          <w:rFonts w:eastAsia="Times New Roman"/>
          <w:lang w:val="fr-FR" w:eastAsia="fr-FR"/>
        </w:rPr>
        <w:t>ONU et diverses autres organisations internationales), la politique en matière d</w:t>
      </w:r>
      <w:r w:rsidR="00D565F4">
        <w:rPr>
          <w:rFonts w:eastAsia="Times New Roman"/>
          <w:lang w:val="fr-FR" w:eastAsia="fr-FR"/>
        </w:rPr>
        <w:t>’</w:t>
      </w:r>
      <w:r w:rsidRPr="00686D5A">
        <w:rPr>
          <w:rFonts w:eastAsia="Times New Roman"/>
          <w:lang w:val="fr-FR" w:eastAsia="fr-FR"/>
        </w:rPr>
        <w:t>enquêtes et le Manuel apportent des précisions notamment sur ce qui suit </w:t>
      </w:r>
      <w:r w:rsidRPr="00686D5A">
        <w:rPr>
          <w:lang w:val="fr-FR"/>
        </w:rPr>
        <w:t>:</w:t>
      </w:r>
    </w:p>
    <w:p w:rsidR="009A7E4C" w:rsidRPr="00686D5A" w:rsidRDefault="00946C7E" w:rsidP="00946C7E">
      <w:pPr>
        <w:pStyle w:val="ONUMFS"/>
        <w:numPr>
          <w:ilvl w:val="1"/>
          <w:numId w:val="32"/>
        </w:numPr>
        <w:rPr>
          <w:lang w:val="fr-FR"/>
        </w:rPr>
      </w:pPr>
      <w:r w:rsidRPr="00686D5A">
        <w:rPr>
          <w:lang w:val="fr-FR"/>
        </w:rPr>
        <w:t>le</w:t>
      </w:r>
      <w:r w:rsidR="009A7E4C" w:rsidRPr="00686D5A">
        <w:rPr>
          <w:lang w:val="fr-FR"/>
        </w:rPr>
        <w:t xml:space="preserve"> devoir des membres du personnel de signaler toute présomption de fautes;</w:t>
      </w:r>
    </w:p>
    <w:p w:rsidR="009A7E4C" w:rsidRPr="00686D5A" w:rsidRDefault="00946C7E" w:rsidP="00946C7E">
      <w:pPr>
        <w:pStyle w:val="ONUMFS"/>
        <w:numPr>
          <w:ilvl w:val="1"/>
          <w:numId w:val="32"/>
        </w:numPr>
        <w:rPr>
          <w:lang w:val="fr-FR"/>
        </w:rPr>
      </w:pPr>
      <w:r w:rsidRPr="00686D5A">
        <w:rPr>
          <w:lang w:val="fr-FR"/>
        </w:rPr>
        <w:t>l</w:t>
      </w:r>
      <w:r w:rsidR="009A7E4C" w:rsidRPr="00686D5A">
        <w:rPr>
          <w:lang w:val="fr-FR"/>
        </w:rPr>
        <w:t>a confidentialité de la procédure d</w:t>
      </w:r>
      <w:r w:rsidR="00D565F4">
        <w:rPr>
          <w:lang w:val="fr-FR"/>
        </w:rPr>
        <w:t>’</w:t>
      </w:r>
      <w:r w:rsidR="009A7E4C" w:rsidRPr="00686D5A">
        <w:rPr>
          <w:lang w:val="fr-FR"/>
        </w:rPr>
        <w:t>enquête;</w:t>
      </w:r>
    </w:p>
    <w:p w:rsidR="009A7E4C" w:rsidRPr="00686D5A" w:rsidRDefault="00946C7E" w:rsidP="00946C7E">
      <w:pPr>
        <w:pStyle w:val="ONUMFS"/>
        <w:numPr>
          <w:ilvl w:val="1"/>
          <w:numId w:val="32"/>
        </w:numPr>
        <w:rPr>
          <w:lang w:val="fr-FR"/>
        </w:rPr>
      </w:pPr>
      <w:r w:rsidRPr="00686D5A">
        <w:rPr>
          <w:lang w:val="fr-FR"/>
        </w:rPr>
        <w:t>l</w:t>
      </w:r>
      <w:r w:rsidR="009A7E4C" w:rsidRPr="00686D5A">
        <w:rPr>
          <w:lang w:val="fr-FR"/>
        </w:rPr>
        <w:t>e rôle des enquêtes dans le système de justice interne;</w:t>
      </w:r>
    </w:p>
    <w:p w:rsidR="009A7E4C" w:rsidRPr="00686D5A" w:rsidRDefault="00946C7E" w:rsidP="00946C7E">
      <w:pPr>
        <w:pStyle w:val="ONUMFS"/>
        <w:numPr>
          <w:ilvl w:val="1"/>
          <w:numId w:val="32"/>
        </w:numPr>
        <w:rPr>
          <w:lang w:val="fr-FR"/>
        </w:rPr>
      </w:pPr>
      <w:r w:rsidRPr="00686D5A">
        <w:rPr>
          <w:lang w:val="fr-FR"/>
        </w:rPr>
        <w:t>l</w:t>
      </w:r>
      <w:r w:rsidR="009A7E4C" w:rsidRPr="00686D5A">
        <w:rPr>
          <w:lang w:val="fr-FR"/>
        </w:rPr>
        <w:t>es deux</w:t>
      </w:r>
      <w:r w:rsidR="00413B67" w:rsidRPr="00686D5A">
        <w:rPr>
          <w:lang w:val="fr-FR"/>
        </w:rPr>
        <w:t> </w:t>
      </w:r>
      <w:r w:rsidR="009A7E4C" w:rsidRPr="00686D5A">
        <w:rPr>
          <w:lang w:val="fr-FR"/>
        </w:rPr>
        <w:t>stades des activités d</w:t>
      </w:r>
      <w:r w:rsidR="00D565F4">
        <w:rPr>
          <w:lang w:val="fr-FR"/>
        </w:rPr>
        <w:t>’</w:t>
      </w:r>
      <w:r w:rsidR="009A7E4C" w:rsidRPr="00686D5A">
        <w:rPr>
          <w:lang w:val="fr-FR"/>
        </w:rPr>
        <w:t>enquête (une évaluation préliminaire suivie, ou non, d</w:t>
      </w:r>
      <w:r w:rsidR="00D565F4">
        <w:rPr>
          <w:lang w:val="fr-FR"/>
        </w:rPr>
        <w:t>’</w:t>
      </w:r>
      <w:r w:rsidR="009A7E4C" w:rsidRPr="00686D5A">
        <w:rPr>
          <w:lang w:val="fr-FR"/>
        </w:rPr>
        <w:t>une enquête complète);</w:t>
      </w:r>
    </w:p>
    <w:p w:rsidR="009A7E4C" w:rsidRPr="00686D5A" w:rsidRDefault="00946C7E" w:rsidP="00946C7E">
      <w:pPr>
        <w:pStyle w:val="ONUMFS"/>
        <w:numPr>
          <w:ilvl w:val="1"/>
          <w:numId w:val="32"/>
        </w:numPr>
        <w:rPr>
          <w:lang w:val="fr-FR"/>
        </w:rPr>
      </w:pPr>
      <w:r w:rsidRPr="00686D5A">
        <w:rPr>
          <w:lang w:val="fr-FR"/>
        </w:rPr>
        <w:t>l</w:t>
      </w:r>
      <w:r w:rsidR="009A7E4C" w:rsidRPr="00686D5A">
        <w:rPr>
          <w:lang w:val="fr-FR"/>
        </w:rPr>
        <w:t>e renforcement des règles de procédure régulière, les personnes faisant l</w:t>
      </w:r>
      <w:r w:rsidR="00D565F4">
        <w:rPr>
          <w:lang w:val="fr-FR"/>
        </w:rPr>
        <w:t>’</w:t>
      </w:r>
      <w:r w:rsidR="009A7E4C" w:rsidRPr="00686D5A">
        <w:rPr>
          <w:lang w:val="fr-FR"/>
        </w:rPr>
        <w:t>objet d</w:t>
      </w:r>
      <w:r w:rsidR="00D565F4">
        <w:rPr>
          <w:lang w:val="fr-FR"/>
        </w:rPr>
        <w:t>’</w:t>
      </w:r>
      <w:r w:rsidR="009A7E4C" w:rsidRPr="00686D5A">
        <w:rPr>
          <w:lang w:val="fr-FR"/>
        </w:rPr>
        <w:t>une enquête se voyant offrir la possibilité d</w:t>
      </w:r>
      <w:r w:rsidR="00D565F4">
        <w:rPr>
          <w:lang w:val="fr-FR"/>
        </w:rPr>
        <w:t>’</w:t>
      </w:r>
      <w:r w:rsidR="009A7E4C" w:rsidRPr="00686D5A">
        <w:rPr>
          <w:lang w:val="fr-FR"/>
        </w:rPr>
        <w:t>être assistées d</w:t>
      </w:r>
      <w:r w:rsidR="00D565F4">
        <w:rPr>
          <w:lang w:val="fr-FR"/>
        </w:rPr>
        <w:t>’</w:t>
      </w:r>
      <w:r w:rsidR="009A7E4C" w:rsidRPr="00686D5A">
        <w:rPr>
          <w:lang w:val="fr-FR"/>
        </w:rPr>
        <w:t>observateurs et de formuler des observations sur les rapports d</w:t>
      </w:r>
      <w:r w:rsidR="00D565F4">
        <w:rPr>
          <w:lang w:val="fr-FR"/>
        </w:rPr>
        <w:t>’</w:t>
      </w:r>
      <w:r w:rsidR="009A7E4C" w:rsidRPr="00686D5A">
        <w:rPr>
          <w:lang w:val="fr-FR"/>
        </w:rPr>
        <w:t>enquête, avant leur finalisation;  et</w:t>
      </w:r>
    </w:p>
    <w:p w:rsidR="009A7E4C" w:rsidRPr="00686D5A" w:rsidRDefault="00946C7E" w:rsidP="00946C7E">
      <w:pPr>
        <w:pStyle w:val="ONUMFS"/>
        <w:numPr>
          <w:ilvl w:val="1"/>
          <w:numId w:val="32"/>
        </w:numPr>
        <w:rPr>
          <w:lang w:val="fr-FR"/>
        </w:rPr>
      </w:pPr>
      <w:r w:rsidRPr="00686D5A">
        <w:rPr>
          <w:lang w:val="fr-FR"/>
        </w:rPr>
        <w:t>u</w:t>
      </w:r>
      <w:r w:rsidR="009A7E4C" w:rsidRPr="00686D5A">
        <w:rPr>
          <w:lang w:val="fr-FR"/>
        </w:rPr>
        <w:t>n cadre de délais optimaux pour les différents stades de l</w:t>
      </w:r>
      <w:r w:rsidR="00D565F4">
        <w:rPr>
          <w:lang w:val="fr-FR"/>
        </w:rPr>
        <w:t>’</w:t>
      </w:r>
      <w:r w:rsidR="009A7E4C" w:rsidRPr="00686D5A">
        <w:rPr>
          <w:lang w:val="fr-FR"/>
        </w:rPr>
        <w:t>activité d</w:t>
      </w:r>
      <w:r w:rsidR="00D565F4">
        <w:rPr>
          <w:lang w:val="fr-FR"/>
        </w:rPr>
        <w:t>’</w:t>
      </w:r>
      <w:r w:rsidR="009A7E4C" w:rsidRPr="00686D5A">
        <w:rPr>
          <w:lang w:val="fr-FR"/>
        </w:rPr>
        <w:t>enquête.</w:t>
      </w:r>
    </w:p>
    <w:p w:rsidR="009A7E4C" w:rsidRPr="00686D5A" w:rsidRDefault="009A7E4C" w:rsidP="00946C7E">
      <w:pPr>
        <w:pStyle w:val="ONUMFS"/>
        <w:rPr>
          <w:lang w:val="fr-FR"/>
        </w:rPr>
      </w:pPr>
      <w:r w:rsidRPr="00686D5A">
        <w:rPr>
          <w:lang w:val="fr-FR"/>
        </w:rPr>
        <w:t>La ligne d</w:t>
      </w:r>
      <w:r w:rsidR="00D565F4">
        <w:rPr>
          <w:lang w:val="fr-FR"/>
        </w:rPr>
        <w:t>’</w:t>
      </w:r>
      <w:r w:rsidRPr="00686D5A">
        <w:rPr>
          <w:lang w:val="fr-FR"/>
        </w:rPr>
        <w:t>alerte pour signaler toute présomption d</w:t>
      </w:r>
      <w:r w:rsidR="00D565F4">
        <w:rPr>
          <w:lang w:val="fr-FR"/>
        </w:rPr>
        <w:t>’</w:t>
      </w:r>
      <w:r w:rsidRPr="00686D5A">
        <w:rPr>
          <w:lang w:val="fr-FR"/>
        </w:rPr>
        <w:t>actes répréhensibles ou autres fautes a également été mise en service et rendue publique auprès de tous les membres du personnel au cours de la période considérée.  Elle consiste en un formulaire en ligne et un numéro de téléphone spécial.  La ligne d</w:t>
      </w:r>
      <w:r w:rsidR="00D565F4">
        <w:rPr>
          <w:lang w:val="fr-FR"/>
        </w:rPr>
        <w:t>’</w:t>
      </w:r>
      <w:r w:rsidRPr="00686D5A">
        <w:rPr>
          <w:lang w:val="fr-FR"/>
        </w:rPr>
        <w:t>alerte a conduit à sept</w:t>
      </w:r>
      <w:r w:rsidR="00B859AA">
        <w:rPr>
          <w:lang w:val="fr-FR"/>
        </w:rPr>
        <w:t> </w:t>
      </w:r>
      <w:r w:rsidRPr="00686D5A">
        <w:rPr>
          <w:lang w:val="fr-FR"/>
        </w:rPr>
        <w:t>signalements de présomption d</w:t>
      </w:r>
      <w:r w:rsidR="00D565F4">
        <w:rPr>
          <w:lang w:val="fr-FR"/>
        </w:rPr>
        <w:t>’</w:t>
      </w:r>
      <w:r w:rsidRPr="00686D5A">
        <w:rPr>
          <w:lang w:val="fr-FR"/>
        </w:rPr>
        <w:t>actes répréhensibles, dont trois</w:t>
      </w:r>
      <w:r w:rsidR="001F4EED">
        <w:rPr>
          <w:lang w:val="fr-FR"/>
        </w:rPr>
        <w:t xml:space="preserve"> </w:t>
      </w:r>
      <w:r w:rsidRPr="00686D5A">
        <w:rPr>
          <w:lang w:val="fr-FR"/>
        </w:rPr>
        <w:t>ont été officiellement enregistrés comme affaires.</w:t>
      </w:r>
    </w:p>
    <w:p w:rsidR="009A7E4C" w:rsidRPr="00686D5A" w:rsidRDefault="009A7E4C" w:rsidP="00946C7E">
      <w:pPr>
        <w:pStyle w:val="ONUMFS"/>
        <w:rPr>
          <w:lang w:val="fr-FR"/>
        </w:rPr>
      </w:pPr>
      <w:r w:rsidRPr="00686D5A">
        <w:rPr>
          <w:lang w:val="fr-FR"/>
        </w:rPr>
        <w:t>Enfin,</w:t>
      </w:r>
      <w:r w:rsidR="00D565F4" w:rsidRPr="00686D5A">
        <w:rPr>
          <w:lang w:val="fr-FR"/>
        </w:rPr>
        <w:t xml:space="preserve"> la</w:t>
      </w:r>
      <w:r w:rsidR="00D565F4">
        <w:rPr>
          <w:lang w:val="fr-FR"/>
        </w:rPr>
        <w:t> DAS</w:t>
      </w:r>
      <w:r w:rsidR="00E90725">
        <w:rPr>
          <w:lang w:val="fr-FR"/>
        </w:rPr>
        <w:t>I</w:t>
      </w:r>
      <w:r w:rsidRPr="00686D5A">
        <w:rPr>
          <w:lang w:val="fr-FR"/>
        </w:rPr>
        <w:t xml:space="preserve"> a procédé à une évaluation préliminaire des risques de fraude, en vue d</w:t>
      </w:r>
      <w:r w:rsidR="00D565F4">
        <w:rPr>
          <w:lang w:val="fr-FR"/>
        </w:rPr>
        <w:t>’</w:t>
      </w:r>
      <w:r w:rsidRPr="00686D5A">
        <w:rPr>
          <w:lang w:val="fr-FR"/>
        </w:rPr>
        <w:t>analyser et d</w:t>
      </w:r>
      <w:r w:rsidR="00D565F4">
        <w:rPr>
          <w:lang w:val="fr-FR"/>
        </w:rPr>
        <w:t>’</w:t>
      </w:r>
      <w:r w:rsidRPr="00686D5A">
        <w:rPr>
          <w:lang w:val="fr-FR"/>
        </w:rPr>
        <w:t>apprécier les risques au sein de l</w:t>
      </w:r>
      <w:r w:rsidR="00D565F4">
        <w:rPr>
          <w:lang w:val="fr-FR"/>
        </w:rPr>
        <w:t>’</w:t>
      </w:r>
      <w:r w:rsidRPr="00686D5A">
        <w:rPr>
          <w:lang w:val="fr-FR"/>
        </w:rPr>
        <w:t>OMPI et de passer en revue les points forts et les points faibles de l</w:t>
      </w:r>
      <w:r w:rsidR="00D565F4">
        <w:rPr>
          <w:lang w:val="fr-FR"/>
        </w:rPr>
        <w:t>’</w:t>
      </w:r>
      <w:r w:rsidRPr="00686D5A">
        <w:rPr>
          <w:lang w:val="fr-FR"/>
        </w:rPr>
        <w:t>Organisation en termes de gestion de tels risques.  L</w:t>
      </w:r>
      <w:r w:rsidR="00D565F4">
        <w:rPr>
          <w:lang w:val="fr-FR"/>
        </w:rPr>
        <w:t>’</w:t>
      </w:r>
      <w:r w:rsidRPr="00686D5A">
        <w:rPr>
          <w:lang w:val="fr-FR"/>
        </w:rPr>
        <w:t>évaluation a permis de formuler des recommandations concrètes pour améliorer la prévention et la détection des fraudes au sein de l</w:t>
      </w:r>
      <w:r w:rsidR="00D565F4">
        <w:rPr>
          <w:lang w:val="fr-FR"/>
        </w:rPr>
        <w:t>’</w:t>
      </w:r>
      <w:r w:rsidRPr="00686D5A">
        <w:rPr>
          <w:lang w:val="fr-FR"/>
        </w:rPr>
        <w:t>Organisation.  L</w:t>
      </w:r>
      <w:r w:rsidR="00D565F4">
        <w:rPr>
          <w:lang w:val="fr-FR"/>
        </w:rPr>
        <w:t>’</w:t>
      </w:r>
      <w:r w:rsidRPr="00686D5A">
        <w:rPr>
          <w:lang w:val="fr-FR"/>
        </w:rPr>
        <w:t>OMPI s</w:t>
      </w:r>
      <w:r w:rsidR="00D565F4">
        <w:rPr>
          <w:lang w:val="fr-FR"/>
        </w:rPr>
        <w:t>’</w:t>
      </w:r>
      <w:r w:rsidRPr="00686D5A">
        <w:rPr>
          <w:lang w:val="fr-FR"/>
        </w:rPr>
        <w:t>est engagée à : continuer d</w:t>
      </w:r>
      <w:r w:rsidR="00D565F4">
        <w:rPr>
          <w:lang w:val="fr-FR"/>
        </w:rPr>
        <w:t>’</w:t>
      </w:r>
      <w:r w:rsidRPr="00686D5A">
        <w:rPr>
          <w:lang w:val="fr-FR"/>
        </w:rPr>
        <w:t>intégrer la fraude comme facteur de risque, dont le personnel et la direction doivent systématiquement tenir compte;  accroître la sensibilisation à la fraude par des formations – si les ressources le permettent –, ainsi que sur une base permanente en dehors de la formation formelle;  et publier les résultats du système de justice interne à la suite des enquêtes établissant qu</w:t>
      </w:r>
      <w:r w:rsidR="00D565F4">
        <w:rPr>
          <w:lang w:val="fr-FR"/>
        </w:rPr>
        <w:t>’</w:t>
      </w:r>
      <w:r w:rsidRPr="00686D5A">
        <w:rPr>
          <w:lang w:val="fr-FR"/>
        </w:rPr>
        <w:t xml:space="preserve">il y a eu </w:t>
      </w:r>
      <w:r w:rsidRPr="00686D5A">
        <w:rPr>
          <w:lang w:val="fr-FR"/>
        </w:rPr>
        <w:lastRenderedPageBreak/>
        <w:t>fraude, pour en renforcer la portée en tant que moyen de dissuasion et pérenniser la culture du traitement juste et équitable.</w:t>
      </w:r>
    </w:p>
    <w:p w:rsidR="009A7E4C" w:rsidRPr="00686D5A" w:rsidRDefault="00946C7E" w:rsidP="00946C7E">
      <w:pPr>
        <w:pStyle w:val="Heading1"/>
        <w:rPr>
          <w:lang w:val="fr-FR"/>
        </w:rPr>
      </w:pPr>
      <w:bookmarkStart w:id="10" w:name="_Toc393891967"/>
      <w:r w:rsidRPr="00686D5A">
        <w:rPr>
          <w:lang w:val="fr-FR"/>
        </w:rPr>
        <w:t>Cas dans lesquels des demandes d</w:t>
      </w:r>
      <w:r w:rsidR="00D565F4">
        <w:rPr>
          <w:lang w:val="fr-FR"/>
        </w:rPr>
        <w:t>’</w:t>
      </w:r>
      <w:r w:rsidRPr="00686D5A">
        <w:rPr>
          <w:lang w:val="fr-FR"/>
        </w:rPr>
        <w:t>information ou d</w:t>
      </w:r>
      <w:r w:rsidR="00D565F4">
        <w:rPr>
          <w:lang w:val="fr-FR"/>
        </w:rPr>
        <w:t>’</w:t>
      </w:r>
      <w:r w:rsidRPr="00686D5A">
        <w:rPr>
          <w:lang w:val="fr-FR"/>
        </w:rPr>
        <w:t>assistance ont</w:t>
      </w:r>
      <w:r w:rsidR="00686D5A">
        <w:rPr>
          <w:lang w:val="fr-FR"/>
        </w:rPr>
        <w:t> </w:t>
      </w:r>
      <w:r w:rsidRPr="00686D5A">
        <w:rPr>
          <w:lang w:val="fr-FR"/>
        </w:rPr>
        <w:t>été</w:t>
      </w:r>
      <w:r w:rsidR="00686D5A">
        <w:rPr>
          <w:lang w:val="fr-FR"/>
        </w:rPr>
        <w:t> </w:t>
      </w:r>
      <w:r w:rsidRPr="00686D5A">
        <w:rPr>
          <w:lang w:val="fr-FR"/>
        </w:rPr>
        <w:t>rejetées</w:t>
      </w:r>
      <w:bookmarkEnd w:id="10"/>
    </w:p>
    <w:p w:rsidR="009A7E4C" w:rsidRPr="00686D5A" w:rsidRDefault="009A7E4C" w:rsidP="00946C7E">
      <w:pPr>
        <w:pStyle w:val="ONUMFS"/>
        <w:rPr>
          <w:lang w:val="fr-FR" w:eastAsia="fr-FR"/>
        </w:rPr>
      </w:pPr>
      <w:r w:rsidRPr="00686D5A">
        <w:rPr>
          <w:lang w:val="fr-FR"/>
        </w:rPr>
        <w:t xml:space="preserve">Conformément </w:t>
      </w:r>
      <w:r w:rsidRPr="00686D5A">
        <w:rPr>
          <w:lang w:val="fr-FR" w:eastAsia="fr-FR"/>
        </w:rPr>
        <w:t>au paragraphe</w:t>
      </w:r>
      <w:r w:rsidR="00413B67" w:rsidRPr="00686D5A">
        <w:rPr>
          <w:lang w:val="fr-FR" w:eastAsia="fr-FR"/>
        </w:rPr>
        <w:t> </w:t>
      </w:r>
      <w:r w:rsidRPr="00686D5A">
        <w:rPr>
          <w:lang w:val="fr-FR" w:eastAsia="fr-FR"/>
        </w:rPr>
        <w:t>27.g) de la Charte de la supervision interne, le directeur de</w:t>
      </w:r>
      <w:r w:rsidR="00D565F4" w:rsidRPr="00686D5A">
        <w:rPr>
          <w:lang w:val="fr-FR" w:eastAsia="fr-FR"/>
        </w:rPr>
        <w:t xml:space="preserve"> la</w:t>
      </w:r>
      <w:r w:rsidR="00D565F4">
        <w:rPr>
          <w:lang w:val="fr-FR" w:eastAsia="fr-FR"/>
        </w:rPr>
        <w:t> DAS</w:t>
      </w:r>
      <w:r w:rsidR="00E90725">
        <w:rPr>
          <w:lang w:val="fr-FR" w:eastAsia="fr-FR"/>
        </w:rPr>
        <w:t>I</w:t>
      </w:r>
      <w:r w:rsidRPr="00686D5A">
        <w:rPr>
          <w:lang w:val="fr-FR" w:eastAsia="fr-FR"/>
        </w:rPr>
        <w:t xml:space="preserve"> signale qu</w:t>
      </w:r>
      <w:r w:rsidR="00D565F4">
        <w:rPr>
          <w:lang w:val="fr-FR" w:eastAsia="fr-FR"/>
        </w:rPr>
        <w:t>’</w:t>
      </w:r>
      <w:r w:rsidRPr="00686D5A">
        <w:rPr>
          <w:lang w:val="fr-FR" w:eastAsia="fr-FR"/>
        </w:rPr>
        <w:t>aucun membre du personnel n</w:t>
      </w:r>
      <w:r w:rsidR="00D565F4">
        <w:rPr>
          <w:lang w:val="fr-FR" w:eastAsia="fr-FR"/>
        </w:rPr>
        <w:t>’</w:t>
      </w:r>
      <w:r w:rsidRPr="00686D5A">
        <w:rPr>
          <w:lang w:val="fr-FR" w:eastAsia="fr-FR"/>
        </w:rPr>
        <w:t xml:space="preserve">a refusé de fournir des informations ou de prêter assistance à un processus de surveillance en cours pendant la période considérée.  Cependant, comme indiqué plus haut, certains membres du personnel ont refusé, pour des raisons médicales – en ayant recours à des certificats médicaux </w:t>
      </w:r>
      <w:r w:rsidR="00295E4E" w:rsidRPr="001F4EED">
        <w:rPr>
          <w:lang w:val="fr-FR" w:eastAsia="fr-FR"/>
        </w:rPr>
        <w:t>ad</w:t>
      </w:r>
      <w:r w:rsidR="00B859AA" w:rsidRPr="001F4EED">
        <w:rPr>
          <w:lang w:val="fr-FR" w:eastAsia="fr-FR"/>
        </w:rPr>
        <w:t> </w:t>
      </w:r>
      <w:r w:rsidR="00295E4E" w:rsidRPr="001F4EED">
        <w:rPr>
          <w:lang w:val="fr-FR" w:eastAsia="fr-FR"/>
        </w:rPr>
        <w:t>hoc</w:t>
      </w:r>
      <w:r w:rsidRPr="00686D5A">
        <w:rPr>
          <w:lang w:val="fr-FR" w:eastAsia="fr-FR"/>
        </w:rPr>
        <w:t xml:space="preserve"> – d</w:t>
      </w:r>
      <w:r w:rsidR="00D565F4">
        <w:rPr>
          <w:lang w:val="fr-FR" w:eastAsia="fr-FR"/>
        </w:rPr>
        <w:t>’</w:t>
      </w:r>
      <w:r w:rsidRPr="00686D5A">
        <w:rPr>
          <w:lang w:val="fr-FR" w:eastAsia="fr-FR"/>
        </w:rPr>
        <w:t>être interrogés par</w:t>
      </w:r>
      <w:r w:rsidR="00D565F4" w:rsidRPr="00686D5A">
        <w:rPr>
          <w:lang w:val="fr-FR" w:eastAsia="fr-FR"/>
        </w:rPr>
        <w:t xml:space="preserve"> la</w:t>
      </w:r>
      <w:r w:rsidR="00D565F4">
        <w:rPr>
          <w:lang w:val="fr-FR" w:eastAsia="fr-FR"/>
        </w:rPr>
        <w:t> DAS</w:t>
      </w:r>
      <w:r w:rsidR="00E90725">
        <w:rPr>
          <w:lang w:val="fr-FR" w:eastAsia="fr-FR"/>
        </w:rPr>
        <w:t>I</w:t>
      </w:r>
      <w:r w:rsidRPr="00686D5A">
        <w:rPr>
          <w:lang w:val="fr-FR" w:eastAsia="fr-FR"/>
        </w:rPr>
        <w:t>, ce qui a retardé les enquêtes</w:t>
      </w:r>
      <w:r w:rsidRPr="00686D5A">
        <w:rPr>
          <w:lang w:val="fr-FR"/>
        </w:rPr>
        <w:t>.</w:t>
      </w:r>
    </w:p>
    <w:p w:rsidR="009A7E4C" w:rsidRPr="00686D5A" w:rsidRDefault="00946C7E" w:rsidP="00946C7E">
      <w:pPr>
        <w:pStyle w:val="Heading1"/>
        <w:rPr>
          <w:lang w:val="fr-FR"/>
        </w:rPr>
      </w:pPr>
      <w:bookmarkStart w:id="11" w:name="_Toc393891968"/>
      <w:r w:rsidRPr="00686D5A">
        <w:rPr>
          <w:lang w:val="fr-FR"/>
        </w:rPr>
        <w:t>État d</w:t>
      </w:r>
      <w:r w:rsidR="00D565F4">
        <w:rPr>
          <w:lang w:val="fr-FR"/>
        </w:rPr>
        <w:t>’</w:t>
      </w:r>
      <w:r w:rsidRPr="00686D5A">
        <w:rPr>
          <w:lang w:val="fr-FR"/>
        </w:rPr>
        <w:t>avancement de la mise en œuvre des précédentes recommandations</w:t>
      </w:r>
      <w:bookmarkEnd w:id="11"/>
    </w:p>
    <w:p w:rsidR="009A7E4C" w:rsidRPr="00686D5A" w:rsidRDefault="009A7E4C" w:rsidP="00946C7E">
      <w:pPr>
        <w:pStyle w:val="ONUMFS"/>
        <w:rPr>
          <w:lang w:val="fr-FR"/>
        </w:rPr>
      </w:pPr>
      <w:r w:rsidRPr="00686D5A">
        <w:rPr>
          <w:lang w:val="fr-FR"/>
        </w:rPr>
        <w:t>Le Directeur général a la responsabilité de veiller à ce qu</w:t>
      </w:r>
      <w:r w:rsidR="00D565F4">
        <w:rPr>
          <w:lang w:val="fr-FR"/>
        </w:rPr>
        <w:t>’</w:t>
      </w:r>
      <w:r w:rsidRPr="00686D5A">
        <w:rPr>
          <w:lang w:val="fr-FR"/>
        </w:rPr>
        <w:t>il soit donné effet sans tarder à toutes les recommandations du directeur de la Division de l</w:t>
      </w:r>
      <w:r w:rsidR="00D565F4">
        <w:rPr>
          <w:lang w:val="fr-FR"/>
        </w:rPr>
        <w:t>’</w:t>
      </w:r>
      <w:r w:rsidRPr="00686D5A">
        <w:rPr>
          <w:lang w:val="fr-FR"/>
        </w:rPr>
        <w:t>audit et de la supervision internes et des autres organes de surveillance et d</w:t>
      </w:r>
      <w:r w:rsidR="00D565F4">
        <w:rPr>
          <w:lang w:val="fr-FR"/>
        </w:rPr>
        <w:t>’</w:t>
      </w:r>
      <w:r w:rsidRPr="00686D5A">
        <w:rPr>
          <w:lang w:val="fr-FR"/>
        </w:rPr>
        <w:t>indiquer les mesures prises à l</w:t>
      </w:r>
      <w:r w:rsidR="00D565F4">
        <w:rPr>
          <w:lang w:val="fr-FR"/>
        </w:rPr>
        <w:t>’</w:t>
      </w:r>
      <w:r w:rsidRPr="00686D5A">
        <w:rPr>
          <w:lang w:val="fr-FR"/>
        </w:rPr>
        <w:t>égard des différentes conclusions et recommandations figurant dans les rapports</w:t>
      </w:r>
      <w:r w:rsidRPr="00686D5A">
        <w:rPr>
          <w:rStyle w:val="FootnoteReference"/>
          <w:szCs w:val="22"/>
          <w:lang w:val="fr-FR"/>
        </w:rPr>
        <w:footnoteReference w:id="11"/>
      </w:r>
      <w:r w:rsidRPr="00686D5A">
        <w:rPr>
          <w:lang w:val="fr-FR"/>
        </w:rPr>
        <w:t>.  Le Directeur général s</w:t>
      </w:r>
      <w:r w:rsidR="00D565F4">
        <w:rPr>
          <w:lang w:val="fr-FR"/>
        </w:rPr>
        <w:t>’</w:t>
      </w:r>
      <w:r w:rsidRPr="00686D5A">
        <w:rPr>
          <w:lang w:val="fr-FR"/>
        </w:rPr>
        <w:t>acquitte de cette responsabilité par l</w:t>
      </w:r>
      <w:r w:rsidR="00D565F4">
        <w:rPr>
          <w:lang w:val="fr-FR"/>
        </w:rPr>
        <w:t>’</w:t>
      </w:r>
      <w:r w:rsidRPr="00686D5A">
        <w:rPr>
          <w:lang w:val="fr-FR"/>
        </w:rPr>
        <w:t>intermédiaire des chefs de programme chargés des différents secteurs opérationnels de l</w:t>
      </w:r>
      <w:r w:rsidR="00D565F4">
        <w:rPr>
          <w:lang w:val="fr-FR"/>
        </w:rPr>
        <w:t>’</w:t>
      </w:r>
      <w:r w:rsidRPr="00686D5A">
        <w:rPr>
          <w:lang w:val="fr-FR"/>
        </w:rPr>
        <w:t>Organisation</w:t>
      </w:r>
      <w:r w:rsidRPr="00686D5A">
        <w:rPr>
          <w:rStyle w:val="FootnoteReference"/>
          <w:szCs w:val="22"/>
          <w:lang w:val="fr-FR"/>
        </w:rPr>
        <w:footnoteReference w:id="12"/>
      </w:r>
      <w:r w:rsidRPr="00686D5A">
        <w:rPr>
          <w:lang w:val="fr-FR"/>
        </w:rPr>
        <w:t>.  La mise en œuvre de toutes les recommandations relatives à la supervision par les chefs de programme de l</w:t>
      </w:r>
      <w:r w:rsidR="00D565F4">
        <w:rPr>
          <w:lang w:val="fr-FR"/>
        </w:rPr>
        <w:t>’</w:t>
      </w:r>
      <w:r w:rsidRPr="00686D5A">
        <w:rPr>
          <w:lang w:val="fr-FR"/>
        </w:rPr>
        <w:t>OMPI fait l</w:t>
      </w:r>
      <w:r w:rsidR="00D565F4">
        <w:rPr>
          <w:lang w:val="fr-FR"/>
        </w:rPr>
        <w:t>’</w:t>
      </w:r>
      <w:r w:rsidRPr="00686D5A">
        <w:rPr>
          <w:lang w:val="fr-FR"/>
        </w:rPr>
        <w:t>objet d</w:t>
      </w:r>
      <w:r w:rsidR="00D565F4">
        <w:rPr>
          <w:lang w:val="fr-FR"/>
        </w:rPr>
        <w:t>’</w:t>
      </w:r>
      <w:r w:rsidRPr="00686D5A">
        <w:rPr>
          <w:lang w:val="fr-FR"/>
        </w:rPr>
        <w:t>un suivi régulier de la part de</w:t>
      </w:r>
      <w:r w:rsidR="00D565F4" w:rsidRPr="00686D5A">
        <w:rPr>
          <w:lang w:val="fr-FR"/>
        </w:rPr>
        <w:t xml:space="preserve"> la</w:t>
      </w:r>
      <w:r w:rsidR="00D565F4">
        <w:rPr>
          <w:lang w:val="fr-FR"/>
        </w:rPr>
        <w:t> DAS</w:t>
      </w:r>
      <w:r w:rsidR="00E90725">
        <w:rPr>
          <w:lang w:val="fr-FR"/>
        </w:rPr>
        <w:t>I</w:t>
      </w:r>
      <w:r w:rsidRPr="00686D5A">
        <w:rPr>
          <w:rStyle w:val="FootnoteReference"/>
          <w:szCs w:val="22"/>
          <w:lang w:val="fr-FR"/>
        </w:rPr>
        <w:footnoteReference w:id="13"/>
      </w:r>
      <w:r w:rsidRPr="00686D5A">
        <w:rPr>
          <w:lang w:val="fr-FR"/>
        </w:rPr>
        <w:t>.</w:t>
      </w:r>
    </w:p>
    <w:p w:rsidR="009A7E4C" w:rsidRPr="00686D5A" w:rsidRDefault="009A7E4C" w:rsidP="008414E9">
      <w:pPr>
        <w:pStyle w:val="Caption"/>
        <w:keepNext/>
        <w:keepLines/>
        <w:spacing w:after="120"/>
        <w:jc w:val="center"/>
        <w:rPr>
          <w:lang w:val="fr-FR"/>
        </w:rPr>
      </w:pPr>
      <w:r w:rsidRPr="00686D5A">
        <w:rPr>
          <w:lang w:val="fr-FR"/>
        </w:rPr>
        <w:t>Diagramme </w:t>
      </w:r>
      <w:r w:rsidRPr="00686D5A">
        <w:rPr>
          <w:lang w:val="fr-FR"/>
        </w:rPr>
        <w:fldChar w:fldCharType="begin"/>
      </w:r>
      <w:r w:rsidRPr="00686D5A">
        <w:rPr>
          <w:lang w:val="fr-FR"/>
        </w:rPr>
        <w:instrText xml:space="preserve"> SEQ Chart \* ARABIC </w:instrText>
      </w:r>
      <w:r w:rsidRPr="00686D5A">
        <w:rPr>
          <w:lang w:val="fr-FR"/>
        </w:rPr>
        <w:fldChar w:fldCharType="separate"/>
      </w:r>
      <w:r w:rsidR="00D74313">
        <w:rPr>
          <w:noProof/>
          <w:lang w:val="fr-FR"/>
        </w:rPr>
        <w:t>1</w:t>
      </w:r>
      <w:r w:rsidRPr="00686D5A">
        <w:rPr>
          <w:lang w:val="fr-FR"/>
        </w:rPr>
        <w:fldChar w:fldCharType="end"/>
      </w:r>
      <w:r w:rsidRPr="00686D5A">
        <w:rPr>
          <w:lang w:val="fr-FR"/>
        </w:rPr>
        <w:t xml:space="preserve"> – Recommandations par priorité – 30 </w:t>
      </w:r>
      <w:r w:rsidR="00E11857" w:rsidRPr="00686D5A">
        <w:rPr>
          <w:lang w:val="fr-FR"/>
        </w:rPr>
        <w:t>juin 20</w:t>
      </w:r>
      <w:r w:rsidRPr="00686D5A">
        <w:rPr>
          <w:lang w:val="fr-FR"/>
        </w:rPr>
        <w:t>14</w:t>
      </w:r>
    </w:p>
    <w:p w:rsidR="009A7E4C" w:rsidRPr="00686D5A" w:rsidRDefault="00D7054D" w:rsidP="008414E9">
      <w:pPr>
        <w:jc w:val="center"/>
        <w:rPr>
          <w:lang w:val="fr-FR" w:eastAsia="fr-FR"/>
        </w:rPr>
      </w:pPr>
      <w:r w:rsidRPr="00D7054D">
        <w:rPr>
          <w:noProof/>
          <w:lang w:eastAsia="en-US"/>
        </w:rPr>
        <w:drawing>
          <wp:inline distT="0" distB="0" distL="0" distR="0" wp14:anchorId="0CD5542B" wp14:editId="6F0AACB1">
            <wp:extent cx="4264334" cy="2182969"/>
            <wp:effectExtent l="19050" t="19050" r="22225" b="273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65221" cy="2183423"/>
                    </a:xfrm>
                    <a:prstGeom prst="rect">
                      <a:avLst/>
                    </a:prstGeom>
                    <a:noFill/>
                    <a:ln>
                      <a:solidFill>
                        <a:schemeClr val="bg1">
                          <a:lumMod val="50000"/>
                        </a:schemeClr>
                      </a:solidFill>
                    </a:ln>
                  </pic:spPr>
                </pic:pic>
              </a:graphicData>
            </a:graphic>
          </wp:inline>
        </w:drawing>
      </w:r>
    </w:p>
    <w:p w:rsidR="00946C7E" w:rsidRPr="00686D5A" w:rsidRDefault="00946C7E" w:rsidP="00946C7E">
      <w:pPr>
        <w:rPr>
          <w:lang w:val="fr-FR"/>
        </w:rPr>
      </w:pPr>
    </w:p>
    <w:p w:rsidR="009A7E4C" w:rsidRPr="00686D5A" w:rsidRDefault="009A7E4C" w:rsidP="00946C7E">
      <w:pPr>
        <w:pStyle w:val="ONUMFS"/>
        <w:rPr>
          <w:lang w:val="fr-FR"/>
        </w:rPr>
      </w:pPr>
      <w:r w:rsidRPr="00686D5A">
        <w:rPr>
          <w:lang w:val="fr-FR"/>
        </w:rPr>
        <w:t>À la date d</w:t>
      </w:r>
      <w:r w:rsidR="00D565F4">
        <w:rPr>
          <w:lang w:val="fr-FR"/>
        </w:rPr>
        <w:t>’</w:t>
      </w:r>
      <w:r w:rsidRPr="00686D5A">
        <w:rPr>
          <w:lang w:val="fr-FR"/>
        </w:rPr>
        <w:t>établissement du présent rapport, 141 recommandations ont été déclarées en suspens par les chefs de programme, dont 95 font état d</w:t>
      </w:r>
      <w:r w:rsidR="00D565F4">
        <w:rPr>
          <w:lang w:val="fr-FR"/>
        </w:rPr>
        <w:t>’</w:t>
      </w:r>
      <w:r w:rsidRPr="00686D5A">
        <w:rPr>
          <w:lang w:val="fr-FR"/>
        </w:rPr>
        <w:t>un risque très élevé (deux) ou élevé (93).  Les deux</w:t>
      </w:r>
      <w:r w:rsidR="00413B67" w:rsidRPr="00686D5A">
        <w:rPr>
          <w:lang w:val="fr-FR"/>
        </w:rPr>
        <w:t> </w:t>
      </w:r>
      <w:r w:rsidRPr="00686D5A">
        <w:rPr>
          <w:lang w:val="fr-FR"/>
        </w:rPr>
        <w:t>recommandations faisant état de risques très élevés concernent essentiellement le contrôle des accès physiques aux locaux de l</w:t>
      </w:r>
      <w:r w:rsidR="00D565F4">
        <w:rPr>
          <w:lang w:val="fr-FR"/>
        </w:rPr>
        <w:t>’</w:t>
      </w:r>
      <w:r w:rsidRPr="00686D5A">
        <w:rPr>
          <w:lang w:val="fr-FR"/>
        </w:rPr>
        <w:t>OMPI et la prévention des fraudes au niveau du système des badges.  Huit</w:t>
      </w:r>
      <w:r w:rsidR="00413B67" w:rsidRPr="00686D5A">
        <w:rPr>
          <w:lang w:val="fr-FR"/>
        </w:rPr>
        <w:t> </w:t>
      </w:r>
      <w:r w:rsidRPr="00686D5A">
        <w:rPr>
          <w:lang w:val="fr-FR"/>
        </w:rPr>
        <w:t>(soit 8,4%) des recommandations faisant état de risques élevés ou très élevés sont en suspens depuis plus de deux</w:t>
      </w:r>
      <w:r w:rsidR="00413B67" w:rsidRPr="00686D5A">
        <w:rPr>
          <w:lang w:val="fr-FR"/>
        </w:rPr>
        <w:t> </w:t>
      </w:r>
      <w:r w:rsidRPr="00686D5A">
        <w:rPr>
          <w:lang w:val="fr-FR"/>
        </w:rPr>
        <w:t>ans (diagramme 2).</w:t>
      </w:r>
    </w:p>
    <w:p w:rsidR="009A7E4C" w:rsidRPr="00686D5A" w:rsidRDefault="009A7E4C" w:rsidP="008414E9">
      <w:pPr>
        <w:pStyle w:val="Caption"/>
        <w:keepNext/>
        <w:keepLines/>
        <w:spacing w:after="120"/>
        <w:jc w:val="center"/>
        <w:rPr>
          <w:lang w:val="fr-FR"/>
        </w:rPr>
      </w:pPr>
      <w:r w:rsidRPr="00686D5A">
        <w:rPr>
          <w:lang w:val="fr-FR"/>
        </w:rPr>
        <w:lastRenderedPageBreak/>
        <w:t>Diagramme </w:t>
      </w:r>
      <w:r w:rsidRPr="00686D5A">
        <w:rPr>
          <w:lang w:val="fr-FR"/>
        </w:rPr>
        <w:fldChar w:fldCharType="begin"/>
      </w:r>
      <w:r w:rsidRPr="00686D5A">
        <w:rPr>
          <w:lang w:val="fr-FR"/>
        </w:rPr>
        <w:instrText xml:space="preserve"> SEQ Chart \* ARABIC </w:instrText>
      </w:r>
      <w:r w:rsidRPr="00686D5A">
        <w:rPr>
          <w:lang w:val="fr-FR"/>
        </w:rPr>
        <w:fldChar w:fldCharType="separate"/>
      </w:r>
      <w:r w:rsidR="00D74313">
        <w:rPr>
          <w:noProof/>
          <w:lang w:val="fr-FR"/>
        </w:rPr>
        <w:t>2</w:t>
      </w:r>
      <w:r w:rsidRPr="00686D5A">
        <w:rPr>
          <w:lang w:val="fr-FR"/>
        </w:rPr>
        <w:fldChar w:fldCharType="end"/>
      </w:r>
      <w:r w:rsidRPr="00686D5A">
        <w:rPr>
          <w:lang w:val="fr-FR"/>
        </w:rPr>
        <w:t xml:space="preserve"> – Suivi des recommandations relatives à la supervision – 30 </w:t>
      </w:r>
      <w:r w:rsidR="00E11857" w:rsidRPr="00686D5A">
        <w:rPr>
          <w:lang w:val="fr-FR"/>
        </w:rPr>
        <w:t>juin 20</w:t>
      </w:r>
      <w:r w:rsidRPr="00686D5A">
        <w:rPr>
          <w:lang w:val="fr-FR"/>
        </w:rPr>
        <w:t>14</w:t>
      </w:r>
    </w:p>
    <w:p w:rsidR="009A7E4C" w:rsidRPr="00686D5A" w:rsidRDefault="00D7054D" w:rsidP="001E429A">
      <w:pPr>
        <w:rPr>
          <w:lang w:val="fr-FR" w:eastAsia="fr-FR"/>
        </w:rPr>
      </w:pPr>
      <w:r w:rsidRPr="00D7054D">
        <w:rPr>
          <w:noProof/>
          <w:lang w:eastAsia="en-US"/>
        </w:rPr>
        <w:drawing>
          <wp:inline distT="0" distB="0" distL="0" distR="0" wp14:anchorId="078FEF8D" wp14:editId="37E5A141">
            <wp:extent cx="6342692" cy="2118575"/>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44619" cy="2119219"/>
                    </a:xfrm>
                    <a:prstGeom prst="rect">
                      <a:avLst/>
                    </a:prstGeom>
                    <a:noFill/>
                    <a:ln>
                      <a:noFill/>
                    </a:ln>
                  </pic:spPr>
                </pic:pic>
              </a:graphicData>
            </a:graphic>
          </wp:inline>
        </w:drawing>
      </w:r>
    </w:p>
    <w:p w:rsidR="00946C7E" w:rsidRPr="00686D5A" w:rsidRDefault="00946C7E" w:rsidP="00946C7E">
      <w:pPr>
        <w:rPr>
          <w:lang w:val="fr-FR"/>
        </w:rPr>
      </w:pPr>
    </w:p>
    <w:p w:rsidR="009A7E4C" w:rsidRPr="00686D5A" w:rsidRDefault="009A7E4C" w:rsidP="00946C7E">
      <w:pPr>
        <w:pStyle w:val="ONUMFS"/>
        <w:rPr>
          <w:lang w:val="fr-FR"/>
        </w:rPr>
      </w:pPr>
      <w:r w:rsidRPr="00686D5A">
        <w:rPr>
          <w:lang w:val="fr-FR"/>
        </w:rPr>
        <w:t>Depuis le rapport de synthèse annuel pour 2012</w:t>
      </w:r>
      <w:r w:rsidRPr="00686D5A">
        <w:rPr>
          <w:rStyle w:val="FootnoteReference"/>
          <w:szCs w:val="22"/>
          <w:lang w:val="fr-FR"/>
        </w:rPr>
        <w:footnoteReference w:id="14"/>
      </w:r>
      <w:r w:rsidRPr="00686D5A">
        <w:rPr>
          <w:lang w:val="fr-FR"/>
        </w:rPr>
        <w:t>,</w:t>
      </w:r>
      <w:r w:rsidR="00D565F4" w:rsidRPr="00686D5A">
        <w:rPr>
          <w:lang w:val="fr-FR"/>
        </w:rPr>
        <w:t xml:space="preserve"> la</w:t>
      </w:r>
      <w:r w:rsidR="00D565F4">
        <w:rPr>
          <w:lang w:val="fr-FR"/>
        </w:rPr>
        <w:t> DAS</w:t>
      </w:r>
      <w:r w:rsidR="00E90725">
        <w:rPr>
          <w:lang w:val="fr-FR"/>
        </w:rPr>
        <w:t>I</w:t>
      </w:r>
      <w:r w:rsidRPr="00686D5A">
        <w:rPr>
          <w:lang w:val="fr-FR"/>
        </w:rPr>
        <w:t xml:space="preserve"> utilise un système Internet de gestion des recommandations dénommé </w:t>
      </w:r>
      <w:proofErr w:type="spellStart"/>
      <w:r w:rsidRPr="00686D5A">
        <w:rPr>
          <w:lang w:val="fr-FR"/>
        </w:rPr>
        <w:t>TeamCentral</w:t>
      </w:r>
      <w:proofErr w:type="spellEnd"/>
      <w:r w:rsidRPr="00686D5A">
        <w:rPr>
          <w:vertAlign w:val="superscript"/>
          <w:lang w:val="fr-FR"/>
        </w:rPr>
        <w:t>©</w:t>
      </w:r>
      <w:r w:rsidRPr="00686D5A">
        <w:rPr>
          <w:rFonts w:eastAsia="Times New Roman"/>
          <w:lang w:val="fr-FR" w:eastAsia="fr-FR"/>
        </w:rPr>
        <w:t xml:space="preserve">. </w:t>
      </w:r>
      <w:r w:rsidR="00D565F4" w:rsidRPr="00686D5A">
        <w:rPr>
          <w:rFonts w:eastAsia="Times New Roman"/>
          <w:lang w:val="fr-FR" w:eastAsia="fr-FR"/>
        </w:rPr>
        <w:t xml:space="preserve"> La</w:t>
      </w:r>
      <w:r w:rsidR="00D565F4">
        <w:rPr>
          <w:rFonts w:eastAsia="Times New Roman"/>
          <w:lang w:val="fr-FR" w:eastAsia="fr-FR"/>
        </w:rPr>
        <w:t> DAS</w:t>
      </w:r>
      <w:r w:rsidR="00E90725">
        <w:rPr>
          <w:rFonts w:eastAsia="Times New Roman"/>
          <w:lang w:val="fr-FR" w:eastAsia="fr-FR"/>
        </w:rPr>
        <w:t>I</w:t>
      </w:r>
      <w:r w:rsidRPr="00686D5A">
        <w:rPr>
          <w:rFonts w:eastAsia="Times New Roman"/>
          <w:lang w:val="fr-FR" w:eastAsia="fr-FR"/>
        </w:rPr>
        <w:t xml:space="preserve"> continue d</w:t>
      </w:r>
      <w:r w:rsidR="00D565F4">
        <w:rPr>
          <w:rFonts w:eastAsia="Times New Roman"/>
          <w:lang w:val="fr-FR" w:eastAsia="fr-FR"/>
        </w:rPr>
        <w:t>’</w:t>
      </w:r>
      <w:r w:rsidRPr="00686D5A">
        <w:rPr>
          <w:rFonts w:eastAsia="Times New Roman"/>
          <w:lang w:val="fr-FR" w:eastAsia="fr-FR"/>
        </w:rPr>
        <w:t>utiliser ce logiciel afin de faciliter le dialogue permanent avec les chefs de programme et leurs délégués en ce qui concerne la mise en œuvre des recommandations</w:t>
      </w:r>
      <w:r w:rsidRPr="00686D5A">
        <w:rPr>
          <w:lang w:val="fr-FR"/>
        </w:rPr>
        <w:t>.</w:t>
      </w:r>
    </w:p>
    <w:p w:rsidR="00946C7E" w:rsidRPr="00686D5A" w:rsidRDefault="00946C7E" w:rsidP="00946C7E">
      <w:pPr>
        <w:rPr>
          <w:lang w:val="fr-FR"/>
        </w:rPr>
      </w:pPr>
    </w:p>
    <w:p w:rsidR="009A7E4C" w:rsidRPr="00686D5A" w:rsidRDefault="009A7E4C" w:rsidP="00263055">
      <w:pPr>
        <w:pStyle w:val="Caption"/>
        <w:keepNext/>
        <w:keepLines/>
        <w:spacing w:after="120"/>
        <w:jc w:val="center"/>
        <w:rPr>
          <w:lang w:val="fr-FR"/>
        </w:rPr>
      </w:pPr>
      <w:r w:rsidRPr="00686D5A">
        <w:rPr>
          <w:lang w:val="fr-FR"/>
        </w:rPr>
        <w:t xml:space="preserve">Diagramme </w:t>
      </w:r>
      <w:r w:rsidRPr="00686D5A">
        <w:rPr>
          <w:lang w:val="fr-FR"/>
        </w:rPr>
        <w:fldChar w:fldCharType="begin"/>
      </w:r>
      <w:r w:rsidRPr="00686D5A">
        <w:rPr>
          <w:lang w:val="fr-FR"/>
        </w:rPr>
        <w:instrText xml:space="preserve"> SEQ Chart \* ARABIC </w:instrText>
      </w:r>
      <w:r w:rsidRPr="00686D5A">
        <w:rPr>
          <w:lang w:val="fr-FR"/>
        </w:rPr>
        <w:fldChar w:fldCharType="separate"/>
      </w:r>
      <w:r w:rsidR="00D74313">
        <w:rPr>
          <w:noProof/>
          <w:lang w:val="fr-FR"/>
        </w:rPr>
        <w:t>3</w:t>
      </w:r>
      <w:r w:rsidRPr="00686D5A">
        <w:rPr>
          <w:lang w:val="fr-FR"/>
        </w:rPr>
        <w:fldChar w:fldCharType="end"/>
      </w:r>
      <w:r w:rsidRPr="00686D5A">
        <w:rPr>
          <w:lang w:val="fr-FR"/>
        </w:rPr>
        <w:t xml:space="preserve"> – Recommandations dans le système </w:t>
      </w:r>
      <w:proofErr w:type="spellStart"/>
      <w:r w:rsidRPr="00686D5A">
        <w:rPr>
          <w:lang w:val="fr-FR"/>
        </w:rPr>
        <w:t>TeamCentral</w:t>
      </w:r>
      <w:proofErr w:type="spellEnd"/>
      <w:r w:rsidRPr="00686D5A">
        <w:rPr>
          <w:vertAlign w:val="superscript"/>
          <w:lang w:val="fr-FR"/>
        </w:rPr>
        <w:t>©</w:t>
      </w:r>
      <w:r w:rsidRPr="00686D5A">
        <w:rPr>
          <w:lang w:val="fr-FR"/>
        </w:rPr>
        <w:t xml:space="preserve"> par source – 30 </w:t>
      </w:r>
      <w:r w:rsidR="00E11857" w:rsidRPr="00686D5A">
        <w:rPr>
          <w:lang w:val="fr-FR"/>
        </w:rPr>
        <w:t>juin 20</w:t>
      </w:r>
      <w:r w:rsidRPr="00686D5A">
        <w:rPr>
          <w:lang w:val="fr-FR"/>
        </w:rPr>
        <w:t>14</w:t>
      </w:r>
    </w:p>
    <w:p w:rsidR="00D565F4" w:rsidRDefault="00E90725" w:rsidP="001F4E1C">
      <w:pPr>
        <w:pStyle w:val="ONUME"/>
        <w:keepLines/>
        <w:numPr>
          <w:ilvl w:val="0"/>
          <w:numId w:val="0"/>
        </w:numPr>
        <w:spacing w:before="240"/>
        <w:jc w:val="center"/>
      </w:pPr>
      <w:r w:rsidRPr="00E90725">
        <w:rPr>
          <w:noProof/>
          <w:lang w:val="en-US" w:eastAsia="en-US"/>
        </w:rPr>
        <w:drawing>
          <wp:inline distT="0" distB="0" distL="0" distR="0" wp14:anchorId="7F681AD1" wp14:editId="57D9CCD2">
            <wp:extent cx="2189408" cy="131486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5445" cy="1318486"/>
                    </a:xfrm>
                    <a:prstGeom prst="rect">
                      <a:avLst/>
                    </a:prstGeom>
                    <a:noFill/>
                    <a:ln>
                      <a:noFill/>
                    </a:ln>
                  </pic:spPr>
                </pic:pic>
              </a:graphicData>
            </a:graphic>
          </wp:inline>
        </w:drawing>
      </w:r>
    </w:p>
    <w:p w:rsidR="009A7E4C" w:rsidRPr="00686D5A" w:rsidRDefault="009A7E4C" w:rsidP="00946C7E">
      <w:pPr>
        <w:pStyle w:val="ONUMFS"/>
        <w:rPr>
          <w:lang w:val="fr-FR"/>
        </w:rPr>
      </w:pPr>
      <w:r w:rsidRPr="00686D5A">
        <w:rPr>
          <w:lang w:val="fr-FR"/>
        </w:rPr>
        <w:t>Le vérificateur externe des comptes utilise le même outil pour assurer le suivi des recommandations issues de la vérification externe des comptes.  Ce système unique simplifie le processus de suivi.</w:t>
      </w:r>
    </w:p>
    <w:p w:rsidR="009A7E4C" w:rsidRPr="00686D5A" w:rsidRDefault="009A7E4C" w:rsidP="00946C7E">
      <w:pPr>
        <w:pStyle w:val="ONUMFS"/>
        <w:rPr>
          <w:lang w:val="fr-FR"/>
        </w:rPr>
      </w:pPr>
      <w:r w:rsidRPr="00686D5A">
        <w:rPr>
          <w:lang w:val="fr-FR"/>
        </w:rPr>
        <w:t>Comme l</w:t>
      </w:r>
      <w:r w:rsidR="00D565F4">
        <w:rPr>
          <w:lang w:val="fr-FR"/>
        </w:rPr>
        <w:t>’</w:t>
      </w:r>
      <w:r w:rsidRPr="00686D5A">
        <w:rPr>
          <w:lang w:val="fr-FR"/>
        </w:rPr>
        <w:t>indique le diagramme 4, les programmes intersectoriels et de services d</w:t>
      </w:r>
      <w:r w:rsidR="00D565F4">
        <w:rPr>
          <w:lang w:val="fr-FR"/>
        </w:rPr>
        <w:t>’</w:t>
      </w:r>
      <w:r w:rsidRPr="00686D5A">
        <w:rPr>
          <w:lang w:val="fr-FR"/>
        </w:rPr>
        <w:t>appui ont un grand nombre de recommandations en suspens.  De même, les programmes récemment audités par</w:t>
      </w:r>
      <w:r w:rsidR="00D565F4" w:rsidRPr="00686D5A">
        <w:rPr>
          <w:lang w:val="fr-FR"/>
        </w:rPr>
        <w:t xml:space="preserve"> la</w:t>
      </w:r>
      <w:r w:rsidR="00D565F4">
        <w:rPr>
          <w:lang w:val="fr-FR"/>
        </w:rPr>
        <w:t> DAS</w:t>
      </w:r>
      <w:r w:rsidR="00E90725">
        <w:rPr>
          <w:lang w:val="fr-FR"/>
        </w:rPr>
        <w:t>I</w:t>
      </w:r>
      <w:r w:rsidRPr="00686D5A">
        <w:rPr>
          <w:lang w:val="fr-FR"/>
        </w:rPr>
        <w:t xml:space="preserve"> et le vérificateur externe des comptes, tels que</w:t>
      </w:r>
      <w:r w:rsidR="00E11857" w:rsidRPr="00686D5A">
        <w:rPr>
          <w:lang w:val="fr-FR"/>
        </w:rPr>
        <w:t xml:space="preserve"> le PCT</w:t>
      </w:r>
      <w:r w:rsidRPr="00686D5A">
        <w:rPr>
          <w:lang w:val="fr-FR"/>
        </w:rPr>
        <w:t xml:space="preserve"> ou les systèmes de Madrid et de La Haye, doivent donner suite à un nombre important de recommandations en suspens.</w:t>
      </w:r>
    </w:p>
    <w:p w:rsidR="009A7E4C" w:rsidRPr="00686D5A" w:rsidRDefault="009A7E4C" w:rsidP="008414E9">
      <w:pPr>
        <w:pStyle w:val="Caption"/>
        <w:keepNext/>
        <w:keepLines/>
        <w:spacing w:after="120"/>
        <w:jc w:val="center"/>
        <w:rPr>
          <w:lang w:val="fr-FR"/>
        </w:rPr>
      </w:pPr>
      <w:r w:rsidRPr="00686D5A">
        <w:rPr>
          <w:lang w:val="fr-FR"/>
        </w:rPr>
        <w:lastRenderedPageBreak/>
        <w:t>Diagramme </w:t>
      </w:r>
      <w:r w:rsidRPr="00686D5A">
        <w:rPr>
          <w:lang w:val="fr-FR"/>
        </w:rPr>
        <w:fldChar w:fldCharType="begin"/>
      </w:r>
      <w:r w:rsidRPr="00686D5A">
        <w:rPr>
          <w:lang w:val="fr-FR"/>
        </w:rPr>
        <w:instrText xml:space="preserve"> SEQ Chart \* ARABIC </w:instrText>
      </w:r>
      <w:r w:rsidRPr="00686D5A">
        <w:rPr>
          <w:lang w:val="fr-FR"/>
        </w:rPr>
        <w:fldChar w:fldCharType="separate"/>
      </w:r>
      <w:r w:rsidR="00D74313">
        <w:rPr>
          <w:noProof/>
          <w:lang w:val="fr-FR"/>
        </w:rPr>
        <w:t>4</w:t>
      </w:r>
      <w:r w:rsidRPr="00686D5A">
        <w:rPr>
          <w:lang w:val="fr-FR"/>
        </w:rPr>
        <w:fldChar w:fldCharType="end"/>
      </w:r>
      <w:r w:rsidRPr="00686D5A">
        <w:rPr>
          <w:lang w:val="fr-FR"/>
        </w:rPr>
        <w:t xml:space="preserve"> – Recommandations en suspens par programme</w:t>
      </w:r>
      <w:r w:rsidRPr="00686D5A">
        <w:rPr>
          <w:rStyle w:val="FootnoteReference"/>
          <w:lang w:val="fr-FR"/>
        </w:rPr>
        <w:footnoteReference w:id="15"/>
      </w:r>
    </w:p>
    <w:p w:rsidR="009A7E4C" w:rsidRPr="00686D5A" w:rsidRDefault="00E90725" w:rsidP="008414E9">
      <w:pPr>
        <w:jc w:val="center"/>
        <w:rPr>
          <w:lang w:val="fr-FR" w:eastAsia="fr-FR"/>
        </w:rPr>
      </w:pPr>
      <w:r w:rsidRPr="00E90725">
        <w:rPr>
          <w:noProof/>
          <w:lang w:eastAsia="en-US"/>
        </w:rPr>
        <w:drawing>
          <wp:inline distT="0" distB="0" distL="0" distR="0" wp14:anchorId="599368BB" wp14:editId="0725C2FA">
            <wp:extent cx="6031966" cy="3925466"/>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38289" cy="3929581"/>
                    </a:xfrm>
                    <a:prstGeom prst="rect">
                      <a:avLst/>
                    </a:prstGeom>
                    <a:noFill/>
                    <a:ln>
                      <a:noFill/>
                    </a:ln>
                  </pic:spPr>
                </pic:pic>
              </a:graphicData>
            </a:graphic>
          </wp:inline>
        </w:drawing>
      </w:r>
    </w:p>
    <w:p w:rsidR="00946C7E" w:rsidRPr="00686D5A" w:rsidRDefault="00946C7E" w:rsidP="00946C7E">
      <w:pPr>
        <w:rPr>
          <w:lang w:val="fr-FR"/>
        </w:rPr>
      </w:pPr>
    </w:p>
    <w:p w:rsidR="009A7E4C" w:rsidRPr="00686D5A" w:rsidRDefault="009A7E4C" w:rsidP="00946C7E">
      <w:pPr>
        <w:pStyle w:val="ONUMFS"/>
        <w:rPr>
          <w:lang w:val="fr-FR"/>
        </w:rPr>
      </w:pPr>
      <w:r w:rsidRPr="00686D5A">
        <w:rPr>
          <w:lang w:val="fr-FR"/>
        </w:rPr>
        <w:t>Conformément à la Charte de la supervision interne, le présent rapport de synthèse annuel doit contenir “</w:t>
      </w:r>
      <w:r w:rsidRPr="00D124F2">
        <w:rPr>
          <w:lang w:val="fr-FR"/>
        </w:rPr>
        <w:t>la description de toutes les recommandations qui n</w:t>
      </w:r>
      <w:r w:rsidR="00D565F4">
        <w:rPr>
          <w:lang w:val="fr-FR"/>
        </w:rPr>
        <w:t>’</w:t>
      </w:r>
      <w:r w:rsidRPr="00D124F2">
        <w:rPr>
          <w:lang w:val="fr-FR"/>
        </w:rPr>
        <w:t>ont pas été approuvées par le Directeur général ainsi que l</w:t>
      </w:r>
      <w:r w:rsidR="00D565F4">
        <w:rPr>
          <w:lang w:val="fr-FR"/>
        </w:rPr>
        <w:t>’</w:t>
      </w:r>
      <w:r w:rsidRPr="00D124F2">
        <w:rPr>
          <w:lang w:val="fr-FR"/>
        </w:rPr>
        <w:t>indication de ses raisons à cet égard</w:t>
      </w:r>
      <w:r w:rsidRPr="00686D5A">
        <w:rPr>
          <w:lang w:val="fr-FR"/>
        </w:rPr>
        <w:t>”.  L</w:t>
      </w:r>
      <w:r w:rsidR="00D565F4">
        <w:rPr>
          <w:lang w:val="fr-FR"/>
        </w:rPr>
        <w:t>’</w:t>
      </w:r>
      <w:r w:rsidRPr="00686D5A">
        <w:rPr>
          <w:lang w:val="fr-FR"/>
        </w:rPr>
        <w:t>annexe IV contient la seule recommandation clôturée au cours de la période considérée sans avoir été mise en œuvre, en indiquant les raisons de cet état de fait.</w:t>
      </w:r>
    </w:p>
    <w:p w:rsidR="009A7E4C" w:rsidRPr="00686D5A" w:rsidRDefault="00946C7E" w:rsidP="00946C7E">
      <w:pPr>
        <w:pStyle w:val="Heading1"/>
        <w:keepLines/>
        <w:rPr>
          <w:lang w:val="fr-FR"/>
        </w:rPr>
      </w:pPr>
      <w:bookmarkStart w:id="12" w:name="_Toc393891969"/>
      <w:r w:rsidRPr="00686D5A">
        <w:rPr>
          <w:lang w:val="fr-FR"/>
        </w:rPr>
        <w:t>Évaluation externe des activités de la Division de l</w:t>
      </w:r>
      <w:r w:rsidR="00D565F4">
        <w:rPr>
          <w:lang w:val="fr-FR"/>
        </w:rPr>
        <w:t>’</w:t>
      </w:r>
      <w:r w:rsidRPr="00686D5A">
        <w:rPr>
          <w:lang w:val="fr-FR"/>
        </w:rPr>
        <w:t>audit et de la supervision internes</w:t>
      </w:r>
      <w:bookmarkEnd w:id="12"/>
    </w:p>
    <w:p w:rsidR="009A7E4C" w:rsidRPr="00686D5A" w:rsidRDefault="009A7E4C" w:rsidP="00946C7E">
      <w:pPr>
        <w:pStyle w:val="ONUMFS"/>
        <w:keepNext/>
        <w:keepLines/>
        <w:rPr>
          <w:lang w:val="fr-FR"/>
        </w:rPr>
      </w:pPr>
      <w:r w:rsidRPr="00686D5A">
        <w:rPr>
          <w:lang w:val="fr-FR"/>
        </w:rPr>
        <w:t>Conformément à la Charte de la supervision interne et aux normes internationales,</w:t>
      </w:r>
      <w:r w:rsidR="00D565F4" w:rsidRPr="00686D5A">
        <w:rPr>
          <w:lang w:val="fr-FR"/>
        </w:rPr>
        <w:t xml:space="preserve"> la</w:t>
      </w:r>
      <w:r w:rsidR="00D565F4">
        <w:rPr>
          <w:lang w:val="fr-FR"/>
        </w:rPr>
        <w:t> DAS</w:t>
      </w:r>
      <w:r w:rsidR="00E90725">
        <w:rPr>
          <w:lang w:val="fr-FR"/>
        </w:rPr>
        <w:t>I</w:t>
      </w:r>
      <w:r w:rsidRPr="00686D5A">
        <w:rPr>
          <w:lang w:val="fr-FR"/>
        </w:rPr>
        <w:t xml:space="preserve"> a demandé à des experts extérieurs d</w:t>
      </w:r>
      <w:r w:rsidR="00D565F4">
        <w:rPr>
          <w:lang w:val="fr-FR"/>
        </w:rPr>
        <w:t>’</w:t>
      </w:r>
      <w:r w:rsidRPr="00686D5A">
        <w:rPr>
          <w:lang w:val="fr-FR"/>
        </w:rPr>
        <w:t>analyser ses fonctions d</w:t>
      </w:r>
      <w:r w:rsidR="00D565F4">
        <w:rPr>
          <w:lang w:val="fr-FR"/>
        </w:rPr>
        <w:t>’</w:t>
      </w:r>
      <w:r w:rsidRPr="00686D5A">
        <w:rPr>
          <w:lang w:val="fr-FR"/>
        </w:rPr>
        <w:t>audit interne et d</w:t>
      </w:r>
      <w:r w:rsidR="00D565F4">
        <w:rPr>
          <w:lang w:val="fr-FR"/>
        </w:rPr>
        <w:t>’</w:t>
      </w:r>
      <w:r w:rsidRPr="00686D5A">
        <w:rPr>
          <w:lang w:val="fr-FR"/>
        </w:rPr>
        <w:t>évaluation.</w:t>
      </w:r>
    </w:p>
    <w:p w:rsidR="009A7E4C" w:rsidRPr="00686D5A" w:rsidRDefault="009A7E4C" w:rsidP="00946C7E">
      <w:pPr>
        <w:pStyle w:val="ONUMFS"/>
        <w:rPr>
          <w:lang w:val="fr-FR"/>
        </w:rPr>
      </w:pPr>
      <w:r w:rsidRPr="00686D5A">
        <w:rPr>
          <w:lang w:val="fr-FR"/>
        </w:rPr>
        <w:t>L</w:t>
      </w:r>
      <w:r w:rsidR="00D565F4">
        <w:rPr>
          <w:lang w:val="fr-FR"/>
        </w:rPr>
        <w:t>’</w:t>
      </w:r>
      <w:r w:rsidRPr="00686D5A">
        <w:rPr>
          <w:lang w:val="fr-FR"/>
        </w:rPr>
        <w:t>Institut des auditeurs internes a procédé à l</w:t>
      </w:r>
      <w:r w:rsidR="00D565F4">
        <w:rPr>
          <w:lang w:val="fr-FR"/>
        </w:rPr>
        <w:t>’</w:t>
      </w:r>
      <w:r w:rsidRPr="00686D5A">
        <w:rPr>
          <w:lang w:val="fr-FR"/>
        </w:rPr>
        <w:t>évaluation de la fonction d</w:t>
      </w:r>
      <w:r w:rsidR="00D565F4">
        <w:rPr>
          <w:lang w:val="fr-FR"/>
        </w:rPr>
        <w:t>’</w:t>
      </w:r>
      <w:r w:rsidRPr="00686D5A">
        <w:rPr>
          <w:lang w:val="fr-FR"/>
        </w:rPr>
        <w:t>audit interne et a conclu que</w:t>
      </w:r>
      <w:r w:rsidR="00D565F4" w:rsidRPr="00686D5A">
        <w:rPr>
          <w:lang w:val="fr-FR"/>
        </w:rPr>
        <w:t xml:space="preserve"> la</w:t>
      </w:r>
      <w:r w:rsidR="00D565F4">
        <w:rPr>
          <w:lang w:val="fr-FR"/>
        </w:rPr>
        <w:t> DAS</w:t>
      </w:r>
      <w:r w:rsidR="00E90725">
        <w:rPr>
          <w:lang w:val="fr-FR"/>
        </w:rPr>
        <w:t>I</w:t>
      </w:r>
      <w:r w:rsidRPr="00686D5A">
        <w:rPr>
          <w:lang w:val="fr-FR"/>
        </w:rPr>
        <w:t xml:space="preserve"> se conformait pour l</w:t>
      </w:r>
      <w:r w:rsidR="00D565F4">
        <w:rPr>
          <w:lang w:val="fr-FR"/>
        </w:rPr>
        <w:t>’</w:t>
      </w:r>
      <w:r w:rsidRPr="00686D5A">
        <w:rPr>
          <w:lang w:val="fr-FR"/>
        </w:rPr>
        <w:t>essentiel aux normes, au code de déontologie et à la définition de l</w:t>
      </w:r>
      <w:r w:rsidR="00D565F4">
        <w:rPr>
          <w:lang w:val="fr-FR"/>
        </w:rPr>
        <w:t>’</w:t>
      </w:r>
      <w:r w:rsidRPr="00686D5A">
        <w:rPr>
          <w:lang w:val="fr-FR"/>
        </w:rPr>
        <w:t>audit interne.  Le Manuel d</w:t>
      </w:r>
      <w:r w:rsidR="00D565F4">
        <w:rPr>
          <w:lang w:val="fr-FR"/>
        </w:rPr>
        <w:t>’</w:t>
      </w:r>
      <w:r w:rsidRPr="00686D5A">
        <w:rPr>
          <w:lang w:val="fr-FR"/>
        </w:rPr>
        <w:t>évaluation de la qualité de l</w:t>
      </w:r>
      <w:r w:rsidR="00D565F4">
        <w:rPr>
          <w:lang w:val="fr-FR"/>
        </w:rPr>
        <w:t>’</w:t>
      </w:r>
      <w:r w:rsidRPr="00686D5A">
        <w:rPr>
          <w:lang w:val="fr-FR"/>
        </w:rPr>
        <w:t>Institut des auditeurs internes propose une échelle de trois</w:t>
      </w:r>
      <w:r w:rsidR="00B859AA">
        <w:rPr>
          <w:lang w:val="fr-FR"/>
        </w:rPr>
        <w:t> </w:t>
      </w:r>
      <w:r w:rsidR="00A02402" w:rsidRPr="00686D5A">
        <w:rPr>
          <w:lang w:val="fr-FR"/>
        </w:rPr>
        <w:t>“</w:t>
      </w:r>
      <w:r w:rsidRPr="00686D5A">
        <w:rPr>
          <w:lang w:val="fr-FR"/>
        </w:rPr>
        <w:t>notes</w:t>
      </w:r>
      <w:r w:rsidR="00A02402" w:rsidRPr="00686D5A">
        <w:rPr>
          <w:lang w:val="fr-FR"/>
        </w:rPr>
        <w:t>”</w:t>
      </w:r>
      <w:r w:rsidRPr="00686D5A">
        <w:rPr>
          <w:lang w:val="fr-FR"/>
        </w:rPr>
        <w:t> : “se conforme pour l</w:t>
      </w:r>
      <w:r w:rsidR="00D565F4">
        <w:rPr>
          <w:lang w:val="fr-FR"/>
        </w:rPr>
        <w:t>’</w:t>
      </w:r>
      <w:r w:rsidRPr="00686D5A">
        <w:rPr>
          <w:lang w:val="fr-FR"/>
        </w:rPr>
        <w:t xml:space="preserve">essentiel”, “se conforme </w:t>
      </w:r>
      <w:r w:rsidRPr="00686D5A">
        <w:rPr>
          <w:lang w:val="fr-FR"/>
        </w:rPr>
        <w:lastRenderedPageBreak/>
        <w:t>partiellement” et “ne se conforme pas”.  “Se conforme pour l</w:t>
      </w:r>
      <w:r w:rsidR="00D565F4">
        <w:rPr>
          <w:lang w:val="fr-FR"/>
        </w:rPr>
        <w:t>’</w:t>
      </w:r>
      <w:r w:rsidRPr="00686D5A">
        <w:rPr>
          <w:lang w:val="fr-FR"/>
        </w:rPr>
        <w:t xml:space="preserve">essentiel”, la note maximale, signifie que les évaluateurs ont jugé que les structures, politiques et procédures pertinentes de </w:t>
      </w:r>
      <w:r w:rsidR="00295E4E">
        <w:rPr>
          <w:lang w:val="fr-FR"/>
        </w:rPr>
        <w:t>l</w:t>
      </w:r>
      <w:r w:rsidR="00D565F4">
        <w:rPr>
          <w:lang w:val="fr-FR"/>
        </w:rPr>
        <w:t>’</w:t>
      </w:r>
      <w:r w:rsidR="00295E4E">
        <w:rPr>
          <w:lang w:val="fr-FR"/>
        </w:rPr>
        <w:t>audit</w:t>
      </w:r>
      <w:r w:rsidRPr="00686D5A">
        <w:rPr>
          <w:lang w:val="fr-FR"/>
        </w:rPr>
        <w:t>, ainsi que les procédés qui permettent de les appliquer, répondaient, pour tous les éléments de caractère significatif, aux exigences des normes, du code de déontologie ou de la définition de l</w:t>
      </w:r>
      <w:r w:rsidR="00D565F4">
        <w:rPr>
          <w:lang w:val="fr-FR"/>
        </w:rPr>
        <w:t>’</w:t>
      </w:r>
      <w:r w:rsidRPr="00686D5A">
        <w:rPr>
          <w:lang w:val="fr-FR"/>
        </w:rPr>
        <w:t>audit interne.</w:t>
      </w:r>
    </w:p>
    <w:p w:rsidR="009A7E4C" w:rsidRPr="00686D5A" w:rsidRDefault="009A7E4C" w:rsidP="00946C7E">
      <w:pPr>
        <w:pStyle w:val="ONUMFS"/>
        <w:rPr>
          <w:lang w:val="fr-FR"/>
        </w:rPr>
      </w:pPr>
      <w:r w:rsidRPr="00686D5A">
        <w:rPr>
          <w:lang w:val="fr-FR"/>
        </w:rPr>
        <w:t>Un évaluateur externe accrédité a procédé à l</w:t>
      </w:r>
      <w:r w:rsidR="00D565F4">
        <w:rPr>
          <w:lang w:val="fr-FR"/>
        </w:rPr>
        <w:t>’</w:t>
      </w:r>
      <w:r w:rsidRPr="00686D5A">
        <w:rPr>
          <w:lang w:val="fr-FR"/>
        </w:rPr>
        <w:t>analyse de la fonction d</w:t>
      </w:r>
      <w:r w:rsidR="00D565F4">
        <w:rPr>
          <w:lang w:val="fr-FR"/>
        </w:rPr>
        <w:t>’</w:t>
      </w:r>
      <w:r w:rsidRPr="00686D5A">
        <w:rPr>
          <w:lang w:val="fr-FR"/>
        </w:rPr>
        <w:t>évaluation et a estimé que, dans l</w:t>
      </w:r>
      <w:r w:rsidR="00D565F4">
        <w:rPr>
          <w:lang w:val="fr-FR"/>
        </w:rPr>
        <w:t>’</w:t>
      </w:r>
      <w:r w:rsidRPr="00686D5A">
        <w:rPr>
          <w:lang w:val="fr-FR"/>
        </w:rPr>
        <w:t>ensemble, la fonction d</w:t>
      </w:r>
      <w:r w:rsidR="00D565F4">
        <w:rPr>
          <w:lang w:val="fr-FR"/>
        </w:rPr>
        <w:t>’</w:t>
      </w:r>
      <w:r w:rsidRPr="00686D5A">
        <w:rPr>
          <w:lang w:val="fr-FR"/>
        </w:rPr>
        <w:t>évaluation de</w:t>
      </w:r>
      <w:r w:rsidR="00D565F4" w:rsidRPr="00686D5A">
        <w:rPr>
          <w:lang w:val="fr-FR"/>
        </w:rPr>
        <w:t xml:space="preserve"> la</w:t>
      </w:r>
      <w:r w:rsidR="00D565F4">
        <w:rPr>
          <w:lang w:val="fr-FR"/>
        </w:rPr>
        <w:t> DAS</w:t>
      </w:r>
      <w:r w:rsidR="00E90725">
        <w:rPr>
          <w:lang w:val="fr-FR"/>
        </w:rPr>
        <w:t>I</w:t>
      </w:r>
      <w:r w:rsidRPr="00686D5A">
        <w:rPr>
          <w:lang w:val="fr-FR"/>
        </w:rPr>
        <w:t xml:space="preserve"> répondait pour l</w:t>
      </w:r>
      <w:r w:rsidR="00D565F4">
        <w:rPr>
          <w:lang w:val="fr-FR"/>
        </w:rPr>
        <w:t>’</w:t>
      </w:r>
      <w:r w:rsidRPr="00686D5A">
        <w:rPr>
          <w:lang w:val="fr-FR"/>
        </w:rPr>
        <w:t>essentiel aux normes et critères</w:t>
      </w:r>
      <w:r w:rsidR="00E11857" w:rsidRPr="00686D5A">
        <w:rPr>
          <w:lang w:val="fr-FR"/>
        </w:rPr>
        <w:t xml:space="preserve"> d</w:t>
      </w:r>
      <w:r w:rsidR="00295E4E">
        <w:rPr>
          <w:lang w:val="fr-FR"/>
        </w:rPr>
        <w:t>e l</w:t>
      </w:r>
      <w:r w:rsidR="00D565F4">
        <w:rPr>
          <w:lang w:val="fr-FR"/>
        </w:rPr>
        <w:t>’</w:t>
      </w:r>
      <w:r w:rsidR="00295E4E">
        <w:rPr>
          <w:lang w:val="fr-FR"/>
        </w:rPr>
        <w:t>UNEG</w:t>
      </w:r>
      <w:r w:rsidRPr="00686D5A">
        <w:rPr>
          <w:lang w:val="fr-FR"/>
        </w:rPr>
        <w:t>.  L</w:t>
      </w:r>
      <w:r w:rsidR="00D565F4">
        <w:rPr>
          <w:lang w:val="fr-FR"/>
        </w:rPr>
        <w:t>’</w:t>
      </w:r>
      <w:r w:rsidRPr="00686D5A">
        <w:rPr>
          <w:lang w:val="fr-FR"/>
        </w:rPr>
        <w:t>analyse a abouti à la conclusion qu</w:t>
      </w:r>
      <w:r w:rsidR="00D565F4">
        <w:rPr>
          <w:lang w:val="fr-FR"/>
        </w:rPr>
        <w:t>’</w:t>
      </w:r>
      <w:r w:rsidRPr="00686D5A">
        <w:rPr>
          <w:lang w:val="fr-FR"/>
        </w:rPr>
        <w:t>il existait des domaines spécifiques partiellement conformes qui requéraient l</w:t>
      </w:r>
      <w:r w:rsidR="00D565F4">
        <w:rPr>
          <w:lang w:val="fr-FR"/>
        </w:rPr>
        <w:t>’</w:t>
      </w:r>
      <w:r w:rsidRPr="00686D5A">
        <w:rPr>
          <w:lang w:val="fr-FR"/>
        </w:rPr>
        <w:t>attention de</w:t>
      </w:r>
      <w:r w:rsidR="00D565F4" w:rsidRPr="00686D5A">
        <w:rPr>
          <w:lang w:val="fr-FR"/>
        </w:rPr>
        <w:t xml:space="preserve"> la</w:t>
      </w:r>
      <w:r w:rsidR="00D565F4">
        <w:rPr>
          <w:lang w:val="fr-FR"/>
        </w:rPr>
        <w:t> DAS</w:t>
      </w:r>
      <w:r w:rsidR="00E90725">
        <w:rPr>
          <w:lang w:val="fr-FR"/>
        </w:rPr>
        <w:t>I</w:t>
      </w:r>
      <w:r w:rsidRPr="00686D5A">
        <w:rPr>
          <w:lang w:val="fr-FR"/>
        </w:rPr>
        <w:t>, afin que soit renforcée leur conformité auxdits normes et critères et qu</w:t>
      </w:r>
      <w:r w:rsidR="00D565F4">
        <w:rPr>
          <w:lang w:val="fr-FR"/>
        </w:rPr>
        <w:t>’</w:t>
      </w:r>
      <w:r w:rsidRPr="00686D5A">
        <w:rPr>
          <w:lang w:val="fr-FR"/>
        </w:rPr>
        <w:t>ils puissent contribuer à l</w:t>
      </w:r>
      <w:r w:rsidR="00D565F4">
        <w:rPr>
          <w:lang w:val="fr-FR"/>
        </w:rPr>
        <w:t>’</w:t>
      </w:r>
      <w:r w:rsidRPr="00686D5A">
        <w:rPr>
          <w:lang w:val="fr-FR"/>
        </w:rPr>
        <w:t>efficacité de la fonction d</w:t>
      </w:r>
      <w:r w:rsidR="00D565F4">
        <w:rPr>
          <w:lang w:val="fr-FR"/>
        </w:rPr>
        <w:t>’</w:t>
      </w:r>
      <w:r w:rsidRPr="00686D5A">
        <w:rPr>
          <w:lang w:val="fr-FR"/>
        </w:rPr>
        <w:t>évaluation.  Si les lacunes recensées en matière de conformité, prises isolément et collectivement, ne menacent pas l</w:t>
      </w:r>
      <w:r w:rsidR="00D565F4">
        <w:rPr>
          <w:lang w:val="fr-FR"/>
        </w:rPr>
        <w:t>’</w:t>
      </w:r>
      <w:r w:rsidRPr="00686D5A">
        <w:rPr>
          <w:lang w:val="fr-FR"/>
        </w:rPr>
        <w:t>intégrité de la fonction d</w:t>
      </w:r>
      <w:r w:rsidR="00D565F4">
        <w:rPr>
          <w:lang w:val="fr-FR"/>
        </w:rPr>
        <w:t>’</w:t>
      </w:r>
      <w:r w:rsidRPr="00686D5A">
        <w:rPr>
          <w:lang w:val="fr-FR"/>
        </w:rPr>
        <w:t>évaluation, elles justifient une intervention dans les trois</w:t>
      </w:r>
      <w:r w:rsidR="00413B67" w:rsidRPr="00686D5A">
        <w:rPr>
          <w:lang w:val="fr-FR"/>
        </w:rPr>
        <w:t> </w:t>
      </w:r>
      <w:r w:rsidRPr="00686D5A">
        <w:rPr>
          <w:lang w:val="fr-FR"/>
        </w:rPr>
        <w:t>domaines évalués que sont l</w:t>
      </w:r>
      <w:r w:rsidR="00D565F4">
        <w:rPr>
          <w:lang w:val="fr-FR"/>
        </w:rPr>
        <w:t>’</w:t>
      </w:r>
      <w:r w:rsidRPr="00686D5A">
        <w:rPr>
          <w:lang w:val="fr-FR"/>
        </w:rPr>
        <w:t>indépendance, la crédibilité et l</w:t>
      </w:r>
      <w:r w:rsidR="00D565F4">
        <w:rPr>
          <w:lang w:val="fr-FR"/>
        </w:rPr>
        <w:t>’</w:t>
      </w:r>
      <w:r w:rsidRPr="00686D5A">
        <w:rPr>
          <w:lang w:val="fr-FR"/>
        </w:rPr>
        <w:t>utilité.</w:t>
      </w:r>
    </w:p>
    <w:p w:rsidR="009A7E4C" w:rsidRPr="00686D5A" w:rsidRDefault="009A7E4C" w:rsidP="00946C7E">
      <w:pPr>
        <w:pStyle w:val="ONUMFS"/>
        <w:rPr>
          <w:lang w:val="fr-FR"/>
        </w:rPr>
      </w:pPr>
      <w:r w:rsidRPr="00686D5A">
        <w:rPr>
          <w:lang w:val="fr-FR"/>
        </w:rPr>
        <w:t>Les évaluateurs ont formulé des recommandations destinées à l</w:t>
      </w:r>
      <w:r w:rsidR="00D565F4">
        <w:rPr>
          <w:lang w:val="fr-FR"/>
        </w:rPr>
        <w:t>’</w:t>
      </w:r>
      <w:r w:rsidRPr="00686D5A">
        <w:rPr>
          <w:lang w:val="fr-FR"/>
        </w:rPr>
        <w:t>amélioration constante des activités déployées par</w:t>
      </w:r>
      <w:r w:rsidR="00D565F4" w:rsidRPr="00686D5A">
        <w:rPr>
          <w:lang w:val="fr-FR"/>
        </w:rPr>
        <w:t xml:space="preserve"> la</w:t>
      </w:r>
      <w:r w:rsidR="00D565F4">
        <w:rPr>
          <w:lang w:val="fr-FR"/>
        </w:rPr>
        <w:t> DAS</w:t>
      </w:r>
      <w:r w:rsidR="00E90725">
        <w:rPr>
          <w:lang w:val="fr-FR"/>
        </w:rPr>
        <w:t>I</w:t>
      </w:r>
      <w:r w:rsidRPr="00686D5A">
        <w:rPr>
          <w:lang w:val="fr-FR"/>
        </w:rPr>
        <w:t xml:space="preserve"> au service de l</w:t>
      </w:r>
      <w:r w:rsidR="00D565F4">
        <w:rPr>
          <w:lang w:val="fr-FR"/>
        </w:rPr>
        <w:t>’</w:t>
      </w:r>
      <w:r w:rsidRPr="00686D5A">
        <w:rPr>
          <w:lang w:val="fr-FR"/>
        </w:rPr>
        <w:t xml:space="preserve">Organisation. </w:t>
      </w:r>
      <w:r w:rsidR="00D565F4" w:rsidRPr="00686D5A">
        <w:rPr>
          <w:lang w:val="fr-FR"/>
        </w:rPr>
        <w:t xml:space="preserve"> La</w:t>
      </w:r>
      <w:r w:rsidR="00D565F4">
        <w:rPr>
          <w:lang w:val="fr-FR"/>
        </w:rPr>
        <w:t> DAS</w:t>
      </w:r>
      <w:r w:rsidR="00E90725">
        <w:rPr>
          <w:lang w:val="fr-FR"/>
        </w:rPr>
        <w:t>I</w:t>
      </w:r>
      <w:r w:rsidRPr="00686D5A">
        <w:rPr>
          <w:lang w:val="fr-FR"/>
        </w:rPr>
        <w:t xml:space="preserve"> a élaboré un plan d</w:t>
      </w:r>
      <w:r w:rsidR="00D565F4">
        <w:rPr>
          <w:lang w:val="fr-FR"/>
        </w:rPr>
        <w:t>’</w:t>
      </w:r>
      <w:r w:rsidRPr="00686D5A">
        <w:rPr>
          <w:lang w:val="fr-FR"/>
        </w:rPr>
        <w:t>action pour mettre en œuvre ces recommandations</w:t>
      </w:r>
      <w:r w:rsidRPr="00686D5A">
        <w:rPr>
          <w:rStyle w:val="FootnoteReference"/>
          <w:szCs w:val="22"/>
          <w:lang w:val="fr-FR"/>
        </w:rPr>
        <w:footnoteReference w:id="16"/>
      </w:r>
      <w:r w:rsidRPr="00686D5A">
        <w:rPr>
          <w:lang w:val="fr-FR"/>
        </w:rPr>
        <w:t>.</w:t>
      </w:r>
    </w:p>
    <w:p w:rsidR="009A7E4C" w:rsidRPr="00686D5A" w:rsidRDefault="00946C7E" w:rsidP="00946C7E">
      <w:pPr>
        <w:pStyle w:val="Heading1"/>
        <w:rPr>
          <w:lang w:val="fr-FR"/>
        </w:rPr>
      </w:pPr>
      <w:bookmarkStart w:id="13" w:name="_Toc393891970"/>
      <w:r w:rsidRPr="00686D5A">
        <w:rPr>
          <w:lang w:val="fr-FR"/>
        </w:rPr>
        <w:t>Autres activités de supervision</w:t>
      </w:r>
      <w:bookmarkEnd w:id="13"/>
    </w:p>
    <w:p w:rsidR="009A7E4C" w:rsidRPr="00686D5A" w:rsidRDefault="00946C7E" w:rsidP="00946C7E">
      <w:pPr>
        <w:pStyle w:val="Heading2"/>
      </w:pPr>
      <w:r w:rsidRPr="00686D5A">
        <w:t>Activités consultatives</w:t>
      </w:r>
    </w:p>
    <w:p w:rsidR="009A7E4C" w:rsidRPr="00686D5A" w:rsidRDefault="009A7E4C" w:rsidP="00946C7E">
      <w:pPr>
        <w:pStyle w:val="ONUMFS"/>
        <w:rPr>
          <w:lang w:val="fr-FR"/>
        </w:rPr>
      </w:pPr>
      <w:r w:rsidRPr="00686D5A">
        <w:rPr>
          <w:lang w:val="fr-FR"/>
        </w:rPr>
        <w:t>Outre son travail de supervision ordinaire, et conformément à la Charte de la supervision interne,</w:t>
      </w:r>
      <w:r w:rsidR="00D565F4" w:rsidRPr="00686D5A">
        <w:rPr>
          <w:lang w:val="fr-FR"/>
        </w:rPr>
        <w:t xml:space="preserve"> la</w:t>
      </w:r>
      <w:r w:rsidR="00D565F4">
        <w:rPr>
          <w:lang w:val="fr-FR"/>
        </w:rPr>
        <w:t> DAS</w:t>
      </w:r>
      <w:r w:rsidR="00E90725">
        <w:rPr>
          <w:lang w:val="fr-FR"/>
        </w:rPr>
        <w:t>I</w:t>
      </w:r>
      <w:r w:rsidRPr="00686D5A">
        <w:rPr>
          <w:lang w:val="fr-FR"/>
        </w:rPr>
        <w:t xml:space="preserve"> dispense des conseils sous deux formes.  Premièrement, en participant en qualité d</w:t>
      </w:r>
      <w:r w:rsidR="00D565F4">
        <w:rPr>
          <w:lang w:val="fr-FR"/>
        </w:rPr>
        <w:t>’</w:t>
      </w:r>
      <w:r w:rsidRPr="00686D5A">
        <w:rPr>
          <w:lang w:val="fr-FR"/>
        </w:rPr>
        <w:t>observatrice à différents comités (Comité des placements de l</w:t>
      </w:r>
      <w:r w:rsidR="00D565F4">
        <w:rPr>
          <w:lang w:val="fr-FR"/>
        </w:rPr>
        <w:t>’</w:t>
      </w:r>
      <w:r w:rsidRPr="00686D5A">
        <w:rPr>
          <w:lang w:val="fr-FR"/>
        </w:rPr>
        <w:t>OMPI et Comité ad hoc des contrats pour la salle de conférence).  Deuxièmement, en dispensant sur demande des conseils concernant le cadre réglementaire ou les documents de politique générale indiqués à l</w:t>
      </w:r>
      <w:r w:rsidR="00D565F4">
        <w:rPr>
          <w:lang w:val="fr-FR"/>
        </w:rPr>
        <w:t>’</w:t>
      </w:r>
      <w:r w:rsidRPr="00686D5A">
        <w:rPr>
          <w:lang w:val="fr-FR"/>
        </w:rPr>
        <w:t>annexe V.</w:t>
      </w:r>
    </w:p>
    <w:p w:rsidR="00E11857" w:rsidRPr="00686D5A" w:rsidRDefault="009A7E4C" w:rsidP="00946C7E">
      <w:pPr>
        <w:pStyle w:val="Heading2"/>
      </w:pPr>
      <w:r w:rsidRPr="00686D5A">
        <w:t>Organe consultatif indépendant de surveillance de l</w:t>
      </w:r>
      <w:r w:rsidR="00D565F4">
        <w:t>’</w:t>
      </w:r>
      <w:r w:rsidRPr="00686D5A">
        <w:t>OMPI</w:t>
      </w:r>
    </w:p>
    <w:p w:rsidR="009A7E4C" w:rsidRPr="00686D5A" w:rsidRDefault="009A7E4C" w:rsidP="00946C7E">
      <w:pPr>
        <w:pStyle w:val="ONUMFS"/>
        <w:rPr>
          <w:lang w:val="fr-FR"/>
        </w:rPr>
      </w:pPr>
      <w:r w:rsidRPr="00686D5A">
        <w:rPr>
          <w:lang w:val="fr-FR"/>
        </w:rPr>
        <w:t xml:space="preserve">La </w:t>
      </w:r>
      <w:r w:rsidR="00E90725">
        <w:rPr>
          <w:lang w:val="fr-FR"/>
        </w:rPr>
        <w:t>DASI</w:t>
      </w:r>
      <w:r w:rsidRPr="00686D5A">
        <w:rPr>
          <w:lang w:val="fr-FR"/>
        </w:rPr>
        <w:t xml:space="preserve"> est régulièrement invitée par l</w:t>
      </w:r>
      <w:r w:rsidR="00D565F4">
        <w:rPr>
          <w:lang w:val="fr-FR"/>
        </w:rPr>
        <w:t>’</w:t>
      </w:r>
      <w:r w:rsidRPr="00686D5A">
        <w:rPr>
          <w:lang w:val="fr-FR"/>
        </w:rPr>
        <w:t>OCIS à assister à ses sessions trimestrielles afin de répondre à des questions détaillées concernant le programme de travail et le fonctionnement de</w:t>
      </w:r>
      <w:r w:rsidR="00D565F4" w:rsidRPr="00686D5A">
        <w:rPr>
          <w:lang w:val="fr-FR"/>
        </w:rPr>
        <w:t xml:space="preserve"> la</w:t>
      </w:r>
      <w:r w:rsidR="00D565F4">
        <w:rPr>
          <w:lang w:val="fr-FR"/>
        </w:rPr>
        <w:t> DAS</w:t>
      </w:r>
      <w:r w:rsidR="00E90725">
        <w:rPr>
          <w:lang w:val="fr-FR"/>
        </w:rPr>
        <w:t>I</w:t>
      </w:r>
      <w:r w:rsidRPr="00686D5A">
        <w:rPr>
          <w:lang w:val="fr-FR"/>
        </w:rPr>
        <w:t>.  L</w:t>
      </w:r>
      <w:r w:rsidR="00D565F4">
        <w:rPr>
          <w:lang w:val="fr-FR"/>
        </w:rPr>
        <w:t>’</w:t>
      </w:r>
      <w:r w:rsidRPr="00686D5A">
        <w:rPr>
          <w:lang w:val="fr-FR"/>
        </w:rPr>
        <w:t xml:space="preserve">OCIS a tenu </w:t>
      </w:r>
      <w:r w:rsidR="00664A28">
        <w:rPr>
          <w:lang w:val="fr-FR"/>
        </w:rPr>
        <w:t>ses</w:t>
      </w:r>
      <w:r w:rsidRPr="00686D5A">
        <w:rPr>
          <w:lang w:val="fr-FR"/>
        </w:rPr>
        <w:t xml:space="preserve"> trentième </w:t>
      </w:r>
      <w:r w:rsidR="00295E4E">
        <w:rPr>
          <w:lang w:val="fr-FR"/>
        </w:rPr>
        <w:t xml:space="preserve">à </w:t>
      </w:r>
      <w:r w:rsidR="00295E4E" w:rsidRPr="00686D5A">
        <w:rPr>
          <w:lang w:val="fr-FR"/>
        </w:rPr>
        <w:t>trente</w:t>
      </w:r>
      <w:r w:rsidR="001F4EED">
        <w:rPr>
          <w:lang w:val="fr-FR"/>
        </w:rPr>
        <w:noBreakHyphen/>
      </w:r>
      <w:r w:rsidRPr="00686D5A">
        <w:rPr>
          <w:lang w:val="fr-FR"/>
        </w:rPr>
        <w:t>troisième session</w:t>
      </w:r>
      <w:r w:rsidR="00664A28">
        <w:rPr>
          <w:lang w:val="fr-FR"/>
        </w:rPr>
        <w:t>s</w:t>
      </w:r>
      <w:r w:rsidRPr="00686D5A">
        <w:rPr>
          <w:lang w:val="fr-FR"/>
        </w:rPr>
        <w:t xml:space="preserve"> pendant la période couverte par le présent rapport.</w:t>
      </w:r>
    </w:p>
    <w:p w:rsidR="009A7E4C" w:rsidRPr="00686D5A" w:rsidRDefault="009A7E4C" w:rsidP="00946C7E">
      <w:pPr>
        <w:pStyle w:val="ONUMFS"/>
        <w:rPr>
          <w:lang w:val="fr-FR"/>
        </w:rPr>
      </w:pPr>
      <w:r w:rsidRPr="00686D5A">
        <w:rPr>
          <w:lang w:val="fr-FR"/>
        </w:rPr>
        <w:t xml:space="preserve">La </w:t>
      </w:r>
      <w:r w:rsidR="00E90725">
        <w:rPr>
          <w:lang w:val="fr-FR"/>
        </w:rPr>
        <w:t>DASI</w:t>
      </w:r>
      <w:r w:rsidRPr="00686D5A">
        <w:rPr>
          <w:lang w:val="fr-FR"/>
        </w:rPr>
        <w:t xml:space="preserve"> a ainsi bénéficié des avis et des conseils de l</w:t>
      </w:r>
      <w:r w:rsidR="00D565F4">
        <w:rPr>
          <w:lang w:val="fr-FR"/>
        </w:rPr>
        <w:t>’</w:t>
      </w:r>
      <w:r w:rsidRPr="00686D5A">
        <w:rPr>
          <w:lang w:val="fr-FR"/>
        </w:rPr>
        <w:t>OCIS, comme indiqué dans les rapports de l</w:t>
      </w:r>
      <w:r w:rsidR="00D565F4">
        <w:rPr>
          <w:lang w:val="fr-FR"/>
        </w:rPr>
        <w:t>’</w:t>
      </w:r>
      <w:r w:rsidRPr="00686D5A">
        <w:rPr>
          <w:lang w:val="fr-FR"/>
        </w:rPr>
        <w:t>Organe</w:t>
      </w:r>
      <w:r w:rsidRPr="00686D5A">
        <w:rPr>
          <w:rStyle w:val="FootnoteReference"/>
          <w:szCs w:val="22"/>
          <w:lang w:val="fr-FR"/>
        </w:rPr>
        <w:footnoteReference w:id="17"/>
      </w:r>
      <w:r w:rsidRPr="00686D5A">
        <w:rPr>
          <w:lang w:val="fr-FR"/>
        </w:rPr>
        <w:t>.</w:t>
      </w:r>
    </w:p>
    <w:p w:rsidR="009A7E4C" w:rsidRPr="00686D5A" w:rsidRDefault="00946C7E" w:rsidP="00946C7E">
      <w:pPr>
        <w:pStyle w:val="Heading2"/>
      </w:pPr>
      <w:r w:rsidRPr="00686D5A">
        <w:t>E</w:t>
      </w:r>
      <w:r w:rsidR="009A7E4C" w:rsidRPr="00686D5A">
        <w:t>nquête de satisfaction</w:t>
      </w:r>
    </w:p>
    <w:p w:rsidR="009A7E4C" w:rsidRPr="00686D5A" w:rsidRDefault="009A7E4C" w:rsidP="00946C7E">
      <w:pPr>
        <w:pStyle w:val="ONUMFS"/>
        <w:rPr>
          <w:lang w:val="fr-FR"/>
        </w:rPr>
      </w:pPr>
      <w:r w:rsidRPr="00686D5A">
        <w:rPr>
          <w:lang w:val="fr-FR"/>
        </w:rPr>
        <w:t>Afin de mieux appréhender les attentes des collègues et de recueillir leur avis sur les activités de supervision,</w:t>
      </w:r>
      <w:r w:rsidR="00D565F4" w:rsidRPr="00686D5A">
        <w:rPr>
          <w:lang w:val="fr-FR"/>
        </w:rPr>
        <w:t xml:space="preserve"> la</w:t>
      </w:r>
      <w:r w:rsidR="00D565F4">
        <w:rPr>
          <w:lang w:val="fr-FR"/>
        </w:rPr>
        <w:t> DAS</w:t>
      </w:r>
      <w:r w:rsidR="00E90725">
        <w:rPr>
          <w:lang w:val="fr-FR"/>
        </w:rPr>
        <w:t>I</w:t>
      </w:r>
      <w:r w:rsidRPr="00686D5A">
        <w:rPr>
          <w:lang w:val="fr-FR"/>
        </w:rPr>
        <w:t xml:space="preserve"> utilise régulièrement des enquêtes de satisfaction depuis janvier 2012.  Ces enquêtes lui permettent de mieux c</w:t>
      </w:r>
      <w:r w:rsidR="005E35C2" w:rsidRPr="00686D5A">
        <w:rPr>
          <w:lang w:val="fr-FR"/>
        </w:rPr>
        <w:t>erner les domaines dans lesquel</w:t>
      </w:r>
      <w:r w:rsidRPr="00686D5A">
        <w:rPr>
          <w:lang w:val="fr-FR"/>
        </w:rPr>
        <w:t>s elle pourrait améliorer ses travaux.</w:t>
      </w:r>
    </w:p>
    <w:p w:rsidR="009A7E4C" w:rsidRPr="00686D5A" w:rsidRDefault="009A7E4C" w:rsidP="00946C7E">
      <w:pPr>
        <w:pStyle w:val="ONUMFS"/>
        <w:rPr>
          <w:lang w:val="fr-FR"/>
        </w:rPr>
      </w:pPr>
      <w:r w:rsidRPr="00686D5A">
        <w:rPr>
          <w:lang w:val="fr-FR"/>
        </w:rPr>
        <w:t>Neuf enquêtes ont été menées auprès des entités qui ont fait l</w:t>
      </w:r>
      <w:r w:rsidR="00D565F4">
        <w:rPr>
          <w:lang w:val="fr-FR"/>
        </w:rPr>
        <w:t>’</w:t>
      </w:r>
      <w:r w:rsidRPr="00686D5A">
        <w:rPr>
          <w:lang w:val="fr-FR"/>
        </w:rPr>
        <w:t>objet d</w:t>
      </w:r>
      <w:r w:rsidR="00D565F4">
        <w:rPr>
          <w:lang w:val="fr-FR"/>
        </w:rPr>
        <w:t>’</w:t>
      </w:r>
      <w:r w:rsidRPr="00686D5A">
        <w:rPr>
          <w:lang w:val="fr-FR"/>
        </w:rPr>
        <w:t>un audit et d</w:t>
      </w:r>
      <w:r w:rsidR="00D565F4">
        <w:rPr>
          <w:lang w:val="fr-FR"/>
        </w:rPr>
        <w:t>’</w:t>
      </w:r>
      <w:r w:rsidRPr="00686D5A">
        <w:rPr>
          <w:lang w:val="fr-FR"/>
        </w:rPr>
        <w:t>une évaluation au cours de la période considérée.  En moyenne, le taux de satisfaction était de 82%.  Le meilleur résultat obtenu concernait le “</w:t>
      </w:r>
      <w:r w:rsidRPr="00D124F2">
        <w:rPr>
          <w:lang w:val="fr-FR"/>
        </w:rPr>
        <w:t>comportement objectif, professionnel et courtois</w:t>
      </w:r>
      <w:r w:rsidRPr="00686D5A">
        <w:rPr>
          <w:lang w:val="fr-FR"/>
        </w:rPr>
        <w:t xml:space="preserve">” des équipes, avec un taux de satisfaction moyen de 95%.  Le score le moins élevé a </w:t>
      </w:r>
      <w:r w:rsidRPr="00686D5A">
        <w:rPr>
          <w:lang w:val="fr-FR"/>
        </w:rPr>
        <w:lastRenderedPageBreak/>
        <w:t>été enregistré en évaluant si “</w:t>
      </w:r>
      <w:r w:rsidRPr="00D124F2">
        <w:rPr>
          <w:lang w:val="fr-FR"/>
        </w:rPr>
        <w:t xml:space="preserve">la </w:t>
      </w:r>
      <w:r w:rsidR="00E90725" w:rsidRPr="00D124F2">
        <w:rPr>
          <w:lang w:val="fr-FR"/>
        </w:rPr>
        <w:t>DASI</w:t>
      </w:r>
      <w:r w:rsidRPr="00D124F2">
        <w:rPr>
          <w:lang w:val="fr-FR"/>
        </w:rPr>
        <w:t xml:space="preserve"> a[</w:t>
      </w:r>
      <w:proofErr w:type="spellStart"/>
      <w:r w:rsidRPr="00D124F2">
        <w:rPr>
          <w:lang w:val="fr-FR"/>
        </w:rPr>
        <w:t>vait</w:t>
      </w:r>
      <w:proofErr w:type="spellEnd"/>
      <w:r w:rsidRPr="00D124F2">
        <w:rPr>
          <w:lang w:val="fr-FR"/>
        </w:rPr>
        <w:t>] tenu compte des suggestions (formulées par la direction) concernant les domaines de l</w:t>
      </w:r>
      <w:r w:rsidR="00D565F4">
        <w:rPr>
          <w:lang w:val="fr-FR"/>
        </w:rPr>
        <w:t>’</w:t>
      </w:r>
      <w:r w:rsidRPr="00D124F2">
        <w:rPr>
          <w:lang w:val="fr-FR"/>
        </w:rPr>
        <w:t>audit/de l</w:t>
      </w:r>
      <w:r w:rsidR="00D565F4">
        <w:rPr>
          <w:lang w:val="fr-FR"/>
        </w:rPr>
        <w:t>’</w:t>
      </w:r>
      <w:r w:rsidRPr="00D124F2">
        <w:rPr>
          <w:lang w:val="fr-FR"/>
        </w:rPr>
        <w:t>évaluation</w:t>
      </w:r>
      <w:r w:rsidRPr="00686D5A">
        <w:rPr>
          <w:lang w:val="fr-FR"/>
        </w:rPr>
        <w:t>”, avec un taux de satisfaction moyen de 66%.</w:t>
      </w:r>
    </w:p>
    <w:p w:rsidR="009A7E4C" w:rsidRPr="00686D5A" w:rsidRDefault="009A7E4C" w:rsidP="00946C7E">
      <w:pPr>
        <w:pStyle w:val="ONUMFS"/>
        <w:rPr>
          <w:lang w:val="fr-FR"/>
        </w:rPr>
      </w:pPr>
      <w:r w:rsidRPr="00686D5A">
        <w:rPr>
          <w:lang w:val="fr-FR"/>
        </w:rPr>
        <w:t>Les observations supplémentaires communiquées par les services ayant fait l</w:t>
      </w:r>
      <w:r w:rsidR="00D565F4">
        <w:rPr>
          <w:lang w:val="fr-FR"/>
        </w:rPr>
        <w:t>’</w:t>
      </w:r>
      <w:r w:rsidRPr="00686D5A">
        <w:rPr>
          <w:lang w:val="fr-FR"/>
        </w:rPr>
        <w:t>objet d</w:t>
      </w:r>
      <w:r w:rsidR="00D565F4">
        <w:rPr>
          <w:lang w:val="fr-FR"/>
        </w:rPr>
        <w:t>’</w:t>
      </w:r>
      <w:r w:rsidRPr="00686D5A">
        <w:rPr>
          <w:lang w:val="fr-FR"/>
        </w:rPr>
        <w:t>audits ou d</w:t>
      </w:r>
      <w:r w:rsidR="00D565F4">
        <w:rPr>
          <w:lang w:val="fr-FR"/>
        </w:rPr>
        <w:t>’</w:t>
      </w:r>
      <w:r w:rsidRPr="00686D5A">
        <w:rPr>
          <w:lang w:val="fr-FR"/>
        </w:rPr>
        <w:t>évaluations aident</w:t>
      </w:r>
      <w:r w:rsidR="00D565F4" w:rsidRPr="00686D5A">
        <w:rPr>
          <w:lang w:val="fr-FR"/>
        </w:rPr>
        <w:t xml:space="preserve"> la</w:t>
      </w:r>
      <w:r w:rsidR="00D565F4">
        <w:rPr>
          <w:lang w:val="fr-FR"/>
        </w:rPr>
        <w:t> DAS</w:t>
      </w:r>
      <w:r w:rsidR="00E90725">
        <w:rPr>
          <w:lang w:val="fr-FR"/>
        </w:rPr>
        <w:t>I</w:t>
      </w:r>
      <w:r w:rsidRPr="00686D5A">
        <w:rPr>
          <w:lang w:val="fr-FR"/>
        </w:rPr>
        <w:t xml:space="preserve"> à recenser les lacunes et à mettre en place des mesures correctrices.  Pour mesurer également les incidences à moyen terme des activités de supervision,</w:t>
      </w:r>
      <w:r w:rsidR="00D565F4" w:rsidRPr="00686D5A">
        <w:rPr>
          <w:lang w:val="fr-FR"/>
        </w:rPr>
        <w:t xml:space="preserve"> la</w:t>
      </w:r>
      <w:r w:rsidR="00D565F4">
        <w:rPr>
          <w:lang w:val="fr-FR"/>
        </w:rPr>
        <w:t> DAS</w:t>
      </w:r>
      <w:r w:rsidR="00E90725">
        <w:rPr>
          <w:lang w:val="fr-FR"/>
        </w:rPr>
        <w:t>I</w:t>
      </w:r>
      <w:r w:rsidRPr="00686D5A">
        <w:rPr>
          <w:lang w:val="fr-FR"/>
        </w:rPr>
        <w:t xml:space="preserve"> a commencé, en 2014, à publier les enquêtes de satisfaction un an après leur mise en œuvre, afin de mesurer les résultats et les progrès de l</w:t>
      </w:r>
      <w:r w:rsidR="00D565F4">
        <w:rPr>
          <w:lang w:val="fr-FR"/>
        </w:rPr>
        <w:t>’</w:t>
      </w:r>
      <w:r w:rsidRPr="00686D5A">
        <w:rPr>
          <w:lang w:val="fr-FR"/>
        </w:rPr>
        <w:t>application des recommandations.  Toutefois, au moment de la rédaction du présent rapport, le nombre d</w:t>
      </w:r>
      <w:r w:rsidR="00D565F4">
        <w:rPr>
          <w:lang w:val="fr-FR"/>
        </w:rPr>
        <w:t>’</w:t>
      </w:r>
      <w:r w:rsidRPr="00686D5A">
        <w:rPr>
          <w:lang w:val="fr-FR"/>
        </w:rPr>
        <w:t>enquêtes était trop restreint pour pouvoir évaluer de manière fiable les incidences des activités de supervision telles qu</w:t>
      </w:r>
      <w:r w:rsidR="00D565F4">
        <w:rPr>
          <w:lang w:val="fr-FR"/>
        </w:rPr>
        <w:t>’</w:t>
      </w:r>
      <w:r w:rsidRPr="00686D5A">
        <w:rPr>
          <w:lang w:val="fr-FR"/>
        </w:rPr>
        <w:t>elles sont perçues.</w:t>
      </w:r>
    </w:p>
    <w:p w:rsidR="009A7E4C" w:rsidRPr="00686D5A" w:rsidRDefault="009A7E4C" w:rsidP="00946C7E">
      <w:pPr>
        <w:pStyle w:val="Heading2"/>
      </w:pPr>
      <w:r w:rsidRPr="00686D5A">
        <w:t>Vérificateur externe des comptes</w:t>
      </w:r>
    </w:p>
    <w:p w:rsidR="009A7E4C" w:rsidRPr="00686D5A" w:rsidRDefault="009A7E4C" w:rsidP="00946C7E">
      <w:pPr>
        <w:pStyle w:val="ONUMFS"/>
        <w:rPr>
          <w:lang w:val="fr-FR"/>
        </w:rPr>
      </w:pPr>
      <w:r w:rsidRPr="00686D5A">
        <w:rPr>
          <w:lang w:val="fr-FR"/>
        </w:rPr>
        <w:t>L</w:t>
      </w:r>
      <w:r w:rsidR="00D565F4">
        <w:rPr>
          <w:lang w:val="fr-FR"/>
        </w:rPr>
        <w:t>’</w:t>
      </w:r>
      <w:r w:rsidRPr="00686D5A">
        <w:rPr>
          <w:lang w:val="fr-FR"/>
        </w:rPr>
        <w:t>excellente atmosphère de coopération et de coordination professionnelles établie avec le vérificateur externe des comptes s</w:t>
      </w:r>
      <w:r w:rsidR="00D565F4">
        <w:rPr>
          <w:lang w:val="fr-FR"/>
        </w:rPr>
        <w:t>’</w:t>
      </w:r>
      <w:r w:rsidRPr="00686D5A">
        <w:rPr>
          <w:lang w:val="fr-FR"/>
        </w:rPr>
        <w:t>est poursuivie avec des réunions régulières visant à partager les informations sur les questions d</w:t>
      </w:r>
      <w:r w:rsidR="00D565F4">
        <w:rPr>
          <w:lang w:val="fr-FR"/>
        </w:rPr>
        <w:t>’</w:t>
      </w:r>
      <w:r w:rsidRPr="00686D5A">
        <w:rPr>
          <w:lang w:val="fr-FR"/>
        </w:rPr>
        <w:t>audit, de contrôle interne et de gestion des risques.  Le vérificateur externe des comptes et</w:t>
      </w:r>
      <w:r w:rsidR="00D565F4" w:rsidRPr="00686D5A">
        <w:rPr>
          <w:lang w:val="fr-FR"/>
        </w:rPr>
        <w:t xml:space="preserve"> la</w:t>
      </w:r>
      <w:r w:rsidR="00D565F4">
        <w:rPr>
          <w:lang w:val="fr-FR"/>
        </w:rPr>
        <w:t> DAS</w:t>
      </w:r>
      <w:r w:rsidR="00E90725">
        <w:rPr>
          <w:lang w:val="fr-FR"/>
        </w:rPr>
        <w:t>I</w:t>
      </w:r>
      <w:r w:rsidRPr="00686D5A">
        <w:rPr>
          <w:lang w:val="fr-FR"/>
        </w:rPr>
        <w:t xml:space="preserve"> ont partagé leurs stratégies, programmes de travail et rapports individuels en vue d</w:t>
      </w:r>
      <w:r w:rsidR="00D565F4">
        <w:rPr>
          <w:lang w:val="fr-FR"/>
        </w:rPr>
        <w:t>’</w:t>
      </w:r>
      <w:r w:rsidRPr="00686D5A">
        <w:rPr>
          <w:lang w:val="fr-FR"/>
        </w:rPr>
        <w:t>assurer une couverture de supervision efficace et d</w:t>
      </w:r>
      <w:r w:rsidR="00D565F4">
        <w:rPr>
          <w:lang w:val="fr-FR"/>
        </w:rPr>
        <w:t>’</w:t>
      </w:r>
      <w:r w:rsidRPr="00686D5A">
        <w:rPr>
          <w:lang w:val="fr-FR"/>
        </w:rPr>
        <w:t>éviter tout chevauchement inutile.</w:t>
      </w:r>
    </w:p>
    <w:p w:rsidR="009A7E4C" w:rsidRPr="00686D5A" w:rsidRDefault="009A7E4C" w:rsidP="00946C7E">
      <w:pPr>
        <w:pStyle w:val="Heading2"/>
      </w:pPr>
      <w:r w:rsidRPr="00686D5A">
        <w:t>Bureau du médiateur et Bureau de la déontologie</w:t>
      </w:r>
    </w:p>
    <w:p w:rsidR="009A7E4C" w:rsidRPr="00686D5A" w:rsidRDefault="009A7E4C" w:rsidP="00946C7E">
      <w:pPr>
        <w:pStyle w:val="ONUMFS"/>
        <w:rPr>
          <w:lang w:val="fr-FR"/>
        </w:rPr>
      </w:pPr>
      <w:r w:rsidRPr="00686D5A">
        <w:rPr>
          <w:lang w:val="fr-FR"/>
        </w:rPr>
        <w:t>Au cours de la période couverte par le présent rapport, le directeur de</w:t>
      </w:r>
      <w:r w:rsidR="00D565F4" w:rsidRPr="00686D5A">
        <w:rPr>
          <w:lang w:val="fr-FR"/>
        </w:rPr>
        <w:t xml:space="preserve"> la</w:t>
      </w:r>
      <w:r w:rsidR="00D565F4">
        <w:rPr>
          <w:lang w:val="fr-FR"/>
        </w:rPr>
        <w:t> DAS</w:t>
      </w:r>
      <w:r w:rsidR="00E90725">
        <w:rPr>
          <w:lang w:val="fr-FR"/>
        </w:rPr>
        <w:t>I</w:t>
      </w:r>
      <w:r w:rsidRPr="00686D5A">
        <w:rPr>
          <w:lang w:val="fr-FR"/>
        </w:rPr>
        <w:t xml:space="preserve"> s</w:t>
      </w:r>
      <w:r w:rsidR="00D565F4">
        <w:rPr>
          <w:lang w:val="fr-FR"/>
        </w:rPr>
        <w:t>’</w:t>
      </w:r>
      <w:r w:rsidRPr="00686D5A">
        <w:rPr>
          <w:lang w:val="fr-FR"/>
        </w:rPr>
        <w:t>est entretenu régulièrement avec la médiatrice et le chef du Bureau de la déontologie, conformément à la Charte de la supervision interne, pour assurer une bonne coordination et éviter toute répétition inutile des activités.  Ces entretiens ont été très utiles pour veiller à la bonne exécution des mandats distincts et indépendants de</w:t>
      </w:r>
      <w:r w:rsidR="00D565F4" w:rsidRPr="00686D5A">
        <w:rPr>
          <w:lang w:val="fr-FR"/>
        </w:rPr>
        <w:t xml:space="preserve"> la</w:t>
      </w:r>
      <w:r w:rsidR="00D565F4">
        <w:rPr>
          <w:lang w:val="fr-FR"/>
        </w:rPr>
        <w:t> DAS</w:t>
      </w:r>
      <w:r w:rsidR="00E90725">
        <w:rPr>
          <w:lang w:val="fr-FR"/>
        </w:rPr>
        <w:t>I</w:t>
      </w:r>
      <w:r w:rsidRPr="00686D5A">
        <w:rPr>
          <w:lang w:val="fr-FR"/>
        </w:rPr>
        <w:t>, du Bureau du médiateur et du Bureau de la déontologie.</w:t>
      </w:r>
    </w:p>
    <w:p w:rsidR="009A7E4C" w:rsidRPr="00686D5A" w:rsidRDefault="00295E4E" w:rsidP="00946C7E">
      <w:pPr>
        <w:pStyle w:val="Heading2"/>
      </w:pPr>
      <w:r>
        <w:t>PARTICIPATION AUX</w:t>
      </w:r>
      <w:r w:rsidR="009A7E4C" w:rsidRPr="00686D5A">
        <w:t xml:space="preserve"> réseaux </w:t>
      </w:r>
      <w:r>
        <w:t xml:space="preserve">des </w:t>
      </w:r>
      <w:r w:rsidR="009A7E4C" w:rsidRPr="00686D5A">
        <w:t>fonctions de supervision</w:t>
      </w:r>
    </w:p>
    <w:p w:rsidR="009A7E4C" w:rsidRPr="00686D5A" w:rsidRDefault="009A7E4C" w:rsidP="00946C7E">
      <w:pPr>
        <w:pStyle w:val="ONUMFS"/>
        <w:rPr>
          <w:lang w:val="fr-FR"/>
        </w:rPr>
      </w:pPr>
      <w:r w:rsidRPr="00686D5A">
        <w:rPr>
          <w:lang w:val="fr-FR"/>
        </w:rPr>
        <w:t xml:space="preserve">La Charte de la supervision interne fait expressément état de la participation à différents </w:t>
      </w:r>
      <w:r w:rsidRPr="00686D5A">
        <w:rPr>
          <w:rFonts w:eastAsia="Times New Roman"/>
          <w:lang w:val="fr-FR" w:eastAsia="fr-FR"/>
        </w:rPr>
        <w:t xml:space="preserve">réseaux officiels des </w:t>
      </w:r>
      <w:r w:rsidR="00D565F4">
        <w:rPr>
          <w:rFonts w:eastAsia="Times New Roman"/>
          <w:lang w:val="fr-FR" w:eastAsia="fr-FR"/>
        </w:rPr>
        <w:t>Nations Unies</w:t>
      </w:r>
      <w:r w:rsidRPr="00686D5A">
        <w:rPr>
          <w:rFonts w:eastAsia="Times New Roman"/>
          <w:lang w:val="fr-FR" w:eastAsia="fr-FR"/>
        </w:rPr>
        <w:t xml:space="preserve"> en matière de supervision. </w:t>
      </w:r>
      <w:r w:rsidR="00D565F4" w:rsidRPr="00686D5A">
        <w:rPr>
          <w:rFonts w:eastAsia="Times New Roman"/>
          <w:lang w:val="fr-FR" w:eastAsia="fr-FR"/>
        </w:rPr>
        <w:t xml:space="preserve"> </w:t>
      </w:r>
      <w:r w:rsidR="00D565F4" w:rsidRPr="00686D5A">
        <w:rPr>
          <w:lang w:val="fr-FR"/>
        </w:rPr>
        <w:t>La</w:t>
      </w:r>
      <w:r w:rsidR="00D565F4">
        <w:rPr>
          <w:rFonts w:eastAsia="Times New Roman"/>
          <w:lang w:val="fr-FR" w:eastAsia="fr-FR"/>
        </w:rPr>
        <w:t> </w:t>
      </w:r>
      <w:r w:rsidR="00D565F4">
        <w:rPr>
          <w:lang w:val="fr-FR"/>
        </w:rPr>
        <w:t>DAS</w:t>
      </w:r>
      <w:r w:rsidR="00E90725">
        <w:rPr>
          <w:lang w:val="fr-FR"/>
        </w:rPr>
        <w:t>I</w:t>
      </w:r>
      <w:r w:rsidRPr="00686D5A">
        <w:rPr>
          <w:lang w:val="fr-FR"/>
        </w:rPr>
        <w:t xml:space="preserve"> est consciente de la valeur et de l</w:t>
      </w:r>
      <w:r w:rsidR="00D565F4">
        <w:rPr>
          <w:lang w:val="fr-FR"/>
        </w:rPr>
        <w:t>’</w:t>
      </w:r>
      <w:r w:rsidRPr="00686D5A">
        <w:rPr>
          <w:lang w:val="fr-FR"/>
        </w:rPr>
        <w:t xml:space="preserve">importance que revêt </w:t>
      </w:r>
      <w:r w:rsidR="00295E4E">
        <w:rPr>
          <w:lang w:val="fr-FR"/>
        </w:rPr>
        <w:t>l</w:t>
      </w:r>
      <w:r w:rsidR="00D565F4">
        <w:rPr>
          <w:lang w:val="fr-FR"/>
        </w:rPr>
        <w:t>’</w:t>
      </w:r>
      <w:r w:rsidR="00295E4E">
        <w:rPr>
          <w:lang w:val="fr-FR"/>
        </w:rPr>
        <w:t>établissement</w:t>
      </w:r>
      <w:r w:rsidRPr="00686D5A">
        <w:rPr>
          <w:lang w:val="fr-FR"/>
        </w:rPr>
        <w:t xml:space="preserve"> de relations de travail avec ses homologues.  Pendant la période considérée,</w:t>
      </w:r>
      <w:r w:rsidR="00D565F4" w:rsidRPr="00686D5A">
        <w:rPr>
          <w:lang w:val="fr-FR"/>
        </w:rPr>
        <w:t xml:space="preserve"> la</w:t>
      </w:r>
      <w:r w:rsidR="00D565F4">
        <w:rPr>
          <w:lang w:val="fr-FR"/>
        </w:rPr>
        <w:t> DAS</w:t>
      </w:r>
      <w:r w:rsidR="00E90725">
        <w:rPr>
          <w:lang w:val="fr-FR"/>
        </w:rPr>
        <w:t>I</w:t>
      </w:r>
      <w:r w:rsidRPr="00686D5A">
        <w:rPr>
          <w:lang w:val="fr-FR"/>
        </w:rPr>
        <w:t xml:space="preserve"> a poursuivi activement et utilement ses activités de collaboration et de création de réseaux avec les autres organisations et entités des </w:t>
      </w:r>
      <w:r w:rsidR="00D565F4">
        <w:rPr>
          <w:lang w:val="fr-FR"/>
        </w:rPr>
        <w:t>Nations Unies</w:t>
      </w:r>
      <w:r w:rsidRPr="00686D5A">
        <w:rPr>
          <w:lang w:val="fr-FR"/>
        </w:rPr>
        <w:t xml:space="preserve">. </w:t>
      </w:r>
      <w:r w:rsidR="00D565F4" w:rsidRPr="00686D5A">
        <w:rPr>
          <w:lang w:val="fr-FR"/>
        </w:rPr>
        <w:t xml:space="preserve"> La</w:t>
      </w:r>
      <w:r w:rsidR="00D565F4">
        <w:rPr>
          <w:lang w:val="fr-FR"/>
        </w:rPr>
        <w:t> DAS</w:t>
      </w:r>
      <w:r w:rsidR="00E90725">
        <w:rPr>
          <w:lang w:val="fr-FR"/>
        </w:rPr>
        <w:t>I</w:t>
      </w:r>
      <w:r w:rsidRPr="00686D5A">
        <w:rPr>
          <w:lang w:val="fr-FR"/>
        </w:rPr>
        <w:t xml:space="preserve"> a notamment participé aux activités suivantes :</w:t>
      </w:r>
    </w:p>
    <w:p w:rsidR="009A7E4C" w:rsidRPr="00686D5A" w:rsidRDefault="009A7E4C" w:rsidP="00946C7E">
      <w:pPr>
        <w:pStyle w:val="ONUMFS"/>
        <w:numPr>
          <w:ilvl w:val="1"/>
          <w:numId w:val="32"/>
        </w:numPr>
        <w:rPr>
          <w:lang w:val="fr-FR"/>
        </w:rPr>
      </w:pPr>
      <w:r w:rsidRPr="00686D5A">
        <w:rPr>
          <w:lang w:val="fr-FR"/>
        </w:rPr>
        <w:t>Quarante</w:t>
      </w:r>
      <w:r w:rsidR="001F4EED">
        <w:rPr>
          <w:lang w:val="fr-FR"/>
        </w:rPr>
        <w:noBreakHyphen/>
      </w:r>
      <w:r w:rsidR="00946C7E" w:rsidRPr="00686D5A">
        <w:rPr>
          <w:lang w:val="fr-FR"/>
        </w:rPr>
        <w:t>troisième r</w:t>
      </w:r>
      <w:r w:rsidRPr="00686D5A">
        <w:rPr>
          <w:lang w:val="fr-FR"/>
        </w:rPr>
        <w:t xml:space="preserve">éunion annuelle des représentants des services </w:t>
      </w:r>
      <w:r w:rsidR="006F71A4">
        <w:rPr>
          <w:lang w:val="fr-FR"/>
        </w:rPr>
        <w:t>d</w:t>
      </w:r>
      <w:r w:rsidR="00D565F4">
        <w:rPr>
          <w:lang w:val="fr-FR"/>
        </w:rPr>
        <w:t>’</w:t>
      </w:r>
      <w:r w:rsidR="006F71A4">
        <w:rPr>
          <w:lang w:val="fr-FR"/>
        </w:rPr>
        <w:t>audit</w:t>
      </w:r>
      <w:r w:rsidRPr="00686D5A">
        <w:rPr>
          <w:lang w:val="fr-FR"/>
        </w:rPr>
        <w:t xml:space="preserve"> interne des comptes des organismes des </w:t>
      </w:r>
      <w:r w:rsidR="00D565F4">
        <w:rPr>
          <w:lang w:val="fr-FR"/>
        </w:rPr>
        <w:t>Nations Unies</w:t>
      </w:r>
      <w:r w:rsidR="00946C7E" w:rsidRPr="00686D5A">
        <w:rPr>
          <w:lang w:val="fr-FR"/>
        </w:rPr>
        <w:t>, Rome, septembre 2013.  La </w:t>
      </w:r>
      <w:r w:rsidR="00E90725">
        <w:rPr>
          <w:lang w:val="fr-FR"/>
        </w:rPr>
        <w:t>DASI</w:t>
      </w:r>
      <w:r w:rsidRPr="00686D5A">
        <w:rPr>
          <w:lang w:val="fr-FR"/>
        </w:rPr>
        <w:t xml:space="preserve"> dirige les travaux sur </w:t>
      </w:r>
      <w:r w:rsidR="006F71A4">
        <w:rPr>
          <w:lang w:val="fr-FR"/>
        </w:rPr>
        <w:t>le parangonnage</w:t>
      </w:r>
      <w:r w:rsidRPr="00686D5A">
        <w:rPr>
          <w:lang w:val="fr-FR"/>
        </w:rPr>
        <w:t>.</w:t>
      </w:r>
    </w:p>
    <w:p w:rsidR="009A7E4C" w:rsidRPr="00686D5A" w:rsidRDefault="009A7E4C" w:rsidP="00946C7E">
      <w:pPr>
        <w:pStyle w:val="ONUMFS"/>
        <w:numPr>
          <w:ilvl w:val="1"/>
          <w:numId w:val="32"/>
        </w:numPr>
        <w:rPr>
          <w:lang w:val="fr-FR"/>
        </w:rPr>
      </w:pPr>
      <w:r w:rsidRPr="00686D5A">
        <w:rPr>
          <w:lang w:val="fr-FR"/>
        </w:rPr>
        <w:t>Quatorzième</w:t>
      </w:r>
      <w:r w:rsidR="00946C7E" w:rsidRPr="00686D5A">
        <w:rPr>
          <w:lang w:val="fr-FR"/>
        </w:rPr>
        <w:t> </w:t>
      </w:r>
      <w:r w:rsidRPr="00686D5A">
        <w:rPr>
          <w:lang w:val="fr-FR"/>
        </w:rPr>
        <w:t>Conférence des enquêteurs internationaux, Tunis, septembre 2013.</w:t>
      </w:r>
    </w:p>
    <w:p w:rsidR="009A7E4C" w:rsidRPr="00686D5A" w:rsidRDefault="009A7E4C" w:rsidP="00946C7E">
      <w:pPr>
        <w:pStyle w:val="ONUMFS"/>
        <w:numPr>
          <w:ilvl w:val="1"/>
          <w:numId w:val="32"/>
        </w:numPr>
        <w:rPr>
          <w:lang w:val="fr-FR"/>
        </w:rPr>
      </w:pPr>
      <w:r w:rsidRPr="00686D5A">
        <w:rPr>
          <w:lang w:val="fr-FR"/>
        </w:rPr>
        <w:t xml:space="preserve">Réunion annuelle du Groupe des </w:t>
      </w:r>
      <w:r w:rsidR="00D565F4">
        <w:rPr>
          <w:lang w:val="fr-FR"/>
        </w:rPr>
        <w:t>Nations Unies</w:t>
      </w:r>
      <w:r w:rsidRPr="00686D5A">
        <w:rPr>
          <w:lang w:val="fr-FR"/>
        </w:rPr>
        <w:t xml:space="preserve"> pour l</w:t>
      </w:r>
      <w:r w:rsidR="00D565F4">
        <w:rPr>
          <w:lang w:val="fr-FR"/>
        </w:rPr>
        <w:t>’</w:t>
      </w:r>
      <w:r w:rsidRPr="00686D5A">
        <w:rPr>
          <w:lang w:val="fr-FR"/>
        </w:rPr>
        <w:t>évaluation, Bangkok, avril 2014.  Au cours de la période considérée,</w:t>
      </w:r>
      <w:r w:rsidR="00D565F4" w:rsidRPr="00686D5A">
        <w:rPr>
          <w:lang w:val="fr-FR"/>
        </w:rPr>
        <w:t xml:space="preserve"> la</w:t>
      </w:r>
      <w:r w:rsidR="00D565F4">
        <w:rPr>
          <w:lang w:val="fr-FR"/>
        </w:rPr>
        <w:t> DAS</w:t>
      </w:r>
      <w:r w:rsidR="00E90725">
        <w:rPr>
          <w:lang w:val="fr-FR"/>
        </w:rPr>
        <w:t>I</w:t>
      </w:r>
      <w:r w:rsidRPr="00686D5A">
        <w:rPr>
          <w:lang w:val="fr-FR"/>
        </w:rPr>
        <w:t xml:space="preserve"> a participé au groupe de travail</w:t>
      </w:r>
      <w:r w:rsidR="00E11857" w:rsidRPr="00686D5A">
        <w:rPr>
          <w:lang w:val="fr-FR"/>
        </w:rPr>
        <w:t xml:space="preserve"> </w:t>
      </w:r>
      <w:r w:rsidR="006F71A4">
        <w:rPr>
          <w:lang w:val="fr-FR"/>
        </w:rPr>
        <w:t>de l</w:t>
      </w:r>
      <w:r w:rsidR="00D565F4">
        <w:rPr>
          <w:lang w:val="fr-FR"/>
        </w:rPr>
        <w:t>’</w:t>
      </w:r>
      <w:r w:rsidR="006F71A4">
        <w:rPr>
          <w:lang w:val="fr-FR"/>
        </w:rPr>
        <w:t>UNEG</w:t>
      </w:r>
      <w:r w:rsidRPr="00686D5A">
        <w:rPr>
          <w:lang w:val="fr-FR"/>
        </w:rPr>
        <w:t xml:space="preserve"> chargé de l</w:t>
      </w:r>
      <w:r w:rsidR="00D565F4">
        <w:rPr>
          <w:lang w:val="fr-FR"/>
        </w:rPr>
        <w:t>’</w:t>
      </w:r>
      <w:r w:rsidRPr="00686D5A">
        <w:rPr>
          <w:lang w:val="fr-FR"/>
        </w:rPr>
        <w:t>objectif stratégique concernant les règles et les normes.</w:t>
      </w:r>
    </w:p>
    <w:p w:rsidR="009A7E4C" w:rsidRPr="00686D5A" w:rsidRDefault="009A7E4C" w:rsidP="00946C7E">
      <w:pPr>
        <w:pStyle w:val="ONUMFS"/>
        <w:numPr>
          <w:ilvl w:val="1"/>
          <w:numId w:val="32"/>
        </w:numPr>
        <w:rPr>
          <w:lang w:val="fr-FR"/>
        </w:rPr>
      </w:pPr>
      <w:r w:rsidRPr="00686D5A">
        <w:rPr>
          <w:lang w:val="fr-FR"/>
        </w:rPr>
        <w:t>Création du groupe des représentants des services d</w:t>
      </w:r>
      <w:r w:rsidR="00D565F4">
        <w:rPr>
          <w:lang w:val="fr-FR"/>
        </w:rPr>
        <w:t>’</w:t>
      </w:r>
      <w:r w:rsidRPr="00686D5A">
        <w:rPr>
          <w:lang w:val="fr-FR"/>
        </w:rPr>
        <w:t xml:space="preserve">enquête des </w:t>
      </w:r>
      <w:r w:rsidR="00D565F4">
        <w:rPr>
          <w:lang w:val="fr-FR"/>
        </w:rPr>
        <w:t>Nations Unies</w:t>
      </w:r>
      <w:r w:rsidRPr="00686D5A">
        <w:rPr>
          <w:lang w:val="fr-FR"/>
        </w:rPr>
        <w:t>.  Le groupe a pour mission de renforcer les pratiques et le professionnalisme en matière d</w:t>
      </w:r>
      <w:r w:rsidR="00D565F4">
        <w:rPr>
          <w:lang w:val="fr-FR"/>
        </w:rPr>
        <w:t>’</w:t>
      </w:r>
      <w:r w:rsidRPr="00686D5A">
        <w:rPr>
          <w:lang w:val="fr-FR"/>
        </w:rPr>
        <w:t>enquêtes en servant d</w:t>
      </w:r>
      <w:r w:rsidR="00D565F4">
        <w:rPr>
          <w:lang w:val="fr-FR"/>
        </w:rPr>
        <w:t>’</w:t>
      </w:r>
      <w:r w:rsidRPr="00686D5A">
        <w:rPr>
          <w:lang w:val="fr-FR"/>
        </w:rPr>
        <w:t>instance d</w:t>
      </w:r>
      <w:r w:rsidR="00D565F4">
        <w:rPr>
          <w:lang w:val="fr-FR"/>
        </w:rPr>
        <w:t>’</w:t>
      </w:r>
      <w:r w:rsidRPr="00686D5A">
        <w:rPr>
          <w:lang w:val="fr-FR"/>
        </w:rPr>
        <w:t>élaboration de politiques et de procédures, de promouvoir et de favoriser l</w:t>
      </w:r>
      <w:r w:rsidR="00D565F4">
        <w:rPr>
          <w:lang w:val="fr-FR"/>
        </w:rPr>
        <w:t>’</w:t>
      </w:r>
      <w:r w:rsidRPr="00686D5A">
        <w:rPr>
          <w:lang w:val="fr-FR"/>
        </w:rPr>
        <w:t>indépendance, la collaboration et les positions communes de ses membres pour apporter une valeur ajoutée à leurs organisations et d</w:t>
      </w:r>
      <w:r w:rsidR="00D565F4">
        <w:rPr>
          <w:lang w:val="fr-FR"/>
        </w:rPr>
        <w:t>’</w:t>
      </w:r>
      <w:r w:rsidRPr="00686D5A">
        <w:rPr>
          <w:lang w:val="fr-FR"/>
        </w:rPr>
        <w:t xml:space="preserve">échanger des </w:t>
      </w:r>
      <w:r w:rsidRPr="00686D5A">
        <w:rPr>
          <w:lang w:val="fr-FR"/>
        </w:rPr>
        <w:lastRenderedPageBreak/>
        <w:t>informations et de dispenser le cas échéant des conseils aux membres du groupe et d</w:t>
      </w:r>
      <w:r w:rsidR="00D565F4">
        <w:rPr>
          <w:lang w:val="fr-FR"/>
        </w:rPr>
        <w:t>’</w:t>
      </w:r>
      <w:r w:rsidRPr="00686D5A">
        <w:rPr>
          <w:lang w:val="fr-FR"/>
        </w:rPr>
        <w:t xml:space="preserve">autres instances des </w:t>
      </w:r>
      <w:r w:rsidR="00D565F4">
        <w:rPr>
          <w:lang w:val="fr-FR"/>
        </w:rPr>
        <w:t>Nations Unies</w:t>
      </w:r>
      <w:r w:rsidRPr="00686D5A">
        <w:rPr>
          <w:lang w:val="fr-FR"/>
        </w:rPr>
        <w:t>.</w:t>
      </w:r>
    </w:p>
    <w:p w:rsidR="009A7E4C" w:rsidRPr="00686D5A" w:rsidRDefault="009A7E4C" w:rsidP="00946C7E">
      <w:pPr>
        <w:pStyle w:val="ONUMFS"/>
        <w:rPr>
          <w:lang w:val="fr-FR"/>
        </w:rPr>
      </w:pPr>
      <w:r w:rsidRPr="00686D5A">
        <w:rPr>
          <w:lang w:val="fr-FR"/>
        </w:rPr>
        <w:t>En </w:t>
      </w:r>
      <w:r w:rsidR="00E11857" w:rsidRPr="00686D5A">
        <w:rPr>
          <w:lang w:val="fr-FR"/>
        </w:rPr>
        <w:t>avril 20</w:t>
      </w:r>
      <w:r w:rsidRPr="00686D5A">
        <w:rPr>
          <w:lang w:val="fr-FR"/>
        </w:rPr>
        <w:t>14,</w:t>
      </w:r>
      <w:r w:rsidR="00D565F4" w:rsidRPr="00686D5A">
        <w:rPr>
          <w:lang w:val="fr-FR"/>
        </w:rPr>
        <w:t xml:space="preserve"> la</w:t>
      </w:r>
      <w:r w:rsidR="00D565F4">
        <w:rPr>
          <w:lang w:val="fr-FR"/>
        </w:rPr>
        <w:t> DAS</w:t>
      </w:r>
      <w:r w:rsidR="00E90725">
        <w:rPr>
          <w:lang w:val="fr-FR"/>
        </w:rPr>
        <w:t>I</w:t>
      </w:r>
      <w:r w:rsidRPr="00686D5A">
        <w:rPr>
          <w:lang w:val="fr-FR"/>
        </w:rPr>
        <w:t xml:space="preserve"> a accueilli à l</w:t>
      </w:r>
      <w:r w:rsidR="00D565F4">
        <w:rPr>
          <w:lang w:val="fr-FR"/>
        </w:rPr>
        <w:t>’</w:t>
      </w:r>
      <w:r w:rsidRPr="00686D5A">
        <w:rPr>
          <w:lang w:val="fr-FR"/>
        </w:rPr>
        <w:t xml:space="preserve">OMPI la réunion des chefs des services </w:t>
      </w:r>
      <w:r w:rsidRPr="00686D5A">
        <w:rPr>
          <w:lang w:val="fr-FR" w:eastAsia="fr-FR"/>
        </w:rPr>
        <w:t>d</w:t>
      </w:r>
      <w:r w:rsidR="00D565F4">
        <w:rPr>
          <w:lang w:val="fr-FR" w:eastAsia="fr-FR"/>
        </w:rPr>
        <w:t>’</w:t>
      </w:r>
      <w:r w:rsidRPr="00686D5A">
        <w:rPr>
          <w:lang w:val="fr-FR" w:eastAsia="fr-FR"/>
        </w:rPr>
        <w:t xml:space="preserve">audit interne des organisations internationales basées en Europe.  Y ont assisté plus de </w:t>
      </w:r>
      <w:r w:rsidR="005E35C2" w:rsidRPr="00686D5A">
        <w:rPr>
          <w:lang w:val="fr-FR" w:eastAsia="fr-FR"/>
        </w:rPr>
        <w:t>50 </w:t>
      </w:r>
      <w:r w:rsidRPr="00686D5A">
        <w:rPr>
          <w:lang w:val="fr-FR" w:eastAsia="fr-FR"/>
        </w:rPr>
        <w:t>représentants de 35 organisations.  Ont eu lieu des discussions approfondies sur l</w:t>
      </w:r>
      <w:r w:rsidR="00D565F4">
        <w:rPr>
          <w:lang w:val="fr-FR" w:eastAsia="fr-FR"/>
        </w:rPr>
        <w:t>’</w:t>
      </w:r>
      <w:r w:rsidRPr="00686D5A">
        <w:rPr>
          <w:lang w:val="fr-FR" w:eastAsia="fr-FR"/>
        </w:rPr>
        <w:t>audit de la gouvernance, les trois</w:t>
      </w:r>
      <w:r w:rsidR="00413B67" w:rsidRPr="00686D5A">
        <w:rPr>
          <w:lang w:val="fr-FR" w:eastAsia="fr-FR"/>
        </w:rPr>
        <w:t> </w:t>
      </w:r>
      <w:r w:rsidRPr="00686D5A">
        <w:rPr>
          <w:lang w:val="fr-FR" w:eastAsia="fr-FR"/>
        </w:rPr>
        <w:t>lignes de défense en matière de gestion efficace des risques, de contrôle interne et de vérification des résultats, ainsi que des discussions portant davantage sur les activités conjointes de formation et les évaluations comparatives menées dans le cadre de l</w:t>
      </w:r>
      <w:r w:rsidR="00D565F4">
        <w:rPr>
          <w:lang w:val="fr-FR" w:eastAsia="fr-FR"/>
        </w:rPr>
        <w:t>’</w:t>
      </w:r>
      <w:r w:rsidRPr="00686D5A">
        <w:rPr>
          <w:lang w:val="fr-FR" w:eastAsia="fr-FR"/>
        </w:rPr>
        <w:t xml:space="preserve">enquête </w:t>
      </w:r>
      <w:r w:rsidRPr="00686D5A">
        <w:rPr>
          <w:lang w:val="fr-FR"/>
        </w:rPr>
        <w:t>Global Audit Information Network (GAIN) de l</w:t>
      </w:r>
      <w:r w:rsidR="00D565F4">
        <w:rPr>
          <w:lang w:val="fr-FR"/>
        </w:rPr>
        <w:t>’</w:t>
      </w:r>
      <w:r w:rsidRPr="00686D5A">
        <w:rPr>
          <w:lang w:val="fr-FR"/>
        </w:rPr>
        <w:t>Institut des auditeurs internes.</w:t>
      </w:r>
    </w:p>
    <w:p w:rsidR="009A7E4C" w:rsidRPr="00686D5A" w:rsidRDefault="009A7E4C" w:rsidP="00946C7E">
      <w:pPr>
        <w:pStyle w:val="Heading2"/>
      </w:pPr>
      <w:r w:rsidRPr="00686D5A">
        <w:t>Activités de sensibilisation au sein de l</w:t>
      </w:r>
      <w:r w:rsidR="00D565F4">
        <w:t>’</w:t>
      </w:r>
      <w:r w:rsidRPr="00686D5A">
        <w:t>Organisation</w:t>
      </w:r>
    </w:p>
    <w:p w:rsidR="009A7E4C" w:rsidRPr="00686D5A" w:rsidRDefault="009A7E4C" w:rsidP="00946C7E">
      <w:pPr>
        <w:pStyle w:val="ONUMFS"/>
        <w:rPr>
          <w:lang w:val="fr-FR"/>
        </w:rPr>
      </w:pPr>
      <w:r w:rsidRPr="00686D5A">
        <w:rPr>
          <w:lang w:val="fr-FR"/>
        </w:rPr>
        <w:t>Pour mieux expliquer et faire comprendre son travail,</w:t>
      </w:r>
      <w:r w:rsidR="00D565F4" w:rsidRPr="00686D5A">
        <w:rPr>
          <w:lang w:val="fr-FR"/>
        </w:rPr>
        <w:t xml:space="preserve"> la</w:t>
      </w:r>
      <w:r w:rsidR="00D565F4">
        <w:rPr>
          <w:lang w:val="fr-FR"/>
        </w:rPr>
        <w:t> DAS</w:t>
      </w:r>
      <w:r w:rsidR="00E90725">
        <w:rPr>
          <w:lang w:val="fr-FR"/>
        </w:rPr>
        <w:t>I</w:t>
      </w:r>
      <w:r w:rsidRPr="00686D5A">
        <w:rPr>
          <w:lang w:val="fr-FR"/>
        </w:rPr>
        <w:t xml:space="preserve"> a pris plusieurs initiatives aux fins de continuer à sensibiliser le personnel de l</w:t>
      </w:r>
      <w:r w:rsidR="00D565F4">
        <w:rPr>
          <w:lang w:val="fr-FR"/>
        </w:rPr>
        <w:t>’</w:t>
      </w:r>
      <w:r w:rsidRPr="00686D5A">
        <w:rPr>
          <w:lang w:val="fr-FR"/>
        </w:rPr>
        <w:t>OMPI :</w:t>
      </w:r>
    </w:p>
    <w:p w:rsidR="009A7E4C" w:rsidRPr="00686D5A" w:rsidRDefault="00946C7E" w:rsidP="00946C7E">
      <w:pPr>
        <w:pStyle w:val="ONUMFS"/>
        <w:numPr>
          <w:ilvl w:val="1"/>
          <w:numId w:val="32"/>
        </w:numPr>
        <w:rPr>
          <w:lang w:val="fr-FR"/>
        </w:rPr>
      </w:pPr>
      <w:r w:rsidRPr="00686D5A">
        <w:rPr>
          <w:lang w:val="fr-FR"/>
        </w:rPr>
        <w:t>l</w:t>
      </w:r>
      <w:r w:rsidR="009A7E4C" w:rsidRPr="00686D5A">
        <w:rPr>
          <w:lang w:val="fr-FR"/>
        </w:rPr>
        <w:t xml:space="preserve">a </w:t>
      </w:r>
      <w:r w:rsidR="006F71A4">
        <w:rPr>
          <w:lang w:val="fr-FR"/>
        </w:rPr>
        <w:t xml:space="preserve">DASI continue de </w:t>
      </w:r>
      <w:r w:rsidR="009A7E4C" w:rsidRPr="00686D5A">
        <w:rPr>
          <w:lang w:val="fr-FR"/>
        </w:rPr>
        <w:t>participe</w:t>
      </w:r>
      <w:r w:rsidR="006F71A4">
        <w:rPr>
          <w:lang w:val="fr-FR"/>
        </w:rPr>
        <w:t>r</w:t>
      </w:r>
      <w:r w:rsidR="009A7E4C" w:rsidRPr="00686D5A">
        <w:rPr>
          <w:lang w:val="fr-FR"/>
        </w:rPr>
        <w:t xml:space="preserve"> aux programmes d</w:t>
      </w:r>
      <w:r w:rsidR="00D565F4">
        <w:rPr>
          <w:lang w:val="fr-FR"/>
        </w:rPr>
        <w:t>’</w:t>
      </w:r>
      <w:r w:rsidR="009A7E4C" w:rsidRPr="00686D5A">
        <w:rPr>
          <w:lang w:val="fr-FR"/>
        </w:rPr>
        <w:t>initiation à l</w:t>
      </w:r>
      <w:r w:rsidR="00D565F4">
        <w:rPr>
          <w:lang w:val="fr-FR"/>
        </w:rPr>
        <w:t>’</w:t>
      </w:r>
      <w:r w:rsidR="009A7E4C" w:rsidRPr="00686D5A">
        <w:rPr>
          <w:lang w:val="fr-FR"/>
        </w:rPr>
        <w:t>intention de</w:t>
      </w:r>
      <w:r w:rsidRPr="00686D5A">
        <w:rPr>
          <w:lang w:val="fr-FR"/>
        </w:rPr>
        <w:t>s nouveaux membres du personnel;</w:t>
      </w:r>
    </w:p>
    <w:p w:rsidR="009A7E4C" w:rsidRPr="00686D5A" w:rsidRDefault="00946C7E" w:rsidP="00946C7E">
      <w:pPr>
        <w:pStyle w:val="ONUMFS"/>
        <w:numPr>
          <w:ilvl w:val="1"/>
          <w:numId w:val="32"/>
        </w:numPr>
        <w:rPr>
          <w:lang w:val="fr-FR"/>
        </w:rPr>
      </w:pPr>
      <w:r w:rsidRPr="00686D5A">
        <w:rPr>
          <w:lang w:val="fr-FR"/>
        </w:rPr>
        <w:t>d</w:t>
      </w:r>
      <w:r w:rsidR="009A7E4C" w:rsidRPr="00686D5A">
        <w:rPr>
          <w:lang w:val="fr-FR"/>
        </w:rPr>
        <w:t>es messages électroniques ont été adressés à tout le personnel au moment du lancement de la ligne d</w:t>
      </w:r>
      <w:r w:rsidR="00D565F4">
        <w:rPr>
          <w:lang w:val="fr-FR"/>
        </w:rPr>
        <w:t>’</w:t>
      </w:r>
      <w:r w:rsidR="009A7E4C" w:rsidRPr="00686D5A">
        <w:rPr>
          <w:lang w:val="fr-FR"/>
        </w:rPr>
        <w:t>alerte permettant de signaler toute présomption d</w:t>
      </w:r>
      <w:r w:rsidR="00D565F4">
        <w:rPr>
          <w:lang w:val="fr-FR"/>
        </w:rPr>
        <w:t>’</w:t>
      </w:r>
      <w:r w:rsidR="009A7E4C" w:rsidRPr="00686D5A">
        <w:rPr>
          <w:lang w:val="fr-FR"/>
        </w:rPr>
        <w:t>actes répréhensibles, ainsi que de la publication de la politique en matière d</w:t>
      </w:r>
      <w:r w:rsidR="00D565F4">
        <w:rPr>
          <w:lang w:val="fr-FR"/>
        </w:rPr>
        <w:t>’</w:t>
      </w:r>
      <w:r w:rsidRPr="00686D5A">
        <w:rPr>
          <w:lang w:val="fr-FR"/>
        </w:rPr>
        <w:t>enquêtes;</w:t>
      </w:r>
    </w:p>
    <w:p w:rsidR="009A7E4C" w:rsidRPr="00686D5A" w:rsidRDefault="00946C7E" w:rsidP="00946C7E">
      <w:pPr>
        <w:pStyle w:val="ONUMFS"/>
        <w:numPr>
          <w:ilvl w:val="1"/>
          <w:numId w:val="32"/>
        </w:numPr>
        <w:rPr>
          <w:lang w:val="fr-FR"/>
        </w:rPr>
      </w:pPr>
      <w:r w:rsidRPr="00686D5A">
        <w:rPr>
          <w:lang w:val="fr-FR"/>
        </w:rPr>
        <w:t>e</w:t>
      </w:r>
      <w:r w:rsidR="009A7E4C" w:rsidRPr="00686D5A">
        <w:rPr>
          <w:lang w:val="fr-FR"/>
        </w:rPr>
        <w:t>nfin,</w:t>
      </w:r>
      <w:r w:rsidR="00D565F4" w:rsidRPr="00686D5A">
        <w:rPr>
          <w:lang w:val="fr-FR"/>
        </w:rPr>
        <w:t xml:space="preserve"> la</w:t>
      </w:r>
      <w:r w:rsidR="00D565F4">
        <w:rPr>
          <w:lang w:val="fr-FR"/>
        </w:rPr>
        <w:t> DAS</w:t>
      </w:r>
      <w:r w:rsidR="00E90725">
        <w:rPr>
          <w:lang w:val="fr-FR"/>
        </w:rPr>
        <w:t>I</w:t>
      </w:r>
      <w:r w:rsidR="009A7E4C" w:rsidRPr="00686D5A">
        <w:rPr>
          <w:lang w:val="fr-FR"/>
        </w:rPr>
        <w:t xml:space="preserve"> a lancé un bulletin d</w:t>
      </w:r>
      <w:r w:rsidR="00D565F4">
        <w:rPr>
          <w:lang w:val="fr-FR"/>
        </w:rPr>
        <w:t>’</w:t>
      </w:r>
      <w:r w:rsidR="009A7E4C" w:rsidRPr="00686D5A">
        <w:rPr>
          <w:lang w:val="fr-FR"/>
        </w:rPr>
        <w:t>information qui sera publié deux</w:t>
      </w:r>
      <w:r w:rsidR="00413B67" w:rsidRPr="00686D5A">
        <w:rPr>
          <w:lang w:val="fr-FR"/>
        </w:rPr>
        <w:t> </w:t>
      </w:r>
      <w:r w:rsidR="009A7E4C" w:rsidRPr="00686D5A">
        <w:rPr>
          <w:lang w:val="fr-FR"/>
        </w:rPr>
        <w:t>fois par</w:t>
      </w:r>
      <w:r w:rsidR="00A02402" w:rsidRPr="00686D5A">
        <w:rPr>
          <w:lang w:val="fr-FR"/>
        </w:rPr>
        <w:t> </w:t>
      </w:r>
      <w:r w:rsidR="009A7E4C" w:rsidRPr="00686D5A">
        <w:rPr>
          <w:lang w:val="fr-FR"/>
        </w:rPr>
        <w:t>an.</w:t>
      </w:r>
    </w:p>
    <w:p w:rsidR="00E11857" w:rsidRPr="00686D5A" w:rsidRDefault="00946C7E" w:rsidP="00946C7E">
      <w:pPr>
        <w:pStyle w:val="Heading1"/>
        <w:rPr>
          <w:lang w:val="fr-FR"/>
        </w:rPr>
      </w:pPr>
      <w:bookmarkStart w:id="14" w:name="_Toc393891971"/>
      <w:r w:rsidRPr="00686D5A">
        <w:rPr>
          <w:lang w:val="fr-FR"/>
        </w:rPr>
        <w:t>Ressources en matière de supervision</w:t>
      </w:r>
      <w:bookmarkEnd w:id="14"/>
    </w:p>
    <w:p w:rsidR="009A7E4C" w:rsidRPr="00686D5A" w:rsidRDefault="009A7E4C" w:rsidP="00946C7E">
      <w:pPr>
        <w:pStyle w:val="ONUMFS"/>
        <w:rPr>
          <w:lang w:val="fr-FR"/>
        </w:rPr>
      </w:pPr>
      <w:r w:rsidRPr="00686D5A">
        <w:rPr>
          <w:lang w:val="fr-FR"/>
        </w:rPr>
        <w:t>En vertu de la Charte de la supervision interne, le directeur de</w:t>
      </w:r>
      <w:r w:rsidR="00D565F4" w:rsidRPr="00686D5A">
        <w:rPr>
          <w:lang w:val="fr-FR"/>
        </w:rPr>
        <w:t xml:space="preserve"> la</w:t>
      </w:r>
      <w:r w:rsidR="00D565F4">
        <w:rPr>
          <w:lang w:val="fr-FR"/>
        </w:rPr>
        <w:t> DAS</w:t>
      </w:r>
      <w:r w:rsidR="00E90725">
        <w:rPr>
          <w:lang w:val="fr-FR"/>
        </w:rPr>
        <w:t>I</w:t>
      </w:r>
      <w:r w:rsidRPr="00686D5A">
        <w:rPr>
          <w:lang w:val="fr-FR"/>
        </w:rPr>
        <w:t xml:space="preserve"> fait part de ses observations sur la question de savoir si les ressources allouées à la supervision interne au sein de l</w:t>
      </w:r>
      <w:r w:rsidR="00D565F4">
        <w:rPr>
          <w:lang w:val="fr-FR"/>
        </w:rPr>
        <w:t>’</w:t>
      </w:r>
      <w:r w:rsidRPr="00686D5A">
        <w:rPr>
          <w:lang w:val="fr-FR"/>
        </w:rPr>
        <w:t>Organisation sont adaptées.</w:t>
      </w:r>
    </w:p>
    <w:p w:rsidR="009A7E4C" w:rsidRPr="00686D5A" w:rsidRDefault="009A7E4C" w:rsidP="007931CB">
      <w:pPr>
        <w:pStyle w:val="Heading2"/>
      </w:pPr>
      <w:r w:rsidRPr="00686D5A">
        <w:t>Budget et effectifs</w:t>
      </w:r>
    </w:p>
    <w:p w:rsidR="009A7E4C" w:rsidRPr="00686D5A" w:rsidRDefault="009A7E4C" w:rsidP="007931CB">
      <w:pPr>
        <w:pStyle w:val="ONUMFS"/>
        <w:rPr>
          <w:lang w:val="fr-FR"/>
        </w:rPr>
      </w:pPr>
      <w:r w:rsidRPr="00686D5A">
        <w:rPr>
          <w:lang w:val="fr-FR"/>
        </w:rPr>
        <w:t>Les effectifs de</w:t>
      </w:r>
      <w:r w:rsidR="00D565F4" w:rsidRPr="00686D5A">
        <w:rPr>
          <w:lang w:val="fr-FR"/>
        </w:rPr>
        <w:t xml:space="preserve"> la</w:t>
      </w:r>
      <w:r w:rsidR="00D565F4">
        <w:rPr>
          <w:lang w:val="fr-FR"/>
        </w:rPr>
        <w:t> DAS</w:t>
      </w:r>
      <w:r w:rsidR="00E90725">
        <w:rPr>
          <w:lang w:val="fr-FR"/>
        </w:rPr>
        <w:t>I</w:t>
      </w:r>
      <w:r w:rsidRPr="00686D5A">
        <w:rPr>
          <w:lang w:val="fr-FR"/>
        </w:rPr>
        <w:t xml:space="preserve"> ont posé problème par le passé, le nombre des postes ayant été insuffisant ou les ressources ayant manqué pour les consultants externes et le taux de vacance de postes ayant été élevé.  Le nombre de postes est établi à un niveau approprié depuis 2012, avec 11 membres du personnel.  À compter de l</w:t>
      </w:r>
      <w:r w:rsidR="00D565F4">
        <w:rPr>
          <w:lang w:val="fr-FR"/>
        </w:rPr>
        <w:t>’</w:t>
      </w:r>
      <w:r w:rsidRPr="00686D5A">
        <w:rPr>
          <w:lang w:val="fr-FR"/>
        </w:rPr>
        <w:t>exercice biennal</w:t>
      </w:r>
      <w:r w:rsidR="00413B67" w:rsidRPr="00686D5A">
        <w:rPr>
          <w:lang w:val="fr-FR"/>
        </w:rPr>
        <w:t> </w:t>
      </w:r>
      <w:r w:rsidRPr="00686D5A">
        <w:rPr>
          <w:lang w:val="fr-FR"/>
        </w:rPr>
        <w:t>2012</w:t>
      </w:r>
      <w:r w:rsidR="001F4EED">
        <w:rPr>
          <w:lang w:val="fr-FR"/>
        </w:rPr>
        <w:noBreakHyphen/>
      </w:r>
      <w:r w:rsidRPr="00686D5A">
        <w:rPr>
          <w:lang w:val="fr-FR"/>
        </w:rPr>
        <w:t>2013, les ressources destinées aux experts sous contrat ont permis d</w:t>
      </w:r>
      <w:r w:rsidR="00D565F4">
        <w:rPr>
          <w:lang w:val="fr-FR"/>
        </w:rPr>
        <w:t>’</w:t>
      </w:r>
      <w:r w:rsidRPr="00686D5A">
        <w:rPr>
          <w:lang w:val="fr-FR"/>
        </w:rPr>
        <w:t>engager des services contractuels pour contribuer aux activités de supervision.  Concernant les vacances d</w:t>
      </w:r>
      <w:r w:rsidR="00D565F4">
        <w:rPr>
          <w:lang w:val="fr-FR"/>
        </w:rPr>
        <w:t>’</w:t>
      </w:r>
      <w:r w:rsidRPr="00686D5A">
        <w:rPr>
          <w:lang w:val="fr-FR"/>
        </w:rPr>
        <w:t>emploi, les postes ont été pourvus au cours de l</w:t>
      </w:r>
      <w:r w:rsidR="00D565F4">
        <w:rPr>
          <w:lang w:val="fr-FR"/>
        </w:rPr>
        <w:t>’</w:t>
      </w:r>
      <w:r w:rsidRPr="00686D5A">
        <w:rPr>
          <w:lang w:val="fr-FR"/>
        </w:rPr>
        <w:t>exercice biennal</w:t>
      </w:r>
      <w:r w:rsidR="00413B67" w:rsidRPr="00686D5A">
        <w:rPr>
          <w:lang w:val="fr-FR"/>
        </w:rPr>
        <w:t> </w:t>
      </w:r>
      <w:r w:rsidRPr="00686D5A">
        <w:rPr>
          <w:lang w:val="fr-FR"/>
        </w:rPr>
        <w:t>2012</w:t>
      </w:r>
      <w:r w:rsidR="001F4EED">
        <w:rPr>
          <w:lang w:val="fr-FR"/>
        </w:rPr>
        <w:noBreakHyphen/>
      </w:r>
      <w:r w:rsidRPr="00686D5A">
        <w:rPr>
          <w:lang w:val="fr-FR"/>
        </w:rPr>
        <w:t>2013.  Cela dit, pendant le premier semestre de 2014, le poste de chef de la Section des enquêtes est resté vacant, le titulaire précédent ayant rejoint un autre poste.  Ce poste sera pourvu à partir du 1</w:t>
      </w:r>
      <w:r w:rsidRPr="00686D5A">
        <w:rPr>
          <w:vertAlign w:val="superscript"/>
          <w:lang w:val="fr-FR"/>
        </w:rPr>
        <w:t>er</w:t>
      </w:r>
      <w:r w:rsidRPr="00686D5A">
        <w:rPr>
          <w:lang w:val="fr-FR"/>
        </w:rPr>
        <w:t> </w:t>
      </w:r>
      <w:r w:rsidR="00E11857" w:rsidRPr="00686D5A">
        <w:rPr>
          <w:lang w:val="fr-FR"/>
        </w:rPr>
        <w:t>juillet 20</w:t>
      </w:r>
      <w:r w:rsidRPr="00686D5A">
        <w:rPr>
          <w:lang w:val="fr-FR"/>
        </w:rPr>
        <w:t>14.</w:t>
      </w:r>
    </w:p>
    <w:p w:rsidR="009A7E4C" w:rsidRPr="00686D5A" w:rsidRDefault="009A7E4C" w:rsidP="007931CB">
      <w:pPr>
        <w:pStyle w:val="ONUMFS"/>
        <w:rPr>
          <w:lang w:val="fr-FR"/>
        </w:rPr>
      </w:pPr>
      <w:r w:rsidRPr="00686D5A">
        <w:rPr>
          <w:lang w:val="fr-FR"/>
        </w:rPr>
        <w:t>Aux fins de l</w:t>
      </w:r>
      <w:r w:rsidR="00D565F4">
        <w:rPr>
          <w:lang w:val="fr-FR"/>
        </w:rPr>
        <w:t>’</w:t>
      </w:r>
      <w:r w:rsidRPr="00686D5A">
        <w:rPr>
          <w:lang w:val="fr-FR"/>
        </w:rPr>
        <w:t>exécution du mandat de</w:t>
      </w:r>
      <w:r w:rsidR="00D565F4" w:rsidRPr="00686D5A">
        <w:rPr>
          <w:lang w:val="fr-FR"/>
        </w:rPr>
        <w:t xml:space="preserve"> la</w:t>
      </w:r>
      <w:r w:rsidR="00D565F4">
        <w:rPr>
          <w:lang w:val="fr-FR"/>
        </w:rPr>
        <w:t> DAS</w:t>
      </w:r>
      <w:r w:rsidR="00E90725">
        <w:rPr>
          <w:lang w:val="fr-FR"/>
        </w:rPr>
        <w:t>I</w:t>
      </w:r>
      <w:r w:rsidRPr="00686D5A">
        <w:rPr>
          <w:lang w:val="fr-FR"/>
        </w:rPr>
        <w:t>, le niveau des ressources (0,75% du budget de l</w:t>
      </w:r>
      <w:r w:rsidR="00D565F4">
        <w:rPr>
          <w:lang w:val="fr-FR"/>
        </w:rPr>
        <w:t>’</w:t>
      </w:r>
      <w:r w:rsidRPr="00686D5A">
        <w:rPr>
          <w:lang w:val="fr-FR"/>
        </w:rPr>
        <w:t>OMPI et 0,88% des effectifs de l</w:t>
      </w:r>
      <w:r w:rsidR="00D565F4">
        <w:rPr>
          <w:lang w:val="fr-FR"/>
        </w:rPr>
        <w:t>’</w:t>
      </w:r>
      <w:r w:rsidRPr="00686D5A">
        <w:rPr>
          <w:lang w:val="fr-FR"/>
        </w:rPr>
        <w:t>Organisation) est bas comparé à certaines normes, telles celles recommandées dans les rapports du Corps commun d</w:t>
      </w:r>
      <w:r w:rsidR="00D565F4">
        <w:rPr>
          <w:lang w:val="fr-FR"/>
        </w:rPr>
        <w:t>’</w:t>
      </w:r>
      <w:r w:rsidRPr="00686D5A">
        <w:rPr>
          <w:lang w:val="fr-FR"/>
        </w:rPr>
        <w:t>inspection sur les fonctions de supervision</w:t>
      </w:r>
      <w:r w:rsidRPr="00686D5A">
        <w:rPr>
          <w:vertAlign w:val="superscript"/>
          <w:lang w:val="fr-FR"/>
        </w:rPr>
        <w:footnoteReference w:id="18"/>
      </w:r>
      <w:r w:rsidRPr="00686D5A">
        <w:rPr>
          <w:lang w:val="fr-FR"/>
        </w:rPr>
        <w:t>.  Le niveau des ressources a toutefois permis à</w:t>
      </w:r>
      <w:r w:rsidR="00D565F4" w:rsidRPr="00686D5A">
        <w:rPr>
          <w:lang w:val="fr-FR"/>
        </w:rPr>
        <w:t xml:space="preserve"> la</w:t>
      </w:r>
      <w:r w:rsidR="00D565F4">
        <w:rPr>
          <w:lang w:val="fr-FR"/>
        </w:rPr>
        <w:t> DAS</w:t>
      </w:r>
      <w:r w:rsidR="00E90725">
        <w:rPr>
          <w:lang w:val="fr-FR"/>
        </w:rPr>
        <w:t>I</w:t>
      </w:r>
      <w:r w:rsidRPr="00686D5A">
        <w:rPr>
          <w:lang w:val="fr-FR"/>
        </w:rPr>
        <w:t xml:space="preserve"> de couvrir les domaines définis comme prioritaires dans ses plans de travail.  L</w:t>
      </w:r>
      <w:r w:rsidR="006F71A4">
        <w:rPr>
          <w:lang w:val="fr-FR"/>
        </w:rPr>
        <w:t xml:space="preserve">es </w:t>
      </w:r>
      <w:r w:rsidRPr="00686D5A">
        <w:rPr>
          <w:lang w:val="fr-FR"/>
        </w:rPr>
        <w:t>audit</w:t>
      </w:r>
      <w:r w:rsidR="006F71A4">
        <w:rPr>
          <w:lang w:val="fr-FR"/>
        </w:rPr>
        <w:t>s ont</w:t>
      </w:r>
      <w:r w:rsidRPr="00686D5A">
        <w:rPr>
          <w:lang w:val="fr-FR"/>
        </w:rPr>
        <w:t xml:space="preserve"> porté sur des domaines à </w:t>
      </w:r>
      <w:r w:rsidRPr="00686D5A">
        <w:rPr>
          <w:lang w:val="fr-FR"/>
        </w:rPr>
        <w:lastRenderedPageBreak/>
        <w:t>risque élevé;  les rapports d</w:t>
      </w:r>
      <w:r w:rsidR="00D565F4">
        <w:rPr>
          <w:lang w:val="fr-FR"/>
        </w:rPr>
        <w:t>’</w:t>
      </w:r>
      <w:r w:rsidRPr="00686D5A">
        <w:rPr>
          <w:lang w:val="fr-FR"/>
        </w:rPr>
        <w:t>évaluation indépendants de</w:t>
      </w:r>
      <w:r w:rsidR="00D565F4" w:rsidRPr="00686D5A">
        <w:rPr>
          <w:lang w:val="fr-FR"/>
        </w:rPr>
        <w:t xml:space="preserve"> la</w:t>
      </w:r>
      <w:r w:rsidR="00D565F4">
        <w:rPr>
          <w:lang w:val="fr-FR"/>
        </w:rPr>
        <w:t> DAS</w:t>
      </w:r>
      <w:r w:rsidR="00E90725">
        <w:rPr>
          <w:lang w:val="fr-FR"/>
        </w:rPr>
        <w:t>I</w:t>
      </w:r>
      <w:r w:rsidRPr="00686D5A">
        <w:rPr>
          <w:lang w:val="fr-FR"/>
        </w:rPr>
        <w:t xml:space="preserve"> sont devenus réalité au cours de l</w:t>
      </w:r>
      <w:r w:rsidR="00D565F4">
        <w:rPr>
          <w:lang w:val="fr-FR"/>
        </w:rPr>
        <w:t>’</w:t>
      </w:r>
      <w:r w:rsidRPr="00686D5A">
        <w:rPr>
          <w:lang w:val="fr-FR"/>
        </w:rPr>
        <w:t>exercice biennal</w:t>
      </w:r>
      <w:r w:rsidR="00413B67" w:rsidRPr="00686D5A">
        <w:rPr>
          <w:lang w:val="fr-FR"/>
        </w:rPr>
        <w:t> </w:t>
      </w:r>
      <w:r w:rsidRPr="00686D5A">
        <w:rPr>
          <w:lang w:val="fr-FR"/>
        </w:rPr>
        <w:t>2012</w:t>
      </w:r>
      <w:r w:rsidR="001F4EED">
        <w:rPr>
          <w:lang w:val="fr-FR"/>
        </w:rPr>
        <w:noBreakHyphen/>
      </w:r>
      <w:r w:rsidRPr="00686D5A">
        <w:rPr>
          <w:lang w:val="fr-FR"/>
        </w:rPr>
        <w:t xml:space="preserve">2013 et les </w:t>
      </w:r>
      <w:r w:rsidR="006F71A4">
        <w:rPr>
          <w:lang w:val="fr-FR"/>
        </w:rPr>
        <w:t>cas soumis à</w:t>
      </w:r>
      <w:r w:rsidRPr="00686D5A">
        <w:rPr>
          <w:lang w:val="fr-FR"/>
        </w:rPr>
        <w:t xml:space="preserve"> la Section des enquêtes sont sous contrôle.  Le niveau des ressources semble approprié dans le présent contexte, où l</w:t>
      </w:r>
      <w:r w:rsidR="00D565F4">
        <w:rPr>
          <w:lang w:val="fr-FR"/>
        </w:rPr>
        <w:t>’</w:t>
      </w:r>
      <w:r w:rsidRPr="00686D5A">
        <w:rPr>
          <w:lang w:val="fr-FR"/>
        </w:rPr>
        <w:t>Organisation a accompli des progrès importants en termes de contrôle interne et de gestion des risques et n</w:t>
      </w:r>
      <w:r w:rsidR="00D565F4">
        <w:rPr>
          <w:lang w:val="fr-FR"/>
        </w:rPr>
        <w:t>’</w:t>
      </w:r>
      <w:r w:rsidRPr="00686D5A">
        <w:rPr>
          <w:lang w:val="fr-FR"/>
        </w:rPr>
        <w:t>a pas, pour l</w:t>
      </w:r>
      <w:r w:rsidR="00D565F4">
        <w:rPr>
          <w:lang w:val="fr-FR"/>
        </w:rPr>
        <w:t>’</w:t>
      </w:r>
      <w:r w:rsidRPr="00686D5A">
        <w:rPr>
          <w:lang w:val="fr-FR"/>
        </w:rPr>
        <w:t>instant, sensiblement modifié ses objectifs stratégiques ni son modèle d</w:t>
      </w:r>
      <w:r w:rsidR="00D565F4">
        <w:rPr>
          <w:lang w:val="fr-FR"/>
        </w:rPr>
        <w:t>’</w:t>
      </w:r>
      <w:r w:rsidRPr="00686D5A">
        <w:rPr>
          <w:lang w:val="fr-FR"/>
        </w:rPr>
        <w:t>activité.</w:t>
      </w:r>
    </w:p>
    <w:p w:rsidR="009A7E4C" w:rsidRPr="00686D5A" w:rsidRDefault="009A7E4C" w:rsidP="00263055">
      <w:pPr>
        <w:pStyle w:val="Caption"/>
        <w:spacing w:after="120"/>
        <w:jc w:val="center"/>
        <w:rPr>
          <w:lang w:val="fr-FR"/>
        </w:rPr>
      </w:pPr>
      <w:r w:rsidRPr="00686D5A">
        <w:rPr>
          <w:lang w:val="fr-FR"/>
        </w:rPr>
        <w:t>Tableau </w:t>
      </w:r>
      <w:r w:rsidRPr="00686D5A">
        <w:rPr>
          <w:lang w:val="fr-FR"/>
        </w:rPr>
        <w:fldChar w:fldCharType="begin"/>
      </w:r>
      <w:r w:rsidRPr="00686D5A">
        <w:rPr>
          <w:lang w:val="fr-FR"/>
        </w:rPr>
        <w:instrText xml:space="preserve"> SEQ Table \* ARABIC </w:instrText>
      </w:r>
      <w:r w:rsidRPr="00686D5A">
        <w:rPr>
          <w:lang w:val="fr-FR"/>
        </w:rPr>
        <w:fldChar w:fldCharType="separate"/>
      </w:r>
      <w:r w:rsidR="00D74313">
        <w:rPr>
          <w:noProof/>
          <w:lang w:val="fr-FR"/>
        </w:rPr>
        <w:t>2</w:t>
      </w:r>
      <w:r w:rsidRPr="00686D5A">
        <w:rPr>
          <w:lang w:val="fr-FR"/>
        </w:rPr>
        <w:fldChar w:fldCharType="end"/>
      </w:r>
      <w:r w:rsidRPr="00686D5A">
        <w:rPr>
          <w:lang w:val="fr-FR"/>
        </w:rPr>
        <w:t xml:space="preserve"> – Budget et </w:t>
      </w:r>
      <w:r w:rsidR="005E35C2" w:rsidRPr="00686D5A">
        <w:rPr>
          <w:lang w:val="fr-FR"/>
        </w:rPr>
        <w:t>dépenses </w:t>
      </w:r>
      <w:r w:rsidRPr="00686D5A">
        <w:rPr>
          <w:lang w:val="fr-FR"/>
        </w:rPr>
        <w:t>2012 de</w:t>
      </w:r>
      <w:r w:rsidR="00D565F4" w:rsidRPr="00686D5A">
        <w:rPr>
          <w:lang w:val="fr-FR"/>
        </w:rPr>
        <w:t xml:space="preserve"> la</w:t>
      </w:r>
      <w:r w:rsidR="00D565F4">
        <w:rPr>
          <w:lang w:val="fr-FR"/>
        </w:rPr>
        <w:t> DAS</w:t>
      </w:r>
      <w:r w:rsidR="00E90725">
        <w:rPr>
          <w:lang w:val="fr-FR"/>
        </w:rPr>
        <w:t>I</w:t>
      </w:r>
      <w:r w:rsidRPr="00686D5A">
        <w:rPr>
          <w:b w:val="0"/>
          <w:szCs w:val="18"/>
          <w:vertAlign w:val="superscript"/>
          <w:lang w:val="fr-FR"/>
        </w:rPr>
        <w:footnoteReference w:id="19"/>
      </w:r>
      <w:r w:rsidRPr="00686D5A">
        <w:rPr>
          <w:lang w:val="fr-FR"/>
        </w:rPr>
        <w:t xml:space="preserve"> après virements</w:t>
      </w:r>
    </w:p>
    <w:tbl>
      <w:tblPr>
        <w:tblW w:w="0" w:type="auto"/>
        <w:tblLook w:val="00A0" w:firstRow="1" w:lastRow="0" w:firstColumn="1" w:lastColumn="0" w:noHBand="0" w:noVBand="0"/>
      </w:tblPr>
      <w:tblGrid>
        <w:gridCol w:w="2168"/>
        <w:gridCol w:w="1943"/>
        <w:gridCol w:w="2073"/>
        <w:gridCol w:w="1978"/>
        <w:gridCol w:w="1409"/>
      </w:tblGrid>
      <w:tr w:rsidR="00686D5A" w:rsidRPr="00686D5A" w:rsidTr="001E2D32">
        <w:trPr>
          <w:cantSplit/>
        </w:trPr>
        <w:tc>
          <w:tcPr>
            <w:tcW w:w="0" w:type="auto"/>
            <w:tcBorders>
              <w:top w:val="single" w:sz="4" w:space="0" w:color="auto"/>
              <w:left w:val="single" w:sz="4" w:space="0" w:color="auto"/>
              <w:bottom w:val="single" w:sz="4" w:space="0" w:color="auto"/>
              <w:right w:val="single" w:sz="4" w:space="0" w:color="auto"/>
            </w:tcBorders>
            <w:shd w:val="clear" w:color="000000" w:fill="CCFFFF"/>
            <w:noWrap/>
            <w:vAlign w:val="center"/>
          </w:tcPr>
          <w:p w:rsidR="009A7E4C" w:rsidRPr="00686D5A" w:rsidRDefault="009A7E4C" w:rsidP="001E2D32">
            <w:pPr>
              <w:keepNext/>
              <w:rPr>
                <w:sz w:val="18"/>
                <w:szCs w:val="18"/>
                <w:lang w:val="fr-FR"/>
              </w:rPr>
            </w:pPr>
          </w:p>
        </w:tc>
        <w:tc>
          <w:tcPr>
            <w:tcW w:w="0" w:type="auto"/>
            <w:tcBorders>
              <w:top w:val="single" w:sz="4" w:space="0" w:color="auto"/>
              <w:left w:val="nil"/>
              <w:bottom w:val="nil"/>
              <w:right w:val="single" w:sz="4" w:space="0" w:color="auto"/>
            </w:tcBorders>
            <w:shd w:val="clear" w:color="000000" w:fill="CCFFFF"/>
            <w:vAlign w:val="center"/>
          </w:tcPr>
          <w:p w:rsidR="009A7E4C" w:rsidRPr="00686D5A" w:rsidRDefault="005E35C2" w:rsidP="001E2D32">
            <w:pPr>
              <w:keepNext/>
              <w:jc w:val="center"/>
              <w:rPr>
                <w:b/>
                <w:bCs/>
                <w:sz w:val="18"/>
                <w:szCs w:val="18"/>
                <w:lang w:val="fr-FR"/>
              </w:rPr>
            </w:pPr>
            <w:r w:rsidRPr="00686D5A">
              <w:rPr>
                <w:b/>
                <w:bCs/>
                <w:sz w:val="18"/>
                <w:szCs w:val="18"/>
                <w:lang w:val="fr-FR"/>
              </w:rPr>
              <w:t>Budget </w:t>
            </w:r>
            <w:r w:rsidR="009A7E4C" w:rsidRPr="00686D5A">
              <w:rPr>
                <w:b/>
                <w:bCs/>
                <w:sz w:val="18"/>
                <w:szCs w:val="18"/>
                <w:lang w:val="fr-FR"/>
              </w:rPr>
              <w:t>2012</w:t>
            </w:r>
            <w:r w:rsidR="001F4EED">
              <w:rPr>
                <w:b/>
                <w:bCs/>
                <w:sz w:val="18"/>
                <w:szCs w:val="18"/>
                <w:lang w:val="fr-FR"/>
              </w:rPr>
              <w:noBreakHyphen/>
            </w:r>
            <w:r w:rsidR="009A7E4C" w:rsidRPr="00686D5A">
              <w:rPr>
                <w:b/>
                <w:bCs/>
                <w:sz w:val="18"/>
                <w:szCs w:val="18"/>
                <w:lang w:val="fr-FR"/>
              </w:rPr>
              <w:t>2013 approuvé</w:t>
            </w:r>
          </w:p>
        </w:tc>
        <w:tc>
          <w:tcPr>
            <w:tcW w:w="0" w:type="auto"/>
            <w:tcBorders>
              <w:top w:val="single" w:sz="4" w:space="0" w:color="auto"/>
              <w:left w:val="nil"/>
              <w:bottom w:val="nil"/>
              <w:right w:val="single" w:sz="4" w:space="0" w:color="auto"/>
            </w:tcBorders>
            <w:shd w:val="clear" w:color="000000" w:fill="CCFFFF"/>
            <w:vAlign w:val="center"/>
          </w:tcPr>
          <w:p w:rsidR="009A7E4C" w:rsidRPr="00686D5A" w:rsidRDefault="005E35C2" w:rsidP="00AB551E">
            <w:pPr>
              <w:keepNext/>
              <w:jc w:val="center"/>
              <w:rPr>
                <w:b/>
                <w:bCs/>
                <w:sz w:val="18"/>
                <w:szCs w:val="18"/>
                <w:lang w:val="fr-FR"/>
              </w:rPr>
            </w:pPr>
            <w:r w:rsidRPr="00686D5A">
              <w:rPr>
                <w:b/>
                <w:bCs/>
                <w:sz w:val="18"/>
                <w:szCs w:val="18"/>
                <w:lang w:val="fr-FR"/>
              </w:rPr>
              <w:t>Budget </w:t>
            </w:r>
            <w:r w:rsidR="009A7E4C" w:rsidRPr="00686D5A">
              <w:rPr>
                <w:b/>
                <w:bCs/>
                <w:sz w:val="18"/>
                <w:szCs w:val="18"/>
                <w:lang w:val="fr-FR"/>
              </w:rPr>
              <w:t>2012</w:t>
            </w:r>
            <w:r w:rsidR="001F4EED">
              <w:rPr>
                <w:b/>
                <w:bCs/>
                <w:sz w:val="18"/>
                <w:szCs w:val="18"/>
                <w:lang w:val="fr-FR"/>
              </w:rPr>
              <w:noBreakHyphen/>
            </w:r>
            <w:r w:rsidR="009A7E4C" w:rsidRPr="00686D5A">
              <w:rPr>
                <w:b/>
                <w:bCs/>
                <w:sz w:val="18"/>
                <w:szCs w:val="18"/>
                <w:lang w:val="fr-FR"/>
              </w:rPr>
              <w:t>2013 après virements</w:t>
            </w:r>
          </w:p>
        </w:tc>
        <w:tc>
          <w:tcPr>
            <w:tcW w:w="0" w:type="auto"/>
            <w:tcBorders>
              <w:top w:val="single" w:sz="4" w:space="0" w:color="auto"/>
              <w:left w:val="nil"/>
              <w:bottom w:val="nil"/>
              <w:right w:val="single" w:sz="4" w:space="0" w:color="auto"/>
            </w:tcBorders>
            <w:shd w:val="clear" w:color="000000" w:fill="CCFFFF"/>
            <w:vAlign w:val="center"/>
          </w:tcPr>
          <w:p w:rsidR="009A7E4C" w:rsidRPr="00686D5A" w:rsidRDefault="005E35C2" w:rsidP="002C52C2">
            <w:pPr>
              <w:keepNext/>
              <w:jc w:val="center"/>
              <w:rPr>
                <w:b/>
                <w:bCs/>
                <w:sz w:val="18"/>
                <w:szCs w:val="18"/>
                <w:lang w:val="fr-FR"/>
              </w:rPr>
            </w:pPr>
            <w:r w:rsidRPr="00686D5A">
              <w:rPr>
                <w:b/>
                <w:bCs/>
                <w:sz w:val="18"/>
                <w:szCs w:val="18"/>
                <w:lang w:val="fr-FR"/>
              </w:rPr>
              <w:t>Dépenses </w:t>
            </w:r>
            <w:r w:rsidR="009A7E4C" w:rsidRPr="00686D5A">
              <w:rPr>
                <w:b/>
                <w:bCs/>
                <w:sz w:val="18"/>
                <w:szCs w:val="18"/>
                <w:lang w:val="fr-FR"/>
              </w:rPr>
              <w:t>2012</w:t>
            </w:r>
            <w:r w:rsidR="001F4EED">
              <w:rPr>
                <w:b/>
                <w:bCs/>
                <w:sz w:val="18"/>
                <w:szCs w:val="18"/>
                <w:lang w:val="fr-FR"/>
              </w:rPr>
              <w:noBreakHyphen/>
            </w:r>
            <w:r w:rsidR="002C52C2">
              <w:rPr>
                <w:b/>
                <w:bCs/>
                <w:sz w:val="18"/>
                <w:szCs w:val="18"/>
                <w:lang w:val="fr-FR"/>
              </w:rPr>
              <w:t>20</w:t>
            </w:r>
            <w:r w:rsidR="009A7E4C" w:rsidRPr="00686D5A">
              <w:rPr>
                <w:b/>
                <w:bCs/>
                <w:sz w:val="18"/>
                <w:szCs w:val="18"/>
                <w:lang w:val="fr-FR"/>
              </w:rPr>
              <w:t>13</w:t>
            </w:r>
          </w:p>
        </w:tc>
        <w:tc>
          <w:tcPr>
            <w:tcW w:w="0" w:type="auto"/>
            <w:tcBorders>
              <w:top w:val="single" w:sz="4" w:space="0" w:color="auto"/>
              <w:left w:val="nil"/>
              <w:bottom w:val="nil"/>
              <w:right w:val="single" w:sz="4" w:space="0" w:color="auto"/>
            </w:tcBorders>
            <w:shd w:val="clear" w:color="000000" w:fill="CCFFFF"/>
            <w:vAlign w:val="center"/>
          </w:tcPr>
          <w:p w:rsidR="009A7E4C" w:rsidRPr="00686D5A" w:rsidRDefault="009A7E4C" w:rsidP="00AB551E">
            <w:pPr>
              <w:keepNext/>
              <w:jc w:val="center"/>
              <w:rPr>
                <w:b/>
                <w:bCs/>
                <w:sz w:val="18"/>
                <w:szCs w:val="18"/>
                <w:lang w:val="fr-FR"/>
              </w:rPr>
            </w:pPr>
            <w:r w:rsidRPr="00686D5A">
              <w:rPr>
                <w:b/>
                <w:bCs/>
                <w:sz w:val="18"/>
                <w:szCs w:val="18"/>
                <w:lang w:val="fr-FR"/>
              </w:rPr>
              <w:t>Taux d</w:t>
            </w:r>
            <w:r w:rsidR="00D565F4">
              <w:rPr>
                <w:b/>
                <w:bCs/>
                <w:sz w:val="18"/>
                <w:szCs w:val="18"/>
                <w:lang w:val="fr-FR"/>
              </w:rPr>
              <w:t>’</w:t>
            </w:r>
            <w:r w:rsidRPr="00686D5A">
              <w:rPr>
                <w:b/>
                <w:bCs/>
                <w:sz w:val="18"/>
                <w:szCs w:val="18"/>
                <w:lang w:val="fr-FR"/>
              </w:rPr>
              <w:t>utilisation</w:t>
            </w:r>
            <w:r w:rsidRPr="00686D5A">
              <w:rPr>
                <w:bCs/>
                <w:sz w:val="18"/>
                <w:szCs w:val="18"/>
                <w:lang w:val="fr-FR"/>
              </w:rPr>
              <w:t xml:space="preserve"> (%)</w:t>
            </w:r>
          </w:p>
        </w:tc>
      </w:tr>
      <w:tr w:rsidR="00686D5A" w:rsidRPr="00686D5A" w:rsidTr="001E2D32">
        <w:trPr>
          <w:cantSplit/>
        </w:trPr>
        <w:tc>
          <w:tcPr>
            <w:tcW w:w="0" w:type="auto"/>
            <w:tcBorders>
              <w:top w:val="nil"/>
              <w:left w:val="single" w:sz="4" w:space="0" w:color="auto"/>
              <w:bottom w:val="single" w:sz="4" w:space="0" w:color="auto"/>
              <w:right w:val="single" w:sz="4" w:space="0" w:color="auto"/>
            </w:tcBorders>
            <w:noWrap/>
            <w:vAlign w:val="center"/>
          </w:tcPr>
          <w:p w:rsidR="009A7E4C" w:rsidRPr="00686D5A" w:rsidRDefault="009A7E4C" w:rsidP="00AB551E">
            <w:pPr>
              <w:keepNext/>
              <w:rPr>
                <w:sz w:val="18"/>
                <w:szCs w:val="18"/>
                <w:lang w:val="fr-FR"/>
              </w:rPr>
            </w:pPr>
            <w:r w:rsidRPr="00686D5A">
              <w:rPr>
                <w:sz w:val="18"/>
                <w:szCs w:val="18"/>
                <w:lang w:val="fr-FR"/>
              </w:rPr>
              <w:t xml:space="preserve"> Dépenses de personnel </w:t>
            </w:r>
          </w:p>
        </w:tc>
        <w:tc>
          <w:tcPr>
            <w:tcW w:w="0" w:type="auto"/>
            <w:tcBorders>
              <w:top w:val="single" w:sz="4" w:space="0" w:color="auto"/>
              <w:left w:val="nil"/>
              <w:bottom w:val="single" w:sz="4" w:space="0" w:color="auto"/>
              <w:right w:val="single" w:sz="4" w:space="0" w:color="auto"/>
            </w:tcBorders>
            <w:vAlign w:val="center"/>
          </w:tcPr>
          <w:p w:rsidR="009A7E4C" w:rsidRPr="00686D5A" w:rsidRDefault="007931CB" w:rsidP="001E2D32">
            <w:pPr>
              <w:keepNext/>
              <w:jc w:val="center"/>
              <w:rPr>
                <w:sz w:val="18"/>
                <w:szCs w:val="18"/>
                <w:lang w:val="fr-FR"/>
              </w:rPr>
            </w:pPr>
            <w:r w:rsidRPr="00686D5A">
              <w:rPr>
                <w:sz w:val="18"/>
                <w:szCs w:val="18"/>
                <w:lang w:val="fr-FR"/>
              </w:rPr>
              <w:t>4 </w:t>
            </w:r>
            <w:r w:rsidR="009A7E4C" w:rsidRPr="00686D5A">
              <w:rPr>
                <w:sz w:val="18"/>
                <w:szCs w:val="18"/>
                <w:lang w:val="fr-FR"/>
              </w:rPr>
              <w:t>250</w:t>
            </w:r>
          </w:p>
        </w:tc>
        <w:tc>
          <w:tcPr>
            <w:tcW w:w="0" w:type="auto"/>
            <w:tcBorders>
              <w:top w:val="single" w:sz="4" w:space="0" w:color="auto"/>
              <w:left w:val="nil"/>
              <w:bottom w:val="single" w:sz="4" w:space="0" w:color="auto"/>
              <w:right w:val="single" w:sz="4" w:space="0" w:color="auto"/>
            </w:tcBorders>
            <w:vAlign w:val="center"/>
          </w:tcPr>
          <w:p w:rsidR="009A7E4C" w:rsidRPr="00686D5A" w:rsidRDefault="007931CB" w:rsidP="001E2D32">
            <w:pPr>
              <w:keepNext/>
              <w:jc w:val="center"/>
              <w:rPr>
                <w:sz w:val="18"/>
                <w:szCs w:val="18"/>
                <w:lang w:val="fr-FR"/>
              </w:rPr>
            </w:pPr>
            <w:r w:rsidRPr="00686D5A">
              <w:rPr>
                <w:sz w:val="18"/>
                <w:szCs w:val="18"/>
                <w:lang w:val="fr-FR"/>
              </w:rPr>
              <w:t>3 </w:t>
            </w:r>
            <w:r w:rsidR="009A7E4C" w:rsidRPr="00686D5A">
              <w:rPr>
                <w:sz w:val="18"/>
                <w:szCs w:val="18"/>
                <w:lang w:val="fr-FR"/>
              </w:rPr>
              <w:t>987</w:t>
            </w:r>
          </w:p>
        </w:tc>
        <w:tc>
          <w:tcPr>
            <w:tcW w:w="0" w:type="auto"/>
            <w:tcBorders>
              <w:top w:val="single" w:sz="4" w:space="0" w:color="auto"/>
              <w:left w:val="nil"/>
              <w:bottom w:val="single" w:sz="4" w:space="0" w:color="auto"/>
              <w:right w:val="single" w:sz="4" w:space="0" w:color="auto"/>
            </w:tcBorders>
            <w:vAlign w:val="center"/>
          </w:tcPr>
          <w:p w:rsidR="009A7E4C" w:rsidRPr="00686D5A" w:rsidRDefault="007931CB" w:rsidP="001E2D32">
            <w:pPr>
              <w:keepNext/>
              <w:jc w:val="center"/>
              <w:rPr>
                <w:sz w:val="18"/>
                <w:szCs w:val="18"/>
                <w:lang w:val="fr-FR"/>
              </w:rPr>
            </w:pPr>
            <w:r w:rsidRPr="00686D5A">
              <w:rPr>
                <w:sz w:val="18"/>
                <w:szCs w:val="18"/>
                <w:lang w:val="fr-FR"/>
              </w:rPr>
              <w:t>3 </w:t>
            </w:r>
            <w:r w:rsidR="009A7E4C" w:rsidRPr="00686D5A">
              <w:rPr>
                <w:sz w:val="18"/>
                <w:szCs w:val="18"/>
                <w:lang w:val="fr-FR"/>
              </w:rPr>
              <w:t>987</w:t>
            </w:r>
          </w:p>
        </w:tc>
        <w:tc>
          <w:tcPr>
            <w:tcW w:w="0" w:type="auto"/>
            <w:tcBorders>
              <w:top w:val="single" w:sz="4" w:space="0" w:color="auto"/>
              <w:left w:val="nil"/>
              <w:bottom w:val="single" w:sz="4" w:space="0" w:color="auto"/>
              <w:right w:val="single" w:sz="4" w:space="0" w:color="auto"/>
            </w:tcBorders>
            <w:vAlign w:val="center"/>
          </w:tcPr>
          <w:p w:rsidR="009A7E4C" w:rsidRPr="00686D5A" w:rsidRDefault="009A7E4C" w:rsidP="001E2D32">
            <w:pPr>
              <w:keepNext/>
              <w:jc w:val="center"/>
              <w:rPr>
                <w:sz w:val="18"/>
                <w:szCs w:val="18"/>
                <w:lang w:val="fr-FR"/>
              </w:rPr>
            </w:pPr>
            <w:r w:rsidRPr="00686D5A">
              <w:rPr>
                <w:sz w:val="18"/>
                <w:szCs w:val="18"/>
                <w:lang w:val="fr-FR"/>
              </w:rPr>
              <w:t>100%</w:t>
            </w:r>
          </w:p>
        </w:tc>
      </w:tr>
      <w:tr w:rsidR="00686D5A" w:rsidRPr="00686D5A" w:rsidTr="001E2D32">
        <w:trPr>
          <w:cantSplit/>
        </w:trPr>
        <w:tc>
          <w:tcPr>
            <w:tcW w:w="0" w:type="auto"/>
            <w:tcBorders>
              <w:top w:val="nil"/>
              <w:left w:val="single" w:sz="4" w:space="0" w:color="auto"/>
              <w:bottom w:val="single" w:sz="4" w:space="0" w:color="auto"/>
              <w:right w:val="single" w:sz="4" w:space="0" w:color="auto"/>
            </w:tcBorders>
            <w:noWrap/>
            <w:vAlign w:val="center"/>
          </w:tcPr>
          <w:p w:rsidR="009A7E4C" w:rsidRPr="00686D5A" w:rsidRDefault="009A7E4C" w:rsidP="00AB551E">
            <w:pPr>
              <w:keepNext/>
              <w:rPr>
                <w:sz w:val="18"/>
                <w:szCs w:val="18"/>
                <w:lang w:val="fr-FR"/>
              </w:rPr>
            </w:pPr>
            <w:r w:rsidRPr="00686D5A">
              <w:rPr>
                <w:sz w:val="18"/>
                <w:szCs w:val="18"/>
                <w:lang w:val="fr-FR"/>
              </w:rPr>
              <w:t xml:space="preserve"> Autres dépenses </w:t>
            </w:r>
          </w:p>
        </w:tc>
        <w:tc>
          <w:tcPr>
            <w:tcW w:w="0" w:type="auto"/>
            <w:tcBorders>
              <w:top w:val="nil"/>
              <w:left w:val="nil"/>
              <w:bottom w:val="single" w:sz="4" w:space="0" w:color="auto"/>
              <w:right w:val="single" w:sz="4" w:space="0" w:color="auto"/>
            </w:tcBorders>
            <w:vAlign w:val="center"/>
          </w:tcPr>
          <w:p w:rsidR="009A7E4C" w:rsidRPr="00686D5A" w:rsidRDefault="009A7E4C" w:rsidP="001E2D32">
            <w:pPr>
              <w:keepNext/>
              <w:jc w:val="center"/>
              <w:rPr>
                <w:sz w:val="18"/>
                <w:szCs w:val="18"/>
                <w:lang w:val="fr-FR"/>
              </w:rPr>
            </w:pPr>
            <w:r w:rsidRPr="00686D5A">
              <w:rPr>
                <w:sz w:val="18"/>
                <w:szCs w:val="18"/>
                <w:lang w:val="fr-FR"/>
              </w:rPr>
              <w:t>800</w:t>
            </w:r>
          </w:p>
        </w:tc>
        <w:tc>
          <w:tcPr>
            <w:tcW w:w="0" w:type="auto"/>
            <w:tcBorders>
              <w:top w:val="nil"/>
              <w:left w:val="nil"/>
              <w:bottom w:val="single" w:sz="4" w:space="0" w:color="auto"/>
              <w:right w:val="single" w:sz="4" w:space="0" w:color="auto"/>
            </w:tcBorders>
            <w:vAlign w:val="center"/>
          </w:tcPr>
          <w:p w:rsidR="009A7E4C" w:rsidRPr="00686D5A" w:rsidRDefault="009A7E4C" w:rsidP="001E2D32">
            <w:pPr>
              <w:keepNext/>
              <w:jc w:val="center"/>
              <w:rPr>
                <w:sz w:val="18"/>
                <w:szCs w:val="18"/>
                <w:lang w:val="fr-FR"/>
              </w:rPr>
            </w:pPr>
            <w:r w:rsidRPr="00686D5A">
              <w:rPr>
                <w:sz w:val="18"/>
                <w:szCs w:val="18"/>
                <w:lang w:val="fr-FR"/>
              </w:rPr>
              <w:t>805</w:t>
            </w:r>
          </w:p>
        </w:tc>
        <w:tc>
          <w:tcPr>
            <w:tcW w:w="0" w:type="auto"/>
            <w:tcBorders>
              <w:top w:val="nil"/>
              <w:left w:val="nil"/>
              <w:bottom w:val="single" w:sz="4" w:space="0" w:color="auto"/>
              <w:right w:val="single" w:sz="4" w:space="0" w:color="auto"/>
            </w:tcBorders>
            <w:vAlign w:val="center"/>
          </w:tcPr>
          <w:p w:rsidR="009A7E4C" w:rsidRPr="00686D5A" w:rsidRDefault="009A7E4C" w:rsidP="001E2D32">
            <w:pPr>
              <w:keepNext/>
              <w:jc w:val="center"/>
              <w:rPr>
                <w:sz w:val="18"/>
                <w:szCs w:val="18"/>
                <w:lang w:val="fr-FR"/>
              </w:rPr>
            </w:pPr>
            <w:r w:rsidRPr="00686D5A">
              <w:rPr>
                <w:sz w:val="18"/>
                <w:szCs w:val="18"/>
                <w:lang w:val="fr-FR"/>
              </w:rPr>
              <w:t>699</w:t>
            </w:r>
          </w:p>
        </w:tc>
        <w:tc>
          <w:tcPr>
            <w:tcW w:w="0" w:type="auto"/>
            <w:tcBorders>
              <w:top w:val="nil"/>
              <w:left w:val="nil"/>
              <w:bottom w:val="single" w:sz="4" w:space="0" w:color="auto"/>
              <w:right w:val="single" w:sz="4" w:space="0" w:color="auto"/>
            </w:tcBorders>
            <w:vAlign w:val="center"/>
          </w:tcPr>
          <w:p w:rsidR="009A7E4C" w:rsidRPr="00686D5A" w:rsidRDefault="009A7E4C" w:rsidP="001E2D32">
            <w:pPr>
              <w:keepNext/>
              <w:jc w:val="center"/>
              <w:rPr>
                <w:sz w:val="18"/>
                <w:szCs w:val="18"/>
                <w:lang w:val="fr-FR"/>
              </w:rPr>
            </w:pPr>
            <w:r w:rsidRPr="00686D5A">
              <w:rPr>
                <w:sz w:val="18"/>
                <w:szCs w:val="18"/>
                <w:lang w:val="fr-FR"/>
              </w:rPr>
              <w:t>87%</w:t>
            </w:r>
          </w:p>
        </w:tc>
      </w:tr>
      <w:tr w:rsidR="00686D5A" w:rsidRPr="00686D5A" w:rsidTr="001E2D32">
        <w:trPr>
          <w:cantSplit/>
        </w:trPr>
        <w:tc>
          <w:tcPr>
            <w:tcW w:w="0" w:type="auto"/>
            <w:tcBorders>
              <w:top w:val="nil"/>
              <w:left w:val="single" w:sz="4" w:space="0" w:color="auto"/>
              <w:bottom w:val="single" w:sz="4" w:space="0" w:color="auto"/>
              <w:right w:val="single" w:sz="4" w:space="0" w:color="auto"/>
            </w:tcBorders>
            <w:noWrap/>
            <w:vAlign w:val="center"/>
          </w:tcPr>
          <w:p w:rsidR="009A7E4C" w:rsidRPr="00686D5A" w:rsidRDefault="009A7E4C" w:rsidP="00AB551E">
            <w:pPr>
              <w:keepNext/>
              <w:jc w:val="right"/>
              <w:rPr>
                <w:b/>
                <w:bCs/>
                <w:sz w:val="18"/>
                <w:szCs w:val="18"/>
                <w:lang w:val="fr-FR"/>
              </w:rPr>
            </w:pPr>
            <w:r w:rsidRPr="00686D5A">
              <w:rPr>
                <w:b/>
                <w:bCs/>
                <w:sz w:val="18"/>
                <w:szCs w:val="18"/>
                <w:lang w:val="fr-FR"/>
              </w:rPr>
              <w:t xml:space="preserve">TOTAL </w:t>
            </w:r>
          </w:p>
        </w:tc>
        <w:tc>
          <w:tcPr>
            <w:tcW w:w="0" w:type="auto"/>
            <w:tcBorders>
              <w:top w:val="nil"/>
              <w:left w:val="nil"/>
              <w:bottom w:val="single" w:sz="4" w:space="0" w:color="auto"/>
              <w:right w:val="single" w:sz="4" w:space="0" w:color="auto"/>
            </w:tcBorders>
            <w:vAlign w:val="center"/>
          </w:tcPr>
          <w:p w:rsidR="009A7E4C" w:rsidRPr="00686D5A" w:rsidRDefault="007931CB" w:rsidP="001E2D32">
            <w:pPr>
              <w:keepNext/>
              <w:jc w:val="center"/>
              <w:rPr>
                <w:b/>
                <w:bCs/>
                <w:sz w:val="18"/>
                <w:szCs w:val="18"/>
                <w:lang w:val="fr-FR"/>
              </w:rPr>
            </w:pPr>
            <w:r w:rsidRPr="00686D5A">
              <w:rPr>
                <w:b/>
                <w:bCs/>
                <w:sz w:val="18"/>
                <w:szCs w:val="18"/>
                <w:lang w:val="fr-FR"/>
              </w:rPr>
              <w:t>5 </w:t>
            </w:r>
            <w:r w:rsidR="009A7E4C" w:rsidRPr="00686D5A">
              <w:rPr>
                <w:b/>
                <w:bCs/>
                <w:sz w:val="18"/>
                <w:szCs w:val="18"/>
                <w:lang w:val="fr-FR"/>
              </w:rPr>
              <w:t>050</w:t>
            </w:r>
          </w:p>
        </w:tc>
        <w:tc>
          <w:tcPr>
            <w:tcW w:w="0" w:type="auto"/>
            <w:tcBorders>
              <w:top w:val="nil"/>
              <w:left w:val="nil"/>
              <w:bottom w:val="single" w:sz="4" w:space="0" w:color="auto"/>
              <w:right w:val="single" w:sz="4" w:space="0" w:color="auto"/>
            </w:tcBorders>
            <w:vAlign w:val="center"/>
          </w:tcPr>
          <w:p w:rsidR="009A7E4C" w:rsidRPr="00686D5A" w:rsidRDefault="007931CB" w:rsidP="001E2D32">
            <w:pPr>
              <w:keepNext/>
              <w:jc w:val="center"/>
              <w:rPr>
                <w:b/>
                <w:sz w:val="18"/>
                <w:szCs w:val="18"/>
                <w:lang w:val="fr-FR"/>
              </w:rPr>
            </w:pPr>
            <w:r w:rsidRPr="00686D5A">
              <w:rPr>
                <w:b/>
                <w:sz w:val="18"/>
                <w:szCs w:val="18"/>
                <w:lang w:val="fr-FR"/>
              </w:rPr>
              <w:t>4 </w:t>
            </w:r>
            <w:r w:rsidR="009A7E4C" w:rsidRPr="00686D5A">
              <w:rPr>
                <w:b/>
                <w:sz w:val="18"/>
                <w:szCs w:val="18"/>
                <w:lang w:val="fr-FR"/>
              </w:rPr>
              <w:t>792</w:t>
            </w:r>
          </w:p>
        </w:tc>
        <w:tc>
          <w:tcPr>
            <w:tcW w:w="0" w:type="auto"/>
            <w:tcBorders>
              <w:top w:val="nil"/>
              <w:left w:val="nil"/>
              <w:bottom w:val="single" w:sz="4" w:space="0" w:color="auto"/>
              <w:right w:val="single" w:sz="4" w:space="0" w:color="auto"/>
            </w:tcBorders>
            <w:vAlign w:val="center"/>
          </w:tcPr>
          <w:p w:rsidR="009A7E4C" w:rsidRPr="00686D5A" w:rsidRDefault="007931CB" w:rsidP="001E2D32">
            <w:pPr>
              <w:keepNext/>
              <w:jc w:val="center"/>
              <w:rPr>
                <w:b/>
                <w:sz w:val="18"/>
                <w:szCs w:val="18"/>
                <w:lang w:val="fr-FR"/>
              </w:rPr>
            </w:pPr>
            <w:r w:rsidRPr="00686D5A">
              <w:rPr>
                <w:b/>
                <w:sz w:val="18"/>
                <w:szCs w:val="18"/>
                <w:lang w:val="fr-FR"/>
              </w:rPr>
              <w:t>4 </w:t>
            </w:r>
            <w:r w:rsidR="009A7E4C" w:rsidRPr="00686D5A">
              <w:rPr>
                <w:b/>
                <w:sz w:val="18"/>
                <w:szCs w:val="18"/>
                <w:lang w:val="fr-FR"/>
              </w:rPr>
              <w:t>687</w:t>
            </w:r>
          </w:p>
        </w:tc>
        <w:tc>
          <w:tcPr>
            <w:tcW w:w="0" w:type="auto"/>
            <w:tcBorders>
              <w:top w:val="nil"/>
              <w:left w:val="nil"/>
              <w:bottom w:val="single" w:sz="4" w:space="0" w:color="auto"/>
              <w:right w:val="single" w:sz="4" w:space="0" w:color="auto"/>
            </w:tcBorders>
            <w:vAlign w:val="center"/>
          </w:tcPr>
          <w:p w:rsidR="009A7E4C" w:rsidRPr="00686D5A" w:rsidRDefault="009A7E4C" w:rsidP="001E2D32">
            <w:pPr>
              <w:keepNext/>
              <w:jc w:val="center"/>
              <w:rPr>
                <w:b/>
                <w:sz w:val="18"/>
                <w:szCs w:val="18"/>
                <w:lang w:val="fr-FR"/>
              </w:rPr>
            </w:pPr>
            <w:r w:rsidRPr="00686D5A">
              <w:rPr>
                <w:b/>
                <w:sz w:val="18"/>
                <w:szCs w:val="18"/>
                <w:lang w:val="fr-FR"/>
              </w:rPr>
              <w:t>98%</w:t>
            </w:r>
          </w:p>
        </w:tc>
      </w:tr>
    </w:tbl>
    <w:p w:rsidR="007931CB" w:rsidRPr="00686D5A" w:rsidRDefault="007931CB" w:rsidP="007931CB">
      <w:pPr>
        <w:pStyle w:val="ONUMFS"/>
        <w:numPr>
          <w:ilvl w:val="0"/>
          <w:numId w:val="0"/>
        </w:numPr>
        <w:rPr>
          <w:lang w:val="fr-FR"/>
        </w:rPr>
      </w:pPr>
    </w:p>
    <w:p w:rsidR="009A7E4C" w:rsidRPr="00686D5A" w:rsidRDefault="009A7E4C" w:rsidP="007931CB">
      <w:pPr>
        <w:pStyle w:val="ONUMFS"/>
        <w:rPr>
          <w:lang w:val="fr-FR"/>
        </w:rPr>
      </w:pPr>
      <w:r w:rsidRPr="00686D5A">
        <w:rPr>
          <w:lang w:val="fr-FR"/>
        </w:rPr>
        <w:t>Pendant la période couverte par le présent rapport, il a été fait appel à des experts sous contrat pour diverses activités de supervision.  Cette solution a été particulièrement fructueuse pour les évaluations</w:t>
      </w:r>
      <w:r w:rsidR="006F71A4">
        <w:rPr>
          <w:lang w:val="fr-FR"/>
        </w:rPr>
        <w:t>,</w:t>
      </w:r>
      <w:r w:rsidRPr="00686D5A">
        <w:rPr>
          <w:lang w:val="fr-FR"/>
        </w:rPr>
        <w:t xml:space="preserve"> les audits et </w:t>
      </w:r>
      <w:r w:rsidR="006F71A4">
        <w:rPr>
          <w:lang w:val="fr-FR"/>
        </w:rPr>
        <w:t xml:space="preserve">les </w:t>
      </w:r>
      <w:r w:rsidRPr="00686D5A">
        <w:rPr>
          <w:lang w:val="fr-FR"/>
        </w:rPr>
        <w:t>enquêtes spécialisés.</w:t>
      </w:r>
    </w:p>
    <w:p w:rsidR="009A7E4C" w:rsidRPr="00686D5A" w:rsidRDefault="009A7E4C" w:rsidP="007931CB">
      <w:pPr>
        <w:pStyle w:val="Heading2"/>
      </w:pPr>
      <w:r w:rsidRPr="00686D5A">
        <w:t>Formation</w:t>
      </w:r>
    </w:p>
    <w:p w:rsidR="009A7E4C" w:rsidRPr="00686D5A" w:rsidRDefault="009A7E4C" w:rsidP="007931CB">
      <w:pPr>
        <w:pStyle w:val="ONUMFS"/>
        <w:rPr>
          <w:lang w:val="fr-FR"/>
        </w:rPr>
      </w:pPr>
      <w:r w:rsidRPr="00686D5A">
        <w:rPr>
          <w:lang w:val="fr-FR"/>
        </w:rPr>
        <w:t>Dans une perspective de formation professionnelle continue de son personnel, et conformément à la politique de l</w:t>
      </w:r>
      <w:r w:rsidR="00D565F4">
        <w:rPr>
          <w:lang w:val="fr-FR"/>
        </w:rPr>
        <w:t>’</w:t>
      </w:r>
      <w:r w:rsidRPr="00686D5A">
        <w:rPr>
          <w:lang w:val="fr-FR"/>
        </w:rPr>
        <w:t>OMPI en matière de formation,</w:t>
      </w:r>
      <w:r w:rsidR="00D565F4" w:rsidRPr="00686D5A">
        <w:rPr>
          <w:lang w:val="fr-FR"/>
        </w:rPr>
        <w:t xml:space="preserve"> la</w:t>
      </w:r>
      <w:r w:rsidR="00D565F4">
        <w:rPr>
          <w:lang w:val="fr-FR"/>
        </w:rPr>
        <w:t> DAS</w:t>
      </w:r>
      <w:r w:rsidR="00E90725">
        <w:rPr>
          <w:lang w:val="fr-FR"/>
        </w:rPr>
        <w:t>I</w:t>
      </w:r>
      <w:r w:rsidRPr="00686D5A">
        <w:rPr>
          <w:lang w:val="fr-FR"/>
        </w:rPr>
        <w:t xml:space="preserve"> veille à ce que tous les membres de son personnel </w:t>
      </w:r>
      <w:r w:rsidR="005E35C2" w:rsidRPr="00686D5A">
        <w:rPr>
          <w:lang w:val="fr-FR"/>
        </w:rPr>
        <w:t>possèdent</w:t>
      </w:r>
      <w:r w:rsidRPr="00686D5A">
        <w:rPr>
          <w:lang w:val="fr-FR"/>
        </w:rPr>
        <w:t xml:space="preserve"> et </w:t>
      </w:r>
      <w:r w:rsidR="005E35C2" w:rsidRPr="00686D5A">
        <w:rPr>
          <w:lang w:val="fr-FR"/>
        </w:rPr>
        <w:t>mettent</w:t>
      </w:r>
      <w:r w:rsidRPr="00686D5A">
        <w:rPr>
          <w:lang w:val="fr-FR"/>
        </w:rPr>
        <w:t xml:space="preserve"> en valeur les connaissances, qualifications et autres compétences nécessaires pour leur permettre de s</w:t>
      </w:r>
      <w:r w:rsidR="00D565F4">
        <w:rPr>
          <w:lang w:val="fr-FR"/>
        </w:rPr>
        <w:t>’</w:t>
      </w:r>
      <w:r w:rsidRPr="00686D5A">
        <w:rPr>
          <w:lang w:val="fr-FR"/>
        </w:rPr>
        <w:t>acquitter de leurs fonctions, afin d</w:t>
      </w:r>
      <w:r w:rsidR="00D565F4">
        <w:rPr>
          <w:lang w:val="fr-FR"/>
        </w:rPr>
        <w:t>’</w:t>
      </w:r>
      <w:r w:rsidRPr="00686D5A">
        <w:rPr>
          <w:lang w:val="fr-FR"/>
        </w:rPr>
        <w:t>améliorer en permanence la qualité des activités de supervision.  Au cours de la période considérée, les membres du personnel de</w:t>
      </w:r>
      <w:r w:rsidR="00D565F4" w:rsidRPr="00686D5A">
        <w:rPr>
          <w:lang w:val="fr-FR"/>
        </w:rPr>
        <w:t xml:space="preserve"> la</w:t>
      </w:r>
      <w:r w:rsidR="00D565F4">
        <w:rPr>
          <w:lang w:val="fr-FR"/>
        </w:rPr>
        <w:t> DAS</w:t>
      </w:r>
      <w:r w:rsidR="00E90725">
        <w:rPr>
          <w:lang w:val="fr-FR"/>
        </w:rPr>
        <w:t>I</w:t>
      </w:r>
      <w:r w:rsidRPr="00686D5A">
        <w:rPr>
          <w:lang w:val="fr-FR"/>
        </w:rPr>
        <w:t xml:space="preserve"> ont reçu une formation sur la prévention et la détection des fraudes, les activités d</w:t>
      </w:r>
      <w:r w:rsidR="00D565F4">
        <w:rPr>
          <w:lang w:val="fr-FR"/>
        </w:rPr>
        <w:t>’</w:t>
      </w:r>
      <w:r w:rsidRPr="00686D5A">
        <w:rPr>
          <w:lang w:val="fr-FR"/>
        </w:rPr>
        <w:t>évaluation du développement, la gestion des risques, les Normes comptables internationales pour le secteur public (normes</w:t>
      </w:r>
      <w:r w:rsidR="00413B67" w:rsidRPr="00686D5A">
        <w:rPr>
          <w:lang w:val="fr-FR"/>
        </w:rPr>
        <w:t> </w:t>
      </w:r>
      <w:r w:rsidRPr="00686D5A">
        <w:rPr>
          <w:lang w:val="fr-FR"/>
        </w:rPr>
        <w:t>IPSAS), le référentiel défini par</w:t>
      </w:r>
      <w:r w:rsidR="00E11857" w:rsidRPr="00686D5A">
        <w:rPr>
          <w:lang w:val="fr-FR"/>
        </w:rPr>
        <w:t xml:space="preserve"> le COS</w:t>
      </w:r>
      <w:r w:rsidRPr="00686D5A">
        <w:rPr>
          <w:lang w:val="fr-FR"/>
        </w:rPr>
        <w:t>O</w:t>
      </w:r>
      <w:r w:rsidRPr="00686D5A">
        <w:rPr>
          <w:rStyle w:val="FootnoteReference"/>
          <w:lang w:val="fr-FR"/>
        </w:rPr>
        <w:footnoteReference w:id="20"/>
      </w:r>
      <w:r w:rsidRPr="00686D5A">
        <w:rPr>
          <w:lang w:val="fr-FR"/>
        </w:rPr>
        <w:t>, le logiciel d</w:t>
      </w:r>
      <w:r w:rsidR="00D565F4">
        <w:rPr>
          <w:lang w:val="fr-FR"/>
        </w:rPr>
        <w:t>’</w:t>
      </w:r>
      <w:r w:rsidRPr="00686D5A">
        <w:rPr>
          <w:lang w:val="fr-FR"/>
        </w:rPr>
        <w:t xml:space="preserve">exploration des données, les évaluations de la qualité, la rédaction de rapports et le logiciel </w:t>
      </w:r>
      <w:proofErr w:type="spellStart"/>
      <w:r w:rsidRPr="00686D5A">
        <w:rPr>
          <w:lang w:val="fr-FR"/>
        </w:rPr>
        <w:t>PeopleSoft</w:t>
      </w:r>
      <w:proofErr w:type="spellEnd"/>
      <w:r w:rsidRPr="00686D5A">
        <w:rPr>
          <w:vertAlign w:val="superscript"/>
          <w:lang w:val="fr-FR"/>
        </w:rPr>
        <w:t>©</w:t>
      </w:r>
      <w:r w:rsidRPr="00686D5A">
        <w:rPr>
          <w:lang w:val="fr-FR"/>
        </w:rPr>
        <w:t>.</w:t>
      </w:r>
    </w:p>
    <w:p w:rsidR="007931CB" w:rsidRPr="00686D5A" w:rsidRDefault="007931CB" w:rsidP="007931CB">
      <w:pPr>
        <w:pStyle w:val="Endofdocument-Annex"/>
        <w:rPr>
          <w:lang w:val="fr-FR"/>
        </w:rPr>
      </w:pPr>
    </w:p>
    <w:p w:rsidR="007931CB" w:rsidRPr="00686D5A" w:rsidRDefault="007931CB" w:rsidP="007931CB">
      <w:pPr>
        <w:pStyle w:val="Endofdocument-Annex"/>
        <w:rPr>
          <w:lang w:val="fr-FR"/>
        </w:rPr>
      </w:pPr>
    </w:p>
    <w:p w:rsidR="009A7E4C" w:rsidRPr="00686D5A" w:rsidRDefault="009A7E4C" w:rsidP="007931CB">
      <w:pPr>
        <w:pStyle w:val="Endofdocument-Annex"/>
        <w:rPr>
          <w:lang w:val="fr-FR"/>
        </w:rPr>
      </w:pPr>
      <w:r w:rsidRPr="00686D5A">
        <w:rPr>
          <w:lang w:val="fr-FR"/>
        </w:rPr>
        <w:t>[Les annexes suivent]</w:t>
      </w:r>
    </w:p>
    <w:p w:rsidR="009A7E4C" w:rsidRPr="00686D5A" w:rsidRDefault="009A7E4C" w:rsidP="00C71859">
      <w:pPr>
        <w:keepLines/>
        <w:tabs>
          <w:tab w:val="left" w:pos="5529"/>
        </w:tabs>
        <w:rPr>
          <w:lang w:val="fr-FR"/>
        </w:rPr>
      </w:pPr>
    </w:p>
    <w:p w:rsidR="009A7E4C" w:rsidRPr="00686D5A" w:rsidRDefault="009A7E4C" w:rsidP="00D8524D">
      <w:pPr>
        <w:pStyle w:val="ONUME"/>
        <w:keepLines/>
        <w:numPr>
          <w:ilvl w:val="0"/>
          <w:numId w:val="0"/>
        </w:numPr>
        <w:jc w:val="right"/>
        <w:sectPr w:rsidR="009A7E4C" w:rsidRPr="00686D5A" w:rsidSect="00D7054D">
          <w:headerReference w:type="default" r:id="rId23"/>
          <w:endnotePr>
            <w:numFmt w:val="decimal"/>
          </w:endnotePr>
          <w:pgSz w:w="11907" w:h="16840" w:code="9"/>
          <w:pgMar w:top="1305" w:right="1134" w:bottom="1418" w:left="1418" w:header="510" w:footer="1021" w:gutter="0"/>
          <w:cols w:space="720"/>
          <w:titlePg/>
          <w:docGrid w:linePitch="299"/>
        </w:sectPr>
      </w:pPr>
    </w:p>
    <w:p w:rsidR="009A7E4C" w:rsidRPr="00686D5A" w:rsidRDefault="009A7E4C" w:rsidP="00CF286F">
      <w:pPr>
        <w:spacing w:after="120"/>
        <w:ind w:left="-142"/>
        <w:jc w:val="center"/>
        <w:rPr>
          <w:b/>
          <w:lang w:val="fr-FR"/>
        </w:rPr>
      </w:pPr>
      <w:bookmarkStart w:id="15" w:name="OLE_LINK1"/>
      <w:bookmarkStart w:id="16" w:name="OLE_LINK2"/>
      <w:r w:rsidRPr="00686D5A">
        <w:rPr>
          <w:b/>
          <w:lang w:val="fr-FR"/>
        </w:rPr>
        <w:lastRenderedPageBreak/>
        <w:t>État d</w:t>
      </w:r>
      <w:r w:rsidR="00D565F4">
        <w:rPr>
          <w:b/>
          <w:lang w:val="fr-FR"/>
        </w:rPr>
        <w:t>’</w:t>
      </w:r>
      <w:r w:rsidRPr="00686D5A">
        <w:rPr>
          <w:b/>
          <w:lang w:val="fr-FR"/>
        </w:rPr>
        <w:t xml:space="preserve">avancement des missions de </w:t>
      </w:r>
      <w:r w:rsidR="005E35C2" w:rsidRPr="00686D5A">
        <w:rPr>
          <w:b/>
          <w:lang w:val="fr-FR"/>
        </w:rPr>
        <w:t>supervision </w:t>
      </w:r>
      <w:r w:rsidRPr="00686D5A">
        <w:rPr>
          <w:b/>
          <w:lang w:val="fr-FR"/>
        </w:rPr>
        <w:t>2013</w:t>
      </w:r>
    </w:p>
    <w:tbl>
      <w:tblPr>
        <w:tblW w:w="5123" w:type="pct"/>
        <w:jc w:val="center"/>
        <w:tblLayout w:type="fixed"/>
        <w:tblLook w:val="0000" w:firstRow="0" w:lastRow="0" w:firstColumn="0" w:lastColumn="0" w:noHBand="0" w:noVBand="0"/>
      </w:tblPr>
      <w:tblGrid>
        <w:gridCol w:w="5227"/>
        <w:gridCol w:w="3079"/>
        <w:gridCol w:w="1500"/>
      </w:tblGrid>
      <w:tr w:rsidR="00686D5A" w:rsidRPr="00686D5A" w:rsidTr="007931CB">
        <w:trPr>
          <w:trHeight w:val="567"/>
          <w:tblHeader/>
          <w:jc w:val="center"/>
        </w:trPr>
        <w:tc>
          <w:tcPr>
            <w:tcW w:w="2665" w:type="pct"/>
            <w:tcBorders>
              <w:top w:val="single" w:sz="4" w:space="0" w:color="auto"/>
              <w:left w:val="single" w:sz="4" w:space="0" w:color="auto"/>
              <w:bottom w:val="single" w:sz="4" w:space="0" w:color="auto"/>
              <w:right w:val="single" w:sz="4" w:space="0" w:color="auto"/>
            </w:tcBorders>
            <w:shd w:val="clear" w:color="auto" w:fill="C0C0C0"/>
            <w:vAlign w:val="center"/>
          </w:tcPr>
          <w:p w:rsidR="009A7E4C" w:rsidRPr="00686D5A" w:rsidRDefault="009A7E4C" w:rsidP="007931CB">
            <w:pPr>
              <w:jc w:val="center"/>
              <w:rPr>
                <w:rFonts w:eastAsia="Times New Roman"/>
                <w:b/>
                <w:bCs/>
                <w:sz w:val="18"/>
                <w:szCs w:val="18"/>
                <w:lang w:val="fr-FR" w:eastAsia="en-US"/>
              </w:rPr>
            </w:pPr>
            <w:bookmarkStart w:id="17" w:name="OLE_LINK9"/>
            <w:bookmarkStart w:id="18" w:name="OLE_LINK10"/>
            <w:bookmarkEnd w:id="15"/>
            <w:bookmarkEnd w:id="16"/>
            <w:r w:rsidRPr="00686D5A">
              <w:rPr>
                <w:rFonts w:eastAsia="Times New Roman"/>
                <w:b/>
                <w:bCs/>
                <w:sz w:val="18"/>
                <w:szCs w:val="18"/>
                <w:lang w:val="fr-FR" w:eastAsia="en-US"/>
              </w:rPr>
              <w:t>Plan</w:t>
            </w:r>
          </w:p>
        </w:tc>
        <w:tc>
          <w:tcPr>
            <w:tcW w:w="1570" w:type="pct"/>
            <w:tcBorders>
              <w:top w:val="single" w:sz="4" w:space="0" w:color="auto"/>
              <w:left w:val="nil"/>
              <w:bottom w:val="single" w:sz="4" w:space="0" w:color="auto"/>
              <w:right w:val="single" w:sz="4" w:space="0" w:color="auto"/>
            </w:tcBorders>
            <w:shd w:val="clear" w:color="auto" w:fill="C0C0C0"/>
            <w:vAlign w:val="center"/>
          </w:tcPr>
          <w:p w:rsidR="009A7E4C" w:rsidRPr="00686D5A" w:rsidRDefault="009A7E4C" w:rsidP="007931CB">
            <w:pPr>
              <w:jc w:val="center"/>
              <w:rPr>
                <w:rFonts w:eastAsia="Times New Roman"/>
                <w:b/>
                <w:bCs/>
                <w:sz w:val="18"/>
                <w:szCs w:val="18"/>
                <w:lang w:val="fr-FR" w:eastAsia="en-US"/>
              </w:rPr>
            </w:pPr>
            <w:r w:rsidRPr="00686D5A">
              <w:rPr>
                <w:rFonts w:eastAsia="Times New Roman"/>
                <w:b/>
                <w:bCs/>
                <w:sz w:val="18"/>
                <w:szCs w:val="18"/>
                <w:lang w:val="fr-FR" w:eastAsia="en-US"/>
              </w:rPr>
              <w:t>Secteur</w:t>
            </w:r>
          </w:p>
        </w:tc>
        <w:tc>
          <w:tcPr>
            <w:tcW w:w="765" w:type="pct"/>
            <w:tcBorders>
              <w:top w:val="single" w:sz="4" w:space="0" w:color="auto"/>
              <w:left w:val="nil"/>
              <w:bottom w:val="single" w:sz="4" w:space="0" w:color="auto"/>
              <w:right w:val="single" w:sz="4" w:space="0" w:color="auto"/>
            </w:tcBorders>
            <w:shd w:val="clear" w:color="auto" w:fill="C0C0C0"/>
            <w:vAlign w:val="center"/>
          </w:tcPr>
          <w:p w:rsidR="009A7E4C" w:rsidRPr="00686D5A" w:rsidRDefault="007931CB" w:rsidP="007931CB">
            <w:pPr>
              <w:jc w:val="center"/>
              <w:rPr>
                <w:rFonts w:eastAsia="Times New Roman"/>
                <w:b/>
                <w:bCs/>
                <w:sz w:val="18"/>
                <w:szCs w:val="18"/>
                <w:lang w:val="fr-FR" w:eastAsia="en-US"/>
              </w:rPr>
            </w:pPr>
            <w:r w:rsidRPr="00686D5A">
              <w:rPr>
                <w:rFonts w:eastAsia="Times New Roman"/>
                <w:b/>
                <w:bCs/>
                <w:sz w:val="18"/>
                <w:szCs w:val="18"/>
                <w:lang w:val="fr-FR" w:eastAsia="en-US"/>
              </w:rPr>
              <w:t>É</w:t>
            </w:r>
            <w:r w:rsidR="009A7E4C" w:rsidRPr="00686D5A">
              <w:rPr>
                <w:rFonts w:eastAsia="Times New Roman"/>
                <w:b/>
                <w:bCs/>
                <w:sz w:val="18"/>
                <w:szCs w:val="18"/>
                <w:lang w:val="fr-FR" w:eastAsia="en-US"/>
              </w:rPr>
              <w:t>tat d</w:t>
            </w:r>
            <w:r w:rsidR="00D565F4">
              <w:rPr>
                <w:rFonts w:eastAsia="Times New Roman"/>
                <w:b/>
                <w:bCs/>
                <w:sz w:val="18"/>
                <w:szCs w:val="18"/>
                <w:lang w:val="fr-FR" w:eastAsia="en-US"/>
              </w:rPr>
              <w:t>’</w:t>
            </w:r>
            <w:r w:rsidR="009A7E4C" w:rsidRPr="00686D5A">
              <w:rPr>
                <w:rFonts w:eastAsia="Times New Roman"/>
                <w:b/>
                <w:bCs/>
                <w:sz w:val="18"/>
                <w:szCs w:val="18"/>
                <w:lang w:val="fr-FR" w:eastAsia="en-US"/>
              </w:rPr>
              <w:t>avancement</w:t>
            </w:r>
          </w:p>
        </w:tc>
      </w:tr>
      <w:tr w:rsidR="009A7E4C" w:rsidRPr="00686D5A" w:rsidTr="00AB12A1">
        <w:trPr>
          <w:trHeight w:val="303"/>
          <w:jc w:val="center"/>
        </w:trPr>
        <w:tc>
          <w:tcPr>
            <w:tcW w:w="2665" w:type="pct"/>
            <w:tcBorders>
              <w:top w:val="single" w:sz="4" w:space="0" w:color="auto"/>
              <w:left w:val="single" w:sz="4" w:space="0" w:color="auto"/>
              <w:bottom w:val="single" w:sz="4" w:space="0" w:color="auto"/>
              <w:right w:val="single" w:sz="4" w:space="0" w:color="auto"/>
            </w:tcBorders>
            <w:vAlign w:val="center"/>
          </w:tcPr>
          <w:p w:rsidR="009A7E4C" w:rsidRPr="00686D5A" w:rsidRDefault="009A7E4C" w:rsidP="007931CB">
            <w:pPr>
              <w:rPr>
                <w:rFonts w:eastAsia="Times New Roman"/>
                <w:sz w:val="18"/>
                <w:szCs w:val="18"/>
                <w:lang w:val="fr-FR" w:eastAsia="en-US"/>
              </w:rPr>
            </w:pPr>
            <w:r w:rsidRPr="00686D5A">
              <w:rPr>
                <w:rFonts w:eastAsia="Times New Roman"/>
                <w:sz w:val="18"/>
                <w:szCs w:val="18"/>
                <w:lang w:val="fr-FR" w:eastAsia="en-US"/>
              </w:rPr>
              <w:t xml:space="preserve">Évaluation de programme : </w:t>
            </w:r>
            <w:r w:rsidR="007931CB" w:rsidRPr="00686D5A">
              <w:rPr>
                <w:rFonts w:eastAsia="Times New Roman"/>
                <w:sz w:val="18"/>
                <w:szCs w:val="18"/>
                <w:lang w:val="fr-FR" w:eastAsia="en-US"/>
              </w:rPr>
              <w:t>p</w:t>
            </w:r>
            <w:r w:rsidRPr="00686D5A">
              <w:rPr>
                <w:rFonts w:eastAsia="Times New Roman"/>
                <w:sz w:val="18"/>
                <w:szCs w:val="18"/>
                <w:lang w:val="fr-FR" w:eastAsia="en-US"/>
              </w:rPr>
              <w:t>rogramme</w:t>
            </w:r>
            <w:r w:rsidR="007931CB" w:rsidRPr="00686D5A">
              <w:rPr>
                <w:rFonts w:eastAsia="Times New Roman"/>
                <w:sz w:val="18"/>
                <w:szCs w:val="18"/>
                <w:lang w:val="fr-FR" w:eastAsia="en-US"/>
              </w:rPr>
              <w:t> </w:t>
            </w:r>
            <w:r w:rsidR="005E35C2" w:rsidRPr="00686D5A">
              <w:rPr>
                <w:rFonts w:eastAsia="Times New Roman"/>
                <w:sz w:val="18"/>
                <w:szCs w:val="18"/>
                <w:lang w:val="fr-FR" w:eastAsia="en-US"/>
              </w:rPr>
              <w:t>1 </w:t>
            </w:r>
            <w:r w:rsidRPr="00686D5A">
              <w:rPr>
                <w:rFonts w:eastAsia="Times New Roman"/>
                <w:sz w:val="18"/>
                <w:szCs w:val="18"/>
                <w:lang w:val="fr-FR" w:eastAsia="en-US"/>
              </w:rPr>
              <w:t>Droit des brevets et innovation</w:t>
            </w:r>
          </w:p>
        </w:tc>
        <w:tc>
          <w:tcPr>
            <w:tcW w:w="1570" w:type="pct"/>
            <w:tcBorders>
              <w:top w:val="nil"/>
              <w:left w:val="nil"/>
              <w:bottom w:val="single" w:sz="4" w:space="0" w:color="auto"/>
              <w:right w:val="single" w:sz="4" w:space="0" w:color="auto"/>
            </w:tcBorders>
            <w:vAlign w:val="center"/>
          </w:tcPr>
          <w:p w:rsidR="009A7E4C" w:rsidRPr="00686D5A" w:rsidRDefault="009A7E4C" w:rsidP="00AB551E">
            <w:pPr>
              <w:rPr>
                <w:rFonts w:eastAsia="Times New Roman"/>
                <w:sz w:val="18"/>
                <w:szCs w:val="18"/>
                <w:lang w:val="fr-FR" w:eastAsia="en-US"/>
              </w:rPr>
            </w:pPr>
            <w:r w:rsidRPr="00686D5A">
              <w:rPr>
                <w:rFonts w:eastAsia="Times New Roman"/>
                <w:sz w:val="18"/>
                <w:szCs w:val="18"/>
                <w:lang w:val="fr-FR" w:eastAsia="en-US"/>
              </w:rPr>
              <w:t>Innovation et technologie</w:t>
            </w:r>
          </w:p>
        </w:tc>
        <w:tc>
          <w:tcPr>
            <w:tcW w:w="765" w:type="pct"/>
            <w:tcBorders>
              <w:top w:val="single" w:sz="4" w:space="0" w:color="auto"/>
              <w:left w:val="nil"/>
              <w:bottom w:val="single" w:sz="4" w:space="0" w:color="auto"/>
              <w:right w:val="single" w:sz="4" w:space="0" w:color="auto"/>
            </w:tcBorders>
            <w:shd w:val="clear" w:color="auto" w:fill="92D050"/>
            <w:vAlign w:val="center"/>
          </w:tcPr>
          <w:p w:rsidR="009A7E4C" w:rsidRPr="00686D5A" w:rsidRDefault="009A7E4C" w:rsidP="001E2D32">
            <w:pPr>
              <w:jc w:val="center"/>
              <w:rPr>
                <w:rFonts w:eastAsia="Times New Roman"/>
                <w:sz w:val="18"/>
                <w:szCs w:val="18"/>
                <w:lang w:val="fr-FR" w:eastAsia="en-US"/>
              </w:rPr>
            </w:pPr>
          </w:p>
        </w:tc>
      </w:tr>
      <w:tr w:rsidR="009A7E4C" w:rsidRPr="00686D5A" w:rsidTr="00AB12A1">
        <w:trPr>
          <w:trHeight w:val="549"/>
          <w:jc w:val="center"/>
        </w:trPr>
        <w:tc>
          <w:tcPr>
            <w:tcW w:w="2665" w:type="pct"/>
            <w:tcBorders>
              <w:top w:val="single" w:sz="4" w:space="0" w:color="auto"/>
              <w:left w:val="single" w:sz="4" w:space="0" w:color="auto"/>
              <w:bottom w:val="single" w:sz="4" w:space="0" w:color="auto"/>
              <w:right w:val="single" w:sz="4" w:space="0" w:color="auto"/>
            </w:tcBorders>
            <w:vAlign w:val="center"/>
          </w:tcPr>
          <w:p w:rsidR="009A7E4C" w:rsidRPr="00686D5A" w:rsidRDefault="009A7E4C" w:rsidP="002918FE">
            <w:pPr>
              <w:rPr>
                <w:rFonts w:eastAsia="Times New Roman"/>
                <w:sz w:val="18"/>
                <w:szCs w:val="18"/>
                <w:lang w:val="fr-FR" w:eastAsia="en-US"/>
              </w:rPr>
            </w:pPr>
            <w:r w:rsidRPr="00686D5A">
              <w:rPr>
                <w:rFonts w:eastAsia="Times New Roman"/>
                <w:sz w:val="18"/>
                <w:szCs w:val="18"/>
                <w:lang w:val="fr-FR" w:eastAsia="en-US"/>
              </w:rPr>
              <w:t>Deuxième évaluation du portefeuille d</w:t>
            </w:r>
            <w:r w:rsidR="00D565F4">
              <w:rPr>
                <w:rFonts w:eastAsia="Times New Roman"/>
                <w:sz w:val="18"/>
                <w:szCs w:val="18"/>
                <w:lang w:val="fr-FR" w:eastAsia="en-US"/>
              </w:rPr>
              <w:t>’</w:t>
            </w:r>
            <w:r w:rsidRPr="00686D5A">
              <w:rPr>
                <w:rFonts w:eastAsia="Times New Roman"/>
                <w:sz w:val="18"/>
                <w:szCs w:val="18"/>
                <w:lang w:val="fr-FR" w:eastAsia="en-US"/>
              </w:rPr>
              <w:t>activités en Thaïlande (choisi en fonction de la présence d</w:t>
            </w:r>
            <w:r w:rsidR="00D565F4">
              <w:rPr>
                <w:rFonts w:eastAsia="Times New Roman"/>
                <w:sz w:val="18"/>
                <w:szCs w:val="18"/>
                <w:lang w:val="fr-FR" w:eastAsia="en-US"/>
              </w:rPr>
              <w:t>’</w:t>
            </w:r>
            <w:r w:rsidRPr="00686D5A">
              <w:rPr>
                <w:rFonts w:eastAsia="Times New Roman"/>
                <w:sz w:val="18"/>
                <w:szCs w:val="18"/>
                <w:lang w:val="fr-FR" w:eastAsia="en-US"/>
              </w:rPr>
              <w:t>une stratégie de propriété intellectuelle)</w:t>
            </w:r>
          </w:p>
        </w:tc>
        <w:tc>
          <w:tcPr>
            <w:tcW w:w="1570" w:type="pct"/>
            <w:tcBorders>
              <w:top w:val="nil"/>
              <w:left w:val="nil"/>
              <w:bottom w:val="single" w:sz="4" w:space="0" w:color="auto"/>
              <w:right w:val="single" w:sz="4" w:space="0" w:color="auto"/>
            </w:tcBorders>
            <w:vAlign w:val="center"/>
          </w:tcPr>
          <w:p w:rsidR="009A7E4C" w:rsidRPr="00686D5A" w:rsidRDefault="009A7E4C" w:rsidP="001E2D32">
            <w:pPr>
              <w:rPr>
                <w:rFonts w:eastAsia="Times New Roman"/>
                <w:sz w:val="18"/>
                <w:szCs w:val="18"/>
                <w:lang w:val="fr-FR" w:eastAsia="en-US"/>
              </w:rPr>
            </w:pPr>
            <w:r w:rsidRPr="00686D5A">
              <w:rPr>
                <w:rFonts w:eastAsia="Times New Roman"/>
                <w:sz w:val="18"/>
                <w:szCs w:val="18"/>
                <w:lang w:val="fr-FR" w:eastAsia="en-US"/>
              </w:rPr>
              <w:t xml:space="preserve">Développement ou questions mondiales </w:t>
            </w:r>
          </w:p>
        </w:tc>
        <w:tc>
          <w:tcPr>
            <w:tcW w:w="765" w:type="pct"/>
            <w:tcBorders>
              <w:top w:val="single" w:sz="4" w:space="0" w:color="auto"/>
              <w:left w:val="nil"/>
              <w:bottom w:val="single" w:sz="4" w:space="0" w:color="auto"/>
              <w:right w:val="single" w:sz="4" w:space="0" w:color="auto"/>
            </w:tcBorders>
            <w:shd w:val="clear" w:color="auto" w:fill="92D050"/>
            <w:vAlign w:val="center"/>
          </w:tcPr>
          <w:p w:rsidR="009A7E4C" w:rsidRPr="00686D5A" w:rsidRDefault="009A7E4C" w:rsidP="001E2D32">
            <w:pPr>
              <w:jc w:val="center"/>
              <w:rPr>
                <w:rFonts w:eastAsia="Times New Roman"/>
                <w:sz w:val="18"/>
                <w:szCs w:val="18"/>
                <w:lang w:val="fr-FR" w:eastAsia="en-US"/>
              </w:rPr>
            </w:pPr>
          </w:p>
        </w:tc>
      </w:tr>
      <w:tr w:rsidR="009A7E4C" w:rsidRPr="00686D5A" w:rsidTr="00AB12A1">
        <w:trPr>
          <w:jc w:val="center"/>
        </w:trPr>
        <w:tc>
          <w:tcPr>
            <w:tcW w:w="2665" w:type="pct"/>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rPr>
                <w:rFonts w:eastAsia="Times New Roman"/>
                <w:sz w:val="18"/>
                <w:szCs w:val="18"/>
                <w:lang w:val="fr-FR" w:eastAsia="en-US"/>
              </w:rPr>
            </w:pPr>
            <w:r w:rsidRPr="00686D5A">
              <w:rPr>
                <w:rFonts w:eastAsia="Times New Roman"/>
                <w:sz w:val="18"/>
                <w:szCs w:val="18"/>
                <w:lang w:val="fr-FR" w:eastAsia="en-US"/>
              </w:rPr>
              <w:t>Évaluation des services du Secrétariat pour l</w:t>
            </w:r>
            <w:r w:rsidR="00D565F4">
              <w:rPr>
                <w:rFonts w:eastAsia="Times New Roman"/>
                <w:sz w:val="18"/>
                <w:szCs w:val="18"/>
                <w:lang w:val="fr-FR" w:eastAsia="en-US"/>
              </w:rPr>
              <w:t>’</w:t>
            </w:r>
            <w:r w:rsidRPr="00686D5A">
              <w:rPr>
                <w:rFonts w:eastAsia="Times New Roman"/>
                <w:sz w:val="18"/>
                <w:szCs w:val="18"/>
                <w:lang w:val="fr-FR" w:eastAsia="en-US"/>
              </w:rPr>
              <w:t>organisation des réunions du Comité intergouvernemental de la propriété intellectuelle relative aux ressources génétiques, aux savoirs traditionnels et au folklore, de l</w:t>
            </w:r>
            <w:r w:rsidR="00D565F4">
              <w:rPr>
                <w:rFonts w:eastAsia="Times New Roman"/>
                <w:sz w:val="18"/>
                <w:szCs w:val="18"/>
                <w:lang w:val="fr-FR" w:eastAsia="en-US"/>
              </w:rPr>
              <w:t>’</w:t>
            </w:r>
            <w:r w:rsidRPr="00686D5A">
              <w:rPr>
                <w:rFonts w:eastAsia="Times New Roman"/>
                <w:sz w:val="18"/>
                <w:szCs w:val="18"/>
                <w:lang w:val="fr-FR" w:eastAsia="en-US"/>
              </w:rPr>
              <w:t>OMPI (IGC)</w:t>
            </w:r>
          </w:p>
        </w:tc>
        <w:tc>
          <w:tcPr>
            <w:tcW w:w="1570" w:type="pct"/>
            <w:tcBorders>
              <w:top w:val="nil"/>
              <w:left w:val="nil"/>
              <w:bottom w:val="single" w:sz="4" w:space="0" w:color="auto"/>
              <w:right w:val="single" w:sz="4" w:space="0" w:color="auto"/>
            </w:tcBorders>
            <w:vAlign w:val="center"/>
          </w:tcPr>
          <w:p w:rsidR="009A7E4C" w:rsidRPr="00686D5A" w:rsidRDefault="009A7E4C" w:rsidP="00AB551E">
            <w:pPr>
              <w:rPr>
                <w:rFonts w:eastAsia="Times New Roman"/>
                <w:sz w:val="18"/>
                <w:szCs w:val="18"/>
                <w:lang w:val="fr-FR" w:eastAsia="en-US"/>
              </w:rPr>
            </w:pPr>
            <w:r w:rsidRPr="00686D5A">
              <w:rPr>
                <w:rFonts w:eastAsia="Times New Roman"/>
                <w:sz w:val="18"/>
                <w:szCs w:val="18"/>
                <w:lang w:val="fr-FR" w:eastAsia="en-US"/>
              </w:rPr>
              <w:t>Questions mondiales</w:t>
            </w:r>
          </w:p>
        </w:tc>
        <w:tc>
          <w:tcPr>
            <w:tcW w:w="765" w:type="pct"/>
            <w:tcBorders>
              <w:top w:val="single" w:sz="4" w:space="0" w:color="auto"/>
              <w:left w:val="nil"/>
              <w:bottom w:val="single" w:sz="4" w:space="0" w:color="auto"/>
              <w:right w:val="single" w:sz="4" w:space="0" w:color="auto"/>
            </w:tcBorders>
            <w:shd w:val="clear" w:color="auto" w:fill="92D050"/>
            <w:vAlign w:val="center"/>
          </w:tcPr>
          <w:p w:rsidR="009A7E4C" w:rsidRPr="00686D5A" w:rsidRDefault="009A7E4C" w:rsidP="001E2D32">
            <w:pPr>
              <w:jc w:val="center"/>
              <w:rPr>
                <w:rFonts w:eastAsia="Times New Roman"/>
                <w:sz w:val="18"/>
                <w:szCs w:val="18"/>
                <w:lang w:val="fr-FR" w:eastAsia="en-US"/>
              </w:rPr>
            </w:pPr>
          </w:p>
        </w:tc>
      </w:tr>
      <w:tr w:rsidR="009A7E4C" w:rsidRPr="00686D5A" w:rsidTr="00AB12A1">
        <w:trPr>
          <w:trHeight w:val="275"/>
          <w:jc w:val="center"/>
        </w:trPr>
        <w:tc>
          <w:tcPr>
            <w:tcW w:w="2665" w:type="pct"/>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rPr>
                <w:rFonts w:eastAsia="Times New Roman"/>
                <w:sz w:val="18"/>
                <w:szCs w:val="18"/>
                <w:lang w:val="fr-FR" w:eastAsia="en-US"/>
              </w:rPr>
            </w:pPr>
            <w:r w:rsidRPr="00686D5A">
              <w:rPr>
                <w:rFonts w:eastAsia="Times New Roman"/>
                <w:sz w:val="18"/>
                <w:szCs w:val="18"/>
                <w:lang w:val="fr-FR" w:eastAsia="en-US"/>
              </w:rPr>
              <w:t>Examen des obligations de paiement</w:t>
            </w:r>
          </w:p>
        </w:tc>
        <w:tc>
          <w:tcPr>
            <w:tcW w:w="1570" w:type="pct"/>
            <w:tcBorders>
              <w:top w:val="nil"/>
              <w:left w:val="nil"/>
              <w:bottom w:val="single" w:sz="4" w:space="0" w:color="auto"/>
              <w:right w:val="single" w:sz="4" w:space="0" w:color="auto"/>
            </w:tcBorders>
            <w:vAlign w:val="center"/>
          </w:tcPr>
          <w:p w:rsidR="009A7E4C" w:rsidRPr="00686D5A" w:rsidRDefault="009A7E4C" w:rsidP="00AB551E">
            <w:pPr>
              <w:rPr>
                <w:rFonts w:eastAsia="Times New Roman"/>
                <w:sz w:val="18"/>
                <w:szCs w:val="18"/>
                <w:lang w:val="fr-FR" w:eastAsia="en-US"/>
              </w:rPr>
            </w:pPr>
            <w:r w:rsidRPr="00686D5A">
              <w:rPr>
                <w:rFonts w:eastAsia="Times New Roman"/>
                <w:sz w:val="18"/>
                <w:szCs w:val="18"/>
                <w:lang w:val="fr-FR" w:eastAsia="en-US"/>
              </w:rPr>
              <w:t>Administration et gestion</w:t>
            </w:r>
          </w:p>
        </w:tc>
        <w:tc>
          <w:tcPr>
            <w:tcW w:w="765" w:type="pct"/>
            <w:tcBorders>
              <w:top w:val="single" w:sz="4" w:space="0" w:color="auto"/>
              <w:left w:val="nil"/>
              <w:bottom w:val="single" w:sz="4" w:space="0" w:color="auto"/>
              <w:right w:val="single" w:sz="4" w:space="0" w:color="auto"/>
            </w:tcBorders>
            <w:shd w:val="clear" w:color="auto" w:fill="92D050"/>
            <w:vAlign w:val="center"/>
          </w:tcPr>
          <w:p w:rsidR="009A7E4C" w:rsidRPr="00686D5A" w:rsidRDefault="009A7E4C" w:rsidP="001E2D32">
            <w:pPr>
              <w:jc w:val="center"/>
              <w:rPr>
                <w:rFonts w:eastAsia="Times New Roman"/>
                <w:sz w:val="18"/>
                <w:szCs w:val="18"/>
                <w:lang w:val="fr-FR" w:eastAsia="en-US"/>
              </w:rPr>
            </w:pPr>
          </w:p>
        </w:tc>
      </w:tr>
      <w:tr w:rsidR="00686D5A" w:rsidRPr="00686D5A" w:rsidTr="007931CB">
        <w:trPr>
          <w:trHeight w:val="277"/>
          <w:jc w:val="center"/>
        </w:trPr>
        <w:tc>
          <w:tcPr>
            <w:tcW w:w="2665" w:type="pct"/>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rPr>
                <w:rFonts w:eastAsia="Times New Roman"/>
                <w:sz w:val="18"/>
                <w:szCs w:val="18"/>
                <w:lang w:val="fr-FR" w:eastAsia="en-US"/>
              </w:rPr>
            </w:pPr>
            <w:r w:rsidRPr="00686D5A">
              <w:rPr>
                <w:rFonts w:eastAsia="Times New Roman"/>
                <w:sz w:val="18"/>
                <w:szCs w:val="18"/>
                <w:lang w:val="fr-FR" w:eastAsia="en-US"/>
              </w:rPr>
              <w:t>Audit de la sécurité informatique</w:t>
            </w:r>
          </w:p>
        </w:tc>
        <w:tc>
          <w:tcPr>
            <w:tcW w:w="1570" w:type="pct"/>
            <w:tcBorders>
              <w:top w:val="nil"/>
              <w:left w:val="nil"/>
              <w:bottom w:val="single" w:sz="4" w:space="0" w:color="auto"/>
              <w:right w:val="single" w:sz="4" w:space="0" w:color="auto"/>
            </w:tcBorders>
            <w:vAlign w:val="center"/>
          </w:tcPr>
          <w:p w:rsidR="009A7E4C" w:rsidRPr="00686D5A" w:rsidRDefault="009A7E4C" w:rsidP="00AB551E">
            <w:pPr>
              <w:rPr>
                <w:rFonts w:eastAsia="Times New Roman"/>
                <w:sz w:val="18"/>
                <w:szCs w:val="18"/>
                <w:lang w:val="fr-FR" w:eastAsia="en-US"/>
              </w:rPr>
            </w:pPr>
            <w:r w:rsidRPr="00686D5A">
              <w:rPr>
                <w:rFonts w:eastAsia="Times New Roman"/>
                <w:sz w:val="18"/>
                <w:szCs w:val="18"/>
                <w:lang w:val="fr-FR" w:eastAsia="en-US"/>
              </w:rPr>
              <w:t>Administration et gestion</w:t>
            </w:r>
          </w:p>
        </w:tc>
        <w:tc>
          <w:tcPr>
            <w:tcW w:w="765" w:type="pct"/>
            <w:tcBorders>
              <w:top w:val="single" w:sz="4" w:space="0" w:color="auto"/>
              <w:left w:val="nil"/>
              <w:bottom w:val="single" w:sz="4" w:space="0" w:color="auto"/>
              <w:right w:val="single" w:sz="4" w:space="0" w:color="auto"/>
            </w:tcBorders>
            <w:shd w:val="clear" w:color="auto" w:fill="92D050"/>
            <w:vAlign w:val="center"/>
          </w:tcPr>
          <w:p w:rsidR="009A7E4C" w:rsidRPr="00686D5A" w:rsidRDefault="009A7E4C" w:rsidP="001E2D32">
            <w:pPr>
              <w:jc w:val="center"/>
              <w:rPr>
                <w:rFonts w:eastAsia="Times New Roman"/>
                <w:sz w:val="18"/>
                <w:szCs w:val="18"/>
                <w:lang w:val="fr-FR" w:eastAsia="en-US"/>
              </w:rPr>
            </w:pPr>
          </w:p>
        </w:tc>
      </w:tr>
      <w:tr w:rsidR="009A7E4C" w:rsidRPr="004E60A4" w:rsidTr="00AB12A1">
        <w:trPr>
          <w:jc w:val="center"/>
        </w:trPr>
        <w:tc>
          <w:tcPr>
            <w:tcW w:w="2665" w:type="pct"/>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rPr>
                <w:rFonts w:eastAsia="Times New Roman"/>
                <w:sz w:val="18"/>
                <w:szCs w:val="18"/>
                <w:lang w:val="fr-FR" w:eastAsia="en-US"/>
              </w:rPr>
            </w:pPr>
            <w:r w:rsidRPr="00686D5A">
              <w:rPr>
                <w:rFonts w:eastAsia="Times New Roman"/>
                <w:sz w:val="18"/>
                <w:szCs w:val="18"/>
                <w:lang w:val="fr-FR" w:eastAsia="en-US"/>
              </w:rPr>
              <w:t>Examen du processus de création de recettes au titre des systèmes de Madrid et de La</w:t>
            </w:r>
            <w:r w:rsidR="00413B67" w:rsidRPr="00686D5A">
              <w:rPr>
                <w:rFonts w:eastAsia="Times New Roman"/>
                <w:sz w:val="18"/>
                <w:szCs w:val="18"/>
                <w:lang w:val="fr-FR" w:eastAsia="en-US"/>
              </w:rPr>
              <w:t> </w:t>
            </w:r>
            <w:r w:rsidRPr="00686D5A">
              <w:rPr>
                <w:rFonts w:eastAsia="Times New Roman"/>
                <w:sz w:val="18"/>
                <w:szCs w:val="18"/>
                <w:lang w:val="fr-FR" w:eastAsia="en-US"/>
              </w:rPr>
              <w:t>Haye</w:t>
            </w:r>
          </w:p>
        </w:tc>
        <w:tc>
          <w:tcPr>
            <w:tcW w:w="1570" w:type="pct"/>
            <w:tcBorders>
              <w:top w:val="nil"/>
              <w:left w:val="nil"/>
              <w:bottom w:val="single" w:sz="4" w:space="0" w:color="auto"/>
              <w:right w:val="single" w:sz="4" w:space="0" w:color="auto"/>
            </w:tcBorders>
            <w:vAlign w:val="center"/>
          </w:tcPr>
          <w:p w:rsidR="009A7E4C" w:rsidRPr="00686D5A" w:rsidRDefault="009A7E4C" w:rsidP="001E2D32">
            <w:pPr>
              <w:rPr>
                <w:rFonts w:eastAsia="Times New Roman"/>
                <w:sz w:val="18"/>
                <w:szCs w:val="18"/>
                <w:lang w:val="fr-FR" w:eastAsia="en-US"/>
              </w:rPr>
            </w:pPr>
            <w:r w:rsidRPr="00686D5A">
              <w:rPr>
                <w:rFonts w:eastAsia="Times New Roman"/>
                <w:sz w:val="18"/>
                <w:szCs w:val="18"/>
                <w:lang w:val="fr-FR" w:eastAsia="en-US"/>
              </w:rPr>
              <w:t>Marques et dessins et modèles industriels</w:t>
            </w:r>
          </w:p>
        </w:tc>
        <w:tc>
          <w:tcPr>
            <w:tcW w:w="765" w:type="pct"/>
            <w:tcBorders>
              <w:top w:val="single" w:sz="4" w:space="0" w:color="auto"/>
              <w:left w:val="nil"/>
              <w:bottom w:val="single" w:sz="4" w:space="0" w:color="auto"/>
              <w:right w:val="single" w:sz="4" w:space="0" w:color="auto"/>
            </w:tcBorders>
            <w:shd w:val="clear" w:color="auto" w:fill="92D050"/>
            <w:vAlign w:val="center"/>
          </w:tcPr>
          <w:p w:rsidR="009A7E4C" w:rsidRPr="00686D5A" w:rsidRDefault="009A7E4C" w:rsidP="001E2D32">
            <w:pPr>
              <w:jc w:val="center"/>
              <w:rPr>
                <w:rFonts w:eastAsia="Times New Roman"/>
                <w:sz w:val="18"/>
                <w:szCs w:val="18"/>
                <w:lang w:val="fr-FR" w:eastAsia="en-US"/>
              </w:rPr>
            </w:pPr>
          </w:p>
        </w:tc>
      </w:tr>
      <w:tr w:rsidR="009A7E4C" w:rsidRPr="00686D5A" w:rsidTr="00AB12A1">
        <w:trPr>
          <w:jc w:val="center"/>
        </w:trPr>
        <w:tc>
          <w:tcPr>
            <w:tcW w:w="2665" w:type="pct"/>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rPr>
                <w:rFonts w:eastAsia="Times New Roman"/>
                <w:sz w:val="18"/>
                <w:szCs w:val="18"/>
                <w:lang w:val="fr-FR" w:eastAsia="en-US"/>
              </w:rPr>
            </w:pPr>
            <w:r w:rsidRPr="00686D5A">
              <w:rPr>
                <w:rFonts w:eastAsia="Times New Roman"/>
                <w:sz w:val="18"/>
                <w:szCs w:val="18"/>
                <w:lang w:val="fr-FR" w:eastAsia="en-US"/>
              </w:rPr>
              <w:t>Examen de la gestion de la cessation de service des fonctionnaires</w:t>
            </w:r>
          </w:p>
        </w:tc>
        <w:tc>
          <w:tcPr>
            <w:tcW w:w="1570" w:type="pct"/>
            <w:tcBorders>
              <w:top w:val="nil"/>
              <w:left w:val="nil"/>
              <w:bottom w:val="single" w:sz="4" w:space="0" w:color="auto"/>
              <w:right w:val="single" w:sz="4" w:space="0" w:color="auto"/>
            </w:tcBorders>
            <w:vAlign w:val="center"/>
          </w:tcPr>
          <w:p w:rsidR="009A7E4C" w:rsidRPr="00686D5A" w:rsidRDefault="009A7E4C" w:rsidP="00AB551E">
            <w:pPr>
              <w:rPr>
                <w:rFonts w:eastAsia="Times New Roman"/>
                <w:sz w:val="18"/>
                <w:szCs w:val="18"/>
                <w:lang w:val="fr-FR" w:eastAsia="en-US"/>
              </w:rPr>
            </w:pPr>
            <w:r w:rsidRPr="00686D5A">
              <w:rPr>
                <w:rFonts w:eastAsia="Times New Roman"/>
                <w:sz w:val="18"/>
                <w:szCs w:val="18"/>
                <w:lang w:val="fr-FR" w:eastAsia="en-US"/>
              </w:rPr>
              <w:t>Ressources humaines</w:t>
            </w:r>
          </w:p>
        </w:tc>
        <w:tc>
          <w:tcPr>
            <w:tcW w:w="765" w:type="pct"/>
            <w:tcBorders>
              <w:top w:val="single" w:sz="4" w:space="0" w:color="auto"/>
              <w:left w:val="nil"/>
              <w:bottom w:val="single" w:sz="4" w:space="0" w:color="auto"/>
              <w:right w:val="single" w:sz="4" w:space="0" w:color="auto"/>
            </w:tcBorders>
            <w:shd w:val="clear" w:color="auto" w:fill="92D050"/>
            <w:vAlign w:val="center"/>
          </w:tcPr>
          <w:p w:rsidR="009A7E4C" w:rsidRPr="00686D5A" w:rsidRDefault="009A7E4C" w:rsidP="001E2D32">
            <w:pPr>
              <w:jc w:val="center"/>
              <w:rPr>
                <w:rFonts w:eastAsia="Times New Roman"/>
                <w:sz w:val="18"/>
                <w:szCs w:val="18"/>
                <w:lang w:val="fr-FR" w:eastAsia="en-US"/>
              </w:rPr>
            </w:pPr>
          </w:p>
        </w:tc>
      </w:tr>
      <w:tr w:rsidR="009A7E4C" w:rsidRPr="00686D5A" w:rsidTr="00AB12A1">
        <w:trPr>
          <w:jc w:val="center"/>
        </w:trPr>
        <w:tc>
          <w:tcPr>
            <w:tcW w:w="2665" w:type="pct"/>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rPr>
                <w:rFonts w:eastAsia="Times New Roman"/>
                <w:sz w:val="18"/>
                <w:szCs w:val="18"/>
                <w:lang w:val="fr-FR" w:eastAsia="en-US"/>
              </w:rPr>
            </w:pPr>
            <w:r w:rsidRPr="00686D5A">
              <w:rPr>
                <w:rFonts w:eastAsia="Times New Roman"/>
                <w:sz w:val="18"/>
                <w:szCs w:val="18"/>
                <w:lang w:val="fr-FR" w:eastAsia="en-US"/>
              </w:rPr>
              <w:t>Examen d</w:t>
            </w:r>
            <w:r w:rsidR="00D565F4">
              <w:rPr>
                <w:rFonts w:eastAsia="Times New Roman"/>
                <w:sz w:val="18"/>
                <w:szCs w:val="18"/>
                <w:lang w:val="fr-FR" w:eastAsia="en-US"/>
              </w:rPr>
              <w:t>’</w:t>
            </w:r>
            <w:r w:rsidRPr="00686D5A">
              <w:rPr>
                <w:rFonts w:eastAsia="Times New Roman"/>
                <w:sz w:val="18"/>
                <w:szCs w:val="18"/>
                <w:lang w:val="fr-FR" w:eastAsia="en-US"/>
              </w:rPr>
              <w:t>une initiative</w:t>
            </w:r>
            <w:r w:rsidR="00E11857" w:rsidRPr="00686D5A">
              <w:rPr>
                <w:rFonts w:eastAsia="Times New Roman"/>
                <w:sz w:val="18"/>
                <w:szCs w:val="18"/>
                <w:lang w:val="fr-FR" w:eastAsia="en-US"/>
              </w:rPr>
              <w:t xml:space="preserve"> du PRS</w:t>
            </w:r>
            <w:r w:rsidRPr="00686D5A">
              <w:rPr>
                <w:rFonts w:eastAsia="Times New Roman"/>
                <w:sz w:val="18"/>
                <w:szCs w:val="18"/>
                <w:lang w:val="fr-FR" w:eastAsia="en-US"/>
              </w:rPr>
              <w:t> : Renforcer la gestion axée sur les résultats</w:t>
            </w:r>
          </w:p>
        </w:tc>
        <w:tc>
          <w:tcPr>
            <w:tcW w:w="1570" w:type="pct"/>
            <w:tcBorders>
              <w:top w:val="nil"/>
              <w:left w:val="nil"/>
              <w:bottom w:val="single" w:sz="4" w:space="0" w:color="auto"/>
              <w:right w:val="single" w:sz="4" w:space="0" w:color="auto"/>
            </w:tcBorders>
            <w:vAlign w:val="center"/>
          </w:tcPr>
          <w:p w:rsidR="009A7E4C" w:rsidRPr="00686D5A" w:rsidRDefault="009A7E4C" w:rsidP="001E2D32">
            <w:pPr>
              <w:rPr>
                <w:rFonts w:eastAsia="Times New Roman"/>
                <w:sz w:val="18"/>
                <w:szCs w:val="18"/>
                <w:lang w:val="fr-FR" w:eastAsia="en-US"/>
              </w:rPr>
            </w:pPr>
            <w:r w:rsidRPr="00686D5A">
              <w:rPr>
                <w:rFonts w:eastAsia="Times New Roman"/>
                <w:sz w:val="18"/>
                <w:szCs w:val="18"/>
                <w:lang w:val="fr-FR" w:eastAsia="en-US"/>
              </w:rPr>
              <w:t>Intersectoriel</w:t>
            </w:r>
          </w:p>
        </w:tc>
        <w:tc>
          <w:tcPr>
            <w:tcW w:w="765" w:type="pct"/>
            <w:tcBorders>
              <w:top w:val="single" w:sz="4" w:space="0" w:color="auto"/>
              <w:left w:val="nil"/>
              <w:bottom w:val="single" w:sz="4" w:space="0" w:color="auto"/>
              <w:right w:val="single" w:sz="4" w:space="0" w:color="auto"/>
            </w:tcBorders>
            <w:shd w:val="clear" w:color="auto" w:fill="92D050"/>
            <w:vAlign w:val="center"/>
          </w:tcPr>
          <w:p w:rsidR="009A7E4C" w:rsidRPr="00686D5A" w:rsidRDefault="009A7E4C" w:rsidP="001E2D32">
            <w:pPr>
              <w:jc w:val="center"/>
              <w:rPr>
                <w:rFonts w:eastAsia="Times New Roman"/>
                <w:sz w:val="18"/>
                <w:szCs w:val="18"/>
                <w:lang w:val="fr-FR" w:eastAsia="en-US"/>
              </w:rPr>
            </w:pPr>
          </w:p>
        </w:tc>
      </w:tr>
      <w:tr w:rsidR="009A7E4C" w:rsidRPr="00686D5A" w:rsidTr="00AB12A1">
        <w:trPr>
          <w:jc w:val="center"/>
        </w:trPr>
        <w:tc>
          <w:tcPr>
            <w:tcW w:w="2665" w:type="pct"/>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rPr>
                <w:rFonts w:eastAsia="Times New Roman"/>
                <w:bCs/>
                <w:sz w:val="18"/>
                <w:szCs w:val="18"/>
                <w:lang w:val="fr-FR" w:eastAsia="en-US"/>
              </w:rPr>
            </w:pPr>
            <w:r w:rsidRPr="00686D5A">
              <w:rPr>
                <w:bCs/>
                <w:sz w:val="18"/>
                <w:szCs w:val="18"/>
                <w:lang w:val="fr-FR"/>
              </w:rPr>
              <w:t>Examen des grands projets liés au développement (qui peuvent également comprendre des fonds fiduciaires)</w:t>
            </w:r>
          </w:p>
        </w:tc>
        <w:tc>
          <w:tcPr>
            <w:tcW w:w="1570" w:type="pct"/>
            <w:tcBorders>
              <w:top w:val="nil"/>
              <w:left w:val="nil"/>
              <w:bottom w:val="single" w:sz="4" w:space="0" w:color="auto"/>
              <w:right w:val="single" w:sz="4" w:space="0" w:color="auto"/>
            </w:tcBorders>
            <w:vAlign w:val="center"/>
          </w:tcPr>
          <w:p w:rsidR="009A7E4C" w:rsidRPr="00686D5A" w:rsidRDefault="009A7E4C" w:rsidP="001E2D32">
            <w:pPr>
              <w:rPr>
                <w:rFonts w:eastAsia="Times New Roman"/>
                <w:sz w:val="18"/>
                <w:szCs w:val="18"/>
                <w:lang w:val="fr-FR" w:eastAsia="en-US"/>
              </w:rPr>
            </w:pPr>
            <w:r w:rsidRPr="00686D5A">
              <w:rPr>
                <w:rFonts w:eastAsia="Times New Roman"/>
                <w:sz w:val="18"/>
                <w:szCs w:val="18"/>
                <w:lang w:val="fr-FR" w:eastAsia="en-US"/>
              </w:rPr>
              <w:t>Développement ou questions mondiales</w:t>
            </w:r>
          </w:p>
        </w:tc>
        <w:tc>
          <w:tcPr>
            <w:tcW w:w="765" w:type="pct"/>
            <w:tcBorders>
              <w:top w:val="single" w:sz="4" w:space="0" w:color="auto"/>
              <w:left w:val="nil"/>
              <w:bottom w:val="single" w:sz="4" w:space="0" w:color="auto"/>
              <w:right w:val="single" w:sz="4" w:space="0" w:color="auto"/>
            </w:tcBorders>
            <w:shd w:val="clear" w:color="auto" w:fill="92D050"/>
            <w:vAlign w:val="center"/>
          </w:tcPr>
          <w:p w:rsidR="009A7E4C" w:rsidRPr="00686D5A" w:rsidRDefault="009A7E4C" w:rsidP="001E2D32">
            <w:pPr>
              <w:jc w:val="center"/>
              <w:rPr>
                <w:rFonts w:eastAsia="Times New Roman"/>
                <w:sz w:val="18"/>
                <w:szCs w:val="18"/>
                <w:lang w:val="fr-FR" w:eastAsia="en-US"/>
              </w:rPr>
            </w:pPr>
          </w:p>
        </w:tc>
      </w:tr>
      <w:tr w:rsidR="009A7E4C" w:rsidRPr="00686D5A" w:rsidTr="00AB12A1">
        <w:trPr>
          <w:jc w:val="center"/>
        </w:trPr>
        <w:tc>
          <w:tcPr>
            <w:tcW w:w="2665" w:type="pct"/>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rPr>
                <w:rFonts w:eastAsia="Times New Roman"/>
                <w:sz w:val="18"/>
                <w:szCs w:val="18"/>
                <w:lang w:val="fr-FR" w:eastAsia="en-US"/>
              </w:rPr>
            </w:pPr>
            <w:r w:rsidRPr="00686D5A">
              <w:rPr>
                <w:rFonts w:eastAsia="Times New Roman"/>
                <w:sz w:val="18"/>
                <w:szCs w:val="18"/>
                <w:lang w:val="fr-FR" w:eastAsia="en-US"/>
              </w:rPr>
              <w:t>Fraudes aux prestations/fausses déclarations (trois affaires)</w:t>
            </w:r>
          </w:p>
        </w:tc>
        <w:tc>
          <w:tcPr>
            <w:tcW w:w="1570" w:type="pct"/>
            <w:tcBorders>
              <w:top w:val="nil"/>
              <w:left w:val="nil"/>
              <w:bottom w:val="single" w:sz="4" w:space="0" w:color="auto"/>
              <w:right w:val="single" w:sz="4" w:space="0" w:color="auto"/>
            </w:tcBorders>
            <w:vAlign w:val="center"/>
          </w:tcPr>
          <w:p w:rsidR="009A7E4C" w:rsidRPr="00686D5A" w:rsidRDefault="009A7E4C" w:rsidP="001E2D32">
            <w:pPr>
              <w:rPr>
                <w:rFonts w:eastAsia="Times New Roman"/>
                <w:sz w:val="18"/>
                <w:szCs w:val="18"/>
                <w:lang w:val="fr-FR" w:eastAsia="en-US"/>
              </w:rPr>
            </w:pPr>
            <w:r w:rsidRPr="00686D5A">
              <w:rPr>
                <w:rFonts w:eastAsia="Times New Roman"/>
                <w:sz w:val="18"/>
                <w:szCs w:val="18"/>
                <w:lang w:val="fr-FR" w:eastAsia="en-US"/>
              </w:rPr>
              <w:t>Non pertinent</w:t>
            </w:r>
          </w:p>
        </w:tc>
        <w:tc>
          <w:tcPr>
            <w:tcW w:w="765" w:type="pct"/>
            <w:tcBorders>
              <w:top w:val="single" w:sz="4" w:space="0" w:color="auto"/>
              <w:left w:val="nil"/>
              <w:bottom w:val="single" w:sz="4" w:space="0" w:color="auto"/>
              <w:right w:val="single" w:sz="4" w:space="0" w:color="auto"/>
            </w:tcBorders>
            <w:shd w:val="clear" w:color="auto" w:fill="92D050"/>
            <w:vAlign w:val="center"/>
          </w:tcPr>
          <w:p w:rsidR="009A7E4C" w:rsidRPr="00686D5A" w:rsidRDefault="009A7E4C" w:rsidP="001E2D32">
            <w:pPr>
              <w:jc w:val="center"/>
              <w:rPr>
                <w:rFonts w:eastAsia="Times New Roman"/>
                <w:sz w:val="18"/>
                <w:szCs w:val="18"/>
                <w:lang w:val="fr-FR" w:eastAsia="en-US"/>
              </w:rPr>
            </w:pPr>
          </w:p>
        </w:tc>
      </w:tr>
      <w:tr w:rsidR="009A7E4C" w:rsidRPr="00686D5A" w:rsidTr="00AB12A1">
        <w:trPr>
          <w:trHeight w:val="347"/>
          <w:jc w:val="center"/>
        </w:trPr>
        <w:tc>
          <w:tcPr>
            <w:tcW w:w="2665" w:type="pct"/>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rPr>
                <w:rFonts w:eastAsia="Times New Roman"/>
                <w:sz w:val="18"/>
                <w:szCs w:val="18"/>
                <w:lang w:val="fr-FR" w:eastAsia="en-US"/>
              </w:rPr>
            </w:pPr>
            <w:r w:rsidRPr="00686D5A">
              <w:rPr>
                <w:rFonts w:eastAsia="Times New Roman"/>
                <w:sz w:val="18"/>
                <w:szCs w:val="18"/>
                <w:lang w:val="fr-FR" w:eastAsia="en-US"/>
              </w:rPr>
              <w:t>Utilisation abusive des ressources informatiques (aucune affaire)</w:t>
            </w:r>
          </w:p>
        </w:tc>
        <w:tc>
          <w:tcPr>
            <w:tcW w:w="1570" w:type="pct"/>
            <w:tcBorders>
              <w:top w:val="nil"/>
              <w:left w:val="nil"/>
              <w:bottom w:val="single" w:sz="4" w:space="0" w:color="auto"/>
              <w:right w:val="single" w:sz="4" w:space="0" w:color="auto"/>
            </w:tcBorders>
            <w:vAlign w:val="center"/>
          </w:tcPr>
          <w:p w:rsidR="009A7E4C" w:rsidRPr="00686D5A" w:rsidRDefault="009A7E4C" w:rsidP="001E2D32">
            <w:pPr>
              <w:rPr>
                <w:rFonts w:eastAsia="Times New Roman"/>
                <w:sz w:val="18"/>
                <w:szCs w:val="18"/>
                <w:lang w:val="fr-FR" w:eastAsia="en-US"/>
              </w:rPr>
            </w:pPr>
            <w:r w:rsidRPr="00686D5A">
              <w:rPr>
                <w:rFonts w:eastAsia="Times New Roman"/>
                <w:sz w:val="18"/>
                <w:szCs w:val="18"/>
                <w:lang w:val="fr-FR" w:eastAsia="en-US"/>
              </w:rPr>
              <w:t>Non pertinent</w:t>
            </w:r>
          </w:p>
        </w:tc>
        <w:tc>
          <w:tcPr>
            <w:tcW w:w="765" w:type="pct"/>
            <w:tcBorders>
              <w:top w:val="single" w:sz="4" w:space="0" w:color="auto"/>
              <w:left w:val="nil"/>
              <w:bottom w:val="single" w:sz="4" w:space="0" w:color="auto"/>
              <w:right w:val="single" w:sz="4" w:space="0" w:color="auto"/>
            </w:tcBorders>
            <w:shd w:val="clear" w:color="auto" w:fill="92D050"/>
            <w:vAlign w:val="center"/>
          </w:tcPr>
          <w:p w:rsidR="009A7E4C" w:rsidRPr="00686D5A" w:rsidRDefault="009A7E4C" w:rsidP="001E2D32">
            <w:pPr>
              <w:jc w:val="center"/>
              <w:rPr>
                <w:rFonts w:eastAsia="Times New Roman"/>
                <w:sz w:val="18"/>
                <w:szCs w:val="18"/>
                <w:lang w:val="fr-FR" w:eastAsia="en-US"/>
              </w:rPr>
            </w:pPr>
          </w:p>
        </w:tc>
      </w:tr>
      <w:tr w:rsidR="009A7E4C" w:rsidRPr="00686D5A" w:rsidTr="00AB12A1">
        <w:trPr>
          <w:jc w:val="center"/>
        </w:trPr>
        <w:tc>
          <w:tcPr>
            <w:tcW w:w="2665" w:type="pct"/>
            <w:tcBorders>
              <w:top w:val="single" w:sz="4" w:space="0" w:color="auto"/>
              <w:left w:val="single" w:sz="4" w:space="0" w:color="auto"/>
              <w:bottom w:val="single" w:sz="4" w:space="0" w:color="auto"/>
              <w:right w:val="single" w:sz="4" w:space="0" w:color="auto"/>
            </w:tcBorders>
            <w:vAlign w:val="center"/>
          </w:tcPr>
          <w:p w:rsidR="009A7E4C" w:rsidRPr="00686D5A" w:rsidRDefault="009A7E4C" w:rsidP="00AB12A1">
            <w:pPr>
              <w:rPr>
                <w:rFonts w:eastAsia="Times New Roman"/>
                <w:sz w:val="18"/>
                <w:szCs w:val="18"/>
                <w:lang w:val="fr-FR" w:eastAsia="en-US"/>
              </w:rPr>
            </w:pPr>
            <w:r w:rsidRPr="00686D5A">
              <w:rPr>
                <w:rFonts w:eastAsia="Times New Roman"/>
                <w:sz w:val="18"/>
                <w:szCs w:val="18"/>
                <w:lang w:val="fr-FR" w:eastAsia="en-US"/>
              </w:rPr>
              <w:t>Déclarations et activités incompatibles avec le statut de fonctionnaire international (trois affaires)</w:t>
            </w:r>
          </w:p>
        </w:tc>
        <w:tc>
          <w:tcPr>
            <w:tcW w:w="1570" w:type="pct"/>
            <w:tcBorders>
              <w:top w:val="nil"/>
              <w:left w:val="nil"/>
              <w:bottom w:val="single" w:sz="4" w:space="0" w:color="auto"/>
              <w:right w:val="single" w:sz="4" w:space="0" w:color="auto"/>
            </w:tcBorders>
            <w:vAlign w:val="center"/>
          </w:tcPr>
          <w:p w:rsidR="009A7E4C" w:rsidRPr="00686D5A" w:rsidRDefault="009A7E4C" w:rsidP="001E2D32">
            <w:pPr>
              <w:rPr>
                <w:rFonts w:eastAsia="Times New Roman"/>
                <w:sz w:val="18"/>
                <w:szCs w:val="18"/>
                <w:lang w:val="fr-FR" w:eastAsia="en-US"/>
              </w:rPr>
            </w:pPr>
            <w:r w:rsidRPr="00686D5A">
              <w:rPr>
                <w:rFonts w:eastAsia="Times New Roman"/>
                <w:sz w:val="18"/>
                <w:szCs w:val="18"/>
                <w:lang w:val="fr-FR" w:eastAsia="en-US"/>
              </w:rPr>
              <w:t>Non pertinent</w:t>
            </w:r>
          </w:p>
        </w:tc>
        <w:tc>
          <w:tcPr>
            <w:tcW w:w="765" w:type="pct"/>
            <w:tcBorders>
              <w:top w:val="single" w:sz="4" w:space="0" w:color="auto"/>
              <w:left w:val="nil"/>
              <w:bottom w:val="single" w:sz="4" w:space="0" w:color="auto"/>
              <w:right w:val="single" w:sz="4" w:space="0" w:color="auto"/>
            </w:tcBorders>
            <w:shd w:val="clear" w:color="auto" w:fill="92D050"/>
            <w:vAlign w:val="center"/>
          </w:tcPr>
          <w:p w:rsidR="009A7E4C" w:rsidRPr="00686D5A" w:rsidRDefault="009A7E4C" w:rsidP="001E2D32">
            <w:pPr>
              <w:jc w:val="center"/>
              <w:rPr>
                <w:rFonts w:eastAsia="Times New Roman"/>
                <w:sz w:val="18"/>
                <w:szCs w:val="18"/>
                <w:lang w:val="fr-FR" w:eastAsia="en-US"/>
              </w:rPr>
            </w:pPr>
          </w:p>
        </w:tc>
      </w:tr>
      <w:tr w:rsidR="009A7E4C" w:rsidRPr="00686D5A" w:rsidTr="00AB12A1">
        <w:trPr>
          <w:jc w:val="center"/>
        </w:trPr>
        <w:tc>
          <w:tcPr>
            <w:tcW w:w="2665" w:type="pct"/>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rPr>
                <w:rFonts w:eastAsia="Times New Roman"/>
                <w:sz w:val="18"/>
                <w:szCs w:val="18"/>
                <w:lang w:val="fr-FR" w:eastAsia="en-US"/>
              </w:rPr>
            </w:pPr>
            <w:r w:rsidRPr="00686D5A">
              <w:rPr>
                <w:rFonts w:eastAsia="Times New Roman"/>
                <w:sz w:val="18"/>
                <w:szCs w:val="18"/>
                <w:lang w:val="fr-FR" w:eastAsia="en-US"/>
              </w:rPr>
              <w:t>Harcèlement/discrimination/abus de pouvoir (cinq affaires)</w:t>
            </w:r>
          </w:p>
        </w:tc>
        <w:tc>
          <w:tcPr>
            <w:tcW w:w="1570" w:type="pct"/>
            <w:tcBorders>
              <w:top w:val="nil"/>
              <w:left w:val="nil"/>
              <w:bottom w:val="single" w:sz="4" w:space="0" w:color="auto"/>
              <w:right w:val="single" w:sz="4" w:space="0" w:color="auto"/>
            </w:tcBorders>
            <w:vAlign w:val="center"/>
          </w:tcPr>
          <w:p w:rsidR="009A7E4C" w:rsidRPr="00686D5A" w:rsidRDefault="009A7E4C" w:rsidP="001E2D32">
            <w:pPr>
              <w:rPr>
                <w:rFonts w:eastAsia="Times New Roman"/>
                <w:sz w:val="18"/>
                <w:szCs w:val="18"/>
                <w:lang w:val="fr-FR" w:eastAsia="en-US"/>
              </w:rPr>
            </w:pPr>
            <w:r w:rsidRPr="00686D5A">
              <w:rPr>
                <w:rFonts w:eastAsia="Times New Roman"/>
                <w:sz w:val="18"/>
                <w:szCs w:val="18"/>
                <w:lang w:val="fr-FR" w:eastAsia="en-US"/>
              </w:rPr>
              <w:t>Non pertinent</w:t>
            </w:r>
          </w:p>
        </w:tc>
        <w:tc>
          <w:tcPr>
            <w:tcW w:w="765" w:type="pct"/>
            <w:tcBorders>
              <w:top w:val="single" w:sz="4" w:space="0" w:color="auto"/>
              <w:left w:val="nil"/>
              <w:bottom w:val="single" w:sz="4" w:space="0" w:color="auto"/>
              <w:right w:val="single" w:sz="4" w:space="0" w:color="auto"/>
            </w:tcBorders>
            <w:shd w:val="clear" w:color="auto" w:fill="92D050"/>
            <w:vAlign w:val="center"/>
          </w:tcPr>
          <w:p w:rsidR="009A7E4C" w:rsidRPr="00686D5A" w:rsidRDefault="009A7E4C" w:rsidP="001E2D32">
            <w:pPr>
              <w:jc w:val="center"/>
              <w:rPr>
                <w:rFonts w:eastAsia="Times New Roman"/>
                <w:sz w:val="18"/>
                <w:szCs w:val="18"/>
                <w:lang w:val="fr-FR" w:eastAsia="en-US"/>
              </w:rPr>
            </w:pPr>
          </w:p>
        </w:tc>
      </w:tr>
      <w:tr w:rsidR="009A7E4C" w:rsidRPr="00686D5A" w:rsidTr="00AB12A1">
        <w:trPr>
          <w:jc w:val="center"/>
        </w:trPr>
        <w:tc>
          <w:tcPr>
            <w:tcW w:w="2665" w:type="pct"/>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rPr>
                <w:rFonts w:eastAsia="Times New Roman"/>
                <w:sz w:val="18"/>
                <w:szCs w:val="18"/>
                <w:lang w:val="fr-FR" w:eastAsia="en-US"/>
              </w:rPr>
            </w:pPr>
            <w:r w:rsidRPr="00686D5A">
              <w:rPr>
                <w:rFonts w:eastAsia="Times New Roman"/>
                <w:sz w:val="18"/>
                <w:szCs w:val="18"/>
                <w:lang w:val="fr-FR" w:eastAsia="en-US"/>
              </w:rPr>
              <w:t>Communication non autorisée d</w:t>
            </w:r>
            <w:r w:rsidR="00D565F4">
              <w:rPr>
                <w:rFonts w:eastAsia="Times New Roman"/>
                <w:sz w:val="18"/>
                <w:szCs w:val="18"/>
                <w:lang w:val="fr-FR" w:eastAsia="en-US"/>
              </w:rPr>
              <w:t>’</w:t>
            </w:r>
            <w:r w:rsidRPr="00686D5A">
              <w:rPr>
                <w:rFonts w:eastAsia="Times New Roman"/>
                <w:sz w:val="18"/>
                <w:szCs w:val="18"/>
                <w:lang w:val="fr-FR" w:eastAsia="en-US"/>
              </w:rPr>
              <w:t>informations (trois affaires)</w:t>
            </w:r>
          </w:p>
        </w:tc>
        <w:tc>
          <w:tcPr>
            <w:tcW w:w="1570" w:type="pct"/>
            <w:tcBorders>
              <w:top w:val="nil"/>
              <w:left w:val="nil"/>
              <w:bottom w:val="single" w:sz="4" w:space="0" w:color="auto"/>
              <w:right w:val="single" w:sz="4" w:space="0" w:color="auto"/>
            </w:tcBorders>
            <w:vAlign w:val="center"/>
          </w:tcPr>
          <w:p w:rsidR="009A7E4C" w:rsidRPr="00686D5A" w:rsidRDefault="009A7E4C" w:rsidP="001E2D32">
            <w:pPr>
              <w:rPr>
                <w:rFonts w:eastAsia="Times New Roman"/>
                <w:sz w:val="18"/>
                <w:szCs w:val="18"/>
                <w:lang w:val="fr-FR" w:eastAsia="en-US"/>
              </w:rPr>
            </w:pPr>
            <w:r w:rsidRPr="00686D5A">
              <w:rPr>
                <w:rFonts w:eastAsia="Times New Roman"/>
                <w:sz w:val="18"/>
                <w:szCs w:val="18"/>
                <w:lang w:val="fr-FR" w:eastAsia="en-US"/>
              </w:rPr>
              <w:t>Non pertinent</w:t>
            </w:r>
          </w:p>
        </w:tc>
        <w:tc>
          <w:tcPr>
            <w:tcW w:w="765" w:type="pct"/>
            <w:tcBorders>
              <w:top w:val="single" w:sz="4" w:space="0" w:color="auto"/>
              <w:left w:val="nil"/>
              <w:bottom w:val="single" w:sz="4" w:space="0" w:color="auto"/>
              <w:right w:val="single" w:sz="4" w:space="0" w:color="auto"/>
            </w:tcBorders>
            <w:shd w:val="clear" w:color="auto" w:fill="92D050"/>
            <w:vAlign w:val="center"/>
          </w:tcPr>
          <w:p w:rsidR="009A7E4C" w:rsidRPr="00686D5A" w:rsidRDefault="009A7E4C" w:rsidP="001E2D32">
            <w:pPr>
              <w:jc w:val="center"/>
              <w:rPr>
                <w:rFonts w:eastAsia="Times New Roman"/>
                <w:sz w:val="18"/>
                <w:szCs w:val="18"/>
                <w:lang w:val="fr-FR" w:eastAsia="en-US"/>
              </w:rPr>
            </w:pPr>
          </w:p>
        </w:tc>
      </w:tr>
      <w:tr w:rsidR="009A7E4C" w:rsidRPr="00686D5A" w:rsidTr="00AB12A1">
        <w:trPr>
          <w:jc w:val="center"/>
        </w:trPr>
        <w:tc>
          <w:tcPr>
            <w:tcW w:w="2665" w:type="pct"/>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rPr>
                <w:rFonts w:eastAsia="Times New Roman"/>
                <w:sz w:val="18"/>
                <w:szCs w:val="18"/>
                <w:lang w:val="fr-FR" w:eastAsia="en-US"/>
              </w:rPr>
            </w:pPr>
            <w:r w:rsidRPr="00686D5A">
              <w:rPr>
                <w:rFonts w:eastAsia="Times New Roman"/>
                <w:sz w:val="18"/>
                <w:szCs w:val="18"/>
                <w:lang w:val="fr-FR" w:eastAsia="en-US"/>
              </w:rPr>
              <w:t>Pratiques irrégulières dans le domaine des ressources humaines (quatre affaires)</w:t>
            </w:r>
          </w:p>
        </w:tc>
        <w:tc>
          <w:tcPr>
            <w:tcW w:w="1570" w:type="pct"/>
            <w:tcBorders>
              <w:top w:val="nil"/>
              <w:left w:val="nil"/>
              <w:bottom w:val="single" w:sz="4" w:space="0" w:color="auto"/>
              <w:right w:val="single" w:sz="4" w:space="0" w:color="auto"/>
            </w:tcBorders>
            <w:vAlign w:val="center"/>
          </w:tcPr>
          <w:p w:rsidR="009A7E4C" w:rsidRPr="00686D5A" w:rsidRDefault="009A7E4C" w:rsidP="001E2D32">
            <w:pPr>
              <w:rPr>
                <w:rFonts w:eastAsia="Times New Roman"/>
                <w:sz w:val="18"/>
                <w:szCs w:val="18"/>
                <w:lang w:val="fr-FR" w:eastAsia="en-US"/>
              </w:rPr>
            </w:pPr>
            <w:r w:rsidRPr="00686D5A">
              <w:rPr>
                <w:rFonts w:eastAsia="Times New Roman"/>
                <w:sz w:val="18"/>
                <w:szCs w:val="18"/>
                <w:lang w:val="fr-FR" w:eastAsia="en-US"/>
              </w:rPr>
              <w:t>Non pertinent</w:t>
            </w:r>
          </w:p>
        </w:tc>
        <w:tc>
          <w:tcPr>
            <w:tcW w:w="765" w:type="pct"/>
            <w:tcBorders>
              <w:top w:val="single" w:sz="4" w:space="0" w:color="auto"/>
              <w:left w:val="nil"/>
              <w:bottom w:val="single" w:sz="4" w:space="0" w:color="auto"/>
              <w:right w:val="single" w:sz="4" w:space="0" w:color="auto"/>
            </w:tcBorders>
            <w:shd w:val="clear" w:color="auto" w:fill="92D050"/>
            <w:vAlign w:val="center"/>
          </w:tcPr>
          <w:p w:rsidR="009A7E4C" w:rsidRPr="00686D5A" w:rsidRDefault="009A7E4C" w:rsidP="001E2D32">
            <w:pPr>
              <w:jc w:val="center"/>
              <w:rPr>
                <w:rFonts w:eastAsia="Times New Roman"/>
                <w:sz w:val="18"/>
                <w:szCs w:val="18"/>
                <w:lang w:val="fr-FR" w:eastAsia="en-US"/>
              </w:rPr>
            </w:pPr>
          </w:p>
        </w:tc>
      </w:tr>
      <w:tr w:rsidR="009A7E4C" w:rsidRPr="00686D5A" w:rsidTr="00AB12A1">
        <w:trPr>
          <w:jc w:val="center"/>
        </w:trPr>
        <w:tc>
          <w:tcPr>
            <w:tcW w:w="2665" w:type="pct"/>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rPr>
                <w:rFonts w:eastAsia="Times New Roman"/>
                <w:sz w:val="18"/>
                <w:szCs w:val="18"/>
                <w:lang w:val="fr-FR" w:eastAsia="en-US"/>
              </w:rPr>
            </w:pPr>
            <w:r w:rsidRPr="00686D5A">
              <w:rPr>
                <w:rFonts w:eastAsia="Times New Roman"/>
                <w:sz w:val="18"/>
                <w:szCs w:val="18"/>
                <w:lang w:val="fr-FR" w:eastAsia="en-US"/>
              </w:rPr>
              <w:t>Divers (une affaire)</w:t>
            </w:r>
          </w:p>
        </w:tc>
        <w:tc>
          <w:tcPr>
            <w:tcW w:w="1570" w:type="pct"/>
            <w:tcBorders>
              <w:top w:val="nil"/>
              <w:left w:val="nil"/>
              <w:bottom w:val="single" w:sz="4" w:space="0" w:color="auto"/>
              <w:right w:val="single" w:sz="4" w:space="0" w:color="auto"/>
            </w:tcBorders>
            <w:vAlign w:val="center"/>
          </w:tcPr>
          <w:p w:rsidR="009A7E4C" w:rsidRPr="00686D5A" w:rsidRDefault="009A7E4C" w:rsidP="001E2D32">
            <w:pPr>
              <w:rPr>
                <w:rFonts w:eastAsia="Times New Roman"/>
                <w:sz w:val="18"/>
                <w:szCs w:val="18"/>
                <w:lang w:val="fr-FR" w:eastAsia="en-US"/>
              </w:rPr>
            </w:pPr>
            <w:r w:rsidRPr="00686D5A">
              <w:rPr>
                <w:rFonts w:eastAsia="Times New Roman"/>
                <w:sz w:val="18"/>
                <w:szCs w:val="18"/>
                <w:lang w:val="fr-FR" w:eastAsia="en-US"/>
              </w:rPr>
              <w:t>Non pertinent</w:t>
            </w:r>
          </w:p>
        </w:tc>
        <w:tc>
          <w:tcPr>
            <w:tcW w:w="765" w:type="pct"/>
            <w:tcBorders>
              <w:top w:val="single" w:sz="4" w:space="0" w:color="auto"/>
              <w:left w:val="nil"/>
              <w:bottom w:val="single" w:sz="4" w:space="0" w:color="auto"/>
              <w:right w:val="single" w:sz="4" w:space="0" w:color="auto"/>
            </w:tcBorders>
            <w:shd w:val="clear" w:color="auto" w:fill="92D050"/>
            <w:vAlign w:val="center"/>
          </w:tcPr>
          <w:p w:rsidR="009A7E4C" w:rsidRPr="00686D5A" w:rsidRDefault="009A7E4C" w:rsidP="001E2D32">
            <w:pPr>
              <w:jc w:val="center"/>
              <w:rPr>
                <w:rFonts w:eastAsia="Times New Roman"/>
                <w:sz w:val="18"/>
                <w:szCs w:val="18"/>
                <w:lang w:val="fr-FR" w:eastAsia="en-US"/>
              </w:rPr>
            </w:pPr>
          </w:p>
        </w:tc>
      </w:tr>
      <w:tr w:rsidR="009A7E4C" w:rsidRPr="00686D5A" w:rsidTr="00AB12A1">
        <w:trPr>
          <w:jc w:val="center"/>
        </w:trPr>
        <w:tc>
          <w:tcPr>
            <w:tcW w:w="2665" w:type="pct"/>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rPr>
                <w:rFonts w:eastAsia="Times New Roman"/>
                <w:sz w:val="18"/>
                <w:szCs w:val="18"/>
                <w:lang w:val="fr-FR" w:eastAsia="en-US"/>
              </w:rPr>
            </w:pPr>
            <w:r w:rsidRPr="00686D5A">
              <w:rPr>
                <w:rFonts w:eastAsia="Times New Roman"/>
                <w:sz w:val="18"/>
                <w:szCs w:val="18"/>
                <w:lang w:val="fr-FR" w:eastAsia="en-US"/>
              </w:rPr>
              <w:t>Évaluation des risques de fraude</w:t>
            </w:r>
          </w:p>
        </w:tc>
        <w:tc>
          <w:tcPr>
            <w:tcW w:w="1570" w:type="pct"/>
            <w:tcBorders>
              <w:top w:val="nil"/>
              <w:left w:val="nil"/>
              <w:bottom w:val="single" w:sz="4" w:space="0" w:color="auto"/>
              <w:right w:val="single" w:sz="4" w:space="0" w:color="auto"/>
            </w:tcBorders>
            <w:vAlign w:val="center"/>
          </w:tcPr>
          <w:p w:rsidR="009A7E4C" w:rsidRPr="00686D5A" w:rsidRDefault="009A7E4C" w:rsidP="001E2D32">
            <w:pPr>
              <w:rPr>
                <w:rFonts w:eastAsia="Times New Roman"/>
                <w:sz w:val="18"/>
                <w:szCs w:val="18"/>
                <w:lang w:val="fr-FR" w:eastAsia="en-US"/>
              </w:rPr>
            </w:pPr>
            <w:r w:rsidRPr="00686D5A">
              <w:rPr>
                <w:rFonts w:eastAsia="Times New Roman"/>
                <w:sz w:val="18"/>
                <w:szCs w:val="18"/>
                <w:lang w:val="fr-FR" w:eastAsia="en-US"/>
              </w:rPr>
              <w:t>Intersectoriel</w:t>
            </w:r>
          </w:p>
        </w:tc>
        <w:tc>
          <w:tcPr>
            <w:tcW w:w="765" w:type="pct"/>
            <w:tcBorders>
              <w:top w:val="single" w:sz="4" w:space="0" w:color="auto"/>
              <w:left w:val="nil"/>
              <w:bottom w:val="single" w:sz="4" w:space="0" w:color="auto"/>
              <w:right w:val="single" w:sz="4" w:space="0" w:color="auto"/>
            </w:tcBorders>
            <w:shd w:val="clear" w:color="auto" w:fill="92D050"/>
            <w:vAlign w:val="center"/>
          </w:tcPr>
          <w:p w:rsidR="009A7E4C" w:rsidRPr="00686D5A" w:rsidRDefault="009A7E4C" w:rsidP="001E2D32">
            <w:pPr>
              <w:jc w:val="center"/>
              <w:rPr>
                <w:rFonts w:eastAsia="Times New Roman"/>
                <w:sz w:val="18"/>
                <w:szCs w:val="18"/>
                <w:lang w:val="fr-FR" w:eastAsia="en-US"/>
              </w:rPr>
            </w:pPr>
          </w:p>
        </w:tc>
      </w:tr>
      <w:tr w:rsidR="009A7E4C" w:rsidRPr="00686D5A" w:rsidTr="00AB12A1">
        <w:trPr>
          <w:jc w:val="center"/>
        </w:trPr>
        <w:tc>
          <w:tcPr>
            <w:tcW w:w="2665" w:type="pct"/>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rPr>
                <w:rFonts w:eastAsia="Times New Roman"/>
                <w:sz w:val="18"/>
                <w:szCs w:val="18"/>
                <w:lang w:val="fr-FR" w:eastAsia="en-US"/>
              </w:rPr>
            </w:pPr>
            <w:r w:rsidRPr="00686D5A">
              <w:rPr>
                <w:rFonts w:eastAsia="Times New Roman"/>
                <w:sz w:val="18"/>
                <w:szCs w:val="18"/>
                <w:lang w:val="fr-FR" w:eastAsia="en-US"/>
              </w:rPr>
              <w:t>Politique en matière d</w:t>
            </w:r>
            <w:r w:rsidR="00D565F4">
              <w:rPr>
                <w:rFonts w:eastAsia="Times New Roman"/>
                <w:sz w:val="18"/>
                <w:szCs w:val="18"/>
                <w:lang w:val="fr-FR" w:eastAsia="en-US"/>
              </w:rPr>
              <w:t>’</w:t>
            </w:r>
            <w:r w:rsidRPr="00686D5A">
              <w:rPr>
                <w:rFonts w:eastAsia="Times New Roman"/>
                <w:sz w:val="18"/>
                <w:szCs w:val="18"/>
                <w:lang w:val="fr-FR" w:eastAsia="en-US"/>
              </w:rPr>
              <w:t>enquêtes et Manuel de procédure en matière d</w:t>
            </w:r>
            <w:r w:rsidR="00D565F4">
              <w:rPr>
                <w:rFonts w:eastAsia="Times New Roman"/>
                <w:sz w:val="18"/>
                <w:szCs w:val="18"/>
                <w:lang w:val="fr-FR" w:eastAsia="en-US"/>
              </w:rPr>
              <w:t>’</w:t>
            </w:r>
            <w:r w:rsidRPr="00686D5A">
              <w:rPr>
                <w:rFonts w:eastAsia="Times New Roman"/>
                <w:sz w:val="18"/>
                <w:szCs w:val="18"/>
                <w:lang w:val="fr-FR" w:eastAsia="en-US"/>
              </w:rPr>
              <w:t>enquêtes</w:t>
            </w:r>
          </w:p>
        </w:tc>
        <w:tc>
          <w:tcPr>
            <w:tcW w:w="1570" w:type="pct"/>
            <w:tcBorders>
              <w:top w:val="nil"/>
              <w:left w:val="nil"/>
              <w:bottom w:val="single" w:sz="4" w:space="0" w:color="auto"/>
              <w:right w:val="single" w:sz="4" w:space="0" w:color="auto"/>
            </w:tcBorders>
            <w:vAlign w:val="center"/>
          </w:tcPr>
          <w:p w:rsidR="009A7E4C" w:rsidRPr="00686D5A" w:rsidRDefault="009A7E4C" w:rsidP="001E2D32">
            <w:pPr>
              <w:rPr>
                <w:rFonts w:eastAsia="Times New Roman"/>
                <w:sz w:val="18"/>
                <w:szCs w:val="18"/>
                <w:lang w:val="fr-FR" w:eastAsia="en-US"/>
              </w:rPr>
            </w:pPr>
            <w:r w:rsidRPr="00686D5A">
              <w:rPr>
                <w:rFonts w:eastAsia="Times New Roman"/>
                <w:sz w:val="18"/>
                <w:szCs w:val="18"/>
                <w:lang w:val="fr-FR" w:eastAsia="en-US"/>
              </w:rPr>
              <w:t>Intersectoriel</w:t>
            </w:r>
          </w:p>
        </w:tc>
        <w:tc>
          <w:tcPr>
            <w:tcW w:w="765" w:type="pct"/>
            <w:tcBorders>
              <w:top w:val="single" w:sz="4" w:space="0" w:color="auto"/>
              <w:left w:val="nil"/>
              <w:bottom w:val="single" w:sz="4" w:space="0" w:color="auto"/>
              <w:right w:val="single" w:sz="4" w:space="0" w:color="auto"/>
            </w:tcBorders>
            <w:shd w:val="clear" w:color="auto" w:fill="92D050"/>
            <w:vAlign w:val="center"/>
          </w:tcPr>
          <w:p w:rsidR="009A7E4C" w:rsidRPr="00686D5A" w:rsidRDefault="009A7E4C" w:rsidP="001E2D32">
            <w:pPr>
              <w:jc w:val="center"/>
              <w:rPr>
                <w:rFonts w:eastAsia="Times New Roman"/>
                <w:sz w:val="18"/>
                <w:szCs w:val="18"/>
                <w:lang w:val="fr-FR" w:eastAsia="en-US"/>
              </w:rPr>
            </w:pPr>
          </w:p>
        </w:tc>
      </w:tr>
      <w:tr w:rsidR="009A7E4C" w:rsidRPr="00686D5A" w:rsidTr="00AB12A1">
        <w:trPr>
          <w:jc w:val="center"/>
        </w:trPr>
        <w:tc>
          <w:tcPr>
            <w:tcW w:w="2665" w:type="pct"/>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rPr>
                <w:rFonts w:eastAsia="Times New Roman"/>
                <w:sz w:val="18"/>
                <w:szCs w:val="18"/>
                <w:lang w:val="fr-FR" w:eastAsia="en-US"/>
              </w:rPr>
            </w:pPr>
            <w:r w:rsidRPr="00686D5A">
              <w:rPr>
                <w:rFonts w:eastAsia="Times New Roman"/>
                <w:sz w:val="18"/>
                <w:szCs w:val="18"/>
                <w:lang w:val="fr-FR" w:eastAsia="en-US"/>
              </w:rPr>
              <w:t>Activités de consultation et de conseil</w:t>
            </w:r>
          </w:p>
        </w:tc>
        <w:tc>
          <w:tcPr>
            <w:tcW w:w="1570" w:type="pct"/>
            <w:tcBorders>
              <w:top w:val="nil"/>
              <w:left w:val="nil"/>
              <w:bottom w:val="single" w:sz="4" w:space="0" w:color="auto"/>
              <w:right w:val="single" w:sz="4" w:space="0" w:color="auto"/>
            </w:tcBorders>
            <w:vAlign w:val="center"/>
          </w:tcPr>
          <w:p w:rsidR="009A7E4C" w:rsidRPr="00686D5A" w:rsidRDefault="009A7E4C" w:rsidP="001E2D32">
            <w:pPr>
              <w:rPr>
                <w:rFonts w:eastAsia="Times New Roman"/>
                <w:sz w:val="18"/>
                <w:szCs w:val="18"/>
                <w:lang w:val="fr-FR" w:eastAsia="en-US"/>
              </w:rPr>
            </w:pPr>
            <w:r w:rsidRPr="00686D5A">
              <w:rPr>
                <w:rFonts w:eastAsia="Times New Roman"/>
                <w:sz w:val="18"/>
                <w:szCs w:val="18"/>
                <w:lang w:val="fr-FR" w:eastAsia="en-US"/>
              </w:rPr>
              <w:t>Intersectoriel</w:t>
            </w:r>
          </w:p>
        </w:tc>
        <w:tc>
          <w:tcPr>
            <w:tcW w:w="765" w:type="pct"/>
            <w:tcBorders>
              <w:top w:val="single" w:sz="4" w:space="0" w:color="auto"/>
              <w:left w:val="nil"/>
              <w:bottom w:val="single" w:sz="4" w:space="0" w:color="auto"/>
              <w:right w:val="single" w:sz="4" w:space="0" w:color="auto"/>
            </w:tcBorders>
            <w:shd w:val="clear" w:color="auto" w:fill="92D050"/>
            <w:vAlign w:val="center"/>
          </w:tcPr>
          <w:p w:rsidR="009A7E4C" w:rsidRPr="00686D5A" w:rsidRDefault="009A7E4C" w:rsidP="001E2D32">
            <w:pPr>
              <w:jc w:val="center"/>
              <w:rPr>
                <w:rFonts w:eastAsia="Times New Roman"/>
                <w:sz w:val="18"/>
                <w:szCs w:val="18"/>
                <w:lang w:val="fr-FR" w:eastAsia="en-US"/>
              </w:rPr>
            </w:pPr>
          </w:p>
        </w:tc>
      </w:tr>
      <w:tr w:rsidR="009A7E4C" w:rsidRPr="00686D5A" w:rsidTr="00AB12A1">
        <w:trPr>
          <w:jc w:val="center"/>
        </w:trPr>
        <w:tc>
          <w:tcPr>
            <w:tcW w:w="2665" w:type="pct"/>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rPr>
                <w:rFonts w:eastAsia="Times New Roman"/>
                <w:sz w:val="18"/>
                <w:szCs w:val="18"/>
                <w:lang w:val="fr-FR" w:eastAsia="en-US"/>
              </w:rPr>
            </w:pPr>
            <w:r w:rsidRPr="00686D5A">
              <w:rPr>
                <w:rFonts w:eastAsia="Times New Roman"/>
                <w:sz w:val="18"/>
                <w:szCs w:val="18"/>
                <w:lang w:val="fr-FR" w:eastAsia="en-US"/>
              </w:rPr>
              <w:t>Constitution de réseaux avec d</w:t>
            </w:r>
            <w:r w:rsidR="00D565F4">
              <w:rPr>
                <w:rFonts w:eastAsia="Times New Roman"/>
                <w:sz w:val="18"/>
                <w:szCs w:val="18"/>
                <w:lang w:val="fr-FR" w:eastAsia="en-US"/>
              </w:rPr>
              <w:t>’</w:t>
            </w:r>
            <w:r w:rsidRPr="00686D5A">
              <w:rPr>
                <w:rFonts w:eastAsia="Times New Roman"/>
                <w:sz w:val="18"/>
                <w:szCs w:val="18"/>
                <w:lang w:val="fr-FR" w:eastAsia="en-US"/>
              </w:rPr>
              <w:t>autres agences</w:t>
            </w:r>
          </w:p>
        </w:tc>
        <w:tc>
          <w:tcPr>
            <w:tcW w:w="1570" w:type="pct"/>
            <w:tcBorders>
              <w:top w:val="nil"/>
              <w:left w:val="nil"/>
              <w:bottom w:val="single" w:sz="4" w:space="0" w:color="auto"/>
              <w:right w:val="single" w:sz="4" w:space="0" w:color="auto"/>
            </w:tcBorders>
            <w:vAlign w:val="center"/>
          </w:tcPr>
          <w:p w:rsidR="009A7E4C" w:rsidRPr="00686D5A" w:rsidRDefault="00C86837" w:rsidP="00AB551E">
            <w:pPr>
              <w:rPr>
                <w:rFonts w:eastAsia="Times New Roman"/>
                <w:sz w:val="18"/>
                <w:szCs w:val="18"/>
                <w:lang w:val="fr-FR" w:eastAsia="en-US"/>
              </w:rPr>
            </w:pPr>
            <w:r>
              <w:rPr>
                <w:rFonts w:eastAsia="Times New Roman"/>
                <w:sz w:val="18"/>
                <w:szCs w:val="18"/>
                <w:lang w:val="fr-FR" w:eastAsia="en-US"/>
              </w:rPr>
              <w:t>DASI</w:t>
            </w:r>
          </w:p>
        </w:tc>
        <w:tc>
          <w:tcPr>
            <w:tcW w:w="765" w:type="pct"/>
            <w:tcBorders>
              <w:top w:val="single" w:sz="4" w:space="0" w:color="auto"/>
              <w:left w:val="nil"/>
              <w:bottom w:val="single" w:sz="4" w:space="0" w:color="auto"/>
              <w:right w:val="single" w:sz="4" w:space="0" w:color="auto"/>
            </w:tcBorders>
            <w:shd w:val="clear" w:color="auto" w:fill="92D050"/>
            <w:vAlign w:val="center"/>
          </w:tcPr>
          <w:p w:rsidR="009A7E4C" w:rsidRPr="00686D5A" w:rsidRDefault="009A7E4C" w:rsidP="001E2D32">
            <w:pPr>
              <w:jc w:val="center"/>
              <w:rPr>
                <w:rFonts w:eastAsia="Times New Roman"/>
                <w:sz w:val="18"/>
                <w:szCs w:val="18"/>
                <w:lang w:val="fr-FR" w:eastAsia="en-US"/>
              </w:rPr>
            </w:pPr>
          </w:p>
        </w:tc>
      </w:tr>
      <w:tr w:rsidR="009A7E4C" w:rsidRPr="00686D5A" w:rsidTr="00AB12A1">
        <w:trPr>
          <w:jc w:val="center"/>
        </w:trPr>
        <w:tc>
          <w:tcPr>
            <w:tcW w:w="2665" w:type="pct"/>
            <w:tcBorders>
              <w:top w:val="single" w:sz="4" w:space="0" w:color="auto"/>
              <w:left w:val="single" w:sz="4" w:space="0" w:color="auto"/>
              <w:bottom w:val="single" w:sz="4" w:space="0" w:color="auto"/>
              <w:right w:val="single" w:sz="4" w:space="0" w:color="auto"/>
            </w:tcBorders>
            <w:vAlign w:val="center"/>
          </w:tcPr>
          <w:p w:rsidR="009A7E4C" w:rsidRPr="00686D5A" w:rsidRDefault="009A7E4C" w:rsidP="00AB551E">
            <w:pPr>
              <w:rPr>
                <w:rFonts w:eastAsia="Times New Roman"/>
                <w:sz w:val="18"/>
                <w:szCs w:val="18"/>
                <w:lang w:val="fr-FR" w:eastAsia="en-US"/>
              </w:rPr>
            </w:pPr>
            <w:r w:rsidRPr="00686D5A">
              <w:rPr>
                <w:rFonts w:eastAsia="Times New Roman"/>
                <w:sz w:val="18"/>
                <w:szCs w:val="18"/>
                <w:lang w:val="fr-FR" w:eastAsia="en-US"/>
              </w:rPr>
              <w:t>Organe consultatif indépendant de surveillance</w:t>
            </w:r>
          </w:p>
        </w:tc>
        <w:tc>
          <w:tcPr>
            <w:tcW w:w="1570" w:type="pct"/>
            <w:tcBorders>
              <w:top w:val="nil"/>
              <w:left w:val="nil"/>
              <w:bottom w:val="single" w:sz="4" w:space="0" w:color="auto"/>
              <w:right w:val="single" w:sz="4" w:space="0" w:color="auto"/>
            </w:tcBorders>
            <w:vAlign w:val="center"/>
          </w:tcPr>
          <w:p w:rsidR="009A7E4C" w:rsidRPr="00686D5A" w:rsidRDefault="00C86837" w:rsidP="00AB551E">
            <w:pPr>
              <w:rPr>
                <w:rFonts w:eastAsia="Times New Roman"/>
                <w:sz w:val="18"/>
                <w:szCs w:val="18"/>
                <w:lang w:val="fr-FR" w:eastAsia="en-US"/>
              </w:rPr>
            </w:pPr>
            <w:r>
              <w:rPr>
                <w:rFonts w:eastAsia="Times New Roman"/>
                <w:sz w:val="18"/>
                <w:szCs w:val="18"/>
                <w:lang w:val="fr-FR" w:eastAsia="en-US"/>
              </w:rPr>
              <w:t>DASI</w:t>
            </w:r>
          </w:p>
        </w:tc>
        <w:tc>
          <w:tcPr>
            <w:tcW w:w="765" w:type="pct"/>
            <w:tcBorders>
              <w:top w:val="single" w:sz="4" w:space="0" w:color="auto"/>
              <w:left w:val="nil"/>
              <w:bottom w:val="single" w:sz="4" w:space="0" w:color="auto"/>
              <w:right w:val="single" w:sz="4" w:space="0" w:color="auto"/>
            </w:tcBorders>
            <w:shd w:val="clear" w:color="auto" w:fill="92D050"/>
            <w:vAlign w:val="center"/>
          </w:tcPr>
          <w:p w:rsidR="009A7E4C" w:rsidRPr="00686D5A" w:rsidRDefault="009A7E4C" w:rsidP="001E2D32">
            <w:pPr>
              <w:jc w:val="center"/>
              <w:rPr>
                <w:rFonts w:eastAsia="Times New Roman"/>
                <w:sz w:val="18"/>
                <w:szCs w:val="18"/>
                <w:lang w:val="fr-FR" w:eastAsia="en-US"/>
              </w:rPr>
            </w:pPr>
          </w:p>
        </w:tc>
      </w:tr>
      <w:tr w:rsidR="009A7E4C" w:rsidRPr="00686D5A" w:rsidTr="00AB12A1">
        <w:trPr>
          <w:jc w:val="center"/>
        </w:trPr>
        <w:tc>
          <w:tcPr>
            <w:tcW w:w="2665" w:type="pct"/>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rPr>
                <w:rFonts w:eastAsia="Times New Roman"/>
                <w:sz w:val="18"/>
                <w:szCs w:val="18"/>
                <w:lang w:val="fr-FR" w:eastAsia="en-US"/>
              </w:rPr>
            </w:pPr>
            <w:r w:rsidRPr="00686D5A">
              <w:rPr>
                <w:rFonts w:eastAsia="Times New Roman"/>
                <w:sz w:val="18"/>
                <w:szCs w:val="18"/>
                <w:lang w:val="fr-FR" w:eastAsia="en-US"/>
              </w:rPr>
              <w:t>Autres activités indirectes</w:t>
            </w:r>
          </w:p>
        </w:tc>
        <w:tc>
          <w:tcPr>
            <w:tcW w:w="1570" w:type="pct"/>
            <w:tcBorders>
              <w:top w:val="nil"/>
              <w:left w:val="nil"/>
              <w:bottom w:val="single" w:sz="4" w:space="0" w:color="auto"/>
              <w:right w:val="single" w:sz="4" w:space="0" w:color="auto"/>
            </w:tcBorders>
            <w:vAlign w:val="center"/>
          </w:tcPr>
          <w:p w:rsidR="009A7E4C" w:rsidRPr="00686D5A" w:rsidRDefault="00C86837" w:rsidP="00AB551E">
            <w:pPr>
              <w:rPr>
                <w:rFonts w:eastAsia="Times New Roman"/>
                <w:sz w:val="18"/>
                <w:szCs w:val="18"/>
                <w:lang w:val="fr-FR" w:eastAsia="en-US"/>
              </w:rPr>
            </w:pPr>
            <w:r>
              <w:rPr>
                <w:rFonts w:eastAsia="Times New Roman"/>
                <w:sz w:val="18"/>
                <w:szCs w:val="18"/>
                <w:lang w:val="fr-FR" w:eastAsia="en-US"/>
              </w:rPr>
              <w:t>DASI</w:t>
            </w:r>
          </w:p>
        </w:tc>
        <w:tc>
          <w:tcPr>
            <w:tcW w:w="765" w:type="pct"/>
            <w:tcBorders>
              <w:top w:val="single" w:sz="4" w:space="0" w:color="auto"/>
              <w:left w:val="nil"/>
              <w:bottom w:val="single" w:sz="4" w:space="0" w:color="auto"/>
              <w:right w:val="single" w:sz="4" w:space="0" w:color="auto"/>
            </w:tcBorders>
            <w:shd w:val="clear" w:color="auto" w:fill="92D050"/>
            <w:vAlign w:val="center"/>
          </w:tcPr>
          <w:p w:rsidR="009A7E4C" w:rsidRPr="00686D5A" w:rsidRDefault="009A7E4C" w:rsidP="001E2D32">
            <w:pPr>
              <w:jc w:val="center"/>
              <w:rPr>
                <w:rFonts w:eastAsia="Times New Roman"/>
                <w:sz w:val="18"/>
                <w:szCs w:val="18"/>
                <w:lang w:val="fr-FR" w:eastAsia="en-US"/>
              </w:rPr>
            </w:pPr>
          </w:p>
        </w:tc>
      </w:tr>
      <w:tr w:rsidR="009A7E4C" w:rsidRPr="00686D5A" w:rsidTr="00AB12A1">
        <w:trPr>
          <w:jc w:val="center"/>
        </w:trPr>
        <w:tc>
          <w:tcPr>
            <w:tcW w:w="2665" w:type="pct"/>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rPr>
                <w:rFonts w:eastAsia="Times New Roman"/>
                <w:sz w:val="18"/>
                <w:szCs w:val="18"/>
                <w:lang w:val="fr-FR" w:eastAsia="en-US"/>
              </w:rPr>
            </w:pPr>
            <w:r w:rsidRPr="00686D5A">
              <w:rPr>
                <w:rFonts w:eastAsia="Times New Roman"/>
                <w:sz w:val="18"/>
                <w:szCs w:val="18"/>
                <w:lang w:val="fr-FR" w:eastAsia="en-US"/>
              </w:rPr>
              <w:t>Suivi des recommandations en suspens</w:t>
            </w:r>
          </w:p>
        </w:tc>
        <w:tc>
          <w:tcPr>
            <w:tcW w:w="1570" w:type="pct"/>
            <w:tcBorders>
              <w:top w:val="nil"/>
              <w:left w:val="nil"/>
              <w:bottom w:val="single" w:sz="4" w:space="0" w:color="auto"/>
              <w:right w:val="single" w:sz="4" w:space="0" w:color="auto"/>
            </w:tcBorders>
            <w:vAlign w:val="center"/>
          </w:tcPr>
          <w:p w:rsidR="009A7E4C" w:rsidRPr="00686D5A" w:rsidRDefault="009A7E4C" w:rsidP="001E2D32">
            <w:pPr>
              <w:rPr>
                <w:rFonts w:eastAsia="Times New Roman"/>
                <w:sz w:val="18"/>
                <w:szCs w:val="18"/>
                <w:lang w:val="fr-FR" w:eastAsia="en-US"/>
              </w:rPr>
            </w:pPr>
            <w:r w:rsidRPr="00686D5A">
              <w:rPr>
                <w:rFonts w:eastAsia="Times New Roman"/>
                <w:sz w:val="18"/>
                <w:szCs w:val="18"/>
                <w:lang w:val="fr-FR" w:eastAsia="en-US"/>
              </w:rPr>
              <w:t>Tous</w:t>
            </w:r>
          </w:p>
        </w:tc>
        <w:tc>
          <w:tcPr>
            <w:tcW w:w="765" w:type="pct"/>
            <w:tcBorders>
              <w:top w:val="single" w:sz="4" w:space="0" w:color="auto"/>
              <w:left w:val="nil"/>
              <w:bottom w:val="single" w:sz="4" w:space="0" w:color="auto"/>
              <w:right w:val="single" w:sz="4" w:space="0" w:color="auto"/>
            </w:tcBorders>
            <w:shd w:val="clear" w:color="auto" w:fill="92D050"/>
            <w:vAlign w:val="center"/>
          </w:tcPr>
          <w:p w:rsidR="009A7E4C" w:rsidRPr="00686D5A" w:rsidRDefault="009A7E4C" w:rsidP="001E2D32">
            <w:pPr>
              <w:jc w:val="center"/>
              <w:rPr>
                <w:rFonts w:eastAsia="Times New Roman"/>
                <w:sz w:val="18"/>
                <w:szCs w:val="18"/>
                <w:lang w:val="fr-FR" w:eastAsia="en-US"/>
              </w:rPr>
            </w:pPr>
          </w:p>
        </w:tc>
      </w:tr>
      <w:tr w:rsidR="009A7E4C" w:rsidRPr="00686D5A" w:rsidTr="00AB12A1">
        <w:trPr>
          <w:jc w:val="center"/>
        </w:trPr>
        <w:tc>
          <w:tcPr>
            <w:tcW w:w="2665" w:type="pct"/>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rPr>
                <w:rFonts w:eastAsia="Times New Roman"/>
                <w:sz w:val="18"/>
                <w:szCs w:val="18"/>
                <w:lang w:val="fr-FR" w:eastAsia="en-US"/>
              </w:rPr>
            </w:pPr>
            <w:r w:rsidRPr="00686D5A">
              <w:rPr>
                <w:rFonts w:eastAsia="Times New Roman"/>
                <w:sz w:val="18"/>
                <w:szCs w:val="18"/>
                <w:lang w:val="fr-FR" w:eastAsia="en-US"/>
              </w:rPr>
              <w:t>Formation</w:t>
            </w:r>
          </w:p>
        </w:tc>
        <w:tc>
          <w:tcPr>
            <w:tcW w:w="1570" w:type="pct"/>
            <w:tcBorders>
              <w:top w:val="nil"/>
              <w:left w:val="nil"/>
              <w:bottom w:val="single" w:sz="4" w:space="0" w:color="auto"/>
              <w:right w:val="single" w:sz="4" w:space="0" w:color="auto"/>
            </w:tcBorders>
            <w:vAlign w:val="center"/>
          </w:tcPr>
          <w:p w:rsidR="009A7E4C" w:rsidRPr="00686D5A" w:rsidRDefault="00C86837" w:rsidP="00AB551E">
            <w:pPr>
              <w:rPr>
                <w:rFonts w:eastAsia="Times New Roman"/>
                <w:sz w:val="18"/>
                <w:szCs w:val="18"/>
                <w:lang w:val="fr-FR" w:eastAsia="en-US"/>
              </w:rPr>
            </w:pPr>
            <w:r>
              <w:rPr>
                <w:rFonts w:eastAsia="Times New Roman"/>
                <w:sz w:val="18"/>
                <w:szCs w:val="18"/>
                <w:lang w:val="fr-FR" w:eastAsia="en-US"/>
              </w:rPr>
              <w:t>DASI</w:t>
            </w:r>
          </w:p>
        </w:tc>
        <w:tc>
          <w:tcPr>
            <w:tcW w:w="765" w:type="pct"/>
            <w:tcBorders>
              <w:top w:val="single" w:sz="4" w:space="0" w:color="auto"/>
              <w:left w:val="nil"/>
              <w:bottom w:val="single" w:sz="4" w:space="0" w:color="auto"/>
              <w:right w:val="single" w:sz="4" w:space="0" w:color="auto"/>
            </w:tcBorders>
            <w:shd w:val="clear" w:color="auto" w:fill="92D050"/>
            <w:vAlign w:val="center"/>
          </w:tcPr>
          <w:p w:rsidR="009A7E4C" w:rsidRPr="00686D5A" w:rsidRDefault="009A7E4C" w:rsidP="001E2D32">
            <w:pPr>
              <w:jc w:val="center"/>
              <w:rPr>
                <w:rFonts w:eastAsia="Times New Roman"/>
                <w:sz w:val="18"/>
                <w:szCs w:val="18"/>
                <w:lang w:val="fr-FR" w:eastAsia="en-US"/>
              </w:rPr>
            </w:pPr>
          </w:p>
        </w:tc>
      </w:tr>
      <w:tr w:rsidR="009A7E4C" w:rsidRPr="00686D5A" w:rsidTr="00AB12A1">
        <w:trPr>
          <w:jc w:val="center"/>
        </w:trPr>
        <w:tc>
          <w:tcPr>
            <w:tcW w:w="2665" w:type="pct"/>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rPr>
                <w:rFonts w:eastAsia="Times New Roman"/>
                <w:sz w:val="18"/>
                <w:szCs w:val="18"/>
                <w:lang w:val="fr-FR" w:eastAsia="en-US"/>
              </w:rPr>
            </w:pPr>
            <w:r w:rsidRPr="00686D5A">
              <w:rPr>
                <w:rFonts w:eastAsia="Times New Roman"/>
                <w:sz w:val="18"/>
                <w:szCs w:val="18"/>
                <w:lang w:val="fr-FR" w:eastAsia="en-US"/>
              </w:rPr>
              <w:t>Évaluation de la gestion des connaissances au sein de l</w:t>
            </w:r>
            <w:r w:rsidR="00D565F4">
              <w:rPr>
                <w:rFonts w:eastAsia="Times New Roman"/>
                <w:sz w:val="18"/>
                <w:szCs w:val="18"/>
                <w:lang w:val="fr-FR" w:eastAsia="en-US"/>
              </w:rPr>
              <w:t>’</w:t>
            </w:r>
            <w:r w:rsidRPr="00686D5A">
              <w:rPr>
                <w:rFonts w:eastAsia="Times New Roman"/>
                <w:sz w:val="18"/>
                <w:szCs w:val="18"/>
                <w:lang w:val="fr-FR" w:eastAsia="en-US"/>
              </w:rPr>
              <w:t>OMPI</w:t>
            </w:r>
          </w:p>
        </w:tc>
        <w:tc>
          <w:tcPr>
            <w:tcW w:w="1570" w:type="pct"/>
            <w:tcBorders>
              <w:top w:val="nil"/>
              <w:left w:val="nil"/>
              <w:bottom w:val="single" w:sz="4" w:space="0" w:color="auto"/>
              <w:right w:val="single" w:sz="4" w:space="0" w:color="auto"/>
            </w:tcBorders>
            <w:vAlign w:val="center"/>
          </w:tcPr>
          <w:p w:rsidR="009A7E4C" w:rsidRPr="00686D5A" w:rsidRDefault="009A7E4C" w:rsidP="001E2D32">
            <w:pPr>
              <w:rPr>
                <w:rFonts w:eastAsia="Times New Roman"/>
                <w:sz w:val="18"/>
                <w:szCs w:val="18"/>
                <w:lang w:val="fr-FR" w:eastAsia="en-US"/>
              </w:rPr>
            </w:pPr>
            <w:r w:rsidRPr="00686D5A">
              <w:rPr>
                <w:rFonts w:eastAsia="Times New Roman"/>
                <w:sz w:val="18"/>
                <w:szCs w:val="18"/>
                <w:lang w:val="fr-FR" w:eastAsia="en-US"/>
              </w:rPr>
              <w:t>Intersectoriel</w:t>
            </w:r>
          </w:p>
        </w:tc>
        <w:tc>
          <w:tcPr>
            <w:tcW w:w="765" w:type="pct"/>
            <w:tcBorders>
              <w:top w:val="single" w:sz="4" w:space="0" w:color="auto"/>
              <w:left w:val="nil"/>
              <w:bottom w:val="single" w:sz="4" w:space="0" w:color="auto"/>
              <w:right w:val="single" w:sz="4" w:space="0" w:color="auto"/>
            </w:tcBorders>
            <w:shd w:val="clear" w:color="auto" w:fill="FFFF00"/>
            <w:vAlign w:val="center"/>
          </w:tcPr>
          <w:p w:rsidR="009A7E4C" w:rsidRPr="00686D5A" w:rsidRDefault="009A7E4C" w:rsidP="001E2D32">
            <w:pPr>
              <w:jc w:val="center"/>
              <w:rPr>
                <w:rFonts w:eastAsia="Times New Roman"/>
                <w:sz w:val="18"/>
                <w:szCs w:val="18"/>
                <w:lang w:val="fr-FR" w:eastAsia="en-US"/>
              </w:rPr>
            </w:pPr>
          </w:p>
        </w:tc>
      </w:tr>
      <w:tr w:rsidR="009A7E4C" w:rsidRPr="004E60A4" w:rsidTr="00AB12A1">
        <w:trPr>
          <w:jc w:val="center"/>
        </w:trPr>
        <w:tc>
          <w:tcPr>
            <w:tcW w:w="2665" w:type="pct"/>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rPr>
                <w:rFonts w:eastAsia="Times New Roman"/>
                <w:sz w:val="18"/>
                <w:szCs w:val="18"/>
                <w:lang w:val="fr-FR" w:eastAsia="en-US"/>
              </w:rPr>
            </w:pPr>
            <w:r w:rsidRPr="00686D5A">
              <w:rPr>
                <w:rFonts w:eastAsia="Times New Roman"/>
                <w:sz w:val="18"/>
                <w:szCs w:val="18"/>
                <w:lang w:val="fr-FR" w:eastAsia="en-US"/>
              </w:rPr>
              <w:t>Évaluation de l</w:t>
            </w:r>
            <w:r w:rsidR="00D565F4">
              <w:rPr>
                <w:rFonts w:eastAsia="Times New Roman"/>
                <w:sz w:val="18"/>
                <w:szCs w:val="18"/>
                <w:lang w:val="fr-FR" w:eastAsia="en-US"/>
              </w:rPr>
              <w:t>’</w:t>
            </w:r>
            <w:r w:rsidRPr="00686D5A">
              <w:rPr>
                <w:rFonts w:eastAsia="Times New Roman"/>
                <w:sz w:val="18"/>
                <w:szCs w:val="18"/>
                <w:lang w:val="fr-FR" w:eastAsia="en-US"/>
              </w:rPr>
              <w:t>objectif stratégique : Coopération internationale pour le respect de la propriété intellectuelle</w:t>
            </w:r>
          </w:p>
        </w:tc>
        <w:tc>
          <w:tcPr>
            <w:tcW w:w="1570" w:type="pct"/>
            <w:tcBorders>
              <w:top w:val="nil"/>
              <w:left w:val="nil"/>
              <w:bottom w:val="single" w:sz="4" w:space="0" w:color="auto"/>
              <w:right w:val="single" w:sz="4" w:space="0" w:color="auto"/>
            </w:tcBorders>
            <w:vAlign w:val="center"/>
          </w:tcPr>
          <w:p w:rsidR="009A7E4C" w:rsidRPr="00686D5A" w:rsidRDefault="009A7E4C" w:rsidP="00AB551E">
            <w:pPr>
              <w:rPr>
                <w:rFonts w:eastAsia="Times New Roman"/>
                <w:sz w:val="18"/>
                <w:szCs w:val="18"/>
                <w:lang w:val="fr-FR" w:eastAsia="en-US"/>
              </w:rPr>
            </w:pPr>
            <w:r w:rsidRPr="00686D5A">
              <w:rPr>
                <w:rFonts w:eastAsia="Times New Roman"/>
                <w:sz w:val="18"/>
                <w:szCs w:val="18"/>
                <w:lang w:val="fr-FR" w:eastAsia="en-US"/>
              </w:rPr>
              <w:t>Questions mondiales</w:t>
            </w:r>
          </w:p>
        </w:tc>
        <w:tc>
          <w:tcPr>
            <w:tcW w:w="765" w:type="pct"/>
            <w:tcBorders>
              <w:top w:val="single" w:sz="4" w:space="0" w:color="auto"/>
              <w:left w:val="nil"/>
              <w:bottom w:val="single" w:sz="4" w:space="0" w:color="auto"/>
              <w:right w:val="single" w:sz="4" w:space="0" w:color="auto"/>
            </w:tcBorders>
            <w:vAlign w:val="center"/>
          </w:tcPr>
          <w:p w:rsidR="009A7E4C" w:rsidRPr="00686D5A" w:rsidRDefault="009A7E4C" w:rsidP="007931CB">
            <w:pPr>
              <w:jc w:val="center"/>
              <w:rPr>
                <w:rFonts w:eastAsia="Times New Roman"/>
                <w:sz w:val="18"/>
                <w:szCs w:val="18"/>
                <w:lang w:val="fr-FR" w:eastAsia="en-US"/>
              </w:rPr>
            </w:pPr>
            <w:r w:rsidRPr="00686D5A">
              <w:rPr>
                <w:rFonts w:eastAsia="Times New Roman"/>
                <w:sz w:val="18"/>
                <w:szCs w:val="18"/>
                <w:lang w:val="fr-FR" w:eastAsia="en-US"/>
              </w:rPr>
              <w:t>Reporté sur</w:t>
            </w:r>
            <w:r w:rsidR="007931CB" w:rsidRPr="00686D5A">
              <w:rPr>
                <w:rFonts w:eastAsia="Times New Roman"/>
                <w:sz w:val="18"/>
                <w:szCs w:val="18"/>
                <w:lang w:val="fr-FR" w:eastAsia="en-US"/>
              </w:rPr>
              <w:t> 2014</w:t>
            </w:r>
            <w:r w:rsidR="007931CB" w:rsidRPr="00686D5A">
              <w:rPr>
                <w:rFonts w:eastAsia="Times New Roman"/>
                <w:sz w:val="18"/>
                <w:szCs w:val="18"/>
                <w:lang w:val="fr-FR" w:eastAsia="en-US"/>
              </w:rPr>
              <w:br/>
            </w:r>
            <w:r w:rsidRPr="00686D5A">
              <w:rPr>
                <w:rFonts w:eastAsia="Times New Roman"/>
                <w:sz w:val="18"/>
                <w:szCs w:val="18"/>
                <w:lang w:val="fr-FR" w:eastAsia="en-US"/>
              </w:rPr>
              <w:t>Remplacé par l</w:t>
            </w:r>
            <w:r w:rsidR="00D565F4">
              <w:rPr>
                <w:rFonts w:eastAsia="Times New Roman"/>
                <w:sz w:val="18"/>
                <w:szCs w:val="18"/>
                <w:lang w:val="fr-FR" w:eastAsia="en-US"/>
              </w:rPr>
              <w:t>’</w:t>
            </w:r>
            <w:r w:rsidRPr="00686D5A">
              <w:rPr>
                <w:rFonts w:eastAsia="Times New Roman"/>
                <w:sz w:val="18"/>
                <w:szCs w:val="18"/>
                <w:lang w:val="fr-FR" w:eastAsia="en-US"/>
              </w:rPr>
              <w:t>évaluation de l</w:t>
            </w:r>
            <w:r w:rsidR="00D565F4">
              <w:rPr>
                <w:rFonts w:eastAsia="Times New Roman"/>
                <w:sz w:val="18"/>
                <w:szCs w:val="18"/>
                <w:lang w:val="fr-FR" w:eastAsia="en-US"/>
              </w:rPr>
              <w:t>’</w:t>
            </w:r>
            <w:r w:rsidRPr="00686D5A">
              <w:rPr>
                <w:rFonts w:eastAsia="Times New Roman"/>
                <w:sz w:val="18"/>
                <w:szCs w:val="18"/>
                <w:lang w:val="fr-FR" w:eastAsia="en-US"/>
              </w:rPr>
              <w:t>IGC en</w:t>
            </w:r>
            <w:r w:rsidR="00413B67" w:rsidRPr="00686D5A">
              <w:rPr>
                <w:rFonts w:eastAsia="Times New Roman"/>
                <w:sz w:val="18"/>
                <w:szCs w:val="18"/>
                <w:lang w:val="fr-FR" w:eastAsia="en-US"/>
              </w:rPr>
              <w:t> </w:t>
            </w:r>
            <w:r w:rsidRPr="00686D5A">
              <w:rPr>
                <w:rFonts w:eastAsia="Times New Roman"/>
                <w:sz w:val="18"/>
                <w:szCs w:val="18"/>
                <w:lang w:val="fr-FR" w:eastAsia="en-US"/>
              </w:rPr>
              <w:t>2013</w:t>
            </w:r>
          </w:p>
        </w:tc>
      </w:tr>
      <w:tr w:rsidR="009A7E4C" w:rsidRPr="004E60A4" w:rsidTr="00AB12A1">
        <w:trPr>
          <w:jc w:val="center"/>
        </w:trPr>
        <w:tc>
          <w:tcPr>
            <w:tcW w:w="2665" w:type="pct"/>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rPr>
                <w:rFonts w:eastAsia="Times New Roman"/>
                <w:sz w:val="18"/>
                <w:szCs w:val="18"/>
                <w:lang w:val="fr-FR" w:eastAsia="en-US"/>
              </w:rPr>
            </w:pPr>
            <w:r w:rsidRPr="00686D5A">
              <w:rPr>
                <w:rFonts w:eastAsia="Times New Roman"/>
                <w:sz w:val="18"/>
                <w:szCs w:val="18"/>
                <w:lang w:val="fr-FR" w:eastAsia="en-US"/>
              </w:rPr>
              <w:t>Examen de la gestion de la continuité des opérations</w:t>
            </w:r>
          </w:p>
        </w:tc>
        <w:tc>
          <w:tcPr>
            <w:tcW w:w="1570" w:type="pct"/>
            <w:tcBorders>
              <w:top w:val="nil"/>
              <w:left w:val="nil"/>
              <w:bottom w:val="single" w:sz="4" w:space="0" w:color="auto"/>
              <w:right w:val="single" w:sz="4" w:space="0" w:color="auto"/>
            </w:tcBorders>
            <w:vAlign w:val="center"/>
          </w:tcPr>
          <w:p w:rsidR="009A7E4C" w:rsidRPr="00686D5A" w:rsidRDefault="009A7E4C" w:rsidP="001E2D32">
            <w:pPr>
              <w:rPr>
                <w:rFonts w:eastAsia="Times New Roman"/>
                <w:sz w:val="18"/>
                <w:szCs w:val="18"/>
                <w:lang w:val="fr-FR" w:eastAsia="en-US"/>
              </w:rPr>
            </w:pPr>
            <w:r w:rsidRPr="00686D5A">
              <w:rPr>
                <w:rFonts w:eastAsia="Times New Roman"/>
                <w:sz w:val="18"/>
                <w:szCs w:val="18"/>
                <w:lang w:val="fr-FR" w:eastAsia="en-US"/>
              </w:rPr>
              <w:t>Intersectoriel</w:t>
            </w:r>
          </w:p>
        </w:tc>
        <w:tc>
          <w:tcPr>
            <w:tcW w:w="765" w:type="pct"/>
            <w:tcBorders>
              <w:top w:val="single" w:sz="4" w:space="0" w:color="auto"/>
              <w:left w:val="nil"/>
              <w:bottom w:val="single" w:sz="4" w:space="0" w:color="auto"/>
              <w:right w:val="single" w:sz="4" w:space="0" w:color="auto"/>
            </w:tcBorders>
            <w:vAlign w:val="center"/>
          </w:tcPr>
          <w:p w:rsidR="009A7E4C" w:rsidRPr="00686D5A" w:rsidRDefault="009A7E4C" w:rsidP="007931CB">
            <w:pPr>
              <w:jc w:val="center"/>
              <w:rPr>
                <w:rFonts w:eastAsia="Times New Roman"/>
                <w:sz w:val="18"/>
                <w:szCs w:val="18"/>
                <w:lang w:val="fr-FR" w:eastAsia="en-US"/>
              </w:rPr>
            </w:pPr>
            <w:r w:rsidRPr="00686D5A">
              <w:rPr>
                <w:rFonts w:eastAsia="Times New Roman"/>
                <w:sz w:val="18"/>
                <w:szCs w:val="18"/>
                <w:lang w:val="fr-FR" w:eastAsia="en-US"/>
              </w:rPr>
              <w:t>Reporté sur</w:t>
            </w:r>
            <w:r w:rsidR="007931CB" w:rsidRPr="00686D5A">
              <w:rPr>
                <w:rFonts w:eastAsia="Times New Roman"/>
                <w:sz w:val="18"/>
                <w:szCs w:val="18"/>
                <w:lang w:val="fr-FR" w:eastAsia="en-US"/>
              </w:rPr>
              <w:t> </w:t>
            </w:r>
            <w:r w:rsidRPr="00686D5A">
              <w:rPr>
                <w:rFonts w:eastAsia="Times New Roman"/>
                <w:sz w:val="18"/>
                <w:szCs w:val="18"/>
                <w:lang w:val="fr-FR" w:eastAsia="en-US"/>
              </w:rPr>
              <w:t>2014 pour tenir compte de la demande de la direction</w:t>
            </w:r>
          </w:p>
        </w:tc>
      </w:tr>
    </w:tbl>
    <w:bookmarkEnd w:id="17"/>
    <w:bookmarkEnd w:id="18"/>
    <w:p w:rsidR="009A7E4C" w:rsidRPr="00686D5A" w:rsidRDefault="009A7E4C" w:rsidP="00840A87">
      <w:pPr>
        <w:spacing w:before="60" w:after="60"/>
        <w:rPr>
          <w:lang w:val="fr-FR"/>
        </w:rPr>
      </w:pPr>
      <w:r w:rsidRPr="00686D5A">
        <w:rPr>
          <w:lang w:val="fr-FR"/>
        </w:rPr>
        <w:t xml:space="preserve">Code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2552"/>
      </w:tblGrid>
      <w:tr w:rsidR="009A7E4C" w:rsidRPr="00686D5A" w:rsidTr="0026102F">
        <w:tc>
          <w:tcPr>
            <w:tcW w:w="1843" w:type="dxa"/>
            <w:shd w:val="clear" w:color="auto" w:fill="FFFF00"/>
          </w:tcPr>
          <w:p w:rsidR="009A7E4C" w:rsidRPr="00686D5A" w:rsidRDefault="009A7E4C" w:rsidP="0026102F">
            <w:pPr>
              <w:spacing w:after="120" w:line="260" w:lineRule="exact"/>
              <w:ind w:left="1021"/>
              <w:rPr>
                <w:lang w:val="fr-FR"/>
              </w:rPr>
            </w:pPr>
          </w:p>
        </w:tc>
        <w:tc>
          <w:tcPr>
            <w:tcW w:w="2552" w:type="dxa"/>
          </w:tcPr>
          <w:p w:rsidR="009A7E4C" w:rsidRPr="00686D5A" w:rsidRDefault="009A7E4C" w:rsidP="0026102F">
            <w:pPr>
              <w:spacing w:after="120" w:line="260" w:lineRule="exact"/>
              <w:ind w:left="34"/>
              <w:rPr>
                <w:lang w:val="fr-FR"/>
              </w:rPr>
            </w:pPr>
            <w:r w:rsidRPr="00686D5A">
              <w:rPr>
                <w:lang w:val="fr-FR"/>
              </w:rPr>
              <w:t>En cours</w:t>
            </w:r>
          </w:p>
        </w:tc>
      </w:tr>
      <w:tr w:rsidR="009A7E4C" w:rsidRPr="00686D5A" w:rsidTr="0026102F">
        <w:tc>
          <w:tcPr>
            <w:tcW w:w="1843" w:type="dxa"/>
            <w:shd w:val="clear" w:color="auto" w:fill="92D050"/>
          </w:tcPr>
          <w:p w:rsidR="009A7E4C" w:rsidRPr="00686D5A" w:rsidRDefault="009A7E4C" w:rsidP="0026102F">
            <w:pPr>
              <w:spacing w:after="120" w:line="260" w:lineRule="exact"/>
              <w:ind w:left="1021"/>
              <w:rPr>
                <w:lang w:val="fr-FR"/>
              </w:rPr>
            </w:pPr>
          </w:p>
        </w:tc>
        <w:tc>
          <w:tcPr>
            <w:tcW w:w="2552" w:type="dxa"/>
          </w:tcPr>
          <w:p w:rsidR="009A7E4C" w:rsidRPr="00686D5A" w:rsidRDefault="009A7E4C" w:rsidP="0026102F">
            <w:pPr>
              <w:spacing w:after="120" w:line="260" w:lineRule="exact"/>
              <w:ind w:left="34"/>
              <w:rPr>
                <w:lang w:val="fr-FR"/>
              </w:rPr>
            </w:pPr>
            <w:r w:rsidRPr="00686D5A">
              <w:rPr>
                <w:lang w:val="fr-FR"/>
              </w:rPr>
              <w:t>Achevé</w:t>
            </w:r>
          </w:p>
        </w:tc>
      </w:tr>
      <w:tr w:rsidR="009A7E4C" w:rsidRPr="00686D5A" w:rsidTr="0026102F">
        <w:tc>
          <w:tcPr>
            <w:tcW w:w="1843" w:type="dxa"/>
          </w:tcPr>
          <w:p w:rsidR="009A7E4C" w:rsidRPr="00686D5A" w:rsidRDefault="009A7E4C" w:rsidP="0026102F">
            <w:pPr>
              <w:spacing w:after="120" w:line="260" w:lineRule="exact"/>
              <w:ind w:left="1021"/>
              <w:rPr>
                <w:lang w:val="fr-FR"/>
              </w:rPr>
            </w:pPr>
          </w:p>
        </w:tc>
        <w:tc>
          <w:tcPr>
            <w:tcW w:w="2552" w:type="dxa"/>
          </w:tcPr>
          <w:p w:rsidR="009A7E4C" w:rsidRPr="00686D5A" w:rsidRDefault="009A7E4C" w:rsidP="0026102F">
            <w:pPr>
              <w:spacing w:after="120" w:line="260" w:lineRule="exact"/>
              <w:ind w:left="34"/>
              <w:rPr>
                <w:lang w:val="fr-FR"/>
              </w:rPr>
            </w:pPr>
            <w:r w:rsidRPr="00686D5A">
              <w:rPr>
                <w:lang w:val="fr-FR"/>
              </w:rPr>
              <w:t>Non commencé</w:t>
            </w:r>
          </w:p>
        </w:tc>
      </w:tr>
    </w:tbl>
    <w:p w:rsidR="007931CB" w:rsidRPr="00686D5A" w:rsidRDefault="007931CB">
      <w:pPr>
        <w:rPr>
          <w:b/>
          <w:lang w:val="fr-FR"/>
        </w:rPr>
      </w:pPr>
      <w:r w:rsidRPr="00686D5A">
        <w:rPr>
          <w:b/>
          <w:lang w:val="fr-FR"/>
        </w:rPr>
        <w:br w:type="page"/>
      </w:r>
    </w:p>
    <w:p w:rsidR="009A7E4C" w:rsidRPr="00686D5A" w:rsidRDefault="009A7E4C" w:rsidP="00CF286F">
      <w:pPr>
        <w:spacing w:after="120"/>
        <w:jc w:val="center"/>
        <w:rPr>
          <w:b/>
          <w:lang w:val="fr-FR"/>
        </w:rPr>
      </w:pPr>
      <w:r w:rsidRPr="00686D5A">
        <w:rPr>
          <w:b/>
          <w:lang w:val="fr-FR"/>
        </w:rPr>
        <w:lastRenderedPageBreak/>
        <w:t>État d</w:t>
      </w:r>
      <w:r w:rsidR="00D565F4">
        <w:rPr>
          <w:b/>
          <w:lang w:val="fr-FR"/>
        </w:rPr>
        <w:t>’</w:t>
      </w:r>
      <w:r w:rsidRPr="00686D5A">
        <w:rPr>
          <w:b/>
          <w:lang w:val="fr-FR"/>
        </w:rPr>
        <w:t>avancement des missions de supervision en 2014 (jusqu</w:t>
      </w:r>
      <w:r w:rsidR="00D565F4">
        <w:rPr>
          <w:b/>
          <w:lang w:val="fr-FR"/>
        </w:rPr>
        <w:t>’</w:t>
      </w:r>
      <w:r w:rsidRPr="00686D5A">
        <w:rPr>
          <w:b/>
          <w:lang w:val="fr-FR"/>
        </w:rPr>
        <w:t>au 30 </w:t>
      </w:r>
      <w:r w:rsidR="00E11857" w:rsidRPr="00686D5A">
        <w:rPr>
          <w:b/>
          <w:lang w:val="fr-FR"/>
        </w:rPr>
        <w:t>juin 20</w:t>
      </w:r>
      <w:r w:rsidRPr="00686D5A">
        <w:rPr>
          <w:b/>
          <w:lang w:val="fr-FR"/>
        </w:rPr>
        <w:t>14)</w:t>
      </w:r>
    </w:p>
    <w:tbl>
      <w:tblPr>
        <w:tblW w:w="9807" w:type="dxa"/>
        <w:tblLook w:val="0000" w:firstRow="0" w:lastRow="0" w:firstColumn="0" w:lastColumn="0" w:noHBand="0" w:noVBand="0"/>
      </w:tblPr>
      <w:tblGrid>
        <w:gridCol w:w="5637"/>
        <w:gridCol w:w="2753"/>
        <w:gridCol w:w="1417"/>
      </w:tblGrid>
      <w:tr w:rsidR="00686D5A" w:rsidRPr="00686D5A" w:rsidTr="007931CB">
        <w:trPr>
          <w:trHeight w:val="567"/>
          <w:tblHeader/>
        </w:trPr>
        <w:tc>
          <w:tcPr>
            <w:tcW w:w="5637" w:type="dxa"/>
            <w:tcBorders>
              <w:top w:val="single" w:sz="4" w:space="0" w:color="auto"/>
              <w:left w:val="single" w:sz="4" w:space="0" w:color="auto"/>
              <w:bottom w:val="single" w:sz="4" w:space="0" w:color="auto"/>
              <w:right w:val="single" w:sz="4" w:space="0" w:color="auto"/>
            </w:tcBorders>
            <w:shd w:val="clear" w:color="auto" w:fill="C0C0C0"/>
            <w:vAlign w:val="center"/>
          </w:tcPr>
          <w:p w:rsidR="009A7E4C" w:rsidRPr="00686D5A" w:rsidRDefault="009A7E4C" w:rsidP="001E2D32">
            <w:pPr>
              <w:keepLines/>
              <w:jc w:val="center"/>
              <w:rPr>
                <w:rFonts w:eastAsia="Times New Roman"/>
                <w:b/>
                <w:bCs/>
                <w:sz w:val="18"/>
                <w:szCs w:val="18"/>
                <w:lang w:val="fr-FR" w:eastAsia="en-US"/>
              </w:rPr>
            </w:pPr>
            <w:r w:rsidRPr="00686D5A">
              <w:rPr>
                <w:rFonts w:eastAsia="Times New Roman"/>
                <w:b/>
                <w:bCs/>
                <w:sz w:val="18"/>
                <w:szCs w:val="18"/>
                <w:lang w:val="fr-FR" w:eastAsia="en-US"/>
              </w:rPr>
              <w:t>Plan</w:t>
            </w:r>
          </w:p>
        </w:tc>
        <w:tc>
          <w:tcPr>
            <w:tcW w:w="2753" w:type="dxa"/>
            <w:tcBorders>
              <w:top w:val="single" w:sz="4" w:space="0" w:color="auto"/>
              <w:left w:val="nil"/>
              <w:bottom w:val="single" w:sz="4" w:space="0" w:color="auto"/>
              <w:right w:val="single" w:sz="4" w:space="0" w:color="auto"/>
            </w:tcBorders>
            <w:shd w:val="clear" w:color="auto" w:fill="C0C0C0"/>
            <w:vAlign w:val="center"/>
          </w:tcPr>
          <w:p w:rsidR="009A7E4C" w:rsidRPr="00686D5A" w:rsidRDefault="009A7E4C" w:rsidP="001E2D32">
            <w:pPr>
              <w:keepLines/>
              <w:jc w:val="center"/>
              <w:rPr>
                <w:rFonts w:eastAsia="Times New Roman"/>
                <w:b/>
                <w:bCs/>
                <w:sz w:val="18"/>
                <w:szCs w:val="18"/>
                <w:lang w:val="fr-FR" w:eastAsia="en-US"/>
              </w:rPr>
            </w:pPr>
            <w:r w:rsidRPr="00686D5A">
              <w:rPr>
                <w:rFonts w:eastAsia="Times New Roman"/>
                <w:b/>
                <w:bCs/>
                <w:sz w:val="18"/>
                <w:szCs w:val="18"/>
                <w:lang w:val="fr-FR" w:eastAsia="en-US"/>
              </w:rPr>
              <w:t>Secteur</w:t>
            </w:r>
          </w:p>
        </w:tc>
        <w:tc>
          <w:tcPr>
            <w:tcW w:w="1417" w:type="dxa"/>
            <w:tcBorders>
              <w:top w:val="single" w:sz="4" w:space="0" w:color="auto"/>
              <w:left w:val="nil"/>
              <w:bottom w:val="single" w:sz="4" w:space="0" w:color="auto"/>
              <w:right w:val="single" w:sz="4" w:space="0" w:color="auto"/>
            </w:tcBorders>
            <w:shd w:val="clear" w:color="auto" w:fill="C0C0C0"/>
            <w:vAlign w:val="center"/>
          </w:tcPr>
          <w:p w:rsidR="009A7E4C" w:rsidRPr="00686D5A" w:rsidRDefault="009A7E4C" w:rsidP="001E2D32">
            <w:pPr>
              <w:keepLines/>
              <w:jc w:val="center"/>
              <w:rPr>
                <w:rFonts w:eastAsia="Times New Roman"/>
                <w:b/>
                <w:bCs/>
                <w:sz w:val="18"/>
                <w:szCs w:val="18"/>
                <w:lang w:val="fr-FR" w:eastAsia="en-US"/>
              </w:rPr>
            </w:pPr>
            <w:r w:rsidRPr="00686D5A">
              <w:rPr>
                <w:rFonts w:eastAsia="Times New Roman"/>
                <w:b/>
                <w:bCs/>
                <w:sz w:val="18"/>
                <w:szCs w:val="18"/>
                <w:lang w:val="fr-FR" w:eastAsia="en-US"/>
              </w:rPr>
              <w:t>État d</w:t>
            </w:r>
            <w:r w:rsidR="00D565F4">
              <w:rPr>
                <w:rFonts w:eastAsia="Times New Roman"/>
                <w:b/>
                <w:bCs/>
                <w:sz w:val="18"/>
                <w:szCs w:val="18"/>
                <w:lang w:val="fr-FR" w:eastAsia="en-US"/>
              </w:rPr>
              <w:t>’</w:t>
            </w:r>
            <w:r w:rsidRPr="00686D5A">
              <w:rPr>
                <w:rFonts w:eastAsia="Times New Roman"/>
                <w:b/>
                <w:bCs/>
                <w:sz w:val="18"/>
                <w:szCs w:val="18"/>
                <w:lang w:val="fr-FR" w:eastAsia="en-US"/>
              </w:rPr>
              <w:t>avancement</w:t>
            </w:r>
          </w:p>
        </w:tc>
      </w:tr>
      <w:tr w:rsidR="009A7E4C" w:rsidRPr="00686D5A" w:rsidTr="00891D16">
        <w:trPr>
          <w:trHeight w:val="340"/>
        </w:trPr>
        <w:tc>
          <w:tcPr>
            <w:tcW w:w="5637" w:type="dxa"/>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keepLines/>
              <w:rPr>
                <w:rFonts w:eastAsia="Times New Roman"/>
                <w:sz w:val="18"/>
                <w:szCs w:val="18"/>
                <w:lang w:val="fr-FR" w:eastAsia="en-US"/>
              </w:rPr>
            </w:pPr>
            <w:r w:rsidRPr="00686D5A">
              <w:rPr>
                <w:rFonts w:eastAsia="Times New Roman"/>
                <w:sz w:val="18"/>
                <w:szCs w:val="18"/>
                <w:lang w:val="fr-FR" w:eastAsia="en-US"/>
              </w:rPr>
              <w:t>Évaluation de l</w:t>
            </w:r>
            <w:r w:rsidR="00D565F4">
              <w:rPr>
                <w:rFonts w:eastAsia="Times New Roman"/>
                <w:sz w:val="18"/>
                <w:szCs w:val="18"/>
                <w:lang w:val="fr-FR" w:eastAsia="en-US"/>
              </w:rPr>
              <w:t>’</w:t>
            </w:r>
            <w:r w:rsidRPr="00686D5A">
              <w:rPr>
                <w:rFonts w:eastAsia="Times New Roman"/>
                <w:sz w:val="18"/>
                <w:szCs w:val="18"/>
                <w:lang w:val="fr-FR" w:eastAsia="en-US"/>
              </w:rPr>
              <w:t>objectif stratégique VI : Coopération internationale pour le respect de la propriété intellectuelle</w:t>
            </w:r>
          </w:p>
        </w:tc>
        <w:tc>
          <w:tcPr>
            <w:tcW w:w="2753" w:type="dxa"/>
            <w:tcBorders>
              <w:top w:val="nil"/>
              <w:left w:val="nil"/>
              <w:bottom w:val="single" w:sz="4" w:space="0" w:color="auto"/>
              <w:right w:val="single" w:sz="4" w:space="0" w:color="auto"/>
            </w:tcBorders>
            <w:vAlign w:val="center"/>
          </w:tcPr>
          <w:p w:rsidR="009A7E4C" w:rsidRPr="00686D5A" w:rsidRDefault="009A7E4C" w:rsidP="00AB551E">
            <w:pPr>
              <w:keepLines/>
              <w:jc w:val="center"/>
              <w:rPr>
                <w:rFonts w:eastAsia="Times New Roman"/>
                <w:sz w:val="18"/>
                <w:szCs w:val="18"/>
                <w:lang w:val="fr-FR" w:eastAsia="en-US"/>
              </w:rPr>
            </w:pPr>
            <w:r w:rsidRPr="00686D5A">
              <w:rPr>
                <w:rFonts w:eastAsia="Times New Roman"/>
                <w:sz w:val="18"/>
                <w:szCs w:val="18"/>
                <w:lang w:val="fr-FR" w:eastAsia="en-US"/>
              </w:rPr>
              <w:t>Questions mondiales</w:t>
            </w:r>
          </w:p>
        </w:tc>
        <w:tc>
          <w:tcPr>
            <w:tcW w:w="1417" w:type="dxa"/>
            <w:tcBorders>
              <w:top w:val="nil"/>
              <w:left w:val="nil"/>
              <w:bottom w:val="single" w:sz="4" w:space="0" w:color="auto"/>
              <w:right w:val="single" w:sz="4" w:space="0" w:color="auto"/>
            </w:tcBorders>
            <w:shd w:val="clear" w:color="auto" w:fill="FFFF00"/>
            <w:vAlign w:val="center"/>
          </w:tcPr>
          <w:p w:rsidR="009A7E4C" w:rsidRPr="00686D5A" w:rsidRDefault="009A7E4C" w:rsidP="001E2D32">
            <w:pPr>
              <w:keepLines/>
              <w:jc w:val="center"/>
              <w:rPr>
                <w:sz w:val="18"/>
                <w:szCs w:val="18"/>
                <w:lang w:val="fr-FR"/>
              </w:rPr>
            </w:pPr>
          </w:p>
        </w:tc>
      </w:tr>
      <w:tr w:rsidR="009A7E4C" w:rsidRPr="00686D5A" w:rsidTr="00891D16">
        <w:trPr>
          <w:trHeight w:val="340"/>
        </w:trPr>
        <w:tc>
          <w:tcPr>
            <w:tcW w:w="5637" w:type="dxa"/>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keepLines/>
              <w:rPr>
                <w:rFonts w:eastAsia="Times New Roman"/>
                <w:sz w:val="18"/>
                <w:szCs w:val="18"/>
                <w:lang w:val="fr-FR" w:eastAsia="en-US"/>
              </w:rPr>
            </w:pPr>
            <w:r w:rsidRPr="00686D5A">
              <w:rPr>
                <w:rFonts w:eastAsia="Times New Roman"/>
                <w:sz w:val="18"/>
                <w:szCs w:val="18"/>
                <w:lang w:val="fr-FR" w:eastAsia="en-US"/>
              </w:rPr>
              <w:t>Évaluation du partage des connaissances au sein de l</w:t>
            </w:r>
            <w:r w:rsidR="00D565F4">
              <w:rPr>
                <w:rFonts w:eastAsia="Times New Roman"/>
                <w:sz w:val="18"/>
                <w:szCs w:val="18"/>
                <w:lang w:val="fr-FR" w:eastAsia="en-US"/>
              </w:rPr>
              <w:t>’</w:t>
            </w:r>
            <w:r w:rsidRPr="00686D5A">
              <w:rPr>
                <w:rFonts w:eastAsia="Times New Roman"/>
                <w:sz w:val="18"/>
                <w:szCs w:val="18"/>
                <w:lang w:val="fr-FR" w:eastAsia="en-US"/>
              </w:rPr>
              <w:t>OMPI</w:t>
            </w:r>
          </w:p>
        </w:tc>
        <w:tc>
          <w:tcPr>
            <w:tcW w:w="2753" w:type="dxa"/>
            <w:tcBorders>
              <w:top w:val="nil"/>
              <w:left w:val="nil"/>
              <w:bottom w:val="single" w:sz="4" w:space="0" w:color="auto"/>
              <w:right w:val="single" w:sz="4" w:space="0" w:color="auto"/>
            </w:tcBorders>
            <w:vAlign w:val="center"/>
          </w:tcPr>
          <w:p w:rsidR="009A7E4C" w:rsidRPr="00686D5A" w:rsidRDefault="009A7E4C" w:rsidP="001E2D32">
            <w:pPr>
              <w:keepLines/>
              <w:jc w:val="center"/>
              <w:rPr>
                <w:rFonts w:eastAsia="Times New Roman"/>
                <w:sz w:val="18"/>
                <w:szCs w:val="18"/>
                <w:lang w:val="fr-FR" w:eastAsia="en-US"/>
              </w:rPr>
            </w:pPr>
            <w:r w:rsidRPr="00686D5A">
              <w:rPr>
                <w:rFonts w:eastAsia="Times New Roman"/>
                <w:sz w:val="18"/>
                <w:szCs w:val="18"/>
                <w:lang w:val="fr-FR" w:eastAsia="en-US"/>
              </w:rPr>
              <w:t>Intersectoriel</w:t>
            </w:r>
          </w:p>
        </w:tc>
        <w:tc>
          <w:tcPr>
            <w:tcW w:w="1417" w:type="dxa"/>
            <w:tcBorders>
              <w:top w:val="nil"/>
              <w:left w:val="nil"/>
              <w:bottom w:val="single" w:sz="4" w:space="0" w:color="auto"/>
              <w:right w:val="single" w:sz="4" w:space="0" w:color="auto"/>
            </w:tcBorders>
            <w:shd w:val="clear" w:color="auto" w:fill="92D050"/>
            <w:vAlign w:val="center"/>
          </w:tcPr>
          <w:p w:rsidR="009A7E4C" w:rsidRPr="00686D5A" w:rsidRDefault="009A7E4C" w:rsidP="001E2D32">
            <w:pPr>
              <w:keepLines/>
              <w:jc w:val="center"/>
              <w:rPr>
                <w:sz w:val="18"/>
                <w:szCs w:val="18"/>
                <w:lang w:val="fr-FR"/>
              </w:rPr>
            </w:pPr>
          </w:p>
        </w:tc>
      </w:tr>
      <w:tr w:rsidR="009A7E4C" w:rsidRPr="00686D5A" w:rsidTr="00891D16">
        <w:trPr>
          <w:trHeight w:val="340"/>
        </w:trPr>
        <w:tc>
          <w:tcPr>
            <w:tcW w:w="5637" w:type="dxa"/>
            <w:tcBorders>
              <w:top w:val="single" w:sz="4" w:space="0" w:color="auto"/>
              <w:left w:val="single" w:sz="4" w:space="0" w:color="auto"/>
              <w:bottom w:val="single" w:sz="4" w:space="0" w:color="auto"/>
              <w:right w:val="single" w:sz="4" w:space="0" w:color="auto"/>
            </w:tcBorders>
            <w:vAlign w:val="center"/>
          </w:tcPr>
          <w:p w:rsidR="009A7E4C" w:rsidRPr="00686D5A" w:rsidRDefault="009A7E4C" w:rsidP="003F2B38">
            <w:pPr>
              <w:keepLines/>
              <w:rPr>
                <w:rFonts w:eastAsia="Times New Roman"/>
                <w:sz w:val="18"/>
                <w:szCs w:val="18"/>
                <w:lang w:val="fr-FR" w:eastAsia="en-US"/>
              </w:rPr>
            </w:pPr>
            <w:r w:rsidRPr="00686D5A">
              <w:rPr>
                <w:rFonts w:eastAsia="Times New Roman"/>
                <w:sz w:val="18"/>
                <w:szCs w:val="18"/>
                <w:lang w:val="fr-FR" w:eastAsia="en-US"/>
              </w:rPr>
              <w:t>Évaluation externe de la fonction d</w:t>
            </w:r>
            <w:r w:rsidR="00D565F4">
              <w:rPr>
                <w:rFonts w:eastAsia="Times New Roman"/>
                <w:sz w:val="18"/>
                <w:szCs w:val="18"/>
                <w:lang w:val="fr-FR" w:eastAsia="en-US"/>
              </w:rPr>
              <w:t>’</w:t>
            </w:r>
            <w:r w:rsidRPr="00686D5A">
              <w:rPr>
                <w:rFonts w:eastAsia="Times New Roman"/>
                <w:sz w:val="18"/>
                <w:szCs w:val="18"/>
                <w:lang w:val="fr-FR" w:eastAsia="en-US"/>
              </w:rPr>
              <w:t>évaluation de</w:t>
            </w:r>
            <w:r w:rsidR="00D565F4" w:rsidRPr="00686D5A">
              <w:rPr>
                <w:rFonts w:eastAsia="Times New Roman"/>
                <w:sz w:val="18"/>
                <w:szCs w:val="18"/>
                <w:lang w:val="fr-FR" w:eastAsia="en-US"/>
              </w:rPr>
              <w:t xml:space="preserve"> la</w:t>
            </w:r>
            <w:r w:rsidR="00D565F4">
              <w:rPr>
                <w:rFonts w:eastAsia="Times New Roman"/>
                <w:sz w:val="18"/>
                <w:szCs w:val="18"/>
                <w:lang w:val="fr-FR" w:eastAsia="en-US"/>
              </w:rPr>
              <w:t> DAS</w:t>
            </w:r>
            <w:r w:rsidR="00E90725">
              <w:rPr>
                <w:rFonts w:eastAsia="Times New Roman"/>
                <w:sz w:val="18"/>
                <w:szCs w:val="18"/>
                <w:lang w:val="fr-FR" w:eastAsia="en-US"/>
              </w:rPr>
              <w:t>I</w:t>
            </w:r>
            <w:r w:rsidRPr="00686D5A">
              <w:rPr>
                <w:sz w:val="18"/>
                <w:szCs w:val="18"/>
                <w:vertAlign w:val="superscript"/>
                <w:lang w:val="fr-FR"/>
              </w:rPr>
              <w:t>1</w:t>
            </w:r>
          </w:p>
        </w:tc>
        <w:tc>
          <w:tcPr>
            <w:tcW w:w="2753" w:type="dxa"/>
            <w:tcBorders>
              <w:top w:val="nil"/>
              <w:left w:val="nil"/>
              <w:bottom w:val="single" w:sz="4" w:space="0" w:color="auto"/>
              <w:right w:val="single" w:sz="4" w:space="0" w:color="auto"/>
            </w:tcBorders>
            <w:vAlign w:val="center"/>
          </w:tcPr>
          <w:p w:rsidR="009A7E4C" w:rsidRPr="00686D5A" w:rsidRDefault="00C86837" w:rsidP="00AB551E">
            <w:pPr>
              <w:keepLines/>
              <w:jc w:val="center"/>
              <w:rPr>
                <w:rFonts w:eastAsia="Times New Roman"/>
                <w:sz w:val="18"/>
                <w:szCs w:val="18"/>
                <w:lang w:val="fr-FR" w:eastAsia="en-US"/>
              </w:rPr>
            </w:pPr>
            <w:r>
              <w:rPr>
                <w:rFonts w:eastAsia="Times New Roman"/>
                <w:sz w:val="18"/>
                <w:szCs w:val="18"/>
                <w:lang w:val="fr-FR" w:eastAsia="en-US"/>
              </w:rPr>
              <w:t>DASI</w:t>
            </w:r>
          </w:p>
        </w:tc>
        <w:tc>
          <w:tcPr>
            <w:tcW w:w="1417" w:type="dxa"/>
            <w:tcBorders>
              <w:top w:val="nil"/>
              <w:left w:val="nil"/>
              <w:bottom w:val="single" w:sz="4" w:space="0" w:color="auto"/>
              <w:right w:val="single" w:sz="4" w:space="0" w:color="auto"/>
            </w:tcBorders>
            <w:shd w:val="clear" w:color="auto" w:fill="92D050"/>
            <w:vAlign w:val="center"/>
          </w:tcPr>
          <w:p w:rsidR="009A7E4C" w:rsidRPr="00686D5A" w:rsidRDefault="009A7E4C" w:rsidP="001E2D32">
            <w:pPr>
              <w:keepLines/>
              <w:jc w:val="center"/>
              <w:rPr>
                <w:sz w:val="18"/>
                <w:szCs w:val="18"/>
                <w:lang w:val="fr-FR"/>
              </w:rPr>
            </w:pPr>
          </w:p>
        </w:tc>
      </w:tr>
      <w:tr w:rsidR="009A7E4C" w:rsidRPr="00686D5A" w:rsidTr="00891D16">
        <w:trPr>
          <w:trHeight w:val="340"/>
        </w:trPr>
        <w:tc>
          <w:tcPr>
            <w:tcW w:w="5637" w:type="dxa"/>
            <w:tcBorders>
              <w:top w:val="single" w:sz="4" w:space="0" w:color="auto"/>
              <w:left w:val="single" w:sz="4" w:space="0" w:color="auto"/>
              <w:bottom w:val="single" w:sz="4" w:space="0" w:color="auto"/>
              <w:right w:val="single" w:sz="4" w:space="0" w:color="auto"/>
            </w:tcBorders>
            <w:vAlign w:val="center"/>
          </w:tcPr>
          <w:p w:rsidR="009A7E4C" w:rsidRPr="00686D5A" w:rsidRDefault="009A7E4C" w:rsidP="007931CB">
            <w:pPr>
              <w:keepLines/>
              <w:rPr>
                <w:rFonts w:eastAsia="Times New Roman"/>
                <w:sz w:val="18"/>
                <w:szCs w:val="18"/>
                <w:lang w:val="fr-FR" w:eastAsia="en-US"/>
              </w:rPr>
            </w:pPr>
            <w:r w:rsidRPr="00686D5A">
              <w:rPr>
                <w:rFonts w:eastAsia="Times New Roman"/>
                <w:sz w:val="18"/>
                <w:szCs w:val="18"/>
                <w:lang w:val="fr-FR" w:eastAsia="en-US"/>
              </w:rPr>
              <w:t xml:space="preserve">Évaluation de programme : </w:t>
            </w:r>
            <w:r w:rsidR="007931CB" w:rsidRPr="00686D5A">
              <w:rPr>
                <w:rFonts w:eastAsia="Times New Roman"/>
                <w:sz w:val="18"/>
                <w:szCs w:val="18"/>
                <w:lang w:val="fr-FR" w:eastAsia="en-US"/>
              </w:rPr>
              <w:t>p</w:t>
            </w:r>
            <w:r w:rsidRPr="00686D5A">
              <w:rPr>
                <w:rFonts w:eastAsia="Times New Roman"/>
                <w:sz w:val="18"/>
                <w:szCs w:val="18"/>
                <w:lang w:val="fr-FR" w:eastAsia="en-US"/>
              </w:rPr>
              <w:t>rogramme </w:t>
            </w:r>
            <w:r w:rsidR="005E35C2" w:rsidRPr="00686D5A">
              <w:rPr>
                <w:rFonts w:eastAsia="Times New Roman"/>
                <w:sz w:val="18"/>
                <w:szCs w:val="18"/>
                <w:lang w:val="fr-FR" w:eastAsia="en-US"/>
              </w:rPr>
              <w:t>30 </w:t>
            </w:r>
            <w:r w:rsidRPr="00686D5A">
              <w:rPr>
                <w:rFonts w:eastAsia="Times New Roman"/>
                <w:sz w:val="18"/>
                <w:szCs w:val="18"/>
                <w:lang w:val="fr-FR" w:eastAsia="en-US"/>
              </w:rPr>
              <w:t>Petites et moyennes entreprises</w:t>
            </w:r>
          </w:p>
        </w:tc>
        <w:tc>
          <w:tcPr>
            <w:tcW w:w="2753" w:type="dxa"/>
            <w:tcBorders>
              <w:top w:val="nil"/>
              <w:left w:val="nil"/>
              <w:bottom w:val="single" w:sz="4" w:space="0" w:color="auto"/>
              <w:right w:val="single" w:sz="4" w:space="0" w:color="auto"/>
            </w:tcBorders>
            <w:vAlign w:val="center"/>
          </w:tcPr>
          <w:p w:rsidR="009A7E4C" w:rsidRPr="00686D5A" w:rsidRDefault="009A7E4C" w:rsidP="00AB551E">
            <w:pPr>
              <w:keepLines/>
              <w:jc w:val="center"/>
              <w:rPr>
                <w:rFonts w:eastAsia="Times New Roman"/>
                <w:sz w:val="18"/>
                <w:szCs w:val="18"/>
                <w:lang w:val="fr-FR" w:eastAsia="en-US"/>
              </w:rPr>
            </w:pPr>
            <w:r w:rsidRPr="00686D5A">
              <w:rPr>
                <w:rFonts w:eastAsia="Times New Roman"/>
                <w:sz w:val="18"/>
                <w:szCs w:val="18"/>
                <w:lang w:val="fr-FR" w:eastAsia="en-US"/>
              </w:rPr>
              <w:t>Innovation et technologie</w:t>
            </w:r>
          </w:p>
        </w:tc>
        <w:tc>
          <w:tcPr>
            <w:tcW w:w="1417" w:type="dxa"/>
            <w:tcBorders>
              <w:top w:val="nil"/>
              <w:left w:val="nil"/>
              <w:bottom w:val="single" w:sz="4" w:space="0" w:color="auto"/>
              <w:right w:val="single" w:sz="4" w:space="0" w:color="auto"/>
            </w:tcBorders>
            <w:vAlign w:val="center"/>
          </w:tcPr>
          <w:p w:rsidR="009A7E4C" w:rsidRPr="00686D5A" w:rsidRDefault="009A7E4C" w:rsidP="001E2D32">
            <w:pPr>
              <w:keepLines/>
              <w:jc w:val="center"/>
              <w:rPr>
                <w:sz w:val="18"/>
                <w:szCs w:val="18"/>
                <w:lang w:val="fr-FR"/>
              </w:rPr>
            </w:pPr>
          </w:p>
        </w:tc>
      </w:tr>
      <w:tr w:rsidR="009A7E4C" w:rsidRPr="00686D5A" w:rsidTr="00891D16">
        <w:trPr>
          <w:trHeight w:val="340"/>
        </w:trPr>
        <w:tc>
          <w:tcPr>
            <w:tcW w:w="5637" w:type="dxa"/>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keepLines/>
              <w:rPr>
                <w:rFonts w:eastAsia="Times New Roman"/>
                <w:sz w:val="18"/>
                <w:szCs w:val="18"/>
                <w:lang w:val="fr-FR" w:eastAsia="en-US"/>
              </w:rPr>
            </w:pPr>
            <w:r w:rsidRPr="00686D5A">
              <w:rPr>
                <w:rFonts w:eastAsia="Times New Roman"/>
                <w:sz w:val="18"/>
                <w:szCs w:val="18"/>
                <w:lang w:val="fr-FR" w:eastAsia="en-US"/>
              </w:rPr>
              <w:t>Première phase de l</w:t>
            </w:r>
            <w:r w:rsidR="00D565F4">
              <w:rPr>
                <w:rFonts w:eastAsia="Times New Roman"/>
                <w:sz w:val="18"/>
                <w:szCs w:val="18"/>
                <w:lang w:val="fr-FR" w:eastAsia="en-US"/>
              </w:rPr>
              <w:t>’</w:t>
            </w:r>
            <w:r w:rsidRPr="00686D5A">
              <w:rPr>
                <w:rFonts w:eastAsia="Times New Roman"/>
                <w:sz w:val="18"/>
                <w:szCs w:val="18"/>
                <w:lang w:val="fr-FR" w:eastAsia="en-US"/>
              </w:rPr>
              <w:t xml:space="preserve">évaluation du Programme pilote de récompenses et de </w:t>
            </w:r>
            <w:r w:rsidR="005E35C2" w:rsidRPr="00686D5A">
              <w:rPr>
                <w:rFonts w:eastAsia="Times New Roman"/>
                <w:sz w:val="18"/>
                <w:szCs w:val="18"/>
                <w:lang w:val="fr-FR" w:eastAsia="en-US"/>
              </w:rPr>
              <w:t>reconnaissance </w:t>
            </w:r>
            <w:r w:rsidRPr="00686D5A">
              <w:rPr>
                <w:rFonts w:eastAsia="Times New Roman"/>
                <w:sz w:val="18"/>
                <w:szCs w:val="18"/>
                <w:lang w:val="fr-FR" w:eastAsia="en-US"/>
              </w:rPr>
              <w:t>2013 (élaboré conjointement avec</w:t>
            </w:r>
            <w:r w:rsidR="00E11857" w:rsidRPr="00686D5A">
              <w:rPr>
                <w:rFonts w:eastAsia="Times New Roman"/>
                <w:sz w:val="18"/>
                <w:szCs w:val="18"/>
                <w:lang w:val="fr-FR" w:eastAsia="en-US"/>
              </w:rPr>
              <w:t xml:space="preserve"> le DGR</w:t>
            </w:r>
            <w:r w:rsidRPr="00686D5A">
              <w:rPr>
                <w:rFonts w:eastAsia="Times New Roman"/>
                <w:sz w:val="18"/>
                <w:szCs w:val="18"/>
                <w:lang w:val="fr-FR" w:eastAsia="en-US"/>
              </w:rPr>
              <w:t>H)</w:t>
            </w:r>
          </w:p>
        </w:tc>
        <w:tc>
          <w:tcPr>
            <w:tcW w:w="2753" w:type="dxa"/>
            <w:tcBorders>
              <w:top w:val="nil"/>
              <w:left w:val="nil"/>
              <w:bottom w:val="single" w:sz="4" w:space="0" w:color="auto"/>
              <w:right w:val="single" w:sz="4" w:space="0" w:color="auto"/>
            </w:tcBorders>
            <w:vAlign w:val="center"/>
          </w:tcPr>
          <w:p w:rsidR="009A7E4C" w:rsidRPr="00686D5A" w:rsidRDefault="009A7E4C" w:rsidP="00AB551E">
            <w:pPr>
              <w:keepLines/>
              <w:jc w:val="center"/>
              <w:rPr>
                <w:rFonts w:eastAsia="Times New Roman"/>
                <w:sz w:val="18"/>
                <w:szCs w:val="18"/>
                <w:lang w:val="fr-FR" w:eastAsia="en-US"/>
              </w:rPr>
            </w:pPr>
            <w:r w:rsidRPr="00686D5A">
              <w:rPr>
                <w:rFonts w:eastAsia="Times New Roman"/>
                <w:sz w:val="18"/>
                <w:szCs w:val="18"/>
                <w:lang w:val="fr-FR" w:eastAsia="en-US"/>
              </w:rPr>
              <w:t>DGRH</w:t>
            </w:r>
          </w:p>
        </w:tc>
        <w:tc>
          <w:tcPr>
            <w:tcW w:w="1417" w:type="dxa"/>
            <w:tcBorders>
              <w:top w:val="nil"/>
              <w:left w:val="nil"/>
              <w:bottom w:val="single" w:sz="4" w:space="0" w:color="auto"/>
              <w:right w:val="single" w:sz="4" w:space="0" w:color="auto"/>
            </w:tcBorders>
            <w:shd w:val="clear" w:color="auto" w:fill="92D050"/>
            <w:vAlign w:val="center"/>
          </w:tcPr>
          <w:p w:rsidR="009A7E4C" w:rsidRPr="00686D5A" w:rsidRDefault="009A7E4C" w:rsidP="001E2D32">
            <w:pPr>
              <w:keepLines/>
              <w:jc w:val="center"/>
              <w:rPr>
                <w:sz w:val="18"/>
                <w:szCs w:val="18"/>
                <w:lang w:val="fr-FR"/>
              </w:rPr>
            </w:pPr>
          </w:p>
        </w:tc>
      </w:tr>
      <w:tr w:rsidR="009A7E4C" w:rsidRPr="00686D5A" w:rsidTr="00891D16">
        <w:trPr>
          <w:trHeight w:val="340"/>
        </w:trPr>
        <w:tc>
          <w:tcPr>
            <w:tcW w:w="5637" w:type="dxa"/>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keepLines/>
              <w:rPr>
                <w:rFonts w:eastAsia="Times New Roman"/>
                <w:sz w:val="18"/>
                <w:szCs w:val="18"/>
                <w:lang w:val="fr-FR" w:eastAsia="en-US"/>
              </w:rPr>
            </w:pPr>
            <w:r w:rsidRPr="00686D5A">
              <w:rPr>
                <w:rFonts w:eastAsia="Times New Roman"/>
                <w:sz w:val="18"/>
                <w:szCs w:val="18"/>
                <w:lang w:val="fr-FR" w:eastAsia="en-US"/>
              </w:rPr>
              <w:t>Évaluation du portefeuille d</w:t>
            </w:r>
            <w:r w:rsidR="00D565F4">
              <w:rPr>
                <w:rFonts w:eastAsia="Times New Roman"/>
                <w:sz w:val="18"/>
                <w:szCs w:val="18"/>
                <w:lang w:val="fr-FR" w:eastAsia="en-US"/>
              </w:rPr>
              <w:t>’</w:t>
            </w:r>
            <w:r w:rsidRPr="00686D5A">
              <w:rPr>
                <w:rFonts w:eastAsia="Times New Roman"/>
                <w:sz w:val="18"/>
                <w:szCs w:val="18"/>
                <w:lang w:val="fr-FR" w:eastAsia="en-US"/>
              </w:rPr>
              <w:t>activités d</w:t>
            </w:r>
            <w:r w:rsidR="00D565F4">
              <w:rPr>
                <w:rFonts w:eastAsia="Times New Roman"/>
                <w:sz w:val="18"/>
                <w:szCs w:val="18"/>
                <w:lang w:val="fr-FR" w:eastAsia="en-US"/>
              </w:rPr>
              <w:t>’</w:t>
            </w:r>
            <w:r w:rsidRPr="00686D5A">
              <w:rPr>
                <w:rFonts w:eastAsia="Times New Roman"/>
                <w:sz w:val="18"/>
                <w:szCs w:val="18"/>
                <w:lang w:val="fr-FR" w:eastAsia="en-US"/>
              </w:rPr>
              <w:t>un pays (pays</w:t>
            </w:r>
            <w:r w:rsidR="00E11857" w:rsidRPr="00686D5A">
              <w:rPr>
                <w:rFonts w:eastAsia="Times New Roman"/>
                <w:sz w:val="18"/>
                <w:szCs w:val="18"/>
                <w:lang w:val="fr-FR" w:eastAsia="en-US"/>
              </w:rPr>
              <w:t xml:space="preserve"> du GRU</w:t>
            </w:r>
            <w:r w:rsidRPr="00686D5A">
              <w:rPr>
                <w:rFonts w:eastAsia="Times New Roman"/>
                <w:sz w:val="18"/>
                <w:szCs w:val="18"/>
                <w:lang w:val="fr-FR" w:eastAsia="en-US"/>
              </w:rPr>
              <w:t>LAC)</w:t>
            </w:r>
          </w:p>
        </w:tc>
        <w:tc>
          <w:tcPr>
            <w:tcW w:w="2753" w:type="dxa"/>
            <w:tcBorders>
              <w:top w:val="nil"/>
              <w:left w:val="nil"/>
              <w:bottom w:val="single" w:sz="4" w:space="0" w:color="auto"/>
              <w:right w:val="single" w:sz="4" w:space="0" w:color="auto"/>
            </w:tcBorders>
            <w:vAlign w:val="center"/>
          </w:tcPr>
          <w:p w:rsidR="009A7E4C" w:rsidRPr="00686D5A" w:rsidRDefault="009A7E4C" w:rsidP="001E2D32">
            <w:pPr>
              <w:keepLines/>
              <w:jc w:val="center"/>
              <w:rPr>
                <w:rFonts w:eastAsia="Times New Roman"/>
                <w:sz w:val="18"/>
                <w:szCs w:val="18"/>
                <w:lang w:val="fr-FR" w:eastAsia="en-US"/>
              </w:rPr>
            </w:pPr>
            <w:r w:rsidRPr="00686D5A">
              <w:rPr>
                <w:rFonts w:eastAsia="Times New Roman"/>
                <w:sz w:val="18"/>
                <w:szCs w:val="18"/>
                <w:lang w:val="fr-FR" w:eastAsia="en-US"/>
              </w:rPr>
              <w:t>Développement</w:t>
            </w:r>
          </w:p>
        </w:tc>
        <w:tc>
          <w:tcPr>
            <w:tcW w:w="1417" w:type="dxa"/>
            <w:tcBorders>
              <w:top w:val="nil"/>
              <w:left w:val="nil"/>
              <w:bottom w:val="single" w:sz="4" w:space="0" w:color="auto"/>
              <w:right w:val="single" w:sz="4" w:space="0" w:color="auto"/>
            </w:tcBorders>
            <w:vAlign w:val="center"/>
          </w:tcPr>
          <w:p w:rsidR="009A7E4C" w:rsidRPr="00686D5A" w:rsidRDefault="009A7E4C" w:rsidP="001E2D32">
            <w:pPr>
              <w:keepLines/>
              <w:jc w:val="center"/>
              <w:rPr>
                <w:sz w:val="18"/>
                <w:szCs w:val="18"/>
                <w:lang w:val="fr-FR"/>
              </w:rPr>
            </w:pPr>
          </w:p>
        </w:tc>
      </w:tr>
      <w:tr w:rsidR="009A7E4C" w:rsidRPr="00686D5A" w:rsidTr="00891D16">
        <w:trPr>
          <w:trHeight w:val="340"/>
        </w:trPr>
        <w:tc>
          <w:tcPr>
            <w:tcW w:w="5637" w:type="dxa"/>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keepLines/>
              <w:rPr>
                <w:rFonts w:eastAsia="Times New Roman"/>
                <w:sz w:val="18"/>
                <w:szCs w:val="18"/>
                <w:lang w:val="fr-FR" w:eastAsia="en-US"/>
              </w:rPr>
            </w:pPr>
            <w:r w:rsidRPr="00686D5A">
              <w:rPr>
                <w:rFonts w:eastAsia="Times New Roman"/>
                <w:sz w:val="18"/>
                <w:szCs w:val="18"/>
                <w:lang w:val="fr-FR" w:eastAsia="en-US"/>
              </w:rPr>
              <w:t>Validation du Rapport sur l</w:t>
            </w:r>
            <w:r w:rsidR="00D565F4">
              <w:rPr>
                <w:rFonts w:eastAsia="Times New Roman"/>
                <w:sz w:val="18"/>
                <w:szCs w:val="18"/>
                <w:lang w:val="fr-FR" w:eastAsia="en-US"/>
              </w:rPr>
              <w:t>’</w:t>
            </w:r>
            <w:r w:rsidRPr="00686D5A">
              <w:rPr>
                <w:rFonts w:eastAsia="Times New Roman"/>
                <w:sz w:val="18"/>
                <w:szCs w:val="18"/>
                <w:lang w:val="fr-FR" w:eastAsia="en-US"/>
              </w:rPr>
              <w:t xml:space="preserve">exécution du </w:t>
            </w:r>
            <w:r w:rsidR="005E35C2" w:rsidRPr="00686D5A">
              <w:rPr>
                <w:rFonts w:eastAsia="Times New Roman"/>
                <w:sz w:val="18"/>
                <w:szCs w:val="18"/>
                <w:lang w:val="fr-FR" w:eastAsia="en-US"/>
              </w:rPr>
              <w:t>programme </w:t>
            </w:r>
            <w:r w:rsidRPr="00686D5A">
              <w:rPr>
                <w:rFonts w:eastAsia="Times New Roman"/>
                <w:sz w:val="18"/>
                <w:szCs w:val="18"/>
                <w:lang w:val="fr-FR" w:eastAsia="en-US"/>
              </w:rPr>
              <w:t>2012</w:t>
            </w:r>
            <w:r w:rsidR="001F4EED">
              <w:rPr>
                <w:rFonts w:eastAsia="Times New Roman"/>
                <w:sz w:val="18"/>
                <w:szCs w:val="18"/>
                <w:lang w:val="fr-FR" w:eastAsia="en-US"/>
              </w:rPr>
              <w:noBreakHyphen/>
            </w:r>
            <w:r w:rsidRPr="00686D5A">
              <w:rPr>
                <w:rFonts w:eastAsia="Times New Roman"/>
                <w:sz w:val="18"/>
                <w:szCs w:val="18"/>
                <w:lang w:val="fr-FR" w:eastAsia="en-US"/>
              </w:rPr>
              <w:t>2013</w:t>
            </w:r>
          </w:p>
        </w:tc>
        <w:tc>
          <w:tcPr>
            <w:tcW w:w="2753" w:type="dxa"/>
            <w:tcBorders>
              <w:top w:val="nil"/>
              <w:left w:val="nil"/>
              <w:bottom w:val="single" w:sz="4" w:space="0" w:color="auto"/>
              <w:right w:val="single" w:sz="4" w:space="0" w:color="auto"/>
            </w:tcBorders>
            <w:vAlign w:val="center"/>
          </w:tcPr>
          <w:p w:rsidR="009A7E4C" w:rsidRPr="00686D5A" w:rsidRDefault="009A7E4C" w:rsidP="001E2D32">
            <w:pPr>
              <w:keepLines/>
              <w:jc w:val="center"/>
              <w:rPr>
                <w:rFonts w:eastAsia="Times New Roman"/>
                <w:sz w:val="18"/>
                <w:szCs w:val="18"/>
                <w:lang w:val="fr-FR" w:eastAsia="en-US"/>
              </w:rPr>
            </w:pPr>
            <w:r w:rsidRPr="00686D5A">
              <w:rPr>
                <w:rFonts w:eastAsia="Times New Roman"/>
                <w:sz w:val="18"/>
                <w:szCs w:val="18"/>
                <w:lang w:val="fr-FR" w:eastAsia="en-US"/>
              </w:rPr>
              <w:t>OMPI tous</w:t>
            </w:r>
          </w:p>
        </w:tc>
        <w:tc>
          <w:tcPr>
            <w:tcW w:w="1417" w:type="dxa"/>
            <w:tcBorders>
              <w:top w:val="nil"/>
              <w:left w:val="nil"/>
              <w:bottom w:val="single" w:sz="4" w:space="0" w:color="auto"/>
              <w:right w:val="single" w:sz="4" w:space="0" w:color="auto"/>
            </w:tcBorders>
            <w:shd w:val="clear" w:color="auto" w:fill="92D050"/>
            <w:vAlign w:val="center"/>
          </w:tcPr>
          <w:p w:rsidR="009A7E4C" w:rsidRPr="00686D5A" w:rsidRDefault="009A7E4C" w:rsidP="001E2D32">
            <w:pPr>
              <w:keepLines/>
              <w:jc w:val="center"/>
              <w:rPr>
                <w:sz w:val="18"/>
                <w:szCs w:val="18"/>
                <w:lang w:val="fr-FR"/>
              </w:rPr>
            </w:pPr>
          </w:p>
        </w:tc>
      </w:tr>
      <w:tr w:rsidR="009A7E4C" w:rsidRPr="00686D5A" w:rsidTr="00891D16">
        <w:trPr>
          <w:trHeight w:val="340"/>
        </w:trPr>
        <w:tc>
          <w:tcPr>
            <w:tcW w:w="5637" w:type="dxa"/>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keepLines/>
              <w:rPr>
                <w:rFonts w:eastAsia="Times New Roman"/>
                <w:sz w:val="18"/>
                <w:szCs w:val="18"/>
                <w:lang w:val="fr-FR" w:eastAsia="en-US"/>
              </w:rPr>
            </w:pPr>
            <w:r w:rsidRPr="00686D5A">
              <w:rPr>
                <w:rFonts w:eastAsia="Times New Roman"/>
                <w:sz w:val="18"/>
                <w:szCs w:val="18"/>
                <w:lang w:val="fr-FR" w:eastAsia="en-US"/>
              </w:rPr>
              <w:t>Prestations et avantages du personnel</w:t>
            </w:r>
          </w:p>
        </w:tc>
        <w:tc>
          <w:tcPr>
            <w:tcW w:w="2753" w:type="dxa"/>
            <w:tcBorders>
              <w:top w:val="nil"/>
              <w:left w:val="nil"/>
              <w:bottom w:val="single" w:sz="4" w:space="0" w:color="auto"/>
              <w:right w:val="single" w:sz="4" w:space="0" w:color="auto"/>
            </w:tcBorders>
            <w:vAlign w:val="center"/>
          </w:tcPr>
          <w:p w:rsidR="009A7E4C" w:rsidRPr="00686D5A" w:rsidRDefault="009A7E4C" w:rsidP="00AB551E">
            <w:pPr>
              <w:keepLines/>
              <w:jc w:val="center"/>
              <w:rPr>
                <w:rFonts w:eastAsia="Times New Roman"/>
                <w:sz w:val="18"/>
                <w:szCs w:val="18"/>
                <w:lang w:val="fr-FR" w:eastAsia="en-US"/>
              </w:rPr>
            </w:pPr>
            <w:r w:rsidRPr="00686D5A">
              <w:rPr>
                <w:rFonts w:eastAsia="Times New Roman"/>
                <w:sz w:val="18"/>
                <w:szCs w:val="18"/>
                <w:lang w:val="fr-FR" w:eastAsia="en-US"/>
              </w:rPr>
              <w:t>DGRH</w:t>
            </w:r>
          </w:p>
        </w:tc>
        <w:tc>
          <w:tcPr>
            <w:tcW w:w="1417" w:type="dxa"/>
            <w:tcBorders>
              <w:top w:val="nil"/>
              <w:left w:val="nil"/>
              <w:bottom w:val="single" w:sz="4" w:space="0" w:color="auto"/>
              <w:right w:val="single" w:sz="4" w:space="0" w:color="auto"/>
            </w:tcBorders>
            <w:shd w:val="clear" w:color="auto" w:fill="92D050"/>
            <w:vAlign w:val="center"/>
          </w:tcPr>
          <w:p w:rsidR="009A7E4C" w:rsidRPr="00686D5A" w:rsidRDefault="009A7E4C" w:rsidP="001E2D32">
            <w:pPr>
              <w:keepLines/>
              <w:jc w:val="center"/>
              <w:rPr>
                <w:sz w:val="18"/>
                <w:szCs w:val="18"/>
                <w:lang w:val="fr-FR"/>
              </w:rPr>
            </w:pPr>
          </w:p>
        </w:tc>
      </w:tr>
      <w:tr w:rsidR="009A7E4C" w:rsidRPr="00686D5A" w:rsidTr="00891D16">
        <w:trPr>
          <w:trHeight w:val="340"/>
        </w:trPr>
        <w:tc>
          <w:tcPr>
            <w:tcW w:w="5637" w:type="dxa"/>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keepLines/>
              <w:rPr>
                <w:rFonts w:eastAsia="Times New Roman"/>
                <w:sz w:val="18"/>
                <w:szCs w:val="18"/>
                <w:lang w:val="fr-FR" w:eastAsia="en-US"/>
              </w:rPr>
            </w:pPr>
            <w:r w:rsidRPr="00686D5A">
              <w:rPr>
                <w:rFonts w:eastAsia="Times New Roman"/>
                <w:sz w:val="18"/>
                <w:szCs w:val="18"/>
                <w:lang w:val="fr-FR" w:eastAsia="en-US"/>
              </w:rPr>
              <w:t>Gestion des manifestations officielles</w:t>
            </w:r>
          </w:p>
        </w:tc>
        <w:tc>
          <w:tcPr>
            <w:tcW w:w="2753" w:type="dxa"/>
            <w:tcBorders>
              <w:top w:val="nil"/>
              <w:left w:val="nil"/>
              <w:bottom w:val="single" w:sz="4" w:space="0" w:color="auto"/>
              <w:right w:val="single" w:sz="4" w:space="0" w:color="auto"/>
            </w:tcBorders>
            <w:vAlign w:val="center"/>
          </w:tcPr>
          <w:p w:rsidR="009A7E4C" w:rsidRPr="00686D5A" w:rsidRDefault="009A7E4C" w:rsidP="001E2D32">
            <w:pPr>
              <w:keepLines/>
              <w:jc w:val="center"/>
              <w:rPr>
                <w:rFonts w:eastAsia="Times New Roman"/>
                <w:sz w:val="18"/>
                <w:szCs w:val="18"/>
                <w:lang w:val="fr-FR" w:eastAsia="en-US"/>
              </w:rPr>
            </w:pPr>
            <w:r w:rsidRPr="00686D5A">
              <w:rPr>
                <w:rFonts w:eastAsia="Times New Roman"/>
                <w:sz w:val="18"/>
                <w:szCs w:val="18"/>
                <w:lang w:val="fr-FR" w:eastAsia="en-US"/>
              </w:rPr>
              <w:t>OMPI tous</w:t>
            </w:r>
          </w:p>
        </w:tc>
        <w:tc>
          <w:tcPr>
            <w:tcW w:w="1417" w:type="dxa"/>
            <w:tcBorders>
              <w:top w:val="nil"/>
              <w:left w:val="nil"/>
              <w:bottom w:val="single" w:sz="4" w:space="0" w:color="auto"/>
              <w:right w:val="single" w:sz="4" w:space="0" w:color="auto"/>
            </w:tcBorders>
            <w:shd w:val="clear" w:color="auto" w:fill="92D050"/>
            <w:vAlign w:val="center"/>
          </w:tcPr>
          <w:p w:rsidR="009A7E4C" w:rsidRPr="00686D5A" w:rsidRDefault="009A7E4C" w:rsidP="001E2D32">
            <w:pPr>
              <w:keepLines/>
              <w:jc w:val="center"/>
              <w:rPr>
                <w:sz w:val="18"/>
                <w:szCs w:val="18"/>
                <w:lang w:val="fr-FR"/>
              </w:rPr>
            </w:pPr>
          </w:p>
        </w:tc>
      </w:tr>
      <w:tr w:rsidR="009A7E4C" w:rsidRPr="00686D5A" w:rsidTr="00891D16">
        <w:trPr>
          <w:trHeight w:val="340"/>
        </w:trPr>
        <w:tc>
          <w:tcPr>
            <w:tcW w:w="5637" w:type="dxa"/>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keepLines/>
              <w:rPr>
                <w:rFonts w:eastAsia="Times New Roman"/>
                <w:sz w:val="18"/>
                <w:szCs w:val="18"/>
                <w:lang w:val="fr-FR" w:eastAsia="en-US"/>
              </w:rPr>
            </w:pPr>
            <w:r w:rsidRPr="00686D5A">
              <w:rPr>
                <w:rFonts w:eastAsia="Times New Roman"/>
                <w:sz w:val="18"/>
                <w:szCs w:val="18"/>
                <w:lang w:val="fr-FR" w:eastAsia="en-US"/>
              </w:rPr>
              <w:t>Évaluation externe de la fonction d</w:t>
            </w:r>
            <w:r w:rsidR="00D565F4">
              <w:rPr>
                <w:rFonts w:eastAsia="Times New Roman"/>
                <w:sz w:val="18"/>
                <w:szCs w:val="18"/>
                <w:lang w:val="fr-FR" w:eastAsia="en-US"/>
              </w:rPr>
              <w:t>’</w:t>
            </w:r>
            <w:r w:rsidRPr="00686D5A">
              <w:rPr>
                <w:rFonts w:eastAsia="Times New Roman"/>
                <w:sz w:val="18"/>
                <w:szCs w:val="18"/>
                <w:lang w:val="fr-FR" w:eastAsia="en-US"/>
              </w:rPr>
              <w:t>audit interne de l</w:t>
            </w:r>
            <w:r w:rsidR="00D565F4">
              <w:rPr>
                <w:rFonts w:eastAsia="Times New Roman"/>
                <w:sz w:val="18"/>
                <w:szCs w:val="18"/>
                <w:lang w:val="fr-FR" w:eastAsia="en-US"/>
              </w:rPr>
              <w:t>’</w:t>
            </w:r>
            <w:r w:rsidRPr="00686D5A">
              <w:rPr>
                <w:rFonts w:eastAsia="Times New Roman"/>
                <w:sz w:val="18"/>
                <w:szCs w:val="18"/>
                <w:lang w:val="fr-FR" w:eastAsia="en-US"/>
              </w:rPr>
              <w:t>OMPI</w:t>
            </w:r>
            <w:r w:rsidRPr="00686D5A">
              <w:rPr>
                <w:rStyle w:val="FootnoteReference"/>
                <w:rFonts w:eastAsia="Times New Roman"/>
                <w:sz w:val="18"/>
                <w:szCs w:val="18"/>
                <w:lang w:val="fr-FR" w:eastAsia="en-US"/>
              </w:rPr>
              <w:footnoteReference w:id="21"/>
            </w:r>
          </w:p>
        </w:tc>
        <w:tc>
          <w:tcPr>
            <w:tcW w:w="2753" w:type="dxa"/>
            <w:tcBorders>
              <w:top w:val="nil"/>
              <w:left w:val="nil"/>
              <w:bottom w:val="single" w:sz="4" w:space="0" w:color="auto"/>
              <w:right w:val="single" w:sz="4" w:space="0" w:color="auto"/>
            </w:tcBorders>
            <w:vAlign w:val="center"/>
          </w:tcPr>
          <w:p w:rsidR="009A7E4C" w:rsidRPr="00686D5A" w:rsidRDefault="00C86837" w:rsidP="00AB551E">
            <w:pPr>
              <w:keepLines/>
              <w:jc w:val="center"/>
              <w:rPr>
                <w:rFonts w:eastAsia="Times New Roman"/>
                <w:sz w:val="18"/>
                <w:szCs w:val="18"/>
                <w:lang w:val="fr-FR" w:eastAsia="en-US"/>
              </w:rPr>
            </w:pPr>
            <w:r>
              <w:rPr>
                <w:rFonts w:eastAsia="Times New Roman"/>
                <w:sz w:val="18"/>
                <w:szCs w:val="18"/>
                <w:lang w:val="fr-FR" w:eastAsia="en-US"/>
              </w:rPr>
              <w:t>DASI</w:t>
            </w:r>
          </w:p>
        </w:tc>
        <w:tc>
          <w:tcPr>
            <w:tcW w:w="1417" w:type="dxa"/>
            <w:tcBorders>
              <w:top w:val="nil"/>
              <w:left w:val="nil"/>
              <w:bottom w:val="single" w:sz="4" w:space="0" w:color="auto"/>
              <w:right w:val="single" w:sz="4" w:space="0" w:color="auto"/>
            </w:tcBorders>
            <w:shd w:val="clear" w:color="auto" w:fill="92D050"/>
            <w:vAlign w:val="center"/>
          </w:tcPr>
          <w:p w:rsidR="009A7E4C" w:rsidRPr="00686D5A" w:rsidRDefault="009A7E4C" w:rsidP="001E2D32">
            <w:pPr>
              <w:keepLines/>
              <w:jc w:val="center"/>
              <w:rPr>
                <w:sz w:val="18"/>
                <w:szCs w:val="18"/>
                <w:lang w:val="fr-FR"/>
              </w:rPr>
            </w:pPr>
          </w:p>
        </w:tc>
      </w:tr>
      <w:tr w:rsidR="009A7E4C" w:rsidRPr="00686D5A" w:rsidTr="00891D16">
        <w:trPr>
          <w:trHeight w:val="340"/>
        </w:trPr>
        <w:tc>
          <w:tcPr>
            <w:tcW w:w="5637" w:type="dxa"/>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keepLines/>
              <w:rPr>
                <w:rFonts w:eastAsia="Times New Roman"/>
                <w:sz w:val="18"/>
                <w:szCs w:val="18"/>
                <w:lang w:val="fr-FR" w:eastAsia="en-US"/>
              </w:rPr>
            </w:pPr>
            <w:r w:rsidRPr="00686D5A">
              <w:rPr>
                <w:rFonts w:eastAsia="Times New Roman"/>
                <w:sz w:val="18"/>
                <w:szCs w:val="18"/>
                <w:lang w:val="fr-FR" w:eastAsia="en-US"/>
              </w:rPr>
              <w:t>Examen de la gestion de la continuité des opérations</w:t>
            </w:r>
          </w:p>
        </w:tc>
        <w:tc>
          <w:tcPr>
            <w:tcW w:w="2753" w:type="dxa"/>
            <w:tcBorders>
              <w:top w:val="nil"/>
              <w:left w:val="nil"/>
              <w:bottom w:val="single" w:sz="4" w:space="0" w:color="auto"/>
              <w:right w:val="single" w:sz="4" w:space="0" w:color="auto"/>
            </w:tcBorders>
            <w:vAlign w:val="center"/>
          </w:tcPr>
          <w:p w:rsidR="009A7E4C" w:rsidRPr="00686D5A" w:rsidRDefault="009A7E4C" w:rsidP="001E2D32">
            <w:pPr>
              <w:keepLines/>
              <w:jc w:val="center"/>
              <w:rPr>
                <w:rFonts w:eastAsia="Times New Roman"/>
                <w:sz w:val="18"/>
                <w:szCs w:val="18"/>
                <w:lang w:val="fr-FR" w:eastAsia="en-US"/>
              </w:rPr>
            </w:pPr>
            <w:r w:rsidRPr="00686D5A">
              <w:rPr>
                <w:rFonts w:eastAsia="Times New Roman"/>
                <w:sz w:val="18"/>
                <w:szCs w:val="18"/>
                <w:lang w:val="fr-FR" w:eastAsia="en-US"/>
              </w:rPr>
              <w:t>Intersectoriel</w:t>
            </w:r>
          </w:p>
        </w:tc>
        <w:tc>
          <w:tcPr>
            <w:tcW w:w="1417" w:type="dxa"/>
            <w:tcBorders>
              <w:top w:val="nil"/>
              <w:left w:val="nil"/>
              <w:bottom w:val="single" w:sz="4" w:space="0" w:color="auto"/>
              <w:right w:val="single" w:sz="4" w:space="0" w:color="auto"/>
            </w:tcBorders>
            <w:vAlign w:val="center"/>
          </w:tcPr>
          <w:p w:rsidR="009A7E4C" w:rsidRPr="00686D5A" w:rsidRDefault="009A7E4C" w:rsidP="001E2D32">
            <w:pPr>
              <w:keepLines/>
              <w:jc w:val="center"/>
              <w:rPr>
                <w:sz w:val="18"/>
                <w:szCs w:val="18"/>
                <w:lang w:val="fr-FR"/>
              </w:rPr>
            </w:pPr>
          </w:p>
        </w:tc>
      </w:tr>
      <w:tr w:rsidR="009A7E4C" w:rsidRPr="00686D5A" w:rsidTr="00891D16">
        <w:trPr>
          <w:trHeight w:val="340"/>
        </w:trPr>
        <w:tc>
          <w:tcPr>
            <w:tcW w:w="5637" w:type="dxa"/>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keepLines/>
              <w:rPr>
                <w:rFonts w:eastAsia="Times New Roman"/>
                <w:sz w:val="18"/>
                <w:szCs w:val="18"/>
                <w:lang w:val="fr-FR" w:eastAsia="en-US"/>
              </w:rPr>
            </w:pPr>
            <w:r w:rsidRPr="00686D5A">
              <w:rPr>
                <w:rFonts w:eastAsia="Times New Roman"/>
                <w:sz w:val="18"/>
                <w:szCs w:val="18"/>
                <w:lang w:val="fr-FR" w:eastAsia="en-US"/>
              </w:rPr>
              <w:t>Gestion des biens</w:t>
            </w:r>
          </w:p>
        </w:tc>
        <w:tc>
          <w:tcPr>
            <w:tcW w:w="2753" w:type="dxa"/>
            <w:tcBorders>
              <w:top w:val="nil"/>
              <w:left w:val="nil"/>
              <w:bottom w:val="single" w:sz="4" w:space="0" w:color="auto"/>
              <w:right w:val="single" w:sz="4" w:space="0" w:color="auto"/>
            </w:tcBorders>
            <w:vAlign w:val="center"/>
          </w:tcPr>
          <w:p w:rsidR="009A7E4C" w:rsidRPr="00686D5A" w:rsidRDefault="009A7E4C" w:rsidP="001E2D32">
            <w:pPr>
              <w:keepLines/>
              <w:jc w:val="center"/>
              <w:rPr>
                <w:rFonts w:eastAsia="Times New Roman"/>
                <w:sz w:val="18"/>
                <w:szCs w:val="18"/>
                <w:lang w:val="fr-FR" w:eastAsia="en-US"/>
              </w:rPr>
            </w:pPr>
            <w:r w:rsidRPr="00686D5A">
              <w:rPr>
                <w:rFonts w:eastAsia="Times New Roman"/>
                <w:sz w:val="18"/>
                <w:szCs w:val="18"/>
                <w:lang w:val="fr-FR" w:eastAsia="en-US"/>
              </w:rPr>
              <w:t>OMPI tous</w:t>
            </w:r>
          </w:p>
        </w:tc>
        <w:tc>
          <w:tcPr>
            <w:tcW w:w="1417" w:type="dxa"/>
            <w:tcBorders>
              <w:top w:val="nil"/>
              <w:left w:val="nil"/>
              <w:bottom w:val="single" w:sz="4" w:space="0" w:color="auto"/>
              <w:right w:val="single" w:sz="4" w:space="0" w:color="auto"/>
            </w:tcBorders>
            <w:vAlign w:val="center"/>
          </w:tcPr>
          <w:p w:rsidR="009A7E4C" w:rsidRPr="00686D5A" w:rsidRDefault="009A7E4C" w:rsidP="001E2D32">
            <w:pPr>
              <w:keepLines/>
              <w:jc w:val="center"/>
              <w:rPr>
                <w:sz w:val="18"/>
                <w:szCs w:val="18"/>
                <w:lang w:val="fr-FR"/>
              </w:rPr>
            </w:pPr>
          </w:p>
        </w:tc>
      </w:tr>
      <w:tr w:rsidR="009A7E4C" w:rsidRPr="00686D5A" w:rsidTr="00891D16">
        <w:trPr>
          <w:trHeight w:val="340"/>
        </w:trPr>
        <w:tc>
          <w:tcPr>
            <w:tcW w:w="5637" w:type="dxa"/>
            <w:tcBorders>
              <w:top w:val="single" w:sz="4" w:space="0" w:color="auto"/>
              <w:left w:val="single" w:sz="4" w:space="0" w:color="auto"/>
              <w:bottom w:val="single" w:sz="4" w:space="0" w:color="auto"/>
              <w:right w:val="single" w:sz="4" w:space="0" w:color="auto"/>
            </w:tcBorders>
            <w:vAlign w:val="center"/>
          </w:tcPr>
          <w:p w:rsidR="009A7E4C" w:rsidRPr="00686D5A" w:rsidRDefault="009A7E4C" w:rsidP="00AB551E">
            <w:pPr>
              <w:keepLines/>
              <w:rPr>
                <w:rFonts w:eastAsia="Times New Roman"/>
                <w:sz w:val="18"/>
                <w:szCs w:val="18"/>
                <w:lang w:val="fr-FR" w:eastAsia="en-US"/>
              </w:rPr>
            </w:pPr>
            <w:r w:rsidRPr="00686D5A">
              <w:rPr>
                <w:rFonts w:eastAsia="Times New Roman"/>
                <w:sz w:val="18"/>
                <w:szCs w:val="18"/>
                <w:lang w:val="fr-FR" w:eastAsia="en-US"/>
              </w:rPr>
              <w:t>Académie de l</w:t>
            </w:r>
            <w:r w:rsidR="00D565F4">
              <w:rPr>
                <w:rFonts w:eastAsia="Times New Roman"/>
                <w:sz w:val="18"/>
                <w:szCs w:val="18"/>
                <w:lang w:val="fr-FR" w:eastAsia="en-US"/>
              </w:rPr>
              <w:t>’</w:t>
            </w:r>
            <w:r w:rsidRPr="00686D5A">
              <w:rPr>
                <w:rFonts w:eastAsia="Times New Roman"/>
                <w:sz w:val="18"/>
                <w:szCs w:val="18"/>
                <w:lang w:val="fr-FR" w:eastAsia="en-US"/>
              </w:rPr>
              <w:t>OMPI</w:t>
            </w:r>
          </w:p>
        </w:tc>
        <w:tc>
          <w:tcPr>
            <w:tcW w:w="2753" w:type="dxa"/>
            <w:tcBorders>
              <w:top w:val="nil"/>
              <w:left w:val="nil"/>
              <w:bottom w:val="single" w:sz="4" w:space="0" w:color="auto"/>
              <w:right w:val="single" w:sz="4" w:space="0" w:color="auto"/>
            </w:tcBorders>
            <w:vAlign w:val="center"/>
          </w:tcPr>
          <w:p w:rsidR="009A7E4C" w:rsidRPr="00686D5A" w:rsidRDefault="009A7E4C" w:rsidP="001E2D32">
            <w:pPr>
              <w:keepLines/>
              <w:jc w:val="center"/>
              <w:rPr>
                <w:rFonts w:eastAsia="Times New Roman"/>
                <w:sz w:val="18"/>
                <w:szCs w:val="18"/>
                <w:lang w:val="fr-FR" w:eastAsia="en-US"/>
              </w:rPr>
            </w:pPr>
            <w:r w:rsidRPr="00686D5A">
              <w:rPr>
                <w:rFonts w:eastAsia="Times New Roman"/>
                <w:sz w:val="18"/>
                <w:szCs w:val="18"/>
                <w:lang w:val="fr-FR" w:eastAsia="en-US"/>
              </w:rPr>
              <w:t>Développement</w:t>
            </w:r>
          </w:p>
        </w:tc>
        <w:tc>
          <w:tcPr>
            <w:tcW w:w="1417" w:type="dxa"/>
            <w:tcBorders>
              <w:top w:val="nil"/>
              <w:left w:val="nil"/>
              <w:bottom w:val="single" w:sz="4" w:space="0" w:color="auto"/>
              <w:right w:val="single" w:sz="4" w:space="0" w:color="auto"/>
            </w:tcBorders>
            <w:vAlign w:val="center"/>
          </w:tcPr>
          <w:p w:rsidR="009A7E4C" w:rsidRPr="00686D5A" w:rsidRDefault="009A7E4C" w:rsidP="001E2D32">
            <w:pPr>
              <w:keepLines/>
              <w:jc w:val="center"/>
              <w:rPr>
                <w:sz w:val="18"/>
                <w:szCs w:val="18"/>
                <w:lang w:val="fr-FR"/>
              </w:rPr>
            </w:pPr>
          </w:p>
        </w:tc>
      </w:tr>
      <w:tr w:rsidR="009A7E4C" w:rsidRPr="00686D5A" w:rsidTr="00891D16">
        <w:trPr>
          <w:trHeight w:val="340"/>
        </w:trPr>
        <w:tc>
          <w:tcPr>
            <w:tcW w:w="5637" w:type="dxa"/>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keepLines/>
              <w:rPr>
                <w:rFonts w:eastAsia="Times New Roman"/>
                <w:sz w:val="18"/>
                <w:szCs w:val="18"/>
                <w:lang w:val="fr-FR" w:eastAsia="en-US"/>
              </w:rPr>
            </w:pPr>
            <w:r w:rsidRPr="00686D5A">
              <w:rPr>
                <w:rFonts w:eastAsia="Times New Roman"/>
                <w:sz w:val="18"/>
                <w:szCs w:val="18"/>
                <w:lang w:val="fr-FR" w:eastAsia="en-US"/>
              </w:rPr>
              <w:t>Audit de la sécurité informatique</w:t>
            </w:r>
          </w:p>
        </w:tc>
        <w:tc>
          <w:tcPr>
            <w:tcW w:w="2753" w:type="dxa"/>
            <w:tcBorders>
              <w:top w:val="nil"/>
              <w:left w:val="nil"/>
              <w:bottom w:val="single" w:sz="4" w:space="0" w:color="auto"/>
              <w:right w:val="single" w:sz="4" w:space="0" w:color="auto"/>
            </w:tcBorders>
            <w:vAlign w:val="center"/>
          </w:tcPr>
          <w:p w:rsidR="009A7E4C" w:rsidRPr="00686D5A" w:rsidRDefault="009A7E4C" w:rsidP="00AB551E">
            <w:pPr>
              <w:keepLines/>
              <w:jc w:val="center"/>
              <w:rPr>
                <w:rFonts w:eastAsia="Times New Roman"/>
                <w:sz w:val="18"/>
                <w:szCs w:val="18"/>
                <w:lang w:val="fr-FR" w:eastAsia="en-US"/>
              </w:rPr>
            </w:pPr>
            <w:r w:rsidRPr="00686D5A">
              <w:rPr>
                <w:rFonts w:eastAsia="Times New Roman"/>
                <w:sz w:val="18"/>
                <w:szCs w:val="18"/>
                <w:lang w:val="fr-FR" w:eastAsia="en-US"/>
              </w:rPr>
              <w:t>Administration et gestion</w:t>
            </w:r>
          </w:p>
        </w:tc>
        <w:tc>
          <w:tcPr>
            <w:tcW w:w="1417" w:type="dxa"/>
            <w:tcBorders>
              <w:top w:val="nil"/>
              <w:left w:val="nil"/>
              <w:bottom w:val="single" w:sz="4" w:space="0" w:color="auto"/>
              <w:right w:val="single" w:sz="4" w:space="0" w:color="auto"/>
            </w:tcBorders>
            <w:shd w:val="clear" w:color="auto" w:fill="92D050"/>
            <w:vAlign w:val="center"/>
          </w:tcPr>
          <w:p w:rsidR="009A7E4C" w:rsidRPr="00686D5A" w:rsidRDefault="009A7E4C" w:rsidP="001E2D32">
            <w:pPr>
              <w:keepLines/>
              <w:jc w:val="center"/>
              <w:rPr>
                <w:sz w:val="18"/>
                <w:szCs w:val="18"/>
                <w:lang w:val="fr-FR"/>
              </w:rPr>
            </w:pPr>
          </w:p>
        </w:tc>
      </w:tr>
      <w:tr w:rsidR="009A7E4C" w:rsidRPr="00686D5A" w:rsidTr="00891D16">
        <w:trPr>
          <w:trHeight w:val="340"/>
        </w:trPr>
        <w:tc>
          <w:tcPr>
            <w:tcW w:w="5637" w:type="dxa"/>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keepLines/>
              <w:rPr>
                <w:rFonts w:eastAsia="Times New Roman"/>
                <w:sz w:val="18"/>
                <w:szCs w:val="18"/>
                <w:lang w:val="fr-FR" w:eastAsia="en-US"/>
              </w:rPr>
            </w:pPr>
            <w:r w:rsidRPr="00686D5A">
              <w:rPr>
                <w:rFonts w:eastAsia="Times New Roman"/>
                <w:sz w:val="18"/>
                <w:szCs w:val="18"/>
                <w:lang w:val="fr-FR" w:eastAsia="en-US"/>
              </w:rPr>
              <w:t>Examen de la gestion de la cessation de service des fonctionnaires</w:t>
            </w:r>
          </w:p>
        </w:tc>
        <w:tc>
          <w:tcPr>
            <w:tcW w:w="2753" w:type="dxa"/>
            <w:tcBorders>
              <w:top w:val="nil"/>
              <w:left w:val="nil"/>
              <w:bottom w:val="single" w:sz="4" w:space="0" w:color="auto"/>
              <w:right w:val="single" w:sz="4" w:space="0" w:color="auto"/>
            </w:tcBorders>
            <w:vAlign w:val="center"/>
          </w:tcPr>
          <w:p w:rsidR="009A7E4C" w:rsidRPr="00686D5A" w:rsidRDefault="009A7E4C" w:rsidP="00AB551E">
            <w:pPr>
              <w:keepLines/>
              <w:jc w:val="center"/>
              <w:rPr>
                <w:rFonts w:eastAsia="Times New Roman"/>
                <w:sz w:val="18"/>
                <w:szCs w:val="18"/>
                <w:lang w:val="fr-FR" w:eastAsia="en-US"/>
              </w:rPr>
            </w:pPr>
            <w:r w:rsidRPr="00686D5A">
              <w:rPr>
                <w:rFonts w:eastAsia="Times New Roman"/>
                <w:sz w:val="18"/>
                <w:szCs w:val="18"/>
                <w:lang w:val="fr-FR" w:eastAsia="en-US"/>
              </w:rPr>
              <w:t>Ressources humaines</w:t>
            </w:r>
          </w:p>
        </w:tc>
        <w:tc>
          <w:tcPr>
            <w:tcW w:w="1417" w:type="dxa"/>
            <w:tcBorders>
              <w:top w:val="nil"/>
              <w:left w:val="nil"/>
              <w:bottom w:val="single" w:sz="4" w:space="0" w:color="auto"/>
              <w:right w:val="single" w:sz="4" w:space="0" w:color="auto"/>
            </w:tcBorders>
            <w:shd w:val="clear" w:color="auto" w:fill="92D050"/>
            <w:vAlign w:val="center"/>
          </w:tcPr>
          <w:p w:rsidR="009A7E4C" w:rsidRPr="00686D5A" w:rsidRDefault="009A7E4C" w:rsidP="001E2D32">
            <w:pPr>
              <w:keepLines/>
              <w:jc w:val="center"/>
              <w:rPr>
                <w:sz w:val="18"/>
                <w:szCs w:val="18"/>
                <w:lang w:val="fr-FR"/>
              </w:rPr>
            </w:pPr>
          </w:p>
        </w:tc>
      </w:tr>
      <w:tr w:rsidR="009A7E4C" w:rsidRPr="00686D5A" w:rsidTr="00891D16">
        <w:trPr>
          <w:trHeight w:val="340"/>
        </w:trPr>
        <w:tc>
          <w:tcPr>
            <w:tcW w:w="5637" w:type="dxa"/>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keepLines/>
              <w:rPr>
                <w:rFonts w:eastAsia="Times New Roman"/>
                <w:sz w:val="18"/>
                <w:szCs w:val="18"/>
                <w:lang w:val="fr-FR" w:eastAsia="en-US"/>
              </w:rPr>
            </w:pPr>
            <w:r w:rsidRPr="00686D5A">
              <w:rPr>
                <w:rFonts w:eastAsia="Times New Roman"/>
                <w:sz w:val="18"/>
                <w:szCs w:val="18"/>
                <w:lang w:val="fr-FR" w:eastAsia="en-US"/>
              </w:rPr>
              <w:t>Examen d</w:t>
            </w:r>
            <w:r w:rsidR="00D565F4">
              <w:rPr>
                <w:rFonts w:eastAsia="Times New Roman"/>
                <w:sz w:val="18"/>
                <w:szCs w:val="18"/>
                <w:lang w:val="fr-FR" w:eastAsia="en-US"/>
              </w:rPr>
              <w:t>’</w:t>
            </w:r>
            <w:r w:rsidRPr="00686D5A">
              <w:rPr>
                <w:rFonts w:eastAsia="Times New Roman"/>
                <w:sz w:val="18"/>
                <w:szCs w:val="18"/>
                <w:lang w:val="fr-FR" w:eastAsia="en-US"/>
              </w:rPr>
              <w:t>une initiative</w:t>
            </w:r>
            <w:r w:rsidR="00E11857" w:rsidRPr="00686D5A">
              <w:rPr>
                <w:rFonts w:eastAsia="Times New Roman"/>
                <w:sz w:val="18"/>
                <w:szCs w:val="18"/>
                <w:lang w:val="fr-FR" w:eastAsia="en-US"/>
              </w:rPr>
              <w:t xml:space="preserve"> du PRS</w:t>
            </w:r>
            <w:r w:rsidRPr="00686D5A">
              <w:rPr>
                <w:rFonts w:eastAsia="Times New Roman"/>
                <w:sz w:val="18"/>
                <w:szCs w:val="18"/>
                <w:lang w:val="fr-FR" w:eastAsia="en-US"/>
              </w:rPr>
              <w:t> : Renforcer la gestion axée sur les résultats</w:t>
            </w:r>
          </w:p>
        </w:tc>
        <w:tc>
          <w:tcPr>
            <w:tcW w:w="2753" w:type="dxa"/>
            <w:tcBorders>
              <w:top w:val="nil"/>
              <w:left w:val="nil"/>
              <w:bottom w:val="single" w:sz="4" w:space="0" w:color="auto"/>
              <w:right w:val="single" w:sz="4" w:space="0" w:color="auto"/>
            </w:tcBorders>
            <w:vAlign w:val="center"/>
          </w:tcPr>
          <w:p w:rsidR="009A7E4C" w:rsidRPr="00686D5A" w:rsidRDefault="009A7E4C" w:rsidP="001E2D32">
            <w:pPr>
              <w:keepLines/>
              <w:jc w:val="center"/>
              <w:rPr>
                <w:rFonts w:eastAsia="Times New Roman"/>
                <w:sz w:val="18"/>
                <w:szCs w:val="18"/>
                <w:lang w:val="fr-FR" w:eastAsia="en-US"/>
              </w:rPr>
            </w:pPr>
            <w:r w:rsidRPr="00686D5A">
              <w:rPr>
                <w:rFonts w:eastAsia="Times New Roman"/>
                <w:sz w:val="18"/>
                <w:szCs w:val="18"/>
                <w:lang w:val="fr-FR" w:eastAsia="en-US"/>
              </w:rPr>
              <w:t>Intersectoriel</w:t>
            </w:r>
          </w:p>
        </w:tc>
        <w:tc>
          <w:tcPr>
            <w:tcW w:w="1417" w:type="dxa"/>
            <w:tcBorders>
              <w:top w:val="nil"/>
              <w:left w:val="nil"/>
              <w:bottom w:val="single" w:sz="4" w:space="0" w:color="auto"/>
              <w:right w:val="single" w:sz="4" w:space="0" w:color="auto"/>
            </w:tcBorders>
            <w:shd w:val="clear" w:color="auto" w:fill="92D050"/>
            <w:vAlign w:val="center"/>
          </w:tcPr>
          <w:p w:rsidR="009A7E4C" w:rsidRPr="00686D5A" w:rsidRDefault="009A7E4C" w:rsidP="001E2D32">
            <w:pPr>
              <w:keepLines/>
              <w:jc w:val="center"/>
              <w:rPr>
                <w:sz w:val="18"/>
                <w:szCs w:val="18"/>
                <w:lang w:val="fr-FR"/>
              </w:rPr>
            </w:pPr>
          </w:p>
        </w:tc>
      </w:tr>
      <w:tr w:rsidR="009A7E4C" w:rsidRPr="00686D5A" w:rsidTr="00891D16">
        <w:trPr>
          <w:trHeight w:val="340"/>
        </w:trPr>
        <w:tc>
          <w:tcPr>
            <w:tcW w:w="5637" w:type="dxa"/>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keepLines/>
              <w:rPr>
                <w:rFonts w:eastAsia="Times New Roman"/>
                <w:sz w:val="18"/>
                <w:szCs w:val="18"/>
                <w:lang w:val="fr-FR" w:eastAsia="en-US"/>
              </w:rPr>
            </w:pPr>
            <w:r w:rsidRPr="00686D5A">
              <w:rPr>
                <w:rFonts w:eastAsia="Times New Roman"/>
                <w:sz w:val="18"/>
                <w:szCs w:val="18"/>
                <w:lang w:val="fr-FR" w:eastAsia="en-US"/>
              </w:rPr>
              <w:t>Déclarations et activités incompatibles avec le statut de fonctionnaire international (quatre affaires)</w:t>
            </w:r>
          </w:p>
        </w:tc>
        <w:tc>
          <w:tcPr>
            <w:tcW w:w="2753" w:type="dxa"/>
            <w:tcBorders>
              <w:top w:val="nil"/>
              <w:left w:val="nil"/>
              <w:bottom w:val="single" w:sz="4" w:space="0" w:color="auto"/>
              <w:right w:val="single" w:sz="4" w:space="0" w:color="auto"/>
            </w:tcBorders>
            <w:vAlign w:val="center"/>
          </w:tcPr>
          <w:p w:rsidR="009A7E4C" w:rsidRPr="00686D5A" w:rsidRDefault="009A7E4C" w:rsidP="001E2D32">
            <w:pPr>
              <w:keepLines/>
              <w:jc w:val="center"/>
              <w:rPr>
                <w:sz w:val="18"/>
                <w:szCs w:val="18"/>
                <w:lang w:val="fr-FR"/>
              </w:rPr>
            </w:pPr>
            <w:r w:rsidRPr="00686D5A">
              <w:rPr>
                <w:rFonts w:eastAsia="Times New Roman"/>
                <w:sz w:val="18"/>
                <w:szCs w:val="18"/>
                <w:lang w:val="fr-FR" w:eastAsia="en-US"/>
              </w:rPr>
              <w:t>Non pertinent</w:t>
            </w:r>
          </w:p>
        </w:tc>
        <w:tc>
          <w:tcPr>
            <w:tcW w:w="1417" w:type="dxa"/>
            <w:tcBorders>
              <w:top w:val="nil"/>
              <w:left w:val="nil"/>
              <w:bottom w:val="single" w:sz="4" w:space="0" w:color="auto"/>
              <w:right w:val="single" w:sz="4" w:space="0" w:color="auto"/>
            </w:tcBorders>
            <w:shd w:val="clear" w:color="auto" w:fill="FFFF00"/>
            <w:vAlign w:val="center"/>
          </w:tcPr>
          <w:p w:rsidR="009A7E4C" w:rsidRPr="00686D5A" w:rsidRDefault="009A7E4C" w:rsidP="001E2D32">
            <w:pPr>
              <w:keepLines/>
              <w:jc w:val="center"/>
              <w:rPr>
                <w:sz w:val="18"/>
                <w:szCs w:val="18"/>
                <w:lang w:val="fr-FR"/>
              </w:rPr>
            </w:pPr>
          </w:p>
        </w:tc>
      </w:tr>
      <w:tr w:rsidR="009A7E4C" w:rsidRPr="00686D5A" w:rsidTr="00891D16">
        <w:trPr>
          <w:trHeight w:val="340"/>
        </w:trPr>
        <w:tc>
          <w:tcPr>
            <w:tcW w:w="5637" w:type="dxa"/>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keepLines/>
              <w:rPr>
                <w:rFonts w:eastAsia="Times New Roman"/>
                <w:sz w:val="18"/>
                <w:szCs w:val="18"/>
                <w:lang w:val="fr-FR" w:eastAsia="en-US"/>
              </w:rPr>
            </w:pPr>
            <w:r w:rsidRPr="00686D5A">
              <w:rPr>
                <w:rFonts w:eastAsia="Times New Roman"/>
                <w:sz w:val="18"/>
                <w:szCs w:val="18"/>
                <w:lang w:val="fr-FR" w:eastAsia="en-US"/>
              </w:rPr>
              <w:t>Communication non autorisée d</w:t>
            </w:r>
            <w:r w:rsidR="00D565F4">
              <w:rPr>
                <w:rFonts w:eastAsia="Times New Roman"/>
                <w:sz w:val="18"/>
                <w:szCs w:val="18"/>
                <w:lang w:val="fr-FR" w:eastAsia="en-US"/>
              </w:rPr>
              <w:t>’</w:t>
            </w:r>
            <w:r w:rsidRPr="00686D5A">
              <w:rPr>
                <w:rFonts w:eastAsia="Times New Roman"/>
                <w:sz w:val="18"/>
                <w:szCs w:val="18"/>
                <w:lang w:val="fr-FR" w:eastAsia="en-US"/>
              </w:rPr>
              <w:t>informations (deux affaires)</w:t>
            </w:r>
          </w:p>
        </w:tc>
        <w:tc>
          <w:tcPr>
            <w:tcW w:w="2753" w:type="dxa"/>
            <w:tcBorders>
              <w:top w:val="nil"/>
              <w:left w:val="nil"/>
              <w:bottom w:val="single" w:sz="4" w:space="0" w:color="auto"/>
              <w:right w:val="single" w:sz="4" w:space="0" w:color="auto"/>
            </w:tcBorders>
            <w:vAlign w:val="center"/>
          </w:tcPr>
          <w:p w:rsidR="009A7E4C" w:rsidRPr="00686D5A" w:rsidRDefault="009A7E4C" w:rsidP="001E2D32">
            <w:pPr>
              <w:keepLines/>
              <w:jc w:val="center"/>
              <w:rPr>
                <w:sz w:val="18"/>
                <w:szCs w:val="18"/>
                <w:lang w:val="fr-FR"/>
              </w:rPr>
            </w:pPr>
            <w:r w:rsidRPr="00686D5A">
              <w:rPr>
                <w:rFonts w:eastAsia="Times New Roman"/>
                <w:sz w:val="18"/>
                <w:szCs w:val="18"/>
                <w:lang w:val="fr-FR" w:eastAsia="en-US"/>
              </w:rPr>
              <w:t>Non pertinent</w:t>
            </w:r>
          </w:p>
        </w:tc>
        <w:tc>
          <w:tcPr>
            <w:tcW w:w="1417" w:type="dxa"/>
            <w:tcBorders>
              <w:top w:val="nil"/>
              <w:left w:val="nil"/>
              <w:bottom w:val="single" w:sz="4" w:space="0" w:color="auto"/>
              <w:right w:val="single" w:sz="4" w:space="0" w:color="auto"/>
            </w:tcBorders>
            <w:shd w:val="clear" w:color="auto" w:fill="FFFF00"/>
            <w:vAlign w:val="center"/>
          </w:tcPr>
          <w:p w:rsidR="009A7E4C" w:rsidRPr="00686D5A" w:rsidRDefault="009A7E4C" w:rsidP="001E2D32">
            <w:pPr>
              <w:keepLines/>
              <w:jc w:val="center"/>
              <w:rPr>
                <w:sz w:val="18"/>
                <w:szCs w:val="18"/>
                <w:lang w:val="fr-FR"/>
              </w:rPr>
            </w:pPr>
          </w:p>
        </w:tc>
      </w:tr>
      <w:tr w:rsidR="009A7E4C" w:rsidRPr="00686D5A" w:rsidTr="00891D16">
        <w:trPr>
          <w:trHeight w:val="340"/>
        </w:trPr>
        <w:tc>
          <w:tcPr>
            <w:tcW w:w="5637" w:type="dxa"/>
            <w:tcBorders>
              <w:top w:val="single" w:sz="4" w:space="0" w:color="auto"/>
              <w:left w:val="single" w:sz="4" w:space="0" w:color="auto"/>
              <w:bottom w:val="single" w:sz="4" w:space="0" w:color="auto"/>
              <w:right w:val="single" w:sz="4" w:space="0" w:color="auto"/>
            </w:tcBorders>
          </w:tcPr>
          <w:p w:rsidR="009A7E4C" w:rsidRPr="00686D5A" w:rsidRDefault="009A7E4C" w:rsidP="001E2D32">
            <w:pPr>
              <w:keepLines/>
              <w:rPr>
                <w:sz w:val="18"/>
                <w:szCs w:val="18"/>
                <w:lang w:val="fr-FR"/>
              </w:rPr>
            </w:pPr>
            <w:r w:rsidRPr="00686D5A">
              <w:rPr>
                <w:rFonts w:eastAsia="Times New Roman"/>
                <w:sz w:val="18"/>
                <w:szCs w:val="18"/>
                <w:lang w:val="fr-FR" w:eastAsia="en-US"/>
              </w:rPr>
              <w:t>Pratiques irrégulières dans le domaine des ressources humaines (une affaire)</w:t>
            </w:r>
          </w:p>
        </w:tc>
        <w:tc>
          <w:tcPr>
            <w:tcW w:w="2753" w:type="dxa"/>
            <w:tcBorders>
              <w:top w:val="nil"/>
              <w:left w:val="nil"/>
              <w:bottom w:val="single" w:sz="4" w:space="0" w:color="auto"/>
              <w:right w:val="single" w:sz="4" w:space="0" w:color="auto"/>
            </w:tcBorders>
            <w:vAlign w:val="center"/>
          </w:tcPr>
          <w:p w:rsidR="009A7E4C" w:rsidRPr="00686D5A" w:rsidRDefault="009A7E4C" w:rsidP="001E2D32">
            <w:pPr>
              <w:keepLines/>
              <w:jc w:val="center"/>
              <w:rPr>
                <w:sz w:val="18"/>
                <w:szCs w:val="18"/>
                <w:lang w:val="fr-FR"/>
              </w:rPr>
            </w:pPr>
            <w:r w:rsidRPr="00686D5A">
              <w:rPr>
                <w:rFonts w:eastAsia="Times New Roman"/>
                <w:sz w:val="18"/>
                <w:szCs w:val="18"/>
                <w:lang w:val="fr-FR" w:eastAsia="en-US"/>
              </w:rPr>
              <w:t>Non pertinent</w:t>
            </w:r>
          </w:p>
        </w:tc>
        <w:tc>
          <w:tcPr>
            <w:tcW w:w="1417" w:type="dxa"/>
            <w:tcBorders>
              <w:top w:val="nil"/>
              <w:left w:val="nil"/>
              <w:bottom w:val="single" w:sz="4" w:space="0" w:color="auto"/>
              <w:right w:val="single" w:sz="4" w:space="0" w:color="auto"/>
            </w:tcBorders>
            <w:shd w:val="clear" w:color="auto" w:fill="FFFF00"/>
            <w:vAlign w:val="center"/>
          </w:tcPr>
          <w:p w:rsidR="009A7E4C" w:rsidRPr="00686D5A" w:rsidRDefault="009A7E4C" w:rsidP="001E2D32">
            <w:pPr>
              <w:keepLines/>
              <w:jc w:val="center"/>
              <w:rPr>
                <w:sz w:val="18"/>
                <w:szCs w:val="18"/>
                <w:lang w:val="fr-FR"/>
              </w:rPr>
            </w:pPr>
          </w:p>
        </w:tc>
      </w:tr>
      <w:tr w:rsidR="009A7E4C" w:rsidRPr="00686D5A" w:rsidTr="00891D16">
        <w:trPr>
          <w:trHeight w:val="340"/>
        </w:trPr>
        <w:tc>
          <w:tcPr>
            <w:tcW w:w="5637" w:type="dxa"/>
            <w:tcBorders>
              <w:top w:val="single" w:sz="4" w:space="0" w:color="auto"/>
              <w:left w:val="single" w:sz="4" w:space="0" w:color="auto"/>
              <w:bottom w:val="single" w:sz="4" w:space="0" w:color="auto"/>
              <w:right w:val="single" w:sz="4" w:space="0" w:color="auto"/>
            </w:tcBorders>
          </w:tcPr>
          <w:p w:rsidR="009A7E4C" w:rsidRPr="00686D5A" w:rsidRDefault="009A7E4C" w:rsidP="001E2D32">
            <w:pPr>
              <w:keepLines/>
              <w:rPr>
                <w:sz w:val="18"/>
                <w:szCs w:val="18"/>
                <w:lang w:val="fr-FR"/>
              </w:rPr>
            </w:pPr>
            <w:r w:rsidRPr="00686D5A">
              <w:rPr>
                <w:rFonts w:eastAsia="Times New Roman"/>
                <w:sz w:val="18"/>
                <w:szCs w:val="18"/>
                <w:lang w:val="fr-FR" w:eastAsia="en-US"/>
              </w:rPr>
              <w:t>Harcèlement/discrimination/abus de pouvoir (quatre affaires)</w:t>
            </w:r>
          </w:p>
        </w:tc>
        <w:tc>
          <w:tcPr>
            <w:tcW w:w="2753" w:type="dxa"/>
            <w:tcBorders>
              <w:top w:val="nil"/>
              <w:left w:val="nil"/>
              <w:bottom w:val="single" w:sz="4" w:space="0" w:color="auto"/>
              <w:right w:val="single" w:sz="4" w:space="0" w:color="auto"/>
            </w:tcBorders>
            <w:vAlign w:val="center"/>
          </w:tcPr>
          <w:p w:rsidR="009A7E4C" w:rsidRPr="00686D5A" w:rsidRDefault="009A7E4C" w:rsidP="001E2D32">
            <w:pPr>
              <w:keepLines/>
              <w:jc w:val="center"/>
              <w:rPr>
                <w:sz w:val="18"/>
                <w:szCs w:val="18"/>
                <w:lang w:val="fr-FR"/>
              </w:rPr>
            </w:pPr>
            <w:r w:rsidRPr="00686D5A">
              <w:rPr>
                <w:rFonts w:eastAsia="Times New Roman"/>
                <w:sz w:val="18"/>
                <w:szCs w:val="18"/>
                <w:lang w:val="fr-FR" w:eastAsia="en-US"/>
              </w:rPr>
              <w:t>Non pertinent</w:t>
            </w:r>
          </w:p>
        </w:tc>
        <w:tc>
          <w:tcPr>
            <w:tcW w:w="1417" w:type="dxa"/>
            <w:tcBorders>
              <w:top w:val="nil"/>
              <w:left w:val="nil"/>
              <w:bottom w:val="single" w:sz="4" w:space="0" w:color="auto"/>
              <w:right w:val="single" w:sz="4" w:space="0" w:color="auto"/>
            </w:tcBorders>
            <w:shd w:val="clear" w:color="auto" w:fill="FFFF00"/>
            <w:vAlign w:val="center"/>
          </w:tcPr>
          <w:p w:rsidR="009A7E4C" w:rsidRPr="00686D5A" w:rsidRDefault="009A7E4C" w:rsidP="001E2D32">
            <w:pPr>
              <w:keepLines/>
              <w:jc w:val="center"/>
              <w:rPr>
                <w:sz w:val="18"/>
                <w:szCs w:val="18"/>
                <w:lang w:val="fr-FR"/>
              </w:rPr>
            </w:pPr>
          </w:p>
        </w:tc>
      </w:tr>
      <w:tr w:rsidR="009A7E4C" w:rsidRPr="00686D5A" w:rsidTr="00891D16">
        <w:trPr>
          <w:trHeight w:val="340"/>
        </w:trPr>
        <w:tc>
          <w:tcPr>
            <w:tcW w:w="5637" w:type="dxa"/>
            <w:tcBorders>
              <w:top w:val="single" w:sz="4" w:space="0" w:color="auto"/>
              <w:left w:val="single" w:sz="4" w:space="0" w:color="auto"/>
              <w:bottom w:val="single" w:sz="4" w:space="0" w:color="auto"/>
              <w:right w:val="single" w:sz="4" w:space="0" w:color="auto"/>
            </w:tcBorders>
          </w:tcPr>
          <w:p w:rsidR="009A7E4C" w:rsidRPr="00686D5A" w:rsidRDefault="009A7E4C" w:rsidP="001E2D32">
            <w:pPr>
              <w:keepLines/>
              <w:rPr>
                <w:sz w:val="18"/>
                <w:szCs w:val="18"/>
                <w:lang w:val="fr-FR"/>
              </w:rPr>
            </w:pPr>
            <w:r w:rsidRPr="00686D5A">
              <w:rPr>
                <w:rFonts w:eastAsia="Times New Roman"/>
                <w:sz w:val="18"/>
                <w:szCs w:val="18"/>
                <w:lang w:val="fr-FR" w:eastAsia="en-US"/>
              </w:rPr>
              <w:t xml:space="preserve">Utilisation abusive des ressources informatiques </w:t>
            </w:r>
            <w:r w:rsidRPr="00686D5A">
              <w:rPr>
                <w:sz w:val="18"/>
                <w:szCs w:val="18"/>
                <w:lang w:val="fr-FR"/>
              </w:rPr>
              <w:t>(une affaire)</w:t>
            </w:r>
          </w:p>
        </w:tc>
        <w:tc>
          <w:tcPr>
            <w:tcW w:w="2753" w:type="dxa"/>
            <w:tcBorders>
              <w:top w:val="nil"/>
              <w:left w:val="nil"/>
              <w:bottom w:val="single" w:sz="4" w:space="0" w:color="auto"/>
              <w:right w:val="single" w:sz="4" w:space="0" w:color="auto"/>
            </w:tcBorders>
            <w:vAlign w:val="center"/>
          </w:tcPr>
          <w:p w:rsidR="009A7E4C" w:rsidRPr="00686D5A" w:rsidRDefault="009A7E4C" w:rsidP="001E2D32">
            <w:pPr>
              <w:keepLines/>
              <w:jc w:val="center"/>
              <w:rPr>
                <w:rFonts w:eastAsia="Times New Roman"/>
                <w:sz w:val="18"/>
                <w:szCs w:val="18"/>
                <w:lang w:val="fr-FR" w:eastAsia="en-US"/>
              </w:rPr>
            </w:pPr>
            <w:r w:rsidRPr="00686D5A">
              <w:rPr>
                <w:rFonts w:eastAsia="Times New Roman"/>
                <w:sz w:val="18"/>
                <w:szCs w:val="18"/>
                <w:lang w:val="fr-FR" w:eastAsia="en-US"/>
              </w:rPr>
              <w:t>Non pertinent</w:t>
            </w:r>
          </w:p>
        </w:tc>
        <w:tc>
          <w:tcPr>
            <w:tcW w:w="1417" w:type="dxa"/>
            <w:tcBorders>
              <w:top w:val="nil"/>
              <w:left w:val="nil"/>
              <w:bottom w:val="single" w:sz="4" w:space="0" w:color="auto"/>
              <w:right w:val="single" w:sz="4" w:space="0" w:color="auto"/>
            </w:tcBorders>
            <w:shd w:val="clear" w:color="auto" w:fill="FFFF00"/>
            <w:vAlign w:val="center"/>
          </w:tcPr>
          <w:p w:rsidR="009A7E4C" w:rsidRPr="00686D5A" w:rsidRDefault="009A7E4C" w:rsidP="001E2D32">
            <w:pPr>
              <w:keepLines/>
              <w:jc w:val="center"/>
              <w:rPr>
                <w:sz w:val="18"/>
                <w:szCs w:val="18"/>
                <w:lang w:val="fr-FR"/>
              </w:rPr>
            </w:pPr>
          </w:p>
        </w:tc>
      </w:tr>
      <w:tr w:rsidR="009A7E4C" w:rsidRPr="00686D5A" w:rsidTr="00891D16">
        <w:trPr>
          <w:trHeight w:val="340"/>
        </w:trPr>
        <w:tc>
          <w:tcPr>
            <w:tcW w:w="5637" w:type="dxa"/>
            <w:tcBorders>
              <w:top w:val="single" w:sz="4" w:space="0" w:color="auto"/>
              <w:left w:val="single" w:sz="4" w:space="0" w:color="auto"/>
              <w:bottom w:val="single" w:sz="4" w:space="0" w:color="auto"/>
              <w:right w:val="single" w:sz="4" w:space="0" w:color="auto"/>
            </w:tcBorders>
          </w:tcPr>
          <w:p w:rsidR="009A7E4C" w:rsidRPr="00686D5A" w:rsidRDefault="009A7E4C" w:rsidP="00AB551E">
            <w:pPr>
              <w:keepLines/>
              <w:rPr>
                <w:sz w:val="18"/>
                <w:szCs w:val="18"/>
                <w:lang w:val="fr-FR"/>
              </w:rPr>
            </w:pPr>
            <w:r w:rsidRPr="00686D5A">
              <w:rPr>
                <w:sz w:val="18"/>
                <w:szCs w:val="18"/>
                <w:lang w:val="fr-FR"/>
              </w:rPr>
              <w:t>Pratiques frauduleuses et répréhensibles en général (autres que la fraude aux prestations)/détournement ou utilisation illicite de fonds et biens appartenant à l</w:t>
            </w:r>
            <w:r w:rsidR="00D565F4">
              <w:rPr>
                <w:sz w:val="18"/>
                <w:szCs w:val="18"/>
                <w:lang w:val="fr-FR"/>
              </w:rPr>
              <w:t>’</w:t>
            </w:r>
            <w:r w:rsidRPr="00686D5A">
              <w:rPr>
                <w:sz w:val="18"/>
                <w:szCs w:val="18"/>
                <w:lang w:val="fr-FR"/>
              </w:rPr>
              <w:t>Organisation (autres que les ressources informatiques)</w:t>
            </w:r>
          </w:p>
        </w:tc>
        <w:tc>
          <w:tcPr>
            <w:tcW w:w="2753" w:type="dxa"/>
            <w:tcBorders>
              <w:top w:val="nil"/>
              <w:left w:val="nil"/>
              <w:bottom w:val="single" w:sz="4" w:space="0" w:color="auto"/>
              <w:right w:val="single" w:sz="4" w:space="0" w:color="auto"/>
            </w:tcBorders>
            <w:vAlign w:val="center"/>
          </w:tcPr>
          <w:p w:rsidR="009A7E4C" w:rsidRPr="00686D5A" w:rsidRDefault="009A7E4C" w:rsidP="001E2D32">
            <w:pPr>
              <w:keepLines/>
              <w:jc w:val="center"/>
              <w:rPr>
                <w:rFonts w:eastAsia="Times New Roman"/>
                <w:sz w:val="18"/>
                <w:szCs w:val="18"/>
                <w:lang w:val="fr-FR" w:eastAsia="en-US"/>
              </w:rPr>
            </w:pPr>
            <w:r w:rsidRPr="00686D5A">
              <w:rPr>
                <w:rFonts w:eastAsia="Times New Roman"/>
                <w:sz w:val="18"/>
                <w:szCs w:val="18"/>
                <w:lang w:val="fr-FR" w:eastAsia="en-US"/>
              </w:rPr>
              <w:t>Non pertinent</w:t>
            </w:r>
          </w:p>
        </w:tc>
        <w:tc>
          <w:tcPr>
            <w:tcW w:w="1417" w:type="dxa"/>
            <w:tcBorders>
              <w:top w:val="nil"/>
              <w:left w:val="nil"/>
              <w:bottom w:val="single" w:sz="4" w:space="0" w:color="auto"/>
              <w:right w:val="single" w:sz="4" w:space="0" w:color="auto"/>
            </w:tcBorders>
            <w:shd w:val="clear" w:color="auto" w:fill="FFFF00"/>
            <w:vAlign w:val="center"/>
          </w:tcPr>
          <w:p w:rsidR="009A7E4C" w:rsidRPr="00686D5A" w:rsidRDefault="009A7E4C" w:rsidP="001E2D32">
            <w:pPr>
              <w:keepLines/>
              <w:jc w:val="center"/>
              <w:rPr>
                <w:sz w:val="18"/>
                <w:szCs w:val="18"/>
                <w:lang w:val="fr-FR"/>
              </w:rPr>
            </w:pPr>
          </w:p>
        </w:tc>
      </w:tr>
      <w:tr w:rsidR="009A7E4C" w:rsidRPr="00686D5A" w:rsidTr="00891D16">
        <w:trPr>
          <w:trHeight w:val="340"/>
        </w:trPr>
        <w:tc>
          <w:tcPr>
            <w:tcW w:w="5637" w:type="dxa"/>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keepLines/>
              <w:rPr>
                <w:rFonts w:eastAsia="Times New Roman"/>
                <w:sz w:val="18"/>
                <w:szCs w:val="18"/>
                <w:lang w:val="fr-FR" w:eastAsia="en-US"/>
              </w:rPr>
            </w:pPr>
            <w:r w:rsidRPr="00686D5A">
              <w:rPr>
                <w:rFonts w:eastAsia="Times New Roman"/>
                <w:sz w:val="18"/>
                <w:szCs w:val="18"/>
                <w:lang w:val="fr-FR" w:eastAsia="en-US"/>
              </w:rPr>
              <w:t>Évaluation des risques de fraude</w:t>
            </w:r>
          </w:p>
        </w:tc>
        <w:tc>
          <w:tcPr>
            <w:tcW w:w="2753" w:type="dxa"/>
            <w:tcBorders>
              <w:top w:val="nil"/>
              <w:left w:val="nil"/>
              <w:bottom w:val="single" w:sz="4" w:space="0" w:color="auto"/>
              <w:right w:val="single" w:sz="4" w:space="0" w:color="auto"/>
            </w:tcBorders>
            <w:vAlign w:val="center"/>
          </w:tcPr>
          <w:p w:rsidR="009A7E4C" w:rsidRPr="00686D5A" w:rsidRDefault="009A7E4C" w:rsidP="001E2D32">
            <w:pPr>
              <w:keepLines/>
              <w:jc w:val="center"/>
              <w:rPr>
                <w:rFonts w:eastAsia="Times New Roman"/>
                <w:sz w:val="18"/>
                <w:szCs w:val="18"/>
                <w:lang w:val="fr-FR" w:eastAsia="en-US"/>
              </w:rPr>
            </w:pPr>
            <w:r w:rsidRPr="00686D5A">
              <w:rPr>
                <w:rFonts w:eastAsia="Times New Roman"/>
                <w:sz w:val="18"/>
                <w:szCs w:val="18"/>
                <w:lang w:val="fr-FR" w:eastAsia="en-US"/>
              </w:rPr>
              <w:t>Intersectoriel</w:t>
            </w:r>
          </w:p>
        </w:tc>
        <w:tc>
          <w:tcPr>
            <w:tcW w:w="1417" w:type="dxa"/>
            <w:tcBorders>
              <w:top w:val="nil"/>
              <w:left w:val="nil"/>
              <w:bottom w:val="single" w:sz="4" w:space="0" w:color="auto"/>
              <w:right w:val="single" w:sz="4" w:space="0" w:color="auto"/>
            </w:tcBorders>
            <w:shd w:val="clear" w:color="auto" w:fill="92D050"/>
            <w:vAlign w:val="center"/>
          </w:tcPr>
          <w:p w:rsidR="009A7E4C" w:rsidRPr="00686D5A" w:rsidRDefault="009A7E4C" w:rsidP="001E2D32">
            <w:pPr>
              <w:keepLines/>
              <w:jc w:val="center"/>
              <w:rPr>
                <w:sz w:val="18"/>
                <w:szCs w:val="18"/>
                <w:lang w:val="fr-FR"/>
              </w:rPr>
            </w:pPr>
          </w:p>
        </w:tc>
      </w:tr>
      <w:tr w:rsidR="009A7E4C" w:rsidRPr="00686D5A" w:rsidTr="00891D16">
        <w:trPr>
          <w:trHeight w:val="340"/>
        </w:trPr>
        <w:tc>
          <w:tcPr>
            <w:tcW w:w="5637" w:type="dxa"/>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keepLines/>
              <w:rPr>
                <w:rFonts w:eastAsia="Times New Roman"/>
                <w:sz w:val="18"/>
                <w:szCs w:val="18"/>
                <w:lang w:val="fr-FR" w:eastAsia="en-US"/>
              </w:rPr>
            </w:pPr>
            <w:r w:rsidRPr="00686D5A">
              <w:rPr>
                <w:rFonts w:eastAsia="Times New Roman"/>
                <w:sz w:val="18"/>
                <w:szCs w:val="18"/>
                <w:lang w:val="fr-FR" w:eastAsia="en-US"/>
              </w:rPr>
              <w:t>Activités de consultation et de conseil</w:t>
            </w:r>
          </w:p>
        </w:tc>
        <w:tc>
          <w:tcPr>
            <w:tcW w:w="2753" w:type="dxa"/>
            <w:tcBorders>
              <w:top w:val="nil"/>
              <w:left w:val="nil"/>
              <w:bottom w:val="single" w:sz="4" w:space="0" w:color="auto"/>
              <w:right w:val="single" w:sz="4" w:space="0" w:color="auto"/>
            </w:tcBorders>
            <w:vAlign w:val="center"/>
          </w:tcPr>
          <w:p w:rsidR="009A7E4C" w:rsidRPr="00686D5A" w:rsidRDefault="009A7E4C" w:rsidP="001E2D32">
            <w:pPr>
              <w:keepLines/>
              <w:jc w:val="center"/>
              <w:rPr>
                <w:rFonts w:eastAsia="Times New Roman"/>
                <w:sz w:val="18"/>
                <w:szCs w:val="18"/>
                <w:lang w:val="fr-FR" w:eastAsia="en-US"/>
              </w:rPr>
            </w:pPr>
            <w:r w:rsidRPr="00686D5A">
              <w:rPr>
                <w:rFonts w:eastAsia="Times New Roman"/>
                <w:sz w:val="18"/>
                <w:szCs w:val="18"/>
                <w:lang w:val="fr-FR" w:eastAsia="en-US"/>
              </w:rPr>
              <w:t>Intersectoriel</w:t>
            </w:r>
          </w:p>
        </w:tc>
        <w:tc>
          <w:tcPr>
            <w:tcW w:w="1417" w:type="dxa"/>
            <w:tcBorders>
              <w:top w:val="nil"/>
              <w:left w:val="nil"/>
              <w:bottom w:val="single" w:sz="4" w:space="0" w:color="auto"/>
              <w:right w:val="single" w:sz="4" w:space="0" w:color="auto"/>
            </w:tcBorders>
            <w:shd w:val="clear" w:color="auto" w:fill="FFFF00"/>
            <w:vAlign w:val="center"/>
          </w:tcPr>
          <w:p w:rsidR="009A7E4C" w:rsidRPr="00686D5A" w:rsidRDefault="009A7E4C" w:rsidP="001E2D32">
            <w:pPr>
              <w:keepLines/>
              <w:jc w:val="center"/>
              <w:rPr>
                <w:sz w:val="18"/>
                <w:szCs w:val="18"/>
                <w:lang w:val="fr-FR"/>
              </w:rPr>
            </w:pPr>
          </w:p>
        </w:tc>
      </w:tr>
      <w:tr w:rsidR="009A7E4C" w:rsidRPr="00686D5A" w:rsidTr="00891D16">
        <w:trPr>
          <w:trHeight w:val="340"/>
        </w:trPr>
        <w:tc>
          <w:tcPr>
            <w:tcW w:w="5637" w:type="dxa"/>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keepLines/>
              <w:rPr>
                <w:rFonts w:eastAsia="Times New Roman"/>
                <w:sz w:val="18"/>
                <w:szCs w:val="18"/>
                <w:lang w:val="fr-FR" w:eastAsia="en-US"/>
              </w:rPr>
            </w:pPr>
            <w:r w:rsidRPr="00686D5A">
              <w:rPr>
                <w:rFonts w:eastAsia="Times New Roman"/>
                <w:sz w:val="18"/>
                <w:szCs w:val="18"/>
                <w:lang w:val="fr-FR" w:eastAsia="en-US"/>
              </w:rPr>
              <w:t>Constitution de réseaux avec d</w:t>
            </w:r>
            <w:r w:rsidR="00D565F4">
              <w:rPr>
                <w:rFonts w:eastAsia="Times New Roman"/>
                <w:sz w:val="18"/>
                <w:szCs w:val="18"/>
                <w:lang w:val="fr-FR" w:eastAsia="en-US"/>
              </w:rPr>
              <w:t>’</w:t>
            </w:r>
            <w:r w:rsidRPr="00686D5A">
              <w:rPr>
                <w:rFonts w:eastAsia="Times New Roman"/>
                <w:sz w:val="18"/>
                <w:szCs w:val="18"/>
                <w:lang w:val="fr-FR" w:eastAsia="en-US"/>
              </w:rPr>
              <w:t>autres agences</w:t>
            </w:r>
          </w:p>
        </w:tc>
        <w:tc>
          <w:tcPr>
            <w:tcW w:w="2753" w:type="dxa"/>
            <w:tcBorders>
              <w:top w:val="nil"/>
              <w:left w:val="nil"/>
              <w:bottom w:val="single" w:sz="4" w:space="0" w:color="auto"/>
              <w:right w:val="single" w:sz="4" w:space="0" w:color="auto"/>
            </w:tcBorders>
            <w:vAlign w:val="center"/>
          </w:tcPr>
          <w:p w:rsidR="009A7E4C" w:rsidRPr="00686D5A" w:rsidRDefault="00C86837" w:rsidP="00AB551E">
            <w:pPr>
              <w:keepLines/>
              <w:jc w:val="center"/>
              <w:rPr>
                <w:rFonts w:eastAsia="Times New Roman"/>
                <w:sz w:val="18"/>
                <w:szCs w:val="18"/>
                <w:lang w:val="fr-FR" w:eastAsia="en-US"/>
              </w:rPr>
            </w:pPr>
            <w:r>
              <w:rPr>
                <w:rFonts w:eastAsia="Times New Roman"/>
                <w:sz w:val="18"/>
                <w:szCs w:val="18"/>
                <w:lang w:val="fr-FR" w:eastAsia="en-US"/>
              </w:rPr>
              <w:t>DASI</w:t>
            </w:r>
          </w:p>
        </w:tc>
        <w:tc>
          <w:tcPr>
            <w:tcW w:w="1417" w:type="dxa"/>
            <w:tcBorders>
              <w:top w:val="nil"/>
              <w:left w:val="nil"/>
              <w:bottom w:val="single" w:sz="4" w:space="0" w:color="auto"/>
              <w:right w:val="single" w:sz="4" w:space="0" w:color="auto"/>
            </w:tcBorders>
            <w:shd w:val="clear" w:color="auto" w:fill="FFFF00"/>
            <w:vAlign w:val="center"/>
          </w:tcPr>
          <w:p w:rsidR="009A7E4C" w:rsidRPr="00686D5A" w:rsidRDefault="009A7E4C" w:rsidP="001E2D32">
            <w:pPr>
              <w:keepLines/>
              <w:jc w:val="center"/>
              <w:rPr>
                <w:sz w:val="18"/>
                <w:szCs w:val="18"/>
                <w:lang w:val="fr-FR"/>
              </w:rPr>
            </w:pPr>
          </w:p>
        </w:tc>
      </w:tr>
      <w:tr w:rsidR="009A7E4C" w:rsidRPr="00686D5A" w:rsidTr="00891D16">
        <w:trPr>
          <w:trHeight w:val="340"/>
        </w:trPr>
        <w:tc>
          <w:tcPr>
            <w:tcW w:w="5637" w:type="dxa"/>
            <w:tcBorders>
              <w:top w:val="single" w:sz="4" w:space="0" w:color="auto"/>
              <w:left w:val="single" w:sz="4" w:space="0" w:color="auto"/>
              <w:bottom w:val="single" w:sz="4" w:space="0" w:color="auto"/>
              <w:right w:val="single" w:sz="4" w:space="0" w:color="auto"/>
            </w:tcBorders>
            <w:vAlign w:val="center"/>
          </w:tcPr>
          <w:p w:rsidR="009A7E4C" w:rsidRPr="00686D5A" w:rsidRDefault="009A7E4C" w:rsidP="00AB551E">
            <w:pPr>
              <w:keepLines/>
              <w:rPr>
                <w:rFonts w:eastAsia="Times New Roman"/>
                <w:sz w:val="18"/>
                <w:szCs w:val="18"/>
                <w:lang w:val="fr-FR" w:eastAsia="en-US"/>
              </w:rPr>
            </w:pPr>
            <w:r w:rsidRPr="00686D5A">
              <w:rPr>
                <w:rFonts w:eastAsia="Times New Roman"/>
                <w:sz w:val="18"/>
                <w:szCs w:val="18"/>
                <w:lang w:val="fr-FR" w:eastAsia="en-US"/>
              </w:rPr>
              <w:t>Organe consultatif indépendant de surveillance</w:t>
            </w:r>
          </w:p>
        </w:tc>
        <w:tc>
          <w:tcPr>
            <w:tcW w:w="2753" w:type="dxa"/>
            <w:tcBorders>
              <w:top w:val="nil"/>
              <w:left w:val="nil"/>
              <w:bottom w:val="single" w:sz="4" w:space="0" w:color="auto"/>
              <w:right w:val="single" w:sz="4" w:space="0" w:color="auto"/>
            </w:tcBorders>
            <w:vAlign w:val="center"/>
          </w:tcPr>
          <w:p w:rsidR="009A7E4C" w:rsidRPr="00686D5A" w:rsidRDefault="00C86837" w:rsidP="00AB551E">
            <w:pPr>
              <w:keepLines/>
              <w:jc w:val="center"/>
              <w:rPr>
                <w:rFonts w:eastAsia="Times New Roman"/>
                <w:sz w:val="18"/>
                <w:szCs w:val="18"/>
                <w:lang w:val="fr-FR" w:eastAsia="en-US"/>
              </w:rPr>
            </w:pPr>
            <w:r>
              <w:rPr>
                <w:rFonts w:eastAsia="Times New Roman"/>
                <w:sz w:val="18"/>
                <w:szCs w:val="18"/>
                <w:lang w:val="fr-FR" w:eastAsia="en-US"/>
              </w:rPr>
              <w:t>DASI</w:t>
            </w:r>
          </w:p>
        </w:tc>
        <w:tc>
          <w:tcPr>
            <w:tcW w:w="1417" w:type="dxa"/>
            <w:tcBorders>
              <w:top w:val="nil"/>
              <w:left w:val="nil"/>
              <w:bottom w:val="single" w:sz="4" w:space="0" w:color="auto"/>
              <w:right w:val="single" w:sz="4" w:space="0" w:color="auto"/>
            </w:tcBorders>
            <w:shd w:val="clear" w:color="auto" w:fill="FFFF00"/>
            <w:vAlign w:val="center"/>
          </w:tcPr>
          <w:p w:rsidR="009A7E4C" w:rsidRPr="00686D5A" w:rsidRDefault="009A7E4C" w:rsidP="001E2D32">
            <w:pPr>
              <w:keepLines/>
              <w:jc w:val="center"/>
              <w:rPr>
                <w:sz w:val="18"/>
                <w:szCs w:val="18"/>
                <w:lang w:val="fr-FR"/>
              </w:rPr>
            </w:pPr>
          </w:p>
        </w:tc>
      </w:tr>
      <w:tr w:rsidR="009A7E4C" w:rsidRPr="00686D5A" w:rsidTr="00891D16">
        <w:trPr>
          <w:trHeight w:val="340"/>
        </w:trPr>
        <w:tc>
          <w:tcPr>
            <w:tcW w:w="5637" w:type="dxa"/>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keepLines/>
              <w:rPr>
                <w:rFonts w:eastAsia="Times New Roman"/>
                <w:sz w:val="18"/>
                <w:szCs w:val="18"/>
                <w:lang w:val="fr-FR" w:eastAsia="en-US"/>
              </w:rPr>
            </w:pPr>
            <w:r w:rsidRPr="00686D5A">
              <w:rPr>
                <w:rFonts w:eastAsia="Times New Roman"/>
                <w:sz w:val="18"/>
                <w:szCs w:val="18"/>
                <w:lang w:val="fr-FR" w:eastAsia="en-US"/>
              </w:rPr>
              <w:t>Autres activités indirectes</w:t>
            </w:r>
          </w:p>
        </w:tc>
        <w:tc>
          <w:tcPr>
            <w:tcW w:w="2753" w:type="dxa"/>
            <w:tcBorders>
              <w:top w:val="nil"/>
              <w:left w:val="nil"/>
              <w:bottom w:val="single" w:sz="4" w:space="0" w:color="auto"/>
              <w:right w:val="single" w:sz="4" w:space="0" w:color="auto"/>
            </w:tcBorders>
            <w:vAlign w:val="center"/>
          </w:tcPr>
          <w:p w:rsidR="009A7E4C" w:rsidRPr="00686D5A" w:rsidRDefault="00C86837" w:rsidP="00AB551E">
            <w:pPr>
              <w:keepLines/>
              <w:jc w:val="center"/>
              <w:rPr>
                <w:rFonts w:eastAsia="Times New Roman"/>
                <w:sz w:val="18"/>
                <w:szCs w:val="18"/>
                <w:lang w:val="fr-FR" w:eastAsia="en-US"/>
              </w:rPr>
            </w:pPr>
            <w:r>
              <w:rPr>
                <w:rFonts w:eastAsia="Times New Roman"/>
                <w:sz w:val="18"/>
                <w:szCs w:val="18"/>
                <w:lang w:val="fr-FR" w:eastAsia="en-US"/>
              </w:rPr>
              <w:t>DASI</w:t>
            </w:r>
          </w:p>
        </w:tc>
        <w:tc>
          <w:tcPr>
            <w:tcW w:w="1417" w:type="dxa"/>
            <w:tcBorders>
              <w:top w:val="nil"/>
              <w:left w:val="nil"/>
              <w:bottom w:val="single" w:sz="4" w:space="0" w:color="auto"/>
              <w:right w:val="single" w:sz="4" w:space="0" w:color="auto"/>
            </w:tcBorders>
            <w:shd w:val="clear" w:color="auto" w:fill="FFFF00"/>
            <w:vAlign w:val="center"/>
          </w:tcPr>
          <w:p w:rsidR="009A7E4C" w:rsidRPr="00686D5A" w:rsidRDefault="009A7E4C" w:rsidP="001E2D32">
            <w:pPr>
              <w:keepLines/>
              <w:jc w:val="center"/>
              <w:rPr>
                <w:sz w:val="18"/>
                <w:szCs w:val="18"/>
                <w:lang w:val="fr-FR"/>
              </w:rPr>
            </w:pPr>
          </w:p>
        </w:tc>
      </w:tr>
      <w:tr w:rsidR="009A7E4C" w:rsidRPr="00686D5A" w:rsidTr="00891D16">
        <w:trPr>
          <w:trHeight w:val="340"/>
        </w:trPr>
        <w:tc>
          <w:tcPr>
            <w:tcW w:w="5637" w:type="dxa"/>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keepLines/>
              <w:rPr>
                <w:rFonts w:eastAsia="Times New Roman"/>
                <w:sz w:val="18"/>
                <w:szCs w:val="18"/>
                <w:lang w:val="fr-FR" w:eastAsia="en-US"/>
              </w:rPr>
            </w:pPr>
            <w:r w:rsidRPr="00686D5A">
              <w:rPr>
                <w:rFonts w:eastAsia="Times New Roman"/>
                <w:sz w:val="18"/>
                <w:szCs w:val="18"/>
                <w:lang w:val="fr-FR" w:eastAsia="en-US"/>
              </w:rPr>
              <w:t>Suivi des recommandations en suspens</w:t>
            </w:r>
          </w:p>
        </w:tc>
        <w:tc>
          <w:tcPr>
            <w:tcW w:w="2753" w:type="dxa"/>
            <w:tcBorders>
              <w:top w:val="nil"/>
              <w:left w:val="nil"/>
              <w:bottom w:val="single" w:sz="4" w:space="0" w:color="auto"/>
              <w:right w:val="single" w:sz="4" w:space="0" w:color="auto"/>
            </w:tcBorders>
            <w:vAlign w:val="center"/>
          </w:tcPr>
          <w:p w:rsidR="009A7E4C" w:rsidRPr="00686D5A" w:rsidRDefault="009A7E4C" w:rsidP="001E2D32">
            <w:pPr>
              <w:keepLines/>
              <w:jc w:val="center"/>
              <w:rPr>
                <w:rFonts w:eastAsia="Times New Roman"/>
                <w:sz w:val="18"/>
                <w:szCs w:val="18"/>
                <w:lang w:val="fr-FR" w:eastAsia="en-US"/>
              </w:rPr>
            </w:pPr>
            <w:r w:rsidRPr="00686D5A">
              <w:rPr>
                <w:rFonts w:eastAsia="Times New Roman"/>
                <w:sz w:val="18"/>
                <w:szCs w:val="18"/>
                <w:lang w:val="fr-FR" w:eastAsia="en-US"/>
              </w:rPr>
              <w:t>Tous</w:t>
            </w:r>
          </w:p>
        </w:tc>
        <w:tc>
          <w:tcPr>
            <w:tcW w:w="1417" w:type="dxa"/>
            <w:tcBorders>
              <w:top w:val="nil"/>
              <w:left w:val="nil"/>
              <w:bottom w:val="single" w:sz="4" w:space="0" w:color="auto"/>
              <w:right w:val="single" w:sz="4" w:space="0" w:color="auto"/>
            </w:tcBorders>
            <w:shd w:val="clear" w:color="auto" w:fill="FFFF00"/>
            <w:vAlign w:val="center"/>
          </w:tcPr>
          <w:p w:rsidR="009A7E4C" w:rsidRPr="00686D5A" w:rsidRDefault="009A7E4C" w:rsidP="001E2D32">
            <w:pPr>
              <w:keepLines/>
              <w:jc w:val="center"/>
              <w:rPr>
                <w:sz w:val="18"/>
                <w:szCs w:val="18"/>
                <w:lang w:val="fr-FR"/>
              </w:rPr>
            </w:pPr>
          </w:p>
        </w:tc>
      </w:tr>
      <w:tr w:rsidR="009A7E4C" w:rsidRPr="00686D5A" w:rsidTr="00891D16">
        <w:trPr>
          <w:trHeight w:val="340"/>
        </w:trPr>
        <w:tc>
          <w:tcPr>
            <w:tcW w:w="5637" w:type="dxa"/>
            <w:tcBorders>
              <w:top w:val="single" w:sz="4" w:space="0" w:color="auto"/>
              <w:left w:val="single" w:sz="4" w:space="0" w:color="auto"/>
              <w:bottom w:val="single" w:sz="4" w:space="0" w:color="auto"/>
              <w:right w:val="single" w:sz="4" w:space="0" w:color="auto"/>
            </w:tcBorders>
            <w:vAlign w:val="center"/>
          </w:tcPr>
          <w:p w:rsidR="009A7E4C" w:rsidRPr="00686D5A" w:rsidRDefault="009A7E4C" w:rsidP="001E2D32">
            <w:pPr>
              <w:keepLines/>
              <w:rPr>
                <w:rFonts w:eastAsia="Times New Roman"/>
                <w:sz w:val="18"/>
                <w:szCs w:val="18"/>
                <w:lang w:val="fr-FR" w:eastAsia="en-US"/>
              </w:rPr>
            </w:pPr>
            <w:r w:rsidRPr="00686D5A">
              <w:rPr>
                <w:rFonts w:eastAsia="Times New Roman"/>
                <w:sz w:val="18"/>
                <w:szCs w:val="18"/>
                <w:lang w:val="fr-FR" w:eastAsia="en-US"/>
              </w:rPr>
              <w:t>Formation</w:t>
            </w:r>
          </w:p>
        </w:tc>
        <w:tc>
          <w:tcPr>
            <w:tcW w:w="2753" w:type="dxa"/>
            <w:tcBorders>
              <w:top w:val="nil"/>
              <w:left w:val="nil"/>
              <w:bottom w:val="single" w:sz="4" w:space="0" w:color="auto"/>
              <w:right w:val="single" w:sz="4" w:space="0" w:color="auto"/>
            </w:tcBorders>
            <w:vAlign w:val="center"/>
          </w:tcPr>
          <w:p w:rsidR="009A7E4C" w:rsidRPr="00686D5A" w:rsidRDefault="00C86837" w:rsidP="00AB551E">
            <w:pPr>
              <w:keepLines/>
              <w:jc w:val="center"/>
              <w:rPr>
                <w:rFonts w:eastAsia="Times New Roman"/>
                <w:sz w:val="18"/>
                <w:szCs w:val="18"/>
                <w:lang w:val="fr-FR" w:eastAsia="en-US"/>
              </w:rPr>
            </w:pPr>
            <w:r>
              <w:rPr>
                <w:rFonts w:eastAsia="Times New Roman"/>
                <w:sz w:val="18"/>
                <w:szCs w:val="18"/>
                <w:lang w:val="fr-FR" w:eastAsia="en-US"/>
              </w:rPr>
              <w:t>DASI</w:t>
            </w:r>
          </w:p>
        </w:tc>
        <w:tc>
          <w:tcPr>
            <w:tcW w:w="1417" w:type="dxa"/>
            <w:tcBorders>
              <w:top w:val="nil"/>
              <w:left w:val="nil"/>
              <w:bottom w:val="single" w:sz="4" w:space="0" w:color="auto"/>
              <w:right w:val="single" w:sz="4" w:space="0" w:color="auto"/>
            </w:tcBorders>
            <w:shd w:val="clear" w:color="auto" w:fill="FFFF00"/>
            <w:vAlign w:val="center"/>
          </w:tcPr>
          <w:p w:rsidR="009A7E4C" w:rsidRPr="00686D5A" w:rsidRDefault="009A7E4C" w:rsidP="001E2D32">
            <w:pPr>
              <w:keepLines/>
              <w:jc w:val="center"/>
              <w:rPr>
                <w:sz w:val="18"/>
                <w:szCs w:val="18"/>
                <w:lang w:val="fr-FR"/>
              </w:rPr>
            </w:pPr>
          </w:p>
        </w:tc>
      </w:tr>
    </w:tbl>
    <w:p w:rsidR="007931CB" w:rsidRPr="00686D5A" w:rsidRDefault="007931CB" w:rsidP="00CF286F">
      <w:pPr>
        <w:spacing w:before="60" w:after="60"/>
        <w:rPr>
          <w:lang w:val="fr-FR"/>
        </w:rPr>
      </w:pPr>
    </w:p>
    <w:p w:rsidR="007931CB" w:rsidRPr="00686D5A" w:rsidRDefault="007931CB">
      <w:pPr>
        <w:rPr>
          <w:lang w:val="fr-FR"/>
        </w:rPr>
      </w:pPr>
      <w:r w:rsidRPr="00686D5A">
        <w:rPr>
          <w:lang w:val="fr-FR"/>
        </w:rPr>
        <w:br w:type="page"/>
      </w:r>
    </w:p>
    <w:p w:rsidR="009A7E4C" w:rsidRPr="00686D5A" w:rsidRDefault="009A7E4C" w:rsidP="00CF286F">
      <w:pPr>
        <w:spacing w:before="60" w:after="60"/>
        <w:rPr>
          <w:lang w:val="fr-FR"/>
        </w:rPr>
      </w:pPr>
      <w:r w:rsidRPr="00686D5A">
        <w:rPr>
          <w:lang w:val="fr-FR"/>
        </w:rPr>
        <w:lastRenderedPageBreak/>
        <w:t>Code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2552"/>
      </w:tblGrid>
      <w:tr w:rsidR="009A7E4C" w:rsidRPr="00686D5A" w:rsidTr="0026102F">
        <w:trPr>
          <w:trHeight w:val="193"/>
        </w:trPr>
        <w:tc>
          <w:tcPr>
            <w:tcW w:w="1843" w:type="dxa"/>
            <w:shd w:val="clear" w:color="auto" w:fill="FFFF00"/>
          </w:tcPr>
          <w:p w:rsidR="009A7E4C" w:rsidRPr="00686D5A" w:rsidRDefault="009A7E4C" w:rsidP="0026102F">
            <w:pPr>
              <w:spacing w:after="120" w:line="260" w:lineRule="exact"/>
              <w:ind w:left="1021"/>
              <w:rPr>
                <w:sz w:val="18"/>
                <w:szCs w:val="18"/>
                <w:lang w:val="fr-FR"/>
              </w:rPr>
            </w:pPr>
          </w:p>
        </w:tc>
        <w:tc>
          <w:tcPr>
            <w:tcW w:w="2552" w:type="dxa"/>
          </w:tcPr>
          <w:p w:rsidR="009A7E4C" w:rsidRPr="00686D5A" w:rsidRDefault="009A7E4C" w:rsidP="0026102F">
            <w:pPr>
              <w:spacing w:after="120" w:line="260" w:lineRule="exact"/>
              <w:ind w:left="34"/>
              <w:rPr>
                <w:sz w:val="18"/>
                <w:szCs w:val="18"/>
                <w:lang w:val="fr-FR"/>
              </w:rPr>
            </w:pPr>
            <w:r w:rsidRPr="00686D5A">
              <w:rPr>
                <w:sz w:val="18"/>
                <w:szCs w:val="18"/>
                <w:lang w:val="fr-FR"/>
              </w:rPr>
              <w:t>En cours</w:t>
            </w:r>
          </w:p>
        </w:tc>
      </w:tr>
      <w:tr w:rsidR="009A7E4C" w:rsidRPr="00686D5A" w:rsidTr="0026102F">
        <w:tc>
          <w:tcPr>
            <w:tcW w:w="1843" w:type="dxa"/>
            <w:shd w:val="clear" w:color="auto" w:fill="92D050"/>
          </w:tcPr>
          <w:p w:rsidR="009A7E4C" w:rsidRPr="00686D5A" w:rsidRDefault="009A7E4C" w:rsidP="0026102F">
            <w:pPr>
              <w:spacing w:after="120" w:line="260" w:lineRule="exact"/>
              <w:ind w:left="1021"/>
              <w:rPr>
                <w:sz w:val="18"/>
                <w:szCs w:val="18"/>
                <w:lang w:val="fr-FR"/>
              </w:rPr>
            </w:pPr>
          </w:p>
        </w:tc>
        <w:tc>
          <w:tcPr>
            <w:tcW w:w="2552" w:type="dxa"/>
          </w:tcPr>
          <w:p w:rsidR="009A7E4C" w:rsidRPr="00686D5A" w:rsidRDefault="009A7E4C" w:rsidP="0026102F">
            <w:pPr>
              <w:spacing w:after="120" w:line="260" w:lineRule="exact"/>
              <w:ind w:left="34"/>
              <w:rPr>
                <w:sz w:val="18"/>
                <w:szCs w:val="18"/>
                <w:lang w:val="fr-FR"/>
              </w:rPr>
            </w:pPr>
            <w:r w:rsidRPr="00686D5A">
              <w:rPr>
                <w:sz w:val="18"/>
                <w:szCs w:val="18"/>
                <w:lang w:val="fr-FR"/>
              </w:rPr>
              <w:t>Achevé</w:t>
            </w:r>
          </w:p>
        </w:tc>
      </w:tr>
      <w:tr w:rsidR="009A7E4C" w:rsidRPr="00686D5A" w:rsidTr="0026102F">
        <w:tc>
          <w:tcPr>
            <w:tcW w:w="1843" w:type="dxa"/>
          </w:tcPr>
          <w:p w:rsidR="009A7E4C" w:rsidRPr="00686D5A" w:rsidRDefault="009A7E4C" w:rsidP="0026102F">
            <w:pPr>
              <w:spacing w:after="120" w:line="260" w:lineRule="exact"/>
              <w:ind w:left="1021"/>
              <w:rPr>
                <w:sz w:val="18"/>
                <w:szCs w:val="18"/>
                <w:lang w:val="fr-FR"/>
              </w:rPr>
            </w:pPr>
          </w:p>
        </w:tc>
        <w:tc>
          <w:tcPr>
            <w:tcW w:w="2552" w:type="dxa"/>
          </w:tcPr>
          <w:p w:rsidR="009A7E4C" w:rsidRPr="00686D5A" w:rsidRDefault="009A7E4C" w:rsidP="0026102F">
            <w:pPr>
              <w:spacing w:after="120" w:line="260" w:lineRule="exact"/>
              <w:ind w:left="34"/>
              <w:rPr>
                <w:sz w:val="18"/>
                <w:szCs w:val="18"/>
                <w:lang w:val="fr-FR"/>
              </w:rPr>
            </w:pPr>
            <w:r w:rsidRPr="00686D5A">
              <w:rPr>
                <w:sz w:val="18"/>
                <w:szCs w:val="18"/>
                <w:lang w:val="fr-FR"/>
              </w:rPr>
              <w:t>Non commencé</w:t>
            </w:r>
          </w:p>
        </w:tc>
      </w:tr>
    </w:tbl>
    <w:p w:rsidR="007931CB" w:rsidRPr="00686D5A" w:rsidRDefault="007931CB" w:rsidP="00AB551E">
      <w:pPr>
        <w:keepLines/>
        <w:ind w:left="5533"/>
        <w:rPr>
          <w:lang w:val="fr-FR"/>
        </w:rPr>
      </w:pPr>
    </w:p>
    <w:p w:rsidR="007931CB" w:rsidRPr="00686D5A" w:rsidRDefault="007931CB" w:rsidP="00AB551E">
      <w:pPr>
        <w:keepLines/>
        <w:ind w:left="5533"/>
        <w:rPr>
          <w:lang w:val="fr-FR"/>
        </w:rPr>
      </w:pPr>
    </w:p>
    <w:p w:rsidR="007931CB" w:rsidRPr="00686D5A" w:rsidRDefault="007931CB" w:rsidP="00AB551E">
      <w:pPr>
        <w:keepLines/>
        <w:ind w:left="5533"/>
        <w:rPr>
          <w:lang w:val="fr-FR"/>
        </w:rPr>
      </w:pPr>
    </w:p>
    <w:p w:rsidR="009A7E4C" w:rsidRPr="00686D5A" w:rsidRDefault="009A7E4C" w:rsidP="00AB551E">
      <w:pPr>
        <w:keepLines/>
        <w:ind w:left="5533"/>
        <w:rPr>
          <w:lang w:val="fr-FR"/>
        </w:rPr>
      </w:pPr>
      <w:r w:rsidRPr="00686D5A">
        <w:rPr>
          <w:lang w:val="fr-FR"/>
        </w:rPr>
        <w:t>[L</w:t>
      </w:r>
      <w:r w:rsidR="00D565F4">
        <w:rPr>
          <w:lang w:val="fr-FR"/>
        </w:rPr>
        <w:t>’</w:t>
      </w:r>
      <w:r w:rsidRPr="00686D5A">
        <w:rPr>
          <w:lang w:val="fr-FR"/>
        </w:rPr>
        <w:t>annexe</w:t>
      </w:r>
      <w:r w:rsidR="00972C20" w:rsidRPr="00686D5A">
        <w:rPr>
          <w:lang w:val="fr-FR"/>
        </w:rPr>
        <w:t> </w:t>
      </w:r>
      <w:r w:rsidRPr="00686D5A">
        <w:rPr>
          <w:lang w:val="fr-FR"/>
        </w:rPr>
        <w:t>II suit]</w:t>
      </w:r>
    </w:p>
    <w:p w:rsidR="007931CB" w:rsidRPr="00686D5A" w:rsidRDefault="007931CB" w:rsidP="007931CB">
      <w:pPr>
        <w:keepLines/>
        <w:rPr>
          <w:lang w:val="fr-FR"/>
        </w:rPr>
      </w:pPr>
    </w:p>
    <w:p w:rsidR="007931CB" w:rsidRPr="00686D5A" w:rsidRDefault="007931CB" w:rsidP="007931CB">
      <w:pPr>
        <w:keepLines/>
        <w:rPr>
          <w:lang w:val="fr-FR"/>
        </w:rPr>
      </w:pPr>
    </w:p>
    <w:p w:rsidR="007931CB" w:rsidRPr="00686D5A" w:rsidRDefault="007931CB" w:rsidP="00AB551E">
      <w:pPr>
        <w:keepLines/>
        <w:ind w:left="5533"/>
        <w:rPr>
          <w:lang w:val="fr-FR"/>
        </w:rPr>
        <w:sectPr w:rsidR="007931CB" w:rsidRPr="00686D5A" w:rsidSect="00D7054D">
          <w:headerReference w:type="default" r:id="rId24"/>
          <w:headerReference w:type="first" r:id="rId25"/>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9A7E4C" w:rsidRPr="00686D5A" w:rsidRDefault="009A7E4C" w:rsidP="00AB551E">
      <w:pPr>
        <w:keepLines/>
        <w:jc w:val="center"/>
        <w:rPr>
          <w:b/>
          <w:bCs/>
          <w:lang w:val="fr-FR"/>
        </w:rPr>
      </w:pPr>
      <w:r w:rsidRPr="00686D5A">
        <w:rPr>
          <w:b/>
          <w:bCs/>
          <w:lang w:val="fr-FR"/>
        </w:rPr>
        <w:lastRenderedPageBreak/>
        <w:t>Liste des rapports établis par la Division de l</w:t>
      </w:r>
      <w:r w:rsidR="00D565F4">
        <w:rPr>
          <w:b/>
          <w:bCs/>
          <w:lang w:val="fr-FR"/>
        </w:rPr>
        <w:t>’</w:t>
      </w:r>
      <w:r w:rsidRPr="00686D5A">
        <w:rPr>
          <w:b/>
          <w:bCs/>
          <w:lang w:val="fr-FR"/>
        </w:rPr>
        <w:t>audit et de la supervision internes</w:t>
      </w:r>
      <w:r w:rsidRPr="00686D5A">
        <w:rPr>
          <w:bCs/>
          <w:lang w:val="fr-FR"/>
        </w:rPr>
        <w:br/>
      </w:r>
      <w:r w:rsidRPr="00686D5A">
        <w:rPr>
          <w:b/>
          <w:bCs/>
          <w:lang w:val="fr-FR"/>
        </w:rPr>
        <w:t>du 1</w:t>
      </w:r>
      <w:r w:rsidRPr="00686D5A">
        <w:rPr>
          <w:b/>
          <w:bCs/>
          <w:vertAlign w:val="superscript"/>
          <w:lang w:val="fr-FR"/>
        </w:rPr>
        <w:t>er</w:t>
      </w:r>
      <w:r w:rsidRPr="00686D5A">
        <w:rPr>
          <w:b/>
          <w:bCs/>
          <w:lang w:val="fr-FR"/>
        </w:rPr>
        <w:t> juillet 2013 au 30 juin 2014</w:t>
      </w:r>
    </w:p>
    <w:p w:rsidR="009A7E4C" w:rsidRPr="00686D5A" w:rsidRDefault="009A7E4C" w:rsidP="00E412BD">
      <w:pPr>
        <w:keepLines/>
        <w:jc w:val="center"/>
        <w:rPr>
          <w:b/>
          <w:bCs/>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71"/>
        <w:gridCol w:w="2092"/>
      </w:tblGrid>
      <w:tr w:rsidR="009A7E4C" w:rsidRPr="00686D5A" w:rsidTr="0026102F">
        <w:trPr>
          <w:trHeight w:val="340"/>
        </w:trPr>
        <w:tc>
          <w:tcPr>
            <w:tcW w:w="7371" w:type="dxa"/>
            <w:vAlign w:val="center"/>
          </w:tcPr>
          <w:p w:rsidR="009A7E4C" w:rsidRPr="00686D5A" w:rsidRDefault="009A7E4C" w:rsidP="0026102F">
            <w:pPr>
              <w:keepLines/>
              <w:spacing w:after="120" w:line="260" w:lineRule="exact"/>
              <w:ind w:left="34"/>
              <w:rPr>
                <w:b/>
                <w:bCs/>
                <w:lang w:val="fr-FR"/>
              </w:rPr>
            </w:pPr>
            <w:r w:rsidRPr="00686D5A">
              <w:rPr>
                <w:lang w:val="fr-FR"/>
              </w:rPr>
              <w:t>Audit de la sécurité informatique à l</w:t>
            </w:r>
            <w:r w:rsidR="00D565F4">
              <w:rPr>
                <w:lang w:val="fr-FR"/>
              </w:rPr>
              <w:t>’</w:t>
            </w:r>
            <w:r w:rsidRPr="00686D5A">
              <w:rPr>
                <w:lang w:val="fr-FR"/>
              </w:rPr>
              <w:t>OMPI</w:t>
            </w:r>
          </w:p>
        </w:tc>
        <w:tc>
          <w:tcPr>
            <w:tcW w:w="2092" w:type="dxa"/>
            <w:vAlign w:val="center"/>
          </w:tcPr>
          <w:p w:rsidR="009A7E4C" w:rsidRPr="00686D5A" w:rsidRDefault="009A7E4C" w:rsidP="0026102F">
            <w:pPr>
              <w:keepLines/>
              <w:spacing w:after="120" w:line="260" w:lineRule="exact"/>
              <w:ind w:hanging="41"/>
              <w:rPr>
                <w:b/>
                <w:bCs/>
                <w:lang w:val="fr-FR"/>
              </w:rPr>
            </w:pPr>
            <w:r w:rsidRPr="00686D5A">
              <w:rPr>
                <w:lang w:val="fr-FR"/>
              </w:rPr>
              <w:t>IA 2013</w:t>
            </w:r>
            <w:r w:rsidR="001F4EED">
              <w:rPr>
                <w:lang w:val="fr-FR"/>
              </w:rPr>
              <w:noBreakHyphen/>
            </w:r>
            <w:r w:rsidRPr="00686D5A">
              <w:rPr>
                <w:lang w:val="fr-FR"/>
              </w:rPr>
              <w:t>01</w:t>
            </w:r>
          </w:p>
        </w:tc>
      </w:tr>
      <w:tr w:rsidR="009A7E4C" w:rsidRPr="00686D5A" w:rsidTr="0026102F">
        <w:trPr>
          <w:trHeight w:val="340"/>
        </w:trPr>
        <w:tc>
          <w:tcPr>
            <w:tcW w:w="7371" w:type="dxa"/>
            <w:vAlign w:val="center"/>
          </w:tcPr>
          <w:p w:rsidR="009A7E4C" w:rsidRPr="00686D5A" w:rsidRDefault="009A7E4C" w:rsidP="0026102F">
            <w:pPr>
              <w:keepLines/>
              <w:spacing w:after="120" w:line="260" w:lineRule="exact"/>
              <w:ind w:left="34"/>
              <w:rPr>
                <w:lang w:val="fr-FR"/>
              </w:rPr>
            </w:pPr>
            <w:r w:rsidRPr="00686D5A">
              <w:rPr>
                <w:lang w:val="fr-FR"/>
              </w:rPr>
              <w:t>Audit des systèmes de Madrid et de La Haye</w:t>
            </w:r>
            <w:r w:rsidRPr="00686D5A">
              <w:rPr>
                <w:lang w:val="fr-FR"/>
              </w:rPr>
              <w:br/>
              <w:t>(processus de création de recettes)</w:t>
            </w:r>
          </w:p>
        </w:tc>
        <w:tc>
          <w:tcPr>
            <w:tcW w:w="2092" w:type="dxa"/>
            <w:vAlign w:val="center"/>
          </w:tcPr>
          <w:p w:rsidR="009A7E4C" w:rsidRPr="00686D5A" w:rsidRDefault="009A7E4C" w:rsidP="0026102F">
            <w:pPr>
              <w:keepLines/>
              <w:spacing w:after="120" w:line="260" w:lineRule="exact"/>
              <w:ind w:hanging="41"/>
              <w:rPr>
                <w:lang w:val="fr-FR"/>
              </w:rPr>
            </w:pPr>
            <w:r w:rsidRPr="00686D5A">
              <w:rPr>
                <w:lang w:val="fr-FR"/>
              </w:rPr>
              <w:t>IA 2013</w:t>
            </w:r>
            <w:r w:rsidR="001F4EED">
              <w:rPr>
                <w:lang w:val="fr-FR"/>
              </w:rPr>
              <w:noBreakHyphen/>
            </w:r>
            <w:r w:rsidRPr="00686D5A">
              <w:rPr>
                <w:lang w:val="fr-FR"/>
              </w:rPr>
              <w:t>02</w:t>
            </w:r>
          </w:p>
        </w:tc>
      </w:tr>
      <w:tr w:rsidR="009A7E4C" w:rsidRPr="00686D5A" w:rsidTr="0026102F">
        <w:trPr>
          <w:trHeight w:val="340"/>
        </w:trPr>
        <w:tc>
          <w:tcPr>
            <w:tcW w:w="7371" w:type="dxa"/>
            <w:vAlign w:val="center"/>
          </w:tcPr>
          <w:p w:rsidR="009A7E4C" w:rsidRPr="00686D5A" w:rsidRDefault="009A7E4C" w:rsidP="0026102F">
            <w:pPr>
              <w:keepLines/>
              <w:spacing w:after="120" w:line="260" w:lineRule="exact"/>
              <w:ind w:left="34"/>
              <w:rPr>
                <w:lang w:val="fr-FR"/>
              </w:rPr>
            </w:pPr>
            <w:r w:rsidRPr="00686D5A">
              <w:rPr>
                <w:lang w:val="fr-FR"/>
              </w:rPr>
              <w:t>Audit de la gestion de la cessation de service des fonctionnaires</w:t>
            </w:r>
          </w:p>
        </w:tc>
        <w:tc>
          <w:tcPr>
            <w:tcW w:w="2092" w:type="dxa"/>
            <w:vAlign w:val="center"/>
          </w:tcPr>
          <w:p w:rsidR="009A7E4C" w:rsidRPr="00686D5A" w:rsidRDefault="009A7E4C" w:rsidP="0026102F">
            <w:pPr>
              <w:keepLines/>
              <w:spacing w:after="120" w:line="260" w:lineRule="exact"/>
              <w:ind w:hanging="41"/>
              <w:rPr>
                <w:lang w:val="fr-FR"/>
              </w:rPr>
            </w:pPr>
            <w:r w:rsidRPr="00686D5A">
              <w:rPr>
                <w:lang w:val="fr-FR"/>
              </w:rPr>
              <w:t>IA 2013</w:t>
            </w:r>
            <w:r w:rsidR="001F4EED">
              <w:rPr>
                <w:lang w:val="fr-FR"/>
              </w:rPr>
              <w:noBreakHyphen/>
            </w:r>
            <w:r w:rsidRPr="00686D5A">
              <w:rPr>
                <w:lang w:val="fr-FR"/>
              </w:rPr>
              <w:t>03</w:t>
            </w:r>
          </w:p>
        </w:tc>
      </w:tr>
      <w:tr w:rsidR="009A7E4C" w:rsidRPr="00686D5A" w:rsidTr="0026102F">
        <w:trPr>
          <w:trHeight w:val="340"/>
        </w:trPr>
        <w:tc>
          <w:tcPr>
            <w:tcW w:w="7371" w:type="dxa"/>
            <w:vAlign w:val="center"/>
          </w:tcPr>
          <w:p w:rsidR="009A7E4C" w:rsidRPr="00686D5A" w:rsidRDefault="009A7E4C" w:rsidP="0026102F">
            <w:pPr>
              <w:keepLines/>
              <w:spacing w:after="120" w:line="260" w:lineRule="exact"/>
              <w:ind w:left="34"/>
              <w:rPr>
                <w:lang w:val="fr-FR"/>
              </w:rPr>
            </w:pPr>
            <w:r w:rsidRPr="00686D5A">
              <w:rPr>
                <w:lang w:val="fr-FR"/>
              </w:rPr>
              <w:t>Audit de la migration des données vers le nouveau système de gestion des ressources humaines</w:t>
            </w:r>
          </w:p>
        </w:tc>
        <w:tc>
          <w:tcPr>
            <w:tcW w:w="2092" w:type="dxa"/>
            <w:vAlign w:val="center"/>
          </w:tcPr>
          <w:p w:rsidR="009A7E4C" w:rsidRPr="00686D5A" w:rsidRDefault="009A7E4C" w:rsidP="0026102F">
            <w:pPr>
              <w:keepLines/>
              <w:spacing w:after="120" w:line="260" w:lineRule="exact"/>
              <w:ind w:hanging="41"/>
              <w:rPr>
                <w:lang w:val="fr-FR"/>
              </w:rPr>
            </w:pPr>
            <w:r w:rsidRPr="00686D5A">
              <w:rPr>
                <w:lang w:val="fr-FR"/>
              </w:rPr>
              <w:t>IA 2013</w:t>
            </w:r>
            <w:r w:rsidR="001F4EED">
              <w:rPr>
                <w:lang w:val="fr-FR"/>
              </w:rPr>
              <w:noBreakHyphen/>
            </w:r>
            <w:r w:rsidRPr="00686D5A">
              <w:rPr>
                <w:lang w:val="fr-FR"/>
              </w:rPr>
              <w:t>04</w:t>
            </w:r>
          </w:p>
        </w:tc>
      </w:tr>
      <w:tr w:rsidR="009A7E4C" w:rsidRPr="00686D5A" w:rsidTr="0026102F">
        <w:trPr>
          <w:trHeight w:val="340"/>
        </w:trPr>
        <w:tc>
          <w:tcPr>
            <w:tcW w:w="7371" w:type="dxa"/>
            <w:vAlign w:val="center"/>
          </w:tcPr>
          <w:p w:rsidR="009A7E4C" w:rsidRPr="00686D5A" w:rsidRDefault="009A7E4C" w:rsidP="0026102F">
            <w:pPr>
              <w:keepLines/>
              <w:spacing w:after="120" w:line="260" w:lineRule="exact"/>
              <w:ind w:left="34"/>
              <w:rPr>
                <w:lang w:val="fr-FR"/>
              </w:rPr>
            </w:pPr>
            <w:r w:rsidRPr="00686D5A">
              <w:rPr>
                <w:lang w:val="fr-FR"/>
              </w:rPr>
              <w:t>Audit de la gestion axée sur les résultats</w:t>
            </w:r>
          </w:p>
        </w:tc>
        <w:tc>
          <w:tcPr>
            <w:tcW w:w="2092" w:type="dxa"/>
            <w:vAlign w:val="center"/>
          </w:tcPr>
          <w:p w:rsidR="009A7E4C" w:rsidRPr="00686D5A" w:rsidRDefault="009A7E4C" w:rsidP="0026102F">
            <w:pPr>
              <w:keepLines/>
              <w:spacing w:after="120" w:line="260" w:lineRule="exact"/>
              <w:ind w:hanging="41"/>
              <w:rPr>
                <w:lang w:val="fr-FR"/>
              </w:rPr>
            </w:pPr>
            <w:r w:rsidRPr="00686D5A">
              <w:rPr>
                <w:lang w:val="fr-FR"/>
              </w:rPr>
              <w:t>IA 2013</w:t>
            </w:r>
            <w:r w:rsidR="001F4EED">
              <w:rPr>
                <w:lang w:val="fr-FR"/>
              </w:rPr>
              <w:noBreakHyphen/>
            </w:r>
            <w:r w:rsidRPr="00686D5A">
              <w:rPr>
                <w:lang w:val="fr-FR"/>
              </w:rPr>
              <w:t>05</w:t>
            </w:r>
          </w:p>
        </w:tc>
      </w:tr>
      <w:tr w:rsidR="009A7E4C" w:rsidRPr="00686D5A" w:rsidTr="0026102F">
        <w:trPr>
          <w:trHeight w:val="340"/>
        </w:trPr>
        <w:tc>
          <w:tcPr>
            <w:tcW w:w="7371" w:type="dxa"/>
            <w:vAlign w:val="center"/>
          </w:tcPr>
          <w:p w:rsidR="009A7E4C" w:rsidRPr="00686D5A" w:rsidRDefault="009A7E4C" w:rsidP="0026102F">
            <w:pPr>
              <w:keepLines/>
              <w:spacing w:after="120" w:line="260" w:lineRule="exact"/>
              <w:ind w:left="34"/>
              <w:rPr>
                <w:lang w:val="fr-FR"/>
              </w:rPr>
            </w:pPr>
            <w:r w:rsidRPr="00686D5A">
              <w:rPr>
                <w:lang w:val="fr-FR"/>
              </w:rPr>
              <w:t>Audit des fonds fiduciaires gérés par l</w:t>
            </w:r>
            <w:r w:rsidR="00D565F4">
              <w:rPr>
                <w:lang w:val="fr-FR"/>
              </w:rPr>
              <w:t>’</w:t>
            </w:r>
            <w:r w:rsidRPr="00686D5A">
              <w:rPr>
                <w:lang w:val="fr-FR"/>
              </w:rPr>
              <w:t>OMPI</w:t>
            </w:r>
          </w:p>
        </w:tc>
        <w:tc>
          <w:tcPr>
            <w:tcW w:w="2092" w:type="dxa"/>
            <w:vAlign w:val="center"/>
          </w:tcPr>
          <w:p w:rsidR="009A7E4C" w:rsidRPr="00686D5A" w:rsidRDefault="009A7E4C" w:rsidP="0026102F">
            <w:pPr>
              <w:keepLines/>
              <w:spacing w:after="120" w:line="260" w:lineRule="exact"/>
              <w:ind w:hanging="41"/>
              <w:rPr>
                <w:lang w:val="fr-FR"/>
              </w:rPr>
            </w:pPr>
            <w:r w:rsidRPr="00686D5A">
              <w:rPr>
                <w:lang w:val="fr-FR"/>
              </w:rPr>
              <w:t>IA 2013</w:t>
            </w:r>
            <w:r w:rsidR="001F4EED">
              <w:rPr>
                <w:lang w:val="fr-FR"/>
              </w:rPr>
              <w:noBreakHyphen/>
            </w:r>
            <w:r w:rsidRPr="00686D5A">
              <w:rPr>
                <w:lang w:val="fr-FR"/>
              </w:rPr>
              <w:t>06</w:t>
            </w:r>
          </w:p>
        </w:tc>
      </w:tr>
      <w:tr w:rsidR="009A7E4C" w:rsidRPr="00686D5A" w:rsidTr="0026102F">
        <w:trPr>
          <w:trHeight w:val="340"/>
        </w:trPr>
        <w:tc>
          <w:tcPr>
            <w:tcW w:w="7371" w:type="dxa"/>
            <w:vAlign w:val="center"/>
          </w:tcPr>
          <w:p w:rsidR="009A7E4C" w:rsidRPr="00686D5A" w:rsidRDefault="009A7E4C" w:rsidP="0026102F">
            <w:pPr>
              <w:keepLines/>
              <w:spacing w:after="120" w:line="260" w:lineRule="exact"/>
              <w:ind w:left="34"/>
              <w:rPr>
                <w:lang w:val="fr-FR"/>
              </w:rPr>
            </w:pPr>
            <w:r w:rsidRPr="00686D5A">
              <w:rPr>
                <w:lang w:val="fr-FR"/>
              </w:rPr>
              <w:t>Audit de la gestion des prestations et avantages du personnel</w:t>
            </w:r>
          </w:p>
        </w:tc>
        <w:tc>
          <w:tcPr>
            <w:tcW w:w="2092" w:type="dxa"/>
            <w:vAlign w:val="center"/>
          </w:tcPr>
          <w:p w:rsidR="009A7E4C" w:rsidRPr="00686D5A" w:rsidRDefault="009A7E4C" w:rsidP="0026102F">
            <w:pPr>
              <w:keepLines/>
              <w:spacing w:after="120" w:line="260" w:lineRule="exact"/>
              <w:ind w:hanging="41"/>
              <w:rPr>
                <w:lang w:val="fr-FR"/>
              </w:rPr>
            </w:pPr>
            <w:r w:rsidRPr="00686D5A">
              <w:rPr>
                <w:lang w:val="fr-FR"/>
              </w:rPr>
              <w:t>IA 2014</w:t>
            </w:r>
            <w:r w:rsidR="001F4EED">
              <w:rPr>
                <w:lang w:val="fr-FR"/>
              </w:rPr>
              <w:noBreakHyphen/>
            </w:r>
            <w:r w:rsidRPr="00686D5A">
              <w:rPr>
                <w:lang w:val="fr-FR"/>
              </w:rPr>
              <w:t>01</w:t>
            </w:r>
          </w:p>
        </w:tc>
      </w:tr>
      <w:tr w:rsidR="009A7E4C" w:rsidRPr="00686D5A" w:rsidTr="0026102F">
        <w:trPr>
          <w:trHeight w:val="340"/>
        </w:trPr>
        <w:tc>
          <w:tcPr>
            <w:tcW w:w="7371" w:type="dxa"/>
            <w:vAlign w:val="center"/>
          </w:tcPr>
          <w:p w:rsidR="009A7E4C" w:rsidRPr="00686D5A" w:rsidRDefault="009A7E4C" w:rsidP="0026102F">
            <w:pPr>
              <w:keepLines/>
              <w:spacing w:after="120" w:line="260" w:lineRule="exact"/>
              <w:ind w:left="34"/>
              <w:rPr>
                <w:lang w:val="fr-FR"/>
              </w:rPr>
            </w:pPr>
            <w:r w:rsidRPr="00686D5A">
              <w:rPr>
                <w:lang w:val="fr-FR"/>
              </w:rPr>
              <w:t>Audit des manifestations officielles</w:t>
            </w:r>
          </w:p>
        </w:tc>
        <w:tc>
          <w:tcPr>
            <w:tcW w:w="2092" w:type="dxa"/>
            <w:vAlign w:val="center"/>
          </w:tcPr>
          <w:p w:rsidR="009A7E4C" w:rsidRPr="00686D5A" w:rsidRDefault="009A7E4C" w:rsidP="0026102F">
            <w:pPr>
              <w:keepLines/>
              <w:spacing w:after="120" w:line="260" w:lineRule="exact"/>
              <w:ind w:hanging="41"/>
              <w:rPr>
                <w:lang w:val="fr-FR"/>
              </w:rPr>
            </w:pPr>
            <w:r w:rsidRPr="00686D5A">
              <w:rPr>
                <w:lang w:val="fr-FR"/>
              </w:rPr>
              <w:t>IA 2014</w:t>
            </w:r>
            <w:r w:rsidR="001F4EED">
              <w:rPr>
                <w:lang w:val="fr-FR"/>
              </w:rPr>
              <w:noBreakHyphen/>
            </w:r>
            <w:r w:rsidRPr="00686D5A">
              <w:rPr>
                <w:lang w:val="fr-FR"/>
              </w:rPr>
              <w:t>02</w:t>
            </w:r>
          </w:p>
        </w:tc>
      </w:tr>
      <w:tr w:rsidR="009A7E4C" w:rsidRPr="00686D5A" w:rsidTr="0026102F">
        <w:trPr>
          <w:trHeight w:val="340"/>
        </w:trPr>
        <w:tc>
          <w:tcPr>
            <w:tcW w:w="7371" w:type="dxa"/>
            <w:vAlign w:val="center"/>
          </w:tcPr>
          <w:p w:rsidR="009A7E4C" w:rsidRPr="00686D5A" w:rsidRDefault="009A7E4C" w:rsidP="0026102F">
            <w:pPr>
              <w:keepLines/>
              <w:spacing w:after="120" w:line="260" w:lineRule="exact"/>
              <w:ind w:left="34"/>
              <w:rPr>
                <w:lang w:val="fr-FR"/>
              </w:rPr>
            </w:pPr>
            <w:r w:rsidRPr="00686D5A">
              <w:rPr>
                <w:lang w:val="fr-FR"/>
              </w:rPr>
              <w:t>Validation du rapport sur l</w:t>
            </w:r>
            <w:r w:rsidR="00D565F4">
              <w:rPr>
                <w:lang w:val="fr-FR"/>
              </w:rPr>
              <w:t>’</w:t>
            </w:r>
            <w:r w:rsidRPr="00686D5A">
              <w:rPr>
                <w:lang w:val="fr-FR"/>
              </w:rPr>
              <w:t>exécution du programme</w:t>
            </w:r>
          </w:p>
        </w:tc>
        <w:tc>
          <w:tcPr>
            <w:tcW w:w="2092" w:type="dxa"/>
            <w:vAlign w:val="center"/>
          </w:tcPr>
          <w:p w:rsidR="009A7E4C" w:rsidRPr="00686D5A" w:rsidRDefault="009A7E4C" w:rsidP="0026102F">
            <w:pPr>
              <w:keepLines/>
              <w:spacing w:after="120" w:line="260" w:lineRule="exact"/>
              <w:ind w:hanging="41"/>
              <w:rPr>
                <w:lang w:val="fr-FR"/>
              </w:rPr>
            </w:pPr>
            <w:r w:rsidRPr="00686D5A">
              <w:rPr>
                <w:lang w:val="fr-FR"/>
              </w:rPr>
              <w:t>VALID 2014</w:t>
            </w:r>
            <w:r w:rsidR="001F4EED">
              <w:rPr>
                <w:lang w:val="fr-FR"/>
              </w:rPr>
              <w:noBreakHyphen/>
            </w:r>
            <w:r w:rsidRPr="00686D5A">
              <w:rPr>
                <w:lang w:val="fr-FR"/>
              </w:rPr>
              <w:t>01</w:t>
            </w:r>
          </w:p>
        </w:tc>
      </w:tr>
      <w:tr w:rsidR="009A7E4C" w:rsidRPr="00686D5A" w:rsidTr="0026102F">
        <w:trPr>
          <w:trHeight w:val="340"/>
        </w:trPr>
        <w:tc>
          <w:tcPr>
            <w:tcW w:w="7371" w:type="dxa"/>
            <w:vAlign w:val="center"/>
          </w:tcPr>
          <w:p w:rsidR="009A7E4C" w:rsidRPr="00686D5A" w:rsidRDefault="009A7E4C" w:rsidP="005E35C2">
            <w:pPr>
              <w:keepLines/>
              <w:spacing w:after="120" w:line="260" w:lineRule="exact"/>
              <w:ind w:left="34"/>
              <w:rPr>
                <w:lang w:val="fr-FR"/>
              </w:rPr>
            </w:pPr>
            <w:r w:rsidRPr="00686D5A">
              <w:rPr>
                <w:lang w:val="fr-FR"/>
              </w:rPr>
              <w:t xml:space="preserve">Évaluation du </w:t>
            </w:r>
            <w:r w:rsidR="005E35C2" w:rsidRPr="00686D5A">
              <w:rPr>
                <w:lang w:val="fr-FR"/>
              </w:rPr>
              <w:t>p</w:t>
            </w:r>
            <w:r w:rsidRPr="00686D5A">
              <w:rPr>
                <w:lang w:val="fr-FR"/>
              </w:rPr>
              <w:t>rogramme</w:t>
            </w:r>
            <w:r w:rsidR="005E35C2" w:rsidRPr="00686D5A">
              <w:rPr>
                <w:lang w:val="fr-FR"/>
              </w:rPr>
              <w:t> </w:t>
            </w:r>
            <w:r w:rsidRPr="00686D5A">
              <w:rPr>
                <w:lang w:val="fr-FR"/>
              </w:rPr>
              <w:t>1 (Droit des brevets)</w:t>
            </w:r>
          </w:p>
        </w:tc>
        <w:tc>
          <w:tcPr>
            <w:tcW w:w="2092" w:type="dxa"/>
            <w:vAlign w:val="center"/>
          </w:tcPr>
          <w:p w:rsidR="009A7E4C" w:rsidRPr="00686D5A" w:rsidRDefault="009A7E4C" w:rsidP="0026102F">
            <w:pPr>
              <w:keepLines/>
              <w:spacing w:after="120" w:line="260" w:lineRule="exact"/>
              <w:ind w:hanging="41"/>
              <w:rPr>
                <w:lang w:val="fr-FR"/>
              </w:rPr>
            </w:pPr>
            <w:r w:rsidRPr="00686D5A">
              <w:rPr>
                <w:lang w:val="fr-FR"/>
              </w:rPr>
              <w:t>EVAL 2012</w:t>
            </w:r>
            <w:r w:rsidR="001F4EED">
              <w:rPr>
                <w:lang w:val="fr-FR"/>
              </w:rPr>
              <w:noBreakHyphen/>
            </w:r>
            <w:r w:rsidRPr="00686D5A">
              <w:rPr>
                <w:lang w:val="fr-FR"/>
              </w:rPr>
              <w:t>03</w:t>
            </w:r>
          </w:p>
        </w:tc>
      </w:tr>
      <w:tr w:rsidR="009A7E4C" w:rsidRPr="00686D5A" w:rsidTr="0026102F">
        <w:trPr>
          <w:trHeight w:val="340"/>
        </w:trPr>
        <w:tc>
          <w:tcPr>
            <w:tcW w:w="7371" w:type="dxa"/>
            <w:vAlign w:val="center"/>
          </w:tcPr>
          <w:p w:rsidR="009A7E4C" w:rsidRPr="00686D5A" w:rsidRDefault="009A7E4C" w:rsidP="009B2921">
            <w:pPr>
              <w:keepLines/>
              <w:spacing w:after="120" w:line="260" w:lineRule="exact"/>
              <w:ind w:left="34"/>
              <w:rPr>
                <w:szCs w:val="22"/>
                <w:lang w:val="fr-FR"/>
              </w:rPr>
            </w:pPr>
            <w:r w:rsidRPr="00686D5A">
              <w:rPr>
                <w:lang w:val="fr-FR"/>
              </w:rPr>
              <w:t>Évaluation des services d</w:t>
            </w:r>
            <w:r w:rsidR="00D565F4">
              <w:rPr>
                <w:lang w:val="fr-FR"/>
              </w:rPr>
              <w:t>’</w:t>
            </w:r>
            <w:r w:rsidRPr="00686D5A">
              <w:rPr>
                <w:lang w:val="fr-FR"/>
              </w:rPr>
              <w:t>appui au Comité inter</w:t>
            </w:r>
            <w:r w:rsidRPr="00686D5A">
              <w:rPr>
                <w:rFonts w:eastAsia="Times New Roman"/>
                <w:szCs w:val="22"/>
                <w:lang w:val="fr-FR" w:eastAsia="en-US"/>
              </w:rPr>
              <w:t>gouvernemental de la propriété intellectuelle relative aux ressources génétiques, aux savoirs traditionnels et au folklore (IGC)</w:t>
            </w:r>
          </w:p>
        </w:tc>
        <w:tc>
          <w:tcPr>
            <w:tcW w:w="2092" w:type="dxa"/>
            <w:vAlign w:val="center"/>
          </w:tcPr>
          <w:p w:rsidR="009A7E4C" w:rsidRPr="00686D5A" w:rsidRDefault="009A7E4C" w:rsidP="0026102F">
            <w:pPr>
              <w:keepLines/>
              <w:spacing w:after="120" w:line="260" w:lineRule="exact"/>
              <w:ind w:hanging="41"/>
              <w:rPr>
                <w:lang w:val="fr-FR"/>
              </w:rPr>
            </w:pPr>
            <w:r w:rsidRPr="00686D5A">
              <w:rPr>
                <w:lang w:val="fr-FR"/>
              </w:rPr>
              <w:t>EVAL 2013</w:t>
            </w:r>
            <w:r w:rsidR="001F4EED">
              <w:rPr>
                <w:lang w:val="fr-FR"/>
              </w:rPr>
              <w:noBreakHyphen/>
            </w:r>
            <w:r w:rsidRPr="00686D5A">
              <w:rPr>
                <w:lang w:val="fr-FR"/>
              </w:rPr>
              <w:t>03</w:t>
            </w:r>
          </w:p>
        </w:tc>
      </w:tr>
      <w:tr w:rsidR="009A7E4C" w:rsidRPr="00686D5A" w:rsidTr="0026102F">
        <w:trPr>
          <w:trHeight w:val="340"/>
        </w:trPr>
        <w:tc>
          <w:tcPr>
            <w:tcW w:w="7371" w:type="dxa"/>
            <w:vAlign w:val="center"/>
          </w:tcPr>
          <w:p w:rsidR="009A7E4C" w:rsidRPr="00686D5A" w:rsidRDefault="009A7E4C" w:rsidP="0026102F">
            <w:pPr>
              <w:keepLines/>
              <w:spacing w:after="120" w:line="260" w:lineRule="exact"/>
              <w:ind w:left="34"/>
              <w:rPr>
                <w:lang w:val="fr-FR"/>
              </w:rPr>
            </w:pPr>
            <w:r w:rsidRPr="00686D5A">
              <w:rPr>
                <w:lang w:val="fr-FR"/>
              </w:rPr>
              <w:t>Évaluation du portefeuille d</w:t>
            </w:r>
            <w:r w:rsidR="00D565F4">
              <w:rPr>
                <w:lang w:val="fr-FR"/>
              </w:rPr>
              <w:t>’</w:t>
            </w:r>
            <w:r w:rsidRPr="00686D5A">
              <w:rPr>
                <w:lang w:val="fr-FR"/>
              </w:rPr>
              <w:t>activités en Thaïlande</w:t>
            </w:r>
          </w:p>
        </w:tc>
        <w:tc>
          <w:tcPr>
            <w:tcW w:w="2092" w:type="dxa"/>
            <w:vAlign w:val="center"/>
          </w:tcPr>
          <w:p w:rsidR="009A7E4C" w:rsidRPr="00686D5A" w:rsidRDefault="009A7E4C" w:rsidP="0026102F">
            <w:pPr>
              <w:keepLines/>
              <w:spacing w:after="120" w:line="260" w:lineRule="exact"/>
              <w:ind w:hanging="41"/>
              <w:rPr>
                <w:lang w:val="fr-FR"/>
              </w:rPr>
            </w:pPr>
            <w:r w:rsidRPr="00686D5A">
              <w:rPr>
                <w:lang w:val="fr-FR"/>
              </w:rPr>
              <w:t>EVAL 2013</w:t>
            </w:r>
            <w:r w:rsidR="001F4EED">
              <w:rPr>
                <w:lang w:val="fr-FR"/>
              </w:rPr>
              <w:noBreakHyphen/>
            </w:r>
            <w:r w:rsidRPr="00686D5A">
              <w:rPr>
                <w:lang w:val="fr-FR"/>
              </w:rPr>
              <w:t>05</w:t>
            </w:r>
          </w:p>
        </w:tc>
      </w:tr>
      <w:tr w:rsidR="009A7E4C" w:rsidRPr="00686D5A" w:rsidTr="0026102F">
        <w:trPr>
          <w:trHeight w:val="340"/>
        </w:trPr>
        <w:tc>
          <w:tcPr>
            <w:tcW w:w="7371" w:type="dxa"/>
            <w:vAlign w:val="center"/>
          </w:tcPr>
          <w:p w:rsidR="009A7E4C" w:rsidRPr="00686D5A" w:rsidRDefault="009A7E4C" w:rsidP="0026102F">
            <w:pPr>
              <w:keepLines/>
              <w:spacing w:after="120" w:line="260" w:lineRule="exact"/>
              <w:ind w:left="34"/>
              <w:rPr>
                <w:lang w:val="fr-FR"/>
              </w:rPr>
            </w:pPr>
            <w:r w:rsidRPr="00686D5A">
              <w:rPr>
                <w:lang w:val="fr-FR"/>
              </w:rPr>
              <w:t>Évaluation du partage des connaissances au sein de l</w:t>
            </w:r>
            <w:r w:rsidR="00D565F4">
              <w:rPr>
                <w:lang w:val="fr-FR"/>
              </w:rPr>
              <w:t>’</w:t>
            </w:r>
            <w:r w:rsidRPr="00686D5A">
              <w:rPr>
                <w:lang w:val="fr-FR"/>
              </w:rPr>
              <w:t>OMPI</w:t>
            </w:r>
          </w:p>
        </w:tc>
        <w:tc>
          <w:tcPr>
            <w:tcW w:w="2092" w:type="dxa"/>
            <w:vAlign w:val="center"/>
          </w:tcPr>
          <w:p w:rsidR="009A7E4C" w:rsidRPr="00686D5A" w:rsidRDefault="009A7E4C" w:rsidP="0026102F">
            <w:pPr>
              <w:keepLines/>
              <w:spacing w:after="120" w:line="260" w:lineRule="exact"/>
              <w:ind w:hanging="41"/>
              <w:rPr>
                <w:lang w:val="fr-FR"/>
              </w:rPr>
            </w:pPr>
            <w:r w:rsidRPr="00686D5A">
              <w:rPr>
                <w:lang w:val="fr-FR"/>
              </w:rPr>
              <w:t>EVAL 2014</w:t>
            </w:r>
            <w:r w:rsidR="001F4EED">
              <w:rPr>
                <w:lang w:val="fr-FR"/>
              </w:rPr>
              <w:noBreakHyphen/>
            </w:r>
            <w:r w:rsidRPr="00686D5A">
              <w:rPr>
                <w:lang w:val="fr-FR"/>
              </w:rPr>
              <w:t>01</w:t>
            </w:r>
          </w:p>
        </w:tc>
      </w:tr>
      <w:tr w:rsidR="009A7E4C" w:rsidRPr="00686D5A" w:rsidTr="0026102F">
        <w:trPr>
          <w:trHeight w:val="340"/>
        </w:trPr>
        <w:tc>
          <w:tcPr>
            <w:tcW w:w="7371" w:type="dxa"/>
            <w:vAlign w:val="center"/>
          </w:tcPr>
          <w:p w:rsidR="009A7E4C" w:rsidRPr="00686D5A" w:rsidRDefault="009A7E4C" w:rsidP="0026102F">
            <w:pPr>
              <w:keepLines/>
              <w:spacing w:after="120" w:line="260" w:lineRule="exact"/>
              <w:ind w:left="34"/>
              <w:rPr>
                <w:lang w:val="fr-FR"/>
              </w:rPr>
            </w:pPr>
            <w:r w:rsidRPr="00686D5A">
              <w:rPr>
                <w:lang w:val="fr-FR"/>
              </w:rPr>
              <w:t xml:space="preserve">Programme pilote de récompenses et de </w:t>
            </w:r>
            <w:r w:rsidR="005E35C2" w:rsidRPr="00686D5A">
              <w:rPr>
                <w:lang w:val="fr-FR"/>
              </w:rPr>
              <w:t>reconnaissance </w:t>
            </w:r>
            <w:r w:rsidRPr="00686D5A">
              <w:rPr>
                <w:lang w:val="fr-FR"/>
              </w:rPr>
              <w:t>2013 (élaboré conjointement avec</w:t>
            </w:r>
            <w:r w:rsidR="00E11857" w:rsidRPr="00686D5A">
              <w:rPr>
                <w:lang w:val="fr-FR"/>
              </w:rPr>
              <w:t xml:space="preserve"> le DGR</w:t>
            </w:r>
            <w:r w:rsidRPr="00686D5A">
              <w:rPr>
                <w:lang w:val="fr-FR"/>
              </w:rPr>
              <w:t>H)</w:t>
            </w:r>
          </w:p>
        </w:tc>
        <w:tc>
          <w:tcPr>
            <w:tcW w:w="2092" w:type="dxa"/>
            <w:vAlign w:val="center"/>
          </w:tcPr>
          <w:p w:rsidR="009A7E4C" w:rsidRPr="00686D5A" w:rsidRDefault="009A7E4C" w:rsidP="0026102F">
            <w:pPr>
              <w:keepLines/>
              <w:spacing w:after="120" w:line="260" w:lineRule="exact"/>
              <w:ind w:hanging="41"/>
              <w:rPr>
                <w:lang w:val="fr-FR"/>
              </w:rPr>
            </w:pPr>
            <w:r w:rsidRPr="00686D5A">
              <w:rPr>
                <w:lang w:val="fr-FR"/>
              </w:rPr>
              <w:t>EVAL 2014</w:t>
            </w:r>
            <w:r w:rsidR="001F4EED">
              <w:rPr>
                <w:lang w:val="fr-FR"/>
              </w:rPr>
              <w:noBreakHyphen/>
            </w:r>
            <w:r w:rsidRPr="00686D5A">
              <w:rPr>
                <w:lang w:val="fr-FR"/>
              </w:rPr>
              <w:t>06</w:t>
            </w:r>
          </w:p>
        </w:tc>
      </w:tr>
      <w:tr w:rsidR="009A7E4C" w:rsidRPr="00686D5A" w:rsidTr="0026102F">
        <w:trPr>
          <w:trHeight w:val="340"/>
        </w:trPr>
        <w:tc>
          <w:tcPr>
            <w:tcW w:w="7371" w:type="dxa"/>
            <w:vAlign w:val="center"/>
          </w:tcPr>
          <w:p w:rsidR="009A7E4C" w:rsidRPr="00686D5A" w:rsidRDefault="009A7E4C" w:rsidP="0026102F">
            <w:pPr>
              <w:keepLines/>
              <w:spacing w:after="120" w:line="260" w:lineRule="exact"/>
              <w:ind w:left="34"/>
              <w:rPr>
                <w:lang w:val="fr-FR"/>
              </w:rPr>
            </w:pPr>
            <w:r w:rsidRPr="00686D5A">
              <w:rPr>
                <w:lang w:val="fr-FR"/>
              </w:rPr>
              <w:t>Rapport d</w:t>
            </w:r>
            <w:r w:rsidR="00D565F4">
              <w:rPr>
                <w:lang w:val="fr-FR"/>
              </w:rPr>
              <w:t>’</w:t>
            </w:r>
            <w:r w:rsidRPr="00686D5A">
              <w:rPr>
                <w:lang w:val="fr-FR"/>
              </w:rPr>
              <w:t>évaluation des risques de fraude</w:t>
            </w:r>
          </w:p>
        </w:tc>
        <w:tc>
          <w:tcPr>
            <w:tcW w:w="2092" w:type="dxa"/>
            <w:vAlign w:val="center"/>
          </w:tcPr>
          <w:p w:rsidR="009A7E4C" w:rsidRPr="00686D5A" w:rsidRDefault="009A7E4C" w:rsidP="0026102F">
            <w:pPr>
              <w:keepLines/>
              <w:spacing w:after="120" w:line="260" w:lineRule="exact"/>
              <w:ind w:hanging="41"/>
              <w:rPr>
                <w:lang w:val="fr-FR"/>
              </w:rPr>
            </w:pPr>
            <w:r w:rsidRPr="00686D5A">
              <w:rPr>
                <w:lang w:val="fr-FR"/>
              </w:rPr>
              <w:t>FRA 2014</w:t>
            </w:r>
            <w:r w:rsidR="001F4EED">
              <w:rPr>
                <w:lang w:val="fr-FR"/>
              </w:rPr>
              <w:noBreakHyphen/>
            </w:r>
            <w:r w:rsidRPr="00686D5A">
              <w:rPr>
                <w:lang w:val="fr-FR"/>
              </w:rPr>
              <w:t>01</w:t>
            </w:r>
          </w:p>
        </w:tc>
      </w:tr>
      <w:tr w:rsidR="009A7E4C" w:rsidRPr="00686D5A" w:rsidTr="0026102F">
        <w:trPr>
          <w:trHeight w:val="340"/>
        </w:trPr>
        <w:tc>
          <w:tcPr>
            <w:tcW w:w="9463" w:type="dxa"/>
            <w:gridSpan w:val="2"/>
            <w:vAlign w:val="center"/>
          </w:tcPr>
          <w:p w:rsidR="009A7E4C" w:rsidRPr="00686D5A" w:rsidRDefault="009A7E4C" w:rsidP="0026102F">
            <w:pPr>
              <w:keepLines/>
              <w:spacing w:after="120" w:line="260" w:lineRule="exact"/>
              <w:ind w:left="34"/>
              <w:rPr>
                <w:lang w:val="fr-FR"/>
              </w:rPr>
            </w:pPr>
            <w:r w:rsidRPr="00686D5A">
              <w:rPr>
                <w:lang w:val="fr-FR"/>
              </w:rPr>
              <w:t>26 dossiers d</w:t>
            </w:r>
            <w:r w:rsidR="00D565F4">
              <w:rPr>
                <w:lang w:val="fr-FR"/>
              </w:rPr>
              <w:t>’</w:t>
            </w:r>
            <w:r w:rsidRPr="00686D5A">
              <w:rPr>
                <w:lang w:val="fr-FR"/>
              </w:rPr>
              <w:t>enquête enregistrés</w:t>
            </w:r>
          </w:p>
        </w:tc>
      </w:tr>
      <w:tr w:rsidR="009A7E4C" w:rsidRPr="004E60A4" w:rsidTr="0026102F">
        <w:trPr>
          <w:trHeight w:val="340"/>
        </w:trPr>
        <w:tc>
          <w:tcPr>
            <w:tcW w:w="9463" w:type="dxa"/>
            <w:gridSpan w:val="2"/>
            <w:vAlign w:val="center"/>
          </w:tcPr>
          <w:p w:rsidR="009A7E4C" w:rsidRPr="00686D5A" w:rsidRDefault="009A7E4C" w:rsidP="0026102F">
            <w:pPr>
              <w:keepLines/>
              <w:spacing w:after="120" w:line="260" w:lineRule="exact"/>
              <w:ind w:left="34"/>
              <w:rPr>
                <w:lang w:val="fr-FR"/>
              </w:rPr>
            </w:pPr>
            <w:r w:rsidRPr="00686D5A">
              <w:rPr>
                <w:lang w:val="fr-FR"/>
              </w:rPr>
              <w:t>16 dossiers d</w:t>
            </w:r>
            <w:r w:rsidR="00D565F4">
              <w:rPr>
                <w:lang w:val="fr-FR"/>
              </w:rPr>
              <w:t>’</w:t>
            </w:r>
            <w:r w:rsidRPr="00686D5A">
              <w:rPr>
                <w:lang w:val="fr-FR"/>
              </w:rPr>
              <w:t>enquête clôturés, représentant au cours de la période considérée 12 rapports d</w:t>
            </w:r>
            <w:r w:rsidR="00D565F4">
              <w:rPr>
                <w:lang w:val="fr-FR"/>
              </w:rPr>
              <w:t>’</w:t>
            </w:r>
            <w:r w:rsidRPr="00686D5A">
              <w:rPr>
                <w:lang w:val="fr-FR"/>
              </w:rPr>
              <w:t>évaluation préliminaire, quatre</w:t>
            </w:r>
            <w:r w:rsidR="00413B67" w:rsidRPr="00686D5A">
              <w:rPr>
                <w:lang w:val="fr-FR"/>
              </w:rPr>
              <w:t> </w:t>
            </w:r>
            <w:r w:rsidRPr="00686D5A">
              <w:rPr>
                <w:lang w:val="fr-FR"/>
              </w:rPr>
              <w:t>rapports d</w:t>
            </w:r>
            <w:r w:rsidR="00D565F4">
              <w:rPr>
                <w:lang w:val="fr-FR"/>
              </w:rPr>
              <w:t>’</w:t>
            </w:r>
            <w:r w:rsidRPr="00686D5A">
              <w:rPr>
                <w:lang w:val="fr-FR"/>
              </w:rPr>
              <w:t>enquête, sept</w:t>
            </w:r>
            <w:r w:rsidR="00413B67" w:rsidRPr="00686D5A">
              <w:rPr>
                <w:lang w:val="fr-FR"/>
              </w:rPr>
              <w:t> </w:t>
            </w:r>
            <w:r w:rsidRPr="00686D5A">
              <w:rPr>
                <w:lang w:val="fr-FR"/>
              </w:rPr>
              <w:t>rapports sur des problèmes en matière de gestion et un rapport ad hoc</w:t>
            </w:r>
          </w:p>
        </w:tc>
      </w:tr>
    </w:tbl>
    <w:p w:rsidR="009A7E4C" w:rsidRPr="00686D5A" w:rsidRDefault="009A7E4C" w:rsidP="005455F1">
      <w:pPr>
        <w:keepLines/>
        <w:ind w:left="5533"/>
        <w:jc w:val="right"/>
        <w:rPr>
          <w:lang w:val="fr-FR"/>
        </w:rPr>
      </w:pPr>
    </w:p>
    <w:p w:rsidR="00702D27" w:rsidRPr="00686D5A" w:rsidRDefault="00702D27" w:rsidP="00702D27">
      <w:pPr>
        <w:pStyle w:val="Endofdocument-Annex"/>
        <w:rPr>
          <w:lang w:val="fr-FR"/>
        </w:rPr>
      </w:pPr>
    </w:p>
    <w:p w:rsidR="00702D27" w:rsidRPr="00686D5A" w:rsidRDefault="00702D27" w:rsidP="00702D27">
      <w:pPr>
        <w:pStyle w:val="Endofdocument-Annex"/>
        <w:rPr>
          <w:lang w:val="fr-FR"/>
        </w:rPr>
      </w:pPr>
    </w:p>
    <w:p w:rsidR="009A7E4C" w:rsidRPr="00686D5A" w:rsidRDefault="009A7E4C" w:rsidP="00702D27">
      <w:pPr>
        <w:pStyle w:val="Endofdocument-Annex"/>
        <w:rPr>
          <w:lang w:val="fr-FR"/>
        </w:rPr>
      </w:pPr>
      <w:r w:rsidRPr="00686D5A">
        <w:rPr>
          <w:lang w:val="fr-FR"/>
        </w:rPr>
        <w:t>[L</w:t>
      </w:r>
      <w:r w:rsidR="00D565F4">
        <w:rPr>
          <w:lang w:val="fr-FR"/>
        </w:rPr>
        <w:t>’</w:t>
      </w:r>
      <w:r w:rsidR="00702D27" w:rsidRPr="00686D5A">
        <w:rPr>
          <w:lang w:val="fr-FR"/>
        </w:rPr>
        <w:t>annexe </w:t>
      </w:r>
      <w:r w:rsidRPr="00686D5A">
        <w:rPr>
          <w:lang w:val="fr-FR"/>
        </w:rPr>
        <w:t>III suit]</w:t>
      </w:r>
    </w:p>
    <w:p w:rsidR="009A7E4C" w:rsidRPr="00686D5A" w:rsidRDefault="009A7E4C" w:rsidP="00E412BD">
      <w:pPr>
        <w:keepLines/>
        <w:rPr>
          <w:lang w:val="fr-FR"/>
        </w:rPr>
      </w:pPr>
    </w:p>
    <w:p w:rsidR="009A7E4C" w:rsidRPr="00686D5A" w:rsidRDefault="009A7E4C" w:rsidP="00E412BD">
      <w:pPr>
        <w:keepLines/>
        <w:rPr>
          <w:lang w:val="fr-FR"/>
        </w:rPr>
        <w:sectPr w:rsidR="009A7E4C" w:rsidRPr="00686D5A" w:rsidSect="00D7054D">
          <w:headerReference w:type="default" r:id="rId26"/>
          <w:footnotePr>
            <w:numRestart w:val="eachSect"/>
          </w:footnotePr>
          <w:endnotePr>
            <w:numFmt w:val="decimal"/>
          </w:endnotePr>
          <w:pgSz w:w="11907" w:h="16840" w:code="9"/>
          <w:pgMar w:top="567" w:right="1134" w:bottom="1418" w:left="1418" w:header="510" w:footer="1021" w:gutter="0"/>
          <w:cols w:space="720"/>
          <w:docGrid w:linePitch="299"/>
        </w:sectPr>
      </w:pPr>
    </w:p>
    <w:p w:rsidR="009A7E4C" w:rsidRPr="00686D5A" w:rsidRDefault="009A7E4C" w:rsidP="00F76C51">
      <w:pPr>
        <w:keepLines/>
        <w:spacing w:after="120"/>
        <w:jc w:val="center"/>
        <w:rPr>
          <w:b/>
          <w:bCs/>
          <w:lang w:val="fr-FR"/>
        </w:rPr>
      </w:pPr>
      <w:r w:rsidRPr="00686D5A">
        <w:rPr>
          <w:b/>
          <w:bCs/>
          <w:lang w:val="fr-FR"/>
        </w:rPr>
        <w:lastRenderedPageBreak/>
        <w:t>STATISTIQUES RELATIVES AUX ENQUÊTES</w:t>
      </w:r>
    </w:p>
    <w:p w:rsidR="009A7E4C" w:rsidRPr="00686D5A" w:rsidRDefault="009A7E4C" w:rsidP="00F76C51">
      <w:pPr>
        <w:pStyle w:val="ONUME"/>
        <w:keepLines/>
        <w:numPr>
          <w:ilvl w:val="0"/>
          <w:numId w:val="0"/>
        </w:numPr>
        <w:spacing w:after="180"/>
      </w:pPr>
      <w:r w:rsidRPr="00686D5A">
        <w:t>Entre mars 2008 (création de la Section des enquêtes) et le 3</w:t>
      </w:r>
      <w:r w:rsidR="00E11857" w:rsidRPr="00686D5A">
        <w:t>0 juin</w:t>
      </w:r>
      <w:r w:rsidRPr="00686D5A">
        <w:t> 2014 (fin de la période couverte par le présent rapport),</w:t>
      </w:r>
      <w:r w:rsidR="00D565F4" w:rsidRPr="00686D5A">
        <w:t xml:space="preserve"> la</w:t>
      </w:r>
      <w:r w:rsidR="00D565F4">
        <w:t> DAS</w:t>
      </w:r>
      <w:r w:rsidR="00E90725">
        <w:t>I</w:t>
      </w:r>
      <w:r w:rsidRPr="00686D5A">
        <w:t xml:space="preserve"> a enregistré 127 affaires et en a clôturé 115.  </w:t>
      </w:r>
      <w:r w:rsidR="00A02402" w:rsidRPr="00686D5A">
        <w:t>Le </w:t>
      </w:r>
      <w:r w:rsidRPr="00686D5A">
        <w:t>tableau ci</w:t>
      </w:r>
      <w:r w:rsidR="001F4EED">
        <w:noBreakHyphen/>
      </w:r>
      <w:r w:rsidRPr="00686D5A">
        <w:t>après indique l</w:t>
      </w:r>
      <w:r w:rsidR="00D565F4">
        <w:t>’</w:t>
      </w:r>
      <w:r w:rsidRPr="00686D5A">
        <w:t>issue des affaires clôturées (que les allégations aient été avérées ou non) de</w:t>
      </w:r>
      <w:r w:rsidR="00413B67" w:rsidRPr="00686D5A">
        <w:t> </w:t>
      </w:r>
      <w:r w:rsidRPr="00686D5A">
        <w:t>2008 à 2013 et la situation des 12 affaires en suspens au 30 </w:t>
      </w:r>
      <w:r w:rsidR="00E11857" w:rsidRPr="00686D5A">
        <w:t>juin 20</w:t>
      </w:r>
      <w:r w:rsidRPr="00686D5A">
        <w:t>14 (en suspens, en cours d</w:t>
      </w:r>
      <w:r w:rsidR="00D565F4">
        <w:t>’</w:t>
      </w:r>
      <w:r w:rsidRPr="00686D5A">
        <w:t>évaluation préliminaire, en cours d</w:t>
      </w:r>
      <w:r w:rsidR="00D565F4">
        <w:t>’</w:t>
      </w:r>
      <w:r w:rsidRPr="00686D5A">
        <w:t>enquête).</w:t>
      </w:r>
    </w:p>
    <w:p w:rsidR="009A7E4C" w:rsidRPr="00686D5A" w:rsidRDefault="009A7E4C" w:rsidP="00E03902">
      <w:pPr>
        <w:pStyle w:val="Caption"/>
        <w:keepLines/>
        <w:spacing w:after="120"/>
        <w:jc w:val="center"/>
        <w:rPr>
          <w:szCs w:val="22"/>
          <w:u w:val="single"/>
          <w:lang w:val="fr-FR" w:eastAsia="fr-FR"/>
        </w:rPr>
      </w:pPr>
      <w:r w:rsidRPr="00686D5A">
        <w:rPr>
          <w:u w:val="single"/>
          <w:lang w:val="fr-FR"/>
        </w:rPr>
        <w:t xml:space="preserve">Diagramme </w:t>
      </w:r>
      <w:r w:rsidRPr="00686D5A">
        <w:rPr>
          <w:u w:val="single"/>
          <w:lang w:val="fr-FR"/>
        </w:rPr>
        <w:fldChar w:fldCharType="begin"/>
      </w:r>
      <w:r w:rsidRPr="00686D5A">
        <w:rPr>
          <w:u w:val="single"/>
          <w:lang w:val="fr-FR"/>
        </w:rPr>
        <w:instrText xml:space="preserve"> SEQ Chart \* ARABIC </w:instrText>
      </w:r>
      <w:r w:rsidRPr="00686D5A">
        <w:rPr>
          <w:u w:val="single"/>
          <w:lang w:val="fr-FR"/>
        </w:rPr>
        <w:fldChar w:fldCharType="separate"/>
      </w:r>
      <w:r w:rsidR="00D74313">
        <w:rPr>
          <w:noProof/>
          <w:u w:val="single"/>
          <w:lang w:val="fr-FR"/>
        </w:rPr>
        <w:t>5</w:t>
      </w:r>
      <w:r w:rsidRPr="00686D5A">
        <w:rPr>
          <w:u w:val="single"/>
          <w:lang w:val="fr-FR"/>
        </w:rPr>
        <w:fldChar w:fldCharType="end"/>
      </w:r>
      <w:r w:rsidRPr="00686D5A">
        <w:rPr>
          <w:u w:val="single"/>
          <w:lang w:val="fr-FR"/>
        </w:rPr>
        <w:t xml:space="preserve"> </w:t>
      </w:r>
      <w:r w:rsidRPr="00686D5A">
        <w:rPr>
          <w:szCs w:val="22"/>
          <w:u w:val="single"/>
          <w:lang w:val="fr-FR" w:eastAsia="fr-FR"/>
        </w:rPr>
        <w:t>– Situation des affaires par année jusqu</w:t>
      </w:r>
      <w:r w:rsidR="00D565F4">
        <w:rPr>
          <w:szCs w:val="22"/>
          <w:u w:val="single"/>
          <w:lang w:val="fr-FR" w:eastAsia="fr-FR"/>
        </w:rPr>
        <w:t>’</w:t>
      </w:r>
      <w:r w:rsidRPr="00686D5A">
        <w:rPr>
          <w:szCs w:val="22"/>
          <w:u w:val="single"/>
          <w:lang w:val="fr-FR" w:eastAsia="fr-FR"/>
        </w:rPr>
        <w:t>au 30 </w:t>
      </w:r>
      <w:r w:rsidR="00E11857" w:rsidRPr="00686D5A">
        <w:rPr>
          <w:szCs w:val="22"/>
          <w:u w:val="single"/>
          <w:lang w:val="fr-FR" w:eastAsia="fr-FR"/>
        </w:rPr>
        <w:t>juin 20</w:t>
      </w:r>
      <w:r w:rsidRPr="00686D5A">
        <w:rPr>
          <w:szCs w:val="22"/>
          <w:u w:val="single"/>
          <w:lang w:val="fr-FR" w:eastAsia="fr-FR"/>
        </w:rPr>
        <w:t>14</w:t>
      </w:r>
    </w:p>
    <w:p w:rsidR="00D565F4" w:rsidRDefault="00A554A1" w:rsidP="001F4E1C">
      <w:pPr>
        <w:pStyle w:val="ONUME"/>
        <w:keepLines/>
        <w:numPr>
          <w:ilvl w:val="0"/>
          <w:numId w:val="0"/>
        </w:numPr>
        <w:spacing w:after="120" w:line="360" w:lineRule="auto"/>
        <w:jc w:val="center"/>
      </w:pPr>
      <w:r w:rsidRPr="00A554A1">
        <w:rPr>
          <w:noProof/>
          <w:lang w:val="en-US" w:eastAsia="en-US"/>
        </w:rPr>
        <w:drawing>
          <wp:inline distT="0" distB="0" distL="0" distR="0" wp14:anchorId="30A90934" wp14:editId="5FD2E96E">
            <wp:extent cx="4636394" cy="3006261"/>
            <wp:effectExtent l="19050" t="19050" r="12065" b="2286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42651" cy="3010318"/>
                    </a:xfrm>
                    <a:prstGeom prst="rect">
                      <a:avLst/>
                    </a:prstGeom>
                    <a:noFill/>
                    <a:ln w="9525">
                      <a:solidFill>
                        <a:schemeClr val="bg1">
                          <a:lumMod val="50000"/>
                        </a:schemeClr>
                      </a:solidFill>
                    </a:ln>
                  </pic:spPr>
                </pic:pic>
              </a:graphicData>
            </a:graphic>
          </wp:inline>
        </w:drawing>
      </w:r>
    </w:p>
    <w:p w:rsidR="009A7E4C" w:rsidRPr="00686D5A" w:rsidRDefault="009A7E4C" w:rsidP="00F76C51">
      <w:pPr>
        <w:pStyle w:val="ONUME"/>
        <w:keepLines/>
        <w:numPr>
          <w:ilvl w:val="0"/>
          <w:numId w:val="0"/>
        </w:numPr>
        <w:spacing w:after="180"/>
      </w:pPr>
      <w:r w:rsidRPr="00686D5A">
        <w:t>Le tableau ci</w:t>
      </w:r>
      <w:r w:rsidR="001F4EED">
        <w:noBreakHyphen/>
      </w:r>
      <w:r w:rsidRPr="00686D5A">
        <w:t>après donne une idée du type d</w:t>
      </w:r>
      <w:r w:rsidR="00D565F4">
        <w:t>’</w:t>
      </w:r>
      <w:r w:rsidRPr="00686D5A">
        <w:t>allégations reçues depuis 2010.</w:t>
      </w:r>
    </w:p>
    <w:p w:rsidR="009A7E4C" w:rsidRPr="00686D5A" w:rsidRDefault="009A7E4C" w:rsidP="00E03902">
      <w:pPr>
        <w:pStyle w:val="Caption"/>
        <w:spacing w:after="120"/>
        <w:jc w:val="center"/>
        <w:rPr>
          <w:lang w:val="fr-FR"/>
        </w:rPr>
      </w:pPr>
      <w:r w:rsidRPr="00686D5A">
        <w:rPr>
          <w:u w:val="single"/>
          <w:lang w:val="fr-FR"/>
        </w:rPr>
        <w:t>Tableau </w:t>
      </w:r>
      <w:r w:rsidRPr="00686D5A">
        <w:rPr>
          <w:u w:val="single"/>
          <w:lang w:val="fr-FR"/>
        </w:rPr>
        <w:fldChar w:fldCharType="begin"/>
      </w:r>
      <w:r w:rsidRPr="00686D5A">
        <w:rPr>
          <w:u w:val="single"/>
          <w:lang w:val="fr-FR"/>
        </w:rPr>
        <w:instrText xml:space="preserve"> SEQ Table \* ARABIC </w:instrText>
      </w:r>
      <w:r w:rsidRPr="00686D5A">
        <w:rPr>
          <w:u w:val="single"/>
          <w:lang w:val="fr-FR"/>
        </w:rPr>
        <w:fldChar w:fldCharType="separate"/>
      </w:r>
      <w:r w:rsidR="00D74313">
        <w:rPr>
          <w:noProof/>
          <w:u w:val="single"/>
          <w:lang w:val="fr-FR"/>
        </w:rPr>
        <w:t>3</w:t>
      </w:r>
      <w:r w:rsidRPr="00686D5A">
        <w:rPr>
          <w:u w:val="single"/>
          <w:lang w:val="fr-FR"/>
        </w:rPr>
        <w:fldChar w:fldCharType="end"/>
      </w:r>
      <w:r w:rsidRPr="00686D5A">
        <w:rPr>
          <w:u w:val="single"/>
          <w:lang w:val="fr-FR"/>
        </w:rPr>
        <w:t xml:space="preserve"> – Affaires par catégorie d</w:t>
      </w:r>
      <w:r w:rsidR="00D565F4">
        <w:rPr>
          <w:u w:val="single"/>
          <w:lang w:val="fr-FR"/>
        </w:rPr>
        <w:t>’</w:t>
      </w:r>
      <w:r w:rsidRPr="00686D5A">
        <w:rPr>
          <w:u w:val="single"/>
          <w:lang w:val="fr-FR"/>
        </w:rPr>
        <w:t>allégations et par an</w:t>
      </w:r>
    </w:p>
    <w:tbl>
      <w:tblPr>
        <w:tblW w:w="0" w:type="auto"/>
        <w:jc w:val="center"/>
        <w:tblLook w:val="00A0" w:firstRow="1" w:lastRow="0" w:firstColumn="1" w:lastColumn="0" w:noHBand="0" w:noVBand="0"/>
      </w:tblPr>
      <w:tblGrid>
        <w:gridCol w:w="5509"/>
        <w:gridCol w:w="677"/>
        <w:gridCol w:w="677"/>
        <w:gridCol w:w="677"/>
        <w:gridCol w:w="677"/>
        <w:gridCol w:w="677"/>
        <w:gridCol w:w="677"/>
      </w:tblGrid>
      <w:tr w:rsidR="009A7E4C" w:rsidRPr="00686D5A" w:rsidTr="00840A87">
        <w:trPr>
          <w:trHeight w:val="255"/>
          <w:jc w:val="center"/>
        </w:trPr>
        <w:tc>
          <w:tcPr>
            <w:tcW w:w="0" w:type="auto"/>
            <w:tcBorders>
              <w:top w:val="single" w:sz="4" w:space="0" w:color="000000"/>
              <w:left w:val="single" w:sz="4" w:space="0" w:color="000000"/>
              <w:bottom w:val="nil"/>
              <w:right w:val="nil"/>
            </w:tcBorders>
            <w:noWrap/>
            <w:vAlign w:val="bottom"/>
          </w:tcPr>
          <w:p w:rsidR="009A7E4C" w:rsidRPr="00686D5A" w:rsidRDefault="009A7E4C" w:rsidP="001E2D32">
            <w:pPr>
              <w:jc w:val="right"/>
              <w:rPr>
                <w:sz w:val="18"/>
                <w:szCs w:val="18"/>
                <w:lang w:val="fr-FR"/>
              </w:rPr>
            </w:pPr>
          </w:p>
        </w:tc>
        <w:tc>
          <w:tcPr>
            <w:tcW w:w="0" w:type="auto"/>
            <w:gridSpan w:val="5"/>
            <w:tcBorders>
              <w:top w:val="single" w:sz="4" w:space="0" w:color="000000"/>
              <w:left w:val="single" w:sz="4" w:space="0" w:color="000000"/>
              <w:bottom w:val="nil"/>
              <w:right w:val="nil"/>
            </w:tcBorders>
            <w:noWrap/>
            <w:vAlign w:val="bottom"/>
          </w:tcPr>
          <w:p w:rsidR="009A7E4C" w:rsidRPr="00686D5A" w:rsidRDefault="009A7E4C" w:rsidP="00F76C51">
            <w:pPr>
              <w:jc w:val="center"/>
              <w:rPr>
                <w:sz w:val="18"/>
                <w:szCs w:val="18"/>
                <w:lang w:val="fr-FR"/>
              </w:rPr>
            </w:pPr>
            <w:r w:rsidRPr="00686D5A">
              <w:rPr>
                <w:sz w:val="18"/>
                <w:szCs w:val="18"/>
                <w:lang w:val="fr-FR"/>
              </w:rPr>
              <w:t>Année</w:t>
            </w:r>
          </w:p>
        </w:tc>
        <w:tc>
          <w:tcPr>
            <w:tcW w:w="0" w:type="auto"/>
            <w:tcBorders>
              <w:top w:val="single" w:sz="4" w:space="0" w:color="000000"/>
              <w:left w:val="nil"/>
              <w:bottom w:val="nil"/>
              <w:right w:val="single" w:sz="4" w:space="0" w:color="000000"/>
            </w:tcBorders>
            <w:noWrap/>
            <w:vAlign w:val="center"/>
          </w:tcPr>
          <w:p w:rsidR="009A7E4C" w:rsidRPr="00686D5A" w:rsidRDefault="009A7E4C" w:rsidP="001E2D32">
            <w:pPr>
              <w:jc w:val="center"/>
              <w:rPr>
                <w:sz w:val="18"/>
                <w:szCs w:val="18"/>
                <w:lang w:val="fr-FR"/>
              </w:rPr>
            </w:pPr>
          </w:p>
        </w:tc>
      </w:tr>
      <w:tr w:rsidR="009A7E4C" w:rsidRPr="00686D5A" w:rsidTr="00840A87">
        <w:trPr>
          <w:trHeight w:val="255"/>
          <w:jc w:val="center"/>
        </w:trPr>
        <w:tc>
          <w:tcPr>
            <w:tcW w:w="0" w:type="auto"/>
            <w:tcBorders>
              <w:top w:val="single" w:sz="4" w:space="0" w:color="000000"/>
              <w:left w:val="single" w:sz="4" w:space="0" w:color="000000"/>
              <w:bottom w:val="nil"/>
              <w:right w:val="nil"/>
            </w:tcBorders>
            <w:noWrap/>
            <w:vAlign w:val="bottom"/>
          </w:tcPr>
          <w:p w:rsidR="009A7E4C" w:rsidRPr="00686D5A" w:rsidRDefault="009A7E4C" w:rsidP="00F76C51">
            <w:pPr>
              <w:rPr>
                <w:sz w:val="18"/>
                <w:szCs w:val="18"/>
                <w:lang w:val="fr-FR"/>
              </w:rPr>
            </w:pPr>
            <w:r w:rsidRPr="00686D5A">
              <w:rPr>
                <w:sz w:val="18"/>
                <w:szCs w:val="18"/>
                <w:lang w:val="fr-FR"/>
              </w:rPr>
              <w:t>Catégorie d</w:t>
            </w:r>
            <w:r w:rsidR="00D565F4">
              <w:rPr>
                <w:sz w:val="18"/>
                <w:szCs w:val="18"/>
                <w:lang w:val="fr-FR"/>
              </w:rPr>
              <w:t>’</w:t>
            </w:r>
            <w:r w:rsidRPr="00686D5A">
              <w:rPr>
                <w:sz w:val="18"/>
                <w:szCs w:val="18"/>
                <w:lang w:val="fr-FR"/>
              </w:rPr>
              <w:t>allégations</w:t>
            </w:r>
          </w:p>
        </w:tc>
        <w:tc>
          <w:tcPr>
            <w:tcW w:w="0" w:type="auto"/>
            <w:tcBorders>
              <w:top w:val="single" w:sz="4" w:space="0" w:color="000000"/>
              <w:left w:val="single" w:sz="4" w:space="0" w:color="000000"/>
              <w:bottom w:val="nil"/>
              <w:right w:val="nil"/>
            </w:tcBorders>
            <w:noWrap/>
            <w:vAlign w:val="bottom"/>
          </w:tcPr>
          <w:p w:rsidR="009A7E4C" w:rsidRPr="00686D5A" w:rsidRDefault="009A7E4C" w:rsidP="001E2D32">
            <w:pPr>
              <w:jc w:val="right"/>
              <w:rPr>
                <w:sz w:val="18"/>
                <w:szCs w:val="18"/>
                <w:lang w:val="fr-FR"/>
              </w:rPr>
            </w:pPr>
            <w:r w:rsidRPr="00686D5A">
              <w:rPr>
                <w:sz w:val="18"/>
                <w:szCs w:val="18"/>
                <w:lang w:val="fr-FR"/>
              </w:rPr>
              <w:t>2010</w:t>
            </w:r>
          </w:p>
        </w:tc>
        <w:tc>
          <w:tcPr>
            <w:tcW w:w="0" w:type="auto"/>
            <w:tcBorders>
              <w:top w:val="single" w:sz="4" w:space="0" w:color="000000"/>
              <w:left w:val="nil"/>
              <w:bottom w:val="nil"/>
              <w:right w:val="nil"/>
            </w:tcBorders>
            <w:noWrap/>
            <w:vAlign w:val="bottom"/>
          </w:tcPr>
          <w:p w:rsidR="009A7E4C" w:rsidRPr="00686D5A" w:rsidRDefault="009A7E4C" w:rsidP="001E2D32">
            <w:pPr>
              <w:jc w:val="right"/>
              <w:rPr>
                <w:sz w:val="18"/>
                <w:szCs w:val="18"/>
                <w:lang w:val="fr-FR"/>
              </w:rPr>
            </w:pPr>
            <w:r w:rsidRPr="00686D5A">
              <w:rPr>
                <w:sz w:val="18"/>
                <w:szCs w:val="18"/>
                <w:lang w:val="fr-FR"/>
              </w:rPr>
              <w:t>2011</w:t>
            </w:r>
          </w:p>
        </w:tc>
        <w:tc>
          <w:tcPr>
            <w:tcW w:w="0" w:type="auto"/>
            <w:tcBorders>
              <w:top w:val="single" w:sz="4" w:space="0" w:color="000000"/>
              <w:left w:val="nil"/>
              <w:bottom w:val="nil"/>
              <w:right w:val="nil"/>
            </w:tcBorders>
            <w:noWrap/>
            <w:vAlign w:val="bottom"/>
          </w:tcPr>
          <w:p w:rsidR="009A7E4C" w:rsidRPr="00686D5A" w:rsidRDefault="009A7E4C" w:rsidP="001E2D32">
            <w:pPr>
              <w:jc w:val="right"/>
              <w:rPr>
                <w:sz w:val="18"/>
                <w:szCs w:val="18"/>
                <w:lang w:val="fr-FR"/>
              </w:rPr>
            </w:pPr>
            <w:r w:rsidRPr="00686D5A">
              <w:rPr>
                <w:sz w:val="18"/>
                <w:szCs w:val="18"/>
                <w:lang w:val="fr-FR"/>
              </w:rPr>
              <w:t>2012</w:t>
            </w:r>
          </w:p>
        </w:tc>
        <w:tc>
          <w:tcPr>
            <w:tcW w:w="0" w:type="auto"/>
            <w:tcBorders>
              <w:top w:val="single" w:sz="4" w:space="0" w:color="000000"/>
              <w:left w:val="nil"/>
              <w:bottom w:val="nil"/>
              <w:right w:val="nil"/>
            </w:tcBorders>
            <w:noWrap/>
            <w:vAlign w:val="bottom"/>
          </w:tcPr>
          <w:p w:rsidR="009A7E4C" w:rsidRPr="00686D5A" w:rsidRDefault="009A7E4C" w:rsidP="001E2D32">
            <w:pPr>
              <w:jc w:val="right"/>
              <w:rPr>
                <w:sz w:val="18"/>
                <w:szCs w:val="18"/>
                <w:lang w:val="fr-FR"/>
              </w:rPr>
            </w:pPr>
            <w:r w:rsidRPr="00686D5A">
              <w:rPr>
                <w:sz w:val="18"/>
                <w:szCs w:val="18"/>
                <w:lang w:val="fr-FR"/>
              </w:rPr>
              <w:t>2013</w:t>
            </w:r>
          </w:p>
        </w:tc>
        <w:tc>
          <w:tcPr>
            <w:tcW w:w="0" w:type="auto"/>
            <w:tcBorders>
              <w:top w:val="single" w:sz="4" w:space="0" w:color="000000"/>
              <w:left w:val="nil"/>
              <w:bottom w:val="nil"/>
              <w:right w:val="nil"/>
            </w:tcBorders>
            <w:noWrap/>
            <w:vAlign w:val="bottom"/>
          </w:tcPr>
          <w:p w:rsidR="009A7E4C" w:rsidRPr="00686D5A" w:rsidRDefault="009A7E4C" w:rsidP="001E2D32">
            <w:pPr>
              <w:jc w:val="right"/>
              <w:rPr>
                <w:sz w:val="18"/>
                <w:szCs w:val="18"/>
                <w:lang w:val="fr-FR"/>
              </w:rPr>
            </w:pPr>
            <w:r w:rsidRPr="00686D5A">
              <w:rPr>
                <w:sz w:val="18"/>
                <w:szCs w:val="18"/>
                <w:lang w:val="fr-FR"/>
              </w:rPr>
              <w:t>2014</w:t>
            </w:r>
          </w:p>
        </w:tc>
        <w:tc>
          <w:tcPr>
            <w:tcW w:w="0" w:type="auto"/>
            <w:tcBorders>
              <w:top w:val="single" w:sz="4" w:space="0" w:color="000000"/>
              <w:left w:val="single" w:sz="4" w:space="0" w:color="000000"/>
              <w:bottom w:val="nil"/>
              <w:right w:val="single" w:sz="4" w:space="0" w:color="000000"/>
            </w:tcBorders>
            <w:noWrap/>
            <w:vAlign w:val="center"/>
          </w:tcPr>
          <w:p w:rsidR="009A7E4C" w:rsidRPr="00686D5A" w:rsidRDefault="009A7E4C" w:rsidP="001E2D32">
            <w:pPr>
              <w:jc w:val="center"/>
              <w:rPr>
                <w:sz w:val="18"/>
                <w:szCs w:val="18"/>
                <w:lang w:val="fr-FR"/>
              </w:rPr>
            </w:pPr>
            <w:r w:rsidRPr="00686D5A">
              <w:rPr>
                <w:sz w:val="18"/>
                <w:szCs w:val="18"/>
                <w:lang w:val="fr-FR"/>
              </w:rPr>
              <w:t>Total</w:t>
            </w:r>
          </w:p>
        </w:tc>
      </w:tr>
      <w:tr w:rsidR="009A7E4C" w:rsidRPr="00686D5A" w:rsidTr="00840A87">
        <w:trPr>
          <w:trHeight w:val="544"/>
          <w:jc w:val="center"/>
        </w:trPr>
        <w:tc>
          <w:tcPr>
            <w:tcW w:w="0" w:type="auto"/>
            <w:tcBorders>
              <w:top w:val="single" w:sz="4" w:space="0" w:color="000000"/>
              <w:left w:val="single" w:sz="4" w:space="0" w:color="000000"/>
              <w:bottom w:val="nil"/>
              <w:right w:val="nil"/>
            </w:tcBorders>
            <w:vAlign w:val="bottom"/>
          </w:tcPr>
          <w:p w:rsidR="009A7E4C" w:rsidRPr="00686D5A" w:rsidRDefault="009A7E4C" w:rsidP="00F76C51">
            <w:pPr>
              <w:spacing w:before="120" w:after="120"/>
              <w:rPr>
                <w:sz w:val="18"/>
                <w:szCs w:val="18"/>
                <w:lang w:val="fr-FR"/>
              </w:rPr>
            </w:pPr>
            <w:r w:rsidRPr="00686D5A">
              <w:rPr>
                <w:sz w:val="18"/>
                <w:szCs w:val="18"/>
                <w:lang w:val="fr-FR"/>
              </w:rPr>
              <w:t>Fraude aux prestations/fausses déclarations</w:t>
            </w:r>
          </w:p>
        </w:tc>
        <w:tc>
          <w:tcPr>
            <w:tcW w:w="0" w:type="auto"/>
            <w:tcBorders>
              <w:top w:val="single" w:sz="4" w:space="0" w:color="000000"/>
              <w:left w:val="single" w:sz="4" w:space="0" w:color="000000"/>
              <w:bottom w:val="nil"/>
              <w:right w:val="nil"/>
            </w:tcBorders>
            <w:noWrap/>
            <w:vAlign w:val="center"/>
          </w:tcPr>
          <w:p w:rsidR="009A7E4C" w:rsidRPr="00686D5A" w:rsidRDefault="009A7E4C" w:rsidP="001E2D32">
            <w:pPr>
              <w:jc w:val="center"/>
              <w:rPr>
                <w:sz w:val="18"/>
                <w:szCs w:val="18"/>
                <w:lang w:val="fr-FR"/>
              </w:rPr>
            </w:pPr>
            <w:r w:rsidRPr="00686D5A">
              <w:rPr>
                <w:sz w:val="18"/>
                <w:szCs w:val="18"/>
                <w:lang w:val="fr-FR"/>
              </w:rPr>
              <w:t>23%</w:t>
            </w:r>
          </w:p>
        </w:tc>
        <w:tc>
          <w:tcPr>
            <w:tcW w:w="0" w:type="auto"/>
            <w:tcBorders>
              <w:top w:val="single" w:sz="4" w:space="0" w:color="000000"/>
              <w:left w:val="nil"/>
              <w:bottom w:val="nil"/>
              <w:right w:val="nil"/>
            </w:tcBorders>
            <w:noWrap/>
            <w:vAlign w:val="center"/>
          </w:tcPr>
          <w:p w:rsidR="009A7E4C" w:rsidRPr="00686D5A" w:rsidRDefault="009A7E4C" w:rsidP="001E2D32">
            <w:pPr>
              <w:jc w:val="center"/>
              <w:rPr>
                <w:sz w:val="18"/>
                <w:szCs w:val="18"/>
                <w:lang w:val="fr-FR"/>
              </w:rPr>
            </w:pPr>
            <w:r w:rsidRPr="00686D5A">
              <w:rPr>
                <w:sz w:val="18"/>
                <w:szCs w:val="18"/>
                <w:lang w:val="fr-FR"/>
              </w:rPr>
              <w:t>23%</w:t>
            </w:r>
          </w:p>
        </w:tc>
        <w:tc>
          <w:tcPr>
            <w:tcW w:w="0" w:type="auto"/>
            <w:tcBorders>
              <w:top w:val="single" w:sz="4" w:space="0" w:color="000000"/>
              <w:left w:val="nil"/>
              <w:bottom w:val="nil"/>
              <w:right w:val="nil"/>
            </w:tcBorders>
            <w:noWrap/>
            <w:vAlign w:val="center"/>
          </w:tcPr>
          <w:p w:rsidR="009A7E4C" w:rsidRPr="00686D5A" w:rsidRDefault="009A7E4C" w:rsidP="001E2D32">
            <w:pPr>
              <w:jc w:val="center"/>
              <w:rPr>
                <w:sz w:val="18"/>
                <w:szCs w:val="18"/>
                <w:lang w:val="fr-FR"/>
              </w:rPr>
            </w:pPr>
            <w:r w:rsidRPr="00686D5A">
              <w:rPr>
                <w:sz w:val="18"/>
                <w:szCs w:val="18"/>
                <w:lang w:val="fr-FR"/>
              </w:rPr>
              <w:t>19%</w:t>
            </w:r>
          </w:p>
        </w:tc>
        <w:tc>
          <w:tcPr>
            <w:tcW w:w="0" w:type="auto"/>
            <w:tcBorders>
              <w:top w:val="single" w:sz="4" w:space="0" w:color="000000"/>
              <w:left w:val="nil"/>
              <w:bottom w:val="nil"/>
              <w:right w:val="nil"/>
            </w:tcBorders>
            <w:noWrap/>
            <w:vAlign w:val="center"/>
          </w:tcPr>
          <w:p w:rsidR="009A7E4C" w:rsidRPr="00686D5A" w:rsidRDefault="009A7E4C" w:rsidP="001E2D32">
            <w:pPr>
              <w:jc w:val="center"/>
              <w:rPr>
                <w:sz w:val="18"/>
                <w:szCs w:val="18"/>
                <w:lang w:val="fr-FR"/>
              </w:rPr>
            </w:pPr>
            <w:r w:rsidRPr="00686D5A">
              <w:rPr>
                <w:sz w:val="18"/>
                <w:szCs w:val="18"/>
                <w:lang w:val="fr-FR"/>
              </w:rPr>
              <w:t>16%</w:t>
            </w:r>
          </w:p>
        </w:tc>
        <w:tc>
          <w:tcPr>
            <w:tcW w:w="0" w:type="auto"/>
            <w:tcBorders>
              <w:top w:val="single" w:sz="4" w:space="0" w:color="000000"/>
              <w:left w:val="nil"/>
              <w:bottom w:val="nil"/>
              <w:right w:val="nil"/>
            </w:tcBorders>
            <w:noWrap/>
            <w:vAlign w:val="center"/>
          </w:tcPr>
          <w:p w:rsidR="009A7E4C" w:rsidRPr="00686D5A" w:rsidRDefault="009A7E4C" w:rsidP="001E2D32">
            <w:pPr>
              <w:jc w:val="center"/>
              <w:rPr>
                <w:sz w:val="18"/>
                <w:szCs w:val="18"/>
                <w:lang w:val="fr-FR"/>
              </w:rPr>
            </w:pPr>
            <w:r w:rsidRPr="00686D5A">
              <w:rPr>
                <w:sz w:val="18"/>
                <w:szCs w:val="18"/>
                <w:lang w:val="fr-FR"/>
              </w:rPr>
              <w:t>0%</w:t>
            </w:r>
          </w:p>
        </w:tc>
        <w:tc>
          <w:tcPr>
            <w:tcW w:w="0" w:type="auto"/>
            <w:tcBorders>
              <w:top w:val="single" w:sz="4" w:space="0" w:color="000000"/>
              <w:left w:val="single" w:sz="4" w:space="0" w:color="000000"/>
              <w:bottom w:val="nil"/>
              <w:right w:val="single" w:sz="4" w:space="0" w:color="000000"/>
            </w:tcBorders>
            <w:noWrap/>
            <w:vAlign w:val="center"/>
          </w:tcPr>
          <w:p w:rsidR="009A7E4C" w:rsidRPr="00686D5A" w:rsidRDefault="009A7E4C" w:rsidP="001E2D32">
            <w:pPr>
              <w:jc w:val="center"/>
              <w:rPr>
                <w:sz w:val="18"/>
                <w:szCs w:val="18"/>
                <w:lang w:val="fr-FR"/>
              </w:rPr>
            </w:pPr>
            <w:r w:rsidRPr="00686D5A">
              <w:rPr>
                <w:sz w:val="18"/>
                <w:szCs w:val="18"/>
                <w:lang w:val="fr-FR"/>
              </w:rPr>
              <w:t>16%</w:t>
            </w:r>
          </w:p>
        </w:tc>
      </w:tr>
      <w:tr w:rsidR="009A7E4C" w:rsidRPr="00686D5A" w:rsidTr="00840A87">
        <w:trPr>
          <w:trHeight w:val="255"/>
          <w:jc w:val="center"/>
        </w:trPr>
        <w:tc>
          <w:tcPr>
            <w:tcW w:w="0" w:type="auto"/>
            <w:tcBorders>
              <w:top w:val="nil"/>
              <w:left w:val="single" w:sz="4" w:space="0" w:color="000000"/>
              <w:bottom w:val="nil"/>
              <w:right w:val="nil"/>
            </w:tcBorders>
            <w:noWrap/>
            <w:vAlign w:val="bottom"/>
          </w:tcPr>
          <w:p w:rsidR="009A7E4C" w:rsidRPr="00686D5A" w:rsidRDefault="009A7E4C" w:rsidP="00F76C51">
            <w:pPr>
              <w:spacing w:before="120" w:after="120"/>
              <w:rPr>
                <w:sz w:val="18"/>
                <w:szCs w:val="18"/>
                <w:lang w:val="fr-FR"/>
              </w:rPr>
            </w:pPr>
            <w:r w:rsidRPr="00686D5A">
              <w:rPr>
                <w:sz w:val="18"/>
                <w:szCs w:val="18"/>
                <w:lang w:val="fr-FR"/>
              </w:rPr>
              <w:t>Harcèlement/discrimination/abus de pouvoir</w:t>
            </w:r>
          </w:p>
        </w:tc>
        <w:tc>
          <w:tcPr>
            <w:tcW w:w="0" w:type="auto"/>
            <w:tcBorders>
              <w:top w:val="nil"/>
              <w:left w:val="single" w:sz="4" w:space="0" w:color="000000"/>
              <w:bottom w:val="nil"/>
              <w:right w:val="nil"/>
            </w:tcBorders>
            <w:noWrap/>
            <w:vAlign w:val="center"/>
          </w:tcPr>
          <w:p w:rsidR="009A7E4C" w:rsidRPr="00686D5A" w:rsidRDefault="009A7E4C" w:rsidP="001E2D32">
            <w:pPr>
              <w:jc w:val="center"/>
              <w:rPr>
                <w:sz w:val="18"/>
                <w:szCs w:val="18"/>
                <w:lang w:val="fr-FR"/>
              </w:rPr>
            </w:pPr>
            <w:r w:rsidRPr="00686D5A">
              <w:rPr>
                <w:sz w:val="18"/>
                <w:szCs w:val="18"/>
                <w:lang w:val="fr-FR"/>
              </w:rPr>
              <w:t>15%</w:t>
            </w:r>
          </w:p>
        </w:tc>
        <w:tc>
          <w:tcPr>
            <w:tcW w:w="0" w:type="auto"/>
            <w:tcBorders>
              <w:top w:val="nil"/>
              <w:left w:val="nil"/>
              <w:bottom w:val="nil"/>
              <w:right w:val="nil"/>
            </w:tcBorders>
            <w:noWrap/>
            <w:vAlign w:val="center"/>
          </w:tcPr>
          <w:p w:rsidR="009A7E4C" w:rsidRPr="00686D5A" w:rsidRDefault="009A7E4C" w:rsidP="001E2D32">
            <w:pPr>
              <w:jc w:val="center"/>
              <w:rPr>
                <w:sz w:val="18"/>
                <w:szCs w:val="18"/>
                <w:lang w:val="fr-FR"/>
              </w:rPr>
            </w:pPr>
            <w:r w:rsidRPr="00686D5A">
              <w:rPr>
                <w:sz w:val="18"/>
                <w:szCs w:val="18"/>
                <w:lang w:val="fr-FR"/>
              </w:rPr>
              <w:t>0%</w:t>
            </w:r>
          </w:p>
        </w:tc>
        <w:tc>
          <w:tcPr>
            <w:tcW w:w="0" w:type="auto"/>
            <w:tcBorders>
              <w:top w:val="nil"/>
              <w:left w:val="nil"/>
              <w:bottom w:val="nil"/>
              <w:right w:val="nil"/>
            </w:tcBorders>
            <w:noWrap/>
            <w:vAlign w:val="center"/>
          </w:tcPr>
          <w:p w:rsidR="009A7E4C" w:rsidRPr="00686D5A" w:rsidRDefault="009A7E4C" w:rsidP="001E2D32">
            <w:pPr>
              <w:jc w:val="center"/>
              <w:rPr>
                <w:sz w:val="18"/>
                <w:szCs w:val="18"/>
                <w:lang w:val="fr-FR"/>
              </w:rPr>
            </w:pPr>
            <w:r w:rsidRPr="00686D5A">
              <w:rPr>
                <w:sz w:val="18"/>
                <w:szCs w:val="18"/>
                <w:lang w:val="fr-FR"/>
              </w:rPr>
              <w:t>14%</w:t>
            </w:r>
          </w:p>
        </w:tc>
        <w:tc>
          <w:tcPr>
            <w:tcW w:w="0" w:type="auto"/>
            <w:tcBorders>
              <w:top w:val="nil"/>
              <w:left w:val="nil"/>
              <w:bottom w:val="nil"/>
              <w:right w:val="nil"/>
            </w:tcBorders>
            <w:noWrap/>
            <w:vAlign w:val="center"/>
          </w:tcPr>
          <w:p w:rsidR="009A7E4C" w:rsidRPr="00686D5A" w:rsidRDefault="009A7E4C" w:rsidP="001E2D32">
            <w:pPr>
              <w:jc w:val="center"/>
              <w:rPr>
                <w:sz w:val="18"/>
                <w:szCs w:val="18"/>
                <w:lang w:val="fr-FR"/>
              </w:rPr>
            </w:pPr>
            <w:r w:rsidRPr="00686D5A">
              <w:rPr>
                <w:sz w:val="18"/>
                <w:szCs w:val="18"/>
                <w:lang w:val="fr-FR"/>
              </w:rPr>
              <w:t>26%</w:t>
            </w:r>
          </w:p>
        </w:tc>
        <w:tc>
          <w:tcPr>
            <w:tcW w:w="0" w:type="auto"/>
            <w:tcBorders>
              <w:top w:val="nil"/>
              <w:left w:val="nil"/>
              <w:bottom w:val="nil"/>
              <w:right w:val="nil"/>
            </w:tcBorders>
            <w:noWrap/>
            <w:vAlign w:val="center"/>
          </w:tcPr>
          <w:p w:rsidR="009A7E4C" w:rsidRPr="00686D5A" w:rsidRDefault="009A7E4C" w:rsidP="001E2D32">
            <w:pPr>
              <w:jc w:val="center"/>
              <w:rPr>
                <w:sz w:val="18"/>
                <w:szCs w:val="18"/>
                <w:lang w:val="fr-FR"/>
              </w:rPr>
            </w:pPr>
            <w:r w:rsidRPr="00686D5A">
              <w:rPr>
                <w:sz w:val="18"/>
                <w:szCs w:val="18"/>
                <w:lang w:val="fr-FR"/>
              </w:rPr>
              <w:t>29%</w:t>
            </w:r>
          </w:p>
        </w:tc>
        <w:tc>
          <w:tcPr>
            <w:tcW w:w="0" w:type="auto"/>
            <w:tcBorders>
              <w:top w:val="nil"/>
              <w:left w:val="single" w:sz="4" w:space="0" w:color="000000"/>
              <w:bottom w:val="nil"/>
              <w:right w:val="single" w:sz="4" w:space="0" w:color="000000"/>
            </w:tcBorders>
            <w:noWrap/>
            <w:vAlign w:val="center"/>
          </w:tcPr>
          <w:p w:rsidR="009A7E4C" w:rsidRPr="00686D5A" w:rsidRDefault="009A7E4C" w:rsidP="001E2D32">
            <w:pPr>
              <w:jc w:val="center"/>
              <w:rPr>
                <w:sz w:val="18"/>
                <w:szCs w:val="18"/>
                <w:lang w:val="fr-FR"/>
              </w:rPr>
            </w:pPr>
            <w:r w:rsidRPr="00686D5A">
              <w:rPr>
                <w:sz w:val="18"/>
                <w:szCs w:val="18"/>
                <w:lang w:val="fr-FR"/>
              </w:rPr>
              <w:t>18%</w:t>
            </w:r>
          </w:p>
        </w:tc>
      </w:tr>
      <w:tr w:rsidR="009A7E4C" w:rsidRPr="00686D5A" w:rsidTr="00840A87">
        <w:trPr>
          <w:trHeight w:val="255"/>
          <w:jc w:val="center"/>
        </w:trPr>
        <w:tc>
          <w:tcPr>
            <w:tcW w:w="0" w:type="auto"/>
            <w:tcBorders>
              <w:top w:val="nil"/>
              <w:left w:val="single" w:sz="4" w:space="0" w:color="000000"/>
              <w:bottom w:val="nil"/>
              <w:right w:val="nil"/>
            </w:tcBorders>
            <w:noWrap/>
            <w:vAlign w:val="bottom"/>
          </w:tcPr>
          <w:p w:rsidR="009A7E4C" w:rsidRPr="00686D5A" w:rsidRDefault="009A7E4C" w:rsidP="00F76C51">
            <w:pPr>
              <w:spacing w:before="120" w:after="120"/>
              <w:rPr>
                <w:sz w:val="18"/>
                <w:szCs w:val="18"/>
                <w:lang w:val="fr-FR"/>
              </w:rPr>
            </w:pPr>
            <w:r w:rsidRPr="00686D5A">
              <w:rPr>
                <w:sz w:val="18"/>
                <w:szCs w:val="18"/>
                <w:lang w:val="fr-FR"/>
              </w:rPr>
              <w:t>Pratiques irrégulières dans le domaine des ressources humaines</w:t>
            </w:r>
          </w:p>
        </w:tc>
        <w:tc>
          <w:tcPr>
            <w:tcW w:w="0" w:type="auto"/>
            <w:tcBorders>
              <w:top w:val="nil"/>
              <w:left w:val="single" w:sz="4" w:space="0" w:color="000000"/>
              <w:bottom w:val="nil"/>
              <w:right w:val="nil"/>
            </w:tcBorders>
            <w:noWrap/>
            <w:vAlign w:val="center"/>
          </w:tcPr>
          <w:p w:rsidR="009A7E4C" w:rsidRPr="00686D5A" w:rsidRDefault="009A7E4C" w:rsidP="001E2D32">
            <w:pPr>
              <w:jc w:val="center"/>
              <w:rPr>
                <w:sz w:val="18"/>
                <w:szCs w:val="18"/>
                <w:lang w:val="fr-FR"/>
              </w:rPr>
            </w:pPr>
            <w:r w:rsidRPr="00686D5A">
              <w:rPr>
                <w:sz w:val="18"/>
                <w:szCs w:val="18"/>
                <w:lang w:val="fr-FR"/>
              </w:rPr>
              <w:t>15%</w:t>
            </w:r>
          </w:p>
        </w:tc>
        <w:tc>
          <w:tcPr>
            <w:tcW w:w="0" w:type="auto"/>
            <w:tcBorders>
              <w:top w:val="nil"/>
              <w:left w:val="nil"/>
              <w:bottom w:val="nil"/>
              <w:right w:val="nil"/>
            </w:tcBorders>
            <w:noWrap/>
            <w:vAlign w:val="center"/>
          </w:tcPr>
          <w:p w:rsidR="009A7E4C" w:rsidRPr="00686D5A" w:rsidRDefault="009A7E4C" w:rsidP="001E2D32">
            <w:pPr>
              <w:jc w:val="center"/>
              <w:rPr>
                <w:sz w:val="18"/>
                <w:szCs w:val="18"/>
                <w:lang w:val="fr-FR"/>
              </w:rPr>
            </w:pPr>
            <w:r w:rsidRPr="00686D5A">
              <w:rPr>
                <w:sz w:val="18"/>
                <w:szCs w:val="18"/>
                <w:lang w:val="fr-FR"/>
              </w:rPr>
              <w:t>15%</w:t>
            </w:r>
          </w:p>
        </w:tc>
        <w:tc>
          <w:tcPr>
            <w:tcW w:w="0" w:type="auto"/>
            <w:tcBorders>
              <w:top w:val="nil"/>
              <w:left w:val="nil"/>
              <w:bottom w:val="nil"/>
              <w:right w:val="nil"/>
            </w:tcBorders>
            <w:noWrap/>
            <w:vAlign w:val="center"/>
          </w:tcPr>
          <w:p w:rsidR="009A7E4C" w:rsidRPr="00686D5A" w:rsidRDefault="009A7E4C" w:rsidP="001E2D32">
            <w:pPr>
              <w:jc w:val="center"/>
              <w:rPr>
                <w:sz w:val="18"/>
                <w:szCs w:val="18"/>
                <w:lang w:val="fr-FR"/>
              </w:rPr>
            </w:pPr>
            <w:r w:rsidRPr="00686D5A">
              <w:rPr>
                <w:sz w:val="18"/>
                <w:szCs w:val="18"/>
                <w:lang w:val="fr-FR"/>
              </w:rPr>
              <w:t>24%</w:t>
            </w:r>
          </w:p>
        </w:tc>
        <w:tc>
          <w:tcPr>
            <w:tcW w:w="0" w:type="auto"/>
            <w:tcBorders>
              <w:top w:val="nil"/>
              <w:left w:val="nil"/>
              <w:bottom w:val="nil"/>
              <w:right w:val="nil"/>
            </w:tcBorders>
            <w:noWrap/>
            <w:vAlign w:val="center"/>
          </w:tcPr>
          <w:p w:rsidR="009A7E4C" w:rsidRPr="00686D5A" w:rsidRDefault="009A7E4C" w:rsidP="001E2D32">
            <w:pPr>
              <w:jc w:val="center"/>
              <w:rPr>
                <w:sz w:val="18"/>
                <w:szCs w:val="18"/>
                <w:lang w:val="fr-FR"/>
              </w:rPr>
            </w:pPr>
            <w:r w:rsidRPr="00686D5A">
              <w:rPr>
                <w:sz w:val="18"/>
                <w:szCs w:val="18"/>
                <w:lang w:val="fr-FR"/>
              </w:rPr>
              <w:t>21%</w:t>
            </w:r>
          </w:p>
        </w:tc>
        <w:tc>
          <w:tcPr>
            <w:tcW w:w="0" w:type="auto"/>
            <w:tcBorders>
              <w:top w:val="nil"/>
              <w:left w:val="nil"/>
              <w:bottom w:val="nil"/>
              <w:right w:val="nil"/>
            </w:tcBorders>
            <w:noWrap/>
            <w:vAlign w:val="center"/>
          </w:tcPr>
          <w:p w:rsidR="009A7E4C" w:rsidRPr="00686D5A" w:rsidRDefault="009A7E4C" w:rsidP="001E2D32">
            <w:pPr>
              <w:jc w:val="center"/>
              <w:rPr>
                <w:sz w:val="18"/>
                <w:szCs w:val="18"/>
                <w:lang w:val="fr-FR"/>
              </w:rPr>
            </w:pPr>
            <w:r w:rsidRPr="00686D5A">
              <w:rPr>
                <w:sz w:val="18"/>
                <w:szCs w:val="18"/>
                <w:lang w:val="fr-FR"/>
              </w:rPr>
              <w:t>7%</w:t>
            </w:r>
          </w:p>
        </w:tc>
        <w:tc>
          <w:tcPr>
            <w:tcW w:w="0" w:type="auto"/>
            <w:tcBorders>
              <w:top w:val="nil"/>
              <w:left w:val="single" w:sz="4" w:space="0" w:color="000000"/>
              <w:bottom w:val="nil"/>
              <w:right w:val="single" w:sz="4" w:space="0" w:color="000000"/>
            </w:tcBorders>
            <w:noWrap/>
            <w:vAlign w:val="center"/>
          </w:tcPr>
          <w:p w:rsidR="009A7E4C" w:rsidRPr="00686D5A" w:rsidRDefault="009A7E4C" w:rsidP="001E2D32">
            <w:pPr>
              <w:jc w:val="center"/>
              <w:rPr>
                <w:sz w:val="18"/>
                <w:szCs w:val="18"/>
                <w:lang w:val="fr-FR"/>
              </w:rPr>
            </w:pPr>
            <w:r w:rsidRPr="00686D5A">
              <w:rPr>
                <w:sz w:val="18"/>
                <w:szCs w:val="18"/>
                <w:lang w:val="fr-FR"/>
              </w:rPr>
              <w:t>18%</w:t>
            </w:r>
          </w:p>
        </w:tc>
      </w:tr>
      <w:tr w:rsidR="009A7E4C" w:rsidRPr="00686D5A" w:rsidTr="00840A87">
        <w:trPr>
          <w:trHeight w:val="255"/>
          <w:jc w:val="center"/>
        </w:trPr>
        <w:tc>
          <w:tcPr>
            <w:tcW w:w="0" w:type="auto"/>
            <w:tcBorders>
              <w:top w:val="nil"/>
              <w:left w:val="single" w:sz="4" w:space="0" w:color="000000"/>
              <w:bottom w:val="nil"/>
              <w:right w:val="nil"/>
            </w:tcBorders>
            <w:noWrap/>
            <w:vAlign w:val="bottom"/>
          </w:tcPr>
          <w:p w:rsidR="009A7E4C" w:rsidRPr="00686D5A" w:rsidRDefault="009A7E4C" w:rsidP="00F76C51">
            <w:pPr>
              <w:spacing w:before="120" w:after="120"/>
              <w:rPr>
                <w:sz w:val="18"/>
                <w:szCs w:val="18"/>
                <w:lang w:val="fr-FR"/>
              </w:rPr>
            </w:pPr>
            <w:r w:rsidRPr="00686D5A">
              <w:rPr>
                <w:sz w:val="18"/>
                <w:szCs w:val="18"/>
                <w:lang w:val="fr-FR"/>
              </w:rPr>
              <w:t>Utilisation abusive des ressources informatiques</w:t>
            </w:r>
          </w:p>
        </w:tc>
        <w:tc>
          <w:tcPr>
            <w:tcW w:w="0" w:type="auto"/>
            <w:tcBorders>
              <w:top w:val="nil"/>
              <w:left w:val="single" w:sz="4" w:space="0" w:color="000000"/>
              <w:bottom w:val="nil"/>
              <w:right w:val="nil"/>
            </w:tcBorders>
            <w:noWrap/>
            <w:vAlign w:val="center"/>
          </w:tcPr>
          <w:p w:rsidR="009A7E4C" w:rsidRPr="00686D5A" w:rsidRDefault="009A7E4C" w:rsidP="001E2D32">
            <w:pPr>
              <w:jc w:val="center"/>
              <w:rPr>
                <w:sz w:val="18"/>
                <w:szCs w:val="18"/>
                <w:lang w:val="fr-FR"/>
              </w:rPr>
            </w:pPr>
            <w:r w:rsidRPr="00686D5A">
              <w:rPr>
                <w:sz w:val="18"/>
                <w:szCs w:val="18"/>
                <w:lang w:val="fr-FR"/>
              </w:rPr>
              <w:t>23%</w:t>
            </w:r>
          </w:p>
        </w:tc>
        <w:tc>
          <w:tcPr>
            <w:tcW w:w="0" w:type="auto"/>
            <w:tcBorders>
              <w:top w:val="nil"/>
              <w:left w:val="nil"/>
              <w:bottom w:val="nil"/>
              <w:right w:val="nil"/>
            </w:tcBorders>
            <w:noWrap/>
            <w:vAlign w:val="center"/>
          </w:tcPr>
          <w:p w:rsidR="009A7E4C" w:rsidRPr="00686D5A" w:rsidRDefault="009A7E4C" w:rsidP="001E2D32">
            <w:pPr>
              <w:jc w:val="center"/>
              <w:rPr>
                <w:sz w:val="18"/>
                <w:szCs w:val="18"/>
                <w:lang w:val="fr-FR"/>
              </w:rPr>
            </w:pPr>
            <w:r w:rsidRPr="00686D5A">
              <w:rPr>
                <w:sz w:val="18"/>
                <w:szCs w:val="18"/>
                <w:lang w:val="fr-FR"/>
              </w:rPr>
              <w:t>8%</w:t>
            </w:r>
          </w:p>
        </w:tc>
        <w:tc>
          <w:tcPr>
            <w:tcW w:w="0" w:type="auto"/>
            <w:tcBorders>
              <w:top w:val="nil"/>
              <w:left w:val="nil"/>
              <w:bottom w:val="nil"/>
              <w:right w:val="nil"/>
            </w:tcBorders>
            <w:noWrap/>
            <w:vAlign w:val="center"/>
          </w:tcPr>
          <w:p w:rsidR="009A7E4C" w:rsidRPr="00686D5A" w:rsidRDefault="009A7E4C" w:rsidP="001E2D32">
            <w:pPr>
              <w:jc w:val="center"/>
              <w:rPr>
                <w:sz w:val="18"/>
                <w:szCs w:val="18"/>
                <w:lang w:val="fr-FR"/>
              </w:rPr>
            </w:pPr>
            <w:r w:rsidRPr="00686D5A">
              <w:rPr>
                <w:sz w:val="18"/>
                <w:szCs w:val="18"/>
                <w:lang w:val="fr-FR"/>
              </w:rPr>
              <w:t>5%</w:t>
            </w:r>
          </w:p>
        </w:tc>
        <w:tc>
          <w:tcPr>
            <w:tcW w:w="0" w:type="auto"/>
            <w:tcBorders>
              <w:top w:val="nil"/>
              <w:left w:val="nil"/>
              <w:bottom w:val="nil"/>
              <w:right w:val="nil"/>
            </w:tcBorders>
            <w:noWrap/>
            <w:vAlign w:val="center"/>
          </w:tcPr>
          <w:p w:rsidR="009A7E4C" w:rsidRPr="00686D5A" w:rsidRDefault="009A7E4C" w:rsidP="001E2D32">
            <w:pPr>
              <w:jc w:val="center"/>
              <w:rPr>
                <w:sz w:val="18"/>
                <w:szCs w:val="18"/>
                <w:lang w:val="fr-FR"/>
              </w:rPr>
            </w:pPr>
            <w:r w:rsidRPr="00686D5A">
              <w:rPr>
                <w:sz w:val="18"/>
                <w:szCs w:val="18"/>
                <w:lang w:val="fr-FR"/>
              </w:rPr>
              <w:t>0%</w:t>
            </w:r>
          </w:p>
        </w:tc>
        <w:tc>
          <w:tcPr>
            <w:tcW w:w="0" w:type="auto"/>
            <w:tcBorders>
              <w:top w:val="nil"/>
              <w:left w:val="nil"/>
              <w:bottom w:val="nil"/>
              <w:right w:val="nil"/>
            </w:tcBorders>
            <w:noWrap/>
            <w:vAlign w:val="center"/>
          </w:tcPr>
          <w:p w:rsidR="009A7E4C" w:rsidRPr="00686D5A" w:rsidRDefault="009A7E4C" w:rsidP="001E2D32">
            <w:pPr>
              <w:jc w:val="center"/>
              <w:rPr>
                <w:sz w:val="18"/>
                <w:szCs w:val="18"/>
                <w:lang w:val="fr-FR"/>
              </w:rPr>
            </w:pPr>
            <w:r w:rsidRPr="00686D5A">
              <w:rPr>
                <w:sz w:val="18"/>
                <w:szCs w:val="18"/>
                <w:lang w:val="fr-FR"/>
              </w:rPr>
              <w:t>7%</w:t>
            </w:r>
          </w:p>
        </w:tc>
        <w:tc>
          <w:tcPr>
            <w:tcW w:w="0" w:type="auto"/>
            <w:tcBorders>
              <w:top w:val="nil"/>
              <w:left w:val="single" w:sz="4" w:space="0" w:color="000000"/>
              <w:bottom w:val="nil"/>
              <w:right w:val="single" w:sz="4" w:space="0" w:color="000000"/>
            </w:tcBorders>
            <w:noWrap/>
            <w:vAlign w:val="center"/>
          </w:tcPr>
          <w:p w:rsidR="009A7E4C" w:rsidRPr="00686D5A" w:rsidRDefault="009A7E4C" w:rsidP="001E2D32">
            <w:pPr>
              <w:jc w:val="center"/>
              <w:rPr>
                <w:sz w:val="18"/>
                <w:szCs w:val="18"/>
                <w:lang w:val="fr-FR"/>
              </w:rPr>
            </w:pPr>
            <w:r w:rsidRPr="00686D5A">
              <w:rPr>
                <w:sz w:val="18"/>
                <w:szCs w:val="18"/>
                <w:lang w:val="fr-FR"/>
              </w:rPr>
              <w:t>8%</w:t>
            </w:r>
          </w:p>
        </w:tc>
      </w:tr>
      <w:tr w:rsidR="009A7E4C" w:rsidRPr="00686D5A" w:rsidTr="00840A87">
        <w:trPr>
          <w:trHeight w:val="965"/>
          <w:jc w:val="center"/>
        </w:trPr>
        <w:tc>
          <w:tcPr>
            <w:tcW w:w="0" w:type="auto"/>
            <w:tcBorders>
              <w:top w:val="nil"/>
              <w:left w:val="single" w:sz="4" w:space="0" w:color="000000"/>
              <w:bottom w:val="nil"/>
              <w:right w:val="nil"/>
            </w:tcBorders>
            <w:vAlign w:val="bottom"/>
          </w:tcPr>
          <w:p w:rsidR="009A7E4C" w:rsidRPr="00686D5A" w:rsidRDefault="009A7E4C" w:rsidP="00F76C51">
            <w:pPr>
              <w:spacing w:before="120" w:after="120"/>
              <w:rPr>
                <w:sz w:val="18"/>
                <w:szCs w:val="18"/>
                <w:lang w:val="fr-FR"/>
              </w:rPr>
            </w:pPr>
            <w:r w:rsidRPr="00686D5A">
              <w:rPr>
                <w:sz w:val="18"/>
                <w:szCs w:val="18"/>
                <w:lang w:val="fr-FR"/>
              </w:rPr>
              <w:t>Pratiques frauduleuses et répréhensibles en général (autres que la fraude aux prestations)/détournement ou utilisation illicite de fonds et biens appartenant à l</w:t>
            </w:r>
            <w:r w:rsidR="00D565F4">
              <w:rPr>
                <w:sz w:val="18"/>
                <w:szCs w:val="18"/>
                <w:lang w:val="fr-FR"/>
              </w:rPr>
              <w:t>’</w:t>
            </w:r>
            <w:r w:rsidRPr="00686D5A">
              <w:rPr>
                <w:sz w:val="18"/>
                <w:szCs w:val="18"/>
                <w:lang w:val="fr-FR"/>
              </w:rPr>
              <w:t>Organisation (autres que les ressources informatiques)</w:t>
            </w:r>
          </w:p>
        </w:tc>
        <w:tc>
          <w:tcPr>
            <w:tcW w:w="0" w:type="auto"/>
            <w:tcBorders>
              <w:top w:val="nil"/>
              <w:left w:val="single" w:sz="4" w:space="0" w:color="000000"/>
              <w:bottom w:val="nil"/>
              <w:right w:val="nil"/>
            </w:tcBorders>
            <w:noWrap/>
            <w:vAlign w:val="center"/>
          </w:tcPr>
          <w:p w:rsidR="009A7E4C" w:rsidRPr="00686D5A" w:rsidRDefault="009A7E4C" w:rsidP="001E2D32">
            <w:pPr>
              <w:jc w:val="center"/>
              <w:rPr>
                <w:sz w:val="18"/>
                <w:szCs w:val="18"/>
                <w:lang w:val="fr-FR"/>
              </w:rPr>
            </w:pPr>
            <w:r w:rsidRPr="00686D5A">
              <w:rPr>
                <w:sz w:val="18"/>
                <w:szCs w:val="18"/>
                <w:lang w:val="fr-FR"/>
              </w:rPr>
              <w:t>8%</w:t>
            </w:r>
          </w:p>
        </w:tc>
        <w:tc>
          <w:tcPr>
            <w:tcW w:w="0" w:type="auto"/>
            <w:tcBorders>
              <w:top w:val="nil"/>
              <w:left w:val="nil"/>
              <w:bottom w:val="nil"/>
              <w:right w:val="nil"/>
            </w:tcBorders>
            <w:noWrap/>
            <w:vAlign w:val="center"/>
          </w:tcPr>
          <w:p w:rsidR="009A7E4C" w:rsidRPr="00686D5A" w:rsidRDefault="009A7E4C" w:rsidP="001E2D32">
            <w:pPr>
              <w:jc w:val="center"/>
              <w:rPr>
                <w:sz w:val="18"/>
                <w:szCs w:val="18"/>
                <w:lang w:val="fr-FR"/>
              </w:rPr>
            </w:pPr>
            <w:r w:rsidRPr="00686D5A">
              <w:rPr>
                <w:sz w:val="18"/>
                <w:szCs w:val="18"/>
                <w:lang w:val="fr-FR"/>
              </w:rPr>
              <w:t>31%</w:t>
            </w:r>
          </w:p>
        </w:tc>
        <w:tc>
          <w:tcPr>
            <w:tcW w:w="0" w:type="auto"/>
            <w:tcBorders>
              <w:top w:val="nil"/>
              <w:left w:val="nil"/>
              <w:bottom w:val="nil"/>
              <w:right w:val="nil"/>
            </w:tcBorders>
            <w:noWrap/>
            <w:vAlign w:val="center"/>
          </w:tcPr>
          <w:p w:rsidR="009A7E4C" w:rsidRPr="00686D5A" w:rsidRDefault="009A7E4C" w:rsidP="001E2D32">
            <w:pPr>
              <w:jc w:val="center"/>
              <w:rPr>
                <w:sz w:val="18"/>
                <w:szCs w:val="18"/>
                <w:lang w:val="fr-FR"/>
              </w:rPr>
            </w:pPr>
            <w:r w:rsidRPr="00686D5A">
              <w:rPr>
                <w:sz w:val="18"/>
                <w:szCs w:val="18"/>
                <w:lang w:val="fr-FR"/>
              </w:rPr>
              <w:t>5%</w:t>
            </w:r>
          </w:p>
        </w:tc>
        <w:tc>
          <w:tcPr>
            <w:tcW w:w="0" w:type="auto"/>
            <w:tcBorders>
              <w:top w:val="nil"/>
              <w:left w:val="nil"/>
              <w:bottom w:val="nil"/>
              <w:right w:val="nil"/>
            </w:tcBorders>
            <w:noWrap/>
            <w:vAlign w:val="center"/>
          </w:tcPr>
          <w:p w:rsidR="009A7E4C" w:rsidRPr="00686D5A" w:rsidRDefault="009A7E4C" w:rsidP="001E2D32">
            <w:pPr>
              <w:jc w:val="center"/>
              <w:rPr>
                <w:sz w:val="18"/>
                <w:szCs w:val="18"/>
                <w:lang w:val="fr-FR"/>
              </w:rPr>
            </w:pPr>
            <w:r w:rsidRPr="00686D5A">
              <w:rPr>
                <w:sz w:val="18"/>
                <w:szCs w:val="18"/>
                <w:lang w:val="fr-FR"/>
              </w:rPr>
              <w:t>5%</w:t>
            </w:r>
          </w:p>
        </w:tc>
        <w:tc>
          <w:tcPr>
            <w:tcW w:w="0" w:type="auto"/>
            <w:tcBorders>
              <w:top w:val="nil"/>
              <w:left w:val="nil"/>
              <w:bottom w:val="nil"/>
              <w:right w:val="nil"/>
            </w:tcBorders>
            <w:noWrap/>
            <w:vAlign w:val="center"/>
          </w:tcPr>
          <w:p w:rsidR="009A7E4C" w:rsidRPr="00686D5A" w:rsidRDefault="009A7E4C" w:rsidP="001E2D32">
            <w:pPr>
              <w:jc w:val="center"/>
              <w:rPr>
                <w:sz w:val="18"/>
                <w:szCs w:val="18"/>
                <w:lang w:val="fr-FR"/>
              </w:rPr>
            </w:pPr>
            <w:r w:rsidRPr="00686D5A">
              <w:rPr>
                <w:sz w:val="18"/>
                <w:szCs w:val="18"/>
                <w:lang w:val="fr-FR"/>
              </w:rPr>
              <w:t>14%</w:t>
            </w:r>
          </w:p>
        </w:tc>
        <w:tc>
          <w:tcPr>
            <w:tcW w:w="0" w:type="auto"/>
            <w:tcBorders>
              <w:top w:val="nil"/>
              <w:left w:val="single" w:sz="4" w:space="0" w:color="000000"/>
              <w:bottom w:val="nil"/>
              <w:right w:val="single" w:sz="4" w:space="0" w:color="000000"/>
            </w:tcBorders>
            <w:noWrap/>
            <w:vAlign w:val="center"/>
          </w:tcPr>
          <w:p w:rsidR="009A7E4C" w:rsidRPr="00686D5A" w:rsidRDefault="009A7E4C" w:rsidP="001E2D32">
            <w:pPr>
              <w:jc w:val="center"/>
              <w:rPr>
                <w:sz w:val="18"/>
                <w:szCs w:val="18"/>
                <w:lang w:val="fr-FR"/>
              </w:rPr>
            </w:pPr>
            <w:r w:rsidRPr="00686D5A">
              <w:rPr>
                <w:sz w:val="18"/>
                <w:szCs w:val="18"/>
                <w:lang w:val="fr-FR"/>
              </w:rPr>
              <w:t>11%</w:t>
            </w:r>
          </w:p>
        </w:tc>
      </w:tr>
      <w:tr w:rsidR="009A7E4C" w:rsidRPr="00686D5A" w:rsidTr="00840A87">
        <w:trPr>
          <w:trHeight w:val="765"/>
          <w:jc w:val="center"/>
        </w:trPr>
        <w:tc>
          <w:tcPr>
            <w:tcW w:w="0" w:type="auto"/>
            <w:tcBorders>
              <w:top w:val="nil"/>
              <w:left w:val="single" w:sz="4" w:space="0" w:color="000000"/>
              <w:bottom w:val="nil"/>
              <w:right w:val="nil"/>
            </w:tcBorders>
            <w:vAlign w:val="bottom"/>
          </w:tcPr>
          <w:p w:rsidR="009A7E4C" w:rsidRPr="00686D5A" w:rsidRDefault="009A7E4C" w:rsidP="00F76C51">
            <w:pPr>
              <w:spacing w:before="120" w:after="120"/>
              <w:rPr>
                <w:sz w:val="18"/>
                <w:szCs w:val="18"/>
                <w:lang w:val="fr-FR"/>
              </w:rPr>
            </w:pPr>
            <w:r w:rsidRPr="00686D5A">
              <w:rPr>
                <w:sz w:val="18"/>
                <w:szCs w:val="18"/>
                <w:lang w:val="fr-FR"/>
              </w:rPr>
              <w:t>Déclarations et activités incompatibles avec le statut de fonctionnaire international</w:t>
            </w:r>
          </w:p>
        </w:tc>
        <w:tc>
          <w:tcPr>
            <w:tcW w:w="0" w:type="auto"/>
            <w:tcBorders>
              <w:top w:val="nil"/>
              <w:left w:val="single" w:sz="4" w:space="0" w:color="000000"/>
              <w:bottom w:val="nil"/>
              <w:right w:val="nil"/>
            </w:tcBorders>
            <w:noWrap/>
            <w:vAlign w:val="center"/>
          </w:tcPr>
          <w:p w:rsidR="009A7E4C" w:rsidRPr="00686D5A" w:rsidRDefault="009A7E4C" w:rsidP="001E2D32">
            <w:pPr>
              <w:jc w:val="center"/>
              <w:rPr>
                <w:sz w:val="18"/>
                <w:szCs w:val="18"/>
                <w:lang w:val="fr-FR"/>
              </w:rPr>
            </w:pPr>
            <w:r w:rsidRPr="00686D5A">
              <w:rPr>
                <w:sz w:val="18"/>
                <w:szCs w:val="18"/>
                <w:lang w:val="fr-FR"/>
              </w:rPr>
              <w:t>15%</w:t>
            </w:r>
          </w:p>
        </w:tc>
        <w:tc>
          <w:tcPr>
            <w:tcW w:w="0" w:type="auto"/>
            <w:tcBorders>
              <w:top w:val="nil"/>
              <w:left w:val="nil"/>
              <w:bottom w:val="nil"/>
              <w:right w:val="nil"/>
            </w:tcBorders>
            <w:noWrap/>
            <w:vAlign w:val="center"/>
          </w:tcPr>
          <w:p w:rsidR="009A7E4C" w:rsidRPr="00686D5A" w:rsidRDefault="009A7E4C" w:rsidP="001E2D32">
            <w:pPr>
              <w:jc w:val="center"/>
              <w:rPr>
                <w:sz w:val="18"/>
                <w:szCs w:val="18"/>
                <w:lang w:val="fr-FR"/>
              </w:rPr>
            </w:pPr>
            <w:r w:rsidRPr="00686D5A">
              <w:rPr>
                <w:sz w:val="18"/>
                <w:szCs w:val="18"/>
                <w:lang w:val="fr-FR"/>
              </w:rPr>
              <w:t>15%</w:t>
            </w:r>
          </w:p>
        </w:tc>
        <w:tc>
          <w:tcPr>
            <w:tcW w:w="0" w:type="auto"/>
            <w:tcBorders>
              <w:top w:val="nil"/>
              <w:left w:val="nil"/>
              <w:bottom w:val="nil"/>
              <w:right w:val="nil"/>
            </w:tcBorders>
            <w:noWrap/>
            <w:vAlign w:val="center"/>
          </w:tcPr>
          <w:p w:rsidR="009A7E4C" w:rsidRPr="00686D5A" w:rsidRDefault="009A7E4C" w:rsidP="001E2D32">
            <w:pPr>
              <w:jc w:val="center"/>
              <w:rPr>
                <w:sz w:val="18"/>
                <w:szCs w:val="18"/>
                <w:lang w:val="fr-FR"/>
              </w:rPr>
            </w:pPr>
            <w:r w:rsidRPr="00686D5A">
              <w:rPr>
                <w:sz w:val="18"/>
                <w:szCs w:val="18"/>
                <w:lang w:val="fr-FR"/>
              </w:rPr>
              <w:t>19%</w:t>
            </w:r>
          </w:p>
        </w:tc>
        <w:tc>
          <w:tcPr>
            <w:tcW w:w="0" w:type="auto"/>
            <w:tcBorders>
              <w:top w:val="nil"/>
              <w:left w:val="nil"/>
              <w:bottom w:val="nil"/>
              <w:right w:val="nil"/>
            </w:tcBorders>
            <w:noWrap/>
            <w:vAlign w:val="center"/>
          </w:tcPr>
          <w:p w:rsidR="009A7E4C" w:rsidRPr="00686D5A" w:rsidRDefault="009A7E4C" w:rsidP="001E2D32">
            <w:pPr>
              <w:jc w:val="center"/>
              <w:rPr>
                <w:sz w:val="18"/>
                <w:szCs w:val="18"/>
                <w:lang w:val="fr-FR"/>
              </w:rPr>
            </w:pPr>
            <w:r w:rsidRPr="00686D5A">
              <w:rPr>
                <w:sz w:val="18"/>
                <w:szCs w:val="18"/>
                <w:lang w:val="fr-FR"/>
              </w:rPr>
              <w:t>16%</w:t>
            </w:r>
          </w:p>
        </w:tc>
        <w:tc>
          <w:tcPr>
            <w:tcW w:w="0" w:type="auto"/>
            <w:tcBorders>
              <w:top w:val="nil"/>
              <w:left w:val="nil"/>
              <w:bottom w:val="nil"/>
              <w:right w:val="nil"/>
            </w:tcBorders>
            <w:noWrap/>
            <w:vAlign w:val="center"/>
          </w:tcPr>
          <w:p w:rsidR="009A7E4C" w:rsidRPr="00686D5A" w:rsidRDefault="009A7E4C" w:rsidP="001E2D32">
            <w:pPr>
              <w:jc w:val="center"/>
              <w:rPr>
                <w:sz w:val="18"/>
                <w:szCs w:val="18"/>
                <w:lang w:val="fr-FR"/>
              </w:rPr>
            </w:pPr>
            <w:r w:rsidRPr="00686D5A">
              <w:rPr>
                <w:sz w:val="18"/>
                <w:szCs w:val="18"/>
                <w:lang w:val="fr-FR"/>
              </w:rPr>
              <w:t>29%</w:t>
            </w:r>
          </w:p>
        </w:tc>
        <w:tc>
          <w:tcPr>
            <w:tcW w:w="0" w:type="auto"/>
            <w:tcBorders>
              <w:top w:val="nil"/>
              <w:left w:val="single" w:sz="4" w:space="0" w:color="000000"/>
              <w:bottom w:val="nil"/>
              <w:right w:val="single" w:sz="4" w:space="0" w:color="000000"/>
            </w:tcBorders>
            <w:noWrap/>
            <w:vAlign w:val="center"/>
          </w:tcPr>
          <w:p w:rsidR="009A7E4C" w:rsidRPr="00686D5A" w:rsidRDefault="009A7E4C" w:rsidP="001E2D32">
            <w:pPr>
              <w:jc w:val="center"/>
              <w:rPr>
                <w:sz w:val="18"/>
                <w:szCs w:val="18"/>
                <w:lang w:val="fr-FR"/>
              </w:rPr>
            </w:pPr>
            <w:r w:rsidRPr="00686D5A">
              <w:rPr>
                <w:sz w:val="18"/>
                <w:szCs w:val="18"/>
                <w:lang w:val="fr-FR"/>
              </w:rPr>
              <w:t>19%</w:t>
            </w:r>
          </w:p>
        </w:tc>
      </w:tr>
      <w:tr w:rsidR="009A7E4C" w:rsidRPr="00686D5A" w:rsidTr="00840A87">
        <w:trPr>
          <w:trHeight w:val="255"/>
          <w:jc w:val="center"/>
        </w:trPr>
        <w:tc>
          <w:tcPr>
            <w:tcW w:w="0" w:type="auto"/>
            <w:tcBorders>
              <w:top w:val="nil"/>
              <w:left w:val="single" w:sz="4" w:space="0" w:color="000000"/>
              <w:bottom w:val="nil"/>
              <w:right w:val="nil"/>
            </w:tcBorders>
            <w:noWrap/>
            <w:vAlign w:val="bottom"/>
          </w:tcPr>
          <w:p w:rsidR="009A7E4C" w:rsidRPr="00686D5A" w:rsidRDefault="009A7E4C" w:rsidP="00F76C51">
            <w:pPr>
              <w:spacing w:before="120" w:after="120"/>
              <w:rPr>
                <w:sz w:val="18"/>
                <w:szCs w:val="18"/>
                <w:lang w:val="fr-FR"/>
              </w:rPr>
            </w:pPr>
            <w:r w:rsidRPr="00686D5A">
              <w:rPr>
                <w:sz w:val="18"/>
                <w:szCs w:val="18"/>
                <w:lang w:val="fr-FR"/>
              </w:rPr>
              <w:t>Communication non autorisée d</w:t>
            </w:r>
            <w:r w:rsidR="00D565F4">
              <w:rPr>
                <w:sz w:val="18"/>
                <w:szCs w:val="18"/>
                <w:lang w:val="fr-FR"/>
              </w:rPr>
              <w:t>’</w:t>
            </w:r>
            <w:r w:rsidRPr="00686D5A">
              <w:rPr>
                <w:sz w:val="18"/>
                <w:szCs w:val="18"/>
                <w:lang w:val="fr-FR"/>
              </w:rPr>
              <w:t>informations</w:t>
            </w:r>
          </w:p>
        </w:tc>
        <w:tc>
          <w:tcPr>
            <w:tcW w:w="0" w:type="auto"/>
            <w:tcBorders>
              <w:top w:val="nil"/>
              <w:left w:val="single" w:sz="4" w:space="0" w:color="000000"/>
              <w:bottom w:val="nil"/>
              <w:right w:val="nil"/>
            </w:tcBorders>
            <w:noWrap/>
            <w:vAlign w:val="center"/>
          </w:tcPr>
          <w:p w:rsidR="009A7E4C" w:rsidRPr="00686D5A" w:rsidRDefault="009A7E4C" w:rsidP="001E2D32">
            <w:pPr>
              <w:jc w:val="center"/>
              <w:rPr>
                <w:sz w:val="18"/>
                <w:szCs w:val="18"/>
                <w:lang w:val="fr-FR"/>
              </w:rPr>
            </w:pPr>
            <w:r w:rsidRPr="00686D5A">
              <w:rPr>
                <w:sz w:val="18"/>
                <w:szCs w:val="18"/>
                <w:lang w:val="fr-FR"/>
              </w:rPr>
              <w:t>0%</w:t>
            </w:r>
          </w:p>
        </w:tc>
        <w:tc>
          <w:tcPr>
            <w:tcW w:w="0" w:type="auto"/>
            <w:tcBorders>
              <w:top w:val="nil"/>
              <w:left w:val="nil"/>
              <w:bottom w:val="nil"/>
              <w:right w:val="nil"/>
            </w:tcBorders>
            <w:noWrap/>
            <w:vAlign w:val="center"/>
          </w:tcPr>
          <w:p w:rsidR="009A7E4C" w:rsidRPr="00686D5A" w:rsidRDefault="009A7E4C" w:rsidP="001E2D32">
            <w:pPr>
              <w:jc w:val="center"/>
              <w:rPr>
                <w:sz w:val="18"/>
                <w:szCs w:val="18"/>
                <w:lang w:val="fr-FR"/>
              </w:rPr>
            </w:pPr>
            <w:r w:rsidRPr="00686D5A">
              <w:rPr>
                <w:sz w:val="18"/>
                <w:szCs w:val="18"/>
                <w:lang w:val="fr-FR"/>
              </w:rPr>
              <w:t>8%</w:t>
            </w:r>
          </w:p>
        </w:tc>
        <w:tc>
          <w:tcPr>
            <w:tcW w:w="0" w:type="auto"/>
            <w:tcBorders>
              <w:top w:val="nil"/>
              <w:left w:val="nil"/>
              <w:bottom w:val="nil"/>
              <w:right w:val="nil"/>
            </w:tcBorders>
            <w:noWrap/>
            <w:vAlign w:val="center"/>
          </w:tcPr>
          <w:p w:rsidR="009A7E4C" w:rsidRPr="00686D5A" w:rsidRDefault="009A7E4C" w:rsidP="001E2D32">
            <w:pPr>
              <w:jc w:val="center"/>
              <w:rPr>
                <w:sz w:val="18"/>
                <w:szCs w:val="18"/>
                <w:lang w:val="fr-FR"/>
              </w:rPr>
            </w:pPr>
            <w:r w:rsidRPr="00686D5A">
              <w:rPr>
                <w:sz w:val="18"/>
                <w:szCs w:val="18"/>
                <w:lang w:val="fr-FR"/>
              </w:rPr>
              <w:t>14%</w:t>
            </w:r>
          </w:p>
        </w:tc>
        <w:tc>
          <w:tcPr>
            <w:tcW w:w="0" w:type="auto"/>
            <w:tcBorders>
              <w:top w:val="nil"/>
              <w:left w:val="nil"/>
              <w:bottom w:val="nil"/>
              <w:right w:val="nil"/>
            </w:tcBorders>
            <w:noWrap/>
            <w:vAlign w:val="center"/>
          </w:tcPr>
          <w:p w:rsidR="009A7E4C" w:rsidRPr="00686D5A" w:rsidRDefault="009A7E4C" w:rsidP="001E2D32">
            <w:pPr>
              <w:jc w:val="center"/>
              <w:rPr>
                <w:sz w:val="18"/>
                <w:szCs w:val="18"/>
                <w:lang w:val="fr-FR"/>
              </w:rPr>
            </w:pPr>
            <w:r w:rsidRPr="00686D5A">
              <w:rPr>
                <w:sz w:val="18"/>
                <w:szCs w:val="18"/>
                <w:lang w:val="fr-FR"/>
              </w:rPr>
              <w:t>16%</w:t>
            </w:r>
          </w:p>
        </w:tc>
        <w:tc>
          <w:tcPr>
            <w:tcW w:w="0" w:type="auto"/>
            <w:tcBorders>
              <w:top w:val="nil"/>
              <w:left w:val="nil"/>
              <w:bottom w:val="nil"/>
              <w:right w:val="nil"/>
            </w:tcBorders>
            <w:noWrap/>
            <w:vAlign w:val="center"/>
          </w:tcPr>
          <w:p w:rsidR="009A7E4C" w:rsidRPr="00686D5A" w:rsidRDefault="009A7E4C" w:rsidP="001E2D32">
            <w:pPr>
              <w:jc w:val="center"/>
              <w:rPr>
                <w:sz w:val="18"/>
                <w:szCs w:val="18"/>
                <w:lang w:val="fr-FR"/>
              </w:rPr>
            </w:pPr>
            <w:r w:rsidRPr="00686D5A">
              <w:rPr>
                <w:sz w:val="18"/>
                <w:szCs w:val="18"/>
                <w:lang w:val="fr-FR"/>
              </w:rPr>
              <w:t>14%</w:t>
            </w:r>
          </w:p>
        </w:tc>
        <w:tc>
          <w:tcPr>
            <w:tcW w:w="0" w:type="auto"/>
            <w:tcBorders>
              <w:top w:val="nil"/>
              <w:left w:val="single" w:sz="4" w:space="0" w:color="000000"/>
              <w:bottom w:val="nil"/>
              <w:right w:val="single" w:sz="4" w:space="0" w:color="000000"/>
            </w:tcBorders>
            <w:noWrap/>
            <w:vAlign w:val="center"/>
          </w:tcPr>
          <w:p w:rsidR="009A7E4C" w:rsidRPr="00686D5A" w:rsidRDefault="009A7E4C" w:rsidP="001E2D32">
            <w:pPr>
              <w:jc w:val="center"/>
              <w:rPr>
                <w:sz w:val="18"/>
                <w:szCs w:val="18"/>
                <w:lang w:val="fr-FR"/>
              </w:rPr>
            </w:pPr>
            <w:r w:rsidRPr="00686D5A">
              <w:rPr>
                <w:sz w:val="18"/>
                <w:szCs w:val="18"/>
                <w:lang w:val="fr-FR"/>
              </w:rPr>
              <w:t>11%</w:t>
            </w:r>
          </w:p>
        </w:tc>
      </w:tr>
      <w:tr w:rsidR="009A7E4C" w:rsidRPr="00686D5A" w:rsidTr="00840A87">
        <w:trPr>
          <w:trHeight w:val="437"/>
          <w:jc w:val="center"/>
        </w:trPr>
        <w:tc>
          <w:tcPr>
            <w:tcW w:w="0" w:type="auto"/>
            <w:tcBorders>
              <w:top w:val="single" w:sz="4" w:space="0" w:color="000000"/>
              <w:left w:val="single" w:sz="4" w:space="0" w:color="000000"/>
              <w:bottom w:val="single" w:sz="4" w:space="0" w:color="000000"/>
              <w:right w:val="nil"/>
            </w:tcBorders>
            <w:noWrap/>
            <w:vAlign w:val="center"/>
          </w:tcPr>
          <w:p w:rsidR="009A7E4C" w:rsidRPr="00686D5A" w:rsidRDefault="009A7E4C" w:rsidP="001E2D32">
            <w:pPr>
              <w:rPr>
                <w:sz w:val="18"/>
                <w:szCs w:val="18"/>
                <w:lang w:val="fr-FR"/>
              </w:rPr>
            </w:pPr>
            <w:r w:rsidRPr="00686D5A">
              <w:rPr>
                <w:sz w:val="18"/>
                <w:szCs w:val="18"/>
                <w:lang w:val="fr-FR"/>
              </w:rPr>
              <w:t>Total</w:t>
            </w:r>
          </w:p>
        </w:tc>
        <w:tc>
          <w:tcPr>
            <w:tcW w:w="0" w:type="auto"/>
            <w:tcBorders>
              <w:top w:val="single" w:sz="4" w:space="0" w:color="000000"/>
              <w:left w:val="single" w:sz="4" w:space="0" w:color="000000"/>
              <w:bottom w:val="single" w:sz="4" w:space="0" w:color="000000"/>
              <w:right w:val="nil"/>
            </w:tcBorders>
            <w:noWrap/>
            <w:vAlign w:val="center"/>
          </w:tcPr>
          <w:p w:rsidR="009A7E4C" w:rsidRPr="00686D5A" w:rsidRDefault="009A7E4C" w:rsidP="001E2D32">
            <w:pPr>
              <w:jc w:val="center"/>
              <w:rPr>
                <w:sz w:val="18"/>
                <w:szCs w:val="18"/>
                <w:lang w:val="fr-FR"/>
              </w:rPr>
            </w:pPr>
            <w:r w:rsidRPr="00686D5A">
              <w:rPr>
                <w:sz w:val="18"/>
                <w:szCs w:val="18"/>
                <w:lang w:val="fr-FR"/>
              </w:rPr>
              <w:t>100%</w:t>
            </w:r>
          </w:p>
        </w:tc>
        <w:tc>
          <w:tcPr>
            <w:tcW w:w="0" w:type="auto"/>
            <w:tcBorders>
              <w:top w:val="single" w:sz="4" w:space="0" w:color="000000"/>
              <w:left w:val="nil"/>
              <w:bottom w:val="single" w:sz="4" w:space="0" w:color="000000"/>
              <w:right w:val="nil"/>
            </w:tcBorders>
            <w:noWrap/>
            <w:vAlign w:val="center"/>
          </w:tcPr>
          <w:p w:rsidR="009A7E4C" w:rsidRPr="00686D5A" w:rsidRDefault="009A7E4C" w:rsidP="001E2D32">
            <w:pPr>
              <w:jc w:val="center"/>
              <w:rPr>
                <w:sz w:val="18"/>
                <w:szCs w:val="18"/>
                <w:lang w:val="fr-FR"/>
              </w:rPr>
            </w:pPr>
            <w:r w:rsidRPr="00686D5A">
              <w:rPr>
                <w:sz w:val="18"/>
                <w:szCs w:val="18"/>
                <w:lang w:val="fr-FR"/>
              </w:rPr>
              <w:t>100%</w:t>
            </w:r>
          </w:p>
        </w:tc>
        <w:tc>
          <w:tcPr>
            <w:tcW w:w="0" w:type="auto"/>
            <w:tcBorders>
              <w:top w:val="single" w:sz="4" w:space="0" w:color="000000"/>
              <w:left w:val="nil"/>
              <w:bottom w:val="single" w:sz="4" w:space="0" w:color="000000"/>
              <w:right w:val="nil"/>
            </w:tcBorders>
            <w:noWrap/>
            <w:vAlign w:val="center"/>
          </w:tcPr>
          <w:p w:rsidR="009A7E4C" w:rsidRPr="00686D5A" w:rsidRDefault="009A7E4C" w:rsidP="001E2D32">
            <w:pPr>
              <w:jc w:val="center"/>
              <w:rPr>
                <w:sz w:val="18"/>
                <w:szCs w:val="18"/>
                <w:lang w:val="fr-FR"/>
              </w:rPr>
            </w:pPr>
            <w:r w:rsidRPr="00686D5A">
              <w:rPr>
                <w:sz w:val="18"/>
                <w:szCs w:val="18"/>
                <w:lang w:val="fr-FR"/>
              </w:rPr>
              <w:t>100%</w:t>
            </w:r>
          </w:p>
        </w:tc>
        <w:tc>
          <w:tcPr>
            <w:tcW w:w="0" w:type="auto"/>
            <w:tcBorders>
              <w:top w:val="single" w:sz="4" w:space="0" w:color="000000"/>
              <w:left w:val="nil"/>
              <w:bottom w:val="single" w:sz="4" w:space="0" w:color="000000"/>
              <w:right w:val="nil"/>
            </w:tcBorders>
            <w:noWrap/>
            <w:vAlign w:val="center"/>
          </w:tcPr>
          <w:p w:rsidR="009A7E4C" w:rsidRPr="00686D5A" w:rsidRDefault="009A7E4C" w:rsidP="001E2D32">
            <w:pPr>
              <w:jc w:val="center"/>
              <w:rPr>
                <w:sz w:val="18"/>
                <w:szCs w:val="18"/>
                <w:lang w:val="fr-FR"/>
              </w:rPr>
            </w:pPr>
            <w:r w:rsidRPr="00686D5A">
              <w:rPr>
                <w:sz w:val="18"/>
                <w:szCs w:val="18"/>
                <w:lang w:val="fr-FR"/>
              </w:rPr>
              <w:t>100%</w:t>
            </w:r>
          </w:p>
        </w:tc>
        <w:tc>
          <w:tcPr>
            <w:tcW w:w="0" w:type="auto"/>
            <w:tcBorders>
              <w:top w:val="single" w:sz="4" w:space="0" w:color="000000"/>
              <w:left w:val="nil"/>
              <w:bottom w:val="single" w:sz="4" w:space="0" w:color="000000"/>
              <w:right w:val="nil"/>
            </w:tcBorders>
            <w:noWrap/>
            <w:vAlign w:val="center"/>
          </w:tcPr>
          <w:p w:rsidR="009A7E4C" w:rsidRPr="00686D5A" w:rsidRDefault="009A7E4C" w:rsidP="001E2D32">
            <w:pPr>
              <w:jc w:val="center"/>
              <w:rPr>
                <w:sz w:val="18"/>
                <w:szCs w:val="18"/>
                <w:lang w:val="fr-FR"/>
              </w:rPr>
            </w:pPr>
            <w:r w:rsidRPr="00686D5A">
              <w:rPr>
                <w:sz w:val="18"/>
                <w:szCs w:val="18"/>
                <w:lang w:val="fr-FR"/>
              </w:rPr>
              <w:t>100%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A7E4C" w:rsidRPr="00686D5A" w:rsidRDefault="009A7E4C" w:rsidP="001E2D32">
            <w:pPr>
              <w:jc w:val="center"/>
              <w:rPr>
                <w:sz w:val="18"/>
                <w:szCs w:val="18"/>
                <w:lang w:val="fr-FR"/>
              </w:rPr>
            </w:pPr>
            <w:r w:rsidRPr="00686D5A">
              <w:rPr>
                <w:sz w:val="18"/>
                <w:szCs w:val="18"/>
                <w:lang w:val="fr-FR"/>
              </w:rPr>
              <w:t>100%</w:t>
            </w:r>
          </w:p>
        </w:tc>
      </w:tr>
    </w:tbl>
    <w:p w:rsidR="007A2DAE" w:rsidRDefault="007A2DAE" w:rsidP="007A2DAE"/>
    <w:p w:rsidR="007A2DAE" w:rsidRPr="007A2DAE" w:rsidRDefault="007A2DAE" w:rsidP="007A2DAE"/>
    <w:p w:rsidR="009A7E4C" w:rsidRPr="00686D5A" w:rsidRDefault="009A7E4C" w:rsidP="00EB5C28">
      <w:pPr>
        <w:keepLines/>
        <w:spacing w:before="180"/>
        <w:ind w:left="2829" w:firstLine="2700"/>
        <w:rPr>
          <w:lang w:val="fr-FR"/>
        </w:rPr>
      </w:pPr>
      <w:r w:rsidRPr="00686D5A">
        <w:rPr>
          <w:lang w:val="fr-FR"/>
        </w:rPr>
        <w:t>[L</w:t>
      </w:r>
      <w:r w:rsidR="00D565F4">
        <w:rPr>
          <w:lang w:val="fr-FR"/>
        </w:rPr>
        <w:t>’</w:t>
      </w:r>
      <w:r w:rsidRPr="00686D5A">
        <w:rPr>
          <w:lang w:val="fr-FR"/>
        </w:rPr>
        <w:t>annexe IV suit]</w:t>
      </w:r>
    </w:p>
    <w:p w:rsidR="009A7E4C" w:rsidRPr="00686D5A" w:rsidRDefault="009A7E4C" w:rsidP="00840A87">
      <w:pPr>
        <w:keepLines/>
        <w:spacing w:before="180"/>
        <w:ind w:left="2829" w:firstLine="709"/>
        <w:jc w:val="both"/>
        <w:rPr>
          <w:lang w:val="fr-FR"/>
        </w:rPr>
        <w:sectPr w:rsidR="009A7E4C" w:rsidRPr="00686D5A" w:rsidSect="00D7054D">
          <w:headerReference w:type="first" r:id="rId28"/>
          <w:endnotePr>
            <w:numFmt w:val="decimal"/>
          </w:endnotePr>
          <w:pgSz w:w="11907" w:h="16840" w:code="9"/>
          <w:pgMar w:top="1305" w:right="1134" w:bottom="1418" w:left="1418" w:header="510" w:footer="1021" w:gutter="0"/>
          <w:cols w:space="720"/>
          <w:titlePg/>
          <w:docGrid w:linePitch="299"/>
        </w:sectPr>
      </w:pPr>
    </w:p>
    <w:p w:rsidR="009A7E4C" w:rsidRPr="00686D5A" w:rsidRDefault="009A7E4C" w:rsidP="00F76C51">
      <w:pPr>
        <w:keepLines/>
        <w:jc w:val="center"/>
        <w:rPr>
          <w:b/>
          <w:bCs/>
          <w:lang w:val="fr-FR"/>
        </w:rPr>
      </w:pPr>
      <w:r w:rsidRPr="00686D5A">
        <w:rPr>
          <w:b/>
          <w:bCs/>
          <w:lang w:val="fr-FR"/>
        </w:rPr>
        <w:lastRenderedPageBreak/>
        <w:t>LISTE DES RECOMMANDATIONS DE LA D</w:t>
      </w:r>
      <w:r w:rsidR="00C86837">
        <w:rPr>
          <w:b/>
          <w:bCs/>
          <w:lang w:val="fr-FR"/>
        </w:rPr>
        <w:t>IVISION DE L</w:t>
      </w:r>
      <w:r w:rsidR="00D565F4">
        <w:rPr>
          <w:b/>
          <w:bCs/>
          <w:lang w:val="fr-FR"/>
        </w:rPr>
        <w:t>’</w:t>
      </w:r>
      <w:r w:rsidR="00C86837">
        <w:rPr>
          <w:b/>
          <w:bCs/>
          <w:lang w:val="fr-FR"/>
        </w:rPr>
        <w:t xml:space="preserve">AUDIT </w:t>
      </w:r>
      <w:r w:rsidR="00C86837">
        <w:rPr>
          <w:b/>
          <w:bCs/>
          <w:lang w:val="fr-FR"/>
        </w:rPr>
        <w:br/>
        <w:t>ET DE LA SUPERVISION INTERNES</w:t>
      </w:r>
      <w:r w:rsidRPr="00686D5A">
        <w:rPr>
          <w:b/>
          <w:bCs/>
          <w:lang w:val="fr-FR"/>
        </w:rPr>
        <w:t xml:space="preserve"> CLOSES SANS AVOIR ÉTÉ MISES EN ŒUVRE</w:t>
      </w:r>
    </w:p>
    <w:p w:rsidR="009A7E4C" w:rsidRPr="00686D5A" w:rsidRDefault="009A7E4C" w:rsidP="00E03902">
      <w:pPr>
        <w:keepLines/>
        <w:jc w:val="center"/>
        <w:rPr>
          <w:b/>
          <w:bCs/>
          <w:lang w:val="fr-FR"/>
        </w:rPr>
      </w:pPr>
    </w:p>
    <w:tbl>
      <w:tblPr>
        <w:tblW w:w="111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4"/>
        <w:gridCol w:w="1984"/>
        <w:gridCol w:w="6804"/>
      </w:tblGrid>
      <w:tr w:rsidR="009A7E4C" w:rsidRPr="00686D5A" w:rsidTr="00B74E9E">
        <w:trPr>
          <w:trHeight w:val="796"/>
          <w:tblHeader/>
        </w:trPr>
        <w:tc>
          <w:tcPr>
            <w:tcW w:w="567" w:type="dxa"/>
            <w:vAlign w:val="center"/>
          </w:tcPr>
          <w:p w:rsidR="009A7E4C" w:rsidRPr="00686D5A" w:rsidRDefault="009A7E4C" w:rsidP="001E2D32">
            <w:pPr>
              <w:keepLines/>
              <w:tabs>
                <w:tab w:val="left" w:pos="2860"/>
                <w:tab w:val="left" w:pos="5610"/>
              </w:tabs>
              <w:spacing w:after="120"/>
              <w:jc w:val="center"/>
              <w:rPr>
                <w:b/>
                <w:sz w:val="20"/>
                <w:lang w:val="fr-FR"/>
              </w:rPr>
            </w:pPr>
            <w:r w:rsidRPr="00686D5A">
              <w:rPr>
                <w:b/>
                <w:sz w:val="20"/>
                <w:lang w:val="fr-FR"/>
              </w:rPr>
              <w:t>N°</w:t>
            </w:r>
          </w:p>
        </w:tc>
        <w:tc>
          <w:tcPr>
            <w:tcW w:w="1844" w:type="dxa"/>
            <w:vAlign w:val="center"/>
          </w:tcPr>
          <w:p w:rsidR="009A7E4C" w:rsidRPr="00686D5A" w:rsidRDefault="009A7E4C" w:rsidP="00F76C51">
            <w:pPr>
              <w:keepLines/>
              <w:tabs>
                <w:tab w:val="left" w:pos="2860"/>
                <w:tab w:val="left" w:pos="5610"/>
              </w:tabs>
              <w:spacing w:after="120"/>
              <w:jc w:val="center"/>
              <w:rPr>
                <w:b/>
                <w:sz w:val="20"/>
                <w:lang w:val="fr-FR"/>
              </w:rPr>
            </w:pPr>
            <w:r w:rsidRPr="00686D5A">
              <w:rPr>
                <w:b/>
                <w:sz w:val="20"/>
                <w:lang w:val="fr-FR"/>
              </w:rPr>
              <w:t>Référence</w:t>
            </w:r>
          </w:p>
        </w:tc>
        <w:tc>
          <w:tcPr>
            <w:tcW w:w="1984" w:type="dxa"/>
            <w:vAlign w:val="center"/>
          </w:tcPr>
          <w:p w:rsidR="009A7E4C" w:rsidRPr="00686D5A" w:rsidRDefault="009A7E4C" w:rsidP="001E2D32">
            <w:pPr>
              <w:keepLines/>
              <w:tabs>
                <w:tab w:val="left" w:pos="2860"/>
                <w:tab w:val="left" w:pos="5610"/>
              </w:tabs>
              <w:spacing w:after="120"/>
              <w:jc w:val="center"/>
              <w:rPr>
                <w:b/>
                <w:sz w:val="20"/>
                <w:lang w:val="fr-FR"/>
              </w:rPr>
            </w:pPr>
            <w:r w:rsidRPr="00686D5A">
              <w:rPr>
                <w:b/>
                <w:sz w:val="20"/>
                <w:lang w:val="fr-FR"/>
              </w:rPr>
              <w:t>Description</w:t>
            </w:r>
          </w:p>
        </w:tc>
        <w:tc>
          <w:tcPr>
            <w:tcW w:w="6804" w:type="dxa"/>
            <w:vAlign w:val="center"/>
          </w:tcPr>
          <w:p w:rsidR="009A7E4C" w:rsidRPr="00686D5A" w:rsidRDefault="009A7E4C" w:rsidP="001E2D32">
            <w:pPr>
              <w:keepLines/>
              <w:tabs>
                <w:tab w:val="left" w:pos="2860"/>
                <w:tab w:val="left" w:pos="5610"/>
              </w:tabs>
              <w:spacing w:after="120"/>
              <w:jc w:val="center"/>
              <w:rPr>
                <w:b/>
                <w:sz w:val="20"/>
                <w:lang w:val="fr-FR"/>
              </w:rPr>
            </w:pPr>
            <w:r w:rsidRPr="00686D5A">
              <w:rPr>
                <w:b/>
                <w:sz w:val="20"/>
                <w:lang w:val="fr-FR"/>
              </w:rPr>
              <w:t>Explication</w:t>
            </w:r>
          </w:p>
          <w:p w:rsidR="009A7E4C" w:rsidRPr="00686D5A" w:rsidRDefault="009A7E4C" w:rsidP="00F76C51">
            <w:pPr>
              <w:keepLines/>
              <w:tabs>
                <w:tab w:val="left" w:pos="2860"/>
                <w:tab w:val="left" w:pos="5610"/>
              </w:tabs>
              <w:spacing w:after="120"/>
              <w:jc w:val="center"/>
              <w:rPr>
                <w:b/>
                <w:sz w:val="20"/>
                <w:lang w:val="fr-FR"/>
              </w:rPr>
            </w:pPr>
            <w:r w:rsidRPr="00686D5A">
              <w:rPr>
                <w:b/>
                <w:sz w:val="20"/>
                <w:lang w:val="fr-FR"/>
              </w:rPr>
              <w:t>(Secrétariat)</w:t>
            </w:r>
          </w:p>
        </w:tc>
      </w:tr>
      <w:tr w:rsidR="009A7E4C" w:rsidRPr="004E60A4" w:rsidTr="00B74E9E">
        <w:tc>
          <w:tcPr>
            <w:tcW w:w="567" w:type="dxa"/>
          </w:tcPr>
          <w:p w:rsidR="009A7E4C" w:rsidRPr="00686D5A" w:rsidRDefault="009A7E4C" w:rsidP="001E2D32">
            <w:pPr>
              <w:keepLines/>
              <w:tabs>
                <w:tab w:val="left" w:pos="2860"/>
                <w:tab w:val="left" w:pos="5610"/>
              </w:tabs>
              <w:spacing w:before="240" w:after="120"/>
              <w:rPr>
                <w:sz w:val="20"/>
                <w:lang w:val="fr-FR"/>
              </w:rPr>
            </w:pPr>
            <w:r w:rsidRPr="00686D5A">
              <w:rPr>
                <w:sz w:val="20"/>
                <w:lang w:val="fr-FR"/>
              </w:rPr>
              <w:t>1.</w:t>
            </w:r>
          </w:p>
        </w:tc>
        <w:tc>
          <w:tcPr>
            <w:tcW w:w="1844" w:type="dxa"/>
          </w:tcPr>
          <w:p w:rsidR="009A7E4C" w:rsidRPr="00686D5A" w:rsidRDefault="009A7E4C" w:rsidP="001E2D32">
            <w:pPr>
              <w:keepLines/>
              <w:tabs>
                <w:tab w:val="left" w:pos="2860"/>
                <w:tab w:val="left" w:pos="5610"/>
              </w:tabs>
              <w:spacing w:before="240" w:after="120"/>
              <w:rPr>
                <w:sz w:val="20"/>
                <w:lang w:val="fr-FR"/>
              </w:rPr>
            </w:pPr>
            <w:r w:rsidRPr="00686D5A">
              <w:rPr>
                <w:sz w:val="20"/>
                <w:lang w:val="fr-FR"/>
              </w:rPr>
              <w:t>Recommandation n° 9 issue de l</w:t>
            </w:r>
            <w:r w:rsidR="00D565F4">
              <w:rPr>
                <w:sz w:val="20"/>
                <w:lang w:val="fr-FR"/>
              </w:rPr>
              <w:t>’</w:t>
            </w:r>
            <w:r w:rsidRPr="00686D5A">
              <w:rPr>
                <w:sz w:val="20"/>
                <w:lang w:val="fr-FR"/>
              </w:rPr>
              <w:t>Examen de la gestion et de l</w:t>
            </w:r>
            <w:r w:rsidR="00D565F4">
              <w:rPr>
                <w:sz w:val="20"/>
                <w:lang w:val="fr-FR"/>
              </w:rPr>
              <w:t>’</w:t>
            </w:r>
            <w:r w:rsidRPr="00686D5A">
              <w:rPr>
                <w:sz w:val="20"/>
                <w:lang w:val="fr-FR"/>
              </w:rPr>
              <w:t>administration de l</w:t>
            </w:r>
            <w:r w:rsidR="00D565F4">
              <w:rPr>
                <w:sz w:val="20"/>
                <w:lang w:val="fr-FR"/>
              </w:rPr>
              <w:t>’</w:t>
            </w:r>
            <w:r w:rsidRPr="00686D5A">
              <w:rPr>
                <w:sz w:val="20"/>
                <w:lang w:val="fr-FR"/>
              </w:rPr>
              <w:t>OMPI : budget, supervision et questions connexes, établi par le Corps conjoint d</w:t>
            </w:r>
            <w:r w:rsidR="00D565F4">
              <w:rPr>
                <w:sz w:val="20"/>
                <w:lang w:val="fr-FR"/>
              </w:rPr>
              <w:t>’</w:t>
            </w:r>
            <w:r w:rsidRPr="00686D5A">
              <w:rPr>
                <w:sz w:val="20"/>
                <w:lang w:val="fr-FR"/>
              </w:rPr>
              <w:t>inspection (JIU/REP/2005/1)</w:t>
            </w:r>
          </w:p>
        </w:tc>
        <w:tc>
          <w:tcPr>
            <w:tcW w:w="1984" w:type="dxa"/>
          </w:tcPr>
          <w:p w:rsidR="009A7E4C" w:rsidRPr="00686D5A" w:rsidRDefault="009A7E4C" w:rsidP="001E2D32">
            <w:pPr>
              <w:keepLines/>
              <w:tabs>
                <w:tab w:val="left" w:pos="2860"/>
                <w:tab w:val="left" w:pos="5610"/>
              </w:tabs>
              <w:spacing w:before="240" w:after="120"/>
              <w:rPr>
                <w:sz w:val="20"/>
                <w:lang w:val="fr-FR"/>
              </w:rPr>
            </w:pPr>
            <w:r w:rsidRPr="00686D5A">
              <w:rPr>
                <w:sz w:val="20"/>
                <w:lang w:val="fr-FR"/>
              </w:rPr>
              <w:t>Le Directeur général devrait ordonner la suppression des transferts de membres du personnel avec leur poste.</w:t>
            </w:r>
          </w:p>
        </w:tc>
        <w:tc>
          <w:tcPr>
            <w:tcW w:w="6804" w:type="dxa"/>
          </w:tcPr>
          <w:p w:rsidR="009A7E4C" w:rsidRPr="00686D5A" w:rsidRDefault="009A7E4C" w:rsidP="001E2D32">
            <w:pPr>
              <w:keepLines/>
              <w:tabs>
                <w:tab w:val="left" w:pos="2860"/>
                <w:tab w:val="left" w:pos="5610"/>
              </w:tabs>
              <w:spacing w:after="120"/>
              <w:rPr>
                <w:sz w:val="20"/>
                <w:u w:val="single"/>
                <w:lang w:val="fr-FR"/>
              </w:rPr>
            </w:pPr>
            <w:r w:rsidRPr="00686D5A">
              <w:rPr>
                <w:sz w:val="20"/>
                <w:u w:val="single"/>
                <w:lang w:val="fr-FR"/>
              </w:rPr>
              <w:t>Contexte institutionnel et modifications apportées aux stratégies de gestion pertinentes depuis 2005</w:t>
            </w:r>
          </w:p>
          <w:p w:rsidR="009A7E4C" w:rsidRPr="00686D5A" w:rsidRDefault="009A7E4C" w:rsidP="001E2D32">
            <w:pPr>
              <w:keepLines/>
              <w:tabs>
                <w:tab w:val="left" w:pos="2860"/>
                <w:tab w:val="left" w:pos="5610"/>
              </w:tabs>
              <w:spacing w:after="120"/>
              <w:rPr>
                <w:sz w:val="20"/>
                <w:lang w:val="fr-FR"/>
              </w:rPr>
            </w:pPr>
            <w:r w:rsidRPr="00686D5A">
              <w:rPr>
                <w:sz w:val="20"/>
                <w:lang w:val="fr-FR"/>
              </w:rPr>
              <w:t>Les systèmes d</w:t>
            </w:r>
            <w:r w:rsidR="00D565F4">
              <w:rPr>
                <w:sz w:val="20"/>
                <w:lang w:val="fr-FR"/>
              </w:rPr>
              <w:t>’</w:t>
            </w:r>
            <w:r w:rsidRPr="00686D5A">
              <w:rPr>
                <w:sz w:val="20"/>
                <w:lang w:val="fr-FR"/>
              </w:rPr>
              <w:t>enregistrement international de l</w:t>
            </w:r>
            <w:r w:rsidR="00D565F4">
              <w:rPr>
                <w:sz w:val="20"/>
                <w:lang w:val="fr-FR"/>
              </w:rPr>
              <w:t>’</w:t>
            </w:r>
            <w:r w:rsidRPr="00686D5A">
              <w:rPr>
                <w:sz w:val="20"/>
                <w:lang w:val="fr-FR"/>
              </w:rPr>
              <w:t>OMPI (PCT, systèmes de Madrid et de La Haye) ont connu une croissance constante, assortie d</w:t>
            </w:r>
            <w:r w:rsidR="00D565F4">
              <w:rPr>
                <w:sz w:val="20"/>
                <w:lang w:val="fr-FR"/>
              </w:rPr>
              <w:t>’</w:t>
            </w:r>
            <w:r w:rsidRPr="00686D5A">
              <w:rPr>
                <w:sz w:val="20"/>
                <w:lang w:val="fr-FR"/>
              </w:rPr>
              <w:t>une évolution de la géographie de la demande (s</w:t>
            </w:r>
            <w:r w:rsidR="00D565F4">
              <w:rPr>
                <w:sz w:val="20"/>
                <w:lang w:val="fr-FR"/>
              </w:rPr>
              <w:t>’</w:t>
            </w:r>
            <w:r w:rsidRPr="00686D5A">
              <w:rPr>
                <w:sz w:val="20"/>
                <w:lang w:val="fr-FR"/>
              </w:rPr>
              <w:t>agissant</w:t>
            </w:r>
            <w:r w:rsidR="00E11857" w:rsidRPr="00686D5A">
              <w:rPr>
                <w:sz w:val="20"/>
                <w:lang w:val="fr-FR"/>
              </w:rPr>
              <w:t xml:space="preserve"> du PCT</w:t>
            </w:r>
            <w:r w:rsidRPr="00686D5A">
              <w:rPr>
                <w:sz w:val="20"/>
                <w:lang w:val="fr-FR"/>
              </w:rPr>
              <w:t>) ainsi que de l</w:t>
            </w:r>
            <w:r w:rsidR="00D565F4">
              <w:rPr>
                <w:sz w:val="20"/>
                <w:lang w:val="fr-FR"/>
              </w:rPr>
              <w:t>’</w:t>
            </w:r>
            <w:r w:rsidRPr="00686D5A">
              <w:rPr>
                <w:sz w:val="20"/>
                <w:lang w:val="fr-FR"/>
              </w:rPr>
              <w:t>automatisation et d</w:t>
            </w:r>
            <w:r w:rsidR="00D565F4">
              <w:rPr>
                <w:sz w:val="20"/>
                <w:lang w:val="fr-FR"/>
              </w:rPr>
              <w:t>’</w:t>
            </w:r>
            <w:r w:rsidRPr="00686D5A">
              <w:rPr>
                <w:sz w:val="20"/>
                <w:lang w:val="fr-FR"/>
              </w:rPr>
              <w:t>une modernisation importante de nos opérations de traitement (examen, traduction et service clients).  Ces changements ont entraîné la nécessité d</w:t>
            </w:r>
            <w:r w:rsidR="00D565F4">
              <w:rPr>
                <w:sz w:val="20"/>
                <w:lang w:val="fr-FR"/>
              </w:rPr>
              <w:t>’</w:t>
            </w:r>
            <w:r w:rsidRPr="00686D5A">
              <w:rPr>
                <w:sz w:val="20"/>
                <w:lang w:val="fr-FR"/>
              </w:rPr>
              <w:t>aligner les qualifications existantes et d</w:t>
            </w:r>
            <w:r w:rsidR="00D565F4">
              <w:rPr>
                <w:sz w:val="20"/>
                <w:lang w:val="fr-FR"/>
              </w:rPr>
              <w:t>’</w:t>
            </w:r>
            <w:r w:rsidRPr="00686D5A">
              <w:rPr>
                <w:sz w:val="20"/>
                <w:lang w:val="fr-FR"/>
              </w:rPr>
              <w:t>en acquérir de nouvelles, afin de s</w:t>
            </w:r>
            <w:r w:rsidR="00D565F4">
              <w:rPr>
                <w:sz w:val="20"/>
                <w:lang w:val="fr-FR"/>
              </w:rPr>
              <w:t>’</w:t>
            </w:r>
            <w:r w:rsidRPr="00686D5A">
              <w:rPr>
                <w:sz w:val="20"/>
                <w:lang w:val="fr-FR"/>
              </w:rPr>
              <w:t>assurer que le Bureau international est à même de répondre aux demandes des parties prenantes et des demandeurs, y</w:t>
            </w:r>
            <w:r w:rsidR="00413B67" w:rsidRPr="00686D5A">
              <w:rPr>
                <w:sz w:val="20"/>
                <w:lang w:val="fr-FR"/>
              </w:rPr>
              <w:t> </w:t>
            </w:r>
            <w:r w:rsidRPr="00686D5A">
              <w:rPr>
                <w:sz w:val="20"/>
                <w:lang w:val="fr-FR"/>
              </w:rPr>
              <w:t>compris des offices de propriété intellectuelle.  Cela requiert une gestion active des effectifs pour faire en sorte qu</w:t>
            </w:r>
            <w:r w:rsidR="00D565F4">
              <w:rPr>
                <w:sz w:val="20"/>
                <w:lang w:val="fr-FR"/>
              </w:rPr>
              <w:t>’</w:t>
            </w:r>
            <w:r w:rsidRPr="00686D5A">
              <w:rPr>
                <w:sz w:val="20"/>
                <w:lang w:val="fr-FR"/>
              </w:rPr>
              <w:t>ils puissent continuer à remplir leurs fonctions, en particulier le perfectionnement des employés en place, le recrutement de nouvelles qualifications selon que de besoin (prévues et approuvées dans les limites du programme et budget) et, dans certains cas, le redéploiement de personnel entre les programmes en fonction des paramètres établis par le Règlement financier et le règlement d</w:t>
            </w:r>
            <w:r w:rsidR="00D565F4">
              <w:rPr>
                <w:sz w:val="20"/>
                <w:lang w:val="fr-FR"/>
              </w:rPr>
              <w:t>’</w:t>
            </w:r>
            <w:r w:rsidRPr="00686D5A">
              <w:rPr>
                <w:sz w:val="20"/>
                <w:lang w:val="fr-FR"/>
              </w:rPr>
              <w:t>exécution du Règlement financier.  Ces stratégies ont permis à l</w:t>
            </w:r>
            <w:r w:rsidR="00D565F4">
              <w:rPr>
                <w:sz w:val="20"/>
                <w:lang w:val="fr-FR"/>
              </w:rPr>
              <w:t>’</w:t>
            </w:r>
            <w:r w:rsidRPr="00686D5A">
              <w:rPr>
                <w:sz w:val="20"/>
                <w:lang w:val="fr-FR"/>
              </w:rPr>
              <w:t>OMPI de gérer la grave crise économique mondiale qui a affecté nos finances au cours de la période</w:t>
            </w:r>
            <w:r w:rsidR="00413B67" w:rsidRPr="00686D5A">
              <w:rPr>
                <w:sz w:val="20"/>
                <w:lang w:val="fr-FR"/>
              </w:rPr>
              <w:t> </w:t>
            </w:r>
            <w:r w:rsidRPr="00686D5A">
              <w:rPr>
                <w:sz w:val="20"/>
                <w:lang w:val="fr-FR"/>
              </w:rPr>
              <w:t>2009</w:t>
            </w:r>
            <w:r w:rsidR="001F4EED">
              <w:rPr>
                <w:sz w:val="20"/>
                <w:lang w:val="fr-FR"/>
              </w:rPr>
              <w:noBreakHyphen/>
            </w:r>
            <w:r w:rsidRPr="00686D5A">
              <w:rPr>
                <w:sz w:val="20"/>
                <w:lang w:val="fr-FR"/>
              </w:rPr>
              <w:t>2011, sans incidence négative sur notre personnel.</w:t>
            </w:r>
          </w:p>
          <w:p w:rsidR="009A7E4C" w:rsidRPr="00686D5A" w:rsidRDefault="009A7E4C" w:rsidP="001E2D32">
            <w:pPr>
              <w:keepLines/>
              <w:tabs>
                <w:tab w:val="left" w:pos="2860"/>
                <w:tab w:val="left" w:pos="5610"/>
              </w:tabs>
              <w:spacing w:after="120"/>
              <w:rPr>
                <w:sz w:val="20"/>
                <w:lang w:val="fr-FR"/>
              </w:rPr>
            </w:pPr>
            <w:r w:rsidRPr="00686D5A">
              <w:rPr>
                <w:sz w:val="20"/>
                <w:lang w:val="fr-FR"/>
              </w:rPr>
              <w:t>Le renforcement de la gestion axée sur les résultats de l</w:t>
            </w:r>
            <w:r w:rsidR="00D565F4">
              <w:rPr>
                <w:sz w:val="20"/>
                <w:lang w:val="fr-FR"/>
              </w:rPr>
              <w:t>’</w:t>
            </w:r>
            <w:r w:rsidRPr="00686D5A">
              <w:rPr>
                <w:sz w:val="20"/>
                <w:lang w:val="fr-FR"/>
              </w:rPr>
              <w:t>OMPI, opéré dans le cadre de son programme de réorientation stratégique, a fermement ancré l</w:t>
            </w:r>
            <w:r w:rsidR="00D565F4">
              <w:rPr>
                <w:sz w:val="20"/>
                <w:lang w:val="fr-FR"/>
              </w:rPr>
              <w:t>’</w:t>
            </w:r>
            <w:r w:rsidRPr="00686D5A">
              <w:rPr>
                <w:sz w:val="20"/>
                <w:lang w:val="fr-FR"/>
              </w:rPr>
              <w:t>approche axée sur les résultats dans les stratégies de planification du travail, de conception organisationnelle et de planification des effectifs.  Cela permet de garantir que les ressources affectées aux programmes correspondent aux résultats à atteindre, tels qu</w:t>
            </w:r>
            <w:r w:rsidR="00D565F4">
              <w:rPr>
                <w:sz w:val="20"/>
                <w:lang w:val="fr-FR"/>
              </w:rPr>
              <w:t>’</w:t>
            </w:r>
            <w:r w:rsidRPr="00686D5A">
              <w:rPr>
                <w:sz w:val="20"/>
                <w:lang w:val="fr-FR"/>
              </w:rPr>
              <w:t>approuvés par les États membres dans le programme et budget, et tiennent dûment compte des stratégies de mise en œuvre des programmes, y</w:t>
            </w:r>
            <w:r w:rsidR="00413B67" w:rsidRPr="00686D5A">
              <w:rPr>
                <w:sz w:val="20"/>
                <w:lang w:val="fr-FR"/>
              </w:rPr>
              <w:t> </w:t>
            </w:r>
            <w:r w:rsidRPr="00686D5A">
              <w:rPr>
                <w:sz w:val="20"/>
                <w:lang w:val="fr-FR"/>
              </w:rPr>
              <w:t>compris des mesures d</w:t>
            </w:r>
            <w:r w:rsidR="00D565F4">
              <w:rPr>
                <w:sz w:val="20"/>
                <w:lang w:val="fr-FR"/>
              </w:rPr>
              <w:t>’</w:t>
            </w:r>
            <w:r w:rsidRPr="00686D5A">
              <w:rPr>
                <w:sz w:val="20"/>
                <w:lang w:val="fr-FR"/>
              </w:rPr>
              <w:t>efficience et de l</w:t>
            </w:r>
            <w:r w:rsidR="00D565F4">
              <w:rPr>
                <w:sz w:val="20"/>
                <w:lang w:val="fr-FR"/>
              </w:rPr>
              <w:t>’</w:t>
            </w:r>
            <w:r w:rsidRPr="00686D5A">
              <w:rPr>
                <w:sz w:val="20"/>
                <w:lang w:val="fr-FR"/>
              </w:rPr>
              <w:t>amélioration de la productivité.  L</w:t>
            </w:r>
            <w:r w:rsidR="00D565F4">
              <w:rPr>
                <w:sz w:val="20"/>
                <w:lang w:val="fr-FR"/>
              </w:rPr>
              <w:t>’</w:t>
            </w:r>
            <w:r w:rsidRPr="00686D5A">
              <w:rPr>
                <w:sz w:val="20"/>
                <w:lang w:val="fr-FR"/>
              </w:rPr>
              <w:t>institutionnalisation de l</w:t>
            </w:r>
            <w:r w:rsidR="00D565F4">
              <w:rPr>
                <w:sz w:val="20"/>
                <w:lang w:val="fr-FR"/>
              </w:rPr>
              <w:t>’</w:t>
            </w:r>
            <w:r w:rsidRPr="00686D5A">
              <w:rPr>
                <w:sz w:val="20"/>
                <w:lang w:val="fr-FR"/>
              </w:rPr>
              <w:t>approche axée sur les résultats aux fins d</w:t>
            </w:r>
            <w:r w:rsidR="00D565F4">
              <w:rPr>
                <w:sz w:val="20"/>
                <w:lang w:val="fr-FR"/>
              </w:rPr>
              <w:t>’</w:t>
            </w:r>
            <w:r w:rsidRPr="00686D5A">
              <w:rPr>
                <w:sz w:val="20"/>
                <w:lang w:val="fr-FR"/>
              </w:rPr>
              <w:t>orienter les décisions en matière d</w:t>
            </w:r>
            <w:r w:rsidR="00D565F4">
              <w:rPr>
                <w:sz w:val="20"/>
                <w:lang w:val="fr-FR"/>
              </w:rPr>
              <w:t>’</w:t>
            </w:r>
            <w:r w:rsidRPr="00686D5A">
              <w:rPr>
                <w:sz w:val="20"/>
                <w:lang w:val="fr-FR"/>
              </w:rPr>
              <w:t>affectation des ressources humaines a récemment été renforcée par la publication d</w:t>
            </w:r>
            <w:r w:rsidR="00D565F4">
              <w:rPr>
                <w:sz w:val="20"/>
                <w:lang w:val="fr-FR"/>
              </w:rPr>
              <w:t>’</w:t>
            </w:r>
            <w:r w:rsidRPr="00686D5A">
              <w:rPr>
                <w:sz w:val="20"/>
                <w:lang w:val="fr-FR"/>
              </w:rPr>
              <w:t>une série de lignes directrices sur la gestion des postes.</w:t>
            </w:r>
          </w:p>
          <w:p w:rsidR="009A7E4C" w:rsidRPr="00686D5A" w:rsidRDefault="009A7E4C" w:rsidP="001E2D32">
            <w:pPr>
              <w:keepLines/>
              <w:tabs>
                <w:tab w:val="left" w:pos="2860"/>
                <w:tab w:val="left" w:pos="5610"/>
              </w:tabs>
              <w:spacing w:after="120"/>
              <w:rPr>
                <w:sz w:val="20"/>
                <w:lang w:val="fr-FR"/>
              </w:rPr>
            </w:pPr>
            <w:r w:rsidRPr="00686D5A">
              <w:rPr>
                <w:sz w:val="20"/>
                <w:lang w:val="fr-FR"/>
              </w:rPr>
              <w:t>Les mesures prises par l</w:t>
            </w:r>
            <w:r w:rsidR="00D565F4">
              <w:rPr>
                <w:sz w:val="20"/>
                <w:lang w:val="fr-FR"/>
              </w:rPr>
              <w:t>’</w:t>
            </w:r>
            <w:r w:rsidRPr="00686D5A">
              <w:rPr>
                <w:sz w:val="20"/>
                <w:lang w:val="fr-FR"/>
              </w:rPr>
              <w:t>OMPI pour améliorer la cohérence de sa structure interne et l</w:t>
            </w:r>
            <w:r w:rsidR="00D565F4">
              <w:rPr>
                <w:sz w:val="20"/>
                <w:lang w:val="fr-FR"/>
              </w:rPr>
              <w:t>’</w:t>
            </w:r>
            <w:r w:rsidRPr="00686D5A">
              <w:rPr>
                <w:sz w:val="20"/>
                <w:lang w:val="fr-FR"/>
              </w:rPr>
              <w:t>aligner sur les activités et les objectifs de l</w:t>
            </w:r>
            <w:r w:rsidR="00D565F4">
              <w:rPr>
                <w:sz w:val="20"/>
                <w:lang w:val="fr-FR"/>
              </w:rPr>
              <w:t>’</w:t>
            </w:r>
            <w:r w:rsidRPr="00686D5A">
              <w:rPr>
                <w:sz w:val="20"/>
                <w:lang w:val="fr-FR"/>
              </w:rPr>
              <w:t>Organisation ont été reconnues par le Corps commun d</w:t>
            </w:r>
            <w:r w:rsidR="00D565F4">
              <w:rPr>
                <w:sz w:val="20"/>
                <w:lang w:val="fr-FR"/>
              </w:rPr>
              <w:t>’</w:t>
            </w:r>
            <w:r w:rsidRPr="00686D5A">
              <w:rPr>
                <w:sz w:val="20"/>
                <w:lang w:val="fr-FR"/>
              </w:rPr>
              <w:t>inspection dans son Examen de la gestion et de l</w:t>
            </w:r>
            <w:r w:rsidR="00D565F4">
              <w:rPr>
                <w:sz w:val="20"/>
                <w:lang w:val="fr-FR"/>
              </w:rPr>
              <w:t>’</w:t>
            </w:r>
            <w:r w:rsidRPr="00686D5A">
              <w:rPr>
                <w:sz w:val="20"/>
                <w:lang w:val="fr-FR"/>
              </w:rPr>
              <w:t>administration de l</w:t>
            </w:r>
            <w:r w:rsidR="00D565F4">
              <w:rPr>
                <w:sz w:val="20"/>
                <w:lang w:val="fr-FR"/>
              </w:rPr>
              <w:t>’</w:t>
            </w:r>
            <w:r w:rsidRPr="00686D5A">
              <w:rPr>
                <w:sz w:val="20"/>
                <w:lang w:val="fr-FR"/>
              </w:rPr>
              <w:t>OMPI (JIU/REP/2014/2 paragraphe 53).  Les inspecteurs ont également signalé qu</w:t>
            </w:r>
            <w:r w:rsidR="00D565F4">
              <w:rPr>
                <w:sz w:val="20"/>
                <w:lang w:val="fr-FR"/>
              </w:rPr>
              <w:t>’</w:t>
            </w:r>
            <w:r w:rsidRPr="00686D5A">
              <w:rPr>
                <w:sz w:val="20"/>
                <w:lang w:val="fr-FR"/>
              </w:rPr>
              <w:t>ils “appuyaient les objectifs de cette restructuration, le modèle de gestion de l</w:t>
            </w:r>
            <w:r w:rsidR="00D565F4">
              <w:rPr>
                <w:sz w:val="20"/>
                <w:lang w:val="fr-FR"/>
              </w:rPr>
              <w:t>’</w:t>
            </w:r>
            <w:r w:rsidRPr="00686D5A">
              <w:rPr>
                <w:sz w:val="20"/>
                <w:lang w:val="fr-FR"/>
              </w:rPr>
              <w:t>OMPI nécessitant de suivre de près les secteurs où les activités augmentent ou sont en baisse afin d</w:t>
            </w:r>
            <w:r w:rsidR="00D565F4">
              <w:rPr>
                <w:sz w:val="20"/>
                <w:lang w:val="fr-FR"/>
              </w:rPr>
              <w:t>’</w:t>
            </w:r>
            <w:r w:rsidRPr="00686D5A">
              <w:rPr>
                <w:sz w:val="20"/>
                <w:lang w:val="fr-FR"/>
              </w:rPr>
              <w:t>adapter la structure en conséquence et de redéployer le personnel, le cas échéant”.</w:t>
            </w:r>
          </w:p>
          <w:p w:rsidR="009A7E4C" w:rsidRPr="00686D5A" w:rsidRDefault="009A7E4C" w:rsidP="001E2D32">
            <w:pPr>
              <w:keepLines/>
              <w:tabs>
                <w:tab w:val="left" w:pos="2860"/>
                <w:tab w:val="left" w:pos="5610"/>
              </w:tabs>
              <w:spacing w:after="120"/>
              <w:rPr>
                <w:sz w:val="20"/>
                <w:u w:val="single"/>
                <w:lang w:val="fr-FR"/>
              </w:rPr>
            </w:pPr>
            <w:r w:rsidRPr="00686D5A">
              <w:rPr>
                <w:sz w:val="20"/>
                <w:u w:val="single"/>
                <w:lang w:val="fr-FR"/>
              </w:rPr>
              <w:t>Conclusion</w:t>
            </w:r>
          </w:p>
          <w:p w:rsidR="009A7E4C" w:rsidRPr="00686D5A" w:rsidRDefault="009A7E4C" w:rsidP="00FB238F">
            <w:pPr>
              <w:keepLines/>
              <w:tabs>
                <w:tab w:val="left" w:pos="2860"/>
                <w:tab w:val="left" w:pos="5610"/>
              </w:tabs>
              <w:spacing w:after="120"/>
              <w:rPr>
                <w:sz w:val="20"/>
                <w:lang w:val="fr-FR"/>
              </w:rPr>
            </w:pPr>
            <w:r w:rsidRPr="00686D5A">
              <w:rPr>
                <w:sz w:val="20"/>
                <w:lang w:val="fr-FR"/>
              </w:rPr>
              <w:t>Les changements importants à apporter aux approches et aux stratégies de gestion de l</w:t>
            </w:r>
            <w:r w:rsidR="00D565F4">
              <w:rPr>
                <w:sz w:val="20"/>
                <w:lang w:val="fr-FR"/>
              </w:rPr>
              <w:t>’</w:t>
            </w:r>
            <w:r w:rsidRPr="00686D5A">
              <w:rPr>
                <w:sz w:val="20"/>
                <w:lang w:val="fr-FR"/>
              </w:rPr>
              <w:t>OMPI depuis 2005 et sa nécessité d</w:t>
            </w:r>
            <w:r w:rsidR="00D565F4">
              <w:rPr>
                <w:sz w:val="20"/>
                <w:lang w:val="fr-FR"/>
              </w:rPr>
              <w:t>’</w:t>
            </w:r>
            <w:r w:rsidRPr="00686D5A">
              <w:rPr>
                <w:sz w:val="20"/>
                <w:lang w:val="fr-FR"/>
              </w:rPr>
              <w:t>adapter ses structures organisationnelles à ses exigences opérationnelles, comme l</w:t>
            </w:r>
            <w:r w:rsidR="00D565F4">
              <w:rPr>
                <w:sz w:val="20"/>
                <w:lang w:val="fr-FR"/>
              </w:rPr>
              <w:t>’</w:t>
            </w:r>
            <w:r w:rsidRPr="00686D5A">
              <w:rPr>
                <w:sz w:val="20"/>
                <w:lang w:val="fr-FR"/>
              </w:rPr>
              <w:t>a reconnu le Corps commun d</w:t>
            </w:r>
            <w:r w:rsidR="00D565F4">
              <w:rPr>
                <w:sz w:val="20"/>
                <w:lang w:val="fr-FR"/>
              </w:rPr>
              <w:t>’</w:t>
            </w:r>
            <w:r w:rsidRPr="00686D5A">
              <w:rPr>
                <w:sz w:val="20"/>
                <w:lang w:val="fr-FR"/>
              </w:rPr>
              <w:t>inspection dans son Examen de la gestion et de l</w:t>
            </w:r>
            <w:r w:rsidR="00D565F4">
              <w:rPr>
                <w:sz w:val="20"/>
                <w:lang w:val="fr-FR"/>
              </w:rPr>
              <w:t>’</w:t>
            </w:r>
            <w:r w:rsidRPr="00686D5A">
              <w:rPr>
                <w:sz w:val="20"/>
                <w:lang w:val="fr-FR"/>
              </w:rPr>
              <w:t>administration de l</w:t>
            </w:r>
            <w:r w:rsidR="00D565F4">
              <w:rPr>
                <w:sz w:val="20"/>
                <w:lang w:val="fr-FR"/>
              </w:rPr>
              <w:t>’</w:t>
            </w:r>
            <w:r w:rsidR="005E35C2" w:rsidRPr="00686D5A">
              <w:rPr>
                <w:sz w:val="20"/>
                <w:lang w:val="fr-FR"/>
              </w:rPr>
              <w:t>OMPI </w:t>
            </w:r>
            <w:r w:rsidRPr="00686D5A">
              <w:rPr>
                <w:sz w:val="20"/>
                <w:lang w:val="fr-FR"/>
              </w:rPr>
              <w:t>2014, se substituent à la recommandation (en suspens) issue de l</w:t>
            </w:r>
            <w:r w:rsidR="00D565F4">
              <w:rPr>
                <w:sz w:val="20"/>
                <w:lang w:val="fr-FR"/>
              </w:rPr>
              <w:t>’</w:t>
            </w:r>
            <w:r w:rsidRPr="00686D5A">
              <w:rPr>
                <w:sz w:val="20"/>
                <w:lang w:val="fr-FR"/>
              </w:rPr>
              <w:t>Examen de la gestion et de l</w:t>
            </w:r>
            <w:r w:rsidR="00D565F4">
              <w:rPr>
                <w:sz w:val="20"/>
                <w:lang w:val="fr-FR"/>
              </w:rPr>
              <w:t>’</w:t>
            </w:r>
            <w:r w:rsidRPr="00686D5A">
              <w:rPr>
                <w:sz w:val="20"/>
                <w:lang w:val="fr-FR"/>
              </w:rPr>
              <w:t>administration réalisé par le Corps commun d</w:t>
            </w:r>
            <w:r w:rsidR="00D565F4">
              <w:rPr>
                <w:sz w:val="20"/>
                <w:lang w:val="fr-FR"/>
              </w:rPr>
              <w:t>’</w:t>
            </w:r>
            <w:r w:rsidRPr="00686D5A">
              <w:rPr>
                <w:sz w:val="20"/>
                <w:lang w:val="fr-FR"/>
              </w:rPr>
              <w:t xml:space="preserve">inspection en 2004, selon laquelle la suppression des transferts de membres du personnel avec leur poste devait être ordonnée.  </w:t>
            </w:r>
            <w:r w:rsidRPr="00686D5A">
              <w:rPr>
                <w:sz w:val="20"/>
                <w:lang w:val="fr-FR"/>
              </w:rPr>
              <w:lastRenderedPageBreak/>
              <w:t>Le transfert de ressources humaines avec leur poste aura lieu dans le cadre réglementaire (Règlement financier et règlement d</w:t>
            </w:r>
            <w:r w:rsidR="00D565F4">
              <w:rPr>
                <w:sz w:val="20"/>
                <w:lang w:val="fr-FR"/>
              </w:rPr>
              <w:t>’</w:t>
            </w:r>
            <w:r w:rsidRPr="00686D5A">
              <w:rPr>
                <w:sz w:val="20"/>
                <w:lang w:val="fr-FR"/>
              </w:rPr>
              <w:t>exécution du Règlement financier, Statut et Règlement du personnel) et uniquement lorsque les besoins opérationnels le justifieront ou dans d</w:t>
            </w:r>
            <w:r w:rsidR="00D565F4">
              <w:rPr>
                <w:sz w:val="20"/>
                <w:lang w:val="fr-FR"/>
              </w:rPr>
              <w:t>’</w:t>
            </w:r>
            <w:r w:rsidRPr="00686D5A">
              <w:rPr>
                <w:sz w:val="20"/>
                <w:lang w:val="fr-FR"/>
              </w:rPr>
              <w:t>autres circonstances exceptionnelles.  Le Directeur général présentera une proposition de révision du Statut et Règlement du personnel au Comité de coordination de l</w:t>
            </w:r>
            <w:r w:rsidR="00D565F4">
              <w:rPr>
                <w:sz w:val="20"/>
                <w:lang w:val="fr-FR"/>
              </w:rPr>
              <w:t>’</w:t>
            </w:r>
            <w:r w:rsidRPr="00686D5A">
              <w:rPr>
                <w:sz w:val="20"/>
                <w:lang w:val="fr-FR"/>
              </w:rPr>
              <w:t>OMPI en septembre 2014, assortie d</w:t>
            </w:r>
            <w:r w:rsidR="00D565F4">
              <w:rPr>
                <w:sz w:val="20"/>
                <w:lang w:val="fr-FR"/>
              </w:rPr>
              <w:t>’</w:t>
            </w:r>
            <w:r w:rsidRPr="00686D5A">
              <w:rPr>
                <w:sz w:val="20"/>
                <w:lang w:val="fr-FR"/>
              </w:rPr>
              <w:t>une nouvelle disposition (nouvel article</w:t>
            </w:r>
            <w:r w:rsidR="00413B67" w:rsidRPr="00686D5A">
              <w:rPr>
                <w:sz w:val="20"/>
                <w:lang w:val="fr-FR"/>
              </w:rPr>
              <w:t> </w:t>
            </w:r>
            <w:r w:rsidRPr="00686D5A">
              <w:rPr>
                <w:sz w:val="20"/>
                <w:lang w:val="fr-FR"/>
              </w:rPr>
              <w:t>4.3.1) à cet effet.</w:t>
            </w:r>
          </w:p>
        </w:tc>
      </w:tr>
    </w:tbl>
    <w:p w:rsidR="009A7E4C" w:rsidRPr="00686D5A" w:rsidRDefault="009A7E4C" w:rsidP="007A2DAE">
      <w:pPr>
        <w:pStyle w:val="Endofdocument-Annex"/>
        <w:ind w:firstLine="562"/>
        <w:rPr>
          <w:lang w:val="fr-FR"/>
        </w:rPr>
      </w:pPr>
    </w:p>
    <w:p w:rsidR="007A2DAE" w:rsidRDefault="007A2DAE" w:rsidP="00F76C51">
      <w:pPr>
        <w:keepLines/>
        <w:tabs>
          <w:tab w:val="left" w:pos="540"/>
        </w:tabs>
        <w:ind w:firstLine="6096"/>
        <w:rPr>
          <w:szCs w:val="22"/>
          <w:lang w:val="fr-FR"/>
        </w:rPr>
      </w:pPr>
    </w:p>
    <w:p w:rsidR="007A2DAE" w:rsidRDefault="007A2DAE" w:rsidP="00F76C51">
      <w:pPr>
        <w:keepLines/>
        <w:tabs>
          <w:tab w:val="left" w:pos="540"/>
        </w:tabs>
        <w:ind w:firstLine="6096"/>
        <w:rPr>
          <w:szCs w:val="22"/>
          <w:lang w:val="fr-FR"/>
        </w:rPr>
      </w:pPr>
    </w:p>
    <w:p w:rsidR="009A7E4C" w:rsidRPr="00686D5A" w:rsidRDefault="009A7E4C" w:rsidP="00F76C51">
      <w:pPr>
        <w:keepLines/>
        <w:tabs>
          <w:tab w:val="left" w:pos="540"/>
        </w:tabs>
        <w:ind w:firstLine="6096"/>
        <w:rPr>
          <w:szCs w:val="22"/>
          <w:lang w:val="fr-FR"/>
        </w:rPr>
      </w:pPr>
      <w:r w:rsidRPr="00686D5A">
        <w:rPr>
          <w:szCs w:val="22"/>
          <w:lang w:val="fr-FR"/>
        </w:rPr>
        <w:t>[L</w:t>
      </w:r>
      <w:r w:rsidR="00D565F4">
        <w:rPr>
          <w:szCs w:val="22"/>
          <w:lang w:val="fr-FR"/>
        </w:rPr>
        <w:t>’</w:t>
      </w:r>
      <w:r w:rsidRPr="00686D5A">
        <w:rPr>
          <w:szCs w:val="22"/>
          <w:lang w:val="fr-FR"/>
        </w:rPr>
        <w:t>annexe V suit]</w:t>
      </w:r>
    </w:p>
    <w:p w:rsidR="009A7E4C" w:rsidRPr="00686D5A" w:rsidRDefault="009A7E4C" w:rsidP="00E03902">
      <w:pPr>
        <w:spacing w:after="200" w:line="276" w:lineRule="auto"/>
        <w:rPr>
          <w:b/>
          <w:bCs/>
          <w:lang w:val="fr-FR"/>
        </w:rPr>
        <w:sectPr w:rsidR="009A7E4C" w:rsidRPr="00686D5A" w:rsidSect="00D7054D">
          <w:headerReference w:type="even" r:id="rId29"/>
          <w:headerReference w:type="default" r:id="rId30"/>
          <w:headerReference w:type="first" r:id="rId31"/>
          <w:endnotePr>
            <w:numFmt w:val="decimal"/>
          </w:endnotePr>
          <w:pgSz w:w="11907" w:h="16840" w:code="9"/>
          <w:pgMar w:top="1134" w:right="1134" w:bottom="1418" w:left="1418" w:header="510" w:footer="1021" w:gutter="0"/>
          <w:pgNumType w:start="1"/>
          <w:cols w:space="720"/>
          <w:titlePg/>
          <w:docGrid w:linePitch="299"/>
        </w:sectPr>
      </w:pPr>
    </w:p>
    <w:p w:rsidR="00D565F4" w:rsidRDefault="009A7E4C" w:rsidP="00F76C51">
      <w:pPr>
        <w:keepLines/>
        <w:jc w:val="center"/>
        <w:rPr>
          <w:b/>
          <w:bCs/>
          <w:lang w:val="fr-FR"/>
        </w:rPr>
      </w:pPr>
      <w:r w:rsidRPr="00686D5A">
        <w:rPr>
          <w:b/>
          <w:bCs/>
          <w:lang w:val="fr-FR"/>
        </w:rPr>
        <w:lastRenderedPageBreak/>
        <w:t>LISTE DES ACTIVITÉS DE CONSULTATION ET DE CONSEIL</w:t>
      </w:r>
    </w:p>
    <w:p w:rsidR="009A7E4C" w:rsidRPr="00686D5A" w:rsidRDefault="009A7E4C" w:rsidP="00F76C51">
      <w:pPr>
        <w:keepLines/>
        <w:jc w:val="center"/>
        <w:rPr>
          <w:b/>
          <w:bCs/>
          <w:lang w:val="fr-FR"/>
        </w:rPr>
      </w:pPr>
      <w:r w:rsidRPr="00686D5A">
        <w:rPr>
          <w:b/>
          <w:bCs/>
          <w:lang w:val="fr-FR"/>
        </w:rPr>
        <w:t>DE LA DIVISION DE L</w:t>
      </w:r>
      <w:r w:rsidR="00D565F4">
        <w:rPr>
          <w:b/>
          <w:bCs/>
          <w:lang w:val="fr-FR"/>
        </w:rPr>
        <w:t>’</w:t>
      </w:r>
      <w:r w:rsidRPr="00686D5A">
        <w:rPr>
          <w:b/>
          <w:bCs/>
          <w:lang w:val="fr-FR"/>
        </w:rPr>
        <w:t>AUDIT ET DE LA SUPERVISION INTERNES</w:t>
      </w:r>
    </w:p>
    <w:p w:rsidR="009A7E4C" w:rsidRPr="00686D5A" w:rsidRDefault="009A7E4C" w:rsidP="00E03902">
      <w:pPr>
        <w:keepLines/>
        <w:jc w:val="center"/>
        <w:rPr>
          <w:b/>
          <w:bCs/>
          <w:lang w:val="fr-FR"/>
        </w:rPr>
      </w:pPr>
    </w:p>
    <w:p w:rsidR="009A7E4C" w:rsidRPr="00686D5A" w:rsidRDefault="009A7E4C" w:rsidP="00702D27">
      <w:pPr>
        <w:keepLines/>
        <w:numPr>
          <w:ilvl w:val="0"/>
          <w:numId w:val="38"/>
        </w:numPr>
        <w:tabs>
          <w:tab w:val="left" w:pos="851"/>
        </w:tabs>
        <w:spacing w:line="360" w:lineRule="auto"/>
        <w:ind w:left="851" w:hanging="567"/>
        <w:rPr>
          <w:lang w:val="fr-FR"/>
        </w:rPr>
      </w:pPr>
      <w:r w:rsidRPr="00686D5A">
        <w:rPr>
          <w:lang w:val="fr-FR"/>
        </w:rPr>
        <w:t>Politiques en matière de sécurité informatique</w:t>
      </w:r>
    </w:p>
    <w:p w:rsidR="009A7E4C" w:rsidRPr="00686D5A" w:rsidRDefault="009A7E4C" w:rsidP="00702D27">
      <w:pPr>
        <w:keepLines/>
        <w:numPr>
          <w:ilvl w:val="0"/>
          <w:numId w:val="38"/>
        </w:numPr>
        <w:tabs>
          <w:tab w:val="left" w:pos="851"/>
          <w:tab w:val="left" w:pos="1134"/>
        </w:tabs>
        <w:spacing w:line="360" w:lineRule="auto"/>
        <w:ind w:left="851" w:hanging="567"/>
        <w:rPr>
          <w:lang w:val="fr-FR"/>
        </w:rPr>
      </w:pPr>
      <w:r w:rsidRPr="00686D5A">
        <w:rPr>
          <w:lang w:val="fr-FR"/>
        </w:rPr>
        <w:t>Politique en matière de déclaration de situation financière</w:t>
      </w:r>
    </w:p>
    <w:p w:rsidR="009A7E4C" w:rsidRPr="00686D5A" w:rsidRDefault="009A7E4C" w:rsidP="00702D27">
      <w:pPr>
        <w:keepLines/>
        <w:numPr>
          <w:ilvl w:val="0"/>
          <w:numId w:val="38"/>
        </w:numPr>
        <w:tabs>
          <w:tab w:val="left" w:pos="851"/>
          <w:tab w:val="left" w:pos="1134"/>
        </w:tabs>
        <w:spacing w:line="360" w:lineRule="auto"/>
        <w:ind w:left="851" w:hanging="567"/>
        <w:rPr>
          <w:lang w:val="fr-FR"/>
        </w:rPr>
      </w:pPr>
      <w:r w:rsidRPr="00686D5A">
        <w:rPr>
          <w:lang w:val="fr-FR"/>
        </w:rPr>
        <w:t>Système de justice interne et Statut et Règlement du personnel révisé</w:t>
      </w:r>
    </w:p>
    <w:p w:rsidR="009A7E4C" w:rsidRPr="00686D5A" w:rsidRDefault="009A7E4C" w:rsidP="00702D27">
      <w:pPr>
        <w:keepLines/>
        <w:numPr>
          <w:ilvl w:val="0"/>
          <w:numId w:val="38"/>
        </w:numPr>
        <w:tabs>
          <w:tab w:val="left" w:pos="851"/>
          <w:tab w:val="left" w:pos="1134"/>
        </w:tabs>
        <w:spacing w:line="360" w:lineRule="auto"/>
        <w:ind w:left="851" w:hanging="567"/>
        <w:rPr>
          <w:lang w:val="fr-FR"/>
        </w:rPr>
      </w:pPr>
      <w:r w:rsidRPr="00686D5A">
        <w:rPr>
          <w:lang w:val="fr-FR"/>
        </w:rPr>
        <w:t>Initiative relative à la déontologie institutionnelle</w:t>
      </w:r>
    </w:p>
    <w:p w:rsidR="009A7E4C" w:rsidRPr="00686D5A" w:rsidRDefault="009A7E4C" w:rsidP="00702D27">
      <w:pPr>
        <w:keepLines/>
        <w:numPr>
          <w:ilvl w:val="0"/>
          <w:numId w:val="38"/>
        </w:numPr>
        <w:tabs>
          <w:tab w:val="left" w:pos="851"/>
          <w:tab w:val="left" w:pos="1134"/>
        </w:tabs>
        <w:spacing w:line="360" w:lineRule="auto"/>
        <w:ind w:left="851" w:hanging="567"/>
        <w:rPr>
          <w:lang w:val="fr-FR"/>
        </w:rPr>
      </w:pPr>
      <w:r w:rsidRPr="00686D5A">
        <w:rPr>
          <w:lang w:val="fr-FR"/>
        </w:rPr>
        <w:t>Milieu de travail respectueux</w:t>
      </w:r>
    </w:p>
    <w:p w:rsidR="009A7E4C" w:rsidRPr="00686D5A" w:rsidRDefault="009A7E4C" w:rsidP="00702D27">
      <w:pPr>
        <w:keepLines/>
        <w:numPr>
          <w:ilvl w:val="0"/>
          <w:numId w:val="38"/>
        </w:numPr>
        <w:tabs>
          <w:tab w:val="left" w:pos="851"/>
          <w:tab w:val="left" w:pos="1134"/>
        </w:tabs>
        <w:spacing w:line="360" w:lineRule="auto"/>
        <w:ind w:left="851" w:hanging="567"/>
        <w:rPr>
          <w:lang w:val="fr-FR"/>
        </w:rPr>
      </w:pPr>
      <w:r w:rsidRPr="00686D5A">
        <w:rPr>
          <w:lang w:val="fr-FR"/>
        </w:rPr>
        <w:t>Guide de l</w:t>
      </w:r>
      <w:r w:rsidR="00D565F4">
        <w:rPr>
          <w:lang w:val="fr-FR"/>
        </w:rPr>
        <w:t>’</w:t>
      </w:r>
      <w:r w:rsidRPr="00686D5A">
        <w:rPr>
          <w:lang w:val="fr-FR"/>
        </w:rPr>
        <w:t>OMPI sur les risques</w:t>
      </w:r>
    </w:p>
    <w:p w:rsidR="009A7E4C" w:rsidRPr="00686D5A" w:rsidRDefault="009A7E4C" w:rsidP="00702D27">
      <w:pPr>
        <w:keepLines/>
        <w:numPr>
          <w:ilvl w:val="0"/>
          <w:numId w:val="38"/>
        </w:numPr>
        <w:tabs>
          <w:tab w:val="left" w:pos="851"/>
          <w:tab w:val="left" w:pos="1134"/>
        </w:tabs>
        <w:spacing w:line="360" w:lineRule="auto"/>
        <w:ind w:left="851" w:hanging="567"/>
        <w:rPr>
          <w:lang w:val="fr-FR"/>
        </w:rPr>
      </w:pPr>
      <w:r w:rsidRPr="00686D5A">
        <w:rPr>
          <w:lang w:val="fr-FR"/>
        </w:rPr>
        <w:t>Activités en dehors de l</w:t>
      </w:r>
      <w:r w:rsidR="00D565F4">
        <w:rPr>
          <w:lang w:val="fr-FR"/>
        </w:rPr>
        <w:t>’</w:t>
      </w:r>
      <w:r w:rsidRPr="00686D5A">
        <w:rPr>
          <w:lang w:val="fr-FR"/>
        </w:rPr>
        <w:t>Organisation</w:t>
      </w:r>
    </w:p>
    <w:p w:rsidR="009A7E4C" w:rsidRPr="00686D5A" w:rsidRDefault="009A7E4C" w:rsidP="00702D27">
      <w:pPr>
        <w:keepLines/>
        <w:numPr>
          <w:ilvl w:val="0"/>
          <w:numId w:val="38"/>
        </w:numPr>
        <w:tabs>
          <w:tab w:val="left" w:pos="851"/>
          <w:tab w:val="left" w:pos="1134"/>
        </w:tabs>
        <w:spacing w:line="360" w:lineRule="auto"/>
        <w:ind w:left="851" w:hanging="567"/>
        <w:rPr>
          <w:lang w:val="fr-FR"/>
        </w:rPr>
      </w:pPr>
      <w:r w:rsidRPr="00686D5A">
        <w:rPr>
          <w:lang w:val="fr-FR"/>
        </w:rPr>
        <w:t>Révision de la politique de protection des lanceurs d</w:t>
      </w:r>
      <w:r w:rsidR="00D565F4">
        <w:rPr>
          <w:lang w:val="fr-FR"/>
        </w:rPr>
        <w:t>’</w:t>
      </w:r>
      <w:r w:rsidRPr="00686D5A">
        <w:rPr>
          <w:lang w:val="fr-FR"/>
        </w:rPr>
        <w:t>alerte</w:t>
      </w:r>
    </w:p>
    <w:p w:rsidR="009A7E4C" w:rsidRPr="00686D5A" w:rsidRDefault="009A7E4C" w:rsidP="00702D27">
      <w:pPr>
        <w:keepLines/>
        <w:numPr>
          <w:ilvl w:val="0"/>
          <w:numId w:val="38"/>
        </w:numPr>
        <w:tabs>
          <w:tab w:val="left" w:pos="851"/>
          <w:tab w:val="left" w:pos="1134"/>
        </w:tabs>
        <w:spacing w:line="360" w:lineRule="auto"/>
        <w:ind w:left="851" w:hanging="567"/>
        <w:rPr>
          <w:lang w:val="fr-FR"/>
        </w:rPr>
      </w:pPr>
      <w:r w:rsidRPr="00686D5A">
        <w:rPr>
          <w:lang w:val="fr-FR"/>
        </w:rPr>
        <w:t>Autres mécanismes de règlement des différends ouverts aux non</w:t>
      </w:r>
      <w:r w:rsidR="001F4EED">
        <w:rPr>
          <w:lang w:val="fr-FR"/>
        </w:rPr>
        <w:noBreakHyphen/>
      </w:r>
      <w:r w:rsidRPr="00686D5A">
        <w:rPr>
          <w:lang w:val="fr-FR"/>
        </w:rPr>
        <w:t>fonctionnaires</w:t>
      </w:r>
    </w:p>
    <w:p w:rsidR="009A7E4C" w:rsidRPr="00686D5A" w:rsidRDefault="009A7E4C" w:rsidP="00702D27">
      <w:pPr>
        <w:keepLines/>
        <w:numPr>
          <w:ilvl w:val="0"/>
          <w:numId w:val="38"/>
        </w:numPr>
        <w:tabs>
          <w:tab w:val="left" w:pos="851"/>
          <w:tab w:val="left" w:pos="1134"/>
        </w:tabs>
        <w:spacing w:line="360" w:lineRule="auto"/>
        <w:ind w:left="851" w:hanging="567"/>
        <w:rPr>
          <w:lang w:val="fr-FR"/>
        </w:rPr>
      </w:pPr>
      <w:r w:rsidRPr="00686D5A">
        <w:rPr>
          <w:lang w:val="fr-FR"/>
        </w:rPr>
        <w:t>Stratégie dans le domaine des TIC</w:t>
      </w:r>
    </w:p>
    <w:p w:rsidR="009A7E4C" w:rsidRPr="00686D5A" w:rsidRDefault="009A7E4C" w:rsidP="00702D27">
      <w:pPr>
        <w:keepLines/>
        <w:numPr>
          <w:ilvl w:val="0"/>
          <w:numId w:val="38"/>
        </w:numPr>
        <w:tabs>
          <w:tab w:val="left" w:pos="851"/>
          <w:tab w:val="left" w:pos="1134"/>
        </w:tabs>
        <w:spacing w:line="360" w:lineRule="auto"/>
        <w:ind w:left="851" w:hanging="567"/>
        <w:rPr>
          <w:lang w:val="fr-FR"/>
        </w:rPr>
      </w:pPr>
      <w:r w:rsidRPr="00686D5A">
        <w:rPr>
          <w:lang w:val="fr-FR"/>
        </w:rPr>
        <w:t>Passif financier</w:t>
      </w:r>
    </w:p>
    <w:p w:rsidR="009A7E4C" w:rsidRPr="00686D5A" w:rsidRDefault="009A7E4C" w:rsidP="00702D27">
      <w:pPr>
        <w:keepLines/>
        <w:numPr>
          <w:ilvl w:val="0"/>
          <w:numId w:val="38"/>
        </w:numPr>
        <w:tabs>
          <w:tab w:val="left" w:pos="851"/>
          <w:tab w:val="left" w:pos="1134"/>
        </w:tabs>
        <w:spacing w:line="360" w:lineRule="auto"/>
        <w:ind w:left="851" w:hanging="567"/>
        <w:rPr>
          <w:lang w:val="fr-FR"/>
        </w:rPr>
      </w:pPr>
      <w:r w:rsidRPr="00686D5A">
        <w:rPr>
          <w:lang w:val="fr-FR"/>
        </w:rPr>
        <w:t>Ordre de service sur le nouveau système de justice interne</w:t>
      </w:r>
    </w:p>
    <w:p w:rsidR="009A7E4C" w:rsidRPr="00686D5A" w:rsidRDefault="009A7E4C" w:rsidP="00702D27">
      <w:pPr>
        <w:keepLines/>
        <w:numPr>
          <w:ilvl w:val="0"/>
          <w:numId w:val="38"/>
        </w:numPr>
        <w:tabs>
          <w:tab w:val="left" w:pos="851"/>
          <w:tab w:val="left" w:pos="1134"/>
        </w:tabs>
        <w:spacing w:line="360" w:lineRule="auto"/>
        <w:ind w:left="851" w:hanging="567"/>
        <w:rPr>
          <w:lang w:val="fr-FR"/>
        </w:rPr>
      </w:pPr>
      <w:r w:rsidRPr="00686D5A">
        <w:rPr>
          <w:lang w:val="fr-FR"/>
        </w:rPr>
        <w:t>Évaluation des activités de formation à la déontologie et recommandations de l</w:t>
      </w:r>
      <w:r w:rsidR="00D565F4">
        <w:rPr>
          <w:lang w:val="fr-FR"/>
        </w:rPr>
        <w:t>’</w:t>
      </w:r>
      <w:r w:rsidRPr="00686D5A">
        <w:rPr>
          <w:lang w:val="fr-FR"/>
        </w:rPr>
        <w:t>OMPI</w:t>
      </w:r>
    </w:p>
    <w:p w:rsidR="009A7E4C" w:rsidRPr="00686D5A" w:rsidRDefault="009A7E4C" w:rsidP="00702D27">
      <w:pPr>
        <w:keepLines/>
        <w:numPr>
          <w:ilvl w:val="0"/>
          <w:numId w:val="38"/>
        </w:numPr>
        <w:tabs>
          <w:tab w:val="left" w:pos="851"/>
          <w:tab w:val="left" w:pos="1134"/>
        </w:tabs>
        <w:spacing w:line="360" w:lineRule="auto"/>
        <w:ind w:left="851" w:hanging="567"/>
        <w:rPr>
          <w:lang w:val="fr-FR"/>
        </w:rPr>
      </w:pPr>
      <w:r w:rsidRPr="00686D5A">
        <w:rPr>
          <w:lang w:val="fr-FR"/>
        </w:rPr>
        <w:t>Ordre de service sur les contrats</w:t>
      </w:r>
      <w:r w:rsidR="001F4EED">
        <w:rPr>
          <w:lang w:val="fr-FR"/>
        </w:rPr>
        <w:noBreakHyphen/>
      </w:r>
      <w:r w:rsidRPr="00686D5A">
        <w:rPr>
          <w:lang w:val="fr-FR"/>
        </w:rPr>
        <w:t>cadres portant sur les ressources hors personnel</w:t>
      </w:r>
    </w:p>
    <w:p w:rsidR="009A7E4C" w:rsidRPr="00686D5A" w:rsidRDefault="009A7E4C" w:rsidP="00702D27">
      <w:pPr>
        <w:keepLines/>
        <w:numPr>
          <w:ilvl w:val="0"/>
          <w:numId w:val="38"/>
        </w:numPr>
        <w:tabs>
          <w:tab w:val="left" w:pos="851"/>
          <w:tab w:val="left" w:pos="1134"/>
        </w:tabs>
        <w:spacing w:line="360" w:lineRule="auto"/>
        <w:ind w:left="851" w:hanging="567"/>
        <w:rPr>
          <w:lang w:val="fr-FR"/>
        </w:rPr>
      </w:pPr>
      <w:r w:rsidRPr="00686D5A">
        <w:rPr>
          <w:lang w:val="fr-FR"/>
        </w:rPr>
        <w:t>Pratique en matière de publication des documents</w:t>
      </w:r>
    </w:p>
    <w:p w:rsidR="009A7E4C" w:rsidRPr="00686D5A" w:rsidRDefault="009A7E4C" w:rsidP="00702D27">
      <w:pPr>
        <w:keepLines/>
        <w:numPr>
          <w:ilvl w:val="0"/>
          <w:numId w:val="38"/>
        </w:numPr>
        <w:tabs>
          <w:tab w:val="left" w:pos="851"/>
          <w:tab w:val="left" w:pos="1134"/>
        </w:tabs>
        <w:spacing w:line="360" w:lineRule="auto"/>
        <w:ind w:left="851" w:hanging="567"/>
        <w:rPr>
          <w:lang w:val="fr-FR"/>
        </w:rPr>
      </w:pPr>
      <w:r w:rsidRPr="00686D5A">
        <w:rPr>
          <w:lang w:val="fr-FR"/>
        </w:rPr>
        <w:t>Ordre de service sur le passif financier</w:t>
      </w:r>
    </w:p>
    <w:p w:rsidR="009A7E4C" w:rsidRPr="00686D5A" w:rsidRDefault="009A7E4C" w:rsidP="00702D27">
      <w:pPr>
        <w:keepLines/>
        <w:numPr>
          <w:ilvl w:val="0"/>
          <w:numId w:val="38"/>
        </w:numPr>
        <w:tabs>
          <w:tab w:val="left" w:pos="851"/>
          <w:tab w:val="left" w:pos="1134"/>
        </w:tabs>
        <w:spacing w:line="360" w:lineRule="auto"/>
        <w:ind w:left="851" w:hanging="567"/>
        <w:rPr>
          <w:lang w:val="fr-FR"/>
        </w:rPr>
      </w:pPr>
      <w:r w:rsidRPr="00686D5A">
        <w:rPr>
          <w:lang w:val="fr-FR"/>
        </w:rPr>
        <w:t>Initiative de l</w:t>
      </w:r>
      <w:r w:rsidR="00D565F4">
        <w:rPr>
          <w:lang w:val="fr-FR"/>
        </w:rPr>
        <w:t>’</w:t>
      </w:r>
      <w:r w:rsidRPr="00686D5A">
        <w:rPr>
          <w:lang w:val="fr-FR"/>
        </w:rPr>
        <w:t>ONU en matière de transparence et de responsabilité</w:t>
      </w:r>
    </w:p>
    <w:p w:rsidR="009A7E4C" w:rsidRPr="00686D5A" w:rsidRDefault="009A7E4C" w:rsidP="00702D27">
      <w:pPr>
        <w:keepLines/>
        <w:numPr>
          <w:ilvl w:val="0"/>
          <w:numId w:val="38"/>
        </w:numPr>
        <w:tabs>
          <w:tab w:val="left" w:pos="851"/>
          <w:tab w:val="left" w:pos="1134"/>
        </w:tabs>
        <w:spacing w:line="360" w:lineRule="auto"/>
        <w:ind w:left="851" w:hanging="567"/>
        <w:rPr>
          <w:lang w:val="fr-FR"/>
        </w:rPr>
      </w:pPr>
      <w:r w:rsidRPr="00686D5A">
        <w:rPr>
          <w:lang w:val="fr-FR"/>
        </w:rPr>
        <w:t>Dispositifs de communications mobiles</w:t>
      </w:r>
    </w:p>
    <w:p w:rsidR="009A7E4C" w:rsidRPr="00686D5A" w:rsidRDefault="009A7E4C" w:rsidP="00702D27">
      <w:pPr>
        <w:keepLines/>
        <w:numPr>
          <w:ilvl w:val="0"/>
          <w:numId w:val="38"/>
        </w:numPr>
        <w:tabs>
          <w:tab w:val="left" w:pos="851"/>
          <w:tab w:val="left" w:pos="1134"/>
        </w:tabs>
        <w:spacing w:line="360" w:lineRule="auto"/>
        <w:ind w:left="851" w:hanging="567"/>
        <w:rPr>
          <w:lang w:val="fr-FR"/>
        </w:rPr>
      </w:pPr>
      <w:r w:rsidRPr="00686D5A">
        <w:rPr>
          <w:lang w:val="fr-FR"/>
        </w:rPr>
        <w:t>Politique de communication d</w:t>
      </w:r>
      <w:r w:rsidR="00D565F4">
        <w:rPr>
          <w:lang w:val="fr-FR"/>
        </w:rPr>
        <w:t>’</w:t>
      </w:r>
      <w:r w:rsidRPr="00686D5A">
        <w:rPr>
          <w:lang w:val="fr-FR"/>
        </w:rPr>
        <w:t>informations sensibles au public</w:t>
      </w:r>
    </w:p>
    <w:p w:rsidR="009A7E4C" w:rsidRPr="00686D5A" w:rsidRDefault="009A7E4C" w:rsidP="00702D27">
      <w:pPr>
        <w:keepLines/>
        <w:numPr>
          <w:ilvl w:val="0"/>
          <w:numId w:val="38"/>
        </w:numPr>
        <w:tabs>
          <w:tab w:val="left" w:pos="851"/>
          <w:tab w:val="left" w:pos="1134"/>
        </w:tabs>
        <w:spacing w:line="360" w:lineRule="auto"/>
        <w:ind w:left="851" w:hanging="567"/>
        <w:rPr>
          <w:lang w:val="fr-FR"/>
        </w:rPr>
      </w:pPr>
      <w:r w:rsidRPr="00686D5A">
        <w:rPr>
          <w:lang w:val="fr-FR"/>
        </w:rPr>
        <w:t>Politique de gestion des risques et des contrôles</w:t>
      </w:r>
    </w:p>
    <w:p w:rsidR="009A7E4C" w:rsidRPr="00686D5A" w:rsidRDefault="009A7E4C" w:rsidP="00702D27">
      <w:pPr>
        <w:keepLines/>
        <w:numPr>
          <w:ilvl w:val="0"/>
          <w:numId w:val="38"/>
        </w:numPr>
        <w:tabs>
          <w:tab w:val="left" w:pos="851"/>
          <w:tab w:val="left" w:pos="1134"/>
        </w:tabs>
        <w:spacing w:line="360" w:lineRule="auto"/>
        <w:ind w:left="851" w:hanging="567"/>
        <w:rPr>
          <w:lang w:val="fr-FR"/>
        </w:rPr>
      </w:pPr>
      <w:r w:rsidRPr="00686D5A">
        <w:rPr>
          <w:lang w:val="fr-FR"/>
        </w:rPr>
        <w:t>Questions des États membres sur la politique de protection des lanceurs d</w:t>
      </w:r>
      <w:r w:rsidR="00D565F4">
        <w:rPr>
          <w:lang w:val="fr-FR"/>
        </w:rPr>
        <w:t>’</w:t>
      </w:r>
      <w:r w:rsidRPr="00686D5A">
        <w:rPr>
          <w:lang w:val="fr-FR"/>
        </w:rPr>
        <w:t>alerte</w:t>
      </w:r>
    </w:p>
    <w:p w:rsidR="009A7E4C" w:rsidRPr="00686D5A" w:rsidRDefault="009A7E4C" w:rsidP="00702D27">
      <w:pPr>
        <w:keepLines/>
        <w:numPr>
          <w:ilvl w:val="0"/>
          <w:numId w:val="38"/>
        </w:numPr>
        <w:tabs>
          <w:tab w:val="left" w:pos="851"/>
          <w:tab w:val="left" w:pos="1134"/>
        </w:tabs>
        <w:spacing w:line="360" w:lineRule="auto"/>
        <w:ind w:left="851" w:hanging="567"/>
        <w:rPr>
          <w:lang w:val="fr-FR"/>
        </w:rPr>
      </w:pPr>
      <w:r w:rsidRPr="00686D5A">
        <w:rPr>
          <w:lang w:val="fr-FR"/>
        </w:rPr>
        <w:t>Statut et Règlement du personnel</w:t>
      </w:r>
    </w:p>
    <w:p w:rsidR="009A7E4C" w:rsidRPr="00686D5A" w:rsidRDefault="009A7E4C" w:rsidP="00702D27">
      <w:pPr>
        <w:keepLines/>
        <w:numPr>
          <w:ilvl w:val="0"/>
          <w:numId w:val="38"/>
        </w:numPr>
        <w:tabs>
          <w:tab w:val="left" w:pos="851"/>
          <w:tab w:val="left" w:pos="1134"/>
        </w:tabs>
        <w:spacing w:line="360" w:lineRule="auto"/>
        <w:ind w:left="851" w:hanging="567"/>
        <w:rPr>
          <w:lang w:val="fr-FR"/>
        </w:rPr>
      </w:pPr>
      <w:r w:rsidRPr="00686D5A">
        <w:rPr>
          <w:lang w:val="fr-FR"/>
        </w:rPr>
        <w:t>Examen du programme de récompenses et de reconnaissance</w:t>
      </w:r>
      <w:r w:rsidR="00E11857" w:rsidRPr="00686D5A">
        <w:rPr>
          <w:lang w:val="fr-FR"/>
        </w:rPr>
        <w:t xml:space="preserve"> du DGR</w:t>
      </w:r>
      <w:r w:rsidRPr="00686D5A">
        <w:rPr>
          <w:lang w:val="fr-FR"/>
        </w:rPr>
        <w:t>H</w:t>
      </w:r>
    </w:p>
    <w:p w:rsidR="009A7E4C" w:rsidRPr="00686D5A" w:rsidRDefault="009A7E4C" w:rsidP="00702D27">
      <w:pPr>
        <w:keepLines/>
        <w:numPr>
          <w:ilvl w:val="0"/>
          <w:numId w:val="38"/>
        </w:numPr>
        <w:tabs>
          <w:tab w:val="left" w:pos="851"/>
          <w:tab w:val="left" w:pos="1134"/>
        </w:tabs>
        <w:spacing w:line="360" w:lineRule="auto"/>
        <w:ind w:left="851" w:hanging="567"/>
        <w:rPr>
          <w:lang w:val="fr-FR"/>
        </w:rPr>
      </w:pPr>
      <w:r w:rsidRPr="00686D5A">
        <w:rPr>
          <w:lang w:val="fr-FR"/>
        </w:rPr>
        <w:t>Cadre de responsabilisation</w:t>
      </w:r>
    </w:p>
    <w:p w:rsidR="009A7E4C" w:rsidRPr="00686D5A" w:rsidRDefault="009A7E4C" w:rsidP="00702D27">
      <w:pPr>
        <w:keepLines/>
        <w:numPr>
          <w:ilvl w:val="0"/>
          <w:numId w:val="38"/>
        </w:numPr>
        <w:tabs>
          <w:tab w:val="left" w:pos="851"/>
          <w:tab w:val="left" w:pos="1134"/>
        </w:tabs>
        <w:spacing w:line="360" w:lineRule="auto"/>
        <w:ind w:left="851" w:hanging="567"/>
        <w:rPr>
          <w:lang w:val="fr-FR"/>
        </w:rPr>
      </w:pPr>
      <w:r w:rsidRPr="00686D5A">
        <w:rPr>
          <w:lang w:val="fr-FR"/>
        </w:rPr>
        <w:t>Politique et plan d</w:t>
      </w:r>
      <w:r w:rsidR="00D565F4">
        <w:rPr>
          <w:lang w:val="fr-FR"/>
        </w:rPr>
        <w:t>’</w:t>
      </w:r>
      <w:r w:rsidRPr="00686D5A">
        <w:rPr>
          <w:lang w:val="fr-FR"/>
        </w:rPr>
        <w:t>action pour l</w:t>
      </w:r>
      <w:r w:rsidR="00D565F4">
        <w:rPr>
          <w:lang w:val="fr-FR"/>
        </w:rPr>
        <w:t>’</w:t>
      </w:r>
      <w:r w:rsidRPr="00686D5A">
        <w:rPr>
          <w:lang w:val="fr-FR"/>
        </w:rPr>
        <w:t>égalité des sexes</w:t>
      </w:r>
    </w:p>
    <w:p w:rsidR="009A7E4C" w:rsidRPr="00686D5A" w:rsidRDefault="009A7E4C" w:rsidP="00702D27">
      <w:pPr>
        <w:keepLines/>
        <w:numPr>
          <w:ilvl w:val="0"/>
          <w:numId w:val="38"/>
        </w:numPr>
        <w:tabs>
          <w:tab w:val="left" w:pos="851"/>
          <w:tab w:val="left" w:pos="1134"/>
        </w:tabs>
        <w:spacing w:line="360" w:lineRule="auto"/>
        <w:ind w:left="851" w:hanging="567"/>
        <w:rPr>
          <w:lang w:val="fr-FR"/>
        </w:rPr>
      </w:pPr>
      <w:r w:rsidRPr="00686D5A">
        <w:rPr>
          <w:lang w:val="fr-FR"/>
        </w:rPr>
        <w:t>Ordre de service sur le Comité de contrôle des biens</w:t>
      </w:r>
    </w:p>
    <w:p w:rsidR="009A7E4C" w:rsidRPr="00686D5A" w:rsidRDefault="009A7E4C" w:rsidP="00702D27">
      <w:pPr>
        <w:pStyle w:val="Endofdocument-Annex"/>
        <w:rPr>
          <w:lang w:val="fr-FR"/>
        </w:rPr>
      </w:pPr>
    </w:p>
    <w:p w:rsidR="009A7E4C" w:rsidRPr="00686D5A" w:rsidRDefault="009A7E4C" w:rsidP="00702D27">
      <w:pPr>
        <w:pStyle w:val="Endofdocument-Annex"/>
        <w:rPr>
          <w:lang w:val="fr-FR"/>
        </w:rPr>
      </w:pPr>
    </w:p>
    <w:p w:rsidR="00702D27" w:rsidRPr="00686D5A" w:rsidRDefault="00702D27" w:rsidP="00702D27">
      <w:pPr>
        <w:pStyle w:val="Endofdocument-Annex"/>
        <w:rPr>
          <w:lang w:val="fr-FR"/>
        </w:rPr>
      </w:pPr>
    </w:p>
    <w:p w:rsidR="009A7E4C" w:rsidRPr="00686D5A" w:rsidRDefault="009A7E4C" w:rsidP="00702D27">
      <w:pPr>
        <w:pStyle w:val="Endofdocument-Annex"/>
        <w:rPr>
          <w:lang w:val="fr-FR"/>
        </w:rPr>
      </w:pPr>
      <w:r w:rsidRPr="00686D5A">
        <w:rPr>
          <w:lang w:val="fr-FR"/>
        </w:rPr>
        <w:t>[Fin de l</w:t>
      </w:r>
      <w:r w:rsidR="00D565F4">
        <w:rPr>
          <w:lang w:val="fr-FR"/>
        </w:rPr>
        <w:t>’</w:t>
      </w:r>
      <w:r w:rsidRPr="00686D5A">
        <w:rPr>
          <w:lang w:val="fr-FR"/>
        </w:rPr>
        <w:t>annexe</w:t>
      </w:r>
      <w:r w:rsidR="00702D27" w:rsidRPr="00686D5A">
        <w:rPr>
          <w:lang w:val="fr-FR"/>
        </w:rPr>
        <w:t> </w:t>
      </w:r>
      <w:r w:rsidRPr="00686D5A">
        <w:rPr>
          <w:lang w:val="fr-FR"/>
        </w:rPr>
        <w:t>V et du document]</w:t>
      </w:r>
    </w:p>
    <w:sectPr w:rsidR="009A7E4C" w:rsidRPr="00686D5A" w:rsidSect="00D7054D">
      <w:headerReference w:type="first" r:id="rId3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0A4" w:rsidRDefault="004E60A4">
      <w:r>
        <w:separator/>
      </w:r>
    </w:p>
  </w:endnote>
  <w:endnote w:type="continuationSeparator" w:id="0">
    <w:p w:rsidR="004E60A4" w:rsidRDefault="004E60A4" w:rsidP="003B38C1">
      <w:r>
        <w:separator/>
      </w:r>
    </w:p>
    <w:p w:rsidR="004E60A4" w:rsidRPr="003B38C1" w:rsidRDefault="004E60A4" w:rsidP="003B38C1">
      <w:pPr>
        <w:spacing w:after="60"/>
        <w:rPr>
          <w:sz w:val="17"/>
        </w:rPr>
      </w:pPr>
      <w:r>
        <w:rPr>
          <w:sz w:val="17"/>
        </w:rPr>
        <w:t>[Endnote continued from previous page]</w:t>
      </w:r>
    </w:p>
  </w:endnote>
  <w:endnote w:type="continuationNotice" w:id="1">
    <w:p w:rsidR="004E60A4" w:rsidRPr="003B38C1" w:rsidRDefault="004E60A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0A4" w:rsidRDefault="004E60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0A4" w:rsidRDefault="004E60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0A4" w:rsidRDefault="004E60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0A4" w:rsidRDefault="004E60A4">
      <w:r>
        <w:separator/>
      </w:r>
    </w:p>
  </w:footnote>
  <w:footnote w:type="continuationSeparator" w:id="0">
    <w:p w:rsidR="004E60A4" w:rsidRDefault="004E60A4" w:rsidP="008B60B2">
      <w:r>
        <w:separator/>
      </w:r>
    </w:p>
    <w:p w:rsidR="004E60A4" w:rsidRPr="00ED77FB" w:rsidRDefault="004E60A4" w:rsidP="008B60B2">
      <w:pPr>
        <w:spacing w:after="60"/>
        <w:rPr>
          <w:sz w:val="17"/>
          <w:szCs w:val="17"/>
        </w:rPr>
      </w:pPr>
      <w:r w:rsidRPr="00ED77FB">
        <w:rPr>
          <w:sz w:val="17"/>
          <w:szCs w:val="17"/>
        </w:rPr>
        <w:t>[Footnote continued from previous page]</w:t>
      </w:r>
    </w:p>
  </w:footnote>
  <w:footnote w:type="continuationNotice" w:id="1">
    <w:p w:rsidR="004E60A4" w:rsidRPr="00ED77FB" w:rsidRDefault="004E60A4" w:rsidP="008B60B2">
      <w:pPr>
        <w:spacing w:before="60"/>
        <w:jc w:val="right"/>
        <w:rPr>
          <w:sz w:val="17"/>
          <w:szCs w:val="17"/>
        </w:rPr>
      </w:pPr>
      <w:r w:rsidRPr="00ED77FB">
        <w:rPr>
          <w:sz w:val="17"/>
          <w:szCs w:val="17"/>
        </w:rPr>
        <w:t>[Footnote continued on next page]</w:t>
      </w:r>
    </w:p>
  </w:footnote>
  <w:footnote w:id="2">
    <w:p w:rsidR="004E60A4" w:rsidRPr="00686D5A" w:rsidRDefault="004E60A4" w:rsidP="00087BAE">
      <w:pPr>
        <w:pStyle w:val="FootnoteText"/>
      </w:pPr>
      <w:r w:rsidRPr="00686D5A">
        <w:rPr>
          <w:rStyle w:val="FootnoteReference"/>
        </w:rPr>
        <w:footnoteRef/>
      </w:r>
      <w:r w:rsidRPr="00686D5A">
        <w:t xml:space="preserve"> </w:t>
      </w:r>
      <w:r w:rsidRPr="00686D5A">
        <w:tab/>
        <w:t>Les valeurs de risque sont obtenues par combinaison des facteurs de probabilité et d’incidences.</w:t>
      </w:r>
      <w:r w:rsidRPr="00686D5A">
        <w:rPr>
          <w:szCs w:val="22"/>
        </w:rPr>
        <w:t xml:space="preserve">  </w:t>
      </w:r>
      <w:r w:rsidRPr="00686D5A">
        <w:rPr>
          <w:rFonts w:eastAsia="Times New Roman" w:cs="Arial"/>
          <w:szCs w:val="18"/>
          <w:lang w:eastAsia="fr-FR"/>
        </w:rPr>
        <w:t>Le</w:t>
      </w:r>
      <w:r w:rsidRPr="00686D5A">
        <w:rPr>
          <w:rFonts w:eastAsia="Times New Roman"/>
          <w:szCs w:val="18"/>
          <w:lang w:eastAsia="fr-FR"/>
        </w:rPr>
        <w:t xml:space="preserve"> </w:t>
      </w:r>
      <w:r w:rsidRPr="00686D5A">
        <w:rPr>
          <w:rFonts w:eastAsia="Times New Roman" w:cs="Arial"/>
          <w:szCs w:val="18"/>
          <w:lang w:eastAsia="fr-FR"/>
        </w:rPr>
        <w:t>modèle d’évaluation des risques a été révisé en 2011, avec</w:t>
      </w:r>
      <w:r w:rsidRPr="00686D5A">
        <w:rPr>
          <w:rFonts w:eastAsia="Times New Roman"/>
          <w:szCs w:val="18"/>
          <w:lang w:eastAsia="fr-FR"/>
        </w:rPr>
        <w:t xml:space="preserve"> </w:t>
      </w:r>
      <w:r w:rsidRPr="00686D5A">
        <w:rPr>
          <w:rFonts w:eastAsia="Times New Roman" w:cs="Arial"/>
          <w:szCs w:val="18"/>
          <w:lang w:eastAsia="fr-FR"/>
        </w:rPr>
        <w:t>une amélioration des définitions relatives à la probabilité et à l’incidence, ce qui favorise une évaluation plus détaillée des risques à l’OMPI.  La Division a défini</w:t>
      </w:r>
      <w:r w:rsidRPr="00686D5A">
        <w:rPr>
          <w:rFonts w:eastAsia="Times New Roman"/>
          <w:szCs w:val="18"/>
          <w:lang w:eastAsia="fr-FR"/>
        </w:rPr>
        <w:t xml:space="preserve"> </w:t>
      </w:r>
      <w:r w:rsidRPr="00686D5A">
        <w:rPr>
          <w:rFonts w:eastAsia="Times New Roman" w:cs="Arial"/>
          <w:szCs w:val="18"/>
          <w:lang w:eastAsia="fr-FR"/>
        </w:rPr>
        <w:t xml:space="preserve">neuf paramètres pour calculer la probabilité (délai écoulé depuis le dernier rapport d’audit, résultats de l’audit, risque inhérent à la fonction opérationnelle considérée, modifications des processus opérationnels, changements dans la direction, importance financière relative, préoccupations exprimées par la direction ou l’OCIS, historique en matière de fraude, importance de la fonction - essentielle/non essentielle) et deux paramètres pour calculer les incidences (financières et sur le plan </w:t>
      </w:r>
      <w:r w:rsidRPr="00686D5A">
        <w:rPr>
          <w:rFonts w:eastAsia="Times New Roman"/>
          <w:szCs w:val="18"/>
          <w:lang w:eastAsia="fr-FR"/>
        </w:rPr>
        <w:t>de la réputation).</w:t>
      </w:r>
      <w:r w:rsidRPr="00686D5A">
        <w:t xml:space="preserve">  La Division a en outre défini quatre catégories de pondération (risque financier, risques stratégiques, risques opérationnels et risques juridiques) correspondant aux différentes classes de risques.</w:t>
      </w:r>
    </w:p>
  </w:footnote>
  <w:footnote w:id="3">
    <w:p w:rsidR="004E60A4" w:rsidRPr="00686D5A" w:rsidRDefault="004E60A4" w:rsidP="00E365E6">
      <w:pPr>
        <w:pStyle w:val="FootnoteText"/>
      </w:pPr>
      <w:r w:rsidRPr="00686D5A">
        <w:rPr>
          <w:rStyle w:val="FootnoteReference"/>
        </w:rPr>
        <w:footnoteRef/>
      </w:r>
      <w:r w:rsidRPr="00686D5A">
        <w:t xml:space="preserve"> </w:t>
      </w:r>
      <w:r w:rsidRPr="00686D5A">
        <w:tab/>
        <w:t>La liste des rapports figure à l’annexe II.</w:t>
      </w:r>
    </w:p>
  </w:footnote>
  <w:footnote w:id="4">
    <w:p w:rsidR="004E60A4" w:rsidRPr="00686D5A" w:rsidRDefault="004E60A4" w:rsidP="00B31550">
      <w:pPr>
        <w:pStyle w:val="FootnoteText"/>
      </w:pPr>
      <w:r w:rsidRPr="00686D5A">
        <w:rPr>
          <w:rStyle w:val="FootnoteReference"/>
        </w:rPr>
        <w:footnoteRef/>
      </w:r>
      <w:r w:rsidRPr="00686D5A">
        <w:t xml:space="preserve"> </w:t>
      </w:r>
      <w:r w:rsidRPr="00686D5A">
        <w:tab/>
        <w:t>Voir le document WO/PBC/22/9.</w:t>
      </w:r>
    </w:p>
  </w:footnote>
  <w:footnote w:id="5">
    <w:p w:rsidR="004E60A4" w:rsidRPr="00686D5A" w:rsidRDefault="004E60A4" w:rsidP="00E365E6">
      <w:pPr>
        <w:pStyle w:val="FootnoteText"/>
      </w:pPr>
      <w:r w:rsidRPr="00686D5A">
        <w:rPr>
          <w:rStyle w:val="FootnoteReference"/>
        </w:rPr>
        <w:footnoteRef/>
      </w:r>
      <w:r w:rsidRPr="00686D5A">
        <w:t xml:space="preserve"> </w:t>
      </w:r>
      <w:r w:rsidRPr="00686D5A">
        <w:tab/>
        <w:t>Article 4.5 du Règlement financier et règle 104.1 du règlement d’exécution.</w:t>
      </w:r>
    </w:p>
  </w:footnote>
  <w:footnote w:id="6">
    <w:p w:rsidR="004E60A4" w:rsidRPr="00686D5A" w:rsidRDefault="004E60A4" w:rsidP="00CF1BD0">
      <w:pPr>
        <w:pStyle w:val="FootnoteText"/>
      </w:pPr>
      <w:r w:rsidRPr="00686D5A">
        <w:rPr>
          <w:rStyle w:val="FootnoteReference"/>
        </w:rPr>
        <w:footnoteRef/>
      </w:r>
      <w:r w:rsidRPr="00686D5A">
        <w:t xml:space="preserve"> </w:t>
      </w:r>
      <w:r w:rsidRPr="00686D5A">
        <w:tab/>
        <w:t>Dans le cadre du projet de mise en œuvre d’un système, les essais d’acceptation par l’utilisateur représentent généralement l’une des dernières phases du processus de test, au cours de laquelle les tests sont réalisés par les utilisateurs finals du système afin de s’assurer que celui</w:t>
      </w:r>
      <w:r w:rsidRPr="00686D5A">
        <w:noBreakHyphen/>
        <w:t>ci peut effectuer des tâches dans des situations réelles.</w:t>
      </w:r>
    </w:p>
  </w:footnote>
  <w:footnote w:id="7">
    <w:p w:rsidR="004E60A4" w:rsidRPr="00686D5A" w:rsidRDefault="004E60A4" w:rsidP="003F71C0">
      <w:pPr>
        <w:pStyle w:val="FootnoteText"/>
      </w:pPr>
      <w:r w:rsidRPr="00686D5A">
        <w:rPr>
          <w:rStyle w:val="FootnoteReference"/>
        </w:rPr>
        <w:footnoteRef/>
      </w:r>
      <w:r w:rsidRPr="00686D5A">
        <w:t xml:space="preserve"> </w:t>
      </w:r>
      <w:r w:rsidRPr="00686D5A">
        <w:tab/>
        <w:t>Un site Web qui permet à quiconque d’ajouter, de supprimer ou de revoir du contenu en collaboration avec d’autres.</w:t>
      </w:r>
    </w:p>
  </w:footnote>
  <w:footnote w:id="8">
    <w:p w:rsidR="004E60A4" w:rsidRPr="00686D5A" w:rsidRDefault="004E60A4" w:rsidP="00E365E6">
      <w:pPr>
        <w:pStyle w:val="FootnoteText"/>
      </w:pPr>
      <w:r w:rsidRPr="00686D5A">
        <w:rPr>
          <w:rStyle w:val="FootnoteReference"/>
        </w:rPr>
        <w:footnoteRef/>
      </w:r>
      <w:r w:rsidRPr="00686D5A">
        <w:t xml:space="preserve"> </w:t>
      </w:r>
      <w:r w:rsidRPr="00686D5A">
        <w:tab/>
        <w:t>Ordre de service n° 29/2013 sur les “Voyages autorisés et frais connexes” : les manifestations officielles à l’OMPI sont définies comme : “</w:t>
      </w:r>
      <w:proofErr w:type="spellStart"/>
      <w:proofErr w:type="gramStart"/>
      <w:r w:rsidRPr="00686D5A">
        <w:t>compre</w:t>
      </w:r>
      <w:r>
        <w:t>n</w:t>
      </w:r>
      <w:proofErr w:type="spellEnd"/>
      <w:r w:rsidRPr="00686D5A">
        <w:t>[</w:t>
      </w:r>
      <w:proofErr w:type="spellStart"/>
      <w:proofErr w:type="gramEnd"/>
      <w:r w:rsidRPr="00686D5A">
        <w:t>ant</w:t>
      </w:r>
      <w:proofErr w:type="spellEnd"/>
      <w:r w:rsidRPr="00686D5A">
        <w:t>] tous les types de conférences, séminaires, expositions, conventions et assemblées organisés dans le cadre des fonctions, attributions et obligations officielles relevant de l’application du programme de l’OMPI”.</w:t>
      </w:r>
    </w:p>
  </w:footnote>
  <w:footnote w:id="9">
    <w:p w:rsidR="004E60A4" w:rsidRPr="00686D5A" w:rsidRDefault="004E60A4" w:rsidP="00087BAE">
      <w:pPr>
        <w:pStyle w:val="FootnoteText"/>
      </w:pPr>
      <w:r w:rsidRPr="00686D5A">
        <w:rPr>
          <w:rStyle w:val="FootnoteReference"/>
        </w:rPr>
        <w:footnoteRef/>
      </w:r>
      <w:r w:rsidRPr="00686D5A">
        <w:t xml:space="preserve"> </w:t>
      </w:r>
      <w:r w:rsidRPr="00686D5A">
        <w:tab/>
      </w:r>
      <w:r w:rsidRPr="00686D5A">
        <w:rPr>
          <w:szCs w:val="18"/>
        </w:rPr>
        <w:t xml:space="preserve">Le paragraphe 5 de la Charte de la supervision interne de l’OMPI se lit : “(...) </w:t>
      </w:r>
      <w:r w:rsidRPr="00686D5A">
        <w:rPr>
          <w:rFonts w:eastAsia="Times New Roman"/>
          <w:szCs w:val="18"/>
          <w:lang w:eastAsia="fr-FR"/>
        </w:rPr>
        <w:t xml:space="preserve">Les conflits d’intérêts doivent être évités.  </w:t>
      </w:r>
      <w:r w:rsidRPr="00686D5A">
        <w:rPr>
          <w:szCs w:val="18"/>
        </w:rPr>
        <w:t>Les conflits d’intérêts importants sont signalés à l’OCIS qui recommandera les mesures éventuelles à prendre pour limiter et réduire les effets indésirables de tout conflit d’intérêts.  (...)”.</w:t>
      </w:r>
    </w:p>
  </w:footnote>
  <w:footnote w:id="10">
    <w:p w:rsidR="004E60A4" w:rsidRPr="00686D5A" w:rsidRDefault="004E60A4" w:rsidP="00E365E6">
      <w:pPr>
        <w:pStyle w:val="FootnoteText"/>
      </w:pPr>
      <w:r w:rsidRPr="00686D5A">
        <w:rPr>
          <w:rStyle w:val="FootnoteReference"/>
        </w:rPr>
        <w:footnoteRef/>
      </w:r>
      <w:r w:rsidRPr="00686D5A">
        <w:t xml:space="preserve"> </w:t>
      </w:r>
      <w:r w:rsidRPr="00686D5A">
        <w:tab/>
        <w:t xml:space="preserve">Les deux affaires se rapportaient à des demandes de remboursement de frais médicaux frauduleuses et à de graves abus du système d’horaire flexible </w:t>
      </w:r>
      <w:proofErr w:type="spellStart"/>
      <w:r w:rsidRPr="00686D5A">
        <w:t>Flexitime</w:t>
      </w:r>
      <w:proofErr w:type="spellEnd"/>
      <w:r w:rsidRPr="00686D5A">
        <w:t>.</w:t>
      </w:r>
    </w:p>
  </w:footnote>
  <w:footnote w:id="11">
    <w:p w:rsidR="004E60A4" w:rsidRPr="00686D5A" w:rsidRDefault="004E60A4" w:rsidP="0040199A">
      <w:pPr>
        <w:pStyle w:val="FootnoteText"/>
      </w:pPr>
      <w:r w:rsidRPr="00686D5A">
        <w:rPr>
          <w:rStyle w:val="FootnoteReference"/>
        </w:rPr>
        <w:footnoteRef/>
      </w:r>
      <w:r w:rsidRPr="00686D5A">
        <w:t xml:space="preserve"> </w:t>
      </w:r>
      <w:r w:rsidRPr="00686D5A">
        <w:tab/>
        <w:t>Paragraphe 23 de la Charte de la supervision interne.</w:t>
      </w:r>
    </w:p>
  </w:footnote>
  <w:footnote w:id="12">
    <w:p w:rsidR="004E60A4" w:rsidRPr="00686D5A" w:rsidRDefault="004E60A4" w:rsidP="0040199A">
      <w:pPr>
        <w:pStyle w:val="FootnoteText"/>
      </w:pPr>
      <w:r w:rsidRPr="00686D5A">
        <w:rPr>
          <w:rStyle w:val="FootnoteReference"/>
        </w:rPr>
        <w:footnoteRef/>
      </w:r>
      <w:r w:rsidRPr="00686D5A">
        <w:t xml:space="preserve"> </w:t>
      </w:r>
      <w:r w:rsidRPr="00686D5A">
        <w:tab/>
        <w:t>Paragraphe 7 de l’ordre de service n° 16/2010.</w:t>
      </w:r>
    </w:p>
  </w:footnote>
  <w:footnote w:id="13">
    <w:p w:rsidR="004E60A4" w:rsidRPr="00686D5A" w:rsidRDefault="004E60A4" w:rsidP="0040199A">
      <w:pPr>
        <w:pStyle w:val="FootnoteText"/>
      </w:pPr>
      <w:r w:rsidRPr="00686D5A">
        <w:rPr>
          <w:rStyle w:val="FootnoteReference"/>
        </w:rPr>
        <w:footnoteRef/>
      </w:r>
      <w:r w:rsidRPr="00686D5A">
        <w:t xml:space="preserve"> </w:t>
      </w:r>
      <w:r w:rsidRPr="00686D5A">
        <w:tab/>
        <w:t>Paragraphe 3 de l’ordre de service n° 16/2010.</w:t>
      </w:r>
    </w:p>
  </w:footnote>
  <w:footnote w:id="14">
    <w:p w:rsidR="004E60A4" w:rsidRPr="00686D5A" w:rsidRDefault="004E60A4" w:rsidP="0040199A">
      <w:pPr>
        <w:pStyle w:val="FootnoteText"/>
      </w:pPr>
      <w:r w:rsidRPr="00686D5A">
        <w:rPr>
          <w:rStyle w:val="FootnoteReference"/>
        </w:rPr>
        <w:footnoteRef/>
      </w:r>
      <w:r w:rsidRPr="00686D5A">
        <w:t xml:space="preserve"> </w:t>
      </w:r>
      <w:r w:rsidRPr="00686D5A">
        <w:tab/>
        <w:t>Voir le document WO/GA/41/9.</w:t>
      </w:r>
    </w:p>
  </w:footnote>
  <w:footnote w:id="15">
    <w:p w:rsidR="004E60A4" w:rsidRPr="00686D5A" w:rsidRDefault="004E60A4" w:rsidP="008414E9">
      <w:pPr>
        <w:pStyle w:val="FootnoteText"/>
      </w:pPr>
      <w:r w:rsidRPr="00686D5A">
        <w:rPr>
          <w:rStyle w:val="FootnoteReference"/>
        </w:rPr>
        <w:footnoteRef/>
      </w:r>
      <w:r w:rsidRPr="00686D5A">
        <w:t xml:space="preserve"> </w:t>
      </w:r>
      <w:r w:rsidRPr="00686D5A">
        <w:tab/>
        <w:t xml:space="preserve">Programme 1 “Droit des brevets”, programme 4 “Savoirs traditionnels, expressions culturelles traditionnelles et ressources génétiques”, programme 5 “Système du PCT”, programme 6 “Systèmes de Madrid et de Lisbonne”, programme 8 “Coordination du Plan d’action pour le développement”, programme 9 “Afrique, </w:t>
      </w:r>
      <w:r w:rsidRPr="00686D5A">
        <w:rPr>
          <w:rFonts w:cs="Arial"/>
        </w:rPr>
        <w:t>pays</w:t>
      </w:r>
      <w:r w:rsidRPr="00686D5A">
        <w:t xml:space="preserve"> arabes, Asie et Pacifique, pays d’Amérique latine et des Caraïbes, pays les moins avancés”, programme 11 “Académie de l’OMPI”, programme 14 “Services d’accès à l’information et aux savoirs”, programme 19 “Communications”, programme 20 “Relations extérieures, partenariats et bureaux extérieurs”, programme 21 “Direction générale”, programme 22 “Gestion des programmes et des ressources”, programme 23 “Gestion et mise en valeur des ressources humaines”, programme 24 “Services d’appui généraux”, programme 25 “Technologies de l’information et de la communication”, programme 26 “Supervision interne”, programme 27 “Services de conférence et services linguistiques”, programme 28 “Sûreté et sécurité”, programme 29 “Projets de construction”, programme 31 “Système de La Haye”.</w:t>
      </w:r>
    </w:p>
  </w:footnote>
  <w:footnote w:id="16">
    <w:p w:rsidR="004E60A4" w:rsidRPr="00686D5A" w:rsidRDefault="004E60A4" w:rsidP="008414E9">
      <w:pPr>
        <w:pStyle w:val="FootnoteText"/>
      </w:pPr>
      <w:r w:rsidRPr="00686D5A">
        <w:rPr>
          <w:rStyle w:val="FootnoteReference"/>
        </w:rPr>
        <w:footnoteRef/>
      </w:r>
      <w:r w:rsidRPr="00686D5A">
        <w:t xml:space="preserve"> </w:t>
      </w:r>
      <w:r w:rsidRPr="00686D5A">
        <w:tab/>
        <w:t>Les rapports et plans d’action de la direction peuvent être consultés sur le site Web public de l’OMPI, sur la page de la Division de l’audit et de la supervision internes.</w:t>
      </w:r>
    </w:p>
  </w:footnote>
  <w:footnote w:id="17">
    <w:p w:rsidR="004E60A4" w:rsidRPr="00686D5A" w:rsidRDefault="004E60A4" w:rsidP="00054947">
      <w:pPr>
        <w:pStyle w:val="FootnoteText"/>
      </w:pPr>
      <w:r w:rsidRPr="00686D5A">
        <w:rPr>
          <w:rStyle w:val="FootnoteReference"/>
        </w:rPr>
        <w:footnoteRef/>
      </w:r>
      <w:r w:rsidRPr="00686D5A">
        <w:t xml:space="preserve"> </w:t>
      </w:r>
      <w:r w:rsidRPr="00686D5A">
        <w:tab/>
        <w:t xml:space="preserve">Voir les documents WO/IAOC/30/2, WO/IAOC/31/2, WO/IAOC/32/2 et WO/IAOC/33/2. </w:t>
      </w:r>
    </w:p>
  </w:footnote>
  <w:footnote w:id="18">
    <w:p w:rsidR="004E60A4" w:rsidRPr="00686D5A" w:rsidRDefault="004E60A4" w:rsidP="007931CB">
      <w:pPr>
        <w:pStyle w:val="FootnoteText"/>
        <w:rPr>
          <w:szCs w:val="18"/>
        </w:rPr>
      </w:pPr>
      <w:r w:rsidRPr="00686D5A">
        <w:rPr>
          <w:rStyle w:val="FootnoteReference"/>
          <w:szCs w:val="18"/>
        </w:rPr>
        <w:footnoteRef/>
      </w:r>
      <w:r w:rsidRPr="00686D5A">
        <w:rPr>
          <w:szCs w:val="18"/>
        </w:rPr>
        <w:t xml:space="preserve"> </w:t>
      </w:r>
      <w:r w:rsidRPr="00686D5A">
        <w:rPr>
          <w:szCs w:val="18"/>
        </w:rPr>
        <w:tab/>
        <w:t>- JIU/REP/2006/2 sur les Lacunes des mécanismes de contrôle au sein du système des Nations Unies, qui recommande que, pour les organisations disposant de ressources d’un montant total de 250 millions à 800 millions de dollars É.</w:t>
      </w:r>
      <w:r w:rsidRPr="00686D5A">
        <w:rPr>
          <w:szCs w:val="18"/>
        </w:rPr>
        <w:noBreakHyphen/>
        <w:t>U., 0,60 à 0,90% de ces ressources soient consacrées à la supervision interne;</w:t>
      </w:r>
      <w:r w:rsidRPr="00686D5A">
        <w:rPr>
          <w:szCs w:val="18"/>
        </w:rPr>
        <w:br/>
        <w:t>- JIU/REP/2010/5 sur la Fonction d’audit dans le système des Nations Unies, qui recommande 6 à 10 vérificateurs des comptes (sans compter les enquêteurs ou les évaluateurs) pour l’OMPI;  et</w:t>
      </w:r>
      <w:r w:rsidRPr="00686D5A">
        <w:rPr>
          <w:szCs w:val="18"/>
        </w:rPr>
        <w:br/>
        <w:t>- JIU/REP/2011/7 sur la Fonction d’enquête dans le système des Nations Unies.</w:t>
      </w:r>
    </w:p>
  </w:footnote>
  <w:footnote w:id="19">
    <w:p w:rsidR="004E60A4" w:rsidRPr="00686D5A" w:rsidRDefault="004E60A4" w:rsidP="007931CB">
      <w:pPr>
        <w:rPr>
          <w:sz w:val="18"/>
          <w:szCs w:val="18"/>
          <w:lang w:val="fr-FR"/>
        </w:rPr>
      </w:pPr>
      <w:r w:rsidRPr="00686D5A">
        <w:rPr>
          <w:rStyle w:val="FootnoteReference"/>
          <w:sz w:val="18"/>
          <w:szCs w:val="18"/>
          <w:lang w:val="fr-FR"/>
        </w:rPr>
        <w:footnoteRef/>
      </w:r>
      <w:r w:rsidRPr="00686D5A">
        <w:rPr>
          <w:sz w:val="18"/>
          <w:szCs w:val="18"/>
          <w:lang w:val="fr-FR"/>
        </w:rPr>
        <w:t xml:space="preserve"> </w:t>
      </w:r>
      <w:r w:rsidRPr="00686D5A">
        <w:rPr>
          <w:sz w:val="18"/>
          <w:szCs w:val="18"/>
          <w:lang w:val="fr-FR"/>
        </w:rPr>
        <w:tab/>
        <w:t>Source : Rapport sur l’exécution du programme au 31 décembre 2013;  les chiffres sont en milliers de francs suisses.  Les dotations au titre des dépenses de personnel sont allouées annuellement.</w:t>
      </w:r>
    </w:p>
  </w:footnote>
  <w:footnote w:id="20">
    <w:p w:rsidR="004E60A4" w:rsidRPr="00686D5A" w:rsidRDefault="004E60A4" w:rsidP="007931CB">
      <w:pPr>
        <w:pStyle w:val="FootnoteText"/>
        <w:rPr>
          <w:szCs w:val="18"/>
        </w:rPr>
      </w:pPr>
      <w:r w:rsidRPr="00686D5A">
        <w:rPr>
          <w:rStyle w:val="FootnoteReference"/>
          <w:szCs w:val="18"/>
        </w:rPr>
        <w:footnoteRef/>
      </w:r>
      <w:r w:rsidRPr="00686D5A">
        <w:rPr>
          <w:szCs w:val="18"/>
        </w:rPr>
        <w:t xml:space="preserve"> </w:t>
      </w:r>
      <w:r w:rsidRPr="00686D5A">
        <w:rPr>
          <w:szCs w:val="18"/>
        </w:rPr>
        <w:tab/>
        <w:t xml:space="preserve">Un cadre de contrôle interne élaboré par le Comité d’organismes parrains (COSO) de la Commission </w:t>
      </w:r>
      <w:proofErr w:type="spellStart"/>
      <w:r w:rsidRPr="00686D5A">
        <w:rPr>
          <w:szCs w:val="18"/>
        </w:rPr>
        <w:t>Treadway</w:t>
      </w:r>
      <w:proofErr w:type="spellEnd"/>
      <w:r w:rsidRPr="00686D5A">
        <w:rPr>
          <w:szCs w:val="18"/>
        </w:rPr>
        <w:t xml:space="preserve"> : l’American </w:t>
      </w:r>
      <w:proofErr w:type="spellStart"/>
      <w:r w:rsidRPr="00686D5A">
        <w:rPr>
          <w:szCs w:val="18"/>
        </w:rPr>
        <w:t>Accounting</w:t>
      </w:r>
      <w:proofErr w:type="spellEnd"/>
      <w:r w:rsidRPr="00686D5A">
        <w:rPr>
          <w:szCs w:val="18"/>
        </w:rPr>
        <w:t xml:space="preserve"> Association (AAA), l’American Institute of </w:t>
      </w:r>
      <w:proofErr w:type="spellStart"/>
      <w:r w:rsidRPr="00686D5A">
        <w:rPr>
          <w:szCs w:val="18"/>
        </w:rPr>
        <w:t>Certified</w:t>
      </w:r>
      <w:proofErr w:type="spellEnd"/>
      <w:r w:rsidRPr="00686D5A">
        <w:rPr>
          <w:szCs w:val="18"/>
        </w:rPr>
        <w:t xml:space="preserve"> Public </w:t>
      </w:r>
      <w:proofErr w:type="spellStart"/>
      <w:r w:rsidRPr="00686D5A">
        <w:rPr>
          <w:szCs w:val="18"/>
        </w:rPr>
        <w:t>Accountants</w:t>
      </w:r>
      <w:proofErr w:type="spellEnd"/>
      <w:r w:rsidRPr="00686D5A">
        <w:rPr>
          <w:szCs w:val="18"/>
        </w:rPr>
        <w:t xml:space="preserve"> (AICPA), Financial </w:t>
      </w:r>
      <w:proofErr w:type="spellStart"/>
      <w:r w:rsidRPr="00686D5A">
        <w:rPr>
          <w:szCs w:val="18"/>
        </w:rPr>
        <w:t>Executives</w:t>
      </w:r>
      <w:proofErr w:type="spellEnd"/>
      <w:r w:rsidRPr="00686D5A">
        <w:rPr>
          <w:szCs w:val="18"/>
        </w:rPr>
        <w:t xml:space="preserve"> International (FEI), l’Institut des auditeurs internes et la National Association of </w:t>
      </w:r>
      <w:proofErr w:type="spellStart"/>
      <w:r w:rsidRPr="00686D5A">
        <w:rPr>
          <w:szCs w:val="18"/>
        </w:rPr>
        <w:t>Accountants</w:t>
      </w:r>
      <w:proofErr w:type="spellEnd"/>
      <w:r w:rsidRPr="00686D5A">
        <w:rPr>
          <w:szCs w:val="18"/>
        </w:rPr>
        <w:t xml:space="preserve"> (aujourd’hui l’Institute of Management </w:t>
      </w:r>
      <w:proofErr w:type="spellStart"/>
      <w:r w:rsidRPr="00686D5A">
        <w:rPr>
          <w:szCs w:val="18"/>
        </w:rPr>
        <w:t>Accountants</w:t>
      </w:r>
      <w:proofErr w:type="spellEnd"/>
      <w:r w:rsidRPr="00686D5A">
        <w:rPr>
          <w:szCs w:val="18"/>
        </w:rPr>
        <w:t xml:space="preserve"> [IMA]).</w:t>
      </w:r>
    </w:p>
  </w:footnote>
  <w:footnote w:id="21">
    <w:p w:rsidR="004E60A4" w:rsidRPr="00686D5A" w:rsidRDefault="004E60A4">
      <w:pPr>
        <w:pStyle w:val="FootnoteText"/>
      </w:pPr>
      <w:r w:rsidRPr="00686D5A">
        <w:rPr>
          <w:rStyle w:val="FootnoteReference"/>
        </w:rPr>
        <w:footnoteRef/>
      </w:r>
      <w:r w:rsidRPr="00686D5A">
        <w:t xml:space="preserve"> </w:t>
      </w:r>
      <w:r w:rsidRPr="00686D5A">
        <w:tab/>
      </w:r>
      <w:r w:rsidRPr="00686D5A">
        <w:rPr>
          <w:rFonts w:eastAsia="Times New Roman"/>
          <w:szCs w:val="18"/>
          <w:lang w:eastAsia="en-US"/>
        </w:rPr>
        <w:t>Évaluation</w:t>
      </w:r>
      <w:r w:rsidRPr="00686D5A">
        <w:t xml:space="preserve"> réalisée par des consultants externes, la Division faisant l’objet de cette analyse externe.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0A4" w:rsidRDefault="004E60A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0A4" w:rsidRPr="00F87303" w:rsidRDefault="004E60A4" w:rsidP="004B6701">
    <w:pPr>
      <w:jc w:val="right"/>
    </w:pPr>
    <w:r w:rsidRPr="006300A9">
      <w:t>WO/PBC/22/</w:t>
    </w:r>
    <w:r w:rsidRPr="001329B3">
      <w:t>4</w:t>
    </w:r>
  </w:p>
  <w:p w:rsidR="004E60A4" w:rsidRDefault="004E60A4" w:rsidP="004B6701">
    <w:pPr>
      <w:pStyle w:val="Header"/>
      <w:jc w:val="right"/>
    </w:pPr>
    <w:r>
      <w:t>ANNEXE III</w:t>
    </w:r>
  </w:p>
  <w:p w:rsidR="004E60A4" w:rsidRDefault="004E60A4" w:rsidP="004B6701">
    <w:pPr>
      <w:pStyle w:val="Heade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0A4" w:rsidRDefault="004E60A4">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0A4" w:rsidRPr="008137B0" w:rsidRDefault="004E60A4" w:rsidP="001E2D32">
    <w:pPr>
      <w:jc w:val="right"/>
      <w:rPr>
        <w:lang w:val="fr-FR"/>
      </w:rPr>
    </w:pPr>
    <w:r w:rsidRPr="008137B0">
      <w:rPr>
        <w:bCs/>
        <w:lang w:val="fr-FR"/>
      </w:rPr>
      <w:t>WO/</w:t>
    </w:r>
    <w:r>
      <w:rPr>
        <w:bCs/>
        <w:lang w:val="fr-FR"/>
      </w:rPr>
      <w:t>PBC</w:t>
    </w:r>
    <w:r w:rsidRPr="008137B0">
      <w:rPr>
        <w:bCs/>
        <w:lang w:val="fr-FR"/>
      </w:rPr>
      <w:t>/</w:t>
    </w:r>
    <w:r>
      <w:rPr>
        <w:bCs/>
        <w:lang w:val="fr-FR"/>
      </w:rPr>
      <w:t>22</w:t>
    </w:r>
    <w:r>
      <w:rPr>
        <w:lang w:val="fr-FR"/>
      </w:rPr>
      <w:t>/</w:t>
    </w:r>
    <w:r w:rsidRPr="004B61C1">
      <w:rPr>
        <w:lang w:val="fr-FR"/>
      </w:rPr>
      <w:t>4</w:t>
    </w:r>
  </w:p>
  <w:p w:rsidR="004E60A4" w:rsidRPr="00103811" w:rsidRDefault="004E60A4" w:rsidP="001E2D32">
    <w:pPr>
      <w:jc w:val="right"/>
      <w:rPr>
        <w:lang w:val="fr-FR"/>
      </w:rPr>
    </w:pPr>
    <w:r>
      <w:rPr>
        <w:lang w:val="fr-FR"/>
      </w:rPr>
      <w:t xml:space="preserve">Annexe IV, page </w:t>
    </w:r>
    <w:r w:rsidRPr="00702D27">
      <w:rPr>
        <w:lang w:val="fr-FR"/>
      </w:rPr>
      <w:fldChar w:fldCharType="begin"/>
    </w:r>
    <w:r w:rsidRPr="00702D27">
      <w:rPr>
        <w:lang w:val="fr-FR"/>
      </w:rPr>
      <w:instrText>PAGE   \* MERGEFORMAT</w:instrText>
    </w:r>
    <w:r w:rsidRPr="00702D27">
      <w:rPr>
        <w:lang w:val="fr-FR"/>
      </w:rPr>
      <w:fldChar w:fldCharType="separate"/>
    </w:r>
    <w:r w:rsidR="00D74313">
      <w:rPr>
        <w:noProof/>
        <w:lang w:val="fr-FR"/>
      </w:rPr>
      <w:t>2</w:t>
    </w:r>
    <w:r w:rsidRPr="00702D27">
      <w:rPr>
        <w:lang w:val="fr-FR"/>
      </w:rPr>
      <w:fldChar w:fldCharType="end"/>
    </w:r>
  </w:p>
  <w:p w:rsidR="004E60A4" w:rsidRPr="00103811" w:rsidRDefault="004E60A4" w:rsidP="00702D27">
    <w:pPr>
      <w:pStyle w:val="Heade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0A4" w:rsidRPr="00524915" w:rsidRDefault="004E60A4" w:rsidP="001E2D32">
    <w:pPr>
      <w:jc w:val="right"/>
      <w:rPr>
        <w:lang w:val="fr-FR"/>
      </w:rPr>
    </w:pPr>
    <w:r w:rsidRPr="00524915">
      <w:rPr>
        <w:lang w:val="fr-FR"/>
      </w:rPr>
      <w:t>WO/PBC/22/</w:t>
    </w:r>
    <w:r w:rsidRPr="009A618D">
      <w:rPr>
        <w:lang w:val="fr-FR"/>
      </w:rPr>
      <w:t>4</w:t>
    </w:r>
  </w:p>
  <w:p w:rsidR="004E60A4" w:rsidRDefault="004E60A4" w:rsidP="001E2D32">
    <w:pPr>
      <w:pStyle w:val="Header"/>
      <w:jc w:val="right"/>
    </w:pPr>
    <w:r w:rsidRPr="00524915">
      <w:t>ANNEX</w:t>
    </w:r>
    <w:r>
      <w:t>E I</w:t>
    </w:r>
    <w:r w:rsidRPr="00524915">
      <w:t>V</w:t>
    </w:r>
  </w:p>
  <w:p w:rsidR="004E60A4" w:rsidRPr="00524915" w:rsidRDefault="004E60A4" w:rsidP="001E2D32">
    <w:pPr>
      <w:pStyle w:val="Heade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0A4" w:rsidRPr="00524915" w:rsidRDefault="004E60A4" w:rsidP="001E2D32">
    <w:pPr>
      <w:jc w:val="right"/>
      <w:rPr>
        <w:lang w:val="fr-FR"/>
      </w:rPr>
    </w:pPr>
    <w:r w:rsidRPr="00524915">
      <w:rPr>
        <w:lang w:val="fr-FR"/>
      </w:rPr>
      <w:t>WO/PBC/22/</w:t>
    </w:r>
    <w:r w:rsidRPr="009A618D">
      <w:rPr>
        <w:lang w:val="fr-FR"/>
      </w:rPr>
      <w:t>4</w:t>
    </w:r>
  </w:p>
  <w:p w:rsidR="004E60A4" w:rsidRPr="00524915" w:rsidRDefault="004E60A4" w:rsidP="001E2D32">
    <w:pPr>
      <w:pStyle w:val="Header"/>
      <w:jc w:val="right"/>
    </w:pPr>
    <w:r w:rsidRPr="00524915">
      <w:t>ANNEX</w:t>
    </w:r>
    <w:r>
      <w:t>E </w:t>
    </w:r>
    <w:r w:rsidRPr="00524915">
      <w:t>V</w:t>
    </w:r>
  </w:p>
  <w:p w:rsidR="004E60A4" w:rsidRPr="00524915" w:rsidRDefault="004E60A4" w:rsidP="00702D2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0A4" w:rsidRDefault="004E60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0A4" w:rsidRDefault="004E60A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0A4" w:rsidRPr="00F87303" w:rsidRDefault="004E60A4" w:rsidP="00490CDD">
    <w:pPr>
      <w:jc w:val="right"/>
    </w:pPr>
    <w:r w:rsidRPr="006300A9">
      <w:t>WO/PBC/22/</w:t>
    </w:r>
    <w:r w:rsidRPr="001329B3">
      <w:t>4</w:t>
    </w:r>
  </w:p>
  <w:p w:rsidR="004E60A4" w:rsidRDefault="004E60A4" w:rsidP="00490CDD">
    <w:pPr>
      <w:pStyle w:val="Header"/>
      <w:jc w:val="right"/>
    </w:pPr>
    <w:proofErr w:type="gramStart"/>
    <w:r>
      <w:t>page</w:t>
    </w:r>
    <w:proofErr w:type="gramEnd"/>
    <w:r>
      <w:t xml:space="preserve"> </w:t>
    </w:r>
    <w:r>
      <w:fldChar w:fldCharType="begin"/>
    </w:r>
    <w:r>
      <w:instrText>PAGE   \* MERGEFORMAT</w:instrText>
    </w:r>
    <w:r>
      <w:fldChar w:fldCharType="separate"/>
    </w:r>
    <w:r w:rsidR="00D74313">
      <w:rPr>
        <w:noProof/>
      </w:rPr>
      <w:t>2</w:t>
    </w:r>
    <w:r>
      <w:fldChar w:fldCharType="end"/>
    </w:r>
  </w:p>
  <w:p w:rsidR="004E60A4" w:rsidRDefault="004E60A4" w:rsidP="00490CDD">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0A4" w:rsidRPr="00F87303" w:rsidRDefault="004E60A4" w:rsidP="004B6701">
    <w:pPr>
      <w:jc w:val="right"/>
    </w:pPr>
    <w:r w:rsidRPr="006300A9">
      <w:t>WO/PBC/22/</w:t>
    </w:r>
    <w:r w:rsidRPr="001329B3">
      <w:t>4</w:t>
    </w:r>
  </w:p>
  <w:p w:rsidR="004E60A4" w:rsidRDefault="004E60A4" w:rsidP="007931CB">
    <w:pPr>
      <w:pStyle w:val="Header"/>
      <w:jc w:val="right"/>
    </w:pPr>
    <w:proofErr w:type="gramStart"/>
    <w:r>
      <w:t>page</w:t>
    </w:r>
    <w:proofErr w:type="gramEnd"/>
    <w:r>
      <w:t xml:space="preserve"> </w:t>
    </w:r>
    <w:r>
      <w:fldChar w:fldCharType="begin"/>
    </w:r>
    <w:r>
      <w:instrText>PAGE   \* MERGEFORMAT</w:instrText>
    </w:r>
    <w:r>
      <w:fldChar w:fldCharType="separate"/>
    </w:r>
    <w:r w:rsidR="00D74313">
      <w:rPr>
        <w:noProof/>
      </w:rPr>
      <w:t>5</w:t>
    </w:r>
    <w:r>
      <w:fldChar w:fldCharType="end"/>
    </w:r>
  </w:p>
  <w:p w:rsidR="004E60A4" w:rsidRDefault="004E60A4" w:rsidP="007931CB">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0A4" w:rsidRPr="00F87303" w:rsidRDefault="004E60A4" w:rsidP="00E365E6">
    <w:pPr>
      <w:jc w:val="right"/>
    </w:pPr>
    <w:r w:rsidRPr="006300A9">
      <w:t>WO/PBC/22/</w:t>
    </w:r>
    <w:r w:rsidRPr="001329B3">
      <w:t>4</w:t>
    </w:r>
  </w:p>
  <w:p w:rsidR="004E60A4" w:rsidRDefault="004E60A4" w:rsidP="001B5644">
    <w:pPr>
      <w:pStyle w:val="Header"/>
      <w:jc w:val="right"/>
      <w:rPr>
        <w:noProof/>
      </w:rPr>
    </w:pPr>
    <w:proofErr w:type="gramStart"/>
    <w:r>
      <w:t>page</w:t>
    </w:r>
    <w:proofErr w:type="gramEnd"/>
    <w:r>
      <w:t xml:space="preserve"> </w:t>
    </w:r>
    <w:r>
      <w:fldChar w:fldCharType="begin"/>
    </w:r>
    <w:r>
      <w:instrText xml:space="preserve"> PAGE   \* MERGEFORMAT </w:instrText>
    </w:r>
    <w:r>
      <w:fldChar w:fldCharType="separate"/>
    </w:r>
    <w:r w:rsidR="00D74313">
      <w:rPr>
        <w:noProof/>
      </w:rPr>
      <w:t>22</w:t>
    </w:r>
    <w:r>
      <w:rPr>
        <w:noProof/>
      </w:rPr>
      <w:fldChar w:fldCharType="end"/>
    </w:r>
  </w:p>
  <w:p w:rsidR="004E60A4" w:rsidRPr="00E365E6" w:rsidRDefault="004E60A4" w:rsidP="001B5644">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0A4" w:rsidRPr="00030490" w:rsidRDefault="004E60A4" w:rsidP="001E2D32">
    <w:pPr>
      <w:jc w:val="right"/>
    </w:pPr>
    <w:r w:rsidRPr="00030490">
      <w:t>WO/PBC/22/4</w:t>
    </w:r>
  </w:p>
  <w:p w:rsidR="004E60A4" w:rsidRPr="00030490" w:rsidRDefault="004E60A4" w:rsidP="001E2D32">
    <w:pPr>
      <w:jc w:val="right"/>
    </w:pPr>
    <w:proofErr w:type="spellStart"/>
    <w:r w:rsidRPr="00030490">
      <w:t>A</w:t>
    </w:r>
    <w:r>
      <w:t>nnexe</w:t>
    </w:r>
    <w:proofErr w:type="spellEnd"/>
    <w:r>
      <w:t xml:space="preserve"> I, page </w:t>
    </w:r>
    <w:r>
      <w:fldChar w:fldCharType="begin"/>
    </w:r>
    <w:r>
      <w:instrText>PAGE   \* MERGEFORMAT</w:instrText>
    </w:r>
    <w:r>
      <w:fldChar w:fldCharType="separate"/>
    </w:r>
    <w:r w:rsidR="00D74313">
      <w:rPr>
        <w:noProof/>
      </w:rPr>
      <w:t>3</w:t>
    </w:r>
    <w:r>
      <w:fldChar w:fldCharType="end"/>
    </w:r>
  </w:p>
  <w:p w:rsidR="004E60A4" w:rsidRPr="00664A28" w:rsidRDefault="004E60A4" w:rsidP="00702D27">
    <w:pPr>
      <w:pStyle w:val="Header"/>
      <w:jc w:val="right"/>
      <w:rPr>
        <w:lang w:val="en-U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0A4" w:rsidRPr="00F87303" w:rsidRDefault="004E60A4" w:rsidP="004B6701">
    <w:pPr>
      <w:jc w:val="right"/>
    </w:pPr>
    <w:r w:rsidRPr="006300A9">
      <w:t>WO/PBC/22/</w:t>
    </w:r>
    <w:r w:rsidRPr="001329B3">
      <w:t>4</w:t>
    </w:r>
  </w:p>
  <w:p w:rsidR="004E60A4" w:rsidRDefault="004E60A4" w:rsidP="004B6701">
    <w:pPr>
      <w:pStyle w:val="Header"/>
      <w:jc w:val="right"/>
    </w:pPr>
    <w:r>
      <w:t>ANNEXE I</w:t>
    </w:r>
  </w:p>
  <w:p w:rsidR="004E60A4" w:rsidRDefault="004E60A4" w:rsidP="004B6701">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0A4" w:rsidRPr="00524915" w:rsidRDefault="004E60A4" w:rsidP="001E2D32">
    <w:pPr>
      <w:jc w:val="right"/>
      <w:rPr>
        <w:lang w:val="fr-FR"/>
      </w:rPr>
    </w:pPr>
    <w:r w:rsidRPr="00F654B9">
      <w:rPr>
        <w:lang w:val="fr-FR"/>
      </w:rPr>
      <w:t>WO/</w:t>
    </w:r>
    <w:r>
      <w:rPr>
        <w:lang w:val="fr-FR"/>
      </w:rPr>
      <w:t>PBC</w:t>
    </w:r>
    <w:r w:rsidRPr="00F654B9">
      <w:rPr>
        <w:lang w:val="fr-FR"/>
      </w:rPr>
      <w:t>/</w:t>
    </w:r>
    <w:r>
      <w:rPr>
        <w:lang w:val="fr-FR"/>
      </w:rPr>
      <w:t>22/</w:t>
    </w:r>
    <w:r w:rsidRPr="009A618D">
      <w:rPr>
        <w:lang w:val="fr-FR"/>
      </w:rPr>
      <w:t>4</w:t>
    </w:r>
  </w:p>
  <w:p w:rsidR="004E60A4" w:rsidRPr="00524915" w:rsidRDefault="004E60A4" w:rsidP="001E2D32">
    <w:pPr>
      <w:jc w:val="right"/>
      <w:rPr>
        <w:lang w:val="fr-FR"/>
      </w:rPr>
    </w:pPr>
    <w:r w:rsidRPr="00524915">
      <w:rPr>
        <w:lang w:val="fr-FR"/>
      </w:rPr>
      <w:t>ANNEX</w:t>
    </w:r>
    <w:r>
      <w:rPr>
        <w:lang w:val="fr-FR"/>
      </w:rPr>
      <w:t>E </w:t>
    </w:r>
    <w:r w:rsidRPr="00524915">
      <w:rPr>
        <w:lang w:val="fr-FR"/>
      </w:rPr>
      <w:t>II</w:t>
    </w:r>
  </w:p>
  <w:p w:rsidR="004E60A4" w:rsidRPr="00524915" w:rsidRDefault="004E60A4" w:rsidP="00702D2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pStyle w:val="ONUME"/>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26513287"/>
    <w:multiLevelType w:val="multilevel"/>
    <w:tmpl w:val="27844612"/>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ascii="Arial" w:hAnsi="Arial"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5">
    <w:nsid w:val="362B4718"/>
    <w:multiLevelType w:val="multilevel"/>
    <w:tmpl w:val="27844612"/>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ascii="Arial" w:hAnsi="Arial"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6">
    <w:nsid w:val="3B196DCA"/>
    <w:multiLevelType w:val="hybridMultilevel"/>
    <w:tmpl w:val="44A610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CE07B82"/>
    <w:multiLevelType w:val="multilevel"/>
    <w:tmpl w:val="27844612"/>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ascii="Arial" w:hAnsi="Arial"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0">
    <w:nsid w:val="62064D36"/>
    <w:multiLevelType w:val="multilevel"/>
    <w:tmpl w:val="86D078D8"/>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ascii="Arial" w:hAnsi="Arial"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1">
    <w:nsid w:val="64A4309A"/>
    <w:multiLevelType w:val="hybridMultilevel"/>
    <w:tmpl w:val="DEB8BFC0"/>
    <w:lvl w:ilvl="0" w:tplc="23027F74">
      <w:start w:val="2"/>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7DB0FF2"/>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3">
    <w:nsid w:val="77640CCF"/>
    <w:multiLevelType w:val="multilevel"/>
    <w:tmpl w:val="65341604"/>
    <w:lvl w:ilvl="0">
      <w:start w:val="1"/>
      <w:numFmt w:val="decimal"/>
      <w:lvlRestart w:val="0"/>
      <w:lvlText w:val="%1."/>
      <w:lvlJc w:val="left"/>
      <w:pPr>
        <w:tabs>
          <w:tab w:val="num" w:pos="567"/>
        </w:tabs>
      </w:pPr>
      <w:rPr>
        <w:rFonts w:cs="Times New Roman" w:hint="default"/>
        <w:b/>
        <w:i w:val="0"/>
      </w:rPr>
    </w:lvl>
    <w:lvl w:ilvl="1">
      <w:start w:val="1"/>
      <w:numFmt w:val="upperLetter"/>
      <w:lvlText w:val="%2."/>
      <w:lvlJc w:val="left"/>
      <w:pPr>
        <w:tabs>
          <w:tab w:val="num" w:pos="1134"/>
        </w:tabs>
        <w:ind w:left="567"/>
      </w:pPr>
      <w:rPr>
        <w:rFonts w:cs="Times New Roman" w:hint="default"/>
        <w:caps w:val="0"/>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4">
    <w:nsid w:val="7A765F81"/>
    <w:multiLevelType w:val="multilevel"/>
    <w:tmpl w:val="86D078D8"/>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ascii="Arial" w:hAnsi="Arial"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2"/>
  </w:num>
  <w:num w:numId="28">
    <w:abstractNumId w:val="7"/>
  </w:num>
  <w:num w:numId="29">
    <w:abstractNumId w:val="0"/>
  </w:num>
  <w:num w:numId="30">
    <w:abstractNumId w:val="8"/>
  </w:num>
  <w:num w:numId="31">
    <w:abstractNumId w:val="1"/>
  </w:num>
  <w:num w:numId="32">
    <w:abstractNumId w:val="3"/>
  </w:num>
  <w:num w:numId="33">
    <w:abstractNumId w:val="12"/>
  </w:num>
  <w:num w:numId="34">
    <w:abstractNumId w:val="13"/>
  </w:num>
  <w:num w:numId="35">
    <w:abstractNumId w:val="10"/>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6"/>
  </w:num>
  <w:num w:numId="39">
    <w:abstractNumId w:val="1"/>
  </w:num>
  <w:num w:numId="40">
    <w:abstractNumId w:val="1"/>
  </w:num>
  <w:num w:numId="41">
    <w:abstractNumId w:val="5"/>
  </w:num>
  <w:num w:numId="42">
    <w:abstractNumId w:val="4"/>
  </w:num>
  <w:num w:numId="43">
    <w:abstractNumId w:val="9"/>
  </w:num>
  <w:num w:numId="44">
    <w:abstractNumId w:val="14"/>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Empty"/>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PCT|WorkspaceFTS\EN-FR\PLT|WorkspaceFTS\EN-FR\SCCR|WorkspaceFTS\EN-FR\SCP|WorkspaceFTS\EN-FR\SCT|WorkspaceFTS\EN-FR\UPOV|WorkspaceFTS\EN-FR\WO_CC|WorkspaceFTS\EN-FR\WO_GA|WorkspaceFTS\EN-FR\WO_PBC|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
    <w:docVar w:name="TextBaseURL" w:val="empty"/>
    <w:docVar w:name="UILng" w:val="en"/>
  </w:docVars>
  <w:rsids>
    <w:rsidRoot w:val="004B6701"/>
    <w:rsid w:val="000003AE"/>
    <w:rsid w:val="0000424B"/>
    <w:rsid w:val="00010AF8"/>
    <w:rsid w:val="000137F6"/>
    <w:rsid w:val="000140B9"/>
    <w:rsid w:val="00014DBF"/>
    <w:rsid w:val="0002511C"/>
    <w:rsid w:val="00030490"/>
    <w:rsid w:val="00040DB8"/>
    <w:rsid w:val="00043CAA"/>
    <w:rsid w:val="00052412"/>
    <w:rsid w:val="00053FBA"/>
    <w:rsid w:val="00054947"/>
    <w:rsid w:val="0006000B"/>
    <w:rsid w:val="000662A5"/>
    <w:rsid w:val="00075432"/>
    <w:rsid w:val="00077C65"/>
    <w:rsid w:val="000818B8"/>
    <w:rsid w:val="00083B6A"/>
    <w:rsid w:val="0008793C"/>
    <w:rsid w:val="00087BAE"/>
    <w:rsid w:val="00092441"/>
    <w:rsid w:val="000943F1"/>
    <w:rsid w:val="0009671F"/>
    <w:rsid w:val="000968ED"/>
    <w:rsid w:val="000A4C1C"/>
    <w:rsid w:val="000B0BF1"/>
    <w:rsid w:val="000D47A4"/>
    <w:rsid w:val="000E463D"/>
    <w:rsid w:val="000E7C9A"/>
    <w:rsid w:val="000F132E"/>
    <w:rsid w:val="000F2C5F"/>
    <w:rsid w:val="000F5E56"/>
    <w:rsid w:val="000F6074"/>
    <w:rsid w:val="00103811"/>
    <w:rsid w:val="00112827"/>
    <w:rsid w:val="001249A7"/>
    <w:rsid w:val="001329B3"/>
    <w:rsid w:val="001362EE"/>
    <w:rsid w:val="00140A13"/>
    <w:rsid w:val="001536F3"/>
    <w:rsid w:val="00164E41"/>
    <w:rsid w:val="00170D49"/>
    <w:rsid w:val="00175C8E"/>
    <w:rsid w:val="001762BC"/>
    <w:rsid w:val="001773F3"/>
    <w:rsid w:val="001832A6"/>
    <w:rsid w:val="001834C0"/>
    <w:rsid w:val="00185C42"/>
    <w:rsid w:val="001A6829"/>
    <w:rsid w:val="001A7FEE"/>
    <w:rsid w:val="001B5644"/>
    <w:rsid w:val="001C3C72"/>
    <w:rsid w:val="001E045B"/>
    <w:rsid w:val="001E2D32"/>
    <w:rsid w:val="001E429A"/>
    <w:rsid w:val="001F4E1C"/>
    <w:rsid w:val="001F4EED"/>
    <w:rsid w:val="0020240D"/>
    <w:rsid w:val="00204C9D"/>
    <w:rsid w:val="00207532"/>
    <w:rsid w:val="0021761A"/>
    <w:rsid w:val="00240678"/>
    <w:rsid w:val="0026077A"/>
    <w:rsid w:val="0026102F"/>
    <w:rsid w:val="00263055"/>
    <w:rsid w:val="002634C4"/>
    <w:rsid w:val="00283187"/>
    <w:rsid w:val="002903EE"/>
    <w:rsid w:val="002918FE"/>
    <w:rsid w:val="002928D3"/>
    <w:rsid w:val="00295E4E"/>
    <w:rsid w:val="002C1F13"/>
    <w:rsid w:val="002C48A2"/>
    <w:rsid w:val="002C52C2"/>
    <w:rsid w:val="002C6407"/>
    <w:rsid w:val="002E193B"/>
    <w:rsid w:val="002F1FE6"/>
    <w:rsid w:val="002F4E68"/>
    <w:rsid w:val="00312F7F"/>
    <w:rsid w:val="003228B7"/>
    <w:rsid w:val="00323706"/>
    <w:rsid w:val="00334CC3"/>
    <w:rsid w:val="0034127E"/>
    <w:rsid w:val="00343CC1"/>
    <w:rsid w:val="00345BC9"/>
    <w:rsid w:val="003673CF"/>
    <w:rsid w:val="003835FD"/>
    <w:rsid w:val="003845C1"/>
    <w:rsid w:val="00385C2A"/>
    <w:rsid w:val="00390583"/>
    <w:rsid w:val="003A6F89"/>
    <w:rsid w:val="003B38C1"/>
    <w:rsid w:val="003B3A4D"/>
    <w:rsid w:val="003B75C2"/>
    <w:rsid w:val="003B7767"/>
    <w:rsid w:val="003F0DA3"/>
    <w:rsid w:val="003F2B38"/>
    <w:rsid w:val="003F71C0"/>
    <w:rsid w:val="00400515"/>
    <w:rsid w:val="00400FE4"/>
    <w:rsid w:val="0040199A"/>
    <w:rsid w:val="00410A17"/>
    <w:rsid w:val="00413B67"/>
    <w:rsid w:val="00423E3E"/>
    <w:rsid w:val="00427AF4"/>
    <w:rsid w:val="00431B4C"/>
    <w:rsid w:val="004325EC"/>
    <w:rsid w:val="00434AE2"/>
    <w:rsid w:val="0043790C"/>
    <w:rsid w:val="004400E2"/>
    <w:rsid w:val="004643B2"/>
    <w:rsid w:val="00464784"/>
    <w:rsid w:val="004647DA"/>
    <w:rsid w:val="00474062"/>
    <w:rsid w:val="0047562F"/>
    <w:rsid w:val="00477D6B"/>
    <w:rsid w:val="00490CDD"/>
    <w:rsid w:val="00491A25"/>
    <w:rsid w:val="004A1C21"/>
    <w:rsid w:val="004A4314"/>
    <w:rsid w:val="004A473B"/>
    <w:rsid w:val="004B1812"/>
    <w:rsid w:val="004B61C1"/>
    <w:rsid w:val="004B6701"/>
    <w:rsid w:val="004B69F5"/>
    <w:rsid w:val="004C32BB"/>
    <w:rsid w:val="004D6EE2"/>
    <w:rsid w:val="004E146D"/>
    <w:rsid w:val="004E1D67"/>
    <w:rsid w:val="004E483D"/>
    <w:rsid w:val="004E50C8"/>
    <w:rsid w:val="004E60A4"/>
    <w:rsid w:val="004F481A"/>
    <w:rsid w:val="00516ECD"/>
    <w:rsid w:val="00524915"/>
    <w:rsid w:val="00526D46"/>
    <w:rsid w:val="0053057A"/>
    <w:rsid w:val="0053173B"/>
    <w:rsid w:val="00532444"/>
    <w:rsid w:val="00536CD3"/>
    <w:rsid w:val="005455F1"/>
    <w:rsid w:val="005477AE"/>
    <w:rsid w:val="00552D77"/>
    <w:rsid w:val="00552D80"/>
    <w:rsid w:val="00560A29"/>
    <w:rsid w:val="00577E8C"/>
    <w:rsid w:val="00594E60"/>
    <w:rsid w:val="005A1427"/>
    <w:rsid w:val="005B52AD"/>
    <w:rsid w:val="005C0958"/>
    <w:rsid w:val="005C29E6"/>
    <w:rsid w:val="005D7F4E"/>
    <w:rsid w:val="005E0EEF"/>
    <w:rsid w:val="005E35C2"/>
    <w:rsid w:val="005E4426"/>
    <w:rsid w:val="00600CD2"/>
    <w:rsid w:val="00605827"/>
    <w:rsid w:val="006300A9"/>
    <w:rsid w:val="006312F6"/>
    <w:rsid w:val="00640720"/>
    <w:rsid w:val="00646050"/>
    <w:rsid w:val="00652C1B"/>
    <w:rsid w:val="006532B9"/>
    <w:rsid w:val="0065455B"/>
    <w:rsid w:val="00664A28"/>
    <w:rsid w:val="006713CA"/>
    <w:rsid w:val="00671CFA"/>
    <w:rsid w:val="006720F2"/>
    <w:rsid w:val="00673AE3"/>
    <w:rsid w:val="00676C5C"/>
    <w:rsid w:val="00681897"/>
    <w:rsid w:val="00682CAF"/>
    <w:rsid w:val="00686ACD"/>
    <w:rsid w:val="00686D5A"/>
    <w:rsid w:val="00696C2E"/>
    <w:rsid w:val="006A0087"/>
    <w:rsid w:val="006A0D3F"/>
    <w:rsid w:val="006A49D4"/>
    <w:rsid w:val="006A4E28"/>
    <w:rsid w:val="006B29AF"/>
    <w:rsid w:val="006B6CC4"/>
    <w:rsid w:val="006B6DFD"/>
    <w:rsid w:val="006D1ADA"/>
    <w:rsid w:val="006D37B8"/>
    <w:rsid w:val="006E7669"/>
    <w:rsid w:val="006F71A4"/>
    <w:rsid w:val="00702D27"/>
    <w:rsid w:val="007058FB"/>
    <w:rsid w:val="00735135"/>
    <w:rsid w:val="00743BF4"/>
    <w:rsid w:val="00746969"/>
    <w:rsid w:val="007477AA"/>
    <w:rsid w:val="00753A47"/>
    <w:rsid w:val="00760A27"/>
    <w:rsid w:val="0076728A"/>
    <w:rsid w:val="00777051"/>
    <w:rsid w:val="0077798B"/>
    <w:rsid w:val="00784B4E"/>
    <w:rsid w:val="00785E5F"/>
    <w:rsid w:val="007872E4"/>
    <w:rsid w:val="007931CB"/>
    <w:rsid w:val="00793AFD"/>
    <w:rsid w:val="007A2DAE"/>
    <w:rsid w:val="007A6879"/>
    <w:rsid w:val="007B38D4"/>
    <w:rsid w:val="007B6A42"/>
    <w:rsid w:val="007B6A58"/>
    <w:rsid w:val="007C00C9"/>
    <w:rsid w:val="007C30B5"/>
    <w:rsid w:val="007D1613"/>
    <w:rsid w:val="007D7353"/>
    <w:rsid w:val="008005C2"/>
    <w:rsid w:val="00804BC4"/>
    <w:rsid w:val="008137B0"/>
    <w:rsid w:val="0082294A"/>
    <w:rsid w:val="00840A87"/>
    <w:rsid w:val="008414E9"/>
    <w:rsid w:val="0084166A"/>
    <w:rsid w:val="00846A49"/>
    <w:rsid w:val="00853E95"/>
    <w:rsid w:val="00861192"/>
    <w:rsid w:val="008708F7"/>
    <w:rsid w:val="008714E5"/>
    <w:rsid w:val="00871CAE"/>
    <w:rsid w:val="00873C22"/>
    <w:rsid w:val="00891D16"/>
    <w:rsid w:val="008A6161"/>
    <w:rsid w:val="008B0B87"/>
    <w:rsid w:val="008B2CC1"/>
    <w:rsid w:val="008B60B2"/>
    <w:rsid w:val="008C603B"/>
    <w:rsid w:val="008D0285"/>
    <w:rsid w:val="008F33D3"/>
    <w:rsid w:val="008F3B49"/>
    <w:rsid w:val="008F760E"/>
    <w:rsid w:val="0090731E"/>
    <w:rsid w:val="00911C1F"/>
    <w:rsid w:val="009145C8"/>
    <w:rsid w:val="00914669"/>
    <w:rsid w:val="009147BC"/>
    <w:rsid w:val="00916EE2"/>
    <w:rsid w:val="00920602"/>
    <w:rsid w:val="00921A9D"/>
    <w:rsid w:val="00922844"/>
    <w:rsid w:val="00924BE2"/>
    <w:rsid w:val="00924E1D"/>
    <w:rsid w:val="00934421"/>
    <w:rsid w:val="00935C1C"/>
    <w:rsid w:val="00946C7E"/>
    <w:rsid w:val="00966276"/>
    <w:rsid w:val="00966A22"/>
    <w:rsid w:val="0096722F"/>
    <w:rsid w:val="00972C20"/>
    <w:rsid w:val="0097626F"/>
    <w:rsid w:val="00977D8E"/>
    <w:rsid w:val="00980843"/>
    <w:rsid w:val="0098736C"/>
    <w:rsid w:val="00992157"/>
    <w:rsid w:val="009A618D"/>
    <w:rsid w:val="009A6992"/>
    <w:rsid w:val="009A7E4C"/>
    <w:rsid w:val="009B2921"/>
    <w:rsid w:val="009E2791"/>
    <w:rsid w:val="009E3F6F"/>
    <w:rsid w:val="009E6847"/>
    <w:rsid w:val="009E6DB8"/>
    <w:rsid w:val="009F1F06"/>
    <w:rsid w:val="009F499F"/>
    <w:rsid w:val="009F5530"/>
    <w:rsid w:val="00A02402"/>
    <w:rsid w:val="00A024CE"/>
    <w:rsid w:val="00A10659"/>
    <w:rsid w:val="00A24116"/>
    <w:rsid w:val="00A2657B"/>
    <w:rsid w:val="00A42DAF"/>
    <w:rsid w:val="00A45BD8"/>
    <w:rsid w:val="00A554A1"/>
    <w:rsid w:val="00A6588C"/>
    <w:rsid w:val="00A75E8D"/>
    <w:rsid w:val="00A77BA6"/>
    <w:rsid w:val="00A803C5"/>
    <w:rsid w:val="00A85B8E"/>
    <w:rsid w:val="00AA321B"/>
    <w:rsid w:val="00AB065F"/>
    <w:rsid w:val="00AB0727"/>
    <w:rsid w:val="00AB12A1"/>
    <w:rsid w:val="00AB3376"/>
    <w:rsid w:val="00AB551E"/>
    <w:rsid w:val="00AC205C"/>
    <w:rsid w:val="00AC50FB"/>
    <w:rsid w:val="00AC5DBE"/>
    <w:rsid w:val="00AE49E8"/>
    <w:rsid w:val="00AE7BE4"/>
    <w:rsid w:val="00B05A69"/>
    <w:rsid w:val="00B216DA"/>
    <w:rsid w:val="00B277A4"/>
    <w:rsid w:val="00B31550"/>
    <w:rsid w:val="00B32C39"/>
    <w:rsid w:val="00B373EA"/>
    <w:rsid w:val="00B4545B"/>
    <w:rsid w:val="00B532CB"/>
    <w:rsid w:val="00B53621"/>
    <w:rsid w:val="00B56438"/>
    <w:rsid w:val="00B57872"/>
    <w:rsid w:val="00B66F63"/>
    <w:rsid w:val="00B73BDC"/>
    <w:rsid w:val="00B74E9E"/>
    <w:rsid w:val="00B859AA"/>
    <w:rsid w:val="00B9133D"/>
    <w:rsid w:val="00B93272"/>
    <w:rsid w:val="00B95ADC"/>
    <w:rsid w:val="00B97112"/>
    <w:rsid w:val="00B9734B"/>
    <w:rsid w:val="00BA601E"/>
    <w:rsid w:val="00BA60CE"/>
    <w:rsid w:val="00BA707A"/>
    <w:rsid w:val="00BB22C4"/>
    <w:rsid w:val="00BB6A59"/>
    <w:rsid w:val="00BD1221"/>
    <w:rsid w:val="00BE4D05"/>
    <w:rsid w:val="00BF45B9"/>
    <w:rsid w:val="00BF78D8"/>
    <w:rsid w:val="00BF7AF9"/>
    <w:rsid w:val="00C11BFE"/>
    <w:rsid w:val="00C14F2B"/>
    <w:rsid w:val="00C520A8"/>
    <w:rsid w:val="00C53A19"/>
    <w:rsid w:val="00C66380"/>
    <w:rsid w:val="00C71859"/>
    <w:rsid w:val="00C85009"/>
    <w:rsid w:val="00C86837"/>
    <w:rsid w:val="00C94629"/>
    <w:rsid w:val="00CA7460"/>
    <w:rsid w:val="00CC3F2D"/>
    <w:rsid w:val="00CD19B5"/>
    <w:rsid w:val="00CE0AF5"/>
    <w:rsid w:val="00CE2815"/>
    <w:rsid w:val="00CF1BD0"/>
    <w:rsid w:val="00CF286F"/>
    <w:rsid w:val="00D04656"/>
    <w:rsid w:val="00D12296"/>
    <w:rsid w:val="00D124F2"/>
    <w:rsid w:val="00D27EB5"/>
    <w:rsid w:val="00D34903"/>
    <w:rsid w:val="00D41428"/>
    <w:rsid w:val="00D43E05"/>
    <w:rsid w:val="00D45252"/>
    <w:rsid w:val="00D461DD"/>
    <w:rsid w:val="00D475BA"/>
    <w:rsid w:val="00D516E7"/>
    <w:rsid w:val="00D565F4"/>
    <w:rsid w:val="00D7054D"/>
    <w:rsid w:val="00D71B4D"/>
    <w:rsid w:val="00D74313"/>
    <w:rsid w:val="00D82F4C"/>
    <w:rsid w:val="00D830F1"/>
    <w:rsid w:val="00D8524D"/>
    <w:rsid w:val="00D91789"/>
    <w:rsid w:val="00D92185"/>
    <w:rsid w:val="00D93D55"/>
    <w:rsid w:val="00DA5CE1"/>
    <w:rsid w:val="00DA7AE7"/>
    <w:rsid w:val="00DB31E3"/>
    <w:rsid w:val="00DC135F"/>
    <w:rsid w:val="00DD7067"/>
    <w:rsid w:val="00DE72B7"/>
    <w:rsid w:val="00DF7BA6"/>
    <w:rsid w:val="00E03902"/>
    <w:rsid w:val="00E11857"/>
    <w:rsid w:val="00E1531D"/>
    <w:rsid w:val="00E218C9"/>
    <w:rsid w:val="00E335FE"/>
    <w:rsid w:val="00E365E6"/>
    <w:rsid w:val="00E412BD"/>
    <w:rsid w:val="00E43438"/>
    <w:rsid w:val="00E452B9"/>
    <w:rsid w:val="00E5021F"/>
    <w:rsid w:val="00E56158"/>
    <w:rsid w:val="00E57636"/>
    <w:rsid w:val="00E5785D"/>
    <w:rsid w:val="00E810FF"/>
    <w:rsid w:val="00E8771E"/>
    <w:rsid w:val="00E87FE0"/>
    <w:rsid w:val="00E90725"/>
    <w:rsid w:val="00E90793"/>
    <w:rsid w:val="00E935FC"/>
    <w:rsid w:val="00EA3FB7"/>
    <w:rsid w:val="00EA6575"/>
    <w:rsid w:val="00EB5C28"/>
    <w:rsid w:val="00EC22F0"/>
    <w:rsid w:val="00EC4872"/>
    <w:rsid w:val="00EC4E49"/>
    <w:rsid w:val="00ED0155"/>
    <w:rsid w:val="00ED2A09"/>
    <w:rsid w:val="00ED60EB"/>
    <w:rsid w:val="00ED77FB"/>
    <w:rsid w:val="00EE08AC"/>
    <w:rsid w:val="00EE7BCE"/>
    <w:rsid w:val="00EF2B9D"/>
    <w:rsid w:val="00EF62BB"/>
    <w:rsid w:val="00F021A6"/>
    <w:rsid w:val="00F05DF3"/>
    <w:rsid w:val="00F24930"/>
    <w:rsid w:val="00F52EE6"/>
    <w:rsid w:val="00F55B65"/>
    <w:rsid w:val="00F5792E"/>
    <w:rsid w:val="00F654B9"/>
    <w:rsid w:val="00F66152"/>
    <w:rsid w:val="00F706D1"/>
    <w:rsid w:val="00F76C51"/>
    <w:rsid w:val="00F87303"/>
    <w:rsid w:val="00F911DC"/>
    <w:rsid w:val="00F979A4"/>
    <w:rsid w:val="00FA2E3C"/>
    <w:rsid w:val="00FB238F"/>
    <w:rsid w:val="00FB7CD2"/>
    <w:rsid w:val="00FE1E93"/>
    <w:rsid w:val="00FF43F4"/>
    <w:rsid w:val="00FF59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semiHidden="0" w:unhideWhenUsed="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Cs w:val="20"/>
      <w:lang w:val="en-US" w:eastAsia="zh-CN"/>
    </w:rPr>
  </w:style>
  <w:style w:type="paragraph" w:styleId="Heading1">
    <w:name w:val="heading 1"/>
    <w:basedOn w:val="Normal"/>
    <w:next w:val="Normal"/>
    <w:link w:val="Heading1Char"/>
    <w:uiPriority w:val="99"/>
    <w:qFormat/>
    <w:rsid w:val="00D8524D"/>
    <w:pPr>
      <w:keepNext/>
      <w:spacing w:before="360" w:after="360"/>
      <w:outlineLvl w:val="0"/>
    </w:pPr>
    <w:rPr>
      <w:b/>
      <w:bCs/>
      <w:caps/>
      <w:kern w:val="32"/>
      <w:szCs w:val="32"/>
    </w:rPr>
  </w:style>
  <w:style w:type="paragraph" w:styleId="Heading2">
    <w:name w:val="heading 2"/>
    <w:basedOn w:val="Normal"/>
    <w:next w:val="Normal"/>
    <w:link w:val="Heading2Char"/>
    <w:uiPriority w:val="99"/>
    <w:qFormat/>
    <w:rsid w:val="00B66F63"/>
    <w:pPr>
      <w:keepNext/>
      <w:spacing w:before="240" w:after="240"/>
      <w:outlineLvl w:val="1"/>
    </w:pPr>
    <w:rPr>
      <w:rFonts w:cs="Times New Roman"/>
      <w:bCs/>
      <w:iCs/>
      <w:caps/>
      <w:szCs w:val="28"/>
      <w:lang w:val="fr-FR"/>
    </w:rPr>
  </w:style>
  <w:style w:type="paragraph" w:styleId="Heading3">
    <w:name w:val="heading 3"/>
    <w:basedOn w:val="Normal"/>
    <w:next w:val="Normal"/>
    <w:link w:val="Heading3Char"/>
    <w:uiPriority w:val="9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B31E3"/>
    <w:rPr>
      <w:rFonts w:ascii="Cambria" w:hAnsi="Cambria" w:cs="Times New Roman"/>
      <w:b/>
      <w:bCs/>
      <w:kern w:val="32"/>
      <w:sz w:val="32"/>
      <w:szCs w:val="32"/>
      <w:lang w:val="en-US" w:eastAsia="zh-CN"/>
    </w:rPr>
  </w:style>
  <w:style w:type="character" w:customStyle="1" w:styleId="Heading2Char">
    <w:name w:val="Heading 2 Char"/>
    <w:basedOn w:val="DefaultParagraphFont"/>
    <w:link w:val="Heading2"/>
    <w:uiPriority w:val="99"/>
    <w:locked/>
    <w:rsid w:val="00B66F63"/>
    <w:rPr>
      <w:rFonts w:ascii="Arial" w:eastAsia="SimSun" w:hAnsi="Arial" w:cs="Times New Roman"/>
      <w:caps/>
      <w:sz w:val="28"/>
      <w:lang w:eastAsia="zh-CN"/>
    </w:rPr>
  </w:style>
  <w:style w:type="character" w:customStyle="1" w:styleId="Heading3Char">
    <w:name w:val="Heading 3 Char"/>
    <w:basedOn w:val="DefaultParagraphFont"/>
    <w:link w:val="Heading3"/>
    <w:uiPriority w:val="99"/>
    <w:semiHidden/>
    <w:locked/>
    <w:rsid w:val="00DB31E3"/>
    <w:rPr>
      <w:rFonts w:ascii="Cambria" w:hAnsi="Cambria" w:cs="Times New Roman"/>
      <w:b/>
      <w:bCs/>
      <w:sz w:val="26"/>
      <w:szCs w:val="26"/>
      <w:lang w:val="en-US" w:eastAsia="zh-CN"/>
    </w:rPr>
  </w:style>
  <w:style w:type="character" w:customStyle="1" w:styleId="Heading4Char">
    <w:name w:val="Heading 4 Char"/>
    <w:basedOn w:val="DefaultParagraphFont"/>
    <w:link w:val="Heading4"/>
    <w:uiPriority w:val="99"/>
    <w:semiHidden/>
    <w:locked/>
    <w:rsid w:val="00DB31E3"/>
    <w:rPr>
      <w:rFonts w:ascii="Calibri" w:hAnsi="Calibri" w:cs="Times New Roman"/>
      <w:b/>
      <w:bCs/>
      <w:sz w:val="28"/>
      <w:szCs w:val="28"/>
      <w:lang w:val="en-US"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semiHidden/>
    <w:locked/>
    <w:rsid w:val="00DB31E3"/>
    <w:rPr>
      <w:rFonts w:ascii="Arial" w:eastAsia="SimSun" w:hAnsi="Arial" w:cs="Arial"/>
      <w:sz w:val="20"/>
      <w:szCs w:val="20"/>
      <w:lang w:val="en-US" w:eastAsia="zh-CN"/>
    </w:rPr>
  </w:style>
  <w:style w:type="paragraph" w:styleId="BalloonText">
    <w:name w:val="Balloon Text"/>
    <w:basedOn w:val="Normal"/>
    <w:link w:val="BalloonTextChar"/>
    <w:uiPriority w:val="99"/>
    <w:rsid w:val="008414E9"/>
    <w:rPr>
      <w:rFonts w:ascii="Tahoma" w:hAnsi="Tahoma" w:cs="Tahoma"/>
      <w:sz w:val="16"/>
      <w:szCs w:val="16"/>
    </w:rPr>
  </w:style>
  <w:style w:type="character" w:customStyle="1" w:styleId="BalloonTextChar">
    <w:name w:val="Balloon Text Char"/>
    <w:basedOn w:val="DefaultParagraphFont"/>
    <w:link w:val="BalloonText"/>
    <w:uiPriority w:val="99"/>
    <w:locked/>
    <w:rsid w:val="008414E9"/>
    <w:rPr>
      <w:rFonts w:ascii="Tahoma" w:eastAsia="SimSun" w:hAnsi="Tahoma" w:cs="Tahoma"/>
      <w:sz w:val="16"/>
      <w:szCs w:val="16"/>
      <w:lang w:eastAsia="zh-CN"/>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locked/>
    <w:rsid w:val="00DB31E3"/>
    <w:rPr>
      <w:rFonts w:ascii="Arial" w:eastAsia="SimSun" w:hAnsi="Arial" w:cs="Arial"/>
      <w:sz w:val="20"/>
      <w:szCs w:val="20"/>
      <w:lang w:val="en-US"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basedOn w:val="DefaultParagraphFont"/>
    <w:link w:val="EndnoteText"/>
    <w:uiPriority w:val="99"/>
    <w:semiHidden/>
    <w:locked/>
    <w:rsid w:val="00DB31E3"/>
    <w:rPr>
      <w:rFonts w:ascii="Arial" w:eastAsia="SimSun" w:hAnsi="Arial" w:cs="Arial"/>
      <w:sz w:val="20"/>
      <w:szCs w:val="20"/>
      <w:lang w:val="en-US" w:eastAsia="zh-CN"/>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basedOn w:val="DefaultParagraphFont"/>
    <w:link w:val="Footer"/>
    <w:uiPriority w:val="99"/>
    <w:semiHidden/>
    <w:locked/>
    <w:rsid w:val="00DB31E3"/>
    <w:rPr>
      <w:rFonts w:ascii="Arial" w:eastAsia="SimSun" w:hAnsi="Arial" w:cs="Arial"/>
      <w:sz w:val="20"/>
      <w:szCs w:val="20"/>
      <w:lang w:val="en-US" w:eastAsia="zh-CN"/>
    </w:rPr>
  </w:style>
  <w:style w:type="paragraph" w:styleId="FootnoteText">
    <w:name w:val="footnote text"/>
    <w:aliases w:val="Footnote,Char"/>
    <w:basedOn w:val="Normal"/>
    <w:link w:val="FootnoteTextChar"/>
    <w:uiPriority w:val="99"/>
    <w:semiHidden/>
    <w:rsid w:val="00676C5C"/>
    <w:rPr>
      <w:rFonts w:cs="Times New Roman"/>
      <w:sz w:val="18"/>
      <w:lang w:val="fr-FR"/>
    </w:rPr>
  </w:style>
  <w:style w:type="character" w:customStyle="1" w:styleId="FootnoteTextChar">
    <w:name w:val="Footnote Text Char"/>
    <w:aliases w:val="Footnote Char,Char Char"/>
    <w:basedOn w:val="DefaultParagraphFont"/>
    <w:link w:val="FootnoteText"/>
    <w:uiPriority w:val="99"/>
    <w:semiHidden/>
    <w:locked/>
    <w:rsid w:val="00E365E6"/>
    <w:rPr>
      <w:rFonts w:ascii="Arial" w:eastAsia="SimSun" w:hAnsi="Arial" w:cs="Times New Roman"/>
      <w:sz w:val="18"/>
      <w:lang w:eastAsia="zh-CN"/>
    </w:rPr>
  </w:style>
  <w:style w:type="paragraph" w:styleId="Header">
    <w:name w:val="header"/>
    <w:basedOn w:val="Normal"/>
    <w:link w:val="HeaderChar"/>
    <w:uiPriority w:val="99"/>
    <w:semiHidden/>
    <w:rsid w:val="00676C5C"/>
    <w:pPr>
      <w:tabs>
        <w:tab w:val="center" w:pos="4536"/>
        <w:tab w:val="right" w:pos="9072"/>
      </w:tabs>
    </w:pPr>
    <w:rPr>
      <w:rFonts w:cs="Times New Roman"/>
      <w:lang w:val="fr-FR"/>
    </w:rPr>
  </w:style>
  <w:style w:type="character" w:customStyle="1" w:styleId="HeaderChar">
    <w:name w:val="Header Char"/>
    <w:basedOn w:val="DefaultParagraphFont"/>
    <w:link w:val="Header"/>
    <w:uiPriority w:val="99"/>
    <w:semiHidden/>
    <w:locked/>
    <w:rsid w:val="00E412BD"/>
    <w:rPr>
      <w:rFonts w:ascii="Arial" w:eastAsia="SimSun" w:hAnsi="Arial" w:cs="Times New Roman"/>
      <w:sz w:val="22"/>
      <w:lang w:eastAsia="zh-CN"/>
    </w:rPr>
  </w:style>
  <w:style w:type="paragraph" w:styleId="ListNumber">
    <w:name w:val="List Number"/>
    <w:basedOn w:val="Normal"/>
    <w:uiPriority w:val="99"/>
    <w:semiHidden/>
    <w:rsid w:val="00676C5C"/>
    <w:pPr>
      <w:numPr>
        <w:numId w:val="30"/>
      </w:numPr>
    </w:pPr>
  </w:style>
  <w:style w:type="paragraph" w:customStyle="1" w:styleId="ONUME">
    <w:name w:val="ONUM E"/>
    <w:basedOn w:val="BodyText"/>
    <w:link w:val="ONUMEChar"/>
    <w:uiPriority w:val="99"/>
    <w:rsid w:val="00676C5C"/>
    <w:pPr>
      <w:numPr>
        <w:numId w:val="6"/>
      </w:numPr>
      <w:tabs>
        <w:tab w:val="clear" w:pos="360"/>
        <w:tab w:val="num" w:pos="567"/>
      </w:tabs>
    </w:pPr>
    <w:rPr>
      <w:rFonts w:cs="Times New Roman"/>
      <w:lang w:val="fr-FR"/>
    </w:rPr>
  </w:style>
  <w:style w:type="paragraph" w:customStyle="1" w:styleId="ONUMFS">
    <w:name w:val="ONUM FS"/>
    <w:basedOn w:val="BodyText"/>
    <w:uiPriority w:val="99"/>
    <w:rsid w:val="00676C5C"/>
    <w:pPr>
      <w:numPr>
        <w:numId w:val="32"/>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basedOn w:val="DefaultParagraphFont"/>
    <w:link w:val="Salutation"/>
    <w:uiPriority w:val="99"/>
    <w:semiHidden/>
    <w:locked/>
    <w:rsid w:val="00DB31E3"/>
    <w:rPr>
      <w:rFonts w:ascii="Arial" w:eastAsia="SimSun" w:hAnsi="Arial" w:cs="Arial"/>
      <w:sz w:val="20"/>
      <w:szCs w:val="20"/>
      <w:lang w:val="en-US"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basedOn w:val="DefaultParagraphFont"/>
    <w:link w:val="Signature"/>
    <w:uiPriority w:val="99"/>
    <w:semiHidden/>
    <w:locked/>
    <w:rsid w:val="00DB31E3"/>
    <w:rPr>
      <w:rFonts w:ascii="Arial" w:eastAsia="SimSun" w:hAnsi="Arial" w:cs="Arial"/>
      <w:sz w:val="20"/>
      <w:szCs w:val="20"/>
      <w:lang w:val="en-US" w:eastAsia="zh-CN"/>
    </w:rPr>
  </w:style>
  <w:style w:type="paragraph" w:styleId="TOC1">
    <w:name w:val="toc 1"/>
    <w:basedOn w:val="Normal"/>
    <w:next w:val="Normal"/>
    <w:autoRedefine/>
    <w:uiPriority w:val="39"/>
    <w:rsid w:val="00640720"/>
    <w:pPr>
      <w:tabs>
        <w:tab w:val="left" w:pos="440"/>
        <w:tab w:val="right" w:leader="dot" w:pos="9345"/>
      </w:tabs>
      <w:spacing w:before="240" w:after="240"/>
    </w:pPr>
    <w:rPr>
      <w:caps/>
    </w:rPr>
  </w:style>
  <w:style w:type="character" w:customStyle="1" w:styleId="ONUMEChar">
    <w:name w:val="ONUM E Char"/>
    <w:link w:val="ONUME"/>
    <w:uiPriority w:val="99"/>
    <w:locked/>
    <w:rsid w:val="004B6701"/>
    <w:rPr>
      <w:rFonts w:ascii="Arial" w:eastAsia="SimSun" w:hAnsi="Arial"/>
      <w:sz w:val="22"/>
      <w:lang w:val="fr-FR" w:eastAsia="zh-CN"/>
    </w:rPr>
  </w:style>
  <w:style w:type="character" w:styleId="Hyperlink">
    <w:name w:val="Hyperlink"/>
    <w:basedOn w:val="DefaultParagraphFont"/>
    <w:uiPriority w:val="99"/>
    <w:rsid w:val="004B6701"/>
    <w:rPr>
      <w:rFonts w:cs="Times New Roman"/>
      <w:color w:val="0000FF"/>
      <w:u w:val="single"/>
    </w:rPr>
  </w:style>
  <w:style w:type="table" w:styleId="TableGrid">
    <w:name w:val="Table Grid"/>
    <w:basedOn w:val="TableNormal"/>
    <w:uiPriority w:val="99"/>
    <w:rsid w:val="00CE2815"/>
    <w:pPr>
      <w:spacing w:after="120" w:line="260" w:lineRule="exact"/>
      <w:ind w:left="1021"/>
    </w:pPr>
    <w:rPr>
      <w:sz w:val="20"/>
      <w:szCs w:val="20"/>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rsid w:val="00E365E6"/>
    <w:rPr>
      <w:rFonts w:cs="Times New Roman"/>
      <w:vertAlign w:val="superscript"/>
    </w:rPr>
  </w:style>
  <w:style w:type="paragraph" w:styleId="Caption">
    <w:name w:val="caption"/>
    <w:basedOn w:val="Normal"/>
    <w:next w:val="Normal"/>
    <w:link w:val="CaptionChar"/>
    <w:uiPriority w:val="99"/>
    <w:qFormat/>
    <w:rsid w:val="008414E9"/>
    <w:rPr>
      <w:b/>
      <w:bCs/>
      <w:sz w:val="18"/>
    </w:rPr>
  </w:style>
  <w:style w:type="character" w:customStyle="1" w:styleId="CaptionChar">
    <w:name w:val="Caption Char"/>
    <w:basedOn w:val="DefaultParagraphFont"/>
    <w:link w:val="Caption"/>
    <w:uiPriority w:val="99"/>
    <w:locked/>
    <w:rsid w:val="008414E9"/>
    <w:rPr>
      <w:rFonts w:ascii="Arial" w:eastAsia="SimSun" w:hAnsi="Arial" w:cs="Arial"/>
      <w:b/>
      <w:bCs/>
      <w:sz w:val="18"/>
      <w:lang w:eastAsia="zh-CN"/>
    </w:rPr>
  </w:style>
  <w:style w:type="paragraph" w:styleId="PlainText">
    <w:name w:val="Plain Text"/>
    <w:basedOn w:val="Normal"/>
    <w:link w:val="PlainTextChar"/>
    <w:uiPriority w:val="99"/>
    <w:rsid w:val="00E412BD"/>
    <w:rPr>
      <w:rFonts w:ascii="Courier New" w:hAnsi="Courier New" w:cs="Courier New"/>
      <w:sz w:val="20"/>
    </w:rPr>
  </w:style>
  <w:style w:type="character" w:customStyle="1" w:styleId="PlainTextChar">
    <w:name w:val="Plain Text Char"/>
    <w:basedOn w:val="DefaultParagraphFont"/>
    <w:link w:val="PlainText"/>
    <w:uiPriority w:val="99"/>
    <w:locked/>
    <w:rsid w:val="00E412BD"/>
    <w:rPr>
      <w:rFonts w:ascii="Courier New" w:eastAsia="SimSun" w:hAnsi="Courier New" w:cs="Courier New"/>
      <w:lang w:eastAsia="zh-CN"/>
    </w:rPr>
  </w:style>
  <w:style w:type="paragraph" w:styleId="ListParagraph">
    <w:name w:val="List Paragraph"/>
    <w:basedOn w:val="Normal"/>
    <w:uiPriority w:val="99"/>
    <w:qFormat/>
    <w:rsid w:val="00D8524D"/>
    <w:pPr>
      <w:ind w:left="720"/>
      <w:contextualSpacing/>
    </w:pPr>
  </w:style>
  <w:style w:type="character" w:customStyle="1" w:styleId="highlightselected">
    <w:name w:val="highlight selected"/>
    <w:basedOn w:val="DefaultParagraphFont"/>
    <w:uiPriority w:val="99"/>
    <w:rsid w:val="00077C65"/>
    <w:rPr>
      <w:rFonts w:cs="Times New Roman"/>
    </w:rPr>
  </w:style>
  <w:style w:type="paragraph" w:styleId="TOC2">
    <w:name w:val="toc 2"/>
    <w:basedOn w:val="Normal"/>
    <w:next w:val="Normal"/>
    <w:autoRedefine/>
    <w:uiPriority w:val="39"/>
    <w:locked/>
    <w:rsid w:val="00640720"/>
    <w:pPr>
      <w:spacing w:after="100"/>
      <w:ind w:left="220"/>
    </w:pPr>
  </w:style>
  <w:style w:type="character" w:styleId="CommentReference">
    <w:name w:val="annotation reference"/>
    <w:basedOn w:val="DefaultParagraphFont"/>
    <w:uiPriority w:val="99"/>
    <w:semiHidden/>
    <w:unhideWhenUsed/>
    <w:rsid w:val="00464784"/>
    <w:rPr>
      <w:sz w:val="16"/>
      <w:szCs w:val="16"/>
    </w:rPr>
  </w:style>
  <w:style w:type="paragraph" w:styleId="CommentSubject">
    <w:name w:val="annotation subject"/>
    <w:basedOn w:val="CommentText"/>
    <w:next w:val="CommentText"/>
    <w:link w:val="CommentSubjectChar"/>
    <w:uiPriority w:val="99"/>
    <w:semiHidden/>
    <w:unhideWhenUsed/>
    <w:rsid w:val="00464784"/>
    <w:rPr>
      <w:b/>
      <w:bCs/>
      <w:sz w:val="20"/>
    </w:rPr>
  </w:style>
  <w:style w:type="character" w:customStyle="1" w:styleId="CommentSubjectChar">
    <w:name w:val="Comment Subject Char"/>
    <w:basedOn w:val="CommentTextChar"/>
    <w:link w:val="CommentSubject"/>
    <w:uiPriority w:val="99"/>
    <w:semiHidden/>
    <w:rsid w:val="00464784"/>
    <w:rPr>
      <w:rFonts w:ascii="Arial" w:eastAsia="SimSun" w:hAnsi="Arial" w:cs="Arial"/>
      <w:b/>
      <w:bCs/>
      <w:sz w:val="20"/>
      <w:szCs w:val="20"/>
      <w:lang w:val="en-US" w:eastAsia="zh-CN"/>
    </w:rPr>
  </w:style>
  <w:style w:type="paragraph" w:styleId="Revision">
    <w:name w:val="Revision"/>
    <w:hidden/>
    <w:uiPriority w:val="99"/>
    <w:semiHidden/>
    <w:rsid w:val="00052412"/>
    <w:rPr>
      <w:rFonts w:ascii="Arial" w:eastAsia="SimSun" w:hAnsi="Arial" w:cs="Arial"/>
      <w:szCs w:val="2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semiHidden="0" w:unhideWhenUsed="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Cs w:val="20"/>
      <w:lang w:val="en-US" w:eastAsia="zh-CN"/>
    </w:rPr>
  </w:style>
  <w:style w:type="paragraph" w:styleId="Heading1">
    <w:name w:val="heading 1"/>
    <w:basedOn w:val="Normal"/>
    <w:next w:val="Normal"/>
    <w:link w:val="Heading1Char"/>
    <w:uiPriority w:val="99"/>
    <w:qFormat/>
    <w:rsid w:val="00D8524D"/>
    <w:pPr>
      <w:keepNext/>
      <w:spacing w:before="360" w:after="360"/>
      <w:outlineLvl w:val="0"/>
    </w:pPr>
    <w:rPr>
      <w:b/>
      <w:bCs/>
      <w:caps/>
      <w:kern w:val="32"/>
      <w:szCs w:val="32"/>
    </w:rPr>
  </w:style>
  <w:style w:type="paragraph" w:styleId="Heading2">
    <w:name w:val="heading 2"/>
    <w:basedOn w:val="Normal"/>
    <w:next w:val="Normal"/>
    <w:link w:val="Heading2Char"/>
    <w:uiPriority w:val="99"/>
    <w:qFormat/>
    <w:rsid w:val="00B66F63"/>
    <w:pPr>
      <w:keepNext/>
      <w:spacing w:before="240" w:after="240"/>
      <w:outlineLvl w:val="1"/>
    </w:pPr>
    <w:rPr>
      <w:rFonts w:cs="Times New Roman"/>
      <w:bCs/>
      <w:iCs/>
      <w:caps/>
      <w:szCs w:val="28"/>
      <w:lang w:val="fr-FR"/>
    </w:rPr>
  </w:style>
  <w:style w:type="paragraph" w:styleId="Heading3">
    <w:name w:val="heading 3"/>
    <w:basedOn w:val="Normal"/>
    <w:next w:val="Normal"/>
    <w:link w:val="Heading3Char"/>
    <w:uiPriority w:val="9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B31E3"/>
    <w:rPr>
      <w:rFonts w:ascii="Cambria" w:hAnsi="Cambria" w:cs="Times New Roman"/>
      <w:b/>
      <w:bCs/>
      <w:kern w:val="32"/>
      <w:sz w:val="32"/>
      <w:szCs w:val="32"/>
      <w:lang w:val="en-US" w:eastAsia="zh-CN"/>
    </w:rPr>
  </w:style>
  <w:style w:type="character" w:customStyle="1" w:styleId="Heading2Char">
    <w:name w:val="Heading 2 Char"/>
    <w:basedOn w:val="DefaultParagraphFont"/>
    <w:link w:val="Heading2"/>
    <w:uiPriority w:val="99"/>
    <w:locked/>
    <w:rsid w:val="00B66F63"/>
    <w:rPr>
      <w:rFonts w:ascii="Arial" w:eastAsia="SimSun" w:hAnsi="Arial" w:cs="Times New Roman"/>
      <w:caps/>
      <w:sz w:val="28"/>
      <w:lang w:eastAsia="zh-CN"/>
    </w:rPr>
  </w:style>
  <w:style w:type="character" w:customStyle="1" w:styleId="Heading3Char">
    <w:name w:val="Heading 3 Char"/>
    <w:basedOn w:val="DefaultParagraphFont"/>
    <w:link w:val="Heading3"/>
    <w:uiPriority w:val="99"/>
    <w:semiHidden/>
    <w:locked/>
    <w:rsid w:val="00DB31E3"/>
    <w:rPr>
      <w:rFonts w:ascii="Cambria" w:hAnsi="Cambria" w:cs="Times New Roman"/>
      <w:b/>
      <w:bCs/>
      <w:sz w:val="26"/>
      <w:szCs w:val="26"/>
      <w:lang w:val="en-US" w:eastAsia="zh-CN"/>
    </w:rPr>
  </w:style>
  <w:style w:type="character" w:customStyle="1" w:styleId="Heading4Char">
    <w:name w:val="Heading 4 Char"/>
    <w:basedOn w:val="DefaultParagraphFont"/>
    <w:link w:val="Heading4"/>
    <w:uiPriority w:val="99"/>
    <w:semiHidden/>
    <w:locked/>
    <w:rsid w:val="00DB31E3"/>
    <w:rPr>
      <w:rFonts w:ascii="Calibri" w:hAnsi="Calibri" w:cs="Times New Roman"/>
      <w:b/>
      <w:bCs/>
      <w:sz w:val="28"/>
      <w:szCs w:val="28"/>
      <w:lang w:val="en-US"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semiHidden/>
    <w:locked/>
    <w:rsid w:val="00DB31E3"/>
    <w:rPr>
      <w:rFonts w:ascii="Arial" w:eastAsia="SimSun" w:hAnsi="Arial" w:cs="Arial"/>
      <w:sz w:val="20"/>
      <w:szCs w:val="20"/>
      <w:lang w:val="en-US" w:eastAsia="zh-CN"/>
    </w:rPr>
  </w:style>
  <w:style w:type="paragraph" w:styleId="BalloonText">
    <w:name w:val="Balloon Text"/>
    <w:basedOn w:val="Normal"/>
    <w:link w:val="BalloonTextChar"/>
    <w:uiPriority w:val="99"/>
    <w:rsid w:val="008414E9"/>
    <w:rPr>
      <w:rFonts w:ascii="Tahoma" w:hAnsi="Tahoma" w:cs="Tahoma"/>
      <w:sz w:val="16"/>
      <w:szCs w:val="16"/>
    </w:rPr>
  </w:style>
  <w:style w:type="character" w:customStyle="1" w:styleId="BalloonTextChar">
    <w:name w:val="Balloon Text Char"/>
    <w:basedOn w:val="DefaultParagraphFont"/>
    <w:link w:val="BalloonText"/>
    <w:uiPriority w:val="99"/>
    <w:locked/>
    <w:rsid w:val="008414E9"/>
    <w:rPr>
      <w:rFonts w:ascii="Tahoma" w:eastAsia="SimSun" w:hAnsi="Tahoma" w:cs="Tahoma"/>
      <w:sz w:val="16"/>
      <w:szCs w:val="16"/>
      <w:lang w:eastAsia="zh-CN"/>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locked/>
    <w:rsid w:val="00DB31E3"/>
    <w:rPr>
      <w:rFonts w:ascii="Arial" w:eastAsia="SimSun" w:hAnsi="Arial" w:cs="Arial"/>
      <w:sz w:val="20"/>
      <w:szCs w:val="20"/>
      <w:lang w:val="en-US"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basedOn w:val="DefaultParagraphFont"/>
    <w:link w:val="EndnoteText"/>
    <w:uiPriority w:val="99"/>
    <w:semiHidden/>
    <w:locked/>
    <w:rsid w:val="00DB31E3"/>
    <w:rPr>
      <w:rFonts w:ascii="Arial" w:eastAsia="SimSun" w:hAnsi="Arial" w:cs="Arial"/>
      <w:sz w:val="20"/>
      <w:szCs w:val="20"/>
      <w:lang w:val="en-US" w:eastAsia="zh-CN"/>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basedOn w:val="DefaultParagraphFont"/>
    <w:link w:val="Footer"/>
    <w:uiPriority w:val="99"/>
    <w:semiHidden/>
    <w:locked/>
    <w:rsid w:val="00DB31E3"/>
    <w:rPr>
      <w:rFonts w:ascii="Arial" w:eastAsia="SimSun" w:hAnsi="Arial" w:cs="Arial"/>
      <w:sz w:val="20"/>
      <w:szCs w:val="20"/>
      <w:lang w:val="en-US" w:eastAsia="zh-CN"/>
    </w:rPr>
  </w:style>
  <w:style w:type="paragraph" w:styleId="FootnoteText">
    <w:name w:val="footnote text"/>
    <w:aliases w:val="Footnote,Char"/>
    <w:basedOn w:val="Normal"/>
    <w:link w:val="FootnoteTextChar"/>
    <w:uiPriority w:val="99"/>
    <w:semiHidden/>
    <w:rsid w:val="00676C5C"/>
    <w:rPr>
      <w:rFonts w:cs="Times New Roman"/>
      <w:sz w:val="18"/>
      <w:lang w:val="fr-FR"/>
    </w:rPr>
  </w:style>
  <w:style w:type="character" w:customStyle="1" w:styleId="FootnoteTextChar">
    <w:name w:val="Footnote Text Char"/>
    <w:aliases w:val="Footnote Char,Char Char"/>
    <w:basedOn w:val="DefaultParagraphFont"/>
    <w:link w:val="FootnoteText"/>
    <w:uiPriority w:val="99"/>
    <w:semiHidden/>
    <w:locked/>
    <w:rsid w:val="00E365E6"/>
    <w:rPr>
      <w:rFonts w:ascii="Arial" w:eastAsia="SimSun" w:hAnsi="Arial" w:cs="Times New Roman"/>
      <w:sz w:val="18"/>
      <w:lang w:eastAsia="zh-CN"/>
    </w:rPr>
  </w:style>
  <w:style w:type="paragraph" w:styleId="Header">
    <w:name w:val="header"/>
    <w:basedOn w:val="Normal"/>
    <w:link w:val="HeaderChar"/>
    <w:uiPriority w:val="99"/>
    <w:semiHidden/>
    <w:rsid w:val="00676C5C"/>
    <w:pPr>
      <w:tabs>
        <w:tab w:val="center" w:pos="4536"/>
        <w:tab w:val="right" w:pos="9072"/>
      </w:tabs>
    </w:pPr>
    <w:rPr>
      <w:rFonts w:cs="Times New Roman"/>
      <w:lang w:val="fr-FR"/>
    </w:rPr>
  </w:style>
  <w:style w:type="character" w:customStyle="1" w:styleId="HeaderChar">
    <w:name w:val="Header Char"/>
    <w:basedOn w:val="DefaultParagraphFont"/>
    <w:link w:val="Header"/>
    <w:uiPriority w:val="99"/>
    <w:semiHidden/>
    <w:locked/>
    <w:rsid w:val="00E412BD"/>
    <w:rPr>
      <w:rFonts w:ascii="Arial" w:eastAsia="SimSun" w:hAnsi="Arial" w:cs="Times New Roman"/>
      <w:sz w:val="22"/>
      <w:lang w:eastAsia="zh-CN"/>
    </w:rPr>
  </w:style>
  <w:style w:type="paragraph" w:styleId="ListNumber">
    <w:name w:val="List Number"/>
    <w:basedOn w:val="Normal"/>
    <w:uiPriority w:val="99"/>
    <w:semiHidden/>
    <w:rsid w:val="00676C5C"/>
    <w:pPr>
      <w:numPr>
        <w:numId w:val="30"/>
      </w:numPr>
    </w:pPr>
  </w:style>
  <w:style w:type="paragraph" w:customStyle="1" w:styleId="ONUME">
    <w:name w:val="ONUM E"/>
    <w:basedOn w:val="BodyText"/>
    <w:link w:val="ONUMEChar"/>
    <w:uiPriority w:val="99"/>
    <w:rsid w:val="00676C5C"/>
    <w:pPr>
      <w:numPr>
        <w:numId w:val="6"/>
      </w:numPr>
      <w:tabs>
        <w:tab w:val="clear" w:pos="360"/>
        <w:tab w:val="num" w:pos="567"/>
      </w:tabs>
    </w:pPr>
    <w:rPr>
      <w:rFonts w:cs="Times New Roman"/>
      <w:lang w:val="fr-FR"/>
    </w:rPr>
  </w:style>
  <w:style w:type="paragraph" w:customStyle="1" w:styleId="ONUMFS">
    <w:name w:val="ONUM FS"/>
    <w:basedOn w:val="BodyText"/>
    <w:uiPriority w:val="99"/>
    <w:rsid w:val="00676C5C"/>
    <w:pPr>
      <w:numPr>
        <w:numId w:val="32"/>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basedOn w:val="DefaultParagraphFont"/>
    <w:link w:val="Salutation"/>
    <w:uiPriority w:val="99"/>
    <w:semiHidden/>
    <w:locked/>
    <w:rsid w:val="00DB31E3"/>
    <w:rPr>
      <w:rFonts w:ascii="Arial" w:eastAsia="SimSun" w:hAnsi="Arial" w:cs="Arial"/>
      <w:sz w:val="20"/>
      <w:szCs w:val="20"/>
      <w:lang w:val="en-US"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basedOn w:val="DefaultParagraphFont"/>
    <w:link w:val="Signature"/>
    <w:uiPriority w:val="99"/>
    <w:semiHidden/>
    <w:locked/>
    <w:rsid w:val="00DB31E3"/>
    <w:rPr>
      <w:rFonts w:ascii="Arial" w:eastAsia="SimSun" w:hAnsi="Arial" w:cs="Arial"/>
      <w:sz w:val="20"/>
      <w:szCs w:val="20"/>
      <w:lang w:val="en-US" w:eastAsia="zh-CN"/>
    </w:rPr>
  </w:style>
  <w:style w:type="paragraph" w:styleId="TOC1">
    <w:name w:val="toc 1"/>
    <w:basedOn w:val="Normal"/>
    <w:next w:val="Normal"/>
    <w:autoRedefine/>
    <w:uiPriority w:val="39"/>
    <w:rsid w:val="00640720"/>
    <w:pPr>
      <w:tabs>
        <w:tab w:val="left" w:pos="440"/>
        <w:tab w:val="right" w:leader="dot" w:pos="9345"/>
      </w:tabs>
      <w:spacing w:before="240" w:after="240"/>
    </w:pPr>
    <w:rPr>
      <w:caps/>
    </w:rPr>
  </w:style>
  <w:style w:type="character" w:customStyle="1" w:styleId="ONUMEChar">
    <w:name w:val="ONUM E Char"/>
    <w:link w:val="ONUME"/>
    <w:uiPriority w:val="99"/>
    <w:locked/>
    <w:rsid w:val="004B6701"/>
    <w:rPr>
      <w:rFonts w:ascii="Arial" w:eastAsia="SimSun" w:hAnsi="Arial"/>
      <w:sz w:val="22"/>
      <w:lang w:val="fr-FR" w:eastAsia="zh-CN"/>
    </w:rPr>
  </w:style>
  <w:style w:type="character" w:styleId="Hyperlink">
    <w:name w:val="Hyperlink"/>
    <w:basedOn w:val="DefaultParagraphFont"/>
    <w:uiPriority w:val="99"/>
    <w:rsid w:val="004B6701"/>
    <w:rPr>
      <w:rFonts w:cs="Times New Roman"/>
      <w:color w:val="0000FF"/>
      <w:u w:val="single"/>
    </w:rPr>
  </w:style>
  <w:style w:type="table" w:styleId="TableGrid">
    <w:name w:val="Table Grid"/>
    <w:basedOn w:val="TableNormal"/>
    <w:uiPriority w:val="99"/>
    <w:rsid w:val="00CE2815"/>
    <w:pPr>
      <w:spacing w:after="120" w:line="260" w:lineRule="exact"/>
      <w:ind w:left="1021"/>
    </w:pPr>
    <w:rPr>
      <w:sz w:val="20"/>
      <w:szCs w:val="20"/>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rsid w:val="00E365E6"/>
    <w:rPr>
      <w:rFonts w:cs="Times New Roman"/>
      <w:vertAlign w:val="superscript"/>
    </w:rPr>
  </w:style>
  <w:style w:type="paragraph" w:styleId="Caption">
    <w:name w:val="caption"/>
    <w:basedOn w:val="Normal"/>
    <w:next w:val="Normal"/>
    <w:link w:val="CaptionChar"/>
    <w:uiPriority w:val="99"/>
    <w:qFormat/>
    <w:rsid w:val="008414E9"/>
    <w:rPr>
      <w:b/>
      <w:bCs/>
      <w:sz w:val="18"/>
    </w:rPr>
  </w:style>
  <w:style w:type="character" w:customStyle="1" w:styleId="CaptionChar">
    <w:name w:val="Caption Char"/>
    <w:basedOn w:val="DefaultParagraphFont"/>
    <w:link w:val="Caption"/>
    <w:uiPriority w:val="99"/>
    <w:locked/>
    <w:rsid w:val="008414E9"/>
    <w:rPr>
      <w:rFonts w:ascii="Arial" w:eastAsia="SimSun" w:hAnsi="Arial" w:cs="Arial"/>
      <w:b/>
      <w:bCs/>
      <w:sz w:val="18"/>
      <w:lang w:eastAsia="zh-CN"/>
    </w:rPr>
  </w:style>
  <w:style w:type="paragraph" w:styleId="PlainText">
    <w:name w:val="Plain Text"/>
    <w:basedOn w:val="Normal"/>
    <w:link w:val="PlainTextChar"/>
    <w:uiPriority w:val="99"/>
    <w:rsid w:val="00E412BD"/>
    <w:rPr>
      <w:rFonts w:ascii="Courier New" w:hAnsi="Courier New" w:cs="Courier New"/>
      <w:sz w:val="20"/>
    </w:rPr>
  </w:style>
  <w:style w:type="character" w:customStyle="1" w:styleId="PlainTextChar">
    <w:name w:val="Plain Text Char"/>
    <w:basedOn w:val="DefaultParagraphFont"/>
    <w:link w:val="PlainText"/>
    <w:uiPriority w:val="99"/>
    <w:locked/>
    <w:rsid w:val="00E412BD"/>
    <w:rPr>
      <w:rFonts w:ascii="Courier New" w:eastAsia="SimSun" w:hAnsi="Courier New" w:cs="Courier New"/>
      <w:lang w:eastAsia="zh-CN"/>
    </w:rPr>
  </w:style>
  <w:style w:type="paragraph" w:styleId="ListParagraph">
    <w:name w:val="List Paragraph"/>
    <w:basedOn w:val="Normal"/>
    <w:uiPriority w:val="99"/>
    <w:qFormat/>
    <w:rsid w:val="00D8524D"/>
    <w:pPr>
      <w:ind w:left="720"/>
      <w:contextualSpacing/>
    </w:pPr>
  </w:style>
  <w:style w:type="character" w:customStyle="1" w:styleId="highlightselected">
    <w:name w:val="highlight selected"/>
    <w:basedOn w:val="DefaultParagraphFont"/>
    <w:uiPriority w:val="99"/>
    <w:rsid w:val="00077C65"/>
    <w:rPr>
      <w:rFonts w:cs="Times New Roman"/>
    </w:rPr>
  </w:style>
  <w:style w:type="paragraph" w:styleId="TOC2">
    <w:name w:val="toc 2"/>
    <w:basedOn w:val="Normal"/>
    <w:next w:val="Normal"/>
    <w:autoRedefine/>
    <w:uiPriority w:val="39"/>
    <w:locked/>
    <w:rsid w:val="00640720"/>
    <w:pPr>
      <w:spacing w:after="100"/>
      <w:ind w:left="220"/>
    </w:pPr>
  </w:style>
  <w:style w:type="character" w:styleId="CommentReference">
    <w:name w:val="annotation reference"/>
    <w:basedOn w:val="DefaultParagraphFont"/>
    <w:uiPriority w:val="99"/>
    <w:semiHidden/>
    <w:unhideWhenUsed/>
    <w:rsid w:val="00464784"/>
    <w:rPr>
      <w:sz w:val="16"/>
      <w:szCs w:val="16"/>
    </w:rPr>
  </w:style>
  <w:style w:type="paragraph" w:styleId="CommentSubject">
    <w:name w:val="annotation subject"/>
    <w:basedOn w:val="CommentText"/>
    <w:next w:val="CommentText"/>
    <w:link w:val="CommentSubjectChar"/>
    <w:uiPriority w:val="99"/>
    <w:semiHidden/>
    <w:unhideWhenUsed/>
    <w:rsid w:val="00464784"/>
    <w:rPr>
      <w:b/>
      <w:bCs/>
      <w:sz w:val="20"/>
    </w:rPr>
  </w:style>
  <w:style w:type="character" w:customStyle="1" w:styleId="CommentSubjectChar">
    <w:name w:val="Comment Subject Char"/>
    <w:basedOn w:val="CommentTextChar"/>
    <w:link w:val="CommentSubject"/>
    <w:uiPriority w:val="99"/>
    <w:semiHidden/>
    <w:rsid w:val="00464784"/>
    <w:rPr>
      <w:rFonts w:ascii="Arial" w:eastAsia="SimSun" w:hAnsi="Arial" w:cs="Arial"/>
      <w:b/>
      <w:bCs/>
      <w:sz w:val="20"/>
      <w:szCs w:val="20"/>
      <w:lang w:val="en-US" w:eastAsia="zh-CN"/>
    </w:rPr>
  </w:style>
  <w:style w:type="paragraph" w:styleId="Revision">
    <w:name w:val="Revision"/>
    <w:hidden/>
    <w:uiPriority w:val="99"/>
    <w:semiHidden/>
    <w:rsid w:val="00052412"/>
    <w:rPr>
      <w:rFonts w:ascii="Arial" w:eastAsia="SimSun" w:hAnsi="Arial" w:cs="Arial"/>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991269">
      <w:marLeft w:val="0"/>
      <w:marRight w:val="0"/>
      <w:marTop w:val="0"/>
      <w:marBottom w:val="0"/>
      <w:divBdr>
        <w:top w:val="none" w:sz="0" w:space="0" w:color="auto"/>
        <w:left w:val="none" w:sz="0" w:space="0" w:color="auto"/>
        <w:bottom w:val="none" w:sz="0" w:space="0" w:color="auto"/>
        <w:right w:val="none" w:sz="0" w:space="0" w:color="auto"/>
      </w:divBdr>
      <w:divsChild>
        <w:div w:id="615991253">
          <w:marLeft w:val="0"/>
          <w:marRight w:val="0"/>
          <w:marTop w:val="0"/>
          <w:marBottom w:val="0"/>
          <w:divBdr>
            <w:top w:val="none" w:sz="0" w:space="0" w:color="auto"/>
            <w:left w:val="none" w:sz="0" w:space="0" w:color="auto"/>
            <w:bottom w:val="none" w:sz="0" w:space="0" w:color="auto"/>
            <w:right w:val="none" w:sz="0" w:space="0" w:color="auto"/>
          </w:divBdr>
        </w:div>
        <w:div w:id="615991254">
          <w:marLeft w:val="0"/>
          <w:marRight w:val="0"/>
          <w:marTop w:val="0"/>
          <w:marBottom w:val="0"/>
          <w:divBdr>
            <w:top w:val="none" w:sz="0" w:space="0" w:color="auto"/>
            <w:left w:val="none" w:sz="0" w:space="0" w:color="auto"/>
            <w:bottom w:val="none" w:sz="0" w:space="0" w:color="auto"/>
            <w:right w:val="none" w:sz="0" w:space="0" w:color="auto"/>
          </w:divBdr>
        </w:div>
        <w:div w:id="615991255">
          <w:marLeft w:val="0"/>
          <w:marRight w:val="0"/>
          <w:marTop w:val="0"/>
          <w:marBottom w:val="0"/>
          <w:divBdr>
            <w:top w:val="none" w:sz="0" w:space="0" w:color="auto"/>
            <w:left w:val="none" w:sz="0" w:space="0" w:color="auto"/>
            <w:bottom w:val="none" w:sz="0" w:space="0" w:color="auto"/>
            <w:right w:val="none" w:sz="0" w:space="0" w:color="auto"/>
          </w:divBdr>
        </w:div>
        <w:div w:id="615991257">
          <w:marLeft w:val="0"/>
          <w:marRight w:val="0"/>
          <w:marTop w:val="0"/>
          <w:marBottom w:val="0"/>
          <w:divBdr>
            <w:top w:val="none" w:sz="0" w:space="0" w:color="auto"/>
            <w:left w:val="none" w:sz="0" w:space="0" w:color="auto"/>
            <w:bottom w:val="none" w:sz="0" w:space="0" w:color="auto"/>
            <w:right w:val="none" w:sz="0" w:space="0" w:color="auto"/>
          </w:divBdr>
        </w:div>
        <w:div w:id="615991258">
          <w:marLeft w:val="0"/>
          <w:marRight w:val="0"/>
          <w:marTop w:val="0"/>
          <w:marBottom w:val="0"/>
          <w:divBdr>
            <w:top w:val="none" w:sz="0" w:space="0" w:color="auto"/>
            <w:left w:val="none" w:sz="0" w:space="0" w:color="auto"/>
            <w:bottom w:val="none" w:sz="0" w:space="0" w:color="auto"/>
            <w:right w:val="none" w:sz="0" w:space="0" w:color="auto"/>
          </w:divBdr>
        </w:div>
        <w:div w:id="615991259">
          <w:marLeft w:val="0"/>
          <w:marRight w:val="0"/>
          <w:marTop w:val="0"/>
          <w:marBottom w:val="0"/>
          <w:divBdr>
            <w:top w:val="none" w:sz="0" w:space="0" w:color="auto"/>
            <w:left w:val="none" w:sz="0" w:space="0" w:color="auto"/>
            <w:bottom w:val="none" w:sz="0" w:space="0" w:color="auto"/>
            <w:right w:val="none" w:sz="0" w:space="0" w:color="auto"/>
          </w:divBdr>
        </w:div>
        <w:div w:id="615991262">
          <w:marLeft w:val="0"/>
          <w:marRight w:val="0"/>
          <w:marTop w:val="0"/>
          <w:marBottom w:val="0"/>
          <w:divBdr>
            <w:top w:val="none" w:sz="0" w:space="0" w:color="auto"/>
            <w:left w:val="none" w:sz="0" w:space="0" w:color="auto"/>
            <w:bottom w:val="none" w:sz="0" w:space="0" w:color="auto"/>
            <w:right w:val="none" w:sz="0" w:space="0" w:color="auto"/>
          </w:divBdr>
        </w:div>
        <w:div w:id="615991263">
          <w:marLeft w:val="0"/>
          <w:marRight w:val="0"/>
          <w:marTop w:val="0"/>
          <w:marBottom w:val="0"/>
          <w:divBdr>
            <w:top w:val="none" w:sz="0" w:space="0" w:color="auto"/>
            <w:left w:val="none" w:sz="0" w:space="0" w:color="auto"/>
            <w:bottom w:val="none" w:sz="0" w:space="0" w:color="auto"/>
            <w:right w:val="none" w:sz="0" w:space="0" w:color="auto"/>
          </w:divBdr>
        </w:div>
        <w:div w:id="615991264">
          <w:marLeft w:val="0"/>
          <w:marRight w:val="0"/>
          <w:marTop w:val="0"/>
          <w:marBottom w:val="0"/>
          <w:divBdr>
            <w:top w:val="none" w:sz="0" w:space="0" w:color="auto"/>
            <w:left w:val="none" w:sz="0" w:space="0" w:color="auto"/>
            <w:bottom w:val="none" w:sz="0" w:space="0" w:color="auto"/>
            <w:right w:val="none" w:sz="0" w:space="0" w:color="auto"/>
          </w:divBdr>
        </w:div>
        <w:div w:id="615991265">
          <w:marLeft w:val="0"/>
          <w:marRight w:val="0"/>
          <w:marTop w:val="0"/>
          <w:marBottom w:val="0"/>
          <w:divBdr>
            <w:top w:val="none" w:sz="0" w:space="0" w:color="auto"/>
            <w:left w:val="none" w:sz="0" w:space="0" w:color="auto"/>
            <w:bottom w:val="none" w:sz="0" w:space="0" w:color="auto"/>
            <w:right w:val="none" w:sz="0" w:space="0" w:color="auto"/>
          </w:divBdr>
        </w:div>
        <w:div w:id="615991266">
          <w:marLeft w:val="0"/>
          <w:marRight w:val="0"/>
          <w:marTop w:val="0"/>
          <w:marBottom w:val="0"/>
          <w:divBdr>
            <w:top w:val="none" w:sz="0" w:space="0" w:color="auto"/>
            <w:left w:val="none" w:sz="0" w:space="0" w:color="auto"/>
            <w:bottom w:val="none" w:sz="0" w:space="0" w:color="auto"/>
            <w:right w:val="none" w:sz="0" w:space="0" w:color="auto"/>
          </w:divBdr>
        </w:div>
        <w:div w:id="615991267">
          <w:marLeft w:val="0"/>
          <w:marRight w:val="0"/>
          <w:marTop w:val="0"/>
          <w:marBottom w:val="0"/>
          <w:divBdr>
            <w:top w:val="none" w:sz="0" w:space="0" w:color="auto"/>
            <w:left w:val="none" w:sz="0" w:space="0" w:color="auto"/>
            <w:bottom w:val="none" w:sz="0" w:space="0" w:color="auto"/>
            <w:right w:val="none" w:sz="0" w:space="0" w:color="auto"/>
          </w:divBdr>
        </w:div>
        <w:div w:id="615991271">
          <w:marLeft w:val="0"/>
          <w:marRight w:val="0"/>
          <w:marTop w:val="0"/>
          <w:marBottom w:val="0"/>
          <w:divBdr>
            <w:top w:val="none" w:sz="0" w:space="0" w:color="auto"/>
            <w:left w:val="none" w:sz="0" w:space="0" w:color="auto"/>
            <w:bottom w:val="none" w:sz="0" w:space="0" w:color="auto"/>
            <w:right w:val="none" w:sz="0" w:space="0" w:color="auto"/>
          </w:divBdr>
        </w:div>
        <w:div w:id="615991273">
          <w:marLeft w:val="0"/>
          <w:marRight w:val="0"/>
          <w:marTop w:val="0"/>
          <w:marBottom w:val="0"/>
          <w:divBdr>
            <w:top w:val="none" w:sz="0" w:space="0" w:color="auto"/>
            <w:left w:val="none" w:sz="0" w:space="0" w:color="auto"/>
            <w:bottom w:val="none" w:sz="0" w:space="0" w:color="auto"/>
            <w:right w:val="none" w:sz="0" w:space="0" w:color="auto"/>
          </w:divBdr>
        </w:div>
        <w:div w:id="615991275">
          <w:marLeft w:val="0"/>
          <w:marRight w:val="0"/>
          <w:marTop w:val="0"/>
          <w:marBottom w:val="0"/>
          <w:divBdr>
            <w:top w:val="none" w:sz="0" w:space="0" w:color="auto"/>
            <w:left w:val="none" w:sz="0" w:space="0" w:color="auto"/>
            <w:bottom w:val="none" w:sz="0" w:space="0" w:color="auto"/>
            <w:right w:val="none" w:sz="0" w:space="0" w:color="auto"/>
          </w:divBdr>
        </w:div>
        <w:div w:id="615991276">
          <w:marLeft w:val="0"/>
          <w:marRight w:val="0"/>
          <w:marTop w:val="0"/>
          <w:marBottom w:val="0"/>
          <w:divBdr>
            <w:top w:val="none" w:sz="0" w:space="0" w:color="auto"/>
            <w:left w:val="none" w:sz="0" w:space="0" w:color="auto"/>
            <w:bottom w:val="none" w:sz="0" w:space="0" w:color="auto"/>
            <w:right w:val="none" w:sz="0" w:space="0" w:color="auto"/>
          </w:divBdr>
        </w:div>
        <w:div w:id="615991277">
          <w:marLeft w:val="0"/>
          <w:marRight w:val="0"/>
          <w:marTop w:val="0"/>
          <w:marBottom w:val="0"/>
          <w:divBdr>
            <w:top w:val="none" w:sz="0" w:space="0" w:color="auto"/>
            <w:left w:val="none" w:sz="0" w:space="0" w:color="auto"/>
            <w:bottom w:val="none" w:sz="0" w:space="0" w:color="auto"/>
            <w:right w:val="none" w:sz="0" w:space="0" w:color="auto"/>
          </w:divBdr>
        </w:div>
        <w:div w:id="615991278">
          <w:marLeft w:val="0"/>
          <w:marRight w:val="0"/>
          <w:marTop w:val="0"/>
          <w:marBottom w:val="0"/>
          <w:divBdr>
            <w:top w:val="none" w:sz="0" w:space="0" w:color="auto"/>
            <w:left w:val="none" w:sz="0" w:space="0" w:color="auto"/>
            <w:bottom w:val="none" w:sz="0" w:space="0" w:color="auto"/>
            <w:right w:val="none" w:sz="0" w:space="0" w:color="auto"/>
          </w:divBdr>
        </w:div>
        <w:div w:id="615991282">
          <w:marLeft w:val="0"/>
          <w:marRight w:val="0"/>
          <w:marTop w:val="0"/>
          <w:marBottom w:val="0"/>
          <w:divBdr>
            <w:top w:val="none" w:sz="0" w:space="0" w:color="auto"/>
            <w:left w:val="none" w:sz="0" w:space="0" w:color="auto"/>
            <w:bottom w:val="none" w:sz="0" w:space="0" w:color="auto"/>
            <w:right w:val="none" w:sz="0" w:space="0" w:color="auto"/>
          </w:divBdr>
        </w:div>
        <w:div w:id="615991283">
          <w:marLeft w:val="0"/>
          <w:marRight w:val="0"/>
          <w:marTop w:val="0"/>
          <w:marBottom w:val="0"/>
          <w:divBdr>
            <w:top w:val="none" w:sz="0" w:space="0" w:color="auto"/>
            <w:left w:val="none" w:sz="0" w:space="0" w:color="auto"/>
            <w:bottom w:val="none" w:sz="0" w:space="0" w:color="auto"/>
            <w:right w:val="none" w:sz="0" w:space="0" w:color="auto"/>
          </w:divBdr>
        </w:div>
        <w:div w:id="615991284">
          <w:marLeft w:val="0"/>
          <w:marRight w:val="0"/>
          <w:marTop w:val="0"/>
          <w:marBottom w:val="0"/>
          <w:divBdr>
            <w:top w:val="none" w:sz="0" w:space="0" w:color="auto"/>
            <w:left w:val="none" w:sz="0" w:space="0" w:color="auto"/>
            <w:bottom w:val="none" w:sz="0" w:space="0" w:color="auto"/>
            <w:right w:val="none" w:sz="0" w:space="0" w:color="auto"/>
          </w:divBdr>
        </w:div>
        <w:div w:id="615991285">
          <w:marLeft w:val="0"/>
          <w:marRight w:val="0"/>
          <w:marTop w:val="0"/>
          <w:marBottom w:val="0"/>
          <w:divBdr>
            <w:top w:val="none" w:sz="0" w:space="0" w:color="auto"/>
            <w:left w:val="none" w:sz="0" w:space="0" w:color="auto"/>
            <w:bottom w:val="none" w:sz="0" w:space="0" w:color="auto"/>
            <w:right w:val="none" w:sz="0" w:space="0" w:color="auto"/>
          </w:divBdr>
        </w:div>
        <w:div w:id="615991286">
          <w:marLeft w:val="0"/>
          <w:marRight w:val="0"/>
          <w:marTop w:val="0"/>
          <w:marBottom w:val="0"/>
          <w:divBdr>
            <w:top w:val="none" w:sz="0" w:space="0" w:color="auto"/>
            <w:left w:val="none" w:sz="0" w:space="0" w:color="auto"/>
            <w:bottom w:val="none" w:sz="0" w:space="0" w:color="auto"/>
            <w:right w:val="none" w:sz="0" w:space="0" w:color="auto"/>
          </w:divBdr>
        </w:div>
        <w:div w:id="615991288">
          <w:marLeft w:val="0"/>
          <w:marRight w:val="0"/>
          <w:marTop w:val="0"/>
          <w:marBottom w:val="0"/>
          <w:divBdr>
            <w:top w:val="none" w:sz="0" w:space="0" w:color="auto"/>
            <w:left w:val="none" w:sz="0" w:space="0" w:color="auto"/>
            <w:bottom w:val="none" w:sz="0" w:space="0" w:color="auto"/>
            <w:right w:val="none" w:sz="0" w:space="0" w:color="auto"/>
          </w:divBdr>
        </w:div>
        <w:div w:id="615991290">
          <w:marLeft w:val="0"/>
          <w:marRight w:val="0"/>
          <w:marTop w:val="0"/>
          <w:marBottom w:val="0"/>
          <w:divBdr>
            <w:top w:val="none" w:sz="0" w:space="0" w:color="auto"/>
            <w:left w:val="none" w:sz="0" w:space="0" w:color="auto"/>
            <w:bottom w:val="none" w:sz="0" w:space="0" w:color="auto"/>
            <w:right w:val="none" w:sz="0" w:space="0" w:color="auto"/>
          </w:divBdr>
        </w:div>
        <w:div w:id="615991291">
          <w:marLeft w:val="0"/>
          <w:marRight w:val="0"/>
          <w:marTop w:val="0"/>
          <w:marBottom w:val="0"/>
          <w:divBdr>
            <w:top w:val="none" w:sz="0" w:space="0" w:color="auto"/>
            <w:left w:val="none" w:sz="0" w:space="0" w:color="auto"/>
            <w:bottom w:val="none" w:sz="0" w:space="0" w:color="auto"/>
            <w:right w:val="none" w:sz="0" w:space="0" w:color="auto"/>
          </w:divBdr>
        </w:div>
      </w:divsChild>
    </w:div>
    <w:div w:id="615991280">
      <w:marLeft w:val="0"/>
      <w:marRight w:val="0"/>
      <w:marTop w:val="0"/>
      <w:marBottom w:val="0"/>
      <w:divBdr>
        <w:top w:val="none" w:sz="0" w:space="0" w:color="auto"/>
        <w:left w:val="none" w:sz="0" w:space="0" w:color="auto"/>
        <w:bottom w:val="none" w:sz="0" w:space="0" w:color="auto"/>
        <w:right w:val="none" w:sz="0" w:space="0" w:color="auto"/>
      </w:divBdr>
      <w:divsChild>
        <w:div w:id="615991256">
          <w:marLeft w:val="0"/>
          <w:marRight w:val="0"/>
          <w:marTop w:val="0"/>
          <w:marBottom w:val="0"/>
          <w:divBdr>
            <w:top w:val="none" w:sz="0" w:space="0" w:color="auto"/>
            <w:left w:val="none" w:sz="0" w:space="0" w:color="auto"/>
            <w:bottom w:val="none" w:sz="0" w:space="0" w:color="auto"/>
            <w:right w:val="none" w:sz="0" w:space="0" w:color="auto"/>
          </w:divBdr>
        </w:div>
        <w:div w:id="615991268">
          <w:marLeft w:val="0"/>
          <w:marRight w:val="0"/>
          <w:marTop w:val="0"/>
          <w:marBottom w:val="0"/>
          <w:divBdr>
            <w:top w:val="none" w:sz="0" w:space="0" w:color="auto"/>
            <w:left w:val="none" w:sz="0" w:space="0" w:color="auto"/>
            <w:bottom w:val="none" w:sz="0" w:space="0" w:color="auto"/>
            <w:right w:val="none" w:sz="0" w:space="0" w:color="auto"/>
          </w:divBdr>
        </w:div>
        <w:div w:id="615991270">
          <w:marLeft w:val="0"/>
          <w:marRight w:val="0"/>
          <w:marTop w:val="0"/>
          <w:marBottom w:val="0"/>
          <w:divBdr>
            <w:top w:val="none" w:sz="0" w:space="0" w:color="auto"/>
            <w:left w:val="none" w:sz="0" w:space="0" w:color="auto"/>
            <w:bottom w:val="none" w:sz="0" w:space="0" w:color="auto"/>
            <w:right w:val="none" w:sz="0" w:space="0" w:color="auto"/>
          </w:divBdr>
        </w:div>
      </w:divsChild>
    </w:div>
    <w:div w:id="615991287">
      <w:marLeft w:val="0"/>
      <w:marRight w:val="0"/>
      <w:marTop w:val="0"/>
      <w:marBottom w:val="0"/>
      <w:divBdr>
        <w:top w:val="none" w:sz="0" w:space="0" w:color="auto"/>
        <w:left w:val="none" w:sz="0" w:space="0" w:color="auto"/>
        <w:bottom w:val="none" w:sz="0" w:space="0" w:color="auto"/>
        <w:right w:val="none" w:sz="0" w:space="0" w:color="auto"/>
      </w:divBdr>
      <w:divsChild>
        <w:div w:id="615991272">
          <w:marLeft w:val="0"/>
          <w:marRight w:val="0"/>
          <w:marTop w:val="0"/>
          <w:marBottom w:val="0"/>
          <w:divBdr>
            <w:top w:val="none" w:sz="0" w:space="0" w:color="auto"/>
            <w:left w:val="none" w:sz="0" w:space="0" w:color="auto"/>
            <w:bottom w:val="none" w:sz="0" w:space="0" w:color="auto"/>
            <w:right w:val="none" w:sz="0" w:space="0" w:color="auto"/>
          </w:divBdr>
        </w:div>
        <w:div w:id="615991279">
          <w:marLeft w:val="0"/>
          <w:marRight w:val="0"/>
          <w:marTop w:val="0"/>
          <w:marBottom w:val="0"/>
          <w:divBdr>
            <w:top w:val="none" w:sz="0" w:space="0" w:color="auto"/>
            <w:left w:val="none" w:sz="0" w:space="0" w:color="auto"/>
            <w:bottom w:val="none" w:sz="0" w:space="0" w:color="auto"/>
            <w:right w:val="none" w:sz="0" w:space="0" w:color="auto"/>
          </w:divBdr>
        </w:div>
        <w:div w:id="615991281">
          <w:marLeft w:val="0"/>
          <w:marRight w:val="0"/>
          <w:marTop w:val="0"/>
          <w:marBottom w:val="0"/>
          <w:divBdr>
            <w:top w:val="none" w:sz="0" w:space="0" w:color="auto"/>
            <w:left w:val="none" w:sz="0" w:space="0" w:color="auto"/>
            <w:bottom w:val="none" w:sz="0" w:space="0" w:color="auto"/>
            <w:right w:val="none" w:sz="0" w:space="0" w:color="auto"/>
          </w:divBdr>
        </w:div>
      </w:divsChild>
    </w:div>
    <w:div w:id="615991289">
      <w:marLeft w:val="0"/>
      <w:marRight w:val="0"/>
      <w:marTop w:val="0"/>
      <w:marBottom w:val="0"/>
      <w:divBdr>
        <w:top w:val="none" w:sz="0" w:space="0" w:color="auto"/>
        <w:left w:val="none" w:sz="0" w:space="0" w:color="auto"/>
        <w:bottom w:val="none" w:sz="0" w:space="0" w:color="auto"/>
        <w:right w:val="none" w:sz="0" w:space="0" w:color="auto"/>
      </w:divBdr>
      <w:divsChild>
        <w:div w:id="615991260">
          <w:marLeft w:val="0"/>
          <w:marRight w:val="0"/>
          <w:marTop w:val="0"/>
          <w:marBottom w:val="0"/>
          <w:divBdr>
            <w:top w:val="none" w:sz="0" w:space="0" w:color="auto"/>
            <w:left w:val="none" w:sz="0" w:space="0" w:color="auto"/>
            <w:bottom w:val="none" w:sz="0" w:space="0" w:color="auto"/>
            <w:right w:val="none" w:sz="0" w:space="0" w:color="auto"/>
          </w:divBdr>
        </w:div>
        <w:div w:id="615991261">
          <w:marLeft w:val="0"/>
          <w:marRight w:val="0"/>
          <w:marTop w:val="0"/>
          <w:marBottom w:val="0"/>
          <w:divBdr>
            <w:top w:val="none" w:sz="0" w:space="0" w:color="auto"/>
            <w:left w:val="none" w:sz="0" w:space="0" w:color="auto"/>
            <w:bottom w:val="none" w:sz="0" w:space="0" w:color="auto"/>
            <w:right w:val="none" w:sz="0" w:space="0" w:color="auto"/>
          </w:divBdr>
        </w:div>
        <w:div w:id="615991274">
          <w:marLeft w:val="0"/>
          <w:marRight w:val="0"/>
          <w:marTop w:val="0"/>
          <w:marBottom w:val="0"/>
          <w:divBdr>
            <w:top w:val="none" w:sz="0" w:space="0" w:color="auto"/>
            <w:left w:val="none" w:sz="0" w:space="0" w:color="auto"/>
            <w:bottom w:val="none" w:sz="0" w:space="0" w:color="auto"/>
            <w:right w:val="none" w:sz="0" w:space="0" w:color="auto"/>
          </w:divBdr>
        </w:div>
      </w:divsChild>
    </w:div>
    <w:div w:id="615991298">
      <w:marLeft w:val="0"/>
      <w:marRight w:val="0"/>
      <w:marTop w:val="0"/>
      <w:marBottom w:val="0"/>
      <w:divBdr>
        <w:top w:val="none" w:sz="0" w:space="0" w:color="auto"/>
        <w:left w:val="none" w:sz="0" w:space="0" w:color="auto"/>
        <w:bottom w:val="none" w:sz="0" w:space="0" w:color="auto"/>
        <w:right w:val="none" w:sz="0" w:space="0" w:color="auto"/>
      </w:divBdr>
      <w:divsChild>
        <w:div w:id="615991293">
          <w:marLeft w:val="0"/>
          <w:marRight w:val="0"/>
          <w:marTop w:val="0"/>
          <w:marBottom w:val="0"/>
          <w:divBdr>
            <w:top w:val="none" w:sz="0" w:space="0" w:color="auto"/>
            <w:left w:val="none" w:sz="0" w:space="0" w:color="auto"/>
            <w:bottom w:val="none" w:sz="0" w:space="0" w:color="auto"/>
            <w:right w:val="none" w:sz="0" w:space="0" w:color="auto"/>
          </w:divBdr>
        </w:div>
        <w:div w:id="615991294">
          <w:marLeft w:val="0"/>
          <w:marRight w:val="0"/>
          <w:marTop w:val="0"/>
          <w:marBottom w:val="0"/>
          <w:divBdr>
            <w:top w:val="none" w:sz="0" w:space="0" w:color="auto"/>
            <w:left w:val="none" w:sz="0" w:space="0" w:color="auto"/>
            <w:bottom w:val="none" w:sz="0" w:space="0" w:color="auto"/>
            <w:right w:val="none" w:sz="0" w:space="0" w:color="auto"/>
          </w:divBdr>
        </w:div>
        <w:div w:id="615991297">
          <w:marLeft w:val="0"/>
          <w:marRight w:val="0"/>
          <w:marTop w:val="0"/>
          <w:marBottom w:val="0"/>
          <w:divBdr>
            <w:top w:val="none" w:sz="0" w:space="0" w:color="auto"/>
            <w:left w:val="none" w:sz="0" w:space="0" w:color="auto"/>
            <w:bottom w:val="none" w:sz="0" w:space="0" w:color="auto"/>
            <w:right w:val="none" w:sz="0" w:space="0" w:color="auto"/>
          </w:divBdr>
        </w:div>
        <w:div w:id="615991299">
          <w:marLeft w:val="0"/>
          <w:marRight w:val="0"/>
          <w:marTop w:val="0"/>
          <w:marBottom w:val="0"/>
          <w:divBdr>
            <w:top w:val="none" w:sz="0" w:space="0" w:color="auto"/>
            <w:left w:val="none" w:sz="0" w:space="0" w:color="auto"/>
            <w:bottom w:val="none" w:sz="0" w:space="0" w:color="auto"/>
            <w:right w:val="none" w:sz="0" w:space="0" w:color="auto"/>
          </w:divBdr>
        </w:div>
        <w:div w:id="615991301">
          <w:marLeft w:val="0"/>
          <w:marRight w:val="0"/>
          <w:marTop w:val="0"/>
          <w:marBottom w:val="0"/>
          <w:divBdr>
            <w:top w:val="none" w:sz="0" w:space="0" w:color="auto"/>
            <w:left w:val="none" w:sz="0" w:space="0" w:color="auto"/>
            <w:bottom w:val="none" w:sz="0" w:space="0" w:color="auto"/>
            <w:right w:val="none" w:sz="0" w:space="0" w:color="auto"/>
          </w:divBdr>
        </w:div>
        <w:div w:id="615991308">
          <w:marLeft w:val="0"/>
          <w:marRight w:val="0"/>
          <w:marTop w:val="0"/>
          <w:marBottom w:val="0"/>
          <w:divBdr>
            <w:top w:val="none" w:sz="0" w:space="0" w:color="auto"/>
            <w:left w:val="none" w:sz="0" w:space="0" w:color="auto"/>
            <w:bottom w:val="none" w:sz="0" w:space="0" w:color="auto"/>
            <w:right w:val="none" w:sz="0" w:space="0" w:color="auto"/>
          </w:divBdr>
        </w:div>
        <w:div w:id="615991316">
          <w:marLeft w:val="0"/>
          <w:marRight w:val="0"/>
          <w:marTop w:val="0"/>
          <w:marBottom w:val="0"/>
          <w:divBdr>
            <w:top w:val="none" w:sz="0" w:space="0" w:color="auto"/>
            <w:left w:val="none" w:sz="0" w:space="0" w:color="auto"/>
            <w:bottom w:val="none" w:sz="0" w:space="0" w:color="auto"/>
            <w:right w:val="none" w:sz="0" w:space="0" w:color="auto"/>
          </w:divBdr>
        </w:div>
      </w:divsChild>
    </w:div>
    <w:div w:id="615991309">
      <w:marLeft w:val="0"/>
      <w:marRight w:val="0"/>
      <w:marTop w:val="0"/>
      <w:marBottom w:val="0"/>
      <w:divBdr>
        <w:top w:val="none" w:sz="0" w:space="0" w:color="auto"/>
        <w:left w:val="none" w:sz="0" w:space="0" w:color="auto"/>
        <w:bottom w:val="none" w:sz="0" w:space="0" w:color="auto"/>
        <w:right w:val="none" w:sz="0" w:space="0" w:color="auto"/>
      </w:divBdr>
      <w:divsChild>
        <w:div w:id="615991292">
          <w:marLeft w:val="0"/>
          <w:marRight w:val="0"/>
          <w:marTop w:val="0"/>
          <w:marBottom w:val="0"/>
          <w:divBdr>
            <w:top w:val="none" w:sz="0" w:space="0" w:color="auto"/>
            <w:left w:val="none" w:sz="0" w:space="0" w:color="auto"/>
            <w:bottom w:val="none" w:sz="0" w:space="0" w:color="auto"/>
            <w:right w:val="none" w:sz="0" w:space="0" w:color="auto"/>
          </w:divBdr>
        </w:div>
        <w:div w:id="615991295">
          <w:marLeft w:val="0"/>
          <w:marRight w:val="0"/>
          <w:marTop w:val="0"/>
          <w:marBottom w:val="0"/>
          <w:divBdr>
            <w:top w:val="none" w:sz="0" w:space="0" w:color="auto"/>
            <w:left w:val="none" w:sz="0" w:space="0" w:color="auto"/>
            <w:bottom w:val="none" w:sz="0" w:space="0" w:color="auto"/>
            <w:right w:val="none" w:sz="0" w:space="0" w:color="auto"/>
          </w:divBdr>
        </w:div>
        <w:div w:id="615991296">
          <w:marLeft w:val="0"/>
          <w:marRight w:val="0"/>
          <w:marTop w:val="0"/>
          <w:marBottom w:val="0"/>
          <w:divBdr>
            <w:top w:val="none" w:sz="0" w:space="0" w:color="auto"/>
            <w:left w:val="none" w:sz="0" w:space="0" w:color="auto"/>
            <w:bottom w:val="none" w:sz="0" w:space="0" w:color="auto"/>
            <w:right w:val="none" w:sz="0" w:space="0" w:color="auto"/>
          </w:divBdr>
        </w:div>
        <w:div w:id="615991300">
          <w:marLeft w:val="0"/>
          <w:marRight w:val="0"/>
          <w:marTop w:val="0"/>
          <w:marBottom w:val="0"/>
          <w:divBdr>
            <w:top w:val="none" w:sz="0" w:space="0" w:color="auto"/>
            <w:left w:val="none" w:sz="0" w:space="0" w:color="auto"/>
            <w:bottom w:val="none" w:sz="0" w:space="0" w:color="auto"/>
            <w:right w:val="none" w:sz="0" w:space="0" w:color="auto"/>
          </w:divBdr>
        </w:div>
        <w:div w:id="615991302">
          <w:marLeft w:val="0"/>
          <w:marRight w:val="0"/>
          <w:marTop w:val="0"/>
          <w:marBottom w:val="0"/>
          <w:divBdr>
            <w:top w:val="none" w:sz="0" w:space="0" w:color="auto"/>
            <w:left w:val="none" w:sz="0" w:space="0" w:color="auto"/>
            <w:bottom w:val="none" w:sz="0" w:space="0" w:color="auto"/>
            <w:right w:val="none" w:sz="0" w:space="0" w:color="auto"/>
          </w:divBdr>
        </w:div>
        <w:div w:id="615991303">
          <w:marLeft w:val="0"/>
          <w:marRight w:val="0"/>
          <w:marTop w:val="0"/>
          <w:marBottom w:val="0"/>
          <w:divBdr>
            <w:top w:val="none" w:sz="0" w:space="0" w:color="auto"/>
            <w:left w:val="none" w:sz="0" w:space="0" w:color="auto"/>
            <w:bottom w:val="none" w:sz="0" w:space="0" w:color="auto"/>
            <w:right w:val="none" w:sz="0" w:space="0" w:color="auto"/>
          </w:divBdr>
        </w:div>
        <w:div w:id="615991304">
          <w:marLeft w:val="0"/>
          <w:marRight w:val="0"/>
          <w:marTop w:val="0"/>
          <w:marBottom w:val="0"/>
          <w:divBdr>
            <w:top w:val="none" w:sz="0" w:space="0" w:color="auto"/>
            <w:left w:val="none" w:sz="0" w:space="0" w:color="auto"/>
            <w:bottom w:val="none" w:sz="0" w:space="0" w:color="auto"/>
            <w:right w:val="none" w:sz="0" w:space="0" w:color="auto"/>
          </w:divBdr>
        </w:div>
        <w:div w:id="615991305">
          <w:marLeft w:val="0"/>
          <w:marRight w:val="0"/>
          <w:marTop w:val="0"/>
          <w:marBottom w:val="0"/>
          <w:divBdr>
            <w:top w:val="none" w:sz="0" w:space="0" w:color="auto"/>
            <w:left w:val="none" w:sz="0" w:space="0" w:color="auto"/>
            <w:bottom w:val="none" w:sz="0" w:space="0" w:color="auto"/>
            <w:right w:val="none" w:sz="0" w:space="0" w:color="auto"/>
          </w:divBdr>
        </w:div>
        <w:div w:id="615991306">
          <w:marLeft w:val="0"/>
          <w:marRight w:val="0"/>
          <w:marTop w:val="0"/>
          <w:marBottom w:val="0"/>
          <w:divBdr>
            <w:top w:val="none" w:sz="0" w:space="0" w:color="auto"/>
            <w:left w:val="none" w:sz="0" w:space="0" w:color="auto"/>
            <w:bottom w:val="none" w:sz="0" w:space="0" w:color="auto"/>
            <w:right w:val="none" w:sz="0" w:space="0" w:color="auto"/>
          </w:divBdr>
        </w:div>
        <w:div w:id="615991307">
          <w:marLeft w:val="0"/>
          <w:marRight w:val="0"/>
          <w:marTop w:val="0"/>
          <w:marBottom w:val="0"/>
          <w:divBdr>
            <w:top w:val="none" w:sz="0" w:space="0" w:color="auto"/>
            <w:left w:val="none" w:sz="0" w:space="0" w:color="auto"/>
            <w:bottom w:val="none" w:sz="0" w:space="0" w:color="auto"/>
            <w:right w:val="none" w:sz="0" w:space="0" w:color="auto"/>
          </w:divBdr>
        </w:div>
        <w:div w:id="615991310">
          <w:marLeft w:val="0"/>
          <w:marRight w:val="0"/>
          <w:marTop w:val="0"/>
          <w:marBottom w:val="0"/>
          <w:divBdr>
            <w:top w:val="none" w:sz="0" w:space="0" w:color="auto"/>
            <w:left w:val="none" w:sz="0" w:space="0" w:color="auto"/>
            <w:bottom w:val="none" w:sz="0" w:space="0" w:color="auto"/>
            <w:right w:val="none" w:sz="0" w:space="0" w:color="auto"/>
          </w:divBdr>
        </w:div>
        <w:div w:id="615991311">
          <w:marLeft w:val="0"/>
          <w:marRight w:val="0"/>
          <w:marTop w:val="0"/>
          <w:marBottom w:val="0"/>
          <w:divBdr>
            <w:top w:val="none" w:sz="0" w:space="0" w:color="auto"/>
            <w:left w:val="none" w:sz="0" w:space="0" w:color="auto"/>
            <w:bottom w:val="none" w:sz="0" w:space="0" w:color="auto"/>
            <w:right w:val="none" w:sz="0" w:space="0" w:color="auto"/>
          </w:divBdr>
        </w:div>
        <w:div w:id="615991312">
          <w:marLeft w:val="0"/>
          <w:marRight w:val="0"/>
          <w:marTop w:val="0"/>
          <w:marBottom w:val="0"/>
          <w:divBdr>
            <w:top w:val="none" w:sz="0" w:space="0" w:color="auto"/>
            <w:left w:val="none" w:sz="0" w:space="0" w:color="auto"/>
            <w:bottom w:val="none" w:sz="0" w:space="0" w:color="auto"/>
            <w:right w:val="none" w:sz="0" w:space="0" w:color="auto"/>
          </w:divBdr>
        </w:div>
        <w:div w:id="615991313">
          <w:marLeft w:val="0"/>
          <w:marRight w:val="0"/>
          <w:marTop w:val="0"/>
          <w:marBottom w:val="0"/>
          <w:divBdr>
            <w:top w:val="none" w:sz="0" w:space="0" w:color="auto"/>
            <w:left w:val="none" w:sz="0" w:space="0" w:color="auto"/>
            <w:bottom w:val="none" w:sz="0" w:space="0" w:color="auto"/>
            <w:right w:val="none" w:sz="0" w:space="0" w:color="auto"/>
          </w:divBdr>
        </w:div>
        <w:div w:id="615991314">
          <w:marLeft w:val="0"/>
          <w:marRight w:val="0"/>
          <w:marTop w:val="0"/>
          <w:marBottom w:val="0"/>
          <w:divBdr>
            <w:top w:val="none" w:sz="0" w:space="0" w:color="auto"/>
            <w:left w:val="none" w:sz="0" w:space="0" w:color="auto"/>
            <w:bottom w:val="none" w:sz="0" w:space="0" w:color="auto"/>
            <w:right w:val="none" w:sz="0" w:space="0" w:color="auto"/>
          </w:divBdr>
        </w:div>
        <w:div w:id="615991315">
          <w:marLeft w:val="0"/>
          <w:marRight w:val="0"/>
          <w:marTop w:val="0"/>
          <w:marBottom w:val="0"/>
          <w:divBdr>
            <w:top w:val="none" w:sz="0" w:space="0" w:color="auto"/>
            <w:left w:val="none" w:sz="0" w:space="0" w:color="auto"/>
            <w:bottom w:val="none" w:sz="0" w:space="0" w:color="auto"/>
            <w:right w:val="none" w:sz="0" w:space="0" w:color="auto"/>
          </w:divBdr>
        </w:div>
        <w:div w:id="615991317">
          <w:marLeft w:val="0"/>
          <w:marRight w:val="0"/>
          <w:marTop w:val="0"/>
          <w:marBottom w:val="0"/>
          <w:divBdr>
            <w:top w:val="none" w:sz="0" w:space="0" w:color="auto"/>
            <w:left w:val="none" w:sz="0" w:space="0" w:color="auto"/>
            <w:bottom w:val="none" w:sz="0" w:space="0" w:color="auto"/>
            <w:right w:val="none" w:sz="0" w:space="0" w:color="auto"/>
          </w:divBdr>
        </w:div>
      </w:divsChild>
    </w:div>
    <w:div w:id="615991321">
      <w:marLeft w:val="0"/>
      <w:marRight w:val="0"/>
      <w:marTop w:val="0"/>
      <w:marBottom w:val="0"/>
      <w:divBdr>
        <w:top w:val="none" w:sz="0" w:space="0" w:color="auto"/>
        <w:left w:val="none" w:sz="0" w:space="0" w:color="auto"/>
        <w:bottom w:val="none" w:sz="0" w:space="0" w:color="auto"/>
        <w:right w:val="none" w:sz="0" w:space="0" w:color="auto"/>
      </w:divBdr>
      <w:divsChild>
        <w:div w:id="615991320">
          <w:marLeft w:val="0"/>
          <w:marRight w:val="0"/>
          <w:marTop w:val="0"/>
          <w:marBottom w:val="0"/>
          <w:divBdr>
            <w:top w:val="none" w:sz="0" w:space="0" w:color="auto"/>
            <w:left w:val="none" w:sz="0" w:space="0" w:color="auto"/>
            <w:bottom w:val="none" w:sz="0" w:space="0" w:color="auto"/>
            <w:right w:val="none" w:sz="0" w:space="0" w:color="auto"/>
          </w:divBdr>
        </w:div>
        <w:div w:id="615991324">
          <w:marLeft w:val="0"/>
          <w:marRight w:val="0"/>
          <w:marTop w:val="0"/>
          <w:marBottom w:val="0"/>
          <w:divBdr>
            <w:top w:val="none" w:sz="0" w:space="0" w:color="auto"/>
            <w:left w:val="none" w:sz="0" w:space="0" w:color="auto"/>
            <w:bottom w:val="none" w:sz="0" w:space="0" w:color="auto"/>
            <w:right w:val="none" w:sz="0" w:space="0" w:color="auto"/>
          </w:divBdr>
        </w:div>
        <w:div w:id="615991326">
          <w:marLeft w:val="0"/>
          <w:marRight w:val="0"/>
          <w:marTop w:val="0"/>
          <w:marBottom w:val="0"/>
          <w:divBdr>
            <w:top w:val="none" w:sz="0" w:space="0" w:color="auto"/>
            <w:left w:val="none" w:sz="0" w:space="0" w:color="auto"/>
            <w:bottom w:val="none" w:sz="0" w:space="0" w:color="auto"/>
            <w:right w:val="none" w:sz="0" w:space="0" w:color="auto"/>
          </w:divBdr>
        </w:div>
      </w:divsChild>
    </w:div>
    <w:div w:id="615991323">
      <w:marLeft w:val="0"/>
      <w:marRight w:val="0"/>
      <w:marTop w:val="0"/>
      <w:marBottom w:val="0"/>
      <w:divBdr>
        <w:top w:val="none" w:sz="0" w:space="0" w:color="auto"/>
        <w:left w:val="none" w:sz="0" w:space="0" w:color="auto"/>
        <w:bottom w:val="none" w:sz="0" w:space="0" w:color="auto"/>
        <w:right w:val="none" w:sz="0" w:space="0" w:color="auto"/>
      </w:divBdr>
      <w:divsChild>
        <w:div w:id="615991318">
          <w:marLeft w:val="0"/>
          <w:marRight w:val="0"/>
          <w:marTop w:val="0"/>
          <w:marBottom w:val="0"/>
          <w:divBdr>
            <w:top w:val="none" w:sz="0" w:space="0" w:color="auto"/>
            <w:left w:val="none" w:sz="0" w:space="0" w:color="auto"/>
            <w:bottom w:val="none" w:sz="0" w:space="0" w:color="auto"/>
            <w:right w:val="none" w:sz="0" w:space="0" w:color="auto"/>
          </w:divBdr>
        </w:div>
        <w:div w:id="615991319">
          <w:marLeft w:val="0"/>
          <w:marRight w:val="0"/>
          <w:marTop w:val="0"/>
          <w:marBottom w:val="0"/>
          <w:divBdr>
            <w:top w:val="none" w:sz="0" w:space="0" w:color="auto"/>
            <w:left w:val="none" w:sz="0" w:space="0" w:color="auto"/>
            <w:bottom w:val="none" w:sz="0" w:space="0" w:color="auto"/>
            <w:right w:val="none" w:sz="0" w:space="0" w:color="auto"/>
          </w:divBdr>
        </w:div>
        <w:div w:id="615991322">
          <w:marLeft w:val="0"/>
          <w:marRight w:val="0"/>
          <w:marTop w:val="0"/>
          <w:marBottom w:val="0"/>
          <w:divBdr>
            <w:top w:val="none" w:sz="0" w:space="0" w:color="auto"/>
            <w:left w:val="none" w:sz="0" w:space="0" w:color="auto"/>
            <w:bottom w:val="none" w:sz="0" w:space="0" w:color="auto"/>
            <w:right w:val="none" w:sz="0" w:space="0" w:color="auto"/>
          </w:divBdr>
        </w:div>
        <w:div w:id="615991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image" Target="media/image4.emf"/><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emf"/><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14.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10.xml"/><Relationship Id="rId10" Type="http://schemas.openxmlformats.org/officeDocument/2006/relationships/image" Target="media/image1.jpeg"/><Relationship Id="rId19" Type="http://schemas.openxmlformats.org/officeDocument/2006/relationships/image" Target="media/image2.emf"/><Relationship Id="rId31" Type="http://schemas.openxmlformats.org/officeDocument/2006/relationships/header" Target="header1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5.emf"/><Relationship Id="rId27" Type="http://schemas.openxmlformats.org/officeDocument/2006/relationships/image" Target="media/image6.emf"/><Relationship Id="rId30"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4754E-E399-42BC-9F7A-74DBFB260D2D}">
  <ds:schemaRefs>
    <ds:schemaRef ds:uri="http://schemas.openxmlformats.org/officeDocument/2006/bibliography"/>
  </ds:schemaRefs>
</ds:datastoreItem>
</file>

<file path=customXml/itemProps2.xml><?xml version="1.0" encoding="utf-8"?>
<ds:datastoreItem xmlns:ds="http://schemas.openxmlformats.org/officeDocument/2006/customXml" ds:itemID="{E1C01143-8A31-4FDC-8A16-71AF6FCEE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10793</Words>
  <Characters>61227</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WO/GA/46/</vt:lpstr>
    </vt:vector>
  </TitlesOfParts>
  <Company>WIPO</Company>
  <LinksUpToDate>false</LinksUpToDate>
  <CharactersWithSpaces>71877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dc:title>
  <dc:creator>SCHWOB Lise</dc:creator>
  <cp:lastModifiedBy>Sanchez Maria</cp:lastModifiedBy>
  <cp:revision>4</cp:revision>
  <cp:lastPrinted>2014-07-24T14:59:00Z</cp:lastPrinted>
  <dcterms:created xsi:type="dcterms:W3CDTF">2014-07-24T14:58:00Z</dcterms:created>
  <dcterms:modified xsi:type="dcterms:W3CDTF">2014-07-24T15:00:00Z</dcterms:modified>
</cp:coreProperties>
</file>