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020E0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CE143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</w:t>
      </w:r>
      <w:r w:rsidR="00910266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460894">
        <w:rPr>
          <w:rFonts w:ascii="Arial Black" w:hAnsi="Arial Black"/>
          <w:caps/>
          <w:sz w:val="15"/>
          <w:szCs w:val="15"/>
        </w:rPr>
        <w:t>4</w:t>
      </w:r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0C1D2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460894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0C1D2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460894">
        <w:rPr>
          <w:rFonts w:ascii="Arial Black" w:hAnsi="Arial Black"/>
          <w:caps/>
          <w:sz w:val="15"/>
          <w:szCs w:val="15"/>
        </w:rPr>
        <w:t>1</w:t>
      </w:r>
      <w:r w:rsidR="000C1D21">
        <w:rPr>
          <w:rFonts w:ascii="Arial Black" w:hAnsi="Arial Black"/>
          <w:caps/>
          <w:sz w:val="15"/>
          <w:szCs w:val="15"/>
        </w:rPr>
        <w:t>7 mai 20</w:t>
      </w:r>
      <w:r w:rsidR="00460894">
        <w:rPr>
          <w:rFonts w:ascii="Arial Black" w:hAnsi="Arial Black"/>
          <w:caps/>
          <w:sz w:val="15"/>
          <w:szCs w:val="15"/>
        </w:rPr>
        <w:t>23</w:t>
      </w:r>
    </w:p>
    <w:bookmarkEnd w:id="3"/>
    <w:p w:rsidR="00C40E15" w:rsidRPr="00DB0349" w:rsidRDefault="00CE1438" w:rsidP="00DB0349">
      <w:pPr>
        <w:spacing w:after="600"/>
        <w:rPr>
          <w:b/>
          <w:sz w:val="28"/>
          <w:szCs w:val="28"/>
        </w:rPr>
      </w:pPr>
      <w:r w:rsidRPr="00CE1438">
        <w:rPr>
          <w:b/>
          <w:sz w:val="28"/>
          <w:szCs w:val="28"/>
        </w:rPr>
        <w:t>Comité de coordination de I</w:t>
      </w:r>
      <w:r w:rsidR="000C1D21">
        <w:rPr>
          <w:b/>
          <w:sz w:val="28"/>
          <w:szCs w:val="28"/>
        </w:rPr>
        <w:t>’</w:t>
      </w:r>
      <w:r w:rsidRPr="00CE1438">
        <w:rPr>
          <w:b/>
          <w:sz w:val="28"/>
          <w:szCs w:val="28"/>
        </w:rPr>
        <w:t>OMPI</w:t>
      </w:r>
    </w:p>
    <w:p w:rsidR="008B2CC1" w:rsidRPr="003845C1" w:rsidRDefault="00CE1438" w:rsidP="008B2CC1">
      <w:pPr>
        <w:rPr>
          <w:b/>
          <w:sz w:val="24"/>
          <w:szCs w:val="24"/>
        </w:rPr>
      </w:pPr>
      <w:r w:rsidRPr="00CE1438">
        <w:rPr>
          <w:b/>
          <w:sz w:val="24"/>
          <w:szCs w:val="24"/>
        </w:rPr>
        <w:t>Quatre</w:t>
      </w:r>
      <w:r w:rsidR="00AD4CD7">
        <w:rPr>
          <w:b/>
          <w:sz w:val="24"/>
          <w:szCs w:val="24"/>
        </w:rPr>
        <w:noBreakHyphen/>
      </w:r>
      <w:r w:rsidRPr="00CE1438">
        <w:rPr>
          <w:b/>
          <w:sz w:val="24"/>
          <w:szCs w:val="24"/>
        </w:rPr>
        <w:t>vingt</w:t>
      </w:r>
      <w:r w:rsidR="00AD4CD7">
        <w:rPr>
          <w:b/>
          <w:sz w:val="24"/>
          <w:szCs w:val="24"/>
        </w:rPr>
        <w:noBreakHyphen/>
      </w:r>
      <w:r w:rsidR="00910266">
        <w:rPr>
          <w:b/>
          <w:sz w:val="24"/>
          <w:szCs w:val="24"/>
        </w:rPr>
        <w:t>deux</w:t>
      </w:r>
      <w:r w:rsidR="000C1D21">
        <w:rPr>
          <w:b/>
          <w:sz w:val="24"/>
          <w:szCs w:val="24"/>
        </w:rPr>
        <w:t>ième session</w:t>
      </w:r>
      <w:r w:rsidRPr="00CE1438">
        <w:rPr>
          <w:b/>
          <w:sz w:val="24"/>
          <w:szCs w:val="24"/>
        </w:rPr>
        <w:t xml:space="preserve"> (5</w:t>
      </w:r>
      <w:r w:rsidR="00910266">
        <w:rPr>
          <w:b/>
          <w:sz w:val="24"/>
          <w:szCs w:val="24"/>
        </w:rPr>
        <w:t>4</w:t>
      </w:r>
      <w:r w:rsidRPr="00EC26F0">
        <w:rPr>
          <w:b/>
          <w:sz w:val="24"/>
          <w:szCs w:val="24"/>
          <w:vertAlign w:val="superscript"/>
        </w:rPr>
        <w:t>e</w:t>
      </w:r>
      <w:r w:rsidR="002144B8">
        <w:rPr>
          <w:b/>
          <w:sz w:val="24"/>
          <w:szCs w:val="24"/>
        </w:rPr>
        <w:t> </w:t>
      </w:r>
      <w:r w:rsidRPr="00CE1438">
        <w:rPr>
          <w:b/>
          <w:sz w:val="24"/>
          <w:szCs w:val="24"/>
        </w:rPr>
        <w:t>session ordinaire)</w:t>
      </w:r>
    </w:p>
    <w:p w:rsidR="008B2CC1" w:rsidRPr="003845C1" w:rsidRDefault="00EC26F0" w:rsidP="00DB0349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910266">
        <w:rPr>
          <w:b/>
          <w:sz w:val="24"/>
          <w:szCs w:val="24"/>
        </w:rPr>
        <w:t>6</w:t>
      </w:r>
      <w:r w:rsidR="00CE1438" w:rsidRPr="00CE1438">
        <w:rPr>
          <w:b/>
          <w:sz w:val="24"/>
          <w:szCs w:val="24"/>
        </w:rPr>
        <w:t xml:space="preserve"> – </w:t>
      </w:r>
      <w:r w:rsidR="00910266">
        <w:rPr>
          <w:b/>
          <w:sz w:val="24"/>
          <w:szCs w:val="24"/>
        </w:rPr>
        <w:t>1</w:t>
      </w:r>
      <w:r w:rsidR="000C1D21">
        <w:rPr>
          <w:b/>
          <w:sz w:val="24"/>
          <w:szCs w:val="24"/>
        </w:rPr>
        <w:t>4 juillet 20</w:t>
      </w:r>
      <w:r w:rsidR="00910266">
        <w:rPr>
          <w:b/>
          <w:sz w:val="24"/>
          <w:szCs w:val="24"/>
        </w:rPr>
        <w:t>23</w:t>
      </w:r>
    </w:p>
    <w:p w:rsidR="008B2CC1" w:rsidRPr="00842A13" w:rsidRDefault="00460894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Proposition du groupe des pays africains relative aux amendements du Statut et Règlement du personnel</w:t>
      </w:r>
    </w:p>
    <w:p w:rsidR="00525B63" w:rsidRPr="00AD4CD7" w:rsidRDefault="00460894" w:rsidP="00DB0349">
      <w:pPr>
        <w:spacing w:after="960"/>
        <w:rPr>
          <w:i/>
        </w:rPr>
      </w:pPr>
      <w:bookmarkStart w:id="5" w:name="Prepared"/>
      <w:bookmarkEnd w:id="4"/>
      <w:r w:rsidRPr="00AD4CD7">
        <w:rPr>
          <w:i/>
        </w:rPr>
        <w:t>soumise par le groupe des pays africains</w:t>
      </w:r>
    </w:p>
    <w:bookmarkEnd w:id="5"/>
    <w:p w:rsidR="000C1D21" w:rsidRDefault="00460894" w:rsidP="00AD4CD7">
      <w:pPr>
        <w:pStyle w:val="ONUMFS"/>
        <w:numPr>
          <w:ilvl w:val="0"/>
          <w:numId w:val="0"/>
        </w:numPr>
      </w:pPr>
      <w:r>
        <w:t>Dans une communication au Secrétariat reçue le</w:t>
      </w:r>
      <w:r w:rsidR="00AD4CD7">
        <w:t> </w:t>
      </w:r>
      <w:r w:rsidR="000C1D21">
        <w:t>8 mai 20</w:t>
      </w:r>
      <w:r>
        <w:t>23, la délégation du Ghana, au nom du groupe des pays africains, a soumis la proposition ci</w:t>
      </w:r>
      <w:r w:rsidR="00AD4CD7">
        <w:noBreakHyphen/>
      </w:r>
      <w:r>
        <w:t xml:space="preserve">jointe au titre du </w:t>
      </w:r>
      <w:r w:rsidR="000C1D21">
        <w:t>point 2</w:t>
      </w:r>
      <w:r>
        <w:t>3 de l</w:t>
      </w:r>
      <w:r w:rsidR="000C1D21">
        <w:t>’</w:t>
      </w:r>
      <w:r>
        <w:t xml:space="preserve">ordre du jour intitulé “Amendements du Statut </w:t>
      </w:r>
      <w:bookmarkStart w:id="6" w:name="_Hlk133693862"/>
      <w:r>
        <w:t>et Règlement du personnel</w:t>
      </w:r>
      <w:bookmarkEnd w:id="6"/>
      <w:r>
        <w:t>”.</w:t>
      </w:r>
    </w:p>
    <w:p w:rsidR="00460894" w:rsidRDefault="00460894" w:rsidP="00AD4CD7">
      <w:pPr>
        <w:pStyle w:val="Endofdocument-Annex"/>
        <w:spacing w:before="720"/>
        <w:sectPr w:rsidR="00460894" w:rsidSect="003931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[L</w:t>
      </w:r>
      <w:r w:rsidR="000C1D21">
        <w:t>’</w:t>
      </w:r>
      <w:r>
        <w:t>annexe suit]</w:t>
      </w:r>
    </w:p>
    <w:p w:rsidR="00460894" w:rsidRPr="00393172" w:rsidRDefault="00460894" w:rsidP="00460894">
      <w:pPr>
        <w:spacing w:before="248" w:line="228" w:lineRule="auto"/>
        <w:ind w:right="388"/>
        <w:rPr>
          <w:rFonts w:eastAsia="Arial"/>
          <w:b/>
          <w:sz w:val="24"/>
          <w:szCs w:val="24"/>
        </w:rPr>
      </w:pPr>
      <w:r>
        <w:rPr>
          <w:b/>
          <w:sz w:val="24"/>
        </w:rPr>
        <w:lastRenderedPageBreak/>
        <w:t>Proposition soumise par le groupe des pays africains</w:t>
      </w:r>
    </w:p>
    <w:p w:rsidR="00460894" w:rsidRPr="00393172" w:rsidRDefault="00460894" w:rsidP="00460894">
      <w:pPr>
        <w:spacing w:before="248" w:line="228" w:lineRule="auto"/>
        <w:ind w:right="1057"/>
        <w:rPr>
          <w:rFonts w:eastAsia="Arial"/>
          <w:bCs/>
          <w:sz w:val="24"/>
          <w:szCs w:val="24"/>
        </w:rPr>
      </w:pPr>
      <w:r>
        <w:rPr>
          <w:sz w:val="24"/>
        </w:rPr>
        <w:t>Le groupe des pays africains soumet, pour examen par le Comité de coordination de l</w:t>
      </w:r>
      <w:r w:rsidR="000C1D21">
        <w:rPr>
          <w:sz w:val="24"/>
        </w:rPr>
        <w:t>’</w:t>
      </w:r>
      <w:r>
        <w:rPr>
          <w:sz w:val="24"/>
        </w:rPr>
        <w:t xml:space="preserve">OMPI, la </w:t>
      </w:r>
      <w:bookmarkStart w:id="7" w:name="_Hlk133693413"/>
      <w:r>
        <w:rPr>
          <w:sz w:val="24"/>
        </w:rPr>
        <w:t>modification ci</w:t>
      </w:r>
      <w:r w:rsidR="00AD4CD7">
        <w:rPr>
          <w:sz w:val="24"/>
        </w:rPr>
        <w:noBreakHyphen/>
      </w:r>
      <w:r>
        <w:rPr>
          <w:sz w:val="24"/>
        </w:rPr>
        <w:t>après du Statut du personnel</w:t>
      </w:r>
      <w:bookmarkEnd w:id="7"/>
      <w:r w:rsidRPr="002144B8">
        <w:rPr>
          <w:sz w:val="24"/>
        </w:rPr>
        <w:t>,</w:t>
      </w:r>
      <w:r>
        <w:t xml:space="preserve"> </w:t>
      </w:r>
      <w:r>
        <w:rPr>
          <w:sz w:val="24"/>
        </w:rPr>
        <w:t>aux fins de son entrée en vigueur le</w:t>
      </w:r>
      <w:r w:rsidR="00AD4CD7">
        <w:rPr>
          <w:sz w:val="24"/>
        </w:rPr>
        <w:t> </w:t>
      </w:r>
      <w:r w:rsidR="000C1D21">
        <w:rPr>
          <w:sz w:val="24"/>
        </w:rPr>
        <w:t>1</w:t>
      </w:r>
      <w:r w:rsidR="000C1D21" w:rsidRPr="000C1D21">
        <w:rPr>
          <w:sz w:val="24"/>
          <w:vertAlign w:val="superscript"/>
        </w:rPr>
        <w:t>er</w:t>
      </w:r>
      <w:r w:rsidR="000C1D21">
        <w:rPr>
          <w:sz w:val="24"/>
        </w:rPr>
        <w:t> janvier 20</w:t>
      </w:r>
      <w:r>
        <w:rPr>
          <w:sz w:val="24"/>
        </w:rPr>
        <w:t>24</w:t>
      </w:r>
      <w:r w:rsidR="000C1D21">
        <w:rPr>
          <w:sz w:val="24"/>
        </w:rPr>
        <w:t> :</w:t>
      </w:r>
    </w:p>
    <w:p w:rsidR="00460894" w:rsidRPr="00393172" w:rsidRDefault="00460894" w:rsidP="00460894">
      <w:pPr>
        <w:spacing w:before="248" w:line="228" w:lineRule="auto"/>
        <w:ind w:right="388"/>
        <w:rPr>
          <w:rFonts w:eastAsia="Arial"/>
          <w:bCs/>
          <w:sz w:val="24"/>
          <w:szCs w:val="24"/>
          <w:lang w:eastAsia="fr-CH"/>
        </w:rPr>
      </w:pPr>
    </w:p>
    <w:p w:rsidR="00460894" w:rsidRPr="00073872" w:rsidRDefault="00460894" w:rsidP="00460894">
      <w:pPr>
        <w:tabs>
          <w:tab w:val="left" w:pos="380"/>
        </w:tabs>
        <w:spacing w:after="160" w:line="259" w:lineRule="auto"/>
        <w:rPr>
          <w:rFonts w:ascii="Calibri" w:eastAsia="Calibri" w:hAnsi="Calibri"/>
          <w:b/>
          <w:bCs/>
          <w:kern w:val="2"/>
          <w:sz w:val="2"/>
          <w:szCs w:val="2"/>
          <w:lang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Proposition soumise par le groupe des pays africains"/>
        <w:tblDescription w:val="Amendements du Statut et Règlement du personnel"/>
      </w:tblPr>
      <w:tblGrid>
        <w:gridCol w:w="1838"/>
        <w:gridCol w:w="4678"/>
        <w:gridCol w:w="5245"/>
        <w:gridCol w:w="2126"/>
      </w:tblGrid>
      <w:tr w:rsidR="00460894" w:rsidRPr="00393172" w:rsidTr="00073872">
        <w:trPr>
          <w:tblHeader/>
        </w:trPr>
        <w:tc>
          <w:tcPr>
            <w:tcW w:w="1838" w:type="dxa"/>
          </w:tcPr>
          <w:p w:rsidR="00460894" w:rsidRPr="00393172" w:rsidRDefault="00460894" w:rsidP="0007387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Disposition</w:t>
            </w:r>
          </w:p>
        </w:tc>
        <w:tc>
          <w:tcPr>
            <w:tcW w:w="4678" w:type="dxa"/>
          </w:tcPr>
          <w:p w:rsidR="00460894" w:rsidRPr="00393172" w:rsidRDefault="00460894" w:rsidP="0007387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Texte actuel</w:t>
            </w:r>
          </w:p>
        </w:tc>
        <w:tc>
          <w:tcPr>
            <w:tcW w:w="5245" w:type="dxa"/>
          </w:tcPr>
          <w:p w:rsidR="00460894" w:rsidRPr="00393172" w:rsidRDefault="00460894" w:rsidP="0007387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Nouveau texte proposé</w:t>
            </w:r>
          </w:p>
        </w:tc>
        <w:tc>
          <w:tcPr>
            <w:tcW w:w="2126" w:type="dxa"/>
          </w:tcPr>
          <w:p w:rsidR="00460894" w:rsidRPr="00393172" w:rsidRDefault="00460894" w:rsidP="0007387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Objet/description de la modification</w:t>
            </w:r>
          </w:p>
        </w:tc>
      </w:tr>
      <w:tr w:rsidR="00460894" w:rsidRPr="00393172" w:rsidTr="00073872">
        <w:trPr>
          <w:trHeight w:val="2235"/>
        </w:trPr>
        <w:tc>
          <w:tcPr>
            <w:tcW w:w="1838" w:type="dxa"/>
          </w:tcPr>
          <w:p w:rsidR="00460894" w:rsidRPr="00073872" w:rsidRDefault="00460894" w:rsidP="00073872">
            <w:pPr>
              <w:rPr>
                <w:rFonts w:eastAsia="Calibri"/>
                <w:b/>
                <w:bCs/>
                <w:lang w:val="fr-CH" w:eastAsia="en-US"/>
              </w:rPr>
            </w:pPr>
          </w:p>
          <w:p w:rsidR="00460894" w:rsidRPr="00393172" w:rsidRDefault="000C1D21" w:rsidP="00073872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Article 4</w:t>
            </w:r>
            <w:r w:rsidR="00460894">
              <w:rPr>
                <w:b/>
              </w:rPr>
              <w:t>.8</w:t>
            </w:r>
          </w:p>
          <w:p w:rsidR="000C1D21" w:rsidRDefault="000C1D21" w:rsidP="00073872">
            <w:pPr>
              <w:rPr>
                <w:rFonts w:eastAsia="Calibri"/>
                <w:b/>
                <w:bCs/>
                <w:lang w:val="en-GB" w:eastAsia="en-US"/>
              </w:rPr>
            </w:pPr>
          </w:p>
          <w:p w:rsidR="00460894" w:rsidRPr="00AD4CD7" w:rsidRDefault="00460894" w:rsidP="00073872">
            <w:pPr>
              <w:rPr>
                <w:rFonts w:eastAsia="Calibri"/>
              </w:rPr>
            </w:pPr>
            <w:r>
              <w:t>Pouvoir de nomination</w:t>
            </w:r>
          </w:p>
        </w:tc>
        <w:tc>
          <w:tcPr>
            <w:tcW w:w="4678" w:type="dxa"/>
          </w:tcPr>
          <w:p w:rsidR="00460894" w:rsidRPr="00073872" w:rsidRDefault="00460894" w:rsidP="00073872">
            <w:pPr>
              <w:jc w:val="both"/>
              <w:rPr>
                <w:rFonts w:eastAsia="Calibri"/>
                <w:lang w:val="fr-CH" w:eastAsia="en-US"/>
              </w:rPr>
            </w:pPr>
          </w:p>
          <w:p w:rsidR="00460894" w:rsidRPr="00AD4CD7" w:rsidRDefault="00460894" w:rsidP="00AD4CD7">
            <w:pPr>
              <w:jc w:val="both"/>
              <w:rPr>
                <w:rFonts w:eastAsia="Calibri"/>
              </w:rPr>
            </w:pPr>
            <w:r>
              <w:t>Tous les fonctionnaires sont nommés par le Directeur génér</w:t>
            </w:r>
            <w:r w:rsidR="002144B8">
              <w:t>al.  Le</w:t>
            </w:r>
            <w:r>
              <w:t>s nominations à des postes de vice</w:t>
            </w:r>
            <w:r w:rsidR="00AD4CD7">
              <w:noBreakHyphen/>
            </w:r>
            <w:r>
              <w:t>directeur général requièrent l</w:t>
            </w:r>
            <w:r w:rsidR="000C1D21">
              <w:t>’</w:t>
            </w:r>
            <w:r>
              <w:t xml:space="preserve">approbation du </w:t>
            </w:r>
            <w:bookmarkStart w:id="8" w:name="_Hlk133684660"/>
            <w:r>
              <w:t>Comité de coordination de l</w:t>
            </w:r>
            <w:r w:rsidR="000C1D21">
              <w:t>’</w:t>
            </w:r>
            <w:r>
              <w:t>O</w:t>
            </w:r>
            <w:bookmarkEnd w:id="8"/>
            <w:r w:rsidR="002144B8">
              <w:t>MPI.  Le</w:t>
            </w:r>
            <w:r>
              <w:t>s nominations à des postes de sous</w:t>
            </w:r>
            <w:r w:rsidR="00AD4CD7">
              <w:noBreakHyphen/>
            </w:r>
            <w:r>
              <w:t>directeur général s</w:t>
            </w:r>
            <w:r w:rsidR="000C1D21">
              <w:t>’</w:t>
            </w:r>
            <w:r>
              <w:t>effectuent compte tenu de l</w:t>
            </w:r>
            <w:r w:rsidR="000C1D21">
              <w:t>’</w:t>
            </w:r>
            <w:r>
              <w:t>avis du Comité de coordination de l</w:t>
            </w:r>
            <w:r w:rsidR="000C1D21">
              <w:t>’</w:t>
            </w:r>
            <w:r>
              <w:t>O</w:t>
            </w:r>
            <w:r w:rsidR="002144B8">
              <w:t>MPI.  La</w:t>
            </w:r>
            <w:r>
              <w:t xml:space="preserve"> nomination du directeur de la Division de la supervision interne s</w:t>
            </w:r>
            <w:r w:rsidR="000C1D21">
              <w:t>’</w:t>
            </w:r>
            <w:r>
              <w:t>effectue compte tenu de l</w:t>
            </w:r>
            <w:r w:rsidR="000C1D21">
              <w:t>’</w:t>
            </w:r>
            <w:r>
              <w:t>avis du Comité de coordination de l</w:t>
            </w:r>
            <w:r w:rsidR="000C1D21">
              <w:t>’</w:t>
            </w:r>
            <w:r>
              <w:t>OMPI et de l</w:t>
            </w:r>
            <w:r w:rsidR="000C1D21">
              <w:t>’</w:t>
            </w:r>
            <w:r>
              <w:t>Organe consultatif indépendant de surveillance de l</w:t>
            </w:r>
            <w:r w:rsidR="000C1D21">
              <w:t>’</w:t>
            </w:r>
            <w:r>
              <w:t>OMPI.</w:t>
            </w:r>
          </w:p>
        </w:tc>
        <w:tc>
          <w:tcPr>
            <w:tcW w:w="5245" w:type="dxa"/>
          </w:tcPr>
          <w:p w:rsidR="00460894" w:rsidRPr="00073872" w:rsidRDefault="00460894" w:rsidP="00073872">
            <w:pPr>
              <w:jc w:val="both"/>
              <w:rPr>
                <w:rFonts w:eastAsia="Calibri"/>
                <w:lang w:val="fr-CH" w:eastAsia="en-US"/>
              </w:rPr>
            </w:pPr>
          </w:p>
          <w:p w:rsidR="00460894" w:rsidRPr="00393172" w:rsidRDefault="00460894" w:rsidP="00073872">
            <w:pPr>
              <w:jc w:val="both"/>
              <w:rPr>
                <w:rFonts w:eastAsia="Calibri"/>
              </w:rPr>
            </w:pPr>
            <w:r>
              <w:rPr>
                <w:b/>
              </w:rPr>
              <w:t>a)</w:t>
            </w:r>
            <w:r>
              <w:t xml:space="preserve"> Tous les fonctionnaires sont nommés par le Directeur génér</w:t>
            </w:r>
            <w:r w:rsidR="002144B8">
              <w:t>al.  Le</w:t>
            </w:r>
            <w:r>
              <w:t>s nominations à des postes de vice</w:t>
            </w:r>
            <w:r w:rsidR="00AD4CD7">
              <w:noBreakHyphen/>
            </w:r>
            <w:r>
              <w:t>directeur général requièrent l</w:t>
            </w:r>
            <w:r w:rsidR="000C1D21">
              <w:t>’</w:t>
            </w:r>
            <w:r>
              <w:t>approbation du Comité de coordination de l</w:t>
            </w:r>
            <w:r w:rsidR="000C1D21">
              <w:t>’</w:t>
            </w:r>
            <w:r>
              <w:t>O</w:t>
            </w:r>
            <w:r w:rsidR="002144B8">
              <w:t>MPI.  Le</w:t>
            </w:r>
            <w:r>
              <w:t>s nominations à des postes de sous</w:t>
            </w:r>
            <w:r w:rsidR="00AD4CD7">
              <w:noBreakHyphen/>
            </w:r>
            <w:r>
              <w:t>directeur général s</w:t>
            </w:r>
            <w:r w:rsidR="000C1D21">
              <w:t>’</w:t>
            </w:r>
            <w:r>
              <w:t>effectuent compte tenu de l</w:t>
            </w:r>
            <w:r w:rsidR="000C1D21">
              <w:t>’</w:t>
            </w:r>
            <w:r>
              <w:t>avis du Comité de coordination de l</w:t>
            </w:r>
            <w:r w:rsidR="000C1D21">
              <w:t>’</w:t>
            </w:r>
            <w:r>
              <w:t>O</w:t>
            </w:r>
            <w:r w:rsidR="002144B8">
              <w:t>MPI.  La</w:t>
            </w:r>
            <w:r>
              <w:t xml:space="preserve"> nomination du directeur de la Division de la supervision interne s</w:t>
            </w:r>
            <w:r w:rsidR="000C1D21">
              <w:t>’</w:t>
            </w:r>
            <w:r>
              <w:t>effectue compte tenu de l</w:t>
            </w:r>
            <w:r w:rsidR="000C1D21">
              <w:t>’</w:t>
            </w:r>
            <w:r>
              <w:t>avis du Comité de coordination de l</w:t>
            </w:r>
            <w:r w:rsidR="000C1D21">
              <w:t>’</w:t>
            </w:r>
            <w:r>
              <w:t>OMPI et de l</w:t>
            </w:r>
            <w:r w:rsidR="000C1D21">
              <w:t>’</w:t>
            </w:r>
            <w:r>
              <w:t>Organe consultatif indépendant de surveillance de l</w:t>
            </w:r>
            <w:r w:rsidR="000C1D21">
              <w:t>’</w:t>
            </w:r>
            <w:r>
              <w:t>OMPI.</w:t>
            </w:r>
          </w:p>
          <w:p w:rsidR="00460894" w:rsidRPr="00073872" w:rsidRDefault="00460894" w:rsidP="00073872">
            <w:pPr>
              <w:jc w:val="both"/>
              <w:rPr>
                <w:rFonts w:eastAsia="Calibri"/>
                <w:lang w:val="fr-CH" w:eastAsia="en-US"/>
              </w:rPr>
            </w:pPr>
          </w:p>
          <w:p w:rsidR="00460894" w:rsidRPr="00073872" w:rsidRDefault="00460894" w:rsidP="00073872">
            <w:pPr>
              <w:jc w:val="both"/>
              <w:rPr>
                <w:rFonts w:eastAsia="Calibri"/>
                <w:lang w:val="fr-CH" w:eastAsia="en-US"/>
              </w:rPr>
            </w:pPr>
          </w:p>
          <w:p w:rsidR="00460894" w:rsidRPr="00AD4CD7" w:rsidRDefault="00460894" w:rsidP="0007387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>b) Les promotions et nominations dans la catégorie spéciale font l</w:t>
            </w:r>
            <w:r w:rsidR="000C1D21">
              <w:rPr>
                <w:b/>
              </w:rPr>
              <w:t>’</w:t>
            </w:r>
            <w:r>
              <w:rPr>
                <w:b/>
              </w:rPr>
              <w:t>objet d</w:t>
            </w:r>
            <w:r w:rsidR="000C1D21">
              <w:rPr>
                <w:b/>
              </w:rPr>
              <w:t>’</w:t>
            </w:r>
            <w:r>
              <w:rPr>
                <w:b/>
              </w:rPr>
              <w:t>un rapport du Directeur général au Comité de coordination de l</w:t>
            </w:r>
            <w:r w:rsidR="000C1D21">
              <w:rPr>
                <w:b/>
              </w:rPr>
              <w:t>’</w:t>
            </w:r>
            <w:r>
              <w:rPr>
                <w:b/>
              </w:rPr>
              <w:t>OMPI, accompagné d</w:t>
            </w:r>
            <w:r w:rsidR="000C1D21">
              <w:rPr>
                <w:b/>
              </w:rPr>
              <w:t>’</w:t>
            </w:r>
            <w:r>
              <w:rPr>
                <w:b/>
              </w:rPr>
              <w:t>un bref exposé des qualifications des personnes ainsi promues ou nommées.</w:t>
            </w:r>
          </w:p>
        </w:tc>
        <w:tc>
          <w:tcPr>
            <w:tcW w:w="2126" w:type="dxa"/>
          </w:tcPr>
          <w:p w:rsidR="00460894" w:rsidRPr="00073872" w:rsidRDefault="00460894" w:rsidP="00073872">
            <w:pPr>
              <w:rPr>
                <w:rFonts w:eastAsia="Calibri"/>
                <w:b/>
                <w:bCs/>
                <w:lang w:val="fr-CH" w:eastAsia="en-US"/>
              </w:rPr>
            </w:pPr>
          </w:p>
          <w:p w:rsidR="00460894" w:rsidRPr="00AD4CD7" w:rsidRDefault="00460894" w:rsidP="00AD4CD7">
            <w:r>
              <w:t>Nouvel alinéa.</w:t>
            </w:r>
            <w:r w:rsidR="00972FAB">
              <w:t xml:space="preserve"> </w:t>
            </w:r>
            <w:r>
              <w:t xml:space="preserve"> b)</w:t>
            </w:r>
            <w:r w:rsidR="000C1D21">
              <w:t> :</w:t>
            </w:r>
            <w:r>
              <w:t xml:space="preserve"> Vise à préciser que les promotions et les nominations dans la catégorie spéciale font l</w:t>
            </w:r>
            <w:r w:rsidR="000C1D21">
              <w:t>’</w:t>
            </w:r>
            <w:r>
              <w:t>objet d</w:t>
            </w:r>
            <w:r w:rsidR="000C1D21">
              <w:t>’</w:t>
            </w:r>
            <w:r>
              <w:t>un rapport au Comité de coordination de l</w:t>
            </w:r>
            <w:r w:rsidR="000C1D21">
              <w:t>’</w:t>
            </w:r>
            <w:r>
              <w:t>OMPI.</w:t>
            </w:r>
          </w:p>
        </w:tc>
      </w:tr>
    </w:tbl>
    <w:p w:rsidR="00460894" w:rsidRDefault="00460894" w:rsidP="00AD4CD7">
      <w:pPr>
        <w:pStyle w:val="Endofdocument-Annex"/>
        <w:spacing w:before="720"/>
        <w:jc w:val="right"/>
      </w:pPr>
      <w:r>
        <w:t>[Fin de l</w:t>
      </w:r>
      <w:r w:rsidR="000C1D21">
        <w:t>’</w:t>
      </w:r>
      <w:r>
        <w:t>annexe et du document]</w:t>
      </w:r>
    </w:p>
    <w:sectPr w:rsidR="00460894" w:rsidSect="00AD4CD7">
      <w:headerReference w:type="default" r:id="rId14"/>
      <w:headerReference w:type="first" r:id="rId15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94" w:rsidRDefault="00460894">
      <w:r>
        <w:separator/>
      </w:r>
    </w:p>
  </w:endnote>
  <w:endnote w:type="continuationSeparator" w:id="0">
    <w:p w:rsidR="00460894" w:rsidRPr="009D30E6" w:rsidRDefault="0046089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60894" w:rsidRPr="009D30E6" w:rsidRDefault="0046089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60894" w:rsidRPr="009D30E6" w:rsidRDefault="0046089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AF2" w:rsidRDefault="003C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94" w:rsidRDefault="00460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94" w:rsidRDefault="0046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94" w:rsidRDefault="00460894">
      <w:r>
        <w:separator/>
      </w:r>
    </w:p>
  </w:footnote>
  <w:footnote w:type="continuationSeparator" w:id="0">
    <w:p w:rsidR="00460894" w:rsidRDefault="00460894" w:rsidP="007461F1">
      <w:r>
        <w:separator/>
      </w:r>
    </w:p>
    <w:p w:rsidR="00460894" w:rsidRPr="009D30E6" w:rsidRDefault="0046089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60894" w:rsidRPr="009D30E6" w:rsidRDefault="0046089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AF2" w:rsidRDefault="003C0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94" w:rsidRDefault="00460894" w:rsidP="00477D6B">
    <w:pPr>
      <w:jc w:val="right"/>
    </w:pPr>
  </w:p>
  <w:p w:rsidR="00460894" w:rsidRDefault="00460894" w:rsidP="00477D6B">
    <w:pPr>
      <w:jc w:val="right"/>
    </w:pPr>
    <w:r>
      <w:t>WO/CC/82/4</w:t>
    </w:r>
  </w:p>
  <w:p w:rsidR="00460894" w:rsidRDefault="00460894" w:rsidP="00477D6B">
    <w:pPr>
      <w:jc w:val="right"/>
    </w:pPr>
    <w:r>
      <w:t>ANNEXE</w:t>
    </w:r>
  </w:p>
  <w:p w:rsidR="00460894" w:rsidRDefault="00460894" w:rsidP="00477D6B">
    <w:pPr>
      <w:jc w:val="right"/>
    </w:pPr>
  </w:p>
  <w:p w:rsidR="00460894" w:rsidRDefault="0046089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AF2" w:rsidRDefault="003C0A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60894" w:rsidP="00477D6B">
    <w:pPr>
      <w:jc w:val="right"/>
    </w:pPr>
    <w:bookmarkStart w:id="9" w:name="Code2"/>
    <w:bookmarkEnd w:id="9"/>
    <w:r>
      <w:t>WO/CC/82/4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D4CD7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  <w:p w:rsidR="004D0DEB" w:rsidRDefault="004D0DE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D7" w:rsidRDefault="00AD4CD7" w:rsidP="00AD4CD7">
    <w:pPr>
      <w:pStyle w:val="Header"/>
      <w:jc w:val="right"/>
    </w:pPr>
    <w:r>
      <w:t>WO/CC/82/4</w:t>
    </w:r>
  </w:p>
  <w:p w:rsidR="00AD4CD7" w:rsidRDefault="00AD4CD7" w:rsidP="00AD4CD7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94"/>
    <w:rsid w:val="00011B7D"/>
    <w:rsid w:val="00075432"/>
    <w:rsid w:val="000C1D21"/>
    <w:rsid w:val="000F5E56"/>
    <w:rsid w:val="001362EE"/>
    <w:rsid w:val="001832A6"/>
    <w:rsid w:val="00195C6E"/>
    <w:rsid w:val="001B266A"/>
    <w:rsid w:val="001D3D56"/>
    <w:rsid w:val="002144B8"/>
    <w:rsid w:val="00240654"/>
    <w:rsid w:val="002634C4"/>
    <w:rsid w:val="002D4918"/>
    <w:rsid w:val="002E4D1A"/>
    <w:rsid w:val="002F16BC"/>
    <w:rsid w:val="002F1B6F"/>
    <w:rsid w:val="002F4E68"/>
    <w:rsid w:val="00315FCA"/>
    <w:rsid w:val="003845C1"/>
    <w:rsid w:val="003A1BCD"/>
    <w:rsid w:val="003C0AF2"/>
    <w:rsid w:val="004008A2"/>
    <w:rsid w:val="004025DF"/>
    <w:rsid w:val="00423E3E"/>
    <w:rsid w:val="00427AF4"/>
    <w:rsid w:val="00460894"/>
    <w:rsid w:val="004647DA"/>
    <w:rsid w:val="00477D6B"/>
    <w:rsid w:val="004D0DE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C0EC4"/>
    <w:rsid w:val="007D6961"/>
    <w:rsid w:val="007F07CB"/>
    <w:rsid w:val="00810CEF"/>
    <w:rsid w:val="0081208D"/>
    <w:rsid w:val="00842A13"/>
    <w:rsid w:val="008B2CC1"/>
    <w:rsid w:val="008E7930"/>
    <w:rsid w:val="0090731E"/>
    <w:rsid w:val="00910266"/>
    <w:rsid w:val="00966A22"/>
    <w:rsid w:val="00972FAB"/>
    <w:rsid w:val="00974CD6"/>
    <w:rsid w:val="009D30E6"/>
    <w:rsid w:val="009E3F6F"/>
    <w:rsid w:val="009F34A2"/>
    <w:rsid w:val="009F499F"/>
    <w:rsid w:val="00A3221E"/>
    <w:rsid w:val="00AC0AE4"/>
    <w:rsid w:val="00AD4CD7"/>
    <w:rsid w:val="00AD61DB"/>
    <w:rsid w:val="00B87BCF"/>
    <w:rsid w:val="00B9020F"/>
    <w:rsid w:val="00BA62D4"/>
    <w:rsid w:val="00C40E15"/>
    <w:rsid w:val="00C664C8"/>
    <w:rsid w:val="00C76A79"/>
    <w:rsid w:val="00CA15F5"/>
    <w:rsid w:val="00CE1438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C26F0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73D57BA-1962-4690-AB35-97A5F23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table" w:customStyle="1" w:styleId="TableGrid1">
    <w:name w:val="Table Grid1"/>
    <w:basedOn w:val="TableNormal"/>
    <w:next w:val="TableGrid"/>
    <w:uiPriority w:val="39"/>
    <w:rsid w:val="00460894"/>
    <w:rPr>
      <w:rFonts w:ascii="Calibri" w:eastAsia="Calibri" w:hAnsi="Calibri" w:cs="Arial"/>
      <w:kern w:val="2"/>
      <w:sz w:val="22"/>
      <w:szCs w:val="22"/>
      <w:lang w:val="fr-F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14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44B8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semiHidden/>
    <w:unhideWhenUsed/>
    <w:rsid w:val="00214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82 (F)</Template>
  <TotalTime>20</TotalTime>
  <Pages>2</Pages>
  <Words>366</Words>
  <Characters>2047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</vt:lpstr>
    </vt:vector>
  </TitlesOfParts>
  <Company>WIPO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WO/CC/82/4</dc:title>
  <dc:creator>WIPO</dc:creator>
  <cp:keywords>FOR OFFICIAL USE ONLY</cp:keywords>
  <cp:lastModifiedBy>HÄFLIGER Patience</cp:lastModifiedBy>
  <cp:revision>5</cp:revision>
  <cp:lastPrinted>2011-05-19T12:37:00Z</cp:lastPrinted>
  <dcterms:created xsi:type="dcterms:W3CDTF">2023-05-19T09:41:00Z</dcterms:created>
  <dcterms:modified xsi:type="dcterms:W3CDTF">2023-05-19T12:15:00Z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2023-05-19T12:14:26Z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465104f5-3c7e-4c6c-9a6b-9b11a6fb847a</vt:lpwstr>
  </property>
  <property fmtid="{D5CDD505-2E9C-101B-9397-08002B2CF9AE}" pid="14" name="MSIP_Label_20773ee6-353b-4fb9-a59d-0b94c8c67bea_ContentBits">
    <vt:lpwstr>0</vt:lpwstr>
  </property>
</Properties>
</file>