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274C3" w14:textId="77777777" w:rsidR="002C3836" w:rsidRPr="001C2554" w:rsidRDefault="002C3836" w:rsidP="002C3836">
      <w:pPr>
        <w:spacing w:after="120"/>
        <w:jc w:val="right"/>
        <w:rPr>
          <w:lang w:val="fr-FR"/>
        </w:rPr>
      </w:pPr>
      <w:r w:rsidRPr="001C2554">
        <w:rPr>
          <w:noProof/>
          <w:lang w:eastAsia="en-US"/>
        </w:rPr>
        <w:drawing>
          <wp:inline distT="0" distB="0" distL="0" distR="0" wp14:anchorId="769C48B4" wp14:editId="649E0FC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bookmarkStart w:id="0" w:name="_GoBack"/>
      <w:bookmarkEnd w:id="0"/>
      <w:r w:rsidRPr="001C2554">
        <w:rPr>
          <w:rFonts w:ascii="Arial Black" w:hAnsi="Arial Black"/>
          <w:caps/>
          <w:noProof/>
          <w:sz w:val="15"/>
          <w:szCs w:val="15"/>
          <w:lang w:eastAsia="en-US"/>
        </w:rPr>
        <mc:AlternateContent>
          <mc:Choice Requires="wps">
            <w:drawing>
              <wp:inline distT="0" distB="0" distL="0" distR="0" wp14:anchorId="1ECF74BF" wp14:editId="17BE931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DDF16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89649B6" w14:textId="77777777" w:rsidR="002C3836" w:rsidRPr="001C2554" w:rsidRDefault="002C3836" w:rsidP="002C3836">
      <w:pPr>
        <w:jc w:val="right"/>
        <w:rPr>
          <w:rFonts w:ascii="Arial Black" w:hAnsi="Arial Black"/>
          <w:caps/>
          <w:sz w:val="15"/>
          <w:szCs w:val="15"/>
          <w:lang w:val="fr-FR"/>
        </w:rPr>
      </w:pPr>
      <w:r w:rsidRPr="001C2554">
        <w:rPr>
          <w:rFonts w:ascii="Arial Black" w:hAnsi="Arial Black"/>
          <w:caps/>
          <w:sz w:val="15"/>
          <w:szCs w:val="15"/>
          <w:lang w:val="fr-FR"/>
        </w:rPr>
        <w:t>WO/CC/81/</w:t>
      </w:r>
      <w:bookmarkStart w:id="1" w:name="Code"/>
      <w:r w:rsidRPr="001C2554">
        <w:rPr>
          <w:rFonts w:ascii="Arial Black" w:hAnsi="Arial Black"/>
          <w:caps/>
          <w:sz w:val="15"/>
          <w:szCs w:val="15"/>
          <w:lang w:val="fr-FR"/>
        </w:rPr>
        <w:t>INF/1</w:t>
      </w:r>
    </w:p>
    <w:bookmarkEnd w:id="1"/>
    <w:p w14:paraId="2896A209" w14:textId="217B2E52" w:rsidR="002C3836" w:rsidRPr="001C2554" w:rsidRDefault="002C3836" w:rsidP="002C3836">
      <w:pPr>
        <w:jc w:val="right"/>
        <w:rPr>
          <w:rFonts w:ascii="Arial Black" w:hAnsi="Arial Black"/>
          <w:caps/>
          <w:sz w:val="15"/>
          <w:szCs w:val="15"/>
          <w:lang w:val="fr-FR"/>
        </w:rPr>
      </w:pPr>
      <w:r w:rsidRPr="001C2554">
        <w:rPr>
          <w:rFonts w:ascii="Arial Black" w:hAnsi="Arial Black"/>
          <w:caps/>
          <w:sz w:val="15"/>
          <w:szCs w:val="15"/>
          <w:lang w:val="fr-FR"/>
        </w:rPr>
        <w:t>Original</w:t>
      </w:r>
      <w:r w:rsidR="006115E0" w:rsidRPr="001C2554">
        <w:rPr>
          <w:rFonts w:ascii="Arial Black" w:hAnsi="Arial Black"/>
          <w:caps/>
          <w:sz w:val="15"/>
          <w:szCs w:val="15"/>
          <w:lang w:val="fr-FR"/>
        </w:rPr>
        <w:t> :</w:t>
      </w:r>
      <w:r w:rsidRPr="001C2554">
        <w:rPr>
          <w:rFonts w:ascii="Arial Black" w:hAnsi="Arial Black"/>
          <w:caps/>
          <w:sz w:val="15"/>
          <w:szCs w:val="15"/>
          <w:lang w:val="fr-FR"/>
        </w:rPr>
        <w:t xml:space="preserve"> </w:t>
      </w:r>
      <w:bookmarkStart w:id="2" w:name="Original"/>
      <w:r w:rsidRPr="001C2554">
        <w:rPr>
          <w:rFonts w:ascii="Arial Black" w:hAnsi="Arial Black"/>
          <w:caps/>
          <w:sz w:val="15"/>
          <w:szCs w:val="15"/>
          <w:lang w:val="fr-FR"/>
        </w:rPr>
        <w:t>anglais</w:t>
      </w:r>
    </w:p>
    <w:bookmarkEnd w:id="2"/>
    <w:p w14:paraId="35D301B8" w14:textId="37267533" w:rsidR="002C3836" w:rsidRPr="001C2554" w:rsidRDefault="002C3836" w:rsidP="002C3836">
      <w:pPr>
        <w:spacing w:after="1200"/>
        <w:jc w:val="right"/>
        <w:rPr>
          <w:rFonts w:ascii="Arial Black" w:hAnsi="Arial Black"/>
          <w:caps/>
          <w:sz w:val="15"/>
          <w:szCs w:val="15"/>
          <w:lang w:val="fr-FR"/>
        </w:rPr>
      </w:pPr>
      <w:r w:rsidRPr="001C2554">
        <w:rPr>
          <w:rFonts w:ascii="Arial Black" w:hAnsi="Arial Black"/>
          <w:caps/>
          <w:sz w:val="15"/>
          <w:szCs w:val="15"/>
          <w:lang w:val="fr-FR"/>
        </w:rPr>
        <w:t>date</w:t>
      </w:r>
      <w:r w:rsidR="006115E0" w:rsidRPr="001C2554">
        <w:rPr>
          <w:rFonts w:ascii="Arial Black" w:hAnsi="Arial Black"/>
          <w:caps/>
          <w:sz w:val="15"/>
          <w:szCs w:val="15"/>
          <w:lang w:val="fr-FR"/>
        </w:rPr>
        <w:t> :</w:t>
      </w:r>
      <w:r w:rsidRPr="001C2554">
        <w:rPr>
          <w:rFonts w:ascii="Arial Black" w:hAnsi="Arial Black"/>
          <w:caps/>
          <w:sz w:val="15"/>
          <w:szCs w:val="15"/>
          <w:lang w:val="fr-FR"/>
        </w:rPr>
        <w:t xml:space="preserve"> </w:t>
      </w:r>
      <w:bookmarkStart w:id="3" w:name="Date"/>
      <w:r w:rsidR="00473865" w:rsidRPr="001C2554">
        <w:rPr>
          <w:rFonts w:ascii="Arial Black" w:hAnsi="Arial Black"/>
          <w:caps/>
          <w:sz w:val="15"/>
          <w:szCs w:val="15"/>
          <w:lang w:val="fr-FR"/>
        </w:rPr>
        <w:t>2</w:t>
      </w:r>
      <w:r w:rsidR="009A47FE" w:rsidRPr="001C2554">
        <w:rPr>
          <w:rFonts w:ascii="Arial Black" w:hAnsi="Arial Black"/>
          <w:caps/>
          <w:sz w:val="15"/>
          <w:szCs w:val="15"/>
          <w:lang w:val="fr-FR"/>
        </w:rPr>
        <w:t>3 mai 20</w:t>
      </w:r>
      <w:r w:rsidRPr="001C2554">
        <w:rPr>
          <w:rFonts w:ascii="Arial Black" w:hAnsi="Arial Black"/>
          <w:caps/>
          <w:sz w:val="15"/>
          <w:szCs w:val="15"/>
          <w:lang w:val="fr-FR"/>
        </w:rPr>
        <w:t>22</w:t>
      </w:r>
    </w:p>
    <w:bookmarkEnd w:id="3"/>
    <w:p w14:paraId="7AF5D07F" w14:textId="6AE44767" w:rsidR="002C3836" w:rsidRPr="001C2554" w:rsidRDefault="002C3836" w:rsidP="00B72597">
      <w:pPr>
        <w:spacing w:after="480"/>
        <w:rPr>
          <w:b/>
          <w:sz w:val="28"/>
          <w:szCs w:val="28"/>
          <w:lang w:val="fr-FR"/>
        </w:rPr>
      </w:pPr>
      <w:r w:rsidRPr="001C2554">
        <w:rPr>
          <w:b/>
          <w:sz w:val="28"/>
          <w:szCs w:val="28"/>
          <w:lang w:val="fr-FR"/>
        </w:rPr>
        <w:t>Comité de coordination de I</w:t>
      </w:r>
      <w:r w:rsidR="006115E0" w:rsidRPr="001C2554">
        <w:rPr>
          <w:b/>
          <w:sz w:val="28"/>
          <w:szCs w:val="28"/>
          <w:lang w:val="fr-FR"/>
        </w:rPr>
        <w:t>’</w:t>
      </w:r>
      <w:r w:rsidRPr="001C2554">
        <w:rPr>
          <w:b/>
          <w:sz w:val="28"/>
          <w:szCs w:val="28"/>
          <w:lang w:val="fr-FR"/>
        </w:rPr>
        <w:t>OMPI</w:t>
      </w:r>
    </w:p>
    <w:p w14:paraId="434CA47A" w14:textId="1D2758B5" w:rsidR="002C3836" w:rsidRPr="001C2554" w:rsidRDefault="002C3836" w:rsidP="002C3836">
      <w:pPr>
        <w:rPr>
          <w:b/>
          <w:sz w:val="24"/>
          <w:szCs w:val="24"/>
          <w:lang w:val="fr-FR"/>
        </w:rPr>
      </w:pPr>
      <w:r w:rsidRPr="001C2554">
        <w:rPr>
          <w:b/>
          <w:sz w:val="24"/>
          <w:szCs w:val="24"/>
          <w:lang w:val="fr-FR"/>
        </w:rPr>
        <w:t>Quatre</w:t>
      </w:r>
      <w:r w:rsidR="00687F84">
        <w:rPr>
          <w:b/>
          <w:sz w:val="24"/>
          <w:szCs w:val="24"/>
          <w:lang w:val="fr-FR"/>
        </w:rPr>
        <w:noBreakHyphen/>
      </w:r>
      <w:r w:rsidRPr="001C2554">
        <w:rPr>
          <w:b/>
          <w:sz w:val="24"/>
          <w:szCs w:val="24"/>
          <w:lang w:val="fr-FR"/>
        </w:rPr>
        <w:t>vingt</w:t>
      </w:r>
      <w:r w:rsidR="00687F84">
        <w:rPr>
          <w:b/>
          <w:sz w:val="24"/>
          <w:szCs w:val="24"/>
          <w:lang w:val="fr-FR"/>
        </w:rPr>
        <w:noBreakHyphen/>
      </w:r>
      <w:r w:rsidRPr="001C2554">
        <w:rPr>
          <w:b/>
          <w:sz w:val="24"/>
          <w:szCs w:val="24"/>
          <w:lang w:val="fr-FR"/>
        </w:rPr>
        <w:t>un</w:t>
      </w:r>
      <w:r w:rsidR="006115E0" w:rsidRPr="001C2554">
        <w:rPr>
          <w:b/>
          <w:sz w:val="24"/>
          <w:szCs w:val="24"/>
          <w:lang w:val="fr-FR"/>
        </w:rPr>
        <w:t>ième session</w:t>
      </w:r>
      <w:r w:rsidRPr="001C2554">
        <w:rPr>
          <w:b/>
          <w:sz w:val="24"/>
          <w:szCs w:val="24"/>
          <w:lang w:val="fr-FR"/>
        </w:rPr>
        <w:t xml:space="preserve"> (53</w:t>
      </w:r>
      <w:r w:rsidRPr="001C2554">
        <w:rPr>
          <w:b/>
          <w:sz w:val="24"/>
          <w:szCs w:val="24"/>
          <w:vertAlign w:val="superscript"/>
          <w:lang w:val="fr-FR"/>
        </w:rPr>
        <w:t>e</w:t>
      </w:r>
      <w:r w:rsidR="00FC110E" w:rsidRPr="001C2554">
        <w:rPr>
          <w:b/>
          <w:sz w:val="24"/>
          <w:szCs w:val="24"/>
          <w:lang w:val="fr-FR"/>
        </w:rPr>
        <w:t> </w:t>
      </w:r>
      <w:r w:rsidRPr="001C2554">
        <w:rPr>
          <w:b/>
          <w:sz w:val="24"/>
          <w:szCs w:val="24"/>
          <w:lang w:val="fr-FR"/>
        </w:rPr>
        <w:t>session ordinaire)</w:t>
      </w:r>
    </w:p>
    <w:p w14:paraId="6E4EBE66" w14:textId="35F31BDD" w:rsidR="002C3836" w:rsidRPr="001C2554" w:rsidRDefault="002C3836" w:rsidP="002C3836">
      <w:pPr>
        <w:spacing w:after="720"/>
        <w:rPr>
          <w:b/>
          <w:sz w:val="24"/>
          <w:szCs w:val="24"/>
          <w:lang w:val="fr-FR"/>
        </w:rPr>
      </w:pPr>
      <w:r w:rsidRPr="001C2554">
        <w:rPr>
          <w:b/>
          <w:sz w:val="24"/>
          <w:szCs w:val="24"/>
          <w:lang w:val="fr-FR"/>
        </w:rPr>
        <w:t>Genève, 14 – 2</w:t>
      </w:r>
      <w:r w:rsidR="009A47FE" w:rsidRPr="001C2554">
        <w:rPr>
          <w:b/>
          <w:sz w:val="24"/>
          <w:szCs w:val="24"/>
          <w:lang w:val="fr-FR"/>
        </w:rPr>
        <w:t>2 juillet 20</w:t>
      </w:r>
      <w:r w:rsidRPr="001C2554">
        <w:rPr>
          <w:b/>
          <w:sz w:val="24"/>
          <w:szCs w:val="24"/>
          <w:lang w:val="fr-FR"/>
        </w:rPr>
        <w:t>22</w:t>
      </w:r>
    </w:p>
    <w:p w14:paraId="5DEB4657" w14:textId="77777777" w:rsidR="002C3836" w:rsidRPr="001C2554" w:rsidRDefault="002C3836" w:rsidP="002C3836">
      <w:pPr>
        <w:spacing w:after="360"/>
        <w:rPr>
          <w:caps/>
          <w:sz w:val="24"/>
          <w:lang w:val="fr-FR"/>
        </w:rPr>
      </w:pPr>
      <w:bookmarkStart w:id="4" w:name="TitleOfDoc"/>
      <w:r w:rsidRPr="001C2554">
        <w:rPr>
          <w:caps/>
          <w:sz w:val="24"/>
          <w:lang w:val="fr-FR"/>
        </w:rPr>
        <w:t>Rapport annuel sur les ressources humaines</w:t>
      </w:r>
    </w:p>
    <w:p w14:paraId="25F6580A" w14:textId="77777777" w:rsidR="002C3836" w:rsidRPr="001C2554" w:rsidRDefault="002C3836" w:rsidP="002C3836">
      <w:pPr>
        <w:spacing w:after="960"/>
        <w:rPr>
          <w:lang w:val="fr-FR"/>
        </w:rPr>
      </w:pPr>
      <w:bookmarkStart w:id="5" w:name="Prepared"/>
      <w:bookmarkEnd w:id="4"/>
      <w:proofErr w:type="gramStart"/>
      <w:r w:rsidRPr="001C2554">
        <w:rPr>
          <w:i/>
          <w:lang w:val="fr-FR"/>
        </w:rPr>
        <w:t>établi</w:t>
      </w:r>
      <w:proofErr w:type="gramEnd"/>
      <w:r w:rsidRPr="001C2554">
        <w:rPr>
          <w:i/>
          <w:lang w:val="fr-FR"/>
        </w:rPr>
        <w:t xml:space="preserve"> par le Secrétariat</w:t>
      </w:r>
    </w:p>
    <w:bookmarkEnd w:id="5"/>
    <w:p w14:paraId="21B67C10" w14:textId="653123C3" w:rsidR="006E4BE7" w:rsidRPr="001C2554" w:rsidRDefault="006E4BE7" w:rsidP="00B72597">
      <w:pPr>
        <w:pStyle w:val="Heading1"/>
      </w:pPr>
      <w:r w:rsidRPr="001C2554">
        <w:t>Introduction</w:t>
      </w:r>
    </w:p>
    <w:p w14:paraId="751A5501" w14:textId="0D95BBB9" w:rsidR="009A47FE" w:rsidRPr="001C2554" w:rsidRDefault="006410C7" w:rsidP="00C25DC2">
      <w:pPr>
        <w:pStyle w:val="ONUMFS"/>
        <w:rPr>
          <w:lang w:val="fr-FR"/>
        </w:rPr>
      </w:pPr>
      <w:r w:rsidRPr="001C2554">
        <w:rPr>
          <w:lang w:val="fr-FR"/>
        </w:rPr>
        <w:t>Compte tenu de la convocation des assemblées des États membres de l</w:t>
      </w:r>
      <w:r w:rsidR="006115E0" w:rsidRPr="001C2554">
        <w:rPr>
          <w:lang w:val="fr-FR"/>
        </w:rPr>
        <w:t>’</w:t>
      </w:r>
      <w:r w:rsidRPr="001C2554">
        <w:rPr>
          <w:lang w:val="fr-FR"/>
        </w:rPr>
        <w:t>OMPI en juillet 2022, le présent rapport annuel sur les ressources humaines couvre pour la première fois une année civile, c</w:t>
      </w:r>
      <w:r w:rsidR="006115E0" w:rsidRPr="001C2554">
        <w:rPr>
          <w:lang w:val="fr-FR"/>
        </w:rPr>
        <w:t>’</w:t>
      </w:r>
      <w:r w:rsidRPr="001C2554">
        <w:rPr>
          <w:lang w:val="fr-FR"/>
        </w:rPr>
        <w:t>est</w:t>
      </w:r>
      <w:r w:rsidR="00687F84">
        <w:rPr>
          <w:lang w:val="fr-FR"/>
        </w:rPr>
        <w:noBreakHyphen/>
      </w:r>
      <w:r w:rsidRPr="001C2554">
        <w:rPr>
          <w:lang w:val="fr-FR"/>
        </w:rPr>
        <w:t>à</w:t>
      </w:r>
      <w:r w:rsidR="00687F84">
        <w:rPr>
          <w:lang w:val="fr-FR"/>
        </w:rPr>
        <w:noBreakHyphen/>
      </w:r>
      <w:r w:rsidRPr="001C2554">
        <w:rPr>
          <w:lang w:val="fr-FR"/>
        </w:rPr>
        <w:t>dire la période allant du</w:t>
      </w:r>
      <w:r w:rsidR="006115E0" w:rsidRPr="001C2554">
        <w:rPr>
          <w:lang w:val="fr-FR"/>
        </w:rPr>
        <w:t xml:space="preserve"> 1</w:t>
      </w:r>
      <w:r w:rsidR="006115E0" w:rsidRPr="001C2554">
        <w:rPr>
          <w:vertAlign w:val="superscript"/>
          <w:lang w:val="fr-FR"/>
        </w:rPr>
        <w:t>er</w:t>
      </w:r>
      <w:r w:rsidR="006115E0" w:rsidRPr="001C2554">
        <w:rPr>
          <w:lang w:val="fr-FR"/>
        </w:rPr>
        <w:t> </w:t>
      </w:r>
      <w:r w:rsidRPr="001C2554">
        <w:rPr>
          <w:lang w:val="fr-FR"/>
        </w:rPr>
        <w:t xml:space="preserve">janvier au 31 décembre 2021.  À ce titre, il reprend également certains des thèmes abordés dans le précédent </w:t>
      </w:r>
      <w:hyperlink r:id="rId9" w:history="1">
        <w:r w:rsidRPr="001C2554">
          <w:rPr>
            <w:rStyle w:val="Hyperlink"/>
            <w:szCs w:val="22"/>
            <w:lang w:val="fr-FR"/>
          </w:rPr>
          <w:t>rapport annuel</w:t>
        </w:r>
      </w:hyperlink>
      <w:r w:rsidR="004F467D" w:rsidRPr="001C2554">
        <w:rPr>
          <w:lang w:val="fr-FR"/>
        </w:rPr>
        <w:t xml:space="preserve">, </w:t>
      </w:r>
      <w:r w:rsidRPr="001C2554">
        <w:rPr>
          <w:lang w:val="fr-FR"/>
        </w:rPr>
        <w:t>qui couvrait la période du</w:t>
      </w:r>
      <w:r w:rsidR="006115E0" w:rsidRPr="001C2554">
        <w:rPr>
          <w:lang w:val="fr-FR"/>
        </w:rPr>
        <w:t xml:space="preserve"> 1</w:t>
      </w:r>
      <w:r w:rsidR="006115E0" w:rsidRPr="001C2554">
        <w:rPr>
          <w:vertAlign w:val="superscript"/>
          <w:lang w:val="fr-FR"/>
        </w:rPr>
        <w:t>er</w:t>
      </w:r>
      <w:r w:rsidR="006115E0" w:rsidRPr="001C2554">
        <w:rPr>
          <w:lang w:val="fr-FR"/>
        </w:rPr>
        <w:t> </w:t>
      </w:r>
      <w:r w:rsidRPr="001C2554">
        <w:rPr>
          <w:lang w:val="fr-FR"/>
        </w:rPr>
        <w:t>juillet 2020 au 30 juin 2021</w:t>
      </w:r>
      <w:r w:rsidR="004F467D" w:rsidRPr="001C2554">
        <w:rPr>
          <w:lang w:val="fr-FR"/>
        </w:rPr>
        <w:t>.</w:t>
      </w:r>
    </w:p>
    <w:p w14:paraId="5EBCE4C3" w14:textId="3174D1A8" w:rsidR="009A47FE" w:rsidRPr="001C2554" w:rsidRDefault="006410C7" w:rsidP="00C25DC2">
      <w:pPr>
        <w:pStyle w:val="ONUMFS"/>
        <w:rPr>
          <w:lang w:val="fr-FR"/>
        </w:rPr>
      </w:pPr>
      <w:r w:rsidRPr="001C2554">
        <w:rPr>
          <w:lang w:val="fr-FR"/>
        </w:rPr>
        <w:t>Le rapport porte sur toutes les questions relatives aux ressources humaines sur lesquelles il doit être fait rapport au Comité de coordination de l</w:t>
      </w:r>
      <w:r w:rsidR="006115E0" w:rsidRPr="001C2554">
        <w:rPr>
          <w:lang w:val="fr-FR"/>
        </w:rPr>
        <w:t>’</w:t>
      </w:r>
      <w:r w:rsidRPr="001C2554">
        <w:rPr>
          <w:lang w:val="fr-FR"/>
        </w:rPr>
        <w:t>OMPI, ainsi que sur d</w:t>
      </w:r>
      <w:r w:rsidR="006115E0" w:rsidRPr="001C2554">
        <w:rPr>
          <w:lang w:val="fr-FR"/>
        </w:rPr>
        <w:t>’</w:t>
      </w:r>
      <w:r w:rsidRPr="001C2554">
        <w:rPr>
          <w:lang w:val="fr-FR"/>
        </w:rPr>
        <w:t>autres questions relatives au personnel présentant un intérêt pour les États membr</w:t>
      </w:r>
      <w:r w:rsidR="001C2554" w:rsidRPr="001C2554">
        <w:rPr>
          <w:lang w:val="fr-FR"/>
        </w:rPr>
        <w:t>es.  Il</w:t>
      </w:r>
      <w:r w:rsidRPr="001C2554">
        <w:rPr>
          <w:lang w:val="fr-FR"/>
        </w:rPr>
        <w:t xml:space="preserve"> comprend aussi des informations sur les progrès accomplis dans la réalisation des objectifs en matière de dotation en personnel ainsi qu</w:t>
      </w:r>
      <w:r w:rsidR="006115E0" w:rsidRPr="001C2554">
        <w:rPr>
          <w:lang w:val="fr-FR"/>
        </w:rPr>
        <w:t>’</w:t>
      </w:r>
      <w:r w:rsidRPr="001C2554">
        <w:rPr>
          <w:lang w:val="fr-FR"/>
        </w:rPr>
        <w:t>un aperçu des politiques, initiatives et activités liées aux ressources humaines qui sont alignées sur la stratégie de l</w:t>
      </w:r>
      <w:r w:rsidR="006115E0" w:rsidRPr="001C2554">
        <w:rPr>
          <w:lang w:val="fr-FR"/>
        </w:rPr>
        <w:t>’</w:t>
      </w:r>
      <w:r w:rsidRPr="001C2554">
        <w:rPr>
          <w:lang w:val="fr-FR"/>
        </w:rPr>
        <w:t xml:space="preserve">OMPI en matière de ressources humaines </w:t>
      </w:r>
      <w:r w:rsidR="009A47FE" w:rsidRPr="001C2554">
        <w:rPr>
          <w:lang w:val="fr-FR"/>
        </w:rPr>
        <w:t>pour 2017</w:t>
      </w:r>
      <w:r w:rsidR="00687F84">
        <w:rPr>
          <w:lang w:val="fr-FR"/>
        </w:rPr>
        <w:noBreakHyphen/>
      </w:r>
      <w:r w:rsidRPr="001C2554">
        <w:rPr>
          <w:lang w:val="fr-FR"/>
        </w:rPr>
        <w:t>2021</w:t>
      </w:r>
      <w:r w:rsidR="00276BEE" w:rsidRPr="001C2554">
        <w:rPr>
          <w:lang w:val="fr-FR"/>
        </w:rPr>
        <w:t>.</w:t>
      </w:r>
    </w:p>
    <w:p w14:paraId="2E284B92" w14:textId="180D42FD" w:rsidR="009A47FE" w:rsidRPr="001C2554" w:rsidRDefault="006410C7" w:rsidP="00C25DC2">
      <w:pPr>
        <w:pStyle w:val="ONUMFS"/>
        <w:rPr>
          <w:lang w:val="fr-FR"/>
        </w:rPr>
      </w:pPr>
      <w:r w:rsidRPr="001C2554">
        <w:rPr>
          <w:lang w:val="fr-FR"/>
        </w:rPr>
        <w:t>Outre l</w:t>
      </w:r>
      <w:r w:rsidR="006115E0" w:rsidRPr="001C2554">
        <w:rPr>
          <w:lang w:val="fr-FR"/>
        </w:rPr>
        <w:t>’</w:t>
      </w:r>
      <w:r w:rsidRPr="001C2554">
        <w:rPr>
          <w:lang w:val="fr-FR"/>
        </w:rPr>
        <w:t>introduction, le rapport annuel est structuré comme suit</w:t>
      </w:r>
      <w:r w:rsidR="006115E0" w:rsidRPr="001C2554">
        <w:rPr>
          <w:lang w:val="fr-FR"/>
        </w:rPr>
        <w:t> :</w:t>
      </w:r>
    </w:p>
    <w:p w14:paraId="0C92EAA5" w14:textId="6AB5D9B6" w:rsidR="009A47FE" w:rsidRPr="001C2554" w:rsidRDefault="00B72597" w:rsidP="00C25DC2">
      <w:pPr>
        <w:pStyle w:val="ONUMFS"/>
        <w:numPr>
          <w:ilvl w:val="0"/>
          <w:numId w:val="22"/>
        </w:numPr>
        <w:ind w:left="1134" w:hanging="567"/>
        <w:rPr>
          <w:lang w:val="fr-FR"/>
        </w:rPr>
      </w:pPr>
      <w:proofErr w:type="gramStart"/>
      <w:r w:rsidRPr="001C2554">
        <w:rPr>
          <w:lang w:val="fr-FR"/>
        </w:rPr>
        <w:t>a</w:t>
      </w:r>
      <w:r w:rsidR="006410C7" w:rsidRPr="001C2554">
        <w:rPr>
          <w:lang w:val="fr-FR"/>
        </w:rPr>
        <w:t>perçu</w:t>
      </w:r>
      <w:proofErr w:type="gramEnd"/>
      <w:r w:rsidR="006410C7" w:rsidRPr="001C2554">
        <w:rPr>
          <w:lang w:val="fr-FR"/>
        </w:rPr>
        <w:t xml:space="preserve"> des principales tendances concernant l</w:t>
      </w:r>
      <w:r w:rsidR="006115E0" w:rsidRPr="001C2554">
        <w:rPr>
          <w:lang w:val="fr-FR"/>
        </w:rPr>
        <w:t>’</w:t>
      </w:r>
      <w:r w:rsidR="006410C7" w:rsidRPr="001C2554">
        <w:rPr>
          <w:lang w:val="fr-FR"/>
        </w:rPr>
        <w:t>effectif</w:t>
      </w:r>
      <w:r w:rsidR="00276BEE" w:rsidRPr="001C2554">
        <w:rPr>
          <w:lang w:val="fr-FR"/>
        </w:rPr>
        <w:t>;</w:t>
      </w:r>
    </w:p>
    <w:p w14:paraId="43210A4D" w14:textId="2C0CBBBD" w:rsidR="006E4BE7" w:rsidRPr="001C2554" w:rsidRDefault="00B72597" w:rsidP="00C25DC2">
      <w:pPr>
        <w:pStyle w:val="ONUMFS"/>
        <w:numPr>
          <w:ilvl w:val="0"/>
          <w:numId w:val="22"/>
        </w:numPr>
        <w:ind w:left="1134" w:hanging="567"/>
        <w:rPr>
          <w:lang w:val="fr-FR"/>
        </w:rPr>
      </w:pPr>
      <w:proofErr w:type="gramStart"/>
      <w:r w:rsidRPr="001C2554">
        <w:rPr>
          <w:lang w:val="fr-FR"/>
        </w:rPr>
        <w:t>q</w:t>
      </w:r>
      <w:r w:rsidR="00473865" w:rsidRPr="001C2554">
        <w:rPr>
          <w:lang w:val="fr-FR"/>
        </w:rPr>
        <w:t>u</w:t>
      </w:r>
      <w:r w:rsidR="006410C7" w:rsidRPr="001C2554">
        <w:rPr>
          <w:lang w:val="fr-FR"/>
        </w:rPr>
        <w:t>estions</w:t>
      </w:r>
      <w:proofErr w:type="gramEnd"/>
      <w:r w:rsidR="006410C7" w:rsidRPr="001C2554">
        <w:rPr>
          <w:lang w:val="fr-FR"/>
        </w:rPr>
        <w:t xml:space="preserve"> qui doivent statutairement être portées à la connaissance des États membres</w:t>
      </w:r>
      <w:r w:rsidR="00276BEE" w:rsidRPr="001C2554">
        <w:rPr>
          <w:lang w:val="fr-FR"/>
        </w:rPr>
        <w:t>;</w:t>
      </w:r>
    </w:p>
    <w:p w14:paraId="2213D271" w14:textId="61AB2686" w:rsidR="006E4BE7" w:rsidRPr="001C2554" w:rsidRDefault="00B72597" w:rsidP="00C25DC2">
      <w:pPr>
        <w:pStyle w:val="ONUMFS"/>
        <w:numPr>
          <w:ilvl w:val="0"/>
          <w:numId w:val="22"/>
        </w:numPr>
        <w:ind w:left="1134" w:hanging="567"/>
        <w:rPr>
          <w:lang w:val="fr-FR"/>
        </w:rPr>
      </w:pPr>
      <w:proofErr w:type="gramStart"/>
      <w:r w:rsidRPr="001C2554">
        <w:rPr>
          <w:lang w:val="fr-FR"/>
        </w:rPr>
        <w:t>d</w:t>
      </w:r>
      <w:r w:rsidR="00473865" w:rsidRPr="001C2554">
        <w:rPr>
          <w:lang w:val="fr-FR"/>
        </w:rPr>
        <w:t>é</w:t>
      </w:r>
      <w:r w:rsidR="006410C7" w:rsidRPr="001C2554">
        <w:rPr>
          <w:lang w:val="fr-FR"/>
        </w:rPr>
        <w:t>fis</w:t>
      </w:r>
      <w:proofErr w:type="gramEnd"/>
      <w:r w:rsidR="006410C7" w:rsidRPr="001C2554">
        <w:rPr>
          <w:lang w:val="fr-FR"/>
        </w:rPr>
        <w:t>, nouveaux objectifs et changements intervenus à l</w:t>
      </w:r>
      <w:r w:rsidR="006115E0" w:rsidRPr="001C2554">
        <w:rPr>
          <w:lang w:val="fr-FR"/>
        </w:rPr>
        <w:t>’</w:t>
      </w:r>
      <w:r w:rsidR="006410C7" w:rsidRPr="001C2554">
        <w:rPr>
          <w:lang w:val="fr-FR"/>
        </w:rPr>
        <w:t>OMPI</w:t>
      </w:r>
      <w:r w:rsidR="00276BEE" w:rsidRPr="001C2554">
        <w:rPr>
          <w:lang w:val="fr-FR"/>
        </w:rPr>
        <w:t xml:space="preserve">; </w:t>
      </w:r>
      <w:r w:rsidR="006410C7" w:rsidRPr="001C2554">
        <w:rPr>
          <w:lang w:val="fr-FR"/>
        </w:rPr>
        <w:t xml:space="preserve"> et</w:t>
      </w:r>
    </w:p>
    <w:p w14:paraId="6DFAB829" w14:textId="3F91D834" w:rsidR="006E4BE7" w:rsidRPr="001C2554" w:rsidRDefault="00B72597" w:rsidP="00C25DC2">
      <w:pPr>
        <w:pStyle w:val="ONUMFS"/>
        <w:numPr>
          <w:ilvl w:val="0"/>
          <w:numId w:val="22"/>
        </w:numPr>
        <w:ind w:left="1134" w:hanging="567"/>
        <w:rPr>
          <w:lang w:val="fr-FR"/>
        </w:rPr>
      </w:pPr>
      <w:proofErr w:type="gramStart"/>
      <w:r w:rsidRPr="001C2554">
        <w:rPr>
          <w:lang w:val="fr-FR"/>
        </w:rPr>
        <w:t>p</w:t>
      </w:r>
      <w:r w:rsidR="006410C7" w:rsidRPr="001C2554">
        <w:rPr>
          <w:lang w:val="fr-FR"/>
        </w:rPr>
        <w:t>rogrès</w:t>
      </w:r>
      <w:proofErr w:type="gramEnd"/>
      <w:r w:rsidR="006410C7" w:rsidRPr="001C2554">
        <w:rPr>
          <w:lang w:val="fr-FR"/>
        </w:rPr>
        <w:t xml:space="preserve"> réalisés au cours de l</w:t>
      </w:r>
      <w:r w:rsidR="006115E0" w:rsidRPr="001C2554">
        <w:rPr>
          <w:lang w:val="fr-FR"/>
        </w:rPr>
        <w:t>’</w:t>
      </w:r>
      <w:r w:rsidR="006410C7" w:rsidRPr="001C2554">
        <w:rPr>
          <w:lang w:val="fr-FR"/>
        </w:rPr>
        <w:t>année écoulée</w:t>
      </w:r>
      <w:r w:rsidR="008974D8" w:rsidRPr="001C2554">
        <w:rPr>
          <w:lang w:val="fr-FR"/>
        </w:rPr>
        <w:t>.</w:t>
      </w:r>
    </w:p>
    <w:p w14:paraId="7FDA2C01" w14:textId="2C697506" w:rsidR="006E4BE7" w:rsidRPr="001C2554" w:rsidRDefault="006E4BE7" w:rsidP="00B72597">
      <w:pPr>
        <w:pStyle w:val="Heading1"/>
      </w:pPr>
      <w:r w:rsidRPr="001C2554">
        <w:lastRenderedPageBreak/>
        <w:t>L</w:t>
      </w:r>
      <w:r w:rsidR="006115E0" w:rsidRPr="001C2554">
        <w:t>’</w:t>
      </w:r>
      <w:r w:rsidRPr="001C2554">
        <w:t>effectif en un clin d</w:t>
      </w:r>
      <w:r w:rsidR="006115E0" w:rsidRPr="001C2554">
        <w:t>’</w:t>
      </w:r>
      <w:r w:rsidRPr="001C2554">
        <w:t>œil</w:t>
      </w:r>
    </w:p>
    <w:p w14:paraId="706CBFA5" w14:textId="2DA8B17C" w:rsidR="009A47FE" w:rsidRPr="001C2554" w:rsidRDefault="006410C7" w:rsidP="00C25DC2">
      <w:pPr>
        <w:pStyle w:val="ONUMFS"/>
        <w:rPr>
          <w:lang w:val="fr-FR"/>
        </w:rPr>
      </w:pPr>
      <w:r w:rsidRPr="001C2554">
        <w:rPr>
          <w:lang w:val="fr-FR"/>
        </w:rPr>
        <w:t>Au 31 décembre 2021, l</w:t>
      </w:r>
      <w:r w:rsidR="006115E0" w:rsidRPr="001C2554">
        <w:rPr>
          <w:lang w:val="fr-FR"/>
        </w:rPr>
        <w:t>’</w:t>
      </w:r>
      <w:r w:rsidRPr="001C2554">
        <w:rPr>
          <w:lang w:val="fr-FR"/>
        </w:rPr>
        <w:t>effectif total de l</w:t>
      </w:r>
      <w:r w:rsidR="006115E0" w:rsidRPr="001C2554">
        <w:rPr>
          <w:lang w:val="fr-FR"/>
        </w:rPr>
        <w:t>’</w:t>
      </w:r>
      <w:r w:rsidRPr="001C2554">
        <w:rPr>
          <w:lang w:val="fr-FR"/>
        </w:rPr>
        <w:t>OMPI s</w:t>
      </w:r>
      <w:r w:rsidR="006115E0" w:rsidRPr="001C2554">
        <w:rPr>
          <w:lang w:val="fr-FR"/>
        </w:rPr>
        <w:t>’</w:t>
      </w:r>
      <w:r w:rsidRPr="001C2554">
        <w:rPr>
          <w:lang w:val="fr-FR"/>
        </w:rPr>
        <w:t>élevait à 1588 personnes</w:t>
      </w:r>
      <w:r w:rsidR="006221A7" w:rsidRPr="001C2554">
        <w:rPr>
          <w:lang w:val="fr-FR"/>
        </w:rPr>
        <w:t>.</w:t>
      </w:r>
    </w:p>
    <w:p w14:paraId="133B2184" w14:textId="3D2E0CD4" w:rsidR="006E4BE7" w:rsidRPr="001C2554" w:rsidRDefault="006410C7" w:rsidP="00C25DC2">
      <w:pPr>
        <w:pStyle w:val="ONUMFS"/>
        <w:rPr>
          <w:lang w:val="fr-FR"/>
        </w:rPr>
      </w:pPr>
      <w:r w:rsidRPr="001C2554">
        <w:rPr>
          <w:lang w:val="fr-FR"/>
        </w:rPr>
        <w:t>Par rapport à la dernière période de référence</w:t>
      </w:r>
      <w:r w:rsidRPr="001C2554">
        <w:rPr>
          <w:rStyle w:val="FootnoteReference"/>
          <w:szCs w:val="22"/>
          <w:lang w:val="fr-FR"/>
        </w:rPr>
        <w:footnoteReference w:id="2"/>
      </w:r>
      <w:r w:rsidRPr="001C2554">
        <w:rPr>
          <w:lang w:val="fr-FR"/>
        </w:rPr>
        <w:t>, le personnel affecté à des tâches permanentes</w:t>
      </w:r>
      <w:r w:rsidRPr="001C2554">
        <w:rPr>
          <w:rStyle w:val="FootnoteReference"/>
          <w:szCs w:val="22"/>
          <w:lang w:val="fr-FR"/>
        </w:rPr>
        <w:footnoteReference w:id="3"/>
      </w:r>
      <w:r w:rsidRPr="001C2554">
        <w:rPr>
          <w:lang w:val="fr-FR"/>
        </w:rPr>
        <w:t xml:space="preserve"> a légèrement diminué (1074 personnes contre 1083), soit 67,6% de l</w:t>
      </w:r>
      <w:r w:rsidR="006115E0" w:rsidRPr="001C2554">
        <w:rPr>
          <w:lang w:val="fr-FR"/>
        </w:rPr>
        <w:t>’</w:t>
      </w:r>
      <w:r w:rsidRPr="001C2554">
        <w:rPr>
          <w:lang w:val="fr-FR"/>
        </w:rPr>
        <w:t>effectif</w:t>
      </w:r>
      <w:r w:rsidR="00473865" w:rsidRPr="001C2554">
        <w:rPr>
          <w:lang w:val="fr-FR"/>
        </w:rPr>
        <w:t xml:space="preserve"> total</w:t>
      </w:r>
      <w:r w:rsidRPr="001C2554">
        <w:rPr>
          <w:lang w:val="fr-FR"/>
        </w:rPr>
        <w:t>, tandis que l</w:t>
      </w:r>
      <w:r w:rsidR="006115E0" w:rsidRPr="001C2554">
        <w:rPr>
          <w:lang w:val="fr-FR"/>
        </w:rPr>
        <w:t>’</w:t>
      </w:r>
      <w:r w:rsidRPr="001C2554">
        <w:rPr>
          <w:lang w:val="fr-FR"/>
        </w:rPr>
        <w:t>effectif modulable</w:t>
      </w:r>
      <w:r w:rsidRPr="001C2554">
        <w:rPr>
          <w:rStyle w:val="FootnoteReference"/>
          <w:szCs w:val="22"/>
          <w:lang w:val="fr-FR"/>
        </w:rPr>
        <w:footnoteReference w:id="4"/>
      </w:r>
      <w:r w:rsidRPr="001C2554">
        <w:rPr>
          <w:lang w:val="fr-FR"/>
        </w:rPr>
        <w:t xml:space="preserve"> a augmenté (514 personnes contre 489), soit 32,4% de l</w:t>
      </w:r>
      <w:r w:rsidR="006115E0" w:rsidRPr="001C2554">
        <w:rPr>
          <w:lang w:val="fr-FR"/>
        </w:rPr>
        <w:t>’</w:t>
      </w:r>
      <w:r w:rsidRPr="001C2554">
        <w:rPr>
          <w:lang w:val="fr-FR"/>
        </w:rPr>
        <w:t>effectif</w:t>
      </w:r>
      <w:r w:rsidR="006221A7" w:rsidRPr="001C2554">
        <w:rPr>
          <w:lang w:val="fr-FR"/>
        </w:rPr>
        <w:t>.</w:t>
      </w:r>
    </w:p>
    <w:p w14:paraId="20F5E41F" w14:textId="47D8BAE6" w:rsidR="009A47FE" w:rsidRPr="001C2554" w:rsidRDefault="006410C7" w:rsidP="00C25DC2">
      <w:pPr>
        <w:pStyle w:val="ONUMFS"/>
        <w:rPr>
          <w:lang w:val="fr-FR"/>
        </w:rPr>
      </w:pPr>
      <w:r w:rsidRPr="001C2554">
        <w:rPr>
          <w:lang w:val="fr-FR"/>
        </w:rPr>
        <w:t>S</w:t>
      </w:r>
      <w:r w:rsidR="006115E0" w:rsidRPr="001C2554">
        <w:rPr>
          <w:lang w:val="fr-FR"/>
        </w:rPr>
        <w:t>’</w:t>
      </w:r>
      <w:r w:rsidRPr="001C2554">
        <w:rPr>
          <w:lang w:val="fr-FR"/>
        </w:rPr>
        <w:t>agissant de l</w:t>
      </w:r>
      <w:r w:rsidR="006115E0" w:rsidRPr="001C2554">
        <w:rPr>
          <w:lang w:val="fr-FR"/>
        </w:rPr>
        <w:t>’</w:t>
      </w:r>
      <w:r w:rsidRPr="001C2554">
        <w:rPr>
          <w:lang w:val="fr-FR"/>
        </w:rPr>
        <w:t>égalité entre les sexes, les femmes représentaient 53,2% de l</w:t>
      </w:r>
      <w:r w:rsidR="006115E0" w:rsidRPr="001C2554">
        <w:rPr>
          <w:lang w:val="fr-FR"/>
        </w:rPr>
        <w:t>’</w:t>
      </w:r>
      <w:r w:rsidR="004E5E29">
        <w:rPr>
          <w:lang w:val="fr-FR"/>
        </w:rPr>
        <w:t>effectif </w:t>
      </w:r>
      <w:r w:rsidRPr="001C2554">
        <w:rPr>
          <w:lang w:val="fr-FR"/>
        </w:rPr>
        <w:t>(845), tandis que les hommes en représentaient 46,8% (743), étant entendu que cette représentation varie selon les catégori</w:t>
      </w:r>
      <w:r w:rsidR="001C2554" w:rsidRPr="001C2554">
        <w:rPr>
          <w:lang w:val="fr-FR"/>
        </w:rPr>
        <w:t>es.  En</w:t>
      </w:r>
      <w:r w:rsidRPr="001C2554">
        <w:rPr>
          <w:lang w:val="fr-FR"/>
        </w:rPr>
        <w:t xml:space="preserve"> ce qui concerne le personnel affecté à des tâches permanentes, soit 1074 </w:t>
      </w:r>
      <w:r w:rsidR="00966021" w:rsidRPr="001C2554">
        <w:rPr>
          <w:lang w:val="fr-FR"/>
        </w:rPr>
        <w:t>fonctionnair</w:t>
      </w:r>
      <w:r w:rsidRPr="001C2554">
        <w:rPr>
          <w:lang w:val="fr-FR"/>
        </w:rPr>
        <w:t>es, les femmes représentaient 54,2% (582) de cette catégorie de personnel, et les hommes 45,8% (492).  L</w:t>
      </w:r>
      <w:r w:rsidR="006115E0" w:rsidRPr="001C2554">
        <w:rPr>
          <w:lang w:val="fr-FR"/>
        </w:rPr>
        <w:t>’</w:t>
      </w:r>
      <w:r w:rsidRPr="001C2554">
        <w:rPr>
          <w:lang w:val="fr-FR"/>
        </w:rPr>
        <w:t>âge moyen combiné de l</w:t>
      </w:r>
      <w:r w:rsidR="006115E0" w:rsidRPr="001C2554">
        <w:rPr>
          <w:lang w:val="fr-FR"/>
        </w:rPr>
        <w:t>’</w:t>
      </w:r>
      <w:r w:rsidRPr="001C2554">
        <w:rPr>
          <w:lang w:val="fr-FR"/>
        </w:rPr>
        <w:t>effectif affecté à des tâches permanentes était de 49,6 ans</w:t>
      </w:r>
      <w:r w:rsidR="006221A7" w:rsidRPr="001C2554">
        <w:rPr>
          <w:lang w:val="fr-FR"/>
        </w:rPr>
        <w:t>.</w:t>
      </w:r>
    </w:p>
    <w:p w14:paraId="2F2660FE" w14:textId="6F64025D" w:rsidR="009A47FE" w:rsidRPr="001C2554" w:rsidRDefault="002F408B" w:rsidP="00C25DC2">
      <w:pPr>
        <w:pStyle w:val="ONUMFS"/>
        <w:rPr>
          <w:lang w:val="fr-FR"/>
        </w:rPr>
      </w:pPr>
      <w:r w:rsidRPr="001C2554">
        <w:rPr>
          <w:lang w:val="fr-FR"/>
        </w:rPr>
        <w:t>En ce qui concerne la représentation géographique en général et grâce à une série de campagnes d</w:t>
      </w:r>
      <w:r w:rsidR="006115E0" w:rsidRPr="001C2554">
        <w:rPr>
          <w:lang w:val="fr-FR"/>
        </w:rPr>
        <w:t>’</w:t>
      </w:r>
      <w:r w:rsidRPr="001C2554">
        <w:rPr>
          <w:lang w:val="fr-FR"/>
        </w:rPr>
        <w:t>information, 121 États membres étaient représentés à tous les niveaux et dans toutes les catégories de personnel, tandis que 110 États membres étaient représentés aux postes soumis à la répartition géographique</w:t>
      </w:r>
      <w:r w:rsidRPr="001C2554">
        <w:rPr>
          <w:rStyle w:val="FootnoteReference"/>
          <w:szCs w:val="22"/>
          <w:lang w:val="fr-FR"/>
        </w:rPr>
        <w:footnoteReference w:id="5"/>
      </w:r>
      <w:r w:rsidRPr="001C2554">
        <w:rPr>
          <w:lang w:val="fr-FR"/>
        </w:rPr>
        <w:t>.</w:t>
      </w:r>
    </w:p>
    <w:p w14:paraId="05FCE452" w14:textId="680537B0" w:rsidR="009A47FE" w:rsidRPr="001C2554" w:rsidRDefault="006E4BE7" w:rsidP="00C25DC2">
      <w:pPr>
        <w:pStyle w:val="ONUMFS"/>
        <w:rPr>
          <w:lang w:val="fr-FR"/>
        </w:rPr>
      </w:pPr>
      <w:r w:rsidRPr="001C2554">
        <w:rPr>
          <w:lang w:val="fr-FR"/>
        </w:rPr>
        <w:t>Un document distinct contenant des données et des indicateurs essentiels sur l</w:t>
      </w:r>
      <w:r w:rsidR="006115E0" w:rsidRPr="001C2554">
        <w:rPr>
          <w:lang w:val="fr-FR"/>
        </w:rPr>
        <w:t>’</w:t>
      </w:r>
      <w:r w:rsidRPr="001C2554">
        <w:rPr>
          <w:lang w:val="fr-FR"/>
        </w:rPr>
        <w:t>effectif de l</w:t>
      </w:r>
      <w:r w:rsidR="006115E0" w:rsidRPr="001C2554">
        <w:rPr>
          <w:lang w:val="fr-FR"/>
        </w:rPr>
        <w:t>’</w:t>
      </w:r>
      <w:r w:rsidRPr="001C2554">
        <w:rPr>
          <w:lang w:val="fr-FR"/>
        </w:rPr>
        <w:t>OMPI, la diversité, la recherche de talents, le perfectionnement et la formation ainsi que la gestion des conflits, couvrant la même période de référence ou par année civile, est accessible en ligne</w:t>
      </w:r>
      <w:r w:rsidRPr="001C2554">
        <w:rPr>
          <w:color w:val="800080"/>
          <w:lang w:val="fr-FR"/>
        </w:rPr>
        <w:t>.</w:t>
      </w:r>
    </w:p>
    <w:p w14:paraId="72254A56" w14:textId="5D39BDEF" w:rsidR="006E4BE7" w:rsidRPr="001C2554" w:rsidRDefault="006E4BE7" w:rsidP="00B72597">
      <w:pPr>
        <w:pStyle w:val="Heading1"/>
      </w:pPr>
      <w:r w:rsidRPr="001C2554">
        <w:t xml:space="preserve">Questions devant </w:t>
      </w:r>
      <w:r w:rsidR="002F408B" w:rsidRPr="001C2554">
        <w:t>statuta</w:t>
      </w:r>
      <w:r w:rsidRPr="001C2554">
        <w:t>irement être portées à la connaissance du Comité de coordination de l</w:t>
      </w:r>
      <w:r w:rsidR="006115E0" w:rsidRPr="001C2554">
        <w:t>’</w:t>
      </w:r>
      <w:r w:rsidRPr="001C2554">
        <w:t>OMPI</w:t>
      </w:r>
    </w:p>
    <w:p w14:paraId="2463434E" w14:textId="3C1C3A57" w:rsidR="006E4BE7" w:rsidRPr="004E5E29" w:rsidRDefault="006E4BE7" w:rsidP="00C33511">
      <w:pPr>
        <w:pStyle w:val="Heading2"/>
      </w:pPr>
      <w:r w:rsidRPr="004E5E29">
        <w:t>Licenciements</w:t>
      </w:r>
    </w:p>
    <w:p w14:paraId="4477D94C" w14:textId="2372B9AE" w:rsidR="006E4BE7" w:rsidRPr="001C2554" w:rsidRDefault="002F408B" w:rsidP="00C25DC2">
      <w:pPr>
        <w:pStyle w:val="ONUMFS"/>
        <w:rPr>
          <w:lang w:val="fr-FR"/>
        </w:rPr>
      </w:pPr>
      <w:r w:rsidRPr="001C2554">
        <w:rPr>
          <w:lang w:val="fr-FR"/>
        </w:rPr>
        <w:t>En application de l</w:t>
      </w:r>
      <w:r w:rsidR="006115E0" w:rsidRPr="001C2554">
        <w:rPr>
          <w:lang w:val="fr-FR"/>
        </w:rPr>
        <w:t>’</w:t>
      </w:r>
      <w:r w:rsidR="009A47FE" w:rsidRPr="001C2554">
        <w:rPr>
          <w:lang w:val="fr-FR"/>
        </w:rPr>
        <w:t>article 9</w:t>
      </w:r>
      <w:r w:rsidRPr="001C2554">
        <w:rPr>
          <w:lang w:val="fr-FR"/>
        </w:rPr>
        <w:t>.2.g) du Statut du personnel, le Directeur général doit porter à la connaissance du Comité de coordination de l</w:t>
      </w:r>
      <w:r w:rsidR="006115E0" w:rsidRPr="001C2554">
        <w:rPr>
          <w:lang w:val="fr-FR"/>
        </w:rPr>
        <w:t>’</w:t>
      </w:r>
      <w:r w:rsidRPr="001C2554">
        <w:rPr>
          <w:lang w:val="fr-FR"/>
        </w:rPr>
        <w:t>OMPI tous les cas de licencieme</w:t>
      </w:r>
      <w:r w:rsidR="001C2554" w:rsidRPr="001C2554">
        <w:rPr>
          <w:lang w:val="fr-FR"/>
        </w:rPr>
        <w:t>nt.  Le</w:t>
      </w:r>
      <w:r w:rsidRPr="001C2554">
        <w:rPr>
          <w:lang w:val="fr-FR"/>
        </w:rPr>
        <w:t>s licenciements suivants ont eu lieu entre le</w:t>
      </w:r>
      <w:r w:rsidR="006115E0" w:rsidRPr="001C2554">
        <w:rPr>
          <w:lang w:val="fr-FR"/>
        </w:rPr>
        <w:t xml:space="preserve"> 1</w:t>
      </w:r>
      <w:r w:rsidR="006115E0" w:rsidRPr="001C2554">
        <w:rPr>
          <w:vertAlign w:val="superscript"/>
          <w:lang w:val="fr-FR"/>
        </w:rPr>
        <w:t>er</w:t>
      </w:r>
      <w:r w:rsidR="006115E0" w:rsidRPr="001C2554">
        <w:rPr>
          <w:lang w:val="fr-FR"/>
        </w:rPr>
        <w:t> </w:t>
      </w:r>
      <w:r w:rsidRPr="001C2554">
        <w:rPr>
          <w:lang w:val="fr-FR"/>
        </w:rPr>
        <w:t>janvier et le 31 décembre 2021</w:t>
      </w:r>
      <w:r w:rsidR="006115E0" w:rsidRPr="001C2554">
        <w:rPr>
          <w:lang w:val="fr-FR"/>
        </w:rPr>
        <w:t> :</w:t>
      </w:r>
    </w:p>
    <w:p w14:paraId="57E91EAC" w14:textId="2D1272E4" w:rsidR="006E4BE7" w:rsidRPr="001C2554" w:rsidRDefault="002F408B" w:rsidP="00687F84">
      <w:pPr>
        <w:pStyle w:val="ONUMFS"/>
        <w:numPr>
          <w:ilvl w:val="0"/>
          <w:numId w:val="23"/>
        </w:numPr>
        <w:spacing w:after="0"/>
        <w:ind w:left="1134" w:hanging="567"/>
        <w:rPr>
          <w:lang w:val="fr-FR"/>
        </w:rPr>
      </w:pPr>
      <w:proofErr w:type="gramStart"/>
      <w:r w:rsidRPr="001C2554">
        <w:rPr>
          <w:lang w:val="fr-FR"/>
        </w:rPr>
        <w:t>quatre</w:t>
      </w:r>
      <w:proofErr w:type="gramEnd"/>
      <w:r w:rsidRPr="001C2554">
        <w:rPr>
          <w:lang w:val="fr-FR"/>
        </w:rPr>
        <w:t xml:space="preserve"> pour raisons de santé, conformément à l</w:t>
      </w:r>
      <w:r w:rsidR="006115E0" w:rsidRPr="001C2554">
        <w:rPr>
          <w:lang w:val="fr-FR"/>
        </w:rPr>
        <w:t>’</w:t>
      </w:r>
      <w:r w:rsidRPr="001C2554">
        <w:rPr>
          <w:lang w:val="fr-FR"/>
        </w:rPr>
        <w:t>article 9.2.a)2) du Statut du personnel</w:t>
      </w:r>
      <w:r w:rsidR="00BF21AE" w:rsidRPr="001C2554">
        <w:rPr>
          <w:lang w:val="fr-FR"/>
        </w:rPr>
        <w:t>;</w:t>
      </w:r>
    </w:p>
    <w:p w14:paraId="388E3EA0" w14:textId="6AD5654A" w:rsidR="006E4BE7" w:rsidRPr="001C2554" w:rsidRDefault="006E4BE7" w:rsidP="00C25DC2">
      <w:pPr>
        <w:pStyle w:val="ONUMFS"/>
        <w:numPr>
          <w:ilvl w:val="0"/>
          <w:numId w:val="23"/>
        </w:numPr>
        <w:ind w:left="1134" w:hanging="567"/>
        <w:rPr>
          <w:lang w:val="fr-FR"/>
        </w:rPr>
      </w:pPr>
      <w:proofErr w:type="gramStart"/>
      <w:r w:rsidRPr="001C2554">
        <w:rPr>
          <w:lang w:val="fr-FR"/>
        </w:rPr>
        <w:t>neuf</w:t>
      </w:r>
      <w:proofErr w:type="gramEnd"/>
      <w:r w:rsidRPr="001C2554">
        <w:rPr>
          <w:lang w:val="fr-FR"/>
        </w:rPr>
        <w:t>, dans l</w:t>
      </w:r>
      <w:r w:rsidR="006115E0" w:rsidRPr="001C2554">
        <w:rPr>
          <w:lang w:val="fr-FR"/>
        </w:rPr>
        <w:t>’</w:t>
      </w:r>
      <w:r w:rsidRPr="001C2554">
        <w:rPr>
          <w:lang w:val="fr-FR"/>
        </w:rPr>
        <w:t>intérêt d</w:t>
      </w:r>
      <w:r w:rsidR="006115E0" w:rsidRPr="001C2554">
        <w:rPr>
          <w:lang w:val="fr-FR"/>
        </w:rPr>
        <w:t>’</w:t>
      </w:r>
      <w:r w:rsidRPr="001C2554">
        <w:rPr>
          <w:lang w:val="fr-FR"/>
        </w:rPr>
        <w:t>une bonne administration de l</w:t>
      </w:r>
      <w:r w:rsidR="006115E0" w:rsidRPr="001C2554">
        <w:rPr>
          <w:lang w:val="fr-FR"/>
        </w:rPr>
        <w:t>’</w:t>
      </w:r>
      <w:r w:rsidRPr="001C2554">
        <w:rPr>
          <w:lang w:val="fr-FR"/>
        </w:rPr>
        <w:t>Organisation et avec le consentement des fonctionnaires concernés, conformément à l</w:t>
      </w:r>
      <w:r w:rsidR="006115E0" w:rsidRPr="001C2554">
        <w:rPr>
          <w:lang w:val="fr-FR"/>
        </w:rPr>
        <w:t>’</w:t>
      </w:r>
      <w:r w:rsidR="009A47FE" w:rsidRPr="001C2554">
        <w:rPr>
          <w:lang w:val="fr-FR"/>
        </w:rPr>
        <w:t>article 9</w:t>
      </w:r>
      <w:r w:rsidRPr="001C2554">
        <w:rPr>
          <w:lang w:val="fr-FR"/>
        </w:rPr>
        <w:t>.2.a)5) du Statut et Règlement du personnel</w:t>
      </w:r>
      <w:r w:rsidRPr="001C2554">
        <w:rPr>
          <w:color w:val="800080"/>
          <w:lang w:val="fr-FR"/>
        </w:rPr>
        <w:t>.</w:t>
      </w:r>
    </w:p>
    <w:p w14:paraId="5C25A5FC" w14:textId="4A97B0EF" w:rsidR="006E4BE7" w:rsidRPr="001C2554" w:rsidRDefault="006E4BE7" w:rsidP="00C33511">
      <w:pPr>
        <w:pStyle w:val="Heading2"/>
      </w:pPr>
      <w:r w:rsidRPr="001C2554">
        <w:lastRenderedPageBreak/>
        <w:t>Prolongation d</w:t>
      </w:r>
      <w:r w:rsidR="006115E0" w:rsidRPr="001C2554">
        <w:t>’</w:t>
      </w:r>
      <w:r w:rsidRPr="001C2554">
        <w:t>engagements temporaires</w:t>
      </w:r>
    </w:p>
    <w:p w14:paraId="0C822276" w14:textId="1BA30952" w:rsidR="009A47FE" w:rsidRPr="001C2554" w:rsidRDefault="006E4BE7" w:rsidP="00C25DC2">
      <w:pPr>
        <w:pStyle w:val="ONUMFS"/>
        <w:rPr>
          <w:lang w:val="fr-FR"/>
        </w:rPr>
      </w:pPr>
      <w:r w:rsidRPr="001C2554">
        <w:rPr>
          <w:lang w:val="fr-FR"/>
        </w:rPr>
        <w:t>À sa session annuelle de septembre</w:t>
      </w:r>
      <w:r w:rsidR="009C2DFA" w:rsidRPr="001C2554">
        <w:rPr>
          <w:lang w:val="fr-FR"/>
        </w:rPr>
        <w:t> </w:t>
      </w:r>
      <w:r w:rsidRPr="001C2554">
        <w:rPr>
          <w:lang w:val="fr-FR"/>
        </w:rPr>
        <w:t>2018, le Comité de coordination de l</w:t>
      </w:r>
      <w:r w:rsidR="006115E0" w:rsidRPr="001C2554">
        <w:rPr>
          <w:lang w:val="fr-FR"/>
        </w:rPr>
        <w:t>’</w:t>
      </w:r>
      <w:r w:rsidRPr="001C2554">
        <w:rPr>
          <w:lang w:val="fr-FR"/>
        </w:rPr>
        <w:t>OMPI a demandé au Secrétariat d</w:t>
      </w:r>
      <w:r w:rsidR="006115E0" w:rsidRPr="001C2554">
        <w:rPr>
          <w:lang w:val="fr-FR"/>
        </w:rPr>
        <w:t>’</w:t>
      </w:r>
      <w:r w:rsidRPr="001C2554">
        <w:rPr>
          <w:lang w:val="fr-FR"/>
        </w:rPr>
        <w:t>inclure systématiquement dans son rapport annuel sur les ressources humaines des informations détaillées sur le nombre de nominations temporaires prolongées par le Directeur général au</w:t>
      </w:r>
      <w:r w:rsidR="00687F84">
        <w:rPr>
          <w:lang w:val="fr-FR"/>
        </w:rPr>
        <w:noBreakHyphen/>
      </w:r>
      <w:r w:rsidRPr="001C2554">
        <w:rPr>
          <w:lang w:val="fr-FR"/>
        </w:rPr>
        <w:t>delà de deux</w:t>
      </w:r>
      <w:r w:rsidR="009C2DFA" w:rsidRPr="001C2554">
        <w:rPr>
          <w:lang w:val="fr-FR"/>
        </w:rPr>
        <w:t> </w:t>
      </w:r>
      <w:r w:rsidRPr="001C2554">
        <w:rPr>
          <w:lang w:val="fr-FR"/>
        </w:rPr>
        <w:t>ans en vertu de l</w:t>
      </w:r>
      <w:r w:rsidR="006115E0" w:rsidRPr="001C2554">
        <w:rPr>
          <w:lang w:val="fr-FR"/>
        </w:rPr>
        <w:t>’</w:t>
      </w:r>
      <w:r w:rsidRPr="001C2554">
        <w:rPr>
          <w:lang w:val="fr-FR"/>
        </w:rPr>
        <w:t>article</w:t>
      </w:r>
      <w:r w:rsidR="009C2DFA" w:rsidRPr="001C2554">
        <w:rPr>
          <w:lang w:val="fr-FR"/>
        </w:rPr>
        <w:t> </w:t>
      </w:r>
      <w:r w:rsidRPr="001C2554">
        <w:rPr>
          <w:lang w:val="fr-FR"/>
        </w:rPr>
        <w:t>4.16.a)</w:t>
      </w:r>
      <w:r w:rsidR="006273B1" w:rsidRPr="001C2554">
        <w:rPr>
          <w:rStyle w:val="FootnoteReference"/>
          <w:szCs w:val="22"/>
          <w:lang w:val="fr-FR"/>
        </w:rPr>
        <w:footnoteReference w:id="6"/>
      </w:r>
      <w:r w:rsidRPr="001C2554">
        <w:rPr>
          <w:lang w:val="fr-FR"/>
        </w:rPr>
        <w:t xml:space="preserve"> du Statut du personnel et sur les raisons du recours à cette mesure exceptionnelle</w:t>
      </w:r>
      <w:r w:rsidRPr="001C2554">
        <w:rPr>
          <w:color w:val="800080"/>
          <w:lang w:val="fr-FR"/>
        </w:rPr>
        <w:t>.</w:t>
      </w:r>
    </w:p>
    <w:p w14:paraId="5BA0DF82" w14:textId="71CD0BF3" w:rsidR="006E4BE7" w:rsidRPr="001C2554" w:rsidRDefault="00BD3029" w:rsidP="00C25DC2">
      <w:pPr>
        <w:pStyle w:val="ONUMFS"/>
        <w:rPr>
          <w:lang w:val="fr-FR"/>
        </w:rPr>
      </w:pPr>
      <w:r w:rsidRPr="001C2554">
        <w:rPr>
          <w:lang w:val="fr-FR"/>
        </w:rPr>
        <w:t xml:space="preserve">Au cours de la période de référence, </w:t>
      </w:r>
      <w:r w:rsidR="006115E0" w:rsidRPr="001C2554">
        <w:rPr>
          <w:lang w:val="fr-FR"/>
        </w:rPr>
        <w:t>à savoir</w:t>
      </w:r>
      <w:r w:rsidRPr="001C2554">
        <w:rPr>
          <w:lang w:val="fr-FR"/>
        </w:rPr>
        <w:t xml:space="preserve"> du</w:t>
      </w:r>
      <w:r w:rsidR="006115E0" w:rsidRPr="001C2554">
        <w:rPr>
          <w:lang w:val="fr-FR"/>
        </w:rPr>
        <w:t xml:space="preserve"> 1</w:t>
      </w:r>
      <w:r w:rsidR="006115E0" w:rsidRPr="001C2554">
        <w:rPr>
          <w:vertAlign w:val="superscript"/>
          <w:lang w:val="fr-FR"/>
        </w:rPr>
        <w:t>er</w:t>
      </w:r>
      <w:r w:rsidR="006115E0" w:rsidRPr="001C2554">
        <w:rPr>
          <w:lang w:val="fr-FR"/>
        </w:rPr>
        <w:t> </w:t>
      </w:r>
      <w:r w:rsidRPr="001C2554">
        <w:rPr>
          <w:lang w:val="fr-FR"/>
        </w:rPr>
        <w:t>janvier</w:t>
      </w:r>
      <w:r w:rsidR="00BF21AE" w:rsidRPr="001C2554">
        <w:rPr>
          <w:lang w:val="fr-FR"/>
        </w:rPr>
        <w:t xml:space="preserve"> </w:t>
      </w:r>
      <w:r w:rsidRPr="001C2554">
        <w:rPr>
          <w:lang w:val="fr-FR"/>
        </w:rPr>
        <w:t>au 31 décembre </w:t>
      </w:r>
      <w:r w:rsidR="00BF21AE" w:rsidRPr="001C2554">
        <w:rPr>
          <w:lang w:val="fr-FR"/>
        </w:rPr>
        <w:t>2021, 16 </w:t>
      </w:r>
      <w:r w:rsidRPr="001C2554">
        <w:rPr>
          <w:lang w:val="fr-FR"/>
        </w:rPr>
        <w:t>membres du personnel au bénéfice d</w:t>
      </w:r>
      <w:r w:rsidR="006115E0" w:rsidRPr="001C2554">
        <w:rPr>
          <w:lang w:val="fr-FR"/>
        </w:rPr>
        <w:t>’</w:t>
      </w:r>
      <w:r w:rsidRPr="001C2554">
        <w:rPr>
          <w:lang w:val="fr-FR"/>
        </w:rPr>
        <w:t>un engagement temporaire ont vu leur nomination être prolongée au</w:t>
      </w:r>
      <w:r w:rsidR="00687F84">
        <w:rPr>
          <w:lang w:val="fr-FR"/>
        </w:rPr>
        <w:noBreakHyphen/>
      </w:r>
      <w:r w:rsidRPr="001C2554">
        <w:rPr>
          <w:lang w:val="fr-FR"/>
        </w:rPr>
        <w:t>delà de deux a</w:t>
      </w:r>
      <w:r w:rsidR="001C2554" w:rsidRPr="001C2554">
        <w:rPr>
          <w:lang w:val="fr-FR"/>
        </w:rPr>
        <w:t>ns.  Le</w:t>
      </w:r>
      <w:r w:rsidR="006E4BE7" w:rsidRPr="001C2554">
        <w:rPr>
          <w:lang w:val="fr-FR"/>
        </w:rPr>
        <w:t>s raisons de ces prolongations exceptionnelles étaient les suivantes</w:t>
      </w:r>
      <w:r w:rsidR="006115E0" w:rsidRPr="001C2554">
        <w:rPr>
          <w:lang w:val="fr-FR"/>
        </w:rPr>
        <w:t> :</w:t>
      </w:r>
    </w:p>
    <w:p w14:paraId="2F1FD268" w14:textId="77777777" w:rsidR="009A47FE" w:rsidRPr="001C2554" w:rsidRDefault="00BD3029" w:rsidP="004E5E29">
      <w:pPr>
        <w:pStyle w:val="ONUMFS"/>
        <w:numPr>
          <w:ilvl w:val="0"/>
          <w:numId w:val="24"/>
        </w:numPr>
        <w:spacing w:after="0"/>
        <w:ind w:left="1134" w:hanging="567"/>
        <w:rPr>
          <w:lang w:val="fr-FR"/>
        </w:rPr>
      </w:pPr>
      <w:proofErr w:type="gramStart"/>
      <w:r w:rsidRPr="001C2554">
        <w:rPr>
          <w:rStyle w:val="null1"/>
          <w:color w:val="000000"/>
          <w:szCs w:val="22"/>
          <w:lang w:val="fr-FR"/>
        </w:rPr>
        <w:t>deux</w:t>
      </w:r>
      <w:proofErr w:type="gramEnd"/>
      <w:r w:rsidRPr="001C2554">
        <w:rPr>
          <w:rStyle w:val="null1"/>
          <w:color w:val="000000"/>
          <w:szCs w:val="22"/>
          <w:lang w:val="fr-FR"/>
        </w:rPr>
        <w:t> en</w:t>
      </w:r>
      <w:r w:rsidRPr="001C2554">
        <w:rPr>
          <w:lang w:val="fr-FR"/>
        </w:rPr>
        <w:t>gagements temporaires ont été exceptionnellement prolongés (un pour six mois et un pour 12 mois) compte tenu des besoins opérationnels;</w:t>
      </w:r>
    </w:p>
    <w:p w14:paraId="588B9F59" w14:textId="7A4FC1D7" w:rsidR="009A47FE" w:rsidRPr="001C2554" w:rsidRDefault="00BD3029" w:rsidP="004E5E29">
      <w:pPr>
        <w:pStyle w:val="ONUMFS"/>
        <w:numPr>
          <w:ilvl w:val="0"/>
          <w:numId w:val="24"/>
        </w:numPr>
        <w:spacing w:after="0"/>
        <w:ind w:left="1134" w:hanging="567"/>
        <w:rPr>
          <w:lang w:val="fr-FR"/>
        </w:rPr>
      </w:pPr>
      <w:proofErr w:type="gramStart"/>
      <w:r w:rsidRPr="001C2554">
        <w:rPr>
          <w:rStyle w:val="null1"/>
          <w:color w:val="000000"/>
          <w:szCs w:val="22"/>
          <w:lang w:val="fr-FR"/>
        </w:rPr>
        <w:t>neuf</w:t>
      </w:r>
      <w:proofErr w:type="gramEnd"/>
      <w:r w:rsidRPr="001C2554">
        <w:rPr>
          <w:rStyle w:val="null1"/>
          <w:color w:val="000000"/>
          <w:szCs w:val="22"/>
          <w:lang w:val="fr-FR"/>
        </w:rPr>
        <w:t> en</w:t>
      </w:r>
      <w:r w:rsidRPr="001C2554">
        <w:rPr>
          <w:lang w:val="fr-FR"/>
        </w:rPr>
        <w:t xml:space="preserve">gagements temporaires ont été exceptionnellement prolongés </w:t>
      </w:r>
      <w:r w:rsidR="00BF21AE" w:rsidRPr="001C2554">
        <w:rPr>
          <w:rStyle w:val="null1"/>
          <w:color w:val="000000"/>
          <w:szCs w:val="22"/>
          <w:lang w:val="fr-FR"/>
        </w:rPr>
        <w:t>(</w:t>
      </w:r>
      <w:r w:rsidRPr="001C2554">
        <w:rPr>
          <w:rStyle w:val="null1"/>
          <w:color w:val="000000"/>
          <w:szCs w:val="22"/>
          <w:lang w:val="fr-FR"/>
        </w:rPr>
        <w:t xml:space="preserve">deux pour </w:t>
      </w:r>
      <w:r w:rsidR="00BF21AE" w:rsidRPr="001C2554">
        <w:rPr>
          <w:rStyle w:val="null1"/>
          <w:color w:val="000000"/>
          <w:szCs w:val="22"/>
          <w:lang w:val="fr-FR"/>
        </w:rPr>
        <w:t>six</w:t>
      </w:r>
      <w:r w:rsidRPr="001C2554">
        <w:rPr>
          <w:rStyle w:val="null1"/>
          <w:color w:val="000000"/>
          <w:szCs w:val="22"/>
          <w:lang w:val="fr-FR"/>
        </w:rPr>
        <w:t> </w:t>
      </w:r>
      <w:r w:rsidR="00BF21AE" w:rsidRPr="001C2554">
        <w:rPr>
          <w:rStyle w:val="null1"/>
          <w:color w:val="000000"/>
          <w:szCs w:val="22"/>
          <w:lang w:val="fr-FR"/>
        </w:rPr>
        <w:t>mo</w:t>
      </w:r>
      <w:r w:rsidRPr="001C2554">
        <w:rPr>
          <w:rStyle w:val="null1"/>
          <w:color w:val="000000"/>
          <w:szCs w:val="22"/>
          <w:lang w:val="fr-FR"/>
        </w:rPr>
        <w:t xml:space="preserve">is et sept pour </w:t>
      </w:r>
      <w:r w:rsidR="00BF21AE" w:rsidRPr="001C2554">
        <w:rPr>
          <w:rStyle w:val="null1"/>
          <w:color w:val="000000"/>
          <w:szCs w:val="22"/>
          <w:lang w:val="fr-FR"/>
        </w:rPr>
        <w:t>12</w:t>
      </w:r>
      <w:r w:rsidR="0016767A" w:rsidRPr="001C2554">
        <w:rPr>
          <w:rStyle w:val="null1"/>
          <w:color w:val="000000"/>
          <w:szCs w:val="22"/>
          <w:lang w:val="fr-FR"/>
        </w:rPr>
        <w:t> </w:t>
      </w:r>
      <w:r w:rsidR="00BF21AE" w:rsidRPr="001C2554">
        <w:rPr>
          <w:rStyle w:val="null1"/>
          <w:color w:val="000000"/>
          <w:szCs w:val="22"/>
          <w:lang w:val="fr-FR"/>
        </w:rPr>
        <w:t>mo</w:t>
      </w:r>
      <w:r w:rsidR="0016767A" w:rsidRPr="001C2554">
        <w:rPr>
          <w:rStyle w:val="null1"/>
          <w:color w:val="000000"/>
          <w:szCs w:val="22"/>
          <w:lang w:val="fr-FR"/>
        </w:rPr>
        <w:t>i</w:t>
      </w:r>
      <w:r w:rsidR="00BF21AE" w:rsidRPr="001C2554">
        <w:rPr>
          <w:rStyle w:val="null1"/>
          <w:color w:val="000000"/>
          <w:szCs w:val="22"/>
          <w:lang w:val="fr-FR"/>
        </w:rPr>
        <w:t xml:space="preserve">s) </w:t>
      </w:r>
      <w:r w:rsidR="0016767A" w:rsidRPr="001C2554">
        <w:rPr>
          <w:lang w:val="fr-FR"/>
        </w:rPr>
        <w:t>de manière à assurer la continuité des fonctions</w:t>
      </w:r>
      <w:r w:rsidR="00BF21AE" w:rsidRPr="001C2554">
        <w:rPr>
          <w:lang w:val="fr-FR"/>
        </w:rPr>
        <w:t xml:space="preserve">, </w:t>
      </w:r>
      <w:r w:rsidR="0016767A" w:rsidRPr="001C2554">
        <w:rPr>
          <w:lang w:val="fr-FR"/>
        </w:rPr>
        <w:t xml:space="preserve">en attendant que les besoins en personnel soient </w:t>
      </w:r>
      <w:r w:rsidR="001B45E8" w:rsidRPr="001C2554">
        <w:rPr>
          <w:lang w:val="fr-FR"/>
        </w:rPr>
        <w:t>précis</w:t>
      </w:r>
      <w:r w:rsidR="0016767A" w:rsidRPr="001C2554">
        <w:rPr>
          <w:lang w:val="fr-FR"/>
        </w:rPr>
        <w:t>és;</w:t>
      </w:r>
    </w:p>
    <w:p w14:paraId="6C88364F" w14:textId="513CAC9F" w:rsidR="009A47FE" w:rsidRPr="001C2554" w:rsidRDefault="0016767A" w:rsidP="00C25DC2">
      <w:pPr>
        <w:pStyle w:val="ONUMFS"/>
        <w:numPr>
          <w:ilvl w:val="0"/>
          <w:numId w:val="24"/>
        </w:numPr>
        <w:ind w:left="1134" w:hanging="567"/>
        <w:rPr>
          <w:rStyle w:val="null1"/>
          <w:color w:val="000000"/>
          <w:lang w:val="fr-FR"/>
        </w:rPr>
      </w:pPr>
      <w:proofErr w:type="gramStart"/>
      <w:r w:rsidRPr="001C2554">
        <w:rPr>
          <w:rStyle w:val="null1"/>
          <w:color w:val="000000"/>
          <w:lang w:val="fr-FR"/>
        </w:rPr>
        <w:t>cinq</w:t>
      </w:r>
      <w:proofErr w:type="gramEnd"/>
      <w:r w:rsidRPr="001C2554">
        <w:rPr>
          <w:rStyle w:val="null1"/>
          <w:color w:val="000000"/>
          <w:lang w:val="fr-FR"/>
        </w:rPr>
        <w:t> </w:t>
      </w:r>
      <w:r w:rsidRPr="001C2554">
        <w:rPr>
          <w:rStyle w:val="null1"/>
          <w:color w:val="000000"/>
          <w:szCs w:val="22"/>
          <w:lang w:val="fr-FR"/>
        </w:rPr>
        <w:t>en</w:t>
      </w:r>
      <w:r w:rsidRPr="001C2554">
        <w:rPr>
          <w:lang w:val="fr-FR"/>
        </w:rPr>
        <w:t xml:space="preserve">gagements temporaires ont été exceptionnellement prolongés </w:t>
      </w:r>
      <w:r w:rsidR="00BF21AE" w:rsidRPr="001C2554">
        <w:rPr>
          <w:rStyle w:val="null1"/>
          <w:color w:val="000000"/>
          <w:lang w:val="fr-FR"/>
        </w:rPr>
        <w:t>(</w:t>
      </w:r>
      <w:r w:rsidRPr="001C2554">
        <w:rPr>
          <w:rStyle w:val="null1"/>
          <w:color w:val="000000"/>
          <w:lang w:val="fr-FR"/>
        </w:rPr>
        <w:t>deux pour trois mois</w:t>
      </w:r>
      <w:r w:rsidR="00BF21AE" w:rsidRPr="001C2554">
        <w:rPr>
          <w:rStyle w:val="null1"/>
          <w:color w:val="000000"/>
          <w:lang w:val="fr-FR"/>
        </w:rPr>
        <w:t xml:space="preserve"> </w:t>
      </w:r>
      <w:r w:rsidRPr="001C2554">
        <w:rPr>
          <w:rStyle w:val="null1"/>
          <w:color w:val="000000"/>
          <w:lang w:val="fr-FR"/>
        </w:rPr>
        <w:t xml:space="preserve">et trois pour </w:t>
      </w:r>
      <w:r w:rsidR="00BF21AE" w:rsidRPr="001C2554">
        <w:rPr>
          <w:rStyle w:val="null1"/>
          <w:color w:val="000000"/>
          <w:lang w:val="fr-FR"/>
        </w:rPr>
        <w:t>six</w:t>
      </w:r>
      <w:r w:rsidRPr="001C2554">
        <w:rPr>
          <w:rStyle w:val="null1"/>
          <w:color w:val="000000"/>
          <w:lang w:val="fr-FR"/>
        </w:rPr>
        <w:t> </w:t>
      </w:r>
      <w:r w:rsidR="00BF21AE" w:rsidRPr="001C2554">
        <w:rPr>
          <w:rStyle w:val="null1"/>
          <w:color w:val="000000"/>
          <w:lang w:val="fr-FR"/>
        </w:rPr>
        <w:t>mo</w:t>
      </w:r>
      <w:r w:rsidRPr="001C2554">
        <w:rPr>
          <w:rStyle w:val="null1"/>
          <w:color w:val="000000"/>
          <w:lang w:val="fr-FR"/>
        </w:rPr>
        <w:t>i</w:t>
      </w:r>
      <w:r w:rsidR="00BF21AE" w:rsidRPr="001C2554">
        <w:rPr>
          <w:rStyle w:val="null1"/>
          <w:color w:val="000000"/>
          <w:lang w:val="fr-FR"/>
        </w:rPr>
        <w:t xml:space="preserve">s) </w:t>
      </w:r>
      <w:r w:rsidRPr="001C2554">
        <w:rPr>
          <w:lang w:val="fr-FR"/>
        </w:rPr>
        <w:t>de manière à assurer la continuité des fonctions</w:t>
      </w:r>
      <w:r w:rsidR="00BF21AE" w:rsidRPr="001C2554">
        <w:rPr>
          <w:rStyle w:val="null1"/>
          <w:color w:val="000000"/>
          <w:lang w:val="fr-FR"/>
        </w:rPr>
        <w:t xml:space="preserve">, </w:t>
      </w:r>
      <w:r w:rsidR="00D41EBE" w:rsidRPr="001C2554">
        <w:rPr>
          <w:rStyle w:val="null1"/>
          <w:color w:val="000000"/>
          <w:lang w:val="fr-FR"/>
        </w:rPr>
        <w:t>dans l</w:t>
      </w:r>
      <w:r w:rsidR="006115E0" w:rsidRPr="001C2554">
        <w:rPr>
          <w:rStyle w:val="null1"/>
          <w:color w:val="000000"/>
          <w:lang w:val="fr-FR"/>
        </w:rPr>
        <w:t>’</w:t>
      </w:r>
      <w:r w:rsidR="00D41EBE" w:rsidRPr="001C2554">
        <w:rPr>
          <w:rStyle w:val="null1"/>
          <w:color w:val="000000"/>
          <w:lang w:val="fr-FR"/>
        </w:rPr>
        <w:t>attente d</w:t>
      </w:r>
      <w:r w:rsidR="006115E0" w:rsidRPr="001C2554">
        <w:rPr>
          <w:rStyle w:val="null1"/>
          <w:color w:val="000000"/>
          <w:lang w:val="fr-FR"/>
        </w:rPr>
        <w:t>’</w:t>
      </w:r>
      <w:r w:rsidR="00D41EBE" w:rsidRPr="001C2554">
        <w:rPr>
          <w:rStyle w:val="null1"/>
          <w:color w:val="000000"/>
          <w:lang w:val="fr-FR"/>
        </w:rPr>
        <w:t>un recru</w:t>
      </w:r>
      <w:r w:rsidR="00BF21AE" w:rsidRPr="001C2554">
        <w:rPr>
          <w:rStyle w:val="null1"/>
          <w:color w:val="000000"/>
          <w:lang w:val="fr-FR"/>
        </w:rPr>
        <w:t>t</w:t>
      </w:r>
      <w:r w:rsidR="00D41EBE" w:rsidRPr="001C2554">
        <w:rPr>
          <w:rStyle w:val="null1"/>
          <w:color w:val="000000"/>
          <w:lang w:val="fr-FR"/>
        </w:rPr>
        <w:t>e</w:t>
      </w:r>
      <w:r w:rsidR="00BF21AE" w:rsidRPr="001C2554">
        <w:rPr>
          <w:rStyle w:val="null1"/>
          <w:color w:val="000000"/>
          <w:lang w:val="fr-FR"/>
        </w:rPr>
        <w:t>ment.</w:t>
      </w:r>
    </w:p>
    <w:p w14:paraId="3256C46D" w14:textId="2D3D5C90" w:rsidR="009A47FE" w:rsidRPr="00C33511" w:rsidRDefault="006E4BE7" w:rsidP="00C33511">
      <w:pPr>
        <w:pStyle w:val="Heading2"/>
      </w:pPr>
      <w:r w:rsidRPr="00C33511">
        <w:t>Application de la politique de l</w:t>
      </w:r>
      <w:r w:rsidR="006115E0" w:rsidRPr="00C33511">
        <w:t>’</w:t>
      </w:r>
      <w:r w:rsidRPr="00C33511">
        <w:t>OMPI en matière d</w:t>
      </w:r>
      <w:r w:rsidR="006115E0" w:rsidRPr="00C33511">
        <w:t>’</w:t>
      </w:r>
      <w:r w:rsidRPr="00C33511">
        <w:t>égalité des sexes</w:t>
      </w:r>
    </w:p>
    <w:p w14:paraId="15F965BD" w14:textId="3CE268A8" w:rsidR="009A47FE" w:rsidRPr="001C2554" w:rsidRDefault="00F110C5" w:rsidP="00C25DC2">
      <w:pPr>
        <w:pStyle w:val="ONUMFS"/>
        <w:rPr>
          <w:color w:val="000000"/>
          <w:szCs w:val="22"/>
          <w:lang w:val="fr-FR"/>
        </w:rPr>
      </w:pPr>
      <w:r w:rsidRPr="001C2554">
        <w:rPr>
          <w:lang w:val="fr-FR"/>
        </w:rPr>
        <w:t>L</w:t>
      </w:r>
      <w:r w:rsidR="006115E0" w:rsidRPr="001C2554">
        <w:rPr>
          <w:lang w:val="fr-FR"/>
        </w:rPr>
        <w:t>’</w:t>
      </w:r>
      <w:r w:rsidRPr="001C2554">
        <w:rPr>
          <w:lang w:val="fr-FR"/>
        </w:rPr>
        <w:t>OMPI a adopté une double approche dans ses mesures en faveur de l</w:t>
      </w:r>
      <w:r w:rsidR="006115E0" w:rsidRPr="001C2554">
        <w:rPr>
          <w:lang w:val="fr-FR"/>
        </w:rPr>
        <w:t>’</w:t>
      </w:r>
      <w:r w:rsidRPr="001C2554">
        <w:rPr>
          <w:lang w:val="fr-FR"/>
        </w:rPr>
        <w:t xml:space="preserve">égalité </w:t>
      </w:r>
      <w:r w:rsidR="001B45E8" w:rsidRPr="001C2554">
        <w:rPr>
          <w:lang w:val="fr-FR"/>
        </w:rPr>
        <w:t>d</w:t>
      </w:r>
      <w:r w:rsidRPr="001C2554">
        <w:rPr>
          <w:lang w:val="fr-FR"/>
        </w:rPr>
        <w:t>es sexes et de l</w:t>
      </w:r>
      <w:r w:rsidR="006115E0" w:rsidRPr="001C2554">
        <w:rPr>
          <w:lang w:val="fr-FR"/>
        </w:rPr>
        <w:t>’</w:t>
      </w:r>
      <w:r w:rsidRPr="001C2554">
        <w:rPr>
          <w:lang w:val="fr-FR"/>
        </w:rPr>
        <w:t>avancement des femmes</w:t>
      </w:r>
      <w:r w:rsidR="006115E0" w:rsidRPr="001C2554">
        <w:rPr>
          <w:lang w:val="fr-FR"/>
        </w:rPr>
        <w:t> :</w:t>
      </w:r>
      <w:r w:rsidRPr="001C2554">
        <w:rPr>
          <w:lang w:val="fr-FR"/>
        </w:rPr>
        <w:t xml:space="preserve"> elle met en œuvre des initiatives pour l</w:t>
      </w:r>
      <w:r w:rsidR="006115E0" w:rsidRPr="001C2554">
        <w:rPr>
          <w:lang w:val="fr-FR"/>
        </w:rPr>
        <w:t>’</w:t>
      </w:r>
      <w:r w:rsidRPr="001C2554">
        <w:rPr>
          <w:lang w:val="fr-FR"/>
        </w:rPr>
        <w:t>égalité des sexes tout en intégrant les considérations relatives à cette question dans l</w:t>
      </w:r>
      <w:r w:rsidR="006115E0" w:rsidRPr="001C2554">
        <w:rPr>
          <w:lang w:val="fr-FR"/>
        </w:rPr>
        <w:t>’</w:t>
      </w:r>
      <w:r w:rsidRPr="001C2554">
        <w:rPr>
          <w:lang w:val="fr-FR"/>
        </w:rPr>
        <w:t>ensemble des programmes et fonctions</w:t>
      </w:r>
      <w:r w:rsidR="00A17D90" w:rsidRPr="001C2554">
        <w:rPr>
          <w:color w:val="000000"/>
          <w:szCs w:val="22"/>
          <w:lang w:val="fr-FR"/>
        </w:rPr>
        <w:t>.</w:t>
      </w:r>
    </w:p>
    <w:p w14:paraId="592C339E" w14:textId="28F2783F" w:rsidR="006E4BE7" w:rsidRPr="00C33511" w:rsidRDefault="006E4BE7" w:rsidP="00C33511">
      <w:pPr>
        <w:pStyle w:val="Heading3"/>
      </w:pPr>
      <w:r w:rsidRPr="00C33511">
        <w:t>Intégration des considérations relatives à l</w:t>
      </w:r>
      <w:r w:rsidR="006115E0" w:rsidRPr="00C33511">
        <w:t>’</w:t>
      </w:r>
      <w:r w:rsidRPr="00C33511">
        <w:t>égalité des sexes dans les fonctions administratives</w:t>
      </w:r>
    </w:p>
    <w:p w14:paraId="4E15CAAB" w14:textId="0352078D" w:rsidR="009A47FE" w:rsidRPr="001C2554" w:rsidRDefault="006E4BE7" w:rsidP="00C25DC2">
      <w:pPr>
        <w:pStyle w:val="ONUMFS"/>
        <w:rPr>
          <w:lang w:val="fr-FR"/>
        </w:rPr>
      </w:pPr>
      <w:r w:rsidRPr="001C2554">
        <w:rPr>
          <w:lang w:val="fr-FR"/>
        </w:rPr>
        <w:t>En ce qui concerne la collaboration à l</w:t>
      </w:r>
      <w:r w:rsidR="006115E0" w:rsidRPr="001C2554">
        <w:rPr>
          <w:lang w:val="fr-FR"/>
        </w:rPr>
        <w:t>’</w:t>
      </w:r>
      <w:r w:rsidRPr="001C2554">
        <w:rPr>
          <w:lang w:val="fr-FR"/>
        </w:rPr>
        <w:t xml:space="preserve">échelle du système des </w:t>
      </w:r>
      <w:r w:rsidR="006115E0" w:rsidRPr="001C2554">
        <w:rPr>
          <w:lang w:val="fr-FR"/>
        </w:rPr>
        <w:t>Nations Unies</w:t>
      </w:r>
      <w:r w:rsidRPr="001C2554">
        <w:rPr>
          <w:lang w:val="fr-FR"/>
        </w:rPr>
        <w:t>, l</w:t>
      </w:r>
      <w:r w:rsidR="006115E0" w:rsidRPr="001C2554">
        <w:rPr>
          <w:lang w:val="fr-FR"/>
        </w:rPr>
        <w:t>’</w:t>
      </w:r>
      <w:r w:rsidRPr="001C2554">
        <w:rPr>
          <w:lang w:val="fr-FR"/>
        </w:rPr>
        <w:t xml:space="preserve">OMPI a poursuivi </w:t>
      </w:r>
      <w:r w:rsidR="009A47FE" w:rsidRPr="001C2554">
        <w:rPr>
          <w:lang w:val="fr-FR"/>
        </w:rPr>
        <w:t>en 2021</w:t>
      </w:r>
      <w:r w:rsidRPr="001C2554">
        <w:rPr>
          <w:lang w:val="fr-FR"/>
        </w:rPr>
        <w:t xml:space="preserve"> la mise en œuvre du Plan d</w:t>
      </w:r>
      <w:r w:rsidR="006115E0" w:rsidRPr="001C2554">
        <w:rPr>
          <w:lang w:val="fr-FR"/>
        </w:rPr>
        <w:t>’</w:t>
      </w:r>
      <w:r w:rsidRPr="001C2554">
        <w:rPr>
          <w:lang w:val="fr-FR"/>
        </w:rPr>
        <w:t>action à l</w:t>
      </w:r>
      <w:r w:rsidR="006115E0" w:rsidRPr="001C2554">
        <w:rPr>
          <w:lang w:val="fr-FR"/>
        </w:rPr>
        <w:t>’</w:t>
      </w:r>
      <w:r w:rsidR="00F110C5" w:rsidRPr="001C2554">
        <w:rPr>
          <w:lang w:val="fr-FR"/>
        </w:rPr>
        <w:t xml:space="preserve">échelle du système des </w:t>
      </w:r>
      <w:r w:rsidR="006115E0" w:rsidRPr="001C2554">
        <w:rPr>
          <w:lang w:val="fr-FR"/>
        </w:rPr>
        <w:t>Nations Unies</w:t>
      </w:r>
      <w:r w:rsidRPr="001C2554">
        <w:rPr>
          <w:lang w:val="fr-FR"/>
        </w:rPr>
        <w:t xml:space="preserve"> pour l</w:t>
      </w:r>
      <w:r w:rsidR="006115E0" w:rsidRPr="001C2554">
        <w:rPr>
          <w:lang w:val="fr-FR"/>
        </w:rPr>
        <w:t>’</w:t>
      </w:r>
      <w:r w:rsidRPr="001C2554">
        <w:rPr>
          <w:lang w:val="fr-FR"/>
        </w:rPr>
        <w:t>égalité des sexes et l</w:t>
      </w:r>
      <w:r w:rsidR="006115E0" w:rsidRPr="001C2554">
        <w:rPr>
          <w:lang w:val="fr-FR"/>
        </w:rPr>
        <w:t>’</w:t>
      </w:r>
      <w:r w:rsidRPr="001C2554">
        <w:rPr>
          <w:lang w:val="fr-FR"/>
        </w:rPr>
        <w:t>avancement des femmes</w:t>
      </w:r>
      <w:r w:rsidR="00333207" w:rsidRPr="001C2554">
        <w:rPr>
          <w:rStyle w:val="FootnoteReference"/>
          <w:szCs w:val="22"/>
          <w:lang w:val="fr-FR"/>
        </w:rPr>
        <w:footnoteReference w:id="7"/>
      </w:r>
      <w:r w:rsidRPr="001C2554">
        <w:rPr>
          <w:color w:val="800080"/>
          <w:lang w:val="fr-FR"/>
        </w:rPr>
        <w:t>.</w:t>
      </w:r>
      <w:r w:rsidR="00A17D90" w:rsidRPr="001C2554">
        <w:rPr>
          <w:color w:val="800080"/>
          <w:lang w:val="fr-FR"/>
        </w:rPr>
        <w:t xml:space="preserve">  </w:t>
      </w:r>
      <w:r w:rsidR="009A47FE" w:rsidRPr="001C2554">
        <w:rPr>
          <w:lang w:val="fr-FR"/>
        </w:rPr>
        <w:t>En 2021</w:t>
      </w:r>
      <w:r w:rsidR="00A17D90" w:rsidRPr="001C2554">
        <w:rPr>
          <w:lang w:val="fr-FR"/>
        </w:rPr>
        <w:t xml:space="preserve">, </w:t>
      </w:r>
      <w:r w:rsidR="008961C5" w:rsidRPr="001C2554">
        <w:rPr>
          <w:lang w:val="fr-FR"/>
        </w:rPr>
        <w:t>l</w:t>
      </w:r>
      <w:r w:rsidR="006115E0" w:rsidRPr="001C2554">
        <w:rPr>
          <w:lang w:val="fr-FR"/>
        </w:rPr>
        <w:t>’</w:t>
      </w:r>
      <w:r w:rsidR="008961C5" w:rsidRPr="001C2554">
        <w:rPr>
          <w:lang w:val="fr-FR"/>
        </w:rPr>
        <w:t>OMPI a enregistré des résultats conformes ou supérieurs aux objectifs pour 47% des critères, ou huit indicateu</w:t>
      </w:r>
      <w:r w:rsidR="001C2554" w:rsidRPr="001C2554">
        <w:rPr>
          <w:lang w:val="fr-FR"/>
        </w:rPr>
        <w:t>rs.  Pl</w:t>
      </w:r>
      <w:r w:rsidR="002212AE" w:rsidRPr="001C2554">
        <w:rPr>
          <w:lang w:val="fr-FR"/>
        </w:rPr>
        <w:t>us précisément</w:t>
      </w:r>
      <w:r w:rsidR="00A17D90" w:rsidRPr="001C2554">
        <w:rPr>
          <w:lang w:val="fr-FR"/>
        </w:rPr>
        <w:t xml:space="preserve">, </w:t>
      </w:r>
      <w:r w:rsidR="002212AE" w:rsidRPr="001C2554">
        <w:rPr>
          <w:lang w:val="fr-FR"/>
        </w:rPr>
        <w:t>l</w:t>
      </w:r>
      <w:r w:rsidR="006115E0" w:rsidRPr="001C2554">
        <w:rPr>
          <w:lang w:val="fr-FR"/>
        </w:rPr>
        <w:t>’</w:t>
      </w:r>
      <w:r w:rsidR="002212AE" w:rsidRPr="001C2554">
        <w:rPr>
          <w:lang w:val="fr-FR"/>
        </w:rPr>
        <w:t>OMPI a augmenté le nombre d</w:t>
      </w:r>
      <w:r w:rsidR="006115E0" w:rsidRPr="001C2554">
        <w:rPr>
          <w:lang w:val="fr-FR"/>
        </w:rPr>
        <w:t>’</w:t>
      </w:r>
      <w:r w:rsidR="002212AE" w:rsidRPr="001C2554">
        <w:rPr>
          <w:lang w:val="fr-FR"/>
        </w:rPr>
        <w:t xml:space="preserve">indicateurs pour lesquels il a enregistré des résultats supérieurs aux objectifs, qui sont passés de deux </w:t>
      </w:r>
      <w:r w:rsidR="009A47FE" w:rsidRPr="001C2554">
        <w:rPr>
          <w:lang w:val="fr-FR"/>
        </w:rPr>
        <w:t>en 2020</w:t>
      </w:r>
      <w:r w:rsidR="00A17D90" w:rsidRPr="001C2554">
        <w:rPr>
          <w:lang w:val="fr-FR"/>
        </w:rPr>
        <w:t xml:space="preserve"> </w:t>
      </w:r>
      <w:r w:rsidR="002212AE" w:rsidRPr="001C2554">
        <w:rPr>
          <w:lang w:val="fr-FR"/>
        </w:rPr>
        <w:t xml:space="preserve">à trois </w:t>
      </w:r>
      <w:r w:rsidR="009A47FE" w:rsidRPr="001C2554">
        <w:rPr>
          <w:lang w:val="fr-FR"/>
        </w:rPr>
        <w:t>en 2021</w:t>
      </w:r>
      <w:r w:rsidR="00A17D90" w:rsidRPr="001C2554">
        <w:rPr>
          <w:lang w:val="fr-FR"/>
        </w:rPr>
        <w:t xml:space="preserve"> (</w:t>
      </w:r>
      <w:r w:rsidR="00B852AB" w:rsidRPr="001C2554">
        <w:rPr>
          <w:lang w:val="fr-FR"/>
        </w:rPr>
        <w:t>é</w:t>
      </w:r>
      <w:r w:rsidR="00A17D90" w:rsidRPr="001C2554">
        <w:rPr>
          <w:lang w:val="fr-FR"/>
        </w:rPr>
        <w:t xml:space="preserve">valuation, </w:t>
      </w:r>
      <w:r w:rsidR="00B852AB" w:rsidRPr="001C2554">
        <w:rPr>
          <w:lang w:val="fr-FR"/>
        </w:rPr>
        <w:t>a</w:t>
      </w:r>
      <w:r w:rsidR="00A17D90" w:rsidRPr="001C2554">
        <w:rPr>
          <w:lang w:val="fr-FR"/>
        </w:rPr>
        <w:t xml:space="preserve">udit </w:t>
      </w:r>
      <w:r w:rsidR="00B852AB" w:rsidRPr="001C2554">
        <w:rPr>
          <w:lang w:val="fr-FR"/>
        </w:rPr>
        <w:t xml:space="preserve">et </w:t>
      </w:r>
      <w:r w:rsidR="0074232A" w:rsidRPr="001C2554">
        <w:rPr>
          <w:lang w:val="fr-FR"/>
        </w:rPr>
        <w:t>connaissances et c</w:t>
      </w:r>
      <w:r w:rsidR="00A17D90" w:rsidRPr="001C2554">
        <w:rPr>
          <w:lang w:val="fr-FR"/>
        </w:rPr>
        <w:t>ommunication).</w:t>
      </w:r>
    </w:p>
    <w:p w14:paraId="666931EA" w14:textId="1565E7FA" w:rsidR="006E4BE7" w:rsidRPr="00687F84" w:rsidRDefault="006E4BE7" w:rsidP="00687F84">
      <w:pPr>
        <w:pStyle w:val="ONUMFS"/>
        <w:keepNext/>
        <w:rPr>
          <w:lang w:val="fr-FR"/>
        </w:rPr>
      </w:pPr>
      <w:r w:rsidRPr="001C2554">
        <w:rPr>
          <w:lang w:val="fr-FR"/>
        </w:rPr>
        <w:lastRenderedPageBreak/>
        <w:t>Le graphique ci</w:t>
      </w:r>
      <w:r w:rsidR="00687F84">
        <w:rPr>
          <w:lang w:val="fr-FR"/>
        </w:rPr>
        <w:noBreakHyphen/>
      </w:r>
      <w:r w:rsidRPr="001C2554">
        <w:rPr>
          <w:lang w:val="fr-FR"/>
        </w:rPr>
        <w:t>dessous présente les résultats de l</w:t>
      </w:r>
      <w:r w:rsidR="006115E0" w:rsidRPr="001C2554">
        <w:rPr>
          <w:lang w:val="fr-FR"/>
        </w:rPr>
        <w:t>’</w:t>
      </w:r>
      <w:r w:rsidRPr="001C2554">
        <w:rPr>
          <w:lang w:val="fr-FR"/>
        </w:rPr>
        <w:t xml:space="preserve">OMPI </w:t>
      </w:r>
      <w:r w:rsidR="009A47FE" w:rsidRPr="001C2554">
        <w:rPr>
          <w:lang w:val="fr-FR"/>
        </w:rPr>
        <w:t>en 2021</w:t>
      </w:r>
      <w:r w:rsidRPr="001C2554">
        <w:rPr>
          <w:lang w:val="fr-FR"/>
        </w:rPr>
        <w:t xml:space="preserve"> par rapport à 2020 au regard du Plan d</w:t>
      </w:r>
      <w:r w:rsidR="006115E0" w:rsidRPr="001C2554">
        <w:rPr>
          <w:lang w:val="fr-FR"/>
        </w:rPr>
        <w:t>’</w:t>
      </w:r>
      <w:r w:rsidRPr="001C2554">
        <w:rPr>
          <w:lang w:val="fr-FR"/>
        </w:rPr>
        <w:t>action à l</w:t>
      </w:r>
      <w:r w:rsidR="006115E0" w:rsidRPr="001C2554">
        <w:rPr>
          <w:lang w:val="fr-FR"/>
        </w:rPr>
        <w:t>’</w:t>
      </w:r>
      <w:r w:rsidRPr="001C2554">
        <w:rPr>
          <w:lang w:val="fr-FR"/>
        </w:rPr>
        <w:t xml:space="preserve">échelle du système des </w:t>
      </w:r>
      <w:r w:rsidR="006115E0" w:rsidRPr="001C2554">
        <w:rPr>
          <w:lang w:val="fr-FR"/>
        </w:rPr>
        <w:t>Nations </w:t>
      </w:r>
      <w:r w:rsidR="006115E0" w:rsidRPr="00687F84">
        <w:rPr>
          <w:lang w:val="fr-FR"/>
        </w:rPr>
        <w:t>Unies :</w:t>
      </w:r>
    </w:p>
    <w:p w14:paraId="48486A95" w14:textId="77777777" w:rsidR="009A47FE" w:rsidRPr="001C2554" w:rsidRDefault="00217C5E" w:rsidP="00A17D90">
      <w:pPr>
        <w:contextualSpacing/>
        <w:rPr>
          <w:lang w:val="fr-FR"/>
        </w:rPr>
      </w:pPr>
      <w:r w:rsidRPr="001C2554">
        <w:rPr>
          <w:noProof/>
          <w:lang w:eastAsia="en-US"/>
        </w:rPr>
        <w:drawing>
          <wp:inline distT="0" distB="0" distL="0" distR="0" wp14:anchorId="344798A6" wp14:editId="120A99CD">
            <wp:extent cx="5938954" cy="1820849"/>
            <wp:effectExtent l="19050" t="19050" r="2413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02" b="2403"/>
                    <a:stretch/>
                  </pic:blipFill>
                  <pic:spPr bwMode="auto">
                    <a:xfrm>
                      <a:off x="0" y="0"/>
                      <a:ext cx="5940000" cy="1821170"/>
                    </a:xfrm>
                    <a:prstGeom prst="rect">
                      <a:avLst/>
                    </a:prstGeom>
                    <a:noFill/>
                    <a:ln w="317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11A266B" w14:textId="39C51F51" w:rsidR="006E4BE7" w:rsidRPr="001C2554" w:rsidRDefault="006E4BE7" w:rsidP="00C33511">
      <w:pPr>
        <w:pStyle w:val="Heading3"/>
      </w:pPr>
      <w:r w:rsidRPr="001C2554">
        <w:t>Parité</w:t>
      </w:r>
    </w:p>
    <w:p w14:paraId="7F1D53BC" w14:textId="1F1C4E77" w:rsidR="009A47FE" w:rsidRPr="001C2554" w:rsidRDefault="00536FBB" w:rsidP="00C25DC2">
      <w:pPr>
        <w:pStyle w:val="ONUMFS"/>
        <w:rPr>
          <w:lang w:val="fr-FR"/>
        </w:rPr>
      </w:pPr>
      <w:r w:rsidRPr="001C2554">
        <w:rPr>
          <w:lang w:val="fr-FR"/>
        </w:rPr>
        <w:t>Au 31 décembre 2021, les femmes représentaient 47,9% de l</w:t>
      </w:r>
      <w:r w:rsidR="006115E0" w:rsidRPr="001C2554">
        <w:rPr>
          <w:lang w:val="fr-FR"/>
        </w:rPr>
        <w:t>’</w:t>
      </w:r>
      <w:r w:rsidRPr="001C2554">
        <w:rPr>
          <w:lang w:val="fr-FR"/>
        </w:rPr>
        <w:t>ensemble des administrateurs et fonctionnaires de rang supérieur titulaires d</w:t>
      </w:r>
      <w:r w:rsidR="006115E0" w:rsidRPr="001C2554">
        <w:rPr>
          <w:lang w:val="fr-FR"/>
        </w:rPr>
        <w:t>’</w:t>
      </w:r>
      <w:r w:rsidRPr="001C2554">
        <w:rPr>
          <w:lang w:val="fr-FR"/>
        </w:rPr>
        <w:t>un engagement de durée déterminée, d</w:t>
      </w:r>
      <w:r w:rsidR="006115E0" w:rsidRPr="001C2554">
        <w:rPr>
          <w:lang w:val="fr-FR"/>
        </w:rPr>
        <w:t>’</w:t>
      </w:r>
      <w:r w:rsidRPr="001C2554">
        <w:rPr>
          <w:lang w:val="fr-FR"/>
        </w:rPr>
        <w:t>un engagement continu ou d</w:t>
      </w:r>
      <w:r w:rsidR="006115E0" w:rsidRPr="001C2554">
        <w:rPr>
          <w:lang w:val="fr-FR"/>
        </w:rPr>
        <w:t>’</w:t>
      </w:r>
      <w:r w:rsidRPr="001C2554">
        <w:rPr>
          <w:lang w:val="fr-FR"/>
        </w:rPr>
        <w:t>un engagement permanent inscrits au budget ordinaire</w:t>
      </w:r>
      <w:r w:rsidR="00A17D90" w:rsidRPr="001C2554">
        <w:rPr>
          <w:vertAlign w:val="superscript"/>
          <w:lang w:val="fr-FR"/>
        </w:rPr>
        <w:footnoteReference w:id="8"/>
      </w:r>
      <w:r w:rsidR="00A17D90" w:rsidRPr="001C2554">
        <w:rPr>
          <w:lang w:val="fr-FR"/>
        </w:rPr>
        <w:t>, 49</w:t>
      </w:r>
      <w:r w:rsidRPr="001C2554">
        <w:rPr>
          <w:lang w:val="fr-FR"/>
        </w:rPr>
        <w:t>,</w:t>
      </w:r>
      <w:r w:rsidR="00A17D90" w:rsidRPr="001C2554">
        <w:rPr>
          <w:lang w:val="fr-FR"/>
        </w:rPr>
        <w:t>8</w:t>
      </w:r>
      <w:r w:rsidRPr="001C2554">
        <w:rPr>
          <w:lang w:val="fr-FR"/>
        </w:rPr>
        <w:t>%</w:t>
      </w:r>
      <w:r w:rsidR="00A17D90" w:rsidRPr="001C2554">
        <w:rPr>
          <w:lang w:val="fr-FR"/>
        </w:rPr>
        <w:t xml:space="preserve"> </w:t>
      </w:r>
      <w:r w:rsidRPr="001C2554">
        <w:rPr>
          <w:lang w:val="fr-FR"/>
        </w:rPr>
        <w:t xml:space="preserve">des postes </w:t>
      </w:r>
      <w:r w:rsidR="0088740A" w:rsidRPr="001C2554">
        <w:rPr>
          <w:lang w:val="fr-FR"/>
        </w:rPr>
        <w:t>étant</w:t>
      </w:r>
      <w:r w:rsidRPr="001C2554">
        <w:rPr>
          <w:lang w:val="fr-FR"/>
        </w:rPr>
        <w:t xml:space="preserve"> occupés par des femmes dans la catégorie des administrateurs, et </w:t>
      </w:r>
      <w:r w:rsidR="0088740A" w:rsidRPr="001C2554">
        <w:rPr>
          <w:lang w:val="fr-FR"/>
        </w:rPr>
        <w:t>33,3</w:t>
      </w:r>
      <w:r w:rsidRPr="001C2554">
        <w:rPr>
          <w:lang w:val="fr-FR"/>
        </w:rPr>
        <w:t>% dans la catégorie spécia</w:t>
      </w:r>
      <w:r w:rsidR="001C2554" w:rsidRPr="001C2554">
        <w:rPr>
          <w:lang w:val="fr-FR"/>
        </w:rPr>
        <w:t>le.  Le</w:t>
      </w:r>
      <w:r w:rsidR="0088740A" w:rsidRPr="001C2554">
        <w:rPr>
          <w:lang w:val="fr-FR"/>
        </w:rPr>
        <w:t>s femmes représentaient 80% des administrateurs nationaux et 62,8% des fonctionnaires des services généraux</w:t>
      </w:r>
      <w:r w:rsidR="00A17D90" w:rsidRPr="001C2554">
        <w:rPr>
          <w:lang w:val="fr-FR"/>
        </w:rPr>
        <w:t>.</w:t>
      </w:r>
    </w:p>
    <w:p w14:paraId="7440E5F8" w14:textId="0C34B468" w:rsidR="009A47FE" w:rsidRPr="001C2554" w:rsidRDefault="0088740A" w:rsidP="00C25DC2">
      <w:pPr>
        <w:pStyle w:val="ONUMFS"/>
        <w:rPr>
          <w:lang w:val="fr-FR"/>
        </w:rPr>
      </w:pPr>
      <w:r w:rsidRPr="001C2554">
        <w:rPr>
          <w:lang w:val="fr-FR"/>
        </w:rPr>
        <w:t>S</w:t>
      </w:r>
      <w:r w:rsidR="006115E0" w:rsidRPr="001C2554">
        <w:rPr>
          <w:lang w:val="fr-FR"/>
        </w:rPr>
        <w:t>’</w:t>
      </w:r>
      <w:r w:rsidRPr="001C2554">
        <w:rPr>
          <w:lang w:val="fr-FR"/>
        </w:rPr>
        <w:t xml:space="preserve">agissant des objectifs en matière de parité entre les sexes, au cours du dernier exercice biennal, </w:t>
      </w:r>
      <w:r w:rsidR="0009509B" w:rsidRPr="001C2554">
        <w:rPr>
          <w:lang w:val="fr-FR"/>
        </w:rPr>
        <w:t>ils ont été atteints aux niveaux</w:t>
      </w:r>
      <w:r w:rsidR="004E5E29">
        <w:rPr>
          <w:lang w:val="fr-FR"/>
        </w:rPr>
        <w:t> </w:t>
      </w:r>
      <w:r w:rsidR="00A17D90" w:rsidRPr="001C2554">
        <w:rPr>
          <w:lang w:val="fr-FR"/>
        </w:rPr>
        <w:t>P</w:t>
      </w:r>
      <w:r w:rsidR="00687F84">
        <w:rPr>
          <w:lang w:val="fr-FR"/>
        </w:rPr>
        <w:noBreakHyphen/>
      </w:r>
      <w:r w:rsidR="00A17D90" w:rsidRPr="001C2554">
        <w:rPr>
          <w:lang w:val="fr-FR"/>
        </w:rPr>
        <w:t xml:space="preserve">4 </w:t>
      </w:r>
      <w:r w:rsidR="0009509B" w:rsidRPr="001C2554">
        <w:rPr>
          <w:lang w:val="fr-FR"/>
        </w:rPr>
        <w:t>et</w:t>
      </w:r>
      <w:r w:rsidR="00A17D90" w:rsidRPr="001C2554">
        <w:rPr>
          <w:lang w:val="fr-FR"/>
        </w:rPr>
        <w:t xml:space="preserve"> D</w:t>
      </w:r>
      <w:r w:rsidR="00687F84">
        <w:rPr>
          <w:lang w:val="fr-FR"/>
        </w:rPr>
        <w:noBreakHyphen/>
      </w:r>
      <w:r w:rsidR="00A17D90" w:rsidRPr="001C2554">
        <w:rPr>
          <w:lang w:val="fr-FR"/>
        </w:rPr>
        <w:t>1.</w:t>
      </w:r>
      <w:r w:rsidR="0009509B" w:rsidRPr="001C2554">
        <w:rPr>
          <w:lang w:val="fr-FR"/>
        </w:rPr>
        <w:t xml:space="preserve"> </w:t>
      </w:r>
      <w:r w:rsidR="00A17D90" w:rsidRPr="001C2554">
        <w:rPr>
          <w:lang w:val="fr-FR"/>
        </w:rPr>
        <w:t xml:space="preserve"> </w:t>
      </w:r>
      <w:r w:rsidR="0009509B" w:rsidRPr="001C2554">
        <w:rPr>
          <w:lang w:val="fr-FR"/>
        </w:rPr>
        <w:t>À l</w:t>
      </w:r>
      <w:r w:rsidR="006115E0" w:rsidRPr="001C2554">
        <w:rPr>
          <w:lang w:val="fr-FR"/>
        </w:rPr>
        <w:t>’</w:t>
      </w:r>
      <w:r w:rsidR="0009509B" w:rsidRPr="001C2554">
        <w:rPr>
          <w:lang w:val="fr-FR"/>
        </w:rPr>
        <w:t>inverse, des régressions ont été enregistrées aux niveaux</w:t>
      </w:r>
      <w:r w:rsidR="004E5E29">
        <w:rPr>
          <w:lang w:val="fr-FR"/>
        </w:rPr>
        <w:t> </w:t>
      </w:r>
      <w:r w:rsidR="0009509B" w:rsidRPr="001C2554">
        <w:rPr>
          <w:lang w:val="fr-FR"/>
        </w:rPr>
        <w:t>D</w:t>
      </w:r>
      <w:r w:rsidR="00687F84">
        <w:rPr>
          <w:lang w:val="fr-FR"/>
        </w:rPr>
        <w:noBreakHyphen/>
      </w:r>
      <w:r w:rsidR="0009509B" w:rsidRPr="001C2554">
        <w:rPr>
          <w:lang w:val="fr-FR"/>
        </w:rPr>
        <w:t>2 et P</w:t>
      </w:r>
      <w:r w:rsidR="00687F84">
        <w:rPr>
          <w:lang w:val="fr-FR"/>
        </w:rPr>
        <w:noBreakHyphen/>
      </w:r>
      <w:r w:rsidR="0009509B" w:rsidRPr="001C2554">
        <w:rPr>
          <w:lang w:val="fr-FR"/>
        </w:rPr>
        <w:t>5</w:t>
      </w:r>
      <w:r w:rsidR="00A17D90" w:rsidRPr="001C2554">
        <w:rPr>
          <w:lang w:val="fr-FR"/>
        </w:rPr>
        <w:t xml:space="preserve">, </w:t>
      </w:r>
      <w:r w:rsidR="00236660" w:rsidRPr="001C2554">
        <w:rPr>
          <w:lang w:val="fr-FR"/>
        </w:rPr>
        <w:t>bien qu</w:t>
      </w:r>
      <w:r w:rsidR="006115E0" w:rsidRPr="001C2554">
        <w:rPr>
          <w:lang w:val="fr-FR"/>
        </w:rPr>
        <w:t>’</w:t>
      </w:r>
      <w:r w:rsidR="00236660" w:rsidRPr="001C2554">
        <w:rPr>
          <w:lang w:val="fr-FR"/>
        </w:rPr>
        <w:t xml:space="preserve">elles </w:t>
      </w:r>
      <w:r w:rsidR="00966021" w:rsidRPr="001C2554">
        <w:rPr>
          <w:lang w:val="fr-FR"/>
        </w:rPr>
        <w:t>soi</w:t>
      </w:r>
      <w:r w:rsidR="00236660" w:rsidRPr="001C2554">
        <w:rPr>
          <w:lang w:val="fr-FR"/>
        </w:rPr>
        <w:t xml:space="preserve">ent </w:t>
      </w:r>
      <w:r w:rsidR="00966021" w:rsidRPr="001C2554">
        <w:rPr>
          <w:lang w:val="fr-FR"/>
        </w:rPr>
        <w:t>restées stables</w:t>
      </w:r>
      <w:r w:rsidR="00236660" w:rsidRPr="001C2554">
        <w:rPr>
          <w:lang w:val="fr-FR"/>
        </w:rPr>
        <w:t xml:space="preserve"> au cours de l</w:t>
      </w:r>
      <w:r w:rsidR="006115E0" w:rsidRPr="001C2554">
        <w:rPr>
          <w:lang w:val="fr-FR"/>
        </w:rPr>
        <w:t>’</w:t>
      </w:r>
      <w:r w:rsidR="00236660" w:rsidRPr="001C2554">
        <w:rPr>
          <w:lang w:val="fr-FR"/>
        </w:rPr>
        <w:t>année</w:t>
      </w:r>
      <w:r w:rsidR="00A17D90" w:rsidRPr="001C2554">
        <w:rPr>
          <w:lang w:val="fr-FR"/>
        </w:rPr>
        <w:t>.</w:t>
      </w:r>
    </w:p>
    <w:tbl>
      <w:tblPr>
        <w:tblStyle w:val="TableGrid"/>
        <w:tblW w:w="9445" w:type="dxa"/>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892"/>
        <w:gridCol w:w="1718"/>
        <w:gridCol w:w="1719"/>
        <w:gridCol w:w="1720"/>
        <w:gridCol w:w="1768"/>
        <w:gridCol w:w="1628"/>
      </w:tblGrid>
      <w:tr w:rsidR="00A17D90" w:rsidRPr="001C2554" w14:paraId="6D354B60" w14:textId="77777777" w:rsidTr="00C25DC2">
        <w:trPr>
          <w:tblHeader/>
        </w:trPr>
        <w:tc>
          <w:tcPr>
            <w:tcW w:w="892" w:type="dxa"/>
            <w:vAlign w:val="center"/>
          </w:tcPr>
          <w:p w14:paraId="7D22682D" w14:textId="0660FD99" w:rsidR="00A17D90" w:rsidRPr="001C2554" w:rsidRDefault="006E4BE7" w:rsidP="006E4BE7">
            <w:pPr>
              <w:jc w:val="center"/>
              <w:rPr>
                <w:b/>
                <w:sz w:val="18"/>
                <w:szCs w:val="18"/>
                <w:lang w:val="fr-FR"/>
              </w:rPr>
            </w:pPr>
            <w:r w:rsidRPr="001C2554">
              <w:rPr>
                <w:b/>
                <w:sz w:val="18"/>
                <w:szCs w:val="18"/>
                <w:lang w:val="fr-FR"/>
              </w:rPr>
              <w:t>Grades</w:t>
            </w:r>
          </w:p>
        </w:tc>
        <w:tc>
          <w:tcPr>
            <w:tcW w:w="1718" w:type="dxa"/>
            <w:vAlign w:val="center"/>
          </w:tcPr>
          <w:p w14:paraId="2C0392FD" w14:textId="0E06CD04" w:rsidR="00A17D90" w:rsidRPr="001C2554" w:rsidRDefault="006E4BE7" w:rsidP="006E4BE7">
            <w:pPr>
              <w:jc w:val="center"/>
              <w:rPr>
                <w:b/>
                <w:sz w:val="18"/>
                <w:szCs w:val="18"/>
                <w:lang w:val="fr-FR"/>
              </w:rPr>
            </w:pPr>
            <w:r w:rsidRPr="001C2554">
              <w:rPr>
                <w:b/>
                <w:sz w:val="18"/>
                <w:szCs w:val="18"/>
                <w:lang w:val="fr-FR"/>
              </w:rPr>
              <w:t>État au 3</w:t>
            </w:r>
            <w:r w:rsidR="009A47FE" w:rsidRPr="001C2554">
              <w:rPr>
                <w:b/>
                <w:sz w:val="18"/>
                <w:szCs w:val="18"/>
                <w:lang w:val="fr-FR"/>
              </w:rPr>
              <w:t>0 juin 20</w:t>
            </w:r>
            <w:r w:rsidRPr="001C2554">
              <w:rPr>
                <w:b/>
                <w:sz w:val="18"/>
                <w:szCs w:val="18"/>
                <w:lang w:val="fr-FR"/>
              </w:rPr>
              <w:t>19</w:t>
            </w:r>
          </w:p>
        </w:tc>
        <w:tc>
          <w:tcPr>
            <w:tcW w:w="1719" w:type="dxa"/>
            <w:vAlign w:val="center"/>
          </w:tcPr>
          <w:p w14:paraId="202ACB81" w14:textId="6D7DE88D" w:rsidR="00A17D90" w:rsidRPr="001C2554" w:rsidRDefault="006E4BE7" w:rsidP="006E4BE7">
            <w:pPr>
              <w:jc w:val="center"/>
              <w:rPr>
                <w:b/>
                <w:sz w:val="18"/>
                <w:szCs w:val="18"/>
                <w:lang w:val="fr-FR"/>
              </w:rPr>
            </w:pPr>
            <w:r w:rsidRPr="001C2554">
              <w:rPr>
                <w:b/>
                <w:sz w:val="18"/>
                <w:szCs w:val="18"/>
                <w:lang w:val="fr-FR"/>
              </w:rPr>
              <w:t>État au 3</w:t>
            </w:r>
            <w:r w:rsidR="009A47FE" w:rsidRPr="001C2554">
              <w:rPr>
                <w:b/>
                <w:sz w:val="18"/>
                <w:szCs w:val="18"/>
                <w:lang w:val="fr-FR"/>
              </w:rPr>
              <w:t>0 juin 20</w:t>
            </w:r>
            <w:r w:rsidRPr="001C2554">
              <w:rPr>
                <w:b/>
                <w:sz w:val="18"/>
                <w:szCs w:val="18"/>
                <w:lang w:val="fr-FR"/>
              </w:rPr>
              <w:t>20</w:t>
            </w:r>
          </w:p>
        </w:tc>
        <w:tc>
          <w:tcPr>
            <w:tcW w:w="1720" w:type="dxa"/>
            <w:shd w:val="clear" w:color="auto" w:fill="auto"/>
            <w:vAlign w:val="center"/>
          </w:tcPr>
          <w:p w14:paraId="24CDD44E" w14:textId="56329618" w:rsidR="00A17D90" w:rsidRPr="001C2554" w:rsidRDefault="006E4BE7" w:rsidP="006E4BE7">
            <w:pPr>
              <w:jc w:val="center"/>
              <w:rPr>
                <w:b/>
                <w:sz w:val="18"/>
                <w:szCs w:val="18"/>
                <w:lang w:val="fr-FR"/>
              </w:rPr>
            </w:pPr>
            <w:r w:rsidRPr="001C2554">
              <w:rPr>
                <w:b/>
                <w:sz w:val="18"/>
                <w:szCs w:val="18"/>
                <w:lang w:val="fr-FR"/>
              </w:rPr>
              <w:t>État au 3</w:t>
            </w:r>
            <w:r w:rsidR="009A47FE" w:rsidRPr="001C2554">
              <w:rPr>
                <w:b/>
                <w:sz w:val="18"/>
                <w:szCs w:val="18"/>
                <w:lang w:val="fr-FR"/>
              </w:rPr>
              <w:t>0 juin 20</w:t>
            </w:r>
            <w:r w:rsidRPr="001C2554">
              <w:rPr>
                <w:b/>
                <w:sz w:val="18"/>
                <w:szCs w:val="18"/>
                <w:lang w:val="fr-FR"/>
              </w:rPr>
              <w:t>21</w:t>
            </w:r>
          </w:p>
        </w:tc>
        <w:tc>
          <w:tcPr>
            <w:tcW w:w="1768" w:type="dxa"/>
          </w:tcPr>
          <w:p w14:paraId="07566FE8" w14:textId="190C0CDD" w:rsidR="00A17D90" w:rsidRPr="001C2554" w:rsidRDefault="0009509B" w:rsidP="00236660">
            <w:pPr>
              <w:jc w:val="center"/>
              <w:rPr>
                <w:b/>
                <w:sz w:val="18"/>
                <w:szCs w:val="18"/>
                <w:lang w:val="fr-FR"/>
              </w:rPr>
            </w:pPr>
            <w:r w:rsidRPr="001C2554">
              <w:rPr>
                <w:b/>
                <w:sz w:val="18"/>
                <w:szCs w:val="18"/>
                <w:lang w:val="fr-FR"/>
              </w:rPr>
              <w:t xml:space="preserve">État au </w:t>
            </w:r>
            <w:r w:rsidR="00A17D90" w:rsidRPr="001C2554">
              <w:rPr>
                <w:b/>
                <w:sz w:val="18"/>
                <w:szCs w:val="18"/>
                <w:lang w:val="fr-FR"/>
              </w:rPr>
              <w:t>31</w:t>
            </w:r>
            <w:r w:rsidR="00236660" w:rsidRPr="001C2554">
              <w:rPr>
                <w:b/>
                <w:sz w:val="18"/>
                <w:szCs w:val="18"/>
                <w:lang w:val="fr-FR"/>
              </w:rPr>
              <w:t> décembre </w:t>
            </w:r>
            <w:r w:rsidR="00A17D90" w:rsidRPr="001C2554">
              <w:rPr>
                <w:b/>
                <w:sz w:val="18"/>
                <w:szCs w:val="18"/>
                <w:lang w:val="fr-FR"/>
              </w:rPr>
              <w:t>2021</w:t>
            </w:r>
          </w:p>
        </w:tc>
        <w:tc>
          <w:tcPr>
            <w:tcW w:w="1628" w:type="dxa"/>
            <w:shd w:val="clear" w:color="auto" w:fill="BFBFBF" w:themeFill="background1" w:themeFillShade="BF"/>
            <w:vAlign w:val="center"/>
          </w:tcPr>
          <w:p w14:paraId="1A0FDA45" w14:textId="3235A466" w:rsidR="00A17D90" w:rsidRPr="001C2554" w:rsidRDefault="006E4BE7" w:rsidP="006E4BE7">
            <w:pPr>
              <w:jc w:val="center"/>
              <w:rPr>
                <w:b/>
                <w:sz w:val="18"/>
                <w:szCs w:val="18"/>
                <w:lang w:val="fr-FR"/>
              </w:rPr>
            </w:pPr>
            <w:r w:rsidRPr="001C2554">
              <w:rPr>
                <w:b/>
                <w:sz w:val="18"/>
                <w:szCs w:val="18"/>
                <w:lang w:val="fr-FR"/>
              </w:rPr>
              <w:t xml:space="preserve">Objectifs fixés pour </w:t>
            </w:r>
            <w:r w:rsidR="009A47FE" w:rsidRPr="001C2554">
              <w:rPr>
                <w:b/>
                <w:sz w:val="18"/>
                <w:szCs w:val="18"/>
                <w:lang w:val="fr-FR"/>
              </w:rPr>
              <w:t>décembre 20</w:t>
            </w:r>
            <w:r w:rsidRPr="001C2554">
              <w:rPr>
                <w:b/>
                <w:sz w:val="18"/>
                <w:szCs w:val="18"/>
                <w:lang w:val="fr-FR"/>
              </w:rPr>
              <w:t>21</w:t>
            </w:r>
          </w:p>
        </w:tc>
      </w:tr>
      <w:tr w:rsidR="00A17D90" w:rsidRPr="001C2554" w14:paraId="539CC895" w14:textId="77777777" w:rsidTr="00C25DC2">
        <w:tc>
          <w:tcPr>
            <w:tcW w:w="892" w:type="dxa"/>
          </w:tcPr>
          <w:p w14:paraId="30999890" w14:textId="710E336E" w:rsidR="00A17D90" w:rsidRPr="001C2554" w:rsidRDefault="006E4BE7" w:rsidP="006E4BE7">
            <w:pPr>
              <w:jc w:val="center"/>
              <w:rPr>
                <w:sz w:val="18"/>
                <w:szCs w:val="18"/>
                <w:lang w:val="fr-FR"/>
              </w:rPr>
            </w:pPr>
            <w:r w:rsidRPr="001C2554">
              <w:rPr>
                <w:sz w:val="18"/>
                <w:szCs w:val="18"/>
                <w:lang w:val="fr-FR"/>
              </w:rPr>
              <w:t>D</w:t>
            </w:r>
            <w:r w:rsidR="00687F84">
              <w:rPr>
                <w:sz w:val="18"/>
                <w:szCs w:val="18"/>
                <w:lang w:val="fr-FR"/>
              </w:rPr>
              <w:noBreakHyphen/>
            </w:r>
            <w:r w:rsidRPr="001C2554">
              <w:rPr>
                <w:sz w:val="18"/>
                <w:szCs w:val="18"/>
                <w:lang w:val="fr-FR"/>
              </w:rPr>
              <w:t>2</w:t>
            </w:r>
          </w:p>
        </w:tc>
        <w:tc>
          <w:tcPr>
            <w:tcW w:w="1718" w:type="dxa"/>
          </w:tcPr>
          <w:p w14:paraId="0F7E9B5D" w14:textId="0940430E" w:rsidR="00A17D90" w:rsidRPr="001C2554" w:rsidRDefault="006E4BE7" w:rsidP="006E4BE7">
            <w:pPr>
              <w:jc w:val="center"/>
              <w:rPr>
                <w:sz w:val="18"/>
                <w:szCs w:val="18"/>
                <w:lang w:val="fr-FR"/>
              </w:rPr>
            </w:pPr>
            <w:r w:rsidRPr="001C2554">
              <w:rPr>
                <w:sz w:val="18"/>
                <w:szCs w:val="18"/>
                <w:lang w:val="fr-FR"/>
              </w:rPr>
              <w:t>15,4%</w:t>
            </w:r>
          </w:p>
        </w:tc>
        <w:tc>
          <w:tcPr>
            <w:tcW w:w="1719" w:type="dxa"/>
          </w:tcPr>
          <w:p w14:paraId="071B0A77" w14:textId="029072FD" w:rsidR="00A17D90" w:rsidRPr="001C2554" w:rsidRDefault="006E4BE7" w:rsidP="006E4BE7">
            <w:pPr>
              <w:jc w:val="center"/>
              <w:rPr>
                <w:sz w:val="18"/>
                <w:szCs w:val="18"/>
                <w:lang w:val="fr-FR"/>
              </w:rPr>
            </w:pPr>
            <w:r w:rsidRPr="001C2554">
              <w:rPr>
                <w:sz w:val="18"/>
                <w:szCs w:val="18"/>
                <w:lang w:val="fr-FR"/>
              </w:rPr>
              <w:t>15,4%</w:t>
            </w:r>
          </w:p>
        </w:tc>
        <w:tc>
          <w:tcPr>
            <w:tcW w:w="1720" w:type="dxa"/>
            <w:shd w:val="clear" w:color="auto" w:fill="auto"/>
          </w:tcPr>
          <w:p w14:paraId="336D3C3E" w14:textId="77777777" w:rsidR="00A17D90" w:rsidRPr="001C2554" w:rsidRDefault="00A17D90" w:rsidP="00797BC7">
            <w:pPr>
              <w:jc w:val="center"/>
              <w:rPr>
                <w:sz w:val="18"/>
                <w:szCs w:val="18"/>
                <w:lang w:val="fr-FR"/>
              </w:rPr>
            </w:pPr>
            <w:r w:rsidRPr="001C2554">
              <w:rPr>
                <w:sz w:val="18"/>
                <w:szCs w:val="18"/>
                <w:lang w:val="fr-FR"/>
              </w:rPr>
              <w:t>10%</w:t>
            </w:r>
          </w:p>
        </w:tc>
        <w:tc>
          <w:tcPr>
            <w:tcW w:w="1768" w:type="dxa"/>
          </w:tcPr>
          <w:p w14:paraId="00ACD52B" w14:textId="77777777" w:rsidR="00A17D90" w:rsidRPr="001C2554" w:rsidRDefault="00A17D90" w:rsidP="00797BC7">
            <w:pPr>
              <w:jc w:val="center"/>
              <w:rPr>
                <w:sz w:val="18"/>
                <w:szCs w:val="18"/>
                <w:lang w:val="fr-FR"/>
              </w:rPr>
            </w:pPr>
            <w:r w:rsidRPr="001C2554">
              <w:rPr>
                <w:sz w:val="18"/>
                <w:szCs w:val="18"/>
                <w:lang w:val="fr-FR"/>
              </w:rPr>
              <w:t>10%</w:t>
            </w:r>
          </w:p>
        </w:tc>
        <w:tc>
          <w:tcPr>
            <w:tcW w:w="1628" w:type="dxa"/>
            <w:shd w:val="clear" w:color="auto" w:fill="BFBFBF" w:themeFill="background1" w:themeFillShade="BF"/>
          </w:tcPr>
          <w:p w14:paraId="017A8068" w14:textId="77777777" w:rsidR="00A17D90" w:rsidRPr="001C2554" w:rsidRDefault="00A17D90" w:rsidP="00797BC7">
            <w:pPr>
              <w:jc w:val="center"/>
              <w:rPr>
                <w:sz w:val="18"/>
                <w:szCs w:val="18"/>
                <w:lang w:val="fr-FR"/>
              </w:rPr>
            </w:pPr>
            <w:r w:rsidRPr="001C2554">
              <w:rPr>
                <w:sz w:val="18"/>
                <w:szCs w:val="18"/>
                <w:lang w:val="fr-FR"/>
              </w:rPr>
              <w:t>24%</w:t>
            </w:r>
          </w:p>
        </w:tc>
      </w:tr>
      <w:tr w:rsidR="00A17D90" w:rsidRPr="001C2554" w14:paraId="3423804A" w14:textId="77777777" w:rsidTr="00C25DC2">
        <w:tc>
          <w:tcPr>
            <w:tcW w:w="892" w:type="dxa"/>
          </w:tcPr>
          <w:p w14:paraId="40C7E750" w14:textId="21C79664" w:rsidR="00A17D90" w:rsidRPr="001C2554" w:rsidRDefault="006E4BE7" w:rsidP="006E4BE7">
            <w:pPr>
              <w:jc w:val="center"/>
              <w:rPr>
                <w:sz w:val="18"/>
                <w:szCs w:val="18"/>
                <w:lang w:val="fr-FR"/>
              </w:rPr>
            </w:pPr>
            <w:r w:rsidRPr="001C2554">
              <w:rPr>
                <w:sz w:val="18"/>
                <w:szCs w:val="18"/>
                <w:lang w:val="fr-FR"/>
              </w:rPr>
              <w:t>D</w:t>
            </w:r>
            <w:r w:rsidR="00687F84">
              <w:rPr>
                <w:sz w:val="18"/>
                <w:szCs w:val="18"/>
                <w:lang w:val="fr-FR"/>
              </w:rPr>
              <w:noBreakHyphen/>
            </w:r>
            <w:r w:rsidRPr="001C2554">
              <w:rPr>
                <w:sz w:val="18"/>
                <w:szCs w:val="18"/>
                <w:lang w:val="fr-FR"/>
              </w:rPr>
              <w:t>1</w:t>
            </w:r>
          </w:p>
        </w:tc>
        <w:tc>
          <w:tcPr>
            <w:tcW w:w="1718" w:type="dxa"/>
          </w:tcPr>
          <w:p w14:paraId="5001B7DC" w14:textId="62E0319D" w:rsidR="00A17D90" w:rsidRPr="001C2554" w:rsidRDefault="006E4BE7" w:rsidP="006E4BE7">
            <w:pPr>
              <w:jc w:val="center"/>
              <w:rPr>
                <w:sz w:val="18"/>
                <w:szCs w:val="18"/>
                <w:lang w:val="fr-FR"/>
              </w:rPr>
            </w:pPr>
            <w:r w:rsidRPr="001C2554">
              <w:rPr>
                <w:sz w:val="18"/>
                <w:szCs w:val="18"/>
                <w:lang w:val="fr-FR"/>
              </w:rPr>
              <w:t>36,8%</w:t>
            </w:r>
          </w:p>
        </w:tc>
        <w:tc>
          <w:tcPr>
            <w:tcW w:w="1719" w:type="dxa"/>
          </w:tcPr>
          <w:p w14:paraId="6CF75DEB" w14:textId="4C4D730D" w:rsidR="00A17D90" w:rsidRPr="001C2554" w:rsidRDefault="006E4BE7" w:rsidP="006E4BE7">
            <w:pPr>
              <w:jc w:val="center"/>
              <w:rPr>
                <w:sz w:val="18"/>
                <w:szCs w:val="18"/>
                <w:lang w:val="fr-FR"/>
              </w:rPr>
            </w:pPr>
            <w:r w:rsidRPr="001C2554">
              <w:rPr>
                <w:sz w:val="18"/>
                <w:szCs w:val="18"/>
                <w:lang w:val="fr-FR"/>
              </w:rPr>
              <w:t>34,9%</w:t>
            </w:r>
          </w:p>
        </w:tc>
        <w:tc>
          <w:tcPr>
            <w:tcW w:w="1720" w:type="dxa"/>
            <w:shd w:val="clear" w:color="auto" w:fill="auto"/>
          </w:tcPr>
          <w:p w14:paraId="68DAE8E5" w14:textId="30ACC01E" w:rsidR="00A17D90" w:rsidRPr="001C2554" w:rsidRDefault="006E4BE7" w:rsidP="006E4BE7">
            <w:pPr>
              <w:jc w:val="center"/>
              <w:rPr>
                <w:sz w:val="18"/>
                <w:szCs w:val="18"/>
                <w:lang w:val="fr-FR"/>
              </w:rPr>
            </w:pPr>
            <w:r w:rsidRPr="001C2554">
              <w:rPr>
                <w:sz w:val="18"/>
                <w:szCs w:val="18"/>
                <w:lang w:val="fr-FR"/>
              </w:rPr>
              <w:t>37,1%</w:t>
            </w:r>
          </w:p>
        </w:tc>
        <w:tc>
          <w:tcPr>
            <w:tcW w:w="1768" w:type="dxa"/>
          </w:tcPr>
          <w:p w14:paraId="31258204" w14:textId="31954129" w:rsidR="00A17D90" w:rsidRPr="001C2554" w:rsidRDefault="006E4BE7" w:rsidP="006E4BE7">
            <w:pPr>
              <w:jc w:val="center"/>
              <w:rPr>
                <w:sz w:val="18"/>
                <w:szCs w:val="18"/>
                <w:lang w:val="fr-FR"/>
              </w:rPr>
            </w:pPr>
            <w:r w:rsidRPr="001C2554">
              <w:rPr>
                <w:sz w:val="18"/>
                <w:szCs w:val="18"/>
                <w:lang w:val="fr-FR"/>
              </w:rPr>
              <w:t>37,3%</w:t>
            </w:r>
          </w:p>
        </w:tc>
        <w:tc>
          <w:tcPr>
            <w:tcW w:w="1628" w:type="dxa"/>
            <w:shd w:val="clear" w:color="auto" w:fill="BFBFBF" w:themeFill="background1" w:themeFillShade="BF"/>
          </w:tcPr>
          <w:p w14:paraId="06F9B1B7" w14:textId="77777777" w:rsidR="00A17D90" w:rsidRPr="001C2554" w:rsidRDefault="00A17D90" w:rsidP="00797BC7">
            <w:pPr>
              <w:jc w:val="center"/>
              <w:rPr>
                <w:sz w:val="18"/>
                <w:szCs w:val="18"/>
                <w:lang w:val="fr-FR"/>
              </w:rPr>
            </w:pPr>
            <w:r w:rsidRPr="001C2554">
              <w:rPr>
                <w:sz w:val="18"/>
                <w:szCs w:val="18"/>
                <w:lang w:val="fr-FR"/>
              </w:rPr>
              <w:t>37%</w:t>
            </w:r>
          </w:p>
        </w:tc>
      </w:tr>
      <w:tr w:rsidR="00A17D90" w:rsidRPr="001C2554" w14:paraId="6CC3FEA9" w14:textId="77777777" w:rsidTr="00C25DC2">
        <w:tc>
          <w:tcPr>
            <w:tcW w:w="892" w:type="dxa"/>
          </w:tcPr>
          <w:p w14:paraId="50FD634F" w14:textId="59D22791" w:rsidR="00A17D90" w:rsidRPr="001C2554" w:rsidRDefault="006E4BE7" w:rsidP="006E4BE7">
            <w:pPr>
              <w:jc w:val="center"/>
              <w:rPr>
                <w:sz w:val="18"/>
                <w:szCs w:val="18"/>
                <w:lang w:val="fr-FR"/>
              </w:rPr>
            </w:pPr>
            <w:r w:rsidRPr="001C2554">
              <w:rPr>
                <w:sz w:val="18"/>
                <w:szCs w:val="18"/>
                <w:lang w:val="fr-FR"/>
              </w:rPr>
              <w:t>P</w:t>
            </w:r>
            <w:r w:rsidR="00687F84">
              <w:rPr>
                <w:sz w:val="18"/>
                <w:szCs w:val="18"/>
                <w:lang w:val="fr-FR"/>
              </w:rPr>
              <w:noBreakHyphen/>
            </w:r>
            <w:r w:rsidRPr="001C2554">
              <w:rPr>
                <w:sz w:val="18"/>
                <w:szCs w:val="18"/>
                <w:lang w:val="fr-FR"/>
              </w:rPr>
              <w:t>5</w:t>
            </w:r>
          </w:p>
        </w:tc>
        <w:tc>
          <w:tcPr>
            <w:tcW w:w="1718" w:type="dxa"/>
          </w:tcPr>
          <w:p w14:paraId="23D7B208" w14:textId="682AA661" w:rsidR="00A17D90" w:rsidRPr="001C2554" w:rsidRDefault="006E4BE7" w:rsidP="006E4BE7">
            <w:pPr>
              <w:jc w:val="center"/>
              <w:rPr>
                <w:sz w:val="18"/>
                <w:szCs w:val="18"/>
                <w:lang w:val="fr-FR"/>
              </w:rPr>
            </w:pPr>
            <w:r w:rsidRPr="001C2554">
              <w:rPr>
                <w:sz w:val="18"/>
                <w:szCs w:val="18"/>
                <w:lang w:val="fr-FR"/>
              </w:rPr>
              <w:t>32,4%</w:t>
            </w:r>
          </w:p>
        </w:tc>
        <w:tc>
          <w:tcPr>
            <w:tcW w:w="1719" w:type="dxa"/>
          </w:tcPr>
          <w:p w14:paraId="24D598B3" w14:textId="0F607A37" w:rsidR="00A17D90" w:rsidRPr="001C2554" w:rsidRDefault="006E4BE7" w:rsidP="006E4BE7">
            <w:pPr>
              <w:jc w:val="center"/>
              <w:rPr>
                <w:sz w:val="18"/>
                <w:szCs w:val="18"/>
                <w:lang w:val="fr-FR"/>
              </w:rPr>
            </w:pPr>
            <w:r w:rsidRPr="001C2554">
              <w:rPr>
                <w:sz w:val="18"/>
                <w:szCs w:val="18"/>
                <w:lang w:val="fr-FR"/>
              </w:rPr>
              <w:t>32,7%</w:t>
            </w:r>
          </w:p>
        </w:tc>
        <w:tc>
          <w:tcPr>
            <w:tcW w:w="1720" w:type="dxa"/>
            <w:shd w:val="clear" w:color="auto" w:fill="auto"/>
          </w:tcPr>
          <w:p w14:paraId="314FE2EB" w14:textId="79F977BA" w:rsidR="00A17D90" w:rsidRPr="001C2554" w:rsidRDefault="006E4BE7" w:rsidP="006E4BE7">
            <w:pPr>
              <w:jc w:val="center"/>
              <w:rPr>
                <w:sz w:val="18"/>
                <w:szCs w:val="18"/>
                <w:lang w:val="fr-FR"/>
              </w:rPr>
            </w:pPr>
            <w:r w:rsidRPr="001C2554">
              <w:rPr>
                <w:sz w:val="18"/>
                <w:szCs w:val="18"/>
                <w:lang w:val="fr-FR"/>
              </w:rPr>
              <w:t>29,7%</w:t>
            </w:r>
          </w:p>
        </w:tc>
        <w:tc>
          <w:tcPr>
            <w:tcW w:w="1768" w:type="dxa"/>
          </w:tcPr>
          <w:p w14:paraId="60C12DAE" w14:textId="326F71C1" w:rsidR="00A17D90" w:rsidRPr="001C2554" w:rsidRDefault="006E4BE7" w:rsidP="006E4BE7">
            <w:pPr>
              <w:jc w:val="center"/>
              <w:rPr>
                <w:sz w:val="18"/>
                <w:szCs w:val="18"/>
                <w:lang w:val="fr-FR"/>
              </w:rPr>
            </w:pPr>
            <w:r w:rsidRPr="001C2554">
              <w:rPr>
                <w:sz w:val="18"/>
                <w:szCs w:val="18"/>
                <w:lang w:val="fr-FR"/>
              </w:rPr>
              <w:t>29,1%</w:t>
            </w:r>
          </w:p>
        </w:tc>
        <w:tc>
          <w:tcPr>
            <w:tcW w:w="1628" w:type="dxa"/>
            <w:shd w:val="clear" w:color="auto" w:fill="BFBFBF" w:themeFill="background1" w:themeFillShade="BF"/>
          </w:tcPr>
          <w:p w14:paraId="6E026405" w14:textId="77777777" w:rsidR="00A17D90" w:rsidRPr="001C2554" w:rsidRDefault="00A17D90" w:rsidP="00797BC7">
            <w:pPr>
              <w:jc w:val="center"/>
              <w:rPr>
                <w:sz w:val="18"/>
                <w:szCs w:val="18"/>
                <w:lang w:val="fr-FR"/>
              </w:rPr>
            </w:pPr>
            <w:r w:rsidRPr="001C2554">
              <w:rPr>
                <w:sz w:val="18"/>
                <w:szCs w:val="18"/>
                <w:lang w:val="fr-FR"/>
              </w:rPr>
              <w:t>43%</w:t>
            </w:r>
          </w:p>
        </w:tc>
      </w:tr>
      <w:tr w:rsidR="00A17D90" w:rsidRPr="001C2554" w14:paraId="45CF9CF2" w14:textId="77777777" w:rsidTr="00C25DC2">
        <w:tc>
          <w:tcPr>
            <w:tcW w:w="892" w:type="dxa"/>
          </w:tcPr>
          <w:p w14:paraId="360D9A7F" w14:textId="609ECF21" w:rsidR="00A17D90" w:rsidRPr="001C2554" w:rsidRDefault="006E4BE7" w:rsidP="006E4BE7">
            <w:pPr>
              <w:jc w:val="center"/>
              <w:rPr>
                <w:sz w:val="18"/>
                <w:szCs w:val="18"/>
                <w:lang w:val="fr-FR"/>
              </w:rPr>
            </w:pPr>
            <w:r w:rsidRPr="001C2554">
              <w:rPr>
                <w:sz w:val="18"/>
                <w:szCs w:val="18"/>
                <w:lang w:val="fr-FR"/>
              </w:rPr>
              <w:t>P</w:t>
            </w:r>
            <w:r w:rsidR="00687F84">
              <w:rPr>
                <w:sz w:val="18"/>
                <w:szCs w:val="18"/>
                <w:lang w:val="fr-FR"/>
              </w:rPr>
              <w:noBreakHyphen/>
            </w:r>
            <w:r w:rsidRPr="001C2554">
              <w:rPr>
                <w:sz w:val="18"/>
                <w:szCs w:val="18"/>
                <w:lang w:val="fr-FR"/>
              </w:rPr>
              <w:t>4</w:t>
            </w:r>
          </w:p>
        </w:tc>
        <w:tc>
          <w:tcPr>
            <w:tcW w:w="1718" w:type="dxa"/>
          </w:tcPr>
          <w:p w14:paraId="42ECD2C7" w14:textId="3F574056" w:rsidR="00A17D90" w:rsidRPr="001C2554" w:rsidRDefault="006E4BE7" w:rsidP="006E4BE7">
            <w:pPr>
              <w:jc w:val="center"/>
              <w:rPr>
                <w:sz w:val="18"/>
                <w:szCs w:val="18"/>
                <w:lang w:val="fr-FR"/>
              </w:rPr>
            </w:pPr>
            <w:r w:rsidRPr="001C2554">
              <w:rPr>
                <w:sz w:val="18"/>
                <w:szCs w:val="18"/>
                <w:lang w:val="fr-FR"/>
              </w:rPr>
              <w:t>48,7%</w:t>
            </w:r>
          </w:p>
        </w:tc>
        <w:tc>
          <w:tcPr>
            <w:tcW w:w="1719" w:type="dxa"/>
          </w:tcPr>
          <w:p w14:paraId="125EF191" w14:textId="762300D2" w:rsidR="00A17D90" w:rsidRPr="001C2554" w:rsidRDefault="006E4BE7" w:rsidP="006E4BE7">
            <w:pPr>
              <w:jc w:val="center"/>
              <w:rPr>
                <w:sz w:val="18"/>
                <w:szCs w:val="18"/>
                <w:lang w:val="fr-FR"/>
              </w:rPr>
            </w:pPr>
            <w:r w:rsidRPr="001C2554">
              <w:rPr>
                <w:sz w:val="18"/>
                <w:szCs w:val="18"/>
                <w:lang w:val="fr-FR"/>
              </w:rPr>
              <w:t>50,0%</w:t>
            </w:r>
          </w:p>
        </w:tc>
        <w:tc>
          <w:tcPr>
            <w:tcW w:w="1720" w:type="dxa"/>
            <w:shd w:val="clear" w:color="auto" w:fill="auto"/>
          </w:tcPr>
          <w:p w14:paraId="5F65EFE9" w14:textId="77777777" w:rsidR="00A17D90" w:rsidRPr="001C2554" w:rsidRDefault="00A17D90" w:rsidP="00797BC7">
            <w:pPr>
              <w:jc w:val="center"/>
              <w:rPr>
                <w:sz w:val="18"/>
                <w:szCs w:val="18"/>
                <w:lang w:val="fr-FR"/>
              </w:rPr>
            </w:pPr>
            <w:r w:rsidRPr="001C2554">
              <w:rPr>
                <w:sz w:val="18"/>
                <w:szCs w:val="18"/>
                <w:lang w:val="fr-FR"/>
              </w:rPr>
              <w:t>50%</w:t>
            </w:r>
          </w:p>
        </w:tc>
        <w:tc>
          <w:tcPr>
            <w:tcW w:w="1768" w:type="dxa"/>
          </w:tcPr>
          <w:p w14:paraId="64B1AC3D" w14:textId="47A0FCA7" w:rsidR="00A17D90" w:rsidRPr="001C2554" w:rsidRDefault="006E4BE7" w:rsidP="0022357A">
            <w:pPr>
              <w:jc w:val="center"/>
              <w:rPr>
                <w:sz w:val="18"/>
                <w:szCs w:val="18"/>
                <w:lang w:val="fr-FR"/>
              </w:rPr>
            </w:pPr>
            <w:r w:rsidRPr="001C2554">
              <w:rPr>
                <w:sz w:val="18"/>
                <w:szCs w:val="18"/>
                <w:lang w:val="fr-FR"/>
              </w:rPr>
              <w:t>49,</w:t>
            </w:r>
            <w:r w:rsidR="0022357A" w:rsidRPr="001C2554">
              <w:rPr>
                <w:sz w:val="18"/>
                <w:szCs w:val="18"/>
                <w:lang w:val="fr-FR"/>
              </w:rPr>
              <w:t>7</w:t>
            </w:r>
            <w:r w:rsidRPr="001C2554">
              <w:rPr>
                <w:sz w:val="18"/>
                <w:szCs w:val="18"/>
                <w:lang w:val="fr-FR"/>
              </w:rPr>
              <w:t>%</w:t>
            </w:r>
          </w:p>
        </w:tc>
        <w:tc>
          <w:tcPr>
            <w:tcW w:w="1628" w:type="dxa"/>
            <w:shd w:val="clear" w:color="auto" w:fill="BFBFBF" w:themeFill="background1" w:themeFillShade="BF"/>
          </w:tcPr>
          <w:p w14:paraId="0F297DE6" w14:textId="77777777" w:rsidR="00A17D90" w:rsidRPr="001C2554" w:rsidRDefault="00A17D90" w:rsidP="00797BC7">
            <w:pPr>
              <w:jc w:val="center"/>
              <w:rPr>
                <w:sz w:val="18"/>
                <w:szCs w:val="18"/>
                <w:lang w:val="fr-FR"/>
              </w:rPr>
            </w:pPr>
            <w:r w:rsidRPr="001C2554">
              <w:rPr>
                <w:sz w:val="18"/>
                <w:szCs w:val="18"/>
                <w:lang w:val="fr-FR"/>
              </w:rPr>
              <w:t>50%</w:t>
            </w:r>
          </w:p>
        </w:tc>
      </w:tr>
    </w:tbl>
    <w:p w14:paraId="3C735185" w14:textId="702BCD99" w:rsidR="006E4BE7" w:rsidRPr="001C2554" w:rsidRDefault="00236660" w:rsidP="00C25DC2">
      <w:pPr>
        <w:pStyle w:val="ONUMFS"/>
        <w:spacing w:before="220"/>
        <w:rPr>
          <w:lang w:val="fr-FR"/>
        </w:rPr>
      </w:pPr>
      <w:r w:rsidRPr="001C2554">
        <w:rPr>
          <w:lang w:val="fr-FR"/>
        </w:rPr>
        <w:t>Pour l</w:t>
      </w:r>
      <w:r w:rsidR="006115E0" w:rsidRPr="001C2554">
        <w:rPr>
          <w:lang w:val="fr-FR"/>
        </w:rPr>
        <w:t>’</w:t>
      </w:r>
      <w:r w:rsidRPr="001C2554">
        <w:rPr>
          <w:lang w:val="fr-FR"/>
        </w:rPr>
        <w:t>exercice biennal 2022</w:t>
      </w:r>
      <w:r w:rsidR="00687F84">
        <w:rPr>
          <w:lang w:val="fr-FR"/>
        </w:rPr>
        <w:noBreakHyphen/>
      </w:r>
      <w:r w:rsidRPr="001C2554">
        <w:rPr>
          <w:lang w:val="fr-FR"/>
        </w:rPr>
        <w:t>2023, l</w:t>
      </w:r>
      <w:r w:rsidR="006115E0" w:rsidRPr="001C2554">
        <w:rPr>
          <w:lang w:val="fr-FR"/>
        </w:rPr>
        <w:t>’</w:t>
      </w:r>
      <w:r w:rsidRPr="001C2554">
        <w:rPr>
          <w:lang w:val="fr-FR"/>
        </w:rPr>
        <w:t xml:space="preserve">OMPI a fixé </w:t>
      </w:r>
      <w:r w:rsidR="008A36F8" w:rsidRPr="001C2554">
        <w:rPr>
          <w:lang w:val="fr-FR"/>
        </w:rPr>
        <w:t>les</w:t>
      </w:r>
      <w:r w:rsidRPr="001C2554">
        <w:rPr>
          <w:lang w:val="fr-FR"/>
        </w:rPr>
        <w:t xml:space="preserve"> nouveaux objectifs suivants en matière de représentation des femmes aux niveaux</w:t>
      </w:r>
      <w:r w:rsidR="004E5E29">
        <w:rPr>
          <w:lang w:val="fr-FR"/>
        </w:rPr>
        <w:t> </w:t>
      </w:r>
      <w:r w:rsidRPr="001C2554">
        <w:rPr>
          <w:lang w:val="fr-FR"/>
        </w:rPr>
        <w:t>D</w:t>
      </w:r>
      <w:r w:rsidR="00687F84">
        <w:rPr>
          <w:lang w:val="fr-FR"/>
        </w:rPr>
        <w:noBreakHyphen/>
      </w:r>
      <w:r w:rsidRPr="001C2554">
        <w:rPr>
          <w:lang w:val="fr-FR"/>
        </w:rPr>
        <w:t>2, D</w:t>
      </w:r>
      <w:r w:rsidR="00687F84">
        <w:rPr>
          <w:lang w:val="fr-FR"/>
        </w:rPr>
        <w:noBreakHyphen/>
      </w:r>
      <w:r w:rsidRPr="001C2554">
        <w:rPr>
          <w:lang w:val="fr-FR"/>
        </w:rPr>
        <w:t>1, P</w:t>
      </w:r>
      <w:r w:rsidR="00687F84">
        <w:rPr>
          <w:lang w:val="fr-FR"/>
        </w:rPr>
        <w:noBreakHyphen/>
      </w:r>
      <w:r w:rsidRPr="001C2554">
        <w:rPr>
          <w:lang w:val="fr-FR"/>
        </w:rPr>
        <w:t>5 et P</w:t>
      </w:r>
      <w:r w:rsidR="00687F84">
        <w:rPr>
          <w:lang w:val="fr-FR"/>
        </w:rPr>
        <w:noBreakHyphen/>
      </w:r>
      <w:r w:rsidRPr="001C2554">
        <w:rPr>
          <w:lang w:val="fr-FR"/>
        </w:rPr>
        <w:t>4</w:t>
      </w:r>
      <w:r w:rsidR="006115E0" w:rsidRPr="001C2554">
        <w:rPr>
          <w:lang w:val="fr-FR"/>
        </w:rPr>
        <w:t> :</w:t>
      </w:r>
    </w:p>
    <w:tbl>
      <w:tblPr>
        <w:tblStyle w:val="TableGrid"/>
        <w:tblW w:w="0" w:type="auto"/>
        <w:tblInd w:w="-5"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A17D90" w:rsidRPr="001C2554" w14:paraId="242C4F7C" w14:textId="77777777" w:rsidTr="00A15838">
        <w:trPr>
          <w:tblHeader/>
        </w:trPr>
        <w:tc>
          <w:tcPr>
            <w:tcW w:w="1347" w:type="dxa"/>
          </w:tcPr>
          <w:p w14:paraId="7D1F7E23" w14:textId="328FA966" w:rsidR="00A17D90" w:rsidRPr="001C2554" w:rsidRDefault="006E4BE7" w:rsidP="00677B1B">
            <w:pPr>
              <w:ind w:left="-46"/>
              <w:contextualSpacing/>
              <w:jc w:val="center"/>
              <w:rPr>
                <w:b/>
                <w:sz w:val="18"/>
                <w:szCs w:val="18"/>
                <w:lang w:val="fr-FR"/>
              </w:rPr>
            </w:pPr>
            <w:r w:rsidRPr="001C2554">
              <w:rPr>
                <w:b/>
                <w:sz w:val="18"/>
                <w:szCs w:val="18"/>
                <w:lang w:val="fr-FR"/>
              </w:rPr>
              <w:t>Grade</w:t>
            </w:r>
          </w:p>
        </w:tc>
        <w:tc>
          <w:tcPr>
            <w:tcW w:w="1347" w:type="dxa"/>
          </w:tcPr>
          <w:p w14:paraId="3C36FA47" w14:textId="381E06DA" w:rsidR="00A17D90" w:rsidRPr="001C2554" w:rsidRDefault="006E4BE7" w:rsidP="006E4BE7">
            <w:pPr>
              <w:ind w:left="-46"/>
              <w:contextualSpacing/>
              <w:jc w:val="center"/>
              <w:rPr>
                <w:b/>
                <w:sz w:val="18"/>
                <w:szCs w:val="18"/>
                <w:lang w:val="fr-FR"/>
              </w:rPr>
            </w:pPr>
            <w:r w:rsidRPr="001C2554">
              <w:rPr>
                <w:b/>
                <w:color w:val="000000"/>
                <w:sz w:val="18"/>
                <w:szCs w:val="18"/>
                <w:lang w:val="fr-FR"/>
              </w:rPr>
              <w:t>Objectif</w:t>
            </w:r>
            <w:r w:rsidR="00677B1B" w:rsidRPr="001C2554">
              <w:rPr>
                <w:b/>
                <w:color w:val="000000"/>
                <w:sz w:val="18"/>
                <w:szCs w:val="18"/>
                <w:lang w:val="fr-FR"/>
              </w:rPr>
              <w:t xml:space="preserve"> visé</w:t>
            </w:r>
          </w:p>
        </w:tc>
      </w:tr>
      <w:tr w:rsidR="00A17D90" w:rsidRPr="001C2554" w14:paraId="5D2EB95B" w14:textId="77777777" w:rsidTr="00A15838">
        <w:tc>
          <w:tcPr>
            <w:tcW w:w="1347" w:type="dxa"/>
          </w:tcPr>
          <w:p w14:paraId="52F20BC8" w14:textId="27B5C3AF" w:rsidR="00A17D90" w:rsidRPr="001C2554" w:rsidRDefault="006E4BE7" w:rsidP="006E4BE7">
            <w:pPr>
              <w:ind w:left="-46"/>
              <w:contextualSpacing/>
              <w:jc w:val="center"/>
              <w:rPr>
                <w:sz w:val="18"/>
                <w:szCs w:val="18"/>
                <w:lang w:val="fr-FR"/>
              </w:rPr>
            </w:pPr>
            <w:r w:rsidRPr="001C2554">
              <w:rPr>
                <w:sz w:val="18"/>
                <w:szCs w:val="18"/>
                <w:lang w:val="fr-FR"/>
              </w:rPr>
              <w:t>D</w:t>
            </w:r>
            <w:r w:rsidR="00687F84">
              <w:rPr>
                <w:sz w:val="18"/>
                <w:szCs w:val="18"/>
                <w:lang w:val="fr-FR"/>
              </w:rPr>
              <w:noBreakHyphen/>
            </w:r>
            <w:r w:rsidRPr="001C2554">
              <w:rPr>
                <w:sz w:val="18"/>
                <w:szCs w:val="18"/>
                <w:lang w:val="fr-FR"/>
              </w:rPr>
              <w:t>2</w:t>
            </w:r>
          </w:p>
        </w:tc>
        <w:tc>
          <w:tcPr>
            <w:tcW w:w="1347" w:type="dxa"/>
          </w:tcPr>
          <w:p w14:paraId="2ABAD94A" w14:textId="77777777" w:rsidR="00A17D90" w:rsidRPr="001C2554" w:rsidRDefault="00A17D90" w:rsidP="00A15838">
            <w:pPr>
              <w:ind w:left="-46"/>
              <w:contextualSpacing/>
              <w:jc w:val="center"/>
              <w:rPr>
                <w:sz w:val="18"/>
                <w:szCs w:val="18"/>
                <w:lang w:val="fr-FR"/>
              </w:rPr>
            </w:pPr>
            <w:r w:rsidRPr="001C2554">
              <w:rPr>
                <w:sz w:val="18"/>
                <w:szCs w:val="18"/>
                <w:lang w:val="fr-FR"/>
              </w:rPr>
              <w:t>33%</w:t>
            </w:r>
          </w:p>
        </w:tc>
      </w:tr>
      <w:tr w:rsidR="00A17D90" w:rsidRPr="001C2554" w14:paraId="35DAEEC2" w14:textId="77777777" w:rsidTr="00A15838">
        <w:tc>
          <w:tcPr>
            <w:tcW w:w="1347" w:type="dxa"/>
          </w:tcPr>
          <w:p w14:paraId="6489D137" w14:textId="1C80C7B7" w:rsidR="00A17D90" w:rsidRPr="001C2554" w:rsidRDefault="006E4BE7" w:rsidP="006E4BE7">
            <w:pPr>
              <w:ind w:left="-46"/>
              <w:contextualSpacing/>
              <w:jc w:val="center"/>
              <w:rPr>
                <w:sz w:val="18"/>
                <w:szCs w:val="18"/>
                <w:lang w:val="fr-FR"/>
              </w:rPr>
            </w:pPr>
            <w:r w:rsidRPr="001C2554">
              <w:rPr>
                <w:sz w:val="18"/>
                <w:szCs w:val="18"/>
                <w:lang w:val="fr-FR"/>
              </w:rPr>
              <w:t>D</w:t>
            </w:r>
            <w:r w:rsidR="00687F84">
              <w:rPr>
                <w:sz w:val="18"/>
                <w:szCs w:val="18"/>
                <w:lang w:val="fr-FR"/>
              </w:rPr>
              <w:noBreakHyphen/>
            </w:r>
            <w:r w:rsidRPr="001C2554">
              <w:rPr>
                <w:sz w:val="18"/>
                <w:szCs w:val="18"/>
                <w:lang w:val="fr-FR"/>
              </w:rPr>
              <w:t>1</w:t>
            </w:r>
          </w:p>
        </w:tc>
        <w:tc>
          <w:tcPr>
            <w:tcW w:w="1347" w:type="dxa"/>
          </w:tcPr>
          <w:p w14:paraId="162C202C" w14:textId="77777777" w:rsidR="00A17D90" w:rsidRPr="001C2554" w:rsidRDefault="00A17D90" w:rsidP="00A15838">
            <w:pPr>
              <w:ind w:left="-46"/>
              <w:contextualSpacing/>
              <w:jc w:val="center"/>
              <w:rPr>
                <w:sz w:val="18"/>
                <w:szCs w:val="18"/>
                <w:lang w:val="fr-FR"/>
              </w:rPr>
            </w:pPr>
            <w:r w:rsidRPr="001C2554">
              <w:rPr>
                <w:sz w:val="18"/>
                <w:szCs w:val="18"/>
                <w:lang w:val="fr-FR"/>
              </w:rPr>
              <w:t>41%</w:t>
            </w:r>
          </w:p>
        </w:tc>
      </w:tr>
      <w:tr w:rsidR="00A17D90" w:rsidRPr="001C2554" w14:paraId="16C7CDD4" w14:textId="77777777" w:rsidTr="00A15838">
        <w:tc>
          <w:tcPr>
            <w:tcW w:w="1347" w:type="dxa"/>
          </w:tcPr>
          <w:p w14:paraId="2B0659DA" w14:textId="5B26B903" w:rsidR="00A17D90" w:rsidRPr="001C2554" w:rsidRDefault="006E4BE7" w:rsidP="006E4BE7">
            <w:pPr>
              <w:ind w:left="-46"/>
              <w:contextualSpacing/>
              <w:jc w:val="center"/>
              <w:rPr>
                <w:sz w:val="18"/>
                <w:szCs w:val="18"/>
                <w:lang w:val="fr-FR"/>
              </w:rPr>
            </w:pPr>
            <w:r w:rsidRPr="001C2554">
              <w:rPr>
                <w:sz w:val="18"/>
                <w:szCs w:val="18"/>
                <w:lang w:val="fr-FR"/>
              </w:rPr>
              <w:t>P</w:t>
            </w:r>
            <w:r w:rsidR="00687F84">
              <w:rPr>
                <w:sz w:val="18"/>
                <w:szCs w:val="18"/>
                <w:lang w:val="fr-FR"/>
              </w:rPr>
              <w:noBreakHyphen/>
            </w:r>
            <w:r w:rsidRPr="001C2554">
              <w:rPr>
                <w:sz w:val="18"/>
                <w:szCs w:val="18"/>
                <w:lang w:val="fr-FR"/>
              </w:rPr>
              <w:t>5</w:t>
            </w:r>
          </w:p>
        </w:tc>
        <w:tc>
          <w:tcPr>
            <w:tcW w:w="1347" w:type="dxa"/>
          </w:tcPr>
          <w:p w14:paraId="2DB1BDB6" w14:textId="77777777" w:rsidR="00A17D90" w:rsidRPr="001C2554" w:rsidRDefault="00A17D90" w:rsidP="00A15838">
            <w:pPr>
              <w:ind w:left="-46"/>
              <w:contextualSpacing/>
              <w:jc w:val="center"/>
              <w:rPr>
                <w:sz w:val="18"/>
                <w:szCs w:val="18"/>
                <w:lang w:val="fr-FR"/>
              </w:rPr>
            </w:pPr>
            <w:r w:rsidRPr="001C2554">
              <w:rPr>
                <w:sz w:val="18"/>
                <w:szCs w:val="18"/>
                <w:lang w:val="fr-FR"/>
              </w:rPr>
              <w:t>35%</w:t>
            </w:r>
          </w:p>
        </w:tc>
      </w:tr>
      <w:tr w:rsidR="00A17D90" w:rsidRPr="001C2554" w14:paraId="5162ED90" w14:textId="77777777" w:rsidTr="00A15838">
        <w:tc>
          <w:tcPr>
            <w:tcW w:w="1347" w:type="dxa"/>
          </w:tcPr>
          <w:p w14:paraId="0A300846" w14:textId="1A79B468" w:rsidR="00A17D90" w:rsidRPr="001C2554" w:rsidRDefault="006E4BE7" w:rsidP="006E4BE7">
            <w:pPr>
              <w:ind w:left="-46"/>
              <w:contextualSpacing/>
              <w:jc w:val="center"/>
              <w:rPr>
                <w:sz w:val="18"/>
                <w:szCs w:val="18"/>
                <w:lang w:val="fr-FR"/>
              </w:rPr>
            </w:pPr>
            <w:r w:rsidRPr="001C2554">
              <w:rPr>
                <w:sz w:val="18"/>
                <w:szCs w:val="18"/>
                <w:lang w:val="fr-FR"/>
              </w:rPr>
              <w:t>P</w:t>
            </w:r>
            <w:r w:rsidR="00687F84">
              <w:rPr>
                <w:sz w:val="18"/>
                <w:szCs w:val="18"/>
                <w:lang w:val="fr-FR"/>
              </w:rPr>
              <w:noBreakHyphen/>
            </w:r>
            <w:r w:rsidRPr="001C2554">
              <w:rPr>
                <w:sz w:val="18"/>
                <w:szCs w:val="18"/>
                <w:lang w:val="fr-FR"/>
              </w:rPr>
              <w:t>4</w:t>
            </w:r>
          </w:p>
        </w:tc>
        <w:tc>
          <w:tcPr>
            <w:tcW w:w="1347" w:type="dxa"/>
          </w:tcPr>
          <w:p w14:paraId="6FBA1921" w14:textId="77777777" w:rsidR="00A17D90" w:rsidRPr="001C2554" w:rsidRDefault="00A17D90" w:rsidP="00A15838">
            <w:pPr>
              <w:ind w:left="-46"/>
              <w:contextualSpacing/>
              <w:jc w:val="center"/>
              <w:rPr>
                <w:sz w:val="18"/>
                <w:szCs w:val="18"/>
                <w:lang w:val="fr-FR"/>
              </w:rPr>
            </w:pPr>
            <w:r w:rsidRPr="001C2554">
              <w:rPr>
                <w:sz w:val="18"/>
                <w:szCs w:val="18"/>
                <w:lang w:val="fr-FR"/>
              </w:rPr>
              <w:t>50%</w:t>
            </w:r>
          </w:p>
        </w:tc>
      </w:tr>
    </w:tbl>
    <w:p w14:paraId="787B70F9" w14:textId="6450B2EB" w:rsidR="009A47FE" w:rsidRPr="001C2554" w:rsidRDefault="006E4BE7" w:rsidP="00C33511">
      <w:pPr>
        <w:pStyle w:val="Heading3"/>
      </w:pPr>
      <w:r w:rsidRPr="001C2554">
        <w:t>Intégration des questions relatives à l</w:t>
      </w:r>
      <w:r w:rsidR="006115E0" w:rsidRPr="001C2554">
        <w:t>’</w:t>
      </w:r>
      <w:r w:rsidRPr="001C2554">
        <w:t>égalité des sexes dans la programmation</w:t>
      </w:r>
    </w:p>
    <w:p w14:paraId="3D9AB425" w14:textId="196E6E94" w:rsidR="009A47FE" w:rsidRPr="001C2554" w:rsidRDefault="00677B1B" w:rsidP="00C25DC2">
      <w:pPr>
        <w:pStyle w:val="ONUMFS"/>
        <w:rPr>
          <w:lang w:val="fr-FR" w:eastAsia="en-US"/>
        </w:rPr>
      </w:pPr>
      <w:r w:rsidRPr="001C2554">
        <w:rPr>
          <w:lang w:val="fr-FR" w:eastAsia="en-US"/>
        </w:rPr>
        <w:t xml:space="preserve">Afin de sensibiliser aux disparités entre hommes et femmes en matière de propriété intellectuelle et de définir des solutions à cet égard, </w:t>
      </w:r>
      <w:r w:rsidR="009A47FE" w:rsidRPr="001C2554">
        <w:rPr>
          <w:lang w:val="fr-FR" w:eastAsia="en-US"/>
        </w:rPr>
        <w:t>en 2021</w:t>
      </w:r>
      <w:r w:rsidRPr="001C2554">
        <w:rPr>
          <w:lang w:val="fr-FR" w:eastAsia="en-US"/>
        </w:rPr>
        <w:t>,</w:t>
      </w:r>
      <w:r w:rsidR="009A47FE" w:rsidRPr="001C2554">
        <w:rPr>
          <w:lang w:val="fr-FR" w:eastAsia="en-US"/>
        </w:rPr>
        <w:t xml:space="preserve"> le DGR</w:t>
      </w:r>
      <w:r w:rsidRPr="001C2554">
        <w:rPr>
          <w:lang w:val="fr-FR" w:eastAsia="en-US"/>
        </w:rPr>
        <w:t>H et l</w:t>
      </w:r>
      <w:r w:rsidR="006115E0" w:rsidRPr="001C2554">
        <w:rPr>
          <w:lang w:val="fr-FR" w:eastAsia="en-US"/>
        </w:rPr>
        <w:t>’</w:t>
      </w:r>
      <w:r w:rsidRPr="001C2554">
        <w:rPr>
          <w:lang w:val="fr-FR" w:eastAsia="en-US"/>
        </w:rPr>
        <w:t>équipe chargée du Plan d</w:t>
      </w:r>
      <w:r w:rsidR="006115E0" w:rsidRPr="001C2554">
        <w:rPr>
          <w:lang w:val="fr-FR" w:eastAsia="en-US"/>
        </w:rPr>
        <w:t>’</w:t>
      </w:r>
      <w:r w:rsidRPr="001C2554">
        <w:rPr>
          <w:lang w:val="fr-FR" w:eastAsia="en-US"/>
        </w:rPr>
        <w:t>action pour le développement ont organisé trois séances virtuelles d</w:t>
      </w:r>
      <w:r w:rsidR="006115E0" w:rsidRPr="001C2554">
        <w:rPr>
          <w:lang w:val="fr-FR" w:eastAsia="en-US"/>
        </w:rPr>
        <w:t>’</w:t>
      </w:r>
      <w:r w:rsidRPr="001C2554">
        <w:rPr>
          <w:lang w:val="fr-FR" w:eastAsia="en-US"/>
        </w:rPr>
        <w:t>échange d</w:t>
      </w:r>
      <w:r w:rsidR="006115E0" w:rsidRPr="001C2554">
        <w:rPr>
          <w:lang w:val="fr-FR" w:eastAsia="en-US"/>
        </w:rPr>
        <w:t>’</w:t>
      </w:r>
      <w:r w:rsidRPr="001C2554">
        <w:rPr>
          <w:lang w:val="fr-FR" w:eastAsia="en-US"/>
        </w:rPr>
        <w:t xml:space="preserve">informations sur le thème </w:t>
      </w:r>
      <w:r w:rsidR="0086315D" w:rsidRPr="001C2554">
        <w:rPr>
          <w:lang w:val="fr-FR" w:eastAsia="en-US"/>
        </w:rPr>
        <w:t>“</w:t>
      </w:r>
      <w:r w:rsidRPr="001C2554">
        <w:rPr>
          <w:lang w:val="fr-FR" w:eastAsia="en-US"/>
        </w:rPr>
        <w:t>Réduire les disparités hommes</w:t>
      </w:r>
      <w:r w:rsidR="00687F84">
        <w:rPr>
          <w:lang w:val="fr-FR" w:eastAsia="en-US"/>
        </w:rPr>
        <w:noBreakHyphen/>
      </w:r>
      <w:r w:rsidRPr="001C2554">
        <w:rPr>
          <w:lang w:val="fr-FR" w:eastAsia="en-US"/>
        </w:rPr>
        <w:t>femmes dans le domaine de la propriété intellectuelle</w:t>
      </w:r>
      <w:r w:rsidR="0086315D" w:rsidRPr="001C2554">
        <w:rPr>
          <w:lang w:val="fr-FR" w:eastAsia="en-US"/>
        </w:rPr>
        <w:t>”</w:t>
      </w:r>
      <w:r w:rsidRPr="001C2554">
        <w:rPr>
          <w:lang w:val="fr-FR" w:eastAsia="en-US"/>
        </w:rPr>
        <w:t xml:space="preserve">.  Ces séances ont rassemblé diverses parties prenantes (offices de propriété intellectuelle, associations œuvrant dans le domaine de la propriété intellectuelle, initiatives multipartites, ONG, universités) de la communauté mondiale de la propriété intellectuelle afin de présenter les pratiques recommandées et les enseignements tirés de la </w:t>
      </w:r>
      <w:r w:rsidRPr="001C2554">
        <w:rPr>
          <w:lang w:val="fr-FR" w:eastAsia="en-US"/>
        </w:rPr>
        <w:lastRenderedPageBreak/>
        <w:t>conception, de la diffusion et de la fourniture de services de propriété intellectuelle, ainsi qu</w:t>
      </w:r>
      <w:r w:rsidR="006115E0" w:rsidRPr="001C2554">
        <w:rPr>
          <w:lang w:val="fr-FR" w:eastAsia="en-US"/>
        </w:rPr>
        <w:t>’</w:t>
      </w:r>
      <w:r w:rsidRPr="001C2554">
        <w:rPr>
          <w:lang w:val="fr-FR" w:eastAsia="en-US"/>
        </w:rPr>
        <w:t>en matière d</w:t>
      </w:r>
      <w:r w:rsidR="006115E0" w:rsidRPr="001C2554">
        <w:rPr>
          <w:lang w:val="fr-FR" w:eastAsia="en-US"/>
        </w:rPr>
        <w:t>’</w:t>
      </w:r>
      <w:r w:rsidRPr="001C2554">
        <w:rPr>
          <w:lang w:val="fr-FR" w:eastAsia="en-US"/>
        </w:rPr>
        <w:t>élaboration des politiques, de renforcement des capacités et de culture institutionnel</w:t>
      </w:r>
      <w:r w:rsidR="001C2554" w:rsidRPr="001C2554">
        <w:rPr>
          <w:lang w:val="fr-FR" w:eastAsia="en-US"/>
        </w:rPr>
        <w:t>le.  Le</w:t>
      </w:r>
      <w:r w:rsidRPr="001C2554">
        <w:rPr>
          <w:lang w:val="fr-FR" w:eastAsia="en-US"/>
        </w:rPr>
        <w:t>s séances ont également donné l</w:t>
      </w:r>
      <w:r w:rsidR="006115E0" w:rsidRPr="001C2554">
        <w:rPr>
          <w:lang w:val="fr-FR" w:eastAsia="en-US"/>
        </w:rPr>
        <w:t>’</w:t>
      </w:r>
      <w:r w:rsidRPr="001C2554">
        <w:rPr>
          <w:lang w:val="fr-FR" w:eastAsia="en-US"/>
        </w:rPr>
        <w:t>occasion de présenter les résultats des travaux de l</w:t>
      </w:r>
      <w:r w:rsidR="006115E0" w:rsidRPr="001C2554">
        <w:rPr>
          <w:lang w:val="fr-FR" w:eastAsia="en-US"/>
        </w:rPr>
        <w:t>’</w:t>
      </w:r>
      <w:r w:rsidRPr="001C2554">
        <w:rPr>
          <w:lang w:val="fr-FR" w:eastAsia="en-US"/>
        </w:rPr>
        <w:t>OMPI dans ce domai</w:t>
      </w:r>
      <w:r w:rsidR="001C2554" w:rsidRPr="001C2554">
        <w:rPr>
          <w:lang w:val="fr-FR" w:eastAsia="en-US"/>
        </w:rPr>
        <w:t>ne.  Au</w:t>
      </w:r>
      <w:r w:rsidRPr="001C2554">
        <w:rPr>
          <w:lang w:val="fr-FR" w:eastAsia="en-US"/>
        </w:rPr>
        <w:t xml:space="preserve"> niveau mondial, plus de 700 participants de plus de 60 pays ont participé aux séances d</w:t>
      </w:r>
      <w:r w:rsidR="006115E0" w:rsidRPr="001C2554">
        <w:rPr>
          <w:lang w:val="fr-FR" w:eastAsia="en-US"/>
        </w:rPr>
        <w:t>’</w:t>
      </w:r>
      <w:r w:rsidRPr="001C2554">
        <w:rPr>
          <w:lang w:val="fr-FR" w:eastAsia="en-US"/>
        </w:rPr>
        <w:t>échange d</w:t>
      </w:r>
      <w:r w:rsidR="006115E0" w:rsidRPr="001C2554">
        <w:rPr>
          <w:lang w:val="fr-FR" w:eastAsia="en-US"/>
        </w:rPr>
        <w:t>’</w:t>
      </w:r>
      <w:r w:rsidRPr="001C2554">
        <w:rPr>
          <w:lang w:val="fr-FR" w:eastAsia="en-US"/>
        </w:rPr>
        <w:t>informations</w:t>
      </w:r>
      <w:r w:rsidR="00A17D90" w:rsidRPr="001C2554">
        <w:rPr>
          <w:lang w:val="fr-FR" w:eastAsia="en-US"/>
        </w:rPr>
        <w:t>.</w:t>
      </w:r>
    </w:p>
    <w:p w14:paraId="0B005946" w14:textId="59856157" w:rsidR="009A47FE" w:rsidRPr="001C2554" w:rsidRDefault="004E3DAB" w:rsidP="001454ED">
      <w:pPr>
        <w:pStyle w:val="ONUMFS"/>
        <w:rPr>
          <w:lang w:val="fr-FR"/>
        </w:rPr>
      </w:pPr>
      <w:r w:rsidRPr="001C2554">
        <w:rPr>
          <w:lang w:val="fr-FR"/>
        </w:rPr>
        <w:t xml:space="preserve">Les travaux relatifs à </w:t>
      </w:r>
      <w:r w:rsidR="001454ED" w:rsidRPr="001C2554">
        <w:rPr>
          <w:lang w:val="fr-FR"/>
        </w:rPr>
        <w:t>l</w:t>
      </w:r>
      <w:r w:rsidR="006115E0" w:rsidRPr="001C2554">
        <w:rPr>
          <w:lang w:val="fr-FR"/>
        </w:rPr>
        <w:t>’</w:t>
      </w:r>
      <w:r w:rsidR="001454ED" w:rsidRPr="001C2554">
        <w:rPr>
          <w:lang w:val="fr-FR"/>
        </w:rPr>
        <w:t>intégration des considérations relatives à l</w:t>
      </w:r>
      <w:r w:rsidR="006115E0" w:rsidRPr="001C2554">
        <w:rPr>
          <w:lang w:val="fr-FR"/>
        </w:rPr>
        <w:t>’</w:t>
      </w:r>
      <w:r w:rsidR="001454ED" w:rsidRPr="001C2554">
        <w:rPr>
          <w:lang w:val="fr-FR"/>
        </w:rPr>
        <w:t xml:space="preserve">égalité des sexes </w:t>
      </w:r>
      <w:r w:rsidRPr="001C2554">
        <w:rPr>
          <w:lang w:val="fr-FR"/>
        </w:rPr>
        <w:t>continuent de se renforcer dans tous les secteurs et domaines d</w:t>
      </w:r>
      <w:r w:rsidR="006115E0" w:rsidRPr="001C2554">
        <w:rPr>
          <w:lang w:val="fr-FR"/>
        </w:rPr>
        <w:t>’</w:t>
      </w:r>
      <w:r w:rsidRPr="001C2554">
        <w:rPr>
          <w:lang w:val="fr-FR"/>
        </w:rPr>
        <w:t>activité, ce qui témoigne de l</w:t>
      </w:r>
      <w:r w:rsidR="006115E0" w:rsidRPr="001C2554">
        <w:rPr>
          <w:lang w:val="fr-FR"/>
        </w:rPr>
        <w:t>’</w:t>
      </w:r>
      <w:r w:rsidRPr="001C2554">
        <w:rPr>
          <w:lang w:val="fr-FR"/>
        </w:rPr>
        <w:t xml:space="preserve">intérêt des États membres pour </w:t>
      </w:r>
      <w:r w:rsidR="001454ED" w:rsidRPr="001C2554">
        <w:rPr>
          <w:lang w:val="fr-FR"/>
        </w:rPr>
        <w:t>l</w:t>
      </w:r>
      <w:r w:rsidR="006115E0" w:rsidRPr="001C2554">
        <w:rPr>
          <w:lang w:val="fr-FR"/>
        </w:rPr>
        <w:t>’</w:t>
      </w:r>
      <w:r w:rsidR="001454ED" w:rsidRPr="001C2554">
        <w:rPr>
          <w:lang w:val="fr-FR"/>
        </w:rPr>
        <w:t xml:space="preserve">égalité des sexes et </w:t>
      </w:r>
      <w:r w:rsidRPr="001C2554">
        <w:rPr>
          <w:lang w:val="fr-FR"/>
        </w:rPr>
        <w:t>la promotion des femmes dans le système de la propriété intellectuel</w:t>
      </w:r>
      <w:r w:rsidR="001C2554" w:rsidRPr="001C2554">
        <w:rPr>
          <w:lang w:val="fr-FR"/>
        </w:rPr>
        <w:t>le.  Au</w:t>
      </w:r>
      <w:r w:rsidRPr="001C2554">
        <w:rPr>
          <w:lang w:val="fr-FR"/>
        </w:rPr>
        <w:t xml:space="preserve"> cours de la période considérée, plusieurs initiatives ont été menées, par exemple</w:t>
      </w:r>
      <w:r w:rsidR="006115E0" w:rsidRPr="001C2554">
        <w:rPr>
          <w:lang w:val="fr-FR"/>
        </w:rPr>
        <w:t> :</w:t>
      </w:r>
    </w:p>
    <w:p w14:paraId="3166138E" w14:textId="31D8B910" w:rsidR="009A47FE" w:rsidRPr="001C2554" w:rsidRDefault="009A47FE" w:rsidP="00C25DC2">
      <w:pPr>
        <w:pStyle w:val="ONUMFS"/>
        <w:numPr>
          <w:ilvl w:val="0"/>
          <w:numId w:val="25"/>
        </w:numPr>
        <w:ind w:left="1134" w:hanging="567"/>
        <w:rPr>
          <w:lang w:val="fr-FR"/>
        </w:rPr>
      </w:pPr>
      <w:r w:rsidRPr="001C2554">
        <w:rPr>
          <w:lang w:val="fr-FR"/>
        </w:rPr>
        <w:t>En 2021</w:t>
      </w:r>
      <w:r w:rsidR="00B912F2" w:rsidRPr="001C2554">
        <w:rPr>
          <w:lang w:val="fr-FR"/>
        </w:rPr>
        <w:t>, l</w:t>
      </w:r>
      <w:r w:rsidR="006115E0" w:rsidRPr="001C2554">
        <w:rPr>
          <w:lang w:val="fr-FR"/>
        </w:rPr>
        <w:t>’</w:t>
      </w:r>
      <w:r w:rsidR="00B912F2" w:rsidRPr="001C2554">
        <w:rPr>
          <w:lang w:val="fr-FR"/>
        </w:rPr>
        <w:t>OMPI a lancé deux</w:t>
      </w:r>
      <w:r w:rsidR="00D962C9" w:rsidRPr="001C2554">
        <w:rPr>
          <w:lang w:val="fr-FR"/>
        </w:rPr>
        <w:t> </w:t>
      </w:r>
      <w:r w:rsidR="00B912F2" w:rsidRPr="001C2554">
        <w:rPr>
          <w:lang w:val="fr-FR"/>
        </w:rPr>
        <w:t>séries d</w:t>
      </w:r>
      <w:r w:rsidR="006115E0" w:rsidRPr="001C2554">
        <w:rPr>
          <w:lang w:val="fr-FR"/>
        </w:rPr>
        <w:t>’</w:t>
      </w:r>
      <w:r w:rsidR="00B912F2" w:rsidRPr="001C2554">
        <w:rPr>
          <w:lang w:val="fr-FR"/>
        </w:rPr>
        <w:t>ateliers sur la prise en considération des questions relatives à l</w:t>
      </w:r>
      <w:r w:rsidR="006115E0" w:rsidRPr="001C2554">
        <w:rPr>
          <w:lang w:val="fr-FR"/>
        </w:rPr>
        <w:t>’</w:t>
      </w:r>
      <w:r w:rsidR="00B912F2" w:rsidRPr="001C2554">
        <w:rPr>
          <w:lang w:val="fr-FR"/>
        </w:rPr>
        <w:t>égalité des sexes à l</w:t>
      </w:r>
      <w:r w:rsidR="006115E0" w:rsidRPr="001C2554">
        <w:rPr>
          <w:lang w:val="fr-FR"/>
        </w:rPr>
        <w:t>’</w:t>
      </w:r>
      <w:r w:rsidR="00B912F2" w:rsidRPr="001C2554">
        <w:rPr>
          <w:lang w:val="fr-FR"/>
        </w:rPr>
        <w:t>intention des offices de propriété intellectuelle de la région d</w:t>
      </w:r>
      <w:r w:rsidR="006115E0" w:rsidRPr="001C2554">
        <w:rPr>
          <w:lang w:val="fr-FR"/>
        </w:rPr>
        <w:t>’</w:t>
      </w:r>
      <w:r w:rsidR="00B912F2" w:rsidRPr="001C2554">
        <w:rPr>
          <w:lang w:val="fr-FR"/>
        </w:rPr>
        <w:t>Amérique lati</w:t>
      </w:r>
      <w:r w:rsidR="001C2554" w:rsidRPr="001C2554">
        <w:rPr>
          <w:lang w:val="fr-FR"/>
        </w:rPr>
        <w:t>ne.  La</w:t>
      </w:r>
      <w:r w:rsidR="00B912F2" w:rsidRPr="001C2554">
        <w:rPr>
          <w:lang w:val="fr-FR"/>
        </w:rPr>
        <w:t xml:space="preserve"> première série, qui comprenait quatre</w:t>
      </w:r>
      <w:r w:rsidR="00D962C9" w:rsidRPr="001C2554">
        <w:rPr>
          <w:lang w:val="fr-FR"/>
        </w:rPr>
        <w:t> </w:t>
      </w:r>
      <w:r w:rsidR="00B912F2" w:rsidRPr="001C2554">
        <w:rPr>
          <w:lang w:val="fr-FR"/>
        </w:rPr>
        <w:t>sessions et était destinée aux bureaux de droit d</w:t>
      </w:r>
      <w:r w:rsidR="006115E0" w:rsidRPr="001C2554">
        <w:rPr>
          <w:lang w:val="fr-FR"/>
        </w:rPr>
        <w:t>’</w:t>
      </w:r>
      <w:r w:rsidR="00B912F2" w:rsidRPr="001C2554">
        <w:rPr>
          <w:lang w:val="fr-FR"/>
        </w:rPr>
        <w:t>auteur, avait deux</w:t>
      </w:r>
      <w:r w:rsidR="00D962C9" w:rsidRPr="001C2554">
        <w:rPr>
          <w:lang w:val="fr-FR"/>
        </w:rPr>
        <w:t> </w:t>
      </w:r>
      <w:r w:rsidR="00B912F2" w:rsidRPr="001C2554">
        <w:rPr>
          <w:lang w:val="fr-FR"/>
        </w:rPr>
        <w:t>objectifs</w:t>
      </w:r>
      <w:r w:rsidR="006115E0" w:rsidRPr="001C2554">
        <w:rPr>
          <w:lang w:val="fr-FR"/>
        </w:rPr>
        <w:t> :</w:t>
      </w:r>
      <w:r w:rsidR="00B912F2" w:rsidRPr="001C2554">
        <w:rPr>
          <w:lang w:val="fr-FR"/>
        </w:rPr>
        <w:t xml:space="preserve"> i)</w:t>
      </w:r>
      <w:r w:rsidR="00D962C9" w:rsidRPr="001C2554">
        <w:rPr>
          <w:lang w:val="fr-FR"/>
        </w:rPr>
        <w:t> </w:t>
      </w:r>
      <w:r w:rsidR="00B912F2" w:rsidRPr="001C2554">
        <w:rPr>
          <w:lang w:val="fr-FR"/>
        </w:rPr>
        <w:t>créer une compréhension commune des questions d</w:t>
      </w:r>
      <w:r w:rsidR="006115E0" w:rsidRPr="001C2554">
        <w:rPr>
          <w:lang w:val="fr-FR"/>
        </w:rPr>
        <w:t>’</w:t>
      </w:r>
      <w:r w:rsidR="00B912F2" w:rsidRPr="001C2554">
        <w:rPr>
          <w:lang w:val="fr-FR"/>
        </w:rPr>
        <w:t xml:space="preserve">égalité des sexes dans le contexte de la propriété </w:t>
      </w:r>
      <w:proofErr w:type="gramStart"/>
      <w:r w:rsidR="00B912F2" w:rsidRPr="001C2554">
        <w:rPr>
          <w:lang w:val="fr-FR"/>
        </w:rPr>
        <w:t>intellectuelle;  et</w:t>
      </w:r>
      <w:proofErr w:type="gramEnd"/>
      <w:r w:rsidR="00B912F2" w:rsidRPr="001C2554">
        <w:rPr>
          <w:lang w:val="fr-FR"/>
        </w:rPr>
        <w:t xml:space="preserve"> ii)</w:t>
      </w:r>
      <w:r w:rsidR="00D962C9" w:rsidRPr="001C2554">
        <w:rPr>
          <w:lang w:val="fr-FR"/>
        </w:rPr>
        <w:t> </w:t>
      </w:r>
      <w:r w:rsidR="00B912F2" w:rsidRPr="001C2554">
        <w:rPr>
          <w:lang w:val="fr-FR"/>
        </w:rPr>
        <w:t>sensibiliser les spécialistes de la propriété intellectuelle aux disparités entre hommes et femmes dans ce domai</w:t>
      </w:r>
      <w:r w:rsidR="001C2554" w:rsidRPr="001C2554">
        <w:rPr>
          <w:lang w:val="fr-FR"/>
        </w:rPr>
        <w:t>ne.  La</w:t>
      </w:r>
      <w:r w:rsidR="00B912F2" w:rsidRPr="001C2554">
        <w:rPr>
          <w:lang w:val="fr-FR"/>
        </w:rPr>
        <w:t xml:space="preserve"> deuxième série pilote, qui s</w:t>
      </w:r>
      <w:r w:rsidR="006115E0" w:rsidRPr="001C2554">
        <w:rPr>
          <w:lang w:val="fr-FR"/>
        </w:rPr>
        <w:t>’</w:t>
      </w:r>
      <w:r w:rsidR="00B912F2" w:rsidRPr="001C2554">
        <w:rPr>
          <w:lang w:val="fr-FR"/>
        </w:rPr>
        <w:t>adressait à sept offices de propriété intellectuelle de la région d</w:t>
      </w:r>
      <w:r w:rsidR="006115E0" w:rsidRPr="001C2554">
        <w:rPr>
          <w:lang w:val="fr-FR"/>
        </w:rPr>
        <w:t>’</w:t>
      </w:r>
      <w:r w:rsidR="00B912F2" w:rsidRPr="001C2554">
        <w:rPr>
          <w:lang w:val="fr-FR"/>
        </w:rPr>
        <w:t>Amérique latine, visait à renforcer et à favoriser le partage de connaissances sur la prise en considération des questions relatives à l</w:t>
      </w:r>
      <w:r w:rsidR="006115E0" w:rsidRPr="001C2554">
        <w:rPr>
          <w:lang w:val="fr-FR"/>
        </w:rPr>
        <w:t>’</w:t>
      </w:r>
      <w:r w:rsidR="00B912F2" w:rsidRPr="001C2554">
        <w:rPr>
          <w:lang w:val="fr-FR"/>
        </w:rPr>
        <w:t>égalité des sexes et à fournir des points d</w:t>
      </w:r>
      <w:r w:rsidR="006115E0" w:rsidRPr="001C2554">
        <w:rPr>
          <w:lang w:val="fr-FR"/>
        </w:rPr>
        <w:t>’</w:t>
      </w:r>
      <w:r w:rsidR="00B912F2" w:rsidRPr="001C2554">
        <w:rPr>
          <w:lang w:val="fr-FR"/>
        </w:rPr>
        <w:t>accès analytiques pour intégrer les questions relatives à l</w:t>
      </w:r>
      <w:r w:rsidR="006115E0" w:rsidRPr="001C2554">
        <w:rPr>
          <w:lang w:val="fr-FR"/>
        </w:rPr>
        <w:t>’</w:t>
      </w:r>
      <w:r w:rsidR="00B912F2" w:rsidRPr="001C2554">
        <w:rPr>
          <w:lang w:val="fr-FR"/>
        </w:rPr>
        <w:t>égalité des sexes dans tous les domaines d</w:t>
      </w:r>
      <w:r w:rsidR="006115E0" w:rsidRPr="001C2554">
        <w:rPr>
          <w:lang w:val="fr-FR"/>
        </w:rPr>
        <w:t>’</w:t>
      </w:r>
      <w:r w:rsidR="00B912F2" w:rsidRPr="001C2554">
        <w:rPr>
          <w:lang w:val="fr-FR"/>
        </w:rPr>
        <w:t>activité d</w:t>
      </w:r>
      <w:r w:rsidR="006115E0" w:rsidRPr="001C2554">
        <w:rPr>
          <w:lang w:val="fr-FR"/>
        </w:rPr>
        <w:t>’</w:t>
      </w:r>
      <w:r w:rsidR="00B912F2" w:rsidRPr="001C2554">
        <w:rPr>
          <w:lang w:val="fr-FR"/>
        </w:rPr>
        <w:t>un office de propriété intellectuel</w:t>
      </w:r>
      <w:r w:rsidR="001C2554" w:rsidRPr="001C2554">
        <w:rPr>
          <w:lang w:val="fr-FR"/>
        </w:rPr>
        <w:t>le.  Ce</w:t>
      </w:r>
      <w:r w:rsidR="00B912F2" w:rsidRPr="001C2554">
        <w:rPr>
          <w:lang w:val="fr-FR"/>
        </w:rPr>
        <w:t>tte série d</w:t>
      </w:r>
      <w:r w:rsidR="006115E0" w:rsidRPr="001C2554">
        <w:rPr>
          <w:lang w:val="fr-FR"/>
        </w:rPr>
        <w:t>’</w:t>
      </w:r>
      <w:r w:rsidR="00B912F2" w:rsidRPr="001C2554">
        <w:rPr>
          <w:lang w:val="fr-FR"/>
        </w:rPr>
        <w:t xml:space="preserve">ateliers qui a reçu un accueil très favorable sera reproduite </w:t>
      </w:r>
      <w:r w:rsidRPr="001C2554">
        <w:rPr>
          <w:lang w:val="fr-FR"/>
        </w:rPr>
        <w:t>en 2022</w:t>
      </w:r>
      <w:r w:rsidR="00B912F2" w:rsidRPr="001C2554">
        <w:rPr>
          <w:lang w:val="fr-FR"/>
        </w:rPr>
        <w:t xml:space="preserve"> afin d</w:t>
      </w:r>
      <w:r w:rsidR="006115E0" w:rsidRPr="001C2554">
        <w:rPr>
          <w:lang w:val="fr-FR"/>
        </w:rPr>
        <w:t>’</w:t>
      </w:r>
      <w:r w:rsidR="00B912F2" w:rsidRPr="001C2554">
        <w:rPr>
          <w:lang w:val="fr-FR"/>
        </w:rPr>
        <w:t>impliquer d</w:t>
      </w:r>
      <w:r w:rsidR="006115E0" w:rsidRPr="001C2554">
        <w:rPr>
          <w:lang w:val="fr-FR"/>
        </w:rPr>
        <w:t>’</w:t>
      </w:r>
      <w:r w:rsidR="00B912F2" w:rsidRPr="001C2554">
        <w:rPr>
          <w:lang w:val="fr-FR"/>
        </w:rPr>
        <w:t>autres offices de la région</w:t>
      </w:r>
      <w:r w:rsidR="00A17D90" w:rsidRPr="001C2554">
        <w:rPr>
          <w:lang w:val="fr-FR"/>
        </w:rPr>
        <w:t>.</w:t>
      </w:r>
    </w:p>
    <w:p w14:paraId="11B4EBBF" w14:textId="6B8D1CB1" w:rsidR="00B912F2" w:rsidRPr="001C2554" w:rsidRDefault="009A47FE" w:rsidP="00C25DC2">
      <w:pPr>
        <w:pStyle w:val="ONUMFS"/>
        <w:numPr>
          <w:ilvl w:val="0"/>
          <w:numId w:val="25"/>
        </w:numPr>
        <w:ind w:left="1134" w:hanging="567"/>
        <w:rPr>
          <w:lang w:val="fr-FR"/>
        </w:rPr>
      </w:pPr>
      <w:r w:rsidRPr="001C2554">
        <w:rPr>
          <w:lang w:val="fr-FR"/>
        </w:rPr>
        <w:t>En 2021</w:t>
      </w:r>
      <w:r w:rsidR="00CA255A" w:rsidRPr="001C2554">
        <w:rPr>
          <w:lang w:val="fr-FR"/>
        </w:rPr>
        <w:t>, l</w:t>
      </w:r>
      <w:r w:rsidR="006115E0" w:rsidRPr="001C2554">
        <w:rPr>
          <w:lang w:val="fr-FR"/>
        </w:rPr>
        <w:t>’</w:t>
      </w:r>
      <w:r w:rsidR="00CA255A" w:rsidRPr="001C2554">
        <w:rPr>
          <w:lang w:val="fr-FR"/>
        </w:rPr>
        <w:t>OMPI a élaboré un guide pour un langage inclusif dans les six langues officielles de l</w:t>
      </w:r>
      <w:r w:rsidR="006115E0" w:rsidRPr="001C2554">
        <w:rPr>
          <w:lang w:val="fr-FR"/>
        </w:rPr>
        <w:t>’</w:t>
      </w:r>
      <w:r w:rsidR="00CA255A" w:rsidRPr="001C2554">
        <w:rPr>
          <w:lang w:val="fr-FR"/>
        </w:rPr>
        <w:t>O</w:t>
      </w:r>
      <w:r w:rsidR="001C2554" w:rsidRPr="001C2554">
        <w:rPr>
          <w:lang w:val="fr-FR"/>
        </w:rPr>
        <w:t>MPI.  Il</w:t>
      </w:r>
      <w:r w:rsidR="00457410" w:rsidRPr="001C2554">
        <w:rPr>
          <w:lang w:val="fr-FR"/>
        </w:rPr>
        <w:t xml:space="preserve"> constitue un outil de sensibilisation clair, concis et direct sur la façon d</w:t>
      </w:r>
      <w:r w:rsidR="006115E0" w:rsidRPr="001C2554">
        <w:rPr>
          <w:lang w:val="fr-FR"/>
        </w:rPr>
        <w:t>’</w:t>
      </w:r>
      <w:r w:rsidR="00457410" w:rsidRPr="001C2554">
        <w:rPr>
          <w:lang w:val="fr-FR"/>
        </w:rPr>
        <w:t>aborder la rédaction des textes d</w:t>
      </w:r>
      <w:r w:rsidR="006115E0" w:rsidRPr="001C2554">
        <w:rPr>
          <w:lang w:val="fr-FR"/>
        </w:rPr>
        <w:t>’</w:t>
      </w:r>
      <w:r w:rsidR="00457410" w:rsidRPr="001C2554">
        <w:rPr>
          <w:lang w:val="fr-FR"/>
        </w:rPr>
        <w:t xml:space="preserve">une manière qui soit conforme au Plan stratégique à moyen terme </w:t>
      </w:r>
      <w:r w:rsidR="00F372E3" w:rsidRPr="001C2554">
        <w:rPr>
          <w:lang w:val="fr-FR"/>
        </w:rPr>
        <w:t xml:space="preserve">(PSMT) </w:t>
      </w:r>
      <w:r w:rsidR="00457410" w:rsidRPr="001C2554">
        <w:rPr>
          <w:lang w:val="fr-FR"/>
        </w:rPr>
        <w:t>de l</w:t>
      </w:r>
      <w:r w:rsidR="006115E0" w:rsidRPr="001C2554">
        <w:rPr>
          <w:lang w:val="fr-FR"/>
        </w:rPr>
        <w:t>’</w:t>
      </w:r>
      <w:r w:rsidR="00457410" w:rsidRPr="001C2554">
        <w:rPr>
          <w:lang w:val="fr-FR"/>
        </w:rPr>
        <w:t>OMPI et qui garantisse que personne n</w:t>
      </w:r>
      <w:r w:rsidR="006115E0" w:rsidRPr="001C2554">
        <w:rPr>
          <w:lang w:val="fr-FR"/>
        </w:rPr>
        <w:t>’</w:t>
      </w:r>
      <w:r w:rsidR="00457410" w:rsidRPr="001C2554">
        <w:rPr>
          <w:lang w:val="fr-FR"/>
        </w:rPr>
        <w:t>est laissé de cô</w:t>
      </w:r>
      <w:r w:rsidR="001C2554" w:rsidRPr="001C2554">
        <w:rPr>
          <w:lang w:val="fr-FR"/>
        </w:rPr>
        <w:t>té.  Il</w:t>
      </w:r>
      <w:r w:rsidR="00CA255A" w:rsidRPr="001C2554">
        <w:rPr>
          <w:lang w:val="fr-FR"/>
        </w:rPr>
        <w:t xml:space="preserve"> comprend deux modules (langage inclusif en matière de genre et langage inclusif en matière de handic</w:t>
      </w:r>
      <w:r w:rsidR="001C2554" w:rsidRPr="001C2554">
        <w:rPr>
          <w:lang w:val="fr-FR"/>
        </w:rPr>
        <w:t>ap).  Le</w:t>
      </w:r>
      <w:r w:rsidR="00CA255A" w:rsidRPr="001C2554">
        <w:rPr>
          <w:lang w:val="fr-FR"/>
        </w:rPr>
        <w:t xml:space="preserve"> format modulaire vise à offrir une certaine souplesse, de sorte que des modules supplémentaires pourront être ajoutés à l</w:t>
      </w:r>
      <w:r w:rsidR="006115E0" w:rsidRPr="001C2554">
        <w:rPr>
          <w:lang w:val="fr-FR"/>
        </w:rPr>
        <w:t>’</w:t>
      </w:r>
      <w:r w:rsidR="00CA255A" w:rsidRPr="001C2554">
        <w:rPr>
          <w:lang w:val="fr-FR"/>
        </w:rPr>
        <w:t>avenir, si nécessaire</w:t>
      </w:r>
      <w:r w:rsidR="00A17D90" w:rsidRPr="001C2554">
        <w:rPr>
          <w:lang w:val="fr-FR"/>
        </w:rPr>
        <w:t>.</w:t>
      </w:r>
    </w:p>
    <w:p w14:paraId="58DD178C" w14:textId="3711E02D" w:rsidR="009A47FE" w:rsidRPr="001C2554" w:rsidRDefault="00DE20D0" w:rsidP="00C25DC2">
      <w:pPr>
        <w:pStyle w:val="ONUMFS"/>
        <w:spacing w:before="220"/>
        <w:rPr>
          <w:lang w:val="fr-FR"/>
        </w:rPr>
      </w:pPr>
      <w:r w:rsidRPr="001C2554">
        <w:rPr>
          <w:lang w:val="fr-FR"/>
        </w:rPr>
        <w:t xml:space="preserve">La nomination par le </w:t>
      </w:r>
      <w:r w:rsidR="00D962C9" w:rsidRPr="001C2554">
        <w:rPr>
          <w:lang w:val="fr-FR"/>
        </w:rPr>
        <w:t>Directeur</w:t>
      </w:r>
      <w:r w:rsidRPr="001C2554">
        <w:rPr>
          <w:lang w:val="fr-FR"/>
        </w:rPr>
        <w:t xml:space="preserve"> général de Lisa </w:t>
      </w:r>
      <w:proofErr w:type="spellStart"/>
      <w:r w:rsidRPr="001C2554">
        <w:rPr>
          <w:lang w:val="fr-FR"/>
        </w:rPr>
        <w:t>Jorgenson</w:t>
      </w:r>
      <w:proofErr w:type="spellEnd"/>
      <w:r w:rsidRPr="001C2554">
        <w:rPr>
          <w:lang w:val="fr-FR"/>
        </w:rPr>
        <w:t>, vice</w:t>
      </w:r>
      <w:r w:rsidR="00687F84">
        <w:rPr>
          <w:lang w:val="fr-FR"/>
        </w:rPr>
        <w:noBreakHyphen/>
      </w:r>
      <w:r w:rsidRPr="001C2554">
        <w:rPr>
          <w:lang w:val="fr-FR"/>
        </w:rPr>
        <w:t>directrice générale, première championne de l</w:t>
      </w:r>
      <w:r w:rsidR="006115E0" w:rsidRPr="001C2554">
        <w:rPr>
          <w:lang w:val="fr-FR"/>
        </w:rPr>
        <w:t>’</w:t>
      </w:r>
      <w:r w:rsidRPr="001C2554">
        <w:rPr>
          <w:lang w:val="fr-FR"/>
        </w:rPr>
        <w:t>égalité des sexes dans le domaine de la propriété intellectuelle au sein de l</w:t>
      </w:r>
      <w:r w:rsidR="006115E0" w:rsidRPr="001C2554">
        <w:rPr>
          <w:lang w:val="fr-FR"/>
        </w:rPr>
        <w:t>’</w:t>
      </w:r>
      <w:r w:rsidRPr="001C2554">
        <w:rPr>
          <w:lang w:val="fr-FR"/>
        </w:rPr>
        <w:t>OMPI, annoncée lors de</w:t>
      </w:r>
      <w:r w:rsidR="00457410" w:rsidRPr="001C2554">
        <w:rPr>
          <w:lang w:val="fr-FR"/>
        </w:rPr>
        <w:t xml:space="preserve"> l</w:t>
      </w:r>
      <w:r w:rsidR="006115E0" w:rsidRPr="001C2554">
        <w:rPr>
          <w:lang w:val="fr-FR"/>
        </w:rPr>
        <w:t>’</w:t>
      </w:r>
      <w:r w:rsidR="00457410" w:rsidRPr="001C2554">
        <w:rPr>
          <w:lang w:val="fr-FR"/>
        </w:rPr>
        <w:t>A</w:t>
      </w:r>
      <w:r w:rsidRPr="001C2554">
        <w:rPr>
          <w:lang w:val="fr-FR"/>
        </w:rPr>
        <w:t xml:space="preserve">ssemblée générale </w:t>
      </w:r>
      <w:r w:rsidR="009A47FE" w:rsidRPr="001C2554">
        <w:rPr>
          <w:lang w:val="fr-FR"/>
        </w:rPr>
        <w:t>de 2021</w:t>
      </w:r>
      <w:r w:rsidRPr="001C2554">
        <w:rPr>
          <w:lang w:val="fr-FR"/>
        </w:rPr>
        <w:t>, et le recrutement récent d</w:t>
      </w:r>
      <w:r w:rsidR="006115E0" w:rsidRPr="001C2554">
        <w:rPr>
          <w:lang w:val="fr-FR"/>
        </w:rPr>
        <w:t>’</w:t>
      </w:r>
      <w:r w:rsidRPr="001C2554">
        <w:rPr>
          <w:lang w:val="fr-FR"/>
        </w:rPr>
        <w:t>un conseiller principal en matière d</w:t>
      </w:r>
      <w:r w:rsidR="006115E0" w:rsidRPr="001C2554">
        <w:rPr>
          <w:lang w:val="fr-FR"/>
        </w:rPr>
        <w:t>’</w:t>
      </w:r>
      <w:r w:rsidRPr="001C2554">
        <w:rPr>
          <w:lang w:val="fr-FR"/>
        </w:rPr>
        <w:t>égalité des sexes dans le domaine de la propriété intellectuelle renforceront l</w:t>
      </w:r>
      <w:r w:rsidR="006115E0" w:rsidRPr="001C2554">
        <w:rPr>
          <w:lang w:val="fr-FR"/>
        </w:rPr>
        <w:t>’</w:t>
      </w:r>
      <w:r w:rsidRPr="001C2554">
        <w:rPr>
          <w:lang w:val="fr-FR"/>
        </w:rPr>
        <w:t>orientation stratégique des travaux de l</w:t>
      </w:r>
      <w:r w:rsidR="006115E0" w:rsidRPr="001C2554">
        <w:rPr>
          <w:lang w:val="fr-FR"/>
        </w:rPr>
        <w:t>’</w:t>
      </w:r>
      <w:r w:rsidRPr="001C2554">
        <w:rPr>
          <w:lang w:val="fr-FR"/>
        </w:rPr>
        <w:t xml:space="preserve">OMPI visant à promouvoir et à </w:t>
      </w:r>
      <w:r w:rsidR="00457410" w:rsidRPr="001C2554">
        <w:rPr>
          <w:lang w:val="fr-FR"/>
        </w:rPr>
        <w:t>renforcer la participation</w:t>
      </w:r>
      <w:r w:rsidRPr="001C2554">
        <w:rPr>
          <w:lang w:val="fr-FR"/>
        </w:rPr>
        <w:t xml:space="preserve"> des inventrices, </w:t>
      </w:r>
      <w:r w:rsidR="0098420C" w:rsidRPr="001C2554">
        <w:rPr>
          <w:lang w:val="fr-FR"/>
        </w:rPr>
        <w:t xml:space="preserve">innovatrices, </w:t>
      </w:r>
      <w:r w:rsidRPr="001C2554">
        <w:rPr>
          <w:lang w:val="fr-FR"/>
        </w:rPr>
        <w:t xml:space="preserve">créatrices et entrepreneuses au système de </w:t>
      </w:r>
      <w:r w:rsidR="0098420C" w:rsidRPr="001C2554">
        <w:rPr>
          <w:lang w:val="fr-FR"/>
        </w:rPr>
        <w:t xml:space="preserve">la </w:t>
      </w:r>
      <w:r w:rsidRPr="001C2554">
        <w:rPr>
          <w:lang w:val="fr-FR"/>
        </w:rPr>
        <w:t>propriété intellectuel</w:t>
      </w:r>
      <w:r w:rsidR="001C2554" w:rsidRPr="001C2554">
        <w:rPr>
          <w:lang w:val="fr-FR"/>
        </w:rPr>
        <w:t>le.  Ce</w:t>
      </w:r>
      <w:r w:rsidRPr="001C2554">
        <w:rPr>
          <w:lang w:val="fr-FR"/>
        </w:rPr>
        <w:t>s fonctions s</w:t>
      </w:r>
      <w:r w:rsidR="006115E0" w:rsidRPr="001C2554">
        <w:rPr>
          <w:lang w:val="fr-FR"/>
        </w:rPr>
        <w:t>’</w:t>
      </w:r>
      <w:r w:rsidRPr="001C2554">
        <w:rPr>
          <w:lang w:val="fr-FR"/>
        </w:rPr>
        <w:t>ajoutent à celles de l</w:t>
      </w:r>
      <w:r w:rsidR="006115E0" w:rsidRPr="001C2554">
        <w:rPr>
          <w:lang w:val="fr-FR"/>
        </w:rPr>
        <w:t>’</w:t>
      </w:r>
      <w:r w:rsidRPr="001C2554">
        <w:rPr>
          <w:lang w:val="fr-FR"/>
        </w:rPr>
        <w:t>experte en matière de parité et de diversité au sein</w:t>
      </w:r>
      <w:r w:rsidR="009A47FE" w:rsidRPr="001C2554">
        <w:rPr>
          <w:lang w:val="fr-FR"/>
        </w:rPr>
        <w:t xml:space="preserve"> du DGR</w:t>
      </w:r>
      <w:r w:rsidRPr="001C2554">
        <w:rPr>
          <w:lang w:val="fr-FR"/>
        </w:rPr>
        <w:t>H</w:t>
      </w:r>
      <w:r w:rsidR="002C6A4A" w:rsidRPr="001C2554">
        <w:rPr>
          <w:lang w:val="fr-FR"/>
        </w:rPr>
        <w:t>.</w:t>
      </w:r>
    </w:p>
    <w:p w14:paraId="53DBEFEF" w14:textId="3169561A" w:rsidR="006E4BE7" w:rsidRPr="001C2554" w:rsidRDefault="006E4BE7" w:rsidP="00C33511">
      <w:pPr>
        <w:pStyle w:val="Heading2"/>
      </w:pPr>
      <w:r w:rsidRPr="001C2554">
        <w:t>Programme de récompenses et de reconnaissance</w:t>
      </w:r>
    </w:p>
    <w:p w14:paraId="12212C01" w14:textId="54E553ED" w:rsidR="009A47FE" w:rsidRPr="001C2554" w:rsidRDefault="006E4BE7" w:rsidP="00C25DC2">
      <w:pPr>
        <w:pStyle w:val="ONUMFS"/>
        <w:rPr>
          <w:lang w:val="fr-FR"/>
        </w:rPr>
      </w:pPr>
      <w:r w:rsidRPr="001C2554">
        <w:rPr>
          <w:lang w:val="fr-FR"/>
        </w:rPr>
        <w:t>À sa session annuelle de septembre</w:t>
      </w:r>
      <w:r w:rsidR="00151FD7" w:rsidRPr="001C2554">
        <w:rPr>
          <w:lang w:val="fr-FR"/>
        </w:rPr>
        <w:t> </w:t>
      </w:r>
      <w:r w:rsidRPr="001C2554">
        <w:rPr>
          <w:lang w:val="fr-FR"/>
        </w:rPr>
        <w:t>2018, le Comité de coordination de l</w:t>
      </w:r>
      <w:r w:rsidR="006115E0" w:rsidRPr="001C2554">
        <w:rPr>
          <w:lang w:val="fr-FR"/>
        </w:rPr>
        <w:t>’</w:t>
      </w:r>
      <w:r w:rsidRPr="001C2554">
        <w:rPr>
          <w:lang w:val="fr-FR"/>
        </w:rPr>
        <w:t>OMPI a prié le Secrétariat de faire rapport de manière systématique sur la mise en œuvre de son programme de récompenses et de reconnaissance et sur les changements apportés depuis le précédent Rapport annuel sur les ressources humaines</w:t>
      </w:r>
      <w:r w:rsidRPr="001C2554">
        <w:rPr>
          <w:color w:val="800080"/>
          <w:lang w:val="fr-FR"/>
        </w:rPr>
        <w:t>.</w:t>
      </w:r>
    </w:p>
    <w:p w14:paraId="23B280C1" w14:textId="60DCD4FD" w:rsidR="009A47FE" w:rsidRPr="001C2554" w:rsidRDefault="000647DE" w:rsidP="00687F84">
      <w:pPr>
        <w:pStyle w:val="ONUMFS"/>
        <w:keepLines/>
        <w:rPr>
          <w:lang w:val="fr-FR"/>
        </w:rPr>
      </w:pPr>
      <w:r w:rsidRPr="001C2554">
        <w:rPr>
          <w:bCs/>
          <w:iCs/>
          <w:lang w:val="fr-FR"/>
        </w:rPr>
        <w:lastRenderedPageBreak/>
        <w:t>Au regard de l</w:t>
      </w:r>
      <w:r w:rsidR="006115E0" w:rsidRPr="001C2554">
        <w:rPr>
          <w:bCs/>
          <w:iCs/>
          <w:lang w:val="fr-FR"/>
        </w:rPr>
        <w:t>’</w:t>
      </w:r>
      <w:r w:rsidRPr="001C2554">
        <w:rPr>
          <w:bCs/>
          <w:iCs/>
          <w:lang w:val="fr-FR"/>
        </w:rPr>
        <w:t>examen par la Division de la supervision interne (DSI) du dispositif de gestion des performances et de perfectionnement du personnel de l</w:t>
      </w:r>
      <w:r w:rsidR="006115E0" w:rsidRPr="001C2554">
        <w:rPr>
          <w:bCs/>
          <w:iCs/>
          <w:lang w:val="fr-FR"/>
        </w:rPr>
        <w:t>’</w:t>
      </w:r>
      <w:r w:rsidRPr="001C2554">
        <w:rPr>
          <w:bCs/>
          <w:iCs/>
          <w:lang w:val="fr-FR"/>
        </w:rPr>
        <w:t>OMPI, aucune récompense pécuniaire au titre du programme de récompenses et de reconnaissance n</w:t>
      </w:r>
      <w:r w:rsidR="006115E0" w:rsidRPr="001C2554">
        <w:rPr>
          <w:bCs/>
          <w:iCs/>
          <w:lang w:val="fr-FR"/>
        </w:rPr>
        <w:t>’</w:t>
      </w:r>
      <w:r w:rsidRPr="001C2554">
        <w:rPr>
          <w:bCs/>
          <w:iCs/>
          <w:lang w:val="fr-FR"/>
        </w:rPr>
        <w:t xml:space="preserve">a été versée </w:t>
      </w:r>
      <w:r w:rsidR="009A47FE" w:rsidRPr="001C2554">
        <w:rPr>
          <w:bCs/>
          <w:iCs/>
          <w:lang w:val="fr-FR"/>
        </w:rPr>
        <w:t>en 2021</w:t>
      </w:r>
      <w:r w:rsidRPr="001C2554">
        <w:rPr>
          <w:bCs/>
          <w:iCs/>
          <w:lang w:val="fr-FR"/>
        </w:rPr>
        <w:t>.  Des certificats de reconnaissance des résultats exceptionnels ainsi que des services rendus, sous forme de volontariat, au Comité d</w:t>
      </w:r>
      <w:r w:rsidR="006115E0" w:rsidRPr="001C2554">
        <w:rPr>
          <w:bCs/>
          <w:iCs/>
          <w:lang w:val="fr-FR"/>
        </w:rPr>
        <w:t>’</w:t>
      </w:r>
      <w:r w:rsidRPr="001C2554">
        <w:rPr>
          <w:bCs/>
          <w:iCs/>
          <w:lang w:val="fr-FR"/>
        </w:rPr>
        <w:t>appel de l</w:t>
      </w:r>
      <w:r w:rsidR="006115E0" w:rsidRPr="001C2554">
        <w:rPr>
          <w:bCs/>
          <w:iCs/>
          <w:lang w:val="fr-FR"/>
        </w:rPr>
        <w:t>’</w:t>
      </w:r>
      <w:r w:rsidRPr="001C2554">
        <w:rPr>
          <w:bCs/>
          <w:iCs/>
          <w:lang w:val="fr-FR"/>
        </w:rPr>
        <w:t>OMPI, au Groupe consultatif mixte ou en tant que coordonnateur pour les questions relatives à l</w:t>
      </w:r>
      <w:r w:rsidR="006115E0" w:rsidRPr="001C2554">
        <w:rPr>
          <w:bCs/>
          <w:iCs/>
          <w:lang w:val="fr-FR"/>
        </w:rPr>
        <w:t>’</w:t>
      </w:r>
      <w:r w:rsidRPr="001C2554">
        <w:rPr>
          <w:bCs/>
          <w:iCs/>
          <w:lang w:val="fr-FR"/>
        </w:rPr>
        <w:t>égalité des sexes ont été délivrés et mis à la disposition des membres du personnel concernés dans le système de gestion des contenus de l</w:t>
      </w:r>
      <w:r w:rsidR="006115E0" w:rsidRPr="001C2554">
        <w:rPr>
          <w:bCs/>
          <w:iCs/>
          <w:lang w:val="fr-FR"/>
        </w:rPr>
        <w:t>’</w:t>
      </w:r>
      <w:r w:rsidR="0098420C" w:rsidRPr="001C2554">
        <w:rPr>
          <w:bCs/>
          <w:iCs/>
          <w:lang w:val="fr-FR"/>
        </w:rPr>
        <w:t>OMPI</w:t>
      </w:r>
      <w:r w:rsidR="00BF21AE" w:rsidRPr="001C2554">
        <w:rPr>
          <w:lang w:val="fr-FR"/>
        </w:rPr>
        <w:t>.</w:t>
      </w:r>
    </w:p>
    <w:p w14:paraId="0024BF07" w14:textId="7B4B488E" w:rsidR="006E4BE7" w:rsidRPr="001C2554" w:rsidRDefault="006E4BE7" w:rsidP="00C33511">
      <w:pPr>
        <w:pStyle w:val="Heading2"/>
      </w:pPr>
      <w:r w:rsidRPr="001C2554">
        <w:t xml:space="preserve">Rapports de la Commission de la fonction publique internationale (CFPI) et de la Caisse commune des pensions du personnel des </w:t>
      </w:r>
      <w:r w:rsidR="006115E0" w:rsidRPr="001C2554">
        <w:t>Nations Unies</w:t>
      </w:r>
      <w:r w:rsidRPr="001C2554">
        <w:t xml:space="preserve"> (CCPPNU)</w:t>
      </w:r>
    </w:p>
    <w:p w14:paraId="796E13E6" w14:textId="055AE3C3" w:rsidR="009A47FE" w:rsidRPr="001C2554" w:rsidRDefault="000647DE" w:rsidP="00C25DC2">
      <w:pPr>
        <w:pStyle w:val="ONUMFS"/>
        <w:rPr>
          <w:lang w:val="fr-FR"/>
        </w:rPr>
      </w:pPr>
      <w:r w:rsidRPr="001C2554">
        <w:rPr>
          <w:lang w:val="fr-FR"/>
        </w:rPr>
        <w:t>L</w:t>
      </w:r>
      <w:r w:rsidR="006115E0" w:rsidRPr="001C2554">
        <w:rPr>
          <w:lang w:val="fr-FR"/>
        </w:rPr>
        <w:t>’</w:t>
      </w:r>
      <w:r w:rsidRPr="001C2554">
        <w:rPr>
          <w:lang w:val="fr-FR"/>
        </w:rPr>
        <w:t>attention du Comité de coordination de l</w:t>
      </w:r>
      <w:r w:rsidR="006115E0" w:rsidRPr="001C2554">
        <w:rPr>
          <w:lang w:val="fr-FR"/>
        </w:rPr>
        <w:t>’</w:t>
      </w:r>
      <w:r w:rsidRPr="001C2554">
        <w:rPr>
          <w:lang w:val="fr-FR"/>
        </w:rPr>
        <w:t>OMPI est appelée sur les rapports</w:t>
      </w:r>
      <w:r w:rsidR="0098420C" w:rsidRPr="001C2554">
        <w:rPr>
          <w:lang w:val="fr-FR"/>
        </w:rPr>
        <w:t xml:space="preserve"> de l</w:t>
      </w:r>
      <w:r w:rsidR="006115E0" w:rsidRPr="001C2554">
        <w:rPr>
          <w:lang w:val="fr-FR"/>
        </w:rPr>
        <w:t>’</w:t>
      </w:r>
      <w:r w:rsidR="0098420C" w:rsidRPr="001C2554">
        <w:rPr>
          <w:lang w:val="fr-FR"/>
        </w:rPr>
        <w:t xml:space="preserve">année </w:t>
      </w:r>
      <w:r w:rsidR="00157E6F" w:rsidRPr="001C2554">
        <w:rPr>
          <w:lang w:val="fr-FR"/>
        </w:rPr>
        <w:t>écoulée</w:t>
      </w:r>
      <w:r w:rsidR="0098420C" w:rsidRPr="001C2554">
        <w:rPr>
          <w:lang w:val="fr-FR"/>
        </w:rPr>
        <w:t xml:space="preserve"> </w:t>
      </w:r>
      <w:r w:rsidRPr="001C2554">
        <w:rPr>
          <w:lang w:val="fr-FR"/>
        </w:rPr>
        <w:t>de</w:t>
      </w:r>
      <w:r w:rsidR="009A47FE" w:rsidRPr="001C2554">
        <w:rPr>
          <w:lang w:val="fr-FR"/>
        </w:rPr>
        <w:t xml:space="preserve"> la CFP</w:t>
      </w:r>
      <w:r w:rsidRPr="001C2554">
        <w:rPr>
          <w:lang w:val="fr-FR"/>
        </w:rPr>
        <w:t xml:space="preserve">I </w:t>
      </w:r>
      <w:r w:rsidR="00BF21AE" w:rsidRPr="001C2554">
        <w:rPr>
          <w:lang w:val="fr-FR"/>
        </w:rPr>
        <w:t xml:space="preserve">(document </w:t>
      </w:r>
      <w:hyperlink r:id="rId11" w:history="1">
        <w:r w:rsidR="00BF21AE" w:rsidRPr="001C2554">
          <w:rPr>
            <w:rStyle w:val="Hyperlink"/>
            <w:szCs w:val="22"/>
            <w:lang w:val="fr-FR"/>
          </w:rPr>
          <w:t>A/7</w:t>
        </w:r>
        <w:r w:rsidR="00522816" w:rsidRPr="001C2554">
          <w:rPr>
            <w:rStyle w:val="Hyperlink"/>
            <w:szCs w:val="22"/>
            <w:lang w:val="fr-FR"/>
          </w:rPr>
          <w:t>6</w:t>
        </w:r>
        <w:r w:rsidR="00BF21AE" w:rsidRPr="001C2554">
          <w:rPr>
            <w:rStyle w:val="Hyperlink"/>
            <w:szCs w:val="22"/>
            <w:lang w:val="fr-FR"/>
          </w:rPr>
          <w:t>/30</w:t>
        </w:r>
      </w:hyperlink>
      <w:r w:rsidR="001901B4" w:rsidRPr="001C2554">
        <w:rPr>
          <w:lang w:val="fr-FR"/>
        </w:rPr>
        <w:t xml:space="preserve"> de l</w:t>
      </w:r>
      <w:r w:rsidR="006115E0" w:rsidRPr="001C2554">
        <w:rPr>
          <w:lang w:val="fr-FR"/>
        </w:rPr>
        <w:t>’</w:t>
      </w:r>
      <w:r w:rsidR="001901B4" w:rsidRPr="001C2554">
        <w:rPr>
          <w:lang w:val="fr-FR"/>
        </w:rPr>
        <w:t>ONU)</w:t>
      </w:r>
      <w:r w:rsidR="00BF21AE" w:rsidRPr="001C2554">
        <w:rPr>
          <w:lang w:val="fr-FR"/>
        </w:rPr>
        <w:t xml:space="preserve"> </w:t>
      </w:r>
      <w:r w:rsidR="001901B4" w:rsidRPr="001C2554">
        <w:rPr>
          <w:lang w:val="fr-FR"/>
        </w:rPr>
        <w:t>et de</w:t>
      </w:r>
      <w:r w:rsidR="009A47FE" w:rsidRPr="001C2554">
        <w:rPr>
          <w:lang w:val="fr-FR"/>
        </w:rPr>
        <w:t xml:space="preserve"> la CCP</w:t>
      </w:r>
      <w:r w:rsidR="001901B4" w:rsidRPr="001C2554">
        <w:rPr>
          <w:lang w:val="fr-FR"/>
        </w:rPr>
        <w:t xml:space="preserve">PNU </w:t>
      </w:r>
      <w:r w:rsidR="00BF21AE" w:rsidRPr="001C2554">
        <w:rPr>
          <w:lang w:val="fr-FR"/>
        </w:rPr>
        <w:t xml:space="preserve">(document </w:t>
      </w:r>
      <w:hyperlink r:id="rId12" w:history="1">
        <w:r w:rsidR="00CD4CDA" w:rsidRPr="001C2554">
          <w:rPr>
            <w:rStyle w:val="Hyperlink"/>
            <w:szCs w:val="22"/>
            <w:lang w:val="fr-FR"/>
          </w:rPr>
          <w:t>A/76/297</w:t>
        </w:r>
      </w:hyperlink>
      <w:r w:rsidR="001901B4" w:rsidRPr="001C2554">
        <w:rPr>
          <w:lang w:val="fr-FR"/>
        </w:rPr>
        <w:t xml:space="preserve"> de l</w:t>
      </w:r>
      <w:r w:rsidR="006115E0" w:rsidRPr="001C2554">
        <w:rPr>
          <w:lang w:val="fr-FR"/>
        </w:rPr>
        <w:t>’</w:t>
      </w:r>
      <w:r w:rsidR="001901B4" w:rsidRPr="001C2554">
        <w:rPr>
          <w:lang w:val="fr-FR"/>
        </w:rPr>
        <w:t>ONU)</w:t>
      </w:r>
      <w:r w:rsidR="00BF21AE" w:rsidRPr="001C2554">
        <w:rPr>
          <w:lang w:val="fr-FR"/>
        </w:rPr>
        <w:t>.</w:t>
      </w:r>
    </w:p>
    <w:p w14:paraId="4FDC4658" w14:textId="02BFCBB3" w:rsidR="009A47FE" w:rsidRPr="001C2554" w:rsidRDefault="004D3740" w:rsidP="00B72597">
      <w:pPr>
        <w:pStyle w:val="Heading1"/>
      </w:pPr>
      <w:r w:rsidRPr="001C2554">
        <w:t>U</w:t>
      </w:r>
      <w:r w:rsidR="001901B4" w:rsidRPr="001C2554">
        <w:t>n monde en pleine mutation</w:t>
      </w:r>
    </w:p>
    <w:p w14:paraId="654D6280" w14:textId="6867A3E7" w:rsidR="009A47FE" w:rsidRPr="001C2554" w:rsidRDefault="001901B4" w:rsidP="00C25DC2">
      <w:pPr>
        <w:pStyle w:val="ONUMFS"/>
        <w:rPr>
          <w:lang w:val="fr-FR"/>
        </w:rPr>
      </w:pPr>
      <w:r w:rsidRPr="001C2554">
        <w:rPr>
          <w:lang w:val="fr-FR"/>
        </w:rPr>
        <w:t>Face au défi sans précédent de la pandémie de COVID</w:t>
      </w:r>
      <w:r w:rsidR="00687F84">
        <w:rPr>
          <w:lang w:val="fr-FR"/>
        </w:rPr>
        <w:noBreakHyphen/>
      </w:r>
      <w:r w:rsidRPr="001C2554">
        <w:rPr>
          <w:lang w:val="fr-FR"/>
        </w:rPr>
        <w:t>19, l</w:t>
      </w:r>
      <w:r w:rsidR="006115E0" w:rsidRPr="001C2554">
        <w:rPr>
          <w:lang w:val="fr-FR"/>
        </w:rPr>
        <w:t>’</w:t>
      </w:r>
      <w:r w:rsidRPr="001C2554">
        <w:rPr>
          <w:lang w:val="fr-FR"/>
        </w:rPr>
        <w:t>année écoulée a été une période difficile pour l</w:t>
      </w:r>
      <w:r w:rsidR="006115E0" w:rsidRPr="001C2554">
        <w:rPr>
          <w:lang w:val="fr-FR"/>
        </w:rPr>
        <w:t>’</w:t>
      </w:r>
      <w:r w:rsidRPr="001C2554">
        <w:rPr>
          <w:lang w:val="fr-FR"/>
        </w:rPr>
        <w:t>Organisation et l</w:t>
      </w:r>
      <w:r w:rsidR="006115E0" w:rsidRPr="001C2554">
        <w:rPr>
          <w:lang w:val="fr-FR"/>
        </w:rPr>
        <w:t>’</w:t>
      </w:r>
      <w:r w:rsidRPr="001C2554">
        <w:rPr>
          <w:lang w:val="fr-FR"/>
        </w:rPr>
        <w:t>ensemble de son personnel</w:t>
      </w:r>
      <w:r w:rsidR="00510978" w:rsidRPr="001C2554">
        <w:rPr>
          <w:lang w:val="fr-FR"/>
        </w:rPr>
        <w:t>.</w:t>
      </w:r>
    </w:p>
    <w:p w14:paraId="135F8198" w14:textId="79A9EA3C" w:rsidR="006E4BE7" w:rsidRPr="001C2554" w:rsidRDefault="00BA4506" w:rsidP="00C25DC2">
      <w:pPr>
        <w:pStyle w:val="ONUMFS"/>
        <w:rPr>
          <w:lang w:val="fr-FR"/>
        </w:rPr>
      </w:pPr>
      <w:r w:rsidRPr="001C2554">
        <w:rPr>
          <w:lang w:val="fr-FR"/>
        </w:rPr>
        <w:t>Avec l</w:t>
      </w:r>
      <w:r w:rsidR="006115E0" w:rsidRPr="001C2554">
        <w:rPr>
          <w:lang w:val="fr-FR"/>
        </w:rPr>
        <w:t>’</w:t>
      </w:r>
      <w:r w:rsidRPr="001C2554">
        <w:rPr>
          <w:lang w:val="fr-FR"/>
        </w:rPr>
        <w:t>arrivée d</w:t>
      </w:r>
      <w:r w:rsidR="006115E0" w:rsidRPr="001C2554">
        <w:rPr>
          <w:lang w:val="fr-FR"/>
        </w:rPr>
        <w:t>’</w:t>
      </w:r>
      <w:r w:rsidRPr="001C2554">
        <w:rPr>
          <w:lang w:val="fr-FR"/>
        </w:rPr>
        <w:t>une nouvelle administration,</w:t>
      </w:r>
      <w:r w:rsidR="009A47FE" w:rsidRPr="001C2554">
        <w:rPr>
          <w:lang w:val="fr-FR"/>
        </w:rPr>
        <w:t xml:space="preserve"> le DGR</w:t>
      </w:r>
      <w:r w:rsidRPr="001C2554">
        <w:rPr>
          <w:lang w:val="fr-FR"/>
        </w:rPr>
        <w:t>H a été appelé à soutenir une importante restructuration de l</w:t>
      </w:r>
      <w:r w:rsidR="006115E0" w:rsidRPr="001C2554">
        <w:rPr>
          <w:lang w:val="fr-FR"/>
        </w:rPr>
        <w:t>’</w:t>
      </w:r>
      <w:r w:rsidRPr="001C2554">
        <w:rPr>
          <w:lang w:val="fr-FR"/>
        </w:rPr>
        <w:t xml:space="preserve">Organisation </w:t>
      </w:r>
      <w:r w:rsidR="001B45E8" w:rsidRPr="001C2554">
        <w:rPr>
          <w:lang w:val="fr-FR"/>
        </w:rPr>
        <w:t>donnant lieu à</w:t>
      </w:r>
      <w:r w:rsidRPr="001C2554">
        <w:rPr>
          <w:lang w:val="fr-FR"/>
        </w:rPr>
        <w:t xml:space="preserve"> la création du nouveau Secteur des écosystèmes de propriété intellectuelle et d</w:t>
      </w:r>
      <w:r w:rsidR="006115E0" w:rsidRPr="001C2554">
        <w:rPr>
          <w:lang w:val="fr-FR"/>
        </w:rPr>
        <w:t>’</w:t>
      </w:r>
      <w:r w:rsidRPr="001C2554">
        <w:rPr>
          <w:lang w:val="fr-FR"/>
        </w:rPr>
        <w:t>innovation, et d</w:t>
      </w:r>
      <w:r w:rsidR="006115E0" w:rsidRPr="001C2554">
        <w:rPr>
          <w:lang w:val="fr-FR"/>
        </w:rPr>
        <w:t>’</w:t>
      </w:r>
      <w:r w:rsidRPr="001C2554">
        <w:rPr>
          <w:lang w:val="fr-FR"/>
        </w:rPr>
        <w:t>autres domaines d</w:t>
      </w:r>
      <w:r w:rsidR="006115E0" w:rsidRPr="001C2554">
        <w:rPr>
          <w:lang w:val="fr-FR"/>
        </w:rPr>
        <w:t>’</w:t>
      </w:r>
      <w:r w:rsidRPr="001C2554">
        <w:rPr>
          <w:lang w:val="fr-FR"/>
        </w:rPr>
        <w:t>acti</w:t>
      </w:r>
      <w:r w:rsidR="001C2554" w:rsidRPr="001C2554">
        <w:rPr>
          <w:lang w:val="fr-FR"/>
        </w:rPr>
        <w:t>on.  Le</w:t>
      </w:r>
      <w:r w:rsidRPr="001C2554">
        <w:rPr>
          <w:lang w:val="fr-FR"/>
        </w:rPr>
        <w:t xml:space="preserve"> principal objectif de cette restructuration était de rationaliser et d</w:t>
      </w:r>
      <w:r w:rsidR="006115E0" w:rsidRPr="001C2554">
        <w:rPr>
          <w:lang w:val="fr-FR"/>
        </w:rPr>
        <w:t>’</w:t>
      </w:r>
      <w:r w:rsidRPr="001C2554">
        <w:rPr>
          <w:lang w:val="fr-FR"/>
        </w:rPr>
        <w:t>améliorer le flux d</w:t>
      </w:r>
      <w:r w:rsidR="006115E0" w:rsidRPr="001C2554">
        <w:rPr>
          <w:lang w:val="fr-FR"/>
        </w:rPr>
        <w:t>’</w:t>
      </w:r>
      <w:r w:rsidRPr="001C2554">
        <w:rPr>
          <w:lang w:val="fr-FR"/>
        </w:rPr>
        <w:t>informations et la coordination intersectoriel</w:t>
      </w:r>
      <w:r w:rsidR="001C2554" w:rsidRPr="001C2554">
        <w:rPr>
          <w:lang w:val="fr-FR"/>
        </w:rPr>
        <w:t>le.  El</w:t>
      </w:r>
      <w:r w:rsidRPr="001C2554">
        <w:rPr>
          <w:lang w:val="fr-FR"/>
        </w:rPr>
        <w:t>le s</w:t>
      </w:r>
      <w:r w:rsidR="006115E0" w:rsidRPr="001C2554">
        <w:rPr>
          <w:lang w:val="fr-FR"/>
        </w:rPr>
        <w:t>’</w:t>
      </w:r>
      <w:r w:rsidRPr="001C2554">
        <w:rPr>
          <w:lang w:val="fr-FR"/>
        </w:rPr>
        <w:t>est inscrite dans le contexte d</w:t>
      </w:r>
      <w:r w:rsidR="006115E0" w:rsidRPr="001C2554">
        <w:rPr>
          <w:lang w:val="fr-FR"/>
        </w:rPr>
        <w:t>’</w:t>
      </w:r>
      <w:r w:rsidRPr="001C2554">
        <w:rPr>
          <w:lang w:val="fr-FR"/>
        </w:rPr>
        <w:t>un nouveau P</w:t>
      </w:r>
      <w:r w:rsidR="001C2554" w:rsidRPr="001C2554">
        <w:rPr>
          <w:lang w:val="fr-FR"/>
        </w:rPr>
        <w:t>SMT.  Le</w:t>
      </w:r>
      <w:r w:rsidR="009A47FE" w:rsidRPr="001C2554">
        <w:rPr>
          <w:lang w:val="fr-FR"/>
        </w:rPr>
        <w:t> PSM</w:t>
      </w:r>
      <w:r w:rsidRPr="001C2554">
        <w:rPr>
          <w:lang w:val="fr-FR"/>
        </w:rPr>
        <w:t>T marque une évolution vers une Organisation de plus en plus centrée sur le personnel, où la culture d</w:t>
      </w:r>
      <w:r w:rsidR="006115E0" w:rsidRPr="001C2554">
        <w:rPr>
          <w:lang w:val="fr-FR"/>
        </w:rPr>
        <w:t>’</w:t>
      </w:r>
      <w:r w:rsidRPr="001C2554">
        <w:rPr>
          <w:lang w:val="fr-FR"/>
        </w:rPr>
        <w:t>équipe et l</w:t>
      </w:r>
      <w:r w:rsidR="006115E0" w:rsidRPr="001C2554">
        <w:rPr>
          <w:lang w:val="fr-FR"/>
        </w:rPr>
        <w:t>’</w:t>
      </w:r>
      <w:r w:rsidRPr="001C2554">
        <w:rPr>
          <w:lang w:val="fr-FR"/>
        </w:rPr>
        <w:t>approche du travail en collaboration sont encouragées et où le renforcement de</w:t>
      </w:r>
      <w:r w:rsidR="0096341C" w:rsidRPr="001C2554">
        <w:rPr>
          <w:lang w:val="fr-FR"/>
        </w:rPr>
        <w:t xml:space="preserve">s atouts des membres du </w:t>
      </w:r>
      <w:r w:rsidRPr="001C2554">
        <w:rPr>
          <w:lang w:val="fr-FR"/>
        </w:rPr>
        <w:t>personnel n</w:t>
      </w:r>
      <w:r w:rsidR="006115E0" w:rsidRPr="001C2554">
        <w:rPr>
          <w:lang w:val="fr-FR"/>
        </w:rPr>
        <w:t>’</w:t>
      </w:r>
      <w:r w:rsidRPr="001C2554">
        <w:rPr>
          <w:lang w:val="fr-FR"/>
        </w:rPr>
        <w:t>est pas seulement un objectif mais devient une réalité</w:t>
      </w:r>
      <w:r w:rsidR="00510978" w:rsidRPr="001C2554">
        <w:rPr>
          <w:lang w:val="fr-FR"/>
        </w:rPr>
        <w:t>.</w:t>
      </w:r>
    </w:p>
    <w:p w14:paraId="3C183645" w14:textId="227746C0" w:rsidR="0096341C" w:rsidRPr="001C2554" w:rsidRDefault="006A3459" w:rsidP="00C25DC2">
      <w:pPr>
        <w:pStyle w:val="ONUMFS"/>
        <w:rPr>
          <w:lang w:val="fr-FR"/>
        </w:rPr>
      </w:pPr>
      <w:r w:rsidRPr="001C2554">
        <w:rPr>
          <w:lang w:val="fr-FR"/>
        </w:rPr>
        <w:t>Pour aider à la mise en œuvre de cette nouvelle vision de la gestion des ressources humaines à l</w:t>
      </w:r>
      <w:r w:rsidR="006115E0" w:rsidRPr="001C2554">
        <w:rPr>
          <w:lang w:val="fr-FR"/>
        </w:rPr>
        <w:t>’</w:t>
      </w:r>
      <w:r w:rsidRPr="001C2554">
        <w:rPr>
          <w:lang w:val="fr-FR"/>
        </w:rPr>
        <w:t xml:space="preserve">OMPI, un expert externe en stratégie en matière de ressources humaines a été recruté pour mener un processus consultatif complet avec les chefs de service et les employés </w:t>
      </w:r>
      <w:r w:rsidR="00157E6F" w:rsidRPr="001C2554">
        <w:rPr>
          <w:lang w:val="fr-FR"/>
        </w:rPr>
        <w:t>en vue de</w:t>
      </w:r>
      <w:r w:rsidRPr="001C2554">
        <w:rPr>
          <w:lang w:val="fr-FR"/>
        </w:rPr>
        <w:t xml:space="preserve"> recenser les éléments de la gestion des ressources humaines dont l</w:t>
      </w:r>
      <w:r w:rsidR="006115E0" w:rsidRPr="001C2554">
        <w:rPr>
          <w:lang w:val="fr-FR"/>
        </w:rPr>
        <w:t>’</w:t>
      </w:r>
      <w:r w:rsidRPr="001C2554">
        <w:rPr>
          <w:lang w:val="fr-FR"/>
        </w:rPr>
        <w:t xml:space="preserve">Organisation peut être fière et </w:t>
      </w:r>
      <w:r w:rsidR="00F372E3" w:rsidRPr="001C2554">
        <w:rPr>
          <w:lang w:val="fr-FR"/>
        </w:rPr>
        <w:t>d</w:t>
      </w:r>
      <w:r w:rsidR="006115E0" w:rsidRPr="001C2554">
        <w:rPr>
          <w:lang w:val="fr-FR"/>
        </w:rPr>
        <w:t>’</w:t>
      </w:r>
      <w:r w:rsidR="00F372E3" w:rsidRPr="001C2554">
        <w:rPr>
          <w:lang w:val="fr-FR"/>
        </w:rPr>
        <w:t>autres</w:t>
      </w:r>
      <w:r w:rsidRPr="001C2554">
        <w:rPr>
          <w:lang w:val="fr-FR"/>
        </w:rPr>
        <w:t xml:space="preserve"> qui peuvent être renforc</w:t>
      </w:r>
      <w:r w:rsidR="001C2554" w:rsidRPr="001C2554">
        <w:rPr>
          <w:lang w:val="fr-FR"/>
        </w:rPr>
        <w:t>és.  Su</w:t>
      </w:r>
      <w:r w:rsidRPr="001C2554">
        <w:rPr>
          <w:lang w:val="fr-FR"/>
        </w:rPr>
        <w:t xml:space="preserve">r cette base, une nouvelle stratégie en matière de ressources humaines a été élaborée et soumise au Comité de coordination </w:t>
      </w:r>
      <w:r w:rsidR="00157E6F" w:rsidRPr="001C2554">
        <w:rPr>
          <w:lang w:val="fr-FR"/>
        </w:rPr>
        <w:t>de l</w:t>
      </w:r>
      <w:r w:rsidR="006115E0" w:rsidRPr="001C2554">
        <w:rPr>
          <w:lang w:val="fr-FR"/>
        </w:rPr>
        <w:t>’</w:t>
      </w:r>
      <w:r w:rsidR="00157E6F" w:rsidRPr="001C2554">
        <w:rPr>
          <w:lang w:val="fr-FR"/>
        </w:rPr>
        <w:t xml:space="preserve">OMPI </w:t>
      </w:r>
      <w:r w:rsidRPr="001C2554">
        <w:rPr>
          <w:lang w:val="fr-FR"/>
        </w:rPr>
        <w:t xml:space="preserve">en octobre 2021, fixant ainsi </w:t>
      </w:r>
      <w:r w:rsidR="00157E6F" w:rsidRPr="001C2554">
        <w:rPr>
          <w:lang w:val="fr-FR"/>
        </w:rPr>
        <w:t>des orientations concernant le</w:t>
      </w:r>
      <w:r w:rsidRPr="001C2554">
        <w:rPr>
          <w:lang w:val="fr-FR"/>
        </w:rPr>
        <w:t xml:space="preserve"> programme de travail stratégique du DGRH pour les cinq</w:t>
      </w:r>
      <w:r w:rsidR="00D962C9" w:rsidRPr="001C2554">
        <w:rPr>
          <w:lang w:val="fr-FR"/>
        </w:rPr>
        <w:t> </w:t>
      </w:r>
      <w:r w:rsidRPr="001C2554">
        <w:rPr>
          <w:lang w:val="fr-FR"/>
        </w:rPr>
        <w:t>prochaines anné</w:t>
      </w:r>
      <w:r w:rsidR="001C2554" w:rsidRPr="001C2554">
        <w:rPr>
          <w:lang w:val="fr-FR"/>
        </w:rPr>
        <w:t>es.  La</w:t>
      </w:r>
      <w:r w:rsidRPr="001C2554">
        <w:rPr>
          <w:lang w:val="fr-FR"/>
        </w:rPr>
        <w:t xml:space="preserve"> nouvelle stratégie s</w:t>
      </w:r>
      <w:r w:rsidR="006115E0" w:rsidRPr="001C2554">
        <w:rPr>
          <w:lang w:val="fr-FR"/>
        </w:rPr>
        <w:t>’</w:t>
      </w:r>
      <w:r w:rsidRPr="001C2554">
        <w:rPr>
          <w:lang w:val="fr-FR"/>
        </w:rPr>
        <w:t>articule autour de sept objectifs interdépendants</w:t>
      </w:r>
      <w:r w:rsidR="006115E0" w:rsidRPr="001C2554">
        <w:rPr>
          <w:lang w:val="fr-FR"/>
        </w:rPr>
        <w:t> :</w:t>
      </w:r>
      <w:r w:rsidRPr="001C2554">
        <w:rPr>
          <w:lang w:val="fr-FR"/>
        </w:rPr>
        <w:t xml:space="preserve"> la culture, la capacité d</w:t>
      </w:r>
      <w:r w:rsidR="006115E0" w:rsidRPr="001C2554">
        <w:rPr>
          <w:lang w:val="fr-FR"/>
        </w:rPr>
        <w:t>’</w:t>
      </w:r>
      <w:r w:rsidRPr="001C2554">
        <w:rPr>
          <w:lang w:val="fr-FR"/>
        </w:rPr>
        <w:t>adaptation de l</w:t>
      </w:r>
      <w:r w:rsidR="006115E0" w:rsidRPr="001C2554">
        <w:rPr>
          <w:lang w:val="fr-FR"/>
        </w:rPr>
        <w:t>’</w:t>
      </w:r>
      <w:r w:rsidRPr="001C2554">
        <w:rPr>
          <w:lang w:val="fr-FR"/>
        </w:rPr>
        <w:t>Organisation, la diversité et l</w:t>
      </w:r>
      <w:r w:rsidR="006115E0" w:rsidRPr="001C2554">
        <w:rPr>
          <w:lang w:val="fr-FR"/>
        </w:rPr>
        <w:t>’</w:t>
      </w:r>
      <w:r w:rsidRPr="001C2554">
        <w:rPr>
          <w:lang w:val="fr-FR"/>
        </w:rPr>
        <w:t>inclusion, la gestion des performances du personnel, la formation et l</w:t>
      </w:r>
      <w:r w:rsidR="006115E0" w:rsidRPr="001C2554">
        <w:rPr>
          <w:lang w:val="fr-FR"/>
        </w:rPr>
        <w:t>’</w:t>
      </w:r>
      <w:r w:rsidRPr="001C2554">
        <w:rPr>
          <w:lang w:val="fr-FR"/>
        </w:rPr>
        <w:t>évolution de carrière, les capacités de supervision et de gestion, ainsi que la participation et le bien</w:t>
      </w:r>
      <w:r w:rsidR="00687F84">
        <w:rPr>
          <w:lang w:val="fr-FR"/>
        </w:rPr>
        <w:noBreakHyphen/>
      </w:r>
      <w:r w:rsidRPr="001C2554">
        <w:rPr>
          <w:lang w:val="fr-FR"/>
        </w:rPr>
        <w:t>être du personnel</w:t>
      </w:r>
      <w:r w:rsidR="00510978" w:rsidRPr="001C2554">
        <w:rPr>
          <w:lang w:val="fr-FR"/>
        </w:rPr>
        <w:t>.</w:t>
      </w:r>
    </w:p>
    <w:p w14:paraId="0CA987CA" w14:textId="1C137D4D" w:rsidR="006E4BE7" w:rsidRPr="001C2554" w:rsidRDefault="006B02A1" w:rsidP="00C33511">
      <w:pPr>
        <w:pStyle w:val="Heading3"/>
      </w:pPr>
      <w:r w:rsidRPr="001C2554">
        <w:t>R</w:t>
      </w:r>
      <w:r w:rsidR="00017CC9" w:rsidRPr="001C2554">
        <w:t>éinventer les modalités d</w:t>
      </w:r>
      <w:r w:rsidR="006115E0" w:rsidRPr="001C2554">
        <w:t>’</w:t>
      </w:r>
      <w:r w:rsidR="00017CC9" w:rsidRPr="001C2554">
        <w:t>exécution du travail</w:t>
      </w:r>
    </w:p>
    <w:p w14:paraId="00AF6DC8" w14:textId="70123E65" w:rsidR="009A47FE" w:rsidRPr="001C2554" w:rsidRDefault="00560167" w:rsidP="00C25DC2">
      <w:pPr>
        <w:pStyle w:val="ONUMFS"/>
        <w:rPr>
          <w:lang w:val="fr-FR"/>
        </w:rPr>
      </w:pPr>
      <w:r w:rsidRPr="001C2554">
        <w:rPr>
          <w:lang w:val="fr-FR"/>
        </w:rPr>
        <w:t>La pandémie a poussé l</w:t>
      </w:r>
      <w:r w:rsidR="006115E0" w:rsidRPr="001C2554">
        <w:rPr>
          <w:lang w:val="fr-FR"/>
        </w:rPr>
        <w:t>’</w:t>
      </w:r>
      <w:r w:rsidRPr="001C2554">
        <w:rPr>
          <w:lang w:val="fr-FR"/>
        </w:rPr>
        <w:t>OM</w:t>
      </w:r>
      <w:r w:rsidR="0086315D" w:rsidRPr="001C2554">
        <w:rPr>
          <w:lang w:val="fr-FR"/>
        </w:rPr>
        <w:t>PI</w:t>
      </w:r>
      <w:r w:rsidRPr="001C2554">
        <w:rPr>
          <w:lang w:val="fr-FR"/>
        </w:rPr>
        <w:t xml:space="preserve"> et</w:t>
      </w:r>
      <w:r w:rsidR="009A47FE" w:rsidRPr="001C2554">
        <w:rPr>
          <w:lang w:val="fr-FR"/>
        </w:rPr>
        <w:t xml:space="preserve"> le DGR</w:t>
      </w:r>
      <w:r w:rsidRPr="001C2554">
        <w:rPr>
          <w:lang w:val="fr-FR"/>
        </w:rPr>
        <w:t>H à tenir compte de la situation et à adopter une culture de travail fondée sur la réactivi</w:t>
      </w:r>
      <w:r w:rsidR="001C2554" w:rsidRPr="001C2554">
        <w:rPr>
          <w:lang w:val="fr-FR"/>
        </w:rPr>
        <w:t>té.  Dè</w:t>
      </w:r>
      <w:r w:rsidRPr="001C2554">
        <w:rPr>
          <w:lang w:val="fr-FR"/>
        </w:rPr>
        <w:t>s le début,</w:t>
      </w:r>
      <w:r w:rsidR="009A47FE" w:rsidRPr="001C2554">
        <w:rPr>
          <w:lang w:val="fr-FR"/>
        </w:rPr>
        <w:t xml:space="preserve"> le DGR</w:t>
      </w:r>
      <w:r w:rsidRPr="001C2554">
        <w:rPr>
          <w:lang w:val="fr-FR"/>
        </w:rPr>
        <w:t>H a dû réfléchir à la manière de gérer un personnel travaillant à distance, plus hybride, avec des personnes travaillant à domicile, au bureau, à temps partiel ou bénéficiant d</w:t>
      </w:r>
      <w:r w:rsidR="006115E0" w:rsidRPr="001C2554">
        <w:rPr>
          <w:lang w:val="fr-FR"/>
        </w:rPr>
        <w:t>’</w:t>
      </w:r>
      <w:r w:rsidRPr="001C2554">
        <w:rPr>
          <w:lang w:val="fr-FR"/>
        </w:rPr>
        <w:t>autres aménagements du temps de travail.</w:t>
      </w:r>
    </w:p>
    <w:p w14:paraId="5E4A755D" w14:textId="25DB43CA" w:rsidR="009A47FE" w:rsidRPr="001C2554" w:rsidRDefault="00D45FF2" w:rsidP="00687F84">
      <w:pPr>
        <w:pStyle w:val="ONUMFS"/>
        <w:keepLines/>
        <w:rPr>
          <w:lang w:val="fr-FR"/>
        </w:rPr>
      </w:pPr>
      <w:r w:rsidRPr="001C2554">
        <w:rPr>
          <w:lang w:val="fr-FR"/>
        </w:rPr>
        <w:lastRenderedPageBreak/>
        <w:t>Le monde évolue et le monde du travail n</w:t>
      </w:r>
      <w:r w:rsidR="006115E0" w:rsidRPr="001C2554">
        <w:rPr>
          <w:lang w:val="fr-FR"/>
        </w:rPr>
        <w:t>’</w:t>
      </w:r>
      <w:r w:rsidRPr="001C2554">
        <w:rPr>
          <w:lang w:val="fr-FR"/>
        </w:rPr>
        <w:t>est pas en reste, la technologie influençant de plus en plus la façon dont le travail est effect</w:t>
      </w:r>
      <w:r w:rsidR="001C2554" w:rsidRPr="001C2554">
        <w:rPr>
          <w:lang w:val="fr-FR"/>
        </w:rPr>
        <w:t>ué.  Da</w:t>
      </w:r>
      <w:r w:rsidRPr="001C2554">
        <w:rPr>
          <w:lang w:val="fr-FR"/>
        </w:rPr>
        <w:t xml:space="preserve">ns ce contexte, et sur la base de la nouvelle stratégie en matière de ressources humaines, un modèle de </w:t>
      </w:r>
      <w:r w:rsidR="0086315D" w:rsidRPr="001C2554">
        <w:rPr>
          <w:lang w:val="fr-FR"/>
        </w:rPr>
        <w:t>“</w:t>
      </w:r>
      <w:r w:rsidRPr="001C2554">
        <w:rPr>
          <w:lang w:val="fr-FR"/>
        </w:rPr>
        <w:t>guichet unique</w:t>
      </w:r>
      <w:r w:rsidR="0086315D" w:rsidRPr="001C2554">
        <w:rPr>
          <w:lang w:val="fr-FR"/>
        </w:rPr>
        <w:t>”</w:t>
      </w:r>
      <w:r w:rsidRPr="001C2554">
        <w:rPr>
          <w:lang w:val="fr-FR"/>
        </w:rPr>
        <w:t xml:space="preserve"> pour les services</w:t>
      </w:r>
      <w:r w:rsidR="009A47FE" w:rsidRPr="001C2554">
        <w:rPr>
          <w:lang w:val="fr-FR"/>
        </w:rPr>
        <w:t xml:space="preserve"> du DGR</w:t>
      </w:r>
      <w:r w:rsidRPr="001C2554">
        <w:rPr>
          <w:lang w:val="fr-FR"/>
        </w:rPr>
        <w:t>H a été annoncé à la fin de l</w:t>
      </w:r>
      <w:r w:rsidR="006115E0" w:rsidRPr="001C2554">
        <w:rPr>
          <w:lang w:val="fr-FR"/>
        </w:rPr>
        <w:t>’</w:t>
      </w:r>
      <w:r w:rsidRPr="001C2554">
        <w:rPr>
          <w:lang w:val="fr-FR"/>
        </w:rPr>
        <w:t>année 2021</w:t>
      </w:r>
      <w:r w:rsidR="001B45E8" w:rsidRPr="001C2554">
        <w:rPr>
          <w:lang w:val="fr-FR"/>
        </w:rPr>
        <w:t xml:space="preserve"> dans la perspective </w:t>
      </w:r>
      <w:r w:rsidRPr="001C2554">
        <w:rPr>
          <w:lang w:val="fr-FR"/>
        </w:rPr>
        <w:t>d</w:t>
      </w:r>
      <w:r w:rsidR="006115E0" w:rsidRPr="001C2554">
        <w:rPr>
          <w:lang w:val="fr-FR"/>
        </w:rPr>
        <w:t>’</w:t>
      </w:r>
      <w:r w:rsidRPr="001C2554">
        <w:rPr>
          <w:lang w:val="fr-FR"/>
        </w:rPr>
        <w:t>une entrée en vigueur en février 2022</w:t>
      </w:r>
      <w:r w:rsidR="00510978" w:rsidRPr="001C2554">
        <w:rPr>
          <w:lang w:val="fr-FR"/>
        </w:rPr>
        <w:t>.</w:t>
      </w:r>
    </w:p>
    <w:p w14:paraId="38E8D52B" w14:textId="185C044F" w:rsidR="009A47FE" w:rsidRPr="001C2554" w:rsidRDefault="00CF5EA7" w:rsidP="00C25DC2">
      <w:pPr>
        <w:pStyle w:val="ONUMFS"/>
        <w:rPr>
          <w:lang w:val="fr-FR"/>
        </w:rPr>
      </w:pPr>
      <w:r w:rsidRPr="001C2554">
        <w:rPr>
          <w:lang w:val="fr-FR"/>
        </w:rPr>
        <w:t>Le nouveau modèle permettra</w:t>
      </w:r>
      <w:r w:rsidR="009A47FE" w:rsidRPr="001C2554">
        <w:rPr>
          <w:lang w:val="fr-FR"/>
        </w:rPr>
        <w:t xml:space="preserve"> au DGR</w:t>
      </w:r>
      <w:r w:rsidRPr="001C2554">
        <w:rPr>
          <w:lang w:val="fr-FR"/>
        </w:rPr>
        <w:t>H de mettre l</w:t>
      </w:r>
      <w:r w:rsidR="006115E0" w:rsidRPr="001C2554">
        <w:rPr>
          <w:lang w:val="fr-FR"/>
        </w:rPr>
        <w:t>’</w:t>
      </w:r>
      <w:r w:rsidRPr="001C2554">
        <w:rPr>
          <w:lang w:val="fr-FR"/>
        </w:rPr>
        <w:t>accent sur la prestation de services en regroupant les domaines thématiques, plutôt que les fonctio</w:t>
      </w:r>
      <w:r w:rsidR="001C2554" w:rsidRPr="001C2554">
        <w:rPr>
          <w:lang w:val="fr-FR"/>
        </w:rPr>
        <w:t>ns.  Ce</w:t>
      </w:r>
      <w:r w:rsidRPr="001C2554">
        <w:rPr>
          <w:lang w:val="fr-FR"/>
        </w:rPr>
        <w:t xml:space="preserve"> modèle vise à faciliter la transition de l</w:t>
      </w:r>
      <w:r w:rsidR="006115E0" w:rsidRPr="001C2554">
        <w:rPr>
          <w:lang w:val="fr-FR"/>
        </w:rPr>
        <w:t>’</w:t>
      </w:r>
      <w:r w:rsidRPr="001C2554">
        <w:rPr>
          <w:lang w:val="fr-FR"/>
        </w:rPr>
        <w:t>OMPI vers une organisation ouverte, transparente et axée sur l</w:t>
      </w:r>
      <w:r w:rsidR="006115E0" w:rsidRPr="001C2554">
        <w:rPr>
          <w:lang w:val="fr-FR"/>
        </w:rPr>
        <w:t>’</w:t>
      </w:r>
      <w:r w:rsidRPr="001C2554">
        <w:rPr>
          <w:lang w:val="fr-FR"/>
        </w:rPr>
        <w:t>huma</w:t>
      </w:r>
      <w:r w:rsidR="001C2554" w:rsidRPr="001C2554">
        <w:rPr>
          <w:lang w:val="fr-FR"/>
        </w:rPr>
        <w:t>in.  En</w:t>
      </w:r>
      <w:r w:rsidRPr="001C2554">
        <w:rPr>
          <w:lang w:val="fr-FR"/>
        </w:rPr>
        <w:t xml:space="preserve"> outre, il vise à assurer une meilleure intégration des personnes et des processus, permettant ainsi aux utilisateurs internes et externes des services</w:t>
      </w:r>
      <w:r w:rsidR="009A47FE" w:rsidRPr="001C2554">
        <w:rPr>
          <w:lang w:val="fr-FR"/>
        </w:rPr>
        <w:t xml:space="preserve"> du DGR</w:t>
      </w:r>
      <w:r w:rsidRPr="001C2554">
        <w:rPr>
          <w:lang w:val="fr-FR"/>
        </w:rPr>
        <w:t>H de vivre une expérience plus harmonieuse et cohéren</w:t>
      </w:r>
      <w:r w:rsidR="001C2554" w:rsidRPr="001C2554">
        <w:rPr>
          <w:lang w:val="fr-FR"/>
        </w:rPr>
        <w:t>te.  Da</w:t>
      </w:r>
      <w:r w:rsidRPr="001C2554">
        <w:rPr>
          <w:lang w:val="fr-FR"/>
        </w:rPr>
        <w:t>ns le cadre de ce nouveau modèle, et avec la création d</w:t>
      </w:r>
      <w:r w:rsidR="006115E0" w:rsidRPr="001C2554">
        <w:rPr>
          <w:lang w:val="fr-FR"/>
        </w:rPr>
        <w:t>’</w:t>
      </w:r>
      <w:r w:rsidRPr="001C2554">
        <w:rPr>
          <w:lang w:val="fr-FR"/>
        </w:rPr>
        <w:t>un nouveau service de gestion des talents,</w:t>
      </w:r>
      <w:r w:rsidR="009A47FE" w:rsidRPr="001C2554">
        <w:rPr>
          <w:lang w:val="fr-FR"/>
        </w:rPr>
        <w:t xml:space="preserve"> le DGR</w:t>
      </w:r>
      <w:r w:rsidRPr="001C2554">
        <w:rPr>
          <w:lang w:val="fr-FR"/>
        </w:rPr>
        <w:t>H aspirera à travailler horizontalement, aux côtés des différents secteurs d</w:t>
      </w:r>
      <w:r w:rsidR="006115E0" w:rsidRPr="001C2554">
        <w:rPr>
          <w:lang w:val="fr-FR"/>
        </w:rPr>
        <w:t>’</w:t>
      </w:r>
      <w:r w:rsidRPr="001C2554">
        <w:rPr>
          <w:lang w:val="fr-FR"/>
        </w:rPr>
        <w:t xml:space="preserve">activité en tant que </w:t>
      </w:r>
      <w:r w:rsidR="0086315D" w:rsidRPr="001C2554">
        <w:rPr>
          <w:lang w:val="fr-FR"/>
        </w:rPr>
        <w:t>“</w:t>
      </w:r>
      <w:r w:rsidRPr="001C2554">
        <w:rPr>
          <w:lang w:val="fr-FR"/>
        </w:rPr>
        <w:t>partenaire</w:t>
      </w:r>
      <w:r w:rsidR="0086315D" w:rsidRPr="001C2554">
        <w:rPr>
          <w:lang w:val="fr-FR"/>
        </w:rPr>
        <w:t>”</w:t>
      </w:r>
      <w:r w:rsidRPr="001C2554">
        <w:rPr>
          <w:lang w:val="fr-FR"/>
        </w:rPr>
        <w:t>, en partageant les résultats avec d</w:t>
      </w:r>
      <w:r w:rsidR="006115E0" w:rsidRPr="001C2554">
        <w:rPr>
          <w:lang w:val="fr-FR"/>
        </w:rPr>
        <w:t>’</w:t>
      </w:r>
      <w:r w:rsidRPr="001C2554">
        <w:rPr>
          <w:lang w:val="fr-FR"/>
        </w:rPr>
        <w:t>autres parties prenantes et en aidant les secteurs d</w:t>
      </w:r>
      <w:r w:rsidR="006115E0" w:rsidRPr="001C2554">
        <w:rPr>
          <w:lang w:val="fr-FR"/>
        </w:rPr>
        <w:t>’</w:t>
      </w:r>
      <w:r w:rsidRPr="001C2554">
        <w:rPr>
          <w:lang w:val="fr-FR"/>
        </w:rPr>
        <w:t>activité à s</w:t>
      </w:r>
      <w:r w:rsidR="006115E0" w:rsidRPr="001C2554">
        <w:rPr>
          <w:lang w:val="fr-FR"/>
        </w:rPr>
        <w:t>’</w:t>
      </w:r>
      <w:r w:rsidRPr="001C2554">
        <w:rPr>
          <w:lang w:val="fr-FR"/>
        </w:rPr>
        <w:t>adapter et à se transformer</w:t>
      </w:r>
      <w:r w:rsidR="00510978" w:rsidRPr="001C2554">
        <w:rPr>
          <w:lang w:val="fr-FR"/>
        </w:rPr>
        <w:t>.</w:t>
      </w:r>
    </w:p>
    <w:p w14:paraId="3DBDBD2D" w14:textId="49050448" w:rsidR="00CF5EA7" w:rsidRPr="001C2554" w:rsidRDefault="004A7C78" w:rsidP="00C25DC2">
      <w:pPr>
        <w:pStyle w:val="ONUMFS"/>
        <w:rPr>
          <w:lang w:val="fr-FR"/>
        </w:rPr>
      </w:pPr>
      <w:r w:rsidRPr="001C2554">
        <w:rPr>
          <w:lang w:val="fr-FR"/>
        </w:rPr>
        <w:t>L</w:t>
      </w:r>
      <w:r w:rsidR="006115E0" w:rsidRPr="001C2554">
        <w:rPr>
          <w:lang w:val="fr-FR"/>
        </w:rPr>
        <w:t>’</w:t>
      </w:r>
      <w:r w:rsidR="0086315D" w:rsidRPr="001C2554">
        <w:rPr>
          <w:lang w:val="fr-FR"/>
        </w:rPr>
        <w:t>“</w:t>
      </w:r>
      <w:r w:rsidRPr="001C2554">
        <w:rPr>
          <w:lang w:val="fr-FR"/>
        </w:rPr>
        <w:t>explosion</w:t>
      </w:r>
      <w:r w:rsidR="0086315D" w:rsidRPr="001C2554">
        <w:rPr>
          <w:lang w:val="fr-FR"/>
        </w:rPr>
        <w:t>”</w:t>
      </w:r>
      <w:r w:rsidRPr="001C2554">
        <w:rPr>
          <w:lang w:val="fr-FR"/>
        </w:rPr>
        <w:t xml:space="preserve"> de la technologie et son influence sur le monde du travail exigent la mise en place d</w:t>
      </w:r>
      <w:r w:rsidR="006115E0" w:rsidRPr="001C2554">
        <w:rPr>
          <w:lang w:val="fr-FR"/>
        </w:rPr>
        <w:t>’</w:t>
      </w:r>
      <w:r w:rsidRPr="001C2554">
        <w:rPr>
          <w:lang w:val="fr-FR"/>
        </w:rPr>
        <w:t>un service spécialisé afin que</w:t>
      </w:r>
      <w:r w:rsidR="009A47FE" w:rsidRPr="001C2554">
        <w:rPr>
          <w:lang w:val="fr-FR"/>
        </w:rPr>
        <w:t xml:space="preserve"> le DGR</w:t>
      </w:r>
      <w:r w:rsidRPr="001C2554">
        <w:rPr>
          <w:lang w:val="fr-FR"/>
        </w:rPr>
        <w:t>H puisse tirer parti des avantages de la technologie, de la gestion efficace des données et de l</w:t>
      </w:r>
      <w:r w:rsidR="006115E0" w:rsidRPr="001C2554">
        <w:rPr>
          <w:lang w:val="fr-FR"/>
        </w:rPr>
        <w:t>’</w:t>
      </w:r>
      <w:r w:rsidRPr="001C2554">
        <w:rPr>
          <w:lang w:val="fr-FR"/>
        </w:rPr>
        <w:t>analyse critique, tout en améliorant le service à la clientèle et en facilitant la gestion des talen</w:t>
      </w:r>
      <w:r w:rsidR="001C2554" w:rsidRPr="001C2554">
        <w:rPr>
          <w:lang w:val="fr-FR"/>
        </w:rPr>
        <w:t>ts.  La</w:t>
      </w:r>
      <w:r w:rsidRPr="001C2554">
        <w:rPr>
          <w:lang w:val="fr-FR"/>
        </w:rPr>
        <w:t xml:space="preserve"> création d</w:t>
      </w:r>
      <w:r w:rsidR="006115E0" w:rsidRPr="001C2554">
        <w:rPr>
          <w:lang w:val="fr-FR"/>
        </w:rPr>
        <w:t>’</w:t>
      </w:r>
      <w:r w:rsidRPr="001C2554">
        <w:rPr>
          <w:lang w:val="fr-FR"/>
        </w:rPr>
        <w:t>un nouveau groupe de la technologie et de la gestion des données relatives aux ressources humaines au sein</w:t>
      </w:r>
      <w:r w:rsidR="009A47FE" w:rsidRPr="001C2554">
        <w:rPr>
          <w:lang w:val="fr-FR"/>
        </w:rPr>
        <w:t xml:space="preserve"> du DGR</w:t>
      </w:r>
      <w:r w:rsidRPr="001C2554">
        <w:rPr>
          <w:lang w:val="fr-FR"/>
        </w:rPr>
        <w:t>H souligne l</w:t>
      </w:r>
      <w:r w:rsidR="006115E0" w:rsidRPr="001C2554">
        <w:rPr>
          <w:lang w:val="fr-FR"/>
        </w:rPr>
        <w:t>’</w:t>
      </w:r>
      <w:r w:rsidRPr="001C2554">
        <w:rPr>
          <w:lang w:val="fr-FR"/>
        </w:rPr>
        <w:t>importance de l</w:t>
      </w:r>
      <w:r w:rsidR="006115E0" w:rsidRPr="001C2554">
        <w:rPr>
          <w:lang w:val="fr-FR"/>
        </w:rPr>
        <w:t>’</w:t>
      </w:r>
      <w:r w:rsidRPr="001C2554">
        <w:rPr>
          <w:lang w:val="fr-FR"/>
        </w:rPr>
        <w:t>intégration de la technologie dans la gestion des ressources humaines</w:t>
      </w:r>
      <w:r w:rsidR="00510978" w:rsidRPr="001C2554">
        <w:rPr>
          <w:lang w:val="fr-FR"/>
        </w:rPr>
        <w:t>.</w:t>
      </w:r>
    </w:p>
    <w:p w14:paraId="2DEB8B10" w14:textId="0D966AA7" w:rsidR="009A47FE" w:rsidRPr="001C2554" w:rsidRDefault="00FF33DA" w:rsidP="00C25DC2">
      <w:pPr>
        <w:pStyle w:val="ONUMFS"/>
        <w:rPr>
          <w:iCs/>
          <w:lang w:val="fr-FR"/>
        </w:rPr>
      </w:pPr>
      <w:r w:rsidRPr="001C2554">
        <w:rPr>
          <w:iCs/>
          <w:lang w:val="fr-FR"/>
        </w:rPr>
        <w:t>L</w:t>
      </w:r>
      <w:r w:rsidR="006115E0" w:rsidRPr="001C2554">
        <w:rPr>
          <w:iCs/>
          <w:lang w:val="fr-FR"/>
        </w:rPr>
        <w:t>’</w:t>
      </w:r>
      <w:r w:rsidRPr="001C2554">
        <w:rPr>
          <w:iCs/>
          <w:lang w:val="fr-FR"/>
        </w:rPr>
        <w:t>année a également été marquée par l</w:t>
      </w:r>
      <w:r w:rsidR="006115E0" w:rsidRPr="001C2554">
        <w:rPr>
          <w:iCs/>
          <w:lang w:val="fr-FR"/>
        </w:rPr>
        <w:t>’</w:t>
      </w:r>
      <w:r w:rsidRPr="001C2554">
        <w:rPr>
          <w:iCs/>
          <w:lang w:val="fr-FR"/>
        </w:rPr>
        <w:t xml:space="preserve">examen et la refonte du processus de planification stratégique à plus long terme des effectifs, lancé </w:t>
      </w:r>
      <w:r w:rsidR="009A47FE" w:rsidRPr="001C2554">
        <w:rPr>
          <w:iCs/>
          <w:lang w:val="fr-FR"/>
        </w:rPr>
        <w:t>en 2014</w:t>
      </w:r>
      <w:r w:rsidRPr="001C2554">
        <w:rPr>
          <w:iCs/>
          <w:lang w:val="fr-FR"/>
        </w:rPr>
        <w:t>.  L</w:t>
      </w:r>
      <w:r w:rsidR="006115E0" w:rsidRPr="001C2554">
        <w:rPr>
          <w:iCs/>
          <w:lang w:val="fr-FR"/>
        </w:rPr>
        <w:t>’</w:t>
      </w:r>
      <w:r w:rsidRPr="001C2554">
        <w:rPr>
          <w:iCs/>
          <w:lang w:val="fr-FR"/>
        </w:rPr>
        <w:t>objectif est d</w:t>
      </w:r>
      <w:r w:rsidR="006115E0" w:rsidRPr="001C2554">
        <w:rPr>
          <w:iCs/>
          <w:lang w:val="fr-FR"/>
        </w:rPr>
        <w:t>’</w:t>
      </w:r>
      <w:r w:rsidRPr="001C2554">
        <w:rPr>
          <w:iCs/>
          <w:lang w:val="fr-FR"/>
        </w:rPr>
        <w:t>évaluer l</w:t>
      </w:r>
      <w:r w:rsidR="006115E0" w:rsidRPr="001C2554">
        <w:rPr>
          <w:iCs/>
          <w:lang w:val="fr-FR"/>
        </w:rPr>
        <w:t>’</w:t>
      </w:r>
      <w:r w:rsidR="0086315D" w:rsidRPr="001C2554">
        <w:rPr>
          <w:iCs/>
          <w:lang w:val="fr-FR"/>
        </w:rPr>
        <w:t>“</w:t>
      </w:r>
      <w:r w:rsidRPr="001C2554">
        <w:rPr>
          <w:iCs/>
          <w:lang w:val="fr-FR"/>
        </w:rPr>
        <w:t>état</w:t>
      </w:r>
      <w:r w:rsidR="0086315D" w:rsidRPr="001C2554">
        <w:rPr>
          <w:iCs/>
          <w:lang w:val="fr-FR"/>
        </w:rPr>
        <w:t>”</w:t>
      </w:r>
      <w:r w:rsidRPr="001C2554">
        <w:rPr>
          <w:iCs/>
          <w:lang w:val="fr-FR"/>
        </w:rPr>
        <w:t xml:space="preserve"> des ressources humaines de l</w:t>
      </w:r>
      <w:r w:rsidR="006115E0" w:rsidRPr="001C2554">
        <w:rPr>
          <w:iCs/>
          <w:lang w:val="fr-FR"/>
        </w:rPr>
        <w:t>’</w:t>
      </w:r>
      <w:r w:rsidRPr="001C2554">
        <w:rPr>
          <w:iCs/>
          <w:lang w:val="fr-FR"/>
        </w:rPr>
        <w:t>OMPI et de fournir des orientations sur les mesures à prendre pour assurer la réussite des résultats opérationne</w:t>
      </w:r>
      <w:r w:rsidR="001C2554" w:rsidRPr="001C2554">
        <w:rPr>
          <w:iCs/>
          <w:lang w:val="fr-FR"/>
        </w:rPr>
        <w:t>ls.  Le</w:t>
      </w:r>
      <w:r w:rsidRPr="001C2554">
        <w:rPr>
          <w:iCs/>
          <w:lang w:val="fr-FR"/>
        </w:rPr>
        <w:t xml:space="preserve"> processus a été examiné et des enseignements ont été tirés pour l</w:t>
      </w:r>
      <w:r w:rsidR="006115E0" w:rsidRPr="001C2554">
        <w:rPr>
          <w:iCs/>
          <w:lang w:val="fr-FR"/>
        </w:rPr>
        <w:t>’</w:t>
      </w:r>
      <w:r w:rsidRPr="001C2554">
        <w:rPr>
          <w:iCs/>
          <w:lang w:val="fr-FR"/>
        </w:rPr>
        <w:t>affin</w:t>
      </w:r>
      <w:r w:rsidR="001C2554" w:rsidRPr="001C2554">
        <w:rPr>
          <w:iCs/>
          <w:lang w:val="fr-FR"/>
        </w:rPr>
        <w:t>er.  Il</w:t>
      </w:r>
      <w:r w:rsidRPr="001C2554">
        <w:rPr>
          <w:iCs/>
          <w:lang w:val="fr-FR"/>
        </w:rPr>
        <w:t xml:space="preserve"> est actuellement mis en œuvre dans tous les secteurs </w:t>
      </w:r>
      <w:r w:rsidR="00EE0260" w:rsidRPr="001C2554">
        <w:rPr>
          <w:iCs/>
          <w:lang w:val="fr-FR"/>
        </w:rPr>
        <w:t>dans le cadre de l</w:t>
      </w:r>
      <w:r w:rsidR="006115E0" w:rsidRPr="001C2554">
        <w:rPr>
          <w:iCs/>
          <w:lang w:val="fr-FR"/>
        </w:rPr>
        <w:t>’</w:t>
      </w:r>
      <w:r w:rsidR="00EE0260" w:rsidRPr="001C2554">
        <w:rPr>
          <w:iCs/>
          <w:lang w:val="fr-FR"/>
        </w:rPr>
        <w:t>évaluation des talents au sein de l</w:t>
      </w:r>
      <w:r w:rsidR="006115E0" w:rsidRPr="001C2554">
        <w:rPr>
          <w:iCs/>
          <w:lang w:val="fr-FR"/>
        </w:rPr>
        <w:t>’</w:t>
      </w:r>
      <w:r w:rsidR="00EE0260" w:rsidRPr="001C2554">
        <w:rPr>
          <w:iCs/>
          <w:lang w:val="fr-FR"/>
        </w:rPr>
        <w:t xml:space="preserve">OMPI </w:t>
      </w:r>
      <w:r w:rsidR="009A47FE" w:rsidRPr="001C2554">
        <w:rPr>
          <w:iCs/>
          <w:lang w:val="fr-FR"/>
        </w:rPr>
        <w:t>pour 2022</w:t>
      </w:r>
      <w:r w:rsidR="00687F84">
        <w:rPr>
          <w:iCs/>
          <w:lang w:val="fr-FR"/>
        </w:rPr>
        <w:noBreakHyphen/>
      </w:r>
      <w:r w:rsidR="00EE0260" w:rsidRPr="001C2554">
        <w:rPr>
          <w:iCs/>
          <w:lang w:val="fr-FR"/>
        </w:rPr>
        <w:t xml:space="preserve">2023 </w:t>
      </w:r>
      <w:r w:rsidR="004F6A3B" w:rsidRPr="001C2554">
        <w:rPr>
          <w:iCs/>
          <w:lang w:val="fr-FR"/>
        </w:rPr>
        <w:t>et au</w:t>
      </w:r>
      <w:r w:rsidR="00687F84">
        <w:rPr>
          <w:iCs/>
          <w:lang w:val="fr-FR"/>
        </w:rPr>
        <w:noBreakHyphen/>
      </w:r>
      <w:r w:rsidR="004F6A3B" w:rsidRPr="001C2554">
        <w:rPr>
          <w:iCs/>
          <w:lang w:val="fr-FR"/>
        </w:rPr>
        <w:t>delà</w:t>
      </w:r>
      <w:r w:rsidR="00510978" w:rsidRPr="001C2554">
        <w:rPr>
          <w:iCs/>
          <w:lang w:val="fr-FR"/>
        </w:rPr>
        <w:t>.</w:t>
      </w:r>
    </w:p>
    <w:p w14:paraId="4DF6D52B" w14:textId="7847347F" w:rsidR="009A47FE" w:rsidRPr="001C2554" w:rsidRDefault="004F6A3B" w:rsidP="00C25DC2">
      <w:pPr>
        <w:pStyle w:val="ONUMFS"/>
        <w:rPr>
          <w:lang w:val="fr-FR"/>
        </w:rPr>
      </w:pPr>
      <w:r w:rsidRPr="001C2554">
        <w:rPr>
          <w:iCs/>
          <w:lang w:val="fr-FR"/>
        </w:rPr>
        <w:t xml:space="preserve">Par ailleurs, un tableau de bord intégrant des analyses relatives aux ressources humaines qui seront utiles pour la planification des effectifs à tous les niveaux sera mis à la disposition des </w:t>
      </w:r>
      <w:r w:rsidR="00E16CE0" w:rsidRPr="001C2554">
        <w:rPr>
          <w:iCs/>
          <w:lang w:val="fr-FR"/>
        </w:rPr>
        <w:t>ch</w:t>
      </w:r>
      <w:r w:rsidR="0086315D" w:rsidRPr="001C2554">
        <w:rPr>
          <w:iCs/>
          <w:lang w:val="fr-FR"/>
        </w:rPr>
        <w:t>efs de servi</w:t>
      </w:r>
      <w:r w:rsidR="001C2554" w:rsidRPr="001C2554">
        <w:rPr>
          <w:iCs/>
          <w:lang w:val="fr-FR"/>
        </w:rPr>
        <w:t>ce.  Ce</w:t>
      </w:r>
      <w:r w:rsidR="00E16CE0" w:rsidRPr="001C2554">
        <w:rPr>
          <w:iCs/>
          <w:lang w:val="fr-FR"/>
        </w:rPr>
        <w:t xml:space="preserve"> tableau de bord permettra d</w:t>
      </w:r>
      <w:r w:rsidR="006115E0" w:rsidRPr="001C2554">
        <w:rPr>
          <w:iCs/>
          <w:lang w:val="fr-FR"/>
        </w:rPr>
        <w:t>’</w:t>
      </w:r>
      <w:r w:rsidR="00E16CE0" w:rsidRPr="001C2554">
        <w:rPr>
          <w:iCs/>
          <w:lang w:val="fr-FR"/>
        </w:rPr>
        <w:t xml:space="preserve">accéder </w:t>
      </w:r>
      <w:r w:rsidR="00E16CE0" w:rsidRPr="001C2554">
        <w:rPr>
          <w:lang w:val="fr-FR"/>
        </w:rPr>
        <w:t>facilement à des informations essentielles telles que l</w:t>
      </w:r>
      <w:r w:rsidR="006115E0" w:rsidRPr="001C2554">
        <w:rPr>
          <w:lang w:val="fr-FR"/>
        </w:rPr>
        <w:t>’</w:t>
      </w:r>
      <w:r w:rsidR="00E16CE0" w:rsidRPr="001C2554">
        <w:rPr>
          <w:lang w:val="fr-FR"/>
        </w:rPr>
        <w:t>effectif, la représentation géographique et par sexe, les départs à la retraite, les absences et les évaluations de performance, entre autres donné</w:t>
      </w:r>
      <w:r w:rsidR="001C2554" w:rsidRPr="001C2554">
        <w:rPr>
          <w:lang w:val="fr-FR"/>
        </w:rPr>
        <w:t>es.  Ce</w:t>
      </w:r>
      <w:r w:rsidR="006E4BE7" w:rsidRPr="001C2554">
        <w:rPr>
          <w:lang w:val="fr-FR"/>
        </w:rPr>
        <w:t xml:space="preserve">t outil renforcera également les capacités des </w:t>
      </w:r>
      <w:r w:rsidR="00942F77" w:rsidRPr="001C2554">
        <w:rPr>
          <w:lang w:val="fr-FR"/>
        </w:rPr>
        <w:t>supérieurs hiérarchiques</w:t>
      </w:r>
      <w:r w:rsidR="006E4BE7" w:rsidRPr="001C2554">
        <w:rPr>
          <w:lang w:val="fr-FR"/>
        </w:rPr>
        <w:t xml:space="preserve"> s</w:t>
      </w:r>
      <w:r w:rsidR="006115E0" w:rsidRPr="001C2554">
        <w:rPr>
          <w:lang w:val="fr-FR"/>
        </w:rPr>
        <w:t>’</w:t>
      </w:r>
      <w:r w:rsidR="006E4BE7" w:rsidRPr="001C2554">
        <w:rPr>
          <w:lang w:val="fr-FR"/>
        </w:rPr>
        <w:t>agissant de gérer leur personnel, de suivre et de superviser leur équipe et, si possible, d</w:t>
      </w:r>
      <w:r w:rsidR="006115E0" w:rsidRPr="001C2554">
        <w:rPr>
          <w:lang w:val="fr-FR"/>
        </w:rPr>
        <w:t>’</w:t>
      </w:r>
      <w:r w:rsidR="006E4BE7" w:rsidRPr="001C2554">
        <w:rPr>
          <w:lang w:val="fr-FR"/>
        </w:rPr>
        <w:t>améliorer la parité et la représentation géographique</w:t>
      </w:r>
      <w:r w:rsidR="006E4BE7" w:rsidRPr="001C2554">
        <w:rPr>
          <w:color w:val="008000"/>
          <w:lang w:val="fr-FR"/>
        </w:rPr>
        <w:t>.</w:t>
      </w:r>
    </w:p>
    <w:p w14:paraId="68F17C93" w14:textId="753A248F" w:rsidR="005C5981" w:rsidRPr="001C2554" w:rsidRDefault="005C5981" w:rsidP="00C33511">
      <w:pPr>
        <w:pStyle w:val="Heading3"/>
      </w:pPr>
      <w:r w:rsidRPr="001C2554">
        <w:t>Une culture qui renforce les compétences et favorise l</w:t>
      </w:r>
      <w:r w:rsidR="006115E0" w:rsidRPr="001C2554">
        <w:t>’</w:t>
      </w:r>
      <w:r w:rsidRPr="001C2554">
        <w:t>adaptabilité</w:t>
      </w:r>
    </w:p>
    <w:p w14:paraId="59C0AD7E" w14:textId="5B7A49D1" w:rsidR="005C5981" w:rsidRPr="009576EC" w:rsidRDefault="009A47FE" w:rsidP="00C25DC2">
      <w:pPr>
        <w:pStyle w:val="ONUMFS"/>
        <w:rPr>
          <w:lang w:val="fr-FR"/>
        </w:rPr>
      </w:pPr>
      <w:r w:rsidRPr="001C2554">
        <w:rPr>
          <w:lang w:val="fr-FR"/>
        </w:rPr>
        <w:t>En 2021</w:t>
      </w:r>
      <w:r w:rsidR="005C5981" w:rsidRPr="001C2554">
        <w:rPr>
          <w:lang w:val="fr-FR"/>
        </w:rPr>
        <w:t xml:space="preserve">, Price Waterhouse </w:t>
      </w:r>
      <w:proofErr w:type="spellStart"/>
      <w:r w:rsidR="005C5981" w:rsidRPr="001C2554">
        <w:rPr>
          <w:lang w:val="fr-FR"/>
        </w:rPr>
        <w:t>Coopers</w:t>
      </w:r>
      <w:proofErr w:type="spellEnd"/>
      <w:r w:rsidR="005C5981" w:rsidRPr="001C2554">
        <w:rPr>
          <w:lang w:val="fr-FR"/>
        </w:rPr>
        <w:t xml:space="preserve"> (PWC) a examiné le Système de gestion des performances et de perfectionnement du personnel de l</w:t>
      </w:r>
      <w:r w:rsidR="006115E0" w:rsidRPr="001C2554">
        <w:rPr>
          <w:lang w:val="fr-FR"/>
        </w:rPr>
        <w:t>’</w:t>
      </w:r>
      <w:r w:rsidR="005C5981" w:rsidRPr="001C2554">
        <w:rPr>
          <w:lang w:val="fr-FR"/>
        </w:rPr>
        <w:t>O</w:t>
      </w:r>
      <w:r w:rsidR="001C2554" w:rsidRPr="001C2554">
        <w:rPr>
          <w:lang w:val="fr-FR"/>
        </w:rPr>
        <w:t>MPI.  Co</w:t>
      </w:r>
      <w:r w:rsidR="005C5981" w:rsidRPr="001C2554">
        <w:rPr>
          <w:lang w:val="fr-FR"/>
        </w:rPr>
        <w:t>mpte tenu de l</w:t>
      </w:r>
      <w:r w:rsidR="006115E0" w:rsidRPr="001C2554">
        <w:rPr>
          <w:lang w:val="fr-FR"/>
        </w:rPr>
        <w:t>’</w:t>
      </w:r>
      <w:r w:rsidR="005C5981" w:rsidRPr="001C2554">
        <w:rPr>
          <w:lang w:val="fr-FR"/>
        </w:rPr>
        <w:t>importance de la culture dans la gestion des performances, une empreinte culturelle a été établie pour l</w:t>
      </w:r>
      <w:r w:rsidR="006115E0" w:rsidRPr="001C2554">
        <w:rPr>
          <w:lang w:val="fr-FR"/>
        </w:rPr>
        <w:t>’</w:t>
      </w:r>
      <w:r w:rsidR="005C5981" w:rsidRPr="001C2554">
        <w:rPr>
          <w:lang w:val="fr-FR"/>
        </w:rPr>
        <w:t>OMPI dans le cadre de cet exam</w:t>
      </w:r>
      <w:r w:rsidR="001C2554" w:rsidRPr="001C2554">
        <w:rPr>
          <w:lang w:val="fr-FR"/>
        </w:rPr>
        <w:t>en.  Ce</w:t>
      </w:r>
      <w:r w:rsidR="005C5981" w:rsidRPr="001C2554">
        <w:rPr>
          <w:lang w:val="fr-FR"/>
        </w:rPr>
        <w:t>tte analyse a permis de déterminer cinq</w:t>
      </w:r>
      <w:r w:rsidR="00D962C9" w:rsidRPr="001C2554">
        <w:rPr>
          <w:lang w:val="fr-FR"/>
        </w:rPr>
        <w:t> </w:t>
      </w:r>
      <w:r w:rsidR="005C5981" w:rsidRPr="001C2554">
        <w:rPr>
          <w:lang w:val="fr-FR"/>
        </w:rPr>
        <w:t>grands traits qui caractérisent la culture de l</w:t>
      </w:r>
      <w:r w:rsidR="006115E0" w:rsidRPr="001C2554">
        <w:rPr>
          <w:lang w:val="fr-FR"/>
        </w:rPr>
        <w:t>’</w:t>
      </w:r>
      <w:r w:rsidR="005C5981" w:rsidRPr="001C2554">
        <w:rPr>
          <w:lang w:val="fr-FR"/>
        </w:rPr>
        <w:t>OMPI</w:t>
      </w:r>
      <w:r w:rsidR="00F372E3" w:rsidRPr="001C2554">
        <w:rPr>
          <w:lang w:val="fr-FR"/>
        </w:rPr>
        <w:t>, notamment</w:t>
      </w:r>
      <w:r w:rsidR="005C5981" w:rsidRPr="001C2554">
        <w:rPr>
          <w:lang w:val="fr-FR"/>
        </w:rPr>
        <w:t xml:space="preserve"> </w:t>
      </w:r>
      <w:r w:rsidR="005C5981" w:rsidRPr="001C2554">
        <w:rPr>
          <w:i/>
          <w:lang w:val="fr-FR"/>
        </w:rPr>
        <w:t xml:space="preserve">Empires, Professionnel et empreint de respect, Pilier de stabilité, Suivre les règles </w:t>
      </w:r>
      <w:r w:rsidR="005C5981" w:rsidRPr="001C2554">
        <w:rPr>
          <w:lang w:val="fr-FR"/>
        </w:rPr>
        <w:t>et</w:t>
      </w:r>
      <w:r w:rsidR="005C5981" w:rsidRPr="001C2554">
        <w:rPr>
          <w:i/>
          <w:lang w:val="fr-FR"/>
        </w:rPr>
        <w:t xml:space="preserve"> Réputation en matière de compétenc</w:t>
      </w:r>
      <w:r w:rsidR="001C2554" w:rsidRPr="001C2554">
        <w:rPr>
          <w:i/>
          <w:lang w:val="fr-FR"/>
        </w:rPr>
        <w:t xml:space="preserve">es.  </w:t>
      </w:r>
      <w:r w:rsidR="001C2554" w:rsidRPr="001C2554">
        <w:rPr>
          <w:lang w:val="fr-FR"/>
        </w:rPr>
        <w:t>Si</w:t>
      </w:r>
      <w:r w:rsidR="005C5981" w:rsidRPr="001C2554">
        <w:rPr>
          <w:lang w:val="fr-FR"/>
        </w:rPr>
        <w:t xml:space="preserve"> ces traits présentent tous des points forts, ils posent également des déf</w:t>
      </w:r>
      <w:r w:rsidR="001C2554" w:rsidRPr="001C2554">
        <w:rPr>
          <w:lang w:val="fr-FR"/>
        </w:rPr>
        <w:t>is.  L’a</w:t>
      </w:r>
      <w:r w:rsidR="005C5981" w:rsidRPr="001C2554">
        <w:rPr>
          <w:lang w:val="fr-FR"/>
        </w:rPr>
        <w:t>nalyse de la culture à l</w:t>
      </w:r>
      <w:r w:rsidR="006115E0" w:rsidRPr="001C2554">
        <w:rPr>
          <w:lang w:val="fr-FR"/>
        </w:rPr>
        <w:t>’</w:t>
      </w:r>
      <w:r w:rsidR="005C5981" w:rsidRPr="001C2554">
        <w:rPr>
          <w:lang w:val="fr-FR"/>
        </w:rPr>
        <w:t>OMPI a conclu à la nécessité d</w:t>
      </w:r>
      <w:r w:rsidR="006115E0" w:rsidRPr="001C2554">
        <w:rPr>
          <w:lang w:val="fr-FR"/>
        </w:rPr>
        <w:t>’</w:t>
      </w:r>
      <w:r w:rsidR="005C5981" w:rsidRPr="001C2554">
        <w:rPr>
          <w:lang w:val="fr-FR"/>
        </w:rPr>
        <w:t xml:space="preserve">un plus grand alignement entre les aspirations stratégiques de </w:t>
      </w:r>
      <w:r w:rsidR="005C5981" w:rsidRPr="009576EC">
        <w:rPr>
          <w:lang w:val="fr-FR"/>
        </w:rPr>
        <w:t>l</w:t>
      </w:r>
      <w:r w:rsidR="006115E0" w:rsidRPr="009576EC">
        <w:rPr>
          <w:lang w:val="fr-FR"/>
        </w:rPr>
        <w:t>’</w:t>
      </w:r>
      <w:r w:rsidR="005C5981" w:rsidRPr="009576EC">
        <w:rPr>
          <w:lang w:val="fr-FR"/>
        </w:rPr>
        <w:t>Organisation et sa culture actuelle.</w:t>
      </w:r>
    </w:p>
    <w:p w14:paraId="767C7C0F" w14:textId="77777777" w:rsidR="005C5981" w:rsidRPr="009576EC" w:rsidRDefault="005C5981" w:rsidP="005C5981">
      <w:pPr>
        <w:pStyle w:val="Default"/>
        <w:rPr>
          <w:rFonts w:ascii="Arial" w:hAnsi="Arial" w:cs="Arial"/>
          <w:sz w:val="22"/>
          <w:szCs w:val="22"/>
          <w:lang w:val="fr-FR"/>
        </w:rPr>
      </w:pPr>
      <w:r w:rsidRPr="001C2554">
        <w:rPr>
          <w:lang w:val="fr-FR"/>
        </w:rPr>
        <w:lastRenderedPageBreak/>
        <w:t></w:t>
      </w:r>
      <w:r w:rsidRPr="009576EC">
        <w:rPr>
          <w:rFonts w:ascii="Arial" w:hAnsi="Arial" w:cs="Arial"/>
          <w:noProof/>
          <w:sz w:val="22"/>
          <w:szCs w:val="22"/>
          <w:lang w:val="fr-FR"/>
        </w:rPr>
        <w:object w:dxaOrig="4320" w:dyaOrig="2510" w14:anchorId="0BAF8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preinte culturelle&#10;&#10;Analyse de la culture à l’OMPI" style="width:468.2pt;height:262.4pt" o:ole="">
            <v:imagedata r:id="rId13" o:title=""/>
          </v:shape>
          <o:OLEObject Type="Embed" ProgID="PBrush" ShapeID="_x0000_i1025" DrawAspect="Content" ObjectID="_1714901975" r:id="rId14"/>
        </w:object>
      </w:r>
    </w:p>
    <w:p w14:paraId="232B5BD5" w14:textId="3775C5CB" w:rsidR="005C5981" w:rsidRPr="001C2554" w:rsidRDefault="005C5981" w:rsidP="00C25DC2">
      <w:pPr>
        <w:pStyle w:val="ONUMFS"/>
        <w:spacing w:before="220"/>
        <w:rPr>
          <w:lang w:val="fr-FR"/>
        </w:rPr>
      </w:pPr>
      <w:r w:rsidRPr="001C2554">
        <w:rPr>
          <w:lang w:val="fr-FR"/>
        </w:rPr>
        <w:t>L</w:t>
      </w:r>
      <w:r w:rsidR="006115E0" w:rsidRPr="001C2554">
        <w:rPr>
          <w:lang w:val="fr-FR"/>
        </w:rPr>
        <w:t>’</w:t>
      </w:r>
      <w:r w:rsidRPr="001C2554">
        <w:rPr>
          <w:lang w:val="fr-FR"/>
        </w:rPr>
        <w:t>analyse effectuée offre une base à partir de laquelle</w:t>
      </w:r>
      <w:r w:rsidR="009A47FE" w:rsidRPr="001C2554">
        <w:rPr>
          <w:lang w:val="fr-FR"/>
        </w:rPr>
        <w:t xml:space="preserve"> le DGR</w:t>
      </w:r>
      <w:r w:rsidRPr="001C2554">
        <w:rPr>
          <w:lang w:val="fr-FR"/>
        </w:rPr>
        <w:t>H peut s</w:t>
      </w:r>
      <w:r w:rsidR="006115E0" w:rsidRPr="001C2554">
        <w:rPr>
          <w:lang w:val="fr-FR"/>
        </w:rPr>
        <w:t>’</w:t>
      </w:r>
      <w:r w:rsidRPr="001C2554">
        <w:rPr>
          <w:lang w:val="fr-FR"/>
        </w:rPr>
        <w:t>atteler à la tâche difficile de mener un programme de transformation culturelle au sein de l</w:t>
      </w:r>
      <w:r w:rsidR="006115E0" w:rsidRPr="001C2554">
        <w:rPr>
          <w:lang w:val="fr-FR"/>
        </w:rPr>
        <w:t>’</w:t>
      </w:r>
      <w:r w:rsidRPr="001C2554">
        <w:rPr>
          <w:lang w:val="fr-FR"/>
        </w:rPr>
        <w:t>O</w:t>
      </w:r>
      <w:r w:rsidR="001C2554" w:rsidRPr="001C2554">
        <w:rPr>
          <w:lang w:val="fr-FR"/>
        </w:rPr>
        <w:t>MPI.  Ce</w:t>
      </w:r>
      <w:r w:rsidRPr="001C2554">
        <w:rPr>
          <w:lang w:val="fr-FR"/>
        </w:rPr>
        <w:t>la permettra de s</w:t>
      </w:r>
      <w:r w:rsidR="006115E0" w:rsidRPr="001C2554">
        <w:rPr>
          <w:lang w:val="fr-FR"/>
        </w:rPr>
        <w:t>’</w:t>
      </w:r>
      <w:r w:rsidRPr="001C2554">
        <w:rPr>
          <w:lang w:val="fr-FR"/>
        </w:rPr>
        <w:t>assurer que la culture en place renforce la résilience de l</w:t>
      </w:r>
      <w:r w:rsidR="006115E0" w:rsidRPr="001C2554">
        <w:rPr>
          <w:lang w:val="fr-FR"/>
        </w:rPr>
        <w:t>’</w:t>
      </w:r>
      <w:r w:rsidRPr="001C2554">
        <w:rPr>
          <w:lang w:val="fr-FR"/>
        </w:rPr>
        <w:t>Organisation et offre à l</w:t>
      </w:r>
      <w:r w:rsidR="006115E0" w:rsidRPr="001C2554">
        <w:rPr>
          <w:lang w:val="fr-FR"/>
        </w:rPr>
        <w:t>’</w:t>
      </w:r>
      <w:r w:rsidRPr="001C2554">
        <w:rPr>
          <w:lang w:val="fr-FR"/>
        </w:rPr>
        <w:t>ensemble de l</w:t>
      </w:r>
      <w:r w:rsidR="006115E0" w:rsidRPr="001C2554">
        <w:rPr>
          <w:lang w:val="fr-FR"/>
        </w:rPr>
        <w:t>’</w:t>
      </w:r>
      <w:r w:rsidRPr="001C2554">
        <w:rPr>
          <w:lang w:val="fr-FR"/>
        </w:rPr>
        <w:t>Organisation une vision commune du succès.</w:t>
      </w:r>
    </w:p>
    <w:p w14:paraId="2EEAC2C4" w14:textId="5CF51DAD" w:rsidR="006115E0" w:rsidRPr="001C2554" w:rsidRDefault="005C5981" w:rsidP="008A1D32">
      <w:pPr>
        <w:pStyle w:val="ONUMFS"/>
        <w:rPr>
          <w:lang w:val="fr-FR"/>
        </w:rPr>
      </w:pPr>
      <w:r w:rsidRPr="001C2554">
        <w:rPr>
          <w:lang w:val="fr-FR"/>
        </w:rPr>
        <w:t>L</w:t>
      </w:r>
      <w:r w:rsidR="006115E0" w:rsidRPr="001C2554">
        <w:rPr>
          <w:lang w:val="fr-FR"/>
        </w:rPr>
        <w:t>’</w:t>
      </w:r>
      <w:r w:rsidRPr="001C2554">
        <w:rPr>
          <w:lang w:val="fr-FR"/>
        </w:rPr>
        <w:t>examen réalisé a également mis en évidence la nécessité, exprimée par les chefs de service et leurs subordonnés, d</w:t>
      </w:r>
      <w:r w:rsidR="006115E0" w:rsidRPr="001C2554">
        <w:rPr>
          <w:lang w:val="fr-FR"/>
        </w:rPr>
        <w:t>’</w:t>
      </w:r>
      <w:r w:rsidRPr="001C2554">
        <w:rPr>
          <w:lang w:val="fr-FR"/>
        </w:rPr>
        <w:t>apporter un certain nombre de changements importants dans la gestion des performances à l</w:t>
      </w:r>
      <w:r w:rsidR="006115E0" w:rsidRPr="001C2554">
        <w:rPr>
          <w:lang w:val="fr-FR"/>
        </w:rPr>
        <w:t>’</w:t>
      </w:r>
      <w:r w:rsidRPr="001C2554">
        <w:rPr>
          <w:lang w:val="fr-FR"/>
        </w:rPr>
        <w:t>O</w:t>
      </w:r>
      <w:r w:rsidR="001C2554" w:rsidRPr="001C2554">
        <w:rPr>
          <w:lang w:val="fr-FR"/>
        </w:rPr>
        <w:t>MPI.  Il</w:t>
      </w:r>
      <w:r w:rsidRPr="001C2554">
        <w:rPr>
          <w:lang w:val="fr-FR"/>
        </w:rPr>
        <w:t xml:space="preserve"> s</w:t>
      </w:r>
      <w:r w:rsidR="006115E0" w:rsidRPr="001C2554">
        <w:rPr>
          <w:lang w:val="fr-FR"/>
        </w:rPr>
        <w:t>’</w:t>
      </w:r>
      <w:r w:rsidRPr="001C2554">
        <w:rPr>
          <w:lang w:val="fr-FR"/>
        </w:rPr>
        <w:t>agit notamment de renforcer l</w:t>
      </w:r>
      <w:r w:rsidR="006115E0" w:rsidRPr="001C2554">
        <w:rPr>
          <w:lang w:val="fr-FR"/>
        </w:rPr>
        <w:t>’</w:t>
      </w:r>
      <w:r w:rsidRPr="001C2554">
        <w:rPr>
          <w:lang w:val="fr-FR"/>
        </w:rPr>
        <w:t>objectivité, la reconnaissance et les possibilités de perfectionnement professionnel, selon un processus davantage axé sur les utilisateurs, d</w:t>
      </w:r>
      <w:r w:rsidR="006115E0" w:rsidRPr="001C2554">
        <w:rPr>
          <w:lang w:val="fr-FR"/>
        </w:rPr>
        <w:t>’</w:t>
      </w:r>
      <w:r w:rsidRPr="001C2554">
        <w:rPr>
          <w:lang w:val="fr-FR"/>
        </w:rPr>
        <w:t>accroître le soutien proposé pour la gestion des résultats insuffisants et de promouvoir une réelle évolution des mentalités et comportements relatifs aux performanc</w:t>
      </w:r>
      <w:r w:rsidR="001C2554" w:rsidRPr="001C2554">
        <w:rPr>
          <w:lang w:val="fr-FR"/>
        </w:rPr>
        <w:t>es.  Il</w:t>
      </w:r>
      <w:r w:rsidRPr="001C2554">
        <w:rPr>
          <w:lang w:val="fr-FR"/>
        </w:rPr>
        <w:t xml:space="preserve"> a également été noté que pour répondre aux principaux défis en matière de gestion des performances, l</w:t>
      </w:r>
      <w:r w:rsidR="006115E0" w:rsidRPr="001C2554">
        <w:rPr>
          <w:lang w:val="fr-FR"/>
        </w:rPr>
        <w:t>’</w:t>
      </w:r>
      <w:r w:rsidRPr="001C2554">
        <w:rPr>
          <w:lang w:val="fr-FR"/>
        </w:rPr>
        <w:t>OMPI devait adopter une approche davantage axée sur le client et instaurer un “esprit de croissance” dans toute l</w:t>
      </w:r>
      <w:r w:rsidR="006115E0" w:rsidRPr="001C2554">
        <w:rPr>
          <w:lang w:val="fr-FR"/>
        </w:rPr>
        <w:t>’</w:t>
      </w:r>
      <w:r w:rsidRPr="001C2554">
        <w:rPr>
          <w:lang w:val="fr-FR"/>
        </w:rPr>
        <w:t>Organisati</w:t>
      </w:r>
      <w:r w:rsidR="001C2554" w:rsidRPr="001C2554">
        <w:rPr>
          <w:lang w:val="fr-FR"/>
        </w:rPr>
        <w:t>on.  De</w:t>
      </w:r>
      <w:r w:rsidR="0028598D" w:rsidRPr="001C2554">
        <w:rPr>
          <w:lang w:val="fr-FR"/>
        </w:rPr>
        <w:t xml:space="preserve"> façon générale, l</w:t>
      </w:r>
      <w:r w:rsidR="00766104" w:rsidRPr="001C2554">
        <w:rPr>
          <w:lang w:val="fr-FR"/>
        </w:rPr>
        <w:t>e</w:t>
      </w:r>
      <w:r w:rsidRPr="001C2554">
        <w:rPr>
          <w:lang w:val="fr-FR"/>
        </w:rPr>
        <w:t xml:space="preserve"> rapport a formulé huit</w:t>
      </w:r>
      <w:r w:rsidR="00D962C9" w:rsidRPr="001C2554">
        <w:rPr>
          <w:lang w:val="fr-FR"/>
        </w:rPr>
        <w:t> </w:t>
      </w:r>
      <w:r w:rsidRPr="001C2554">
        <w:rPr>
          <w:lang w:val="fr-FR"/>
        </w:rPr>
        <w:t>recommandations qui aideront l</w:t>
      </w:r>
      <w:r w:rsidR="006115E0" w:rsidRPr="001C2554">
        <w:rPr>
          <w:lang w:val="fr-FR"/>
        </w:rPr>
        <w:t>’</w:t>
      </w:r>
      <w:r w:rsidRPr="001C2554">
        <w:rPr>
          <w:lang w:val="fr-FR"/>
        </w:rPr>
        <w:t>Organisation à se doter d</w:t>
      </w:r>
      <w:r w:rsidR="006115E0" w:rsidRPr="001C2554">
        <w:rPr>
          <w:lang w:val="fr-FR"/>
        </w:rPr>
        <w:t>’</w:t>
      </w:r>
      <w:r w:rsidRPr="001C2554">
        <w:rPr>
          <w:lang w:val="fr-FR"/>
        </w:rPr>
        <w:t>un cadre de gestion des performances plus adapté à ses besoi</w:t>
      </w:r>
      <w:r w:rsidR="001C2554" w:rsidRPr="001C2554">
        <w:rPr>
          <w:lang w:val="fr-FR"/>
        </w:rPr>
        <w:t>ns.  L’u</w:t>
      </w:r>
      <w:r w:rsidR="0028598D" w:rsidRPr="001C2554">
        <w:rPr>
          <w:lang w:val="fr-FR"/>
        </w:rPr>
        <w:t>ne de ces recommandations était d</w:t>
      </w:r>
      <w:r w:rsidR="006115E0" w:rsidRPr="001C2554">
        <w:rPr>
          <w:lang w:val="fr-FR"/>
        </w:rPr>
        <w:t>’</w:t>
      </w:r>
      <w:r w:rsidR="0028598D" w:rsidRPr="001C2554">
        <w:rPr>
          <w:lang w:val="fr-FR"/>
        </w:rPr>
        <w:t>introduire un</w:t>
      </w:r>
      <w:r w:rsidR="008A1D32" w:rsidRPr="001C2554">
        <w:rPr>
          <w:lang w:val="fr-FR"/>
        </w:rPr>
        <w:t xml:space="preserve"> processus de calibrage des performances pour plus de cohérence et d</w:t>
      </w:r>
      <w:r w:rsidR="006115E0" w:rsidRPr="001C2554">
        <w:rPr>
          <w:lang w:val="fr-FR"/>
        </w:rPr>
        <w:t>’</w:t>
      </w:r>
      <w:r w:rsidR="008A1D32" w:rsidRPr="001C2554">
        <w:rPr>
          <w:lang w:val="fr-FR"/>
        </w:rPr>
        <w:t>équi</w:t>
      </w:r>
      <w:r w:rsidR="001C2554" w:rsidRPr="001C2554">
        <w:rPr>
          <w:lang w:val="fr-FR"/>
        </w:rPr>
        <w:t xml:space="preserve">té.  À </w:t>
      </w:r>
      <w:r w:rsidR="0028598D" w:rsidRPr="001C2554">
        <w:rPr>
          <w:lang w:val="fr-FR"/>
        </w:rPr>
        <w:t>cette fin, un processus de calibrage des performances pour les fonctionnaires de grades P</w:t>
      </w:r>
      <w:r w:rsidR="00687F84">
        <w:rPr>
          <w:lang w:val="fr-FR"/>
        </w:rPr>
        <w:noBreakHyphen/>
      </w:r>
      <w:r w:rsidR="0028598D" w:rsidRPr="001C2554">
        <w:rPr>
          <w:lang w:val="fr-FR"/>
        </w:rPr>
        <w:t>4 et supérieurs a été introduit pour le cycle d</w:t>
      </w:r>
      <w:r w:rsidR="006115E0" w:rsidRPr="001C2554">
        <w:rPr>
          <w:lang w:val="fr-FR"/>
        </w:rPr>
        <w:t>’</w:t>
      </w:r>
      <w:r w:rsidR="0028598D" w:rsidRPr="001C2554">
        <w:rPr>
          <w:lang w:val="fr-FR"/>
        </w:rPr>
        <w:t>évaluation des performances 2021.  L</w:t>
      </w:r>
      <w:r w:rsidR="006115E0" w:rsidRPr="001C2554">
        <w:rPr>
          <w:lang w:val="fr-FR"/>
        </w:rPr>
        <w:t>’</w:t>
      </w:r>
      <w:r w:rsidR="0028598D" w:rsidRPr="001C2554">
        <w:rPr>
          <w:lang w:val="fr-FR"/>
        </w:rPr>
        <w:t>objectif de cet exercice était de parvenir à une communauté de vues sur les deux notes les plus élevées de l</w:t>
      </w:r>
      <w:r w:rsidR="006115E0" w:rsidRPr="001C2554">
        <w:rPr>
          <w:lang w:val="fr-FR"/>
        </w:rPr>
        <w:t>’</w:t>
      </w:r>
      <w:r w:rsidR="0028598D" w:rsidRPr="001C2554">
        <w:rPr>
          <w:lang w:val="fr-FR"/>
        </w:rPr>
        <w:t>évaluation, à travers toute l</w:t>
      </w:r>
      <w:r w:rsidR="006115E0" w:rsidRPr="001C2554">
        <w:rPr>
          <w:lang w:val="fr-FR"/>
        </w:rPr>
        <w:t>’</w:t>
      </w:r>
      <w:r w:rsidR="0028598D" w:rsidRPr="001C2554">
        <w:rPr>
          <w:lang w:val="fr-FR"/>
        </w:rPr>
        <w:t>Organisation.</w:t>
      </w:r>
    </w:p>
    <w:p w14:paraId="7FA4E0A2" w14:textId="74BA1DE8" w:rsidR="005C5981" w:rsidRPr="001C2554" w:rsidRDefault="005C5981" w:rsidP="00C25DC2">
      <w:pPr>
        <w:pStyle w:val="ONUMFS"/>
        <w:rPr>
          <w:lang w:val="fr-FR"/>
        </w:rPr>
      </w:pPr>
      <w:r w:rsidRPr="001C2554">
        <w:rPr>
          <w:lang w:val="fr-FR"/>
        </w:rPr>
        <w:t>La mise au point d</w:t>
      </w:r>
      <w:r w:rsidR="006115E0" w:rsidRPr="001C2554">
        <w:rPr>
          <w:lang w:val="fr-FR"/>
        </w:rPr>
        <w:t>’</w:t>
      </w:r>
      <w:r w:rsidRPr="001C2554">
        <w:rPr>
          <w:lang w:val="fr-FR"/>
        </w:rPr>
        <w:t>un nouveau système de gestion des performances et la garantie d</w:t>
      </w:r>
      <w:r w:rsidR="006115E0" w:rsidRPr="001C2554">
        <w:rPr>
          <w:lang w:val="fr-FR"/>
        </w:rPr>
        <w:t>’</w:t>
      </w:r>
      <w:r w:rsidRPr="001C2554">
        <w:rPr>
          <w:lang w:val="fr-FR"/>
        </w:rPr>
        <w:t>une gestion plus étroitement liée aux processus de perfectionnement et de gestion des talents feront partie intégrante des activités du Groupe de l</w:t>
      </w:r>
      <w:r w:rsidR="006115E0" w:rsidRPr="001C2554">
        <w:rPr>
          <w:lang w:val="fr-FR"/>
        </w:rPr>
        <w:t>’</w:t>
      </w:r>
      <w:r w:rsidRPr="001C2554">
        <w:rPr>
          <w:lang w:val="fr-FR"/>
        </w:rPr>
        <w:t>expérience employé, relevant du Service de la gestion des talents, en collaboration avec les chefs de service et autres parties prenantes.</w:t>
      </w:r>
    </w:p>
    <w:p w14:paraId="59571855" w14:textId="6EA3965C" w:rsidR="009A47FE" w:rsidRPr="001C2554" w:rsidRDefault="005C5981" w:rsidP="00C25DC2">
      <w:pPr>
        <w:pStyle w:val="ONUMFS"/>
        <w:rPr>
          <w:lang w:val="fr-FR"/>
        </w:rPr>
      </w:pPr>
      <w:r w:rsidRPr="001C2554">
        <w:rPr>
          <w:lang w:val="fr-FR"/>
        </w:rPr>
        <w:t>Pour l</w:t>
      </w:r>
      <w:r w:rsidR="006115E0" w:rsidRPr="001C2554">
        <w:rPr>
          <w:lang w:val="fr-FR"/>
        </w:rPr>
        <w:t>’</w:t>
      </w:r>
      <w:r w:rsidRPr="001C2554">
        <w:rPr>
          <w:lang w:val="fr-FR"/>
        </w:rPr>
        <w:t>avenir, il est reconnu que le développement personnel et professionnel constitue un élément essentiel en matière de gestion des performances et de motivati</w:t>
      </w:r>
      <w:r w:rsidR="001C2554" w:rsidRPr="001C2554">
        <w:rPr>
          <w:lang w:val="fr-FR"/>
        </w:rPr>
        <w:t>on.  Da</w:t>
      </w:r>
      <w:r w:rsidRPr="001C2554">
        <w:rPr>
          <w:lang w:val="fr-FR"/>
        </w:rPr>
        <w:t>ns le même temps, il est devenu évident que l</w:t>
      </w:r>
      <w:r w:rsidR="006115E0" w:rsidRPr="001C2554">
        <w:rPr>
          <w:lang w:val="fr-FR"/>
        </w:rPr>
        <w:t>’</w:t>
      </w:r>
      <w:r w:rsidRPr="001C2554">
        <w:rPr>
          <w:lang w:val="fr-FR"/>
        </w:rPr>
        <w:t>OMPI doit investir dans son capital humain, afin de s</w:t>
      </w:r>
      <w:r w:rsidR="006115E0" w:rsidRPr="001C2554">
        <w:rPr>
          <w:lang w:val="fr-FR"/>
        </w:rPr>
        <w:t>’</w:t>
      </w:r>
      <w:r w:rsidRPr="001C2554">
        <w:rPr>
          <w:lang w:val="fr-FR"/>
        </w:rPr>
        <w:t>assurer que l</w:t>
      </w:r>
      <w:r w:rsidR="006115E0" w:rsidRPr="001C2554">
        <w:rPr>
          <w:lang w:val="fr-FR"/>
        </w:rPr>
        <w:t>’</w:t>
      </w:r>
      <w:r w:rsidRPr="001C2554">
        <w:rPr>
          <w:lang w:val="fr-FR"/>
        </w:rPr>
        <w:t>Organisation dispose des compétences nécessaires pour répondre aux demandes actuelles et futur</w:t>
      </w:r>
      <w:r w:rsidR="001C2554" w:rsidRPr="001C2554">
        <w:rPr>
          <w:lang w:val="fr-FR"/>
        </w:rPr>
        <w:t xml:space="preserve">es.  À </w:t>
      </w:r>
      <w:r w:rsidRPr="001C2554">
        <w:rPr>
          <w:lang w:val="fr-FR"/>
        </w:rPr>
        <w:t>cette fin, le développement et l</w:t>
      </w:r>
      <w:r w:rsidR="006115E0" w:rsidRPr="001C2554">
        <w:rPr>
          <w:lang w:val="fr-FR"/>
        </w:rPr>
        <w:t>’</w:t>
      </w:r>
      <w:r w:rsidRPr="001C2554">
        <w:rPr>
          <w:lang w:val="fr-FR"/>
        </w:rPr>
        <w:t xml:space="preserve">amélioration de la mobilité se sont </w:t>
      </w:r>
      <w:r w:rsidRPr="001C2554">
        <w:rPr>
          <w:lang w:val="fr-FR"/>
        </w:rPr>
        <w:lastRenderedPageBreak/>
        <w:t>révélés être de puissantes initiatives de gestion pour engager du personnel, tout en permettant à la direction d</w:t>
      </w:r>
      <w:r w:rsidR="006115E0" w:rsidRPr="001C2554">
        <w:rPr>
          <w:lang w:val="fr-FR"/>
        </w:rPr>
        <w:t>’</w:t>
      </w:r>
      <w:r w:rsidRPr="001C2554">
        <w:rPr>
          <w:lang w:val="fr-FR"/>
        </w:rPr>
        <w:t>identifier des compétences internes réduisant la nécessité de rechercher constamment des talents à l</w:t>
      </w:r>
      <w:r w:rsidR="006115E0" w:rsidRPr="001C2554">
        <w:rPr>
          <w:lang w:val="fr-FR"/>
        </w:rPr>
        <w:t>’</w:t>
      </w:r>
      <w:r w:rsidRPr="001C2554">
        <w:rPr>
          <w:lang w:val="fr-FR"/>
        </w:rPr>
        <w:t>extérieur – investir en interne au lieu de compter uniquement sur des recrutements extern</w:t>
      </w:r>
      <w:r w:rsidR="001C2554" w:rsidRPr="001C2554">
        <w:rPr>
          <w:lang w:val="fr-FR"/>
        </w:rPr>
        <w:t>es.  De</w:t>
      </w:r>
      <w:r w:rsidRPr="001C2554">
        <w:rPr>
          <w:lang w:val="fr-FR"/>
        </w:rPr>
        <w:t>s progrès significatifs ont été réalisés tout au long de l</w:t>
      </w:r>
      <w:r w:rsidR="006115E0" w:rsidRPr="001C2554">
        <w:rPr>
          <w:lang w:val="fr-FR"/>
        </w:rPr>
        <w:t>’</w:t>
      </w:r>
      <w:r w:rsidRPr="001C2554">
        <w:rPr>
          <w:lang w:val="fr-FR"/>
        </w:rPr>
        <w:t>année afin de recenser des plateformes de gestion des talents et leurs prestations, l</w:t>
      </w:r>
      <w:r w:rsidR="006115E0" w:rsidRPr="001C2554">
        <w:rPr>
          <w:lang w:val="fr-FR"/>
        </w:rPr>
        <w:t>’</w:t>
      </w:r>
      <w:r w:rsidRPr="001C2554">
        <w:rPr>
          <w:lang w:val="fr-FR"/>
        </w:rPr>
        <w:t>idée étant de permettre à l</w:t>
      </w:r>
      <w:r w:rsidR="006115E0" w:rsidRPr="001C2554">
        <w:rPr>
          <w:lang w:val="fr-FR"/>
        </w:rPr>
        <w:t>’</w:t>
      </w:r>
      <w:r w:rsidRPr="001C2554">
        <w:rPr>
          <w:lang w:val="fr-FR"/>
        </w:rPr>
        <w:t>OMPI de lancer un appel à propositions formel dans le courant 2022, en vue d</w:t>
      </w:r>
      <w:r w:rsidR="006115E0" w:rsidRPr="001C2554">
        <w:rPr>
          <w:lang w:val="fr-FR"/>
        </w:rPr>
        <w:t>’</w:t>
      </w:r>
      <w:r w:rsidRPr="001C2554">
        <w:rPr>
          <w:lang w:val="fr-FR"/>
        </w:rPr>
        <w:t xml:space="preserve">un lancement </w:t>
      </w:r>
      <w:r w:rsidR="009A47FE" w:rsidRPr="001C2554">
        <w:rPr>
          <w:lang w:val="fr-FR"/>
        </w:rPr>
        <w:t>en 2023</w:t>
      </w:r>
      <w:r w:rsidRPr="001C2554">
        <w:rPr>
          <w:lang w:val="fr-FR"/>
        </w:rPr>
        <w:t>.  En outre, compte tenu des réactions positives qu</w:t>
      </w:r>
      <w:r w:rsidR="006115E0" w:rsidRPr="001C2554">
        <w:rPr>
          <w:lang w:val="fr-FR"/>
        </w:rPr>
        <w:t>’</w:t>
      </w:r>
      <w:r w:rsidRPr="001C2554">
        <w:rPr>
          <w:lang w:val="fr-FR"/>
        </w:rPr>
        <w:t>il a reçues,</w:t>
      </w:r>
      <w:r w:rsidR="009A47FE" w:rsidRPr="001C2554">
        <w:rPr>
          <w:lang w:val="fr-FR"/>
        </w:rPr>
        <w:t xml:space="preserve"> le DGR</w:t>
      </w:r>
      <w:r w:rsidRPr="001C2554">
        <w:rPr>
          <w:lang w:val="fr-FR"/>
        </w:rPr>
        <w:t>H a étendu son projet pilote permettant aux fonctionnaires titulaires d</w:t>
      </w:r>
      <w:r w:rsidR="006115E0" w:rsidRPr="001C2554">
        <w:rPr>
          <w:lang w:val="fr-FR"/>
        </w:rPr>
        <w:t>’</w:t>
      </w:r>
      <w:r w:rsidRPr="001C2554">
        <w:rPr>
          <w:lang w:val="fr-FR"/>
        </w:rPr>
        <w:t>un contrat de durée déterminée, d</w:t>
      </w:r>
      <w:r w:rsidR="006115E0" w:rsidRPr="001C2554">
        <w:rPr>
          <w:lang w:val="fr-FR"/>
        </w:rPr>
        <w:t>’</w:t>
      </w:r>
      <w:r w:rsidRPr="001C2554">
        <w:rPr>
          <w:lang w:val="fr-FR"/>
        </w:rPr>
        <w:t>un engagement continu ou d</w:t>
      </w:r>
      <w:r w:rsidR="006115E0" w:rsidRPr="001C2554">
        <w:rPr>
          <w:lang w:val="fr-FR"/>
        </w:rPr>
        <w:t>’</w:t>
      </w:r>
      <w:r w:rsidRPr="001C2554">
        <w:rPr>
          <w:lang w:val="fr-FR"/>
        </w:rPr>
        <w:t>un engagement permanent d</w:t>
      </w:r>
      <w:r w:rsidR="006115E0" w:rsidRPr="001C2554">
        <w:rPr>
          <w:lang w:val="fr-FR"/>
        </w:rPr>
        <w:t>’</w:t>
      </w:r>
      <w:r w:rsidRPr="001C2554">
        <w:rPr>
          <w:lang w:val="fr-FR"/>
        </w:rPr>
        <w:t>être temporairement affectés à des postes temporaires et à des postes de projet, tout en conservant leur statut contractuel et les prestations et droits correspondants.</w:t>
      </w:r>
    </w:p>
    <w:p w14:paraId="21784F06" w14:textId="6BB16D2B" w:rsidR="005C5981" w:rsidRPr="001C2554" w:rsidRDefault="005C5981" w:rsidP="00C25DC2">
      <w:pPr>
        <w:pStyle w:val="ONUMFS"/>
        <w:rPr>
          <w:lang w:val="fr-FR"/>
        </w:rPr>
      </w:pPr>
      <w:r w:rsidRPr="001C2554">
        <w:rPr>
          <w:lang w:val="fr-FR"/>
        </w:rPr>
        <w:t>Enfin, un changement important dans la restructuration</w:t>
      </w:r>
      <w:r w:rsidR="009A47FE" w:rsidRPr="001C2554">
        <w:rPr>
          <w:lang w:val="fr-FR"/>
        </w:rPr>
        <w:t xml:space="preserve"> du DGR</w:t>
      </w:r>
      <w:r w:rsidRPr="001C2554">
        <w:rPr>
          <w:lang w:val="fr-FR"/>
        </w:rPr>
        <w:t>H concerne le transfert de la responsabilité de la mise en œuvre et de l</w:t>
      </w:r>
      <w:r w:rsidR="006115E0" w:rsidRPr="001C2554">
        <w:rPr>
          <w:lang w:val="fr-FR"/>
        </w:rPr>
        <w:t>’</w:t>
      </w:r>
      <w:r w:rsidRPr="001C2554">
        <w:rPr>
          <w:lang w:val="fr-FR"/>
        </w:rPr>
        <w:t>exécution des programmes de formation à l</w:t>
      </w:r>
      <w:r w:rsidR="006115E0" w:rsidRPr="001C2554">
        <w:rPr>
          <w:lang w:val="fr-FR"/>
        </w:rPr>
        <w:t>’</w:t>
      </w:r>
      <w:r w:rsidRPr="001C2554">
        <w:rPr>
          <w:lang w:val="fr-FR"/>
        </w:rPr>
        <w:t>Académie de l</w:t>
      </w:r>
      <w:r w:rsidR="006115E0" w:rsidRPr="001C2554">
        <w:rPr>
          <w:lang w:val="fr-FR"/>
        </w:rPr>
        <w:t>’</w:t>
      </w:r>
      <w:r w:rsidRPr="001C2554">
        <w:rPr>
          <w:lang w:val="fr-FR"/>
        </w:rPr>
        <w:t>OMPI.  L</w:t>
      </w:r>
      <w:r w:rsidR="006115E0" w:rsidRPr="001C2554">
        <w:rPr>
          <w:lang w:val="fr-FR"/>
        </w:rPr>
        <w:t>’</w:t>
      </w:r>
      <w:r w:rsidRPr="001C2554">
        <w:rPr>
          <w:lang w:val="fr-FR"/>
        </w:rPr>
        <w:t>objectif principal de ce transfert est que l</w:t>
      </w:r>
      <w:r w:rsidR="006115E0" w:rsidRPr="001C2554">
        <w:rPr>
          <w:lang w:val="fr-FR"/>
        </w:rPr>
        <w:t>’</w:t>
      </w:r>
      <w:r w:rsidRPr="001C2554">
        <w:rPr>
          <w:lang w:val="fr-FR"/>
        </w:rPr>
        <w:t>Académie mette son expertise en matière de renforcement des connaissances et des compétences au service du personnel de l</w:t>
      </w:r>
      <w:r w:rsidR="006115E0" w:rsidRPr="001C2554">
        <w:rPr>
          <w:lang w:val="fr-FR"/>
        </w:rPr>
        <w:t>’</w:t>
      </w:r>
      <w:r w:rsidRPr="001C2554">
        <w:rPr>
          <w:lang w:val="fr-FR"/>
        </w:rPr>
        <w:t>O</w:t>
      </w:r>
      <w:r w:rsidR="001C2554" w:rsidRPr="001C2554">
        <w:rPr>
          <w:lang w:val="fr-FR"/>
        </w:rPr>
        <w:t>MPI.  Af</w:t>
      </w:r>
      <w:r w:rsidRPr="001C2554">
        <w:rPr>
          <w:lang w:val="fr-FR"/>
        </w:rPr>
        <w:t>in de faire en sorte que les programmes de formation soient axés sur les orientations stratégiques, une Équipe d</w:t>
      </w:r>
      <w:r w:rsidR="006115E0" w:rsidRPr="001C2554">
        <w:rPr>
          <w:lang w:val="fr-FR"/>
        </w:rPr>
        <w:t>’</w:t>
      </w:r>
      <w:r w:rsidRPr="001C2554">
        <w:rPr>
          <w:lang w:val="fr-FR"/>
        </w:rPr>
        <w:t>experts chargée de la formation et du perfectionnement professionnel a été créé</w:t>
      </w:r>
      <w:r w:rsidR="00FC110E" w:rsidRPr="001C2554">
        <w:rPr>
          <w:lang w:val="fr-FR"/>
        </w:rPr>
        <w:t>e</w:t>
      </w:r>
      <w:r w:rsidRPr="001C2554">
        <w:rPr>
          <w:lang w:val="fr-FR"/>
        </w:rPr>
        <w:t xml:space="preserve"> pour recommander les changements qu</w:t>
      </w:r>
      <w:r w:rsidR="006115E0" w:rsidRPr="001C2554">
        <w:rPr>
          <w:lang w:val="fr-FR"/>
        </w:rPr>
        <w:t>’</w:t>
      </w:r>
      <w:r w:rsidRPr="001C2554">
        <w:rPr>
          <w:lang w:val="fr-FR"/>
        </w:rPr>
        <w:t>il serait nécessaire d</w:t>
      </w:r>
      <w:r w:rsidR="006115E0" w:rsidRPr="001C2554">
        <w:rPr>
          <w:lang w:val="fr-FR"/>
        </w:rPr>
        <w:t>’</w:t>
      </w:r>
      <w:r w:rsidRPr="001C2554">
        <w:rPr>
          <w:lang w:val="fr-FR"/>
        </w:rPr>
        <w:t>apporter pour améliorer l</w:t>
      </w:r>
      <w:r w:rsidR="006115E0" w:rsidRPr="001C2554">
        <w:rPr>
          <w:lang w:val="fr-FR"/>
        </w:rPr>
        <w:t>’</w:t>
      </w:r>
      <w:r w:rsidRPr="001C2554">
        <w:rPr>
          <w:lang w:val="fr-FR"/>
        </w:rPr>
        <w:t>approche de l</w:t>
      </w:r>
      <w:r w:rsidR="006115E0" w:rsidRPr="001C2554">
        <w:rPr>
          <w:lang w:val="fr-FR"/>
        </w:rPr>
        <w:t>’</w:t>
      </w:r>
      <w:r w:rsidRPr="001C2554">
        <w:rPr>
          <w:lang w:val="fr-FR"/>
        </w:rPr>
        <w:t>OMPI en matière de formation, avec une collaboration entre l</w:t>
      </w:r>
      <w:r w:rsidR="006115E0" w:rsidRPr="001C2554">
        <w:rPr>
          <w:lang w:val="fr-FR"/>
        </w:rPr>
        <w:t>’</w:t>
      </w:r>
      <w:r w:rsidRPr="001C2554">
        <w:rPr>
          <w:lang w:val="fr-FR"/>
        </w:rPr>
        <w:t>Académie de l</w:t>
      </w:r>
      <w:r w:rsidR="006115E0" w:rsidRPr="001C2554">
        <w:rPr>
          <w:lang w:val="fr-FR"/>
        </w:rPr>
        <w:t>’</w:t>
      </w:r>
      <w:r w:rsidRPr="001C2554">
        <w:rPr>
          <w:lang w:val="fr-FR"/>
        </w:rPr>
        <w:t>OMPI et</w:t>
      </w:r>
      <w:r w:rsidR="009A47FE" w:rsidRPr="001C2554">
        <w:rPr>
          <w:lang w:val="fr-FR"/>
        </w:rPr>
        <w:t xml:space="preserve"> le DGR</w:t>
      </w:r>
      <w:r w:rsidRPr="001C2554">
        <w:rPr>
          <w:lang w:val="fr-FR"/>
        </w:rPr>
        <w:t>H pour élaborer un cadre de formation et de perfectionnement professionnel pour l</w:t>
      </w:r>
      <w:r w:rsidR="006115E0" w:rsidRPr="001C2554">
        <w:rPr>
          <w:lang w:val="fr-FR"/>
        </w:rPr>
        <w:t>’</w:t>
      </w:r>
      <w:r w:rsidRPr="001C2554">
        <w:rPr>
          <w:lang w:val="fr-FR"/>
        </w:rPr>
        <w:t>OMPI et en superviser la mise en œuvre.</w:t>
      </w:r>
    </w:p>
    <w:p w14:paraId="23FA8912" w14:textId="77777777" w:rsidR="009A47FE" w:rsidRPr="001C2554" w:rsidRDefault="005C5981" w:rsidP="00B72597">
      <w:pPr>
        <w:pStyle w:val="Heading1"/>
      </w:pPr>
      <w:r w:rsidRPr="001C2554">
        <w:t>La “nouvelle norme”</w:t>
      </w:r>
    </w:p>
    <w:p w14:paraId="4A06480E" w14:textId="4FE28015" w:rsidR="005C5981" w:rsidRPr="001C2554" w:rsidRDefault="005C5981" w:rsidP="00C25DC2">
      <w:pPr>
        <w:pStyle w:val="ONUMFS"/>
        <w:rPr>
          <w:lang w:val="fr-FR"/>
        </w:rPr>
      </w:pPr>
      <w:r w:rsidRPr="001C2554">
        <w:rPr>
          <w:lang w:val="fr-FR"/>
        </w:rPr>
        <w:t>L</w:t>
      </w:r>
      <w:r w:rsidR="006115E0" w:rsidRPr="001C2554">
        <w:rPr>
          <w:lang w:val="fr-FR"/>
        </w:rPr>
        <w:t>’</w:t>
      </w:r>
      <w:r w:rsidRPr="001C2554">
        <w:rPr>
          <w:lang w:val="fr-FR"/>
        </w:rPr>
        <w:t xml:space="preserve">apparition de la pandémie </w:t>
      </w:r>
      <w:r w:rsidR="009A47FE" w:rsidRPr="001C2554">
        <w:rPr>
          <w:lang w:val="fr-FR"/>
        </w:rPr>
        <w:t>en 2020</w:t>
      </w:r>
      <w:r w:rsidRPr="001C2554">
        <w:rPr>
          <w:lang w:val="fr-FR"/>
        </w:rPr>
        <w:t xml:space="preserve"> a entraîné une nouvelle série de défis pour</w:t>
      </w:r>
      <w:r w:rsidR="009A47FE" w:rsidRPr="001C2554">
        <w:rPr>
          <w:lang w:val="fr-FR"/>
        </w:rPr>
        <w:t xml:space="preserve"> le DGR</w:t>
      </w:r>
      <w:r w:rsidRPr="001C2554">
        <w:rPr>
          <w:lang w:val="fr-FR"/>
        </w:rPr>
        <w:t>H, compte tenu de ses effets sur les aspects psychosociaux et la santé mentale du personn</w:t>
      </w:r>
      <w:r w:rsidR="001C2554" w:rsidRPr="001C2554">
        <w:rPr>
          <w:lang w:val="fr-FR"/>
        </w:rPr>
        <w:t>el.  To</w:t>
      </w:r>
      <w:r w:rsidRPr="001C2554">
        <w:rPr>
          <w:lang w:val="fr-FR"/>
        </w:rPr>
        <w:t>ut au long de cette période,</w:t>
      </w:r>
      <w:r w:rsidR="009A47FE" w:rsidRPr="001C2554">
        <w:rPr>
          <w:lang w:val="fr-FR"/>
        </w:rPr>
        <w:t xml:space="preserve"> le DGR</w:t>
      </w:r>
      <w:r w:rsidRPr="001C2554">
        <w:rPr>
          <w:lang w:val="fr-FR"/>
        </w:rPr>
        <w:t xml:space="preserve">H a joué un rôle clé dans la gestion de crise, le télétravail, la gestion des risques, le redéploiement des effectifs, </w:t>
      </w:r>
      <w:r w:rsidR="00741CD4" w:rsidRPr="001C2554">
        <w:rPr>
          <w:lang w:val="fr-FR"/>
        </w:rPr>
        <w:t xml:space="preserve">ainsi que </w:t>
      </w:r>
      <w:r w:rsidRPr="001C2554">
        <w:rPr>
          <w:lang w:val="fr-FR"/>
        </w:rPr>
        <w:t>la sécurité et le bien</w:t>
      </w:r>
      <w:r w:rsidR="00687F84">
        <w:rPr>
          <w:lang w:val="fr-FR"/>
        </w:rPr>
        <w:noBreakHyphen/>
      </w:r>
      <w:r w:rsidRPr="001C2554">
        <w:rPr>
          <w:lang w:val="fr-FR"/>
        </w:rPr>
        <w:t>être.</w:t>
      </w:r>
    </w:p>
    <w:p w14:paraId="6E0728DC" w14:textId="426F4122" w:rsidR="005C5981" w:rsidRPr="001C2554" w:rsidRDefault="005C5981" w:rsidP="00C33511">
      <w:pPr>
        <w:pStyle w:val="Heading3"/>
      </w:pPr>
      <w:r w:rsidRPr="001C2554">
        <w:t>Santé, bien</w:t>
      </w:r>
      <w:r w:rsidR="00687F84">
        <w:noBreakHyphen/>
      </w:r>
      <w:r w:rsidRPr="001C2554">
        <w:t>être et équilibre entre vie professionnelle et vie privée</w:t>
      </w:r>
    </w:p>
    <w:p w14:paraId="1D27741C" w14:textId="3232AB27" w:rsidR="009A47FE" w:rsidRPr="001C2554" w:rsidRDefault="005C5981" w:rsidP="00C25DC2">
      <w:pPr>
        <w:pStyle w:val="ONUMFS"/>
        <w:rPr>
          <w:lang w:val="fr-FR"/>
        </w:rPr>
      </w:pPr>
      <w:r w:rsidRPr="001C2554">
        <w:rPr>
          <w:lang w:val="fr-FR"/>
        </w:rPr>
        <w:t>La santé mentale et le bien</w:t>
      </w:r>
      <w:r w:rsidR="00687F84">
        <w:rPr>
          <w:lang w:val="fr-FR"/>
        </w:rPr>
        <w:noBreakHyphen/>
      </w:r>
      <w:r w:rsidRPr="001C2554">
        <w:rPr>
          <w:lang w:val="fr-FR"/>
        </w:rPr>
        <w:t>être du personnel ont toujours été de la plus haute importance à l</w:t>
      </w:r>
      <w:r w:rsidR="006115E0" w:rsidRPr="001C2554">
        <w:rPr>
          <w:lang w:val="fr-FR"/>
        </w:rPr>
        <w:t>’</w:t>
      </w:r>
      <w:r w:rsidRPr="001C2554">
        <w:rPr>
          <w:lang w:val="fr-FR"/>
        </w:rPr>
        <w:t>OMPI, et la pandémie a accéléré la réévaluation des pratiques de travail de l</w:t>
      </w:r>
      <w:r w:rsidR="006115E0" w:rsidRPr="001C2554">
        <w:rPr>
          <w:lang w:val="fr-FR"/>
        </w:rPr>
        <w:t>’</w:t>
      </w:r>
      <w:r w:rsidRPr="001C2554">
        <w:rPr>
          <w:lang w:val="fr-FR"/>
        </w:rPr>
        <w:t>O</w:t>
      </w:r>
      <w:r w:rsidR="001C2554" w:rsidRPr="001C2554">
        <w:rPr>
          <w:lang w:val="fr-FR"/>
        </w:rPr>
        <w:t>MPI.  Il</w:t>
      </w:r>
      <w:r w:rsidRPr="001C2554">
        <w:rPr>
          <w:lang w:val="fr-FR"/>
        </w:rPr>
        <w:t xml:space="preserve"> ne fait aucun doute que les </w:t>
      </w:r>
      <w:r w:rsidR="00FD1A59" w:rsidRPr="001C2554">
        <w:rPr>
          <w:lang w:val="fr-FR"/>
        </w:rPr>
        <w:t>quelques</w:t>
      </w:r>
      <w:r w:rsidR="00D962C9" w:rsidRPr="001C2554">
        <w:rPr>
          <w:lang w:val="fr-FR"/>
        </w:rPr>
        <w:t> </w:t>
      </w:r>
      <w:r w:rsidRPr="001C2554">
        <w:rPr>
          <w:lang w:val="fr-FR"/>
        </w:rPr>
        <w:t>années écoulées ont renouvelé l</w:t>
      </w:r>
      <w:r w:rsidR="006115E0" w:rsidRPr="001C2554">
        <w:rPr>
          <w:lang w:val="fr-FR"/>
        </w:rPr>
        <w:t>’</w:t>
      </w:r>
      <w:r w:rsidRPr="001C2554">
        <w:rPr>
          <w:lang w:val="fr-FR"/>
        </w:rPr>
        <w:t>occasion de faire des modalités d</w:t>
      </w:r>
      <w:r w:rsidR="006115E0" w:rsidRPr="001C2554">
        <w:rPr>
          <w:lang w:val="fr-FR"/>
        </w:rPr>
        <w:t>’</w:t>
      </w:r>
      <w:r w:rsidRPr="001C2554">
        <w:rPr>
          <w:lang w:val="fr-FR"/>
        </w:rPr>
        <w:t xml:space="preserve">aménagement du temps de travail une pratique plus </w:t>
      </w:r>
      <w:r w:rsidR="00CF0AC2" w:rsidRPr="001C2554">
        <w:rPr>
          <w:lang w:val="fr-FR"/>
        </w:rPr>
        <w:t>normalisée</w:t>
      </w:r>
      <w:r w:rsidRPr="001C2554">
        <w:rPr>
          <w:lang w:val="fr-FR"/>
        </w:rPr>
        <w:t>, afin d</w:t>
      </w:r>
      <w:r w:rsidR="006115E0" w:rsidRPr="001C2554">
        <w:rPr>
          <w:lang w:val="fr-FR"/>
        </w:rPr>
        <w:t>’</w:t>
      </w:r>
      <w:r w:rsidRPr="001C2554">
        <w:rPr>
          <w:lang w:val="fr-FR"/>
        </w:rPr>
        <w:t>améliorer l</w:t>
      </w:r>
      <w:r w:rsidR="006115E0" w:rsidRPr="001C2554">
        <w:rPr>
          <w:lang w:val="fr-FR"/>
        </w:rPr>
        <w:t>’</w:t>
      </w:r>
      <w:r w:rsidRPr="001C2554">
        <w:rPr>
          <w:lang w:val="fr-FR"/>
        </w:rPr>
        <w:t>équilibre entre vie professionnelle et vie priv</w:t>
      </w:r>
      <w:r w:rsidR="001C2554" w:rsidRPr="001C2554">
        <w:rPr>
          <w:lang w:val="fr-FR"/>
        </w:rPr>
        <w:t>ée.  Le</w:t>
      </w:r>
      <w:r w:rsidRPr="001C2554">
        <w:rPr>
          <w:lang w:val="fr-FR"/>
        </w:rPr>
        <w:t xml:space="preserve"> plus remarquable, peut</w:t>
      </w:r>
      <w:r w:rsidR="00687F84">
        <w:rPr>
          <w:lang w:val="fr-FR"/>
        </w:rPr>
        <w:noBreakHyphen/>
      </w:r>
      <w:r w:rsidRPr="001C2554">
        <w:rPr>
          <w:lang w:val="fr-FR"/>
        </w:rPr>
        <w:t>être, est que les aménagements du temps de travail sont considérés non plus comme un “plus”, mais comme un aspect essentiel de la vie professionnelle.</w:t>
      </w:r>
    </w:p>
    <w:p w14:paraId="13D578BC" w14:textId="0E88624C" w:rsidR="005C5981" w:rsidRPr="001C2554" w:rsidRDefault="005C5981" w:rsidP="00C25DC2">
      <w:pPr>
        <w:pStyle w:val="ONUMFS"/>
        <w:rPr>
          <w:lang w:val="fr-FR"/>
        </w:rPr>
      </w:pPr>
      <w:r w:rsidRPr="001C2554">
        <w:rPr>
          <w:lang w:val="fr-FR"/>
        </w:rPr>
        <w:t>Le DGRH a joué un rôle déterminant dans le développement de cette nouvelle approche visant à favoriser l</w:t>
      </w:r>
      <w:r w:rsidR="006115E0" w:rsidRPr="001C2554">
        <w:rPr>
          <w:lang w:val="fr-FR"/>
        </w:rPr>
        <w:t>’</w:t>
      </w:r>
      <w:r w:rsidRPr="001C2554">
        <w:rPr>
          <w:lang w:val="fr-FR"/>
        </w:rPr>
        <w:t>équilibre entre vie professionnelle et vie privée, en réalisant notamment qu</w:t>
      </w:r>
      <w:r w:rsidR="006115E0" w:rsidRPr="001C2554">
        <w:rPr>
          <w:lang w:val="fr-FR"/>
        </w:rPr>
        <w:t>’</w:t>
      </w:r>
      <w:r w:rsidRPr="001C2554">
        <w:rPr>
          <w:lang w:val="fr-FR"/>
        </w:rPr>
        <w:t>il était crucial pour l</w:t>
      </w:r>
      <w:r w:rsidR="006115E0" w:rsidRPr="001C2554">
        <w:rPr>
          <w:lang w:val="fr-FR"/>
        </w:rPr>
        <w:t>’</w:t>
      </w:r>
      <w:r w:rsidRPr="001C2554">
        <w:rPr>
          <w:lang w:val="fr-FR"/>
        </w:rPr>
        <w:t>Organisation de faire preuve de souplesse à cet égard, ce qui contribue à faire de l</w:t>
      </w:r>
      <w:r w:rsidR="006115E0" w:rsidRPr="001C2554">
        <w:rPr>
          <w:lang w:val="fr-FR"/>
        </w:rPr>
        <w:t>’</w:t>
      </w:r>
      <w:r w:rsidRPr="001C2554">
        <w:rPr>
          <w:lang w:val="fr-FR"/>
        </w:rPr>
        <w:t>OMPI un employeur de cho</w:t>
      </w:r>
      <w:r w:rsidR="001C2554" w:rsidRPr="001C2554">
        <w:rPr>
          <w:lang w:val="fr-FR"/>
        </w:rPr>
        <w:t>ix.  Da</w:t>
      </w:r>
      <w:r w:rsidRPr="001C2554">
        <w:rPr>
          <w:lang w:val="fr-FR"/>
        </w:rPr>
        <w:t>ns ce contexte</w:t>
      </w:r>
      <w:r w:rsidR="006115E0" w:rsidRPr="001C2554">
        <w:rPr>
          <w:lang w:val="fr-FR"/>
        </w:rPr>
        <w:t> :</w:t>
      </w:r>
    </w:p>
    <w:p w14:paraId="4258AA2C" w14:textId="1DB2B241" w:rsidR="005C5981" w:rsidRPr="001C2554" w:rsidRDefault="005C5981" w:rsidP="00C25DC2">
      <w:pPr>
        <w:pStyle w:val="ONUMFS"/>
        <w:numPr>
          <w:ilvl w:val="0"/>
          <w:numId w:val="26"/>
        </w:numPr>
        <w:ind w:left="1134" w:hanging="567"/>
        <w:rPr>
          <w:lang w:val="fr-FR"/>
        </w:rPr>
      </w:pPr>
      <w:proofErr w:type="gramStart"/>
      <w:r w:rsidRPr="001C2554">
        <w:rPr>
          <w:lang w:val="fr-FR"/>
        </w:rPr>
        <w:t>la</w:t>
      </w:r>
      <w:proofErr w:type="gramEnd"/>
      <w:r w:rsidRPr="001C2554">
        <w:rPr>
          <w:lang w:val="fr-FR"/>
        </w:rPr>
        <w:t xml:space="preserve"> nouvelle politique de l</w:t>
      </w:r>
      <w:r w:rsidR="006115E0" w:rsidRPr="001C2554">
        <w:rPr>
          <w:lang w:val="fr-FR"/>
        </w:rPr>
        <w:t>’</w:t>
      </w:r>
      <w:r w:rsidRPr="001C2554">
        <w:rPr>
          <w:lang w:val="fr-FR"/>
        </w:rPr>
        <w:t>OMPI concernant la durée du travail et les modalités d</w:t>
      </w:r>
      <w:r w:rsidR="006115E0" w:rsidRPr="001C2554">
        <w:rPr>
          <w:lang w:val="fr-FR"/>
        </w:rPr>
        <w:t>’</w:t>
      </w:r>
      <w:r w:rsidRPr="001C2554">
        <w:rPr>
          <w:lang w:val="fr-FR"/>
        </w:rPr>
        <w:t>aménagement du temps de travail a été publiée en octobre 2021 et est entrée en vigueur en janvier 2022.  Elle a introduit le télétravail en tant que modalité d</w:t>
      </w:r>
      <w:r w:rsidR="006115E0" w:rsidRPr="001C2554">
        <w:rPr>
          <w:lang w:val="fr-FR"/>
        </w:rPr>
        <w:t>’</w:t>
      </w:r>
      <w:r w:rsidRPr="001C2554">
        <w:rPr>
          <w:lang w:val="fr-FR"/>
        </w:rPr>
        <w:t>aménagement du temps de travail, en s</w:t>
      </w:r>
      <w:r w:rsidR="006115E0" w:rsidRPr="001C2554">
        <w:rPr>
          <w:lang w:val="fr-FR"/>
        </w:rPr>
        <w:t>’</w:t>
      </w:r>
      <w:r w:rsidRPr="001C2554">
        <w:rPr>
          <w:lang w:val="fr-FR"/>
        </w:rPr>
        <w:t>appuyant sur les enseignements tirés de la pandémie de COVID</w:t>
      </w:r>
      <w:r w:rsidR="00687F84">
        <w:rPr>
          <w:lang w:val="fr-FR"/>
        </w:rPr>
        <w:noBreakHyphen/>
      </w:r>
      <w:r w:rsidRPr="001C2554">
        <w:rPr>
          <w:lang w:val="fr-FR"/>
        </w:rPr>
        <w:t>19.  Si les besoins opérationnels sont prioritaires, les modifications apportées donneront aux fonctionnaires davantage de flexibilité pour organiser leur travail et gérer leur horaire de travail en fonction de leurs préférences et besoins personnels, favorisant ainsi l</w:t>
      </w:r>
      <w:r w:rsidR="006115E0" w:rsidRPr="001C2554">
        <w:rPr>
          <w:lang w:val="fr-FR"/>
        </w:rPr>
        <w:t>’</w:t>
      </w:r>
      <w:r w:rsidRPr="001C2554">
        <w:rPr>
          <w:lang w:val="fr-FR"/>
        </w:rPr>
        <w:t xml:space="preserve">équilibre entre vie professionnelle et vie </w:t>
      </w:r>
      <w:r w:rsidRPr="001C2554">
        <w:rPr>
          <w:lang w:val="fr-FR"/>
        </w:rPr>
        <w:lastRenderedPageBreak/>
        <w:t>priv</w:t>
      </w:r>
      <w:r w:rsidR="001C2554" w:rsidRPr="001C2554">
        <w:rPr>
          <w:lang w:val="fr-FR"/>
        </w:rPr>
        <w:t>ée.  Ce</w:t>
      </w:r>
      <w:r w:rsidRPr="001C2554">
        <w:rPr>
          <w:lang w:val="fr-FR"/>
        </w:rPr>
        <w:t xml:space="preserve">s modifications donneront également aux supérieurs hiérarchiques plus de latitude pour gérer les modalités de travail de leur équipe en fonction </w:t>
      </w:r>
      <w:r w:rsidR="00CF0AC2" w:rsidRPr="001C2554">
        <w:rPr>
          <w:lang w:val="fr-FR"/>
        </w:rPr>
        <w:t>des besoins de l</w:t>
      </w:r>
      <w:r w:rsidR="006115E0" w:rsidRPr="001C2554">
        <w:rPr>
          <w:lang w:val="fr-FR"/>
        </w:rPr>
        <w:t>’</w:t>
      </w:r>
      <w:r w:rsidR="00CF0AC2" w:rsidRPr="001C2554">
        <w:rPr>
          <w:lang w:val="fr-FR"/>
        </w:rPr>
        <w:t xml:space="preserve">Organisation et </w:t>
      </w:r>
      <w:r w:rsidRPr="001C2554">
        <w:rPr>
          <w:lang w:val="fr-FR"/>
        </w:rPr>
        <w:t>des besoins individuels.</w:t>
      </w:r>
    </w:p>
    <w:p w14:paraId="151030B6" w14:textId="41D4E3C5" w:rsidR="005C5981" w:rsidRPr="001C2554" w:rsidRDefault="005C5981" w:rsidP="00C25DC2">
      <w:pPr>
        <w:pStyle w:val="ONUMFS"/>
        <w:numPr>
          <w:ilvl w:val="0"/>
          <w:numId w:val="26"/>
        </w:numPr>
        <w:ind w:left="1134" w:hanging="567"/>
        <w:rPr>
          <w:lang w:val="fr-FR"/>
        </w:rPr>
      </w:pPr>
      <w:r w:rsidRPr="001C2554">
        <w:rPr>
          <w:lang w:val="fr-FR"/>
        </w:rPr>
        <w:t>Des changements importants ont également été apportés à la politique relative au congé parental, dans l</w:t>
      </w:r>
      <w:r w:rsidR="006115E0" w:rsidRPr="001C2554">
        <w:rPr>
          <w:lang w:val="fr-FR"/>
        </w:rPr>
        <w:t>’</w:t>
      </w:r>
      <w:r w:rsidRPr="001C2554">
        <w:rPr>
          <w:lang w:val="fr-FR"/>
        </w:rPr>
        <w:t>intérêt du personnel et de l</w:t>
      </w:r>
      <w:r w:rsidR="006115E0" w:rsidRPr="001C2554">
        <w:rPr>
          <w:lang w:val="fr-FR"/>
        </w:rPr>
        <w:t>’</w:t>
      </w:r>
      <w:r w:rsidRPr="001C2554">
        <w:rPr>
          <w:lang w:val="fr-FR"/>
        </w:rPr>
        <w:t>équilibre entre vie professionnelle et vie priv</w:t>
      </w:r>
      <w:r w:rsidR="001C2554" w:rsidRPr="001C2554">
        <w:rPr>
          <w:lang w:val="fr-FR"/>
        </w:rPr>
        <w:t>ée.  Le</w:t>
      </w:r>
      <w:r w:rsidRPr="001C2554">
        <w:rPr>
          <w:lang w:val="fr-FR"/>
        </w:rPr>
        <w:t>s changements visent en outre à promouvoir l</w:t>
      </w:r>
      <w:r w:rsidR="006115E0" w:rsidRPr="001C2554">
        <w:rPr>
          <w:lang w:val="fr-FR"/>
        </w:rPr>
        <w:t>’</w:t>
      </w:r>
      <w:r w:rsidRPr="001C2554">
        <w:rPr>
          <w:lang w:val="fr-FR"/>
        </w:rPr>
        <w:t>égalité entre les sexes et l</w:t>
      </w:r>
      <w:r w:rsidR="006115E0" w:rsidRPr="001C2554">
        <w:rPr>
          <w:lang w:val="fr-FR"/>
        </w:rPr>
        <w:t>’</w:t>
      </w:r>
      <w:r w:rsidRPr="001C2554">
        <w:rPr>
          <w:lang w:val="fr-FR"/>
        </w:rPr>
        <w:t>inclusion, notamment en reconnaissant que tous les parents ont des responsabilités en matière de soins et que ces responsabilités doivent être partagées à égalité entre les paren</w:t>
      </w:r>
      <w:r w:rsidR="001C2554" w:rsidRPr="001C2554">
        <w:rPr>
          <w:lang w:val="fr-FR"/>
        </w:rPr>
        <w:t xml:space="preserve">ts.  À </w:t>
      </w:r>
      <w:r w:rsidRPr="001C2554">
        <w:rPr>
          <w:lang w:val="fr-FR"/>
        </w:rPr>
        <w:t xml:space="preserve">cette fin, le nombre de jours de congé a été augmenté pour la plupart des catégories de </w:t>
      </w:r>
      <w:r w:rsidR="007758D2" w:rsidRPr="001C2554">
        <w:rPr>
          <w:lang w:val="fr-FR"/>
        </w:rPr>
        <w:t>nomination</w:t>
      </w:r>
      <w:r w:rsidRPr="001C2554">
        <w:rPr>
          <w:lang w:val="fr-FR"/>
        </w:rPr>
        <w:t xml:space="preserve"> et de</w:t>
      </w:r>
      <w:r w:rsidR="00202BC6" w:rsidRPr="001C2554">
        <w:rPr>
          <w:lang w:val="fr-FR"/>
        </w:rPr>
        <w:t>s</w:t>
      </w:r>
      <w:r w:rsidRPr="001C2554">
        <w:rPr>
          <w:lang w:val="fr-FR"/>
        </w:rPr>
        <w:t xml:space="preserve"> </w:t>
      </w:r>
      <w:r w:rsidR="00202BC6" w:rsidRPr="001C2554">
        <w:rPr>
          <w:lang w:val="fr-FR"/>
        </w:rPr>
        <w:t xml:space="preserve">types de liens de </w:t>
      </w:r>
      <w:r w:rsidRPr="001C2554">
        <w:rPr>
          <w:lang w:val="fr-FR"/>
        </w:rPr>
        <w:t>parent</w:t>
      </w:r>
      <w:r w:rsidR="00202BC6" w:rsidRPr="001C2554">
        <w:rPr>
          <w:lang w:val="fr-FR"/>
        </w:rPr>
        <w:t>é</w:t>
      </w:r>
      <w:r w:rsidRPr="001C2554">
        <w:rPr>
          <w:lang w:val="fr-FR"/>
        </w:rPr>
        <w:t>, et une plus grande marge de manœuvre a été accordée pour l</w:t>
      </w:r>
      <w:r w:rsidR="006115E0" w:rsidRPr="001C2554">
        <w:rPr>
          <w:lang w:val="fr-FR"/>
        </w:rPr>
        <w:t>’</w:t>
      </w:r>
      <w:r w:rsidRPr="001C2554">
        <w:rPr>
          <w:lang w:val="fr-FR"/>
        </w:rPr>
        <w:t>utilisation de ces droits.</w:t>
      </w:r>
    </w:p>
    <w:p w14:paraId="33C4E967" w14:textId="7823FCFC" w:rsidR="005C5981" w:rsidRPr="001C2554" w:rsidRDefault="005C5981" w:rsidP="00C25DC2">
      <w:pPr>
        <w:pStyle w:val="ONUMFS"/>
        <w:numPr>
          <w:ilvl w:val="0"/>
          <w:numId w:val="26"/>
        </w:numPr>
        <w:ind w:left="1134" w:hanging="567"/>
        <w:rPr>
          <w:lang w:val="fr-FR"/>
        </w:rPr>
      </w:pPr>
      <w:r w:rsidRPr="001C2554">
        <w:rPr>
          <w:lang w:val="fr-FR"/>
        </w:rPr>
        <w:t>Pour la première fois, une politique à l</w:t>
      </w:r>
      <w:r w:rsidR="006115E0" w:rsidRPr="001C2554">
        <w:rPr>
          <w:lang w:val="fr-FR"/>
        </w:rPr>
        <w:t>’</w:t>
      </w:r>
      <w:r w:rsidRPr="001C2554">
        <w:rPr>
          <w:lang w:val="fr-FR"/>
        </w:rPr>
        <w:t>échelle de l</w:t>
      </w:r>
      <w:r w:rsidR="006115E0" w:rsidRPr="001C2554">
        <w:rPr>
          <w:lang w:val="fr-FR"/>
        </w:rPr>
        <w:t>’</w:t>
      </w:r>
      <w:r w:rsidRPr="001C2554">
        <w:rPr>
          <w:lang w:val="fr-FR"/>
        </w:rPr>
        <w:t>Organisation a été élaborée sur les modalités d</w:t>
      </w:r>
      <w:r w:rsidR="006115E0" w:rsidRPr="001C2554">
        <w:rPr>
          <w:lang w:val="fr-FR"/>
        </w:rPr>
        <w:t>’</w:t>
      </w:r>
      <w:r w:rsidRPr="001C2554">
        <w:rPr>
          <w:lang w:val="fr-FR"/>
        </w:rPr>
        <w:t>octroi du congé de compensation aux administrateurs et fonctionnaires assimilés qui ont été requis d</w:t>
      </w:r>
      <w:r w:rsidR="006115E0" w:rsidRPr="001C2554">
        <w:rPr>
          <w:lang w:val="fr-FR"/>
        </w:rPr>
        <w:t>’</w:t>
      </w:r>
      <w:r w:rsidRPr="001C2554">
        <w:rPr>
          <w:lang w:val="fr-FR"/>
        </w:rPr>
        <w:t>effectuer des heures supplémentaires nombreuses ou fréquent</w:t>
      </w:r>
      <w:r w:rsidR="001C2554" w:rsidRPr="001C2554">
        <w:rPr>
          <w:lang w:val="fr-FR"/>
        </w:rPr>
        <w:t>es.  La</w:t>
      </w:r>
      <w:r w:rsidRPr="001C2554">
        <w:rPr>
          <w:lang w:val="fr-FR"/>
        </w:rPr>
        <w:t xml:space="preserve"> nouvelle politique jette les bases nécessaires pour qu</w:t>
      </w:r>
      <w:r w:rsidR="006115E0" w:rsidRPr="001C2554">
        <w:rPr>
          <w:lang w:val="fr-FR"/>
        </w:rPr>
        <w:t>’</w:t>
      </w:r>
      <w:r w:rsidRPr="001C2554">
        <w:rPr>
          <w:lang w:val="fr-FR"/>
        </w:rPr>
        <w:t>un congé de compensation soit accordé à ces catégories de personnel d</w:t>
      </w:r>
      <w:r w:rsidR="006115E0" w:rsidRPr="001C2554">
        <w:rPr>
          <w:lang w:val="fr-FR"/>
        </w:rPr>
        <w:t>’</w:t>
      </w:r>
      <w:r w:rsidRPr="001C2554">
        <w:rPr>
          <w:lang w:val="fr-FR"/>
        </w:rPr>
        <w:t>une manière équitable, transparente et uniforme.</w:t>
      </w:r>
    </w:p>
    <w:p w14:paraId="013B2987" w14:textId="689A73D9" w:rsidR="005C5981" w:rsidRPr="001C2554" w:rsidRDefault="005C5981" w:rsidP="00C25DC2">
      <w:pPr>
        <w:pStyle w:val="ONUMFS"/>
        <w:rPr>
          <w:lang w:val="fr-FR"/>
        </w:rPr>
      </w:pPr>
      <w:r w:rsidRPr="001C2554">
        <w:rPr>
          <w:lang w:val="fr-FR"/>
        </w:rPr>
        <w:t>En outre,</w:t>
      </w:r>
      <w:r w:rsidR="009A47FE" w:rsidRPr="001C2554">
        <w:rPr>
          <w:lang w:val="fr-FR"/>
        </w:rPr>
        <w:t xml:space="preserve"> le DGR</w:t>
      </w:r>
      <w:r w:rsidRPr="001C2554">
        <w:rPr>
          <w:lang w:val="fr-FR"/>
        </w:rPr>
        <w:t>H, en coordination avec l</w:t>
      </w:r>
      <w:r w:rsidR="006115E0" w:rsidRPr="001C2554">
        <w:rPr>
          <w:lang w:val="fr-FR"/>
        </w:rPr>
        <w:t>’</w:t>
      </w:r>
      <w:r w:rsidRPr="001C2554">
        <w:rPr>
          <w:lang w:val="fr-FR"/>
        </w:rPr>
        <w:t>Unité médicale et la conseillère du personnel, a dispensé des conseils concrets et apporté un large soutien au personn</w:t>
      </w:r>
      <w:r w:rsidR="001C2554" w:rsidRPr="001C2554">
        <w:rPr>
          <w:lang w:val="fr-FR"/>
        </w:rPr>
        <w:t>el.  De</w:t>
      </w:r>
      <w:r w:rsidRPr="001C2554">
        <w:rPr>
          <w:lang w:val="fr-FR"/>
        </w:rPr>
        <w:t>s recommandations et des conseils en matière de santé mentale à l</w:t>
      </w:r>
      <w:r w:rsidR="006115E0" w:rsidRPr="001C2554">
        <w:rPr>
          <w:lang w:val="fr-FR"/>
        </w:rPr>
        <w:t>’</w:t>
      </w:r>
      <w:r w:rsidRPr="001C2554">
        <w:rPr>
          <w:lang w:val="fr-FR"/>
        </w:rPr>
        <w:t>intention du personnel ont été élaborés dans le but de renforcer la résilience individuelle et collecti</w:t>
      </w:r>
      <w:r w:rsidR="001C2554" w:rsidRPr="001C2554">
        <w:rPr>
          <w:lang w:val="fr-FR"/>
        </w:rPr>
        <w:t>ve.  En</w:t>
      </w:r>
      <w:r w:rsidR="009A47FE" w:rsidRPr="001C2554">
        <w:rPr>
          <w:lang w:val="fr-FR"/>
        </w:rPr>
        <w:t> 2021</w:t>
      </w:r>
      <w:r w:rsidRPr="001C2554">
        <w:rPr>
          <w:lang w:val="fr-FR"/>
        </w:rPr>
        <w:t>, l</w:t>
      </w:r>
      <w:r w:rsidR="006115E0" w:rsidRPr="001C2554">
        <w:rPr>
          <w:lang w:val="fr-FR"/>
        </w:rPr>
        <w:t>’</w:t>
      </w:r>
      <w:r w:rsidRPr="001C2554">
        <w:rPr>
          <w:lang w:val="fr-FR"/>
        </w:rPr>
        <w:t>OMPI a participé à l</w:t>
      </w:r>
      <w:r w:rsidR="006115E0" w:rsidRPr="001C2554">
        <w:rPr>
          <w:lang w:val="fr-FR"/>
        </w:rPr>
        <w:t>’</w:t>
      </w:r>
      <w:r w:rsidRPr="001C2554">
        <w:rPr>
          <w:lang w:val="fr-FR"/>
        </w:rPr>
        <w:t>Enquête du groupe de travail sur le renseignement sanitaire de l</w:t>
      </w:r>
      <w:r w:rsidR="006115E0" w:rsidRPr="001C2554">
        <w:rPr>
          <w:lang w:val="fr-FR"/>
        </w:rPr>
        <w:t>’</w:t>
      </w:r>
      <w:r w:rsidRPr="001C2554">
        <w:rPr>
          <w:lang w:val="fr-FR"/>
        </w:rPr>
        <w:t>ONU concernant la santé et le bien</w:t>
      </w:r>
      <w:r w:rsidR="00687F84">
        <w:rPr>
          <w:lang w:val="fr-FR"/>
        </w:rPr>
        <w:noBreakHyphen/>
      </w:r>
      <w:r w:rsidRPr="001C2554">
        <w:rPr>
          <w:lang w:val="fr-FR"/>
        </w:rPr>
        <w:t>être, à laquelle ont contribué 2</w:t>
      </w:r>
      <w:r w:rsidR="00202BC6" w:rsidRPr="001C2554">
        <w:rPr>
          <w:lang w:val="fr-FR"/>
        </w:rPr>
        <w:t>4</w:t>
      </w:r>
      <w:r w:rsidRPr="001C2554">
        <w:rPr>
          <w:lang w:val="fr-FR"/>
        </w:rPr>
        <w:t xml:space="preserve"> organisations du système des </w:t>
      </w:r>
      <w:r w:rsidR="006115E0" w:rsidRPr="001C2554">
        <w:rPr>
          <w:lang w:val="fr-FR"/>
        </w:rPr>
        <w:t>Nations Unies</w:t>
      </w:r>
      <w:r w:rsidR="00202BC6" w:rsidRPr="001C2554">
        <w:rPr>
          <w:lang w:val="fr-FR"/>
        </w:rPr>
        <w:t>, dont l</w:t>
      </w:r>
      <w:r w:rsidR="006115E0" w:rsidRPr="001C2554">
        <w:rPr>
          <w:lang w:val="fr-FR"/>
        </w:rPr>
        <w:t>’</w:t>
      </w:r>
      <w:r w:rsidR="00202BC6" w:rsidRPr="001C2554">
        <w:rPr>
          <w:lang w:val="fr-FR"/>
        </w:rPr>
        <w:t>O</w:t>
      </w:r>
      <w:r w:rsidR="001C2554" w:rsidRPr="001C2554">
        <w:rPr>
          <w:lang w:val="fr-FR"/>
        </w:rPr>
        <w:t>MPI.  Le</w:t>
      </w:r>
      <w:r w:rsidRPr="001C2554">
        <w:rPr>
          <w:lang w:val="fr-FR"/>
        </w:rPr>
        <w:t xml:space="preserve"> taux de réponse a été élevé au sein de l</w:t>
      </w:r>
      <w:r w:rsidR="006115E0" w:rsidRPr="001C2554">
        <w:rPr>
          <w:lang w:val="fr-FR"/>
        </w:rPr>
        <w:t>’</w:t>
      </w:r>
      <w:r w:rsidRPr="001C2554">
        <w:rPr>
          <w:lang w:val="fr-FR"/>
        </w:rPr>
        <w:t>Organisation (37%).  L</w:t>
      </w:r>
      <w:r w:rsidR="006115E0" w:rsidRPr="001C2554">
        <w:rPr>
          <w:lang w:val="fr-FR"/>
        </w:rPr>
        <w:t>’</w:t>
      </w:r>
      <w:r w:rsidRPr="001C2554">
        <w:rPr>
          <w:lang w:val="fr-FR"/>
        </w:rPr>
        <w:t>enquête a permis d</w:t>
      </w:r>
      <w:r w:rsidR="006115E0" w:rsidRPr="001C2554">
        <w:rPr>
          <w:lang w:val="fr-FR"/>
        </w:rPr>
        <w:t>’</w:t>
      </w:r>
      <w:r w:rsidRPr="001C2554">
        <w:rPr>
          <w:lang w:val="fr-FR"/>
        </w:rPr>
        <w:t>évaluer la santé physique et mentale, l</w:t>
      </w:r>
      <w:r w:rsidR="006115E0" w:rsidRPr="001C2554">
        <w:rPr>
          <w:lang w:val="fr-FR"/>
        </w:rPr>
        <w:t>’</w:t>
      </w:r>
      <w:r w:rsidRPr="001C2554">
        <w:rPr>
          <w:lang w:val="fr-FR"/>
        </w:rPr>
        <w:t>expérience face à la pandémie de COVID</w:t>
      </w:r>
      <w:r w:rsidR="00687F84">
        <w:rPr>
          <w:lang w:val="fr-FR"/>
        </w:rPr>
        <w:noBreakHyphen/>
      </w:r>
      <w:r w:rsidRPr="001C2554">
        <w:rPr>
          <w:lang w:val="fr-FR"/>
        </w:rPr>
        <w:t>19, les habitudes de travail et l</w:t>
      </w:r>
      <w:r w:rsidR="006115E0" w:rsidRPr="001C2554">
        <w:rPr>
          <w:lang w:val="fr-FR"/>
        </w:rPr>
        <w:t>’</w:t>
      </w:r>
      <w:r w:rsidRPr="001C2554">
        <w:rPr>
          <w:lang w:val="fr-FR"/>
        </w:rPr>
        <w:t>aménagement des espaces prévus à cet effet, les cas de violence domestique et plusieurs autres questio</w:t>
      </w:r>
      <w:r w:rsidR="001C2554" w:rsidRPr="001C2554">
        <w:rPr>
          <w:lang w:val="fr-FR"/>
        </w:rPr>
        <w:t>ns.  Le</w:t>
      </w:r>
      <w:r w:rsidRPr="001C2554">
        <w:rPr>
          <w:lang w:val="fr-FR"/>
        </w:rPr>
        <w:t xml:space="preserve">s résultats, évalués selon une méthode de stratification des risques en matière de santé, ont mis en évidence que 43% des personnes interrogées se situaient dans des catégories de risques moyens ou </w:t>
      </w:r>
      <w:proofErr w:type="gramStart"/>
      <w:r w:rsidRPr="001C2554">
        <w:rPr>
          <w:lang w:val="fr-FR"/>
        </w:rPr>
        <w:t xml:space="preserve">élevés; </w:t>
      </w:r>
      <w:r w:rsidR="00D962C9" w:rsidRPr="001C2554">
        <w:rPr>
          <w:lang w:val="fr-FR"/>
        </w:rPr>
        <w:t xml:space="preserve"> </w:t>
      </w:r>
      <w:r w:rsidRPr="001C2554">
        <w:rPr>
          <w:lang w:val="fr-FR"/>
        </w:rPr>
        <w:t>39</w:t>
      </w:r>
      <w:proofErr w:type="gramEnd"/>
      <w:r w:rsidRPr="001C2554">
        <w:rPr>
          <w:lang w:val="fr-FR"/>
        </w:rPr>
        <w:t>% ont déclaré que leur santé physique s</w:t>
      </w:r>
      <w:r w:rsidR="006115E0" w:rsidRPr="001C2554">
        <w:rPr>
          <w:lang w:val="fr-FR"/>
        </w:rPr>
        <w:t>’</w:t>
      </w:r>
      <w:r w:rsidRPr="001C2554">
        <w:rPr>
          <w:lang w:val="fr-FR"/>
        </w:rPr>
        <w:t>était détériorée pendant la pandémie, et 39% que leur santé mentale et leur bien</w:t>
      </w:r>
      <w:r w:rsidR="00687F84">
        <w:rPr>
          <w:lang w:val="fr-FR"/>
        </w:rPr>
        <w:noBreakHyphen/>
      </w:r>
      <w:r w:rsidRPr="001C2554">
        <w:rPr>
          <w:lang w:val="fr-FR"/>
        </w:rPr>
        <w:t>être avaient diminué de manière significative durant cette pério</w:t>
      </w:r>
      <w:r w:rsidR="001C2554" w:rsidRPr="001C2554">
        <w:rPr>
          <w:lang w:val="fr-FR"/>
        </w:rPr>
        <w:t>de.  Bo</w:t>
      </w:r>
      <w:r w:rsidRPr="001C2554">
        <w:rPr>
          <w:lang w:val="fr-FR"/>
        </w:rPr>
        <w:t>n nombre de ces personnes ont bénéficié de soins de santé inadéquats pendant la pandém</w:t>
      </w:r>
      <w:r w:rsidR="001C2554" w:rsidRPr="001C2554">
        <w:rPr>
          <w:lang w:val="fr-FR"/>
        </w:rPr>
        <w:t>ie.  En</w:t>
      </w:r>
      <w:r w:rsidRPr="001C2554">
        <w:rPr>
          <w:lang w:val="fr-FR"/>
        </w:rPr>
        <w:t xml:space="preserve"> outre, et de manière </w:t>
      </w:r>
      <w:r w:rsidR="00202BC6" w:rsidRPr="001C2554">
        <w:rPr>
          <w:lang w:val="fr-FR"/>
        </w:rPr>
        <w:t xml:space="preserve">très </w:t>
      </w:r>
      <w:r w:rsidRPr="001C2554">
        <w:rPr>
          <w:lang w:val="fr-FR"/>
        </w:rPr>
        <w:t>préoccupante, des violences domestiques – également aggravées par la pandémie – ont été signalées à des niveaux étonnamment élevés (17%).  Dans l</w:t>
      </w:r>
      <w:r w:rsidR="006115E0" w:rsidRPr="001C2554">
        <w:rPr>
          <w:lang w:val="fr-FR"/>
        </w:rPr>
        <w:t>’</w:t>
      </w:r>
      <w:r w:rsidRPr="001C2554">
        <w:rPr>
          <w:lang w:val="fr-FR"/>
        </w:rPr>
        <w:t>ensemble, les plaintes les plus fréquentes sont liées à des douleurs corporelles, au stress au travail et à des symptômes de santé menta</w:t>
      </w:r>
      <w:r w:rsidR="001C2554" w:rsidRPr="001C2554">
        <w:rPr>
          <w:lang w:val="fr-FR"/>
        </w:rPr>
        <w:t>le.  De</w:t>
      </w:r>
      <w:r w:rsidRPr="001C2554">
        <w:rPr>
          <w:lang w:val="fr-FR"/>
        </w:rPr>
        <w:t>s niveaux élevés de stigmatisation des problèmes de santé mentale ont été enregistrés.  L</w:t>
      </w:r>
      <w:r w:rsidR="006115E0" w:rsidRPr="001C2554">
        <w:rPr>
          <w:lang w:val="fr-FR"/>
        </w:rPr>
        <w:t>’</w:t>
      </w:r>
      <w:r w:rsidRPr="001C2554">
        <w:rPr>
          <w:lang w:val="fr-FR"/>
        </w:rPr>
        <w:t>OMPI prévoit de poursuivre l</w:t>
      </w:r>
      <w:r w:rsidR="006115E0" w:rsidRPr="001C2554">
        <w:rPr>
          <w:lang w:val="fr-FR"/>
        </w:rPr>
        <w:t>’</w:t>
      </w:r>
      <w:r w:rsidRPr="001C2554">
        <w:rPr>
          <w:lang w:val="fr-FR"/>
        </w:rPr>
        <w:t>analyse des données de l</w:t>
      </w:r>
      <w:r w:rsidR="006115E0" w:rsidRPr="001C2554">
        <w:rPr>
          <w:lang w:val="fr-FR"/>
        </w:rPr>
        <w:t>’</w:t>
      </w:r>
      <w:r w:rsidRPr="001C2554">
        <w:rPr>
          <w:lang w:val="fr-FR"/>
        </w:rPr>
        <w:t>enquête en collaboration avec le groupe de travail sur le renseignement sanitaire de l</w:t>
      </w:r>
      <w:r w:rsidR="006115E0" w:rsidRPr="001C2554">
        <w:rPr>
          <w:lang w:val="fr-FR"/>
        </w:rPr>
        <w:t>’</w:t>
      </w:r>
      <w:r w:rsidRPr="001C2554">
        <w:rPr>
          <w:lang w:val="fr-FR"/>
        </w:rPr>
        <w:t>ONU, de soumettre à nouveau l</w:t>
      </w:r>
      <w:r w:rsidR="006115E0" w:rsidRPr="001C2554">
        <w:rPr>
          <w:lang w:val="fr-FR"/>
        </w:rPr>
        <w:t>’</w:t>
      </w:r>
      <w:r w:rsidRPr="001C2554">
        <w:rPr>
          <w:lang w:val="fr-FR"/>
        </w:rPr>
        <w:t>enquête à son personnel sur une base annuelle ou bisannuelle, et travaille à l</w:t>
      </w:r>
      <w:r w:rsidR="006115E0" w:rsidRPr="001C2554">
        <w:rPr>
          <w:lang w:val="fr-FR"/>
        </w:rPr>
        <w:t>’</w:t>
      </w:r>
      <w:r w:rsidRPr="001C2554">
        <w:rPr>
          <w:lang w:val="fr-FR"/>
        </w:rPr>
        <w:t>élaboration d</w:t>
      </w:r>
      <w:r w:rsidR="006115E0" w:rsidRPr="001C2554">
        <w:rPr>
          <w:lang w:val="fr-FR"/>
        </w:rPr>
        <w:t>’</w:t>
      </w:r>
      <w:r w:rsidRPr="001C2554">
        <w:rPr>
          <w:lang w:val="fr-FR"/>
        </w:rPr>
        <w:t>une série de mesures visant à donner suite aux conclusions dans les années à venir.</w:t>
      </w:r>
    </w:p>
    <w:p w14:paraId="20932DA6" w14:textId="79AF5F16" w:rsidR="006115E0" w:rsidRPr="001C2554" w:rsidRDefault="005C5981" w:rsidP="004264A8">
      <w:pPr>
        <w:pStyle w:val="ONUMFS"/>
        <w:rPr>
          <w:szCs w:val="22"/>
          <w:lang w:val="fr-FR"/>
        </w:rPr>
      </w:pPr>
      <w:r w:rsidRPr="001C2554">
        <w:rPr>
          <w:lang w:val="fr-FR"/>
        </w:rPr>
        <w:t>De même, les efforts ont été poursuivis pour promouvoir un environnement de travail harmonieux et empreint de respect, avec une tolérance zéro pour le harcèleme</w:t>
      </w:r>
      <w:r w:rsidR="001C2554" w:rsidRPr="001C2554">
        <w:rPr>
          <w:lang w:val="fr-FR"/>
        </w:rPr>
        <w:t>nt.  Pl</w:t>
      </w:r>
      <w:r w:rsidR="004264A8" w:rsidRPr="001C2554">
        <w:rPr>
          <w:lang w:val="fr-FR"/>
        </w:rPr>
        <w:t>us particulièrement, l</w:t>
      </w:r>
      <w:r w:rsidR="00766104" w:rsidRPr="001C2554">
        <w:rPr>
          <w:lang w:val="fr-FR"/>
        </w:rPr>
        <w:t>a</w:t>
      </w:r>
      <w:r w:rsidRPr="001C2554">
        <w:rPr>
          <w:lang w:val="fr-FR"/>
        </w:rPr>
        <w:t xml:space="preserve"> politique relative aux différends et griefs liés à des difficultés rencontrées sur le lieu de travail a été modifiée afin de supprimer </w:t>
      </w:r>
      <w:r w:rsidR="004264A8" w:rsidRPr="001C2554">
        <w:rPr>
          <w:lang w:val="fr-FR"/>
        </w:rPr>
        <w:t>l</w:t>
      </w:r>
      <w:r w:rsidR="006115E0" w:rsidRPr="001C2554">
        <w:rPr>
          <w:lang w:val="fr-FR"/>
        </w:rPr>
        <w:t>’</w:t>
      </w:r>
      <w:r w:rsidR="004264A8" w:rsidRPr="001C2554">
        <w:rPr>
          <w:lang w:val="fr-FR"/>
        </w:rPr>
        <w:t xml:space="preserve">ancien délai de 90 jours pour déposer une plainte </w:t>
      </w:r>
      <w:r w:rsidRPr="001C2554">
        <w:rPr>
          <w:lang w:val="fr-FR"/>
        </w:rPr>
        <w:t>pour harcèlement (</w:t>
      </w:r>
      <w:r w:rsidR="006115E0" w:rsidRPr="001C2554">
        <w:rPr>
          <w:lang w:val="fr-FR"/>
        </w:rPr>
        <w:t>y compris</w:t>
      </w:r>
      <w:r w:rsidRPr="001C2554">
        <w:rPr>
          <w:lang w:val="fr-FR"/>
        </w:rPr>
        <w:t xml:space="preserve"> le harcèlement sexuel)</w:t>
      </w:r>
      <w:r w:rsidR="004264A8" w:rsidRPr="001C2554">
        <w:rPr>
          <w:lang w:val="fr-FR"/>
        </w:rPr>
        <w:t>, discrimination</w:t>
      </w:r>
      <w:r w:rsidRPr="001C2554">
        <w:rPr>
          <w:lang w:val="fr-FR"/>
        </w:rPr>
        <w:t xml:space="preserve"> ou abus de pouvo</w:t>
      </w:r>
      <w:r w:rsidR="001C2554" w:rsidRPr="001C2554">
        <w:rPr>
          <w:lang w:val="fr-FR"/>
        </w:rPr>
        <w:t>ir.  Ce</w:t>
      </w:r>
      <w:r w:rsidRPr="001C2554">
        <w:rPr>
          <w:lang w:val="fr-FR"/>
        </w:rPr>
        <w:t xml:space="preserve"> changement assure la cohérence avec le modèle de politique du Conseil des chefs de secrétariat des organismes des </w:t>
      </w:r>
      <w:r w:rsidR="006115E0" w:rsidRPr="001C2554">
        <w:rPr>
          <w:lang w:val="fr-FR"/>
        </w:rPr>
        <w:t>Nations Unies</w:t>
      </w:r>
      <w:r w:rsidRPr="001C2554">
        <w:rPr>
          <w:lang w:val="fr-FR"/>
        </w:rPr>
        <w:t xml:space="preserve"> pour la coordination (CCS) sur le harcèlement sexuel, qui stipule que les rapports officiels concernant des cas de harcèlement sexuel ne </w:t>
      </w:r>
      <w:r w:rsidRPr="001C2554">
        <w:rPr>
          <w:lang w:val="fr-FR"/>
        </w:rPr>
        <w:lastRenderedPageBreak/>
        <w:t>doivent pas être soumis à délais</w:t>
      </w:r>
      <w:r w:rsidRPr="001C2554">
        <w:rPr>
          <w:rStyle w:val="FootnoteReference"/>
          <w:szCs w:val="22"/>
          <w:lang w:val="fr-FR"/>
        </w:rPr>
        <w:footnoteReference w:id="9"/>
      </w:r>
      <w:r w:rsidRPr="001C2554">
        <w:rPr>
          <w:lang w:val="fr-FR"/>
        </w:rPr>
        <w:t>.</w:t>
      </w:r>
      <w:r w:rsidR="003519CE" w:rsidRPr="001C2554">
        <w:rPr>
          <w:lang w:val="fr-FR"/>
        </w:rPr>
        <w:t xml:space="preserve">  </w:t>
      </w:r>
      <w:r w:rsidR="00637D0D" w:rsidRPr="001C2554">
        <w:rPr>
          <w:szCs w:val="22"/>
          <w:lang w:val="fr-FR"/>
        </w:rPr>
        <w:t xml:space="preserve">La modification de la politique vise également à garantir que </w:t>
      </w:r>
      <w:r w:rsidR="00637D0D" w:rsidRPr="001C2554">
        <w:rPr>
          <w:i/>
          <w:szCs w:val="22"/>
          <w:lang w:val="fr-FR"/>
        </w:rPr>
        <w:t>toutes</w:t>
      </w:r>
      <w:r w:rsidR="00637D0D" w:rsidRPr="001C2554">
        <w:rPr>
          <w:szCs w:val="22"/>
          <w:lang w:val="fr-FR"/>
        </w:rPr>
        <w:t xml:space="preserve"> les allégations de faute, </w:t>
      </w:r>
      <w:r w:rsidR="006115E0" w:rsidRPr="001C2554">
        <w:rPr>
          <w:szCs w:val="22"/>
          <w:lang w:val="fr-FR"/>
        </w:rPr>
        <w:t>y compris</w:t>
      </w:r>
      <w:r w:rsidR="00637D0D" w:rsidRPr="001C2554">
        <w:rPr>
          <w:szCs w:val="22"/>
          <w:lang w:val="fr-FR"/>
        </w:rPr>
        <w:t xml:space="preserve"> les allégations de harcèlement, de discrimination ou d</w:t>
      </w:r>
      <w:r w:rsidR="006115E0" w:rsidRPr="001C2554">
        <w:rPr>
          <w:szCs w:val="22"/>
          <w:lang w:val="fr-FR"/>
        </w:rPr>
        <w:t>’</w:t>
      </w:r>
      <w:r w:rsidR="00637D0D" w:rsidRPr="001C2554">
        <w:rPr>
          <w:szCs w:val="22"/>
          <w:lang w:val="fr-FR"/>
        </w:rPr>
        <w:t>abus de pouvoir, seront transmises à la Division de la supervision interne (à l</w:t>
      </w:r>
      <w:r w:rsidR="006115E0" w:rsidRPr="001C2554">
        <w:rPr>
          <w:szCs w:val="22"/>
          <w:lang w:val="fr-FR"/>
        </w:rPr>
        <w:t>’</w:t>
      </w:r>
      <w:r w:rsidR="00637D0D" w:rsidRPr="001C2554">
        <w:rPr>
          <w:szCs w:val="22"/>
          <w:lang w:val="fr-FR"/>
        </w:rPr>
        <w:t>exception des allégations de représailles, qui resteront du ressort du Bureau de la déontologie</w:t>
      </w:r>
      <w:r w:rsidR="003519CE" w:rsidRPr="001C2554">
        <w:rPr>
          <w:szCs w:val="22"/>
          <w:lang w:val="fr-FR"/>
        </w:rPr>
        <w:t>)</w:t>
      </w:r>
      <w:r w:rsidR="003519CE" w:rsidRPr="001C2554">
        <w:rPr>
          <w:rStyle w:val="FootnoteReference"/>
          <w:szCs w:val="22"/>
          <w:lang w:val="fr-FR"/>
        </w:rPr>
        <w:footnoteReference w:id="10"/>
      </w:r>
      <w:r w:rsidR="00637D0D" w:rsidRPr="001C2554">
        <w:rPr>
          <w:szCs w:val="22"/>
          <w:lang w:val="fr-FR"/>
        </w:rPr>
        <w:t>.</w:t>
      </w:r>
    </w:p>
    <w:p w14:paraId="086B15CF" w14:textId="7F3EA028" w:rsidR="005C5981" w:rsidRPr="001C2554" w:rsidRDefault="005C5981" w:rsidP="00C33511">
      <w:pPr>
        <w:pStyle w:val="Heading3"/>
      </w:pPr>
      <w:r w:rsidRPr="001C2554">
        <w:t>D</w:t>
      </w:r>
      <w:r w:rsidR="00454195" w:rsidRPr="001C2554">
        <w:t>iversité</w:t>
      </w:r>
    </w:p>
    <w:p w14:paraId="5A0E8A77" w14:textId="02AEF71D" w:rsidR="006115E0" w:rsidRPr="001C2554" w:rsidRDefault="006115E0" w:rsidP="00C25DC2">
      <w:pPr>
        <w:pStyle w:val="ONUMFS"/>
        <w:rPr>
          <w:lang w:val="fr-FR"/>
        </w:rPr>
      </w:pPr>
      <w:r w:rsidRPr="001C2554">
        <w:rPr>
          <w:lang w:val="fr-FR"/>
        </w:rPr>
        <w:t>En 2021</w:t>
      </w:r>
      <w:r w:rsidR="003842A6" w:rsidRPr="001C2554">
        <w:rPr>
          <w:lang w:val="fr-FR"/>
        </w:rPr>
        <w:t>, l</w:t>
      </w:r>
      <w:r w:rsidRPr="001C2554">
        <w:rPr>
          <w:lang w:val="fr-FR"/>
        </w:rPr>
        <w:t>’</w:t>
      </w:r>
      <w:r w:rsidR="003842A6" w:rsidRPr="001C2554">
        <w:rPr>
          <w:lang w:val="fr-FR"/>
        </w:rPr>
        <w:t xml:space="preserve">OMPI a mené à bien 26 recrutements pour des postes temporaires et 39 recrutements pour des postes de durée déterminée publiés </w:t>
      </w:r>
      <w:r w:rsidRPr="001C2554">
        <w:rPr>
          <w:lang w:val="fr-FR"/>
        </w:rPr>
        <w:t>en 2020</w:t>
      </w:r>
      <w:r w:rsidR="003842A6" w:rsidRPr="001C2554">
        <w:rPr>
          <w:lang w:val="fr-FR"/>
        </w:rPr>
        <w:t xml:space="preserve"> et 2021.  Sur les 39 postes vacants de durée déterminée, </w:t>
      </w:r>
      <w:r w:rsidR="008422E3" w:rsidRPr="001C2554">
        <w:rPr>
          <w:lang w:val="fr-FR"/>
        </w:rPr>
        <w:t>16 </w:t>
      </w:r>
      <w:r w:rsidR="003842A6" w:rsidRPr="001C2554">
        <w:rPr>
          <w:lang w:val="fr-FR"/>
        </w:rPr>
        <w:t>ont été pourvus par des candidats internes (engagements permanents, continus et de durée déterminée), 26 concernant également des employés travaillant pour l</w:t>
      </w:r>
      <w:r w:rsidRPr="001C2554">
        <w:rPr>
          <w:lang w:val="fr-FR"/>
        </w:rPr>
        <w:t>’</w:t>
      </w:r>
      <w:r w:rsidR="003842A6" w:rsidRPr="001C2554">
        <w:rPr>
          <w:lang w:val="fr-FR"/>
        </w:rPr>
        <w:t>OMPI sur d</w:t>
      </w:r>
      <w:r w:rsidRPr="001C2554">
        <w:rPr>
          <w:lang w:val="fr-FR"/>
        </w:rPr>
        <w:t>’</w:t>
      </w:r>
      <w:r w:rsidR="003842A6" w:rsidRPr="001C2554">
        <w:rPr>
          <w:lang w:val="fr-FR"/>
        </w:rPr>
        <w:t>autres contra</w:t>
      </w:r>
      <w:r w:rsidR="001C2554" w:rsidRPr="001C2554">
        <w:rPr>
          <w:lang w:val="fr-FR"/>
        </w:rPr>
        <w:t>ts.  Su</w:t>
      </w:r>
      <w:r w:rsidR="003842A6" w:rsidRPr="001C2554">
        <w:rPr>
          <w:lang w:val="fr-FR"/>
        </w:rPr>
        <w:t xml:space="preserve">r les </w:t>
      </w:r>
      <w:r w:rsidR="008422E3" w:rsidRPr="001C2554">
        <w:rPr>
          <w:lang w:val="fr-FR"/>
        </w:rPr>
        <w:t>16</w:t>
      </w:r>
      <w:r w:rsidR="003842A6" w:rsidRPr="001C2554">
        <w:rPr>
          <w:lang w:val="fr-FR"/>
        </w:rPr>
        <w:t xml:space="preserve"> postes pourvus par des candidats internes, </w:t>
      </w:r>
      <w:r w:rsidR="008422E3" w:rsidRPr="001C2554">
        <w:rPr>
          <w:lang w:val="fr-FR"/>
        </w:rPr>
        <w:t>15 </w:t>
      </w:r>
      <w:r w:rsidR="003842A6" w:rsidRPr="001C2554">
        <w:rPr>
          <w:lang w:val="fr-FR"/>
        </w:rPr>
        <w:t>ont donné lieu à une promotion, dont 53% concernaient des femm</w:t>
      </w:r>
      <w:r w:rsidR="001C2554" w:rsidRPr="001C2554">
        <w:rPr>
          <w:lang w:val="fr-FR"/>
        </w:rPr>
        <w:t>es.  Un</w:t>
      </w:r>
      <w:r w:rsidR="005C5981" w:rsidRPr="001C2554">
        <w:rPr>
          <w:lang w:val="fr-FR"/>
        </w:rPr>
        <w:t xml:space="preserve"> projet est en cours pour mettre à jour et améliorer les pages du site</w:t>
      </w:r>
      <w:r w:rsidR="00D962C9" w:rsidRPr="001C2554">
        <w:rPr>
          <w:lang w:val="fr-FR"/>
        </w:rPr>
        <w:t> </w:t>
      </w:r>
      <w:r w:rsidR="005C5981" w:rsidRPr="001C2554">
        <w:rPr>
          <w:lang w:val="fr-FR"/>
        </w:rPr>
        <w:t>Web de l</w:t>
      </w:r>
      <w:r w:rsidRPr="001C2554">
        <w:rPr>
          <w:lang w:val="fr-FR"/>
        </w:rPr>
        <w:t>’</w:t>
      </w:r>
      <w:r w:rsidR="005C5981" w:rsidRPr="001C2554">
        <w:rPr>
          <w:lang w:val="fr-FR"/>
        </w:rPr>
        <w:t>OMPI consacrées au recruteme</w:t>
      </w:r>
      <w:r w:rsidR="001C2554" w:rsidRPr="001C2554">
        <w:rPr>
          <w:lang w:val="fr-FR"/>
        </w:rPr>
        <w:t>nt.  En</w:t>
      </w:r>
      <w:r w:rsidR="005C5981" w:rsidRPr="001C2554">
        <w:rPr>
          <w:lang w:val="fr-FR"/>
        </w:rPr>
        <w:t xml:space="preserve"> rendant les informations plus faciles à comprendre et plus attrayantes, et en respectant les meilleures pratiques en matière d</w:t>
      </w:r>
      <w:r w:rsidRPr="001C2554">
        <w:rPr>
          <w:lang w:val="fr-FR"/>
        </w:rPr>
        <w:t>’</w:t>
      </w:r>
      <w:r w:rsidR="005C5981" w:rsidRPr="001C2554">
        <w:rPr>
          <w:lang w:val="fr-FR"/>
        </w:rPr>
        <w:t>accessibilité aux fins d</w:t>
      </w:r>
      <w:r w:rsidRPr="001C2554">
        <w:rPr>
          <w:lang w:val="fr-FR"/>
        </w:rPr>
        <w:t>’</w:t>
      </w:r>
      <w:r w:rsidR="005C5981" w:rsidRPr="001C2554">
        <w:rPr>
          <w:lang w:val="fr-FR"/>
        </w:rPr>
        <w:t>inclusion, l</w:t>
      </w:r>
      <w:r w:rsidRPr="001C2554">
        <w:rPr>
          <w:lang w:val="fr-FR"/>
        </w:rPr>
        <w:t>’</w:t>
      </w:r>
      <w:r w:rsidR="005C5981" w:rsidRPr="001C2554">
        <w:rPr>
          <w:lang w:val="fr-FR"/>
        </w:rPr>
        <w:t>objectif du projet est de former un vivier de talents encore plus diversifié.</w:t>
      </w:r>
    </w:p>
    <w:p w14:paraId="6CEE1504" w14:textId="2C84805D" w:rsidR="006115E0" w:rsidRPr="001C2554" w:rsidRDefault="003842A6" w:rsidP="00C25DC2">
      <w:pPr>
        <w:pStyle w:val="ONUMFS"/>
        <w:rPr>
          <w:lang w:val="fr-FR"/>
        </w:rPr>
      </w:pPr>
      <w:r w:rsidRPr="001C2554">
        <w:rPr>
          <w:lang w:val="fr-FR"/>
        </w:rPr>
        <w:t>L</w:t>
      </w:r>
      <w:r w:rsidR="006115E0" w:rsidRPr="001C2554">
        <w:rPr>
          <w:lang w:val="fr-FR"/>
        </w:rPr>
        <w:t>’</w:t>
      </w:r>
      <w:r w:rsidRPr="001C2554">
        <w:rPr>
          <w:lang w:val="fr-FR"/>
        </w:rPr>
        <w:t>O</w:t>
      </w:r>
      <w:r w:rsidR="005C5981" w:rsidRPr="001C2554">
        <w:rPr>
          <w:lang w:val="fr-FR"/>
        </w:rPr>
        <w:t>MPI continue d</w:t>
      </w:r>
      <w:r w:rsidR="006115E0" w:rsidRPr="001C2554">
        <w:rPr>
          <w:lang w:val="fr-FR"/>
        </w:rPr>
        <w:t>’</w:t>
      </w:r>
      <w:r w:rsidR="005C5981" w:rsidRPr="001C2554">
        <w:rPr>
          <w:lang w:val="fr-FR"/>
        </w:rPr>
        <w:t>avancer vers ses objectifs en matière de parité entre les sexes et d</w:t>
      </w:r>
      <w:r w:rsidR="006115E0" w:rsidRPr="001C2554">
        <w:rPr>
          <w:lang w:val="fr-FR"/>
        </w:rPr>
        <w:t>’</w:t>
      </w:r>
      <w:r w:rsidR="005C5981" w:rsidRPr="001C2554">
        <w:rPr>
          <w:lang w:val="fr-FR"/>
        </w:rPr>
        <w:t>assurer la diversité géographique de son personnel au moyen de diverses initiatives, notamment aux échelons supérieurs.  L</w:t>
      </w:r>
      <w:r w:rsidR="006115E0" w:rsidRPr="001C2554">
        <w:rPr>
          <w:lang w:val="fr-FR"/>
        </w:rPr>
        <w:t>’</w:t>
      </w:r>
      <w:r w:rsidR="005C5981" w:rsidRPr="001C2554">
        <w:rPr>
          <w:lang w:val="fr-FR"/>
        </w:rPr>
        <w:t>OMPI, directement ou par l</w:t>
      </w:r>
      <w:r w:rsidR="006115E0" w:rsidRPr="001C2554">
        <w:rPr>
          <w:lang w:val="fr-FR"/>
        </w:rPr>
        <w:t>’</w:t>
      </w:r>
      <w:r w:rsidR="005C5981" w:rsidRPr="001C2554">
        <w:rPr>
          <w:lang w:val="fr-FR"/>
        </w:rPr>
        <w:t>intermédiaire de ses organisations partenaires, mène des campagnes de sensibilisation sur divers réseaux sociaux, parfois spécialement adaptées aux femm</w:t>
      </w:r>
      <w:r w:rsidR="001C2554" w:rsidRPr="001C2554">
        <w:rPr>
          <w:lang w:val="fr-FR"/>
        </w:rPr>
        <w:t>es.  El</w:t>
      </w:r>
      <w:r w:rsidR="005C5981" w:rsidRPr="001C2554">
        <w:rPr>
          <w:lang w:val="fr-FR"/>
        </w:rPr>
        <w:t>le fait également appel aux services de cabinets de recrutement de cadres et participe à des salons de l</w:t>
      </w:r>
      <w:r w:rsidR="006115E0" w:rsidRPr="001C2554">
        <w:rPr>
          <w:lang w:val="fr-FR"/>
        </w:rPr>
        <w:t>’</w:t>
      </w:r>
      <w:r w:rsidR="005C5981" w:rsidRPr="001C2554">
        <w:rPr>
          <w:lang w:val="fr-FR"/>
        </w:rPr>
        <w:t>empl</w:t>
      </w:r>
      <w:r w:rsidR="001C2554" w:rsidRPr="001C2554">
        <w:rPr>
          <w:lang w:val="fr-FR"/>
        </w:rPr>
        <w:t>oi.  En</w:t>
      </w:r>
      <w:r w:rsidR="009A47FE" w:rsidRPr="001C2554">
        <w:rPr>
          <w:lang w:val="fr-FR"/>
        </w:rPr>
        <w:t> 2021</w:t>
      </w:r>
      <w:r w:rsidR="005C5981" w:rsidRPr="001C2554">
        <w:rPr>
          <w:lang w:val="fr-FR"/>
        </w:rPr>
        <w:t xml:space="preserve">, 978 candidates ont manifesté leur intérêt dans le cadre de notre liste de réserve féminine pour les postes de hauts fonctionnaires, tandis que </w:t>
      </w:r>
      <w:r w:rsidR="00D962C9" w:rsidRPr="001C2554">
        <w:rPr>
          <w:lang w:val="fr-FR"/>
        </w:rPr>
        <w:t>2534</w:t>
      </w:r>
      <w:r w:rsidR="005C5981" w:rsidRPr="001C2554">
        <w:rPr>
          <w:lang w:val="fr-FR"/>
        </w:rPr>
        <w:t xml:space="preserve"> des </w:t>
      </w:r>
      <w:r w:rsidR="00D962C9" w:rsidRPr="001C2554">
        <w:rPr>
          <w:lang w:val="fr-FR"/>
        </w:rPr>
        <w:t>4444</w:t>
      </w:r>
      <w:r w:rsidR="005C5981" w:rsidRPr="001C2554">
        <w:rPr>
          <w:lang w:val="fr-FR"/>
        </w:rPr>
        <w:t> personnes (57%) ayant manifesté leur intérêt dans l</w:t>
      </w:r>
      <w:r w:rsidR="006115E0" w:rsidRPr="001C2554">
        <w:rPr>
          <w:lang w:val="fr-FR"/>
        </w:rPr>
        <w:t>’</w:t>
      </w:r>
      <w:r w:rsidR="005C5981" w:rsidRPr="001C2554">
        <w:rPr>
          <w:lang w:val="fr-FR"/>
        </w:rPr>
        <w:t>ensemble de nos viviers de compétences étaient des femm</w:t>
      </w:r>
      <w:r w:rsidR="001C2554" w:rsidRPr="001C2554">
        <w:rPr>
          <w:lang w:val="fr-FR"/>
        </w:rPr>
        <w:t>es.  En</w:t>
      </w:r>
      <w:r w:rsidR="005C5981" w:rsidRPr="001C2554">
        <w:rPr>
          <w:lang w:val="fr-FR"/>
        </w:rPr>
        <w:t xml:space="preserve"> outre, le tableau de veille stratégique des ressources humaines de l</w:t>
      </w:r>
      <w:r w:rsidR="006115E0" w:rsidRPr="001C2554">
        <w:rPr>
          <w:lang w:val="fr-FR"/>
        </w:rPr>
        <w:t>’</w:t>
      </w:r>
      <w:r w:rsidR="005C5981" w:rsidRPr="001C2554">
        <w:rPr>
          <w:lang w:val="fr-FR"/>
        </w:rPr>
        <w:t>OMPI a encore été amélioré, et propose en temps réel et en un clic des données relatives au genre, de sorte que les fonctionnaires et les chefs de service peuvent consulter ces données rapidement et facilement.  L</w:t>
      </w:r>
      <w:r w:rsidR="006115E0" w:rsidRPr="001C2554">
        <w:rPr>
          <w:lang w:val="fr-FR"/>
        </w:rPr>
        <w:t>’</w:t>
      </w:r>
      <w:r w:rsidR="005C5981" w:rsidRPr="001C2554">
        <w:rPr>
          <w:lang w:val="fr-FR"/>
        </w:rPr>
        <w:t>OMPI a également participé à trois</w:t>
      </w:r>
      <w:r w:rsidR="00D962C9" w:rsidRPr="001C2554">
        <w:rPr>
          <w:lang w:val="fr-FR"/>
        </w:rPr>
        <w:t> </w:t>
      </w:r>
      <w:r w:rsidR="005C5981" w:rsidRPr="001C2554">
        <w:rPr>
          <w:lang w:val="fr-FR"/>
        </w:rPr>
        <w:t>salons de l</w:t>
      </w:r>
      <w:r w:rsidR="006115E0" w:rsidRPr="001C2554">
        <w:rPr>
          <w:lang w:val="fr-FR"/>
        </w:rPr>
        <w:t>’</w:t>
      </w:r>
      <w:r w:rsidR="005C5981" w:rsidRPr="001C2554">
        <w:rPr>
          <w:lang w:val="fr-FR"/>
        </w:rPr>
        <w:t xml:space="preserve">emploi virtuels </w:t>
      </w:r>
      <w:r w:rsidR="009A47FE" w:rsidRPr="001C2554">
        <w:rPr>
          <w:lang w:val="fr-FR"/>
        </w:rPr>
        <w:t>en 2021</w:t>
      </w:r>
      <w:r w:rsidR="006868CA" w:rsidRPr="001C2554">
        <w:rPr>
          <w:lang w:val="fr-FR"/>
        </w:rPr>
        <w:t>, l</w:t>
      </w:r>
      <w:r w:rsidR="006115E0" w:rsidRPr="001C2554">
        <w:rPr>
          <w:lang w:val="fr-FR"/>
        </w:rPr>
        <w:t>’</w:t>
      </w:r>
      <w:r w:rsidR="005C5981" w:rsidRPr="001C2554">
        <w:rPr>
          <w:lang w:val="fr-FR"/>
        </w:rPr>
        <w:t>un éta</w:t>
      </w:r>
      <w:r w:rsidR="006868CA" w:rsidRPr="001C2554">
        <w:rPr>
          <w:lang w:val="fr-FR"/>
        </w:rPr>
        <w:t>n</w:t>
      </w:r>
      <w:r w:rsidR="005C5981" w:rsidRPr="001C2554">
        <w:rPr>
          <w:lang w:val="fr-FR"/>
        </w:rPr>
        <w:t>t axé sur le Moyen</w:t>
      </w:r>
      <w:r w:rsidR="00687F84">
        <w:rPr>
          <w:lang w:val="fr-FR"/>
        </w:rPr>
        <w:noBreakHyphen/>
      </w:r>
      <w:r w:rsidR="005C5981" w:rsidRPr="001C2554">
        <w:rPr>
          <w:lang w:val="fr-FR"/>
        </w:rPr>
        <w:t>Orient et l</w:t>
      </w:r>
      <w:r w:rsidR="006115E0" w:rsidRPr="001C2554">
        <w:rPr>
          <w:lang w:val="fr-FR"/>
        </w:rPr>
        <w:t>’</w:t>
      </w:r>
      <w:r w:rsidR="005C5981" w:rsidRPr="001C2554">
        <w:rPr>
          <w:lang w:val="fr-FR"/>
        </w:rPr>
        <w:t>Afrique du Nord, et les deux</w:t>
      </w:r>
      <w:r w:rsidR="00D962C9" w:rsidRPr="001C2554">
        <w:rPr>
          <w:lang w:val="fr-FR"/>
        </w:rPr>
        <w:t> </w:t>
      </w:r>
      <w:r w:rsidR="005C5981" w:rsidRPr="001C2554">
        <w:rPr>
          <w:lang w:val="fr-FR"/>
        </w:rPr>
        <w:t>autres a</w:t>
      </w:r>
      <w:r w:rsidR="006868CA" w:rsidRPr="001C2554">
        <w:rPr>
          <w:lang w:val="fr-FR"/>
        </w:rPr>
        <w:t>yant</w:t>
      </w:r>
      <w:r w:rsidR="005C5981" w:rsidRPr="001C2554">
        <w:rPr>
          <w:lang w:val="fr-FR"/>
        </w:rPr>
        <w:t xml:space="preserve"> une portée mondia</w:t>
      </w:r>
      <w:r w:rsidR="00766104" w:rsidRPr="001C2554">
        <w:rPr>
          <w:lang w:val="fr-FR"/>
        </w:rPr>
        <w:t>le.</w:t>
      </w:r>
    </w:p>
    <w:p w14:paraId="4421108F" w14:textId="326CA5C0" w:rsidR="00C25DC2" w:rsidRPr="001C2554" w:rsidRDefault="005C5981" w:rsidP="00C25DC2">
      <w:pPr>
        <w:pStyle w:val="ONUMFS"/>
        <w:rPr>
          <w:lang w:val="fr-FR"/>
        </w:rPr>
      </w:pPr>
      <w:r w:rsidRPr="001C2554">
        <w:rPr>
          <w:lang w:val="fr-FR"/>
        </w:rPr>
        <w:t>L</w:t>
      </w:r>
      <w:r w:rsidR="006115E0" w:rsidRPr="001C2554">
        <w:rPr>
          <w:lang w:val="fr-FR"/>
        </w:rPr>
        <w:t>’</w:t>
      </w:r>
      <w:r w:rsidRPr="001C2554">
        <w:rPr>
          <w:lang w:val="fr-FR"/>
        </w:rPr>
        <w:t>OMPI a encore renforcé son initiative relative à la désignation de coordonnateurs</w:t>
      </w:r>
      <w:r w:rsidRPr="001C2554">
        <w:rPr>
          <w:rStyle w:val="FootnoteReference"/>
          <w:szCs w:val="22"/>
          <w:lang w:val="fr-FR"/>
        </w:rPr>
        <w:footnoteReference w:id="11"/>
      </w:r>
      <w:r w:rsidRPr="001C2554">
        <w:rPr>
          <w:lang w:val="fr-FR"/>
        </w:rPr>
        <w:t>, qui vise à encourager la candidature de divers types de personnes aux postes vacants, en particulier des candidats provenant d</w:t>
      </w:r>
      <w:r w:rsidR="006115E0" w:rsidRPr="001C2554">
        <w:rPr>
          <w:lang w:val="fr-FR"/>
        </w:rPr>
        <w:t>’</w:t>
      </w:r>
      <w:r w:rsidRPr="001C2554">
        <w:rPr>
          <w:lang w:val="fr-FR"/>
        </w:rPr>
        <w:t>États membres non représentés ou sous</w:t>
      </w:r>
      <w:r w:rsidR="00687F84">
        <w:rPr>
          <w:lang w:val="fr-FR"/>
        </w:rPr>
        <w:noBreakHyphen/>
      </w:r>
      <w:r w:rsidRPr="001C2554">
        <w:rPr>
          <w:lang w:val="fr-FR"/>
        </w:rPr>
        <w:t>représent</w:t>
      </w:r>
      <w:r w:rsidR="001C2554" w:rsidRPr="001C2554">
        <w:rPr>
          <w:lang w:val="fr-FR"/>
        </w:rPr>
        <w:t>és.  Hu</w:t>
      </w:r>
      <w:r w:rsidRPr="001C2554">
        <w:rPr>
          <w:lang w:val="fr-FR"/>
        </w:rPr>
        <w:t>it</w:t>
      </w:r>
      <w:r w:rsidR="00D962C9" w:rsidRPr="001C2554">
        <w:rPr>
          <w:lang w:val="fr-FR"/>
        </w:rPr>
        <w:t> </w:t>
      </w:r>
      <w:r w:rsidRPr="001C2554">
        <w:rPr>
          <w:lang w:val="fr-FR"/>
        </w:rPr>
        <w:t xml:space="preserve">exposés sur le renforcement des capacités ont été présentés aux coordonnateurs nationaux </w:t>
      </w:r>
      <w:r w:rsidR="009A47FE" w:rsidRPr="001C2554">
        <w:rPr>
          <w:lang w:val="fr-FR"/>
        </w:rPr>
        <w:t>en 2021</w:t>
      </w:r>
      <w:r w:rsidRPr="001C2554">
        <w:rPr>
          <w:lang w:val="fr-FR"/>
        </w:rPr>
        <w:t>.  Plusieurs séances de partage d</w:t>
      </w:r>
      <w:r w:rsidR="006115E0" w:rsidRPr="001C2554">
        <w:rPr>
          <w:lang w:val="fr-FR"/>
        </w:rPr>
        <w:t>’</w:t>
      </w:r>
      <w:r w:rsidRPr="001C2554">
        <w:rPr>
          <w:lang w:val="fr-FR"/>
        </w:rPr>
        <w:t>informations ont été organisées avec les missions permanentes qui envisagent également de participer activement à cette initiati</w:t>
      </w:r>
      <w:r w:rsidR="001C2554" w:rsidRPr="001C2554">
        <w:rPr>
          <w:lang w:val="fr-FR"/>
        </w:rPr>
        <w:t>ve.  En</w:t>
      </w:r>
      <w:r w:rsidR="009A47FE" w:rsidRPr="001C2554">
        <w:rPr>
          <w:lang w:val="fr-FR"/>
        </w:rPr>
        <w:t> 2022</w:t>
      </w:r>
      <w:r w:rsidRPr="001C2554">
        <w:rPr>
          <w:lang w:val="fr-FR"/>
        </w:rPr>
        <w:t>,</w:t>
      </w:r>
      <w:r w:rsidR="009A47FE" w:rsidRPr="001C2554">
        <w:rPr>
          <w:lang w:val="fr-FR"/>
        </w:rPr>
        <w:t xml:space="preserve"> le DGR</w:t>
      </w:r>
      <w:r w:rsidRPr="001C2554">
        <w:rPr>
          <w:lang w:val="fr-FR"/>
        </w:rPr>
        <w:t>H compte mener une enquête auprès de tous les coordonnateurs afin de déterminer ce qui fonctionne, de partager les meilleures pratiques et de renforcer ainsi les capacités internes parmi les coordonnateurs du réseau.</w:t>
      </w:r>
    </w:p>
    <w:p w14:paraId="6413D05F" w14:textId="7C344748" w:rsidR="00C25DC2" w:rsidRPr="001C2554" w:rsidRDefault="005C5981" w:rsidP="00C25DC2">
      <w:pPr>
        <w:pStyle w:val="ONUMFS"/>
        <w:rPr>
          <w:lang w:val="fr-FR"/>
        </w:rPr>
      </w:pPr>
      <w:r w:rsidRPr="001C2554">
        <w:rPr>
          <w:lang w:val="fr-FR"/>
        </w:rPr>
        <w:t xml:space="preserve">En outre, un nouveau </w:t>
      </w:r>
      <w:hyperlink r:id="rId15" w:history="1">
        <w:r w:rsidR="003842A6" w:rsidRPr="001C2554">
          <w:rPr>
            <w:rStyle w:val="Hyperlink"/>
            <w:lang w:val="fr-FR"/>
          </w:rPr>
          <w:t>Programme pour l</w:t>
        </w:r>
        <w:r w:rsidR="004D3740" w:rsidRPr="001C2554">
          <w:rPr>
            <w:rStyle w:val="Hyperlink"/>
            <w:lang w:val="fr-FR"/>
          </w:rPr>
          <w:t>es jeunes experts</w:t>
        </w:r>
      </w:hyperlink>
      <w:r w:rsidRPr="001C2554">
        <w:rPr>
          <w:lang w:val="fr-FR"/>
        </w:rPr>
        <w:t xml:space="preserve"> </w:t>
      </w:r>
      <w:r w:rsidR="00EC7392" w:rsidRPr="001C2554">
        <w:rPr>
          <w:lang w:val="fr-FR"/>
        </w:rPr>
        <w:t xml:space="preserve">destiné à des jeunes âgés de moins de 35 ans </w:t>
      </w:r>
      <w:r w:rsidRPr="001C2554">
        <w:rPr>
          <w:lang w:val="fr-FR"/>
        </w:rPr>
        <w:t xml:space="preserve">a été mis au point </w:t>
      </w:r>
      <w:r w:rsidR="009A47FE" w:rsidRPr="001C2554">
        <w:rPr>
          <w:lang w:val="fr-FR"/>
        </w:rPr>
        <w:t>en 2021</w:t>
      </w:r>
      <w:r w:rsidRPr="001C2554">
        <w:rPr>
          <w:lang w:val="fr-FR"/>
        </w:rPr>
        <w:t xml:space="preserve"> pour former la prochaine génération de leaders mondiaux de la propriété intellectuelle et les aider </w:t>
      </w:r>
      <w:r w:rsidR="00EC7392" w:rsidRPr="001C2554">
        <w:rPr>
          <w:lang w:val="fr-FR"/>
        </w:rPr>
        <w:t xml:space="preserve">à </w:t>
      </w:r>
      <w:r w:rsidRPr="001C2554">
        <w:rPr>
          <w:lang w:val="fr-FR"/>
        </w:rPr>
        <w:t>contribuer à la création d</w:t>
      </w:r>
      <w:r w:rsidR="006115E0" w:rsidRPr="001C2554">
        <w:rPr>
          <w:lang w:val="fr-FR"/>
        </w:rPr>
        <w:t>’</w:t>
      </w:r>
      <w:r w:rsidRPr="001C2554">
        <w:rPr>
          <w:lang w:val="fr-FR"/>
        </w:rPr>
        <w:t>écosystèmes d</w:t>
      </w:r>
      <w:r w:rsidR="006115E0" w:rsidRPr="001C2554">
        <w:rPr>
          <w:lang w:val="fr-FR"/>
        </w:rPr>
        <w:t>’</w:t>
      </w:r>
      <w:r w:rsidRPr="001C2554">
        <w:rPr>
          <w:lang w:val="fr-FR"/>
        </w:rPr>
        <w:t>innovation dans le monde enti</w:t>
      </w:r>
      <w:r w:rsidR="001C2554" w:rsidRPr="001C2554">
        <w:rPr>
          <w:lang w:val="fr-FR"/>
        </w:rPr>
        <w:t>er.  Le</w:t>
      </w:r>
      <w:r w:rsidR="00EC7392" w:rsidRPr="001C2554">
        <w:rPr>
          <w:lang w:val="fr-FR"/>
        </w:rPr>
        <w:t xml:space="preserve"> Programme pour l</w:t>
      </w:r>
      <w:r w:rsidRPr="001C2554">
        <w:rPr>
          <w:lang w:val="fr-FR"/>
        </w:rPr>
        <w:t xml:space="preserve">es jeunes experts est un programme </w:t>
      </w:r>
      <w:r w:rsidRPr="001C2554">
        <w:rPr>
          <w:lang w:val="fr-FR"/>
        </w:rPr>
        <w:lastRenderedPageBreak/>
        <w:t>de deux</w:t>
      </w:r>
      <w:r w:rsidR="00D962C9" w:rsidRPr="001C2554">
        <w:rPr>
          <w:lang w:val="fr-FR"/>
        </w:rPr>
        <w:t> </w:t>
      </w:r>
      <w:r w:rsidRPr="001C2554">
        <w:rPr>
          <w:lang w:val="fr-FR"/>
        </w:rPr>
        <w:t>ans destiné aux jeunes experts talentueux, qui leur permet non seulement de comprendre les aspects techniques de la propriété intellectuelle, mais aussi de les appliquer dans la pratiq</w:t>
      </w:r>
      <w:r w:rsidR="001C2554" w:rsidRPr="001C2554">
        <w:rPr>
          <w:lang w:val="fr-FR"/>
        </w:rPr>
        <w:t>ue.  Le</w:t>
      </w:r>
      <w:r w:rsidRPr="001C2554">
        <w:rPr>
          <w:lang w:val="fr-FR"/>
        </w:rPr>
        <w:t xml:space="preserve"> programme a été lancé en novembre 2021 et a attiré quelque </w:t>
      </w:r>
      <w:r w:rsidR="00D962C9" w:rsidRPr="001C2554">
        <w:rPr>
          <w:lang w:val="fr-FR"/>
        </w:rPr>
        <w:t>4000</w:t>
      </w:r>
      <w:r w:rsidRPr="001C2554">
        <w:rPr>
          <w:lang w:val="fr-FR"/>
        </w:rPr>
        <w:t xml:space="preserve"> candidats, dont plus </w:t>
      </w:r>
      <w:r w:rsidR="006115E0" w:rsidRPr="001C2554">
        <w:rPr>
          <w:lang w:val="fr-FR"/>
        </w:rPr>
        <w:t>de 1500</w:t>
      </w:r>
      <w:r w:rsidRPr="001C2554">
        <w:rPr>
          <w:lang w:val="fr-FR"/>
        </w:rPr>
        <w:t xml:space="preserve"> d</w:t>
      </w:r>
      <w:r w:rsidR="006115E0" w:rsidRPr="001C2554">
        <w:rPr>
          <w:lang w:val="fr-FR"/>
        </w:rPr>
        <w:t>’</w:t>
      </w:r>
      <w:r w:rsidRPr="001C2554">
        <w:rPr>
          <w:lang w:val="fr-FR"/>
        </w:rPr>
        <w:t>Afrique, 400 d</w:t>
      </w:r>
      <w:r w:rsidR="006115E0" w:rsidRPr="001C2554">
        <w:rPr>
          <w:lang w:val="fr-FR"/>
        </w:rPr>
        <w:t>’</w:t>
      </w:r>
      <w:r w:rsidRPr="001C2554">
        <w:rPr>
          <w:lang w:val="fr-FR"/>
        </w:rPr>
        <w:t>Amérique latine et des Caraïbes, près de 900 de la région Asie</w:t>
      </w:r>
      <w:r w:rsidR="00687F84">
        <w:rPr>
          <w:lang w:val="fr-FR"/>
        </w:rPr>
        <w:noBreakHyphen/>
      </w:r>
      <w:r w:rsidRPr="001C2554">
        <w:rPr>
          <w:lang w:val="fr-FR"/>
        </w:rPr>
        <w:t>Pacifique, 350 de la région Europe centrale et orientale et Asie centrale et plus de 200 du Moyen</w:t>
      </w:r>
      <w:r w:rsidR="00687F84">
        <w:rPr>
          <w:lang w:val="fr-FR"/>
        </w:rPr>
        <w:noBreakHyphen/>
      </w:r>
      <w:r w:rsidRPr="001C2554">
        <w:rPr>
          <w:lang w:val="fr-FR"/>
        </w:rPr>
        <w:t>Orie</w:t>
      </w:r>
      <w:r w:rsidR="001C2554" w:rsidRPr="001C2554">
        <w:rPr>
          <w:lang w:val="fr-FR"/>
        </w:rPr>
        <w:t>nt.  On</w:t>
      </w:r>
      <w:r w:rsidRPr="001C2554">
        <w:rPr>
          <w:lang w:val="fr-FR"/>
        </w:rPr>
        <w:t>ze</w:t>
      </w:r>
      <w:r w:rsidR="00766104" w:rsidRPr="001C2554">
        <w:rPr>
          <w:lang w:val="fr-FR"/>
        </w:rPr>
        <w:t> </w:t>
      </w:r>
      <w:r w:rsidRPr="001C2554">
        <w:rPr>
          <w:lang w:val="fr-FR"/>
        </w:rPr>
        <w:t>jeunes professionnels (six</w:t>
      </w:r>
      <w:r w:rsidR="00766104" w:rsidRPr="001C2554">
        <w:rPr>
          <w:lang w:val="fr-FR"/>
        </w:rPr>
        <w:t> </w:t>
      </w:r>
      <w:r w:rsidRPr="001C2554">
        <w:rPr>
          <w:lang w:val="fr-FR"/>
        </w:rPr>
        <w:t>femmes, cinq</w:t>
      </w:r>
      <w:r w:rsidR="00D962C9" w:rsidRPr="001C2554">
        <w:rPr>
          <w:lang w:val="fr-FR"/>
        </w:rPr>
        <w:t> </w:t>
      </w:r>
      <w:r w:rsidRPr="001C2554">
        <w:rPr>
          <w:lang w:val="fr-FR"/>
        </w:rPr>
        <w:t xml:space="preserve">hommes) ont été sélectionnés en décembre 2021 pour démarrer le programme pilote au début </w:t>
      </w:r>
      <w:r w:rsidR="009A47FE" w:rsidRPr="001C2554">
        <w:rPr>
          <w:lang w:val="fr-FR"/>
        </w:rPr>
        <w:t>de 2022</w:t>
      </w:r>
      <w:r w:rsidRPr="001C2554">
        <w:rPr>
          <w:lang w:val="fr-FR"/>
        </w:rPr>
        <w:t>.</w:t>
      </w:r>
    </w:p>
    <w:p w14:paraId="60BA952E" w14:textId="18D42C8C" w:rsidR="00C25DC2" w:rsidRPr="001C2554" w:rsidRDefault="005C5981" w:rsidP="00C25DC2">
      <w:pPr>
        <w:pStyle w:val="ONUMFS"/>
        <w:rPr>
          <w:lang w:val="fr-FR"/>
        </w:rPr>
      </w:pPr>
      <w:r w:rsidRPr="001C2554">
        <w:rPr>
          <w:lang w:val="fr-FR"/>
        </w:rPr>
        <w:t>Les en</w:t>
      </w:r>
      <w:r w:rsidR="00EC7392" w:rsidRPr="001C2554">
        <w:rPr>
          <w:lang w:val="fr-FR"/>
        </w:rPr>
        <w:t>seignements tirés du Programme pour l</w:t>
      </w:r>
      <w:r w:rsidRPr="001C2554">
        <w:rPr>
          <w:lang w:val="fr-FR"/>
        </w:rPr>
        <w:t>es jeunes experts sont les suivants</w:t>
      </w:r>
      <w:r w:rsidR="006115E0" w:rsidRPr="001C2554">
        <w:rPr>
          <w:lang w:val="fr-FR"/>
        </w:rPr>
        <w:t> :</w:t>
      </w:r>
      <w:r w:rsidRPr="001C2554">
        <w:rPr>
          <w:lang w:val="fr-FR"/>
        </w:rPr>
        <w:t xml:space="preserve"> prévoir plus de temps pour le processus de publication et de sélection, c</w:t>
      </w:r>
      <w:r w:rsidR="006115E0" w:rsidRPr="001C2554">
        <w:rPr>
          <w:lang w:val="fr-FR"/>
        </w:rPr>
        <w:t>’</w:t>
      </w:r>
      <w:r w:rsidRPr="001C2554">
        <w:rPr>
          <w:lang w:val="fr-FR"/>
        </w:rPr>
        <w:t>est</w:t>
      </w:r>
      <w:r w:rsidR="00687F84">
        <w:rPr>
          <w:lang w:val="fr-FR"/>
        </w:rPr>
        <w:noBreakHyphen/>
      </w:r>
      <w:r w:rsidRPr="001C2554">
        <w:rPr>
          <w:lang w:val="fr-FR"/>
        </w:rPr>
        <w:t>à</w:t>
      </w:r>
      <w:r w:rsidR="00687F84">
        <w:rPr>
          <w:lang w:val="fr-FR"/>
        </w:rPr>
        <w:noBreakHyphen/>
      </w:r>
      <w:r w:rsidRPr="001C2554">
        <w:rPr>
          <w:lang w:val="fr-FR"/>
        </w:rPr>
        <w:t>dire publier les annonces beaucoup plus tôt dans l</w:t>
      </w:r>
      <w:r w:rsidR="006115E0" w:rsidRPr="001C2554">
        <w:rPr>
          <w:lang w:val="fr-FR"/>
        </w:rPr>
        <w:t>’</w:t>
      </w:r>
      <w:r w:rsidRPr="001C2554">
        <w:rPr>
          <w:lang w:val="fr-FR"/>
        </w:rPr>
        <w:t>année, fournir plus de clarté et d</w:t>
      </w:r>
      <w:r w:rsidR="006115E0" w:rsidRPr="001C2554">
        <w:rPr>
          <w:lang w:val="fr-FR"/>
        </w:rPr>
        <w:t>’</w:t>
      </w:r>
      <w:r w:rsidRPr="001C2554">
        <w:rPr>
          <w:lang w:val="fr-FR"/>
        </w:rPr>
        <w:t>informations sur le programme dès le départ pour que les candidats intéressés puissent en prendre connaissance, favoriser les contacts avec les chefs de service pendant le processus de sélection, et apporter plus de soutien (et plus tôt) aux jeunes experts sélectionnés avant leur arrivée à Genève, notamment en ce qui concerne le logement et les formalités administratives auprès des autorités suisses compétentes.</w:t>
      </w:r>
    </w:p>
    <w:p w14:paraId="11190511" w14:textId="5A8ECF90" w:rsidR="00EC7392" w:rsidRPr="001C2554" w:rsidRDefault="00454195" w:rsidP="00EC7392">
      <w:pPr>
        <w:pStyle w:val="ONUMFS"/>
        <w:numPr>
          <w:ilvl w:val="0"/>
          <w:numId w:val="0"/>
        </w:numPr>
        <w:rPr>
          <w:lang w:val="fr-FR"/>
        </w:rPr>
      </w:pPr>
      <w:r w:rsidRPr="001C2554">
        <w:rPr>
          <w:i/>
          <w:lang w:val="fr-FR"/>
        </w:rPr>
        <w:t>Inclusion</w:t>
      </w:r>
    </w:p>
    <w:p w14:paraId="737B0AF7" w14:textId="0D4ABCC0" w:rsidR="005C5981" w:rsidRPr="001C2554" w:rsidRDefault="006115E0" w:rsidP="00454195">
      <w:pPr>
        <w:pStyle w:val="ONUMFS"/>
        <w:rPr>
          <w:lang w:val="fr-FR"/>
        </w:rPr>
      </w:pPr>
      <w:r w:rsidRPr="001C2554">
        <w:rPr>
          <w:lang w:val="fr-FR"/>
        </w:rPr>
        <w:t>En 2021</w:t>
      </w:r>
      <w:r w:rsidR="005C5981" w:rsidRPr="001C2554">
        <w:rPr>
          <w:lang w:val="fr-FR"/>
        </w:rPr>
        <w:t>, l</w:t>
      </w:r>
      <w:r w:rsidRPr="001C2554">
        <w:rPr>
          <w:lang w:val="fr-FR"/>
        </w:rPr>
        <w:t>’</w:t>
      </w:r>
      <w:r w:rsidR="005C5981" w:rsidRPr="001C2554">
        <w:rPr>
          <w:lang w:val="fr-FR"/>
        </w:rPr>
        <w:t>OMPI a commencé à travailler sur sa première stratégie pour l</w:t>
      </w:r>
      <w:r w:rsidRPr="001C2554">
        <w:rPr>
          <w:lang w:val="fr-FR"/>
        </w:rPr>
        <w:t>’</w:t>
      </w:r>
      <w:r w:rsidR="005C5981" w:rsidRPr="001C2554">
        <w:rPr>
          <w:lang w:val="fr-FR"/>
        </w:rPr>
        <w:t xml:space="preserve">inclusion du handicap, afin de se conformer aux exigences du système des </w:t>
      </w:r>
      <w:r w:rsidRPr="001C2554">
        <w:rPr>
          <w:lang w:val="fr-FR"/>
        </w:rPr>
        <w:t>Nations Unies</w:t>
      </w:r>
      <w:r w:rsidR="005C5981" w:rsidRPr="001C2554">
        <w:rPr>
          <w:lang w:val="fr-FR"/>
        </w:rPr>
        <w:t xml:space="preserve"> énoncées dans la </w:t>
      </w:r>
      <w:r w:rsidR="00454195" w:rsidRPr="001C2554">
        <w:rPr>
          <w:lang w:val="fr-FR"/>
        </w:rPr>
        <w:t>s</w:t>
      </w:r>
      <w:r w:rsidR="005C5981" w:rsidRPr="001C2554">
        <w:rPr>
          <w:lang w:val="fr-FR"/>
        </w:rPr>
        <w:t xml:space="preserve">tratégie </w:t>
      </w:r>
      <w:r w:rsidR="00454195" w:rsidRPr="001C2554">
        <w:rPr>
          <w:lang w:val="fr-FR"/>
        </w:rPr>
        <w:t xml:space="preserve">à plus large échelle </w:t>
      </w:r>
      <w:r w:rsidR="005C5981" w:rsidRPr="001C2554">
        <w:rPr>
          <w:lang w:val="fr-FR"/>
        </w:rPr>
        <w:t xml:space="preserve">des </w:t>
      </w:r>
      <w:r w:rsidRPr="001C2554">
        <w:rPr>
          <w:lang w:val="fr-FR"/>
        </w:rPr>
        <w:t>Nations Unies</w:t>
      </w:r>
      <w:r w:rsidR="005C5981" w:rsidRPr="001C2554">
        <w:rPr>
          <w:lang w:val="fr-FR"/>
        </w:rPr>
        <w:t xml:space="preserve"> pour l</w:t>
      </w:r>
      <w:r w:rsidRPr="001C2554">
        <w:rPr>
          <w:lang w:val="fr-FR"/>
        </w:rPr>
        <w:t>’</w:t>
      </w:r>
      <w:r w:rsidR="005C5981" w:rsidRPr="001C2554">
        <w:rPr>
          <w:lang w:val="fr-FR"/>
        </w:rPr>
        <w:t>inclusion du handic</w:t>
      </w:r>
      <w:r w:rsidR="001C2554" w:rsidRPr="001C2554">
        <w:rPr>
          <w:lang w:val="fr-FR"/>
        </w:rPr>
        <w:t>ap.  Le</w:t>
      </w:r>
      <w:r w:rsidR="005C5981" w:rsidRPr="001C2554">
        <w:rPr>
          <w:lang w:val="fr-FR"/>
        </w:rPr>
        <w:t>s activités menées par l</w:t>
      </w:r>
      <w:r w:rsidRPr="001C2554">
        <w:rPr>
          <w:lang w:val="fr-FR"/>
        </w:rPr>
        <w:t>’</w:t>
      </w:r>
      <w:r w:rsidR="005C5981" w:rsidRPr="001C2554">
        <w:rPr>
          <w:lang w:val="fr-FR"/>
        </w:rPr>
        <w:t>OMPI en matière d</w:t>
      </w:r>
      <w:r w:rsidRPr="001C2554">
        <w:rPr>
          <w:lang w:val="fr-FR"/>
        </w:rPr>
        <w:t>’</w:t>
      </w:r>
      <w:r w:rsidR="005C5981" w:rsidRPr="001C2554">
        <w:rPr>
          <w:lang w:val="fr-FR"/>
        </w:rPr>
        <w:t>inclusion du handicap s</w:t>
      </w:r>
      <w:r w:rsidRPr="001C2554">
        <w:rPr>
          <w:lang w:val="fr-FR"/>
        </w:rPr>
        <w:t>’</w:t>
      </w:r>
      <w:r w:rsidR="005C5981" w:rsidRPr="001C2554">
        <w:rPr>
          <w:lang w:val="fr-FR"/>
        </w:rPr>
        <w:t>appuieront sur les initiatives mises en place dans le passé et les renforceront, avec notamment une amélioration des mesures d</w:t>
      </w:r>
      <w:r w:rsidRPr="001C2554">
        <w:rPr>
          <w:lang w:val="fr-FR"/>
        </w:rPr>
        <w:t>’</w:t>
      </w:r>
      <w:r w:rsidR="005C5981" w:rsidRPr="001C2554">
        <w:rPr>
          <w:lang w:val="fr-FR"/>
        </w:rPr>
        <w:t>accessibilité dans les locaux de l</w:t>
      </w:r>
      <w:r w:rsidRPr="001C2554">
        <w:rPr>
          <w:lang w:val="fr-FR"/>
        </w:rPr>
        <w:t>’</w:t>
      </w:r>
      <w:r w:rsidR="005C5981" w:rsidRPr="001C2554">
        <w:rPr>
          <w:lang w:val="fr-FR"/>
        </w:rPr>
        <w:t>OMPI et l</w:t>
      </w:r>
      <w:r w:rsidRPr="001C2554">
        <w:rPr>
          <w:lang w:val="fr-FR"/>
        </w:rPr>
        <w:t>’</w:t>
      </w:r>
      <w:r w:rsidR="005C5981" w:rsidRPr="001C2554">
        <w:rPr>
          <w:lang w:val="fr-FR"/>
        </w:rPr>
        <w:t>initiative du “Consortium pour des livres accessibles” (ABC).  Grâce à ces initiatives, l</w:t>
      </w:r>
      <w:r w:rsidRPr="001C2554">
        <w:rPr>
          <w:lang w:val="fr-FR"/>
        </w:rPr>
        <w:t>’</w:t>
      </w:r>
      <w:r w:rsidR="005C5981" w:rsidRPr="001C2554">
        <w:rPr>
          <w:lang w:val="fr-FR"/>
        </w:rPr>
        <w:t>OMPI a établi de bonnes relations avec les organisations de personnes vivant avec un handicap, en particulier celles qui représentent les aveugles et</w:t>
      </w:r>
      <w:r w:rsidR="00454195" w:rsidRPr="001C2554">
        <w:rPr>
          <w:lang w:val="fr-FR"/>
        </w:rPr>
        <w:t xml:space="preserve"> les personnes souffrant d</w:t>
      </w:r>
      <w:r w:rsidRPr="001C2554">
        <w:rPr>
          <w:lang w:val="fr-FR"/>
        </w:rPr>
        <w:t>’</w:t>
      </w:r>
      <w:r w:rsidR="00454195" w:rsidRPr="001C2554">
        <w:rPr>
          <w:lang w:val="fr-FR"/>
        </w:rPr>
        <w:t>une</w:t>
      </w:r>
      <w:r w:rsidR="005C5981" w:rsidRPr="001C2554">
        <w:rPr>
          <w:lang w:val="fr-FR"/>
        </w:rPr>
        <w:t xml:space="preserve"> </w:t>
      </w:r>
      <w:r w:rsidR="00454195" w:rsidRPr="001C2554">
        <w:rPr>
          <w:lang w:val="fr-FR"/>
        </w:rPr>
        <w:t>déficience visuel</w:t>
      </w:r>
      <w:r w:rsidR="001C2554" w:rsidRPr="001C2554">
        <w:rPr>
          <w:lang w:val="fr-FR"/>
        </w:rPr>
        <w:t>le.  Pa</w:t>
      </w:r>
      <w:r w:rsidR="005C5981" w:rsidRPr="001C2554">
        <w:rPr>
          <w:lang w:val="fr-FR"/>
        </w:rPr>
        <w:t>r ailleurs, l</w:t>
      </w:r>
      <w:r w:rsidRPr="001C2554">
        <w:rPr>
          <w:lang w:val="fr-FR"/>
        </w:rPr>
        <w:t>’</w:t>
      </w:r>
      <w:r w:rsidR="005C5981" w:rsidRPr="001C2554">
        <w:rPr>
          <w:lang w:val="fr-FR"/>
        </w:rPr>
        <w:t>OMPI, en partenariat avec l</w:t>
      </w:r>
      <w:r w:rsidRPr="001C2554">
        <w:rPr>
          <w:lang w:val="fr-FR"/>
        </w:rPr>
        <w:t>’</w:t>
      </w:r>
      <w:r w:rsidR="005C5981" w:rsidRPr="001C2554">
        <w:rPr>
          <w:lang w:val="fr-FR"/>
        </w:rPr>
        <w:t>U</w:t>
      </w:r>
      <w:r w:rsidR="00454195" w:rsidRPr="001C2554">
        <w:rPr>
          <w:lang w:val="fr-FR"/>
        </w:rPr>
        <w:t>nion internationale des télécommunications (UIT)</w:t>
      </w:r>
      <w:r w:rsidR="005C5981" w:rsidRPr="001C2554">
        <w:rPr>
          <w:lang w:val="fr-FR"/>
        </w:rPr>
        <w:t xml:space="preserve"> et l</w:t>
      </w:r>
      <w:r w:rsidRPr="001C2554">
        <w:rPr>
          <w:lang w:val="fr-FR"/>
        </w:rPr>
        <w:t>’</w:t>
      </w:r>
      <w:r w:rsidR="005C5981" w:rsidRPr="001C2554">
        <w:rPr>
          <w:lang w:val="fr-FR"/>
        </w:rPr>
        <w:t>O</w:t>
      </w:r>
      <w:r w:rsidR="00454195" w:rsidRPr="001C2554">
        <w:rPr>
          <w:lang w:val="fr-FR"/>
        </w:rPr>
        <w:t xml:space="preserve">rganisation internationale du </w:t>
      </w:r>
      <w:r w:rsidR="008422E3" w:rsidRPr="001C2554">
        <w:rPr>
          <w:lang w:val="fr-FR"/>
        </w:rPr>
        <w:t>Travail</w:t>
      </w:r>
      <w:r w:rsidR="00454195" w:rsidRPr="001C2554">
        <w:rPr>
          <w:lang w:val="fr-FR"/>
        </w:rPr>
        <w:t xml:space="preserve"> (OIT)</w:t>
      </w:r>
      <w:r w:rsidR="005C5981" w:rsidRPr="001C2554">
        <w:rPr>
          <w:lang w:val="fr-FR"/>
        </w:rPr>
        <w:t>, a procédé à une évaluation de sa plateforme de recrutement en ligne afin d</w:t>
      </w:r>
      <w:r w:rsidRPr="001C2554">
        <w:rPr>
          <w:lang w:val="fr-FR"/>
        </w:rPr>
        <w:t>’</w:t>
      </w:r>
      <w:r w:rsidR="005C5981" w:rsidRPr="001C2554">
        <w:rPr>
          <w:lang w:val="fr-FR"/>
        </w:rPr>
        <w:t>en garantir l</w:t>
      </w:r>
      <w:r w:rsidRPr="001C2554">
        <w:rPr>
          <w:lang w:val="fr-FR"/>
        </w:rPr>
        <w:t>’</w:t>
      </w:r>
      <w:r w:rsidR="005C5981" w:rsidRPr="001C2554">
        <w:rPr>
          <w:lang w:val="fr-FR"/>
        </w:rPr>
        <w:t>accessibilité à tous les utilisateu</w:t>
      </w:r>
      <w:r w:rsidR="001C2554" w:rsidRPr="001C2554">
        <w:rPr>
          <w:lang w:val="fr-FR"/>
        </w:rPr>
        <w:t>rs.  Le</w:t>
      </w:r>
      <w:r w:rsidR="005C5981" w:rsidRPr="001C2554">
        <w:rPr>
          <w:lang w:val="fr-FR"/>
        </w:rPr>
        <w:t>s recommandations du rapport sont actuellement mises en œuvre.</w:t>
      </w:r>
    </w:p>
    <w:p w14:paraId="5CB72271" w14:textId="77777777" w:rsidR="005C5981" w:rsidRPr="001C2554" w:rsidRDefault="005C5981" w:rsidP="00C33511">
      <w:pPr>
        <w:pStyle w:val="Heading3"/>
      </w:pPr>
      <w:r w:rsidRPr="001C2554">
        <w:t>Autres faits nouveaux</w:t>
      </w:r>
    </w:p>
    <w:p w14:paraId="6656CDF9" w14:textId="5C628C3B" w:rsidR="006C6733" w:rsidRPr="001C2554" w:rsidRDefault="005C5981" w:rsidP="006C6733">
      <w:pPr>
        <w:pStyle w:val="ONUMFS"/>
        <w:rPr>
          <w:lang w:val="fr-FR"/>
        </w:rPr>
      </w:pPr>
      <w:r w:rsidRPr="001C2554">
        <w:rPr>
          <w:lang w:val="fr-FR"/>
        </w:rPr>
        <w:t>Ces dernières années,</w:t>
      </w:r>
      <w:r w:rsidR="009A47FE" w:rsidRPr="001C2554">
        <w:rPr>
          <w:lang w:val="fr-FR"/>
        </w:rPr>
        <w:t xml:space="preserve"> le DGR</w:t>
      </w:r>
      <w:r w:rsidRPr="001C2554">
        <w:rPr>
          <w:lang w:val="fr-FR"/>
        </w:rPr>
        <w:t>H s</w:t>
      </w:r>
      <w:r w:rsidR="006115E0" w:rsidRPr="001C2554">
        <w:rPr>
          <w:lang w:val="fr-FR"/>
        </w:rPr>
        <w:t>’</w:t>
      </w:r>
      <w:r w:rsidRPr="001C2554">
        <w:rPr>
          <w:lang w:val="fr-FR"/>
        </w:rPr>
        <w:t>est lancé dans un projet de transformation numérique visant à mettre en œuvre une série de nouveaux outils, processus et procédures afin de créer un environnement plus porte</w:t>
      </w:r>
      <w:r w:rsidR="001C2554" w:rsidRPr="001C2554">
        <w:rPr>
          <w:lang w:val="fr-FR"/>
        </w:rPr>
        <w:t>ur.  La</w:t>
      </w:r>
      <w:r w:rsidRPr="001C2554">
        <w:rPr>
          <w:lang w:val="fr-FR"/>
        </w:rPr>
        <w:t xml:space="preserve"> pandémie a accéléré cette transition vers des méthodes de travail numériques et a également montré comment la technologie pouvait être utilisée pour libérer du temps généralement consacré à des tâches répétitives et routinières.</w:t>
      </w:r>
    </w:p>
    <w:p w14:paraId="51FC018C" w14:textId="5C8E21AC" w:rsidR="006C6733" w:rsidRPr="001C2554" w:rsidRDefault="009A47FE" w:rsidP="006C6733">
      <w:pPr>
        <w:pStyle w:val="ONUMFS"/>
        <w:rPr>
          <w:lang w:val="fr-FR"/>
        </w:rPr>
      </w:pPr>
      <w:r w:rsidRPr="001C2554">
        <w:rPr>
          <w:lang w:val="fr-FR"/>
        </w:rPr>
        <w:t>En 2021</w:t>
      </w:r>
      <w:r w:rsidR="005C5981" w:rsidRPr="001C2554">
        <w:rPr>
          <w:lang w:val="fr-FR"/>
        </w:rPr>
        <w:t>,</w:t>
      </w:r>
      <w:r w:rsidRPr="001C2554">
        <w:rPr>
          <w:lang w:val="fr-FR"/>
        </w:rPr>
        <w:t xml:space="preserve"> le DGR</w:t>
      </w:r>
      <w:r w:rsidR="005C5981" w:rsidRPr="001C2554">
        <w:rPr>
          <w:lang w:val="fr-FR"/>
        </w:rPr>
        <w:t>H, en coordination avec d</w:t>
      </w:r>
      <w:r w:rsidR="006115E0" w:rsidRPr="001C2554">
        <w:rPr>
          <w:lang w:val="fr-FR"/>
        </w:rPr>
        <w:t>’</w:t>
      </w:r>
      <w:r w:rsidR="005C5981" w:rsidRPr="001C2554">
        <w:rPr>
          <w:lang w:val="fr-FR"/>
        </w:rPr>
        <w:t>autres services internes, a introduit une nouvelle interface améliorant l</w:t>
      </w:r>
      <w:r w:rsidR="006115E0" w:rsidRPr="001C2554">
        <w:rPr>
          <w:lang w:val="fr-FR"/>
        </w:rPr>
        <w:t>’</w:t>
      </w:r>
      <w:r w:rsidR="005C5981" w:rsidRPr="001C2554">
        <w:rPr>
          <w:lang w:val="fr-FR"/>
        </w:rPr>
        <w:t>expérience des employés lorsqu</w:t>
      </w:r>
      <w:r w:rsidR="006115E0" w:rsidRPr="001C2554">
        <w:rPr>
          <w:lang w:val="fr-FR"/>
        </w:rPr>
        <w:t>’</w:t>
      </w:r>
      <w:r w:rsidR="005C5981" w:rsidRPr="001C2554">
        <w:rPr>
          <w:lang w:val="fr-FR"/>
        </w:rPr>
        <w:t>ils se connectent au portail consacré aux ressources humaines et a poursuivi le développement des modalités d</w:t>
      </w:r>
      <w:r w:rsidR="006115E0" w:rsidRPr="001C2554">
        <w:rPr>
          <w:lang w:val="fr-FR"/>
        </w:rPr>
        <w:t>’</w:t>
      </w:r>
      <w:r w:rsidR="005C5981" w:rsidRPr="001C2554">
        <w:rPr>
          <w:lang w:val="fr-FR"/>
        </w:rPr>
        <w:t xml:space="preserve">aménagement du temps de travail, </w:t>
      </w:r>
      <w:r w:rsidR="006115E0" w:rsidRPr="001C2554">
        <w:rPr>
          <w:lang w:val="fr-FR"/>
        </w:rPr>
        <w:t>y compris</w:t>
      </w:r>
      <w:r w:rsidR="005C5981" w:rsidRPr="001C2554">
        <w:rPr>
          <w:lang w:val="fr-FR"/>
        </w:rPr>
        <w:t xml:space="preserve"> le télétravail, pour une mise en œuvre en janvier 2022. </w:t>
      </w:r>
      <w:r w:rsidRPr="001C2554">
        <w:rPr>
          <w:lang w:val="fr-FR"/>
        </w:rPr>
        <w:t xml:space="preserve"> Le DGR</w:t>
      </w:r>
      <w:r w:rsidR="005C5981" w:rsidRPr="001C2554">
        <w:rPr>
          <w:lang w:val="fr-FR"/>
        </w:rPr>
        <w:t>H a également achevé le projet de numérisation des dossiers papier des membres du personnel en activité afin d</w:t>
      </w:r>
      <w:r w:rsidR="006115E0" w:rsidRPr="001C2554">
        <w:rPr>
          <w:lang w:val="fr-FR"/>
        </w:rPr>
        <w:t>’</w:t>
      </w:r>
      <w:r w:rsidR="005C5981" w:rsidRPr="001C2554">
        <w:rPr>
          <w:lang w:val="fr-FR"/>
        </w:rPr>
        <w:t>améliorer l</w:t>
      </w:r>
      <w:r w:rsidR="006115E0" w:rsidRPr="001C2554">
        <w:rPr>
          <w:lang w:val="fr-FR"/>
        </w:rPr>
        <w:t>’</w:t>
      </w:r>
      <w:r w:rsidR="005C5981" w:rsidRPr="001C2554">
        <w:rPr>
          <w:lang w:val="fr-FR"/>
        </w:rPr>
        <w:t>archivage numérique centralisé des documents et des dossiers relatifs au personnel et de renforcer ainsi ses capacités s</w:t>
      </w:r>
      <w:r w:rsidR="006115E0" w:rsidRPr="001C2554">
        <w:rPr>
          <w:lang w:val="fr-FR"/>
        </w:rPr>
        <w:t>’</w:t>
      </w:r>
      <w:r w:rsidR="005C5981" w:rsidRPr="001C2554">
        <w:rPr>
          <w:lang w:val="fr-FR"/>
        </w:rPr>
        <w:t>agissant de consulter ces informations en ligne de manière sécurisée depuis le bureau et à distan</w:t>
      </w:r>
      <w:r w:rsidR="001C2554" w:rsidRPr="001C2554">
        <w:rPr>
          <w:lang w:val="fr-FR"/>
        </w:rPr>
        <w:t>ce.  De</w:t>
      </w:r>
      <w:r w:rsidR="005C5981" w:rsidRPr="001C2554">
        <w:rPr>
          <w:lang w:val="fr-FR"/>
        </w:rPr>
        <w:t xml:space="preserve"> même, afin de mieux gérer le congé de maladie de longue durée, un système a été spécialement mis au point pour l</w:t>
      </w:r>
      <w:r w:rsidR="006115E0" w:rsidRPr="001C2554">
        <w:rPr>
          <w:lang w:val="fr-FR"/>
        </w:rPr>
        <w:t>’</w:t>
      </w:r>
      <w:r w:rsidR="005C5981" w:rsidRPr="001C2554">
        <w:rPr>
          <w:lang w:val="fr-FR"/>
        </w:rPr>
        <w:t>Unité médicale, lui permettant de cibler les cas nécessitant son aide, d</w:t>
      </w:r>
      <w:r w:rsidR="006115E0" w:rsidRPr="001C2554">
        <w:rPr>
          <w:lang w:val="fr-FR"/>
        </w:rPr>
        <w:t>’</w:t>
      </w:r>
      <w:r w:rsidR="005C5981" w:rsidRPr="001C2554">
        <w:rPr>
          <w:lang w:val="fr-FR"/>
        </w:rPr>
        <w:t>aider les personnes concernées à retourner au travail, et d</w:t>
      </w:r>
      <w:r w:rsidR="006115E0" w:rsidRPr="001C2554">
        <w:rPr>
          <w:lang w:val="fr-FR"/>
        </w:rPr>
        <w:t>’</w:t>
      </w:r>
      <w:r w:rsidR="005C5981" w:rsidRPr="001C2554">
        <w:rPr>
          <w:lang w:val="fr-FR"/>
        </w:rPr>
        <w:t>aider leur service à préparer adéquatement ce retour.</w:t>
      </w:r>
    </w:p>
    <w:p w14:paraId="26EDCCEA" w14:textId="712A89A6" w:rsidR="006C6733" w:rsidRPr="001C2554" w:rsidRDefault="005C5981" w:rsidP="006C6733">
      <w:pPr>
        <w:pStyle w:val="ONUMFS"/>
        <w:rPr>
          <w:lang w:val="fr-FR"/>
        </w:rPr>
      </w:pPr>
      <w:r w:rsidRPr="001C2554">
        <w:rPr>
          <w:lang w:val="fr-FR"/>
        </w:rPr>
        <w:lastRenderedPageBreak/>
        <w:t>En outre, depuis l</w:t>
      </w:r>
      <w:r w:rsidR="006115E0" w:rsidRPr="001C2554">
        <w:rPr>
          <w:lang w:val="fr-FR"/>
        </w:rPr>
        <w:t>’</w:t>
      </w:r>
      <w:r w:rsidRPr="001C2554">
        <w:rPr>
          <w:lang w:val="fr-FR"/>
        </w:rPr>
        <w:t>année dernière, l</w:t>
      </w:r>
      <w:r w:rsidR="006115E0" w:rsidRPr="001C2554">
        <w:rPr>
          <w:lang w:val="fr-FR"/>
        </w:rPr>
        <w:t>’</w:t>
      </w:r>
      <w:r w:rsidRPr="001C2554">
        <w:rPr>
          <w:lang w:val="fr-FR"/>
        </w:rPr>
        <w:t>ensemble du processus de recrutement, depuis la planification et la recherche de talents jusqu</w:t>
      </w:r>
      <w:r w:rsidR="006115E0" w:rsidRPr="001C2554">
        <w:rPr>
          <w:lang w:val="fr-FR"/>
        </w:rPr>
        <w:t>’</w:t>
      </w:r>
      <w:r w:rsidRPr="001C2554">
        <w:rPr>
          <w:lang w:val="fr-FR"/>
        </w:rPr>
        <w:t>à l</w:t>
      </w:r>
      <w:r w:rsidR="006115E0" w:rsidRPr="001C2554">
        <w:rPr>
          <w:lang w:val="fr-FR"/>
        </w:rPr>
        <w:t>’</w:t>
      </w:r>
      <w:r w:rsidRPr="001C2554">
        <w:rPr>
          <w:lang w:val="fr-FR"/>
        </w:rPr>
        <w:t>évaluation, la sélection et l</w:t>
      </w:r>
      <w:r w:rsidR="006115E0" w:rsidRPr="001C2554">
        <w:rPr>
          <w:lang w:val="fr-FR"/>
        </w:rPr>
        <w:t>’</w:t>
      </w:r>
      <w:r w:rsidRPr="001C2554">
        <w:rPr>
          <w:lang w:val="fr-FR"/>
        </w:rPr>
        <w:t>engagement, se déroule dans un environnement virtu</w:t>
      </w:r>
      <w:r w:rsidR="001C2554" w:rsidRPr="001C2554">
        <w:rPr>
          <w:lang w:val="fr-FR"/>
        </w:rPr>
        <w:t>el.  L’u</w:t>
      </w:r>
      <w:r w:rsidRPr="001C2554">
        <w:rPr>
          <w:lang w:val="fr-FR"/>
        </w:rPr>
        <w:t xml:space="preserve">tilisation de technologies telles que les entretiens vidéo différés et une plateforme de tests en ligne </w:t>
      </w:r>
      <w:r w:rsidR="004D3740" w:rsidRPr="001C2554">
        <w:rPr>
          <w:lang w:val="fr-FR"/>
        </w:rPr>
        <w:t>a</w:t>
      </w:r>
      <w:r w:rsidRPr="001C2554">
        <w:rPr>
          <w:lang w:val="fr-FR"/>
        </w:rPr>
        <w:t xml:space="preserve"> permis d</w:t>
      </w:r>
      <w:r w:rsidR="006115E0" w:rsidRPr="001C2554">
        <w:rPr>
          <w:lang w:val="fr-FR"/>
        </w:rPr>
        <w:t>’</w:t>
      </w:r>
      <w:r w:rsidRPr="001C2554">
        <w:rPr>
          <w:lang w:val="fr-FR"/>
        </w:rPr>
        <w:t>offrir aux candidats une expérience de pointe, tout en permettant</w:t>
      </w:r>
      <w:r w:rsidR="009A47FE" w:rsidRPr="001C2554">
        <w:rPr>
          <w:lang w:val="fr-FR"/>
        </w:rPr>
        <w:t xml:space="preserve"> au DGR</w:t>
      </w:r>
      <w:r w:rsidRPr="001C2554">
        <w:rPr>
          <w:lang w:val="fr-FR"/>
        </w:rPr>
        <w:t>H d</w:t>
      </w:r>
      <w:r w:rsidR="006115E0" w:rsidRPr="001C2554">
        <w:rPr>
          <w:lang w:val="fr-FR"/>
        </w:rPr>
        <w:t>’</w:t>
      </w:r>
      <w:r w:rsidRPr="001C2554">
        <w:rPr>
          <w:lang w:val="fr-FR"/>
        </w:rPr>
        <w:t>utiliser plus stratégiquement son temps pour des responsabilités à valeur ajout</w:t>
      </w:r>
      <w:r w:rsidR="001C2554" w:rsidRPr="001C2554">
        <w:rPr>
          <w:lang w:val="fr-FR"/>
        </w:rPr>
        <w:t>ée.  Pa</w:t>
      </w:r>
      <w:r w:rsidRPr="001C2554">
        <w:rPr>
          <w:lang w:val="fr-FR"/>
        </w:rPr>
        <w:t>rallèlement,</w:t>
      </w:r>
      <w:r w:rsidR="009A47FE" w:rsidRPr="001C2554">
        <w:rPr>
          <w:lang w:val="fr-FR"/>
        </w:rPr>
        <w:t xml:space="preserve"> le DGR</w:t>
      </w:r>
      <w:r w:rsidRPr="001C2554">
        <w:rPr>
          <w:lang w:val="fr-FR"/>
        </w:rPr>
        <w:t>H a tenu compte du fait que l</w:t>
      </w:r>
      <w:r w:rsidR="006115E0" w:rsidRPr="001C2554">
        <w:rPr>
          <w:lang w:val="fr-FR"/>
        </w:rPr>
        <w:t>’</w:t>
      </w:r>
      <w:r w:rsidRPr="001C2554">
        <w:rPr>
          <w:lang w:val="fr-FR"/>
        </w:rPr>
        <w:t>intégration à distance des personnes nouvellement engagées, avec les difficultés qu</w:t>
      </w:r>
      <w:r w:rsidR="006115E0" w:rsidRPr="001C2554">
        <w:rPr>
          <w:lang w:val="fr-FR"/>
        </w:rPr>
        <w:t>’</w:t>
      </w:r>
      <w:r w:rsidRPr="001C2554">
        <w:rPr>
          <w:lang w:val="fr-FR"/>
        </w:rPr>
        <w:t>elle suppose, était devenue une composante incontournable du recrutement virtu</w:t>
      </w:r>
      <w:r w:rsidR="001C2554" w:rsidRPr="001C2554">
        <w:rPr>
          <w:lang w:val="fr-FR"/>
        </w:rPr>
        <w:t>el.  Un</w:t>
      </w:r>
      <w:r w:rsidRPr="001C2554">
        <w:rPr>
          <w:lang w:val="fr-FR"/>
        </w:rPr>
        <w:t xml:space="preserve"> nouveau projet à cet égard a été lancé et devrait être achevé à la mi</w:t>
      </w:r>
      <w:r w:rsidR="00687F84">
        <w:rPr>
          <w:lang w:val="fr-FR"/>
        </w:rPr>
        <w:noBreakHyphen/>
      </w:r>
      <w:r w:rsidRPr="001C2554">
        <w:rPr>
          <w:lang w:val="fr-FR"/>
        </w:rPr>
        <w:t>2022.</w:t>
      </w:r>
    </w:p>
    <w:p w14:paraId="6CB6A399" w14:textId="563756B0" w:rsidR="006C6733" w:rsidRPr="001C2554" w:rsidRDefault="005C5981" w:rsidP="006C6733">
      <w:pPr>
        <w:pStyle w:val="ONUMFS"/>
        <w:rPr>
          <w:lang w:val="fr-FR"/>
        </w:rPr>
      </w:pPr>
      <w:r w:rsidRPr="001C2554">
        <w:rPr>
          <w:lang w:val="fr-FR"/>
        </w:rPr>
        <w:t>Le DGRH déploie des efforts considérables dans l</w:t>
      </w:r>
      <w:r w:rsidR="006115E0" w:rsidRPr="001C2554">
        <w:rPr>
          <w:lang w:val="fr-FR"/>
        </w:rPr>
        <w:t>’</w:t>
      </w:r>
      <w:r w:rsidRPr="001C2554">
        <w:rPr>
          <w:lang w:val="fr-FR"/>
        </w:rPr>
        <w:t>examen et la mise à jour continus des règles et politiques régissant les conditions d</w:t>
      </w:r>
      <w:r w:rsidR="006115E0" w:rsidRPr="001C2554">
        <w:rPr>
          <w:lang w:val="fr-FR"/>
        </w:rPr>
        <w:t>’</w:t>
      </w:r>
      <w:r w:rsidRPr="001C2554">
        <w:rPr>
          <w:lang w:val="fr-FR"/>
        </w:rPr>
        <w:t>emploi des fonctionnaires de l</w:t>
      </w:r>
      <w:r w:rsidR="006115E0" w:rsidRPr="001C2554">
        <w:rPr>
          <w:lang w:val="fr-FR"/>
        </w:rPr>
        <w:t>’</w:t>
      </w:r>
      <w:r w:rsidRPr="001C2554">
        <w:rPr>
          <w:lang w:val="fr-FR"/>
        </w:rPr>
        <w:t>OMPI, ce qui permet à l</w:t>
      </w:r>
      <w:r w:rsidR="006115E0" w:rsidRPr="001C2554">
        <w:rPr>
          <w:lang w:val="fr-FR"/>
        </w:rPr>
        <w:t>’</w:t>
      </w:r>
      <w:r w:rsidRPr="001C2554">
        <w:rPr>
          <w:lang w:val="fr-FR"/>
        </w:rPr>
        <w:t>OMPI de maintenir un cadre réglementaire fiable qui s</w:t>
      </w:r>
      <w:r w:rsidR="006115E0" w:rsidRPr="001C2554">
        <w:rPr>
          <w:lang w:val="fr-FR"/>
        </w:rPr>
        <w:t>’</w:t>
      </w:r>
      <w:r w:rsidRPr="001C2554">
        <w:rPr>
          <w:lang w:val="fr-FR"/>
        </w:rPr>
        <w:t>adapte à l</w:t>
      </w:r>
      <w:r w:rsidR="006115E0" w:rsidRPr="001C2554">
        <w:rPr>
          <w:lang w:val="fr-FR"/>
        </w:rPr>
        <w:t>’</w:t>
      </w:r>
      <w:r w:rsidRPr="001C2554">
        <w:rPr>
          <w:lang w:val="fr-FR"/>
        </w:rPr>
        <w:t>évolution des besoins et des priorités de l</w:t>
      </w:r>
      <w:r w:rsidR="006115E0" w:rsidRPr="001C2554">
        <w:rPr>
          <w:lang w:val="fr-FR"/>
        </w:rPr>
        <w:t>’</w:t>
      </w:r>
      <w:r w:rsidRPr="001C2554">
        <w:rPr>
          <w:lang w:val="fr-FR"/>
        </w:rPr>
        <w:t>Organisation et permet d</w:t>
      </w:r>
      <w:r w:rsidR="006115E0" w:rsidRPr="001C2554">
        <w:rPr>
          <w:lang w:val="fr-FR"/>
        </w:rPr>
        <w:t>’</w:t>
      </w:r>
      <w:r w:rsidRPr="001C2554">
        <w:rPr>
          <w:lang w:val="fr-FR"/>
        </w:rPr>
        <w:t xml:space="preserve">y répondre, tout en étant aligné sur les meilleures pratiques en vigueur dans les organisations appliquant le régime commun des </w:t>
      </w:r>
      <w:r w:rsidR="006115E0" w:rsidRPr="001C2554">
        <w:rPr>
          <w:lang w:val="fr-FR"/>
        </w:rPr>
        <w:t>Nations Uni</w:t>
      </w:r>
      <w:r w:rsidR="001C2554" w:rsidRPr="001C2554">
        <w:rPr>
          <w:lang w:val="fr-FR"/>
        </w:rPr>
        <w:t>es.  Da</w:t>
      </w:r>
      <w:r w:rsidRPr="001C2554">
        <w:rPr>
          <w:lang w:val="fr-FR"/>
        </w:rPr>
        <w:t>ns le cadre de l</w:t>
      </w:r>
      <w:r w:rsidR="006115E0" w:rsidRPr="001C2554">
        <w:rPr>
          <w:lang w:val="fr-FR"/>
        </w:rPr>
        <w:t>’</w:t>
      </w:r>
      <w:r w:rsidRPr="001C2554">
        <w:rPr>
          <w:lang w:val="fr-FR"/>
        </w:rPr>
        <w:t>amélioration continue des politiques applicables aux ressources humaines, une vingtaine d</w:t>
      </w:r>
      <w:r w:rsidR="006115E0" w:rsidRPr="001C2554">
        <w:rPr>
          <w:lang w:val="fr-FR"/>
        </w:rPr>
        <w:t>’</w:t>
      </w:r>
      <w:r w:rsidRPr="001C2554">
        <w:rPr>
          <w:lang w:val="fr-FR"/>
        </w:rPr>
        <w:t>ordres de service nouveaux ou révisés et d</w:t>
      </w:r>
      <w:r w:rsidR="006115E0" w:rsidRPr="001C2554">
        <w:rPr>
          <w:lang w:val="fr-FR"/>
        </w:rPr>
        <w:t>’</w:t>
      </w:r>
      <w:r w:rsidRPr="001C2554">
        <w:rPr>
          <w:lang w:val="fr-FR"/>
        </w:rPr>
        <w:t>autres textes administratifs ont été publiés au cours de la période considérée, accompagnés, le cas échéant, de communications de nature générale visant à s</w:t>
      </w:r>
      <w:r w:rsidR="006115E0" w:rsidRPr="001C2554">
        <w:rPr>
          <w:lang w:val="fr-FR"/>
        </w:rPr>
        <w:t>’</w:t>
      </w:r>
      <w:r w:rsidRPr="001C2554">
        <w:rPr>
          <w:lang w:val="fr-FR"/>
        </w:rPr>
        <w:t>assurer que le personnel comprenne les nouvelles dispositions.</w:t>
      </w:r>
    </w:p>
    <w:p w14:paraId="40753AA6" w14:textId="0C2C6654" w:rsidR="005C5981" w:rsidRPr="001C2554" w:rsidRDefault="005C5981" w:rsidP="006C6733">
      <w:pPr>
        <w:pStyle w:val="ONUMFS"/>
        <w:rPr>
          <w:lang w:val="fr-FR"/>
        </w:rPr>
      </w:pPr>
      <w:r w:rsidRPr="001C2554">
        <w:rPr>
          <w:lang w:val="fr-FR"/>
        </w:rPr>
        <w:t>Enfin, comme nous l</w:t>
      </w:r>
      <w:r w:rsidR="006115E0" w:rsidRPr="001C2554">
        <w:rPr>
          <w:lang w:val="fr-FR"/>
        </w:rPr>
        <w:t>’</w:t>
      </w:r>
      <w:r w:rsidRPr="001C2554">
        <w:rPr>
          <w:lang w:val="fr-FR"/>
        </w:rPr>
        <w:t>avons mentionné dans notre précédent rapport annuel, le changement de la culture de l</w:t>
      </w:r>
      <w:r w:rsidR="006115E0" w:rsidRPr="001C2554">
        <w:rPr>
          <w:lang w:val="fr-FR"/>
        </w:rPr>
        <w:t>’</w:t>
      </w:r>
      <w:r w:rsidRPr="001C2554">
        <w:rPr>
          <w:lang w:val="fr-FR"/>
        </w:rPr>
        <w:t>OMPI, en étant à l</w:t>
      </w:r>
      <w:r w:rsidR="006115E0" w:rsidRPr="001C2554">
        <w:rPr>
          <w:lang w:val="fr-FR"/>
        </w:rPr>
        <w:t>’</w:t>
      </w:r>
      <w:r w:rsidRPr="001C2554">
        <w:rPr>
          <w:lang w:val="fr-FR"/>
        </w:rPr>
        <w:t>écoute de son personnel afin de créer une culture fondée sur la confiance, dynamique et gratifiante, est une priorité essentielle de l</w:t>
      </w:r>
      <w:r w:rsidR="006115E0" w:rsidRPr="001C2554">
        <w:rPr>
          <w:lang w:val="fr-FR"/>
        </w:rPr>
        <w:t>’</w:t>
      </w:r>
      <w:r w:rsidRPr="001C2554">
        <w:rPr>
          <w:lang w:val="fr-FR"/>
        </w:rPr>
        <w:t>Administrati</w:t>
      </w:r>
      <w:r w:rsidR="001C2554" w:rsidRPr="001C2554">
        <w:rPr>
          <w:lang w:val="fr-FR"/>
        </w:rPr>
        <w:t>on.  L’o</w:t>
      </w:r>
      <w:r w:rsidRPr="001C2554">
        <w:rPr>
          <w:lang w:val="fr-FR"/>
        </w:rPr>
        <w:t>bjectif est de mettre en place des outils permettant d</w:t>
      </w:r>
      <w:r w:rsidR="006115E0" w:rsidRPr="001C2554">
        <w:rPr>
          <w:lang w:val="fr-FR"/>
        </w:rPr>
        <w:t>’</w:t>
      </w:r>
      <w:r w:rsidRPr="001C2554">
        <w:rPr>
          <w:lang w:val="fr-FR"/>
        </w:rPr>
        <w:t>identifier ce qui fonctionne et ce qui ne fonctionne pas, de mieux comprendre les motivations et les aspirations des membres du personnel, de savoir comment améliorer leur bien</w:t>
      </w:r>
      <w:r w:rsidR="00687F84">
        <w:rPr>
          <w:lang w:val="fr-FR"/>
        </w:rPr>
        <w:noBreakHyphen/>
      </w:r>
      <w:r w:rsidRPr="001C2554">
        <w:rPr>
          <w:lang w:val="fr-FR"/>
        </w:rPr>
        <w:t>être et de prendre en considération l</w:t>
      </w:r>
      <w:r w:rsidR="006115E0" w:rsidRPr="001C2554">
        <w:rPr>
          <w:lang w:val="fr-FR"/>
        </w:rPr>
        <w:t>’</w:t>
      </w:r>
      <w:r w:rsidRPr="001C2554">
        <w:rPr>
          <w:lang w:val="fr-FR"/>
        </w:rPr>
        <w:t>avis du personnel dans les décisions administrativ</w:t>
      </w:r>
      <w:r w:rsidR="001C2554" w:rsidRPr="001C2554">
        <w:rPr>
          <w:lang w:val="fr-FR"/>
        </w:rPr>
        <w:t xml:space="preserve">es.  À </w:t>
      </w:r>
      <w:r w:rsidRPr="001C2554">
        <w:rPr>
          <w:lang w:val="fr-FR"/>
        </w:rPr>
        <w:t xml:space="preserve">cette fin, une enquête sur la participation du personnel va être lancée </w:t>
      </w:r>
      <w:r w:rsidR="009A47FE" w:rsidRPr="001C2554">
        <w:rPr>
          <w:lang w:val="fr-FR"/>
        </w:rPr>
        <w:t>en 2022</w:t>
      </w:r>
      <w:r w:rsidRPr="001C2554">
        <w:rPr>
          <w:lang w:val="fr-FR"/>
        </w:rPr>
        <w:t xml:space="preserve">, et un contrat a été signé avec LinkedIn </w:t>
      </w:r>
      <w:proofErr w:type="spellStart"/>
      <w:r w:rsidRPr="001C2554">
        <w:rPr>
          <w:lang w:val="fr-FR"/>
        </w:rPr>
        <w:t>Glint</w:t>
      </w:r>
      <w:proofErr w:type="spellEnd"/>
      <w:r w:rsidRPr="001C2554">
        <w:rPr>
          <w:lang w:val="fr-FR"/>
        </w:rPr>
        <w:t xml:space="preserve"> pour fournir une plateforme d</w:t>
      </w:r>
      <w:r w:rsidR="006115E0" w:rsidRPr="001C2554">
        <w:rPr>
          <w:lang w:val="fr-FR"/>
        </w:rPr>
        <w:t>’</w:t>
      </w:r>
      <w:r w:rsidRPr="001C2554">
        <w:rPr>
          <w:lang w:val="fr-FR"/>
        </w:rPr>
        <w:t>enquête et des services de conseil en décembre 2021.  Cette plateforme offrira un accès en temps réel et à la demande aux observations formulées par le personnel et permettra aux chefs de service et</w:t>
      </w:r>
      <w:r w:rsidR="009A47FE" w:rsidRPr="001C2554">
        <w:rPr>
          <w:lang w:val="fr-FR"/>
        </w:rPr>
        <w:t xml:space="preserve"> au DGR</w:t>
      </w:r>
      <w:r w:rsidRPr="001C2554">
        <w:rPr>
          <w:lang w:val="fr-FR"/>
        </w:rPr>
        <w:t>H de mieux comprendre les principales possibilités disponibl</w:t>
      </w:r>
      <w:r w:rsidR="001C2554" w:rsidRPr="001C2554">
        <w:rPr>
          <w:lang w:val="fr-FR"/>
        </w:rPr>
        <w:t>es.  Ce</w:t>
      </w:r>
      <w:r w:rsidRPr="001C2554">
        <w:rPr>
          <w:lang w:val="fr-FR"/>
        </w:rPr>
        <w:t>tte visibilité, associée aux recommandations pratiques de la plateforme, devrait permettre aux chefs de service de prendre les mesures les plus efficaces pour accroître la participation, renforcer les équipes et améliorer les performances dans l</w:t>
      </w:r>
      <w:r w:rsidR="006115E0" w:rsidRPr="001C2554">
        <w:rPr>
          <w:lang w:val="fr-FR"/>
        </w:rPr>
        <w:t>’</w:t>
      </w:r>
      <w:r w:rsidRPr="001C2554">
        <w:rPr>
          <w:lang w:val="fr-FR"/>
        </w:rPr>
        <w:t>ensemble de l</w:t>
      </w:r>
      <w:r w:rsidR="006115E0" w:rsidRPr="001C2554">
        <w:rPr>
          <w:lang w:val="fr-FR"/>
        </w:rPr>
        <w:t>’</w:t>
      </w:r>
      <w:r w:rsidRPr="001C2554">
        <w:rPr>
          <w:lang w:val="fr-FR"/>
        </w:rPr>
        <w:t>Organisation.</w:t>
      </w:r>
    </w:p>
    <w:p w14:paraId="7F173AEC" w14:textId="77777777" w:rsidR="005C5981" w:rsidRPr="001C2554" w:rsidRDefault="005C5981" w:rsidP="006C6733">
      <w:pPr>
        <w:pStyle w:val="Endofdocument-Annex"/>
        <w:spacing w:before="720"/>
        <w:rPr>
          <w:lang w:val="fr-FR"/>
        </w:rPr>
      </w:pPr>
      <w:r w:rsidRPr="001C2554">
        <w:rPr>
          <w:lang w:val="fr-FR"/>
        </w:rPr>
        <w:t>[Fin du document]</w:t>
      </w:r>
    </w:p>
    <w:sectPr w:rsidR="005C5981" w:rsidRPr="001C2554" w:rsidSect="00276BE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B515F" w14:textId="77777777" w:rsidR="00234C75" w:rsidRDefault="00234C75">
      <w:r>
        <w:separator/>
      </w:r>
    </w:p>
  </w:endnote>
  <w:endnote w:type="continuationSeparator" w:id="0">
    <w:p w14:paraId="7D08BDFE" w14:textId="77777777" w:rsidR="00234C75" w:rsidRDefault="00234C75" w:rsidP="003B38C1">
      <w:r>
        <w:separator/>
      </w:r>
    </w:p>
    <w:p w14:paraId="536DB44E" w14:textId="77777777" w:rsidR="00234C75" w:rsidRPr="003B38C1" w:rsidRDefault="00234C75" w:rsidP="003B38C1">
      <w:pPr>
        <w:spacing w:after="60"/>
        <w:rPr>
          <w:sz w:val="17"/>
        </w:rPr>
      </w:pPr>
      <w:r>
        <w:rPr>
          <w:sz w:val="17"/>
        </w:rPr>
        <w:t>[Endnote continued from previous page]</w:t>
      </w:r>
    </w:p>
  </w:endnote>
  <w:endnote w:type="continuationNotice" w:id="1">
    <w:p w14:paraId="63FB74F2" w14:textId="77777777" w:rsidR="00234C75" w:rsidRPr="003B38C1" w:rsidRDefault="00234C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41E0" w14:textId="77777777" w:rsidR="004E5E29" w:rsidRDefault="004E5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AE17" w14:textId="77777777" w:rsidR="001C2554" w:rsidRDefault="001C2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6AA6" w14:textId="77777777" w:rsidR="004E5E29" w:rsidRDefault="004E5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8646" w14:textId="77777777" w:rsidR="00234C75" w:rsidRDefault="00234C75">
      <w:r>
        <w:separator/>
      </w:r>
    </w:p>
  </w:footnote>
  <w:footnote w:type="continuationSeparator" w:id="0">
    <w:p w14:paraId="5BD46098" w14:textId="77777777" w:rsidR="00234C75" w:rsidRDefault="00234C75" w:rsidP="008B60B2">
      <w:r>
        <w:separator/>
      </w:r>
    </w:p>
    <w:p w14:paraId="7D8A9E6D" w14:textId="77777777" w:rsidR="00234C75" w:rsidRPr="00ED77FB" w:rsidRDefault="00234C75" w:rsidP="008B60B2">
      <w:pPr>
        <w:spacing w:after="60"/>
        <w:rPr>
          <w:sz w:val="17"/>
          <w:szCs w:val="17"/>
        </w:rPr>
      </w:pPr>
      <w:r w:rsidRPr="00ED77FB">
        <w:rPr>
          <w:sz w:val="17"/>
          <w:szCs w:val="17"/>
        </w:rPr>
        <w:t>[Footnote continued from previous page]</w:t>
      </w:r>
    </w:p>
  </w:footnote>
  <w:footnote w:type="continuationNotice" w:id="1">
    <w:p w14:paraId="19DF19F2" w14:textId="77777777" w:rsidR="00234C75" w:rsidRPr="00ED77FB" w:rsidRDefault="00234C75" w:rsidP="008B60B2">
      <w:pPr>
        <w:spacing w:before="60"/>
        <w:jc w:val="right"/>
        <w:rPr>
          <w:sz w:val="17"/>
          <w:szCs w:val="17"/>
        </w:rPr>
      </w:pPr>
      <w:r w:rsidRPr="00ED77FB">
        <w:rPr>
          <w:sz w:val="17"/>
          <w:szCs w:val="17"/>
        </w:rPr>
        <w:t>[Footnote continued on next page]</w:t>
      </w:r>
    </w:p>
  </w:footnote>
  <w:footnote w:id="2">
    <w:p w14:paraId="1C6E9D93" w14:textId="2114828A" w:rsidR="006410C7" w:rsidRPr="00B72597" w:rsidRDefault="006410C7" w:rsidP="00687F84">
      <w:pPr>
        <w:pStyle w:val="FootnoteText"/>
        <w:tabs>
          <w:tab w:val="left" w:pos="567"/>
        </w:tabs>
        <w:rPr>
          <w:szCs w:val="18"/>
          <w:lang w:val="fr-FR"/>
        </w:rPr>
      </w:pPr>
      <w:r w:rsidRPr="00B72597">
        <w:rPr>
          <w:rStyle w:val="FootnoteReference"/>
          <w:szCs w:val="18"/>
        </w:rPr>
        <w:footnoteRef/>
      </w:r>
      <w:r w:rsidRPr="00B72597">
        <w:rPr>
          <w:szCs w:val="18"/>
          <w:lang w:val="fr-FR"/>
        </w:rPr>
        <w:t xml:space="preserve"> </w:t>
      </w:r>
      <w:r w:rsidRPr="00B72597">
        <w:rPr>
          <w:szCs w:val="18"/>
          <w:lang w:val="fr-FR"/>
        </w:rPr>
        <w:tab/>
        <w:t>Au cours de la dernière période de référence (juillet 2020 à juin 2021), l</w:t>
      </w:r>
      <w:r w:rsidR="005468DF">
        <w:rPr>
          <w:szCs w:val="18"/>
          <w:lang w:val="fr-FR"/>
        </w:rPr>
        <w:t>’</w:t>
      </w:r>
      <w:r w:rsidRPr="00B72597">
        <w:rPr>
          <w:szCs w:val="18"/>
          <w:lang w:val="fr-FR"/>
        </w:rPr>
        <w:t>effectif total s</w:t>
      </w:r>
      <w:r w:rsidR="005468DF">
        <w:rPr>
          <w:szCs w:val="18"/>
          <w:lang w:val="fr-FR"/>
        </w:rPr>
        <w:t>’</w:t>
      </w:r>
      <w:r w:rsidRPr="00B72597">
        <w:rPr>
          <w:szCs w:val="18"/>
          <w:lang w:val="fr-FR"/>
        </w:rPr>
        <w:t>élevait à 1572</w:t>
      </w:r>
      <w:r w:rsidR="00FC110E" w:rsidRPr="00B72597">
        <w:rPr>
          <w:szCs w:val="18"/>
          <w:lang w:val="fr-FR"/>
        </w:rPr>
        <w:t> </w:t>
      </w:r>
      <w:r w:rsidRPr="00B72597">
        <w:rPr>
          <w:szCs w:val="18"/>
          <w:lang w:val="fr-FR"/>
        </w:rPr>
        <w:t>personnes, avec un rapport de 69/31 entre l</w:t>
      </w:r>
      <w:r w:rsidR="005468DF">
        <w:rPr>
          <w:szCs w:val="18"/>
          <w:lang w:val="fr-FR"/>
        </w:rPr>
        <w:t>’</w:t>
      </w:r>
      <w:r w:rsidRPr="00B72597">
        <w:rPr>
          <w:szCs w:val="18"/>
          <w:lang w:val="fr-FR"/>
        </w:rPr>
        <w:t>effectif affecté à des tâches permanentes et l</w:t>
      </w:r>
      <w:r w:rsidR="005468DF">
        <w:rPr>
          <w:szCs w:val="18"/>
          <w:lang w:val="fr-FR"/>
        </w:rPr>
        <w:t>’</w:t>
      </w:r>
      <w:r w:rsidRPr="00B72597">
        <w:rPr>
          <w:szCs w:val="18"/>
          <w:lang w:val="fr-FR"/>
        </w:rPr>
        <w:t>effectif modulable.</w:t>
      </w:r>
    </w:p>
  </w:footnote>
  <w:footnote w:id="3">
    <w:p w14:paraId="5A9FC573" w14:textId="76FAC7B1" w:rsidR="006410C7" w:rsidRPr="00B72597" w:rsidRDefault="006410C7" w:rsidP="00687F84">
      <w:pPr>
        <w:pStyle w:val="FootnoteText"/>
        <w:tabs>
          <w:tab w:val="left" w:pos="567"/>
        </w:tabs>
        <w:rPr>
          <w:szCs w:val="18"/>
          <w:lang w:val="fr-FR"/>
        </w:rPr>
      </w:pPr>
      <w:r w:rsidRPr="00B72597">
        <w:rPr>
          <w:rStyle w:val="FootnoteReference"/>
          <w:szCs w:val="18"/>
          <w:lang w:val="fr-FR"/>
        </w:rPr>
        <w:footnoteRef/>
      </w:r>
      <w:r w:rsidRPr="00B72597">
        <w:rPr>
          <w:szCs w:val="18"/>
          <w:lang w:val="fr-FR"/>
        </w:rPr>
        <w:t xml:space="preserve"> </w:t>
      </w:r>
      <w:r w:rsidRPr="00B72597">
        <w:rPr>
          <w:szCs w:val="18"/>
          <w:lang w:val="fr-FR"/>
        </w:rPr>
        <w:tab/>
        <w:t>Fonctionnaires titulaires d</w:t>
      </w:r>
      <w:r w:rsidR="005468DF">
        <w:rPr>
          <w:szCs w:val="18"/>
          <w:lang w:val="fr-FR"/>
        </w:rPr>
        <w:t>’</w:t>
      </w:r>
      <w:r w:rsidRPr="00B72597">
        <w:rPr>
          <w:szCs w:val="18"/>
          <w:lang w:val="fr-FR"/>
        </w:rPr>
        <w:t>un engagement de durée déterminée, d</w:t>
      </w:r>
      <w:r w:rsidR="005468DF">
        <w:rPr>
          <w:szCs w:val="18"/>
          <w:lang w:val="fr-FR"/>
        </w:rPr>
        <w:t>’</w:t>
      </w:r>
      <w:r w:rsidRPr="00B72597">
        <w:rPr>
          <w:szCs w:val="18"/>
          <w:lang w:val="fr-FR"/>
        </w:rPr>
        <w:t>un engagement continu ou d</w:t>
      </w:r>
      <w:r w:rsidR="005468DF">
        <w:rPr>
          <w:szCs w:val="18"/>
          <w:lang w:val="fr-FR"/>
        </w:rPr>
        <w:t>’</w:t>
      </w:r>
      <w:r w:rsidRPr="00B72597">
        <w:rPr>
          <w:szCs w:val="18"/>
          <w:lang w:val="fr-FR"/>
        </w:rPr>
        <w:t>un engagement permanent inscrits au budget ordinaire.</w:t>
      </w:r>
    </w:p>
  </w:footnote>
  <w:footnote w:id="4">
    <w:p w14:paraId="3E66BDB2" w14:textId="6EAFCA3F" w:rsidR="006410C7" w:rsidRPr="00B72597" w:rsidRDefault="006410C7" w:rsidP="00687F84">
      <w:pPr>
        <w:pStyle w:val="FootnoteText"/>
        <w:tabs>
          <w:tab w:val="left" w:pos="567"/>
        </w:tabs>
        <w:rPr>
          <w:szCs w:val="18"/>
          <w:lang w:val="fr-FR"/>
        </w:rPr>
      </w:pPr>
      <w:r w:rsidRPr="00B72597">
        <w:rPr>
          <w:rStyle w:val="FootnoteReference"/>
          <w:szCs w:val="18"/>
          <w:lang w:val="fr-FR"/>
        </w:rPr>
        <w:footnoteRef/>
      </w:r>
      <w:r w:rsidRPr="00B72597">
        <w:rPr>
          <w:szCs w:val="18"/>
          <w:lang w:val="fr-FR"/>
        </w:rPr>
        <w:t xml:space="preserve"> </w:t>
      </w:r>
      <w:r w:rsidRPr="00B72597">
        <w:rPr>
          <w:szCs w:val="18"/>
          <w:lang w:val="fr-FR"/>
        </w:rPr>
        <w:tab/>
        <w:t>Fonctionnaires titulaires d</w:t>
      </w:r>
      <w:r w:rsidR="005468DF">
        <w:rPr>
          <w:szCs w:val="18"/>
          <w:lang w:val="fr-FR"/>
        </w:rPr>
        <w:t>’</w:t>
      </w:r>
      <w:r w:rsidRPr="00B72597">
        <w:rPr>
          <w:szCs w:val="18"/>
          <w:lang w:val="fr-FR"/>
        </w:rPr>
        <w:t>un engagement temporaire inscrit au budget ordinaire;</w:t>
      </w:r>
      <w:r w:rsidR="00D962C9" w:rsidRPr="00B72597">
        <w:rPr>
          <w:szCs w:val="18"/>
          <w:lang w:val="fr-FR"/>
        </w:rPr>
        <w:t xml:space="preserve"> </w:t>
      </w:r>
      <w:r w:rsidRPr="00B72597">
        <w:rPr>
          <w:szCs w:val="18"/>
          <w:lang w:val="fr-FR"/>
        </w:rPr>
        <w:t xml:space="preserve"> personnel titulaire d</w:t>
      </w:r>
      <w:r w:rsidR="005468DF">
        <w:rPr>
          <w:szCs w:val="18"/>
          <w:lang w:val="fr-FR"/>
        </w:rPr>
        <w:t>’</w:t>
      </w:r>
      <w:r w:rsidRPr="00B72597">
        <w:rPr>
          <w:szCs w:val="18"/>
          <w:lang w:val="fr-FR"/>
        </w:rPr>
        <w:t xml:space="preserve">un engagement non inscrit au budget ordinaire (fonds de réserves et fonds fiduciaires); </w:t>
      </w:r>
      <w:r w:rsidR="00D962C9" w:rsidRPr="00B72597">
        <w:rPr>
          <w:szCs w:val="18"/>
          <w:lang w:val="fr-FR"/>
        </w:rPr>
        <w:t xml:space="preserve"> </w:t>
      </w:r>
      <w:r w:rsidRPr="00B72597">
        <w:rPr>
          <w:szCs w:val="18"/>
          <w:lang w:val="fr-FR"/>
        </w:rPr>
        <w:t>fonctionnaires prêtés par l</w:t>
      </w:r>
      <w:r w:rsidR="005468DF">
        <w:rPr>
          <w:szCs w:val="18"/>
          <w:lang w:val="fr-FR"/>
        </w:rPr>
        <w:t>’</w:t>
      </w:r>
      <w:r w:rsidRPr="00B72597">
        <w:rPr>
          <w:szCs w:val="18"/>
          <w:lang w:val="fr-FR"/>
        </w:rPr>
        <w:t>ONU;</w:t>
      </w:r>
      <w:r w:rsidR="00D962C9" w:rsidRPr="00B72597">
        <w:rPr>
          <w:szCs w:val="18"/>
          <w:lang w:val="fr-FR"/>
        </w:rPr>
        <w:t xml:space="preserve"> </w:t>
      </w:r>
      <w:r w:rsidRPr="00B72597">
        <w:rPr>
          <w:szCs w:val="18"/>
          <w:lang w:val="fr-FR"/>
        </w:rPr>
        <w:t xml:space="preserve"> administrateurs auxiliaires, </w:t>
      </w:r>
      <w:r w:rsidR="005468DF">
        <w:rPr>
          <w:szCs w:val="18"/>
          <w:lang w:val="fr-FR"/>
        </w:rPr>
        <w:t>y compris</w:t>
      </w:r>
      <w:r w:rsidRPr="00B72597">
        <w:rPr>
          <w:szCs w:val="18"/>
          <w:lang w:val="fr-FR"/>
        </w:rPr>
        <w:t xml:space="preserve"> les administrateurs auxiliaires du Programme des </w:t>
      </w:r>
      <w:r w:rsidR="005468DF">
        <w:rPr>
          <w:szCs w:val="18"/>
          <w:lang w:val="fr-FR"/>
        </w:rPr>
        <w:t>Nations Unies</w:t>
      </w:r>
      <w:r w:rsidRPr="00B72597">
        <w:rPr>
          <w:szCs w:val="18"/>
          <w:lang w:val="fr-FR"/>
        </w:rPr>
        <w:t xml:space="preserve"> pour le développement (PNUD); </w:t>
      </w:r>
      <w:r w:rsidR="00D962C9" w:rsidRPr="00B72597">
        <w:rPr>
          <w:szCs w:val="18"/>
          <w:lang w:val="fr-FR"/>
        </w:rPr>
        <w:t xml:space="preserve"> </w:t>
      </w:r>
      <w:r w:rsidRPr="00B72597">
        <w:rPr>
          <w:szCs w:val="18"/>
          <w:lang w:val="fr-FR"/>
        </w:rPr>
        <w:t xml:space="preserve">stagiaires; </w:t>
      </w:r>
      <w:r w:rsidR="00D962C9" w:rsidRPr="00B72597">
        <w:rPr>
          <w:szCs w:val="18"/>
          <w:lang w:val="fr-FR"/>
        </w:rPr>
        <w:t xml:space="preserve"> </w:t>
      </w:r>
      <w:r w:rsidRPr="00B72597">
        <w:rPr>
          <w:szCs w:val="18"/>
          <w:lang w:val="fr-FR"/>
        </w:rPr>
        <w:t xml:space="preserve">boursiers; </w:t>
      </w:r>
      <w:r w:rsidR="00D962C9" w:rsidRPr="00B72597">
        <w:rPr>
          <w:szCs w:val="18"/>
          <w:lang w:val="fr-FR"/>
        </w:rPr>
        <w:t xml:space="preserve"> </w:t>
      </w:r>
      <w:r w:rsidRPr="00B72597">
        <w:rPr>
          <w:szCs w:val="18"/>
          <w:lang w:val="fr-FR"/>
        </w:rPr>
        <w:t>traducteurs ou réviseurs titulaires d</w:t>
      </w:r>
      <w:r w:rsidR="005468DF">
        <w:rPr>
          <w:szCs w:val="18"/>
          <w:lang w:val="fr-FR"/>
        </w:rPr>
        <w:t>’</w:t>
      </w:r>
      <w:r w:rsidRPr="00B72597">
        <w:rPr>
          <w:szCs w:val="18"/>
          <w:lang w:val="fr-FR"/>
        </w:rPr>
        <w:t xml:space="preserve">un contrat journalier ou mensuel; </w:t>
      </w:r>
      <w:r w:rsidR="00D962C9" w:rsidRPr="00B72597">
        <w:rPr>
          <w:szCs w:val="18"/>
          <w:lang w:val="fr-FR"/>
        </w:rPr>
        <w:t xml:space="preserve"> </w:t>
      </w:r>
      <w:r w:rsidRPr="00B72597">
        <w:rPr>
          <w:szCs w:val="18"/>
          <w:lang w:val="fr-FR"/>
        </w:rPr>
        <w:t xml:space="preserve">prestataires individuels de services; </w:t>
      </w:r>
      <w:r w:rsidR="00D962C9" w:rsidRPr="00B72597">
        <w:rPr>
          <w:szCs w:val="18"/>
          <w:lang w:val="fr-FR"/>
        </w:rPr>
        <w:t xml:space="preserve"> </w:t>
      </w:r>
      <w:r w:rsidRPr="00B72597">
        <w:rPr>
          <w:szCs w:val="18"/>
          <w:lang w:val="fr-FR"/>
        </w:rPr>
        <w:t xml:space="preserve">intérimaires; </w:t>
      </w:r>
      <w:r w:rsidR="00D962C9" w:rsidRPr="00B72597">
        <w:rPr>
          <w:szCs w:val="18"/>
          <w:lang w:val="fr-FR"/>
        </w:rPr>
        <w:t xml:space="preserve"> </w:t>
      </w:r>
      <w:r w:rsidRPr="00B72597">
        <w:rPr>
          <w:szCs w:val="18"/>
          <w:lang w:val="fr-FR"/>
        </w:rPr>
        <w:t>sous</w:t>
      </w:r>
      <w:r w:rsidR="00687F84">
        <w:rPr>
          <w:szCs w:val="18"/>
          <w:lang w:val="fr-FR"/>
        </w:rPr>
        <w:noBreakHyphen/>
      </w:r>
      <w:r w:rsidRPr="00B72597">
        <w:rPr>
          <w:szCs w:val="18"/>
          <w:lang w:val="fr-FR"/>
        </w:rPr>
        <w:t>traitants;</w:t>
      </w:r>
      <w:r w:rsidR="00D962C9" w:rsidRPr="00B72597">
        <w:rPr>
          <w:szCs w:val="18"/>
          <w:lang w:val="fr-FR"/>
        </w:rPr>
        <w:t xml:space="preserve"> </w:t>
      </w:r>
      <w:r w:rsidRPr="00B72597">
        <w:rPr>
          <w:szCs w:val="18"/>
          <w:lang w:val="fr-FR"/>
        </w:rPr>
        <w:t xml:space="preserve"> et personnes placées à l</w:t>
      </w:r>
      <w:r w:rsidR="005468DF">
        <w:rPr>
          <w:szCs w:val="18"/>
          <w:lang w:val="fr-FR"/>
        </w:rPr>
        <w:t>’</w:t>
      </w:r>
      <w:r w:rsidRPr="00B72597">
        <w:rPr>
          <w:szCs w:val="18"/>
          <w:lang w:val="fr-FR"/>
        </w:rPr>
        <w:t>OMPI dans le cadre du programme SYNI du Bureau suisse des emplois temporaires subventionnés.</w:t>
      </w:r>
    </w:p>
  </w:footnote>
  <w:footnote w:id="5">
    <w:p w14:paraId="1BAFD41A" w14:textId="560F89EA" w:rsidR="002F408B" w:rsidRPr="00B72597" w:rsidRDefault="002F408B" w:rsidP="00687F84">
      <w:pPr>
        <w:tabs>
          <w:tab w:val="left" w:pos="567"/>
        </w:tabs>
        <w:autoSpaceDE w:val="0"/>
        <w:autoSpaceDN w:val="0"/>
        <w:adjustRightInd w:val="0"/>
        <w:rPr>
          <w:sz w:val="18"/>
          <w:szCs w:val="18"/>
          <w:lang w:val="fr-FR"/>
        </w:rPr>
      </w:pPr>
      <w:r w:rsidRPr="00B72597">
        <w:rPr>
          <w:rStyle w:val="FootnoteReference"/>
          <w:sz w:val="18"/>
          <w:szCs w:val="18"/>
          <w:lang w:val="fr-FR"/>
        </w:rPr>
        <w:footnoteRef/>
      </w:r>
      <w:r w:rsidRPr="00B72597">
        <w:rPr>
          <w:sz w:val="18"/>
          <w:szCs w:val="18"/>
          <w:lang w:val="fr-FR"/>
        </w:rPr>
        <w:t xml:space="preserve"> </w:t>
      </w:r>
      <w:r w:rsidRPr="00B72597">
        <w:rPr>
          <w:sz w:val="18"/>
          <w:szCs w:val="18"/>
          <w:lang w:val="fr-FR"/>
        </w:rPr>
        <w:tab/>
      </w:r>
      <w:r w:rsidRPr="00B72597">
        <w:rPr>
          <w:iCs/>
          <w:sz w:val="18"/>
          <w:szCs w:val="18"/>
          <w:lang w:val="fr-FR"/>
        </w:rPr>
        <w:t>Hormis les postes linguistiques et celui de Directeur général, qui ne sont pas soumis à cette règle, les postes auxquels s</w:t>
      </w:r>
      <w:r w:rsidR="005468DF">
        <w:rPr>
          <w:iCs/>
          <w:sz w:val="18"/>
          <w:szCs w:val="18"/>
          <w:lang w:val="fr-FR"/>
        </w:rPr>
        <w:t>’</w:t>
      </w:r>
      <w:r w:rsidRPr="00B72597">
        <w:rPr>
          <w:iCs/>
          <w:sz w:val="18"/>
          <w:szCs w:val="18"/>
          <w:lang w:val="fr-FR"/>
        </w:rPr>
        <w:t>applique le principe de répartition géographique sont tous des postes d</w:t>
      </w:r>
      <w:r w:rsidR="005468DF">
        <w:rPr>
          <w:iCs/>
          <w:sz w:val="18"/>
          <w:szCs w:val="18"/>
          <w:lang w:val="fr-FR"/>
        </w:rPr>
        <w:t>’</w:t>
      </w:r>
      <w:r w:rsidRPr="00B72597">
        <w:rPr>
          <w:iCs/>
          <w:sz w:val="18"/>
          <w:szCs w:val="18"/>
          <w:lang w:val="fr-FR"/>
        </w:rPr>
        <w:t>administrateurs et de fonctionnaires de rang supérieur inscrits au budget ordinaire.</w:t>
      </w:r>
    </w:p>
  </w:footnote>
  <w:footnote w:id="6">
    <w:p w14:paraId="50D107A0" w14:textId="007E9411" w:rsidR="006273B1" w:rsidRPr="00B72597" w:rsidRDefault="006273B1" w:rsidP="00687F84">
      <w:pPr>
        <w:pStyle w:val="FootnoteText"/>
        <w:tabs>
          <w:tab w:val="left" w:pos="567"/>
        </w:tabs>
        <w:rPr>
          <w:szCs w:val="18"/>
          <w:lang w:val="fr-FR"/>
        </w:rPr>
      </w:pPr>
      <w:r w:rsidRPr="00B72597">
        <w:rPr>
          <w:rStyle w:val="FootnoteReference"/>
          <w:szCs w:val="18"/>
        </w:rPr>
        <w:footnoteRef/>
      </w:r>
      <w:r w:rsidRPr="00B72597">
        <w:rPr>
          <w:szCs w:val="18"/>
          <w:lang w:val="fr-FR"/>
        </w:rPr>
        <w:t xml:space="preserve"> </w:t>
      </w:r>
      <w:r w:rsidR="00C25DC2" w:rsidRPr="00B72597">
        <w:rPr>
          <w:szCs w:val="18"/>
          <w:lang w:val="fr-FR"/>
        </w:rPr>
        <w:tab/>
      </w:r>
      <w:r w:rsidR="00010B93" w:rsidRPr="00B72597">
        <w:rPr>
          <w:szCs w:val="18"/>
          <w:lang w:val="fr-FR"/>
        </w:rPr>
        <w:t xml:space="preserve">Voir le document </w:t>
      </w:r>
      <w:hyperlink r:id="rId1" w:history="1">
        <w:r w:rsidR="00010B93" w:rsidRPr="00B72597">
          <w:rPr>
            <w:rStyle w:val="Hyperlink"/>
            <w:szCs w:val="18"/>
            <w:lang w:val="fr-FR"/>
          </w:rPr>
          <w:t>WO/CC/75/3</w:t>
        </w:r>
      </w:hyperlink>
      <w:r w:rsidR="004D3740" w:rsidRPr="00B72597">
        <w:rPr>
          <w:rStyle w:val="Hyperlink"/>
          <w:color w:val="auto"/>
          <w:szCs w:val="18"/>
          <w:u w:val="none"/>
          <w:lang w:val="fr-FR"/>
        </w:rPr>
        <w:t>.</w:t>
      </w:r>
    </w:p>
  </w:footnote>
  <w:footnote w:id="7">
    <w:p w14:paraId="302F5B12" w14:textId="440ECDEE" w:rsidR="00333207" w:rsidRPr="00B72597" w:rsidRDefault="00333207" w:rsidP="00687F84">
      <w:pPr>
        <w:pStyle w:val="FootnoteText"/>
        <w:tabs>
          <w:tab w:val="left" w:pos="567"/>
        </w:tabs>
        <w:rPr>
          <w:szCs w:val="18"/>
          <w:lang w:val="fr-CH"/>
        </w:rPr>
      </w:pPr>
      <w:r w:rsidRPr="00B72597">
        <w:rPr>
          <w:rStyle w:val="FootnoteReference"/>
          <w:szCs w:val="18"/>
          <w:lang w:val="fr-FR"/>
        </w:rPr>
        <w:footnoteRef/>
      </w:r>
      <w:r w:rsidRPr="00B72597">
        <w:rPr>
          <w:szCs w:val="18"/>
          <w:lang w:val="fr-FR"/>
        </w:rPr>
        <w:t xml:space="preserve"> </w:t>
      </w:r>
      <w:r w:rsidR="00C25DC2" w:rsidRPr="00B72597">
        <w:rPr>
          <w:szCs w:val="18"/>
          <w:lang w:val="fr-FR"/>
        </w:rPr>
        <w:tab/>
      </w:r>
      <w:r w:rsidRPr="00B72597">
        <w:rPr>
          <w:szCs w:val="18"/>
          <w:lang w:val="fr-FR"/>
        </w:rPr>
        <w:t>Le programme ONU</w:t>
      </w:r>
      <w:r w:rsidR="00687F84">
        <w:rPr>
          <w:szCs w:val="18"/>
          <w:lang w:val="fr-FR"/>
        </w:rPr>
        <w:noBreakHyphen/>
      </w:r>
      <w:r w:rsidRPr="00B72597">
        <w:rPr>
          <w:szCs w:val="18"/>
          <w:lang w:val="fr-FR"/>
        </w:rPr>
        <w:t xml:space="preserve">SWAP est un mécanisme de responsabilité approuvé par le Conseil des chefs de secrétariat des organismes des </w:t>
      </w:r>
      <w:r w:rsidR="005468DF">
        <w:rPr>
          <w:szCs w:val="18"/>
          <w:lang w:val="fr-FR"/>
        </w:rPr>
        <w:t>Nations Unies</w:t>
      </w:r>
      <w:r w:rsidRPr="00B72597">
        <w:rPr>
          <w:szCs w:val="18"/>
          <w:lang w:val="fr-FR"/>
        </w:rPr>
        <w:t xml:space="preserve"> pour la coordination (CCS). </w:t>
      </w:r>
      <w:r w:rsidR="00BB6104" w:rsidRPr="00B72597">
        <w:rPr>
          <w:szCs w:val="18"/>
          <w:lang w:val="fr-FR"/>
        </w:rPr>
        <w:t xml:space="preserve"> ONU</w:t>
      </w:r>
      <w:r w:rsidR="00687F84">
        <w:rPr>
          <w:szCs w:val="18"/>
          <w:lang w:val="fr-FR"/>
        </w:rPr>
        <w:noBreakHyphen/>
      </w:r>
      <w:r w:rsidR="00BB6104" w:rsidRPr="00B72597">
        <w:rPr>
          <w:szCs w:val="18"/>
          <w:lang w:val="fr-FR"/>
        </w:rPr>
        <w:t>SWAP donne effet à la politique pour l</w:t>
      </w:r>
      <w:r w:rsidR="005468DF">
        <w:rPr>
          <w:szCs w:val="18"/>
          <w:lang w:val="fr-FR"/>
        </w:rPr>
        <w:t>’</w:t>
      </w:r>
      <w:r w:rsidR="00BB6104" w:rsidRPr="00B72597">
        <w:rPr>
          <w:szCs w:val="18"/>
          <w:lang w:val="fr-FR"/>
        </w:rPr>
        <w:t>égalité des sexes et l</w:t>
      </w:r>
      <w:r w:rsidR="005468DF">
        <w:rPr>
          <w:szCs w:val="18"/>
          <w:lang w:val="fr-FR"/>
        </w:rPr>
        <w:t>’</w:t>
      </w:r>
      <w:r w:rsidR="00BB6104" w:rsidRPr="00B72597">
        <w:rPr>
          <w:szCs w:val="18"/>
          <w:lang w:val="fr-FR"/>
        </w:rPr>
        <w:t>autonomisation des femmes à l</w:t>
      </w:r>
      <w:r w:rsidR="005468DF">
        <w:rPr>
          <w:szCs w:val="18"/>
          <w:lang w:val="fr-FR"/>
        </w:rPr>
        <w:t>’</w:t>
      </w:r>
      <w:r w:rsidR="00BB6104" w:rsidRPr="00B72597">
        <w:rPr>
          <w:szCs w:val="18"/>
          <w:lang w:val="fr-FR"/>
        </w:rPr>
        <w:t xml:space="preserve">échelle du système des </w:t>
      </w:r>
      <w:r w:rsidR="005468DF">
        <w:rPr>
          <w:szCs w:val="18"/>
          <w:lang w:val="fr-FR"/>
        </w:rPr>
        <w:t>Nations Unies</w:t>
      </w:r>
      <w:r w:rsidR="00BB6104" w:rsidRPr="00B72597">
        <w:rPr>
          <w:szCs w:val="18"/>
          <w:lang w:val="fr-FR"/>
        </w:rPr>
        <w:t xml:space="preserve">, adoptée </w:t>
      </w:r>
      <w:r w:rsidR="00EA685E" w:rsidRPr="00B72597">
        <w:rPr>
          <w:szCs w:val="18"/>
          <w:lang w:val="fr-FR"/>
        </w:rPr>
        <w:t>en 2006</w:t>
      </w:r>
      <w:r w:rsidR="00BB6104" w:rsidRPr="00B72597">
        <w:rPr>
          <w:szCs w:val="18"/>
          <w:lang w:val="fr-FR"/>
        </w:rPr>
        <w:t xml:space="preserve"> par</w:t>
      </w:r>
      <w:r w:rsidR="00EA685E" w:rsidRPr="00B72597">
        <w:rPr>
          <w:szCs w:val="18"/>
          <w:lang w:val="fr-FR"/>
        </w:rPr>
        <w:t xml:space="preserve"> le CCS</w:t>
      </w:r>
      <w:r w:rsidR="00BB6104" w:rsidRPr="00B72597">
        <w:rPr>
          <w:szCs w:val="18"/>
          <w:lang w:val="fr-FR"/>
        </w:rPr>
        <w:t>.  Les résultats de l</w:t>
      </w:r>
      <w:r w:rsidR="005468DF">
        <w:rPr>
          <w:szCs w:val="18"/>
          <w:lang w:val="fr-FR"/>
        </w:rPr>
        <w:t>’</w:t>
      </w:r>
      <w:r w:rsidR="00BB6104" w:rsidRPr="00B72597">
        <w:rPr>
          <w:szCs w:val="18"/>
          <w:lang w:val="fr-FR"/>
        </w:rPr>
        <w:t>OMPI par indicateur peu</w:t>
      </w:r>
      <w:r w:rsidR="0086315D" w:rsidRPr="00B72597">
        <w:rPr>
          <w:szCs w:val="18"/>
          <w:lang w:val="fr-FR"/>
        </w:rPr>
        <w:t>vent</w:t>
      </w:r>
      <w:r w:rsidR="00BB6104" w:rsidRPr="00B72597">
        <w:rPr>
          <w:szCs w:val="18"/>
          <w:lang w:val="fr-FR"/>
        </w:rPr>
        <w:t xml:space="preserve"> être consulté</w:t>
      </w:r>
      <w:r w:rsidR="0086315D" w:rsidRPr="00B72597">
        <w:rPr>
          <w:szCs w:val="18"/>
          <w:lang w:val="fr-FR"/>
        </w:rPr>
        <w:t>s</w:t>
      </w:r>
      <w:r w:rsidR="00BB6104" w:rsidRPr="00B72597">
        <w:rPr>
          <w:szCs w:val="18"/>
          <w:lang w:val="fr-FR"/>
        </w:rPr>
        <w:t xml:space="preserve"> </w:t>
      </w:r>
      <w:hyperlink r:id="rId2" w:history="1">
        <w:r w:rsidR="00BB6104" w:rsidRPr="00687F84">
          <w:rPr>
            <w:rStyle w:val="Hyperlink"/>
            <w:szCs w:val="18"/>
            <w:lang w:val="fr-FR"/>
          </w:rPr>
          <w:t>ici</w:t>
        </w:r>
      </w:hyperlink>
      <w:r w:rsidR="00BB6104" w:rsidRPr="00B72597">
        <w:rPr>
          <w:szCs w:val="18"/>
          <w:lang w:val="fr-FR"/>
        </w:rPr>
        <w:t xml:space="preserve">.  </w:t>
      </w:r>
    </w:p>
  </w:footnote>
  <w:footnote w:id="8">
    <w:p w14:paraId="6F94CEDB" w14:textId="364A2992" w:rsidR="00A17D90" w:rsidRPr="00B72597" w:rsidRDefault="00A17D90" w:rsidP="00687F84">
      <w:pPr>
        <w:pStyle w:val="FootnoteText"/>
        <w:tabs>
          <w:tab w:val="left" w:pos="567"/>
        </w:tabs>
        <w:jc w:val="both"/>
        <w:rPr>
          <w:szCs w:val="18"/>
          <w:lang w:val="fr-FR"/>
        </w:rPr>
      </w:pPr>
      <w:r w:rsidRPr="00B72597">
        <w:rPr>
          <w:rStyle w:val="FootnoteReference"/>
          <w:szCs w:val="18"/>
          <w:lang w:val="fr-FR"/>
        </w:rPr>
        <w:footnoteRef/>
      </w:r>
      <w:r w:rsidRPr="00B72597">
        <w:rPr>
          <w:szCs w:val="18"/>
          <w:lang w:val="fr-FR"/>
        </w:rPr>
        <w:t xml:space="preserve"> </w:t>
      </w:r>
      <w:r w:rsidRPr="00B72597">
        <w:rPr>
          <w:szCs w:val="18"/>
          <w:lang w:val="fr-FR"/>
        </w:rPr>
        <w:tab/>
      </w:r>
      <w:r w:rsidR="00D6067E" w:rsidRPr="00B72597">
        <w:rPr>
          <w:szCs w:val="18"/>
          <w:lang w:val="fr-FR"/>
        </w:rPr>
        <w:t>Par grade</w:t>
      </w:r>
      <w:r w:rsidRPr="00B72597">
        <w:rPr>
          <w:szCs w:val="18"/>
          <w:lang w:val="fr-FR"/>
        </w:rPr>
        <w:t xml:space="preserve">. </w:t>
      </w:r>
      <w:r w:rsidR="00D962C9" w:rsidRPr="00B72597">
        <w:rPr>
          <w:szCs w:val="18"/>
          <w:lang w:val="fr-FR"/>
        </w:rPr>
        <w:t xml:space="preserve"> </w:t>
      </w:r>
      <w:r w:rsidR="006E4BE7" w:rsidRPr="00B72597">
        <w:rPr>
          <w:szCs w:val="18"/>
          <w:lang w:val="fr-FR"/>
        </w:rPr>
        <w:t>Non compris les fonctionnaires temporaires et les membres de la catégorie spéciale.</w:t>
      </w:r>
    </w:p>
  </w:footnote>
  <w:footnote w:id="9">
    <w:p w14:paraId="128F4ED5" w14:textId="0C0FDF71" w:rsidR="005C5981" w:rsidRPr="00B72597" w:rsidRDefault="005C5981" w:rsidP="00687F84">
      <w:pPr>
        <w:pStyle w:val="FootnoteText"/>
        <w:tabs>
          <w:tab w:val="left" w:pos="567"/>
        </w:tabs>
        <w:rPr>
          <w:szCs w:val="18"/>
          <w:lang w:val="fr-CH"/>
        </w:rPr>
      </w:pPr>
      <w:r w:rsidRPr="00B72597">
        <w:rPr>
          <w:rStyle w:val="FootnoteReference"/>
          <w:szCs w:val="18"/>
        </w:rPr>
        <w:footnoteRef/>
      </w:r>
      <w:r w:rsidRPr="00B72597">
        <w:rPr>
          <w:szCs w:val="18"/>
          <w:lang w:val="fr-CH"/>
        </w:rPr>
        <w:t xml:space="preserve"> </w:t>
      </w:r>
      <w:r w:rsidRPr="00B72597">
        <w:rPr>
          <w:szCs w:val="18"/>
          <w:lang w:val="fr-CH"/>
        </w:rPr>
        <w:tab/>
        <w:t xml:space="preserve">Voir le modèle de politique du Conseil des chefs de secrétariat des organismes des </w:t>
      </w:r>
      <w:r w:rsidR="005468DF">
        <w:rPr>
          <w:szCs w:val="18"/>
          <w:lang w:val="fr-CH"/>
        </w:rPr>
        <w:t>Nations Unies</w:t>
      </w:r>
      <w:r w:rsidRPr="00B72597">
        <w:rPr>
          <w:szCs w:val="18"/>
          <w:lang w:val="fr-CH"/>
        </w:rPr>
        <w:t xml:space="preserve"> pour la coordination (CCS) sur le harcèlement sexuel à l</w:t>
      </w:r>
      <w:r w:rsidR="005468DF">
        <w:rPr>
          <w:szCs w:val="18"/>
          <w:lang w:val="fr-CH"/>
        </w:rPr>
        <w:t>’</w:t>
      </w:r>
      <w:r w:rsidRPr="00B72597">
        <w:rPr>
          <w:szCs w:val="18"/>
          <w:lang w:val="fr-CH"/>
        </w:rPr>
        <w:t>adresse </w:t>
      </w:r>
      <w:hyperlink r:id="rId3" w:history="1">
        <w:r w:rsidRPr="00B72597">
          <w:rPr>
            <w:rStyle w:val="Hyperlink"/>
            <w:szCs w:val="18"/>
            <w:lang w:val="fr-CH"/>
          </w:rPr>
          <w:t>https://unsceb.org/sites/default/files/imported_files/UN%20System%20Model%20Policy%20on%20Sexual%20Harassment_FINAL_0.pdf</w:t>
        </w:r>
      </w:hyperlink>
      <w:r w:rsidRPr="00B72597">
        <w:rPr>
          <w:color w:val="808080"/>
          <w:szCs w:val="18"/>
          <w:lang w:val="fr-CH"/>
        </w:rPr>
        <w:t>.</w:t>
      </w:r>
    </w:p>
  </w:footnote>
  <w:footnote w:id="10">
    <w:p w14:paraId="76C4984B" w14:textId="3EA688F9" w:rsidR="003519CE" w:rsidRPr="00BE451D" w:rsidRDefault="003519CE" w:rsidP="00687F84">
      <w:pPr>
        <w:pStyle w:val="FootnoteText"/>
        <w:tabs>
          <w:tab w:val="left" w:pos="567"/>
        </w:tabs>
        <w:rPr>
          <w:szCs w:val="18"/>
          <w:lang w:val="fr-CH"/>
        </w:rPr>
      </w:pPr>
      <w:r w:rsidRPr="00B72597">
        <w:rPr>
          <w:rStyle w:val="FootnoteReference"/>
          <w:szCs w:val="18"/>
        </w:rPr>
        <w:footnoteRef/>
      </w:r>
      <w:r w:rsidRPr="00BE451D">
        <w:rPr>
          <w:szCs w:val="18"/>
          <w:lang w:val="fr-CH"/>
        </w:rPr>
        <w:t xml:space="preserve"> </w:t>
      </w:r>
      <w:r w:rsidRPr="00BE451D">
        <w:rPr>
          <w:szCs w:val="18"/>
          <w:lang w:val="fr-CH"/>
        </w:rPr>
        <w:tab/>
      </w:r>
      <w:r w:rsidR="00637D0D" w:rsidRPr="00B72597">
        <w:rPr>
          <w:szCs w:val="18"/>
          <w:lang w:val="fr-FR"/>
        </w:rPr>
        <w:t>Voir le paragraphe</w:t>
      </w:r>
      <w:r w:rsidR="00637D0D" w:rsidRPr="00BE451D">
        <w:rPr>
          <w:szCs w:val="18"/>
          <w:lang w:val="fr-CH"/>
        </w:rPr>
        <w:t> 17 du document</w:t>
      </w:r>
      <w:r w:rsidRPr="00BE451D">
        <w:rPr>
          <w:szCs w:val="18"/>
          <w:lang w:val="fr-CH"/>
        </w:rPr>
        <w:t xml:space="preserve"> </w:t>
      </w:r>
      <w:hyperlink r:id="rId4" w:history="1">
        <w:r w:rsidRPr="00BE451D">
          <w:rPr>
            <w:rStyle w:val="Hyperlink"/>
            <w:szCs w:val="18"/>
            <w:lang w:val="fr-CH"/>
          </w:rPr>
          <w:t>WO/CC/80/3</w:t>
        </w:r>
      </w:hyperlink>
      <w:r w:rsidRPr="00BE451D">
        <w:rPr>
          <w:szCs w:val="18"/>
          <w:lang w:val="fr-CH"/>
        </w:rPr>
        <w:t xml:space="preserve"> </w:t>
      </w:r>
      <w:r w:rsidR="00637D0D" w:rsidRPr="00B72597">
        <w:rPr>
          <w:szCs w:val="18"/>
          <w:lang w:val="fr-FR"/>
        </w:rPr>
        <w:t xml:space="preserve">daté du </w:t>
      </w:r>
      <w:r w:rsidRPr="00B72597">
        <w:rPr>
          <w:szCs w:val="18"/>
          <w:lang w:val="fr-FR"/>
        </w:rPr>
        <w:t>3</w:t>
      </w:r>
      <w:r w:rsidR="00637D0D" w:rsidRPr="00B72597">
        <w:rPr>
          <w:szCs w:val="18"/>
          <w:lang w:val="fr-FR"/>
        </w:rPr>
        <w:t> août</w:t>
      </w:r>
      <w:r w:rsidR="00637D0D" w:rsidRPr="00BE451D">
        <w:rPr>
          <w:szCs w:val="18"/>
          <w:lang w:val="fr-CH"/>
        </w:rPr>
        <w:t> </w:t>
      </w:r>
      <w:r w:rsidRPr="00BE451D">
        <w:rPr>
          <w:szCs w:val="18"/>
          <w:lang w:val="fr-CH"/>
        </w:rPr>
        <w:t>2021 (“</w:t>
      </w:r>
      <w:r w:rsidR="00637D0D" w:rsidRPr="00B72597">
        <w:rPr>
          <w:szCs w:val="18"/>
          <w:lang w:val="fr-FR"/>
        </w:rPr>
        <w:t>Amendements du statut et règlement du</w:t>
      </w:r>
      <w:r w:rsidR="00637D0D" w:rsidRPr="00BE451D">
        <w:rPr>
          <w:szCs w:val="18"/>
          <w:lang w:val="fr-CH"/>
        </w:rPr>
        <w:t xml:space="preserve"> personnel”)</w:t>
      </w:r>
      <w:r w:rsidRPr="00BE451D">
        <w:rPr>
          <w:szCs w:val="18"/>
          <w:lang w:val="fr-CH"/>
        </w:rPr>
        <w:t>.</w:t>
      </w:r>
    </w:p>
  </w:footnote>
  <w:footnote w:id="11">
    <w:p w14:paraId="2D278DC1" w14:textId="08A89A2F" w:rsidR="005C5981" w:rsidRPr="00B72597" w:rsidRDefault="005C5981" w:rsidP="00687F84">
      <w:pPr>
        <w:pStyle w:val="FootnoteText"/>
        <w:tabs>
          <w:tab w:val="left" w:pos="567"/>
        </w:tabs>
        <w:rPr>
          <w:szCs w:val="18"/>
          <w:lang w:val="fr-CH"/>
        </w:rPr>
      </w:pPr>
      <w:r w:rsidRPr="00B72597">
        <w:rPr>
          <w:rStyle w:val="FootnoteReference"/>
          <w:szCs w:val="18"/>
        </w:rPr>
        <w:footnoteRef/>
      </w:r>
      <w:r w:rsidRPr="00B72597">
        <w:rPr>
          <w:szCs w:val="18"/>
          <w:lang w:val="fr-CH"/>
        </w:rPr>
        <w:t xml:space="preserve"> </w:t>
      </w:r>
      <w:r w:rsidRPr="00B72597">
        <w:rPr>
          <w:szCs w:val="18"/>
          <w:lang w:val="fr-CH"/>
        </w:rPr>
        <w:tab/>
        <w:t>Initiative relative à la désignation de coordonnateurs – L</w:t>
      </w:r>
      <w:r w:rsidR="005468DF">
        <w:rPr>
          <w:szCs w:val="18"/>
          <w:lang w:val="fr-CH"/>
        </w:rPr>
        <w:t>’</w:t>
      </w:r>
      <w:r w:rsidRPr="00B72597">
        <w:rPr>
          <w:szCs w:val="18"/>
          <w:lang w:val="fr-CH"/>
        </w:rPr>
        <w:t>OMPI collabore avec les missions (principalement des États membres sous</w:t>
      </w:r>
      <w:r w:rsidR="00687F84">
        <w:rPr>
          <w:szCs w:val="18"/>
          <w:lang w:val="fr-CH"/>
        </w:rPr>
        <w:noBreakHyphen/>
      </w:r>
      <w:r w:rsidRPr="00B72597">
        <w:rPr>
          <w:szCs w:val="18"/>
          <w:lang w:val="fr-CH"/>
        </w:rPr>
        <w:t xml:space="preserve">représentés ou non représentés) et les offices nationaux de propriété intellectuelle afin de désigner des coordonnateurs nationaux pour une diffusion plus large des avis de vacance de postes dans les pays. </w:t>
      </w:r>
      <w:r w:rsidR="00D962C9" w:rsidRPr="00B72597">
        <w:rPr>
          <w:szCs w:val="18"/>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BA9D" w14:textId="77777777" w:rsidR="004E5E29" w:rsidRDefault="004E5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6434B02E" w:rsidR="00D204CB" w:rsidRPr="00C25DC2" w:rsidRDefault="006E4BE7" w:rsidP="006E4BE7">
    <w:pPr>
      <w:jc w:val="right"/>
    </w:pPr>
    <w:r w:rsidRPr="00C25DC2">
      <w:t>WO/CC/81/INF/1</w:t>
    </w:r>
  </w:p>
  <w:p w14:paraId="39BF9403" w14:textId="21A3DE48" w:rsidR="00D204CB" w:rsidRPr="00C25DC2" w:rsidRDefault="00B72597" w:rsidP="00C25DC2">
    <w:pPr>
      <w:spacing w:after="480"/>
      <w:jc w:val="right"/>
    </w:pPr>
    <w:proofErr w:type="gramStart"/>
    <w:r>
      <w:t>p</w:t>
    </w:r>
    <w:r w:rsidR="006410C7" w:rsidRPr="00C25DC2">
      <w:t>age</w:t>
    </w:r>
    <w:proofErr w:type="gramEnd"/>
    <w:r w:rsidR="00FC110E" w:rsidRPr="00C25DC2">
      <w:t> </w:t>
    </w:r>
    <w:r w:rsidR="00D204CB" w:rsidRPr="00C25DC2">
      <w:fldChar w:fldCharType="begin"/>
    </w:r>
    <w:r w:rsidR="00D204CB" w:rsidRPr="00C25DC2">
      <w:instrText xml:space="preserve"> PAGE  \* MERGEFORMAT </w:instrText>
    </w:r>
    <w:r w:rsidR="00D204CB" w:rsidRPr="00C25DC2">
      <w:fldChar w:fldCharType="separate"/>
    </w:r>
    <w:r w:rsidR="00BE451D">
      <w:rPr>
        <w:noProof/>
      </w:rPr>
      <w:t>13</w:t>
    </w:r>
    <w:r w:rsidR="00D204CB" w:rsidRPr="00C25DC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2C1AE" w14:textId="77777777" w:rsidR="004E5E29" w:rsidRDefault="004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32B01"/>
    <w:multiLevelType w:val="multilevel"/>
    <w:tmpl w:val="F200920A"/>
    <w:lvl w:ilvl="0">
      <w:start w:val="4"/>
      <w:numFmt w:val="bullet"/>
      <w:lvlText w:val="-"/>
      <w:lvlJc w:val="left"/>
      <w:pPr>
        <w:tabs>
          <w:tab w:val="num" w:pos="567"/>
        </w:tabs>
        <w:ind w:left="0" w:firstLine="0"/>
      </w:pPr>
      <w:rPr>
        <w:rFonts w:ascii="Arial" w:eastAsia="Lucida Sans"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152B"/>
    <w:multiLevelType w:val="hybridMultilevel"/>
    <w:tmpl w:val="42D08046"/>
    <w:lvl w:ilvl="0" w:tplc="A6A0CBAE">
      <w:start w:val="1"/>
      <w:numFmt w:val="decimal"/>
      <w:lvlText w:val="%1."/>
      <w:lvlJc w:val="left"/>
      <w:pPr>
        <w:ind w:left="630" w:hanging="360"/>
      </w:pPr>
      <w:rPr>
        <w:rFonts w:ascii="Arial" w:hAnsi="Arial" w:cs="Arial" w:hint="default"/>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B015C"/>
    <w:multiLevelType w:val="multilevel"/>
    <w:tmpl w:val="ADBECEFC"/>
    <w:lvl w:ilvl="0">
      <w:start w:val="4"/>
      <w:numFmt w:val="bullet"/>
      <w:lvlText w:val="-"/>
      <w:lvlJc w:val="left"/>
      <w:pPr>
        <w:tabs>
          <w:tab w:val="num" w:pos="567"/>
        </w:tabs>
        <w:ind w:left="0" w:firstLine="0"/>
      </w:pPr>
      <w:rPr>
        <w:rFonts w:ascii="Arial" w:eastAsia="Lucida Sans"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9E354F"/>
    <w:multiLevelType w:val="multilevel"/>
    <w:tmpl w:val="CF0A6608"/>
    <w:lvl w:ilvl="0">
      <w:start w:val="4"/>
      <w:numFmt w:val="bullet"/>
      <w:lvlText w:val="-"/>
      <w:lvlJc w:val="left"/>
      <w:pPr>
        <w:tabs>
          <w:tab w:val="num" w:pos="567"/>
        </w:tabs>
        <w:ind w:left="0" w:firstLine="0"/>
      </w:pPr>
      <w:rPr>
        <w:rFonts w:ascii="Arial" w:eastAsia="Lucida Sans"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37D1868"/>
    <w:multiLevelType w:val="hybridMultilevel"/>
    <w:tmpl w:val="9F2840F0"/>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CA163B42">
      <w:numFmt w:val="bullet"/>
      <w:lvlText w:val="—"/>
      <w:lvlJc w:val="left"/>
      <w:pPr>
        <w:ind w:left="2160" w:hanging="360"/>
      </w:pPr>
      <w:rPr>
        <w:rFonts w:ascii="Arial" w:eastAsia="Times New Roman"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5C3FEA"/>
    <w:multiLevelType w:val="multilevel"/>
    <w:tmpl w:val="590E05FA"/>
    <w:lvl w:ilvl="0">
      <w:start w:val="4"/>
      <w:numFmt w:val="bullet"/>
      <w:lvlText w:val="-"/>
      <w:lvlJc w:val="left"/>
      <w:pPr>
        <w:tabs>
          <w:tab w:val="num" w:pos="567"/>
        </w:tabs>
        <w:ind w:left="0" w:firstLine="0"/>
      </w:pPr>
      <w:rPr>
        <w:rFonts w:ascii="Arial" w:eastAsia="Lucida Sans"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B45BA"/>
    <w:multiLevelType w:val="multilevel"/>
    <w:tmpl w:val="809A2E02"/>
    <w:lvl w:ilvl="0">
      <w:start w:val="4"/>
      <w:numFmt w:val="bullet"/>
      <w:lvlText w:val="-"/>
      <w:lvlJc w:val="left"/>
      <w:pPr>
        <w:tabs>
          <w:tab w:val="num" w:pos="567"/>
        </w:tabs>
        <w:ind w:left="0" w:firstLine="0"/>
      </w:pPr>
      <w:rPr>
        <w:rFonts w:ascii="Arial" w:eastAsia="Lucida Sans"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2"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D043F"/>
    <w:multiLevelType w:val="hybridMultilevel"/>
    <w:tmpl w:val="52526BC6"/>
    <w:lvl w:ilvl="0" w:tplc="106AF6D4">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D5006"/>
    <w:multiLevelType w:val="hybridMultilevel"/>
    <w:tmpl w:val="44249DFA"/>
    <w:lvl w:ilvl="0" w:tplc="895877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0"/>
  </w:num>
  <w:num w:numId="4">
    <w:abstractNumId w:val="19"/>
  </w:num>
  <w:num w:numId="5">
    <w:abstractNumId w:val="2"/>
  </w:num>
  <w:num w:numId="6">
    <w:abstractNumId w:val="12"/>
  </w:num>
  <w:num w:numId="7">
    <w:abstractNumId w:val="3"/>
  </w:num>
  <w:num w:numId="8">
    <w:abstractNumId w:val="7"/>
  </w:num>
  <w:num w:numId="9">
    <w:abstractNumId w:val="10"/>
  </w:num>
  <w:num w:numId="10">
    <w:abstractNumId w:val="23"/>
  </w:num>
  <w:num w:numId="11">
    <w:abstractNumId w:val="24"/>
  </w:num>
  <w:num w:numId="12">
    <w:abstractNumId w:val="6"/>
  </w:num>
  <w:num w:numId="13">
    <w:abstractNumId w:val="5"/>
  </w:num>
  <w:num w:numId="14">
    <w:abstractNumId w:val="17"/>
  </w:num>
  <w:num w:numId="15">
    <w:abstractNumId w:val="1"/>
  </w:num>
  <w:num w:numId="16">
    <w:abstractNumId w:val="14"/>
  </w:num>
  <w:num w:numId="17">
    <w:abstractNumId w:val="22"/>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4"/>
  </w:num>
  <w:num w:numId="23">
    <w:abstractNumId w:val="15"/>
  </w:num>
  <w:num w:numId="24">
    <w:abstractNumId w:val="20"/>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Curia"/>
    <w:docVar w:name="TextBaseURL" w:val="empty"/>
    <w:docVar w:name="UILng" w:val="en"/>
  </w:docVars>
  <w:rsids>
    <w:rsidRoot w:val="00276BEE"/>
    <w:rsid w:val="00010B93"/>
    <w:rsid w:val="0001494C"/>
    <w:rsid w:val="00015310"/>
    <w:rsid w:val="00015EE4"/>
    <w:rsid w:val="00017CC9"/>
    <w:rsid w:val="00023A7E"/>
    <w:rsid w:val="00032170"/>
    <w:rsid w:val="00035CCD"/>
    <w:rsid w:val="00043CAA"/>
    <w:rsid w:val="00051A08"/>
    <w:rsid w:val="000545EB"/>
    <w:rsid w:val="00056816"/>
    <w:rsid w:val="000647DE"/>
    <w:rsid w:val="0006560C"/>
    <w:rsid w:val="00072A3B"/>
    <w:rsid w:val="00075432"/>
    <w:rsid w:val="0009509B"/>
    <w:rsid w:val="000968ED"/>
    <w:rsid w:val="000A0CFB"/>
    <w:rsid w:val="000A3D97"/>
    <w:rsid w:val="000A5818"/>
    <w:rsid w:val="000C67B1"/>
    <w:rsid w:val="000D78D1"/>
    <w:rsid w:val="000E030E"/>
    <w:rsid w:val="000E17BC"/>
    <w:rsid w:val="000E1CCF"/>
    <w:rsid w:val="000E5942"/>
    <w:rsid w:val="000F35C7"/>
    <w:rsid w:val="000F5E56"/>
    <w:rsid w:val="001040D3"/>
    <w:rsid w:val="001114DA"/>
    <w:rsid w:val="00111FC4"/>
    <w:rsid w:val="0012387D"/>
    <w:rsid w:val="001362EE"/>
    <w:rsid w:val="00141E1E"/>
    <w:rsid w:val="00144C74"/>
    <w:rsid w:val="001454ED"/>
    <w:rsid w:val="00151FD7"/>
    <w:rsid w:val="00157E6F"/>
    <w:rsid w:val="001647D5"/>
    <w:rsid w:val="0016572C"/>
    <w:rsid w:val="0016767A"/>
    <w:rsid w:val="001832A6"/>
    <w:rsid w:val="00184F54"/>
    <w:rsid w:val="0018674A"/>
    <w:rsid w:val="00186BC1"/>
    <w:rsid w:val="001901B4"/>
    <w:rsid w:val="001A6B4A"/>
    <w:rsid w:val="001B45E8"/>
    <w:rsid w:val="001B551B"/>
    <w:rsid w:val="001C2554"/>
    <w:rsid w:val="001C5A06"/>
    <w:rsid w:val="001D4107"/>
    <w:rsid w:val="00202BC6"/>
    <w:rsid w:val="002033FD"/>
    <w:rsid w:val="00203D24"/>
    <w:rsid w:val="00210EA0"/>
    <w:rsid w:val="00211894"/>
    <w:rsid w:val="0021217E"/>
    <w:rsid w:val="00213A7B"/>
    <w:rsid w:val="00217C5E"/>
    <w:rsid w:val="002212AE"/>
    <w:rsid w:val="0022357A"/>
    <w:rsid w:val="00223875"/>
    <w:rsid w:val="00232979"/>
    <w:rsid w:val="002332F3"/>
    <w:rsid w:val="00234C75"/>
    <w:rsid w:val="00236660"/>
    <w:rsid w:val="00243430"/>
    <w:rsid w:val="002440AD"/>
    <w:rsid w:val="0025218F"/>
    <w:rsid w:val="002606DC"/>
    <w:rsid w:val="00261566"/>
    <w:rsid w:val="002634C4"/>
    <w:rsid w:val="00273D0B"/>
    <w:rsid w:val="00276310"/>
    <w:rsid w:val="00276BEE"/>
    <w:rsid w:val="0028598D"/>
    <w:rsid w:val="00285AE0"/>
    <w:rsid w:val="002928D3"/>
    <w:rsid w:val="002A56CC"/>
    <w:rsid w:val="002B2CFE"/>
    <w:rsid w:val="002C3836"/>
    <w:rsid w:val="002C6A4A"/>
    <w:rsid w:val="002C6F7E"/>
    <w:rsid w:val="002D4A7E"/>
    <w:rsid w:val="002D5F75"/>
    <w:rsid w:val="002E6AE4"/>
    <w:rsid w:val="002F1FE6"/>
    <w:rsid w:val="002F3711"/>
    <w:rsid w:val="002F408B"/>
    <w:rsid w:val="002F4E68"/>
    <w:rsid w:val="00302F4B"/>
    <w:rsid w:val="003064B2"/>
    <w:rsid w:val="00312F7F"/>
    <w:rsid w:val="0033266C"/>
    <w:rsid w:val="00333207"/>
    <w:rsid w:val="00342BA0"/>
    <w:rsid w:val="003519CE"/>
    <w:rsid w:val="00353815"/>
    <w:rsid w:val="00353E28"/>
    <w:rsid w:val="003601D7"/>
    <w:rsid w:val="00361450"/>
    <w:rsid w:val="00365F49"/>
    <w:rsid w:val="003673CF"/>
    <w:rsid w:val="003842A6"/>
    <w:rsid w:val="003845C1"/>
    <w:rsid w:val="00390FE8"/>
    <w:rsid w:val="003A6F89"/>
    <w:rsid w:val="003B38C1"/>
    <w:rsid w:val="003C34E9"/>
    <w:rsid w:val="003C3AB3"/>
    <w:rsid w:val="003C7668"/>
    <w:rsid w:val="003E79C1"/>
    <w:rsid w:val="003F2EBF"/>
    <w:rsid w:val="00404DBA"/>
    <w:rsid w:val="0042187A"/>
    <w:rsid w:val="00423E3E"/>
    <w:rsid w:val="004264A8"/>
    <w:rsid w:val="00427AF4"/>
    <w:rsid w:val="00441EF3"/>
    <w:rsid w:val="00454195"/>
    <w:rsid w:val="00457410"/>
    <w:rsid w:val="00461421"/>
    <w:rsid w:val="00464380"/>
    <w:rsid w:val="004645D0"/>
    <w:rsid w:val="004647DA"/>
    <w:rsid w:val="00472485"/>
    <w:rsid w:val="00473865"/>
    <w:rsid w:val="00474062"/>
    <w:rsid w:val="004749EB"/>
    <w:rsid w:val="00477D6B"/>
    <w:rsid w:val="00480905"/>
    <w:rsid w:val="00481263"/>
    <w:rsid w:val="00496A23"/>
    <w:rsid w:val="004972F3"/>
    <w:rsid w:val="004A7C78"/>
    <w:rsid w:val="004D17F6"/>
    <w:rsid w:val="004D274C"/>
    <w:rsid w:val="004D3740"/>
    <w:rsid w:val="004E3DAB"/>
    <w:rsid w:val="004E5E29"/>
    <w:rsid w:val="004F2106"/>
    <w:rsid w:val="004F467D"/>
    <w:rsid w:val="004F6A3B"/>
    <w:rsid w:val="004F6F5A"/>
    <w:rsid w:val="005019FF"/>
    <w:rsid w:val="00502AD3"/>
    <w:rsid w:val="005103D9"/>
    <w:rsid w:val="00510978"/>
    <w:rsid w:val="00512E2C"/>
    <w:rsid w:val="00522272"/>
    <w:rsid w:val="00522816"/>
    <w:rsid w:val="0053057A"/>
    <w:rsid w:val="00536FBB"/>
    <w:rsid w:val="005456E2"/>
    <w:rsid w:val="00546352"/>
    <w:rsid w:val="005468DF"/>
    <w:rsid w:val="0055266C"/>
    <w:rsid w:val="00556076"/>
    <w:rsid w:val="00560167"/>
    <w:rsid w:val="00560A29"/>
    <w:rsid w:val="00570DC1"/>
    <w:rsid w:val="005723BE"/>
    <w:rsid w:val="00577B96"/>
    <w:rsid w:val="00581D81"/>
    <w:rsid w:val="005A275D"/>
    <w:rsid w:val="005A6514"/>
    <w:rsid w:val="005B187A"/>
    <w:rsid w:val="005B44D8"/>
    <w:rsid w:val="005B5982"/>
    <w:rsid w:val="005B7331"/>
    <w:rsid w:val="005B7650"/>
    <w:rsid w:val="005C19FD"/>
    <w:rsid w:val="005C5981"/>
    <w:rsid w:val="005C6649"/>
    <w:rsid w:val="005D0E2C"/>
    <w:rsid w:val="005D4D49"/>
    <w:rsid w:val="005D572E"/>
    <w:rsid w:val="005D5BFE"/>
    <w:rsid w:val="005E51EF"/>
    <w:rsid w:val="005E6488"/>
    <w:rsid w:val="005E7253"/>
    <w:rsid w:val="005F1971"/>
    <w:rsid w:val="0060009D"/>
    <w:rsid w:val="00605827"/>
    <w:rsid w:val="0060728F"/>
    <w:rsid w:val="00610C7D"/>
    <w:rsid w:val="006115E0"/>
    <w:rsid w:val="006175F3"/>
    <w:rsid w:val="006221A7"/>
    <w:rsid w:val="00623B13"/>
    <w:rsid w:val="006273B1"/>
    <w:rsid w:val="00637D0D"/>
    <w:rsid w:val="006410C7"/>
    <w:rsid w:val="00644DB2"/>
    <w:rsid w:val="00646050"/>
    <w:rsid w:val="00670F4F"/>
    <w:rsid w:val="006713CA"/>
    <w:rsid w:val="00676C5C"/>
    <w:rsid w:val="00677B1B"/>
    <w:rsid w:val="006868CA"/>
    <w:rsid w:val="00687F84"/>
    <w:rsid w:val="006A3459"/>
    <w:rsid w:val="006A4D2A"/>
    <w:rsid w:val="006B02A1"/>
    <w:rsid w:val="006B276A"/>
    <w:rsid w:val="006C6733"/>
    <w:rsid w:val="006D41E0"/>
    <w:rsid w:val="006E17D4"/>
    <w:rsid w:val="006E4BE7"/>
    <w:rsid w:val="006F1F12"/>
    <w:rsid w:val="00707DB3"/>
    <w:rsid w:val="0071360B"/>
    <w:rsid w:val="00720EFD"/>
    <w:rsid w:val="0072762D"/>
    <w:rsid w:val="00732839"/>
    <w:rsid w:val="00741CD4"/>
    <w:rsid w:val="0074232A"/>
    <w:rsid w:val="007628F7"/>
    <w:rsid w:val="00764616"/>
    <w:rsid w:val="00766104"/>
    <w:rsid w:val="007731A0"/>
    <w:rsid w:val="007758BC"/>
    <w:rsid w:val="007758D2"/>
    <w:rsid w:val="0078429E"/>
    <w:rsid w:val="00793A7C"/>
    <w:rsid w:val="00797571"/>
    <w:rsid w:val="007A0A8E"/>
    <w:rsid w:val="007A398A"/>
    <w:rsid w:val="007A5530"/>
    <w:rsid w:val="007A63D3"/>
    <w:rsid w:val="007A6E81"/>
    <w:rsid w:val="007B4376"/>
    <w:rsid w:val="007D1613"/>
    <w:rsid w:val="007E1C27"/>
    <w:rsid w:val="007E4C0E"/>
    <w:rsid w:val="007E7601"/>
    <w:rsid w:val="007F2755"/>
    <w:rsid w:val="007F6F1B"/>
    <w:rsid w:val="008045ED"/>
    <w:rsid w:val="00812E41"/>
    <w:rsid w:val="00820042"/>
    <w:rsid w:val="008308B9"/>
    <w:rsid w:val="00832028"/>
    <w:rsid w:val="00834B65"/>
    <w:rsid w:val="008422E3"/>
    <w:rsid w:val="008501CC"/>
    <w:rsid w:val="008526F8"/>
    <w:rsid w:val="00852706"/>
    <w:rsid w:val="00856F13"/>
    <w:rsid w:val="008625D0"/>
    <w:rsid w:val="0086315D"/>
    <w:rsid w:val="00875B1E"/>
    <w:rsid w:val="0087681F"/>
    <w:rsid w:val="008772BF"/>
    <w:rsid w:val="00880A7C"/>
    <w:rsid w:val="00880D97"/>
    <w:rsid w:val="00881EE0"/>
    <w:rsid w:val="008854EA"/>
    <w:rsid w:val="0088740A"/>
    <w:rsid w:val="00892E93"/>
    <w:rsid w:val="008961C5"/>
    <w:rsid w:val="008974D8"/>
    <w:rsid w:val="008A134B"/>
    <w:rsid w:val="008A1D32"/>
    <w:rsid w:val="008A21E7"/>
    <w:rsid w:val="008A36F8"/>
    <w:rsid w:val="008A650A"/>
    <w:rsid w:val="008A70B1"/>
    <w:rsid w:val="008B2CC1"/>
    <w:rsid w:val="008B3553"/>
    <w:rsid w:val="008B60B2"/>
    <w:rsid w:val="008B7B5B"/>
    <w:rsid w:val="008C7E22"/>
    <w:rsid w:val="008D32E3"/>
    <w:rsid w:val="008D4E7A"/>
    <w:rsid w:val="008F359F"/>
    <w:rsid w:val="008F7846"/>
    <w:rsid w:val="0090731E"/>
    <w:rsid w:val="00914689"/>
    <w:rsid w:val="0091585B"/>
    <w:rsid w:val="00916EE2"/>
    <w:rsid w:val="00920EFC"/>
    <w:rsid w:val="0092748B"/>
    <w:rsid w:val="00930754"/>
    <w:rsid w:val="00934963"/>
    <w:rsid w:val="00942F77"/>
    <w:rsid w:val="00956E1C"/>
    <w:rsid w:val="009576EC"/>
    <w:rsid w:val="0096341C"/>
    <w:rsid w:val="00966021"/>
    <w:rsid w:val="00966A22"/>
    <w:rsid w:val="0096722F"/>
    <w:rsid w:val="00980843"/>
    <w:rsid w:val="00983145"/>
    <w:rsid w:val="0098420C"/>
    <w:rsid w:val="00986003"/>
    <w:rsid w:val="00986A17"/>
    <w:rsid w:val="009A126E"/>
    <w:rsid w:val="009A47FE"/>
    <w:rsid w:val="009A4B04"/>
    <w:rsid w:val="009A782F"/>
    <w:rsid w:val="009B0B74"/>
    <w:rsid w:val="009B158A"/>
    <w:rsid w:val="009C2DFA"/>
    <w:rsid w:val="009C4207"/>
    <w:rsid w:val="009D0B20"/>
    <w:rsid w:val="009E2791"/>
    <w:rsid w:val="009E3F6F"/>
    <w:rsid w:val="009F1671"/>
    <w:rsid w:val="009F447F"/>
    <w:rsid w:val="009F499F"/>
    <w:rsid w:val="009F6985"/>
    <w:rsid w:val="00A01479"/>
    <w:rsid w:val="00A15838"/>
    <w:rsid w:val="00A16BDA"/>
    <w:rsid w:val="00A17D90"/>
    <w:rsid w:val="00A21361"/>
    <w:rsid w:val="00A35865"/>
    <w:rsid w:val="00A363F5"/>
    <w:rsid w:val="00A37342"/>
    <w:rsid w:val="00A42DAF"/>
    <w:rsid w:val="00A434B6"/>
    <w:rsid w:val="00A45BD8"/>
    <w:rsid w:val="00A53769"/>
    <w:rsid w:val="00A61B67"/>
    <w:rsid w:val="00A63690"/>
    <w:rsid w:val="00A67D93"/>
    <w:rsid w:val="00A83B4C"/>
    <w:rsid w:val="00A869B7"/>
    <w:rsid w:val="00AB2E8D"/>
    <w:rsid w:val="00AB6A66"/>
    <w:rsid w:val="00AC205C"/>
    <w:rsid w:val="00AC4C0E"/>
    <w:rsid w:val="00AD148F"/>
    <w:rsid w:val="00AF0A6B"/>
    <w:rsid w:val="00AF1AFC"/>
    <w:rsid w:val="00B05357"/>
    <w:rsid w:val="00B05A69"/>
    <w:rsid w:val="00B07D1B"/>
    <w:rsid w:val="00B12514"/>
    <w:rsid w:val="00B2584C"/>
    <w:rsid w:val="00B56EA8"/>
    <w:rsid w:val="00B60965"/>
    <w:rsid w:val="00B62566"/>
    <w:rsid w:val="00B7196C"/>
    <w:rsid w:val="00B72597"/>
    <w:rsid w:val="00B73502"/>
    <w:rsid w:val="00B75281"/>
    <w:rsid w:val="00B80EA8"/>
    <w:rsid w:val="00B852AB"/>
    <w:rsid w:val="00B912F2"/>
    <w:rsid w:val="00B92F1F"/>
    <w:rsid w:val="00B9734B"/>
    <w:rsid w:val="00BA30E2"/>
    <w:rsid w:val="00BA4506"/>
    <w:rsid w:val="00BA7C6B"/>
    <w:rsid w:val="00BB6104"/>
    <w:rsid w:val="00BB6F42"/>
    <w:rsid w:val="00BC481A"/>
    <w:rsid w:val="00BD3029"/>
    <w:rsid w:val="00BE451D"/>
    <w:rsid w:val="00BE7F5D"/>
    <w:rsid w:val="00BF21AE"/>
    <w:rsid w:val="00C00A0C"/>
    <w:rsid w:val="00C11B8F"/>
    <w:rsid w:val="00C11BFE"/>
    <w:rsid w:val="00C124CA"/>
    <w:rsid w:val="00C25DC2"/>
    <w:rsid w:val="00C2785F"/>
    <w:rsid w:val="00C33511"/>
    <w:rsid w:val="00C41220"/>
    <w:rsid w:val="00C5068F"/>
    <w:rsid w:val="00C50A75"/>
    <w:rsid w:val="00C55CE1"/>
    <w:rsid w:val="00C86D74"/>
    <w:rsid w:val="00CA255A"/>
    <w:rsid w:val="00CA5C1A"/>
    <w:rsid w:val="00CD04F1"/>
    <w:rsid w:val="00CD3C22"/>
    <w:rsid w:val="00CD4202"/>
    <w:rsid w:val="00CD4CDA"/>
    <w:rsid w:val="00CE1BBD"/>
    <w:rsid w:val="00CE3610"/>
    <w:rsid w:val="00CE7914"/>
    <w:rsid w:val="00CF0AC2"/>
    <w:rsid w:val="00CF5B2F"/>
    <w:rsid w:val="00CF5EA7"/>
    <w:rsid w:val="00CF681A"/>
    <w:rsid w:val="00D07C78"/>
    <w:rsid w:val="00D15590"/>
    <w:rsid w:val="00D204CB"/>
    <w:rsid w:val="00D41EBE"/>
    <w:rsid w:val="00D45252"/>
    <w:rsid w:val="00D45FF2"/>
    <w:rsid w:val="00D472FE"/>
    <w:rsid w:val="00D51DBF"/>
    <w:rsid w:val="00D558F0"/>
    <w:rsid w:val="00D6067E"/>
    <w:rsid w:val="00D61AC5"/>
    <w:rsid w:val="00D71B4D"/>
    <w:rsid w:val="00D74A00"/>
    <w:rsid w:val="00D74CC9"/>
    <w:rsid w:val="00D8492F"/>
    <w:rsid w:val="00D93D55"/>
    <w:rsid w:val="00D9471A"/>
    <w:rsid w:val="00D962C9"/>
    <w:rsid w:val="00DA36C5"/>
    <w:rsid w:val="00DD2370"/>
    <w:rsid w:val="00DD7B7F"/>
    <w:rsid w:val="00DE154E"/>
    <w:rsid w:val="00DE20D0"/>
    <w:rsid w:val="00DE3C8A"/>
    <w:rsid w:val="00DF1A68"/>
    <w:rsid w:val="00E110EA"/>
    <w:rsid w:val="00E15015"/>
    <w:rsid w:val="00E16CE0"/>
    <w:rsid w:val="00E22D95"/>
    <w:rsid w:val="00E335FE"/>
    <w:rsid w:val="00E36E48"/>
    <w:rsid w:val="00E4034A"/>
    <w:rsid w:val="00E501A2"/>
    <w:rsid w:val="00E57588"/>
    <w:rsid w:val="00E60918"/>
    <w:rsid w:val="00E60E1A"/>
    <w:rsid w:val="00E7591C"/>
    <w:rsid w:val="00EA685E"/>
    <w:rsid w:val="00EA7D6E"/>
    <w:rsid w:val="00EB1C65"/>
    <w:rsid w:val="00EB2F76"/>
    <w:rsid w:val="00EC4E49"/>
    <w:rsid w:val="00EC7392"/>
    <w:rsid w:val="00ED77FB"/>
    <w:rsid w:val="00EE0260"/>
    <w:rsid w:val="00EE45FA"/>
    <w:rsid w:val="00F043DE"/>
    <w:rsid w:val="00F110C5"/>
    <w:rsid w:val="00F21EF3"/>
    <w:rsid w:val="00F33EFD"/>
    <w:rsid w:val="00F372E3"/>
    <w:rsid w:val="00F44DD7"/>
    <w:rsid w:val="00F5074B"/>
    <w:rsid w:val="00F64D91"/>
    <w:rsid w:val="00F66152"/>
    <w:rsid w:val="00F66778"/>
    <w:rsid w:val="00F71BDD"/>
    <w:rsid w:val="00F813FE"/>
    <w:rsid w:val="00F9067D"/>
    <w:rsid w:val="00F9165B"/>
    <w:rsid w:val="00F944FE"/>
    <w:rsid w:val="00FC110E"/>
    <w:rsid w:val="00FD1A59"/>
    <w:rsid w:val="00FD1B40"/>
    <w:rsid w:val="00FF1C26"/>
    <w:rsid w:val="00FF33DA"/>
    <w:rsid w:val="00FF36B9"/>
    <w:rsid w:val="00FF6E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E5FAC5"/>
  <w15:docId w15:val="{2494530E-51B6-4FBF-9213-DBF3F0F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B72597"/>
    <w:pPr>
      <w:keepNext/>
      <w:numPr>
        <w:numId w:val="11"/>
      </w:numPr>
      <w:spacing w:before="480" w:after="240"/>
      <w:ind w:left="567" w:hanging="567"/>
      <w:outlineLvl w:val="0"/>
    </w:pPr>
    <w:rPr>
      <w:b/>
      <w:bCs/>
      <w:caps/>
      <w:color w:val="000000"/>
      <w:kern w:val="32"/>
      <w:szCs w:val="32"/>
      <w:lang w:val="fr-FR"/>
    </w:rPr>
  </w:style>
  <w:style w:type="paragraph" w:styleId="Heading2">
    <w:name w:val="heading 2"/>
    <w:basedOn w:val="Normal"/>
    <w:next w:val="Normal"/>
    <w:link w:val="Heading2Char"/>
    <w:qFormat/>
    <w:rsid w:val="00C33511"/>
    <w:pPr>
      <w:keepNext/>
      <w:spacing w:before="240" w:after="240"/>
      <w:ind w:left="567"/>
      <w:outlineLvl w:val="1"/>
    </w:pPr>
    <w:rPr>
      <w:bCs/>
      <w:iCs/>
      <w:caps/>
      <w:szCs w:val="28"/>
      <w:lang w:val="fr-FR"/>
    </w:rPr>
  </w:style>
  <w:style w:type="paragraph" w:styleId="Heading3">
    <w:name w:val="heading 3"/>
    <w:basedOn w:val="Normal"/>
    <w:next w:val="Normal"/>
    <w:link w:val="Heading3Char"/>
    <w:qFormat/>
    <w:rsid w:val="00C33511"/>
    <w:pPr>
      <w:keepNext/>
      <w:spacing w:before="240" w:after="240"/>
      <w:outlineLvl w:val="2"/>
    </w:pPr>
    <w:rPr>
      <w:bCs/>
      <w:i/>
      <w:szCs w:val="26"/>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B72597"/>
    <w:rPr>
      <w:rFonts w:ascii="Arial" w:eastAsia="SimSun" w:hAnsi="Arial" w:cs="Arial"/>
      <w:b/>
      <w:bCs/>
      <w:caps/>
      <w:color w:val="000000"/>
      <w:kern w:val="32"/>
      <w:sz w:val="22"/>
      <w:szCs w:val="32"/>
      <w:lang w:val="fr-FR" w:eastAsia="zh-CN"/>
    </w:rPr>
  </w:style>
  <w:style w:type="character" w:customStyle="1" w:styleId="Heading2Char">
    <w:name w:val="Heading 2 Char"/>
    <w:basedOn w:val="DefaultParagraphFont"/>
    <w:link w:val="Heading2"/>
    <w:rsid w:val="00C33511"/>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C33511"/>
    <w:rPr>
      <w:rFonts w:ascii="Arial" w:eastAsia="SimSun" w:hAnsi="Arial" w:cs="Arial"/>
      <w:bCs/>
      <w:i/>
      <w:sz w:val="22"/>
      <w:szCs w:val="26"/>
      <w:lang w:val="fr-FR"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Arial"/>
      <w:sz w:val="18"/>
      <w:lang w:val="en-US" w:eastAsia="zh-CN"/>
    </w:rPr>
  </w:style>
  <w:style w:type="character" w:customStyle="1" w:styleId="CommentTextChar">
    <w:name w:val="Comment Text Char"/>
    <w:basedOn w:val="DefaultParagraphFont"/>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6BEE"/>
    <w:rPr>
      <w:rFonts w:ascii="Arial" w:hAnsi="Arial" w:cs="Arial"/>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Arial"/>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njspf.org/wp-content/uploads/2021/10/A_76_297-F.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c.un.org/Resources/General/AnnualReports/AR2021.pdf?r=08076893" TargetMode="External"/><Relationship Id="rId5" Type="http://schemas.openxmlformats.org/officeDocument/2006/relationships/webSettings" Target="webSettings.xml"/><Relationship Id="rId15" Type="http://schemas.openxmlformats.org/officeDocument/2006/relationships/hyperlink" Target="https://www.wipo.int/jobs/fr/young-experts-program.html"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meetings/fr/doc_details.jsp?doc_id=548741"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sceb.org/sites/default/files/imported_files/UN%20System%20Model%20Policy%20on%20Sexual%20Harassment_FINAL_0.pdf" TargetMode="External"/><Relationship Id="rId2" Type="http://schemas.openxmlformats.org/officeDocument/2006/relationships/hyperlink" Target="https://www.unwomen.org/en/how-we-work/un-system-coordination/promoting-un-accountability/un-swap-results/2020" TargetMode="External"/><Relationship Id="rId1" Type="http://schemas.openxmlformats.org/officeDocument/2006/relationships/hyperlink" Target="https://www.wipo.int/edocs/mdocs/govbody/fr/wo_cc_75/wo_cc_75_3.pdf" TargetMode="External"/><Relationship Id="rId4" Type="http://schemas.openxmlformats.org/officeDocument/2006/relationships/hyperlink" Target="https://www.wipo.int/edocs/mdocs/govbody/fr/wo_cc_80/wo_cc_80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B83E0-B767-46B5-98B4-520B8034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6239</Words>
  <Characters>34362</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WO/CC/80/INF/1</vt:lpstr>
    </vt:vector>
  </TitlesOfParts>
  <Company>WIPO</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dc:title>
  <dc:subject>Sixty-Third Series of Meetings</dc:subject>
  <dc:creator>WIPO</dc:creator>
  <cp:keywords>PUBLIC</cp:keywords>
  <dc:description/>
  <cp:lastModifiedBy>MARIN-CUDRAZ DAVI Nicoletta</cp:lastModifiedBy>
  <cp:revision>12</cp:revision>
  <cp:lastPrinted>2022-04-14T13:07:00Z</cp:lastPrinted>
  <dcterms:created xsi:type="dcterms:W3CDTF">2022-05-23T19:01:00Z</dcterms:created>
  <dcterms:modified xsi:type="dcterms:W3CDTF">2022-05-24T10:53:00Z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49e21106-08e5-4048-be02-0cfaeaa885a1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