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56791" w:rsidRPr="003C6F9F" w14:paraId="0ACAA441" w14:textId="77777777" w:rsidTr="00D77AF9">
        <w:tc>
          <w:tcPr>
            <w:tcW w:w="4513" w:type="dxa"/>
            <w:tcBorders>
              <w:bottom w:val="single" w:sz="4" w:space="0" w:color="auto"/>
            </w:tcBorders>
            <w:tcMar>
              <w:bottom w:w="170" w:type="dxa"/>
            </w:tcMar>
          </w:tcPr>
          <w:p w14:paraId="2C3F11DF" w14:textId="77777777" w:rsidR="00156791" w:rsidRPr="003C6F9F" w:rsidRDefault="00156791" w:rsidP="00D77AF9">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14:paraId="0A9D6351" w14:textId="77777777" w:rsidR="00156791" w:rsidRPr="003C6F9F" w:rsidRDefault="00156791" w:rsidP="00D77AF9">
            <w:pPr>
              <w:rPr>
                <w:lang w:val="fr-FR"/>
              </w:rPr>
            </w:pPr>
            <w:r w:rsidRPr="003C6F9F">
              <w:rPr>
                <w:noProof/>
                <w:lang w:eastAsia="en-US"/>
              </w:rPr>
              <w:drawing>
                <wp:inline distT="0" distB="0" distL="0" distR="0" wp14:anchorId="126BA1DD" wp14:editId="462D540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2F7E2F5" w14:textId="77777777" w:rsidR="00156791" w:rsidRPr="003C6F9F" w:rsidRDefault="00156791" w:rsidP="00D77AF9">
            <w:pPr>
              <w:jc w:val="right"/>
              <w:rPr>
                <w:lang w:val="fr-FR"/>
              </w:rPr>
            </w:pPr>
            <w:r w:rsidRPr="003C6F9F">
              <w:rPr>
                <w:b/>
                <w:sz w:val="40"/>
                <w:szCs w:val="40"/>
                <w:lang w:val="fr-FR"/>
              </w:rPr>
              <w:t>F</w:t>
            </w:r>
          </w:p>
        </w:tc>
      </w:tr>
      <w:tr w:rsidR="00156791" w:rsidRPr="003C6F9F" w14:paraId="3609C217" w14:textId="77777777" w:rsidTr="00D77AF9">
        <w:trPr>
          <w:trHeight w:hRule="exact" w:val="357"/>
        </w:trPr>
        <w:tc>
          <w:tcPr>
            <w:tcW w:w="9356" w:type="dxa"/>
            <w:gridSpan w:val="3"/>
            <w:tcBorders>
              <w:top w:val="single" w:sz="4" w:space="0" w:color="auto"/>
            </w:tcBorders>
            <w:tcMar>
              <w:top w:w="170" w:type="dxa"/>
              <w:left w:w="0" w:type="dxa"/>
              <w:right w:w="0" w:type="dxa"/>
            </w:tcMar>
            <w:vAlign w:val="bottom"/>
          </w:tcPr>
          <w:p w14:paraId="1B0BFD86" w14:textId="77777777" w:rsidR="00156791" w:rsidRPr="003C6F9F" w:rsidRDefault="00156791" w:rsidP="00D77AF9">
            <w:pPr>
              <w:jc w:val="right"/>
              <w:rPr>
                <w:rFonts w:ascii="Arial Black" w:hAnsi="Arial Black"/>
                <w:caps/>
                <w:sz w:val="15"/>
                <w:lang w:val="fr-FR"/>
              </w:rPr>
            </w:pPr>
            <w:r w:rsidRPr="003C6F9F">
              <w:rPr>
                <w:rFonts w:ascii="Arial Black" w:hAnsi="Arial Black"/>
                <w:caps/>
                <w:sz w:val="15"/>
                <w:lang w:val="fr-FR"/>
              </w:rPr>
              <w:t>WO/CC/74/</w:t>
            </w:r>
            <w:bookmarkStart w:id="2" w:name="Code"/>
            <w:bookmarkEnd w:id="2"/>
            <w:r w:rsidRPr="003C6F9F">
              <w:rPr>
                <w:rFonts w:ascii="Arial Black" w:hAnsi="Arial Black"/>
                <w:caps/>
                <w:sz w:val="15"/>
                <w:lang w:val="fr-FR"/>
              </w:rPr>
              <w:t>7</w:t>
            </w:r>
          </w:p>
        </w:tc>
      </w:tr>
      <w:tr w:rsidR="00156791" w:rsidRPr="003C6F9F" w14:paraId="3A3CA892" w14:textId="77777777" w:rsidTr="00D77AF9">
        <w:trPr>
          <w:trHeight w:hRule="exact" w:val="170"/>
        </w:trPr>
        <w:tc>
          <w:tcPr>
            <w:tcW w:w="9356" w:type="dxa"/>
            <w:gridSpan w:val="3"/>
            <w:noWrap/>
            <w:tcMar>
              <w:left w:w="0" w:type="dxa"/>
              <w:right w:w="0" w:type="dxa"/>
            </w:tcMar>
            <w:vAlign w:val="bottom"/>
          </w:tcPr>
          <w:p w14:paraId="2F67BFFA" w14:textId="534E454C" w:rsidR="00156791" w:rsidRPr="003C6F9F" w:rsidRDefault="00156791" w:rsidP="00D77AF9">
            <w:pPr>
              <w:jc w:val="right"/>
              <w:rPr>
                <w:rFonts w:ascii="Arial Black" w:hAnsi="Arial Black"/>
                <w:caps/>
                <w:sz w:val="15"/>
                <w:lang w:val="fr-FR"/>
              </w:rPr>
            </w:pPr>
            <w:r w:rsidRPr="003C6F9F">
              <w:rPr>
                <w:rFonts w:ascii="Arial Black" w:hAnsi="Arial Black"/>
                <w:caps/>
                <w:sz w:val="15"/>
                <w:lang w:val="fr-FR"/>
              </w:rPr>
              <w:t>ORIGINAL</w:t>
            </w:r>
            <w:r w:rsidR="002E77DC" w:rsidRPr="003C6F9F">
              <w:rPr>
                <w:rFonts w:ascii="Arial Black" w:hAnsi="Arial Black"/>
                <w:caps/>
                <w:sz w:val="15"/>
                <w:lang w:val="fr-FR"/>
              </w:rPr>
              <w:t> :</w:t>
            </w:r>
            <w:r w:rsidRPr="003C6F9F">
              <w:rPr>
                <w:rFonts w:ascii="Arial Black" w:hAnsi="Arial Black"/>
                <w:caps/>
                <w:sz w:val="15"/>
                <w:lang w:val="fr-FR"/>
              </w:rPr>
              <w:t xml:space="preserve"> </w:t>
            </w:r>
            <w:bookmarkStart w:id="3" w:name="Original"/>
            <w:bookmarkEnd w:id="3"/>
            <w:r w:rsidRPr="003C6F9F">
              <w:rPr>
                <w:rFonts w:ascii="Arial Black" w:hAnsi="Arial Black"/>
                <w:caps/>
                <w:sz w:val="15"/>
                <w:lang w:val="fr-FR"/>
              </w:rPr>
              <w:t xml:space="preserve">anglais </w:t>
            </w:r>
          </w:p>
        </w:tc>
      </w:tr>
      <w:tr w:rsidR="00156791" w:rsidRPr="003C6F9F" w14:paraId="778329BE" w14:textId="77777777" w:rsidTr="00D77AF9">
        <w:trPr>
          <w:trHeight w:hRule="exact" w:val="198"/>
        </w:trPr>
        <w:tc>
          <w:tcPr>
            <w:tcW w:w="9356" w:type="dxa"/>
            <w:gridSpan w:val="3"/>
            <w:tcMar>
              <w:left w:w="0" w:type="dxa"/>
              <w:right w:w="0" w:type="dxa"/>
            </w:tcMar>
            <w:vAlign w:val="bottom"/>
          </w:tcPr>
          <w:p w14:paraId="441BBF35" w14:textId="3BDD5B3B" w:rsidR="00156791" w:rsidRPr="003C6F9F" w:rsidRDefault="00156791" w:rsidP="00D77AF9">
            <w:pPr>
              <w:jc w:val="right"/>
              <w:rPr>
                <w:rFonts w:ascii="Arial Black" w:hAnsi="Arial Black"/>
                <w:caps/>
                <w:sz w:val="15"/>
                <w:lang w:val="fr-FR"/>
              </w:rPr>
            </w:pPr>
            <w:r w:rsidRPr="003C6F9F">
              <w:rPr>
                <w:rFonts w:ascii="Arial Black" w:hAnsi="Arial Black"/>
                <w:caps/>
                <w:sz w:val="15"/>
                <w:lang w:val="fr-FR"/>
              </w:rPr>
              <w:t>DATE</w:t>
            </w:r>
            <w:r w:rsidR="002E77DC" w:rsidRPr="003C6F9F">
              <w:rPr>
                <w:rFonts w:ascii="Arial Black" w:hAnsi="Arial Black"/>
                <w:caps/>
                <w:sz w:val="15"/>
                <w:lang w:val="fr-FR"/>
              </w:rPr>
              <w:t> :</w:t>
            </w:r>
            <w:r w:rsidRPr="003C6F9F">
              <w:rPr>
                <w:rFonts w:ascii="Arial Black" w:hAnsi="Arial Black"/>
                <w:caps/>
                <w:sz w:val="15"/>
                <w:lang w:val="fr-FR"/>
              </w:rPr>
              <w:t xml:space="preserve"> </w:t>
            </w:r>
            <w:bookmarkStart w:id="4" w:name="Date"/>
            <w:bookmarkEnd w:id="4"/>
            <w:r w:rsidRPr="003C6F9F">
              <w:rPr>
                <w:rFonts w:ascii="Arial Black" w:hAnsi="Arial Black"/>
                <w:caps/>
                <w:sz w:val="15"/>
                <w:lang w:val="fr-FR"/>
              </w:rPr>
              <w:t xml:space="preserve">26 septembre 2017 </w:t>
            </w:r>
          </w:p>
        </w:tc>
      </w:tr>
    </w:tbl>
    <w:p w14:paraId="7DE567E3" w14:textId="77777777" w:rsidR="00156791" w:rsidRPr="003C6F9F" w:rsidRDefault="00156791" w:rsidP="00156791">
      <w:pPr>
        <w:rPr>
          <w:lang w:val="fr-FR"/>
        </w:rPr>
      </w:pPr>
    </w:p>
    <w:p w14:paraId="64CF780F" w14:textId="77777777" w:rsidR="00156791" w:rsidRPr="003C6F9F" w:rsidRDefault="00156791" w:rsidP="00156791">
      <w:pPr>
        <w:rPr>
          <w:lang w:val="fr-FR"/>
        </w:rPr>
      </w:pPr>
    </w:p>
    <w:p w14:paraId="063DB663" w14:textId="77777777" w:rsidR="00156791" w:rsidRPr="003C6F9F" w:rsidRDefault="00156791" w:rsidP="00156791">
      <w:pPr>
        <w:rPr>
          <w:lang w:val="fr-FR"/>
        </w:rPr>
      </w:pPr>
    </w:p>
    <w:p w14:paraId="088AACC4" w14:textId="77777777" w:rsidR="00156791" w:rsidRPr="003C6F9F" w:rsidRDefault="00156791" w:rsidP="00156791">
      <w:pPr>
        <w:rPr>
          <w:lang w:val="fr-FR"/>
        </w:rPr>
      </w:pPr>
    </w:p>
    <w:p w14:paraId="4B12828A" w14:textId="77777777" w:rsidR="00156791" w:rsidRPr="003C6F9F" w:rsidRDefault="00156791" w:rsidP="00156791">
      <w:pPr>
        <w:rPr>
          <w:lang w:val="fr-FR"/>
        </w:rPr>
      </w:pPr>
    </w:p>
    <w:p w14:paraId="2026CFD6" w14:textId="4896EC2A" w:rsidR="00156791" w:rsidRPr="003C6F9F" w:rsidRDefault="00156791" w:rsidP="00386B6C">
      <w:pPr>
        <w:rPr>
          <w:b/>
          <w:sz w:val="28"/>
          <w:szCs w:val="28"/>
          <w:lang w:val="fr-FR"/>
        </w:rPr>
      </w:pPr>
      <w:r w:rsidRPr="003C6F9F">
        <w:rPr>
          <w:b/>
          <w:sz w:val="28"/>
          <w:szCs w:val="28"/>
          <w:lang w:val="fr-FR"/>
        </w:rPr>
        <w:t>Comité de coordination de l</w:t>
      </w:r>
      <w:r w:rsidR="002E77DC" w:rsidRPr="003C6F9F">
        <w:rPr>
          <w:b/>
          <w:sz w:val="28"/>
          <w:szCs w:val="28"/>
          <w:lang w:val="fr-FR"/>
        </w:rPr>
        <w:t>’</w:t>
      </w:r>
      <w:r w:rsidRPr="003C6F9F">
        <w:rPr>
          <w:b/>
          <w:sz w:val="28"/>
          <w:szCs w:val="28"/>
          <w:lang w:val="fr-FR"/>
        </w:rPr>
        <w:t>OMPI</w:t>
      </w:r>
    </w:p>
    <w:p w14:paraId="0C000735" w14:textId="77777777" w:rsidR="00156791" w:rsidRPr="003C6F9F" w:rsidRDefault="00156791" w:rsidP="00386B6C">
      <w:pPr>
        <w:rPr>
          <w:lang w:val="fr-FR"/>
        </w:rPr>
      </w:pPr>
    </w:p>
    <w:p w14:paraId="78213426" w14:textId="77777777" w:rsidR="00156791" w:rsidRPr="003C6F9F" w:rsidRDefault="00156791" w:rsidP="00386B6C">
      <w:pPr>
        <w:rPr>
          <w:lang w:val="fr-FR"/>
        </w:rPr>
      </w:pPr>
    </w:p>
    <w:p w14:paraId="2CDA82FA" w14:textId="277077E2" w:rsidR="00156791" w:rsidRPr="003C6F9F" w:rsidRDefault="00156791" w:rsidP="00386B6C">
      <w:pPr>
        <w:rPr>
          <w:b/>
          <w:sz w:val="24"/>
          <w:szCs w:val="24"/>
          <w:lang w:val="fr-FR"/>
        </w:rPr>
      </w:pPr>
      <w:r w:rsidRPr="003C6F9F">
        <w:rPr>
          <w:b/>
          <w:sz w:val="24"/>
          <w:szCs w:val="24"/>
          <w:lang w:val="fr-FR"/>
        </w:rPr>
        <w:t>Soixante</w:t>
      </w:r>
      <w:r w:rsidR="00656341">
        <w:rPr>
          <w:b/>
          <w:sz w:val="24"/>
          <w:szCs w:val="24"/>
          <w:lang w:val="fr-FR"/>
        </w:rPr>
        <w:noBreakHyphen/>
      </w:r>
      <w:r w:rsidRPr="003C6F9F">
        <w:rPr>
          <w:b/>
          <w:sz w:val="24"/>
          <w:szCs w:val="24"/>
          <w:lang w:val="fr-FR"/>
        </w:rPr>
        <w:t>quatorz</w:t>
      </w:r>
      <w:r w:rsidR="002E77DC" w:rsidRPr="003C6F9F">
        <w:rPr>
          <w:b/>
          <w:sz w:val="24"/>
          <w:szCs w:val="24"/>
          <w:lang w:val="fr-FR"/>
        </w:rPr>
        <w:t>ième session</w:t>
      </w:r>
      <w:r w:rsidRPr="003C6F9F">
        <w:rPr>
          <w:b/>
          <w:sz w:val="24"/>
          <w:szCs w:val="24"/>
          <w:lang w:val="fr-FR"/>
        </w:rPr>
        <w:t xml:space="preserve"> (48</w:t>
      </w:r>
      <w:r w:rsidRPr="003C6F9F">
        <w:rPr>
          <w:b/>
          <w:sz w:val="24"/>
          <w:szCs w:val="24"/>
          <w:vertAlign w:val="superscript"/>
          <w:lang w:val="fr-FR"/>
        </w:rPr>
        <w:t>e</w:t>
      </w:r>
      <w:r w:rsidR="008A4E85">
        <w:rPr>
          <w:b/>
          <w:sz w:val="24"/>
          <w:szCs w:val="24"/>
          <w:lang w:val="fr-FR"/>
        </w:rPr>
        <w:t> </w:t>
      </w:r>
      <w:r w:rsidRPr="003C6F9F">
        <w:rPr>
          <w:b/>
          <w:sz w:val="24"/>
          <w:szCs w:val="24"/>
          <w:lang w:val="fr-FR"/>
        </w:rPr>
        <w:t>session ordinaire)</w:t>
      </w:r>
    </w:p>
    <w:p w14:paraId="55DF7D52" w14:textId="3F009756" w:rsidR="00156791" w:rsidRPr="003C6F9F" w:rsidRDefault="00156791" w:rsidP="00386B6C">
      <w:pPr>
        <w:rPr>
          <w:b/>
          <w:sz w:val="24"/>
          <w:szCs w:val="24"/>
          <w:lang w:val="fr-FR"/>
        </w:rPr>
      </w:pPr>
      <w:r w:rsidRPr="003C6F9F">
        <w:rPr>
          <w:b/>
          <w:sz w:val="24"/>
          <w:szCs w:val="24"/>
          <w:lang w:val="fr-FR"/>
        </w:rPr>
        <w:t>Genève, 2 – 1</w:t>
      </w:r>
      <w:r w:rsidR="002E77DC" w:rsidRPr="003C6F9F">
        <w:rPr>
          <w:b/>
          <w:sz w:val="24"/>
          <w:szCs w:val="24"/>
          <w:lang w:val="fr-FR"/>
        </w:rPr>
        <w:t>1 octobre 20</w:t>
      </w:r>
      <w:r w:rsidRPr="003C6F9F">
        <w:rPr>
          <w:b/>
          <w:sz w:val="24"/>
          <w:szCs w:val="24"/>
          <w:lang w:val="fr-FR"/>
        </w:rPr>
        <w:t>17</w:t>
      </w:r>
    </w:p>
    <w:p w14:paraId="79D79E15" w14:textId="77777777" w:rsidR="00156791" w:rsidRPr="003C6F9F" w:rsidRDefault="00156791" w:rsidP="00386B6C">
      <w:pPr>
        <w:rPr>
          <w:lang w:val="fr-FR"/>
        </w:rPr>
      </w:pPr>
    </w:p>
    <w:p w14:paraId="5FD89007" w14:textId="77777777" w:rsidR="00156791" w:rsidRPr="003C6F9F" w:rsidRDefault="00156791" w:rsidP="00386B6C">
      <w:pPr>
        <w:rPr>
          <w:lang w:val="fr-FR"/>
        </w:rPr>
      </w:pPr>
    </w:p>
    <w:p w14:paraId="121A34E3" w14:textId="77777777" w:rsidR="00156791" w:rsidRPr="003C6F9F" w:rsidRDefault="00156791" w:rsidP="00386B6C">
      <w:pPr>
        <w:rPr>
          <w:lang w:val="fr-FR"/>
        </w:rPr>
      </w:pPr>
    </w:p>
    <w:p w14:paraId="3A79E9BC" w14:textId="47DC66A4" w:rsidR="003B21A9" w:rsidRPr="003C6F9F" w:rsidRDefault="003B21A9" w:rsidP="00386B6C">
      <w:pPr>
        <w:rPr>
          <w:caps/>
          <w:sz w:val="24"/>
          <w:lang w:val="fr-FR"/>
        </w:rPr>
      </w:pPr>
      <w:r w:rsidRPr="003C6F9F">
        <w:rPr>
          <w:caps/>
          <w:sz w:val="24"/>
          <w:lang w:val="fr-FR"/>
        </w:rPr>
        <w:t>Amendements du Statut du personnel proposés par l</w:t>
      </w:r>
      <w:r w:rsidR="002E77DC" w:rsidRPr="003C6F9F">
        <w:rPr>
          <w:caps/>
          <w:sz w:val="24"/>
          <w:lang w:val="fr-FR"/>
        </w:rPr>
        <w:t>’</w:t>
      </w:r>
      <w:r w:rsidRPr="003C6F9F">
        <w:rPr>
          <w:caps/>
          <w:sz w:val="24"/>
          <w:lang w:val="fr-FR"/>
        </w:rPr>
        <w:t>Organe consultatif indépendant de surveillance (OCIS)</w:t>
      </w:r>
    </w:p>
    <w:p w14:paraId="7208A7EA" w14:textId="77777777" w:rsidR="003B21A9" w:rsidRPr="003C6F9F" w:rsidRDefault="003B21A9" w:rsidP="00386B6C">
      <w:pPr>
        <w:rPr>
          <w:lang w:val="fr-FR"/>
        </w:rPr>
      </w:pPr>
    </w:p>
    <w:p w14:paraId="3C5460EF" w14:textId="43B3643E" w:rsidR="002E77DC" w:rsidRPr="003C6F9F" w:rsidRDefault="003B21A9" w:rsidP="00386B6C">
      <w:pPr>
        <w:rPr>
          <w:i/>
          <w:lang w:val="fr-FR"/>
        </w:rPr>
      </w:pPr>
      <w:bookmarkStart w:id="5" w:name="Prepared"/>
      <w:bookmarkEnd w:id="5"/>
      <w:r w:rsidRPr="003C6F9F">
        <w:rPr>
          <w:i/>
          <w:lang w:val="fr-FR"/>
        </w:rPr>
        <w:t>Document établi par l</w:t>
      </w:r>
      <w:r w:rsidR="002E77DC" w:rsidRPr="003C6F9F">
        <w:rPr>
          <w:i/>
          <w:lang w:val="fr-FR"/>
        </w:rPr>
        <w:t>’</w:t>
      </w:r>
      <w:r w:rsidRPr="003C6F9F">
        <w:rPr>
          <w:i/>
          <w:lang w:val="fr-FR"/>
        </w:rPr>
        <w:t>Organe consultatif indépendant de surveillance</w:t>
      </w:r>
    </w:p>
    <w:p w14:paraId="38846F00" w14:textId="4084A901" w:rsidR="003B21A9" w:rsidRPr="003C6F9F" w:rsidRDefault="003B21A9" w:rsidP="00386B6C">
      <w:pPr>
        <w:rPr>
          <w:lang w:val="fr-FR"/>
        </w:rPr>
      </w:pPr>
    </w:p>
    <w:p w14:paraId="4BA31CA7" w14:textId="77777777" w:rsidR="003B21A9" w:rsidRPr="003C6F9F" w:rsidRDefault="003B21A9" w:rsidP="00386B6C">
      <w:pPr>
        <w:rPr>
          <w:lang w:val="fr-FR"/>
        </w:rPr>
      </w:pPr>
    </w:p>
    <w:p w14:paraId="4B8F21B6" w14:textId="77777777" w:rsidR="003B21A9" w:rsidRPr="003C6F9F" w:rsidRDefault="003B21A9" w:rsidP="00386B6C">
      <w:pPr>
        <w:rPr>
          <w:lang w:val="fr-FR"/>
        </w:rPr>
      </w:pPr>
    </w:p>
    <w:p w14:paraId="4D0D244C" w14:textId="77777777" w:rsidR="003B21A9" w:rsidRPr="003C6F9F" w:rsidRDefault="003B21A9" w:rsidP="00386B6C">
      <w:pPr>
        <w:rPr>
          <w:lang w:val="fr-FR"/>
        </w:rPr>
      </w:pPr>
    </w:p>
    <w:p w14:paraId="7AEDD2EE" w14:textId="30231441" w:rsidR="002E77DC" w:rsidRPr="003C6F9F" w:rsidRDefault="003B21A9" w:rsidP="00386B6C">
      <w:pPr>
        <w:pStyle w:val="ONUMFS"/>
        <w:rPr>
          <w:lang w:val="fr-FR"/>
        </w:rPr>
      </w:pPr>
      <w:r w:rsidRPr="003C6F9F">
        <w:rPr>
          <w:lang w:val="fr-FR"/>
        </w:rPr>
        <w:t>À sa quarante</w:t>
      </w:r>
      <w:r w:rsidR="00656341">
        <w:rPr>
          <w:lang w:val="fr-FR"/>
        </w:rPr>
        <w:noBreakHyphen/>
      </w:r>
      <w:r w:rsidRPr="003C6F9F">
        <w:rPr>
          <w:lang w:val="fr-FR"/>
        </w:rPr>
        <w:t>huit</w:t>
      </w:r>
      <w:r w:rsidR="002E77DC" w:rsidRPr="003C6F9F">
        <w:rPr>
          <w:lang w:val="fr-FR"/>
        </w:rPr>
        <w:t>ième session</w:t>
      </w:r>
      <w:r w:rsidRPr="003C6F9F">
        <w:rPr>
          <w:lang w:val="fr-FR"/>
        </w:rPr>
        <w:t xml:space="preserve"> (</w:t>
      </w:r>
      <w:r w:rsidR="002E77DC" w:rsidRPr="003C6F9F">
        <w:rPr>
          <w:lang w:val="fr-FR"/>
        </w:rPr>
        <w:t>octobre 20</w:t>
      </w:r>
      <w:r w:rsidRPr="003C6F9F">
        <w:rPr>
          <w:lang w:val="fr-FR"/>
        </w:rPr>
        <w:t>16), l</w:t>
      </w:r>
      <w:r w:rsidR="002E77DC" w:rsidRPr="003C6F9F">
        <w:rPr>
          <w:lang w:val="fr-FR"/>
        </w:rPr>
        <w:t>’</w:t>
      </w:r>
      <w:r w:rsidRPr="003C6F9F">
        <w:rPr>
          <w:lang w:val="fr-FR"/>
        </w:rPr>
        <w:t>Assemblée générale de l</w:t>
      </w:r>
      <w:r w:rsidR="002E77DC" w:rsidRPr="003C6F9F">
        <w:rPr>
          <w:lang w:val="fr-FR"/>
        </w:rPr>
        <w:t>’</w:t>
      </w:r>
      <w:r w:rsidRPr="003C6F9F">
        <w:rPr>
          <w:lang w:val="fr-FR"/>
        </w:rPr>
        <w:t>OMPI a décidé</w:t>
      </w:r>
    </w:p>
    <w:p w14:paraId="6961F7E0" w14:textId="29C328C2" w:rsidR="003B21A9" w:rsidRPr="003C6F9F" w:rsidRDefault="003B21A9" w:rsidP="00386B6C">
      <w:pPr>
        <w:pStyle w:val="ONUME"/>
        <w:numPr>
          <w:ilvl w:val="0"/>
          <w:numId w:val="0"/>
        </w:numPr>
        <w:ind w:left="567"/>
        <w:rPr>
          <w:lang w:val="fr-FR"/>
        </w:rPr>
      </w:pPr>
      <w:r w:rsidRPr="00EC3E81">
        <w:rPr>
          <w:szCs w:val="22"/>
          <w:lang w:val="fr-FR"/>
        </w:rPr>
        <w:t>“</w:t>
      </w:r>
      <w:r w:rsidRPr="003C6F9F">
        <w:rPr>
          <w:i/>
          <w:szCs w:val="22"/>
          <w:lang w:val="fr-FR"/>
        </w:rPr>
        <w:t>ii)</w:t>
      </w:r>
      <w:r w:rsidRPr="003C6F9F">
        <w:rPr>
          <w:i/>
          <w:szCs w:val="22"/>
          <w:lang w:val="fr-FR"/>
        </w:rPr>
        <w:tab/>
        <w:t>de prier l</w:t>
      </w:r>
      <w:r w:rsidR="002E77DC" w:rsidRPr="003C6F9F">
        <w:rPr>
          <w:i/>
          <w:szCs w:val="22"/>
          <w:lang w:val="fr-FR"/>
        </w:rPr>
        <w:t>’</w:t>
      </w:r>
      <w:r w:rsidRPr="003C6F9F">
        <w:rPr>
          <w:i/>
          <w:szCs w:val="22"/>
          <w:lang w:val="fr-FR"/>
        </w:rPr>
        <w:t>Organe consultatif indépendant de surveillance d</w:t>
      </w:r>
      <w:r w:rsidR="002E77DC" w:rsidRPr="003C6F9F">
        <w:rPr>
          <w:i/>
          <w:szCs w:val="22"/>
          <w:lang w:val="fr-FR"/>
        </w:rPr>
        <w:t>’</w:t>
      </w:r>
      <w:r w:rsidRPr="003C6F9F">
        <w:rPr>
          <w:i/>
          <w:szCs w:val="22"/>
          <w:lang w:val="fr-FR"/>
        </w:rPr>
        <w:t>établir, avec l</w:t>
      </w:r>
      <w:r w:rsidR="002E77DC" w:rsidRPr="003C6F9F">
        <w:rPr>
          <w:i/>
          <w:szCs w:val="22"/>
          <w:lang w:val="fr-FR"/>
        </w:rPr>
        <w:t>’</w:t>
      </w:r>
      <w:r w:rsidRPr="003C6F9F">
        <w:rPr>
          <w:i/>
          <w:szCs w:val="22"/>
          <w:lang w:val="fr-FR"/>
        </w:rPr>
        <w:t>assistance technique du Secrétariat et après avoir consulté les États membres, aux fins d</w:t>
      </w:r>
      <w:r w:rsidR="002E77DC" w:rsidRPr="003C6F9F">
        <w:rPr>
          <w:i/>
          <w:szCs w:val="22"/>
          <w:lang w:val="fr-FR"/>
        </w:rPr>
        <w:t>’</w:t>
      </w:r>
      <w:r w:rsidRPr="003C6F9F">
        <w:rPr>
          <w:i/>
          <w:szCs w:val="22"/>
          <w:lang w:val="fr-FR"/>
        </w:rPr>
        <w:t>examen et d</w:t>
      </w:r>
      <w:r w:rsidR="002E77DC" w:rsidRPr="003C6F9F">
        <w:rPr>
          <w:i/>
          <w:szCs w:val="22"/>
          <w:lang w:val="fr-FR"/>
        </w:rPr>
        <w:t>’</w:t>
      </w:r>
      <w:r w:rsidRPr="003C6F9F">
        <w:rPr>
          <w:i/>
          <w:szCs w:val="22"/>
          <w:lang w:val="fr-FR"/>
        </w:rPr>
        <w:t>adoption par le Comité de coordination à sa prochaine session, des modalités et procédures appropriées (</w:t>
      </w:r>
      <w:r w:rsidR="002E77DC" w:rsidRPr="003C6F9F">
        <w:rPr>
          <w:i/>
          <w:szCs w:val="22"/>
          <w:lang w:val="fr-FR"/>
        </w:rPr>
        <w:t>y compris</w:t>
      </w:r>
      <w:r w:rsidRPr="003C6F9F">
        <w:rPr>
          <w:i/>
          <w:szCs w:val="22"/>
          <w:lang w:val="fr-FR"/>
        </w:rPr>
        <w:t xml:space="preserve"> toute proposition de modification qu</w:t>
      </w:r>
      <w:r w:rsidR="002E77DC" w:rsidRPr="003C6F9F">
        <w:rPr>
          <w:i/>
          <w:szCs w:val="22"/>
          <w:lang w:val="fr-FR"/>
        </w:rPr>
        <w:t>’</w:t>
      </w:r>
      <w:r w:rsidRPr="003C6F9F">
        <w:rPr>
          <w:i/>
          <w:szCs w:val="22"/>
          <w:lang w:val="fr-FR"/>
        </w:rPr>
        <w:t>il pourrait être nécessaire d</w:t>
      </w:r>
      <w:r w:rsidR="002E77DC" w:rsidRPr="003C6F9F">
        <w:rPr>
          <w:i/>
          <w:szCs w:val="22"/>
          <w:lang w:val="fr-FR"/>
        </w:rPr>
        <w:t>’</w:t>
      </w:r>
      <w:r w:rsidRPr="003C6F9F">
        <w:rPr>
          <w:i/>
          <w:szCs w:val="22"/>
          <w:lang w:val="fr-FR"/>
        </w:rPr>
        <w:t xml:space="preserve">apporter au Statut du personnel) en vertu de la révision de la Charte de la supervision interne, </w:t>
      </w:r>
      <w:r w:rsidR="002E77DC" w:rsidRPr="003C6F9F">
        <w:rPr>
          <w:i/>
          <w:szCs w:val="22"/>
          <w:lang w:val="fr-FR"/>
        </w:rPr>
        <w:t>y compris</w:t>
      </w:r>
      <w:r w:rsidRPr="003C6F9F">
        <w:rPr>
          <w:i/>
          <w:szCs w:val="22"/>
          <w:lang w:val="fr-FR"/>
        </w:rPr>
        <w:t xml:space="preserve"> celles applicables aux processus entrepris par le Comité de coordination</w:t>
      </w:r>
      <w:r w:rsidRPr="00EC3E81">
        <w:rPr>
          <w:szCs w:val="22"/>
          <w:lang w:val="fr-FR"/>
        </w:rPr>
        <w:t>”</w:t>
      </w:r>
      <w:r w:rsidR="00734DBB">
        <w:rPr>
          <w:szCs w:val="22"/>
          <w:lang w:val="fr-FR"/>
        </w:rPr>
        <w:t xml:space="preserve"> </w:t>
      </w:r>
      <w:r w:rsidRPr="003C6F9F">
        <w:rPr>
          <w:szCs w:val="22"/>
          <w:lang w:val="fr-FR"/>
        </w:rPr>
        <w:t>(</w:t>
      </w:r>
      <w:r w:rsidR="00734DBB">
        <w:rPr>
          <w:szCs w:val="22"/>
          <w:lang w:val="fr-FR"/>
        </w:rPr>
        <w:t>v</w:t>
      </w:r>
      <w:r w:rsidRPr="003C6F9F">
        <w:rPr>
          <w:szCs w:val="22"/>
          <w:lang w:val="fr-FR"/>
        </w:rPr>
        <w:t xml:space="preserve">oir le </w:t>
      </w:r>
      <w:r w:rsidR="002E77DC" w:rsidRPr="003C6F9F">
        <w:rPr>
          <w:szCs w:val="22"/>
          <w:lang w:val="fr-FR"/>
        </w:rPr>
        <w:t>paragraphe 2</w:t>
      </w:r>
      <w:r w:rsidRPr="003C6F9F">
        <w:rPr>
          <w:szCs w:val="22"/>
          <w:lang w:val="fr-FR"/>
        </w:rPr>
        <w:t>2.ii) du document A/56/16</w:t>
      </w:r>
      <w:r w:rsidR="00734DBB">
        <w:rPr>
          <w:szCs w:val="22"/>
          <w:lang w:val="fr-FR"/>
        </w:rPr>
        <w:t>).</w:t>
      </w:r>
    </w:p>
    <w:p w14:paraId="3EDC7B4F" w14:textId="2F7EC0EB" w:rsidR="003B21A9" w:rsidRPr="003C6F9F" w:rsidRDefault="003B21A9" w:rsidP="00386B6C">
      <w:pPr>
        <w:pStyle w:val="ONUMFS"/>
        <w:rPr>
          <w:lang w:val="fr-FR"/>
        </w:rPr>
      </w:pPr>
      <w:r w:rsidRPr="003C6F9F">
        <w:rPr>
          <w:lang w:val="fr-FR"/>
        </w:rPr>
        <w:t>Conformément à la décision susmentionnée, le présent document contient les amendements du Statut du personnel proposés par l</w:t>
      </w:r>
      <w:r w:rsidR="002E77DC" w:rsidRPr="003C6F9F">
        <w:rPr>
          <w:lang w:val="fr-FR"/>
        </w:rPr>
        <w:t>’</w:t>
      </w:r>
      <w:r w:rsidRPr="003C6F9F">
        <w:rPr>
          <w:lang w:val="fr-FR"/>
        </w:rPr>
        <w:t>Organe consultatif indépendant de surveillance (OCIS).</w:t>
      </w:r>
    </w:p>
    <w:p w14:paraId="03788A91" w14:textId="7FAE3AAB" w:rsidR="003B21A9" w:rsidRPr="003C6F9F" w:rsidRDefault="003B21A9" w:rsidP="00386B6C">
      <w:pPr>
        <w:pStyle w:val="ONUMFS"/>
        <w:rPr>
          <w:lang w:val="fr-FR"/>
        </w:rPr>
      </w:pPr>
      <w:r w:rsidRPr="003C6F9F">
        <w:rPr>
          <w:lang w:val="fr-FR"/>
        </w:rPr>
        <w:t>À s</w:t>
      </w:r>
      <w:r w:rsidR="00A93A20" w:rsidRPr="003C6F9F">
        <w:rPr>
          <w:lang w:val="fr-FR"/>
        </w:rPr>
        <w:t>es</w:t>
      </w:r>
      <w:r w:rsidRPr="003C6F9F">
        <w:rPr>
          <w:lang w:val="fr-FR"/>
        </w:rPr>
        <w:t xml:space="preserve"> quarante</w:t>
      </w:r>
      <w:r w:rsidR="00656341">
        <w:rPr>
          <w:lang w:val="fr-FR"/>
        </w:rPr>
        <w:noBreakHyphen/>
      </w:r>
      <w:r w:rsidRPr="003C6F9F">
        <w:rPr>
          <w:lang w:val="fr-FR"/>
        </w:rPr>
        <w:t xml:space="preserve">quatrième </w:t>
      </w:r>
      <w:r w:rsidR="00A93A20" w:rsidRPr="003C6F9F">
        <w:rPr>
          <w:lang w:val="fr-FR"/>
        </w:rPr>
        <w:t>et quarante</w:t>
      </w:r>
      <w:r w:rsidR="00656341">
        <w:rPr>
          <w:lang w:val="fr-FR"/>
        </w:rPr>
        <w:noBreakHyphen/>
      </w:r>
      <w:r w:rsidR="00A93A20" w:rsidRPr="003C6F9F">
        <w:rPr>
          <w:lang w:val="fr-FR"/>
        </w:rPr>
        <w:t>cinqu</w:t>
      </w:r>
      <w:r w:rsidR="002E77DC" w:rsidRPr="003C6F9F">
        <w:rPr>
          <w:lang w:val="fr-FR"/>
        </w:rPr>
        <w:t>ième session</w:t>
      </w:r>
      <w:r w:rsidR="00A93A20" w:rsidRPr="003C6F9F">
        <w:rPr>
          <w:lang w:val="fr-FR"/>
        </w:rPr>
        <w:t xml:space="preserve">s, tenues respectivement </w:t>
      </w:r>
      <w:r w:rsidRPr="003C6F9F">
        <w:rPr>
          <w:lang w:val="fr-FR"/>
        </w:rPr>
        <w:t xml:space="preserve">en mars et </w:t>
      </w:r>
      <w:r w:rsidR="002E77DC" w:rsidRPr="003C6F9F">
        <w:rPr>
          <w:lang w:val="fr-FR"/>
        </w:rPr>
        <w:t>juillet 20</w:t>
      </w:r>
      <w:r w:rsidRPr="003C6F9F">
        <w:rPr>
          <w:lang w:val="fr-FR"/>
        </w:rPr>
        <w:t>17, l</w:t>
      </w:r>
      <w:r w:rsidR="002E77DC" w:rsidRPr="003C6F9F">
        <w:rPr>
          <w:lang w:val="fr-FR"/>
        </w:rPr>
        <w:t>’</w:t>
      </w:r>
      <w:r w:rsidRPr="003C6F9F">
        <w:rPr>
          <w:lang w:val="fr-FR"/>
        </w:rPr>
        <w:t>OCIS a examiné la quest</w:t>
      </w:r>
      <w:r w:rsidR="00621287" w:rsidRPr="003C6F9F">
        <w:rPr>
          <w:lang w:val="fr-FR"/>
        </w:rPr>
        <w:t>i</w:t>
      </w:r>
      <w:r w:rsidRPr="003C6F9F">
        <w:rPr>
          <w:lang w:val="fr-FR"/>
        </w:rPr>
        <w:t xml:space="preserve">on afin de définir les modalités et procédures appropriées ou nécessaires </w:t>
      </w:r>
      <w:r w:rsidR="00A93A20" w:rsidRPr="003C6F9F">
        <w:rPr>
          <w:lang w:val="fr-FR"/>
        </w:rPr>
        <w:t>découlant</w:t>
      </w:r>
      <w:r w:rsidRPr="003C6F9F">
        <w:rPr>
          <w:lang w:val="fr-FR"/>
        </w:rPr>
        <w:t xml:space="preserve"> de la révision de la Charte de la supervision interne adoptée par l</w:t>
      </w:r>
      <w:r w:rsidR="002E77DC" w:rsidRPr="003C6F9F">
        <w:rPr>
          <w:lang w:val="fr-FR"/>
        </w:rPr>
        <w:t>’</w:t>
      </w:r>
      <w:r w:rsidRPr="003C6F9F">
        <w:rPr>
          <w:lang w:val="fr-FR"/>
        </w:rPr>
        <w:t>Assemblée générale de l</w:t>
      </w:r>
      <w:r w:rsidR="002E77DC" w:rsidRPr="003C6F9F">
        <w:rPr>
          <w:lang w:val="fr-FR"/>
        </w:rPr>
        <w:t>’</w:t>
      </w:r>
      <w:r w:rsidRPr="003C6F9F">
        <w:rPr>
          <w:lang w:val="fr-FR"/>
        </w:rPr>
        <w:t>OMPI.</w:t>
      </w:r>
    </w:p>
    <w:p w14:paraId="42ED1D21" w14:textId="7A87F59E" w:rsidR="003B21A9" w:rsidRPr="003C6F9F" w:rsidRDefault="003B21A9" w:rsidP="00386B6C">
      <w:pPr>
        <w:pStyle w:val="ONUMFS"/>
        <w:rPr>
          <w:lang w:val="fr-FR"/>
        </w:rPr>
      </w:pPr>
      <w:r w:rsidRPr="003C6F9F">
        <w:rPr>
          <w:lang w:val="fr-FR"/>
        </w:rPr>
        <w:t xml:space="preserve">Le </w:t>
      </w:r>
      <w:r w:rsidR="002E77DC" w:rsidRPr="003C6F9F">
        <w:rPr>
          <w:lang w:val="fr-FR"/>
        </w:rPr>
        <w:t>paragraphe 3</w:t>
      </w:r>
      <w:r w:rsidRPr="003C6F9F">
        <w:rPr>
          <w:lang w:val="fr-FR"/>
        </w:rPr>
        <w:t>9 de la Charte de la supervision interne révisée stipule notamment que, dans le cas de rapports d</w:t>
      </w:r>
      <w:r w:rsidR="002E77DC" w:rsidRPr="003C6F9F">
        <w:rPr>
          <w:lang w:val="fr-FR"/>
        </w:rPr>
        <w:t>’</w:t>
      </w:r>
      <w:r w:rsidRPr="003C6F9F">
        <w:rPr>
          <w:lang w:val="fr-FR"/>
        </w:rPr>
        <w:t>investigation finals concernant le Directeur général qui justifient une partie ou la totalité des allégations de fautes, le Comité de coordination de l</w:t>
      </w:r>
      <w:r w:rsidR="002E77DC" w:rsidRPr="003C6F9F">
        <w:rPr>
          <w:lang w:val="fr-FR"/>
        </w:rPr>
        <w:t>’</w:t>
      </w:r>
      <w:r w:rsidRPr="003C6F9F">
        <w:rPr>
          <w:lang w:val="fr-FR"/>
        </w:rPr>
        <w:t xml:space="preserve">OMPI </w:t>
      </w:r>
      <w:r w:rsidR="00A93A20" w:rsidRPr="003C6F9F">
        <w:rPr>
          <w:lang w:val="fr-FR"/>
        </w:rPr>
        <w:t xml:space="preserve">doit </w:t>
      </w:r>
      <w:r w:rsidR="008A4E85">
        <w:rPr>
          <w:lang w:val="fr-FR"/>
        </w:rPr>
        <w:t>“</w:t>
      </w:r>
      <w:r w:rsidRPr="003C6F9F">
        <w:rPr>
          <w:i/>
          <w:lang w:val="fr-FR"/>
        </w:rPr>
        <w:t>décide</w:t>
      </w:r>
      <w:r w:rsidR="00A93A20" w:rsidRPr="003C6F9F">
        <w:rPr>
          <w:i/>
          <w:lang w:val="fr-FR"/>
        </w:rPr>
        <w:t>r</w:t>
      </w:r>
      <w:r w:rsidRPr="003C6F9F">
        <w:rPr>
          <w:i/>
          <w:lang w:val="fr-FR"/>
        </w:rPr>
        <w:t xml:space="preserve"> de clore l</w:t>
      </w:r>
      <w:r w:rsidR="002E77DC" w:rsidRPr="003C6F9F">
        <w:rPr>
          <w:i/>
          <w:lang w:val="fr-FR"/>
        </w:rPr>
        <w:t>’</w:t>
      </w:r>
      <w:r w:rsidRPr="003C6F9F">
        <w:rPr>
          <w:i/>
          <w:lang w:val="fr-FR"/>
        </w:rPr>
        <w:t>affaire ou d</w:t>
      </w:r>
      <w:r w:rsidR="002E77DC" w:rsidRPr="003C6F9F">
        <w:rPr>
          <w:i/>
          <w:lang w:val="fr-FR"/>
        </w:rPr>
        <w:t>’</w:t>
      </w:r>
      <w:r w:rsidRPr="003C6F9F">
        <w:rPr>
          <w:i/>
          <w:lang w:val="fr-FR"/>
        </w:rPr>
        <w:t>engager et de men</w:t>
      </w:r>
      <w:r w:rsidR="001F2506" w:rsidRPr="003C6F9F">
        <w:rPr>
          <w:i/>
          <w:lang w:val="fr-FR"/>
        </w:rPr>
        <w:t>er une procédure disciplinaire</w:t>
      </w:r>
      <w:r w:rsidR="008A4E85">
        <w:rPr>
          <w:lang w:val="fr-FR"/>
        </w:rPr>
        <w:t>”</w:t>
      </w:r>
      <w:r w:rsidR="001F2506" w:rsidRPr="003C6F9F">
        <w:rPr>
          <w:lang w:val="fr-FR"/>
        </w:rPr>
        <w:t>.</w:t>
      </w:r>
      <w:r w:rsidR="003647B0" w:rsidRPr="003C6F9F">
        <w:rPr>
          <w:lang w:val="fr-FR"/>
        </w:rPr>
        <w:t xml:space="preserve"> </w:t>
      </w:r>
      <w:r w:rsidR="00582647" w:rsidRPr="003C6F9F">
        <w:rPr>
          <w:lang w:val="fr-FR"/>
        </w:rPr>
        <w:t xml:space="preserve"> </w:t>
      </w:r>
      <w:r w:rsidR="003C2008" w:rsidRPr="003C6F9F">
        <w:rPr>
          <w:lang w:val="fr-FR"/>
        </w:rPr>
        <w:t>Si les mesures disciplinaires et les procédures connexes sont régies par l</w:t>
      </w:r>
      <w:r w:rsidR="002E77DC" w:rsidRPr="003C6F9F">
        <w:rPr>
          <w:lang w:val="fr-FR"/>
        </w:rPr>
        <w:t>’article 1</w:t>
      </w:r>
      <w:r w:rsidR="003C2008" w:rsidRPr="003C6F9F">
        <w:rPr>
          <w:lang w:val="fr-FR"/>
        </w:rPr>
        <w:t xml:space="preserve">0.1 du Statut du personnel et </w:t>
      </w:r>
      <w:r w:rsidR="00EC3E81">
        <w:rPr>
          <w:lang w:val="fr-FR"/>
        </w:rPr>
        <w:t>les dispositions 10.1.1 à </w:t>
      </w:r>
      <w:r w:rsidR="003C2008" w:rsidRPr="003C6F9F">
        <w:rPr>
          <w:lang w:val="fr-FR"/>
        </w:rPr>
        <w:t xml:space="preserve">10.1.6 du Règlement du personnel, ces dispositions ne couvrent pas </w:t>
      </w:r>
      <w:r w:rsidR="003C2008" w:rsidRPr="003C6F9F">
        <w:rPr>
          <w:lang w:val="fr-FR"/>
        </w:rPr>
        <w:lastRenderedPageBreak/>
        <w:t>les mesures disciplinaires et les procédures connexes concernant le Directeur génér</w:t>
      </w:r>
      <w:r w:rsidR="0011693D" w:rsidRPr="003C6F9F">
        <w:rPr>
          <w:lang w:val="fr-FR"/>
        </w:rPr>
        <w:t>al.  Il</w:t>
      </w:r>
      <w:r w:rsidR="003C2008" w:rsidRPr="003C6F9F">
        <w:rPr>
          <w:lang w:val="fr-FR"/>
        </w:rPr>
        <w:t xml:space="preserve"> est donc nécessaire de combler cette lacune en précisant que le Comité de coordination de l</w:t>
      </w:r>
      <w:r w:rsidR="002E77DC" w:rsidRPr="003C6F9F">
        <w:rPr>
          <w:lang w:val="fr-FR"/>
        </w:rPr>
        <w:t>’</w:t>
      </w:r>
      <w:r w:rsidR="003C2008" w:rsidRPr="003C6F9F">
        <w:rPr>
          <w:lang w:val="fr-FR"/>
        </w:rPr>
        <w:t>OMPI est l</w:t>
      </w:r>
      <w:r w:rsidR="002E77DC" w:rsidRPr="003C6F9F">
        <w:rPr>
          <w:lang w:val="fr-FR"/>
        </w:rPr>
        <w:t>’</w:t>
      </w:r>
      <w:r w:rsidR="001F2506" w:rsidRPr="003C6F9F">
        <w:rPr>
          <w:lang w:val="fr-FR"/>
        </w:rPr>
        <w:t>organ</w:t>
      </w:r>
      <w:r w:rsidR="003C2008" w:rsidRPr="003C6F9F">
        <w:rPr>
          <w:lang w:val="fr-FR"/>
        </w:rPr>
        <w:t xml:space="preserve">e compétent pour mener une telle procédure et pour recommander une </w:t>
      </w:r>
      <w:r w:rsidR="00293555" w:rsidRPr="003C6F9F">
        <w:rPr>
          <w:lang w:val="fr-FR"/>
        </w:rPr>
        <w:t>mesure</w:t>
      </w:r>
      <w:r w:rsidR="003C2008" w:rsidRPr="003C6F9F">
        <w:rPr>
          <w:lang w:val="fr-FR"/>
        </w:rPr>
        <w:t xml:space="preserve"> disciplinaire, le cas échéant, à l</w:t>
      </w:r>
      <w:r w:rsidR="002E77DC" w:rsidRPr="003C6F9F">
        <w:rPr>
          <w:lang w:val="fr-FR"/>
        </w:rPr>
        <w:t>’</w:t>
      </w:r>
      <w:r w:rsidR="003C2008" w:rsidRPr="003C6F9F">
        <w:rPr>
          <w:lang w:val="fr-FR"/>
        </w:rPr>
        <w:t>Assemblée générale de l</w:t>
      </w:r>
      <w:r w:rsidR="002E77DC" w:rsidRPr="003C6F9F">
        <w:rPr>
          <w:lang w:val="fr-FR"/>
        </w:rPr>
        <w:t>’</w:t>
      </w:r>
      <w:r w:rsidR="003C2008" w:rsidRPr="003C6F9F">
        <w:rPr>
          <w:lang w:val="fr-FR"/>
        </w:rPr>
        <w:t>OMPI.</w:t>
      </w:r>
    </w:p>
    <w:p w14:paraId="1944A566" w14:textId="751DAE95" w:rsidR="003647B0" w:rsidRPr="003C6F9F" w:rsidRDefault="003C2008" w:rsidP="00386B6C">
      <w:pPr>
        <w:pStyle w:val="ONUMFS"/>
        <w:rPr>
          <w:lang w:val="fr-FR"/>
        </w:rPr>
      </w:pPr>
      <w:r w:rsidRPr="003C6F9F">
        <w:rPr>
          <w:lang w:val="fr-FR"/>
        </w:rPr>
        <w:t>En conséquence, l</w:t>
      </w:r>
      <w:r w:rsidR="002E77DC" w:rsidRPr="003C6F9F">
        <w:rPr>
          <w:lang w:val="fr-FR"/>
        </w:rPr>
        <w:t>’</w:t>
      </w:r>
      <w:r w:rsidRPr="003C6F9F">
        <w:rPr>
          <w:lang w:val="fr-FR"/>
        </w:rPr>
        <w:t>OCIS recommande qu</w:t>
      </w:r>
      <w:r w:rsidR="002E77DC" w:rsidRPr="003C6F9F">
        <w:rPr>
          <w:lang w:val="fr-FR"/>
        </w:rPr>
        <w:t>’</w:t>
      </w:r>
      <w:r w:rsidRPr="003C6F9F">
        <w:rPr>
          <w:lang w:val="fr-FR"/>
        </w:rPr>
        <w:t xml:space="preserve">un nouvel article soit introduit dans le Statut du personnel, à la fin du </w:t>
      </w:r>
      <w:r w:rsidR="002E77DC" w:rsidRPr="003C6F9F">
        <w:rPr>
          <w:lang w:val="fr-FR"/>
        </w:rPr>
        <w:t>chapitre X</w:t>
      </w:r>
      <w:r w:rsidRPr="003C6F9F">
        <w:rPr>
          <w:lang w:val="fr-FR"/>
        </w:rPr>
        <w:t xml:space="preserve">, pour </w:t>
      </w:r>
      <w:r w:rsidR="00293555" w:rsidRPr="003C6F9F">
        <w:rPr>
          <w:lang w:val="fr-FR"/>
        </w:rPr>
        <w:t>traiter du cas</w:t>
      </w:r>
      <w:r w:rsidRPr="003C6F9F">
        <w:rPr>
          <w:lang w:val="fr-FR"/>
        </w:rPr>
        <w:t xml:space="preserve"> dans lequel des allégations de faute seraient portées à l</w:t>
      </w:r>
      <w:r w:rsidR="002E77DC" w:rsidRPr="003C6F9F">
        <w:rPr>
          <w:lang w:val="fr-FR"/>
        </w:rPr>
        <w:t>’</w:t>
      </w:r>
      <w:r w:rsidRPr="003C6F9F">
        <w:rPr>
          <w:lang w:val="fr-FR"/>
        </w:rPr>
        <w:t>encontre du Directeur génér</w:t>
      </w:r>
      <w:r w:rsidR="0011693D" w:rsidRPr="003C6F9F">
        <w:rPr>
          <w:lang w:val="fr-FR"/>
        </w:rPr>
        <w:t>al.  Il</w:t>
      </w:r>
      <w:r w:rsidR="00293555" w:rsidRPr="003C6F9F">
        <w:rPr>
          <w:lang w:val="fr-FR"/>
        </w:rPr>
        <w:t xml:space="preserve"> est proposé que le</w:t>
      </w:r>
      <w:r w:rsidRPr="003C6F9F">
        <w:rPr>
          <w:lang w:val="fr-FR"/>
        </w:rPr>
        <w:t xml:space="preserve"> nouvel </w:t>
      </w:r>
      <w:r w:rsidR="002E77DC" w:rsidRPr="003C6F9F">
        <w:rPr>
          <w:lang w:val="fr-FR"/>
        </w:rPr>
        <w:t>article 1</w:t>
      </w:r>
      <w:r w:rsidRPr="003C6F9F">
        <w:rPr>
          <w:lang w:val="fr-FR"/>
        </w:rPr>
        <w:t xml:space="preserve">0.2 du Statut du personnel </w:t>
      </w:r>
      <w:r w:rsidR="00293555" w:rsidRPr="003C6F9F">
        <w:rPr>
          <w:lang w:val="fr-FR"/>
        </w:rPr>
        <w:t>soit</w:t>
      </w:r>
      <w:r w:rsidRPr="003C6F9F">
        <w:rPr>
          <w:lang w:val="fr-FR"/>
        </w:rPr>
        <w:t xml:space="preserve"> libellé de la manière suivante</w:t>
      </w:r>
      <w:r w:rsidR="002E77DC" w:rsidRPr="003C6F9F">
        <w:rPr>
          <w:lang w:val="fr-FR"/>
        </w:rPr>
        <w:t> :</w:t>
      </w:r>
      <w:r w:rsidR="008E2E8F" w:rsidRPr="003C6F9F">
        <w:rPr>
          <w:lang w:val="fr-FR"/>
        </w:rPr>
        <w:t xml:space="preserve"> </w:t>
      </w:r>
    </w:p>
    <w:tbl>
      <w:tblPr>
        <w:tblStyle w:val="TableGrid"/>
        <w:tblW w:w="0" w:type="auto"/>
        <w:tblInd w:w="108" w:type="dxa"/>
        <w:tblLook w:val="04A0" w:firstRow="1" w:lastRow="0" w:firstColumn="1" w:lastColumn="0" w:noHBand="0" w:noVBand="1"/>
      </w:tblPr>
      <w:tblGrid>
        <w:gridCol w:w="1268"/>
        <w:gridCol w:w="2910"/>
        <w:gridCol w:w="2910"/>
        <w:gridCol w:w="2375"/>
      </w:tblGrid>
      <w:tr w:rsidR="0091503B" w:rsidRPr="003C6F9F" w14:paraId="64304DEF" w14:textId="77777777" w:rsidTr="000D11D1">
        <w:tc>
          <w:tcPr>
            <w:tcW w:w="1268" w:type="dxa"/>
            <w:shd w:val="clear" w:color="auto" w:fill="FBD4B4" w:themeFill="accent6" w:themeFillTint="66"/>
          </w:tcPr>
          <w:p w14:paraId="2E8644DB" w14:textId="2334F717" w:rsidR="00D83DB9" w:rsidRPr="003C6F9F" w:rsidRDefault="003C2008" w:rsidP="00386B6C">
            <w:pPr>
              <w:tabs>
                <w:tab w:val="left" w:pos="0"/>
              </w:tabs>
              <w:jc w:val="center"/>
              <w:rPr>
                <w:b/>
                <w:sz w:val="18"/>
                <w:szCs w:val="18"/>
                <w:lang w:val="fr-FR"/>
              </w:rPr>
            </w:pPr>
            <w:r w:rsidRPr="003C6F9F">
              <w:rPr>
                <w:b/>
                <w:sz w:val="18"/>
                <w:szCs w:val="18"/>
                <w:lang w:val="fr-FR"/>
              </w:rPr>
              <w:t>Disposition</w:t>
            </w:r>
          </w:p>
        </w:tc>
        <w:tc>
          <w:tcPr>
            <w:tcW w:w="2910" w:type="dxa"/>
            <w:shd w:val="clear" w:color="auto" w:fill="FBD4B4" w:themeFill="accent6" w:themeFillTint="66"/>
          </w:tcPr>
          <w:p w14:paraId="700C49D1" w14:textId="25C36851" w:rsidR="00D83DB9" w:rsidRPr="003C6F9F" w:rsidRDefault="003C2008" w:rsidP="00386B6C">
            <w:pPr>
              <w:tabs>
                <w:tab w:val="left" w:pos="0"/>
              </w:tabs>
              <w:jc w:val="center"/>
              <w:rPr>
                <w:b/>
                <w:sz w:val="18"/>
                <w:szCs w:val="18"/>
                <w:lang w:val="fr-FR"/>
              </w:rPr>
            </w:pPr>
            <w:r w:rsidRPr="003C6F9F">
              <w:rPr>
                <w:b/>
                <w:sz w:val="18"/>
                <w:szCs w:val="18"/>
                <w:lang w:val="fr-FR"/>
              </w:rPr>
              <w:t>Texte actuel</w:t>
            </w:r>
          </w:p>
        </w:tc>
        <w:tc>
          <w:tcPr>
            <w:tcW w:w="2910" w:type="dxa"/>
            <w:shd w:val="clear" w:color="auto" w:fill="FBD4B4" w:themeFill="accent6" w:themeFillTint="66"/>
          </w:tcPr>
          <w:p w14:paraId="2278C2F9" w14:textId="05689A5B" w:rsidR="00D83DB9" w:rsidRPr="003C6F9F" w:rsidRDefault="003C2008" w:rsidP="00386B6C">
            <w:pPr>
              <w:tabs>
                <w:tab w:val="left" w:pos="0"/>
              </w:tabs>
              <w:jc w:val="center"/>
              <w:rPr>
                <w:b/>
                <w:sz w:val="18"/>
                <w:szCs w:val="18"/>
                <w:lang w:val="fr-FR"/>
              </w:rPr>
            </w:pPr>
            <w:r w:rsidRPr="003C6F9F">
              <w:rPr>
                <w:b/>
                <w:sz w:val="18"/>
                <w:szCs w:val="18"/>
                <w:lang w:val="fr-FR"/>
              </w:rPr>
              <w:t>Nouveau texte proposé</w:t>
            </w:r>
          </w:p>
        </w:tc>
        <w:tc>
          <w:tcPr>
            <w:tcW w:w="2375" w:type="dxa"/>
            <w:shd w:val="clear" w:color="auto" w:fill="FBD4B4" w:themeFill="accent6" w:themeFillTint="66"/>
          </w:tcPr>
          <w:p w14:paraId="0DDCA19A" w14:textId="36757A71" w:rsidR="00D83DB9" w:rsidRPr="003C6F9F" w:rsidRDefault="003C2008" w:rsidP="00386B6C">
            <w:pPr>
              <w:tabs>
                <w:tab w:val="left" w:pos="0"/>
              </w:tabs>
              <w:jc w:val="center"/>
              <w:rPr>
                <w:b/>
                <w:sz w:val="18"/>
                <w:szCs w:val="18"/>
                <w:lang w:val="fr-FR"/>
              </w:rPr>
            </w:pPr>
            <w:r w:rsidRPr="003C6F9F">
              <w:rPr>
                <w:b/>
                <w:sz w:val="18"/>
                <w:szCs w:val="18"/>
                <w:lang w:val="fr-FR"/>
              </w:rPr>
              <w:t>Objet/description de la modification</w:t>
            </w:r>
          </w:p>
        </w:tc>
      </w:tr>
      <w:tr w:rsidR="0091503B" w:rsidRPr="003C6F9F" w14:paraId="6870ADFA" w14:textId="77777777" w:rsidTr="000D11D1">
        <w:tc>
          <w:tcPr>
            <w:tcW w:w="1268" w:type="dxa"/>
          </w:tcPr>
          <w:p w14:paraId="2C2AC47C" w14:textId="61AD81ED" w:rsidR="00D83DB9" w:rsidRPr="003C6F9F" w:rsidRDefault="003C2008" w:rsidP="00386B6C">
            <w:pPr>
              <w:tabs>
                <w:tab w:val="left" w:pos="0"/>
              </w:tabs>
              <w:rPr>
                <w:sz w:val="18"/>
                <w:szCs w:val="18"/>
                <w:lang w:val="fr-FR"/>
              </w:rPr>
            </w:pPr>
            <w:r w:rsidRPr="003C6F9F">
              <w:rPr>
                <w:b/>
                <w:sz w:val="18"/>
                <w:szCs w:val="18"/>
                <w:u w:val="single"/>
                <w:lang w:val="fr-FR"/>
              </w:rPr>
              <w:t xml:space="preserve">Nouvel </w:t>
            </w:r>
            <w:r w:rsidR="002E77DC" w:rsidRPr="003C6F9F">
              <w:rPr>
                <w:sz w:val="18"/>
                <w:szCs w:val="18"/>
                <w:lang w:val="fr-FR"/>
              </w:rPr>
              <w:t>article 1</w:t>
            </w:r>
            <w:r w:rsidRPr="003C6F9F">
              <w:rPr>
                <w:sz w:val="18"/>
                <w:szCs w:val="18"/>
                <w:lang w:val="fr-FR"/>
              </w:rPr>
              <w:t>0.2 du Statut du personnel</w:t>
            </w:r>
          </w:p>
        </w:tc>
        <w:tc>
          <w:tcPr>
            <w:tcW w:w="2910" w:type="dxa"/>
          </w:tcPr>
          <w:p w14:paraId="7FC089C8" w14:textId="77777777" w:rsidR="00D83DB9" w:rsidRPr="003C6F9F" w:rsidRDefault="00D83DB9" w:rsidP="00386B6C">
            <w:pPr>
              <w:tabs>
                <w:tab w:val="left" w:pos="0"/>
              </w:tabs>
              <w:rPr>
                <w:sz w:val="18"/>
                <w:szCs w:val="18"/>
                <w:lang w:val="fr-FR"/>
              </w:rPr>
            </w:pPr>
          </w:p>
        </w:tc>
        <w:tc>
          <w:tcPr>
            <w:tcW w:w="2910" w:type="dxa"/>
          </w:tcPr>
          <w:p w14:paraId="53291160" w14:textId="6AB8E1C9" w:rsidR="003B21A9" w:rsidRPr="003C6F9F" w:rsidRDefault="008A4E85" w:rsidP="00386B6C">
            <w:pPr>
              <w:tabs>
                <w:tab w:val="left" w:pos="0"/>
                <w:tab w:val="left" w:pos="93"/>
              </w:tabs>
              <w:rPr>
                <w:b/>
                <w:sz w:val="18"/>
                <w:szCs w:val="18"/>
                <w:u w:val="single"/>
                <w:lang w:val="fr-FR"/>
              </w:rPr>
            </w:pPr>
            <w:r>
              <w:rPr>
                <w:b/>
                <w:sz w:val="18"/>
                <w:szCs w:val="18"/>
                <w:u w:val="single"/>
                <w:lang w:val="fr-FR"/>
              </w:rPr>
              <w:t>“</w:t>
            </w:r>
            <w:r w:rsidR="00293555" w:rsidRPr="003C6F9F">
              <w:rPr>
                <w:b/>
                <w:sz w:val="18"/>
                <w:szCs w:val="18"/>
                <w:u w:val="single"/>
                <w:lang w:val="fr-FR"/>
              </w:rPr>
              <w:t xml:space="preserve">Si </w:t>
            </w:r>
            <w:r w:rsidR="007C02AA" w:rsidRPr="003C6F9F">
              <w:rPr>
                <w:b/>
                <w:sz w:val="18"/>
                <w:szCs w:val="18"/>
                <w:u w:val="single"/>
                <w:lang w:val="fr-FR"/>
              </w:rPr>
              <w:t xml:space="preserve">une enquête justifie </w:t>
            </w:r>
            <w:r w:rsidR="00293555" w:rsidRPr="003C6F9F">
              <w:rPr>
                <w:b/>
                <w:sz w:val="18"/>
                <w:szCs w:val="18"/>
                <w:u w:val="single"/>
                <w:lang w:val="fr-FR"/>
              </w:rPr>
              <w:t>l</w:t>
            </w:r>
            <w:r w:rsidR="007C02AA" w:rsidRPr="003C6F9F">
              <w:rPr>
                <w:b/>
                <w:sz w:val="18"/>
                <w:szCs w:val="18"/>
                <w:u w:val="single"/>
                <w:lang w:val="fr-FR"/>
              </w:rPr>
              <w:t>es allégations de fautes à l</w:t>
            </w:r>
            <w:r w:rsidR="002E77DC" w:rsidRPr="003C6F9F">
              <w:rPr>
                <w:b/>
                <w:sz w:val="18"/>
                <w:szCs w:val="18"/>
                <w:u w:val="single"/>
                <w:lang w:val="fr-FR"/>
              </w:rPr>
              <w:t>’</w:t>
            </w:r>
            <w:r w:rsidR="007C02AA" w:rsidRPr="003C6F9F">
              <w:rPr>
                <w:b/>
                <w:sz w:val="18"/>
                <w:szCs w:val="18"/>
                <w:u w:val="single"/>
                <w:lang w:val="fr-FR"/>
              </w:rPr>
              <w:t>encontre du Directeur général, le Comité de coordination est l</w:t>
            </w:r>
            <w:r w:rsidR="002E77DC" w:rsidRPr="003C6F9F">
              <w:rPr>
                <w:b/>
                <w:sz w:val="18"/>
                <w:szCs w:val="18"/>
                <w:u w:val="single"/>
                <w:lang w:val="fr-FR"/>
              </w:rPr>
              <w:t>’</w:t>
            </w:r>
            <w:r w:rsidR="001F2506" w:rsidRPr="003C6F9F">
              <w:rPr>
                <w:b/>
                <w:sz w:val="18"/>
                <w:szCs w:val="18"/>
                <w:u w:val="single"/>
                <w:lang w:val="fr-FR"/>
              </w:rPr>
              <w:t>organe compétent</w:t>
            </w:r>
            <w:r w:rsidR="007C02AA" w:rsidRPr="003C6F9F">
              <w:rPr>
                <w:b/>
                <w:sz w:val="18"/>
                <w:szCs w:val="18"/>
                <w:u w:val="single"/>
                <w:lang w:val="fr-FR"/>
              </w:rPr>
              <w:t xml:space="preserve"> pour ouvrir une procédure disciplinaire en diffusant une lettre d</w:t>
            </w:r>
            <w:r w:rsidR="002E77DC" w:rsidRPr="003C6F9F">
              <w:rPr>
                <w:b/>
                <w:sz w:val="18"/>
                <w:szCs w:val="18"/>
                <w:u w:val="single"/>
                <w:lang w:val="fr-FR"/>
              </w:rPr>
              <w:t>’</w:t>
            </w:r>
            <w:r w:rsidR="007C02AA" w:rsidRPr="003C6F9F">
              <w:rPr>
                <w:b/>
                <w:sz w:val="18"/>
                <w:szCs w:val="18"/>
                <w:u w:val="single"/>
                <w:lang w:val="fr-FR"/>
              </w:rPr>
              <w:t>accusation, pour recevoir la réponse à la lettre d</w:t>
            </w:r>
            <w:r w:rsidR="002E77DC" w:rsidRPr="003C6F9F">
              <w:rPr>
                <w:b/>
                <w:sz w:val="18"/>
                <w:szCs w:val="18"/>
                <w:u w:val="single"/>
                <w:lang w:val="fr-FR"/>
              </w:rPr>
              <w:t>’</w:t>
            </w:r>
            <w:r w:rsidR="007C02AA" w:rsidRPr="003C6F9F">
              <w:rPr>
                <w:b/>
                <w:sz w:val="18"/>
                <w:szCs w:val="18"/>
                <w:u w:val="single"/>
                <w:lang w:val="fr-FR"/>
              </w:rPr>
              <w:t xml:space="preserve">accusation et pour recommander une mesure disciplinaire, le cas échéant, </w:t>
            </w:r>
            <w:r w:rsidR="00293555" w:rsidRPr="003C6F9F">
              <w:rPr>
                <w:b/>
                <w:sz w:val="18"/>
                <w:szCs w:val="18"/>
                <w:u w:val="single"/>
                <w:lang w:val="fr-FR"/>
              </w:rPr>
              <w:t>en vue de son</w:t>
            </w:r>
            <w:r w:rsidR="007C02AA" w:rsidRPr="003C6F9F">
              <w:rPr>
                <w:b/>
                <w:sz w:val="18"/>
                <w:szCs w:val="18"/>
                <w:u w:val="single"/>
                <w:lang w:val="fr-FR"/>
              </w:rPr>
              <w:t xml:space="preserve"> appli</w:t>
            </w:r>
            <w:r w:rsidR="00293555" w:rsidRPr="003C6F9F">
              <w:rPr>
                <w:b/>
                <w:sz w:val="18"/>
                <w:szCs w:val="18"/>
                <w:u w:val="single"/>
                <w:lang w:val="fr-FR"/>
              </w:rPr>
              <w:t xml:space="preserve">cation </w:t>
            </w:r>
            <w:r w:rsidR="007C02AA" w:rsidRPr="003C6F9F">
              <w:rPr>
                <w:b/>
                <w:sz w:val="18"/>
                <w:szCs w:val="18"/>
                <w:u w:val="single"/>
                <w:lang w:val="fr-FR"/>
              </w:rPr>
              <w:t>par l</w:t>
            </w:r>
            <w:r w:rsidR="002E77DC" w:rsidRPr="003C6F9F">
              <w:rPr>
                <w:b/>
                <w:sz w:val="18"/>
                <w:szCs w:val="18"/>
                <w:u w:val="single"/>
                <w:lang w:val="fr-FR"/>
              </w:rPr>
              <w:t>’</w:t>
            </w:r>
            <w:r w:rsidR="007C02AA" w:rsidRPr="003C6F9F">
              <w:rPr>
                <w:b/>
                <w:sz w:val="18"/>
                <w:szCs w:val="18"/>
                <w:u w:val="single"/>
                <w:lang w:val="fr-FR"/>
              </w:rPr>
              <w:t>Assemblée généra</w:t>
            </w:r>
            <w:r w:rsidR="0011693D" w:rsidRPr="003C6F9F">
              <w:rPr>
                <w:b/>
                <w:sz w:val="18"/>
                <w:szCs w:val="18"/>
                <w:u w:val="single"/>
                <w:lang w:val="fr-FR"/>
              </w:rPr>
              <w:t>le.  Le</w:t>
            </w:r>
            <w:r w:rsidR="007C02AA" w:rsidRPr="003C6F9F">
              <w:rPr>
                <w:b/>
                <w:sz w:val="18"/>
                <w:szCs w:val="18"/>
                <w:u w:val="single"/>
                <w:lang w:val="fr-FR"/>
              </w:rPr>
              <w:t xml:space="preserve"> Comité de coordination </w:t>
            </w:r>
            <w:r w:rsidR="00293555" w:rsidRPr="003C6F9F">
              <w:rPr>
                <w:b/>
                <w:sz w:val="18"/>
                <w:szCs w:val="18"/>
                <w:u w:val="single"/>
                <w:lang w:val="fr-FR"/>
              </w:rPr>
              <w:t>a le pouvoir de</w:t>
            </w:r>
            <w:r w:rsidR="007C02AA" w:rsidRPr="003C6F9F">
              <w:rPr>
                <w:b/>
                <w:sz w:val="18"/>
                <w:szCs w:val="18"/>
                <w:u w:val="single"/>
                <w:lang w:val="fr-FR"/>
              </w:rPr>
              <w:t xml:space="preserve"> décider du délai à respecter pour la présentation de la réponse à la lettre d</w:t>
            </w:r>
            <w:r w:rsidR="002E77DC" w:rsidRPr="003C6F9F">
              <w:rPr>
                <w:b/>
                <w:sz w:val="18"/>
                <w:szCs w:val="18"/>
                <w:u w:val="single"/>
                <w:lang w:val="fr-FR"/>
              </w:rPr>
              <w:t>’</w:t>
            </w:r>
            <w:r w:rsidR="007C02AA" w:rsidRPr="003C6F9F">
              <w:rPr>
                <w:b/>
                <w:sz w:val="18"/>
                <w:szCs w:val="18"/>
                <w:u w:val="single"/>
                <w:lang w:val="fr-FR"/>
              </w:rPr>
              <w:t>accusation et pour la formulation de sa recommandation à l</w:t>
            </w:r>
            <w:r w:rsidR="002E77DC" w:rsidRPr="003C6F9F">
              <w:rPr>
                <w:b/>
                <w:sz w:val="18"/>
                <w:szCs w:val="18"/>
                <w:u w:val="single"/>
                <w:lang w:val="fr-FR"/>
              </w:rPr>
              <w:t>’</w:t>
            </w:r>
            <w:r w:rsidR="007C02AA" w:rsidRPr="003C6F9F">
              <w:rPr>
                <w:b/>
                <w:sz w:val="18"/>
                <w:szCs w:val="18"/>
                <w:u w:val="single"/>
                <w:lang w:val="fr-FR"/>
              </w:rPr>
              <w:t>Assemblée généra</w:t>
            </w:r>
            <w:r w:rsidR="0011693D" w:rsidRPr="003C6F9F">
              <w:rPr>
                <w:b/>
                <w:sz w:val="18"/>
                <w:szCs w:val="18"/>
                <w:u w:val="single"/>
                <w:lang w:val="fr-FR"/>
              </w:rPr>
              <w:t>le.  Le</w:t>
            </w:r>
            <w:r w:rsidR="007C02AA" w:rsidRPr="003C6F9F">
              <w:rPr>
                <w:b/>
                <w:sz w:val="18"/>
                <w:szCs w:val="18"/>
                <w:u w:val="single"/>
                <w:lang w:val="fr-FR"/>
              </w:rPr>
              <w:t xml:space="preserve"> Comité de coordination est également l</w:t>
            </w:r>
            <w:r w:rsidR="002E77DC" w:rsidRPr="003C6F9F">
              <w:rPr>
                <w:b/>
                <w:sz w:val="18"/>
                <w:szCs w:val="18"/>
                <w:u w:val="single"/>
                <w:lang w:val="fr-FR"/>
              </w:rPr>
              <w:t>’</w:t>
            </w:r>
            <w:r w:rsidR="007C02AA" w:rsidRPr="003C6F9F">
              <w:rPr>
                <w:b/>
                <w:sz w:val="18"/>
                <w:szCs w:val="18"/>
                <w:u w:val="single"/>
                <w:lang w:val="fr-FR"/>
              </w:rPr>
              <w:t>organe compétent pour décider d</w:t>
            </w:r>
            <w:r w:rsidR="002E77DC" w:rsidRPr="003C6F9F">
              <w:rPr>
                <w:b/>
                <w:sz w:val="18"/>
                <w:szCs w:val="18"/>
                <w:u w:val="single"/>
                <w:lang w:val="fr-FR"/>
              </w:rPr>
              <w:t>’</w:t>
            </w:r>
            <w:r w:rsidR="007C02AA" w:rsidRPr="003C6F9F">
              <w:rPr>
                <w:b/>
                <w:sz w:val="18"/>
                <w:szCs w:val="18"/>
                <w:u w:val="single"/>
                <w:lang w:val="fr-FR"/>
              </w:rPr>
              <w:t xml:space="preserve">une suspension provisoire de fonctions, le cas </w:t>
            </w:r>
            <w:r w:rsidR="00293555" w:rsidRPr="003C6F9F">
              <w:rPr>
                <w:b/>
                <w:sz w:val="18"/>
                <w:szCs w:val="18"/>
                <w:u w:val="single"/>
                <w:lang w:val="fr-FR"/>
              </w:rPr>
              <w:t>échéa</w:t>
            </w:r>
            <w:r w:rsidR="0011693D" w:rsidRPr="003C6F9F">
              <w:rPr>
                <w:b/>
                <w:sz w:val="18"/>
                <w:szCs w:val="18"/>
                <w:u w:val="single"/>
                <w:lang w:val="fr-FR"/>
              </w:rPr>
              <w:t xml:space="preserve">nt.  À </w:t>
            </w:r>
            <w:r w:rsidR="007C02AA" w:rsidRPr="003C6F9F">
              <w:rPr>
                <w:b/>
                <w:sz w:val="18"/>
                <w:szCs w:val="18"/>
                <w:u w:val="single"/>
                <w:lang w:val="fr-FR"/>
              </w:rPr>
              <w:t xml:space="preserve">tous autres égards, les principes généraux </w:t>
            </w:r>
            <w:r w:rsidR="001F2506" w:rsidRPr="003C6F9F">
              <w:rPr>
                <w:b/>
                <w:sz w:val="18"/>
                <w:szCs w:val="18"/>
                <w:u w:val="single"/>
                <w:lang w:val="fr-FR"/>
              </w:rPr>
              <w:t xml:space="preserve">applicables </w:t>
            </w:r>
            <w:r w:rsidR="007C02AA" w:rsidRPr="003C6F9F">
              <w:rPr>
                <w:b/>
                <w:sz w:val="18"/>
                <w:szCs w:val="18"/>
                <w:u w:val="single"/>
                <w:lang w:val="fr-FR"/>
              </w:rPr>
              <w:t xml:space="preserve">à la procédure disciplinaire </w:t>
            </w:r>
            <w:r w:rsidR="00293555" w:rsidRPr="003C6F9F">
              <w:rPr>
                <w:b/>
                <w:sz w:val="18"/>
                <w:szCs w:val="18"/>
                <w:u w:val="single"/>
                <w:lang w:val="fr-FR"/>
              </w:rPr>
              <w:t>à</w:t>
            </w:r>
            <w:r w:rsidR="007C02AA" w:rsidRPr="003C6F9F">
              <w:rPr>
                <w:b/>
                <w:sz w:val="18"/>
                <w:szCs w:val="18"/>
                <w:u w:val="single"/>
                <w:lang w:val="fr-FR"/>
              </w:rPr>
              <w:t xml:space="preserve"> l</w:t>
            </w:r>
            <w:r w:rsidR="002E77DC" w:rsidRPr="003C6F9F">
              <w:rPr>
                <w:b/>
                <w:sz w:val="18"/>
                <w:szCs w:val="18"/>
                <w:u w:val="single"/>
                <w:lang w:val="fr-FR"/>
              </w:rPr>
              <w:t>’</w:t>
            </w:r>
            <w:r w:rsidR="007C02AA" w:rsidRPr="003C6F9F">
              <w:rPr>
                <w:b/>
                <w:sz w:val="18"/>
                <w:szCs w:val="18"/>
                <w:u w:val="single"/>
                <w:lang w:val="fr-FR"/>
              </w:rPr>
              <w:t xml:space="preserve">OMPI sont applicables </w:t>
            </w:r>
            <w:r w:rsidR="007C02AA" w:rsidRPr="003C6F9F">
              <w:rPr>
                <w:b/>
                <w:i/>
                <w:sz w:val="18"/>
                <w:szCs w:val="18"/>
                <w:u w:val="single"/>
                <w:lang w:val="fr-FR"/>
              </w:rPr>
              <w:t>mutatis</w:t>
            </w:r>
            <w:r w:rsidR="007C02AA" w:rsidRPr="003C6F9F">
              <w:rPr>
                <w:b/>
                <w:sz w:val="18"/>
                <w:szCs w:val="18"/>
                <w:u w:val="single"/>
                <w:lang w:val="fr-FR"/>
              </w:rPr>
              <w:t xml:space="preserve"> </w:t>
            </w:r>
            <w:r w:rsidR="007C02AA" w:rsidRPr="003C6F9F">
              <w:rPr>
                <w:b/>
                <w:i/>
                <w:sz w:val="18"/>
                <w:szCs w:val="18"/>
                <w:u w:val="single"/>
                <w:lang w:val="fr-FR"/>
              </w:rPr>
              <w:t>mutandis</w:t>
            </w:r>
            <w:r w:rsidR="007C02AA" w:rsidRPr="003C6F9F">
              <w:rPr>
                <w:b/>
                <w:sz w:val="18"/>
                <w:szCs w:val="18"/>
                <w:u w:val="single"/>
                <w:lang w:val="fr-FR"/>
              </w:rPr>
              <w:t xml:space="preserve"> au Directeur général, selon qu</w:t>
            </w:r>
            <w:r w:rsidR="002E77DC" w:rsidRPr="003C6F9F">
              <w:rPr>
                <w:b/>
                <w:sz w:val="18"/>
                <w:szCs w:val="18"/>
                <w:u w:val="single"/>
                <w:lang w:val="fr-FR"/>
              </w:rPr>
              <w:t>’</w:t>
            </w:r>
            <w:r w:rsidR="007C02AA" w:rsidRPr="003C6F9F">
              <w:rPr>
                <w:b/>
                <w:sz w:val="18"/>
                <w:szCs w:val="18"/>
                <w:u w:val="single"/>
                <w:lang w:val="fr-FR"/>
              </w:rPr>
              <w:t>il convient</w:t>
            </w:r>
            <w:r w:rsidR="00D018E0" w:rsidRPr="003C6F9F">
              <w:rPr>
                <w:b/>
                <w:sz w:val="18"/>
                <w:szCs w:val="18"/>
                <w:u w:val="single"/>
                <w:lang w:val="fr-FR"/>
              </w:rPr>
              <w:t>”</w:t>
            </w:r>
            <w:r w:rsidR="007C02AA" w:rsidRPr="003C6F9F">
              <w:rPr>
                <w:b/>
                <w:sz w:val="18"/>
                <w:szCs w:val="18"/>
                <w:u w:val="single"/>
                <w:lang w:val="fr-FR"/>
              </w:rPr>
              <w:t>.</w:t>
            </w:r>
          </w:p>
          <w:p w14:paraId="1872BB77" w14:textId="1D835A39" w:rsidR="00D83DB9" w:rsidRPr="003C6F9F" w:rsidRDefault="00D83DB9" w:rsidP="00386B6C">
            <w:pPr>
              <w:tabs>
                <w:tab w:val="left" w:pos="0"/>
              </w:tabs>
              <w:jc w:val="both"/>
              <w:rPr>
                <w:sz w:val="18"/>
                <w:szCs w:val="18"/>
                <w:lang w:val="fr-FR"/>
              </w:rPr>
            </w:pPr>
          </w:p>
        </w:tc>
        <w:tc>
          <w:tcPr>
            <w:tcW w:w="2375" w:type="dxa"/>
          </w:tcPr>
          <w:p w14:paraId="048E76D0" w14:textId="410A3CB9" w:rsidR="00D83DB9" w:rsidRPr="003C6F9F" w:rsidRDefault="007C02AA" w:rsidP="00386B6C">
            <w:pPr>
              <w:tabs>
                <w:tab w:val="left" w:pos="0"/>
              </w:tabs>
              <w:rPr>
                <w:sz w:val="18"/>
                <w:szCs w:val="18"/>
                <w:lang w:val="fr-FR"/>
              </w:rPr>
            </w:pPr>
            <w:r w:rsidRPr="003C6F9F">
              <w:rPr>
                <w:sz w:val="18"/>
                <w:szCs w:val="18"/>
                <w:lang w:val="fr-FR"/>
              </w:rPr>
              <w:t xml:space="preserve">Le nouvel </w:t>
            </w:r>
            <w:r w:rsidR="002E77DC" w:rsidRPr="003C6F9F">
              <w:rPr>
                <w:sz w:val="18"/>
                <w:szCs w:val="18"/>
                <w:lang w:val="fr-FR"/>
              </w:rPr>
              <w:t>article 1</w:t>
            </w:r>
            <w:r w:rsidRPr="003C6F9F">
              <w:rPr>
                <w:sz w:val="18"/>
                <w:szCs w:val="18"/>
                <w:lang w:val="fr-FR"/>
              </w:rPr>
              <w:t xml:space="preserve">0.2 du Statut du personnel est proposé pour traiter du cas précis dans lequel </w:t>
            </w:r>
            <w:r w:rsidR="00293555" w:rsidRPr="003C6F9F">
              <w:rPr>
                <w:sz w:val="18"/>
                <w:szCs w:val="18"/>
                <w:lang w:val="fr-FR"/>
              </w:rPr>
              <w:t>l</w:t>
            </w:r>
            <w:r w:rsidRPr="003C6F9F">
              <w:rPr>
                <w:sz w:val="18"/>
                <w:szCs w:val="18"/>
                <w:lang w:val="fr-FR"/>
              </w:rPr>
              <w:t>es allégations de faute portées à l</w:t>
            </w:r>
            <w:r w:rsidR="002E77DC" w:rsidRPr="003C6F9F">
              <w:rPr>
                <w:sz w:val="18"/>
                <w:szCs w:val="18"/>
                <w:lang w:val="fr-FR"/>
              </w:rPr>
              <w:t>’</w:t>
            </w:r>
            <w:r w:rsidRPr="003C6F9F">
              <w:rPr>
                <w:sz w:val="18"/>
                <w:szCs w:val="18"/>
                <w:lang w:val="fr-FR"/>
              </w:rPr>
              <w:t xml:space="preserve">encontre du Directeur général </w:t>
            </w:r>
            <w:r w:rsidR="001F2506" w:rsidRPr="003C6F9F">
              <w:rPr>
                <w:sz w:val="18"/>
                <w:szCs w:val="18"/>
                <w:lang w:val="fr-FR"/>
              </w:rPr>
              <w:t>ont</w:t>
            </w:r>
            <w:r w:rsidRPr="003C6F9F">
              <w:rPr>
                <w:sz w:val="18"/>
                <w:szCs w:val="18"/>
                <w:lang w:val="fr-FR"/>
              </w:rPr>
              <w:t xml:space="preserve"> été justifiées par une enquête.</w:t>
            </w:r>
          </w:p>
        </w:tc>
      </w:tr>
    </w:tbl>
    <w:p w14:paraId="698C7374" w14:textId="77777777" w:rsidR="003B21A9" w:rsidRPr="003C6F9F" w:rsidRDefault="003B21A9" w:rsidP="00386B6C">
      <w:pPr>
        <w:tabs>
          <w:tab w:val="left" w:pos="0"/>
        </w:tabs>
        <w:rPr>
          <w:b/>
          <w:i/>
          <w:szCs w:val="22"/>
          <w:lang w:val="fr-FR"/>
        </w:rPr>
      </w:pPr>
    </w:p>
    <w:p w14:paraId="66E08FD5" w14:textId="7B94CEC1" w:rsidR="002E77DC" w:rsidRPr="003C6F9F" w:rsidRDefault="0089132F" w:rsidP="00386B6C">
      <w:pPr>
        <w:pStyle w:val="ONUMFS"/>
        <w:rPr>
          <w:lang w:val="fr-FR"/>
        </w:rPr>
      </w:pPr>
      <w:r w:rsidRPr="003C6F9F">
        <w:rPr>
          <w:lang w:val="fr-FR"/>
        </w:rPr>
        <w:t>Le licenciement est régi par l</w:t>
      </w:r>
      <w:r w:rsidR="002E77DC" w:rsidRPr="003C6F9F">
        <w:rPr>
          <w:lang w:val="fr-FR"/>
        </w:rPr>
        <w:t>’article 9</w:t>
      </w:r>
      <w:r w:rsidRPr="003C6F9F">
        <w:rPr>
          <w:lang w:val="fr-FR"/>
        </w:rPr>
        <w:t>.2 du Statut du personn</w:t>
      </w:r>
      <w:r w:rsidR="0011693D" w:rsidRPr="003C6F9F">
        <w:rPr>
          <w:lang w:val="fr-FR"/>
        </w:rPr>
        <w:t>el.  Da</w:t>
      </w:r>
      <w:r w:rsidRPr="003C6F9F">
        <w:rPr>
          <w:lang w:val="fr-FR"/>
        </w:rPr>
        <w:t xml:space="preserve">ns son </w:t>
      </w:r>
      <w:r w:rsidR="002E77DC" w:rsidRPr="003C6F9F">
        <w:rPr>
          <w:lang w:val="fr-FR"/>
        </w:rPr>
        <w:t>alinéa a)</w:t>
      </w:r>
      <w:r w:rsidRPr="003C6F9F">
        <w:rPr>
          <w:lang w:val="fr-FR"/>
        </w:rPr>
        <w:t>, cet article traite du cas où il est mis fin à l</w:t>
      </w:r>
      <w:r w:rsidR="002E77DC" w:rsidRPr="003C6F9F">
        <w:rPr>
          <w:lang w:val="fr-FR"/>
        </w:rPr>
        <w:t>’</w:t>
      </w:r>
      <w:r w:rsidRPr="003C6F9F">
        <w:rPr>
          <w:lang w:val="fr-FR"/>
        </w:rPr>
        <w:t>engagement d</w:t>
      </w:r>
      <w:r w:rsidR="002E77DC" w:rsidRPr="003C6F9F">
        <w:rPr>
          <w:lang w:val="fr-FR"/>
        </w:rPr>
        <w:t>’</w:t>
      </w:r>
      <w:r w:rsidRPr="003C6F9F">
        <w:rPr>
          <w:lang w:val="fr-FR"/>
        </w:rPr>
        <w:t>un fonctionnai</w:t>
      </w:r>
      <w:r w:rsidR="0011693D" w:rsidRPr="003C6F9F">
        <w:rPr>
          <w:lang w:val="fr-FR"/>
        </w:rPr>
        <w:t>re.  Da</w:t>
      </w:r>
      <w:r w:rsidRPr="003C6F9F">
        <w:rPr>
          <w:lang w:val="fr-FR"/>
        </w:rPr>
        <w:t xml:space="preserve">ns son </w:t>
      </w:r>
      <w:r w:rsidR="002E77DC" w:rsidRPr="003C6F9F">
        <w:rPr>
          <w:lang w:val="fr-FR"/>
        </w:rPr>
        <w:t>alinéa d)</w:t>
      </w:r>
      <w:r w:rsidRPr="003C6F9F">
        <w:rPr>
          <w:lang w:val="fr-FR"/>
        </w:rPr>
        <w:t xml:space="preserve">, il contient une disposition particulière </w:t>
      </w:r>
      <w:r w:rsidR="00293555" w:rsidRPr="003C6F9F">
        <w:rPr>
          <w:lang w:val="fr-FR"/>
        </w:rPr>
        <w:t>concernant</w:t>
      </w:r>
      <w:r w:rsidRPr="003C6F9F">
        <w:rPr>
          <w:lang w:val="fr-FR"/>
        </w:rPr>
        <w:t xml:space="preserve"> la question de mettre fin à l</w:t>
      </w:r>
      <w:r w:rsidR="002E77DC" w:rsidRPr="003C6F9F">
        <w:rPr>
          <w:lang w:val="fr-FR"/>
        </w:rPr>
        <w:t>’</w:t>
      </w:r>
      <w:r w:rsidRPr="003C6F9F">
        <w:rPr>
          <w:lang w:val="fr-FR"/>
        </w:rPr>
        <w:t>engagement du Directeur général</w:t>
      </w:r>
      <w:r w:rsidR="002E77DC" w:rsidRPr="003C6F9F">
        <w:rPr>
          <w:lang w:val="fr-FR"/>
        </w:rPr>
        <w:t> :</w:t>
      </w:r>
    </w:p>
    <w:p w14:paraId="628C9C11" w14:textId="0C8200CD" w:rsidR="003B21A9" w:rsidRPr="005D7394" w:rsidRDefault="008A4E85" w:rsidP="00386B6C">
      <w:pPr>
        <w:pStyle w:val="ListParagraph"/>
        <w:tabs>
          <w:tab w:val="left" w:pos="0"/>
          <w:tab w:val="left" w:pos="567"/>
        </w:tabs>
        <w:ind w:left="567"/>
        <w:rPr>
          <w:szCs w:val="22"/>
          <w:lang w:val="fr-FR"/>
        </w:rPr>
      </w:pPr>
      <w:r w:rsidRPr="005D7394">
        <w:rPr>
          <w:szCs w:val="22"/>
          <w:lang w:val="fr-FR"/>
        </w:rPr>
        <w:t>“</w:t>
      </w:r>
      <w:r w:rsidR="0089132F" w:rsidRPr="003C6F9F">
        <w:rPr>
          <w:i/>
          <w:szCs w:val="22"/>
          <w:lang w:val="fr-FR"/>
        </w:rPr>
        <w:t>Sur avis du Comité de coordination, l</w:t>
      </w:r>
      <w:r w:rsidR="002E77DC" w:rsidRPr="003C6F9F">
        <w:rPr>
          <w:i/>
          <w:szCs w:val="22"/>
          <w:lang w:val="fr-FR"/>
        </w:rPr>
        <w:t>’</w:t>
      </w:r>
      <w:r w:rsidR="0089132F" w:rsidRPr="003C6F9F">
        <w:rPr>
          <w:i/>
          <w:szCs w:val="22"/>
          <w:lang w:val="fr-FR"/>
        </w:rPr>
        <w:t>Assemblée générale peut mettre fin à l</w:t>
      </w:r>
      <w:r w:rsidR="002E77DC" w:rsidRPr="003C6F9F">
        <w:rPr>
          <w:i/>
          <w:szCs w:val="22"/>
          <w:lang w:val="fr-FR"/>
        </w:rPr>
        <w:t>’</w:t>
      </w:r>
      <w:r w:rsidR="0089132F" w:rsidRPr="003C6F9F">
        <w:rPr>
          <w:i/>
          <w:szCs w:val="22"/>
          <w:lang w:val="fr-FR"/>
        </w:rPr>
        <w:t>engagement du Directeur général si, en raison de son état de santé, il n</w:t>
      </w:r>
      <w:r w:rsidR="002E77DC" w:rsidRPr="003C6F9F">
        <w:rPr>
          <w:i/>
          <w:szCs w:val="22"/>
          <w:lang w:val="fr-FR"/>
        </w:rPr>
        <w:t>’</w:t>
      </w:r>
      <w:r w:rsidR="0089132F" w:rsidRPr="003C6F9F">
        <w:rPr>
          <w:i/>
          <w:szCs w:val="22"/>
          <w:lang w:val="fr-FR"/>
        </w:rPr>
        <w:t>est plus capable de remplir ses fonctions ou si ses services ou sa conduite ne donnent pas satisfaction, ou pour toute autre raison qui pourrait être prévue dans sa lettre de nomination</w:t>
      </w:r>
      <w:r w:rsidRPr="005D7394">
        <w:rPr>
          <w:szCs w:val="22"/>
          <w:lang w:val="fr-FR"/>
        </w:rPr>
        <w:t>”</w:t>
      </w:r>
      <w:r w:rsidR="00656341">
        <w:rPr>
          <w:szCs w:val="22"/>
          <w:lang w:val="fr-FR"/>
        </w:rPr>
        <w:t>.</w:t>
      </w:r>
    </w:p>
    <w:p w14:paraId="474C3156" w14:textId="77777777" w:rsidR="003B21A9" w:rsidRPr="003C6F9F" w:rsidRDefault="003B21A9" w:rsidP="00386B6C">
      <w:pPr>
        <w:pStyle w:val="ListParagraph"/>
        <w:tabs>
          <w:tab w:val="left" w:pos="0"/>
        </w:tabs>
        <w:ind w:left="567" w:hanging="567"/>
        <w:rPr>
          <w:szCs w:val="22"/>
          <w:lang w:val="fr-FR"/>
        </w:rPr>
      </w:pPr>
    </w:p>
    <w:p w14:paraId="71A834B0" w14:textId="2A655D48" w:rsidR="001C3AD2" w:rsidRPr="003C6F9F" w:rsidRDefault="0089132F" w:rsidP="00386B6C">
      <w:pPr>
        <w:pStyle w:val="ONUMFS"/>
        <w:rPr>
          <w:lang w:val="fr-FR"/>
        </w:rPr>
      </w:pPr>
      <w:r w:rsidRPr="003C6F9F">
        <w:rPr>
          <w:lang w:val="fr-FR"/>
        </w:rPr>
        <w:t>Le libellé actuel de</w:t>
      </w:r>
      <w:r w:rsidR="009C2F03" w:rsidRPr="003C6F9F">
        <w:rPr>
          <w:lang w:val="fr-FR"/>
        </w:rPr>
        <w:t xml:space="preserve">s </w:t>
      </w:r>
      <w:r w:rsidR="002E77DC" w:rsidRPr="003C6F9F">
        <w:rPr>
          <w:lang w:val="fr-FR"/>
        </w:rPr>
        <w:t>articles 9</w:t>
      </w:r>
      <w:r w:rsidR="005D7394">
        <w:rPr>
          <w:lang w:val="fr-FR"/>
        </w:rPr>
        <w:t>.2.a)3) et </w:t>
      </w:r>
      <w:r w:rsidRPr="003C6F9F">
        <w:rPr>
          <w:lang w:val="fr-FR"/>
        </w:rPr>
        <w:t xml:space="preserve">9.2.d) ne renvoie pas expressément au licenciement pour faute, mais </w:t>
      </w:r>
      <w:r w:rsidR="009C2F03" w:rsidRPr="003C6F9F">
        <w:rPr>
          <w:lang w:val="fr-FR"/>
        </w:rPr>
        <w:t>contient</w:t>
      </w:r>
      <w:r w:rsidRPr="003C6F9F">
        <w:rPr>
          <w:lang w:val="fr-FR"/>
        </w:rPr>
        <w:t xml:space="preserve"> l</w:t>
      </w:r>
      <w:r w:rsidR="002E77DC" w:rsidRPr="003C6F9F">
        <w:rPr>
          <w:lang w:val="fr-FR"/>
        </w:rPr>
        <w:t>’</w:t>
      </w:r>
      <w:r w:rsidRPr="003C6F9F">
        <w:rPr>
          <w:lang w:val="fr-FR"/>
        </w:rPr>
        <w:t xml:space="preserve">expression </w:t>
      </w:r>
      <w:r w:rsidR="008A4E85">
        <w:rPr>
          <w:lang w:val="fr-FR"/>
        </w:rPr>
        <w:t>“</w:t>
      </w:r>
      <w:r w:rsidRPr="003C6F9F">
        <w:rPr>
          <w:lang w:val="fr-FR"/>
        </w:rPr>
        <w:t>ne donnent pas satisfaction</w:t>
      </w:r>
      <w:r w:rsidR="008A4E85">
        <w:rPr>
          <w:lang w:val="fr-FR"/>
        </w:rPr>
        <w:t>”</w:t>
      </w:r>
      <w:r w:rsidRPr="003C6F9F">
        <w:rPr>
          <w:lang w:val="fr-FR"/>
        </w:rPr>
        <w:t>, qui n</w:t>
      </w:r>
      <w:r w:rsidR="002E77DC" w:rsidRPr="003C6F9F">
        <w:rPr>
          <w:lang w:val="fr-FR"/>
        </w:rPr>
        <w:t>’</w:t>
      </w:r>
      <w:r w:rsidRPr="003C6F9F">
        <w:rPr>
          <w:lang w:val="fr-FR"/>
        </w:rPr>
        <w:t xml:space="preserve">est pas utilisée </w:t>
      </w:r>
      <w:r w:rsidR="00A2618C" w:rsidRPr="003C6F9F">
        <w:rPr>
          <w:lang w:val="fr-FR"/>
        </w:rPr>
        <w:t>dans</w:t>
      </w:r>
      <w:r w:rsidRPr="003C6F9F">
        <w:rPr>
          <w:lang w:val="fr-FR"/>
        </w:rPr>
        <w:t xml:space="preserve"> l</w:t>
      </w:r>
      <w:r w:rsidR="002E77DC" w:rsidRPr="003C6F9F">
        <w:rPr>
          <w:lang w:val="fr-FR"/>
        </w:rPr>
        <w:t>’article 1</w:t>
      </w:r>
      <w:r w:rsidRPr="003C6F9F">
        <w:rPr>
          <w:lang w:val="fr-FR"/>
        </w:rPr>
        <w:t>0.1 du Statut du personnel concernant les mesures disciplinaires, ni dans la Charte de la supervision interne de l</w:t>
      </w:r>
      <w:r w:rsidR="002E77DC" w:rsidRPr="003C6F9F">
        <w:rPr>
          <w:lang w:val="fr-FR"/>
        </w:rPr>
        <w:t>’</w:t>
      </w:r>
      <w:r w:rsidRPr="003C6F9F">
        <w:rPr>
          <w:lang w:val="fr-FR"/>
        </w:rPr>
        <w:t>OMPI ou les documents connexes.</w:t>
      </w:r>
      <w:r w:rsidR="00A42D6F" w:rsidRPr="003C6F9F">
        <w:rPr>
          <w:lang w:val="fr-FR"/>
        </w:rPr>
        <w:t xml:space="preserve"> </w:t>
      </w:r>
      <w:r w:rsidR="00730D51" w:rsidRPr="003C6F9F">
        <w:rPr>
          <w:lang w:val="fr-FR"/>
        </w:rPr>
        <w:t xml:space="preserve"> </w:t>
      </w:r>
      <w:r w:rsidR="00DF5699" w:rsidRPr="003C6F9F">
        <w:rPr>
          <w:lang w:val="fr-FR"/>
        </w:rPr>
        <w:t>L</w:t>
      </w:r>
      <w:r w:rsidR="002E77DC" w:rsidRPr="003C6F9F">
        <w:rPr>
          <w:lang w:val="fr-FR"/>
        </w:rPr>
        <w:t>’</w:t>
      </w:r>
      <w:r w:rsidR="00DF5699" w:rsidRPr="003C6F9F">
        <w:rPr>
          <w:lang w:val="fr-FR"/>
        </w:rPr>
        <w:t xml:space="preserve">OCIS souhaite </w:t>
      </w:r>
      <w:r w:rsidR="009C2F03" w:rsidRPr="003C6F9F">
        <w:rPr>
          <w:lang w:val="fr-FR"/>
        </w:rPr>
        <w:t>signaler</w:t>
      </w:r>
      <w:r w:rsidR="00DF5699" w:rsidRPr="003C6F9F">
        <w:rPr>
          <w:lang w:val="fr-FR"/>
        </w:rPr>
        <w:t xml:space="preserve"> que le Statut et Règlement du personnel de l</w:t>
      </w:r>
      <w:r w:rsidR="002E77DC" w:rsidRPr="003C6F9F">
        <w:rPr>
          <w:lang w:val="fr-FR"/>
        </w:rPr>
        <w:t>’</w:t>
      </w:r>
      <w:r w:rsidR="00DF5699" w:rsidRPr="003C6F9F">
        <w:rPr>
          <w:lang w:val="fr-FR"/>
        </w:rPr>
        <w:t xml:space="preserve">Organisation des </w:t>
      </w:r>
      <w:r w:rsidR="002E77DC" w:rsidRPr="003C6F9F">
        <w:rPr>
          <w:lang w:val="fr-FR"/>
        </w:rPr>
        <w:t>Nations Unies</w:t>
      </w:r>
      <w:r w:rsidR="00DF5699" w:rsidRPr="003C6F9F">
        <w:rPr>
          <w:lang w:val="fr-FR"/>
        </w:rPr>
        <w:t xml:space="preserve"> </w:t>
      </w:r>
      <w:r w:rsidR="00DF5699" w:rsidRPr="003C6F9F">
        <w:rPr>
          <w:lang w:val="fr-FR"/>
        </w:rPr>
        <w:lastRenderedPageBreak/>
        <w:t>(ST/SGB/2017/1) différencie clairement le cas où il est mis fin à l</w:t>
      </w:r>
      <w:r w:rsidR="002E77DC" w:rsidRPr="003C6F9F">
        <w:rPr>
          <w:lang w:val="fr-FR"/>
        </w:rPr>
        <w:t>’</w:t>
      </w:r>
      <w:r w:rsidR="00DF5699" w:rsidRPr="003C6F9F">
        <w:rPr>
          <w:lang w:val="fr-FR"/>
        </w:rPr>
        <w:t>engagement d</w:t>
      </w:r>
      <w:r w:rsidR="002E77DC" w:rsidRPr="003C6F9F">
        <w:rPr>
          <w:lang w:val="fr-FR"/>
        </w:rPr>
        <w:t>’</w:t>
      </w:r>
      <w:r w:rsidR="00DF5699" w:rsidRPr="003C6F9F">
        <w:rPr>
          <w:lang w:val="fr-FR"/>
        </w:rPr>
        <w:t xml:space="preserve">un fonctionnaire </w:t>
      </w:r>
      <w:r w:rsidR="00A2618C" w:rsidRPr="003C6F9F">
        <w:rPr>
          <w:lang w:val="fr-FR"/>
        </w:rPr>
        <w:t>dont l</w:t>
      </w:r>
      <w:r w:rsidR="00DF5699" w:rsidRPr="003C6F9F">
        <w:rPr>
          <w:lang w:val="fr-FR"/>
        </w:rPr>
        <w:t xml:space="preserve">es services </w:t>
      </w:r>
      <w:r w:rsidR="008A4E85">
        <w:rPr>
          <w:lang w:val="fr-FR"/>
        </w:rPr>
        <w:t>“</w:t>
      </w:r>
      <w:r w:rsidR="00DF5699" w:rsidRPr="003C6F9F">
        <w:rPr>
          <w:lang w:val="fr-FR"/>
        </w:rPr>
        <w:t>ne donnent pas satisfaction</w:t>
      </w:r>
      <w:r w:rsidR="008A4E85">
        <w:rPr>
          <w:lang w:val="fr-FR"/>
        </w:rPr>
        <w:t>”</w:t>
      </w:r>
      <w:r w:rsidR="00DF5699" w:rsidRPr="003C6F9F">
        <w:rPr>
          <w:lang w:val="fr-FR"/>
        </w:rPr>
        <w:t xml:space="preserve"> et le cas où il est mis fin à </w:t>
      </w:r>
      <w:r w:rsidR="00A2618C" w:rsidRPr="003C6F9F">
        <w:rPr>
          <w:lang w:val="fr-FR"/>
        </w:rPr>
        <w:t>un</w:t>
      </w:r>
      <w:r w:rsidR="00DF5699" w:rsidRPr="003C6F9F">
        <w:rPr>
          <w:lang w:val="fr-FR"/>
        </w:rPr>
        <w:t xml:space="preserve"> engagement </w:t>
      </w:r>
      <w:r w:rsidR="008A4E85">
        <w:rPr>
          <w:lang w:val="fr-FR"/>
        </w:rPr>
        <w:t>“</w:t>
      </w:r>
      <w:r w:rsidR="00DF5699" w:rsidRPr="003C6F9F">
        <w:rPr>
          <w:lang w:val="fr-FR"/>
        </w:rPr>
        <w:t>à titre de mesure disciplinaire</w:t>
      </w:r>
      <w:r w:rsidR="008A4E85">
        <w:rPr>
          <w:lang w:val="fr-FR"/>
        </w:rPr>
        <w:t>”</w:t>
      </w:r>
      <w:r w:rsidR="00DF5699" w:rsidRPr="003C6F9F">
        <w:rPr>
          <w:lang w:val="fr-FR"/>
        </w:rPr>
        <w:t>, et il estime qu</w:t>
      </w:r>
      <w:r w:rsidR="002E77DC" w:rsidRPr="003C6F9F">
        <w:rPr>
          <w:lang w:val="fr-FR"/>
        </w:rPr>
        <w:t>’</w:t>
      </w:r>
      <w:r w:rsidR="00DF5699" w:rsidRPr="003C6F9F">
        <w:rPr>
          <w:lang w:val="fr-FR"/>
        </w:rPr>
        <w:t>il serait souhaitable de préciser l</w:t>
      </w:r>
      <w:r w:rsidR="00A2618C" w:rsidRPr="003C6F9F">
        <w:rPr>
          <w:lang w:val="fr-FR"/>
        </w:rPr>
        <w:t>a situation d</w:t>
      </w:r>
      <w:r w:rsidR="002E77DC" w:rsidRPr="003C6F9F">
        <w:rPr>
          <w:lang w:val="fr-FR"/>
        </w:rPr>
        <w:t>’</w:t>
      </w:r>
      <w:r w:rsidR="00A2618C" w:rsidRPr="003C6F9F">
        <w:rPr>
          <w:lang w:val="fr-FR"/>
        </w:rPr>
        <w:t>une manière</w:t>
      </w:r>
      <w:r w:rsidR="00DF5699" w:rsidRPr="003C6F9F">
        <w:rPr>
          <w:lang w:val="fr-FR"/>
        </w:rPr>
        <w:t xml:space="preserve"> analogue dans le Statut du personnel de l</w:t>
      </w:r>
      <w:r w:rsidR="002E77DC" w:rsidRPr="003C6F9F">
        <w:rPr>
          <w:lang w:val="fr-FR"/>
        </w:rPr>
        <w:t>’</w:t>
      </w:r>
      <w:r w:rsidR="00DF5699" w:rsidRPr="003C6F9F">
        <w:rPr>
          <w:lang w:val="fr-FR"/>
        </w:rPr>
        <w:t>OMPI.</w:t>
      </w:r>
      <w:r w:rsidR="005649D6" w:rsidRPr="003C6F9F">
        <w:rPr>
          <w:lang w:val="fr-FR"/>
        </w:rPr>
        <w:t xml:space="preserve"> </w:t>
      </w:r>
      <w:r w:rsidR="00730D51" w:rsidRPr="003C6F9F">
        <w:rPr>
          <w:lang w:val="fr-FR"/>
        </w:rPr>
        <w:t xml:space="preserve"> </w:t>
      </w:r>
      <w:r w:rsidR="00DF5699" w:rsidRPr="003C6F9F">
        <w:rPr>
          <w:lang w:val="fr-FR"/>
        </w:rPr>
        <w:t>L</w:t>
      </w:r>
      <w:r w:rsidR="002E77DC" w:rsidRPr="003C6F9F">
        <w:rPr>
          <w:lang w:val="fr-FR"/>
        </w:rPr>
        <w:t>’</w:t>
      </w:r>
      <w:r w:rsidR="00DF5699" w:rsidRPr="003C6F9F">
        <w:rPr>
          <w:lang w:val="fr-FR"/>
        </w:rPr>
        <w:t>OCIS recommande donc de modifier l</w:t>
      </w:r>
      <w:r w:rsidR="002E77DC" w:rsidRPr="003C6F9F">
        <w:rPr>
          <w:lang w:val="fr-FR"/>
        </w:rPr>
        <w:t>’article 9</w:t>
      </w:r>
      <w:r w:rsidR="00DF5699" w:rsidRPr="003C6F9F">
        <w:rPr>
          <w:lang w:val="fr-FR"/>
        </w:rPr>
        <w:t>.2.d) du Statut du personn</w:t>
      </w:r>
      <w:r w:rsidR="0011693D" w:rsidRPr="003C6F9F">
        <w:rPr>
          <w:lang w:val="fr-FR"/>
        </w:rPr>
        <w:t>el.  Un</w:t>
      </w:r>
      <w:r w:rsidR="00DF5699" w:rsidRPr="003C6F9F">
        <w:rPr>
          <w:lang w:val="fr-FR"/>
        </w:rPr>
        <w:t xml:space="preserve"> éclaircissement similaire est recommandé pour l</w:t>
      </w:r>
      <w:r w:rsidR="002E77DC" w:rsidRPr="003C6F9F">
        <w:rPr>
          <w:lang w:val="fr-FR"/>
        </w:rPr>
        <w:t>’article 9</w:t>
      </w:r>
      <w:r w:rsidR="00DF5699" w:rsidRPr="003C6F9F">
        <w:rPr>
          <w:lang w:val="fr-FR"/>
        </w:rPr>
        <w:t>.2.a)3) du Statut du personnel.</w:t>
      </w:r>
    </w:p>
    <w:tbl>
      <w:tblPr>
        <w:tblStyle w:val="TableGrid"/>
        <w:tblW w:w="0" w:type="auto"/>
        <w:tblInd w:w="108" w:type="dxa"/>
        <w:tblLook w:val="04A0" w:firstRow="1" w:lastRow="0" w:firstColumn="1" w:lastColumn="0" w:noHBand="0" w:noVBand="1"/>
      </w:tblPr>
      <w:tblGrid>
        <w:gridCol w:w="1387"/>
        <w:gridCol w:w="2861"/>
        <w:gridCol w:w="2861"/>
        <w:gridCol w:w="2354"/>
      </w:tblGrid>
      <w:tr w:rsidR="0091503B" w:rsidRPr="003C6F9F" w14:paraId="02206346" w14:textId="77777777" w:rsidTr="000D11D1">
        <w:tc>
          <w:tcPr>
            <w:tcW w:w="1268" w:type="dxa"/>
            <w:shd w:val="clear" w:color="auto" w:fill="FBD4B4" w:themeFill="accent6" w:themeFillTint="66"/>
          </w:tcPr>
          <w:p w14:paraId="64A34C7D" w14:textId="30CF2316" w:rsidR="002A437E" w:rsidRPr="003C6F9F" w:rsidRDefault="00DF5699" w:rsidP="00386B6C">
            <w:pPr>
              <w:tabs>
                <w:tab w:val="left" w:pos="0"/>
              </w:tabs>
              <w:jc w:val="center"/>
              <w:rPr>
                <w:b/>
                <w:sz w:val="18"/>
                <w:szCs w:val="18"/>
                <w:lang w:val="fr-FR"/>
              </w:rPr>
            </w:pPr>
            <w:r w:rsidRPr="003C6F9F">
              <w:rPr>
                <w:b/>
                <w:sz w:val="18"/>
                <w:szCs w:val="18"/>
                <w:lang w:val="fr-FR"/>
              </w:rPr>
              <w:t>Disposition</w:t>
            </w:r>
          </w:p>
        </w:tc>
        <w:tc>
          <w:tcPr>
            <w:tcW w:w="2910" w:type="dxa"/>
            <w:shd w:val="clear" w:color="auto" w:fill="FBD4B4" w:themeFill="accent6" w:themeFillTint="66"/>
          </w:tcPr>
          <w:p w14:paraId="67BA31C6" w14:textId="43C8A525" w:rsidR="002A437E" w:rsidRPr="003C6F9F" w:rsidRDefault="00DF5699" w:rsidP="00386B6C">
            <w:pPr>
              <w:tabs>
                <w:tab w:val="left" w:pos="0"/>
              </w:tabs>
              <w:jc w:val="center"/>
              <w:rPr>
                <w:b/>
                <w:sz w:val="18"/>
                <w:szCs w:val="18"/>
                <w:lang w:val="fr-FR"/>
              </w:rPr>
            </w:pPr>
            <w:r w:rsidRPr="003C6F9F">
              <w:rPr>
                <w:b/>
                <w:sz w:val="18"/>
                <w:szCs w:val="18"/>
                <w:lang w:val="fr-FR"/>
              </w:rPr>
              <w:t>Texte actuel</w:t>
            </w:r>
          </w:p>
        </w:tc>
        <w:tc>
          <w:tcPr>
            <w:tcW w:w="2910" w:type="dxa"/>
            <w:shd w:val="clear" w:color="auto" w:fill="FBD4B4" w:themeFill="accent6" w:themeFillTint="66"/>
          </w:tcPr>
          <w:p w14:paraId="6D145504" w14:textId="754A56B1" w:rsidR="002A437E" w:rsidRPr="003C6F9F" w:rsidRDefault="00DF5699" w:rsidP="00386B6C">
            <w:pPr>
              <w:tabs>
                <w:tab w:val="left" w:pos="0"/>
              </w:tabs>
              <w:jc w:val="center"/>
              <w:rPr>
                <w:b/>
                <w:sz w:val="18"/>
                <w:szCs w:val="18"/>
                <w:lang w:val="fr-FR"/>
              </w:rPr>
            </w:pPr>
            <w:r w:rsidRPr="003C6F9F">
              <w:rPr>
                <w:b/>
                <w:sz w:val="18"/>
                <w:szCs w:val="18"/>
                <w:lang w:val="fr-FR"/>
              </w:rPr>
              <w:t>Nouveau texte proposé</w:t>
            </w:r>
          </w:p>
        </w:tc>
        <w:tc>
          <w:tcPr>
            <w:tcW w:w="2375" w:type="dxa"/>
            <w:shd w:val="clear" w:color="auto" w:fill="FBD4B4" w:themeFill="accent6" w:themeFillTint="66"/>
          </w:tcPr>
          <w:p w14:paraId="400E5D5C" w14:textId="7D959D0A" w:rsidR="002A437E" w:rsidRPr="003C6F9F" w:rsidRDefault="00DF5699" w:rsidP="00386B6C">
            <w:pPr>
              <w:tabs>
                <w:tab w:val="left" w:pos="0"/>
              </w:tabs>
              <w:jc w:val="center"/>
              <w:rPr>
                <w:b/>
                <w:sz w:val="18"/>
                <w:szCs w:val="18"/>
                <w:lang w:val="fr-FR"/>
              </w:rPr>
            </w:pPr>
            <w:r w:rsidRPr="003C6F9F">
              <w:rPr>
                <w:b/>
                <w:sz w:val="18"/>
                <w:szCs w:val="18"/>
                <w:lang w:val="fr-FR"/>
              </w:rPr>
              <w:t>Objet/description de la modification</w:t>
            </w:r>
          </w:p>
        </w:tc>
      </w:tr>
      <w:tr w:rsidR="0091503B" w:rsidRPr="003C6F9F" w14:paraId="1E8D2681" w14:textId="77777777" w:rsidTr="000D11D1">
        <w:tc>
          <w:tcPr>
            <w:tcW w:w="1268" w:type="dxa"/>
          </w:tcPr>
          <w:p w14:paraId="41A5ACCA" w14:textId="333C58B5" w:rsidR="00DF5699" w:rsidRPr="003C6F9F" w:rsidRDefault="002E77DC" w:rsidP="00386B6C">
            <w:pPr>
              <w:tabs>
                <w:tab w:val="left" w:pos="0"/>
              </w:tabs>
              <w:rPr>
                <w:sz w:val="18"/>
                <w:szCs w:val="18"/>
                <w:lang w:val="fr-FR"/>
              </w:rPr>
            </w:pPr>
            <w:r w:rsidRPr="003C6F9F">
              <w:rPr>
                <w:sz w:val="18"/>
                <w:szCs w:val="18"/>
                <w:lang w:val="fr-FR"/>
              </w:rPr>
              <w:t>Article 9</w:t>
            </w:r>
            <w:r w:rsidR="00DF5699" w:rsidRPr="003C6F9F">
              <w:rPr>
                <w:sz w:val="18"/>
                <w:szCs w:val="18"/>
                <w:lang w:val="fr-FR"/>
              </w:rPr>
              <w:t>.2.a)3)</w:t>
            </w:r>
          </w:p>
          <w:p w14:paraId="0DD08C51" w14:textId="6E294FED" w:rsidR="003B21A9" w:rsidRPr="003C6F9F" w:rsidRDefault="00DF5699" w:rsidP="00386B6C">
            <w:pPr>
              <w:tabs>
                <w:tab w:val="left" w:pos="0"/>
              </w:tabs>
              <w:rPr>
                <w:sz w:val="18"/>
                <w:szCs w:val="18"/>
                <w:lang w:val="fr-FR"/>
              </w:rPr>
            </w:pPr>
            <w:r w:rsidRPr="003C6F9F">
              <w:rPr>
                <w:sz w:val="18"/>
                <w:szCs w:val="18"/>
                <w:lang w:val="fr-FR"/>
              </w:rPr>
              <w:t>du Statut du personnel</w:t>
            </w:r>
          </w:p>
          <w:p w14:paraId="35B4D19A" w14:textId="77777777" w:rsidR="003B21A9" w:rsidRPr="003C6F9F" w:rsidRDefault="003B21A9" w:rsidP="00386B6C">
            <w:pPr>
              <w:tabs>
                <w:tab w:val="left" w:pos="0"/>
              </w:tabs>
              <w:rPr>
                <w:sz w:val="18"/>
                <w:szCs w:val="18"/>
                <w:lang w:val="fr-FR"/>
              </w:rPr>
            </w:pPr>
          </w:p>
          <w:p w14:paraId="2F8D2788" w14:textId="49E90E45" w:rsidR="001C3AD2" w:rsidRPr="003C6F9F" w:rsidRDefault="002E77DC" w:rsidP="00386B6C">
            <w:pPr>
              <w:tabs>
                <w:tab w:val="left" w:pos="0"/>
              </w:tabs>
              <w:rPr>
                <w:sz w:val="18"/>
                <w:szCs w:val="18"/>
                <w:lang w:val="fr-FR"/>
              </w:rPr>
            </w:pPr>
            <w:r w:rsidRPr="003C6F9F">
              <w:rPr>
                <w:sz w:val="18"/>
                <w:szCs w:val="18"/>
                <w:lang w:val="fr-FR"/>
              </w:rPr>
              <w:t>Article 9</w:t>
            </w:r>
            <w:r w:rsidR="00DF5699" w:rsidRPr="003C6F9F">
              <w:rPr>
                <w:sz w:val="18"/>
                <w:szCs w:val="18"/>
                <w:lang w:val="fr-FR"/>
              </w:rPr>
              <w:t>.2.d) du Statut du personnel</w:t>
            </w:r>
          </w:p>
        </w:tc>
        <w:tc>
          <w:tcPr>
            <w:tcW w:w="2910" w:type="dxa"/>
          </w:tcPr>
          <w:p w14:paraId="2383F4F4" w14:textId="11F0F60B" w:rsidR="003B21A9" w:rsidRPr="003C6F9F" w:rsidRDefault="00DF5699" w:rsidP="00386B6C">
            <w:pPr>
              <w:pStyle w:val="Default"/>
              <w:tabs>
                <w:tab w:val="left" w:pos="0"/>
              </w:tabs>
              <w:rPr>
                <w:color w:val="auto"/>
                <w:sz w:val="18"/>
                <w:szCs w:val="18"/>
                <w:lang w:val="fr-FR"/>
              </w:rPr>
            </w:pPr>
            <w:r w:rsidRPr="003C6F9F">
              <w:rPr>
                <w:color w:val="auto"/>
                <w:sz w:val="18"/>
                <w:szCs w:val="18"/>
                <w:lang w:val="fr-FR"/>
              </w:rPr>
              <w:t>3) si ses services ou sa conduite ne donnent pas satisfaction;</w:t>
            </w:r>
          </w:p>
          <w:p w14:paraId="10C1FA10" w14:textId="77777777" w:rsidR="002E77DC" w:rsidRPr="003C6F9F" w:rsidRDefault="002E77DC" w:rsidP="00386B6C">
            <w:pPr>
              <w:pStyle w:val="Default"/>
              <w:tabs>
                <w:tab w:val="left" w:pos="0"/>
              </w:tabs>
              <w:rPr>
                <w:color w:val="auto"/>
                <w:sz w:val="18"/>
                <w:szCs w:val="18"/>
                <w:lang w:val="fr-FR"/>
              </w:rPr>
            </w:pPr>
          </w:p>
          <w:p w14:paraId="6E29A0DA" w14:textId="77777777" w:rsidR="003B21A9" w:rsidRPr="003C6F9F" w:rsidRDefault="003B21A9" w:rsidP="00386B6C">
            <w:pPr>
              <w:pStyle w:val="Default"/>
              <w:tabs>
                <w:tab w:val="left" w:pos="0"/>
              </w:tabs>
              <w:rPr>
                <w:color w:val="auto"/>
                <w:sz w:val="18"/>
                <w:szCs w:val="18"/>
                <w:lang w:val="fr-FR"/>
              </w:rPr>
            </w:pPr>
          </w:p>
          <w:p w14:paraId="5532619A" w14:textId="0CD54E54" w:rsidR="002A437E" w:rsidRPr="003C6F9F" w:rsidRDefault="00DF5699" w:rsidP="00386B6C">
            <w:pPr>
              <w:pStyle w:val="Default"/>
              <w:tabs>
                <w:tab w:val="left" w:pos="0"/>
              </w:tabs>
              <w:rPr>
                <w:sz w:val="18"/>
                <w:szCs w:val="18"/>
                <w:lang w:val="fr-FR"/>
              </w:rPr>
            </w:pPr>
            <w:r w:rsidRPr="003C6F9F">
              <w:rPr>
                <w:color w:val="auto"/>
                <w:sz w:val="18"/>
                <w:szCs w:val="18"/>
                <w:lang w:val="fr-FR"/>
              </w:rPr>
              <w:t>d) Sur avis du Comité de coordination, l</w:t>
            </w:r>
            <w:r w:rsidR="002E77DC" w:rsidRPr="003C6F9F">
              <w:rPr>
                <w:color w:val="auto"/>
                <w:sz w:val="18"/>
                <w:szCs w:val="18"/>
                <w:lang w:val="fr-FR"/>
              </w:rPr>
              <w:t>’</w:t>
            </w:r>
            <w:r w:rsidRPr="003C6F9F">
              <w:rPr>
                <w:color w:val="auto"/>
                <w:sz w:val="18"/>
                <w:szCs w:val="18"/>
                <w:lang w:val="fr-FR"/>
              </w:rPr>
              <w:t>Assemblée générale peut mettre fin à l</w:t>
            </w:r>
            <w:r w:rsidR="002E77DC" w:rsidRPr="003C6F9F">
              <w:rPr>
                <w:color w:val="auto"/>
                <w:sz w:val="18"/>
                <w:szCs w:val="18"/>
                <w:lang w:val="fr-FR"/>
              </w:rPr>
              <w:t>’</w:t>
            </w:r>
            <w:r w:rsidRPr="003C6F9F">
              <w:rPr>
                <w:color w:val="auto"/>
                <w:sz w:val="18"/>
                <w:szCs w:val="18"/>
                <w:lang w:val="fr-FR"/>
              </w:rPr>
              <w:t>engagement du Directeur général si, en raison de son état de santé, il n</w:t>
            </w:r>
            <w:r w:rsidR="002E77DC" w:rsidRPr="003C6F9F">
              <w:rPr>
                <w:color w:val="auto"/>
                <w:sz w:val="18"/>
                <w:szCs w:val="18"/>
                <w:lang w:val="fr-FR"/>
              </w:rPr>
              <w:t>’</w:t>
            </w:r>
            <w:r w:rsidRPr="003C6F9F">
              <w:rPr>
                <w:color w:val="auto"/>
                <w:sz w:val="18"/>
                <w:szCs w:val="18"/>
                <w:lang w:val="fr-FR"/>
              </w:rPr>
              <w:t>est plus capable de remplir ses fonctions ou si ses services ou sa conduite ne donnent pas satisfaction, ou pour toute autre raison qui pourrait être prévue dans sa lettre de nomination.</w:t>
            </w:r>
          </w:p>
        </w:tc>
        <w:tc>
          <w:tcPr>
            <w:tcW w:w="2910" w:type="dxa"/>
          </w:tcPr>
          <w:p w14:paraId="1F5D670C" w14:textId="7071F878" w:rsidR="003B21A9" w:rsidRPr="003C6F9F" w:rsidRDefault="00A2618C" w:rsidP="00386B6C">
            <w:pPr>
              <w:tabs>
                <w:tab w:val="left" w:pos="0"/>
              </w:tabs>
              <w:rPr>
                <w:b/>
                <w:sz w:val="18"/>
                <w:szCs w:val="18"/>
                <w:lang w:val="fr-FR"/>
              </w:rPr>
            </w:pPr>
            <w:r w:rsidRPr="003C6F9F">
              <w:rPr>
                <w:sz w:val="18"/>
                <w:szCs w:val="18"/>
                <w:lang w:val="fr-FR"/>
              </w:rPr>
              <w:t xml:space="preserve">3) si ses services </w:t>
            </w:r>
            <w:r w:rsidRPr="003C6F9F">
              <w:rPr>
                <w:strike/>
                <w:sz w:val="18"/>
                <w:szCs w:val="18"/>
                <w:lang w:val="fr-FR"/>
              </w:rPr>
              <w:t>ou sa conduite</w:t>
            </w:r>
            <w:r w:rsidRPr="005E350E">
              <w:rPr>
                <w:strike/>
                <w:sz w:val="18"/>
                <w:szCs w:val="18"/>
                <w:lang w:val="fr-FR"/>
              </w:rPr>
              <w:t xml:space="preserve"> </w:t>
            </w:r>
            <w:r w:rsidRPr="003C6F9F">
              <w:rPr>
                <w:sz w:val="18"/>
                <w:szCs w:val="18"/>
                <w:lang w:val="fr-FR"/>
              </w:rPr>
              <w:t xml:space="preserve">ne donnent pas satisfaction </w:t>
            </w:r>
            <w:r w:rsidRPr="003C6F9F">
              <w:rPr>
                <w:b/>
                <w:sz w:val="18"/>
                <w:szCs w:val="18"/>
                <w:u w:val="single"/>
                <w:lang w:val="fr-FR"/>
              </w:rPr>
              <w:t>ou s</w:t>
            </w:r>
            <w:r w:rsidR="002E77DC" w:rsidRPr="003C6F9F">
              <w:rPr>
                <w:b/>
                <w:sz w:val="18"/>
                <w:szCs w:val="18"/>
                <w:u w:val="single"/>
                <w:lang w:val="fr-FR"/>
              </w:rPr>
              <w:t>’</w:t>
            </w:r>
            <w:r w:rsidRPr="003C6F9F">
              <w:rPr>
                <w:b/>
                <w:sz w:val="18"/>
                <w:szCs w:val="18"/>
                <w:u w:val="single"/>
                <w:lang w:val="fr-FR"/>
              </w:rPr>
              <w:t xml:space="preserve">il a été </w:t>
            </w:r>
            <w:r w:rsidR="00381B45">
              <w:rPr>
                <w:b/>
                <w:sz w:val="18"/>
                <w:szCs w:val="18"/>
                <w:u w:val="single"/>
                <w:lang w:val="fr-FR"/>
              </w:rPr>
              <w:t>convaincu</w:t>
            </w:r>
            <w:r w:rsidRPr="003C6F9F">
              <w:rPr>
                <w:b/>
                <w:sz w:val="18"/>
                <w:szCs w:val="18"/>
                <w:u w:val="single"/>
                <w:lang w:val="fr-FR"/>
              </w:rPr>
              <w:t xml:space="preserve"> de faute</w:t>
            </w:r>
            <w:r w:rsidRPr="003C6F9F">
              <w:rPr>
                <w:sz w:val="18"/>
                <w:szCs w:val="18"/>
                <w:lang w:val="fr-FR"/>
              </w:rPr>
              <w:t>;</w:t>
            </w:r>
          </w:p>
          <w:p w14:paraId="2CF6CB69" w14:textId="77777777" w:rsidR="002E77DC" w:rsidRPr="003C6F9F" w:rsidRDefault="002E77DC" w:rsidP="00386B6C">
            <w:pPr>
              <w:pStyle w:val="Default"/>
              <w:tabs>
                <w:tab w:val="left" w:pos="0"/>
              </w:tabs>
              <w:rPr>
                <w:color w:val="auto"/>
                <w:sz w:val="18"/>
                <w:szCs w:val="18"/>
                <w:lang w:val="fr-FR"/>
              </w:rPr>
            </w:pPr>
          </w:p>
          <w:p w14:paraId="72F57434" w14:textId="64832F4D" w:rsidR="00323A7E" w:rsidRDefault="00A2618C" w:rsidP="00386B6C">
            <w:pPr>
              <w:pStyle w:val="Default"/>
              <w:tabs>
                <w:tab w:val="left" w:pos="0"/>
              </w:tabs>
              <w:rPr>
                <w:color w:val="auto"/>
                <w:sz w:val="18"/>
                <w:szCs w:val="18"/>
                <w:lang w:val="fr-FR"/>
              </w:rPr>
            </w:pPr>
            <w:r w:rsidRPr="003C6F9F">
              <w:rPr>
                <w:color w:val="auto"/>
                <w:sz w:val="18"/>
                <w:szCs w:val="18"/>
                <w:lang w:val="fr-FR"/>
              </w:rPr>
              <w:t>d) Sur avis du Comité de coordination, l</w:t>
            </w:r>
            <w:r w:rsidR="002E77DC" w:rsidRPr="003C6F9F">
              <w:rPr>
                <w:color w:val="auto"/>
                <w:sz w:val="18"/>
                <w:szCs w:val="18"/>
                <w:lang w:val="fr-FR"/>
              </w:rPr>
              <w:t>’</w:t>
            </w:r>
            <w:r w:rsidRPr="003C6F9F">
              <w:rPr>
                <w:color w:val="auto"/>
                <w:sz w:val="18"/>
                <w:szCs w:val="18"/>
                <w:lang w:val="fr-FR"/>
              </w:rPr>
              <w:t>Assemblée générale peut mettre fin à l</w:t>
            </w:r>
            <w:r w:rsidR="002E77DC" w:rsidRPr="003C6F9F">
              <w:rPr>
                <w:color w:val="auto"/>
                <w:sz w:val="18"/>
                <w:szCs w:val="18"/>
                <w:lang w:val="fr-FR"/>
              </w:rPr>
              <w:t>’</w:t>
            </w:r>
            <w:r w:rsidRPr="003C6F9F">
              <w:rPr>
                <w:color w:val="auto"/>
                <w:sz w:val="18"/>
                <w:szCs w:val="18"/>
                <w:lang w:val="fr-FR"/>
              </w:rPr>
              <w:t>engagement du Directeur général si, en raison de son état de santé, il n</w:t>
            </w:r>
            <w:r w:rsidR="002E77DC" w:rsidRPr="003C6F9F">
              <w:rPr>
                <w:color w:val="auto"/>
                <w:sz w:val="18"/>
                <w:szCs w:val="18"/>
                <w:lang w:val="fr-FR"/>
              </w:rPr>
              <w:t>’</w:t>
            </w:r>
            <w:r w:rsidRPr="003C6F9F">
              <w:rPr>
                <w:color w:val="auto"/>
                <w:sz w:val="18"/>
                <w:szCs w:val="18"/>
                <w:lang w:val="fr-FR"/>
              </w:rPr>
              <w:t xml:space="preserve">est plus capable de remplir ses fonctions ou si ses services </w:t>
            </w:r>
            <w:r w:rsidRPr="005E350E">
              <w:rPr>
                <w:strike/>
                <w:color w:val="auto"/>
                <w:sz w:val="18"/>
                <w:szCs w:val="18"/>
                <w:lang w:val="fr-FR"/>
              </w:rPr>
              <w:t xml:space="preserve">ou sa conduite </w:t>
            </w:r>
            <w:r w:rsidRPr="003C6F9F">
              <w:rPr>
                <w:color w:val="auto"/>
                <w:sz w:val="18"/>
                <w:szCs w:val="18"/>
                <w:lang w:val="fr-FR"/>
              </w:rPr>
              <w:t xml:space="preserve">ne donnent pas satisfaction, </w:t>
            </w:r>
            <w:r w:rsidRPr="003C6F9F">
              <w:rPr>
                <w:b/>
                <w:color w:val="auto"/>
                <w:sz w:val="18"/>
                <w:szCs w:val="18"/>
                <w:u w:val="single"/>
                <w:lang w:val="fr-FR"/>
              </w:rPr>
              <w:t>s</w:t>
            </w:r>
            <w:r w:rsidR="002E77DC" w:rsidRPr="003C6F9F">
              <w:rPr>
                <w:b/>
                <w:color w:val="auto"/>
                <w:sz w:val="18"/>
                <w:szCs w:val="18"/>
                <w:u w:val="single"/>
                <w:lang w:val="fr-FR"/>
              </w:rPr>
              <w:t>’</w:t>
            </w:r>
            <w:r w:rsidRPr="003C6F9F">
              <w:rPr>
                <w:b/>
                <w:color w:val="auto"/>
                <w:sz w:val="18"/>
                <w:szCs w:val="18"/>
                <w:u w:val="single"/>
                <w:lang w:val="fr-FR"/>
              </w:rPr>
              <w:t xml:space="preserve">il a été </w:t>
            </w:r>
            <w:r w:rsidR="00381B45">
              <w:rPr>
                <w:b/>
                <w:color w:val="auto"/>
                <w:sz w:val="18"/>
                <w:szCs w:val="18"/>
                <w:u w:val="single"/>
                <w:lang w:val="fr-FR"/>
              </w:rPr>
              <w:t>convaincu d</w:t>
            </w:r>
            <w:r w:rsidRPr="003C6F9F">
              <w:rPr>
                <w:b/>
                <w:color w:val="auto"/>
                <w:sz w:val="18"/>
                <w:szCs w:val="18"/>
                <w:u w:val="single"/>
                <w:lang w:val="fr-FR"/>
              </w:rPr>
              <w:t xml:space="preserve">e faute </w:t>
            </w:r>
            <w:r w:rsidRPr="003C6F9F">
              <w:rPr>
                <w:color w:val="auto"/>
                <w:sz w:val="18"/>
                <w:szCs w:val="18"/>
                <w:lang w:val="fr-FR"/>
              </w:rPr>
              <w:t>ou pour toute autre raison qui pourrait être prévue dans sa lettre de nomination.</w:t>
            </w:r>
          </w:p>
          <w:p w14:paraId="42492A6A" w14:textId="6E2A9726" w:rsidR="00734DBB" w:rsidRPr="003C6F9F" w:rsidRDefault="00734DBB" w:rsidP="00386B6C">
            <w:pPr>
              <w:pStyle w:val="Default"/>
              <w:tabs>
                <w:tab w:val="left" w:pos="0"/>
              </w:tabs>
              <w:rPr>
                <w:sz w:val="18"/>
                <w:szCs w:val="18"/>
                <w:lang w:val="fr-FR"/>
              </w:rPr>
            </w:pPr>
          </w:p>
        </w:tc>
        <w:tc>
          <w:tcPr>
            <w:tcW w:w="2375" w:type="dxa"/>
          </w:tcPr>
          <w:p w14:paraId="0BED02B2" w14:textId="0DBDB5B3" w:rsidR="002A437E" w:rsidRPr="003C6F9F" w:rsidRDefault="00A2618C" w:rsidP="00386B6C">
            <w:pPr>
              <w:tabs>
                <w:tab w:val="left" w:pos="0"/>
              </w:tabs>
              <w:rPr>
                <w:sz w:val="18"/>
                <w:szCs w:val="18"/>
                <w:lang w:val="fr-FR"/>
              </w:rPr>
            </w:pPr>
            <w:r w:rsidRPr="003C6F9F">
              <w:rPr>
                <w:sz w:val="18"/>
                <w:szCs w:val="18"/>
                <w:lang w:val="fr-FR"/>
              </w:rPr>
              <w:t>L</w:t>
            </w:r>
            <w:r w:rsidR="002E77DC" w:rsidRPr="003C6F9F">
              <w:rPr>
                <w:sz w:val="18"/>
                <w:szCs w:val="18"/>
                <w:lang w:val="fr-FR"/>
              </w:rPr>
              <w:t>’</w:t>
            </w:r>
            <w:r w:rsidRPr="003C6F9F">
              <w:rPr>
                <w:sz w:val="18"/>
                <w:szCs w:val="18"/>
                <w:lang w:val="fr-FR"/>
              </w:rPr>
              <w:t>objectif de cet amendement est de différencier clairement le cas où il est mis fin à l</w:t>
            </w:r>
            <w:r w:rsidR="002E77DC" w:rsidRPr="003C6F9F">
              <w:rPr>
                <w:sz w:val="18"/>
                <w:szCs w:val="18"/>
                <w:lang w:val="fr-FR"/>
              </w:rPr>
              <w:t>’</w:t>
            </w:r>
            <w:r w:rsidRPr="003C6F9F">
              <w:rPr>
                <w:sz w:val="18"/>
                <w:szCs w:val="18"/>
                <w:lang w:val="fr-FR"/>
              </w:rPr>
              <w:t>engagement d</w:t>
            </w:r>
            <w:r w:rsidR="002E77DC" w:rsidRPr="003C6F9F">
              <w:rPr>
                <w:sz w:val="18"/>
                <w:szCs w:val="18"/>
                <w:lang w:val="fr-FR"/>
              </w:rPr>
              <w:t>’</w:t>
            </w:r>
            <w:r w:rsidRPr="003C6F9F">
              <w:rPr>
                <w:sz w:val="18"/>
                <w:szCs w:val="18"/>
                <w:lang w:val="fr-FR"/>
              </w:rPr>
              <w:t xml:space="preserve">un fonctionnaire dont les services </w:t>
            </w:r>
            <w:r w:rsidR="008A4E85">
              <w:rPr>
                <w:sz w:val="18"/>
                <w:szCs w:val="18"/>
                <w:lang w:val="fr-FR"/>
              </w:rPr>
              <w:t>“</w:t>
            </w:r>
            <w:r w:rsidRPr="003C6F9F">
              <w:rPr>
                <w:sz w:val="18"/>
                <w:szCs w:val="18"/>
                <w:lang w:val="fr-FR"/>
              </w:rPr>
              <w:t>ne donnent pas satisfaction</w:t>
            </w:r>
            <w:r w:rsidR="008A4E85">
              <w:rPr>
                <w:sz w:val="18"/>
                <w:szCs w:val="18"/>
                <w:lang w:val="fr-FR"/>
              </w:rPr>
              <w:t>”</w:t>
            </w:r>
            <w:r w:rsidRPr="003C6F9F">
              <w:rPr>
                <w:sz w:val="18"/>
                <w:szCs w:val="18"/>
                <w:lang w:val="fr-FR"/>
              </w:rPr>
              <w:t xml:space="preserve"> et le cas où il est mis fin à un engagement </w:t>
            </w:r>
            <w:r w:rsidR="008A4E85">
              <w:rPr>
                <w:sz w:val="18"/>
                <w:szCs w:val="18"/>
                <w:lang w:val="fr-FR"/>
              </w:rPr>
              <w:t>“</w:t>
            </w:r>
            <w:r w:rsidRPr="003C6F9F">
              <w:rPr>
                <w:sz w:val="18"/>
                <w:szCs w:val="18"/>
                <w:lang w:val="fr-FR"/>
              </w:rPr>
              <w:t>à titre de mesure disciplinaire</w:t>
            </w:r>
            <w:r w:rsidR="008A4E85">
              <w:rPr>
                <w:sz w:val="18"/>
                <w:szCs w:val="18"/>
                <w:lang w:val="fr-FR"/>
              </w:rPr>
              <w:t>”</w:t>
            </w:r>
            <w:r w:rsidRPr="003C6F9F">
              <w:rPr>
                <w:sz w:val="18"/>
                <w:szCs w:val="18"/>
                <w:lang w:val="fr-FR"/>
              </w:rPr>
              <w:t>, et de faire une utilisation uniforme de la terminologie.</w:t>
            </w:r>
            <w:r w:rsidR="002A437E" w:rsidRPr="003C6F9F">
              <w:rPr>
                <w:sz w:val="18"/>
                <w:szCs w:val="18"/>
                <w:lang w:val="fr-FR"/>
              </w:rPr>
              <w:t xml:space="preserve"> </w:t>
            </w:r>
            <w:r w:rsidR="00D018E0" w:rsidRPr="003C6F9F">
              <w:rPr>
                <w:sz w:val="18"/>
                <w:szCs w:val="18"/>
                <w:lang w:val="fr-FR"/>
              </w:rPr>
              <w:t xml:space="preserve"> </w:t>
            </w:r>
          </w:p>
        </w:tc>
      </w:tr>
    </w:tbl>
    <w:p w14:paraId="047EDE8F" w14:textId="77777777" w:rsidR="003B21A9" w:rsidRPr="003C6F9F" w:rsidRDefault="003B21A9" w:rsidP="00386B6C">
      <w:pPr>
        <w:pStyle w:val="ListParagraph"/>
        <w:tabs>
          <w:tab w:val="left" w:pos="0"/>
        </w:tabs>
        <w:ind w:hanging="720"/>
        <w:rPr>
          <w:i/>
          <w:szCs w:val="22"/>
          <w:lang w:val="fr-FR"/>
        </w:rPr>
      </w:pPr>
    </w:p>
    <w:p w14:paraId="5C612175" w14:textId="0061E054" w:rsidR="003B21A9" w:rsidRPr="003C6F9F" w:rsidRDefault="00A2618C" w:rsidP="00386B6C">
      <w:pPr>
        <w:pStyle w:val="ONUMFS"/>
        <w:rPr>
          <w:lang w:val="fr-FR"/>
        </w:rPr>
      </w:pPr>
      <w:r w:rsidRPr="003C6F9F">
        <w:rPr>
          <w:lang w:val="fr-FR"/>
        </w:rPr>
        <w:t>L</w:t>
      </w:r>
      <w:r w:rsidR="002E77DC" w:rsidRPr="003C6F9F">
        <w:rPr>
          <w:lang w:val="fr-FR"/>
        </w:rPr>
        <w:t>’</w:t>
      </w:r>
      <w:r w:rsidRPr="003C6F9F">
        <w:rPr>
          <w:lang w:val="fr-FR"/>
        </w:rPr>
        <w:t xml:space="preserve">OCIS a noté que dans un nombre limité de cas, </w:t>
      </w:r>
      <w:r w:rsidR="008605A1" w:rsidRPr="003C6F9F">
        <w:rPr>
          <w:lang w:val="fr-FR"/>
        </w:rPr>
        <w:t>une</w:t>
      </w:r>
      <w:r w:rsidRPr="003C6F9F">
        <w:rPr>
          <w:lang w:val="fr-FR"/>
        </w:rPr>
        <w:t xml:space="preserve"> procédure disciplinaire était ouverte et des mesures disciplinaires appliquées sans enquête préalable.</w:t>
      </w:r>
    </w:p>
    <w:p w14:paraId="54720316" w14:textId="3A2FC0D3" w:rsidR="003B21A9" w:rsidRPr="003C6F9F" w:rsidRDefault="00A2618C" w:rsidP="00386B6C">
      <w:pPr>
        <w:pStyle w:val="ONUMFS"/>
        <w:rPr>
          <w:rStyle w:val="normalchar1"/>
          <w:rFonts w:ascii="Arial" w:hAnsi="Arial"/>
          <w:lang w:val="fr-FR"/>
        </w:rPr>
      </w:pPr>
      <w:r w:rsidRPr="003C6F9F">
        <w:rPr>
          <w:rStyle w:val="normalchar1"/>
          <w:rFonts w:ascii="Arial" w:hAnsi="Arial"/>
          <w:lang w:val="fr-FR"/>
        </w:rPr>
        <w:t>À cet égard, la disposition 10.1.2)a) du Règlement du personnel stipule que</w:t>
      </w:r>
      <w:r w:rsidR="005D7394">
        <w:rPr>
          <w:rStyle w:val="normalchar1"/>
          <w:rFonts w:ascii="Arial" w:hAnsi="Arial"/>
          <w:lang w:val="fr-FR"/>
        </w:rPr>
        <w:t xml:space="preserve"> “</w:t>
      </w:r>
      <w:r w:rsidRPr="003C6F9F">
        <w:rPr>
          <w:rStyle w:val="normalchar1"/>
          <w:rFonts w:ascii="Arial" w:hAnsi="Arial"/>
          <w:i/>
          <w:lang w:val="fr-FR"/>
        </w:rPr>
        <w:t>lorsque le directeur</w:t>
      </w:r>
      <w:r w:rsidR="002E77DC" w:rsidRPr="003C6F9F">
        <w:rPr>
          <w:rStyle w:val="normalchar1"/>
          <w:rFonts w:ascii="Arial" w:hAnsi="Arial"/>
          <w:i/>
          <w:lang w:val="fr-FR"/>
        </w:rPr>
        <w:t xml:space="preserve"> du DGR</w:t>
      </w:r>
      <w:r w:rsidRPr="003C6F9F">
        <w:rPr>
          <w:rStyle w:val="normalchar1"/>
          <w:rFonts w:ascii="Arial" w:hAnsi="Arial"/>
          <w:i/>
          <w:lang w:val="fr-FR"/>
        </w:rPr>
        <w:t>H décide d</w:t>
      </w:r>
      <w:r w:rsidR="002E77DC" w:rsidRPr="003C6F9F">
        <w:rPr>
          <w:rStyle w:val="normalchar1"/>
          <w:rFonts w:ascii="Arial" w:hAnsi="Arial"/>
          <w:i/>
          <w:lang w:val="fr-FR"/>
        </w:rPr>
        <w:t>’</w:t>
      </w:r>
      <w:r w:rsidRPr="003C6F9F">
        <w:rPr>
          <w:rStyle w:val="normalchar1"/>
          <w:rFonts w:ascii="Arial" w:hAnsi="Arial"/>
          <w:i/>
          <w:lang w:val="fr-FR"/>
        </w:rPr>
        <w:t>ouvrir une procédure disciplinaire, il adresse à l</w:t>
      </w:r>
      <w:r w:rsidR="002E77DC" w:rsidRPr="003C6F9F">
        <w:rPr>
          <w:rStyle w:val="normalchar1"/>
          <w:rFonts w:ascii="Arial" w:hAnsi="Arial"/>
          <w:i/>
          <w:lang w:val="fr-FR"/>
        </w:rPr>
        <w:t>’</w:t>
      </w:r>
      <w:r w:rsidRPr="003C6F9F">
        <w:rPr>
          <w:rStyle w:val="normalchar1"/>
          <w:rFonts w:ascii="Arial" w:hAnsi="Arial"/>
          <w:i/>
          <w:lang w:val="fr-FR"/>
        </w:rPr>
        <w:t>intéressé (ci</w:t>
      </w:r>
      <w:r w:rsidR="00656341">
        <w:rPr>
          <w:rStyle w:val="normalchar1"/>
          <w:rFonts w:ascii="Arial" w:hAnsi="Arial"/>
          <w:i/>
          <w:lang w:val="fr-FR"/>
        </w:rPr>
        <w:noBreakHyphen/>
      </w:r>
      <w:r w:rsidRPr="003C6F9F">
        <w:rPr>
          <w:rStyle w:val="normalchar1"/>
          <w:rFonts w:ascii="Arial" w:hAnsi="Arial"/>
          <w:i/>
          <w:lang w:val="fr-FR"/>
        </w:rPr>
        <w:t xml:space="preserve">après dénommé </w:t>
      </w:r>
      <w:r w:rsidR="005D7394">
        <w:rPr>
          <w:rStyle w:val="normalchar1"/>
          <w:rFonts w:ascii="Arial" w:hAnsi="Arial"/>
          <w:i/>
          <w:lang w:val="fr-FR"/>
        </w:rPr>
        <w:t>‘</w:t>
      </w:r>
      <w:r w:rsidRPr="003C6F9F">
        <w:rPr>
          <w:rStyle w:val="normalchar1"/>
          <w:rFonts w:ascii="Arial" w:hAnsi="Arial"/>
          <w:i/>
          <w:lang w:val="fr-FR"/>
        </w:rPr>
        <w:t>mis en cause</w:t>
      </w:r>
      <w:r w:rsidR="005D7394">
        <w:rPr>
          <w:rStyle w:val="normalchar1"/>
          <w:rFonts w:ascii="Arial" w:hAnsi="Arial"/>
          <w:i/>
          <w:lang w:val="fr-FR"/>
        </w:rPr>
        <w:t>’</w:t>
      </w:r>
      <w:r w:rsidRPr="003C6F9F">
        <w:rPr>
          <w:rStyle w:val="normalchar1"/>
          <w:rFonts w:ascii="Arial" w:hAnsi="Arial"/>
          <w:i/>
          <w:lang w:val="fr-FR"/>
        </w:rPr>
        <w:t xml:space="preserve">) une lettre décrivant de manière circonstanciée la faute présumée en joignant les éléments de preuve à cet égard, </w:t>
      </w:r>
      <w:r w:rsidR="002E77DC" w:rsidRPr="003C6F9F">
        <w:rPr>
          <w:rStyle w:val="normalchar1"/>
          <w:rFonts w:ascii="Arial" w:hAnsi="Arial"/>
          <w:i/>
          <w:u w:val="single"/>
          <w:lang w:val="fr-FR"/>
        </w:rPr>
        <w:t>y compris</w:t>
      </w:r>
      <w:r w:rsidRPr="003C6F9F">
        <w:rPr>
          <w:rStyle w:val="normalchar1"/>
          <w:rFonts w:ascii="Arial" w:hAnsi="Arial"/>
          <w:i/>
          <w:u w:val="single"/>
          <w:lang w:val="fr-FR"/>
        </w:rPr>
        <w:t xml:space="preserve"> tout rapport d</w:t>
      </w:r>
      <w:r w:rsidR="002E77DC" w:rsidRPr="003C6F9F">
        <w:rPr>
          <w:rStyle w:val="normalchar1"/>
          <w:rFonts w:ascii="Arial" w:hAnsi="Arial"/>
          <w:i/>
          <w:u w:val="single"/>
          <w:lang w:val="fr-FR"/>
        </w:rPr>
        <w:t>’</w:t>
      </w:r>
      <w:r w:rsidRPr="003C6F9F">
        <w:rPr>
          <w:rStyle w:val="normalchar1"/>
          <w:rFonts w:ascii="Arial" w:hAnsi="Arial"/>
          <w:i/>
          <w:u w:val="single"/>
          <w:lang w:val="fr-FR"/>
        </w:rPr>
        <w:t>enquête</w:t>
      </w:r>
      <w:r w:rsidRPr="003C6F9F">
        <w:rPr>
          <w:rStyle w:val="normalchar1"/>
          <w:rFonts w:ascii="Arial" w:hAnsi="Arial"/>
          <w:i/>
          <w:lang w:val="fr-FR"/>
        </w:rPr>
        <w:t>, et en l</w:t>
      </w:r>
      <w:r w:rsidR="002E77DC" w:rsidRPr="003C6F9F">
        <w:rPr>
          <w:rStyle w:val="normalchar1"/>
          <w:rFonts w:ascii="Arial" w:hAnsi="Arial"/>
          <w:i/>
          <w:lang w:val="fr-FR"/>
        </w:rPr>
        <w:t>’</w:t>
      </w:r>
      <w:r w:rsidRPr="003C6F9F">
        <w:rPr>
          <w:rStyle w:val="normalchar1"/>
          <w:rFonts w:ascii="Arial" w:hAnsi="Arial"/>
          <w:i/>
          <w:lang w:val="fr-FR"/>
        </w:rPr>
        <w:t>invitant à soumettre une réponse détaillée</w:t>
      </w:r>
      <w:r w:rsidR="008A4E85" w:rsidRPr="005D7394">
        <w:rPr>
          <w:rStyle w:val="normalchar1"/>
          <w:rFonts w:ascii="Arial" w:hAnsi="Arial"/>
          <w:lang w:val="fr-FR"/>
        </w:rPr>
        <w:t>”</w:t>
      </w:r>
      <w:r w:rsidRPr="005D7394">
        <w:rPr>
          <w:rStyle w:val="normalchar1"/>
          <w:rFonts w:ascii="Arial" w:hAnsi="Arial"/>
          <w:lang w:val="fr-FR"/>
        </w:rPr>
        <w:t>.</w:t>
      </w:r>
    </w:p>
    <w:p w14:paraId="10489AC1" w14:textId="4CF92030" w:rsidR="003B21A9" w:rsidRPr="003C6F9F" w:rsidRDefault="00A31CD1" w:rsidP="00386B6C">
      <w:pPr>
        <w:pStyle w:val="ONUMFS"/>
        <w:rPr>
          <w:rStyle w:val="normalchar1"/>
          <w:rFonts w:ascii="Arial" w:hAnsi="Arial"/>
          <w:lang w:val="fr-FR"/>
        </w:rPr>
      </w:pPr>
      <w:r w:rsidRPr="003C6F9F">
        <w:rPr>
          <w:rStyle w:val="normalchar1"/>
          <w:rFonts w:ascii="Arial" w:hAnsi="Arial"/>
          <w:lang w:val="fr-FR"/>
        </w:rPr>
        <w:t>Le Secrétariat de l</w:t>
      </w:r>
      <w:r w:rsidR="002E77DC" w:rsidRPr="003C6F9F">
        <w:rPr>
          <w:rStyle w:val="normalchar1"/>
          <w:rFonts w:ascii="Arial" w:hAnsi="Arial"/>
          <w:lang w:val="fr-FR"/>
        </w:rPr>
        <w:t>’</w:t>
      </w:r>
      <w:r w:rsidRPr="003C6F9F">
        <w:rPr>
          <w:rStyle w:val="normalchar1"/>
          <w:rFonts w:ascii="Arial" w:hAnsi="Arial"/>
          <w:lang w:val="fr-FR"/>
        </w:rPr>
        <w:t>OMPI estime qu</w:t>
      </w:r>
      <w:r w:rsidR="002E77DC" w:rsidRPr="003C6F9F">
        <w:rPr>
          <w:rStyle w:val="normalchar1"/>
          <w:rFonts w:ascii="Arial" w:hAnsi="Arial"/>
          <w:lang w:val="fr-FR"/>
        </w:rPr>
        <w:t>’</w:t>
      </w:r>
      <w:r w:rsidRPr="003C6F9F">
        <w:rPr>
          <w:rStyle w:val="normalchar1"/>
          <w:rFonts w:ascii="Arial" w:hAnsi="Arial"/>
          <w:lang w:val="fr-FR"/>
        </w:rPr>
        <w:t>une enquête n</w:t>
      </w:r>
      <w:r w:rsidR="002E77DC" w:rsidRPr="003C6F9F">
        <w:rPr>
          <w:rStyle w:val="normalchar1"/>
          <w:rFonts w:ascii="Arial" w:hAnsi="Arial"/>
          <w:lang w:val="fr-FR"/>
        </w:rPr>
        <w:t>’</w:t>
      </w:r>
      <w:r w:rsidRPr="003C6F9F">
        <w:rPr>
          <w:rStyle w:val="normalchar1"/>
          <w:rFonts w:ascii="Arial" w:hAnsi="Arial"/>
          <w:lang w:val="fr-FR"/>
        </w:rPr>
        <w:t>est pas nécessaire lorsque les faits sont déjà établis et ne sont pas contestés pa</w:t>
      </w:r>
      <w:r w:rsidR="009766FB" w:rsidRPr="003C6F9F">
        <w:rPr>
          <w:rStyle w:val="normalchar1"/>
          <w:rFonts w:ascii="Arial" w:hAnsi="Arial"/>
          <w:lang w:val="fr-FR"/>
        </w:rPr>
        <w:t>r l</w:t>
      </w:r>
      <w:r w:rsidR="002E77DC" w:rsidRPr="003C6F9F">
        <w:rPr>
          <w:rStyle w:val="normalchar1"/>
          <w:rFonts w:ascii="Arial" w:hAnsi="Arial"/>
          <w:lang w:val="fr-FR"/>
        </w:rPr>
        <w:t>’</w:t>
      </w:r>
      <w:r w:rsidRPr="003C6F9F">
        <w:rPr>
          <w:rStyle w:val="normalchar1"/>
          <w:rFonts w:ascii="Arial" w:hAnsi="Arial"/>
          <w:lang w:val="fr-FR"/>
        </w:rPr>
        <w:t xml:space="preserve">intéressé, et </w:t>
      </w:r>
      <w:r w:rsidR="00902E74" w:rsidRPr="003C6F9F">
        <w:rPr>
          <w:rStyle w:val="normalchar1"/>
          <w:rFonts w:ascii="Arial" w:hAnsi="Arial"/>
          <w:lang w:val="fr-FR"/>
        </w:rPr>
        <w:t>il est d</w:t>
      </w:r>
      <w:r w:rsidR="002E77DC" w:rsidRPr="003C6F9F">
        <w:rPr>
          <w:rStyle w:val="normalchar1"/>
          <w:rFonts w:ascii="Arial" w:hAnsi="Arial"/>
          <w:lang w:val="fr-FR"/>
        </w:rPr>
        <w:t>’</w:t>
      </w:r>
      <w:r w:rsidR="00902E74" w:rsidRPr="003C6F9F">
        <w:rPr>
          <w:rStyle w:val="normalchar1"/>
          <w:rFonts w:ascii="Arial" w:hAnsi="Arial"/>
          <w:lang w:val="fr-FR"/>
        </w:rPr>
        <w:t xml:space="preserve">avis </w:t>
      </w:r>
      <w:r w:rsidRPr="003C6F9F">
        <w:rPr>
          <w:rStyle w:val="normalchar1"/>
          <w:rFonts w:ascii="Arial" w:hAnsi="Arial"/>
          <w:lang w:val="fr-FR"/>
        </w:rPr>
        <w:t xml:space="preserve">que la procédure régulière est assurée si le fonctionnaire </w:t>
      </w:r>
      <w:r w:rsidR="00381B45">
        <w:rPr>
          <w:rStyle w:val="normalchar1"/>
          <w:rFonts w:ascii="Arial" w:hAnsi="Arial"/>
          <w:lang w:val="fr-FR"/>
        </w:rPr>
        <w:t>a</w:t>
      </w:r>
      <w:r w:rsidRPr="003C6F9F">
        <w:rPr>
          <w:rStyle w:val="normalchar1"/>
          <w:rFonts w:ascii="Arial" w:hAnsi="Arial"/>
          <w:lang w:val="fr-FR"/>
        </w:rPr>
        <w:t xml:space="preserve"> la possibilité de </w:t>
      </w:r>
      <w:r w:rsidR="00902E74" w:rsidRPr="003C6F9F">
        <w:rPr>
          <w:rStyle w:val="normalchar1"/>
          <w:rFonts w:ascii="Arial" w:hAnsi="Arial"/>
          <w:lang w:val="fr-FR"/>
        </w:rPr>
        <w:t>donner</w:t>
      </w:r>
      <w:r w:rsidRPr="003C6F9F">
        <w:rPr>
          <w:rStyle w:val="normalchar1"/>
          <w:rFonts w:ascii="Arial" w:hAnsi="Arial"/>
          <w:lang w:val="fr-FR"/>
        </w:rPr>
        <w:t xml:space="preserve"> une réponse à la lettre d</w:t>
      </w:r>
      <w:r w:rsidR="002E77DC" w:rsidRPr="003C6F9F">
        <w:rPr>
          <w:rStyle w:val="normalchar1"/>
          <w:rFonts w:ascii="Arial" w:hAnsi="Arial"/>
          <w:lang w:val="fr-FR"/>
        </w:rPr>
        <w:t>’</w:t>
      </w:r>
      <w:r w:rsidRPr="003C6F9F">
        <w:rPr>
          <w:rStyle w:val="normalchar1"/>
          <w:rFonts w:ascii="Arial" w:hAnsi="Arial"/>
          <w:lang w:val="fr-FR"/>
        </w:rPr>
        <w:t>accusation.</w:t>
      </w:r>
      <w:r w:rsidR="003647B0" w:rsidRPr="003C6F9F">
        <w:rPr>
          <w:rStyle w:val="normalchar1"/>
          <w:rFonts w:ascii="Arial" w:hAnsi="Arial"/>
          <w:lang w:val="fr-FR"/>
        </w:rPr>
        <w:t xml:space="preserve">  </w:t>
      </w:r>
      <w:r w:rsidR="00902E74" w:rsidRPr="003C6F9F">
        <w:rPr>
          <w:rStyle w:val="normalchar1"/>
          <w:rFonts w:ascii="Arial" w:hAnsi="Arial"/>
          <w:lang w:val="fr-FR"/>
        </w:rPr>
        <w:t>L</w:t>
      </w:r>
      <w:r w:rsidR="002E77DC" w:rsidRPr="003C6F9F">
        <w:rPr>
          <w:rStyle w:val="normalchar1"/>
          <w:rFonts w:ascii="Arial" w:hAnsi="Arial"/>
          <w:lang w:val="fr-FR"/>
        </w:rPr>
        <w:t>’</w:t>
      </w:r>
      <w:r w:rsidR="00902E74" w:rsidRPr="003C6F9F">
        <w:rPr>
          <w:rStyle w:val="normalchar1"/>
          <w:rFonts w:ascii="Arial" w:hAnsi="Arial"/>
          <w:lang w:val="fr-FR"/>
        </w:rPr>
        <w:t>OCIS est convaincu que la distinction entre l</w:t>
      </w:r>
      <w:r w:rsidR="002E77DC" w:rsidRPr="003C6F9F">
        <w:rPr>
          <w:rStyle w:val="normalchar1"/>
          <w:rFonts w:ascii="Arial" w:hAnsi="Arial"/>
          <w:lang w:val="fr-FR"/>
        </w:rPr>
        <w:t>’</w:t>
      </w:r>
      <w:r w:rsidR="00902E74" w:rsidRPr="003C6F9F">
        <w:rPr>
          <w:rStyle w:val="normalchar1"/>
          <w:rFonts w:ascii="Arial" w:hAnsi="Arial"/>
          <w:lang w:val="fr-FR"/>
        </w:rPr>
        <w:t xml:space="preserve">enquête et la procédure disciplinaire est un élément important </w:t>
      </w:r>
      <w:r w:rsidR="009766FB" w:rsidRPr="003C6F9F">
        <w:rPr>
          <w:rStyle w:val="normalchar1"/>
          <w:rFonts w:ascii="Arial" w:hAnsi="Arial"/>
          <w:lang w:val="fr-FR"/>
        </w:rPr>
        <w:t>de la</w:t>
      </w:r>
      <w:r w:rsidR="00902E74" w:rsidRPr="003C6F9F">
        <w:rPr>
          <w:rStyle w:val="normalchar1"/>
          <w:rFonts w:ascii="Arial" w:hAnsi="Arial"/>
          <w:lang w:val="fr-FR"/>
        </w:rPr>
        <w:t xml:space="preserve"> procédure régulière et souhaite souligner que l</w:t>
      </w:r>
      <w:r w:rsidR="002E77DC" w:rsidRPr="003C6F9F">
        <w:rPr>
          <w:rStyle w:val="normalchar1"/>
          <w:rFonts w:ascii="Arial" w:hAnsi="Arial"/>
          <w:lang w:val="fr-FR"/>
        </w:rPr>
        <w:t>’</w:t>
      </w:r>
      <w:r w:rsidR="00902E74" w:rsidRPr="003C6F9F">
        <w:rPr>
          <w:rStyle w:val="normalchar1"/>
          <w:rFonts w:ascii="Arial" w:hAnsi="Arial"/>
          <w:lang w:val="fr-FR"/>
        </w:rPr>
        <w:t>objectif d</w:t>
      </w:r>
      <w:r w:rsidR="002E77DC" w:rsidRPr="003C6F9F">
        <w:rPr>
          <w:rStyle w:val="normalchar1"/>
          <w:rFonts w:ascii="Arial" w:hAnsi="Arial"/>
          <w:lang w:val="fr-FR"/>
        </w:rPr>
        <w:t>’</w:t>
      </w:r>
      <w:r w:rsidR="00902E74" w:rsidRPr="003C6F9F">
        <w:rPr>
          <w:rStyle w:val="normalchar1"/>
          <w:rFonts w:ascii="Arial" w:hAnsi="Arial"/>
          <w:lang w:val="fr-FR"/>
        </w:rPr>
        <w:t>une enquête est de constater les faits, en réunissant et en examinant les éléments de preuve disponibles, qu</w:t>
      </w:r>
      <w:r w:rsidR="002E77DC" w:rsidRPr="003C6F9F">
        <w:rPr>
          <w:rStyle w:val="normalchar1"/>
          <w:rFonts w:ascii="Arial" w:hAnsi="Arial"/>
          <w:lang w:val="fr-FR"/>
        </w:rPr>
        <w:t>’</w:t>
      </w:r>
      <w:r w:rsidR="00902E74" w:rsidRPr="003C6F9F">
        <w:rPr>
          <w:rStyle w:val="normalchar1"/>
          <w:rFonts w:ascii="Arial" w:hAnsi="Arial"/>
          <w:lang w:val="fr-FR"/>
        </w:rPr>
        <w:t>ils soient à charge ou à décharge.</w:t>
      </w:r>
    </w:p>
    <w:p w14:paraId="729CFC59" w14:textId="2B3C3F1B" w:rsidR="003B21A9" w:rsidRPr="003C6F9F" w:rsidRDefault="00902E74" w:rsidP="00386B6C">
      <w:pPr>
        <w:pStyle w:val="ONUMFS"/>
        <w:rPr>
          <w:rStyle w:val="normalchar1"/>
          <w:rFonts w:ascii="Arial" w:hAnsi="Arial"/>
          <w:lang w:val="fr-FR"/>
        </w:rPr>
      </w:pPr>
      <w:r w:rsidRPr="003C6F9F">
        <w:rPr>
          <w:rStyle w:val="normalchar1"/>
          <w:rFonts w:ascii="Arial" w:hAnsi="Arial"/>
          <w:lang w:val="fr-FR"/>
        </w:rPr>
        <w:t>L</w:t>
      </w:r>
      <w:r w:rsidR="002E77DC" w:rsidRPr="003C6F9F">
        <w:rPr>
          <w:rStyle w:val="normalchar1"/>
          <w:rFonts w:ascii="Arial" w:hAnsi="Arial"/>
          <w:lang w:val="fr-FR"/>
        </w:rPr>
        <w:t>’</w:t>
      </w:r>
      <w:r w:rsidRPr="003C6F9F">
        <w:rPr>
          <w:rStyle w:val="normalchar1"/>
          <w:rFonts w:ascii="Arial" w:hAnsi="Arial"/>
          <w:lang w:val="fr-FR"/>
        </w:rPr>
        <w:t xml:space="preserve">OCIS </w:t>
      </w:r>
      <w:r w:rsidR="009766FB" w:rsidRPr="003C6F9F">
        <w:rPr>
          <w:rStyle w:val="normalchar1"/>
          <w:rFonts w:ascii="Arial" w:hAnsi="Arial"/>
          <w:lang w:val="fr-FR"/>
        </w:rPr>
        <w:t>tient à s</w:t>
      </w:r>
      <w:r w:rsidRPr="003C6F9F">
        <w:rPr>
          <w:rStyle w:val="normalchar1"/>
          <w:rFonts w:ascii="Arial" w:hAnsi="Arial"/>
          <w:lang w:val="fr-FR"/>
        </w:rPr>
        <w:t>ign</w:t>
      </w:r>
      <w:r w:rsidR="009766FB" w:rsidRPr="003C6F9F">
        <w:rPr>
          <w:rStyle w:val="normalchar1"/>
          <w:rFonts w:ascii="Arial" w:hAnsi="Arial"/>
          <w:lang w:val="fr-FR"/>
        </w:rPr>
        <w:t>al</w:t>
      </w:r>
      <w:r w:rsidRPr="003C6F9F">
        <w:rPr>
          <w:rStyle w:val="normalchar1"/>
          <w:rFonts w:ascii="Arial" w:hAnsi="Arial"/>
          <w:lang w:val="fr-FR"/>
        </w:rPr>
        <w:t>er que le Règlement du personnel de l</w:t>
      </w:r>
      <w:r w:rsidR="002E77DC" w:rsidRPr="003C6F9F">
        <w:rPr>
          <w:rStyle w:val="normalchar1"/>
          <w:rFonts w:ascii="Arial" w:hAnsi="Arial"/>
          <w:lang w:val="fr-FR"/>
        </w:rPr>
        <w:t>’</w:t>
      </w:r>
      <w:r w:rsidRPr="003C6F9F">
        <w:rPr>
          <w:rStyle w:val="normalchar1"/>
          <w:rFonts w:ascii="Arial" w:hAnsi="Arial"/>
          <w:lang w:val="fr-FR"/>
        </w:rPr>
        <w:t>ONU est beaucoup plus clair à cet égard et part du principe qu</w:t>
      </w:r>
      <w:r w:rsidR="002E77DC" w:rsidRPr="003C6F9F">
        <w:rPr>
          <w:rStyle w:val="normalchar1"/>
          <w:rFonts w:ascii="Arial" w:hAnsi="Arial"/>
          <w:lang w:val="fr-FR"/>
        </w:rPr>
        <w:t>’</w:t>
      </w:r>
      <w:r w:rsidRPr="003C6F9F">
        <w:rPr>
          <w:rStyle w:val="normalchar1"/>
          <w:rFonts w:ascii="Arial" w:hAnsi="Arial"/>
          <w:lang w:val="fr-FR"/>
        </w:rPr>
        <w:t>une enquête est une condition préalable à l</w:t>
      </w:r>
      <w:r w:rsidR="002E77DC" w:rsidRPr="003C6F9F">
        <w:rPr>
          <w:rStyle w:val="normalchar1"/>
          <w:rFonts w:ascii="Arial" w:hAnsi="Arial"/>
          <w:lang w:val="fr-FR"/>
        </w:rPr>
        <w:t>’</w:t>
      </w:r>
      <w:r w:rsidRPr="003C6F9F">
        <w:rPr>
          <w:rStyle w:val="normalchar1"/>
          <w:rFonts w:ascii="Arial" w:hAnsi="Arial"/>
          <w:lang w:val="fr-FR"/>
        </w:rPr>
        <w:t>ouverture d</w:t>
      </w:r>
      <w:r w:rsidR="002E77DC" w:rsidRPr="003C6F9F">
        <w:rPr>
          <w:rStyle w:val="normalchar1"/>
          <w:rFonts w:ascii="Arial" w:hAnsi="Arial"/>
          <w:lang w:val="fr-FR"/>
        </w:rPr>
        <w:t>’</w:t>
      </w:r>
      <w:r w:rsidRPr="003C6F9F">
        <w:rPr>
          <w:rStyle w:val="normalchar1"/>
          <w:rFonts w:ascii="Arial" w:hAnsi="Arial"/>
          <w:lang w:val="fr-FR"/>
        </w:rPr>
        <w:t>une procédure disciplinaire</w:t>
      </w:r>
      <w:r w:rsidR="002E77DC" w:rsidRPr="003C6F9F">
        <w:rPr>
          <w:rStyle w:val="normalchar1"/>
          <w:rFonts w:ascii="Arial" w:hAnsi="Arial"/>
          <w:lang w:val="fr-FR"/>
        </w:rPr>
        <w:t> :</w:t>
      </w:r>
      <w:r w:rsidRPr="003C6F9F">
        <w:rPr>
          <w:rStyle w:val="normalchar1"/>
          <w:rFonts w:ascii="Arial" w:hAnsi="Arial"/>
          <w:lang w:val="fr-FR"/>
        </w:rPr>
        <w:t xml:space="preserve"> </w:t>
      </w:r>
      <w:r w:rsidR="008A4E85">
        <w:rPr>
          <w:rStyle w:val="normalchar1"/>
          <w:rFonts w:ascii="Arial" w:hAnsi="Arial"/>
          <w:lang w:val="fr-FR"/>
        </w:rPr>
        <w:t>“</w:t>
      </w:r>
      <w:r w:rsidRPr="003C6F9F">
        <w:rPr>
          <w:rStyle w:val="normalchar1"/>
          <w:rFonts w:ascii="Arial" w:hAnsi="Arial"/>
          <w:i/>
          <w:lang w:val="fr-FR"/>
        </w:rPr>
        <w:t xml:space="preserve">Le Secrétaire général peut ouvrir une instance disciplinaire </w:t>
      </w:r>
      <w:r w:rsidRPr="003C6F9F">
        <w:rPr>
          <w:rStyle w:val="normalchar1"/>
          <w:rFonts w:ascii="Arial" w:hAnsi="Arial"/>
          <w:i/>
          <w:u w:val="single"/>
          <w:lang w:val="fr-FR"/>
        </w:rPr>
        <w:t>lorsque l</w:t>
      </w:r>
      <w:r w:rsidR="002E77DC" w:rsidRPr="003C6F9F">
        <w:rPr>
          <w:rStyle w:val="normalchar1"/>
          <w:rFonts w:ascii="Arial" w:hAnsi="Arial"/>
          <w:i/>
          <w:u w:val="single"/>
          <w:lang w:val="fr-FR"/>
        </w:rPr>
        <w:t>’</w:t>
      </w:r>
      <w:r w:rsidRPr="003C6F9F">
        <w:rPr>
          <w:rStyle w:val="normalchar1"/>
          <w:rFonts w:ascii="Arial" w:hAnsi="Arial"/>
          <w:i/>
          <w:u w:val="single"/>
          <w:lang w:val="fr-FR"/>
        </w:rPr>
        <w:t>enquête conclut qu</w:t>
      </w:r>
      <w:r w:rsidR="002E77DC" w:rsidRPr="003C6F9F">
        <w:rPr>
          <w:rStyle w:val="normalchar1"/>
          <w:rFonts w:ascii="Arial" w:hAnsi="Arial"/>
          <w:i/>
          <w:u w:val="single"/>
          <w:lang w:val="fr-FR"/>
        </w:rPr>
        <w:t>’</w:t>
      </w:r>
      <w:r w:rsidRPr="003C6F9F">
        <w:rPr>
          <w:rStyle w:val="normalchar1"/>
          <w:rFonts w:ascii="Arial" w:hAnsi="Arial"/>
          <w:i/>
          <w:u w:val="single"/>
          <w:lang w:val="fr-FR"/>
        </w:rPr>
        <w:t>il y a peut</w:t>
      </w:r>
      <w:r w:rsidR="00656341">
        <w:rPr>
          <w:rStyle w:val="normalchar1"/>
          <w:rFonts w:ascii="Arial" w:hAnsi="Arial"/>
          <w:i/>
          <w:u w:val="single"/>
          <w:lang w:val="fr-FR"/>
        </w:rPr>
        <w:noBreakHyphen/>
      </w:r>
      <w:r w:rsidRPr="003C6F9F">
        <w:rPr>
          <w:rStyle w:val="normalchar1"/>
          <w:rFonts w:ascii="Arial" w:hAnsi="Arial"/>
          <w:i/>
          <w:u w:val="single"/>
          <w:lang w:val="fr-FR"/>
        </w:rPr>
        <w:t>être eu faute</w:t>
      </w:r>
      <w:r w:rsidR="008A4E85">
        <w:rPr>
          <w:rStyle w:val="normalchar1"/>
          <w:rFonts w:ascii="Arial" w:hAnsi="Arial"/>
          <w:lang w:val="fr-FR"/>
        </w:rPr>
        <w:t>”</w:t>
      </w:r>
      <w:r w:rsidR="00F3389E" w:rsidRPr="003C6F9F">
        <w:rPr>
          <w:rStyle w:val="normalchar1"/>
          <w:rFonts w:ascii="Arial" w:hAnsi="Arial"/>
          <w:lang w:val="fr-FR"/>
        </w:rPr>
        <w:t xml:space="preserve"> </w:t>
      </w:r>
      <w:r w:rsidRPr="003C6F9F">
        <w:rPr>
          <w:rStyle w:val="normalchar1"/>
          <w:rFonts w:ascii="Arial" w:hAnsi="Arial"/>
          <w:lang w:val="fr-FR"/>
        </w:rPr>
        <w:t>(disposition</w:t>
      </w:r>
      <w:r w:rsidR="008A4E85">
        <w:rPr>
          <w:rStyle w:val="normalchar1"/>
          <w:rFonts w:ascii="Arial" w:hAnsi="Arial"/>
          <w:lang w:val="fr-FR"/>
        </w:rPr>
        <w:t> </w:t>
      </w:r>
      <w:r w:rsidRPr="003C6F9F">
        <w:rPr>
          <w:rStyle w:val="normalchar1"/>
          <w:rFonts w:ascii="Arial" w:hAnsi="Arial"/>
          <w:lang w:val="fr-FR"/>
        </w:rPr>
        <w:t>10.</w:t>
      </w:r>
      <w:r w:rsidR="005E350E">
        <w:rPr>
          <w:rStyle w:val="normalchar1"/>
          <w:rFonts w:ascii="Arial" w:hAnsi="Arial"/>
          <w:lang w:val="fr-FR"/>
        </w:rPr>
        <w:t>3</w:t>
      </w:r>
      <w:r w:rsidRPr="003C6F9F">
        <w:rPr>
          <w:rStyle w:val="normalchar1"/>
          <w:rFonts w:ascii="Arial" w:hAnsi="Arial"/>
          <w:lang w:val="fr-FR"/>
        </w:rPr>
        <w:t xml:space="preserve"> du Règlement du personnel de l</w:t>
      </w:r>
      <w:r w:rsidR="002E77DC" w:rsidRPr="003C6F9F">
        <w:rPr>
          <w:rStyle w:val="normalchar1"/>
          <w:rFonts w:ascii="Arial" w:hAnsi="Arial"/>
          <w:lang w:val="fr-FR"/>
        </w:rPr>
        <w:t>’</w:t>
      </w:r>
      <w:r w:rsidRPr="003C6F9F">
        <w:rPr>
          <w:rStyle w:val="normalchar1"/>
          <w:rFonts w:ascii="Arial" w:hAnsi="Arial"/>
          <w:lang w:val="fr-FR"/>
        </w:rPr>
        <w:t>ONU)</w:t>
      </w:r>
      <w:r w:rsidR="009766FB" w:rsidRPr="003C6F9F">
        <w:rPr>
          <w:rStyle w:val="normalchar1"/>
          <w:rFonts w:ascii="Arial" w:hAnsi="Arial"/>
          <w:lang w:val="fr-FR"/>
        </w:rPr>
        <w:t>.</w:t>
      </w:r>
    </w:p>
    <w:p w14:paraId="61154708" w14:textId="781FB964" w:rsidR="002E77DC" w:rsidRPr="003C6F9F" w:rsidRDefault="00902E74" w:rsidP="00386B6C">
      <w:pPr>
        <w:pStyle w:val="ONUMFS"/>
        <w:rPr>
          <w:lang w:val="fr-FR"/>
        </w:rPr>
      </w:pPr>
      <w:r w:rsidRPr="003C6F9F">
        <w:rPr>
          <w:lang w:val="fr-FR"/>
        </w:rPr>
        <w:t>L</w:t>
      </w:r>
      <w:r w:rsidR="002E77DC" w:rsidRPr="003C6F9F">
        <w:rPr>
          <w:lang w:val="fr-FR"/>
        </w:rPr>
        <w:t>’</w:t>
      </w:r>
      <w:r w:rsidRPr="003C6F9F">
        <w:rPr>
          <w:lang w:val="fr-FR"/>
        </w:rPr>
        <w:t>OCIS juge donc souhaitable de préciser cet aspect dans le Règlement du personnel de l</w:t>
      </w:r>
      <w:r w:rsidR="002E77DC" w:rsidRPr="003C6F9F">
        <w:rPr>
          <w:lang w:val="fr-FR"/>
        </w:rPr>
        <w:t>’</w:t>
      </w:r>
      <w:r w:rsidRPr="003C6F9F">
        <w:rPr>
          <w:lang w:val="fr-FR"/>
        </w:rPr>
        <w:t>O</w:t>
      </w:r>
      <w:r w:rsidR="0011693D" w:rsidRPr="003C6F9F">
        <w:rPr>
          <w:lang w:val="fr-FR"/>
        </w:rPr>
        <w:t>MPI.  Pu</w:t>
      </w:r>
      <w:r w:rsidRPr="003C6F9F">
        <w:rPr>
          <w:lang w:val="fr-FR"/>
        </w:rPr>
        <w:t>isque, conformément à l</w:t>
      </w:r>
      <w:r w:rsidR="002E77DC" w:rsidRPr="003C6F9F">
        <w:rPr>
          <w:lang w:val="fr-FR"/>
        </w:rPr>
        <w:t>’article 1</w:t>
      </w:r>
      <w:r w:rsidRPr="003C6F9F">
        <w:rPr>
          <w:lang w:val="fr-FR"/>
        </w:rPr>
        <w:t>2.2 du Statut du personnel, tout amendement du Règlement du personnel relève des prérogatives du Directeur général, l</w:t>
      </w:r>
      <w:r w:rsidR="002E77DC" w:rsidRPr="003C6F9F">
        <w:rPr>
          <w:lang w:val="fr-FR"/>
        </w:rPr>
        <w:t>’</w:t>
      </w:r>
      <w:r w:rsidRPr="003C6F9F">
        <w:rPr>
          <w:lang w:val="fr-FR"/>
        </w:rPr>
        <w:t>OCIS a recommandé au Directeur général d</w:t>
      </w:r>
      <w:r w:rsidR="002E77DC" w:rsidRPr="003C6F9F">
        <w:rPr>
          <w:lang w:val="fr-FR"/>
        </w:rPr>
        <w:t>’</w:t>
      </w:r>
      <w:r w:rsidRPr="003C6F9F">
        <w:rPr>
          <w:lang w:val="fr-FR"/>
        </w:rPr>
        <w:t>envisager la</w:t>
      </w:r>
      <w:r w:rsidR="00734DBB">
        <w:rPr>
          <w:lang w:val="fr-FR"/>
        </w:rPr>
        <w:t xml:space="preserve"> modification de la disposition </w:t>
      </w:r>
      <w:r w:rsidRPr="003C6F9F">
        <w:rPr>
          <w:lang w:val="fr-FR"/>
        </w:rPr>
        <w:t>10.1.2.a) de la manière suivante</w:t>
      </w:r>
      <w:r w:rsidR="002E77DC" w:rsidRPr="003C6F9F">
        <w:rPr>
          <w:lang w:val="fr-FR"/>
        </w:rPr>
        <w:t> :</w:t>
      </w:r>
    </w:p>
    <w:p w14:paraId="54DE223D" w14:textId="647DCE61" w:rsidR="003B21A9" w:rsidRPr="00734DBB" w:rsidRDefault="008A4E85" w:rsidP="00386B6C">
      <w:pPr>
        <w:pStyle w:val="Normal1"/>
        <w:tabs>
          <w:tab w:val="left" w:pos="0"/>
          <w:tab w:val="left" w:pos="567"/>
        </w:tabs>
        <w:spacing w:after="220" w:line="240" w:lineRule="auto"/>
        <w:ind w:left="567"/>
        <w:rPr>
          <w:rStyle w:val="normalchar1"/>
          <w:rFonts w:ascii="Arial" w:eastAsia="SimSun" w:hAnsi="Arial" w:cs="Arial"/>
          <w:lang w:val="fr-FR" w:eastAsia="zh-CN"/>
        </w:rPr>
      </w:pPr>
      <w:r w:rsidRPr="00734DBB">
        <w:rPr>
          <w:rStyle w:val="normalchar1"/>
          <w:rFonts w:ascii="Arial" w:eastAsia="SimSun" w:hAnsi="Arial" w:cs="Arial"/>
          <w:lang w:val="fr-FR" w:eastAsia="zh-CN"/>
        </w:rPr>
        <w:t>“</w:t>
      </w:r>
      <w:r w:rsidR="00734DBB" w:rsidRPr="00734DBB">
        <w:rPr>
          <w:rStyle w:val="normalchar1"/>
          <w:rFonts w:ascii="Arial" w:eastAsia="SimSun" w:hAnsi="Arial" w:cs="Arial"/>
          <w:i/>
          <w:lang w:val="fr-FR" w:eastAsia="zh-CN"/>
        </w:rPr>
        <w:t>[</w:t>
      </w:r>
      <w:r w:rsidR="00D018E0" w:rsidRPr="003C6F9F">
        <w:rPr>
          <w:rStyle w:val="normalchar1"/>
          <w:rFonts w:ascii="Arial" w:eastAsia="SimSun" w:hAnsi="Arial" w:cs="Arial"/>
          <w:i/>
          <w:lang w:val="fr-FR" w:eastAsia="zh-CN"/>
        </w:rPr>
        <w:t>…</w:t>
      </w:r>
      <w:r w:rsidR="00734DBB">
        <w:rPr>
          <w:rStyle w:val="normalchar1"/>
          <w:rFonts w:ascii="Arial" w:eastAsia="SimSun" w:hAnsi="Arial" w:cs="Arial"/>
          <w:i/>
          <w:lang w:val="fr-FR" w:eastAsia="zh-CN"/>
        </w:rPr>
        <w:t xml:space="preserve">] </w:t>
      </w:r>
      <w:r w:rsidR="005010F7" w:rsidRPr="003C6F9F">
        <w:rPr>
          <w:rStyle w:val="normalchar1"/>
          <w:rFonts w:ascii="Arial" w:eastAsia="SimSun" w:hAnsi="Arial" w:cs="Arial"/>
          <w:i/>
          <w:lang w:val="fr-FR" w:eastAsia="zh-CN"/>
        </w:rPr>
        <w:t>lorsque le directeur</w:t>
      </w:r>
      <w:r w:rsidR="002E77DC" w:rsidRPr="003C6F9F">
        <w:rPr>
          <w:rStyle w:val="normalchar1"/>
          <w:rFonts w:ascii="Arial" w:eastAsia="SimSun" w:hAnsi="Arial" w:cs="Arial"/>
          <w:i/>
          <w:lang w:val="fr-FR" w:eastAsia="zh-CN"/>
        </w:rPr>
        <w:t xml:space="preserve"> du DGR</w:t>
      </w:r>
      <w:r w:rsidR="005010F7" w:rsidRPr="003C6F9F">
        <w:rPr>
          <w:rStyle w:val="normalchar1"/>
          <w:rFonts w:ascii="Arial" w:eastAsia="SimSun" w:hAnsi="Arial" w:cs="Arial"/>
          <w:i/>
          <w:lang w:val="fr-FR" w:eastAsia="zh-CN"/>
        </w:rPr>
        <w:t>H décide d</w:t>
      </w:r>
      <w:r w:rsidR="002E77DC" w:rsidRPr="003C6F9F">
        <w:rPr>
          <w:rStyle w:val="normalchar1"/>
          <w:rFonts w:ascii="Arial" w:eastAsia="SimSun" w:hAnsi="Arial" w:cs="Arial"/>
          <w:i/>
          <w:lang w:val="fr-FR" w:eastAsia="zh-CN"/>
        </w:rPr>
        <w:t>’</w:t>
      </w:r>
      <w:r w:rsidR="005010F7" w:rsidRPr="003C6F9F">
        <w:rPr>
          <w:rStyle w:val="normalchar1"/>
          <w:rFonts w:ascii="Arial" w:eastAsia="SimSun" w:hAnsi="Arial" w:cs="Arial"/>
          <w:i/>
          <w:lang w:val="fr-FR" w:eastAsia="zh-CN"/>
        </w:rPr>
        <w:t>ouvrir une procédure disciplinaire, il adresse à l</w:t>
      </w:r>
      <w:r w:rsidR="002E77DC" w:rsidRPr="003C6F9F">
        <w:rPr>
          <w:rStyle w:val="normalchar1"/>
          <w:rFonts w:ascii="Arial" w:eastAsia="SimSun" w:hAnsi="Arial" w:cs="Arial"/>
          <w:i/>
          <w:lang w:val="fr-FR" w:eastAsia="zh-CN"/>
        </w:rPr>
        <w:t>’</w:t>
      </w:r>
      <w:r w:rsidR="005010F7" w:rsidRPr="003C6F9F">
        <w:rPr>
          <w:rStyle w:val="normalchar1"/>
          <w:rFonts w:ascii="Arial" w:eastAsia="SimSun" w:hAnsi="Arial" w:cs="Arial"/>
          <w:i/>
          <w:lang w:val="fr-FR" w:eastAsia="zh-CN"/>
        </w:rPr>
        <w:t xml:space="preserve">intéressé une lettre décrivant de manière circonstanciée la faute présumée en joignant les éléments de preuve à cet égard, </w:t>
      </w:r>
      <w:r w:rsidR="002E77DC" w:rsidRPr="003C6F9F">
        <w:rPr>
          <w:rStyle w:val="normalchar1"/>
          <w:rFonts w:ascii="Arial" w:eastAsia="SimSun" w:hAnsi="Arial" w:cs="Arial"/>
          <w:i/>
          <w:lang w:val="fr-FR" w:eastAsia="zh-CN"/>
        </w:rPr>
        <w:t>y compris</w:t>
      </w:r>
      <w:r w:rsidR="005010F7" w:rsidRPr="00734DBB">
        <w:rPr>
          <w:rStyle w:val="normalchar1"/>
          <w:rFonts w:ascii="Arial" w:eastAsia="SimSun" w:hAnsi="Arial" w:cs="Arial"/>
          <w:i/>
          <w:lang w:val="fr-FR" w:eastAsia="zh-CN"/>
        </w:rPr>
        <w:t xml:space="preserve"> </w:t>
      </w:r>
      <w:r w:rsidR="005010F7" w:rsidRPr="003C6F9F">
        <w:rPr>
          <w:rStyle w:val="normalchar1"/>
          <w:rFonts w:ascii="Arial" w:eastAsia="SimSun" w:hAnsi="Arial" w:cs="Arial"/>
          <w:b/>
          <w:i/>
          <w:u w:val="single"/>
          <w:lang w:val="fr-FR" w:eastAsia="zh-CN"/>
        </w:rPr>
        <w:t>en particulier le rapport d</w:t>
      </w:r>
      <w:r w:rsidR="002E77DC" w:rsidRPr="003C6F9F">
        <w:rPr>
          <w:rStyle w:val="normalchar1"/>
          <w:rFonts w:ascii="Arial" w:eastAsia="SimSun" w:hAnsi="Arial" w:cs="Arial"/>
          <w:b/>
          <w:i/>
          <w:u w:val="single"/>
          <w:lang w:val="fr-FR" w:eastAsia="zh-CN"/>
        </w:rPr>
        <w:t>’</w:t>
      </w:r>
      <w:r w:rsidR="005010F7" w:rsidRPr="003C6F9F">
        <w:rPr>
          <w:rStyle w:val="normalchar1"/>
          <w:rFonts w:ascii="Arial" w:eastAsia="SimSun" w:hAnsi="Arial" w:cs="Arial"/>
          <w:b/>
          <w:i/>
          <w:u w:val="single"/>
          <w:lang w:val="fr-FR" w:eastAsia="zh-CN"/>
        </w:rPr>
        <w:t>enquête</w:t>
      </w:r>
      <w:r w:rsidR="005010F7" w:rsidRPr="003C6F9F">
        <w:rPr>
          <w:rStyle w:val="normalchar1"/>
          <w:rFonts w:ascii="Arial" w:eastAsia="SimSun" w:hAnsi="Arial" w:cs="Arial"/>
          <w:i/>
          <w:lang w:val="fr-FR" w:eastAsia="zh-CN"/>
        </w:rPr>
        <w:t>, et en l</w:t>
      </w:r>
      <w:r w:rsidR="002E77DC" w:rsidRPr="003C6F9F">
        <w:rPr>
          <w:rStyle w:val="normalchar1"/>
          <w:rFonts w:ascii="Arial" w:eastAsia="SimSun" w:hAnsi="Arial" w:cs="Arial"/>
          <w:i/>
          <w:lang w:val="fr-FR" w:eastAsia="zh-CN"/>
        </w:rPr>
        <w:t>’</w:t>
      </w:r>
      <w:r w:rsidR="005010F7" w:rsidRPr="003C6F9F">
        <w:rPr>
          <w:rStyle w:val="normalchar1"/>
          <w:rFonts w:ascii="Arial" w:eastAsia="SimSun" w:hAnsi="Arial" w:cs="Arial"/>
          <w:i/>
          <w:lang w:val="fr-FR" w:eastAsia="zh-CN"/>
        </w:rPr>
        <w:t>invitant à soumettre une réponse détaillée dans un délai de 30</w:t>
      </w:r>
      <w:r>
        <w:rPr>
          <w:rStyle w:val="normalchar1"/>
          <w:rFonts w:ascii="Arial" w:eastAsia="SimSun" w:hAnsi="Arial" w:cs="Arial"/>
          <w:i/>
          <w:lang w:val="fr-FR" w:eastAsia="zh-CN"/>
        </w:rPr>
        <w:t> </w:t>
      </w:r>
      <w:r w:rsidR="005010F7" w:rsidRPr="003C6F9F">
        <w:rPr>
          <w:rStyle w:val="normalchar1"/>
          <w:rFonts w:ascii="Arial" w:eastAsia="SimSun" w:hAnsi="Arial" w:cs="Arial"/>
          <w:i/>
          <w:lang w:val="fr-FR" w:eastAsia="zh-CN"/>
        </w:rPr>
        <w:t>jours civils à partir de la date à laquelle il a reçu la lettre</w:t>
      </w:r>
      <w:r w:rsidRPr="00734DBB">
        <w:rPr>
          <w:rStyle w:val="normalchar1"/>
          <w:rFonts w:ascii="Arial" w:eastAsia="SimSun" w:hAnsi="Arial" w:cs="Arial"/>
          <w:lang w:val="fr-FR" w:eastAsia="zh-CN"/>
        </w:rPr>
        <w:t>”</w:t>
      </w:r>
      <w:r w:rsidR="005010F7" w:rsidRPr="00734DBB">
        <w:rPr>
          <w:rStyle w:val="normalchar1"/>
          <w:rFonts w:ascii="Arial" w:eastAsia="SimSun" w:hAnsi="Arial" w:cs="Arial"/>
          <w:lang w:val="fr-FR" w:eastAsia="zh-CN"/>
        </w:rPr>
        <w:t>.</w:t>
      </w:r>
    </w:p>
    <w:p w14:paraId="37FB4A3F" w14:textId="7FFBB5A4" w:rsidR="003B21A9" w:rsidRPr="00734DBB" w:rsidRDefault="005010F7" w:rsidP="00386B6C">
      <w:pPr>
        <w:pStyle w:val="ONUMFS"/>
        <w:rPr>
          <w:lang w:val="fr-FR"/>
        </w:rPr>
      </w:pPr>
      <w:r w:rsidRPr="003C6F9F">
        <w:rPr>
          <w:lang w:val="fr-FR"/>
        </w:rPr>
        <w:t xml:space="preserve">Au </w:t>
      </w:r>
      <w:r w:rsidR="002E77DC" w:rsidRPr="003C6F9F">
        <w:rPr>
          <w:lang w:val="fr-FR"/>
        </w:rPr>
        <w:t>paragraphe 1</w:t>
      </w:r>
      <w:r w:rsidRPr="003C6F9F">
        <w:rPr>
          <w:lang w:val="fr-FR"/>
        </w:rPr>
        <w:t>6 de son rapport WO/GA/48/16, l</w:t>
      </w:r>
      <w:r w:rsidR="002E77DC" w:rsidRPr="003C6F9F">
        <w:rPr>
          <w:lang w:val="fr-FR"/>
        </w:rPr>
        <w:t>’</w:t>
      </w:r>
      <w:r w:rsidRPr="003C6F9F">
        <w:rPr>
          <w:lang w:val="fr-FR"/>
        </w:rPr>
        <w:t xml:space="preserve">OCIS </w:t>
      </w:r>
      <w:r w:rsidR="009766FB" w:rsidRPr="003C6F9F">
        <w:rPr>
          <w:lang w:val="fr-FR"/>
        </w:rPr>
        <w:t>indiquait</w:t>
      </w:r>
      <w:r w:rsidRPr="003C6F9F">
        <w:rPr>
          <w:lang w:val="fr-FR"/>
        </w:rPr>
        <w:t xml:space="preserve"> que l</w:t>
      </w:r>
      <w:r w:rsidR="002E77DC" w:rsidRPr="003C6F9F">
        <w:rPr>
          <w:lang w:val="fr-FR"/>
        </w:rPr>
        <w:t>’article 1</w:t>
      </w:r>
      <w:r w:rsidRPr="003C6F9F">
        <w:rPr>
          <w:lang w:val="fr-FR"/>
        </w:rPr>
        <w:t>.7.c) du Statut du personnel mentionne le directeur de la Division de la supervision interne (DSI) comme l</w:t>
      </w:r>
      <w:r w:rsidR="002E77DC" w:rsidRPr="003C6F9F">
        <w:rPr>
          <w:lang w:val="fr-FR"/>
        </w:rPr>
        <w:t>’</w:t>
      </w:r>
      <w:r w:rsidRPr="003C6F9F">
        <w:rPr>
          <w:lang w:val="fr-FR"/>
        </w:rPr>
        <w:t>un des nombreux canaux établis pour la communication d</w:t>
      </w:r>
      <w:r w:rsidR="002E77DC" w:rsidRPr="003C6F9F">
        <w:rPr>
          <w:lang w:val="fr-FR"/>
        </w:rPr>
        <w:t>’</w:t>
      </w:r>
      <w:r w:rsidRPr="003C6F9F">
        <w:rPr>
          <w:lang w:val="fr-FR"/>
        </w:rPr>
        <w:t>allégations d</w:t>
      </w:r>
      <w:r w:rsidR="002E77DC" w:rsidRPr="003C6F9F">
        <w:rPr>
          <w:lang w:val="fr-FR"/>
        </w:rPr>
        <w:t>’</w:t>
      </w:r>
      <w:r w:rsidRPr="003C6F9F">
        <w:rPr>
          <w:lang w:val="fr-FR"/>
        </w:rPr>
        <w:t>irrégularités (</w:t>
      </w:r>
      <w:r w:rsidR="008A4E85">
        <w:rPr>
          <w:lang w:val="fr-FR"/>
        </w:rPr>
        <w:t>“</w:t>
      </w:r>
      <w:r w:rsidRPr="003C6F9F">
        <w:rPr>
          <w:i/>
          <w:lang w:val="fr-FR"/>
        </w:rPr>
        <w:t>à un supérieur hiérarchique, au Cabinet du Directeur général, au directeur de la Division de la supervision interne ou au président du Comité de coordination</w:t>
      </w:r>
      <w:r w:rsidR="008A4E85">
        <w:rPr>
          <w:lang w:val="fr-FR"/>
        </w:rPr>
        <w:t>”</w:t>
      </w:r>
      <w:r w:rsidRPr="003C6F9F">
        <w:rPr>
          <w:lang w:val="fr-FR"/>
        </w:rPr>
        <w:t>).</w:t>
      </w:r>
      <w:r w:rsidR="00CB20F2" w:rsidRPr="003C6F9F">
        <w:rPr>
          <w:lang w:val="fr-FR"/>
        </w:rPr>
        <w:t xml:space="preserve"> </w:t>
      </w:r>
      <w:r w:rsidR="003647B0" w:rsidRPr="003C6F9F">
        <w:rPr>
          <w:lang w:val="fr-FR"/>
        </w:rPr>
        <w:t xml:space="preserve"> </w:t>
      </w:r>
      <w:r w:rsidRPr="003C6F9F">
        <w:rPr>
          <w:lang w:val="fr-FR"/>
        </w:rPr>
        <w:t xml:space="preserve">Conformément aux </w:t>
      </w:r>
      <w:r w:rsidR="009766FB" w:rsidRPr="003C6F9F">
        <w:rPr>
          <w:lang w:val="fr-FR"/>
        </w:rPr>
        <w:t xml:space="preserve">meilleures </w:t>
      </w:r>
      <w:r w:rsidRPr="003C6F9F">
        <w:rPr>
          <w:lang w:val="fr-FR"/>
        </w:rPr>
        <w:t xml:space="preserve">pratiques </w:t>
      </w:r>
      <w:r w:rsidR="009766FB" w:rsidRPr="003C6F9F">
        <w:rPr>
          <w:lang w:val="fr-FR"/>
        </w:rPr>
        <w:t xml:space="preserve">au sein des </w:t>
      </w:r>
      <w:r w:rsidRPr="003C6F9F">
        <w:rPr>
          <w:lang w:val="fr-FR"/>
        </w:rPr>
        <w:t xml:space="preserve">autres organisations internationales du système des </w:t>
      </w:r>
      <w:r w:rsidR="002E77DC" w:rsidRPr="003C6F9F">
        <w:rPr>
          <w:lang w:val="fr-FR"/>
        </w:rPr>
        <w:t>Nations Unies</w:t>
      </w:r>
      <w:r w:rsidRPr="003C6F9F">
        <w:rPr>
          <w:lang w:val="fr-FR"/>
        </w:rPr>
        <w:t>, l</w:t>
      </w:r>
      <w:r w:rsidR="002E77DC" w:rsidRPr="003C6F9F">
        <w:rPr>
          <w:lang w:val="fr-FR"/>
        </w:rPr>
        <w:t>’</w:t>
      </w:r>
      <w:r w:rsidRPr="003C6F9F">
        <w:rPr>
          <w:lang w:val="fr-FR"/>
        </w:rPr>
        <w:t>OCIS a recommandé que le directeur de</w:t>
      </w:r>
      <w:r w:rsidR="002E77DC" w:rsidRPr="003C6F9F">
        <w:rPr>
          <w:lang w:val="fr-FR"/>
        </w:rPr>
        <w:t xml:space="preserve"> la DSI</w:t>
      </w:r>
      <w:r w:rsidRPr="003C6F9F">
        <w:rPr>
          <w:lang w:val="fr-FR"/>
        </w:rPr>
        <w:t xml:space="preserve"> soit désigné comme le canal à utiliser en premier lieu pour le signalement d</w:t>
      </w:r>
      <w:r w:rsidR="002E77DC" w:rsidRPr="003C6F9F">
        <w:rPr>
          <w:lang w:val="fr-FR"/>
        </w:rPr>
        <w:t>’</w:t>
      </w:r>
      <w:r w:rsidRPr="003C6F9F">
        <w:rPr>
          <w:lang w:val="fr-FR"/>
        </w:rPr>
        <w:t>allégations d</w:t>
      </w:r>
      <w:r w:rsidR="002E77DC" w:rsidRPr="003C6F9F">
        <w:rPr>
          <w:lang w:val="fr-FR"/>
        </w:rPr>
        <w:t>’</w:t>
      </w:r>
      <w:r w:rsidRPr="003C6F9F">
        <w:rPr>
          <w:lang w:val="fr-FR"/>
        </w:rPr>
        <w:t>irrégularit</w:t>
      </w:r>
      <w:r w:rsidR="0011693D" w:rsidRPr="003C6F9F">
        <w:rPr>
          <w:lang w:val="fr-FR"/>
        </w:rPr>
        <w:t>és.  Ce</w:t>
      </w:r>
      <w:r w:rsidRPr="003C6F9F">
        <w:rPr>
          <w:lang w:val="fr-FR"/>
        </w:rPr>
        <w:t xml:space="preserve">la permettrait de garantir la réception en temps utile de toutes les plaintes par </w:t>
      </w:r>
      <w:r w:rsidR="009766FB" w:rsidRPr="003C6F9F">
        <w:rPr>
          <w:lang w:val="fr-FR"/>
        </w:rPr>
        <w:t>l</w:t>
      </w:r>
      <w:r w:rsidRPr="003C6F9F">
        <w:rPr>
          <w:lang w:val="fr-FR"/>
        </w:rPr>
        <w:t>e directeur</w:t>
      </w:r>
      <w:r w:rsidR="009766FB" w:rsidRPr="003C6F9F">
        <w:rPr>
          <w:lang w:val="fr-FR"/>
        </w:rPr>
        <w:t xml:space="preserve"> de</w:t>
      </w:r>
      <w:r w:rsidR="002E77DC" w:rsidRPr="003C6F9F">
        <w:rPr>
          <w:lang w:val="fr-FR"/>
        </w:rPr>
        <w:t xml:space="preserve"> la DSI</w:t>
      </w:r>
      <w:r w:rsidRPr="003C6F9F">
        <w:rPr>
          <w:lang w:val="fr-FR"/>
        </w:rPr>
        <w:t xml:space="preserve">, </w:t>
      </w:r>
      <w:r w:rsidR="009766FB" w:rsidRPr="003C6F9F">
        <w:rPr>
          <w:lang w:val="fr-FR"/>
        </w:rPr>
        <w:t xml:space="preserve">qui est </w:t>
      </w:r>
      <w:r w:rsidRPr="003C6F9F">
        <w:rPr>
          <w:lang w:val="fr-FR"/>
        </w:rPr>
        <w:t>chargé de la fonction d</w:t>
      </w:r>
      <w:r w:rsidR="002E77DC" w:rsidRPr="003C6F9F">
        <w:rPr>
          <w:lang w:val="fr-FR"/>
        </w:rPr>
        <w:t>’</w:t>
      </w:r>
      <w:r w:rsidRPr="003C6F9F">
        <w:rPr>
          <w:lang w:val="fr-FR"/>
        </w:rPr>
        <w:t>enquête de l</w:t>
      </w:r>
      <w:r w:rsidR="002E77DC" w:rsidRPr="003C6F9F">
        <w:rPr>
          <w:lang w:val="fr-FR"/>
        </w:rPr>
        <w:t>’</w:t>
      </w:r>
      <w:r w:rsidRPr="003C6F9F">
        <w:rPr>
          <w:lang w:val="fr-FR"/>
        </w:rPr>
        <w:t xml:space="preserve">OMPI et </w:t>
      </w:r>
      <w:r w:rsidR="009766FB" w:rsidRPr="003C6F9F">
        <w:rPr>
          <w:lang w:val="fr-FR"/>
        </w:rPr>
        <w:t>qui a été mandaté</w:t>
      </w:r>
      <w:r w:rsidRPr="003C6F9F">
        <w:rPr>
          <w:lang w:val="fr-FR"/>
        </w:rPr>
        <w:t xml:space="preserve">, </w:t>
      </w:r>
      <w:r w:rsidR="009766FB" w:rsidRPr="003C6F9F">
        <w:rPr>
          <w:lang w:val="fr-FR"/>
        </w:rPr>
        <w:t>en vertu de</w:t>
      </w:r>
      <w:r w:rsidRPr="003C6F9F">
        <w:rPr>
          <w:lang w:val="fr-FR"/>
        </w:rPr>
        <w:t xml:space="preserve"> la Charte de la supervision interne, </w:t>
      </w:r>
      <w:r w:rsidR="009766FB" w:rsidRPr="003C6F9F">
        <w:rPr>
          <w:lang w:val="fr-FR"/>
        </w:rPr>
        <w:t xml:space="preserve">pour </w:t>
      </w:r>
      <w:r w:rsidRPr="003C6F9F">
        <w:rPr>
          <w:lang w:val="fr-FR"/>
        </w:rPr>
        <w:t xml:space="preserve">établir </w:t>
      </w:r>
      <w:r w:rsidR="008A4E85">
        <w:rPr>
          <w:lang w:val="fr-FR"/>
        </w:rPr>
        <w:t>“</w:t>
      </w:r>
      <w:r w:rsidRPr="003C6F9F">
        <w:rPr>
          <w:i/>
          <w:lang w:val="fr-FR"/>
        </w:rPr>
        <w:t>une structure pour le dépôt de plaintes concernant des allégations de fautes, d</w:t>
      </w:r>
      <w:r w:rsidR="002E77DC" w:rsidRPr="003C6F9F">
        <w:rPr>
          <w:i/>
          <w:lang w:val="fr-FR"/>
        </w:rPr>
        <w:t>’</w:t>
      </w:r>
      <w:r w:rsidRPr="003C6F9F">
        <w:rPr>
          <w:i/>
          <w:lang w:val="fr-FR"/>
        </w:rPr>
        <w:t>irrégularités ou de malversations</w:t>
      </w:r>
      <w:r w:rsidR="00D018E0" w:rsidRPr="003C6F9F">
        <w:rPr>
          <w:lang w:val="fr-FR"/>
        </w:rPr>
        <w:t>…</w:t>
      </w:r>
      <w:r w:rsidR="00734DBB">
        <w:rPr>
          <w:lang w:val="fr-FR"/>
        </w:rPr>
        <w:t>”</w:t>
      </w:r>
      <w:r w:rsidRPr="00734DBB">
        <w:rPr>
          <w:lang w:val="fr-FR"/>
        </w:rPr>
        <w:t>.</w:t>
      </w:r>
    </w:p>
    <w:p w14:paraId="7E27D85C" w14:textId="1B390867" w:rsidR="003647B0" w:rsidRPr="003C6F9F" w:rsidRDefault="005010F7" w:rsidP="00386B6C">
      <w:pPr>
        <w:pStyle w:val="ONUMFS"/>
        <w:rPr>
          <w:lang w:val="fr-FR"/>
        </w:rPr>
      </w:pPr>
      <w:r w:rsidRPr="003C6F9F">
        <w:rPr>
          <w:lang w:val="fr-FR"/>
        </w:rPr>
        <w:t>L</w:t>
      </w:r>
      <w:r w:rsidR="002E77DC" w:rsidRPr="003C6F9F">
        <w:rPr>
          <w:lang w:val="fr-FR"/>
        </w:rPr>
        <w:t>’</w:t>
      </w:r>
      <w:r w:rsidRPr="003C6F9F">
        <w:rPr>
          <w:lang w:val="fr-FR"/>
        </w:rPr>
        <w:t>OCIS recommande donc de modifier l</w:t>
      </w:r>
      <w:r w:rsidR="002E77DC" w:rsidRPr="003C6F9F">
        <w:rPr>
          <w:lang w:val="fr-FR"/>
        </w:rPr>
        <w:t>’article 1</w:t>
      </w:r>
      <w:r w:rsidR="00656341">
        <w:rPr>
          <w:lang w:val="fr-FR"/>
        </w:rPr>
        <w:t>.7.b) et </w:t>
      </w:r>
      <w:r w:rsidRPr="003C6F9F">
        <w:rPr>
          <w:lang w:val="fr-FR"/>
        </w:rPr>
        <w:t>c)</w:t>
      </w:r>
      <w:r w:rsidR="00656341">
        <w:rPr>
          <w:lang w:val="fr-FR"/>
        </w:rPr>
        <w:t xml:space="preserve"> </w:t>
      </w:r>
      <w:r w:rsidRPr="003C6F9F">
        <w:rPr>
          <w:lang w:val="fr-FR"/>
        </w:rPr>
        <w:t>de la manière suivante</w:t>
      </w:r>
      <w:r w:rsidR="002E77DC" w:rsidRPr="003C6F9F">
        <w:rPr>
          <w:lang w:val="fr-FR"/>
        </w:rPr>
        <w:t> :</w:t>
      </w:r>
      <w:r w:rsidR="00CB20F2" w:rsidRPr="003C6F9F">
        <w:rPr>
          <w:lang w:val="fr-FR"/>
        </w:rPr>
        <w:t xml:space="preserve"> </w:t>
      </w:r>
    </w:p>
    <w:tbl>
      <w:tblPr>
        <w:tblStyle w:val="TableGrid"/>
        <w:tblW w:w="0" w:type="auto"/>
        <w:tblInd w:w="108" w:type="dxa"/>
        <w:tblLook w:val="04A0" w:firstRow="1" w:lastRow="0" w:firstColumn="1" w:lastColumn="0" w:noHBand="0" w:noVBand="1"/>
      </w:tblPr>
      <w:tblGrid>
        <w:gridCol w:w="1268"/>
        <w:gridCol w:w="2910"/>
        <w:gridCol w:w="2910"/>
        <w:gridCol w:w="2375"/>
      </w:tblGrid>
      <w:tr w:rsidR="0091503B" w:rsidRPr="003C6F9F" w14:paraId="7FA2A63D" w14:textId="77777777" w:rsidTr="000D11D1">
        <w:tc>
          <w:tcPr>
            <w:tcW w:w="1268" w:type="dxa"/>
            <w:shd w:val="clear" w:color="auto" w:fill="FBD4B4" w:themeFill="accent6" w:themeFillTint="66"/>
          </w:tcPr>
          <w:p w14:paraId="5EBF6E79" w14:textId="28722427" w:rsidR="00A71B04" w:rsidRPr="003C6F9F" w:rsidRDefault="005010F7" w:rsidP="00386B6C">
            <w:pPr>
              <w:tabs>
                <w:tab w:val="left" w:pos="0"/>
              </w:tabs>
              <w:jc w:val="center"/>
              <w:rPr>
                <w:b/>
                <w:sz w:val="18"/>
                <w:szCs w:val="18"/>
                <w:lang w:val="fr-FR"/>
              </w:rPr>
            </w:pPr>
            <w:r w:rsidRPr="003C6F9F">
              <w:rPr>
                <w:b/>
                <w:sz w:val="18"/>
                <w:szCs w:val="18"/>
                <w:lang w:val="fr-FR"/>
              </w:rPr>
              <w:t>Disposition</w:t>
            </w:r>
          </w:p>
        </w:tc>
        <w:tc>
          <w:tcPr>
            <w:tcW w:w="2910" w:type="dxa"/>
            <w:shd w:val="clear" w:color="auto" w:fill="FBD4B4" w:themeFill="accent6" w:themeFillTint="66"/>
          </w:tcPr>
          <w:p w14:paraId="70FE1010" w14:textId="5E8B8D32" w:rsidR="00A71B04" w:rsidRPr="003C6F9F" w:rsidRDefault="005010F7" w:rsidP="00386B6C">
            <w:pPr>
              <w:tabs>
                <w:tab w:val="left" w:pos="0"/>
              </w:tabs>
              <w:jc w:val="center"/>
              <w:rPr>
                <w:b/>
                <w:sz w:val="18"/>
                <w:szCs w:val="18"/>
                <w:lang w:val="fr-FR"/>
              </w:rPr>
            </w:pPr>
            <w:r w:rsidRPr="003C6F9F">
              <w:rPr>
                <w:b/>
                <w:sz w:val="18"/>
                <w:szCs w:val="18"/>
                <w:lang w:val="fr-FR"/>
              </w:rPr>
              <w:t>Texte actuel</w:t>
            </w:r>
          </w:p>
        </w:tc>
        <w:tc>
          <w:tcPr>
            <w:tcW w:w="2910" w:type="dxa"/>
            <w:shd w:val="clear" w:color="auto" w:fill="FBD4B4" w:themeFill="accent6" w:themeFillTint="66"/>
          </w:tcPr>
          <w:p w14:paraId="5DBB3C88" w14:textId="65C6B1D6" w:rsidR="00A71B04" w:rsidRPr="003C6F9F" w:rsidRDefault="005010F7" w:rsidP="00386B6C">
            <w:pPr>
              <w:tabs>
                <w:tab w:val="left" w:pos="0"/>
              </w:tabs>
              <w:jc w:val="center"/>
              <w:rPr>
                <w:b/>
                <w:sz w:val="18"/>
                <w:szCs w:val="18"/>
                <w:lang w:val="fr-FR"/>
              </w:rPr>
            </w:pPr>
            <w:r w:rsidRPr="003C6F9F">
              <w:rPr>
                <w:b/>
                <w:sz w:val="18"/>
                <w:szCs w:val="18"/>
                <w:lang w:val="fr-FR"/>
              </w:rPr>
              <w:t>Nouveau texte proposé</w:t>
            </w:r>
          </w:p>
        </w:tc>
        <w:tc>
          <w:tcPr>
            <w:tcW w:w="2375" w:type="dxa"/>
            <w:shd w:val="clear" w:color="auto" w:fill="FBD4B4" w:themeFill="accent6" w:themeFillTint="66"/>
          </w:tcPr>
          <w:p w14:paraId="730E1E05" w14:textId="1F37FB53" w:rsidR="00A71B04" w:rsidRPr="003C6F9F" w:rsidRDefault="005010F7" w:rsidP="00386B6C">
            <w:pPr>
              <w:tabs>
                <w:tab w:val="left" w:pos="0"/>
              </w:tabs>
              <w:jc w:val="center"/>
              <w:rPr>
                <w:b/>
                <w:sz w:val="18"/>
                <w:szCs w:val="18"/>
                <w:lang w:val="fr-FR"/>
              </w:rPr>
            </w:pPr>
            <w:r w:rsidRPr="003C6F9F">
              <w:rPr>
                <w:b/>
                <w:sz w:val="18"/>
                <w:szCs w:val="18"/>
                <w:lang w:val="fr-FR"/>
              </w:rPr>
              <w:t>Objet/description de la modification</w:t>
            </w:r>
          </w:p>
        </w:tc>
      </w:tr>
      <w:tr w:rsidR="0091503B" w:rsidRPr="003C6F9F" w14:paraId="18E8BB9A" w14:textId="77777777" w:rsidTr="000D11D1">
        <w:tc>
          <w:tcPr>
            <w:tcW w:w="1268" w:type="dxa"/>
          </w:tcPr>
          <w:p w14:paraId="1DD07F41" w14:textId="7075853A" w:rsidR="00A71B04" w:rsidRPr="003C6F9F" w:rsidRDefault="002E77DC" w:rsidP="00386B6C">
            <w:pPr>
              <w:tabs>
                <w:tab w:val="left" w:pos="0"/>
              </w:tabs>
              <w:rPr>
                <w:sz w:val="18"/>
                <w:szCs w:val="18"/>
                <w:lang w:val="fr-FR"/>
              </w:rPr>
            </w:pPr>
            <w:r w:rsidRPr="003C6F9F">
              <w:rPr>
                <w:sz w:val="18"/>
                <w:szCs w:val="18"/>
                <w:lang w:val="fr-FR"/>
              </w:rPr>
              <w:t>Article 1</w:t>
            </w:r>
            <w:r w:rsidR="005010F7" w:rsidRPr="003C6F9F">
              <w:rPr>
                <w:sz w:val="18"/>
                <w:szCs w:val="18"/>
                <w:lang w:val="fr-FR"/>
              </w:rPr>
              <w:t>.7.b) du Statut du personnel</w:t>
            </w:r>
          </w:p>
        </w:tc>
        <w:tc>
          <w:tcPr>
            <w:tcW w:w="2910" w:type="dxa"/>
          </w:tcPr>
          <w:p w14:paraId="6E3F7FA4" w14:textId="6446FF9A" w:rsidR="002E77DC" w:rsidRPr="003C6F9F" w:rsidRDefault="005010F7" w:rsidP="00386B6C">
            <w:pPr>
              <w:pStyle w:val="Default"/>
              <w:tabs>
                <w:tab w:val="left" w:pos="0"/>
              </w:tabs>
              <w:rPr>
                <w:color w:val="auto"/>
                <w:sz w:val="18"/>
                <w:szCs w:val="18"/>
                <w:lang w:val="fr-FR"/>
              </w:rPr>
            </w:pPr>
            <w:r w:rsidRPr="003C6F9F">
              <w:rPr>
                <w:color w:val="auto"/>
                <w:sz w:val="18"/>
                <w:szCs w:val="18"/>
                <w:lang w:val="fr-FR"/>
              </w:rPr>
              <w:t>b) Un fonctionnaire qui communique de bonne foi des informations concernant l</w:t>
            </w:r>
            <w:r w:rsidR="002E77DC" w:rsidRPr="003C6F9F">
              <w:rPr>
                <w:color w:val="auto"/>
                <w:sz w:val="18"/>
                <w:szCs w:val="18"/>
                <w:lang w:val="fr-FR"/>
              </w:rPr>
              <w:t>’</w:t>
            </w:r>
            <w:r w:rsidRPr="003C6F9F">
              <w:rPr>
                <w:color w:val="auto"/>
                <w:sz w:val="18"/>
                <w:szCs w:val="18"/>
                <w:lang w:val="fr-FR"/>
              </w:rPr>
              <w:t>existence possible au sein du Bureau international d</w:t>
            </w:r>
            <w:r w:rsidR="002E77DC" w:rsidRPr="003C6F9F">
              <w:rPr>
                <w:color w:val="auto"/>
                <w:sz w:val="18"/>
                <w:szCs w:val="18"/>
                <w:lang w:val="fr-FR"/>
              </w:rPr>
              <w:t>’</w:t>
            </w:r>
            <w:r w:rsidRPr="003C6F9F">
              <w:rPr>
                <w:color w:val="auto"/>
                <w:sz w:val="18"/>
                <w:szCs w:val="18"/>
                <w:lang w:val="fr-FR"/>
              </w:rPr>
              <w:t>irrégularités dans des questions d</w:t>
            </w:r>
            <w:r w:rsidR="002E77DC" w:rsidRPr="003C6F9F">
              <w:rPr>
                <w:color w:val="auto"/>
                <w:sz w:val="18"/>
                <w:szCs w:val="18"/>
                <w:lang w:val="fr-FR"/>
              </w:rPr>
              <w:t>’</w:t>
            </w:r>
            <w:r w:rsidRPr="003C6F9F">
              <w:rPr>
                <w:color w:val="auto"/>
                <w:sz w:val="18"/>
                <w:szCs w:val="18"/>
                <w:lang w:val="fr-FR"/>
              </w:rPr>
              <w:t>administration, de personnel et d</w:t>
            </w:r>
            <w:r w:rsidR="002E77DC" w:rsidRPr="003C6F9F">
              <w:rPr>
                <w:color w:val="auto"/>
                <w:sz w:val="18"/>
                <w:szCs w:val="18"/>
                <w:lang w:val="fr-FR"/>
              </w:rPr>
              <w:t>’</w:t>
            </w:r>
            <w:r w:rsidRPr="003C6F9F">
              <w:rPr>
                <w:color w:val="auto"/>
                <w:sz w:val="18"/>
                <w:szCs w:val="18"/>
                <w:lang w:val="fr-FR"/>
              </w:rPr>
              <w:t>autres questions similaires peut le faire de manière anony</w:t>
            </w:r>
            <w:r w:rsidR="0011693D" w:rsidRPr="003C6F9F">
              <w:rPr>
                <w:color w:val="auto"/>
                <w:sz w:val="18"/>
                <w:szCs w:val="18"/>
                <w:lang w:val="fr-FR"/>
              </w:rPr>
              <w:t>me.  Le</w:t>
            </w:r>
            <w:r w:rsidRPr="003C6F9F">
              <w:rPr>
                <w:color w:val="auto"/>
                <w:sz w:val="18"/>
                <w:szCs w:val="18"/>
                <w:lang w:val="fr-FR"/>
              </w:rPr>
              <w:t xml:space="preserve"> Bureau international édicte des dispositions à l</w:t>
            </w:r>
            <w:r w:rsidR="002E77DC" w:rsidRPr="003C6F9F">
              <w:rPr>
                <w:color w:val="auto"/>
                <w:sz w:val="18"/>
                <w:szCs w:val="18"/>
                <w:lang w:val="fr-FR"/>
              </w:rPr>
              <w:t>’</w:t>
            </w:r>
            <w:r w:rsidRPr="003C6F9F">
              <w:rPr>
                <w:color w:val="auto"/>
                <w:sz w:val="18"/>
                <w:szCs w:val="18"/>
                <w:lang w:val="fr-FR"/>
              </w:rPr>
              <w:t>effet</w:t>
            </w:r>
          </w:p>
          <w:p w14:paraId="7CC205DA" w14:textId="76041FDF" w:rsidR="003B21A9" w:rsidRPr="003C6F9F" w:rsidRDefault="005010F7" w:rsidP="00386B6C">
            <w:pPr>
              <w:pStyle w:val="Default"/>
              <w:tabs>
                <w:tab w:val="left" w:pos="0"/>
              </w:tabs>
              <w:rPr>
                <w:sz w:val="18"/>
                <w:szCs w:val="18"/>
                <w:lang w:val="fr-FR"/>
              </w:rPr>
            </w:pPr>
            <w:r w:rsidRPr="003C6F9F">
              <w:rPr>
                <w:color w:val="auto"/>
                <w:sz w:val="18"/>
                <w:szCs w:val="18"/>
                <w:lang w:val="fr-FR"/>
              </w:rPr>
              <w:t>de protéger les fonctionnaires contre des actes de représailles tels qu</w:t>
            </w:r>
            <w:r w:rsidR="002E77DC" w:rsidRPr="003C6F9F">
              <w:rPr>
                <w:color w:val="auto"/>
                <w:sz w:val="18"/>
                <w:szCs w:val="18"/>
                <w:lang w:val="fr-FR"/>
              </w:rPr>
              <w:t>’</w:t>
            </w:r>
            <w:r w:rsidRPr="003C6F9F">
              <w:rPr>
                <w:color w:val="auto"/>
                <w:sz w:val="18"/>
                <w:szCs w:val="18"/>
                <w:lang w:val="fr-FR"/>
              </w:rPr>
              <w:t>une décision administrative défavorable ou le harcèlement verbal.</w:t>
            </w:r>
          </w:p>
          <w:p w14:paraId="7F021B4A" w14:textId="77777777" w:rsidR="00A71B04" w:rsidRPr="003C6F9F" w:rsidRDefault="00A71B04" w:rsidP="00386B6C">
            <w:pPr>
              <w:tabs>
                <w:tab w:val="left" w:pos="0"/>
              </w:tabs>
              <w:rPr>
                <w:sz w:val="18"/>
                <w:szCs w:val="18"/>
                <w:lang w:val="fr-FR"/>
              </w:rPr>
            </w:pPr>
          </w:p>
        </w:tc>
        <w:tc>
          <w:tcPr>
            <w:tcW w:w="2910" w:type="dxa"/>
          </w:tcPr>
          <w:p w14:paraId="111423B7" w14:textId="2DB2FD17" w:rsidR="002E77DC" w:rsidRPr="003C6F9F" w:rsidRDefault="005010F7" w:rsidP="00386B6C">
            <w:pPr>
              <w:pStyle w:val="Default"/>
              <w:tabs>
                <w:tab w:val="left" w:pos="0"/>
              </w:tabs>
              <w:rPr>
                <w:color w:val="auto"/>
                <w:sz w:val="18"/>
                <w:szCs w:val="18"/>
                <w:lang w:val="fr-FR"/>
              </w:rPr>
            </w:pPr>
            <w:r w:rsidRPr="003C6F9F">
              <w:rPr>
                <w:color w:val="auto"/>
                <w:sz w:val="18"/>
                <w:szCs w:val="18"/>
                <w:lang w:val="fr-FR"/>
              </w:rPr>
              <w:t xml:space="preserve">b) </w:t>
            </w:r>
            <w:r w:rsidRPr="003C6F9F">
              <w:rPr>
                <w:strike/>
                <w:color w:val="auto"/>
                <w:sz w:val="18"/>
                <w:szCs w:val="18"/>
                <w:lang w:val="fr-FR"/>
              </w:rPr>
              <w:t>Un fonctionnaire qui communique de bonne foi des informations concernant l</w:t>
            </w:r>
            <w:r w:rsidR="002E77DC" w:rsidRPr="003C6F9F">
              <w:rPr>
                <w:strike/>
                <w:color w:val="auto"/>
                <w:sz w:val="18"/>
                <w:szCs w:val="18"/>
                <w:lang w:val="fr-FR"/>
              </w:rPr>
              <w:t>’</w:t>
            </w:r>
            <w:r w:rsidRPr="003C6F9F">
              <w:rPr>
                <w:strike/>
                <w:color w:val="auto"/>
                <w:sz w:val="18"/>
                <w:szCs w:val="18"/>
                <w:lang w:val="fr-FR"/>
              </w:rPr>
              <w:t>existence possible au sein du Bureau international d</w:t>
            </w:r>
            <w:r w:rsidR="002E77DC" w:rsidRPr="003C6F9F">
              <w:rPr>
                <w:strike/>
                <w:color w:val="auto"/>
                <w:sz w:val="18"/>
                <w:szCs w:val="18"/>
                <w:lang w:val="fr-FR"/>
              </w:rPr>
              <w:t>’</w:t>
            </w:r>
            <w:r w:rsidRPr="003C6F9F">
              <w:rPr>
                <w:strike/>
                <w:color w:val="auto"/>
                <w:sz w:val="18"/>
                <w:szCs w:val="18"/>
                <w:lang w:val="fr-FR"/>
              </w:rPr>
              <w:t>irrégularités dans des questions d</w:t>
            </w:r>
            <w:r w:rsidR="002E77DC" w:rsidRPr="003C6F9F">
              <w:rPr>
                <w:strike/>
                <w:color w:val="auto"/>
                <w:sz w:val="18"/>
                <w:szCs w:val="18"/>
                <w:lang w:val="fr-FR"/>
              </w:rPr>
              <w:t>’</w:t>
            </w:r>
            <w:r w:rsidRPr="003C6F9F">
              <w:rPr>
                <w:strike/>
                <w:color w:val="auto"/>
                <w:sz w:val="18"/>
                <w:szCs w:val="18"/>
                <w:lang w:val="fr-FR"/>
              </w:rPr>
              <w:t>administration, de personnel et d</w:t>
            </w:r>
            <w:r w:rsidR="002E77DC" w:rsidRPr="003C6F9F">
              <w:rPr>
                <w:strike/>
                <w:color w:val="auto"/>
                <w:sz w:val="18"/>
                <w:szCs w:val="18"/>
                <w:lang w:val="fr-FR"/>
              </w:rPr>
              <w:t>’</w:t>
            </w:r>
            <w:r w:rsidRPr="003C6F9F">
              <w:rPr>
                <w:strike/>
                <w:color w:val="auto"/>
                <w:sz w:val="18"/>
                <w:szCs w:val="18"/>
                <w:lang w:val="fr-FR"/>
              </w:rPr>
              <w:t>autres questions similaires peut le faire de manière anony</w:t>
            </w:r>
            <w:r w:rsidR="0011693D" w:rsidRPr="003C6F9F">
              <w:rPr>
                <w:strike/>
                <w:color w:val="auto"/>
                <w:sz w:val="18"/>
                <w:szCs w:val="18"/>
                <w:lang w:val="fr-FR"/>
              </w:rPr>
              <w:t xml:space="preserve">me.  </w:t>
            </w:r>
            <w:r w:rsidR="0011693D" w:rsidRPr="003C6F9F">
              <w:rPr>
                <w:b/>
                <w:color w:val="auto"/>
                <w:sz w:val="18"/>
                <w:szCs w:val="18"/>
                <w:lang w:val="fr-FR"/>
              </w:rPr>
              <w:t>Le</w:t>
            </w:r>
            <w:r w:rsidR="006E6CFE" w:rsidRPr="003C6F9F">
              <w:rPr>
                <w:b/>
                <w:color w:val="auto"/>
                <w:sz w:val="18"/>
                <w:szCs w:val="18"/>
                <w:lang w:val="fr-FR"/>
              </w:rPr>
              <w:t>s fonctionnaires sont tenus de signaler les irrégularités présumées au sein de l</w:t>
            </w:r>
            <w:r w:rsidR="002E77DC" w:rsidRPr="003C6F9F">
              <w:rPr>
                <w:b/>
                <w:color w:val="auto"/>
                <w:sz w:val="18"/>
                <w:szCs w:val="18"/>
                <w:lang w:val="fr-FR"/>
              </w:rPr>
              <w:t>’</w:t>
            </w:r>
            <w:r w:rsidR="006E6CFE" w:rsidRPr="003C6F9F">
              <w:rPr>
                <w:b/>
                <w:color w:val="auto"/>
                <w:sz w:val="18"/>
                <w:szCs w:val="18"/>
                <w:lang w:val="fr-FR"/>
              </w:rPr>
              <w:t>OMPI et de collaborer à toute enquête dûment autoris</w:t>
            </w:r>
            <w:r w:rsidR="0011693D" w:rsidRPr="003C6F9F">
              <w:rPr>
                <w:b/>
                <w:color w:val="auto"/>
                <w:sz w:val="18"/>
                <w:szCs w:val="18"/>
                <w:lang w:val="fr-FR"/>
              </w:rPr>
              <w:t xml:space="preserve">ée.  </w:t>
            </w:r>
            <w:r w:rsidR="0011693D" w:rsidRPr="003C6F9F">
              <w:rPr>
                <w:color w:val="auto"/>
                <w:sz w:val="18"/>
                <w:szCs w:val="18"/>
                <w:lang w:val="fr-FR"/>
              </w:rPr>
              <w:t>Le</w:t>
            </w:r>
            <w:r w:rsidR="006E6CFE" w:rsidRPr="003C6F9F">
              <w:rPr>
                <w:color w:val="auto"/>
                <w:sz w:val="18"/>
                <w:szCs w:val="18"/>
                <w:lang w:val="fr-FR"/>
              </w:rPr>
              <w:t xml:space="preserve"> Bureau international édicte des dispositions à l</w:t>
            </w:r>
            <w:r w:rsidR="002E77DC" w:rsidRPr="003C6F9F">
              <w:rPr>
                <w:color w:val="auto"/>
                <w:sz w:val="18"/>
                <w:szCs w:val="18"/>
                <w:lang w:val="fr-FR"/>
              </w:rPr>
              <w:t>’</w:t>
            </w:r>
            <w:r w:rsidR="006E6CFE" w:rsidRPr="003C6F9F">
              <w:rPr>
                <w:color w:val="auto"/>
                <w:sz w:val="18"/>
                <w:szCs w:val="18"/>
                <w:lang w:val="fr-FR"/>
              </w:rPr>
              <w:t>effet de</w:t>
            </w:r>
            <w:r w:rsidR="00656341">
              <w:rPr>
                <w:color w:val="auto"/>
                <w:sz w:val="18"/>
                <w:szCs w:val="18"/>
                <w:lang w:val="fr-FR"/>
              </w:rPr>
              <w:t xml:space="preserve"> </w:t>
            </w:r>
            <w:r w:rsidR="006E6CFE" w:rsidRPr="003C6F9F">
              <w:rPr>
                <w:color w:val="auto"/>
                <w:sz w:val="18"/>
                <w:szCs w:val="18"/>
                <w:lang w:val="fr-FR"/>
              </w:rPr>
              <w:t xml:space="preserve">protéger </w:t>
            </w:r>
            <w:r w:rsidR="006E6CFE" w:rsidRPr="003C6F9F">
              <w:rPr>
                <w:b/>
                <w:color w:val="auto"/>
                <w:sz w:val="18"/>
                <w:szCs w:val="18"/>
                <w:lang w:val="fr-FR"/>
              </w:rPr>
              <w:t xml:space="preserve">contre les représailles les fonctionnaires qui </w:t>
            </w:r>
            <w:r w:rsidR="00386B6C">
              <w:rPr>
                <w:b/>
                <w:color w:val="auto"/>
                <w:sz w:val="18"/>
                <w:szCs w:val="18"/>
                <w:lang w:val="fr-FR"/>
              </w:rPr>
              <w:t>se sont conformés à ce devoir</w:t>
            </w:r>
            <w:r w:rsidR="006E6CFE" w:rsidRPr="00386B6C">
              <w:rPr>
                <w:strike/>
                <w:color w:val="auto"/>
                <w:sz w:val="18"/>
                <w:szCs w:val="18"/>
                <w:lang w:val="fr-FR"/>
              </w:rPr>
              <w:t xml:space="preserve"> </w:t>
            </w:r>
            <w:r w:rsidR="006E6CFE" w:rsidRPr="003C6F9F">
              <w:rPr>
                <w:strike/>
                <w:color w:val="auto"/>
                <w:sz w:val="18"/>
                <w:szCs w:val="18"/>
                <w:lang w:val="fr-FR"/>
              </w:rPr>
              <w:t>les fonctionnaires contre des actes de représailles tels qu</w:t>
            </w:r>
            <w:r w:rsidR="002E77DC" w:rsidRPr="003C6F9F">
              <w:rPr>
                <w:strike/>
                <w:color w:val="auto"/>
                <w:sz w:val="18"/>
                <w:szCs w:val="18"/>
                <w:lang w:val="fr-FR"/>
              </w:rPr>
              <w:t>’</w:t>
            </w:r>
            <w:r w:rsidR="006E6CFE" w:rsidRPr="003C6F9F">
              <w:rPr>
                <w:strike/>
                <w:color w:val="auto"/>
                <w:sz w:val="18"/>
                <w:szCs w:val="18"/>
                <w:lang w:val="fr-FR"/>
              </w:rPr>
              <w:t>une décision administrative défavorable ou le harcèlement verbal</w:t>
            </w:r>
            <w:r w:rsidR="00656341" w:rsidRPr="00656341">
              <w:rPr>
                <w:color w:val="auto"/>
                <w:sz w:val="18"/>
                <w:szCs w:val="18"/>
                <w:lang w:val="fr-FR"/>
              </w:rPr>
              <w:t>.</w:t>
            </w:r>
          </w:p>
          <w:p w14:paraId="1C7410D6" w14:textId="68BF61B4" w:rsidR="00A71B04" w:rsidRPr="003C6F9F" w:rsidRDefault="00A71B04" w:rsidP="00386B6C">
            <w:pPr>
              <w:pStyle w:val="Default"/>
              <w:tabs>
                <w:tab w:val="left" w:pos="0"/>
              </w:tabs>
              <w:rPr>
                <w:color w:val="auto"/>
                <w:sz w:val="18"/>
                <w:szCs w:val="18"/>
                <w:lang w:val="fr-FR"/>
              </w:rPr>
            </w:pPr>
          </w:p>
        </w:tc>
        <w:tc>
          <w:tcPr>
            <w:tcW w:w="2375" w:type="dxa"/>
          </w:tcPr>
          <w:p w14:paraId="2BB6A51B" w14:textId="443DA8ED" w:rsidR="00A71B04" w:rsidRPr="003C6F9F" w:rsidRDefault="006E6CFE" w:rsidP="00386B6C">
            <w:pPr>
              <w:tabs>
                <w:tab w:val="left" w:pos="0"/>
              </w:tabs>
              <w:rPr>
                <w:sz w:val="18"/>
                <w:szCs w:val="18"/>
                <w:lang w:val="fr-FR"/>
              </w:rPr>
            </w:pPr>
            <w:r w:rsidRPr="003C6F9F">
              <w:rPr>
                <w:sz w:val="18"/>
                <w:szCs w:val="18"/>
                <w:lang w:val="fr-FR"/>
              </w:rPr>
              <w:t>L</w:t>
            </w:r>
            <w:r w:rsidR="002E77DC" w:rsidRPr="003C6F9F">
              <w:rPr>
                <w:sz w:val="18"/>
                <w:szCs w:val="18"/>
                <w:lang w:val="fr-FR"/>
              </w:rPr>
              <w:t>’</w:t>
            </w:r>
            <w:r w:rsidRPr="003C6F9F">
              <w:rPr>
                <w:sz w:val="18"/>
                <w:szCs w:val="18"/>
                <w:lang w:val="fr-FR"/>
              </w:rPr>
              <w:t>amendement est proposé pour établir clairement l</w:t>
            </w:r>
            <w:r w:rsidR="00386B6C">
              <w:rPr>
                <w:sz w:val="18"/>
                <w:szCs w:val="18"/>
                <w:lang w:val="fr-FR"/>
              </w:rPr>
              <w:t>e devoir</w:t>
            </w:r>
            <w:r w:rsidRPr="003C6F9F">
              <w:rPr>
                <w:sz w:val="18"/>
                <w:szCs w:val="18"/>
                <w:lang w:val="fr-FR"/>
              </w:rPr>
              <w:t xml:space="preserve"> de signale</w:t>
            </w:r>
            <w:r w:rsidR="00386B6C">
              <w:rPr>
                <w:sz w:val="18"/>
                <w:szCs w:val="18"/>
                <w:lang w:val="fr-FR"/>
              </w:rPr>
              <w:t>r</w:t>
            </w:r>
            <w:r w:rsidRPr="003C6F9F">
              <w:rPr>
                <w:sz w:val="18"/>
                <w:szCs w:val="18"/>
                <w:lang w:val="fr-FR"/>
              </w:rPr>
              <w:t xml:space="preserve"> des irrégularités, conformément aux pratiques recommandées au sein du système des </w:t>
            </w:r>
            <w:r w:rsidR="002E77DC" w:rsidRPr="003C6F9F">
              <w:rPr>
                <w:sz w:val="18"/>
                <w:szCs w:val="18"/>
                <w:lang w:val="fr-FR"/>
              </w:rPr>
              <w:t>Nations Unies</w:t>
            </w:r>
            <w:r w:rsidRPr="003C6F9F">
              <w:rPr>
                <w:sz w:val="18"/>
                <w:szCs w:val="18"/>
                <w:lang w:val="fr-FR"/>
              </w:rPr>
              <w:t>.</w:t>
            </w:r>
          </w:p>
        </w:tc>
      </w:tr>
      <w:tr w:rsidR="0091503B" w:rsidRPr="003C6F9F" w14:paraId="28B36702" w14:textId="77777777" w:rsidTr="000D11D1">
        <w:tc>
          <w:tcPr>
            <w:tcW w:w="1268" w:type="dxa"/>
          </w:tcPr>
          <w:p w14:paraId="12DEADA0" w14:textId="604490F4" w:rsidR="00631D94" w:rsidRPr="003C6F9F" w:rsidRDefault="006E6CFE" w:rsidP="00386B6C">
            <w:pPr>
              <w:tabs>
                <w:tab w:val="left" w:pos="0"/>
                <w:tab w:val="left" w:pos="567"/>
              </w:tabs>
              <w:rPr>
                <w:sz w:val="18"/>
                <w:szCs w:val="18"/>
                <w:lang w:val="fr-FR"/>
              </w:rPr>
            </w:pPr>
            <w:r w:rsidRPr="003C6F9F">
              <w:rPr>
                <w:sz w:val="18"/>
                <w:szCs w:val="18"/>
                <w:lang w:val="fr-FR"/>
              </w:rPr>
              <w:t>Article 1.7.c) du Statut du personnel</w:t>
            </w:r>
          </w:p>
        </w:tc>
        <w:tc>
          <w:tcPr>
            <w:tcW w:w="2910" w:type="dxa"/>
          </w:tcPr>
          <w:p w14:paraId="511965C5" w14:textId="468D5212" w:rsidR="002E77DC" w:rsidRPr="003C6F9F" w:rsidRDefault="006E6CFE" w:rsidP="00386B6C">
            <w:pPr>
              <w:pStyle w:val="Default"/>
              <w:tabs>
                <w:tab w:val="left" w:pos="0"/>
              </w:tabs>
              <w:rPr>
                <w:color w:val="auto"/>
                <w:sz w:val="18"/>
                <w:szCs w:val="18"/>
                <w:lang w:val="fr-FR"/>
              </w:rPr>
            </w:pPr>
            <w:r w:rsidRPr="003C6F9F">
              <w:rPr>
                <w:color w:val="auto"/>
                <w:sz w:val="18"/>
                <w:szCs w:val="18"/>
                <w:lang w:val="fr-FR"/>
              </w:rPr>
              <w:t>c) La communication d</w:t>
            </w:r>
            <w:r w:rsidR="002E77DC" w:rsidRPr="003C6F9F">
              <w:rPr>
                <w:color w:val="auto"/>
                <w:sz w:val="18"/>
                <w:szCs w:val="18"/>
                <w:lang w:val="fr-FR"/>
              </w:rPr>
              <w:t>’</w:t>
            </w:r>
            <w:r w:rsidRPr="003C6F9F">
              <w:rPr>
                <w:color w:val="auto"/>
                <w:sz w:val="18"/>
                <w:szCs w:val="18"/>
                <w:lang w:val="fr-FR"/>
              </w:rPr>
              <w:t>informations se fait par l</w:t>
            </w:r>
            <w:r w:rsidR="002E77DC" w:rsidRPr="003C6F9F">
              <w:rPr>
                <w:color w:val="auto"/>
                <w:sz w:val="18"/>
                <w:szCs w:val="18"/>
                <w:lang w:val="fr-FR"/>
              </w:rPr>
              <w:t>’</w:t>
            </w:r>
            <w:r w:rsidRPr="003C6F9F">
              <w:rPr>
                <w:color w:val="auto"/>
                <w:sz w:val="18"/>
                <w:szCs w:val="18"/>
                <w:lang w:val="fr-FR"/>
              </w:rPr>
              <w:t>un quelconque des canaux établis suivants</w:t>
            </w:r>
            <w:r w:rsidR="002E77DC" w:rsidRPr="003C6F9F">
              <w:rPr>
                <w:color w:val="auto"/>
                <w:sz w:val="18"/>
                <w:szCs w:val="18"/>
                <w:lang w:val="fr-FR"/>
              </w:rPr>
              <w:t> :</w:t>
            </w:r>
            <w:r w:rsidRPr="003C6F9F">
              <w:rPr>
                <w:color w:val="auto"/>
                <w:sz w:val="18"/>
                <w:szCs w:val="18"/>
                <w:lang w:val="fr-FR"/>
              </w:rPr>
              <w:t xml:space="preserve"> à un supérieur hiérarchique, au Cabinet du Directeur général, au directeur de la Division de la supervision interne ou au président du Comité de coordination, qui préserve l</w:t>
            </w:r>
            <w:r w:rsidR="002E77DC" w:rsidRPr="003C6F9F">
              <w:rPr>
                <w:color w:val="auto"/>
                <w:sz w:val="18"/>
                <w:szCs w:val="18"/>
                <w:lang w:val="fr-FR"/>
              </w:rPr>
              <w:t>’</w:t>
            </w:r>
            <w:r w:rsidRPr="003C6F9F">
              <w:rPr>
                <w:color w:val="auto"/>
                <w:sz w:val="18"/>
                <w:szCs w:val="18"/>
                <w:lang w:val="fr-FR"/>
              </w:rPr>
              <w:t>anonymat du fonctionnaire intéres</w:t>
            </w:r>
            <w:r w:rsidR="0011693D" w:rsidRPr="003C6F9F">
              <w:rPr>
                <w:color w:val="auto"/>
                <w:sz w:val="18"/>
                <w:szCs w:val="18"/>
                <w:lang w:val="fr-FR"/>
              </w:rPr>
              <w:t>sé.  Le</w:t>
            </w:r>
            <w:r w:rsidRPr="003C6F9F">
              <w:rPr>
                <w:color w:val="auto"/>
                <w:sz w:val="18"/>
                <w:szCs w:val="18"/>
                <w:lang w:val="fr-FR"/>
              </w:rPr>
              <w:t xml:space="preserve"> Bureau international édicte des dispositions concernant le signalement d</w:t>
            </w:r>
            <w:r w:rsidR="002E77DC" w:rsidRPr="003C6F9F">
              <w:rPr>
                <w:color w:val="auto"/>
                <w:sz w:val="18"/>
                <w:szCs w:val="18"/>
                <w:lang w:val="fr-FR"/>
              </w:rPr>
              <w:t>’</w:t>
            </w:r>
            <w:r w:rsidRPr="003C6F9F">
              <w:rPr>
                <w:color w:val="auto"/>
                <w:sz w:val="18"/>
                <w:szCs w:val="18"/>
                <w:lang w:val="fr-FR"/>
              </w:rPr>
              <w:t>irrégularités.</w:t>
            </w:r>
          </w:p>
          <w:p w14:paraId="03B79C2F" w14:textId="4CAAD77B" w:rsidR="00631D94" w:rsidRPr="003C6F9F" w:rsidRDefault="00631D94" w:rsidP="00386B6C">
            <w:pPr>
              <w:tabs>
                <w:tab w:val="left" w:pos="0"/>
                <w:tab w:val="left" w:pos="567"/>
              </w:tabs>
              <w:rPr>
                <w:b/>
                <w:sz w:val="18"/>
                <w:szCs w:val="18"/>
                <w:u w:val="single"/>
                <w:lang w:val="fr-FR"/>
              </w:rPr>
            </w:pPr>
          </w:p>
        </w:tc>
        <w:tc>
          <w:tcPr>
            <w:tcW w:w="2910" w:type="dxa"/>
          </w:tcPr>
          <w:p w14:paraId="04725014" w14:textId="11C197EB" w:rsidR="003B21A9" w:rsidRPr="003C6F9F" w:rsidRDefault="006E6CFE" w:rsidP="00386B6C">
            <w:pPr>
              <w:tabs>
                <w:tab w:val="left" w:pos="0"/>
                <w:tab w:val="left" w:pos="567"/>
              </w:tabs>
              <w:rPr>
                <w:b/>
                <w:sz w:val="18"/>
                <w:szCs w:val="18"/>
                <w:u w:val="single"/>
                <w:lang w:val="fr-FR"/>
              </w:rPr>
            </w:pPr>
            <w:r w:rsidRPr="003C6F9F">
              <w:rPr>
                <w:strike/>
                <w:sz w:val="18"/>
                <w:szCs w:val="18"/>
                <w:lang w:val="fr-FR"/>
              </w:rPr>
              <w:t>c) La communication d</w:t>
            </w:r>
            <w:r w:rsidR="002E77DC" w:rsidRPr="003C6F9F">
              <w:rPr>
                <w:strike/>
                <w:sz w:val="18"/>
                <w:szCs w:val="18"/>
                <w:lang w:val="fr-FR"/>
              </w:rPr>
              <w:t>’</w:t>
            </w:r>
            <w:r w:rsidRPr="003C6F9F">
              <w:rPr>
                <w:strike/>
                <w:sz w:val="18"/>
                <w:szCs w:val="18"/>
                <w:lang w:val="fr-FR"/>
              </w:rPr>
              <w:t>informations se fait par l</w:t>
            </w:r>
            <w:r w:rsidR="002E77DC" w:rsidRPr="003C6F9F">
              <w:rPr>
                <w:strike/>
                <w:sz w:val="18"/>
                <w:szCs w:val="18"/>
                <w:lang w:val="fr-FR"/>
              </w:rPr>
              <w:t>’</w:t>
            </w:r>
            <w:r w:rsidRPr="003C6F9F">
              <w:rPr>
                <w:strike/>
                <w:sz w:val="18"/>
                <w:szCs w:val="18"/>
                <w:lang w:val="fr-FR"/>
              </w:rPr>
              <w:t>un quelconque des canaux établis suivants</w:t>
            </w:r>
            <w:r w:rsidR="002E77DC" w:rsidRPr="003C6F9F">
              <w:rPr>
                <w:strike/>
                <w:sz w:val="18"/>
                <w:szCs w:val="18"/>
                <w:lang w:val="fr-FR"/>
              </w:rPr>
              <w:t> :</w:t>
            </w:r>
            <w:r w:rsidRPr="003C6F9F">
              <w:rPr>
                <w:strike/>
                <w:sz w:val="18"/>
                <w:szCs w:val="18"/>
                <w:lang w:val="fr-FR"/>
              </w:rPr>
              <w:t xml:space="preserve"> à un supérieur hiérarchique, au Cabinet du Directeur général, au directeur de la Division de la supervision interne ou au président du Comité de coordination, qui préserve l</w:t>
            </w:r>
            <w:r w:rsidR="002E77DC" w:rsidRPr="003C6F9F">
              <w:rPr>
                <w:strike/>
                <w:sz w:val="18"/>
                <w:szCs w:val="18"/>
                <w:lang w:val="fr-FR"/>
              </w:rPr>
              <w:t>’</w:t>
            </w:r>
            <w:r w:rsidRPr="003C6F9F">
              <w:rPr>
                <w:strike/>
                <w:sz w:val="18"/>
                <w:szCs w:val="18"/>
                <w:lang w:val="fr-FR"/>
              </w:rPr>
              <w:t>anonymat du fonctionnaire intéres</w:t>
            </w:r>
            <w:r w:rsidR="0011693D" w:rsidRPr="003C6F9F">
              <w:rPr>
                <w:strike/>
                <w:sz w:val="18"/>
                <w:szCs w:val="18"/>
                <w:lang w:val="fr-FR"/>
              </w:rPr>
              <w:t>sé.  Le</w:t>
            </w:r>
            <w:r w:rsidRPr="003C6F9F">
              <w:rPr>
                <w:strike/>
                <w:sz w:val="18"/>
                <w:szCs w:val="18"/>
                <w:lang w:val="fr-FR"/>
              </w:rPr>
              <w:t xml:space="preserve"> Bureau international édicte des dispositions concernant le signalement d</w:t>
            </w:r>
            <w:r w:rsidR="002E77DC" w:rsidRPr="003C6F9F">
              <w:rPr>
                <w:strike/>
                <w:sz w:val="18"/>
                <w:szCs w:val="18"/>
                <w:lang w:val="fr-FR"/>
              </w:rPr>
              <w:t>’</w:t>
            </w:r>
            <w:r w:rsidRPr="003C6F9F">
              <w:rPr>
                <w:strike/>
                <w:sz w:val="18"/>
                <w:szCs w:val="18"/>
                <w:lang w:val="fr-FR"/>
              </w:rPr>
              <w:t>irrégularit</w:t>
            </w:r>
            <w:r w:rsidR="0011693D" w:rsidRPr="003C6F9F">
              <w:rPr>
                <w:strike/>
                <w:sz w:val="18"/>
                <w:szCs w:val="18"/>
                <w:lang w:val="fr-FR"/>
              </w:rPr>
              <w:t xml:space="preserve">és.  </w:t>
            </w:r>
            <w:r w:rsidR="0011693D" w:rsidRPr="003C6F9F">
              <w:rPr>
                <w:b/>
                <w:sz w:val="18"/>
                <w:szCs w:val="18"/>
                <w:u w:val="single"/>
                <w:lang w:val="fr-FR"/>
              </w:rPr>
              <w:t>Le</w:t>
            </w:r>
            <w:r w:rsidRPr="003C6F9F">
              <w:rPr>
                <w:b/>
                <w:sz w:val="18"/>
                <w:szCs w:val="18"/>
                <w:u w:val="single"/>
                <w:lang w:val="fr-FR"/>
              </w:rPr>
              <w:t>s fonctionnaires signale</w:t>
            </w:r>
            <w:r w:rsidR="00317D5F" w:rsidRPr="003C6F9F">
              <w:rPr>
                <w:b/>
                <w:sz w:val="18"/>
                <w:szCs w:val="18"/>
                <w:u w:val="single"/>
                <w:lang w:val="fr-FR"/>
              </w:rPr>
              <w:t>nt</w:t>
            </w:r>
            <w:r w:rsidRPr="003C6F9F">
              <w:rPr>
                <w:b/>
                <w:sz w:val="18"/>
                <w:szCs w:val="18"/>
                <w:u w:val="single"/>
                <w:lang w:val="fr-FR"/>
              </w:rPr>
              <w:t xml:space="preserve"> les irrégularités présumées au directeur de la Division de la supervision interne</w:t>
            </w:r>
            <w:r w:rsidR="00317D5F" w:rsidRPr="003C6F9F">
              <w:rPr>
                <w:b/>
                <w:sz w:val="18"/>
                <w:szCs w:val="18"/>
                <w:u w:val="single"/>
                <w:lang w:val="fr-FR"/>
              </w:rPr>
              <w:t>,</w:t>
            </w:r>
            <w:r w:rsidRPr="003C6F9F">
              <w:rPr>
                <w:b/>
                <w:sz w:val="18"/>
                <w:szCs w:val="18"/>
                <w:u w:val="single"/>
                <w:lang w:val="fr-FR"/>
              </w:rPr>
              <w:t xml:space="preserve"> ou à un supérieur hiérarchique, qui en informe immédiatement le directeur de la Division de la supervision inter</w:t>
            </w:r>
            <w:r w:rsidR="0011693D" w:rsidRPr="003C6F9F">
              <w:rPr>
                <w:b/>
                <w:sz w:val="18"/>
                <w:szCs w:val="18"/>
                <w:u w:val="single"/>
                <w:lang w:val="fr-FR"/>
              </w:rPr>
              <w:t>ne.  Le</w:t>
            </w:r>
            <w:r w:rsidR="00CD7656" w:rsidRPr="003C6F9F">
              <w:rPr>
                <w:b/>
                <w:sz w:val="18"/>
                <w:szCs w:val="18"/>
                <w:u w:val="single"/>
                <w:lang w:val="fr-FR"/>
              </w:rPr>
              <w:t xml:space="preserve">s </w:t>
            </w:r>
            <w:r w:rsidR="00317D5F" w:rsidRPr="003C6F9F">
              <w:rPr>
                <w:b/>
                <w:sz w:val="18"/>
                <w:szCs w:val="18"/>
                <w:u w:val="single"/>
                <w:lang w:val="fr-FR"/>
              </w:rPr>
              <w:t>signalements</w:t>
            </w:r>
            <w:r w:rsidR="00CD7656" w:rsidRPr="003C6F9F">
              <w:rPr>
                <w:b/>
                <w:sz w:val="18"/>
                <w:szCs w:val="18"/>
                <w:u w:val="single"/>
                <w:lang w:val="fr-FR"/>
              </w:rPr>
              <w:t xml:space="preserve"> transmis</w:t>
            </w:r>
            <w:r w:rsidR="00CD7656" w:rsidRPr="003C6F9F">
              <w:rPr>
                <w:sz w:val="18"/>
                <w:szCs w:val="18"/>
                <w:lang w:val="fr-FR"/>
              </w:rPr>
              <w:t xml:space="preserve"> </w:t>
            </w:r>
            <w:r w:rsidR="00CD7656" w:rsidRPr="003C6F9F">
              <w:rPr>
                <w:b/>
                <w:sz w:val="18"/>
                <w:szCs w:val="18"/>
                <w:u w:val="single"/>
                <w:lang w:val="fr-FR"/>
              </w:rPr>
              <w:t xml:space="preserve">au directeur de la Division de la supervision interne </w:t>
            </w:r>
            <w:r w:rsidR="00317D5F" w:rsidRPr="003C6F9F">
              <w:rPr>
                <w:b/>
                <w:sz w:val="18"/>
                <w:szCs w:val="18"/>
                <w:u w:val="single"/>
                <w:lang w:val="fr-FR"/>
              </w:rPr>
              <w:t xml:space="preserve">sont reçus à titre confidentiel </w:t>
            </w:r>
            <w:r w:rsidR="00CD7656" w:rsidRPr="003C6F9F">
              <w:rPr>
                <w:b/>
                <w:sz w:val="18"/>
                <w:szCs w:val="18"/>
                <w:u w:val="single"/>
                <w:lang w:val="fr-FR"/>
              </w:rPr>
              <w:t>et peuvent également être déposés de manière anony</w:t>
            </w:r>
            <w:r w:rsidR="0011693D" w:rsidRPr="003C6F9F">
              <w:rPr>
                <w:b/>
                <w:sz w:val="18"/>
                <w:szCs w:val="18"/>
                <w:u w:val="single"/>
                <w:lang w:val="fr-FR"/>
              </w:rPr>
              <w:t>me.  Le</w:t>
            </w:r>
            <w:r w:rsidR="00CD7656" w:rsidRPr="003C6F9F">
              <w:rPr>
                <w:b/>
                <w:sz w:val="18"/>
                <w:szCs w:val="18"/>
                <w:u w:val="single"/>
                <w:lang w:val="fr-FR"/>
              </w:rPr>
              <w:t>s allégations d</w:t>
            </w:r>
            <w:r w:rsidR="002E77DC" w:rsidRPr="003C6F9F">
              <w:rPr>
                <w:b/>
                <w:sz w:val="18"/>
                <w:szCs w:val="18"/>
                <w:u w:val="single"/>
                <w:lang w:val="fr-FR"/>
              </w:rPr>
              <w:t>’</w:t>
            </w:r>
            <w:r w:rsidR="00CD7656" w:rsidRPr="003C6F9F">
              <w:rPr>
                <w:b/>
                <w:sz w:val="18"/>
                <w:szCs w:val="18"/>
                <w:u w:val="single"/>
                <w:lang w:val="fr-FR"/>
              </w:rPr>
              <w:t>irrégularités à l</w:t>
            </w:r>
            <w:r w:rsidR="002E77DC" w:rsidRPr="003C6F9F">
              <w:rPr>
                <w:b/>
                <w:sz w:val="18"/>
                <w:szCs w:val="18"/>
                <w:u w:val="single"/>
                <w:lang w:val="fr-FR"/>
              </w:rPr>
              <w:t>’</w:t>
            </w:r>
            <w:r w:rsidR="00CD7656" w:rsidRPr="003C6F9F">
              <w:rPr>
                <w:b/>
                <w:sz w:val="18"/>
                <w:szCs w:val="18"/>
                <w:u w:val="single"/>
                <w:lang w:val="fr-FR"/>
              </w:rPr>
              <w:t>encontre du directeur de la Division de la supervision interne sont communiquées au Directeur génér</w:t>
            </w:r>
            <w:r w:rsidR="0011693D" w:rsidRPr="003C6F9F">
              <w:rPr>
                <w:b/>
                <w:sz w:val="18"/>
                <w:szCs w:val="18"/>
                <w:u w:val="single"/>
                <w:lang w:val="fr-FR"/>
              </w:rPr>
              <w:t>al.  Si</w:t>
            </w:r>
            <w:r w:rsidR="00CD7656" w:rsidRPr="003C6F9F">
              <w:rPr>
                <w:b/>
                <w:sz w:val="18"/>
                <w:szCs w:val="18"/>
                <w:u w:val="single"/>
                <w:lang w:val="fr-FR"/>
              </w:rPr>
              <w:t xml:space="preserve"> le directeur de la Division de la supervision interne n</w:t>
            </w:r>
            <w:r w:rsidR="002E77DC" w:rsidRPr="003C6F9F">
              <w:rPr>
                <w:b/>
                <w:sz w:val="18"/>
                <w:szCs w:val="18"/>
                <w:u w:val="single"/>
                <w:lang w:val="fr-FR"/>
              </w:rPr>
              <w:t>’</w:t>
            </w:r>
            <w:r w:rsidR="00CD7656" w:rsidRPr="003C6F9F">
              <w:rPr>
                <w:b/>
                <w:sz w:val="18"/>
                <w:szCs w:val="18"/>
                <w:u w:val="single"/>
                <w:lang w:val="fr-FR"/>
              </w:rPr>
              <w:t>a pris aucune mesure dans un délai de six mois, les fonctionnaires peuvent également en informer le Directeur général ou le président du Comité de coordination.</w:t>
            </w:r>
          </w:p>
          <w:p w14:paraId="35EF6E5F" w14:textId="30A6A770" w:rsidR="00E7588F" w:rsidRPr="003C6F9F" w:rsidRDefault="00E7588F" w:rsidP="00386B6C">
            <w:pPr>
              <w:tabs>
                <w:tab w:val="left" w:pos="0"/>
                <w:tab w:val="left" w:pos="567"/>
              </w:tabs>
              <w:rPr>
                <w:b/>
                <w:sz w:val="18"/>
                <w:szCs w:val="18"/>
                <w:u w:val="single"/>
                <w:lang w:val="fr-FR"/>
              </w:rPr>
            </w:pPr>
          </w:p>
        </w:tc>
        <w:tc>
          <w:tcPr>
            <w:tcW w:w="2375" w:type="dxa"/>
          </w:tcPr>
          <w:p w14:paraId="3D6A0E4D" w14:textId="7FE9ED73" w:rsidR="00631D94" w:rsidRPr="003C6F9F" w:rsidRDefault="00CD7656" w:rsidP="00386B6C">
            <w:pPr>
              <w:tabs>
                <w:tab w:val="left" w:pos="0"/>
                <w:tab w:val="left" w:pos="567"/>
              </w:tabs>
              <w:rPr>
                <w:sz w:val="18"/>
                <w:szCs w:val="18"/>
                <w:lang w:val="fr-FR"/>
              </w:rPr>
            </w:pPr>
            <w:r w:rsidRPr="003C6F9F">
              <w:rPr>
                <w:sz w:val="18"/>
                <w:szCs w:val="18"/>
                <w:lang w:val="fr-FR"/>
              </w:rPr>
              <w:t>L</w:t>
            </w:r>
            <w:r w:rsidR="002E77DC" w:rsidRPr="003C6F9F">
              <w:rPr>
                <w:sz w:val="18"/>
                <w:szCs w:val="18"/>
                <w:lang w:val="fr-FR"/>
              </w:rPr>
              <w:t>’</w:t>
            </w:r>
            <w:r w:rsidRPr="003C6F9F">
              <w:rPr>
                <w:sz w:val="18"/>
                <w:szCs w:val="18"/>
                <w:lang w:val="fr-FR"/>
              </w:rPr>
              <w:t>amendement est proposé pour ren</w:t>
            </w:r>
            <w:r w:rsidRPr="00656341">
              <w:rPr>
                <w:sz w:val="18"/>
                <w:szCs w:val="18"/>
                <w:lang w:val="fr-FR"/>
              </w:rPr>
              <w:t>forcer le</w:t>
            </w:r>
            <w:r w:rsidR="00656341">
              <w:rPr>
                <w:sz w:val="18"/>
                <w:szCs w:val="18"/>
                <w:lang w:val="fr-FR"/>
              </w:rPr>
              <w:t xml:space="preserve"> signalement d</w:t>
            </w:r>
            <w:r w:rsidRPr="003C6F9F">
              <w:rPr>
                <w:sz w:val="18"/>
                <w:szCs w:val="18"/>
                <w:lang w:val="fr-FR"/>
              </w:rPr>
              <w:t xml:space="preserve">es irrégularités en </w:t>
            </w:r>
            <w:r w:rsidR="00317D5F" w:rsidRPr="003C6F9F">
              <w:rPr>
                <w:sz w:val="18"/>
                <w:szCs w:val="18"/>
                <w:lang w:val="fr-FR"/>
              </w:rPr>
              <w:t>affirmant</w:t>
            </w:r>
            <w:r w:rsidRPr="003C6F9F">
              <w:rPr>
                <w:sz w:val="18"/>
                <w:szCs w:val="18"/>
                <w:lang w:val="fr-FR"/>
              </w:rPr>
              <w:t xml:space="preserve"> le rôle de la Division de la supervision interne en tant que canal à utiliser en premier lieu pour le signalement d</w:t>
            </w:r>
            <w:r w:rsidR="002E77DC" w:rsidRPr="003C6F9F">
              <w:rPr>
                <w:sz w:val="18"/>
                <w:szCs w:val="18"/>
                <w:lang w:val="fr-FR"/>
              </w:rPr>
              <w:t>’</w:t>
            </w:r>
            <w:r w:rsidRPr="003C6F9F">
              <w:rPr>
                <w:sz w:val="18"/>
                <w:szCs w:val="18"/>
                <w:lang w:val="fr-FR"/>
              </w:rPr>
              <w:t>allégations.</w:t>
            </w:r>
            <w:r w:rsidR="006A635B" w:rsidRPr="003C6F9F">
              <w:rPr>
                <w:sz w:val="18"/>
                <w:szCs w:val="18"/>
                <w:lang w:val="fr-FR"/>
              </w:rPr>
              <w:t xml:space="preserve"> </w:t>
            </w:r>
            <w:r w:rsidR="00D018E0" w:rsidRPr="003C6F9F">
              <w:rPr>
                <w:sz w:val="18"/>
                <w:szCs w:val="18"/>
                <w:lang w:val="fr-FR"/>
              </w:rPr>
              <w:t xml:space="preserve"> </w:t>
            </w:r>
          </w:p>
        </w:tc>
      </w:tr>
    </w:tbl>
    <w:p w14:paraId="3076C152" w14:textId="77777777" w:rsidR="003B21A9" w:rsidRPr="003C6F9F" w:rsidRDefault="003B21A9" w:rsidP="00386B6C">
      <w:pPr>
        <w:pStyle w:val="ListParagraph"/>
        <w:tabs>
          <w:tab w:val="left" w:pos="0"/>
          <w:tab w:val="left" w:pos="567"/>
        </w:tabs>
        <w:ind w:left="0"/>
        <w:rPr>
          <w:szCs w:val="22"/>
          <w:lang w:val="fr-FR"/>
        </w:rPr>
      </w:pPr>
    </w:p>
    <w:p w14:paraId="6361DE21" w14:textId="02735689" w:rsidR="003B21A9" w:rsidRPr="003C6F9F" w:rsidRDefault="00CD7656" w:rsidP="00386B6C">
      <w:pPr>
        <w:pStyle w:val="ONUMFS"/>
        <w:rPr>
          <w:szCs w:val="22"/>
          <w:lang w:val="fr-FR"/>
        </w:rPr>
      </w:pPr>
      <w:r w:rsidRPr="003C6F9F">
        <w:rPr>
          <w:lang w:val="fr-FR"/>
        </w:rPr>
        <w:t>Le Secrétariat de l</w:t>
      </w:r>
      <w:r w:rsidR="002E77DC" w:rsidRPr="003C6F9F">
        <w:rPr>
          <w:lang w:val="fr-FR"/>
        </w:rPr>
        <w:t>’</w:t>
      </w:r>
      <w:r w:rsidRPr="003C6F9F">
        <w:rPr>
          <w:lang w:val="fr-FR"/>
        </w:rPr>
        <w:t>OMPI a émis des réserves concernant le nouveau libellé de l</w:t>
      </w:r>
      <w:r w:rsidR="002E77DC" w:rsidRPr="003C6F9F">
        <w:rPr>
          <w:lang w:val="fr-FR"/>
        </w:rPr>
        <w:t>’article 1</w:t>
      </w:r>
      <w:r w:rsidRPr="003C6F9F">
        <w:rPr>
          <w:lang w:val="fr-FR"/>
        </w:rPr>
        <w:t>.7.c) qui, dans sa dernière phrase, stipule que</w:t>
      </w:r>
      <w:r w:rsidR="002E77DC" w:rsidRPr="003C6F9F">
        <w:rPr>
          <w:lang w:val="fr-FR"/>
        </w:rPr>
        <w:t> :</w:t>
      </w:r>
      <w:r w:rsidRPr="003C6F9F">
        <w:rPr>
          <w:lang w:val="fr-FR"/>
        </w:rPr>
        <w:t xml:space="preserve"> </w:t>
      </w:r>
      <w:r w:rsidR="008A4E85">
        <w:rPr>
          <w:lang w:val="fr-FR"/>
        </w:rPr>
        <w:t>“</w:t>
      </w:r>
      <w:r w:rsidRPr="003C6F9F">
        <w:rPr>
          <w:lang w:val="fr-FR"/>
        </w:rPr>
        <w:t>Si le directeur de la Division de la supervision interne n</w:t>
      </w:r>
      <w:r w:rsidR="002E77DC" w:rsidRPr="003C6F9F">
        <w:rPr>
          <w:lang w:val="fr-FR"/>
        </w:rPr>
        <w:t>’</w:t>
      </w:r>
      <w:r w:rsidRPr="003C6F9F">
        <w:rPr>
          <w:lang w:val="fr-FR"/>
        </w:rPr>
        <w:t>a pris aucune mesure dans un délai de six mois, les fonctionnaires peuvent également en informer le Directeur général ou le président du Comité de coordination</w:t>
      </w:r>
      <w:r w:rsidR="008A4E85">
        <w:rPr>
          <w:lang w:val="fr-FR"/>
        </w:rPr>
        <w:t>”</w:t>
      </w:r>
      <w:r w:rsidRPr="003C6F9F">
        <w:rPr>
          <w:lang w:val="fr-FR"/>
        </w:rPr>
        <w:t>.</w:t>
      </w:r>
      <w:r w:rsidR="00D018E0" w:rsidRPr="003C6F9F">
        <w:rPr>
          <w:lang w:val="fr-FR"/>
        </w:rPr>
        <w:t xml:space="preserve"> </w:t>
      </w:r>
      <w:r w:rsidR="006F341F" w:rsidRPr="003C6F9F">
        <w:rPr>
          <w:lang w:val="fr-FR"/>
        </w:rPr>
        <w:t xml:space="preserve"> </w:t>
      </w:r>
      <w:r w:rsidR="00526B57" w:rsidRPr="003C6F9F">
        <w:rPr>
          <w:lang w:val="fr-FR"/>
        </w:rPr>
        <w:t>Le Secrétariat a indiqué que, ainsi qu</w:t>
      </w:r>
      <w:r w:rsidR="002E77DC" w:rsidRPr="003C6F9F">
        <w:rPr>
          <w:lang w:val="fr-FR"/>
        </w:rPr>
        <w:t>’</w:t>
      </w:r>
      <w:r w:rsidR="00526B57" w:rsidRPr="003C6F9F">
        <w:rPr>
          <w:lang w:val="fr-FR"/>
        </w:rPr>
        <w:t>il l</w:t>
      </w:r>
      <w:r w:rsidR="002E77DC" w:rsidRPr="003C6F9F">
        <w:rPr>
          <w:lang w:val="fr-FR"/>
        </w:rPr>
        <w:t>’</w:t>
      </w:r>
      <w:r w:rsidR="00526B57" w:rsidRPr="003C6F9F">
        <w:rPr>
          <w:lang w:val="fr-FR"/>
        </w:rPr>
        <w:t>a fait valoir dans ses observations à l</w:t>
      </w:r>
      <w:r w:rsidR="002E77DC" w:rsidRPr="003C6F9F">
        <w:rPr>
          <w:lang w:val="fr-FR"/>
        </w:rPr>
        <w:t>’</w:t>
      </w:r>
      <w:r w:rsidR="00526B57" w:rsidRPr="003C6F9F">
        <w:rPr>
          <w:lang w:val="fr-FR"/>
        </w:rPr>
        <w:t>OCIS, la disposition est incompatible avec la Charte de la supervision interne et avec la Politique de l</w:t>
      </w:r>
      <w:r w:rsidR="002E77DC" w:rsidRPr="003C6F9F">
        <w:rPr>
          <w:lang w:val="fr-FR"/>
        </w:rPr>
        <w:t>’</w:t>
      </w:r>
      <w:r w:rsidR="00526B57" w:rsidRPr="003C6F9F">
        <w:rPr>
          <w:lang w:val="fr-FR"/>
        </w:rPr>
        <w:t>OMPI en matière d</w:t>
      </w:r>
      <w:r w:rsidR="002E77DC" w:rsidRPr="003C6F9F">
        <w:rPr>
          <w:lang w:val="fr-FR"/>
        </w:rPr>
        <w:t>’</w:t>
      </w:r>
      <w:r w:rsidR="00526B57" w:rsidRPr="003C6F9F">
        <w:rPr>
          <w:lang w:val="fr-FR"/>
        </w:rPr>
        <w:t>enquêtes pour ce qui concerne la confidentialité des questions faisant l</w:t>
      </w:r>
      <w:r w:rsidR="002E77DC" w:rsidRPr="003C6F9F">
        <w:rPr>
          <w:lang w:val="fr-FR"/>
        </w:rPr>
        <w:t>’</w:t>
      </w:r>
      <w:r w:rsidR="00526B57" w:rsidRPr="003C6F9F">
        <w:rPr>
          <w:lang w:val="fr-FR"/>
        </w:rPr>
        <w:t>objet de l</w:t>
      </w:r>
      <w:r w:rsidR="002E77DC" w:rsidRPr="003C6F9F">
        <w:rPr>
          <w:lang w:val="fr-FR"/>
        </w:rPr>
        <w:t>’</w:t>
      </w:r>
      <w:r w:rsidR="00526B57" w:rsidRPr="003C6F9F">
        <w:rPr>
          <w:lang w:val="fr-FR"/>
        </w:rPr>
        <w:t>enquê</w:t>
      </w:r>
      <w:r w:rsidR="0011693D" w:rsidRPr="003C6F9F">
        <w:rPr>
          <w:lang w:val="fr-FR"/>
        </w:rPr>
        <w:t>te.  En</w:t>
      </w:r>
      <w:r w:rsidR="00317D5F" w:rsidRPr="003C6F9F">
        <w:rPr>
          <w:lang w:val="fr-FR"/>
        </w:rPr>
        <w:t xml:space="preserve"> effet</w:t>
      </w:r>
      <w:r w:rsidR="00526B57" w:rsidRPr="003C6F9F">
        <w:rPr>
          <w:lang w:val="fr-FR"/>
        </w:rPr>
        <w:t>, la disposition proposée part du principe que le fonctionnaire doit être informé</w:t>
      </w:r>
      <w:r w:rsidR="00386B6C">
        <w:rPr>
          <w:lang w:val="fr-FR"/>
        </w:rPr>
        <w:t>,</w:t>
      </w:r>
      <w:r w:rsidR="00526B57" w:rsidRPr="003C6F9F">
        <w:rPr>
          <w:lang w:val="fr-FR"/>
        </w:rPr>
        <w:t xml:space="preserve"> à un stade donné</w:t>
      </w:r>
      <w:r w:rsidR="00386B6C">
        <w:rPr>
          <w:lang w:val="fr-FR"/>
        </w:rPr>
        <w:t>,</w:t>
      </w:r>
      <w:r w:rsidR="00526B57" w:rsidRPr="003C6F9F">
        <w:rPr>
          <w:lang w:val="fr-FR"/>
        </w:rPr>
        <w:t xml:space="preserve"> des mesures prises par</w:t>
      </w:r>
      <w:r w:rsidR="002E77DC" w:rsidRPr="003C6F9F">
        <w:rPr>
          <w:lang w:val="fr-FR"/>
        </w:rPr>
        <w:t xml:space="preserve"> la DSI</w:t>
      </w:r>
      <w:r w:rsidR="00526B57" w:rsidRPr="003C6F9F">
        <w:rPr>
          <w:lang w:val="fr-FR"/>
        </w:rPr>
        <w:t xml:space="preserve"> </w:t>
      </w:r>
      <w:r w:rsidR="00317D5F" w:rsidRPr="003C6F9F">
        <w:rPr>
          <w:lang w:val="fr-FR"/>
        </w:rPr>
        <w:t>à l</w:t>
      </w:r>
      <w:r w:rsidR="002E77DC" w:rsidRPr="003C6F9F">
        <w:rPr>
          <w:lang w:val="fr-FR"/>
        </w:rPr>
        <w:t>’</w:t>
      </w:r>
      <w:r w:rsidR="00317D5F" w:rsidRPr="003C6F9F">
        <w:rPr>
          <w:lang w:val="fr-FR"/>
        </w:rPr>
        <w:t>issue</w:t>
      </w:r>
      <w:r w:rsidR="00526B57" w:rsidRPr="003C6F9F">
        <w:rPr>
          <w:lang w:val="fr-FR"/>
        </w:rPr>
        <w:t xml:space="preserve"> d</w:t>
      </w:r>
      <w:r w:rsidR="002E77DC" w:rsidRPr="003C6F9F">
        <w:rPr>
          <w:lang w:val="fr-FR"/>
        </w:rPr>
        <w:t>’</w:t>
      </w:r>
      <w:r w:rsidR="00526B57" w:rsidRPr="003C6F9F">
        <w:rPr>
          <w:lang w:val="fr-FR"/>
        </w:rPr>
        <w:t>u</w:t>
      </w:r>
      <w:r w:rsidR="00317D5F" w:rsidRPr="003C6F9F">
        <w:rPr>
          <w:lang w:val="fr-FR"/>
        </w:rPr>
        <w:t>n signalement d</w:t>
      </w:r>
      <w:r w:rsidR="002E77DC" w:rsidRPr="003C6F9F">
        <w:rPr>
          <w:lang w:val="fr-FR"/>
        </w:rPr>
        <w:t>’</w:t>
      </w:r>
      <w:r w:rsidR="00526B57" w:rsidRPr="003C6F9F">
        <w:rPr>
          <w:lang w:val="fr-FR"/>
        </w:rPr>
        <w:t>irrégularité</w:t>
      </w:r>
      <w:r w:rsidR="00317D5F" w:rsidRPr="003C6F9F">
        <w:rPr>
          <w:lang w:val="fr-FR"/>
        </w:rPr>
        <w:t>s</w:t>
      </w:r>
      <w:r w:rsidR="00526B57" w:rsidRPr="003C6F9F">
        <w:rPr>
          <w:lang w:val="fr-FR"/>
        </w:rPr>
        <w:t xml:space="preserve"> </w:t>
      </w:r>
      <w:r w:rsidR="00317D5F" w:rsidRPr="003C6F9F">
        <w:rPr>
          <w:lang w:val="fr-FR"/>
        </w:rPr>
        <w:t>tandi</w:t>
      </w:r>
      <w:r w:rsidR="00526B57" w:rsidRPr="003C6F9F">
        <w:rPr>
          <w:lang w:val="fr-FR"/>
        </w:rPr>
        <w:t>s que, pour des raisons de confidentialité, le directeur de</w:t>
      </w:r>
      <w:r w:rsidR="002E77DC" w:rsidRPr="003C6F9F">
        <w:rPr>
          <w:lang w:val="fr-FR"/>
        </w:rPr>
        <w:t xml:space="preserve"> la DSI</w:t>
      </w:r>
      <w:r w:rsidR="00526B57" w:rsidRPr="003C6F9F">
        <w:rPr>
          <w:lang w:val="fr-FR"/>
        </w:rPr>
        <w:t xml:space="preserve"> n</w:t>
      </w:r>
      <w:r w:rsidR="002E77DC" w:rsidRPr="003C6F9F">
        <w:rPr>
          <w:lang w:val="fr-FR"/>
        </w:rPr>
        <w:t>’</w:t>
      </w:r>
      <w:r w:rsidR="00526B57" w:rsidRPr="003C6F9F">
        <w:rPr>
          <w:lang w:val="fr-FR"/>
        </w:rPr>
        <w:t>est peut</w:t>
      </w:r>
      <w:r w:rsidR="00656341">
        <w:rPr>
          <w:lang w:val="fr-FR"/>
        </w:rPr>
        <w:noBreakHyphen/>
      </w:r>
      <w:r w:rsidR="00526B57" w:rsidRPr="003C6F9F">
        <w:rPr>
          <w:lang w:val="fr-FR"/>
        </w:rPr>
        <w:t>être pas en mesure de communiquer ces informations au fonctionnai</w:t>
      </w:r>
      <w:r w:rsidR="0011693D" w:rsidRPr="003C6F9F">
        <w:rPr>
          <w:lang w:val="fr-FR"/>
        </w:rPr>
        <w:t>re.  Le</w:t>
      </w:r>
      <w:r w:rsidR="00526B57" w:rsidRPr="003C6F9F">
        <w:rPr>
          <w:lang w:val="fr-FR"/>
        </w:rPr>
        <w:t xml:space="preserve"> Secrétariat est également d</w:t>
      </w:r>
      <w:r w:rsidR="002E77DC" w:rsidRPr="003C6F9F">
        <w:rPr>
          <w:lang w:val="fr-FR"/>
        </w:rPr>
        <w:t>’</w:t>
      </w:r>
      <w:r w:rsidR="00526B57" w:rsidRPr="003C6F9F">
        <w:rPr>
          <w:lang w:val="fr-FR"/>
        </w:rPr>
        <w:t>avis qu</w:t>
      </w:r>
      <w:r w:rsidR="002E77DC" w:rsidRPr="003C6F9F">
        <w:rPr>
          <w:lang w:val="fr-FR"/>
        </w:rPr>
        <w:t>’</w:t>
      </w:r>
      <w:r w:rsidR="00526B57" w:rsidRPr="003C6F9F">
        <w:rPr>
          <w:lang w:val="fr-FR"/>
        </w:rPr>
        <w:t>il existe une certaine contradiction entre cette disposition et la Charte de la supervision interne, dans la mesure où la charte ne prévoit jamais que le fonctionnaire puisse s</w:t>
      </w:r>
      <w:r w:rsidR="002E77DC" w:rsidRPr="003C6F9F">
        <w:rPr>
          <w:lang w:val="fr-FR"/>
        </w:rPr>
        <w:t>’</w:t>
      </w:r>
      <w:r w:rsidR="00526B57" w:rsidRPr="003C6F9F">
        <w:rPr>
          <w:lang w:val="fr-FR"/>
        </w:rPr>
        <w:t>adresser directement au président du Comité de coordination, même si les allégations de fautes concernent le directeur de</w:t>
      </w:r>
      <w:r w:rsidR="002E77DC" w:rsidRPr="003C6F9F">
        <w:rPr>
          <w:lang w:val="fr-FR"/>
        </w:rPr>
        <w:t xml:space="preserve"> la DSI</w:t>
      </w:r>
      <w:r w:rsidR="00526B57" w:rsidRPr="003C6F9F">
        <w:rPr>
          <w:lang w:val="fr-FR"/>
        </w:rPr>
        <w:t xml:space="preserve"> ou le Directeur général.</w:t>
      </w:r>
    </w:p>
    <w:p w14:paraId="0C7807CF" w14:textId="45AB8842" w:rsidR="002E77DC" w:rsidRPr="003C6F9F" w:rsidRDefault="00526B57" w:rsidP="00386B6C">
      <w:pPr>
        <w:pStyle w:val="ONUMFS"/>
        <w:rPr>
          <w:lang w:val="fr-FR"/>
        </w:rPr>
      </w:pPr>
      <w:r w:rsidRPr="003C6F9F">
        <w:rPr>
          <w:lang w:val="fr-FR"/>
        </w:rPr>
        <w:t>Les propositions d</w:t>
      </w:r>
      <w:r w:rsidR="002E77DC" w:rsidRPr="003C6F9F">
        <w:rPr>
          <w:lang w:val="fr-FR"/>
        </w:rPr>
        <w:t>’</w:t>
      </w:r>
      <w:r w:rsidRPr="003C6F9F">
        <w:rPr>
          <w:lang w:val="fr-FR"/>
        </w:rPr>
        <w:t>amendements ont été établies avec l</w:t>
      </w:r>
      <w:r w:rsidR="002E77DC" w:rsidRPr="003C6F9F">
        <w:rPr>
          <w:lang w:val="fr-FR"/>
        </w:rPr>
        <w:t>’</w:t>
      </w:r>
      <w:r w:rsidRPr="003C6F9F">
        <w:rPr>
          <w:lang w:val="fr-FR"/>
        </w:rPr>
        <w:t>assistance technique du Secrétariat de l</w:t>
      </w:r>
      <w:r w:rsidR="002E77DC" w:rsidRPr="003C6F9F">
        <w:rPr>
          <w:lang w:val="fr-FR"/>
        </w:rPr>
        <w:t>’</w:t>
      </w:r>
      <w:r w:rsidRPr="003C6F9F">
        <w:rPr>
          <w:lang w:val="fr-FR"/>
        </w:rPr>
        <w:t>O</w:t>
      </w:r>
      <w:r w:rsidR="0011693D" w:rsidRPr="003C6F9F">
        <w:rPr>
          <w:lang w:val="fr-FR"/>
        </w:rPr>
        <w:t>MPI.  Le</w:t>
      </w:r>
      <w:r w:rsidRPr="003C6F9F">
        <w:rPr>
          <w:lang w:val="fr-FR"/>
        </w:rPr>
        <w:t>s observations reçues ont été prises en considération et la plupart des suggestions ont été intégrées a</w:t>
      </w:r>
      <w:r w:rsidR="00317D5F" w:rsidRPr="003C6F9F">
        <w:rPr>
          <w:lang w:val="fr-FR"/>
        </w:rPr>
        <w:t>u</w:t>
      </w:r>
      <w:r w:rsidRPr="003C6F9F">
        <w:rPr>
          <w:lang w:val="fr-FR"/>
        </w:rPr>
        <w:t xml:space="preserve"> présent rapport final.</w:t>
      </w:r>
      <w:r w:rsidR="001A2212" w:rsidRPr="003C6F9F">
        <w:rPr>
          <w:lang w:val="fr-FR"/>
        </w:rPr>
        <w:t xml:space="preserve">  </w:t>
      </w:r>
      <w:r w:rsidRPr="003C6F9F">
        <w:rPr>
          <w:lang w:val="fr-FR"/>
        </w:rPr>
        <w:t>L</w:t>
      </w:r>
      <w:r w:rsidR="002E77DC" w:rsidRPr="003C6F9F">
        <w:rPr>
          <w:lang w:val="fr-FR"/>
        </w:rPr>
        <w:t>’</w:t>
      </w:r>
      <w:r w:rsidRPr="003C6F9F">
        <w:rPr>
          <w:lang w:val="fr-FR"/>
        </w:rPr>
        <w:t xml:space="preserve">OCIS tient à </w:t>
      </w:r>
      <w:r w:rsidR="00317D5F" w:rsidRPr="003C6F9F">
        <w:rPr>
          <w:lang w:val="fr-FR"/>
        </w:rPr>
        <w:t>exprimer sa gratitude pour</w:t>
      </w:r>
      <w:r w:rsidRPr="003C6F9F">
        <w:rPr>
          <w:lang w:val="fr-FR"/>
        </w:rPr>
        <w:t xml:space="preserve"> les conseils juridiques et l</w:t>
      </w:r>
      <w:r w:rsidR="002E77DC" w:rsidRPr="003C6F9F">
        <w:rPr>
          <w:lang w:val="fr-FR"/>
        </w:rPr>
        <w:t>’</w:t>
      </w:r>
      <w:r w:rsidRPr="003C6F9F">
        <w:rPr>
          <w:lang w:val="fr-FR"/>
        </w:rPr>
        <w:t>assistance reç</w:t>
      </w:r>
      <w:r w:rsidR="0011693D" w:rsidRPr="003C6F9F">
        <w:rPr>
          <w:lang w:val="fr-FR"/>
        </w:rPr>
        <w:t>us.  Le</w:t>
      </w:r>
      <w:r w:rsidR="00BD2988" w:rsidRPr="003C6F9F">
        <w:rPr>
          <w:lang w:val="fr-FR"/>
        </w:rPr>
        <w:t xml:space="preserve"> </w:t>
      </w:r>
      <w:r w:rsidR="00317D5F" w:rsidRPr="003C6F9F">
        <w:rPr>
          <w:lang w:val="fr-FR"/>
        </w:rPr>
        <w:t xml:space="preserve">présent rapport, sous la forme de </w:t>
      </w:r>
      <w:r w:rsidR="00BD2988" w:rsidRPr="003C6F9F">
        <w:rPr>
          <w:lang w:val="fr-FR"/>
        </w:rPr>
        <w:t>projet</w:t>
      </w:r>
      <w:r w:rsidR="00317D5F" w:rsidRPr="003C6F9F">
        <w:rPr>
          <w:lang w:val="fr-FR"/>
        </w:rPr>
        <w:t>,</w:t>
      </w:r>
      <w:r w:rsidR="00BD2988" w:rsidRPr="003C6F9F">
        <w:rPr>
          <w:lang w:val="fr-FR"/>
        </w:rPr>
        <w:t xml:space="preserve"> a été partagé avec les coord</w:t>
      </w:r>
      <w:r w:rsidR="00317D5F" w:rsidRPr="003C6F9F">
        <w:rPr>
          <w:lang w:val="fr-FR"/>
        </w:rPr>
        <w:t>onnateurs des groupes régionaux</w:t>
      </w:r>
      <w:r w:rsidR="00BD2988" w:rsidRPr="003C6F9F">
        <w:rPr>
          <w:lang w:val="fr-FR"/>
        </w:rPr>
        <w:t xml:space="preserve"> en vue de la consultation des États membr</w:t>
      </w:r>
      <w:r w:rsidR="0011693D" w:rsidRPr="003C6F9F">
        <w:rPr>
          <w:lang w:val="fr-FR"/>
        </w:rPr>
        <w:t>es.  De</w:t>
      </w:r>
      <w:r w:rsidR="00BD2988" w:rsidRPr="003C6F9F">
        <w:rPr>
          <w:lang w:val="fr-FR"/>
        </w:rPr>
        <w:t xml:space="preserve">s </w:t>
      </w:r>
      <w:r w:rsidR="00BD2988" w:rsidRPr="003C6F9F">
        <w:rPr>
          <w:szCs w:val="22"/>
          <w:lang w:val="fr-FR"/>
        </w:rPr>
        <w:t>observations ont été transmises par deux </w:t>
      </w:r>
      <w:r w:rsidR="00BD2988" w:rsidRPr="003C6F9F">
        <w:rPr>
          <w:lang w:val="fr-FR"/>
        </w:rPr>
        <w:t>États membres</w:t>
      </w:r>
      <w:r w:rsidR="0078224A" w:rsidRPr="003C6F9F">
        <w:rPr>
          <w:lang w:val="fr-FR"/>
        </w:rPr>
        <w:t xml:space="preserve"> </w:t>
      </w:r>
      <w:r w:rsidR="00BD2988" w:rsidRPr="003C6F9F">
        <w:rPr>
          <w:lang w:val="fr-FR"/>
        </w:rPr>
        <w:t>et ont été prises en considération</w:t>
      </w:r>
      <w:r w:rsidR="000D6E0A" w:rsidRPr="003C6F9F">
        <w:rPr>
          <w:lang w:val="fr-FR"/>
        </w:rPr>
        <w:t xml:space="preserve"> pour l</w:t>
      </w:r>
      <w:r w:rsidR="002E77DC" w:rsidRPr="003C6F9F">
        <w:rPr>
          <w:lang w:val="fr-FR"/>
        </w:rPr>
        <w:t>’</w:t>
      </w:r>
      <w:r w:rsidR="000D6E0A" w:rsidRPr="003C6F9F">
        <w:rPr>
          <w:lang w:val="fr-FR"/>
        </w:rPr>
        <w:t>établissement du présent rap</w:t>
      </w:r>
      <w:r w:rsidR="0078224A" w:rsidRPr="003C6F9F">
        <w:rPr>
          <w:lang w:val="fr-FR"/>
        </w:rPr>
        <w:t>port</w:t>
      </w:r>
      <w:r w:rsidR="006F341F" w:rsidRPr="003C6F9F">
        <w:rPr>
          <w:lang w:val="fr-FR"/>
        </w:rPr>
        <w:t>.</w:t>
      </w:r>
    </w:p>
    <w:p w14:paraId="1FEF75BD" w14:textId="2D4DFF8A" w:rsidR="002E77DC" w:rsidRPr="003C6F9F" w:rsidRDefault="000D6E0A" w:rsidP="00386B6C">
      <w:pPr>
        <w:pStyle w:val="ONUMFS"/>
        <w:rPr>
          <w:lang w:val="fr-FR"/>
        </w:rPr>
      </w:pPr>
      <w:r w:rsidRPr="003C6F9F">
        <w:rPr>
          <w:szCs w:val="22"/>
          <w:lang w:val="fr-FR"/>
        </w:rPr>
        <w:t>Les propositions d</w:t>
      </w:r>
      <w:r w:rsidR="002E77DC" w:rsidRPr="003C6F9F">
        <w:rPr>
          <w:szCs w:val="22"/>
          <w:lang w:val="fr-FR"/>
        </w:rPr>
        <w:t>’</w:t>
      </w:r>
      <w:r w:rsidRPr="003C6F9F">
        <w:rPr>
          <w:szCs w:val="22"/>
          <w:lang w:val="fr-FR"/>
        </w:rPr>
        <w:t>amendements sont soumises à l</w:t>
      </w:r>
      <w:r w:rsidR="002E77DC" w:rsidRPr="003C6F9F">
        <w:rPr>
          <w:szCs w:val="22"/>
          <w:lang w:val="fr-FR"/>
        </w:rPr>
        <w:t>’</w:t>
      </w:r>
      <w:r w:rsidRPr="003C6F9F">
        <w:rPr>
          <w:szCs w:val="22"/>
          <w:lang w:val="fr-FR"/>
        </w:rPr>
        <w:t xml:space="preserve">examen </w:t>
      </w:r>
      <w:r w:rsidRPr="003C6F9F">
        <w:rPr>
          <w:lang w:val="fr-FR"/>
        </w:rPr>
        <w:t>du Comité de coordination de l</w:t>
      </w:r>
      <w:r w:rsidR="002E77DC" w:rsidRPr="003C6F9F">
        <w:rPr>
          <w:lang w:val="fr-FR"/>
        </w:rPr>
        <w:t>’</w:t>
      </w:r>
      <w:r w:rsidRPr="003C6F9F">
        <w:rPr>
          <w:lang w:val="fr-FR"/>
        </w:rPr>
        <w:t>OMPI, aux fins de leur adoption</w:t>
      </w:r>
      <w:r w:rsidR="0078224A" w:rsidRPr="003C6F9F">
        <w:rPr>
          <w:lang w:val="fr-FR"/>
        </w:rPr>
        <w:t>.</w:t>
      </w:r>
    </w:p>
    <w:p w14:paraId="07A6F80F" w14:textId="4C4752E2" w:rsidR="003B21A9" w:rsidRPr="00EC3E81" w:rsidRDefault="000D6E0A" w:rsidP="00386B6C">
      <w:pPr>
        <w:pStyle w:val="ONUMFS"/>
        <w:ind w:left="5533"/>
        <w:rPr>
          <w:i/>
          <w:lang w:val="fr-FR"/>
        </w:rPr>
      </w:pPr>
      <w:r w:rsidRPr="00EC3E81">
        <w:rPr>
          <w:i/>
          <w:lang w:val="fr-FR"/>
        </w:rPr>
        <w:t>Le Comité de coordination de l</w:t>
      </w:r>
      <w:r w:rsidR="002E77DC" w:rsidRPr="00EC3E81">
        <w:rPr>
          <w:i/>
          <w:lang w:val="fr-FR"/>
        </w:rPr>
        <w:t>’</w:t>
      </w:r>
      <w:r w:rsidRPr="00EC3E81">
        <w:rPr>
          <w:i/>
          <w:lang w:val="fr-FR"/>
        </w:rPr>
        <w:t>OMPI est invité à examiner et</w:t>
      </w:r>
      <w:r w:rsidR="003B63E3" w:rsidRPr="00EC3E81">
        <w:rPr>
          <w:i/>
          <w:lang w:val="fr-FR"/>
        </w:rPr>
        <w:t xml:space="preserve"> adopt</w:t>
      </w:r>
      <w:r w:rsidRPr="00EC3E81">
        <w:rPr>
          <w:i/>
          <w:lang w:val="fr-FR"/>
        </w:rPr>
        <w:t xml:space="preserve">er la révision du Statut du personnel </w:t>
      </w:r>
      <w:r w:rsidR="003B63E3" w:rsidRPr="00EC3E81">
        <w:rPr>
          <w:i/>
          <w:lang w:val="fr-FR"/>
        </w:rPr>
        <w:t>propos</w:t>
      </w:r>
      <w:r w:rsidRPr="00EC3E81">
        <w:rPr>
          <w:i/>
          <w:lang w:val="fr-FR"/>
        </w:rPr>
        <w:t>ée</w:t>
      </w:r>
      <w:r w:rsidR="003B63E3" w:rsidRPr="00EC3E81">
        <w:rPr>
          <w:i/>
          <w:lang w:val="fr-FR"/>
        </w:rPr>
        <w:t xml:space="preserve"> </w:t>
      </w:r>
      <w:r w:rsidRPr="00EC3E81">
        <w:rPr>
          <w:i/>
          <w:lang w:val="fr-FR"/>
        </w:rPr>
        <w:t>par l</w:t>
      </w:r>
      <w:r w:rsidR="002E77DC" w:rsidRPr="00EC3E81">
        <w:rPr>
          <w:i/>
          <w:lang w:val="fr-FR"/>
        </w:rPr>
        <w:t>’</w:t>
      </w:r>
      <w:r w:rsidRPr="00EC3E81">
        <w:rPr>
          <w:i/>
          <w:lang w:val="fr-FR"/>
        </w:rPr>
        <w:t>OCIS dans l</w:t>
      </w:r>
      <w:r w:rsidR="003B63E3" w:rsidRPr="00EC3E81">
        <w:rPr>
          <w:i/>
          <w:lang w:val="fr-FR"/>
        </w:rPr>
        <w:t>e p</w:t>
      </w:r>
      <w:r w:rsidRPr="00EC3E81">
        <w:rPr>
          <w:i/>
          <w:lang w:val="fr-FR"/>
        </w:rPr>
        <w:t>ré</w:t>
      </w:r>
      <w:r w:rsidR="003B63E3" w:rsidRPr="00EC3E81">
        <w:rPr>
          <w:i/>
          <w:lang w:val="fr-FR"/>
        </w:rPr>
        <w:t>sent document.</w:t>
      </w:r>
    </w:p>
    <w:p w14:paraId="2B870ADA" w14:textId="77777777" w:rsidR="003B21A9" w:rsidRPr="003C6F9F" w:rsidRDefault="003B21A9" w:rsidP="00386B6C">
      <w:pPr>
        <w:pStyle w:val="Endofdocument-Annex"/>
        <w:rPr>
          <w:szCs w:val="22"/>
          <w:lang w:val="fr-FR"/>
        </w:rPr>
      </w:pPr>
    </w:p>
    <w:p w14:paraId="76B817E5" w14:textId="77777777" w:rsidR="003B21A9" w:rsidRPr="003C6F9F" w:rsidRDefault="003B21A9" w:rsidP="00386B6C">
      <w:pPr>
        <w:pStyle w:val="Endofdocument-Annex"/>
        <w:rPr>
          <w:szCs w:val="22"/>
          <w:lang w:val="fr-FR"/>
        </w:rPr>
      </w:pPr>
    </w:p>
    <w:p w14:paraId="7E1CBED9" w14:textId="6336FC52" w:rsidR="00037159" w:rsidRPr="003C6F9F" w:rsidRDefault="003647B0" w:rsidP="00386B6C">
      <w:pPr>
        <w:pStyle w:val="Endofdocument-Annex"/>
        <w:rPr>
          <w:szCs w:val="22"/>
          <w:lang w:val="fr-FR"/>
        </w:rPr>
      </w:pPr>
      <w:r w:rsidRPr="003C6F9F">
        <w:rPr>
          <w:szCs w:val="22"/>
          <w:lang w:val="fr-FR"/>
        </w:rPr>
        <w:t>[</w:t>
      </w:r>
      <w:r w:rsidR="000D6E0A" w:rsidRPr="003C6F9F">
        <w:rPr>
          <w:szCs w:val="22"/>
          <w:lang w:val="fr-FR"/>
        </w:rPr>
        <w:t xml:space="preserve">Fin du </w:t>
      </w:r>
      <w:r w:rsidRPr="003C6F9F">
        <w:rPr>
          <w:szCs w:val="22"/>
          <w:lang w:val="fr-FR"/>
        </w:rPr>
        <w:t>document]</w:t>
      </w:r>
    </w:p>
    <w:sectPr w:rsidR="00037159" w:rsidRPr="003C6F9F" w:rsidSect="002E77D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5B868" w15:done="0"/>
  <w15:commentEx w15:paraId="0438AA22" w15:done="0"/>
  <w15:commentEx w15:paraId="491AAA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5B5D3" w14:textId="77777777" w:rsidR="00837A76" w:rsidRDefault="00837A76">
      <w:r>
        <w:separator/>
      </w:r>
    </w:p>
  </w:endnote>
  <w:endnote w:type="continuationSeparator" w:id="0">
    <w:p w14:paraId="313071DF" w14:textId="77777777" w:rsidR="00837A76" w:rsidRDefault="00837A76" w:rsidP="003B38C1">
      <w:r>
        <w:separator/>
      </w:r>
    </w:p>
    <w:p w14:paraId="2A8D44AA" w14:textId="77777777" w:rsidR="00837A76" w:rsidRPr="003B38C1" w:rsidRDefault="00837A76" w:rsidP="003B38C1">
      <w:pPr>
        <w:spacing w:after="60"/>
        <w:rPr>
          <w:sz w:val="17"/>
        </w:rPr>
      </w:pPr>
      <w:r>
        <w:rPr>
          <w:sz w:val="17"/>
        </w:rPr>
        <w:t>[Endnote continued from previous page]</w:t>
      </w:r>
    </w:p>
  </w:endnote>
  <w:endnote w:type="continuationNotice" w:id="1">
    <w:p w14:paraId="1774F649" w14:textId="77777777" w:rsidR="00837A76" w:rsidRPr="003B38C1" w:rsidRDefault="00837A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2FFC3" w14:textId="77777777" w:rsidR="00837A76" w:rsidRDefault="00837A76">
      <w:r>
        <w:separator/>
      </w:r>
    </w:p>
  </w:footnote>
  <w:footnote w:type="continuationSeparator" w:id="0">
    <w:p w14:paraId="3065BFDD" w14:textId="77777777" w:rsidR="00837A76" w:rsidRDefault="00837A76" w:rsidP="008B60B2">
      <w:r>
        <w:separator/>
      </w:r>
    </w:p>
    <w:p w14:paraId="4A7E4459" w14:textId="77777777" w:rsidR="00837A76" w:rsidRPr="00ED77FB" w:rsidRDefault="00837A76" w:rsidP="008B60B2">
      <w:pPr>
        <w:spacing w:after="60"/>
        <w:rPr>
          <w:sz w:val="17"/>
          <w:szCs w:val="17"/>
        </w:rPr>
      </w:pPr>
      <w:r w:rsidRPr="00ED77FB">
        <w:rPr>
          <w:sz w:val="17"/>
          <w:szCs w:val="17"/>
        </w:rPr>
        <w:t>[Footnote continued from previous page]</w:t>
      </w:r>
    </w:p>
  </w:footnote>
  <w:footnote w:type="continuationNotice" w:id="1">
    <w:p w14:paraId="474C3659" w14:textId="77777777" w:rsidR="00837A76" w:rsidRPr="00ED77FB" w:rsidRDefault="00837A7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814C" w14:textId="49BC5092" w:rsidR="008A4E85" w:rsidRDefault="00EC3E81" w:rsidP="00EC3E81">
    <w:pPr>
      <w:pStyle w:val="Header"/>
      <w:jc w:val="right"/>
    </w:pPr>
    <w:r>
      <w:t>WO/CC/74/7</w:t>
    </w:r>
  </w:p>
  <w:p w14:paraId="16CC02E7" w14:textId="77777777" w:rsidR="00EC3E81" w:rsidRDefault="00EC3E81" w:rsidP="000D2CAB">
    <w:pPr>
      <w:pStyle w:val="Header"/>
      <w:jc w:val="right"/>
    </w:pPr>
    <w:proofErr w:type="gramStart"/>
    <w:r>
      <w:t>p</w:t>
    </w:r>
    <w:r w:rsidRPr="000D2CAB">
      <w:t>age</w:t>
    </w:r>
    <w:proofErr w:type="gramEnd"/>
    <w:r w:rsidRPr="000D2CAB">
      <w:t> </w:t>
    </w:r>
    <w:r w:rsidRPr="000D2CAB">
      <w:fldChar w:fldCharType="begin"/>
    </w:r>
    <w:r w:rsidRPr="000D2CAB">
      <w:instrText>PAGE   \* MERGEFORMAT</w:instrText>
    </w:r>
    <w:r w:rsidRPr="000D2CAB">
      <w:fldChar w:fldCharType="separate"/>
    </w:r>
    <w:r w:rsidR="00BF336C">
      <w:rPr>
        <w:noProof/>
      </w:rPr>
      <w:t>5</w:t>
    </w:r>
    <w:r w:rsidRPr="000D2CAB">
      <w:fldChar w:fldCharType="end"/>
    </w:r>
  </w:p>
  <w:p w14:paraId="2B98057A" w14:textId="77777777" w:rsidR="00EC3E81" w:rsidRPr="000D2CAB" w:rsidRDefault="00EC3E81" w:rsidP="000D2C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4544EB"/>
    <w:multiLevelType w:val="hybridMultilevel"/>
    <w:tmpl w:val="CA74531C"/>
    <w:lvl w:ilvl="0" w:tplc="C1F2DC26">
      <w:start w:val="1"/>
      <w:numFmt w:val="decimal"/>
      <w:lvlText w:val="%1."/>
      <w:lvlJc w:val="left"/>
      <w:pPr>
        <w:ind w:left="603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CD29E3"/>
    <w:multiLevelType w:val="multilevel"/>
    <w:tmpl w:val="DD76B112"/>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82489F"/>
    <w:multiLevelType w:val="hybridMultilevel"/>
    <w:tmpl w:val="A29243C8"/>
    <w:lvl w:ilvl="0" w:tplc="D91CBEC2">
      <w:start w:val="1"/>
      <w:numFmt w:val="decimal"/>
      <w:lvlText w:val="%1."/>
      <w:lvlJc w:val="left"/>
      <w:pPr>
        <w:ind w:left="6239" w:hanging="705"/>
      </w:pPr>
      <w:rPr>
        <w:rFonts w:hint="default"/>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4">
    <w:nsid w:val="0F2D6FA7"/>
    <w:multiLevelType w:val="hybridMultilevel"/>
    <w:tmpl w:val="34D0806A"/>
    <w:lvl w:ilvl="0" w:tplc="B22E03A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44F7059"/>
    <w:multiLevelType w:val="multilevel"/>
    <w:tmpl w:val="7D882750"/>
    <w:lvl w:ilvl="0">
      <w:start w:val="1"/>
      <w:numFmt w:val="none"/>
      <w:lvlText w:val="(i)"/>
      <w:lvlJc w:val="left"/>
      <w:pPr>
        <w:tabs>
          <w:tab w:val="num" w:pos="497"/>
        </w:tabs>
        <w:ind w:left="497" w:hanging="360"/>
      </w:pPr>
      <w:rPr>
        <w:rFonts w:hint="default"/>
      </w:rPr>
    </w:lvl>
    <w:lvl w:ilvl="1">
      <w:start w:val="1"/>
      <w:numFmt w:val="lowerLetter"/>
      <w:lvlText w:val="(%2)"/>
      <w:lvlJc w:val="left"/>
      <w:pPr>
        <w:tabs>
          <w:tab w:val="num" w:pos="1271"/>
        </w:tabs>
        <w:ind w:left="704" w:firstLine="0"/>
      </w:pPr>
    </w:lvl>
    <w:lvl w:ilvl="2">
      <w:start w:val="1"/>
      <w:numFmt w:val="lowerRoman"/>
      <w:lvlText w:val="(%3)"/>
      <w:lvlJc w:val="left"/>
      <w:pPr>
        <w:tabs>
          <w:tab w:val="num" w:pos="1838"/>
        </w:tabs>
        <w:ind w:left="1271" w:firstLine="0"/>
      </w:pPr>
    </w:lvl>
    <w:lvl w:ilvl="3">
      <w:start w:val="1"/>
      <w:numFmt w:val="bullet"/>
      <w:lvlText w:val=""/>
      <w:lvlJc w:val="left"/>
      <w:pPr>
        <w:tabs>
          <w:tab w:val="num" w:pos="2405"/>
        </w:tabs>
        <w:ind w:left="1838" w:firstLine="0"/>
      </w:pPr>
    </w:lvl>
    <w:lvl w:ilvl="4">
      <w:start w:val="1"/>
      <w:numFmt w:val="bullet"/>
      <w:lvlText w:val=""/>
      <w:lvlJc w:val="left"/>
      <w:pPr>
        <w:tabs>
          <w:tab w:val="num" w:pos="2972"/>
        </w:tabs>
        <w:ind w:left="2405" w:firstLine="0"/>
      </w:pPr>
    </w:lvl>
    <w:lvl w:ilvl="5">
      <w:start w:val="1"/>
      <w:numFmt w:val="bullet"/>
      <w:lvlText w:val=""/>
      <w:lvlJc w:val="left"/>
      <w:pPr>
        <w:tabs>
          <w:tab w:val="num" w:pos="3539"/>
        </w:tabs>
        <w:ind w:left="2972" w:firstLine="0"/>
      </w:pPr>
    </w:lvl>
    <w:lvl w:ilvl="6">
      <w:start w:val="1"/>
      <w:numFmt w:val="bullet"/>
      <w:lvlText w:val=""/>
      <w:lvlJc w:val="left"/>
      <w:pPr>
        <w:tabs>
          <w:tab w:val="num" w:pos="4106"/>
        </w:tabs>
        <w:ind w:left="3539" w:firstLine="0"/>
      </w:pPr>
    </w:lvl>
    <w:lvl w:ilvl="7">
      <w:start w:val="1"/>
      <w:numFmt w:val="bullet"/>
      <w:lvlText w:val=""/>
      <w:lvlJc w:val="left"/>
      <w:pPr>
        <w:tabs>
          <w:tab w:val="num" w:pos="4672"/>
        </w:tabs>
        <w:ind w:left="4106" w:firstLine="0"/>
      </w:pPr>
    </w:lvl>
    <w:lvl w:ilvl="8">
      <w:start w:val="1"/>
      <w:numFmt w:val="bullet"/>
      <w:lvlText w:val=""/>
      <w:lvlJc w:val="left"/>
      <w:pPr>
        <w:tabs>
          <w:tab w:val="num" w:pos="5239"/>
        </w:tabs>
        <w:ind w:left="4672" w:firstLine="0"/>
      </w:pPr>
    </w:lvl>
  </w:abstractNum>
  <w:abstractNum w:abstractNumId="8">
    <w:nsid w:val="37A32F68"/>
    <w:multiLevelType w:val="hybridMultilevel"/>
    <w:tmpl w:val="DBEECD28"/>
    <w:lvl w:ilvl="0" w:tplc="04070015">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9">
    <w:nsid w:val="392D30E8"/>
    <w:multiLevelType w:val="hybridMultilevel"/>
    <w:tmpl w:val="C298F6D8"/>
    <w:lvl w:ilvl="0" w:tplc="5818EC6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C013FC"/>
    <w:multiLevelType w:val="hybridMultilevel"/>
    <w:tmpl w:val="CA7CA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11"/>
  </w:num>
  <w:num w:numId="5">
    <w:abstractNumId w:val="2"/>
  </w:num>
  <w:num w:numId="6">
    <w:abstractNumId w:val="6"/>
  </w:num>
  <w:num w:numId="7">
    <w:abstractNumId w:val="7"/>
  </w:num>
  <w:num w:numId="8">
    <w:abstractNumId w:val="2"/>
  </w:num>
  <w:num w:numId="9">
    <w:abstractNumId w:val="1"/>
  </w:num>
  <w:num w:numId="10">
    <w:abstractNumId w:val="8"/>
  </w:num>
  <w:num w:numId="11">
    <w:abstractNumId w:val="4"/>
  </w:num>
  <w:num w:numId="12">
    <w:abstractNumId w:val="9"/>
  </w:num>
  <w:num w:numId="13">
    <w:abstractNumId w:val="12"/>
  </w:num>
  <w:num w:numId="14">
    <w:abstractNumId w:val="3"/>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bert Kaltenbach">
    <w15:presenceInfo w15:providerId="Windows Live" w15:userId="1493409aaad1d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
    <w:docVar w:name="TextBaseURL" w:val="empty"/>
    <w:docVar w:name="UILng" w:val="en"/>
  </w:docVars>
  <w:rsids>
    <w:rsidRoot w:val="00EF69A1"/>
    <w:rsid w:val="00000F5F"/>
    <w:rsid w:val="000107B7"/>
    <w:rsid w:val="00010FF7"/>
    <w:rsid w:val="00012E52"/>
    <w:rsid w:val="00016DEE"/>
    <w:rsid w:val="00026A19"/>
    <w:rsid w:val="00037159"/>
    <w:rsid w:val="0004277C"/>
    <w:rsid w:val="00043368"/>
    <w:rsid w:val="00043CAA"/>
    <w:rsid w:val="000466DD"/>
    <w:rsid w:val="00047404"/>
    <w:rsid w:val="00047493"/>
    <w:rsid w:val="000630DA"/>
    <w:rsid w:val="000651D4"/>
    <w:rsid w:val="00075432"/>
    <w:rsid w:val="00095A03"/>
    <w:rsid w:val="000968ED"/>
    <w:rsid w:val="000A09B6"/>
    <w:rsid w:val="000A67B3"/>
    <w:rsid w:val="000D11D1"/>
    <w:rsid w:val="000D6E0A"/>
    <w:rsid w:val="000E179C"/>
    <w:rsid w:val="000E4686"/>
    <w:rsid w:val="000F19A2"/>
    <w:rsid w:val="000F2859"/>
    <w:rsid w:val="000F4F6F"/>
    <w:rsid w:val="000F5E56"/>
    <w:rsid w:val="000F7B4D"/>
    <w:rsid w:val="00100D09"/>
    <w:rsid w:val="00105E6D"/>
    <w:rsid w:val="00107998"/>
    <w:rsid w:val="001143A6"/>
    <w:rsid w:val="0011693D"/>
    <w:rsid w:val="001362EE"/>
    <w:rsid w:val="001373D7"/>
    <w:rsid w:val="00145515"/>
    <w:rsid w:val="0015020A"/>
    <w:rsid w:val="00153DD0"/>
    <w:rsid w:val="00156791"/>
    <w:rsid w:val="001647D5"/>
    <w:rsid w:val="001832A6"/>
    <w:rsid w:val="00185D8B"/>
    <w:rsid w:val="00191F9D"/>
    <w:rsid w:val="001A2212"/>
    <w:rsid w:val="001B767E"/>
    <w:rsid w:val="001C3AD2"/>
    <w:rsid w:val="001F2506"/>
    <w:rsid w:val="001F38AA"/>
    <w:rsid w:val="001F56B5"/>
    <w:rsid w:val="001F6E27"/>
    <w:rsid w:val="00201F83"/>
    <w:rsid w:val="0020297E"/>
    <w:rsid w:val="0021217E"/>
    <w:rsid w:val="00242283"/>
    <w:rsid w:val="00246025"/>
    <w:rsid w:val="00253E4D"/>
    <w:rsid w:val="002634C4"/>
    <w:rsid w:val="002928D3"/>
    <w:rsid w:val="00293555"/>
    <w:rsid w:val="002971AE"/>
    <w:rsid w:val="002A3F41"/>
    <w:rsid w:val="002A437E"/>
    <w:rsid w:val="002A5A1F"/>
    <w:rsid w:val="002C0AF0"/>
    <w:rsid w:val="002C57AA"/>
    <w:rsid w:val="002D154B"/>
    <w:rsid w:val="002E77DC"/>
    <w:rsid w:val="002F1FE6"/>
    <w:rsid w:val="002F4E68"/>
    <w:rsid w:val="00301209"/>
    <w:rsid w:val="00312F7F"/>
    <w:rsid w:val="00317D5F"/>
    <w:rsid w:val="00323383"/>
    <w:rsid w:val="00323A7E"/>
    <w:rsid w:val="00346C4B"/>
    <w:rsid w:val="00347D72"/>
    <w:rsid w:val="00361450"/>
    <w:rsid w:val="003647B0"/>
    <w:rsid w:val="003673CF"/>
    <w:rsid w:val="00376BEC"/>
    <w:rsid w:val="00381B45"/>
    <w:rsid w:val="003840FD"/>
    <w:rsid w:val="003845C1"/>
    <w:rsid w:val="00386B6C"/>
    <w:rsid w:val="00387614"/>
    <w:rsid w:val="003A0E7A"/>
    <w:rsid w:val="003A6F89"/>
    <w:rsid w:val="003B21A9"/>
    <w:rsid w:val="003B38C1"/>
    <w:rsid w:val="003B63E3"/>
    <w:rsid w:val="003C1A93"/>
    <w:rsid w:val="003C2008"/>
    <w:rsid w:val="003C6F9F"/>
    <w:rsid w:val="003C7A36"/>
    <w:rsid w:val="004048CC"/>
    <w:rsid w:val="00423E3E"/>
    <w:rsid w:val="00427AF4"/>
    <w:rsid w:val="004647DA"/>
    <w:rsid w:val="00465A22"/>
    <w:rsid w:val="00474062"/>
    <w:rsid w:val="00476A1E"/>
    <w:rsid w:val="00477D6B"/>
    <w:rsid w:val="004C1070"/>
    <w:rsid w:val="004D1919"/>
    <w:rsid w:val="005010F7"/>
    <w:rsid w:val="005019FF"/>
    <w:rsid w:val="00512507"/>
    <w:rsid w:val="00526B57"/>
    <w:rsid w:val="005271DC"/>
    <w:rsid w:val="0053057A"/>
    <w:rsid w:val="00534F36"/>
    <w:rsid w:val="00541A05"/>
    <w:rsid w:val="00560614"/>
    <w:rsid w:val="00560A29"/>
    <w:rsid w:val="0056448F"/>
    <w:rsid w:val="005649D6"/>
    <w:rsid w:val="005676D8"/>
    <w:rsid w:val="00582647"/>
    <w:rsid w:val="00582732"/>
    <w:rsid w:val="00582D3A"/>
    <w:rsid w:val="00593A6E"/>
    <w:rsid w:val="0059567A"/>
    <w:rsid w:val="005B67F6"/>
    <w:rsid w:val="005C2563"/>
    <w:rsid w:val="005C58D1"/>
    <w:rsid w:val="005C6649"/>
    <w:rsid w:val="005D7394"/>
    <w:rsid w:val="005E2DC6"/>
    <w:rsid w:val="005E350E"/>
    <w:rsid w:val="005E3526"/>
    <w:rsid w:val="005E6A3B"/>
    <w:rsid w:val="005F3270"/>
    <w:rsid w:val="00605827"/>
    <w:rsid w:val="00612611"/>
    <w:rsid w:val="00621287"/>
    <w:rsid w:val="006269F9"/>
    <w:rsid w:val="00627F69"/>
    <w:rsid w:val="00631D94"/>
    <w:rsid w:val="006440DF"/>
    <w:rsid w:val="00646050"/>
    <w:rsid w:val="00656341"/>
    <w:rsid w:val="0066312D"/>
    <w:rsid w:val="006713CA"/>
    <w:rsid w:val="00676C5C"/>
    <w:rsid w:val="00676D7B"/>
    <w:rsid w:val="00685EF5"/>
    <w:rsid w:val="006A635B"/>
    <w:rsid w:val="006A6853"/>
    <w:rsid w:val="006C1852"/>
    <w:rsid w:val="006C3C17"/>
    <w:rsid w:val="006D0D1B"/>
    <w:rsid w:val="006D2DBD"/>
    <w:rsid w:val="006E6CFE"/>
    <w:rsid w:val="006F341F"/>
    <w:rsid w:val="00726EF6"/>
    <w:rsid w:val="00730D51"/>
    <w:rsid w:val="00732DE9"/>
    <w:rsid w:val="00734DBB"/>
    <w:rsid w:val="007353F8"/>
    <w:rsid w:val="0075760E"/>
    <w:rsid w:val="0076246B"/>
    <w:rsid w:val="0077146B"/>
    <w:rsid w:val="00774241"/>
    <w:rsid w:val="0078224A"/>
    <w:rsid w:val="007A0D65"/>
    <w:rsid w:val="007B05B7"/>
    <w:rsid w:val="007C02AA"/>
    <w:rsid w:val="007D1613"/>
    <w:rsid w:val="007D70C2"/>
    <w:rsid w:val="007E4C0E"/>
    <w:rsid w:val="007F2ACD"/>
    <w:rsid w:val="007F471D"/>
    <w:rsid w:val="008268D6"/>
    <w:rsid w:val="00837A76"/>
    <w:rsid w:val="00846787"/>
    <w:rsid w:val="00856DB8"/>
    <w:rsid w:val="008605A1"/>
    <w:rsid w:val="008624B9"/>
    <w:rsid w:val="0087286B"/>
    <w:rsid w:val="0089132F"/>
    <w:rsid w:val="008A4E85"/>
    <w:rsid w:val="008A6504"/>
    <w:rsid w:val="008B2CC1"/>
    <w:rsid w:val="008B3EBA"/>
    <w:rsid w:val="008B60B2"/>
    <w:rsid w:val="008E188E"/>
    <w:rsid w:val="008E2E8F"/>
    <w:rsid w:val="008F27D0"/>
    <w:rsid w:val="008F5930"/>
    <w:rsid w:val="00902E74"/>
    <w:rsid w:val="0090731E"/>
    <w:rsid w:val="00907438"/>
    <w:rsid w:val="0091503B"/>
    <w:rsid w:val="00916EE2"/>
    <w:rsid w:val="00917312"/>
    <w:rsid w:val="00917CDA"/>
    <w:rsid w:val="00921F65"/>
    <w:rsid w:val="00940DA7"/>
    <w:rsid w:val="00966A22"/>
    <w:rsid w:val="0096722F"/>
    <w:rsid w:val="009766FB"/>
    <w:rsid w:val="00980843"/>
    <w:rsid w:val="009A62BE"/>
    <w:rsid w:val="009B73AF"/>
    <w:rsid w:val="009C2F03"/>
    <w:rsid w:val="009D2526"/>
    <w:rsid w:val="009D3497"/>
    <w:rsid w:val="009E2791"/>
    <w:rsid w:val="009E3F6F"/>
    <w:rsid w:val="009E43A3"/>
    <w:rsid w:val="009E4AA5"/>
    <w:rsid w:val="009F1E78"/>
    <w:rsid w:val="009F499F"/>
    <w:rsid w:val="009F7DAC"/>
    <w:rsid w:val="00A201AC"/>
    <w:rsid w:val="00A23DF7"/>
    <w:rsid w:val="00A2618C"/>
    <w:rsid w:val="00A3079B"/>
    <w:rsid w:val="00A31CD1"/>
    <w:rsid w:val="00A340C1"/>
    <w:rsid w:val="00A35E55"/>
    <w:rsid w:val="00A36AA3"/>
    <w:rsid w:val="00A42D6F"/>
    <w:rsid w:val="00A42DAF"/>
    <w:rsid w:val="00A45BD8"/>
    <w:rsid w:val="00A535E0"/>
    <w:rsid w:val="00A54FB3"/>
    <w:rsid w:val="00A55521"/>
    <w:rsid w:val="00A56054"/>
    <w:rsid w:val="00A71B04"/>
    <w:rsid w:val="00A72843"/>
    <w:rsid w:val="00A869B7"/>
    <w:rsid w:val="00A91B9F"/>
    <w:rsid w:val="00A91DF7"/>
    <w:rsid w:val="00A93A20"/>
    <w:rsid w:val="00A96DE6"/>
    <w:rsid w:val="00AA440D"/>
    <w:rsid w:val="00AA712A"/>
    <w:rsid w:val="00AB1B41"/>
    <w:rsid w:val="00AC205C"/>
    <w:rsid w:val="00AE0AED"/>
    <w:rsid w:val="00AE768E"/>
    <w:rsid w:val="00AF0A6B"/>
    <w:rsid w:val="00B05A69"/>
    <w:rsid w:val="00B4286F"/>
    <w:rsid w:val="00B4451B"/>
    <w:rsid w:val="00B50AD7"/>
    <w:rsid w:val="00B565E4"/>
    <w:rsid w:val="00B57365"/>
    <w:rsid w:val="00B57369"/>
    <w:rsid w:val="00B65D44"/>
    <w:rsid w:val="00B80258"/>
    <w:rsid w:val="00B82F39"/>
    <w:rsid w:val="00B83611"/>
    <w:rsid w:val="00B9734B"/>
    <w:rsid w:val="00BA30E2"/>
    <w:rsid w:val="00BC43FD"/>
    <w:rsid w:val="00BD1716"/>
    <w:rsid w:val="00BD2988"/>
    <w:rsid w:val="00BF336C"/>
    <w:rsid w:val="00BF7D14"/>
    <w:rsid w:val="00C11BFE"/>
    <w:rsid w:val="00C25BB6"/>
    <w:rsid w:val="00C5068F"/>
    <w:rsid w:val="00C55735"/>
    <w:rsid w:val="00C6340A"/>
    <w:rsid w:val="00C6474D"/>
    <w:rsid w:val="00C750CF"/>
    <w:rsid w:val="00C85327"/>
    <w:rsid w:val="00C86D74"/>
    <w:rsid w:val="00CA532E"/>
    <w:rsid w:val="00CA7C66"/>
    <w:rsid w:val="00CB0F0D"/>
    <w:rsid w:val="00CB20F2"/>
    <w:rsid w:val="00CC1C28"/>
    <w:rsid w:val="00CC1C9E"/>
    <w:rsid w:val="00CD04F1"/>
    <w:rsid w:val="00CD7656"/>
    <w:rsid w:val="00CE6ADA"/>
    <w:rsid w:val="00CF5B13"/>
    <w:rsid w:val="00D018E0"/>
    <w:rsid w:val="00D036FE"/>
    <w:rsid w:val="00D14A07"/>
    <w:rsid w:val="00D17C00"/>
    <w:rsid w:val="00D26D14"/>
    <w:rsid w:val="00D30B04"/>
    <w:rsid w:val="00D326FC"/>
    <w:rsid w:val="00D37A7D"/>
    <w:rsid w:val="00D45252"/>
    <w:rsid w:val="00D45673"/>
    <w:rsid w:val="00D50D64"/>
    <w:rsid w:val="00D5760A"/>
    <w:rsid w:val="00D71B4D"/>
    <w:rsid w:val="00D83DB9"/>
    <w:rsid w:val="00D861ED"/>
    <w:rsid w:val="00D93D55"/>
    <w:rsid w:val="00DB04C0"/>
    <w:rsid w:val="00DD2158"/>
    <w:rsid w:val="00DE4DB3"/>
    <w:rsid w:val="00DF5699"/>
    <w:rsid w:val="00DF627F"/>
    <w:rsid w:val="00E016EA"/>
    <w:rsid w:val="00E15015"/>
    <w:rsid w:val="00E151CA"/>
    <w:rsid w:val="00E2617A"/>
    <w:rsid w:val="00E32B9A"/>
    <w:rsid w:val="00E335FE"/>
    <w:rsid w:val="00E427A2"/>
    <w:rsid w:val="00E50497"/>
    <w:rsid w:val="00E54602"/>
    <w:rsid w:val="00E7588F"/>
    <w:rsid w:val="00E90362"/>
    <w:rsid w:val="00EA0970"/>
    <w:rsid w:val="00EA35C0"/>
    <w:rsid w:val="00EB3188"/>
    <w:rsid w:val="00EB3E61"/>
    <w:rsid w:val="00EB635B"/>
    <w:rsid w:val="00EC3E81"/>
    <w:rsid w:val="00EC4E49"/>
    <w:rsid w:val="00EC78EE"/>
    <w:rsid w:val="00ED2715"/>
    <w:rsid w:val="00ED2C63"/>
    <w:rsid w:val="00ED77FB"/>
    <w:rsid w:val="00EE45FA"/>
    <w:rsid w:val="00EF69A1"/>
    <w:rsid w:val="00F07E17"/>
    <w:rsid w:val="00F20ABE"/>
    <w:rsid w:val="00F26722"/>
    <w:rsid w:val="00F3389E"/>
    <w:rsid w:val="00F3626A"/>
    <w:rsid w:val="00F42A3F"/>
    <w:rsid w:val="00F66152"/>
    <w:rsid w:val="00F66600"/>
    <w:rsid w:val="00F67E7C"/>
    <w:rsid w:val="00F87F34"/>
    <w:rsid w:val="00F96351"/>
    <w:rsid w:val="00FA3602"/>
    <w:rsid w:val="00FB63E3"/>
    <w:rsid w:val="00FC704B"/>
    <w:rsid w:val="00FD07CB"/>
    <w:rsid w:val="00FF009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83B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EF69A1"/>
    <w:pPr>
      <w:ind w:left="720"/>
      <w:contextualSpacing/>
    </w:pPr>
  </w:style>
  <w:style w:type="paragraph" w:styleId="Revision">
    <w:name w:val="Revision"/>
    <w:hidden/>
    <w:uiPriority w:val="99"/>
    <w:semiHidden/>
    <w:rsid w:val="008B3EBA"/>
    <w:rPr>
      <w:rFonts w:ascii="Arial" w:eastAsia="SimSun" w:hAnsi="Arial" w:cs="Arial"/>
      <w:sz w:val="22"/>
      <w:lang w:val="en-US" w:eastAsia="zh-CN"/>
    </w:rPr>
  </w:style>
  <w:style w:type="character" w:customStyle="1" w:styleId="ONUMEChar">
    <w:name w:val="ONUM E Char"/>
    <w:link w:val="ONUME"/>
    <w:rsid w:val="008B3EBA"/>
    <w:rPr>
      <w:rFonts w:ascii="Arial" w:eastAsia="SimSun" w:hAnsi="Arial" w:cs="Arial"/>
      <w:sz w:val="22"/>
      <w:lang w:val="en-US" w:eastAsia="zh-CN"/>
    </w:rPr>
  </w:style>
  <w:style w:type="paragraph" w:customStyle="1" w:styleId="Normal1">
    <w:name w:val="Normal1"/>
    <w:basedOn w:val="Normal"/>
    <w:rsid w:val="003647B0"/>
    <w:pPr>
      <w:spacing w:after="200" w:line="260" w:lineRule="atLeast"/>
    </w:pPr>
    <w:rPr>
      <w:rFonts w:ascii="Calibri" w:eastAsia="Times New Roman" w:hAnsi="Calibri" w:cs="Times New Roman"/>
      <w:szCs w:val="22"/>
      <w:lang w:eastAsia="en-US"/>
    </w:rPr>
  </w:style>
  <w:style w:type="character" w:customStyle="1" w:styleId="normalchar1">
    <w:name w:val="normal__char1"/>
    <w:basedOn w:val="DefaultParagraphFont"/>
    <w:rsid w:val="003647B0"/>
    <w:rPr>
      <w:rFonts w:ascii="Calibri" w:hAnsi="Calibri" w:hint="default"/>
      <w:sz w:val="22"/>
      <w:szCs w:val="22"/>
    </w:rPr>
  </w:style>
  <w:style w:type="character" w:styleId="CommentReference">
    <w:name w:val="annotation reference"/>
    <w:basedOn w:val="DefaultParagraphFont"/>
    <w:semiHidden/>
    <w:unhideWhenUsed/>
    <w:rsid w:val="00A91B9F"/>
    <w:rPr>
      <w:sz w:val="16"/>
      <w:szCs w:val="16"/>
    </w:rPr>
  </w:style>
  <w:style w:type="paragraph" w:styleId="CommentSubject">
    <w:name w:val="annotation subject"/>
    <w:basedOn w:val="CommentText"/>
    <w:next w:val="CommentText"/>
    <w:link w:val="CommentSubjectChar"/>
    <w:semiHidden/>
    <w:unhideWhenUsed/>
    <w:rsid w:val="00A91B9F"/>
    <w:rPr>
      <w:b/>
      <w:bCs/>
      <w:sz w:val="20"/>
    </w:rPr>
  </w:style>
  <w:style w:type="character" w:customStyle="1" w:styleId="CommentTextChar">
    <w:name w:val="Comment Text Char"/>
    <w:basedOn w:val="DefaultParagraphFont"/>
    <w:link w:val="CommentText"/>
    <w:semiHidden/>
    <w:rsid w:val="00A91B9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91B9F"/>
    <w:rPr>
      <w:rFonts w:ascii="Arial" w:eastAsia="SimSun" w:hAnsi="Arial" w:cs="Arial"/>
      <w:b/>
      <w:bCs/>
      <w:sz w:val="18"/>
      <w:lang w:val="en-US" w:eastAsia="zh-CN"/>
    </w:rPr>
  </w:style>
  <w:style w:type="table" w:styleId="TableGrid">
    <w:name w:val="Table Grid"/>
    <w:basedOn w:val="TableNormal"/>
    <w:rsid w:val="00D8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37E"/>
    <w:pPr>
      <w:autoSpaceDE w:val="0"/>
      <w:autoSpaceDN w:val="0"/>
      <w:adjustRightInd w:val="0"/>
    </w:pPr>
    <w:rPr>
      <w:rFonts w:ascii="Arial" w:hAnsi="Arial" w:cs="Arial"/>
      <w:color w:val="000000"/>
      <w:sz w:val="24"/>
      <w:szCs w:val="24"/>
      <w:lang w:val="en-US"/>
    </w:rPr>
  </w:style>
  <w:style w:type="character" w:styleId="Hyperlink">
    <w:name w:val="Hyperlink"/>
    <w:basedOn w:val="DefaultParagraphFont"/>
    <w:semiHidden/>
    <w:unhideWhenUsed/>
    <w:rsid w:val="0011693D"/>
    <w:rPr>
      <w:color w:val="0000FF" w:themeColor="hyperlink"/>
      <w:u w:val="single"/>
    </w:rPr>
  </w:style>
  <w:style w:type="character" w:customStyle="1" w:styleId="HeaderChar">
    <w:name w:val="Header Char"/>
    <w:basedOn w:val="DefaultParagraphFont"/>
    <w:link w:val="Header"/>
    <w:uiPriority w:val="99"/>
    <w:rsid w:val="00EC3E81"/>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EF69A1"/>
    <w:pPr>
      <w:ind w:left="720"/>
      <w:contextualSpacing/>
    </w:pPr>
  </w:style>
  <w:style w:type="paragraph" w:styleId="Revision">
    <w:name w:val="Revision"/>
    <w:hidden/>
    <w:uiPriority w:val="99"/>
    <w:semiHidden/>
    <w:rsid w:val="008B3EBA"/>
    <w:rPr>
      <w:rFonts w:ascii="Arial" w:eastAsia="SimSun" w:hAnsi="Arial" w:cs="Arial"/>
      <w:sz w:val="22"/>
      <w:lang w:val="en-US" w:eastAsia="zh-CN"/>
    </w:rPr>
  </w:style>
  <w:style w:type="character" w:customStyle="1" w:styleId="ONUMEChar">
    <w:name w:val="ONUM E Char"/>
    <w:link w:val="ONUME"/>
    <w:rsid w:val="008B3EBA"/>
    <w:rPr>
      <w:rFonts w:ascii="Arial" w:eastAsia="SimSun" w:hAnsi="Arial" w:cs="Arial"/>
      <w:sz w:val="22"/>
      <w:lang w:val="en-US" w:eastAsia="zh-CN"/>
    </w:rPr>
  </w:style>
  <w:style w:type="paragraph" w:customStyle="1" w:styleId="Normal1">
    <w:name w:val="Normal1"/>
    <w:basedOn w:val="Normal"/>
    <w:rsid w:val="003647B0"/>
    <w:pPr>
      <w:spacing w:after="200" w:line="260" w:lineRule="atLeast"/>
    </w:pPr>
    <w:rPr>
      <w:rFonts w:ascii="Calibri" w:eastAsia="Times New Roman" w:hAnsi="Calibri" w:cs="Times New Roman"/>
      <w:szCs w:val="22"/>
      <w:lang w:eastAsia="en-US"/>
    </w:rPr>
  </w:style>
  <w:style w:type="character" w:customStyle="1" w:styleId="normalchar1">
    <w:name w:val="normal__char1"/>
    <w:basedOn w:val="DefaultParagraphFont"/>
    <w:rsid w:val="003647B0"/>
    <w:rPr>
      <w:rFonts w:ascii="Calibri" w:hAnsi="Calibri" w:hint="default"/>
      <w:sz w:val="22"/>
      <w:szCs w:val="22"/>
    </w:rPr>
  </w:style>
  <w:style w:type="character" w:styleId="CommentReference">
    <w:name w:val="annotation reference"/>
    <w:basedOn w:val="DefaultParagraphFont"/>
    <w:semiHidden/>
    <w:unhideWhenUsed/>
    <w:rsid w:val="00A91B9F"/>
    <w:rPr>
      <w:sz w:val="16"/>
      <w:szCs w:val="16"/>
    </w:rPr>
  </w:style>
  <w:style w:type="paragraph" w:styleId="CommentSubject">
    <w:name w:val="annotation subject"/>
    <w:basedOn w:val="CommentText"/>
    <w:next w:val="CommentText"/>
    <w:link w:val="CommentSubjectChar"/>
    <w:semiHidden/>
    <w:unhideWhenUsed/>
    <w:rsid w:val="00A91B9F"/>
    <w:rPr>
      <w:b/>
      <w:bCs/>
      <w:sz w:val="20"/>
    </w:rPr>
  </w:style>
  <w:style w:type="character" w:customStyle="1" w:styleId="CommentTextChar">
    <w:name w:val="Comment Text Char"/>
    <w:basedOn w:val="DefaultParagraphFont"/>
    <w:link w:val="CommentText"/>
    <w:semiHidden/>
    <w:rsid w:val="00A91B9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91B9F"/>
    <w:rPr>
      <w:rFonts w:ascii="Arial" w:eastAsia="SimSun" w:hAnsi="Arial" w:cs="Arial"/>
      <w:b/>
      <w:bCs/>
      <w:sz w:val="18"/>
      <w:lang w:val="en-US" w:eastAsia="zh-CN"/>
    </w:rPr>
  </w:style>
  <w:style w:type="table" w:styleId="TableGrid">
    <w:name w:val="Table Grid"/>
    <w:basedOn w:val="TableNormal"/>
    <w:rsid w:val="00D8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37E"/>
    <w:pPr>
      <w:autoSpaceDE w:val="0"/>
      <w:autoSpaceDN w:val="0"/>
      <w:adjustRightInd w:val="0"/>
    </w:pPr>
    <w:rPr>
      <w:rFonts w:ascii="Arial" w:hAnsi="Arial" w:cs="Arial"/>
      <w:color w:val="000000"/>
      <w:sz w:val="24"/>
      <w:szCs w:val="24"/>
      <w:lang w:val="en-US"/>
    </w:rPr>
  </w:style>
  <w:style w:type="character" w:styleId="Hyperlink">
    <w:name w:val="Hyperlink"/>
    <w:basedOn w:val="DefaultParagraphFont"/>
    <w:semiHidden/>
    <w:unhideWhenUsed/>
    <w:rsid w:val="0011693D"/>
    <w:rPr>
      <w:color w:val="0000FF" w:themeColor="hyperlink"/>
      <w:u w:val="single"/>
    </w:rPr>
  </w:style>
  <w:style w:type="character" w:customStyle="1" w:styleId="HeaderChar">
    <w:name w:val="Header Char"/>
    <w:basedOn w:val="DefaultParagraphFont"/>
    <w:link w:val="Header"/>
    <w:uiPriority w:val="99"/>
    <w:rsid w:val="00EC3E8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4019">
      <w:bodyDiv w:val="1"/>
      <w:marLeft w:val="0"/>
      <w:marRight w:val="0"/>
      <w:marTop w:val="0"/>
      <w:marBottom w:val="0"/>
      <w:divBdr>
        <w:top w:val="none" w:sz="0" w:space="0" w:color="auto"/>
        <w:left w:val="none" w:sz="0" w:space="0" w:color="auto"/>
        <w:bottom w:val="none" w:sz="0" w:space="0" w:color="auto"/>
        <w:right w:val="none" w:sz="0" w:space="0" w:color="auto"/>
      </w:divBdr>
    </w:div>
    <w:div w:id="21042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2426</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NGG/ko</cp:keywords>
  <cp:lastModifiedBy/>
  <cp:revision>1</cp:revision>
  <dcterms:created xsi:type="dcterms:W3CDTF">2017-09-27T11:02:00Z</dcterms:created>
  <dcterms:modified xsi:type="dcterms:W3CDTF">2017-09-27T13:55:00Z</dcterms:modified>
</cp:coreProperties>
</file>