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775E3F" w:rsidRPr="00775E3F" w:rsidTr="00473D56">
        <w:tc>
          <w:tcPr>
            <w:tcW w:w="4513" w:type="dxa"/>
            <w:tcBorders>
              <w:bottom w:val="single" w:sz="4" w:space="0" w:color="auto"/>
            </w:tcBorders>
            <w:tcMar>
              <w:bottom w:w="170" w:type="dxa"/>
            </w:tcMar>
          </w:tcPr>
          <w:p w:rsidR="00775E3F" w:rsidRPr="00775E3F" w:rsidRDefault="00775E3F" w:rsidP="00473D56">
            <w:bookmarkStart w:id="0" w:name="_GoBack"/>
            <w:bookmarkEnd w:id="0"/>
          </w:p>
        </w:tc>
        <w:tc>
          <w:tcPr>
            <w:tcW w:w="4337" w:type="dxa"/>
            <w:tcBorders>
              <w:bottom w:val="single" w:sz="4" w:space="0" w:color="auto"/>
            </w:tcBorders>
            <w:tcMar>
              <w:left w:w="0" w:type="dxa"/>
              <w:right w:w="0" w:type="dxa"/>
            </w:tcMar>
          </w:tcPr>
          <w:p w:rsidR="00775E3F" w:rsidRPr="00775E3F" w:rsidRDefault="00775E3F" w:rsidP="00473D56">
            <w:r w:rsidRPr="00775E3F">
              <w:rPr>
                <w:noProof/>
                <w:lang w:eastAsia="en-US"/>
              </w:rPr>
              <w:drawing>
                <wp:inline distT="0" distB="0" distL="0" distR="0" wp14:anchorId="419A2C4F" wp14:editId="52A2B4A1">
                  <wp:extent cx="1856740" cy="1323975"/>
                  <wp:effectExtent l="0" t="0" r="0"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775E3F" w:rsidRPr="00775E3F" w:rsidRDefault="00775E3F" w:rsidP="00473D56">
            <w:pPr>
              <w:jc w:val="right"/>
            </w:pPr>
            <w:r w:rsidRPr="00775E3F">
              <w:rPr>
                <w:b/>
                <w:sz w:val="40"/>
                <w:szCs w:val="40"/>
              </w:rPr>
              <w:t>F</w:t>
            </w:r>
          </w:p>
        </w:tc>
      </w:tr>
      <w:tr w:rsidR="00775E3F" w:rsidRPr="00775E3F" w:rsidTr="00473D56">
        <w:trPr>
          <w:trHeight w:hRule="exact" w:val="340"/>
        </w:trPr>
        <w:tc>
          <w:tcPr>
            <w:tcW w:w="9356" w:type="dxa"/>
            <w:gridSpan w:val="3"/>
            <w:tcBorders>
              <w:top w:val="single" w:sz="4" w:space="0" w:color="auto"/>
            </w:tcBorders>
            <w:tcMar>
              <w:top w:w="170" w:type="dxa"/>
              <w:left w:w="0" w:type="dxa"/>
              <w:right w:w="0" w:type="dxa"/>
            </w:tcMar>
            <w:vAlign w:val="bottom"/>
          </w:tcPr>
          <w:p w:rsidR="00775E3F" w:rsidRPr="00775E3F" w:rsidRDefault="00775E3F" w:rsidP="00473D56">
            <w:pPr>
              <w:jc w:val="right"/>
              <w:rPr>
                <w:rFonts w:ascii="Arial Black" w:hAnsi="Arial Black"/>
                <w:caps/>
                <w:sz w:val="15"/>
              </w:rPr>
            </w:pPr>
            <w:r w:rsidRPr="00775E3F">
              <w:rPr>
                <w:rFonts w:ascii="Arial Black" w:hAnsi="Arial Black"/>
                <w:caps/>
                <w:sz w:val="15"/>
              </w:rPr>
              <w:t>WO/CC/73/</w:t>
            </w:r>
            <w:bookmarkStart w:id="1" w:name="Code"/>
            <w:bookmarkEnd w:id="1"/>
            <w:r w:rsidRPr="00775E3F">
              <w:rPr>
                <w:rFonts w:ascii="Arial Black" w:hAnsi="Arial Black"/>
                <w:caps/>
                <w:sz w:val="15"/>
              </w:rPr>
              <w:t xml:space="preserve">2 </w:t>
            </w:r>
          </w:p>
        </w:tc>
      </w:tr>
      <w:tr w:rsidR="00775E3F" w:rsidRPr="00775E3F" w:rsidTr="00473D56">
        <w:trPr>
          <w:trHeight w:hRule="exact" w:val="170"/>
        </w:trPr>
        <w:tc>
          <w:tcPr>
            <w:tcW w:w="9356" w:type="dxa"/>
            <w:gridSpan w:val="3"/>
            <w:noWrap/>
            <w:tcMar>
              <w:left w:w="0" w:type="dxa"/>
              <w:right w:w="0" w:type="dxa"/>
            </w:tcMar>
            <w:vAlign w:val="bottom"/>
          </w:tcPr>
          <w:p w:rsidR="00775E3F" w:rsidRPr="00775E3F" w:rsidRDefault="00775E3F" w:rsidP="00473D56">
            <w:pPr>
              <w:jc w:val="right"/>
              <w:rPr>
                <w:rFonts w:ascii="Arial Black" w:hAnsi="Arial Black"/>
                <w:caps/>
                <w:sz w:val="15"/>
              </w:rPr>
            </w:pPr>
            <w:r w:rsidRPr="00775E3F">
              <w:rPr>
                <w:rFonts w:ascii="Arial Black" w:hAnsi="Arial Black"/>
                <w:caps/>
                <w:sz w:val="15"/>
              </w:rPr>
              <w:t>ORIGINAL</w:t>
            </w:r>
            <w:r w:rsidR="00BC11A7" w:rsidRPr="00BC11A7">
              <w:rPr>
                <w:rFonts w:ascii="Arial Black" w:hAnsi="Arial Black"/>
                <w:caps/>
                <w:sz w:val="15"/>
              </w:rPr>
              <w:t> </w:t>
            </w:r>
            <w:r w:rsidRPr="00775E3F">
              <w:rPr>
                <w:rFonts w:ascii="Arial Black" w:hAnsi="Arial Black"/>
                <w:caps/>
                <w:sz w:val="15"/>
              </w:rPr>
              <w:t xml:space="preserve">: </w:t>
            </w:r>
            <w:bookmarkStart w:id="2" w:name="Original"/>
            <w:bookmarkEnd w:id="2"/>
            <w:r w:rsidRPr="00775E3F">
              <w:rPr>
                <w:rFonts w:ascii="Arial Black" w:hAnsi="Arial Black"/>
                <w:caps/>
                <w:sz w:val="15"/>
              </w:rPr>
              <w:t>anglais</w:t>
            </w:r>
          </w:p>
        </w:tc>
      </w:tr>
      <w:tr w:rsidR="00775E3F" w:rsidRPr="00775E3F" w:rsidTr="00473D56">
        <w:trPr>
          <w:trHeight w:hRule="exact" w:val="198"/>
        </w:trPr>
        <w:tc>
          <w:tcPr>
            <w:tcW w:w="9356" w:type="dxa"/>
            <w:gridSpan w:val="3"/>
            <w:tcMar>
              <w:left w:w="0" w:type="dxa"/>
              <w:right w:w="0" w:type="dxa"/>
            </w:tcMar>
            <w:vAlign w:val="bottom"/>
          </w:tcPr>
          <w:p w:rsidR="00775E3F" w:rsidRPr="00775E3F" w:rsidRDefault="00775E3F" w:rsidP="00473D56">
            <w:pPr>
              <w:jc w:val="right"/>
              <w:rPr>
                <w:rFonts w:ascii="Arial Black" w:hAnsi="Arial Black"/>
                <w:caps/>
                <w:sz w:val="15"/>
              </w:rPr>
            </w:pPr>
            <w:r w:rsidRPr="00775E3F">
              <w:rPr>
                <w:rFonts w:ascii="Arial Black" w:hAnsi="Arial Black"/>
                <w:caps/>
                <w:sz w:val="15"/>
              </w:rPr>
              <w:t>DATE</w:t>
            </w:r>
            <w:r w:rsidR="00BC11A7" w:rsidRPr="00BC11A7">
              <w:rPr>
                <w:rFonts w:ascii="Arial Black" w:hAnsi="Arial Black"/>
                <w:caps/>
                <w:sz w:val="15"/>
              </w:rPr>
              <w:t> </w:t>
            </w:r>
            <w:r w:rsidRPr="00775E3F">
              <w:rPr>
                <w:rFonts w:ascii="Arial Black" w:hAnsi="Arial Black"/>
                <w:caps/>
                <w:sz w:val="15"/>
              </w:rPr>
              <w:t xml:space="preserve">: </w:t>
            </w:r>
            <w:bookmarkStart w:id="3" w:name="Date"/>
            <w:bookmarkEnd w:id="3"/>
            <w:r w:rsidRPr="00775E3F">
              <w:rPr>
                <w:rFonts w:ascii="Arial Black" w:hAnsi="Arial Black"/>
                <w:caps/>
                <w:sz w:val="15"/>
              </w:rPr>
              <w:t>2</w:t>
            </w:r>
            <w:r>
              <w:rPr>
                <w:rFonts w:ascii="Arial Black" w:hAnsi="Arial Black"/>
                <w:caps/>
                <w:sz w:val="15"/>
              </w:rPr>
              <w:t> </w:t>
            </w:r>
            <w:r w:rsidRPr="00775E3F">
              <w:rPr>
                <w:rFonts w:ascii="Arial Black" w:hAnsi="Arial Black"/>
                <w:caps/>
                <w:sz w:val="15"/>
              </w:rPr>
              <w:t>août</w:t>
            </w:r>
            <w:r>
              <w:rPr>
                <w:rFonts w:ascii="Arial Black" w:hAnsi="Arial Black"/>
                <w:caps/>
                <w:sz w:val="15"/>
              </w:rPr>
              <w:t> </w:t>
            </w:r>
            <w:r w:rsidRPr="00775E3F">
              <w:rPr>
                <w:rFonts w:ascii="Arial Black" w:hAnsi="Arial Black"/>
                <w:caps/>
                <w:sz w:val="15"/>
              </w:rPr>
              <w:t>2016</w:t>
            </w:r>
          </w:p>
        </w:tc>
      </w:tr>
    </w:tbl>
    <w:p w:rsidR="00775E3F" w:rsidRPr="00775E3F" w:rsidRDefault="00775E3F" w:rsidP="00775E3F"/>
    <w:p w:rsidR="00775E3F" w:rsidRPr="00775E3F" w:rsidRDefault="00775E3F" w:rsidP="00775E3F"/>
    <w:p w:rsidR="00775E3F" w:rsidRPr="00775E3F" w:rsidRDefault="00775E3F" w:rsidP="00775E3F"/>
    <w:p w:rsidR="00775E3F" w:rsidRPr="00775E3F" w:rsidRDefault="00775E3F" w:rsidP="00775E3F"/>
    <w:p w:rsidR="00775E3F" w:rsidRPr="00775E3F" w:rsidRDefault="00775E3F" w:rsidP="00775E3F"/>
    <w:p w:rsidR="00775E3F" w:rsidRPr="005431C5" w:rsidRDefault="00775E3F" w:rsidP="00775E3F">
      <w:pPr>
        <w:rPr>
          <w:b/>
          <w:sz w:val="28"/>
          <w:szCs w:val="28"/>
          <w:lang w:val="fr-CH"/>
        </w:rPr>
      </w:pPr>
      <w:r w:rsidRPr="00775E3F">
        <w:rPr>
          <w:b/>
          <w:sz w:val="28"/>
          <w:szCs w:val="28"/>
          <w:lang w:val="fr-FR"/>
        </w:rPr>
        <w:t>Comité de coordination de l</w:t>
      </w:r>
      <w:r>
        <w:rPr>
          <w:b/>
          <w:sz w:val="28"/>
          <w:szCs w:val="28"/>
          <w:lang w:val="fr-FR"/>
        </w:rPr>
        <w:t>’</w:t>
      </w:r>
      <w:r w:rsidRPr="00775E3F">
        <w:rPr>
          <w:b/>
          <w:sz w:val="28"/>
          <w:szCs w:val="28"/>
          <w:lang w:val="fr-FR"/>
        </w:rPr>
        <w:t>OMPI</w:t>
      </w:r>
    </w:p>
    <w:p w:rsidR="00775E3F" w:rsidRPr="005431C5" w:rsidRDefault="00775E3F" w:rsidP="00775E3F">
      <w:pPr>
        <w:rPr>
          <w:lang w:val="fr-CH"/>
        </w:rPr>
      </w:pPr>
    </w:p>
    <w:p w:rsidR="00775E3F" w:rsidRPr="005431C5" w:rsidRDefault="00775E3F" w:rsidP="00775E3F">
      <w:pPr>
        <w:rPr>
          <w:lang w:val="fr-CH"/>
        </w:rPr>
      </w:pPr>
    </w:p>
    <w:p w:rsidR="00775E3F" w:rsidRPr="005431C5" w:rsidRDefault="00775E3F" w:rsidP="00775E3F">
      <w:pPr>
        <w:rPr>
          <w:b/>
          <w:sz w:val="24"/>
          <w:szCs w:val="24"/>
          <w:lang w:val="fr-CH"/>
        </w:rPr>
      </w:pPr>
      <w:r w:rsidRPr="00775E3F">
        <w:rPr>
          <w:b/>
          <w:sz w:val="24"/>
          <w:szCs w:val="24"/>
          <w:lang w:val="fr-FR"/>
        </w:rPr>
        <w:t>Soixante</w:t>
      </w:r>
      <w:r w:rsidR="00946212">
        <w:rPr>
          <w:b/>
          <w:sz w:val="24"/>
          <w:szCs w:val="24"/>
          <w:lang w:val="fr-FR"/>
        </w:rPr>
        <w:noBreakHyphen/>
      </w:r>
      <w:r w:rsidRPr="00775E3F">
        <w:rPr>
          <w:b/>
          <w:sz w:val="24"/>
          <w:szCs w:val="24"/>
          <w:lang w:val="fr-FR"/>
        </w:rPr>
        <w:t>treizième</w:t>
      </w:r>
      <w:r w:rsidR="00BC11A7">
        <w:rPr>
          <w:b/>
          <w:sz w:val="24"/>
          <w:szCs w:val="24"/>
          <w:lang w:val="fr-FR"/>
        </w:rPr>
        <w:t> </w:t>
      </w:r>
      <w:r w:rsidRPr="00775E3F">
        <w:rPr>
          <w:b/>
          <w:sz w:val="24"/>
          <w:szCs w:val="24"/>
          <w:lang w:val="fr-FR"/>
        </w:rPr>
        <w:t>session (47</w:t>
      </w:r>
      <w:r w:rsidRPr="00775E3F">
        <w:rPr>
          <w:b/>
          <w:sz w:val="24"/>
          <w:szCs w:val="24"/>
          <w:vertAlign w:val="superscript"/>
          <w:lang w:val="fr-FR"/>
        </w:rPr>
        <w:t>e</w:t>
      </w:r>
      <w:r w:rsidRPr="00775E3F">
        <w:rPr>
          <w:b/>
          <w:sz w:val="24"/>
          <w:szCs w:val="24"/>
          <w:lang w:val="fr-FR"/>
        </w:rPr>
        <w:t xml:space="preserve"> session ordinaire)</w:t>
      </w:r>
    </w:p>
    <w:p w:rsidR="00775E3F" w:rsidRPr="005431C5" w:rsidRDefault="00775E3F" w:rsidP="00775E3F">
      <w:pPr>
        <w:rPr>
          <w:b/>
          <w:sz w:val="24"/>
          <w:szCs w:val="24"/>
          <w:lang w:val="fr-CH"/>
        </w:rPr>
      </w:pPr>
      <w:r w:rsidRPr="00775E3F">
        <w:rPr>
          <w:b/>
          <w:sz w:val="24"/>
          <w:szCs w:val="24"/>
          <w:lang w:val="fr-FR"/>
        </w:rPr>
        <w:t>Genève, 3 – 11</w:t>
      </w:r>
      <w:r>
        <w:rPr>
          <w:b/>
          <w:sz w:val="24"/>
          <w:szCs w:val="24"/>
          <w:lang w:val="fr-FR"/>
        </w:rPr>
        <w:t> </w:t>
      </w:r>
      <w:r w:rsidRPr="00775E3F">
        <w:rPr>
          <w:b/>
          <w:sz w:val="24"/>
          <w:szCs w:val="24"/>
          <w:lang w:val="fr-FR"/>
        </w:rPr>
        <w:t>octobre</w:t>
      </w:r>
      <w:r>
        <w:rPr>
          <w:b/>
          <w:sz w:val="24"/>
          <w:szCs w:val="24"/>
          <w:lang w:val="fr-FR"/>
        </w:rPr>
        <w:t> </w:t>
      </w:r>
      <w:r w:rsidRPr="00775E3F">
        <w:rPr>
          <w:b/>
          <w:sz w:val="24"/>
          <w:szCs w:val="24"/>
          <w:lang w:val="fr-FR"/>
        </w:rPr>
        <w:t>2016</w:t>
      </w:r>
    </w:p>
    <w:p w:rsidR="00775E3F" w:rsidRPr="005431C5" w:rsidRDefault="00775E3F" w:rsidP="00775E3F">
      <w:pPr>
        <w:rPr>
          <w:lang w:val="fr-CH"/>
        </w:rPr>
      </w:pPr>
    </w:p>
    <w:p w:rsidR="00775E3F" w:rsidRPr="005431C5" w:rsidRDefault="00775E3F" w:rsidP="00775E3F">
      <w:pPr>
        <w:rPr>
          <w:lang w:val="fr-CH"/>
        </w:rPr>
      </w:pPr>
    </w:p>
    <w:p w:rsidR="0050421D" w:rsidRPr="005431C5" w:rsidRDefault="0050421D" w:rsidP="008B2CC1">
      <w:pPr>
        <w:rPr>
          <w:lang w:val="fr-CH"/>
        </w:rPr>
      </w:pPr>
    </w:p>
    <w:p w:rsidR="0050421D" w:rsidRPr="00976389" w:rsidRDefault="00F422A4" w:rsidP="00976389">
      <w:pPr>
        <w:rPr>
          <w:caps/>
          <w:sz w:val="24"/>
          <w:lang w:val="fr-CH"/>
        </w:rPr>
      </w:pPr>
      <w:bookmarkStart w:id="4" w:name="TitleOfDoc"/>
      <w:bookmarkEnd w:id="4"/>
      <w:r w:rsidRPr="00976389">
        <w:rPr>
          <w:caps/>
          <w:sz w:val="24"/>
          <w:lang w:val="fr-CH"/>
        </w:rPr>
        <w:t>Rapport annuel du Bureau de la déontologie</w:t>
      </w:r>
    </w:p>
    <w:p w:rsidR="0050421D" w:rsidRPr="00775E3F" w:rsidRDefault="0050421D" w:rsidP="008B2CC1">
      <w:pPr>
        <w:rPr>
          <w:lang w:val="fr-CH"/>
        </w:rPr>
      </w:pPr>
    </w:p>
    <w:p w:rsidR="0050421D" w:rsidRPr="00775E3F" w:rsidRDefault="00F422A4" w:rsidP="00F422A4">
      <w:pPr>
        <w:rPr>
          <w:i/>
          <w:lang w:val="fr-CH"/>
        </w:rPr>
      </w:pPr>
      <w:bookmarkStart w:id="5" w:name="Prepared"/>
      <w:bookmarkEnd w:id="5"/>
      <w:proofErr w:type="gramStart"/>
      <w:r w:rsidRPr="00775E3F">
        <w:rPr>
          <w:i/>
          <w:lang w:val="fr-CH"/>
        </w:rPr>
        <w:t>établi</w:t>
      </w:r>
      <w:proofErr w:type="gramEnd"/>
      <w:r w:rsidRPr="00775E3F">
        <w:rPr>
          <w:i/>
          <w:lang w:val="fr-CH"/>
        </w:rPr>
        <w:t xml:space="preserve"> par le Secrétariat</w:t>
      </w:r>
    </w:p>
    <w:p w:rsidR="0050421D" w:rsidRPr="00775E3F" w:rsidRDefault="0050421D">
      <w:pPr>
        <w:rPr>
          <w:lang w:val="fr-CH"/>
        </w:rPr>
      </w:pPr>
    </w:p>
    <w:p w:rsidR="0050421D" w:rsidRPr="00775E3F" w:rsidRDefault="0050421D">
      <w:pPr>
        <w:rPr>
          <w:lang w:val="fr-CH"/>
        </w:rPr>
      </w:pPr>
    </w:p>
    <w:p w:rsidR="0050421D" w:rsidRPr="00775E3F" w:rsidRDefault="0050421D">
      <w:pPr>
        <w:rPr>
          <w:lang w:val="fr-CH"/>
        </w:rPr>
      </w:pPr>
    </w:p>
    <w:p w:rsidR="0050421D" w:rsidRPr="00775E3F" w:rsidRDefault="0050421D" w:rsidP="0053057A">
      <w:pPr>
        <w:rPr>
          <w:lang w:val="fr-CH"/>
        </w:rPr>
      </w:pPr>
    </w:p>
    <w:p w:rsidR="00287B2A" w:rsidRPr="00287B2A" w:rsidRDefault="00F422A4" w:rsidP="00287B2A">
      <w:pPr>
        <w:pStyle w:val="ONUMFS"/>
        <w:rPr>
          <w:lang w:val="fr-CH"/>
        </w:rPr>
      </w:pPr>
      <w:r w:rsidRPr="00775E3F">
        <w:rPr>
          <w:lang w:val="fr-CH"/>
        </w:rPr>
        <w:t>On trouvera ci</w:t>
      </w:r>
      <w:r w:rsidR="00946212">
        <w:rPr>
          <w:lang w:val="fr-CH"/>
        </w:rPr>
        <w:noBreakHyphen/>
      </w:r>
      <w:r w:rsidRPr="00775E3F">
        <w:rPr>
          <w:lang w:val="fr-CH"/>
        </w:rPr>
        <w:t>dessous un rapport sur les activités du Bureau de la déontologie en</w:t>
      </w:r>
      <w:r w:rsidR="00CF1BF9" w:rsidRPr="00775E3F">
        <w:rPr>
          <w:lang w:val="fr-CH"/>
        </w:rPr>
        <w:t> </w:t>
      </w:r>
      <w:r w:rsidRPr="00775E3F">
        <w:rPr>
          <w:lang w:val="fr-CH"/>
        </w:rPr>
        <w:t>2015.</w:t>
      </w:r>
      <w:r w:rsidR="004A39C5" w:rsidRPr="00775E3F">
        <w:rPr>
          <w:lang w:val="fr-CH"/>
        </w:rPr>
        <w:t xml:space="preserve">  </w:t>
      </w:r>
      <w:r w:rsidRPr="00775E3F">
        <w:rPr>
          <w:lang w:val="fr-CH"/>
        </w:rPr>
        <w:t>Depuis sa création en juin</w:t>
      </w:r>
      <w:r w:rsidR="00CF1BF9" w:rsidRPr="00775E3F">
        <w:rPr>
          <w:lang w:val="fr-CH"/>
        </w:rPr>
        <w:t> </w:t>
      </w:r>
      <w:r w:rsidRPr="00775E3F">
        <w:rPr>
          <w:lang w:val="fr-CH"/>
        </w:rPr>
        <w:t xml:space="preserve">2010, le Bureau de la déontologie a rendu compte de ses activités aux </w:t>
      </w:r>
      <w:r w:rsidR="00CF1BF9" w:rsidRPr="00775E3F">
        <w:rPr>
          <w:lang w:val="fr-CH"/>
        </w:rPr>
        <w:t>É</w:t>
      </w:r>
      <w:r w:rsidRPr="00775E3F">
        <w:rPr>
          <w:lang w:val="fr-CH"/>
        </w:rPr>
        <w:t>tats membr</w:t>
      </w:r>
      <w:r w:rsidR="00F52F90" w:rsidRPr="00775E3F">
        <w:rPr>
          <w:lang w:val="fr-CH"/>
        </w:rPr>
        <w:t>es</w:t>
      </w:r>
      <w:r w:rsidR="00F52F90">
        <w:rPr>
          <w:lang w:val="fr-CH"/>
        </w:rPr>
        <w:t xml:space="preserve">.  </w:t>
      </w:r>
      <w:r w:rsidR="00F52F90" w:rsidRPr="00775E3F">
        <w:rPr>
          <w:lang w:val="fr-CH"/>
        </w:rPr>
        <w:t>Le</w:t>
      </w:r>
      <w:r w:rsidRPr="00775E3F">
        <w:rPr>
          <w:lang w:val="fr-CH"/>
        </w:rPr>
        <w:t xml:space="preserve"> présent rapport est le cinquième</w:t>
      </w:r>
      <w:r w:rsidR="00CF1BF9" w:rsidRPr="00775E3F">
        <w:rPr>
          <w:lang w:val="fr-CH"/>
        </w:rPr>
        <w:t> </w:t>
      </w:r>
      <w:r w:rsidRPr="00775E3F">
        <w:rPr>
          <w:lang w:val="fr-CH"/>
        </w:rPr>
        <w:t>rapport présenté aux Assemblées.</w:t>
      </w:r>
    </w:p>
    <w:p w:rsidR="0050421D" w:rsidRPr="00775E3F" w:rsidRDefault="0050421D" w:rsidP="004A39C5">
      <w:pPr>
        <w:pStyle w:val="NoSpacing"/>
        <w:pBdr>
          <w:top w:val="single" w:sz="4" w:space="1" w:color="auto"/>
          <w:left w:val="single" w:sz="4" w:space="31" w:color="auto"/>
          <w:bottom w:val="single" w:sz="4" w:space="29" w:color="auto"/>
          <w:right w:val="single" w:sz="4" w:space="4" w:color="auto"/>
        </w:pBdr>
        <w:ind w:left="1134" w:right="566"/>
        <w:jc w:val="center"/>
        <w:rPr>
          <w:b/>
          <w:szCs w:val="22"/>
          <w:u w:val="single"/>
          <w:lang w:val="fr-CH"/>
        </w:rPr>
      </w:pPr>
    </w:p>
    <w:p w:rsidR="0050421D" w:rsidRPr="00775E3F" w:rsidRDefault="004A6D1F" w:rsidP="00F422A4">
      <w:pPr>
        <w:pStyle w:val="NoSpacing"/>
        <w:pBdr>
          <w:top w:val="single" w:sz="4" w:space="1" w:color="auto"/>
          <w:left w:val="single" w:sz="4" w:space="31" w:color="auto"/>
          <w:bottom w:val="single" w:sz="4" w:space="29" w:color="auto"/>
          <w:right w:val="single" w:sz="4" w:space="4" w:color="auto"/>
        </w:pBdr>
        <w:ind w:left="1134" w:right="566"/>
        <w:jc w:val="center"/>
        <w:rPr>
          <w:b/>
          <w:szCs w:val="22"/>
          <w:u w:val="single"/>
          <w:lang w:val="fr-CH"/>
        </w:rPr>
      </w:pPr>
      <w:r w:rsidRPr="00775E3F">
        <w:rPr>
          <w:b/>
          <w:szCs w:val="22"/>
          <w:u w:val="single"/>
          <w:lang w:val="fr-CH"/>
        </w:rPr>
        <w:t>2012</w:t>
      </w:r>
      <w:r w:rsidR="00261A93">
        <w:rPr>
          <w:b/>
          <w:szCs w:val="22"/>
          <w:u w:val="single"/>
          <w:lang w:val="fr-CH"/>
        </w:rPr>
        <w:noBreakHyphen/>
      </w:r>
      <w:r w:rsidRPr="00775E3F">
        <w:rPr>
          <w:b/>
          <w:szCs w:val="22"/>
          <w:u w:val="single"/>
          <w:lang w:val="fr-CH"/>
        </w:rPr>
        <w:t xml:space="preserve">2016 : </w:t>
      </w:r>
      <w:r w:rsidR="00F422A4" w:rsidRPr="00775E3F">
        <w:rPr>
          <w:b/>
          <w:szCs w:val="22"/>
          <w:u w:val="single"/>
          <w:lang w:val="fr-CH"/>
        </w:rPr>
        <w:t>5</w:t>
      </w:r>
      <w:r w:rsidRPr="00775E3F">
        <w:rPr>
          <w:b/>
          <w:szCs w:val="22"/>
          <w:u w:val="single"/>
          <w:lang w:val="fr-CH"/>
        </w:rPr>
        <w:t> </w:t>
      </w:r>
      <w:r w:rsidR="00F422A4" w:rsidRPr="00775E3F">
        <w:rPr>
          <w:b/>
          <w:szCs w:val="22"/>
          <w:u w:val="single"/>
          <w:lang w:val="fr-CH"/>
        </w:rPr>
        <w:t>ANN</w:t>
      </w:r>
      <w:r w:rsidRPr="00775E3F">
        <w:rPr>
          <w:b/>
          <w:szCs w:val="22"/>
          <w:u w:val="single"/>
          <w:lang w:val="fr-CH"/>
        </w:rPr>
        <w:t>É</w:t>
      </w:r>
      <w:r w:rsidR="00F422A4" w:rsidRPr="00775E3F">
        <w:rPr>
          <w:b/>
          <w:szCs w:val="22"/>
          <w:u w:val="single"/>
          <w:lang w:val="fr-CH"/>
        </w:rPr>
        <w:t>ES DE RAPPORTS SUR</w:t>
      </w:r>
      <w:r w:rsidR="00CF1BF9" w:rsidRPr="00775E3F">
        <w:rPr>
          <w:b/>
          <w:szCs w:val="22"/>
          <w:u w:val="single"/>
          <w:lang w:val="fr-CH"/>
        </w:rPr>
        <w:t xml:space="preserve"> LES</w:t>
      </w:r>
    </w:p>
    <w:p w:rsidR="0050421D" w:rsidRPr="00775E3F" w:rsidRDefault="00CF1BF9" w:rsidP="00D84618">
      <w:pPr>
        <w:pStyle w:val="NoSpacing"/>
        <w:pBdr>
          <w:top w:val="single" w:sz="4" w:space="1" w:color="auto"/>
          <w:left w:val="single" w:sz="4" w:space="31" w:color="auto"/>
          <w:bottom w:val="single" w:sz="4" w:space="29" w:color="auto"/>
          <w:right w:val="single" w:sz="4" w:space="4" w:color="auto"/>
        </w:pBdr>
        <w:ind w:left="1134" w:right="566"/>
        <w:jc w:val="center"/>
        <w:rPr>
          <w:b/>
          <w:szCs w:val="22"/>
          <w:u w:val="single"/>
          <w:lang w:val="fr-CH" w:bidi="he-IL"/>
        </w:rPr>
      </w:pPr>
      <w:r w:rsidRPr="00775E3F">
        <w:rPr>
          <w:b/>
          <w:szCs w:val="22"/>
          <w:u w:val="single"/>
          <w:lang w:val="fr-CH" w:bidi="he-IL"/>
        </w:rPr>
        <w:t>A</w:t>
      </w:r>
      <w:r w:rsidR="00D0288E" w:rsidRPr="00775E3F">
        <w:rPr>
          <w:b/>
          <w:szCs w:val="22"/>
          <w:u w:val="single"/>
          <w:lang w:val="fr-CH" w:bidi="he-IL"/>
        </w:rPr>
        <w:t>CTIVIT</w:t>
      </w:r>
      <w:r w:rsidR="004A6D1F" w:rsidRPr="00775E3F">
        <w:rPr>
          <w:b/>
          <w:szCs w:val="22"/>
          <w:u w:val="single"/>
          <w:lang w:val="fr-CH" w:bidi="he-IL"/>
        </w:rPr>
        <w:t>É</w:t>
      </w:r>
      <w:r w:rsidR="00D0288E" w:rsidRPr="00775E3F">
        <w:rPr>
          <w:b/>
          <w:szCs w:val="22"/>
          <w:u w:val="single"/>
          <w:lang w:val="fr-CH" w:bidi="he-IL"/>
        </w:rPr>
        <w:t xml:space="preserve">S </w:t>
      </w:r>
      <w:r w:rsidR="00D84618" w:rsidRPr="00775E3F">
        <w:rPr>
          <w:b/>
          <w:szCs w:val="22"/>
          <w:u w:val="single"/>
          <w:lang w:val="fr-CH" w:bidi="he-IL"/>
        </w:rPr>
        <w:t>ET L</w:t>
      </w:r>
      <w:r w:rsidR="00775E3F">
        <w:rPr>
          <w:b/>
          <w:szCs w:val="22"/>
          <w:u w:val="single"/>
          <w:lang w:val="fr-CH" w:bidi="he-IL"/>
        </w:rPr>
        <w:t>’</w:t>
      </w:r>
      <w:r w:rsidR="00D84618" w:rsidRPr="00775E3F">
        <w:rPr>
          <w:b/>
          <w:szCs w:val="22"/>
          <w:u w:val="single"/>
          <w:lang w:val="fr-CH" w:bidi="he-IL"/>
        </w:rPr>
        <w:t xml:space="preserve">UTILITÉ </w:t>
      </w:r>
      <w:r w:rsidR="00D0288E" w:rsidRPr="00775E3F">
        <w:rPr>
          <w:b/>
          <w:szCs w:val="22"/>
          <w:u w:val="single"/>
          <w:lang w:val="fr-CH" w:bidi="he-IL"/>
        </w:rPr>
        <w:t>DU BUREAU DE LA D</w:t>
      </w:r>
      <w:r w:rsidR="004A6D1F" w:rsidRPr="00775E3F">
        <w:rPr>
          <w:b/>
          <w:szCs w:val="22"/>
          <w:u w:val="single"/>
          <w:lang w:val="fr-CH" w:bidi="he-IL"/>
        </w:rPr>
        <w:t>É</w:t>
      </w:r>
      <w:r w:rsidR="00D0288E" w:rsidRPr="00775E3F">
        <w:rPr>
          <w:b/>
          <w:szCs w:val="22"/>
          <w:u w:val="single"/>
          <w:lang w:val="fr-CH" w:bidi="he-IL"/>
        </w:rPr>
        <w:t>ONTOLOGIE DE L</w:t>
      </w:r>
      <w:r w:rsidR="00775E3F">
        <w:rPr>
          <w:b/>
          <w:szCs w:val="22"/>
          <w:u w:val="single"/>
          <w:lang w:val="fr-CH" w:bidi="he-IL"/>
        </w:rPr>
        <w:t>’</w:t>
      </w:r>
      <w:r w:rsidR="00D0288E" w:rsidRPr="00775E3F">
        <w:rPr>
          <w:b/>
          <w:szCs w:val="22"/>
          <w:u w:val="single"/>
          <w:lang w:val="fr-CH" w:bidi="he-IL"/>
        </w:rPr>
        <w:t>OMPI</w:t>
      </w:r>
    </w:p>
    <w:p w:rsidR="00A53B0A" w:rsidRDefault="00A53B0A" w:rsidP="00D0288E">
      <w:pPr>
        <w:pStyle w:val="NoSpacing"/>
        <w:pBdr>
          <w:top w:val="single" w:sz="4" w:space="1" w:color="auto"/>
          <w:left w:val="single" w:sz="4" w:space="31" w:color="auto"/>
          <w:bottom w:val="single" w:sz="4" w:space="29" w:color="auto"/>
          <w:right w:val="single" w:sz="4" w:space="4" w:color="auto"/>
        </w:pBdr>
        <w:ind w:left="1134" w:right="566"/>
        <w:rPr>
          <w:szCs w:val="22"/>
          <w:lang w:val="fr-CH" w:bidi="he-IL"/>
        </w:rPr>
      </w:pPr>
    </w:p>
    <w:p w:rsidR="00775E3F" w:rsidRDefault="00D0288E" w:rsidP="00D0288E">
      <w:pPr>
        <w:pStyle w:val="NoSpacing"/>
        <w:pBdr>
          <w:top w:val="single" w:sz="4" w:space="1" w:color="auto"/>
          <w:left w:val="single" w:sz="4" w:space="31" w:color="auto"/>
          <w:bottom w:val="single" w:sz="4" w:space="29" w:color="auto"/>
          <w:right w:val="single" w:sz="4" w:space="4" w:color="auto"/>
        </w:pBdr>
        <w:ind w:left="1134" w:right="566"/>
        <w:rPr>
          <w:szCs w:val="22"/>
          <w:lang w:val="fr-CH" w:bidi="he-IL"/>
        </w:rPr>
      </w:pPr>
      <w:r w:rsidRPr="00775E3F">
        <w:rPr>
          <w:szCs w:val="22"/>
          <w:lang w:val="fr-CH" w:bidi="he-IL"/>
        </w:rPr>
        <w:t>Le Bureau de la déontologie a été créé en juin</w:t>
      </w:r>
      <w:r w:rsidR="008D4917" w:rsidRPr="00775E3F">
        <w:rPr>
          <w:szCs w:val="22"/>
          <w:lang w:val="fr-CH" w:bidi="he-IL"/>
        </w:rPr>
        <w:t> </w:t>
      </w:r>
      <w:r w:rsidRPr="00775E3F">
        <w:rPr>
          <w:szCs w:val="22"/>
          <w:lang w:val="fr-CH" w:bidi="he-IL"/>
        </w:rPr>
        <w:t xml:space="preserve">2010, en relation avec la valeur </w:t>
      </w:r>
      <w:r w:rsidR="00775E3F">
        <w:rPr>
          <w:szCs w:val="22"/>
          <w:lang w:val="fr-CH" w:bidi="he-IL"/>
        </w:rPr>
        <w:t>“</w:t>
      </w:r>
      <w:r w:rsidRPr="00775E3F">
        <w:rPr>
          <w:szCs w:val="22"/>
          <w:lang w:val="fr-CH" w:bidi="he-IL"/>
        </w:rPr>
        <w:t>responsabilité sur les plans environnemental et social et en termes de gouvernance</w:t>
      </w:r>
      <w:r w:rsidR="00775E3F">
        <w:rPr>
          <w:szCs w:val="22"/>
          <w:lang w:val="fr-CH" w:bidi="he-IL"/>
        </w:rPr>
        <w:t>”</w:t>
      </w:r>
      <w:r w:rsidRPr="00775E3F">
        <w:rPr>
          <w:szCs w:val="22"/>
          <w:lang w:val="fr-CH" w:bidi="he-IL"/>
        </w:rPr>
        <w:t xml:space="preserve"> du Programme de réorientation stratégique (PRS).</w:t>
      </w:r>
    </w:p>
    <w:p w:rsidR="0050421D" w:rsidRPr="00775E3F" w:rsidRDefault="0050421D" w:rsidP="004A39C5">
      <w:pPr>
        <w:pStyle w:val="NoSpacing"/>
        <w:pBdr>
          <w:top w:val="single" w:sz="4" w:space="1" w:color="auto"/>
          <w:left w:val="single" w:sz="4" w:space="31" w:color="auto"/>
          <w:bottom w:val="single" w:sz="4" w:space="29" w:color="auto"/>
          <w:right w:val="single" w:sz="4" w:space="4" w:color="auto"/>
        </w:pBdr>
        <w:ind w:left="1134" w:right="566"/>
        <w:rPr>
          <w:szCs w:val="22"/>
          <w:lang w:val="fr-CH" w:bidi="he-IL"/>
        </w:rPr>
      </w:pPr>
    </w:p>
    <w:p w:rsidR="0050421D" w:rsidRPr="00775E3F" w:rsidRDefault="008D4917" w:rsidP="00D0288E">
      <w:pPr>
        <w:pStyle w:val="NoSpacing"/>
        <w:pBdr>
          <w:top w:val="single" w:sz="4" w:space="1" w:color="auto"/>
          <w:left w:val="single" w:sz="4" w:space="31" w:color="auto"/>
          <w:bottom w:val="single" w:sz="4" w:space="29" w:color="auto"/>
          <w:right w:val="single" w:sz="4" w:space="4" w:color="auto"/>
        </w:pBdr>
        <w:ind w:left="1134" w:right="566"/>
        <w:rPr>
          <w:szCs w:val="22"/>
          <w:lang w:val="fr-CH" w:bidi="he-IL"/>
        </w:rPr>
      </w:pPr>
      <w:r w:rsidRPr="00775E3F">
        <w:rPr>
          <w:szCs w:val="22"/>
          <w:lang w:val="fr-CH" w:bidi="he-IL"/>
        </w:rPr>
        <w:t>À</w:t>
      </w:r>
      <w:r w:rsidR="00D0288E" w:rsidRPr="00775E3F">
        <w:rPr>
          <w:szCs w:val="22"/>
          <w:lang w:val="fr-CH" w:bidi="he-IL"/>
        </w:rPr>
        <w:t xml:space="preserve"> la fin de sa première</w:t>
      </w:r>
      <w:r w:rsidRPr="00775E3F">
        <w:rPr>
          <w:szCs w:val="22"/>
          <w:lang w:val="fr-CH" w:bidi="he-IL"/>
        </w:rPr>
        <w:t> </w:t>
      </w:r>
      <w:r w:rsidR="00D0288E" w:rsidRPr="00775E3F">
        <w:rPr>
          <w:szCs w:val="22"/>
          <w:lang w:val="fr-CH" w:bidi="he-IL"/>
        </w:rPr>
        <w:t>année civile de fonctionnement, le Bureau de la déontologie a commencé à établir des rapports annuels sur ses activit</w:t>
      </w:r>
      <w:r w:rsidR="00F52F90" w:rsidRPr="00775E3F">
        <w:rPr>
          <w:szCs w:val="22"/>
          <w:lang w:val="fr-CH" w:bidi="he-IL"/>
        </w:rPr>
        <w:t>és</w:t>
      </w:r>
      <w:r w:rsidR="00F52F90">
        <w:rPr>
          <w:szCs w:val="22"/>
          <w:lang w:val="fr-CH" w:bidi="he-IL"/>
        </w:rPr>
        <w:t xml:space="preserve">.  </w:t>
      </w:r>
      <w:r w:rsidR="00F52F90" w:rsidRPr="00775E3F">
        <w:rPr>
          <w:szCs w:val="22"/>
          <w:lang w:val="fr-CH" w:bidi="he-IL"/>
        </w:rPr>
        <w:t>Da</w:t>
      </w:r>
      <w:r w:rsidR="00D0288E" w:rsidRPr="00775E3F">
        <w:rPr>
          <w:szCs w:val="22"/>
          <w:lang w:val="fr-CH" w:bidi="he-IL"/>
        </w:rPr>
        <w:t>ns le Rapport annuel sur les ressources humaines de</w:t>
      </w:r>
      <w:r w:rsidRPr="00775E3F">
        <w:rPr>
          <w:szCs w:val="22"/>
          <w:lang w:val="fr-CH" w:bidi="he-IL"/>
        </w:rPr>
        <w:t> </w:t>
      </w:r>
      <w:r w:rsidR="00D0288E" w:rsidRPr="00775E3F">
        <w:rPr>
          <w:szCs w:val="22"/>
          <w:lang w:val="fr-CH" w:bidi="he-IL"/>
        </w:rPr>
        <w:t xml:space="preserve">2012, le Bureau de la déontologie a présenté un rapport sur ses activités et </w:t>
      </w:r>
      <w:r w:rsidR="00D84618" w:rsidRPr="00775E3F">
        <w:rPr>
          <w:szCs w:val="22"/>
          <w:lang w:val="fr-CH" w:bidi="he-IL"/>
        </w:rPr>
        <w:t>son utilité</w:t>
      </w:r>
      <w:r w:rsidR="00D0288E" w:rsidRPr="00775E3F">
        <w:rPr>
          <w:szCs w:val="22"/>
          <w:lang w:val="fr-CH" w:bidi="he-IL"/>
        </w:rPr>
        <w:t xml:space="preserve"> en</w:t>
      </w:r>
      <w:r w:rsidRPr="00775E3F">
        <w:rPr>
          <w:szCs w:val="22"/>
          <w:lang w:val="fr-CH" w:bidi="he-IL"/>
        </w:rPr>
        <w:t> </w:t>
      </w:r>
      <w:r w:rsidR="00D0288E" w:rsidRPr="00775E3F">
        <w:rPr>
          <w:szCs w:val="22"/>
          <w:lang w:val="fr-CH" w:bidi="he-IL"/>
        </w:rPr>
        <w:t>2010</w:t>
      </w:r>
      <w:r w:rsidR="00946212">
        <w:rPr>
          <w:szCs w:val="22"/>
          <w:lang w:val="fr-CH" w:bidi="he-IL"/>
        </w:rPr>
        <w:noBreakHyphen/>
      </w:r>
      <w:r w:rsidR="00D0288E" w:rsidRPr="00775E3F">
        <w:rPr>
          <w:szCs w:val="22"/>
          <w:lang w:val="fr-CH" w:bidi="he-IL"/>
        </w:rPr>
        <w:t>2011</w:t>
      </w:r>
      <w:r w:rsidR="00D0288E" w:rsidRPr="00775E3F">
        <w:rPr>
          <w:rStyle w:val="FootnoteReference"/>
          <w:szCs w:val="22"/>
          <w:lang w:val="fr-CH" w:bidi="he-IL"/>
        </w:rPr>
        <w:footnoteReference w:id="2"/>
      </w:r>
      <w:r w:rsidR="00D0288E" w:rsidRPr="00775E3F">
        <w:rPr>
          <w:szCs w:val="22"/>
          <w:lang w:val="fr-CH" w:bidi="he-IL"/>
        </w:rPr>
        <w:t>.</w:t>
      </w:r>
    </w:p>
    <w:p w:rsidR="00D84618" w:rsidRPr="00775E3F" w:rsidRDefault="00D84618" w:rsidP="00D0288E">
      <w:pPr>
        <w:pStyle w:val="NoSpacing"/>
        <w:pBdr>
          <w:top w:val="single" w:sz="4" w:space="1" w:color="auto"/>
          <w:left w:val="single" w:sz="4" w:space="31" w:color="auto"/>
          <w:bottom w:val="single" w:sz="4" w:space="29" w:color="auto"/>
          <w:right w:val="single" w:sz="4" w:space="4" w:color="auto"/>
        </w:pBdr>
        <w:ind w:left="1134" w:right="566"/>
        <w:rPr>
          <w:szCs w:val="22"/>
          <w:lang w:val="fr-CH" w:bidi="he-IL"/>
        </w:rPr>
      </w:pPr>
    </w:p>
    <w:p w:rsidR="0050421D" w:rsidRPr="00775E3F" w:rsidRDefault="00553405" w:rsidP="00553405">
      <w:pPr>
        <w:pStyle w:val="NoSpacing"/>
        <w:pBdr>
          <w:top w:val="single" w:sz="4" w:space="1" w:color="auto"/>
          <w:left w:val="single" w:sz="4" w:space="31" w:color="auto"/>
          <w:bottom w:val="single" w:sz="4" w:space="29" w:color="auto"/>
          <w:right w:val="single" w:sz="4" w:space="4" w:color="auto"/>
        </w:pBdr>
        <w:ind w:left="1134" w:right="566"/>
        <w:rPr>
          <w:szCs w:val="22"/>
          <w:lang w:val="fr-CH" w:bidi="he-IL"/>
        </w:rPr>
      </w:pPr>
      <w:r w:rsidRPr="00775E3F">
        <w:rPr>
          <w:szCs w:val="22"/>
          <w:lang w:val="fr-CH" w:bidi="he-IL"/>
        </w:rPr>
        <w:t>En</w:t>
      </w:r>
      <w:r w:rsidR="008D4917" w:rsidRPr="00775E3F">
        <w:rPr>
          <w:szCs w:val="22"/>
          <w:lang w:val="fr-CH" w:bidi="he-IL"/>
        </w:rPr>
        <w:t> </w:t>
      </w:r>
      <w:r w:rsidRPr="00775E3F">
        <w:rPr>
          <w:szCs w:val="22"/>
          <w:lang w:val="fr-CH" w:bidi="he-IL"/>
        </w:rPr>
        <w:t>2013 et</w:t>
      </w:r>
      <w:r w:rsidR="008D4917" w:rsidRPr="00775E3F">
        <w:rPr>
          <w:szCs w:val="22"/>
          <w:lang w:val="fr-CH" w:bidi="he-IL"/>
        </w:rPr>
        <w:t> </w:t>
      </w:r>
      <w:r w:rsidRPr="00775E3F">
        <w:rPr>
          <w:szCs w:val="22"/>
          <w:lang w:val="fr-CH" w:bidi="he-IL"/>
        </w:rPr>
        <w:t>2014, les deuxième et troisième</w:t>
      </w:r>
      <w:r w:rsidR="008D4917" w:rsidRPr="00775E3F">
        <w:rPr>
          <w:szCs w:val="22"/>
          <w:lang w:val="fr-CH" w:bidi="he-IL"/>
        </w:rPr>
        <w:t> </w:t>
      </w:r>
      <w:r w:rsidRPr="00775E3F">
        <w:rPr>
          <w:szCs w:val="22"/>
          <w:lang w:val="fr-CH" w:bidi="he-IL"/>
        </w:rPr>
        <w:t>rapports du Bureau de la déontologie, qui rendaient compte des activités menées en</w:t>
      </w:r>
      <w:r w:rsidR="008D4917" w:rsidRPr="00775E3F">
        <w:rPr>
          <w:szCs w:val="22"/>
          <w:lang w:val="fr-CH" w:bidi="he-IL"/>
        </w:rPr>
        <w:t> </w:t>
      </w:r>
      <w:r w:rsidRPr="00775E3F">
        <w:rPr>
          <w:szCs w:val="22"/>
          <w:lang w:val="fr-CH" w:bidi="he-IL"/>
        </w:rPr>
        <w:t>2012 et</w:t>
      </w:r>
      <w:r w:rsidR="008D4917" w:rsidRPr="00775E3F">
        <w:rPr>
          <w:szCs w:val="22"/>
          <w:lang w:val="fr-CH" w:bidi="he-IL"/>
        </w:rPr>
        <w:t> </w:t>
      </w:r>
      <w:r w:rsidRPr="00775E3F">
        <w:rPr>
          <w:szCs w:val="22"/>
          <w:lang w:val="fr-CH" w:bidi="he-IL"/>
        </w:rPr>
        <w:t xml:space="preserve">2013 </w:t>
      </w:r>
      <w:r w:rsidRPr="00775E3F">
        <w:rPr>
          <w:szCs w:val="22"/>
          <w:lang w:val="fr-CH" w:bidi="he-IL"/>
        </w:rPr>
        <w:lastRenderedPageBreak/>
        <w:t>respectivement, ont été présentés sous forme d</w:t>
      </w:r>
      <w:r w:rsidR="00775E3F">
        <w:rPr>
          <w:szCs w:val="22"/>
          <w:lang w:val="fr-CH" w:bidi="he-IL"/>
        </w:rPr>
        <w:t>’</w:t>
      </w:r>
      <w:r w:rsidRPr="00775E3F">
        <w:rPr>
          <w:szCs w:val="22"/>
          <w:lang w:val="fr-CH" w:bidi="he-IL"/>
        </w:rPr>
        <w:t>annexes spécifiques des rapports annuels sur les ressources humaines</w:t>
      </w:r>
      <w:r w:rsidRPr="00775E3F">
        <w:rPr>
          <w:rStyle w:val="FootnoteReference"/>
          <w:szCs w:val="22"/>
          <w:lang w:bidi="he-IL"/>
        </w:rPr>
        <w:footnoteReference w:id="3"/>
      </w:r>
      <w:r w:rsidRPr="00775E3F">
        <w:rPr>
          <w:szCs w:val="22"/>
          <w:lang w:val="fr-CH" w:bidi="he-IL"/>
        </w:rPr>
        <w:t>.</w:t>
      </w:r>
    </w:p>
    <w:p w:rsidR="0050421D" w:rsidRPr="00775E3F" w:rsidRDefault="0050421D" w:rsidP="00C90E92">
      <w:pPr>
        <w:pStyle w:val="NoSpacing"/>
        <w:pBdr>
          <w:top w:val="single" w:sz="4" w:space="1" w:color="auto"/>
          <w:left w:val="single" w:sz="4" w:space="31" w:color="auto"/>
          <w:bottom w:val="single" w:sz="4" w:space="29" w:color="auto"/>
          <w:right w:val="single" w:sz="4" w:space="4" w:color="auto"/>
        </w:pBdr>
        <w:ind w:left="1134" w:right="566"/>
        <w:rPr>
          <w:szCs w:val="22"/>
          <w:lang w:val="fr-CH" w:bidi="he-IL"/>
        </w:rPr>
      </w:pPr>
    </w:p>
    <w:p w:rsidR="0050421D" w:rsidRPr="00775E3F" w:rsidRDefault="00553405" w:rsidP="00553405">
      <w:pPr>
        <w:pStyle w:val="NoSpacing"/>
        <w:pBdr>
          <w:top w:val="single" w:sz="4" w:space="1" w:color="auto"/>
          <w:left w:val="single" w:sz="4" w:space="31" w:color="auto"/>
          <w:bottom w:val="single" w:sz="4" w:space="29" w:color="auto"/>
          <w:right w:val="single" w:sz="4" w:space="4" w:color="auto"/>
        </w:pBdr>
        <w:ind w:left="1134" w:right="566"/>
        <w:rPr>
          <w:szCs w:val="22"/>
          <w:lang w:val="fr-CH"/>
        </w:rPr>
      </w:pPr>
      <w:r w:rsidRPr="00775E3F">
        <w:rPr>
          <w:szCs w:val="22"/>
          <w:lang w:val="fr-CH"/>
        </w:rPr>
        <w:t>En</w:t>
      </w:r>
      <w:r w:rsidR="008D4917" w:rsidRPr="00775E3F">
        <w:rPr>
          <w:szCs w:val="22"/>
          <w:lang w:val="fr-CH"/>
        </w:rPr>
        <w:t> </w:t>
      </w:r>
      <w:r w:rsidRPr="00775E3F">
        <w:rPr>
          <w:szCs w:val="22"/>
          <w:lang w:val="fr-CH"/>
        </w:rPr>
        <w:t>2015, le quatrième</w:t>
      </w:r>
      <w:r w:rsidR="008D4917" w:rsidRPr="00775E3F">
        <w:rPr>
          <w:szCs w:val="22"/>
          <w:lang w:val="fr-CH"/>
        </w:rPr>
        <w:t> </w:t>
      </w:r>
      <w:r w:rsidRPr="00775E3F">
        <w:rPr>
          <w:szCs w:val="22"/>
          <w:lang w:val="fr-CH"/>
        </w:rPr>
        <w:t>rapport sur les activités du Bureau de la déontologie, portant sur l</w:t>
      </w:r>
      <w:r w:rsidR="00775E3F">
        <w:rPr>
          <w:szCs w:val="22"/>
          <w:lang w:val="fr-CH"/>
        </w:rPr>
        <w:t>’</w:t>
      </w:r>
      <w:r w:rsidRPr="00775E3F">
        <w:rPr>
          <w:szCs w:val="22"/>
          <w:lang w:val="fr-CH"/>
        </w:rPr>
        <w:t>année 2014, a été présenté en tant que rapport annuel distinct par le Bureau de la déontologie au Comité de coordination de l</w:t>
      </w:r>
      <w:r w:rsidR="00775E3F">
        <w:rPr>
          <w:szCs w:val="22"/>
          <w:lang w:val="fr-CH"/>
        </w:rPr>
        <w:t>’</w:t>
      </w:r>
      <w:r w:rsidRPr="00775E3F">
        <w:rPr>
          <w:szCs w:val="22"/>
          <w:lang w:val="fr-CH"/>
        </w:rPr>
        <w:t>OMPI</w:t>
      </w:r>
      <w:r w:rsidRPr="00775E3F">
        <w:rPr>
          <w:rStyle w:val="FootnoteReference"/>
          <w:szCs w:val="22"/>
        </w:rPr>
        <w:footnoteReference w:id="4"/>
      </w:r>
      <w:r w:rsidRPr="00775E3F">
        <w:rPr>
          <w:szCs w:val="22"/>
          <w:lang w:val="fr-CH"/>
        </w:rPr>
        <w:t>.</w:t>
      </w:r>
    </w:p>
    <w:p w:rsidR="0050421D" w:rsidRPr="00775E3F" w:rsidRDefault="0050421D" w:rsidP="00C90E92">
      <w:pPr>
        <w:pStyle w:val="NoSpacing"/>
        <w:pBdr>
          <w:top w:val="single" w:sz="4" w:space="1" w:color="auto"/>
          <w:left w:val="single" w:sz="4" w:space="31" w:color="auto"/>
          <w:bottom w:val="single" w:sz="4" w:space="29" w:color="auto"/>
          <w:right w:val="single" w:sz="4" w:space="4" w:color="auto"/>
        </w:pBdr>
        <w:ind w:left="1134" w:right="566"/>
        <w:rPr>
          <w:szCs w:val="22"/>
          <w:lang w:val="fr-CH"/>
        </w:rPr>
      </w:pPr>
    </w:p>
    <w:p w:rsidR="0050421D" w:rsidRPr="00775E3F" w:rsidRDefault="00452333" w:rsidP="00452333">
      <w:pPr>
        <w:pStyle w:val="NoSpacing"/>
        <w:pBdr>
          <w:top w:val="single" w:sz="4" w:space="1" w:color="auto"/>
          <w:left w:val="single" w:sz="4" w:space="31" w:color="auto"/>
          <w:bottom w:val="single" w:sz="4" w:space="29" w:color="auto"/>
          <w:right w:val="single" w:sz="4" w:space="4" w:color="auto"/>
        </w:pBdr>
        <w:ind w:left="1134" w:right="566"/>
        <w:rPr>
          <w:szCs w:val="22"/>
          <w:lang w:val="fr-CH"/>
        </w:rPr>
      </w:pPr>
      <w:r w:rsidRPr="00775E3F">
        <w:rPr>
          <w:szCs w:val="22"/>
          <w:lang w:val="fr-CH"/>
        </w:rPr>
        <w:t>Le Rapport</w:t>
      </w:r>
      <w:r w:rsidR="008D4917" w:rsidRPr="00775E3F">
        <w:rPr>
          <w:szCs w:val="22"/>
          <w:lang w:val="fr-CH"/>
        </w:rPr>
        <w:t> </w:t>
      </w:r>
      <w:r w:rsidRPr="00775E3F">
        <w:rPr>
          <w:szCs w:val="22"/>
          <w:lang w:val="fr-CH"/>
        </w:rPr>
        <w:t xml:space="preserve">2016, cinquième rapport du Bureau de la déontologie, qui porte sur ses activités et </w:t>
      </w:r>
      <w:r w:rsidR="00B16E3A">
        <w:rPr>
          <w:szCs w:val="22"/>
          <w:lang w:val="fr-CH"/>
        </w:rPr>
        <w:t>son utilité</w:t>
      </w:r>
      <w:r w:rsidRPr="00775E3F">
        <w:rPr>
          <w:szCs w:val="22"/>
          <w:lang w:val="fr-CH"/>
        </w:rPr>
        <w:t xml:space="preserve"> en</w:t>
      </w:r>
      <w:r w:rsidR="008D4917" w:rsidRPr="00775E3F">
        <w:rPr>
          <w:szCs w:val="22"/>
          <w:lang w:val="fr-CH"/>
        </w:rPr>
        <w:t> </w:t>
      </w:r>
      <w:r w:rsidRPr="00775E3F">
        <w:rPr>
          <w:szCs w:val="22"/>
          <w:lang w:val="fr-CH"/>
        </w:rPr>
        <w:t>2015, suit ce format.</w:t>
      </w:r>
    </w:p>
    <w:p w:rsidR="0050421D" w:rsidRPr="00775E3F" w:rsidRDefault="0050421D" w:rsidP="004A39C5">
      <w:pPr>
        <w:rPr>
          <w:caps/>
          <w:sz w:val="24"/>
          <w:lang w:val="fr-CH"/>
        </w:rPr>
      </w:pPr>
    </w:p>
    <w:p w:rsidR="0050421D" w:rsidRPr="00287B2A" w:rsidRDefault="00287B2A" w:rsidP="00287B2A">
      <w:pPr>
        <w:pStyle w:val="Heading1"/>
      </w:pPr>
      <w:r w:rsidRPr="00287B2A">
        <w:t>Généralités</w:t>
      </w:r>
    </w:p>
    <w:p w:rsidR="0050421D" w:rsidRPr="00775E3F" w:rsidRDefault="0050421D" w:rsidP="004A39C5">
      <w:pPr>
        <w:pStyle w:val="NoSpacing"/>
      </w:pPr>
    </w:p>
    <w:p w:rsidR="00976389" w:rsidRDefault="00452333" w:rsidP="00976389">
      <w:pPr>
        <w:pStyle w:val="ONUMFS"/>
        <w:rPr>
          <w:szCs w:val="24"/>
          <w:lang w:val="fr-CH"/>
        </w:rPr>
      </w:pPr>
      <w:r w:rsidRPr="00775E3F">
        <w:rPr>
          <w:lang w:val="fr-CH"/>
        </w:rPr>
        <w:t>Dans la Convention instituant l</w:t>
      </w:r>
      <w:r w:rsidR="00775E3F">
        <w:rPr>
          <w:lang w:val="fr-CH"/>
        </w:rPr>
        <w:t>’</w:t>
      </w:r>
      <w:r w:rsidRPr="00775E3F">
        <w:rPr>
          <w:lang w:val="fr-CH"/>
        </w:rPr>
        <w:t>Organisation Mondiale de la Propriété Intellectuelle, il est fait référence à l</w:t>
      </w:r>
      <w:r w:rsidR="00775E3F">
        <w:rPr>
          <w:lang w:val="fr-CH"/>
        </w:rPr>
        <w:t>’</w:t>
      </w:r>
      <w:r w:rsidRPr="00775E3F">
        <w:rPr>
          <w:lang w:val="fr-CH"/>
        </w:rPr>
        <w:t>importance pour l</w:t>
      </w:r>
      <w:r w:rsidR="00775E3F">
        <w:rPr>
          <w:lang w:val="fr-CH"/>
        </w:rPr>
        <w:t>’</w:t>
      </w:r>
      <w:r w:rsidRPr="00775E3F">
        <w:rPr>
          <w:lang w:val="fr-CH"/>
        </w:rPr>
        <w:t>Organisation de s</w:t>
      </w:r>
      <w:r w:rsidR="00775E3F">
        <w:rPr>
          <w:lang w:val="fr-CH"/>
        </w:rPr>
        <w:t>’</w:t>
      </w:r>
      <w:r w:rsidRPr="00775E3F">
        <w:rPr>
          <w:lang w:val="fr-CH"/>
        </w:rPr>
        <w:t>attacher les services de personnes possédant les plus hautes qualités de travail, de compétence et d</w:t>
      </w:r>
      <w:r w:rsidR="00775E3F">
        <w:rPr>
          <w:lang w:val="fr-CH"/>
        </w:rPr>
        <w:t>’</w:t>
      </w:r>
      <w:r w:rsidRPr="00775E3F">
        <w:rPr>
          <w:lang w:val="fr-CH"/>
        </w:rPr>
        <w:t>intégri</w:t>
      </w:r>
      <w:r w:rsidR="00F52F90" w:rsidRPr="00775E3F">
        <w:rPr>
          <w:lang w:val="fr-CH"/>
        </w:rPr>
        <w:t>té</w:t>
      </w:r>
      <w:r w:rsidR="00F52F90">
        <w:rPr>
          <w:lang w:val="fr-CH"/>
        </w:rPr>
        <w:t xml:space="preserve">.  </w:t>
      </w:r>
      <w:r w:rsidR="00F52F90" w:rsidRPr="00775E3F">
        <w:rPr>
          <w:szCs w:val="24"/>
          <w:lang w:val="fr-CH"/>
        </w:rPr>
        <w:t>La</w:t>
      </w:r>
      <w:r w:rsidRPr="00775E3F">
        <w:rPr>
          <w:szCs w:val="24"/>
          <w:lang w:val="fr-CH"/>
        </w:rPr>
        <w:t xml:space="preserve"> mise en place à l</w:t>
      </w:r>
      <w:r w:rsidR="00775E3F">
        <w:rPr>
          <w:szCs w:val="24"/>
          <w:lang w:val="fr-CH"/>
        </w:rPr>
        <w:t>’</w:t>
      </w:r>
      <w:r w:rsidRPr="00775E3F">
        <w:rPr>
          <w:szCs w:val="24"/>
          <w:lang w:val="fr-CH"/>
        </w:rPr>
        <w:t>OMPI d</w:t>
      </w:r>
      <w:r w:rsidR="00775E3F">
        <w:rPr>
          <w:szCs w:val="24"/>
          <w:lang w:val="fr-CH"/>
        </w:rPr>
        <w:t>’</w:t>
      </w:r>
      <w:r w:rsidRPr="00775E3F">
        <w:rPr>
          <w:szCs w:val="24"/>
          <w:lang w:val="fr-CH"/>
        </w:rPr>
        <w:t>un système complet d</w:t>
      </w:r>
      <w:r w:rsidR="00775E3F">
        <w:rPr>
          <w:szCs w:val="24"/>
          <w:lang w:val="fr-CH"/>
        </w:rPr>
        <w:t>’</w:t>
      </w:r>
      <w:r w:rsidRPr="00775E3F">
        <w:rPr>
          <w:szCs w:val="24"/>
          <w:lang w:val="fr-CH"/>
        </w:rPr>
        <w:t>éthique et d</w:t>
      </w:r>
      <w:r w:rsidR="00775E3F">
        <w:rPr>
          <w:szCs w:val="24"/>
          <w:lang w:val="fr-CH"/>
        </w:rPr>
        <w:t>’</w:t>
      </w:r>
      <w:r w:rsidRPr="00775E3F">
        <w:rPr>
          <w:szCs w:val="24"/>
          <w:lang w:val="fr-CH"/>
        </w:rPr>
        <w:t>intégrité est une initiative du programme de réorientation stratégique (PRS)</w:t>
      </w:r>
      <w:r w:rsidR="008D4917" w:rsidRPr="00775E3F">
        <w:rPr>
          <w:szCs w:val="24"/>
          <w:lang w:val="fr-CH"/>
        </w:rPr>
        <w:t>,</w:t>
      </w:r>
      <w:r w:rsidRPr="00775E3F">
        <w:rPr>
          <w:szCs w:val="24"/>
          <w:lang w:val="fr-CH"/>
        </w:rPr>
        <w:t xml:space="preserve"> qui a commencé à être intégrée dans les activités de l</w:t>
      </w:r>
      <w:r w:rsidR="00775E3F">
        <w:rPr>
          <w:szCs w:val="24"/>
          <w:lang w:val="fr-CH"/>
        </w:rPr>
        <w:t>’</w:t>
      </w:r>
      <w:r w:rsidRPr="00775E3F">
        <w:rPr>
          <w:szCs w:val="24"/>
          <w:lang w:val="fr-CH"/>
        </w:rPr>
        <w:t>OMPI à la suite de la conclusion</w:t>
      </w:r>
      <w:r w:rsidR="00775E3F" w:rsidRPr="00775E3F">
        <w:rPr>
          <w:szCs w:val="24"/>
          <w:lang w:val="fr-CH"/>
        </w:rPr>
        <w:t xml:space="preserve"> du PRS</w:t>
      </w:r>
      <w:r w:rsidRPr="00775E3F">
        <w:rPr>
          <w:szCs w:val="24"/>
          <w:lang w:val="fr-CH"/>
        </w:rPr>
        <w:t xml:space="preserve"> en</w:t>
      </w:r>
      <w:r w:rsidR="008D4917" w:rsidRPr="00775E3F">
        <w:rPr>
          <w:szCs w:val="24"/>
          <w:lang w:val="fr-CH"/>
        </w:rPr>
        <w:t> </w:t>
      </w:r>
      <w:r w:rsidRPr="00775E3F">
        <w:rPr>
          <w:szCs w:val="24"/>
          <w:lang w:val="fr-CH"/>
        </w:rPr>
        <w:t>2013.</w:t>
      </w:r>
    </w:p>
    <w:p w:rsidR="0050421D" w:rsidRPr="00775E3F" w:rsidRDefault="00287B2A" w:rsidP="00287B2A">
      <w:pPr>
        <w:pStyle w:val="Heading1"/>
      </w:pPr>
      <w:r w:rsidRPr="00775E3F">
        <w:t>Structure</w:t>
      </w:r>
    </w:p>
    <w:p w:rsidR="0050421D" w:rsidRPr="00775E3F" w:rsidRDefault="0050421D" w:rsidP="004A39C5">
      <w:pPr>
        <w:pStyle w:val="NoSpacing"/>
        <w:rPr>
          <w:szCs w:val="22"/>
        </w:rPr>
      </w:pPr>
    </w:p>
    <w:p w:rsidR="00976389" w:rsidRDefault="00452333" w:rsidP="00976389">
      <w:pPr>
        <w:pStyle w:val="ONUMFS"/>
        <w:rPr>
          <w:lang w:val="fr-CH"/>
        </w:rPr>
      </w:pPr>
      <w:r w:rsidRPr="00775E3F">
        <w:rPr>
          <w:lang w:val="fr-CH"/>
        </w:rPr>
        <w:t>Le Bureau de la déontologie de l</w:t>
      </w:r>
      <w:r w:rsidR="00775E3F">
        <w:rPr>
          <w:lang w:val="fr-CH"/>
        </w:rPr>
        <w:t>’</w:t>
      </w:r>
      <w:r w:rsidRPr="00775E3F">
        <w:rPr>
          <w:lang w:val="fr-CH"/>
        </w:rPr>
        <w:t>OMPI a été créé en juin</w:t>
      </w:r>
      <w:r w:rsidR="008D4917" w:rsidRPr="00775E3F">
        <w:rPr>
          <w:lang w:val="fr-CH"/>
        </w:rPr>
        <w:t> </w:t>
      </w:r>
      <w:r w:rsidRPr="00775E3F">
        <w:rPr>
          <w:lang w:val="fr-CH"/>
        </w:rPr>
        <w:t>2010.</w:t>
      </w:r>
      <w:r w:rsidR="004A39C5" w:rsidRPr="00775E3F">
        <w:rPr>
          <w:rFonts w:eastAsia="Times New Roman"/>
          <w:lang w:val="fr-CH"/>
        </w:rPr>
        <w:t xml:space="preserve"> </w:t>
      </w:r>
      <w:r w:rsidR="00C4191E" w:rsidRPr="00775E3F">
        <w:rPr>
          <w:rFonts w:eastAsia="Times New Roman"/>
          <w:lang w:val="fr-CH"/>
        </w:rPr>
        <w:t xml:space="preserve"> </w:t>
      </w:r>
      <w:r w:rsidRPr="00775E3F">
        <w:rPr>
          <w:rFonts w:eastAsia="Times New Roman"/>
          <w:lang w:val="fr-CH"/>
        </w:rPr>
        <w:t>Il est dirigé par le chef du Bureau de la déontologie, qui rend compte au Directeur génér</w:t>
      </w:r>
      <w:r w:rsidR="00F52F90" w:rsidRPr="00775E3F">
        <w:rPr>
          <w:rFonts w:eastAsia="Times New Roman"/>
          <w:lang w:val="fr-CH"/>
        </w:rPr>
        <w:t>al</w:t>
      </w:r>
      <w:r w:rsidR="00F52F90">
        <w:rPr>
          <w:rFonts w:eastAsia="Times New Roman"/>
          <w:lang w:val="fr-CH"/>
        </w:rPr>
        <w:t xml:space="preserve">.  </w:t>
      </w:r>
      <w:r w:rsidR="00F52F90" w:rsidRPr="00775E3F">
        <w:rPr>
          <w:lang w:val="fr-CH"/>
        </w:rPr>
        <w:t>Se</w:t>
      </w:r>
      <w:r w:rsidRPr="00775E3F">
        <w:rPr>
          <w:lang w:val="fr-CH"/>
        </w:rPr>
        <w:t>s activités ont trait à quatre</w:t>
      </w:r>
      <w:r w:rsidR="008D4917" w:rsidRPr="00775E3F">
        <w:rPr>
          <w:lang w:val="fr-CH"/>
        </w:rPr>
        <w:t> </w:t>
      </w:r>
      <w:r w:rsidRPr="00775E3F">
        <w:rPr>
          <w:lang w:val="fr-CH"/>
        </w:rPr>
        <w:t>secteurs principaux</w:t>
      </w:r>
      <w:r w:rsidR="008D4917" w:rsidRPr="00775E3F">
        <w:rPr>
          <w:lang w:val="fr-CH"/>
        </w:rPr>
        <w:t> </w:t>
      </w:r>
      <w:r w:rsidRPr="00775E3F">
        <w:rPr>
          <w:lang w:val="fr-CH"/>
        </w:rPr>
        <w:t>:</w:t>
      </w:r>
    </w:p>
    <w:p w:rsidR="0050421D" w:rsidRPr="00775E3F" w:rsidRDefault="00452333" w:rsidP="00452333">
      <w:pPr>
        <w:pStyle w:val="NoSpacing"/>
        <w:numPr>
          <w:ilvl w:val="0"/>
          <w:numId w:val="8"/>
        </w:numPr>
        <w:ind w:left="567" w:firstLine="0"/>
        <w:rPr>
          <w:szCs w:val="22"/>
        </w:rPr>
      </w:pPr>
      <w:proofErr w:type="spellStart"/>
      <w:r w:rsidRPr="00775E3F">
        <w:rPr>
          <w:szCs w:val="22"/>
        </w:rPr>
        <w:t>activités</w:t>
      </w:r>
      <w:proofErr w:type="spellEnd"/>
      <w:r w:rsidRPr="00775E3F">
        <w:rPr>
          <w:szCs w:val="22"/>
        </w:rPr>
        <w:t xml:space="preserve"> de promotion;</w:t>
      </w:r>
    </w:p>
    <w:p w:rsidR="0050421D" w:rsidRPr="00775E3F" w:rsidRDefault="00452333" w:rsidP="00452333">
      <w:pPr>
        <w:pStyle w:val="NoSpacing"/>
        <w:numPr>
          <w:ilvl w:val="0"/>
          <w:numId w:val="8"/>
        </w:numPr>
        <w:ind w:left="567" w:firstLine="0"/>
        <w:rPr>
          <w:szCs w:val="22"/>
          <w:lang w:val="fr-CH"/>
        </w:rPr>
      </w:pPr>
      <w:r w:rsidRPr="00775E3F">
        <w:rPr>
          <w:szCs w:val="22"/>
          <w:lang w:val="fr-CH"/>
        </w:rPr>
        <w:t>avis confidentiels à la haute direction, à la direction et à l</w:t>
      </w:r>
      <w:r w:rsidR="00775E3F">
        <w:rPr>
          <w:szCs w:val="22"/>
          <w:lang w:val="fr-CH"/>
        </w:rPr>
        <w:t>’</w:t>
      </w:r>
      <w:r w:rsidRPr="00775E3F">
        <w:rPr>
          <w:szCs w:val="22"/>
          <w:lang w:val="fr-CH"/>
        </w:rPr>
        <w:t>ensemble du personnel;</w:t>
      </w:r>
    </w:p>
    <w:p w:rsidR="0050421D" w:rsidRPr="00775E3F" w:rsidRDefault="00452333" w:rsidP="00452333">
      <w:pPr>
        <w:pStyle w:val="NoSpacing"/>
        <w:numPr>
          <w:ilvl w:val="0"/>
          <w:numId w:val="8"/>
        </w:numPr>
        <w:ind w:left="567" w:firstLine="0"/>
        <w:rPr>
          <w:szCs w:val="22"/>
          <w:lang w:val="fr-CH"/>
        </w:rPr>
      </w:pPr>
      <w:r w:rsidRPr="00775E3F">
        <w:rPr>
          <w:szCs w:val="22"/>
          <w:lang w:val="fr-CH"/>
        </w:rPr>
        <w:t>établissement de normes et élaboration de politiques;  et</w:t>
      </w:r>
    </w:p>
    <w:p w:rsidR="0050421D" w:rsidRDefault="00452333" w:rsidP="00452333">
      <w:pPr>
        <w:pStyle w:val="NoSpacing"/>
        <w:numPr>
          <w:ilvl w:val="0"/>
          <w:numId w:val="8"/>
        </w:numPr>
        <w:ind w:left="567" w:firstLine="0"/>
        <w:rPr>
          <w:szCs w:val="22"/>
          <w:lang w:val="fr-CH"/>
        </w:rPr>
      </w:pPr>
      <w:r w:rsidRPr="00775E3F">
        <w:rPr>
          <w:szCs w:val="22"/>
          <w:lang w:val="fr-CH"/>
        </w:rPr>
        <w:t>mise en œuvre des politiques assignées au Bureau de la déontologie.</w:t>
      </w:r>
    </w:p>
    <w:p w:rsidR="00261A93" w:rsidRPr="00775E3F" w:rsidRDefault="00261A93" w:rsidP="00261A93">
      <w:pPr>
        <w:pStyle w:val="NoSpacing"/>
        <w:ind w:left="567"/>
        <w:rPr>
          <w:szCs w:val="22"/>
          <w:lang w:val="fr-CH"/>
        </w:rPr>
      </w:pPr>
    </w:p>
    <w:p w:rsidR="00976389" w:rsidRDefault="00452333" w:rsidP="00976389">
      <w:pPr>
        <w:pStyle w:val="ONUMFS"/>
        <w:rPr>
          <w:lang w:val="fr-CH"/>
        </w:rPr>
      </w:pPr>
      <w:r w:rsidRPr="00775E3F">
        <w:rPr>
          <w:lang w:val="fr-CH"/>
        </w:rPr>
        <w:t>Le Bureau est indépendant des autres services de l</w:t>
      </w:r>
      <w:r w:rsidR="00775E3F">
        <w:rPr>
          <w:lang w:val="fr-CH"/>
        </w:rPr>
        <w:t>’</w:t>
      </w:r>
      <w:r w:rsidRPr="00775E3F">
        <w:rPr>
          <w:lang w:val="fr-CH"/>
        </w:rPr>
        <w:t>OMPI.</w:t>
      </w:r>
    </w:p>
    <w:p w:rsidR="0050421D" w:rsidRPr="00775E3F" w:rsidRDefault="00287B2A" w:rsidP="00287B2A">
      <w:pPr>
        <w:pStyle w:val="Heading1"/>
      </w:pPr>
      <w:r w:rsidRPr="00775E3F">
        <w:t xml:space="preserve">Activités </w:t>
      </w:r>
      <w:r>
        <w:t>d</w:t>
      </w:r>
      <w:r w:rsidRPr="00775E3F">
        <w:t xml:space="preserve">e </w:t>
      </w:r>
      <w:r>
        <w:t>p</w:t>
      </w:r>
      <w:r w:rsidRPr="00775E3F">
        <w:t>romotion</w:t>
      </w:r>
    </w:p>
    <w:p w:rsidR="0050421D" w:rsidRPr="00775E3F" w:rsidRDefault="0050421D" w:rsidP="004A39C5">
      <w:pPr>
        <w:pStyle w:val="NoSpacing"/>
      </w:pPr>
    </w:p>
    <w:p w:rsidR="0050421D" w:rsidRPr="00775E3F" w:rsidRDefault="00452333" w:rsidP="00452333">
      <w:pPr>
        <w:pStyle w:val="NoSpacing"/>
        <w:tabs>
          <w:tab w:val="left" w:pos="1134"/>
        </w:tabs>
        <w:ind w:left="567"/>
        <w:rPr>
          <w:lang w:val="fr-CH"/>
        </w:rPr>
      </w:pPr>
      <w:r w:rsidRPr="00775E3F">
        <w:rPr>
          <w:u w:val="single"/>
          <w:lang w:val="fr-CH"/>
        </w:rPr>
        <w:t>Formation à l</w:t>
      </w:r>
      <w:r w:rsidR="00775E3F">
        <w:rPr>
          <w:u w:val="single"/>
          <w:lang w:val="fr-CH"/>
        </w:rPr>
        <w:t>’</w:t>
      </w:r>
      <w:r w:rsidRPr="00775E3F">
        <w:rPr>
          <w:u w:val="single"/>
          <w:lang w:val="fr-CH"/>
        </w:rPr>
        <w:t>éthique et à l</w:t>
      </w:r>
      <w:r w:rsidR="00775E3F">
        <w:rPr>
          <w:u w:val="single"/>
          <w:lang w:val="fr-CH"/>
        </w:rPr>
        <w:t>’</w:t>
      </w:r>
      <w:r w:rsidRPr="00775E3F">
        <w:rPr>
          <w:u w:val="single"/>
          <w:lang w:val="fr-CH"/>
        </w:rPr>
        <w:t>intégrité</w:t>
      </w:r>
    </w:p>
    <w:p w:rsidR="0050421D" w:rsidRPr="00775E3F" w:rsidRDefault="0050421D" w:rsidP="004A39C5">
      <w:pPr>
        <w:pStyle w:val="NoSpacing"/>
        <w:rPr>
          <w:lang w:val="fr-CH"/>
        </w:rPr>
      </w:pPr>
    </w:p>
    <w:p w:rsidR="0050421D" w:rsidRPr="00775E3F" w:rsidRDefault="00452333" w:rsidP="00976389">
      <w:pPr>
        <w:pStyle w:val="ONUMFS"/>
        <w:rPr>
          <w:lang w:val="fr-CH"/>
        </w:rPr>
      </w:pPr>
      <w:r w:rsidRPr="00775E3F">
        <w:rPr>
          <w:lang w:val="fr-CH"/>
        </w:rPr>
        <w:t>Depuis le lancement en</w:t>
      </w:r>
      <w:r w:rsidR="008D4917" w:rsidRPr="00775E3F">
        <w:rPr>
          <w:lang w:val="fr-CH"/>
        </w:rPr>
        <w:t> </w:t>
      </w:r>
      <w:r w:rsidRPr="00775E3F">
        <w:rPr>
          <w:lang w:val="fr-CH"/>
        </w:rPr>
        <w:t>2012 de la politique relative à l</w:t>
      </w:r>
      <w:r w:rsidR="00775E3F">
        <w:rPr>
          <w:lang w:val="fr-CH"/>
        </w:rPr>
        <w:t>’</w:t>
      </w:r>
      <w:r w:rsidRPr="00775E3F">
        <w:rPr>
          <w:lang w:val="fr-CH"/>
        </w:rPr>
        <w:t>éthique et à l</w:t>
      </w:r>
      <w:r w:rsidR="00775E3F">
        <w:rPr>
          <w:lang w:val="fr-CH"/>
        </w:rPr>
        <w:t>’</w:t>
      </w:r>
      <w:r w:rsidRPr="00775E3F">
        <w:rPr>
          <w:lang w:val="fr-CH"/>
        </w:rPr>
        <w:t>intégrité, une formation obligatoire est en place pour tous les fonctionnaires, à tous les niveaux de l</w:t>
      </w:r>
      <w:r w:rsidR="00775E3F">
        <w:rPr>
          <w:lang w:val="fr-CH"/>
        </w:rPr>
        <w:t>’</w:t>
      </w:r>
      <w:r w:rsidRPr="00775E3F">
        <w:rPr>
          <w:lang w:val="fr-CH"/>
        </w:rPr>
        <w:t>Organisati</w:t>
      </w:r>
      <w:r w:rsidR="00F52F90" w:rsidRPr="00775E3F">
        <w:rPr>
          <w:lang w:val="fr-CH"/>
        </w:rPr>
        <w:t>on</w:t>
      </w:r>
      <w:r w:rsidR="00F52F90">
        <w:rPr>
          <w:lang w:val="fr-CH"/>
        </w:rPr>
        <w:t xml:space="preserve">.  </w:t>
      </w:r>
      <w:r w:rsidR="00F52F90" w:rsidRPr="00775E3F">
        <w:rPr>
          <w:lang w:val="fr-CH"/>
        </w:rPr>
        <w:t>Le</w:t>
      </w:r>
      <w:r w:rsidRPr="00775E3F">
        <w:rPr>
          <w:lang w:val="fr-CH"/>
        </w:rPr>
        <w:t xml:space="preserve"> programme de formation est géré par le Bureau de la déontologie en étroite collaboration avec le Département de la gestion des ressources humaines (DGRH) et le bureau de gestion des projets</w:t>
      </w:r>
      <w:r w:rsidR="00775E3F" w:rsidRPr="00775E3F">
        <w:rPr>
          <w:lang w:val="fr-CH"/>
        </w:rPr>
        <w:t xml:space="preserve"> du PRS</w:t>
      </w:r>
      <w:r w:rsidRPr="00775E3F">
        <w:rPr>
          <w:lang w:val="fr-CH"/>
        </w:rPr>
        <w:t xml:space="preserve">, et la formation est </w:t>
      </w:r>
      <w:proofErr w:type="gramStart"/>
      <w:r w:rsidRPr="00775E3F">
        <w:rPr>
          <w:lang w:val="fr-CH"/>
        </w:rPr>
        <w:t>dispensée</w:t>
      </w:r>
      <w:proofErr w:type="gramEnd"/>
      <w:r w:rsidRPr="00775E3F">
        <w:rPr>
          <w:lang w:val="fr-CH"/>
        </w:rPr>
        <w:t xml:space="preserve"> par des formateurs extérieurs.</w:t>
      </w:r>
    </w:p>
    <w:p w:rsidR="0050421D" w:rsidRPr="00775E3F" w:rsidRDefault="00452333" w:rsidP="00452333">
      <w:pPr>
        <w:pStyle w:val="NoSpacing"/>
        <w:keepNext/>
        <w:rPr>
          <w:i/>
          <w:lang w:val="fr-CH"/>
        </w:rPr>
      </w:pPr>
      <w:r w:rsidRPr="00775E3F">
        <w:rPr>
          <w:i/>
          <w:lang w:val="fr-CH"/>
        </w:rPr>
        <w:lastRenderedPageBreak/>
        <w:t>Objectifs</w:t>
      </w:r>
    </w:p>
    <w:p w:rsidR="0050421D" w:rsidRPr="00775E3F" w:rsidRDefault="0050421D" w:rsidP="004A39C5">
      <w:pPr>
        <w:pStyle w:val="NoSpacing"/>
        <w:keepNext/>
        <w:rPr>
          <w:lang w:val="fr-CH"/>
        </w:rPr>
      </w:pPr>
    </w:p>
    <w:p w:rsidR="00976389" w:rsidRDefault="00452333" w:rsidP="00976389">
      <w:pPr>
        <w:pStyle w:val="ONUMFS"/>
        <w:rPr>
          <w:lang w:val="fr-CH"/>
        </w:rPr>
      </w:pPr>
      <w:r w:rsidRPr="00775E3F">
        <w:rPr>
          <w:lang w:val="fr-CH"/>
        </w:rPr>
        <w:t>La formation a été adaptée aux valeurs et politiques de l</w:t>
      </w:r>
      <w:r w:rsidR="00775E3F">
        <w:rPr>
          <w:lang w:val="fr-CH"/>
        </w:rPr>
        <w:t>’</w:t>
      </w:r>
      <w:r w:rsidRPr="00775E3F">
        <w:rPr>
          <w:lang w:val="fr-CH"/>
        </w:rPr>
        <w:t>Organisation en matière de comportement éthique et elle est conforme aux bonnes pratiques de formation et aux principes éthiques communément reconnus.</w:t>
      </w:r>
    </w:p>
    <w:p w:rsidR="0050421D" w:rsidRPr="00775E3F" w:rsidRDefault="00E512FB" w:rsidP="00E512FB">
      <w:pPr>
        <w:autoSpaceDE w:val="0"/>
        <w:autoSpaceDN w:val="0"/>
        <w:adjustRightInd w:val="0"/>
        <w:ind w:left="567"/>
        <w:rPr>
          <w:lang w:val="fr-CH"/>
        </w:rPr>
      </w:pPr>
      <w:r w:rsidRPr="00775E3F">
        <w:rPr>
          <w:lang w:val="fr-CH"/>
        </w:rPr>
        <w:t>Elle est particulièrement conçue pour</w:t>
      </w:r>
      <w:r w:rsidR="008D4917" w:rsidRPr="00775E3F">
        <w:rPr>
          <w:lang w:val="fr-CH"/>
        </w:rPr>
        <w:t> </w:t>
      </w:r>
      <w:r w:rsidRPr="00775E3F">
        <w:rPr>
          <w:lang w:val="fr-CH"/>
        </w:rPr>
        <w:t>:</w:t>
      </w:r>
    </w:p>
    <w:p w:rsidR="0050421D" w:rsidRPr="00775E3F" w:rsidRDefault="0050421D" w:rsidP="004A39C5">
      <w:pPr>
        <w:pStyle w:val="NoSpacing"/>
        <w:rPr>
          <w:lang w:val="fr-CH"/>
        </w:rPr>
      </w:pPr>
    </w:p>
    <w:p w:rsidR="0050421D" w:rsidRPr="00775E3F" w:rsidRDefault="00E512FB" w:rsidP="00287B2A">
      <w:pPr>
        <w:pStyle w:val="NoSpacing"/>
        <w:numPr>
          <w:ilvl w:val="0"/>
          <w:numId w:val="15"/>
        </w:numPr>
        <w:ind w:left="1134" w:hanging="567"/>
        <w:rPr>
          <w:lang w:val="fr-CH"/>
        </w:rPr>
      </w:pPr>
      <w:r w:rsidRPr="00775E3F">
        <w:rPr>
          <w:lang w:val="fr-CH"/>
        </w:rPr>
        <w:t>renforcer la culture de l</w:t>
      </w:r>
      <w:r w:rsidR="00775E3F">
        <w:rPr>
          <w:lang w:val="fr-CH"/>
        </w:rPr>
        <w:t>’</w:t>
      </w:r>
      <w:r w:rsidRPr="00775E3F">
        <w:rPr>
          <w:lang w:val="fr-CH"/>
        </w:rPr>
        <w:t>éthique;</w:t>
      </w:r>
    </w:p>
    <w:p w:rsidR="0050421D" w:rsidRPr="00775E3F" w:rsidRDefault="00E512FB" w:rsidP="00287B2A">
      <w:pPr>
        <w:pStyle w:val="NoSpacing"/>
        <w:numPr>
          <w:ilvl w:val="0"/>
          <w:numId w:val="15"/>
        </w:numPr>
        <w:ind w:left="1134" w:hanging="567"/>
        <w:rPr>
          <w:lang w:val="fr-CH"/>
        </w:rPr>
      </w:pPr>
      <w:r w:rsidRPr="00775E3F">
        <w:rPr>
          <w:lang w:val="fr-CH"/>
        </w:rPr>
        <w:t>faire connaître à travers l</w:t>
      </w:r>
      <w:r w:rsidR="00775E3F">
        <w:rPr>
          <w:lang w:val="fr-CH"/>
        </w:rPr>
        <w:t>’</w:t>
      </w:r>
      <w:r w:rsidRPr="00775E3F">
        <w:rPr>
          <w:lang w:val="fr-CH"/>
        </w:rPr>
        <w:t>Organisation les principes, politiques, outils et considérations relatifs à un comportement éthique au sein de l</w:t>
      </w:r>
      <w:r w:rsidR="00775E3F">
        <w:rPr>
          <w:lang w:val="fr-CH"/>
        </w:rPr>
        <w:t>’</w:t>
      </w:r>
      <w:r w:rsidRPr="00775E3F">
        <w:rPr>
          <w:lang w:val="fr-CH"/>
        </w:rPr>
        <w:t>OMPI;</w:t>
      </w:r>
    </w:p>
    <w:p w:rsidR="0050421D" w:rsidRPr="00775E3F" w:rsidRDefault="00E512FB" w:rsidP="00287B2A">
      <w:pPr>
        <w:pStyle w:val="NoSpacing"/>
        <w:numPr>
          <w:ilvl w:val="0"/>
          <w:numId w:val="15"/>
        </w:numPr>
        <w:ind w:left="1134" w:hanging="567"/>
        <w:rPr>
          <w:lang w:val="fr-CH"/>
        </w:rPr>
      </w:pPr>
      <w:r w:rsidRPr="00775E3F">
        <w:rPr>
          <w:lang w:val="fr-CH"/>
        </w:rPr>
        <w:t>renforcer la confiance entre collègues et entre les chefs et leurs subordonnés, et accroître le niveau de confiance envers l</w:t>
      </w:r>
      <w:r w:rsidR="00775E3F">
        <w:rPr>
          <w:lang w:val="fr-CH"/>
        </w:rPr>
        <w:t>’</w:t>
      </w:r>
      <w:r w:rsidRPr="00775E3F">
        <w:rPr>
          <w:lang w:val="fr-CH"/>
        </w:rPr>
        <w:t>Organisation;</w:t>
      </w:r>
    </w:p>
    <w:p w:rsidR="0050421D" w:rsidRPr="00775E3F" w:rsidRDefault="00E512FB" w:rsidP="00287B2A">
      <w:pPr>
        <w:pStyle w:val="NoSpacing"/>
        <w:numPr>
          <w:ilvl w:val="0"/>
          <w:numId w:val="15"/>
        </w:numPr>
        <w:ind w:left="1134" w:hanging="567"/>
        <w:rPr>
          <w:lang w:val="fr-CH"/>
        </w:rPr>
      </w:pPr>
      <w:r w:rsidRPr="00775E3F">
        <w:rPr>
          <w:lang w:val="fr-CH"/>
        </w:rPr>
        <w:t>promouvoir la responsabilité dans les prises de décisions;  et</w:t>
      </w:r>
    </w:p>
    <w:p w:rsidR="0050421D" w:rsidRPr="00775E3F" w:rsidRDefault="00E512FB" w:rsidP="00287B2A">
      <w:pPr>
        <w:pStyle w:val="NoSpacing"/>
        <w:numPr>
          <w:ilvl w:val="0"/>
          <w:numId w:val="15"/>
        </w:numPr>
        <w:ind w:left="1134" w:hanging="567"/>
        <w:rPr>
          <w:lang w:val="fr-CH"/>
        </w:rPr>
      </w:pPr>
      <w:r w:rsidRPr="00775E3F">
        <w:rPr>
          <w:lang w:val="fr-CH"/>
        </w:rPr>
        <w:t>renforcer les principes éthiques en matière de gestion, avec une direction qui donne le ton.</w:t>
      </w:r>
    </w:p>
    <w:p w:rsidR="0050421D" w:rsidRPr="00775E3F" w:rsidRDefault="0050421D" w:rsidP="004A39C5">
      <w:pPr>
        <w:pStyle w:val="NoSpacing"/>
        <w:rPr>
          <w:lang w:val="fr-CH"/>
        </w:rPr>
      </w:pPr>
    </w:p>
    <w:p w:rsidR="0050421D" w:rsidRPr="00775E3F" w:rsidRDefault="00E512FB" w:rsidP="00E512FB">
      <w:pPr>
        <w:pStyle w:val="NoSpacing"/>
        <w:keepNext/>
        <w:rPr>
          <w:i/>
          <w:lang w:val="fr-CH"/>
        </w:rPr>
      </w:pPr>
      <w:r w:rsidRPr="00775E3F">
        <w:rPr>
          <w:i/>
          <w:lang w:val="fr-CH"/>
        </w:rPr>
        <w:t>Résultats</w:t>
      </w:r>
    </w:p>
    <w:p w:rsidR="0050421D" w:rsidRPr="00775E3F" w:rsidRDefault="0050421D" w:rsidP="004A39C5">
      <w:pPr>
        <w:pStyle w:val="NoSpacing"/>
        <w:keepNext/>
        <w:rPr>
          <w:i/>
          <w:lang w:val="fr-CH"/>
        </w:rPr>
      </w:pPr>
    </w:p>
    <w:p w:rsidR="00976389" w:rsidRDefault="00E512FB" w:rsidP="00976389">
      <w:pPr>
        <w:pStyle w:val="ONUMFS"/>
        <w:rPr>
          <w:lang w:val="fr-CH"/>
        </w:rPr>
      </w:pPr>
      <w:r w:rsidRPr="00775E3F">
        <w:rPr>
          <w:lang w:val="fr-CH"/>
        </w:rPr>
        <w:t>Les résultats escomptés sont les suivants</w:t>
      </w:r>
      <w:r w:rsidR="00530C4F" w:rsidRPr="00775E3F">
        <w:rPr>
          <w:lang w:val="fr-CH"/>
        </w:rPr>
        <w:t> </w:t>
      </w:r>
      <w:r w:rsidRPr="00775E3F">
        <w:rPr>
          <w:lang w:val="fr-CH"/>
        </w:rPr>
        <w:t>:</w:t>
      </w:r>
    </w:p>
    <w:p w:rsidR="0050421D" w:rsidRPr="00775E3F" w:rsidRDefault="00E512FB" w:rsidP="00287B2A">
      <w:pPr>
        <w:pStyle w:val="NoSpacing"/>
        <w:numPr>
          <w:ilvl w:val="0"/>
          <w:numId w:val="16"/>
        </w:numPr>
        <w:ind w:left="1134" w:hanging="567"/>
        <w:rPr>
          <w:lang w:val="fr-CH"/>
        </w:rPr>
      </w:pPr>
      <w:r w:rsidRPr="00775E3F">
        <w:rPr>
          <w:lang w:val="fr-CH"/>
        </w:rPr>
        <w:t>assurer une compréhension commune du sens de l</w:t>
      </w:r>
      <w:r w:rsidR="00775E3F">
        <w:rPr>
          <w:lang w:val="fr-CH"/>
        </w:rPr>
        <w:t>’</w:t>
      </w:r>
      <w:r w:rsidRPr="00775E3F">
        <w:rPr>
          <w:lang w:val="fr-CH"/>
        </w:rPr>
        <w:t>éthique et de l</w:t>
      </w:r>
      <w:r w:rsidR="00775E3F">
        <w:rPr>
          <w:lang w:val="fr-CH"/>
        </w:rPr>
        <w:t>’</w:t>
      </w:r>
      <w:r w:rsidRPr="00775E3F">
        <w:rPr>
          <w:lang w:val="fr-CH"/>
        </w:rPr>
        <w:t>intégrité dans un cadre professionnel, et l</w:t>
      </w:r>
      <w:r w:rsidR="00775E3F">
        <w:rPr>
          <w:lang w:val="fr-CH"/>
        </w:rPr>
        <w:t>’</w:t>
      </w:r>
      <w:r w:rsidRPr="00775E3F">
        <w:rPr>
          <w:lang w:val="fr-CH"/>
        </w:rPr>
        <w:t>importance du comportement éthique pour la réputation de l</w:t>
      </w:r>
      <w:r w:rsidR="00775E3F">
        <w:rPr>
          <w:lang w:val="fr-CH"/>
        </w:rPr>
        <w:t>’</w:t>
      </w:r>
      <w:r w:rsidRPr="00775E3F">
        <w:rPr>
          <w:lang w:val="fr-CH"/>
        </w:rPr>
        <w:t>Organisation;</w:t>
      </w:r>
    </w:p>
    <w:p w:rsidR="0050421D" w:rsidRPr="00775E3F" w:rsidRDefault="00E512FB" w:rsidP="00287B2A">
      <w:pPr>
        <w:pStyle w:val="NoSpacing"/>
        <w:numPr>
          <w:ilvl w:val="0"/>
          <w:numId w:val="16"/>
        </w:numPr>
        <w:ind w:left="1134" w:hanging="567"/>
        <w:rPr>
          <w:lang w:val="fr-CH"/>
        </w:rPr>
      </w:pPr>
      <w:r w:rsidRPr="00775E3F">
        <w:rPr>
          <w:lang w:val="fr-CH"/>
        </w:rPr>
        <w:t>veiller à ce que tout le personnel reçoive une formation aux principes éthiques essentiels;</w:t>
      </w:r>
    </w:p>
    <w:p w:rsidR="0050421D" w:rsidRPr="00775E3F" w:rsidRDefault="00E512FB" w:rsidP="00287B2A">
      <w:pPr>
        <w:pStyle w:val="NoSpacing"/>
        <w:numPr>
          <w:ilvl w:val="0"/>
          <w:numId w:val="16"/>
        </w:numPr>
        <w:ind w:left="1134" w:hanging="567"/>
        <w:rPr>
          <w:lang w:val="fr-CH"/>
        </w:rPr>
      </w:pPr>
      <w:r w:rsidRPr="00775E3F">
        <w:rPr>
          <w:lang w:val="fr-CH"/>
        </w:rPr>
        <w:t>promouvoir un message cohérent sur l</w:t>
      </w:r>
      <w:r w:rsidR="00775E3F">
        <w:rPr>
          <w:lang w:val="fr-CH"/>
        </w:rPr>
        <w:t>’</w:t>
      </w:r>
      <w:r w:rsidRPr="00775E3F">
        <w:rPr>
          <w:lang w:val="fr-CH"/>
        </w:rPr>
        <w:t>éthique et les normes de comportement attendues à l</w:t>
      </w:r>
      <w:r w:rsidR="00775E3F">
        <w:rPr>
          <w:lang w:val="fr-CH"/>
        </w:rPr>
        <w:t>’</w:t>
      </w:r>
      <w:r w:rsidRPr="00775E3F">
        <w:rPr>
          <w:lang w:val="fr-CH"/>
        </w:rPr>
        <w:t>OMPI;  et</w:t>
      </w:r>
    </w:p>
    <w:p w:rsidR="0050421D" w:rsidRPr="00775E3F" w:rsidRDefault="00E512FB" w:rsidP="00287B2A">
      <w:pPr>
        <w:pStyle w:val="NoSpacing"/>
        <w:numPr>
          <w:ilvl w:val="0"/>
          <w:numId w:val="16"/>
        </w:numPr>
        <w:ind w:left="1134" w:hanging="567"/>
        <w:rPr>
          <w:lang w:val="fr-CH"/>
        </w:rPr>
      </w:pPr>
      <w:r w:rsidRPr="00775E3F">
        <w:rPr>
          <w:lang w:val="fr-CH"/>
        </w:rPr>
        <w:t>sensibiliser aux mécanismes qui sont en place pour appuyer le personnel.</w:t>
      </w:r>
    </w:p>
    <w:p w:rsidR="0050421D" w:rsidRPr="00775E3F" w:rsidRDefault="0050421D" w:rsidP="004A39C5">
      <w:pPr>
        <w:pStyle w:val="NoSpacing"/>
        <w:rPr>
          <w:lang w:val="fr-CH"/>
        </w:rPr>
      </w:pPr>
    </w:p>
    <w:p w:rsidR="0050421D" w:rsidRPr="00775E3F" w:rsidRDefault="00E512FB" w:rsidP="00E512FB">
      <w:pPr>
        <w:pStyle w:val="NoSpacing"/>
        <w:rPr>
          <w:i/>
          <w:lang w:val="fr-CH"/>
        </w:rPr>
      </w:pPr>
      <w:r w:rsidRPr="00775E3F">
        <w:rPr>
          <w:i/>
          <w:lang w:val="fr-CH"/>
        </w:rPr>
        <w:t>Nature de la formation</w:t>
      </w:r>
    </w:p>
    <w:p w:rsidR="0050421D" w:rsidRPr="00775E3F" w:rsidRDefault="0050421D" w:rsidP="004A39C5">
      <w:pPr>
        <w:pStyle w:val="NoSpacing"/>
        <w:rPr>
          <w:u w:val="single"/>
          <w:lang w:val="fr-CH"/>
        </w:rPr>
      </w:pPr>
    </w:p>
    <w:p w:rsidR="00976389" w:rsidRDefault="00E512FB" w:rsidP="00976389">
      <w:pPr>
        <w:pStyle w:val="ONUMFS"/>
        <w:rPr>
          <w:lang w:val="fr-CH"/>
        </w:rPr>
      </w:pPr>
      <w:r w:rsidRPr="00775E3F">
        <w:rPr>
          <w:lang w:val="fr-CH"/>
        </w:rPr>
        <w:t>La formation consiste en un examen des principes et valeurs éthiques applicables à l</w:t>
      </w:r>
      <w:r w:rsidR="00775E3F">
        <w:rPr>
          <w:lang w:val="fr-CH"/>
        </w:rPr>
        <w:t>’</w:t>
      </w:r>
      <w:r w:rsidRPr="00775E3F">
        <w:rPr>
          <w:lang w:val="fr-CH"/>
        </w:rPr>
        <w:t>O</w:t>
      </w:r>
      <w:r w:rsidR="00F52F90" w:rsidRPr="00775E3F">
        <w:rPr>
          <w:lang w:val="fr-CH"/>
        </w:rPr>
        <w:t>MPI</w:t>
      </w:r>
      <w:r w:rsidR="00F52F90">
        <w:rPr>
          <w:lang w:val="fr-CH"/>
        </w:rPr>
        <w:t xml:space="preserve">.  </w:t>
      </w:r>
      <w:r w:rsidR="00F52F90" w:rsidRPr="00775E3F">
        <w:rPr>
          <w:lang w:val="fr-CH"/>
        </w:rPr>
        <w:t>El</w:t>
      </w:r>
      <w:r w:rsidRPr="00775E3F">
        <w:rPr>
          <w:lang w:val="fr-CH"/>
        </w:rPr>
        <w:t>le comprend une série d</w:t>
      </w:r>
      <w:r w:rsidR="00775E3F">
        <w:rPr>
          <w:lang w:val="fr-CH"/>
        </w:rPr>
        <w:t>’</w:t>
      </w:r>
      <w:r w:rsidRPr="00775E3F">
        <w:rPr>
          <w:lang w:val="fr-CH"/>
        </w:rPr>
        <w:t>études de cas pour lesquelles il est demandé aux participants de reconnaître des problèmes éthiques et de les régler en appliquant un modèle de prise de décisio</w:t>
      </w:r>
      <w:r w:rsidR="00F52F90" w:rsidRPr="00775E3F">
        <w:rPr>
          <w:lang w:val="fr-CH"/>
        </w:rPr>
        <w:t>ns</w:t>
      </w:r>
      <w:r w:rsidR="00F52F90">
        <w:rPr>
          <w:lang w:val="fr-CH"/>
        </w:rPr>
        <w:t xml:space="preserve">.  </w:t>
      </w:r>
      <w:r w:rsidR="00F52F90" w:rsidRPr="00775E3F">
        <w:rPr>
          <w:lang w:val="fr-CH"/>
        </w:rPr>
        <w:t>El</w:t>
      </w:r>
      <w:r w:rsidRPr="00775E3F">
        <w:rPr>
          <w:lang w:val="fr-CH"/>
        </w:rPr>
        <w:t>le prévoit également une présentation du Bureau de la déontologie, de ses activités et des services qu</w:t>
      </w:r>
      <w:r w:rsidR="00775E3F">
        <w:rPr>
          <w:lang w:val="fr-CH"/>
        </w:rPr>
        <w:t>’</w:t>
      </w:r>
      <w:r w:rsidRPr="00775E3F">
        <w:rPr>
          <w:lang w:val="fr-CH"/>
        </w:rPr>
        <w:t>il offre aux fonctionnaires, ainsi qu</w:t>
      </w:r>
      <w:r w:rsidR="00775E3F">
        <w:rPr>
          <w:lang w:val="fr-CH"/>
        </w:rPr>
        <w:t>’</w:t>
      </w:r>
      <w:r w:rsidRPr="00775E3F">
        <w:rPr>
          <w:lang w:val="fr-CH"/>
        </w:rPr>
        <w:t>une discussion sur les obstacles à une conduite éthique et sur la façon d</w:t>
      </w:r>
      <w:r w:rsidR="00775E3F">
        <w:rPr>
          <w:lang w:val="fr-CH"/>
        </w:rPr>
        <w:t>’</w:t>
      </w:r>
      <w:r w:rsidRPr="00775E3F">
        <w:rPr>
          <w:lang w:val="fr-CH"/>
        </w:rPr>
        <w:t>y faire fa</w:t>
      </w:r>
      <w:r w:rsidR="00F52F90" w:rsidRPr="00775E3F">
        <w:rPr>
          <w:lang w:val="fr-CH"/>
        </w:rPr>
        <w:t>ce</w:t>
      </w:r>
      <w:r w:rsidR="00F52F90">
        <w:rPr>
          <w:lang w:val="fr-CH"/>
        </w:rPr>
        <w:t xml:space="preserve">.  </w:t>
      </w:r>
      <w:r w:rsidR="00F52F90" w:rsidRPr="00775E3F">
        <w:rPr>
          <w:lang w:val="fr-CH"/>
        </w:rPr>
        <w:t>La</w:t>
      </w:r>
      <w:r w:rsidRPr="00775E3F">
        <w:rPr>
          <w:lang w:val="fr-CH"/>
        </w:rPr>
        <w:t xml:space="preserve"> formation se déroule sous la forme de sessions de formation directe d</w:t>
      </w:r>
      <w:r w:rsidR="00775E3F">
        <w:rPr>
          <w:lang w:val="fr-CH"/>
        </w:rPr>
        <w:t>’</w:t>
      </w:r>
      <w:r w:rsidRPr="00775E3F">
        <w:rPr>
          <w:lang w:val="fr-CH"/>
        </w:rPr>
        <w:t>une demi</w:t>
      </w:r>
      <w:r w:rsidR="00946212">
        <w:rPr>
          <w:lang w:val="fr-CH"/>
        </w:rPr>
        <w:noBreakHyphen/>
      </w:r>
      <w:r w:rsidRPr="00775E3F">
        <w:rPr>
          <w:lang w:val="fr-CH"/>
        </w:rPr>
        <w:t>journée, animées par des formateurs extérieurs ayant l</w:t>
      </w:r>
      <w:r w:rsidR="00775E3F">
        <w:rPr>
          <w:lang w:val="fr-CH"/>
        </w:rPr>
        <w:t>’</w:t>
      </w:r>
      <w:r w:rsidRPr="00775E3F">
        <w:rPr>
          <w:lang w:val="fr-CH"/>
        </w:rPr>
        <w:t>expérience de la formation aux questions d</w:t>
      </w:r>
      <w:r w:rsidR="00775E3F">
        <w:rPr>
          <w:lang w:val="fr-CH"/>
        </w:rPr>
        <w:t>’</w:t>
      </w:r>
      <w:r w:rsidRPr="00775E3F">
        <w:rPr>
          <w:lang w:val="fr-CH"/>
        </w:rPr>
        <w:t xml:space="preserve">éthique dans le système commun des </w:t>
      </w:r>
      <w:r w:rsidR="00775E3F">
        <w:rPr>
          <w:lang w:val="fr-CH"/>
        </w:rPr>
        <w:t>Nations Unies</w:t>
      </w:r>
      <w:r w:rsidRPr="00775E3F">
        <w:rPr>
          <w:lang w:val="fr-CH"/>
        </w:rPr>
        <w:t xml:space="preserve"> et recrutés à l</w:t>
      </w:r>
      <w:r w:rsidR="00775E3F">
        <w:rPr>
          <w:lang w:val="fr-CH"/>
        </w:rPr>
        <w:t>’</w:t>
      </w:r>
      <w:r w:rsidRPr="00775E3F">
        <w:rPr>
          <w:lang w:val="fr-CH"/>
        </w:rPr>
        <w:t>issue d</w:t>
      </w:r>
      <w:r w:rsidR="00775E3F">
        <w:rPr>
          <w:lang w:val="fr-CH"/>
        </w:rPr>
        <w:t>’</w:t>
      </w:r>
      <w:r w:rsidRPr="00775E3F">
        <w:rPr>
          <w:lang w:val="fr-CH"/>
        </w:rPr>
        <w:t>un appel d</w:t>
      </w:r>
      <w:r w:rsidR="00775E3F">
        <w:rPr>
          <w:lang w:val="fr-CH"/>
        </w:rPr>
        <w:t>’</w:t>
      </w:r>
      <w:r w:rsidRPr="00775E3F">
        <w:rPr>
          <w:lang w:val="fr-CH"/>
        </w:rPr>
        <w:t>offres.</w:t>
      </w:r>
    </w:p>
    <w:p w:rsidR="0050421D" w:rsidRPr="00775E3F" w:rsidRDefault="00E512FB" w:rsidP="00E512FB">
      <w:pPr>
        <w:pStyle w:val="NoSpacing"/>
        <w:rPr>
          <w:i/>
          <w:lang w:val="fr-CH"/>
        </w:rPr>
      </w:pPr>
      <w:r w:rsidRPr="00775E3F">
        <w:rPr>
          <w:i/>
          <w:lang w:val="fr-CH"/>
        </w:rPr>
        <w:t>Le Code de déontologie de l</w:t>
      </w:r>
      <w:r w:rsidR="00775E3F">
        <w:rPr>
          <w:i/>
          <w:lang w:val="fr-CH"/>
        </w:rPr>
        <w:t>’</w:t>
      </w:r>
      <w:r w:rsidRPr="00775E3F">
        <w:rPr>
          <w:i/>
          <w:lang w:val="fr-CH"/>
        </w:rPr>
        <w:t>OMPI en tant qu</w:t>
      </w:r>
      <w:r w:rsidR="00775E3F">
        <w:rPr>
          <w:i/>
          <w:lang w:val="fr-CH"/>
        </w:rPr>
        <w:t>’</w:t>
      </w:r>
      <w:r w:rsidRPr="00775E3F">
        <w:rPr>
          <w:i/>
          <w:lang w:val="fr-CH"/>
        </w:rPr>
        <w:t>outil d</w:t>
      </w:r>
      <w:r w:rsidR="00775E3F">
        <w:rPr>
          <w:i/>
          <w:lang w:val="fr-CH"/>
        </w:rPr>
        <w:t>’</w:t>
      </w:r>
      <w:r w:rsidRPr="00775E3F">
        <w:rPr>
          <w:i/>
          <w:lang w:val="fr-CH"/>
        </w:rPr>
        <w:t>apprentissage</w:t>
      </w:r>
    </w:p>
    <w:p w:rsidR="0050421D" w:rsidRPr="00775E3F" w:rsidRDefault="0050421D" w:rsidP="004A39C5">
      <w:pPr>
        <w:pStyle w:val="NoSpacing"/>
        <w:rPr>
          <w:lang w:val="fr-CH"/>
        </w:rPr>
      </w:pPr>
    </w:p>
    <w:p w:rsidR="00976389" w:rsidRDefault="00E512FB" w:rsidP="00976389">
      <w:pPr>
        <w:pStyle w:val="ONUMFS"/>
        <w:rPr>
          <w:lang w:val="fr-CH"/>
        </w:rPr>
      </w:pPr>
      <w:r w:rsidRPr="00775E3F">
        <w:rPr>
          <w:lang w:val="fr-CH"/>
        </w:rPr>
        <w:t>Le prestataire externe et le Bureau de la déontologie ont élaboré un guide du participant détaillé que chaque fonctionnaire a reçu en format papier à sa session de formati</w:t>
      </w:r>
      <w:r w:rsidR="00F52F90" w:rsidRPr="00775E3F">
        <w:rPr>
          <w:lang w:val="fr-CH"/>
        </w:rPr>
        <w:t>on</w:t>
      </w:r>
      <w:r w:rsidR="00F52F90">
        <w:rPr>
          <w:lang w:val="fr-CH"/>
        </w:rPr>
        <w:t xml:space="preserve">.  </w:t>
      </w:r>
      <w:r w:rsidR="00F52F90" w:rsidRPr="00775E3F">
        <w:rPr>
          <w:lang w:val="fr-CH"/>
        </w:rPr>
        <w:t>La</w:t>
      </w:r>
      <w:r w:rsidR="004A6D1F" w:rsidRPr="00775E3F">
        <w:rPr>
          <w:lang w:val="fr-CH"/>
        </w:rPr>
        <w:t> </w:t>
      </w:r>
      <w:r w:rsidRPr="00775E3F">
        <w:rPr>
          <w:lang w:val="fr-CH"/>
        </w:rPr>
        <w:t xml:space="preserve">première moitié de ce guide est le </w:t>
      </w:r>
      <w:r w:rsidR="00775E3F">
        <w:rPr>
          <w:lang w:val="fr-CH"/>
        </w:rPr>
        <w:t>“</w:t>
      </w:r>
      <w:r w:rsidR="00530C4F" w:rsidRPr="00775E3F">
        <w:rPr>
          <w:lang w:val="fr-CH"/>
        </w:rPr>
        <w:t>carnet</w:t>
      </w:r>
      <w:r w:rsidRPr="00775E3F">
        <w:rPr>
          <w:lang w:val="fr-CH"/>
        </w:rPr>
        <w:t xml:space="preserve"> d</w:t>
      </w:r>
      <w:r w:rsidR="00775E3F">
        <w:rPr>
          <w:lang w:val="fr-CH"/>
        </w:rPr>
        <w:t>’</w:t>
      </w:r>
      <w:r w:rsidRPr="00775E3F">
        <w:rPr>
          <w:lang w:val="fr-CH"/>
        </w:rPr>
        <w:t>exercices</w:t>
      </w:r>
      <w:r w:rsidR="00775E3F">
        <w:rPr>
          <w:lang w:val="fr-CH"/>
        </w:rPr>
        <w:t>”</w:t>
      </w:r>
      <w:r w:rsidRPr="00775E3F">
        <w:rPr>
          <w:lang w:val="fr-CH"/>
        </w:rPr>
        <w:t xml:space="preserve"> utilisé durant la formation, qui reproduit les principaux éléments d</w:t>
      </w:r>
      <w:r w:rsidR="00775E3F">
        <w:rPr>
          <w:lang w:val="fr-CH"/>
        </w:rPr>
        <w:t>’</w:t>
      </w:r>
      <w:r w:rsidRPr="00775E3F">
        <w:rPr>
          <w:lang w:val="fr-CH"/>
        </w:rPr>
        <w:t>apprentissage ainsi que les notes sur les c</w:t>
      </w:r>
      <w:r w:rsidR="00F52F90" w:rsidRPr="00775E3F">
        <w:rPr>
          <w:lang w:val="fr-CH"/>
        </w:rPr>
        <w:t>as</w:t>
      </w:r>
      <w:r w:rsidR="00F52F90">
        <w:rPr>
          <w:lang w:val="fr-CH"/>
        </w:rPr>
        <w:t xml:space="preserve">.  </w:t>
      </w:r>
      <w:r w:rsidR="00F52F90" w:rsidRPr="00775E3F">
        <w:rPr>
          <w:lang w:val="fr-CH"/>
        </w:rPr>
        <w:t>La</w:t>
      </w:r>
      <w:r w:rsidR="00A42FC4" w:rsidRPr="00775E3F">
        <w:rPr>
          <w:lang w:val="fr-CH"/>
        </w:rPr>
        <w:t xml:space="preserve"> seconde moitié reproduit le Guide de la déontologie à l</w:t>
      </w:r>
      <w:r w:rsidR="00775E3F">
        <w:rPr>
          <w:lang w:val="fr-CH"/>
        </w:rPr>
        <w:t>’</w:t>
      </w:r>
      <w:r w:rsidR="00A42FC4" w:rsidRPr="00775E3F">
        <w:rPr>
          <w:lang w:val="fr-CH"/>
        </w:rPr>
        <w:t>OMPI, élaboré par le Bureau de la déontologie, pour utilisation comme outil de référence dans la vie professionnelle de tous les jou</w:t>
      </w:r>
      <w:r w:rsidR="00F52F90" w:rsidRPr="00775E3F">
        <w:rPr>
          <w:lang w:val="fr-CH"/>
        </w:rPr>
        <w:t>rs</w:t>
      </w:r>
      <w:r w:rsidR="00F52F90">
        <w:rPr>
          <w:lang w:val="fr-CH"/>
        </w:rPr>
        <w:t xml:space="preserve">.  </w:t>
      </w:r>
      <w:r w:rsidR="00F52F90" w:rsidRPr="00775E3F">
        <w:rPr>
          <w:lang w:val="fr-CH"/>
        </w:rPr>
        <w:t>Le</w:t>
      </w:r>
      <w:r w:rsidR="00530C4F" w:rsidRPr="00775E3F">
        <w:rPr>
          <w:lang w:val="fr-CH"/>
        </w:rPr>
        <w:t> </w:t>
      </w:r>
      <w:r w:rsidR="00A42FC4" w:rsidRPr="00775E3F">
        <w:rPr>
          <w:lang w:val="fr-CH"/>
        </w:rPr>
        <w:t xml:space="preserve">protocole de formation </w:t>
      </w:r>
      <w:r w:rsidR="00530C4F" w:rsidRPr="00775E3F">
        <w:rPr>
          <w:lang w:val="fr-CH"/>
        </w:rPr>
        <w:t xml:space="preserve">a </w:t>
      </w:r>
      <w:r w:rsidR="00A42FC4" w:rsidRPr="00775E3F">
        <w:rPr>
          <w:lang w:val="fr-CH"/>
        </w:rPr>
        <w:t>assur</w:t>
      </w:r>
      <w:r w:rsidR="00530C4F" w:rsidRPr="00775E3F">
        <w:rPr>
          <w:lang w:val="fr-CH"/>
        </w:rPr>
        <w:t>é</w:t>
      </w:r>
      <w:r w:rsidR="00A42FC4" w:rsidRPr="00775E3F">
        <w:rPr>
          <w:lang w:val="fr-CH"/>
        </w:rPr>
        <w:t xml:space="preserve"> une transmission optimale du message institutionnel.</w:t>
      </w:r>
    </w:p>
    <w:p w:rsidR="00976389" w:rsidRDefault="00A42FC4" w:rsidP="00976389">
      <w:pPr>
        <w:pStyle w:val="ONUMFS"/>
        <w:rPr>
          <w:lang w:val="fr-CH"/>
        </w:rPr>
      </w:pPr>
      <w:r w:rsidRPr="00775E3F">
        <w:rPr>
          <w:lang w:val="fr-CH"/>
        </w:rPr>
        <w:t>Les fonctionnaires ont également reçu chacun un exemplaire papier du Guide de la déontolog</w:t>
      </w:r>
      <w:r w:rsidR="00F52F90" w:rsidRPr="00775E3F">
        <w:rPr>
          <w:lang w:val="fr-CH"/>
        </w:rPr>
        <w:t>ie</w:t>
      </w:r>
      <w:r w:rsidR="00F52F90">
        <w:rPr>
          <w:lang w:val="fr-CH"/>
        </w:rPr>
        <w:t xml:space="preserve">.  </w:t>
      </w:r>
      <w:r w:rsidR="00F52F90" w:rsidRPr="00775E3F">
        <w:rPr>
          <w:lang w:val="fr-CH"/>
        </w:rPr>
        <w:t>Le</w:t>
      </w:r>
      <w:r w:rsidRPr="00775E3F">
        <w:rPr>
          <w:lang w:val="fr-CH"/>
        </w:rPr>
        <w:t xml:space="preserve"> Code de déontologie de l</w:t>
      </w:r>
      <w:r w:rsidR="00775E3F">
        <w:rPr>
          <w:lang w:val="fr-CH"/>
        </w:rPr>
        <w:t>’</w:t>
      </w:r>
      <w:r w:rsidRPr="00775E3F">
        <w:rPr>
          <w:lang w:val="fr-CH"/>
        </w:rPr>
        <w:t>OMPI et le Guide de la déontologie à l</w:t>
      </w:r>
      <w:r w:rsidR="00775E3F">
        <w:rPr>
          <w:lang w:val="fr-CH"/>
        </w:rPr>
        <w:t>’</w:t>
      </w:r>
      <w:r w:rsidRPr="00775E3F">
        <w:rPr>
          <w:lang w:val="fr-CH"/>
        </w:rPr>
        <w:t xml:space="preserve">OMPI ont été </w:t>
      </w:r>
      <w:r w:rsidR="00530C4F" w:rsidRPr="00775E3F">
        <w:rPr>
          <w:lang w:val="fr-CH"/>
        </w:rPr>
        <w:t>instauré</w:t>
      </w:r>
      <w:r w:rsidRPr="00775E3F">
        <w:rPr>
          <w:lang w:val="fr-CH"/>
        </w:rPr>
        <w:t>s au début des programmes de formation.</w:t>
      </w:r>
    </w:p>
    <w:p w:rsidR="0050421D" w:rsidRPr="00775E3F" w:rsidRDefault="0050421D" w:rsidP="004A39C5">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Times New Roman"/>
          <w:b/>
          <w:bCs/>
          <w:szCs w:val="22"/>
          <w:lang w:val="fr-CH" w:eastAsia="en-US"/>
        </w:rPr>
      </w:pPr>
    </w:p>
    <w:p w:rsidR="0050421D" w:rsidRPr="00775E3F" w:rsidRDefault="004A6D1F" w:rsidP="00A42FC4">
      <w:pPr>
        <w:pBdr>
          <w:top w:val="single" w:sz="4" w:space="1" w:color="auto"/>
          <w:left w:val="single" w:sz="4" w:space="4" w:color="auto"/>
          <w:bottom w:val="single" w:sz="4" w:space="1" w:color="auto"/>
          <w:right w:val="single" w:sz="4" w:space="4" w:color="auto"/>
        </w:pBdr>
        <w:autoSpaceDE w:val="0"/>
        <w:autoSpaceDN w:val="0"/>
        <w:adjustRightInd w:val="0"/>
        <w:jc w:val="center"/>
        <w:rPr>
          <w:rFonts w:eastAsia="Times New Roman"/>
          <w:b/>
          <w:bCs/>
          <w:szCs w:val="22"/>
          <w:lang w:val="fr-CH" w:eastAsia="en-US"/>
        </w:rPr>
      </w:pPr>
      <w:r w:rsidRPr="00775E3F">
        <w:rPr>
          <w:rFonts w:eastAsia="Times New Roman"/>
          <w:b/>
          <w:bCs/>
          <w:szCs w:val="22"/>
          <w:lang w:val="fr-CH" w:eastAsia="en-US"/>
        </w:rPr>
        <w:t>CODE DE DÉONTOLOGIE DE L</w:t>
      </w:r>
      <w:r w:rsidR="00775E3F">
        <w:rPr>
          <w:rFonts w:eastAsia="Times New Roman"/>
          <w:b/>
          <w:bCs/>
          <w:szCs w:val="22"/>
          <w:lang w:val="fr-CH" w:eastAsia="en-US"/>
        </w:rPr>
        <w:t>’</w:t>
      </w:r>
      <w:r w:rsidRPr="00775E3F">
        <w:rPr>
          <w:rFonts w:eastAsia="Times New Roman"/>
          <w:b/>
          <w:bCs/>
          <w:szCs w:val="22"/>
          <w:lang w:val="fr-CH" w:eastAsia="en-US"/>
        </w:rPr>
        <w:t>OMPI : VALEURS ET PRINCIPES</w:t>
      </w:r>
    </w:p>
    <w:p w:rsidR="0050421D" w:rsidRPr="00775E3F" w:rsidRDefault="0050421D" w:rsidP="004A39C5">
      <w:pPr>
        <w:pBdr>
          <w:top w:val="single" w:sz="4" w:space="1" w:color="auto"/>
          <w:left w:val="single" w:sz="4" w:space="4" w:color="auto"/>
          <w:bottom w:val="single" w:sz="4" w:space="1" w:color="auto"/>
          <w:right w:val="single" w:sz="4" w:space="4" w:color="auto"/>
        </w:pBdr>
        <w:autoSpaceDE w:val="0"/>
        <w:autoSpaceDN w:val="0"/>
        <w:adjustRightInd w:val="0"/>
        <w:rPr>
          <w:lang w:val="fr-CH"/>
        </w:rPr>
      </w:pPr>
    </w:p>
    <w:p w:rsidR="0050421D" w:rsidRPr="00775E3F" w:rsidRDefault="00A42FC4" w:rsidP="00A42FC4">
      <w:pPr>
        <w:pBdr>
          <w:top w:val="single" w:sz="4" w:space="1" w:color="auto"/>
          <w:left w:val="single" w:sz="4" w:space="4" w:color="auto"/>
          <w:bottom w:val="single" w:sz="4" w:space="1" w:color="auto"/>
          <w:right w:val="single" w:sz="4" w:space="4" w:color="auto"/>
        </w:pBdr>
        <w:autoSpaceDE w:val="0"/>
        <w:autoSpaceDN w:val="0"/>
        <w:adjustRightInd w:val="0"/>
        <w:rPr>
          <w:lang w:val="fr-CH"/>
        </w:rPr>
      </w:pPr>
      <w:r w:rsidRPr="00775E3F">
        <w:rPr>
          <w:lang w:val="fr-CH"/>
        </w:rPr>
        <w:t>Les six</w:t>
      </w:r>
      <w:r w:rsidR="00530C4F" w:rsidRPr="00775E3F">
        <w:rPr>
          <w:lang w:val="fr-CH"/>
        </w:rPr>
        <w:t> </w:t>
      </w:r>
      <w:r w:rsidRPr="00775E3F">
        <w:rPr>
          <w:lang w:val="fr-CH"/>
        </w:rPr>
        <w:t>valeurs énoncées dans le Code de déontologie sont les suivantes</w:t>
      </w:r>
      <w:r w:rsidR="004A6D1F" w:rsidRPr="00775E3F">
        <w:rPr>
          <w:lang w:val="fr-CH"/>
        </w:rPr>
        <w:t> </w:t>
      </w:r>
      <w:r w:rsidRPr="00775E3F">
        <w:rPr>
          <w:lang w:val="fr-CH"/>
        </w:rPr>
        <w:t>:</w:t>
      </w:r>
    </w:p>
    <w:p w:rsidR="0050421D" w:rsidRPr="00775E3F" w:rsidRDefault="0050421D" w:rsidP="004A39C5">
      <w:pPr>
        <w:pBdr>
          <w:top w:val="single" w:sz="4" w:space="1" w:color="auto"/>
          <w:left w:val="single" w:sz="4" w:space="4" w:color="auto"/>
          <w:bottom w:val="single" w:sz="4" w:space="1" w:color="auto"/>
          <w:right w:val="single" w:sz="4" w:space="4" w:color="auto"/>
        </w:pBdr>
        <w:autoSpaceDE w:val="0"/>
        <w:autoSpaceDN w:val="0"/>
        <w:adjustRightInd w:val="0"/>
        <w:rPr>
          <w:lang w:val="fr-CH"/>
        </w:rPr>
      </w:pPr>
    </w:p>
    <w:p w:rsidR="0050421D" w:rsidRPr="00775E3F" w:rsidRDefault="00A42FC4" w:rsidP="00A42FC4">
      <w:pPr>
        <w:pStyle w:val="ListParagraph"/>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rsidRPr="00775E3F">
        <w:t>indépendance</w:t>
      </w:r>
      <w:proofErr w:type="spellEnd"/>
    </w:p>
    <w:p w:rsidR="0050421D" w:rsidRPr="00775E3F" w:rsidRDefault="00A42FC4" w:rsidP="00A42FC4">
      <w:pPr>
        <w:pStyle w:val="ListParagraph"/>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rsidRPr="00775E3F">
        <w:t>loyauté</w:t>
      </w:r>
      <w:proofErr w:type="spellEnd"/>
    </w:p>
    <w:p w:rsidR="0050421D" w:rsidRPr="00775E3F" w:rsidRDefault="00287B2A" w:rsidP="00A42FC4">
      <w:pPr>
        <w:pStyle w:val="ListParagraph"/>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t>i</w:t>
      </w:r>
      <w:r w:rsidR="00A42FC4" w:rsidRPr="00775E3F">
        <w:t>mpartialité</w:t>
      </w:r>
      <w:proofErr w:type="spellEnd"/>
    </w:p>
    <w:p w:rsidR="0050421D" w:rsidRPr="00775E3F" w:rsidRDefault="00A42FC4" w:rsidP="00A42FC4">
      <w:pPr>
        <w:pStyle w:val="ListParagraph"/>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rsidRPr="00775E3F">
        <w:t>intégrité</w:t>
      </w:r>
      <w:proofErr w:type="spellEnd"/>
    </w:p>
    <w:p w:rsidR="00775E3F" w:rsidRDefault="00A42FC4" w:rsidP="00A42FC4">
      <w:pPr>
        <w:pStyle w:val="ListParagraph"/>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rsidRPr="00775E3F">
        <w:t>responsabilité</w:t>
      </w:r>
      <w:proofErr w:type="spellEnd"/>
      <w:r w:rsidRPr="00775E3F">
        <w:t xml:space="preserve"> et</w:t>
      </w:r>
    </w:p>
    <w:p w:rsidR="00775E3F" w:rsidRDefault="00203B1A" w:rsidP="00203B1A">
      <w:pPr>
        <w:pStyle w:val="ListParagraph"/>
        <w:numPr>
          <w:ilvl w:val="0"/>
          <w:numId w:val="12"/>
        </w:numPr>
        <w:pBdr>
          <w:top w:val="single" w:sz="4" w:space="1" w:color="auto"/>
          <w:left w:val="single" w:sz="4" w:space="4" w:color="auto"/>
          <w:bottom w:val="single" w:sz="4" w:space="1" w:color="auto"/>
          <w:right w:val="single" w:sz="4" w:space="4" w:color="auto"/>
        </w:pBdr>
        <w:autoSpaceDE w:val="0"/>
        <w:autoSpaceDN w:val="0"/>
        <w:adjustRightInd w:val="0"/>
        <w:ind w:left="0" w:firstLine="0"/>
        <w:rPr>
          <w:lang w:val="fr-CH"/>
        </w:rPr>
      </w:pPr>
      <w:r w:rsidRPr="00775E3F">
        <w:rPr>
          <w:lang w:val="fr-CH"/>
        </w:rPr>
        <w:t>respect des droits de l</w:t>
      </w:r>
      <w:r w:rsidR="00775E3F">
        <w:rPr>
          <w:lang w:val="fr-CH"/>
        </w:rPr>
        <w:t>’</w:t>
      </w:r>
      <w:r w:rsidRPr="00775E3F">
        <w:rPr>
          <w:lang w:val="fr-CH"/>
        </w:rPr>
        <w:t>homme</w:t>
      </w:r>
    </w:p>
    <w:p w:rsidR="0050421D" w:rsidRPr="00775E3F" w:rsidRDefault="0050421D" w:rsidP="004A39C5">
      <w:pPr>
        <w:pBdr>
          <w:top w:val="single" w:sz="4" w:space="1" w:color="auto"/>
          <w:left w:val="single" w:sz="4" w:space="4" w:color="auto"/>
          <w:bottom w:val="single" w:sz="4" w:space="1" w:color="auto"/>
          <w:right w:val="single" w:sz="4" w:space="4" w:color="auto"/>
        </w:pBdr>
        <w:autoSpaceDE w:val="0"/>
        <w:autoSpaceDN w:val="0"/>
        <w:adjustRightInd w:val="0"/>
        <w:rPr>
          <w:lang w:val="fr-CH"/>
        </w:rPr>
      </w:pPr>
    </w:p>
    <w:p w:rsidR="0050421D" w:rsidRPr="00775E3F" w:rsidRDefault="00203B1A" w:rsidP="004A39C5">
      <w:pPr>
        <w:pBdr>
          <w:top w:val="single" w:sz="4" w:space="1" w:color="auto"/>
          <w:left w:val="single" w:sz="4" w:space="4" w:color="auto"/>
          <w:bottom w:val="single" w:sz="4" w:space="1" w:color="auto"/>
          <w:right w:val="single" w:sz="4" w:space="4" w:color="auto"/>
        </w:pBdr>
        <w:autoSpaceDE w:val="0"/>
        <w:autoSpaceDN w:val="0"/>
        <w:adjustRightInd w:val="0"/>
        <w:rPr>
          <w:lang w:val="fr-CH"/>
        </w:rPr>
      </w:pPr>
      <w:r w:rsidRPr="00775E3F">
        <w:rPr>
          <w:lang w:val="fr-CH"/>
        </w:rPr>
        <w:t>Les sept</w:t>
      </w:r>
      <w:r w:rsidR="00530C4F" w:rsidRPr="00775E3F">
        <w:rPr>
          <w:lang w:val="fr-CH"/>
        </w:rPr>
        <w:t> </w:t>
      </w:r>
      <w:r w:rsidRPr="00775E3F">
        <w:rPr>
          <w:lang w:val="fr-CH"/>
        </w:rPr>
        <w:t>principes énumérés dans le Code de déontologie ont trait aux domaines suivants</w:t>
      </w:r>
      <w:r w:rsidR="004A6D1F" w:rsidRPr="00775E3F">
        <w:rPr>
          <w:lang w:val="fr-CH"/>
        </w:rPr>
        <w:t> </w:t>
      </w:r>
      <w:r w:rsidRPr="00775E3F">
        <w:rPr>
          <w:lang w:val="fr-CH"/>
        </w:rPr>
        <w:t>:</w:t>
      </w:r>
    </w:p>
    <w:p w:rsidR="00530C4F" w:rsidRPr="00775E3F" w:rsidRDefault="00530C4F" w:rsidP="004A39C5">
      <w:pPr>
        <w:pBdr>
          <w:top w:val="single" w:sz="4" w:space="1" w:color="auto"/>
          <w:left w:val="single" w:sz="4" w:space="4" w:color="auto"/>
          <w:bottom w:val="single" w:sz="4" w:space="1" w:color="auto"/>
          <w:right w:val="single" w:sz="4" w:space="4" w:color="auto"/>
        </w:pBdr>
        <w:autoSpaceDE w:val="0"/>
        <w:autoSpaceDN w:val="0"/>
        <w:adjustRightInd w:val="0"/>
        <w:rPr>
          <w:lang w:val="fr-CH"/>
        </w:rPr>
      </w:pPr>
    </w:p>
    <w:p w:rsidR="0050421D" w:rsidRPr="00775E3F" w:rsidRDefault="00203B1A" w:rsidP="00203B1A">
      <w:pPr>
        <w:pStyle w:val="ListParagraph"/>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rsidRPr="00775E3F">
        <w:t>conflits</w:t>
      </w:r>
      <w:proofErr w:type="spellEnd"/>
      <w:r w:rsidRPr="00775E3F">
        <w:t xml:space="preserve"> </w:t>
      </w:r>
      <w:proofErr w:type="spellStart"/>
      <w:r w:rsidRPr="00775E3F">
        <w:t>d</w:t>
      </w:r>
      <w:r w:rsidR="00775E3F">
        <w:t>’</w:t>
      </w:r>
      <w:r w:rsidRPr="00775E3F">
        <w:t>intérêts</w:t>
      </w:r>
      <w:proofErr w:type="spellEnd"/>
    </w:p>
    <w:p w:rsidR="0050421D" w:rsidRPr="00775E3F" w:rsidRDefault="00203B1A" w:rsidP="00203B1A">
      <w:pPr>
        <w:pStyle w:val="ListParagraph"/>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rsidRPr="00775E3F">
        <w:t>abus</w:t>
      </w:r>
      <w:proofErr w:type="spellEnd"/>
      <w:r w:rsidRPr="00775E3F">
        <w:t xml:space="preserve"> de </w:t>
      </w:r>
      <w:proofErr w:type="spellStart"/>
      <w:r w:rsidRPr="00775E3F">
        <w:t>pouvoir</w:t>
      </w:r>
      <w:proofErr w:type="spellEnd"/>
    </w:p>
    <w:p w:rsidR="0050421D" w:rsidRPr="00775E3F" w:rsidRDefault="00203B1A" w:rsidP="00203B1A">
      <w:pPr>
        <w:pStyle w:val="ListParagraph"/>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ind w:left="0" w:firstLine="0"/>
        <w:rPr>
          <w:lang w:val="fr-CH"/>
        </w:rPr>
      </w:pPr>
      <w:r w:rsidRPr="00775E3F">
        <w:rPr>
          <w:lang w:val="fr-CH"/>
        </w:rPr>
        <w:t>engagement en faveur d</w:t>
      </w:r>
      <w:r w:rsidR="00775E3F">
        <w:rPr>
          <w:lang w:val="fr-CH"/>
        </w:rPr>
        <w:t>’</w:t>
      </w:r>
      <w:r w:rsidRPr="00775E3F">
        <w:rPr>
          <w:lang w:val="fr-CH"/>
        </w:rPr>
        <w:t>un environnement de travail respectueux</w:t>
      </w:r>
    </w:p>
    <w:p w:rsidR="0050421D" w:rsidRPr="00775E3F" w:rsidRDefault="00203B1A" w:rsidP="00203B1A">
      <w:pPr>
        <w:pStyle w:val="ListParagraph"/>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ind w:left="0" w:firstLine="0"/>
        <w:rPr>
          <w:lang w:val="fr-CH"/>
        </w:rPr>
      </w:pPr>
      <w:r w:rsidRPr="00775E3F">
        <w:rPr>
          <w:lang w:val="fr-CH"/>
        </w:rPr>
        <w:t>dons, distinctions honorifiques, faveurs et autres avantages</w:t>
      </w:r>
    </w:p>
    <w:p w:rsidR="0050421D" w:rsidRPr="00775E3F" w:rsidRDefault="00203B1A" w:rsidP="00203B1A">
      <w:pPr>
        <w:pStyle w:val="ListParagraph"/>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rsidRPr="00775E3F">
        <w:t>ressources</w:t>
      </w:r>
      <w:proofErr w:type="spellEnd"/>
      <w:r w:rsidRPr="00775E3F">
        <w:t xml:space="preserve"> de </w:t>
      </w:r>
      <w:proofErr w:type="spellStart"/>
      <w:r w:rsidRPr="00775E3F">
        <w:t>l</w:t>
      </w:r>
      <w:r w:rsidR="00775E3F">
        <w:t>’</w:t>
      </w:r>
      <w:r w:rsidRPr="00775E3F">
        <w:t>Organisation</w:t>
      </w:r>
      <w:proofErr w:type="spellEnd"/>
    </w:p>
    <w:p w:rsidR="0050421D" w:rsidRPr="00775E3F" w:rsidRDefault="00905661" w:rsidP="00905661">
      <w:pPr>
        <w:pStyle w:val="ListParagraph"/>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ind w:left="0" w:firstLine="0"/>
      </w:pPr>
      <w:proofErr w:type="spellStart"/>
      <w:r w:rsidRPr="00775E3F">
        <w:t>confidentialité</w:t>
      </w:r>
      <w:proofErr w:type="spellEnd"/>
      <w:r w:rsidRPr="00775E3F">
        <w:t xml:space="preserve"> de </w:t>
      </w:r>
      <w:proofErr w:type="spellStart"/>
      <w:r w:rsidRPr="00775E3F">
        <w:t>l</w:t>
      </w:r>
      <w:r w:rsidR="00775E3F">
        <w:t>’</w:t>
      </w:r>
      <w:r w:rsidRPr="00775E3F">
        <w:t>information</w:t>
      </w:r>
      <w:proofErr w:type="spellEnd"/>
    </w:p>
    <w:p w:rsidR="0050421D" w:rsidRPr="00775E3F" w:rsidRDefault="00530C4F" w:rsidP="00905661">
      <w:pPr>
        <w:pStyle w:val="ListParagraph"/>
        <w:numPr>
          <w:ilvl w:val="0"/>
          <w:numId w:val="13"/>
        </w:numPr>
        <w:pBdr>
          <w:top w:val="single" w:sz="4" w:space="1" w:color="auto"/>
          <w:left w:val="single" w:sz="4" w:space="4" w:color="auto"/>
          <w:bottom w:val="single" w:sz="4" w:space="1" w:color="auto"/>
          <w:right w:val="single" w:sz="4" w:space="4" w:color="auto"/>
        </w:pBdr>
        <w:autoSpaceDE w:val="0"/>
        <w:autoSpaceDN w:val="0"/>
        <w:adjustRightInd w:val="0"/>
        <w:ind w:left="0" w:firstLine="0"/>
        <w:rPr>
          <w:lang w:val="fr-CH"/>
        </w:rPr>
      </w:pPr>
      <w:r w:rsidRPr="00775E3F">
        <w:rPr>
          <w:lang w:val="fr-CH"/>
        </w:rPr>
        <w:t>e</w:t>
      </w:r>
      <w:r w:rsidR="00905661" w:rsidRPr="00775E3F">
        <w:rPr>
          <w:lang w:val="fr-CH"/>
        </w:rPr>
        <w:t>mploi après la cessation de service</w:t>
      </w:r>
    </w:p>
    <w:p w:rsidR="0050421D" w:rsidRPr="00775E3F" w:rsidRDefault="0050421D" w:rsidP="004A39C5">
      <w:pPr>
        <w:pStyle w:val="ListParagraph"/>
        <w:pBdr>
          <w:top w:val="single" w:sz="4" w:space="1" w:color="auto"/>
          <w:left w:val="single" w:sz="4" w:space="4" w:color="auto"/>
          <w:bottom w:val="single" w:sz="4" w:space="1" w:color="auto"/>
          <w:right w:val="single" w:sz="4" w:space="4" w:color="auto"/>
        </w:pBdr>
        <w:autoSpaceDE w:val="0"/>
        <w:autoSpaceDN w:val="0"/>
        <w:adjustRightInd w:val="0"/>
        <w:ind w:left="0"/>
        <w:rPr>
          <w:lang w:val="fr-CH"/>
        </w:rPr>
      </w:pPr>
    </w:p>
    <w:p w:rsidR="0050421D" w:rsidRDefault="0050421D" w:rsidP="004A39C5">
      <w:pPr>
        <w:autoSpaceDE w:val="0"/>
        <w:autoSpaceDN w:val="0"/>
        <w:adjustRightInd w:val="0"/>
        <w:rPr>
          <w:szCs w:val="22"/>
          <w:lang w:val="fr-CH"/>
        </w:rPr>
      </w:pPr>
    </w:p>
    <w:p w:rsidR="00287B2A" w:rsidRPr="00287B2A" w:rsidRDefault="00287B2A" w:rsidP="004A39C5">
      <w:pPr>
        <w:autoSpaceDE w:val="0"/>
        <w:autoSpaceDN w:val="0"/>
        <w:adjustRightInd w:val="0"/>
        <w:rPr>
          <w:szCs w:val="22"/>
          <w:lang w:val="fr-CH"/>
        </w:rPr>
      </w:pPr>
    </w:p>
    <w:p w:rsidR="0050421D" w:rsidRPr="00976389" w:rsidRDefault="00905661" w:rsidP="00905661">
      <w:pPr>
        <w:pStyle w:val="NoSpacing"/>
        <w:rPr>
          <w:b/>
          <w:bCs/>
          <w:szCs w:val="22"/>
          <w:lang w:val="fr-CH"/>
        </w:rPr>
      </w:pPr>
      <w:r w:rsidRPr="00976389">
        <w:rPr>
          <w:b/>
          <w:bCs/>
          <w:szCs w:val="22"/>
          <w:lang w:val="fr-CH"/>
        </w:rPr>
        <w:t>FORMATION DE L</w:t>
      </w:r>
      <w:r w:rsidR="00775E3F" w:rsidRPr="00976389">
        <w:rPr>
          <w:b/>
          <w:bCs/>
          <w:szCs w:val="22"/>
          <w:lang w:val="fr-CH"/>
        </w:rPr>
        <w:t>’</w:t>
      </w:r>
      <w:r w:rsidRPr="00976389">
        <w:rPr>
          <w:b/>
          <w:bCs/>
          <w:szCs w:val="22"/>
          <w:lang w:val="fr-CH"/>
        </w:rPr>
        <w:t>OMPI</w:t>
      </w:r>
      <w:r w:rsidR="00924DDE" w:rsidRPr="00976389">
        <w:rPr>
          <w:b/>
          <w:bCs/>
          <w:szCs w:val="22"/>
          <w:lang w:val="fr-CH"/>
        </w:rPr>
        <w:t xml:space="preserve"> AUX QUESTIONS É</w:t>
      </w:r>
      <w:r w:rsidRPr="00976389">
        <w:rPr>
          <w:b/>
          <w:bCs/>
          <w:szCs w:val="22"/>
          <w:lang w:val="fr-CH"/>
        </w:rPr>
        <w:t>THIQUES 2012</w:t>
      </w:r>
      <w:r w:rsidR="00287B2A">
        <w:rPr>
          <w:b/>
          <w:bCs/>
          <w:szCs w:val="22"/>
          <w:lang w:val="fr-CH"/>
        </w:rPr>
        <w:noBreakHyphen/>
      </w:r>
      <w:r w:rsidRPr="00976389">
        <w:rPr>
          <w:b/>
          <w:bCs/>
          <w:szCs w:val="22"/>
          <w:lang w:val="fr-CH"/>
        </w:rPr>
        <w:t>2015</w:t>
      </w:r>
    </w:p>
    <w:p w:rsidR="0050421D" w:rsidRPr="00976389" w:rsidRDefault="0050421D" w:rsidP="004A39C5">
      <w:pPr>
        <w:pStyle w:val="NoSpacing"/>
        <w:rPr>
          <w:b/>
          <w:bCs/>
          <w:szCs w:val="22"/>
          <w:lang w:val="fr-CH"/>
        </w:rPr>
      </w:pPr>
    </w:p>
    <w:p w:rsidR="0050421D" w:rsidRPr="00976389" w:rsidRDefault="00905661" w:rsidP="00905661">
      <w:pPr>
        <w:pStyle w:val="NoSpacing"/>
        <w:rPr>
          <w:b/>
          <w:szCs w:val="22"/>
          <w:lang w:val="fr-CH"/>
        </w:rPr>
      </w:pPr>
      <w:r w:rsidRPr="00976389">
        <w:rPr>
          <w:b/>
          <w:szCs w:val="22"/>
          <w:lang w:val="fr-CH"/>
        </w:rPr>
        <w:t>Nombre total des participants : 1618</w:t>
      </w:r>
    </w:p>
    <w:p w:rsidR="0050421D" w:rsidRPr="00976389" w:rsidRDefault="0050421D" w:rsidP="004A39C5">
      <w:pPr>
        <w:pStyle w:val="NoSpacing"/>
        <w:rPr>
          <w:szCs w:val="22"/>
          <w:lang w:val="fr-CH"/>
        </w:rPr>
      </w:pPr>
    </w:p>
    <w:p w:rsidR="0050421D" w:rsidRDefault="00905661" w:rsidP="00905661">
      <w:pPr>
        <w:pStyle w:val="NoSpacing"/>
        <w:rPr>
          <w:szCs w:val="22"/>
          <w:lang w:val="fr-CH"/>
        </w:rPr>
      </w:pPr>
      <w:r w:rsidRPr="00976389">
        <w:rPr>
          <w:szCs w:val="22"/>
          <w:lang w:val="fr-CH"/>
        </w:rPr>
        <w:t>Catégories de formation</w:t>
      </w:r>
      <w:r w:rsidR="00924DDE" w:rsidRPr="00976389">
        <w:rPr>
          <w:szCs w:val="22"/>
          <w:lang w:val="fr-CH"/>
        </w:rPr>
        <w:t> </w:t>
      </w:r>
      <w:r w:rsidRPr="00976389">
        <w:rPr>
          <w:szCs w:val="22"/>
          <w:lang w:val="fr-CH"/>
        </w:rPr>
        <w:t>:</w:t>
      </w:r>
    </w:p>
    <w:p w:rsidR="00A53B0A" w:rsidRPr="00976389" w:rsidRDefault="00A53B0A" w:rsidP="00905661">
      <w:pPr>
        <w:pStyle w:val="NoSpacing"/>
        <w:rPr>
          <w:szCs w:val="22"/>
          <w:lang w:val="fr-CH"/>
        </w:rPr>
      </w:pPr>
    </w:p>
    <w:p w:rsidR="0050421D" w:rsidRPr="00976389" w:rsidRDefault="00905661" w:rsidP="00287B2A">
      <w:pPr>
        <w:pStyle w:val="NoSpacing"/>
        <w:numPr>
          <w:ilvl w:val="0"/>
          <w:numId w:val="10"/>
        </w:numPr>
        <w:ind w:left="2552" w:hanging="567"/>
        <w:rPr>
          <w:szCs w:val="22"/>
          <w:lang w:val="fr-CH"/>
        </w:rPr>
      </w:pPr>
      <w:r w:rsidRPr="00976389">
        <w:rPr>
          <w:szCs w:val="22"/>
          <w:lang w:val="fr-CH"/>
        </w:rPr>
        <w:t xml:space="preserve">sessions lors des </w:t>
      </w:r>
      <w:r w:rsidR="00BB17E9">
        <w:rPr>
          <w:szCs w:val="22"/>
          <w:lang w:val="fr-CH"/>
        </w:rPr>
        <w:t>cour</w:t>
      </w:r>
      <w:r w:rsidRPr="00976389">
        <w:rPr>
          <w:szCs w:val="22"/>
          <w:lang w:val="fr-CH"/>
        </w:rPr>
        <w:t>s d</w:t>
      </w:r>
      <w:r w:rsidR="00775E3F" w:rsidRPr="00976389">
        <w:rPr>
          <w:szCs w:val="22"/>
          <w:lang w:val="fr-CH"/>
        </w:rPr>
        <w:t>’</w:t>
      </w:r>
      <w:r w:rsidRPr="00976389">
        <w:rPr>
          <w:szCs w:val="22"/>
          <w:lang w:val="fr-CH"/>
        </w:rPr>
        <w:t>initiation</w:t>
      </w:r>
    </w:p>
    <w:p w:rsidR="0050421D" w:rsidRPr="00976389" w:rsidRDefault="00905661" w:rsidP="00287B2A">
      <w:pPr>
        <w:pStyle w:val="NoSpacing"/>
        <w:numPr>
          <w:ilvl w:val="0"/>
          <w:numId w:val="10"/>
        </w:numPr>
        <w:ind w:left="2552" w:hanging="567"/>
        <w:rPr>
          <w:szCs w:val="22"/>
          <w:lang w:val="fr-CH"/>
        </w:rPr>
      </w:pPr>
      <w:r w:rsidRPr="00976389">
        <w:rPr>
          <w:szCs w:val="22"/>
          <w:lang w:val="fr-CH"/>
        </w:rPr>
        <w:t>cours</w:t>
      </w:r>
      <w:r w:rsidR="00BB17E9">
        <w:rPr>
          <w:szCs w:val="22"/>
          <w:lang w:val="fr-CH"/>
        </w:rPr>
        <w:t xml:space="preserve"> périodiques</w:t>
      </w:r>
      <w:r w:rsidRPr="00976389">
        <w:rPr>
          <w:szCs w:val="22"/>
          <w:lang w:val="fr-CH"/>
        </w:rPr>
        <w:t xml:space="preserve"> de formation </w:t>
      </w:r>
      <w:r w:rsidR="00BB17E9">
        <w:rPr>
          <w:szCs w:val="22"/>
          <w:lang w:val="fr-CH"/>
        </w:rPr>
        <w:t>aux questions éthiques</w:t>
      </w:r>
    </w:p>
    <w:p w:rsidR="0050421D" w:rsidRPr="00976389" w:rsidRDefault="0050421D" w:rsidP="00012F67">
      <w:pPr>
        <w:pStyle w:val="NoSpacing"/>
        <w:rPr>
          <w:szCs w:val="22"/>
          <w:u w:val="single"/>
          <w:lang w:val="fr-CH"/>
        </w:rPr>
      </w:pPr>
    </w:p>
    <w:p w:rsidR="0050421D" w:rsidRPr="00775E3F" w:rsidRDefault="00BB17E9" w:rsidP="00012F67">
      <w:pPr>
        <w:pStyle w:val="NoSpacing"/>
        <w:rPr>
          <w:noProof/>
        </w:rPr>
      </w:pPr>
      <w:r w:rsidRPr="00BB17E9">
        <w:rPr>
          <w:noProof/>
        </w:rPr>
        <w:drawing>
          <wp:inline distT="0" distB="0" distL="0" distR="0">
            <wp:extent cx="4578350" cy="274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78350" cy="2743200"/>
                    </a:xfrm>
                    <a:prstGeom prst="rect">
                      <a:avLst/>
                    </a:prstGeom>
                    <a:noFill/>
                    <a:ln>
                      <a:noFill/>
                    </a:ln>
                  </pic:spPr>
                </pic:pic>
              </a:graphicData>
            </a:graphic>
          </wp:inline>
        </w:drawing>
      </w:r>
    </w:p>
    <w:p w:rsidR="0050421D" w:rsidRPr="00775E3F" w:rsidRDefault="0050421D" w:rsidP="00012F67">
      <w:pPr>
        <w:pStyle w:val="NoSpacing"/>
        <w:rPr>
          <w:noProof/>
          <w:lang w:val="en-GB" w:eastAsia="en-GB"/>
        </w:rPr>
      </w:pPr>
    </w:p>
    <w:p w:rsidR="00BB17E9" w:rsidRDefault="00BB17E9">
      <w:pPr>
        <w:rPr>
          <w:lang w:val="fr-CH"/>
        </w:rPr>
      </w:pPr>
      <w:r>
        <w:rPr>
          <w:lang w:val="fr-CH"/>
        </w:rPr>
        <w:br w:type="page"/>
      </w:r>
    </w:p>
    <w:p w:rsidR="00976389" w:rsidRDefault="00905661" w:rsidP="00976389">
      <w:pPr>
        <w:pStyle w:val="ONUMFS"/>
        <w:rPr>
          <w:lang w:val="fr-CH"/>
        </w:rPr>
      </w:pPr>
      <w:r w:rsidRPr="00775E3F">
        <w:rPr>
          <w:lang w:val="fr-CH"/>
        </w:rPr>
        <w:lastRenderedPageBreak/>
        <w:t>L</w:t>
      </w:r>
      <w:r w:rsidR="00775E3F">
        <w:rPr>
          <w:lang w:val="fr-CH"/>
        </w:rPr>
        <w:t>’</w:t>
      </w:r>
      <w:r w:rsidRPr="00775E3F">
        <w:rPr>
          <w:lang w:val="fr-CH"/>
        </w:rPr>
        <w:t xml:space="preserve">ensemble du personnel, </w:t>
      </w:r>
      <w:r w:rsidR="00775E3F">
        <w:rPr>
          <w:lang w:val="fr-CH"/>
        </w:rPr>
        <w:t>y compris</w:t>
      </w:r>
      <w:r w:rsidRPr="00775E3F">
        <w:rPr>
          <w:lang w:val="fr-CH"/>
        </w:rPr>
        <w:t xml:space="preserve"> les personnes récemment recrutées (1618</w:t>
      </w:r>
      <w:r w:rsidR="004A6D1F" w:rsidRPr="00775E3F">
        <w:rPr>
          <w:lang w:val="fr-CH"/>
        </w:rPr>
        <w:t> </w:t>
      </w:r>
      <w:r w:rsidRPr="00775E3F">
        <w:rPr>
          <w:lang w:val="fr-CH"/>
        </w:rPr>
        <w:t xml:space="preserve">personnes au total) </w:t>
      </w:r>
      <w:r w:rsidR="00D075D7" w:rsidRPr="00775E3F">
        <w:rPr>
          <w:lang w:val="fr-CH"/>
        </w:rPr>
        <w:t>ont</w:t>
      </w:r>
      <w:r w:rsidRPr="00775E3F">
        <w:rPr>
          <w:lang w:val="fr-CH"/>
        </w:rPr>
        <w:t xml:space="preserve"> reçu une formation depuis le lancement de la politique de l</w:t>
      </w:r>
      <w:r w:rsidR="00775E3F">
        <w:rPr>
          <w:lang w:val="fr-CH"/>
        </w:rPr>
        <w:t>’</w:t>
      </w:r>
      <w:r w:rsidRPr="00775E3F">
        <w:rPr>
          <w:lang w:val="fr-CH"/>
        </w:rPr>
        <w:t>OMPI relative à l</w:t>
      </w:r>
      <w:r w:rsidR="00775E3F">
        <w:rPr>
          <w:lang w:val="fr-CH"/>
        </w:rPr>
        <w:t>’</w:t>
      </w:r>
      <w:r w:rsidRPr="00775E3F">
        <w:rPr>
          <w:lang w:val="fr-CH"/>
        </w:rPr>
        <w:t>éthique et à l</w:t>
      </w:r>
      <w:r w:rsidR="00775E3F">
        <w:rPr>
          <w:lang w:val="fr-CH"/>
        </w:rPr>
        <w:t>’</w:t>
      </w:r>
      <w:r w:rsidRPr="00775E3F">
        <w:rPr>
          <w:lang w:val="fr-CH"/>
        </w:rPr>
        <w:t>intégri</w:t>
      </w:r>
      <w:r w:rsidR="00F52F90" w:rsidRPr="00775E3F">
        <w:rPr>
          <w:lang w:val="fr-CH"/>
        </w:rPr>
        <w:t>té</w:t>
      </w:r>
      <w:r w:rsidR="00F52F90">
        <w:rPr>
          <w:lang w:val="fr-CH"/>
        </w:rPr>
        <w:t xml:space="preserve">.  </w:t>
      </w:r>
      <w:r w:rsidR="00F52F90" w:rsidRPr="00775E3F">
        <w:rPr>
          <w:lang w:val="fr-CH"/>
        </w:rPr>
        <w:t>Le</w:t>
      </w:r>
      <w:r w:rsidRPr="00775E3F">
        <w:rPr>
          <w:lang w:val="fr-CH"/>
        </w:rPr>
        <w:t xml:space="preserve"> personnel </w:t>
      </w:r>
      <w:r w:rsidR="00D075D7" w:rsidRPr="00775E3F">
        <w:rPr>
          <w:lang w:val="fr-CH"/>
        </w:rPr>
        <w:t xml:space="preserve">entrant au service de </w:t>
      </w:r>
      <w:r w:rsidRPr="00775E3F">
        <w:rPr>
          <w:lang w:val="fr-CH"/>
        </w:rPr>
        <w:t>l</w:t>
      </w:r>
      <w:r w:rsidR="00775E3F">
        <w:rPr>
          <w:lang w:val="fr-CH"/>
        </w:rPr>
        <w:t>’</w:t>
      </w:r>
      <w:r w:rsidRPr="00775E3F">
        <w:rPr>
          <w:lang w:val="fr-CH"/>
        </w:rPr>
        <w:t>Organisation est tenu de participer à la fois aux cours d</w:t>
      </w:r>
      <w:r w:rsidR="00775E3F">
        <w:rPr>
          <w:lang w:val="fr-CH"/>
        </w:rPr>
        <w:t>’</w:t>
      </w:r>
      <w:r w:rsidRPr="00775E3F">
        <w:rPr>
          <w:lang w:val="fr-CH"/>
        </w:rPr>
        <w:t>initiation et aux cours de formation sur les questions d</w:t>
      </w:r>
      <w:r w:rsidR="00775E3F">
        <w:rPr>
          <w:lang w:val="fr-CH"/>
        </w:rPr>
        <w:t>’</w:t>
      </w:r>
      <w:r w:rsidRPr="00775E3F">
        <w:rPr>
          <w:lang w:val="fr-CH"/>
        </w:rPr>
        <w:t>éthiq</w:t>
      </w:r>
      <w:r w:rsidR="00F52F90" w:rsidRPr="00775E3F">
        <w:rPr>
          <w:lang w:val="fr-CH"/>
        </w:rPr>
        <w:t>ue</w:t>
      </w:r>
      <w:r w:rsidR="00F52F90">
        <w:rPr>
          <w:lang w:val="fr-CH"/>
        </w:rPr>
        <w:t xml:space="preserve">.  </w:t>
      </w:r>
      <w:r w:rsidR="00F52F90" w:rsidRPr="00775E3F">
        <w:rPr>
          <w:lang w:val="fr-CH"/>
        </w:rPr>
        <w:t>To</w:t>
      </w:r>
      <w:r w:rsidRPr="00775E3F">
        <w:rPr>
          <w:lang w:val="fr-CH"/>
        </w:rPr>
        <w:t>us les cours d</w:t>
      </w:r>
      <w:r w:rsidR="00775E3F">
        <w:rPr>
          <w:lang w:val="fr-CH"/>
        </w:rPr>
        <w:t>’</w:t>
      </w:r>
      <w:r w:rsidRPr="00775E3F">
        <w:rPr>
          <w:lang w:val="fr-CH"/>
        </w:rPr>
        <w:t>initiation comprennent une session consacrée à l</w:t>
      </w:r>
      <w:r w:rsidR="00D075D7" w:rsidRPr="00775E3F">
        <w:rPr>
          <w:lang w:val="fr-CH"/>
        </w:rPr>
        <w:t>a d</w:t>
      </w:r>
      <w:r w:rsidRPr="00775E3F">
        <w:rPr>
          <w:lang w:val="fr-CH"/>
        </w:rPr>
        <w:t>é</w:t>
      </w:r>
      <w:r w:rsidR="00D075D7" w:rsidRPr="00775E3F">
        <w:rPr>
          <w:lang w:val="fr-CH"/>
        </w:rPr>
        <w:t>on</w:t>
      </w:r>
      <w:r w:rsidRPr="00775E3F">
        <w:rPr>
          <w:lang w:val="fr-CH"/>
        </w:rPr>
        <w:t>t</w:t>
      </w:r>
      <w:r w:rsidR="00D075D7" w:rsidRPr="00775E3F">
        <w:rPr>
          <w:lang w:val="fr-CH"/>
        </w:rPr>
        <w:t>olog</w:t>
      </w:r>
      <w:r w:rsidR="00F52F90" w:rsidRPr="00775E3F">
        <w:rPr>
          <w:lang w:val="fr-CH"/>
        </w:rPr>
        <w:t>ie</w:t>
      </w:r>
      <w:r w:rsidR="00F52F90">
        <w:rPr>
          <w:lang w:val="fr-CH"/>
        </w:rPr>
        <w:t xml:space="preserve">.  </w:t>
      </w:r>
      <w:r w:rsidR="00F52F90" w:rsidRPr="00775E3F">
        <w:rPr>
          <w:lang w:val="fr-CH"/>
        </w:rPr>
        <w:t>Le</w:t>
      </w:r>
      <w:r w:rsidRPr="00775E3F">
        <w:rPr>
          <w:lang w:val="fr-CH"/>
        </w:rPr>
        <w:t>s</w:t>
      </w:r>
      <w:r w:rsidR="00D075D7" w:rsidRPr="00775E3F">
        <w:rPr>
          <w:lang w:val="fr-CH"/>
        </w:rPr>
        <w:t> </w:t>
      </w:r>
      <w:r w:rsidRPr="00775E3F">
        <w:rPr>
          <w:lang w:val="fr-CH"/>
        </w:rPr>
        <w:t xml:space="preserve">informations présentées dans le graphique </w:t>
      </w:r>
      <w:r w:rsidR="00D075D7" w:rsidRPr="00775E3F">
        <w:rPr>
          <w:lang w:val="fr-CH"/>
        </w:rPr>
        <w:t>porte</w:t>
      </w:r>
      <w:r w:rsidRPr="00775E3F">
        <w:rPr>
          <w:lang w:val="fr-CH"/>
        </w:rPr>
        <w:t xml:space="preserve">nt </w:t>
      </w:r>
      <w:r w:rsidR="00D075D7" w:rsidRPr="00775E3F">
        <w:rPr>
          <w:lang w:val="fr-CH"/>
        </w:rPr>
        <w:t>sur</w:t>
      </w:r>
      <w:r w:rsidRPr="00775E3F">
        <w:rPr>
          <w:lang w:val="fr-CH"/>
        </w:rPr>
        <w:t xml:space="preserve"> la formation dispensée au personnel depuis l</w:t>
      </w:r>
      <w:r w:rsidR="00775E3F">
        <w:rPr>
          <w:lang w:val="fr-CH"/>
        </w:rPr>
        <w:t>’</w:t>
      </w:r>
      <w:r w:rsidR="00D075D7" w:rsidRPr="00775E3F">
        <w:rPr>
          <w:lang w:val="fr-CH"/>
        </w:rPr>
        <w:t xml:space="preserve">instauration </w:t>
      </w:r>
      <w:r w:rsidRPr="00775E3F">
        <w:rPr>
          <w:lang w:val="fr-CH"/>
        </w:rPr>
        <w:t>de la formation sur les questions d</w:t>
      </w:r>
      <w:r w:rsidR="00775E3F">
        <w:rPr>
          <w:lang w:val="fr-CH"/>
        </w:rPr>
        <w:t>’</w:t>
      </w:r>
      <w:r w:rsidRPr="00775E3F">
        <w:rPr>
          <w:lang w:val="fr-CH"/>
        </w:rPr>
        <w:t>éthique et d</w:t>
      </w:r>
      <w:r w:rsidR="00775E3F">
        <w:rPr>
          <w:lang w:val="fr-CH"/>
        </w:rPr>
        <w:t>’</w:t>
      </w:r>
      <w:r w:rsidRPr="00775E3F">
        <w:rPr>
          <w:lang w:val="fr-CH"/>
        </w:rPr>
        <w:t>intégrité en</w:t>
      </w:r>
      <w:r w:rsidR="00D075D7" w:rsidRPr="00775E3F">
        <w:rPr>
          <w:lang w:val="fr-CH"/>
        </w:rPr>
        <w:t> </w:t>
      </w:r>
      <w:r w:rsidRPr="00775E3F">
        <w:rPr>
          <w:lang w:val="fr-CH"/>
        </w:rPr>
        <w:t>2012.</w:t>
      </w:r>
    </w:p>
    <w:p w:rsidR="0050421D" w:rsidRPr="00775E3F" w:rsidRDefault="00905661" w:rsidP="00905661">
      <w:pPr>
        <w:pStyle w:val="NoSpacing"/>
        <w:rPr>
          <w:i/>
          <w:szCs w:val="22"/>
          <w:lang w:val="fr-CH"/>
        </w:rPr>
      </w:pPr>
      <w:r w:rsidRPr="00775E3F">
        <w:rPr>
          <w:i/>
          <w:szCs w:val="22"/>
          <w:lang w:val="fr-CH"/>
        </w:rPr>
        <w:t>Retombées, mesurées au moyen des enquêtes menées après la formation</w:t>
      </w:r>
    </w:p>
    <w:p w:rsidR="0050421D" w:rsidRPr="00775E3F" w:rsidRDefault="0050421D" w:rsidP="00735F32">
      <w:pPr>
        <w:pStyle w:val="NoSpacing"/>
        <w:rPr>
          <w:szCs w:val="22"/>
          <w:lang w:val="fr-CH"/>
        </w:rPr>
      </w:pPr>
    </w:p>
    <w:p w:rsidR="00976389" w:rsidRDefault="00905661" w:rsidP="00976389">
      <w:pPr>
        <w:pStyle w:val="ONUMFS"/>
        <w:rPr>
          <w:lang w:val="fr-CH"/>
        </w:rPr>
      </w:pPr>
      <w:r w:rsidRPr="00775E3F">
        <w:rPr>
          <w:lang w:val="fr-CH"/>
        </w:rPr>
        <w:t>Une enquête en ligne a été diffusée auprès des participants inscrits aux cours de formation en</w:t>
      </w:r>
      <w:r w:rsidR="00D075D7" w:rsidRPr="00775E3F">
        <w:rPr>
          <w:lang w:val="fr-CH"/>
        </w:rPr>
        <w:t> </w:t>
      </w:r>
      <w:r w:rsidRPr="00775E3F">
        <w:rPr>
          <w:lang w:val="fr-CH"/>
        </w:rPr>
        <w:t>2015.</w:t>
      </w:r>
      <w:r w:rsidR="00FC2820" w:rsidRPr="00775E3F">
        <w:rPr>
          <w:lang w:val="fr-CH"/>
        </w:rPr>
        <w:t xml:space="preserve">  </w:t>
      </w:r>
      <w:r w:rsidRPr="00775E3F">
        <w:rPr>
          <w:lang w:val="fr-CH"/>
        </w:rPr>
        <w:t>44 participants ont répondu, ce qui constitue un échantillon représentatif.</w:t>
      </w:r>
    </w:p>
    <w:p w:rsidR="00976389" w:rsidRDefault="009F7E67" w:rsidP="00976389">
      <w:pPr>
        <w:pStyle w:val="ONUMFS"/>
        <w:rPr>
          <w:lang w:val="fr-CH"/>
        </w:rPr>
      </w:pPr>
      <w:r w:rsidRPr="00775E3F">
        <w:rPr>
          <w:lang w:val="fr-CH"/>
        </w:rPr>
        <w:t>L</w:t>
      </w:r>
      <w:r w:rsidR="00775E3F">
        <w:rPr>
          <w:lang w:val="fr-CH"/>
        </w:rPr>
        <w:t>’</w:t>
      </w:r>
      <w:r w:rsidRPr="00775E3F">
        <w:rPr>
          <w:lang w:val="fr-CH"/>
        </w:rPr>
        <w:t xml:space="preserve">enquête a confirmé que la formation avait été bien accueillie, 43% des personnes ayant répondu estimant que le cours était </w:t>
      </w:r>
      <w:r w:rsidR="00775E3F">
        <w:rPr>
          <w:lang w:val="fr-CH"/>
        </w:rPr>
        <w:t>“</w:t>
      </w:r>
      <w:r w:rsidRPr="00775E3F">
        <w:rPr>
          <w:lang w:val="fr-CH"/>
        </w:rPr>
        <w:t>excellent</w:t>
      </w:r>
      <w:r w:rsidR="00775E3F">
        <w:rPr>
          <w:lang w:val="fr-CH"/>
        </w:rPr>
        <w:t>”</w:t>
      </w:r>
      <w:r w:rsidRPr="00775E3F">
        <w:rPr>
          <w:lang w:val="fr-CH"/>
        </w:rPr>
        <w:t xml:space="preserve"> et 41% le jugeant </w:t>
      </w:r>
      <w:r w:rsidR="00775E3F">
        <w:rPr>
          <w:lang w:val="fr-CH"/>
        </w:rPr>
        <w:t>“</w:t>
      </w:r>
      <w:r w:rsidRPr="00775E3F">
        <w:rPr>
          <w:lang w:val="fr-CH"/>
        </w:rPr>
        <w:t>bon</w:t>
      </w:r>
      <w:r w:rsidR="00775E3F">
        <w:rPr>
          <w:lang w:val="fr-CH"/>
        </w:rPr>
        <w:t>”</w:t>
      </w:r>
      <w:r w:rsidRPr="00775E3F">
        <w:rPr>
          <w:lang w:val="fr-CH"/>
        </w:rPr>
        <w:t>.</w:t>
      </w:r>
    </w:p>
    <w:p w:rsidR="00976389" w:rsidRDefault="009F7E67" w:rsidP="00976389">
      <w:pPr>
        <w:pStyle w:val="ONUMFS"/>
        <w:rPr>
          <w:lang w:val="fr-CH"/>
        </w:rPr>
      </w:pPr>
      <w:r w:rsidRPr="00775E3F">
        <w:rPr>
          <w:lang w:val="fr-CH"/>
        </w:rPr>
        <w:t>Si, dans l</w:t>
      </w:r>
      <w:r w:rsidR="00775E3F">
        <w:rPr>
          <w:lang w:val="fr-CH"/>
        </w:rPr>
        <w:t>’</w:t>
      </w:r>
      <w:r w:rsidRPr="00775E3F">
        <w:rPr>
          <w:lang w:val="fr-CH"/>
        </w:rPr>
        <w:t>ensemble, les participants ont estimé que le contenu et la méthode utilisée pour la formation étaient bons, certains ont indiqué que le temps imparti ne permettait pas une analyse en profondeur des dossie</w:t>
      </w:r>
      <w:r w:rsidR="00F52F90" w:rsidRPr="00775E3F">
        <w:rPr>
          <w:lang w:val="fr-CH"/>
        </w:rPr>
        <w:t>rs</w:t>
      </w:r>
      <w:r w:rsidR="00F52F90">
        <w:rPr>
          <w:lang w:val="fr-CH"/>
        </w:rPr>
        <w:t xml:space="preserve">.  </w:t>
      </w:r>
      <w:r w:rsidR="00F52F90" w:rsidRPr="00775E3F">
        <w:rPr>
          <w:rFonts w:eastAsia="Calibri"/>
          <w:lang w:val="fr-CH" w:eastAsia="en-US"/>
        </w:rPr>
        <w:t>Pa</w:t>
      </w:r>
      <w:r w:rsidRPr="00775E3F">
        <w:rPr>
          <w:rFonts w:eastAsia="Calibri"/>
          <w:lang w:val="fr-CH" w:eastAsia="en-US"/>
        </w:rPr>
        <w:t xml:space="preserve">r ailleurs, les participants ont estimé que </w:t>
      </w:r>
      <w:r w:rsidR="00317391" w:rsidRPr="00775E3F">
        <w:rPr>
          <w:rFonts w:eastAsia="Calibri"/>
          <w:lang w:val="fr-CH" w:eastAsia="en-US"/>
        </w:rPr>
        <w:t xml:space="preserve">le traitement </w:t>
      </w:r>
      <w:r w:rsidRPr="00775E3F">
        <w:rPr>
          <w:rFonts w:eastAsia="Calibri"/>
          <w:lang w:val="fr-CH" w:eastAsia="en-US"/>
        </w:rPr>
        <w:t>de sujets comme les activités extérieures et les conflits d</w:t>
      </w:r>
      <w:r w:rsidR="00775E3F">
        <w:rPr>
          <w:rFonts w:eastAsia="Calibri"/>
          <w:lang w:val="fr-CH" w:eastAsia="en-US"/>
        </w:rPr>
        <w:t>’</w:t>
      </w:r>
      <w:r w:rsidRPr="00775E3F">
        <w:rPr>
          <w:rFonts w:eastAsia="Calibri"/>
          <w:lang w:val="fr-CH" w:eastAsia="en-US"/>
        </w:rPr>
        <w:t>intérêt</w:t>
      </w:r>
      <w:r w:rsidR="00317391" w:rsidRPr="00775E3F">
        <w:rPr>
          <w:rFonts w:eastAsia="Calibri"/>
          <w:lang w:val="fr-CH" w:eastAsia="en-US"/>
        </w:rPr>
        <w:t>s</w:t>
      </w:r>
      <w:r w:rsidRPr="00775E3F">
        <w:rPr>
          <w:rFonts w:eastAsia="Calibri"/>
          <w:lang w:val="fr-CH" w:eastAsia="en-US"/>
        </w:rPr>
        <w:t xml:space="preserve"> devrait être élar</w:t>
      </w:r>
      <w:r w:rsidR="00F52F90" w:rsidRPr="00775E3F">
        <w:rPr>
          <w:rFonts w:eastAsia="Calibri"/>
          <w:lang w:val="fr-CH" w:eastAsia="en-US"/>
        </w:rPr>
        <w:t>gi</w:t>
      </w:r>
      <w:r w:rsidR="00F52F90">
        <w:rPr>
          <w:rFonts w:eastAsia="Calibri"/>
          <w:lang w:val="fr-CH" w:eastAsia="en-US"/>
        </w:rPr>
        <w:t xml:space="preserve">.  </w:t>
      </w:r>
      <w:r w:rsidR="00F52F90" w:rsidRPr="00775E3F">
        <w:rPr>
          <w:rFonts w:eastAsia="Calibri"/>
          <w:lang w:val="fr-CH" w:eastAsia="en-US"/>
        </w:rPr>
        <w:t>Le</w:t>
      </w:r>
      <w:r w:rsidR="00DE540B" w:rsidRPr="00775E3F">
        <w:rPr>
          <w:rFonts w:eastAsia="Calibri"/>
          <w:lang w:val="fr-CH" w:eastAsia="en-US"/>
        </w:rPr>
        <w:t xml:space="preserve"> Bureau de la déontologie a </w:t>
      </w:r>
      <w:r w:rsidR="00317391" w:rsidRPr="00775E3F">
        <w:rPr>
          <w:rFonts w:eastAsia="Calibri"/>
          <w:lang w:val="fr-CH" w:eastAsia="en-US"/>
        </w:rPr>
        <w:t>tenu compte</w:t>
      </w:r>
      <w:r w:rsidR="00DE540B" w:rsidRPr="00775E3F">
        <w:rPr>
          <w:rFonts w:eastAsia="Calibri"/>
          <w:lang w:val="fr-CH" w:eastAsia="en-US"/>
        </w:rPr>
        <w:t xml:space="preserve"> des observations formulées </w:t>
      </w:r>
      <w:r w:rsidR="00317391" w:rsidRPr="00775E3F">
        <w:rPr>
          <w:rFonts w:eastAsia="Calibri"/>
          <w:lang w:val="fr-CH" w:eastAsia="en-US"/>
        </w:rPr>
        <w:t>pour</w:t>
      </w:r>
      <w:r w:rsidR="00DE540B" w:rsidRPr="00775E3F">
        <w:rPr>
          <w:rFonts w:eastAsia="Calibri"/>
          <w:lang w:val="fr-CH" w:eastAsia="en-US"/>
        </w:rPr>
        <w:t xml:space="preserve"> la mise </w:t>
      </w:r>
      <w:r w:rsidR="00317391" w:rsidRPr="00775E3F">
        <w:rPr>
          <w:rFonts w:eastAsia="Calibri"/>
          <w:lang w:val="fr-CH" w:eastAsia="en-US"/>
        </w:rPr>
        <w:t>s</w:t>
      </w:r>
      <w:r w:rsidR="00DE540B" w:rsidRPr="00775E3F">
        <w:rPr>
          <w:rFonts w:eastAsia="Calibri"/>
          <w:lang w:val="fr-CH" w:eastAsia="en-US"/>
        </w:rPr>
        <w:t>u</w:t>
      </w:r>
      <w:r w:rsidR="00317391" w:rsidRPr="00775E3F">
        <w:rPr>
          <w:rFonts w:eastAsia="Calibri"/>
          <w:lang w:val="fr-CH" w:eastAsia="en-US"/>
        </w:rPr>
        <w:t>r</w:t>
      </w:r>
      <w:r w:rsidR="00DE540B" w:rsidRPr="00775E3F">
        <w:rPr>
          <w:rFonts w:eastAsia="Calibri"/>
          <w:lang w:val="fr-CH" w:eastAsia="en-US"/>
        </w:rPr>
        <w:t xml:space="preserve"> pi</w:t>
      </w:r>
      <w:r w:rsidR="00317391" w:rsidRPr="00775E3F">
        <w:rPr>
          <w:rFonts w:eastAsia="Calibri"/>
          <w:lang w:val="fr-CH" w:eastAsia="en-US"/>
        </w:rPr>
        <w:t>ed</w:t>
      </w:r>
      <w:r w:rsidR="00DE540B" w:rsidRPr="00775E3F">
        <w:rPr>
          <w:rFonts w:eastAsia="Calibri"/>
          <w:lang w:val="fr-CH" w:eastAsia="en-US"/>
        </w:rPr>
        <w:t xml:space="preserve"> des </w:t>
      </w:r>
      <w:r w:rsidR="00317391" w:rsidRPr="00775E3F">
        <w:rPr>
          <w:rFonts w:eastAsia="Calibri"/>
          <w:lang w:val="fr-CH" w:eastAsia="en-US"/>
        </w:rPr>
        <w:t>activités</w:t>
      </w:r>
      <w:r w:rsidR="00DE540B" w:rsidRPr="00775E3F">
        <w:rPr>
          <w:rFonts w:eastAsia="Calibri"/>
          <w:lang w:val="fr-CH" w:eastAsia="en-US"/>
        </w:rPr>
        <w:t xml:space="preserve"> de sensibilisation à l</w:t>
      </w:r>
      <w:r w:rsidR="00775E3F">
        <w:rPr>
          <w:rFonts w:eastAsia="Calibri"/>
          <w:lang w:val="fr-CH" w:eastAsia="en-US"/>
        </w:rPr>
        <w:t>’</w:t>
      </w:r>
      <w:r w:rsidR="00DE540B" w:rsidRPr="00775E3F">
        <w:rPr>
          <w:rFonts w:eastAsia="Calibri"/>
          <w:lang w:val="fr-CH" w:eastAsia="en-US"/>
        </w:rPr>
        <w:t>éthique en</w:t>
      </w:r>
      <w:r w:rsidR="004A6D1F" w:rsidRPr="00775E3F">
        <w:rPr>
          <w:rFonts w:eastAsia="Calibri"/>
          <w:lang w:val="fr-CH" w:eastAsia="en-US"/>
        </w:rPr>
        <w:t> </w:t>
      </w:r>
      <w:r w:rsidR="00DE540B" w:rsidRPr="00775E3F">
        <w:rPr>
          <w:rFonts w:eastAsia="Calibri"/>
          <w:lang w:val="fr-CH" w:eastAsia="en-US"/>
        </w:rPr>
        <w:t>2016.</w:t>
      </w:r>
    </w:p>
    <w:p w:rsidR="00976389" w:rsidRDefault="00C511F9" w:rsidP="00976389">
      <w:pPr>
        <w:pStyle w:val="ONUMFS"/>
        <w:rPr>
          <w:lang w:val="fr-CH"/>
        </w:rPr>
      </w:pPr>
      <w:r w:rsidRPr="00775E3F">
        <w:rPr>
          <w:lang w:val="fr-CH"/>
        </w:rPr>
        <w:t xml:space="preserve">Les autres </w:t>
      </w:r>
      <w:r w:rsidR="00317391" w:rsidRPr="00775E3F">
        <w:rPr>
          <w:lang w:val="fr-CH"/>
        </w:rPr>
        <w:t>commentaires</w:t>
      </w:r>
      <w:r w:rsidRPr="00775E3F">
        <w:rPr>
          <w:lang w:val="fr-CH"/>
        </w:rPr>
        <w:t xml:space="preserve"> suivants ont été for</w:t>
      </w:r>
      <w:r w:rsidR="00317391" w:rsidRPr="00775E3F">
        <w:rPr>
          <w:lang w:val="fr-CH"/>
        </w:rPr>
        <w:t>mulé</w:t>
      </w:r>
      <w:r w:rsidRPr="00775E3F">
        <w:rPr>
          <w:lang w:val="fr-CH"/>
        </w:rPr>
        <w:t>s</w:t>
      </w:r>
      <w:r w:rsidR="00317391" w:rsidRPr="00775E3F">
        <w:rPr>
          <w:lang w:val="fr-CH"/>
        </w:rPr>
        <w:t> </w:t>
      </w:r>
      <w:r w:rsidRPr="00775E3F">
        <w:rPr>
          <w:lang w:val="fr-CH"/>
        </w:rPr>
        <w:t>:</w:t>
      </w:r>
    </w:p>
    <w:p w:rsidR="00775E3F" w:rsidRDefault="00317391" w:rsidP="00287B2A">
      <w:pPr>
        <w:pStyle w:val="ListParagraph"/>
        <w:numPr>
          <w:ilvl w:val="0"/>
          <w:numId w:val="17"/>
        </w:numPr>
        <w:autoSpaceDE w:val="0"/>
        <w:autoSpaceDN w:val="0"/>
        <w:adjustRightInd w:val="0"/>
        <w:ind w:left="1134" w:hanging="567"/>
        <w:rPr>
          <w:rFonts w:eastAsia="Calibri"/>
          <w:szCs w:val="22"/>
          <w:lang w:val="fr-CH" w:eastAsia="en-US"/>
        </w:rPr>
      </w:pPr>
      <w:r w:rsidRPr="00775E3F">
        <w:rPr>
          <w:rFonts w:eastAsia="Calibri"/>
          <w:szCs w:val="22"/>
          <w:lang w:val="fr-CH" w:eastAsia="en-US"/>
        </w:rPr>
        <w:t>les participants ont apprécié le</w:t>
      </w:r>
      <w:r w:rsidR="00C511F9" w:rsidRPr="00775E3F">
        <w:rPr>
          <w:rFonts w:eastAsia="Calibri"/>
          <w:szCs w:val="22"/>
          <w:lang w:val="fr-CH" w:eastAsia="en-US"/>
        </w:rPr>
        <w:t xml:space="preserve"> format ouvert des discussions qui a rendu la formation interactive et a permis à </w:t>
      </w:r>
      <w:r w:rsidRPr="00775E3F">
        <w:rPr>
          <w:rFonts w:eastAsia="Calibri"/>
          <w:szCs w:val="22"/>
          <w:lang w:val="fr-CH" w:eastAsia="en-US"/>
        </w:rPr>
        <w:t xml:space="preserve">chacun </w:t>
      </w:r>
      <w:r w:rsidR="00C511F9" w:rsidRPr="00775E3F">
        <w:rPr>
          <w:rFonts w:eastAsia="Calibri"/>
          <w:szCs w:val="22"/>
          <w:lang w:val="fr-CH" w:eastAsia="en-US"/>
        </w:rPr>
        <w:t>d</w:t>
      </w:r>
      <w:r w:rsidR="00775E3F">
        <w:rPr>
          <w:rFonts w:eastAsia="Calibri"/>
          <w:szCs w:val="22"/>
          <w:lang w:val="fr-CH" w:eastAsia="en-US"/>
        </w:rPr>
        <w:t>’</w:t>
      </w:r>
      <w:r w:rsidR="00C511F9" w:rsidRPr="00775E3F">
        <w:rPr>
          <w:rFonts w:eastAsia="Calibri"/>
          <w:szCs w:val="22"/>
          <w:lang w:val="fr-CH" w:eastAsia="en-US"/>
        </w:rPr>
        <w:t xml:space="preserve">exprimer </w:t>
      </w:r>
      <w:r w:rsidRPr="00775E3F">
        <w:rPr>
          <w:rFonts w:eastAsia="Calibri"/>
          <w:szCs w:val="22"/>
          <w:lang w:val="fr-CH" w:eastAsia="en-US"/>
        </w:rPr>
        <w:t>son</w:t>
      </w:r>
      <w:r w:rsidR="00C511F9" w:rsidRPr="00775E3F">
        <w:rPr>
          <w:rFonts w:eastAsia="Calibri"/>
          <w:szCs w:val="22"/>
          <w:lang w:val="fr-CH" w:eastAsia="en-US"/>
        </w:rPr>
        <w:t xml:space="preserve"> point de vue et de voir </w:t>
      </w:r>
      <w:r w:rsidRPr="00775E3F">
        <w:rPr>
          <w:rFonts w:eastAsia="Calibri"/>
          <w:szCs w:val="22"/>
          <w:lang w:val="fr-CH" w:eastAsia="en-US"/>
        </w:rPr>
        <w:t>s</w:t>
      </w:r>
      <w:r w:rsidR="00C511F9" w:rsidRPr="00775E3F">
        <w:rPr>
          <w:rFonts w:eastAsia="Calibri"/>
          <w:szCs w:val="22"/>
          <w:lang w:val="fr-CH" w:eastAsia="en-US"/>
        </w:rPr>
        <w:t xml:space="preserve">es préoccupations </w:t>
      </w:r>
      <w:r w:rsidR="00775E3F">
        <w:rPr>
          <w:rFonts w:eastAsia="Calibri"/>
          <w:szCs w:val="22"/>
          <w:lang w:val="fr-CH" w:eastAsia="en-US"/>
        </w:rPr>
        <w:t>à l’égard</w:t>
      </w:r>
      <w:r w:rsidR="00C511F9" w:rsidRPr="00775E3F">
        <w:rPr>
          <w:rFonts w:eastAsia="Calibri"/>
          <w:szCs w:val="22"/>
          <w:lang w:val="fr-CH" w:eastAsia="en-US"/>
        </w:rPr>
        <w:t xml:space="preserve"> de sujets particuliers être traitées;</w:t>
      </w:r>
    </w:p>
    <w:p w:rsidR="00775E3F" w:rsidRDefault="002633F8" w:rsidP="00287B2A">
      <w:pPr>
        <w:pStyle w:val="ListParagraph"/>
        <w:numPr>
          <w:ilvl w:val="0"/>
          <w:numId w:val="17"/>
        </w:numPr>
        <w:autoSpaceDE w:val="0"/>
        <w:autoSpaceDN w:val="0"/>
        <w:adjustRightInd w:val="0"/>
        <w:ind w:left="1134" w:hanging="567"/>
        <w:rPr>
          <w:rFonts w:eastAsia="Calibri"/>
          <w:szCs w:val="22"/>
          <w:lang w:val="fr-CH" w:eastAsia="en-US"/>
        </w:rPr>
      </w:pPr>
      <w:r w:rsidRPr="00775E3F">
        <w:rPr>
          <w:rFonts w:eastAsia="Calibri"/>
          <w:szCs w:val="22"/>
          <w:lang w:val="fr-CH" w:eastAsia="en-US"/>
        </w:rPr>
        <w:t>la question de la confiance a été jugée très importante dans le cadre de l</w:t>
      </w:r>
      <w:r w:rsidR="00775E3F">
        <w:rPr>
          <w:rFonts w:eastAsia="Calibri"/>
          <w:szCs w:val="22"/>
          <w:lang w:val="fr-CH" w:eastAsia="en-US"/>
        </w:rPr>
        <w:t>’</w:t>
      </w:r>
      <w:r w:rsidRPr="00775E3F">
        <w:rPr>
          <w:rFonts w:eastAsia="Calibri"/>
          <w:szCs w:val="22"/>
          <w:lang w:val="fr-CH" w:eastAsia="en-US"/>
        </w:rPr>
        <w:t>environnement de travail</w:t>
      </w:r>
      <w:r w:rsidR="00317391" w:rsidRPr="00775E3F">
        <w:rPr>
          <w:rFonts w:eastAsia="Calibri"/>
          <w:szCs w:val="22"/>
          <w:lang w:val="fr-CH" w:eastAsia="en-US"/>
        </w:rPr>
        <w:t>;</w:t>
      </w:r>
      <w:r w:rsidR="004A39C5" w:rsidRPr="00775E3F">
        <w:rPr>
          <w:rFonts w:eastAsia="Calibri"/>
          <w:szCs w:val="22"/>
          <w:lang w:val="fr-CH" w:eastAsia="en-US"/>
        </w:rPr>
        <w:t xml:space="preserve"> </w:t>
      </w:r>
      <w:r w:rsidR="002F0E0A" w:rsidRPr="00775E3F">
        <w:rPr>
          <w:rFonts w:eastAsia="Calibri"/>
          <w:szCs w:val="22"/>
          <w:lang w:val="fr-CH" w:eastAsia="en-US"/>
        </w:rPr>
        <w:t xml:space="preserve"> </w:t>
      </w:r>
      <w:r w:rsidR="002E59C4" w:rsidRPr="00775E3F">
        <w:rPr>
          <w:rFonts w:eastAsia="Calibri"/>
          <w:szCs w:val="22"/>
          <w:lang w:val="fr-CH" w:eastAsia="en-US"/>
        </w:rPr>
        <w:t>une mauvaise compréhension de</w:t>
      </w:r>
      <w:r w:rsidR="00C12782" w:rsidRPr="00775E3F">
        <w:rPr>
          <w:rFonts w:eastAsia="Calibri"/>
          <w:szCs w:val="22"/>
          <w:lang w:val="fr-CH" w:eastAsia="en-US"/>
        </w:rPr>
        <w:t xml:space="preserve"> la</w:t>
      </w:r>
      <w:r w:rsidR="002E59C4" w:rsidRPr="00775E3F">
        <w:rPr>
          <w:rFonts w:eastAsia="Calibri"/>
          <w:szCs w:val="22"/>
          <w:lang w:val="fr-CH" w:eastAsia="en-US"/>
        </w:rPr>
        <w:t xml:space="preserve"> situation p</w:t>
      </w:r>
      <w:r w:rsidR="00C12782" w:rsidRPr="00775E3F">
        <w:rPr>
          <w:rFonts w:eastAsia="Calibri"/>
          <w:szCs w:val="22"/>
          <w:lang w:val="fr-CH" w:eastAsia="en-US"/>
        </w:rPr>
        <w:t>eu</w:t>
      </w:r>
      <w:r w:rsidR="002E59C4" w:rsidRPr="00775E3F">
        <w:rPr>
          <w:rFonts w:eastAsia="Calibri"/>
          <w:szCs w:val="22"/>
          <w:lang w:val="fr-CH" w:eastAsia="en-US"/>
        </w:rPr>
        <w:t xml:space="preserve">t </w:t>
      </w:r>
      <w:r w:rsidR="00C12782" w:rsidRPr="00775E3F">
        <w:rPr>
          <w:rFonts w:eastAsia="Calibri"/>
          <w:szCs w:val="22"/>
          <w:lang w:val="fr-CH" w:eastAsia="en-US"/>
        </w:rPr>
        <w:t>être à l</w:t>
      </w:r>
      <w:r w:rsidR="00775E3F">
        <w:rPr>
          <w:rFonts w:eastAsia="Calibri"/>
          <w:szCs w:val="22"/>
          <w:lang w:val="fr-CH" w:eastAsia="en-US"/>
        </w:rPr>
        <w:t>’</w:t>
      </w:r>
      <w:r w:rsidR="00C12782" w:rsidRPr="00775E3F">
        <w:rPr>
          <w:rFonts w:eastAsia="Calibri"/>
          <w:szCs w:val="22"/>
          <w:lang w:val="fr-CH" w:eastAsia="en-US"/>
        </w:rPr>
        <w:t>origin</w:t>
      </w:r>
      <w:r w:rsidR="002E59C4" w:rsidRPr="00775E3F">
        <w:rPr>
          <w:rFonts w:eastAsia="Calibri"/>
          <w:szCs w:val="22"/>
          <w:lang w:val="fr-CH" w:eastAsia="en-US"/>
        </w:rPr>
        <w:t>e d</w:t>
      </w:r>
      <w:r w:rsidR="00775E3F">
        <w:rPr>
          <w:rFonts w:eastAsia="Calibri"/>
          <w:szCs w:val="22"/>
          <w:lang w:val="fr-CH" w:eastAsia="en-US"/>
        </w:rPr>
        <w:t>’</w:t>
      </w:r>
      <w:r w:rsidR="00C12782" w:rsidRPr="00775E3F">
        <w:rPr>
          <w:rFonts w:eastAsia="Calibri"/>
          <w:szCs w:val="22"/>
          <w:lang w:val="fr-CH" w:eastAsia="en-US"/>
        </w:rPr>
        <w:t>un</w:t>
      </w:r>
      <w:r w:rsidR="002E59C4" w:rsidRPr="00775E3F">
        <w:rPr>
          <w:rFonts w:eastAsia="Calibri"/>
          <w:szCs w:val="22"/>
          <w:lang w:val="fr-CH" w:eastAsia="en-US"/>
        </w:rPr>
        <w:t xml:space="preserve"> conflit;</w:t>
      </w:r>
    </w:p>
    <w:p w:rsidR="0050421D" w:rsidRPr="00775E3F" w:rsidRDefault="002E59C4" w:rsidP="00287B2A">
      <w:pPr>
        <w:pStyle w:val="ListParagraph"/>
        <w:numPr>
          <w:ilvl w:val="0"/>
          <w:numId w:val="17"/>
        </w:numPr>
        <w:autoSpaceDE w:val="0"/>
        <w:autoSpaceDN w:val="0"/>
        <w:adjustRightInd w:val="0"/>
        <w:ind w:left="1134" w:hanging="567"/>
        <w:rPr>
          <w:rFonts w:eastAsia="Calibri"/>
          <w:szCs w:val="22"/>
          <w:lang w:val="fr-CH" w:eastAsia="en-US"/>
        </w:rPr>
      </w:pPr>
      <w:r w:rsidRPr="00775E3F">
        <w:rPr>
          <w:rFonts w:eastAsia="Calibri"/>
          <w:szCs w:val="22"/>
          <w:lang w:val="fr-CH" w:eastAsia="en-US"/>
        </w:rPr>
        <w:t>les études de cas ont été jugées utiles pour cerner les faits et les opinions ou perceptio</w:t>
      </w:r>
      <w:r w:rsidR="00F52F90" w:rsidRPr="00775E3F">
        <w:rPr>
          <w:rFonts w:eastAsia="Calibri"/>
          <w:szCs w:val="22"/>
          <w:lang w:val="fr-CH" w:eastAsia="en-US"/>
        </w:rPr>
        <w:t>ns</w:t>
      </w:r>
      <w:r w:rsidR="00F52F90">
        <w:rPr>
          <w:rFonts w:eastAsia="Calibri"/>
          <w:szCs w:val="22"/>
          <w:lang w:val="fr-CH" w:eastAsia="en-US"/>
        </w:rPr>
        <w:t xml:space="preserve">.  </w:t>
      </w:r>
      <w:r w:rsidR="00F52F90" w:rsidRPr="00775E3F">
        <w:rPr>
          <w:rFonts w:eastAsia="Calibri"/>
          <w:szCs w:val="22"/>
          <w:lang w:val="fr-CH" w:eastAsia="en-US"/>
        </w:rPr>
        <w:t>Il</w:t>
      </w:r>
      <w:r w:rsidR="009420E6" w:rsidRPr="00775E3F">
        <w:rPr>
          <w:rFonts w:eastAsia="Calibri"/>
          <w:szCs w:val="22"/>
          <w:lang w:val="fr-CH" w:eastAsia="en-US"/>
        </w:rPr>
        <w:t xml:space="preserve"> ét</w:t>
      </w:r>
      <w:r w:rsidR="00C12782" w:rsidRPr="00775E3F">
        <w:rPr>
          <w:rFonts w:eastAsia="Calibri"/>
          <w:szCs w:val="22"/>
          <w:lang w:val="fr-CH" w:eastAsia="en-US"/>
        </w:rPr>
        <w:t xml:space="preserve">ait aussi </w:t>
      </w:r>
      <w:r w:rsidR="009420E6" w:rsidRPr="00775E3F">
        <w:rPr>
          <w:rFonts w:eastAsia="Calibri"/>
          <w:szCs w:val="22"/>
          <w:lang w:val="fr-CH" w:eastAsia="en-US"/>
        </w:rPr>
        <w:t>intéressant d</w:t>
      </w:r>
      <w:r w:rsidR="00775E3F">
        <w:rPr>
          <w:rFonts w:eastAsia="Calibri"/>
          <w:szCs w:val="22"/>
          <w:lang w:val="fr-CH" w:eastAsia="en-US"/>
        </w:rPr>
        <w:t>’</w:t>
      </w:r>
      <w:r w:rsidR="009420E6" w:rsidRPr="00775E3F">
        <w:rPr>
          <w:rFonts w:eastAsia="Calibri"/>
          <w:szCs w:val="22"/>
          <w:lang w:val="fr-CH" w:eastAsia="en-US"/>
        </w:rPr>
        <w:t>en apprendre davantage sur les conflits d</w:t>
      </w:r>
      <w:r w:rsidR="00775E3F">
        <w:rPr>
          <w:rFonts w:eastAsia="Calibri"/>
          <w:szCs w:val="22"/>
          <w:lang w:val="fr-CH" w:eastAsia="en-US"/>
        </w:rPr>
        <w:t>’</w:t>
      </w:r>
      <w:r w:rsidR="009420E6" w:rsidRPr="00775E3F">
        <w:rPr>
          <w:rFonts w:eastAsia="Calibri"/>
          <w:szCs w:val="22"/>
          <w:lang w:val="fr-CH" w:eastAsia="en-US"/>
        </w:rPr>
        <w:t>intérêt</w:t>
      </w:r>
      <w:r w:rsidR="00C12782" w:rsidRPr="00775E3F">
        <w:rPr>
          <w:rFonts w:eastAsia="Calibri"/>
          <w:szCs w:val="22"/>
          <w:lang w:val="fr-CH" w:eastAsia="en-US"/>
        </w:rPr>
        <w:t>s qui peuvent survenir</w:t>
      </w:r>
      <w:r w:rsidR="009420E6" w:rsidRPr="00775E3F">
        <w:rPr>
          <w:rFonts w:eastAsia="Calibri"/>
          <w:szCs w:val="22"/>
          <w:lang w:val="fr-CH" w:eastAsia="en-US"/>
        </w:rPr>
        <w:t xml:space="preserve"> lorsqu</w:t>
      </w:r>
      <w:r w:rsidR="00775E3F">
        <w:rPr>
          <w:rFonts w:eastAsia="Calibri"/>
          <w:szCs w:val="22"/>
          <w:lang w:val="fr-CH" w:eastAsia="en-US"/>
        </w:rPr>
        <w:t>’</w:t>
      </w:r>
      <w:r w:rsidR="009420E6" w:rsidRPr="00775E3F">
        <w:rPr>
          <w:rFonts w:eastAsia="Calibri"/>
          <w:szCs w:val="22"/>
          <w:lang w:val="fr-CH" w:eastAsia="en-US"/>
        </w:rPr>
        <w:t>un fonctionnaire représente l</w:t>
      </w:r>
      <w:r w:rsidR="00775E3F">
        <w:rPr>
          <w:rFonts w:eastAsia="Calibri"/>
          <w:szCs w:val="22"/>
          <w:lang w:val="fr-CH" w:eastAsia="en-US"/>
        </w:rPr>
        <w:t>’</w:t>
      </w:r>
      <w:r w:rsidR="009420E6" w:rsidRPr="00775E3F">
        <w:rPr>
          <w:rFonts w:eastAsia="Calibri"/>
          <w:szCs w:val="22"/>
          <w:lang w:val="fr-CH" w:eastAsia="en-US"/>
        </w:rPr>
        <w:t xml:space="preserve">Organisation (par exemple </w:t>
      </w:r>
      <w:r w:rsidR="00C12782" w:rsidRPr="00775E3F">
        <w:rPr>
          <w:rFonts w:eastAsia="Calibri"/>
          <w:szCs w:val="22"/>
          <w:lang w:val="fr-CH" w:eastAsia="en-US"/>
        </w:rPr>
        <w:t xml:space="preserve">en cas de </w:t>
      </w:r>
      <w:r w:rsidR="009420E6" w:rsidRPr="00775E3F">
        <w:rPr>
          <w:rFonts w:eastAsia="Calibri"/>
          <w:szCs w:val="22"/>
          <w:lang w:val="fr-CH" w:eastAsia="en-US"/>
        </w:rPr>
        <w:t xml:space="preserve">don </w:t>
      </w:r>
      <w:r w:rsidR="00C12782" w:rsidRPr="00775E3F">
        <w:rPr>
          <w:rFonts w:eastAsia="Calibri"/>
          <w:szCs w:val="22"/>
          <w:lang w:val="fr-CH" w:eastAsia="en-US"/>
        </w:rPr>
        <w:t xml:space="preserve">fait </w:t>
      </w:r>
      <w:r w:rsidR="009420E6" w:rsidRPr="00775E3F">
        <w:rPr>
          <w:rFonts w:eastAsia="Calibri"/>
          <w:szCs w:val="22"/>
          <w:lang w:val="fr-CH" w:eastAsia="en-US"/>
        </w:rPr>
        <w:t>à un État membre ou reç</w:t>
      </w:r>
      <w:r w:rsidR="00C12782" w:rsidRPr="00775E3F">
        <w:rPr>
          <w:rFonts w:eastAsia="Calibri"/>
          <w:szCs w:val="22"/>
          <w:lang w:val="fr-CH" w:eastAsia="en-US"/>
        </w:rPr>
        <w:t>u</w:t>
      </w:r>
      <w:r w:rsidR="009420E6" w:rsidRPr="00775E3F">
        <w:rPr>
          <w:rFonts w:eastAsia="Calibri"/>
          <w:szCs w:val="22"/>
          <w:lang w:val="fr-CH" w:eastAsia="en-US"/>
        </w:rPr>
        <w:t xml:space="preserve"> d</w:t>
      </w:r>
      <w:r w:rsidR="00775E3F">
        <w:rPr>
          <w:rFonts w:eastAsia="Calibri"/>
          <w:szCs w:val="22"/>
          <w:lang w:val="fr-CH" w:eastAsia="en-US"/>
        </w:rPr>
        <w:t>’</w:t>
      </w:r>
      <w:r w:rsidR="009420E6" w:rsidRPr="00775E3F">
        <w:rPr>
          <w:rFonts w:eastAsia="Calibri"/>
          <w:szCs w:val="22"/>
          <w:lang w:val="fr-CH" w:eastAsia="en-US"/>
        </w:rPr>
        <w:t xml:space="preserve">un </w:t>
      </w:r>
      <w:r w:rsidR="00C12782" w:rsidRPr="00775E3F">
        <w:rPr>
          <w:rFonts w:eastAsia="Calibri"/>
          <w:szCs w:val="22"/>
          <w:lang w:val="fr-CH" w:eastAsia="en-US"/>
        </w:rPr>
        <w:t>É</w:t>
      </w:r>
      <w:r w:rsidR="009420E6" w:rsidRPr="00775E3F">
        <w:rPr>
          <w:rFonts w:eastAsia="Calibri"/>
          <w:szCs w:val="22"/>
          <w:lang w:val="fr-CH" w:eastAsia="en-US"/>
        </w:rPr>
        <w:t>tat membre);</w:t>
      </w:r>
    </w:p>
    <w:p w:rsidR="0050421D" w:rsidRPr="00775E3F" w:rsidRDefault="009420E6" w:rsidP="00287B2A">
      <w:pPr>
        <w:pStyle w:val="ListParagraph"/>
        <w:numPr>
          <w:ilvl w:val="1"/>
          <w:numId w:val="19"/>
        </w:numPr>
        <w:autoSpaceDE w:val="0"/>
        <w:autoSpaceDN w:val="0"/>
        <w:adjustRightInd w:val="0"/>
        <w:ind w:left="1134" w:hanging="567"/>
        <w:rPr>
          <w:rFonts w:eastAsia="Calibri"/>
          <w:szCs w:val="22"/>
          <w:lang w:val="fr-CH" w:eastAsia="en-US"/>
        </w:rPr>
      </w:pPr>
      <w:r w:rsidRPr="00775E3F">
        <w:rPr>
          <w:rFonts w:eastAsia="Calibri"/>
          <w:szCs w:val="22"/>
          <w:lang w:val="fr-CH" w:eastAsia="en-US"/>
        </w:rPr>
        <w:t>les études de cas portant sur l</w:t>
      </w:r>
      <w:r w:rsidR="00775E3F">
        <w:rPr>
          <w:rFonts w:eastAsia="Calibri"/>
          <w:szCs w:val="22"/>
          <w:lang w:val="fr-CH" w:eastAsia="en-US"/>
        </w:rPr>
        <w:t>’</w:t>
      </w:r>
      <w:r w:rsidRPr="00775E3F">
        <w:rPr>
          <w:rFonts w:eastAsia="Calibri"/>
          <w:szCs w:val="22"/>
          <w:lang w:val="fr-CH" w:eastAsia="en-US"/>
        </w:rPr>
        <w:t>environnement de travail ont permis de mieux faire connaître le Code de déontologie de l</w:t>
      </w:r>
      <w:r w:rsidR="00775E3F">
        <w:rPr>
          <w:rFonts w:eastAsia="Calibri"/>
          <w:szCs w:val="22"/>
          <w:lang w:val="fr-CH" w:eastAsia="en-US"/>
        </w:rPr>
        <w:t>’</w:t>
      </w:r>
      <w:r w:rsidRPr="00775E3F">
        <w:rPr>
          <w:rFonts w:eastAsia="Calibri"/>
          <w:szCs w:val="22"/>
          <w:lang w:val="fr-CH" w:eastAsia="en-US"/>
        </w:rPr>
        <w:t>OMPI;</w:t>
      </w:r>
    </w:p>
    <w:p w:rsidR="0050421D" w:rsidRPr="00775E3F" w:rsidRDefault="00C12782" w:rsidP="00287B2A">
      <w:pPr>
        <w:pStyle w:val="ListParagraph"/>
        <w:numPr>
          <w:ilvl w:val="0"/>
          <w:numId w:val="17"/>
        </w:numPr>
        <w:autoSpaceDE w:val="0"/>
        <w:autoSpaceDN w:val="0"/>
        <w:adjustRightInd w:val="0"/>
        <w:ind w:left="1134" w:hanging="567"/>
        <w:rPr>
          <w:rFonts w:eastAsia="Calibri"/>
          <w:szCs w:val="22"/>
          <w:lang w:val="fr-CH" w:eastAsia="en-US"/>
        </w:rPr>
      </w:pPr>
      <w:r w:rsidRPr="00775E3F">
        <w:rPr>
          <w:rFonts w:eastAsia="Calibri"/>
          <w:szCs w:val="22"/>
          <w:lang w:val="fr-CH" w:eastAsia="en-US"/>
        </w:rPr>
        <w:t xml:space="preserve">les participants ont apprécié le carnet </w:t>
      </w:r>
      <w:r w:rsidR="009420E6" w:rsidRPr="00775E3F">
        <w:rPr>
          <w:rFonts w:eastAsia="Calibri"/>
          <w:szCs w:val="22"/>
          <w:lang w:val="fr-CH" w:eastAsia="en-US"/>
        </w:rPr>
        <w:t>d</w:t>
      </w:r>
      <w:r w:rsidR="00775E3F">
        <w:rPr>
          <w:rFonts w:eastAsia="Calibri"/>
          <w:szCs w:val="22"/>
          <w:lang w:val="fr-CH" w:eastAsia="en-US"/>
        </w:rPr>
        <w:t>’</w:t>
      </w:r>
      <w:r w:rsidR="009420E6" w:rsidRPr="00775E3F">
        <w:rPr>
          <w:rFonts w:eastAsia="Calibri"/>
          <w:szCs w:val="22"/>
          <w:lang w:val="fr-CH" w:eastAsia="en-US"/>
        </w:rPr>
        <w:t>exercices;</w:t>
      </w:r>
    </w:p>
    <w:p w:rsidR="00775E3F" w:rsidRDefault="000453F7" w:rsidP="00287B2A">
      <w:pPr>
        <w:pStyle w:val="ListParagraph"/>
        <w:numPr>
          <w:ilvl w:val="0"/>
          <w:numId w:val="17"/>
        </w:numPr>
        <w:autoSpaceDE w:val="0"/>
        <w:autoSpaceDN w:val="0"/>
        <w:adjustRightInd w:val="0"/>
        <w:ind w:left="1134" w:hanging="567"/>
        <w:rPr>
          <w:rFonts w:eastAsia="Calibri"/>
          <w:szCs w:val="22"/>
          <w:lang w:val="fr-CH" w:eastAsia="en-US"/>
        </w:rPr>
      </w:pPr>
      <w:r w:rsidRPr="00775E3F">
        <w:rPr>
          <w:rFonts w:eastAsia="Calibri"/>
          <w:szCs w:val="22"/>
          <w:lang w:val="fr-CH" w:eastAsia="en-US"/>
        </w:rPr>
        <w:t xml:space="preserve">la déontologie </w:t>
      </w:r>
      <w:r w:rsidR="00C12782" w:rsidRPr="00775E3F">
        <w:rPr>
          <w:rFonts w:eastAsia="Calibri"/>
          <w:szCs w:val="22"/>
          <w:lang w:val="fr-CH" w:eastAsia="en-US"/>
        </w:rPr>
        <w:t>pourrait être appliquée à des</w:t>
      </w:r>
      <w:r w:rsidRPr="00775E3F">
        <w:rPr>
          <w:rFonts w:eastAsia="Calibri"/>
          <w:szCs w:val="22"/>
          <w:lang w:val="fr-CH" w:eastAsia="en-US"/>
        </w:rPr>
        <w:t xml:space="preserve"> situations </w:t>
      </w:r>
      <w:r w:rsidR="00B16E3A">
        <w:rPr>
          <w:rFonts w:eastAsia="Calibri"/>
          <w:szCs w:val="22"/>
          <w:lang w:val="fr-CH" w:eastAsia="en-US"/>
        </w:rPr>
        <w:t>concrètes</w:t>
      </w:r>
      <w:r w:rsidRPr="00775E3F">
        <w:rPr>
          <w:rFonts w:eastAsia="Calibri"/>
          <w:szCs w:val="22"/>
          <w:lang w:val="fr-CH" w:eastAsia="en-US"/>
        </w:rPr>
        <w:t>.</w:t>
      </w:r>
    </w:p>
    <w:p w:rsidR="0050421D" w:rsidRPr="00775E3F" w:rsidRDefault="0050421D" w:rsidP="004A39C5">
      <w:pPr>
        <w:pStyle w:val="NoSpacing"/>
        <w:rPr>
          <w:lang w:val="fr-CH"/>
        </w:rPr>
      </w:pPr>
    </w:p>
    <w:p w:rsidR="0050421D" w:rsidRPr="00775E3F" w:rsidRDefault="000453F7" w:rsidP="000453F7">
      <w:pPr>
        <w:pStyle w:val="NoSpacing"/>
        <w:rPr>
          <w:i/>
          <w:lang w:val="fr-CH"/>
        </w:rPr>
      </w:pPr>
      <w:r w:rsidRPr="00775E3F">
        <w:rPr>
          <w:i/>
          <w:lang w:val="fr-CH"/>
        </w:rPr>
        <w:t>Site Intranet</w:t>
      </w:r>
    </w:p>
    <w:p w:rsidR="0050421D" w:rsidRPr="00775E3F" w:rsidRDefault="0050421D" w:rsidP="004A39C5">
      <w:pPr>
        <w:pStyle w:val="NoSpacing"/>
        <w:rPr>
          <w:lang w:val="fr-CH"/>
        </w:rPr>
      </w:pPr>
    </w:p>
    <w:p w:rsidR="00976389" w:rsidRDefault="002745D3" w:rsidP="00976389">
      <w:pPr>
        <w:pStyle w:val="ONUMFS"/>
        <w:rPr>
          <w:lang w:val="fr-CH"/>
        </w:rPr>
      </w:pPr>
      <w:r w:rsidRPr="00775E3F">
        <w:rPr>
          <w:lang w:val="fr-CH"/>
        </w:rPr>
        <w:t>Il a été prévu de réaliser un examen complet et une actualisation du site Intranet spécifique de l</w:t>
      </w:r>
      <w:r w:rsidR="00775E3F">
        <w:rPr>
          <w:lang w:val="fr-CH"/>
        </w:rPr>
        <w:t>’</w:t>
      </w:r>
      <w:r w:rsidRPr="00775E3F">
        <w:rPr>
          <w:lang w:val="fr-CH"/>
        </w:rPr>
        <w:t>OMPI</w:t>
      </w:r>
      <w:r w:rsidR="00C12782" w:rsidRPr="00775E3F">
        <w:rPr>
          <w:lang w:val="fr-CH"/>
        </w:rPr>
        <w:t>,</w:t>
      </w:r>
      <w:r w:rsidRPr="00775E3F">
        <w:rPr>
          <w:lang w:val="fr-CH"/>
        </w:rPr>
        <w:t xml:space="preserve"> conçu pour le</w:t>
      </w:r>
      <w:r w:rsidR="00C12782" w:rsidRPr="00775E3F">
        <w:rPr>
          <w:lang w:val="fr-CH"/>
        </w:rPr>
        <w:t>s questions</w:t>
      </w:r>
      <w:r w:rsidRPr="00775E3F">
        <w:rPr>
          <w:lang w:val="fr-CH"/>
        </w:rPr>
        <w:t xml:space="preserve"> </w:t>
      </w:r>
      <w:r w:rsidR="00C12782" w:rsidRPr="00775E3F">
        <w:rPr>
          <w:lang w:val="fr-CH"/>
        </w:rPr>
        <w:t xml:space="preserve">de </w:t>
      </w:r>
      <w:r w:rsidRPr="00775E3F">
        <w:rPr>
          <w:lang w:val="fr-CH"/>
        </w:rPr>
        <w:t>déontologie en</w:t>
      </w:r>
      <w:r w:rsidR="00C12782" w:rsidRPr="00775E3F">
        <w:rPr>
          <w:lang w:val="fr-CH"/>
        </w:rPr>
        <w:t> </w:t>
      </w:r>
      <w:r w:rsidRPr="00775E3F">
        <w:rPr>
          <w:lang w:val="fr-CH"/>
        </w:rPr>
        <w:t>2012.</w:t>
      </w:r>
      <w:r w:rsidR="004A39C5" w:rsidRPr="00775E3F">
        <w:rPr>
          <w:lang w:val="fr-CH"/>
        </w:rPr>
        <w:t xml:space="preserve">  </w:t>
      </w:r>
      <w:r w:rsidRPr="00775E3F">
        <w:rPr>
          <w:lang w:val="fr-CH"/>
        </w:rPr>
        <w:t>Le Code de déontologie de l</w:t>
      </w:r>
      <w:r w:rsidR="00775E3F">
        <w:rPr>
          <w:lang w:val="fr-CH"/>
        </w:rPr>
        <w:t>’</w:t>
      </w:r>
      <w:r w:rsidRPr="00775E3F">
        <w:rPr>
          <w:lang w:val="fr-CH"/>
        </w:rPr>
        <w:t>OMPI, le Guide de la déontologie à l</w:t>
      </w:r>
      <w:r w:rsidR="00775E3F">
        <w:rPr>
          <w:lang w:val="fr-CH"/>
        </w:rPr>
        <w:t>’</w:t>
      </w:r>
      <w:r w:rsidRPr="00775E3F">
        <w:rPr>
          <w:lang w:val="fr-CH"/>
        </w:rPr>
        <w:t>OMPI (notamment un recueil de politiques et de principes en matière d</w:t>
      </w:r>
      <w:r w:rsidR="00775E3F">
        <w:rPr>
          <w:lang w:val="fr-CH"/>
        </w:rPr>
        <w:t>’</w:t>
      </w:r>
      <w:r w:rsidRPr="00775E3F">
        <w:rPr>
          <w:lang w:val="fr-CH"/>
        </w:rPr>
        <w:t>éthique à l</w:t>
      </w:r>
      <w:r w:rsidR="00775E3F">
        <w:rPr>
          <w:lang w:val="fr-CH"/>
        </w:rPr>
        <w:t>’</w:t>
      </w:r>
      <w:r w:rsidRPr="00775E3F">
        <w:rPr>
          <w:lang w:val="fr-CH"/>
        </w:rPr>
        <w:t xml:space="preserve">OMPI et des explications claires) ainsi que des liens vers des ressources et des informations de base pertinentes, sont </w:t>
      </w:r>
      <w:proofErr w:type="gramStart"/>
      <w:r w:rsidRPr="00775E3F">
        <w:rPr>
          <w:lang w:val="fr-CH"/>
        </w:rPr>
        <w:t>publiés</w:t>
      </w:r>
      <w:proofErr w:type="gramEnd"/>
      <w:r w:rsidRPr="00775E3F">
        <w:rPr>
          <w:lang w:val="fr-CH"/>
        </w:rPr>
        <w:t xml:space="preserve"> sur le site.</w:t>
      </w:r>
    </w:p>
    <w:p w:rsidR="00261A93" w:rsidRDefault="00261A93">
      <w:pPr>
        <w:rPr>
          <w:b/>
          <w:bCs/>
          <w:caps/>
          <w:kern w:val="32"/>
          <w:szCs w:val="32"/>
          <w:lang w:val="fr-CH"/>
        </w:rPr>
      </w:pPr>
      <w:r>
        <w:rPr>
          <w:lang w:val="fr-CH"/>
        </w:rPr>
        <w:br w:type="page"/>
      </w:r>
    </w:p>
    <w:p w:rsidR="0050421D" w:rsidRDefault="00287B2A" w:rsidP="004A39C5">
      <w:pPr>
        <w:pStyle w:val="Heading1"/>
        <w:rPr>
          <w:lang w:val="fr-CH"/>
        </w:rPr>
      </w:pPr>
      <w:r>
        <w:rPr>
          <w:lang w:val="fr-CH"/>
        </w:rPr>
        <w:lastRenderedPageBreak/>
        <w:t>A</w:t>
      </w:r>
      <w:r w:rsidRPr="00775E3F">
        <w:rPr>
          <w:lang w:val="fr-CH"/>
        </w:rPr>
        <w:t xml:space="preserve">vis confidentiels à la </w:t>
      </w:r>
      <w:r w:rsidR="00EB1204">
        <w:rPr>
          <w:lang w:val="fr-CH"/>
        </w:rPr>
        <w:t>H</w:t>
      </w:r>
      <w:r w:rsidRPr="00775E3F">
        <w:rPr>
          <w:lang w:val="fr-CH"/>
        </w:rPr>
        <w:t>aute direction, à la direction et à l</w:t>
      </w:r>
      <w:r>
        <w:rPr>
          <w:lang w:val="fr-CH"/>
        </w:rPr>
        <w:t>’</w:t>
      </w:r>
      <w:r w:rsidRPr="00775E3F">
        <w:rPr>
          <w:lang w:val="fr-CH"/>
        </w:rPr>
        <w:t>ensemble du personnel</w:t>
      </w:r>
    </w:p>
    <w:p w:rsidR="00261A93" w:rsidRPr="00261A93" w:rsidRDefault="00261A93" w:rsidP="00261A93">
      <w:pPr>
        <w:rPr>
          <w:lang w:val="fr-CH"/>
        </w:rPr>
      </w:pPr>
    </w:p>
    <w:p w:rsidR="00976389" w:rsidRDefault="002745D3" w:rsidP="00976389">
      <w:pPr>
        <w:pStyle w:val="ONUMFS"/>
        <w:rPr>
          <w:lang w:val="fr-CH"/>
        </w:rPr>
      </w:pPr>
      <w:r w:rsidRPr="00775E3F">
        <w:rPr>
          <w:lang w:val="fr-CH"/>
        </w:rPr>
        <w:t>Le 15</w:t>
      </w:r>
      <w:r w:rsidR="00C12782" w:rsidRPr="00775E3F">
        <w:rPr>
          <w:lang w:val="fr-CH"/>
        </w:rPr>
        <w:t> </w:t>
      </w:r>
      <w:r w:rsidRPr="00775E3F">
        <w:rPr>
          <w:lang w:val="fr-CH"/>
        </w:rPr>
        <w:t>septembre</w:t>
      </w:r>
      <w:r w:rsidR="00C12782" w:rsidRPr="00775E3F">
        <w:rPr>
          <w:lang w:val="fr-CH"/>
        </w:rPr>
        <w:t> </w:t>
      </w:r>
      <w:r w:rsidRPr="00775E3F">
        <w:rPr>
          <w:lang w:val="fr-CH"/>
        </w:rPr>
        <w:t>2015, un chef du Bureau de la déontologie a été nommé</w:t>
      </w:r>
      <w:r w:rsidRPr="00775E3F">
        <w:rPr>
          <w:rStyle w:val="FootnoteReference"/>
          <w:lang w:val="fr-CH"/>
        </w:rPr>
        <w:footnoteReference w:id="5"/>
      </w:r>
      <w:r w:rsidRPr="00775E3F">
        <w:rPr>
          <w:lang w:val="fr-CH"/>
        </w:rPr>
        <w:t>.</w:t>
      </w:r>
      <w:r w:rsidR="004A39C5" w:rsidRPr="00775E3F">
        <w:rPr>
          <w:lang w:val="fr-CH"/>
        </w:rPr>
        <w:t xml:space="preserve">  </w:t>
      </w:r>
      <w:r w:rsidR="0050421D" w:rsidRPr="00775E3F">
        <w:rPr>
          <w:lang w:val="fr-CH"/>
        </w:rPr>
        <w:t>Avant cela, un chef du Bureau de la déontologie par intérim avait été nommé en août</w:t>
      </w:r>
      <w:r w:rsidR="00C12782" w:rsidRPr="00775E3F">
        <w:rPr>
          <w:lang w:val="fr-CH"/>
        </w:rPr>
        <w:t> </w:t>
      </w:r>
      <w:r w:rsidR="0050421D" w:rsidRPr="00775E3F">
        <w:rPr>
          <w:lang w:val="fr-CH"/>
        </w:rPr>
        <w:t>2014 pour assumer ces fonctions.</w:t>
      </w:r>
    </w:p>
    <w:p w:rsidR="00976389" w:rsidRDefault="0050421D" w:rsidP="00976389">
      <w:pPr>
        <w:pStyle w:val="ONUMFS"/>
        <w:rPr>
          <w:lang w:val="fr-CH"/>
        </w:rPr>
      </w:pPr>
      <w:r w:rsidRPr="00775E3F">
        <w:rPr>
          <w:lang w:val="fr-CH"/>
        </w:rPr>
        <w:t>En</w:t>
      </w:r>
      <w:r w:rsidR="00C12782" w:rsidRPr="00775E3F">
        <w:rPr>
          <w:lang w:val="fr-CH"/>
        </w:rPr>
        <w:t> </w:t>
      </w:r>
      <w:r w:rsidRPr="00775E3F">
        <w:rPr>
          <w:lang w:val="fr-CH"/>
        </w:rPr>
        <w:t>2015, des avis ont été demandés au Bureau de la déontologie</w:t>
      </w:r>
      <w:r w:rsidR="00FC0708" w:rsidRPr="00775E3F">
        <w:rPr>
          <w:lang w:val="fr-CH"/>
        </w:rPr>
        <w:t> </w:t>
      </w:r>
      <w:r w:rsidRPr="00775E3F">
        <w:rPr>
          <w:lang w:val="fr-CH"/>
        </w:rPr>
        <w:t>:</w:t>
      </w:r>
    </w:p>
    <w:p w:rsidR="0050421D" w:rsidRPr="00775E3F" w:rsidRDefault="0050421D" w:rsidP="00EB1204">
      <w:pPr>
        <w:pStyle w:val="NoSpacing"/>
        <w:numPr>
          <w:ilvl w:val="0"/>
          <w:numId w:val="20"/>
        </w:numPr>
        <w:ind w:left="1134" w:hanging="567"/>
        <w:rPr>
          <w:lang w:val="fr-CH"/>
        </w:rPr>
      </w:pPr>
      <w:r w:rsidRPr="00775E3F">
        <w:rPr>
          <w:lang w:val="fr-CH"/>
        </w:rPr>
        <w:t>quatre concernaient des activités extérieures;</w:t>
      </w:r>
    </w:p>
    <w:p w:rsidR="0050421D" w:rsidRPr="00775E3F" w:rsidRDefault="0050421D" w:rsidP="00EB1204">
      <w:pPr>
        <w:pStyle w:val="NoSpacing"/>
        <w:numPr>
          <w:ilvl w:val="0"/>
          <w:numId w:val="20"/>
        </w:numPr>
        <w:ind w:left="1134" w:hanging="567"/>
        <w:rPr>
          <w:lang w:val="fr-CH"/>
        </w:rPr>
      </w:pPr>
      <w:r w:rsidRPr="00775E3F">
        <w:rPr>
          <w:lang w:val="fr-CH"/>
        </w:rPr>
        <w:t>un avait trait aux dons ou frais de représentation;</w:t>
      </w:r>
    </w:p>
    <w:p w:rsidR="00775E3F" w:rsidRDefault="0050421D" w:rsidP="00EB1204">
      <w:pPr>
        <w:pStyle w:val="NoSpacing"/>
        <w:numPr>
          <w:ilvl w:val="0"/>
          <w:numId w:val="20"/>
        </w:numPr>
        <w:ind w:left="1134" w:hanging="567"/>
        <w:rPr>
          <w:lang w:val="fr-CH"/>
        </w:rPr>
      </w:pPr>
      <w:r w:rsidRPr="00775E3F">
        <w:rPr>
          <w:lang w:val="fr-CH"/>
        </w:rPr>
        <w:t>trois portaient sur des questions relatives à l</w:t>
      </w:r>
      <w:r w:rsidR="00775E3F">
        <w:rPr>
          <w:lang w:val="fr-CH"/>
        </w:rPr>
        <w:t>’</w:t>
      </w:r>
      <w:r w:rsidRPr="00775E3F">
        <w:rPr>
          <w:lang w:val="fr-CH"/>
        </w:rPr>
        <w:t>emploi;</w:t>
      </w:r>
    </w:p>
    <w:p w:rsidR="0050421D" w:rsidRPr="00775E3F" w:rsidRDefault="0050421D" w:rsidP="00EB1204">
      <w:pPr>
        <w:pStyle w:val="NoSpacing"/>
        <w:numPr>
          <w:ilvl w:val="0"/>
          <w:numId w:val="20"/>
        </w:numPr>
        <w:ind w:left="1134" w:hanging="567"/>
        <w:rPr>
          <w:lang w:val="fr-CH"/>
        </w:rPr>
      </w:pPr>
      <w:r w:rsidRPr="00775E3F">
        <w:rPr>
          <w:lang w:val="fr-CH"/>
        </w:rPr>
        <w:t>quatre concernaient des déclarations d</w:t>
      </w:r>
      <w:r w:rsidR="00775E3F">
        <w:rPr>
          <w:lang w:val="fr-CH"/>
        </w:rPr>
        <w:t>’</w:t>
      </w:r>
      <w:r w:rsidRPr="00775E3F">
        <w:rPr>
          <w:lang w:val="fr-CH"/>
        </w:rPr>
        <w:t>intérêt ou des investissements;</w:t>
      </w:r>
    </w:p>
    <w:p w:rsidR="00775E3F" w:rsidRDefault="0050421D" w:rsidP="00EB1204">
      <w:pPr>
        <w:pStyle w:val="NoSpacing"/>
        <w:numPr>
          <w:ilvl w:val="0"/>
          <w:numId w:val="20"/>
        </w:numPr>
        <w:ind w:left="1134" w:hanging="567"/>
        <w:rPr>
          <w:lang w:val="fr-CH"/>
        </w:rPr>
      </w:pPr>
      <w:r w:rsidRPr="00775E3F">
        <w:rPr>
          <w:lang w:val="fr-CH"/>
        </w:rPr>
        <w:t>trois avaient trait à des conflits d</w:t>
      </w:r>
      <w:r w:rsidR="00775E3F">
        <w:rPr>
          <w:lang w:val="fr-CH"/>
        </w:rPr>
        <w:t>’</w:t>
      </w:r>
      <w:r w:rsidRPr="00775E3F">
        <w:rPr>
          <w:lang w:val="fr-CH"/>
        </w:rPr>
        <w:t>intérêt</w:t>
      </w:r>
      <w:r w:rsidR="00946212">
        <w:rPr>
          <w:lang w:val="fr-CH"/>
        </w:rPr>
        <w:t>s</w:t>
      </w:r>
      <w:r w:rsidRPr="00775E3F">
        <w:rPr>
          <w:lang w:val="fr-CH"/>
        </w:rPr>
        <w:t>;</w:t>
      </w:r>
    </w:p>
    <w:p w:rsidR="0050421D" w:rsidRPr="00775E3F" w:rsidRDefault="0050421D" w:rsidP="00EB1204">
      <w:pPr>
        <w:pStyle w:val="NoSpacing"/>
        <w:numPr>
          <w:ilvl w:val="0"/>
          <w:numId w:val="20"/>
        </w:numPr>
        <w:ind w:left="1134" w:hanging="567"/>
        <w:rPr>
          <w:lang w:val="fr-CH"/>
        </w:rPr>
      </w:pPr>
      <w:r w:rsidRPr="00775E3F">
        <w:rPr>
          <w:lang w:val="fr-CH"/>
        </w:rPr>
        <w:t>un portait sur la protection contre les représailles.</w:t>
      </w:r>
    </w:p>
    <w:p w:rsidR="0050421D" w:rsidRPr="00775E3F" w:rsidRDefault="0050421D" w:rsidP="004A39C5">
      <w:pPr>
        <w:pStyle w:val="NoSpacing"/>
        <w:rPr>
          <w:lang w:val="fr-CH"/>
        </w:rPr>
      </w:pPr>
    </w:p>
    <w:p w:rsidR="0050421D" w:rsidRDefault="0050421D" w:rsidP="0050421D">
      <w:pPr>
        <w:pStyle w:val="NoSpacing"/>
        <w:ind w:left="567"/>
        <w:rPr>
          <w:lang w:val="fr-CH"/>
        </w:rPr>
      </w:pPr>
      <w:r w:rsidRPr="00775E3F">
        <w:rPr>
          <w:lang w:val="fr-CH"/>
        </w:rPr>
        <w:t>Quatre</w:t>
      </w:r>
      <w:r w:rsidR="00FC0708" w:rsidRPr="00775E3F">
        <w:rPr>
          <w:lang w:val="fr-CH"/>
        </w:rPr>
        <w:t> </w:t>
      </w:r>
      <w:r w:rsidRPr="00775E3F">
        <w:rPr>
          <w:lang w:val="fr-CH"/>
        </w:rPr>
        <w:t>demandes d</w:t>
      </w:r>
      <w:r w:rsidR="00775E3F">
        <w:rPr>
          <w:lang w:val="fr-CH"/>
        </w:rPr>
        <w:t>’</w:t>
      </w:r>
      <w:r w:rsidRPr="00775E3F">
        <w:rPr>
          <w:lang w:val="fr-CH"/>
        </w:rPr>
        <w:t>avis ne relevaient pas du mandat du Bureau de la déontolog</w:t>
      </w:r>
      <w:r w:rsidR="00F52F90" w:rsidRPr="00775E3F">
        <w:rPr>
          <w:lang w:val="fr-CH"/>
        </w:rPr>
        <w:t>ie</w:t>
      </w:r>
      <w:r w:rsidR="00F52F90">
        <w:rPr>
          <w:lang w:val="fr-CH"/>
        </w:rPr>
        <w:t xml:space="preserve">.  </w:t>
      </w:r>
      <w:r w:rsidR="00F52F90" w:rsidRPr="00775E3F">
        <w:rPr>
          <w:lang w:val="fr-CH"/>
        </w:rPr>
        <w:t>Da</w:t>
      </w:r>
      <w:r w:rsidRPr="00775E3F">
        <w:rPr>
          <w:lang w:val="fr-CH"/>
        </w:rPr>
        <w:t>ns la mesure du possible, les fonctionnaires ont été informés des autres options disponibles ou renvoyés à d</w:t>
      </w:r>
      <w:r w:rsidR="00775E3F">
        <w:rPr>
          <w:lang w:val="fr-CH"/>
        </w:rPr>
        <w:t>’</w:t>
      </w:r>
      <w:r w:rsidRPr="00775E3F">
        <w:rPr>
          <w:lang w:val="fr-CH"/>
        </w:rPr>
        <w:t xml:space="preserve">autres </w:t>
      </w:r>
      <w:r w:rsidR="00FC0708" w:rsidRPr="00775E3F">
        <w:rPr>
          <w:lang w:val="fr-CH"/>
        </w:rPr>
        <w:t>services</w:t>
      </w:r>
      <w:r w:rsidRPr="00775E3F">
        <w:rPr>
          <w:lang w:val="fr-CH"/>
        </w:rPr>
        <w:t xml:space="preserve"> de l</w:t>
      </w:r>
      <w:r w:rsidR="00775E3F">
        <w:rPr>
          <w:lang w:val="fr-CH"/>
        </w:rPr>
        <w:t>’</w:t>
      </w:r>
      <w:r w:rsidRPr="00775E3F">
        <w:rPr>
          <w:lang w:val="fr-CH"/>
        </w:rPr>
        <w:t>OMPI.</w:t>
      </w:r>
    </w:p>
    <w:p w:rsidR="00261A93" w:rsidRPr="00775E3F" w:rsidRDefault="00261A93" w:rsidP="00261A93">
      <w:pPr>
        <w:pStyle w:val="NoSpacing"/>
        <w:rPr>
          <w:lang w:val="fr-CH"/>
        </w:rPr>
      </w:pPr>
    </w:p>
    <w:p w:rsidR="0050421D" w:rsidRPr="00775E3F" w:rsidRDefault="00EB1204" w:rsidP="00EB1204">
      <w:pPr>
        <w:pStyle w:val="Heading1"/>
        <w:rPr>
          <w:lang w:val="fr-CH"/>
        </w:rPr>
      </w:pPr>
      <w:r>
        <w:rPr>
          <w:lang w:val="fr-CH"/>
        </w:rPr>
        <w:t>É</w:t>
      </w:r>
      <w:r w:rsidRPr="00775E3F">
        <w:rPr>
          <w:lang w:val="fr-CH"/>
        </w:rPr>
        <w:t>tablissement de normes et élaboration de politiques</w:t>
      </w:r>
    </w:p>
    <w:p w:rsidR="0050421D" w:rsidRPr="00775E3F" w:rsidRDefault="0050421D" w:rsidP="004A39C5">
      <w:pPr>
        <w:pStyle w:val="NoSpacing"/>
        <w:rPr>
          <w:i/>
          <w:lang w:val="fr-CH"/>
        </w:rPr>
      </w:pPr>
    </w:p>
    <w:p w:rsidR="0050421D" w:rsidRPr="00775E3F" w:rsidRDefault="009037F6" w:rsidP="009037F6">
      <w:pPr>
        <w:pStyle w:val="NoSpacing"/>
        <w:ind w:left="567"/>
        <w:rPr>
          <w:u w:val="single"/>
          <w:lang w:val="fr-CH"/>
        </w:rPr>
      </w:pPr>
      <w:r w:rsidRPr="00775E3F">
        <w:rPr>
          <w:u w:val="single"/>
          <w:lang w:val="fr-CH"/>
        </w:rPr>
        <w:t>Politique en matière de déclaration de situation financière</w:t>
      </w:r>
    </w:p>
    <w:p w:rsidR="0050421D" w:rsidRPr="00775E3F" w:rsidRDefault="0050421D" w:rsidP="004A39C5">
      <w:pPr>
        <w:pStyle w:val="NoSpacing"/>
        <w:rPr>
          <w:lang w:val="fr-CH"/>
        </w:rPr>
      </w:pPr>
    </w:p>
    <w:p w:rsidR="00976389" w:rsidRDefault="009037F6" w:rsidP="00976389">
      <w:pPr>
        <w:pStyle w:val="ONUMFS"/>
        <w:rPr>
          <w:lang w:val="fr-CH"/>
        </w:rPr>
      </w:pPr>
      <w:r w:rsidRPr="00775E3F">
        <w:rPr>
          <w:lang w:val="fr-CH"/>
        </w:rPr>
        <w:t>À la suite de la mise en œuvre en</w:t>
      </w:r>
      <w:r w:rsidR="00FC0708" w:rsidRPr="00775E3F">
        <w:rPr>
          <w:lang w:val="fr-CH"/>
        </w:rPr>
        <w:t> </w:t>
      </w:r>
      <w:r w:rsidRPr="00775E3F">
        <w:rPr>
          <w:lang w:val="fr-CH"/>
        </w:rPr>
        <w:t>2013 de la politique de l</w:t>
      </w:r>
      <w:r w:rsidR="00775E3F">
        <w:rPr>
          <w:lang w:val="fr-CH"/>
        </w:rPr>
        <w:t>’</w:t>
      </w:r>
      <w:r w:rsidRPr="00775E3F">
        <w:rPr>
          <w:lang w:val="fr-CH"/>
        </w:rPr>
        <w:t>OMPI en matière de déclaration d</w:t>
      </w:r>
      <w:r w:rsidR="00775E3F">
        <w:rPr>
          <w:lang w:val="fr-CH"/>
        </w:rPr>
        <w:t>’</w:t>
      </w:r>
      <w:r w:rsidRPr="00775E3F">
        <w:rPr>
          <w:lang w:val="fr-CH"/>
        </w:rPr>
        <w:t>intérêts et de la divulgation des intérêts financiers conformément aux normes comptables du secteur public international (normes</w:t>
      </w:r>
      <w:r w:rsidR="00BC11A7">
        <w:rPr>
          <w:lang w:val="fr-CH"/>
        </w:rPr>
        <w:t> </w:t>
      </w:r>
      <w:r w:rsidRPr="00775E3F">
        <w:rPr>
          <w:lang w:val="fr-CH"/>
        </w:rPr>
        <w:t>IPSAS), des travaux internes ont été effectués pour élaborer une nouvelle politique en matière de déclarations financières à l</w:t>
      </w:r>
      <w:r w:rsidR="00775E3F">
        <w:rPr>
          <w:lang w:val="fr-CH"/>
        </w:rPr>
        <w:t>’</w:t>
      </w:r>
      <w:r w:rsidRPr="00775E3F">
        <w:rPr>
          <w:lang w:val="fr-CH"/>
        </w:rPr>
        <w:t>intention des cadres supérieurs et d</w:t>
      </w:r>
      <w:r w:rsidR="00775E3F">
        <w:rPr>
          <w:lang w:val="fr-CH"/>
        </w:rPr>
        <w:t>’</w:t>
      </w:r>
      <w:r w:rsidRPr="00775E3F">
        <w:rPr>
          <w:lang w:val="fr-CH"/>
        </w:rPr>
        <w:t>autres membres désignés du personn</w:t>
      </w:r>
      <w:r w:rsidR="00F52F90" w:rsidRPr="00775E3F">
        <w:rPr>
          <w:lang w:val="fr-CH"/>
        </w:rPr>
        <w:t>el</w:t>
      </w:r>
      <w:r w:rsidR="00F52F90">
        <w:rPr>
          <w:lang w:val="fr-CH"/>
        </w:rPr>
        <w:t xml:space="preserve">.  </w:t>
      </w:r>
      <w:r w:rsidR="00F52F90" w:rsidRPr="00775E3F">
        <w:rPr>
          <w:lang w:val="fr-CH"/>
        </w:rPr>
        <w:t>Te</w:t>
      </w:r>
      <w:r w:rsidRPr="00775E3F">
        <w:rPr>
          <w:lang w:val="fr-CH"/>
        </w:rPr>
        <w:t>mporairement suspendus en</w:t>
      </w:r>
      <w:r w:rsidR="00FC0708" w:rsidRPr="00775E3F">
        <w:rPr>
          <w:lang w:val="fr-CH"/>
        </w:rPr>
        <w:t> </w:t>
      </w:r>
      <w:r w:rsidRPr="00775E3F">
        <w:rPr>
          <w:lang w:val="fr-CH"/>
        </w:rPr>
        <w:t>2014 en l</w:t>
      </w:r>
      <w:r w:rsidR="00775E3F">
        <w:rPr>
          <w:lang w:val="fr-CH"/>
        </w:rPr>
        <w:t>’</w:t>
      </w:r>
      <w:r w:rsidRPr="00775E3F">
        <w:rPr>
          <w:lang w:val="fr-CH"/>
        </w:rPr>
        <w:t>absence regrettée du chef du Bureau de la déontologie</w:t>
      </w:r>
      <w:r w:rsidR="00FC0708" w:rsidRPr="00775E3F">
        <w:rPr>
          <w:lang w:val="fr-CH"/>
        </w:rPr>
        <w:t>, ces travaux</w:t>
      </w:r>
      <w:r w:rsidRPr="00775E3F">
        <w:rPr>
          <w:lang w:val="fr-CH"/>
        </w:rPr>
        <w:t xml:space="preserve"> </w:t>
      </w:r>
      <w:r w:rsidR="00FC0708" w:rsidRPr="00775E3F">
        <w:rPr>
          <w:lang w:val="fr-CH"/>
        </w:rPr>
        <w:t xml:space="preserve">ont </w:t>
      </w:r>
      <w:r w:rsidRPr="00775E3F">
        <w:rPr>
          <w:lang w:val="fr-CH"/>
        </w:rPr>
        <w:t>repris en</w:t>
      </w:r>
      <w:r w:rsidR="00FC0708" w:rsidRPr="00775E3F">
        <w:rPr>
          <w:lang w:val="fr-CH"/>
        </w:rPr>
        <w:t> </w:t>
      </w:r>
      <w:r w:rsidRPr="00775E3F">
        <w:rPr>
          <w:lang w:val="fr-CH"/>
        </w:rPr>
        <w:t>2016.</w:t>
      </w:r>
      <w:r w:rsidR="004A39C5" w:rsidRPr="00775E3F">
        <w:rPr>
          <w:lang w:val="fr-CH"/>
        </w:rPr>
        <w:t xml:space="preserve"> </w:t>
      </w:r>
      <w:r w:rsidR="00142EF5" w:rsidRPr="00775E3F">
        <w:rPr>
          <w:lang w:val="fr-CH"/>
        </w:rPr>
        <w:t xml:space="preserve"> </w:t>
      </w:r>
      <w:r w:rsidRPr="00775E3F">
        <w:rPr>
          <w:lang w:val="fr-CH"/>
        </w:rPr>
        <w:t>L</w:t>
      </w:r>
      <w:r w:rsidR="00775E3F">
        <w:rPr>
          <w:lang w:val="fr-CH"/>
        </w:rPr>
        <w:t>’</w:t>
      </w:r>
      <w:r w:rsidRPr="00775E3F">
        <w:rPr>
          <w:lang w:val="fr-CH"/>
        </w:rPr>
        <w:t>Organisation</w:t>
      </w:r>
      <w:r w:rsidR="00FC0708" w:rsidRPr="00775E3F">
        <w:rPr>
          <w:lang w:val="fr-CH"/>
        </w:rPr>
        <w:t xml:space="preserve"> cherche à</w:t>
      </w:r>
      <w:r w:rsidRPr="00775E3F">
        <w:rPr>
          <w:lang w:val="fr-CH"/>
        </w:rPr>
        <w:t xml:space="preserve"> trouver le bon équilibre entre la nécessité d</w:t>
      </w:r>
      <w:r w:rsidR="00775E3F">
        <w:rPr>
          <w:lang w:val="fr-CH"/>
        </w:rPr>
        <w:t>’</w:t>
      </w:r>
      <w:r w:rsidRPr="00775E3F">
        <w:rPr>
          <w:lang w:val="fr-CH"/>
        </w:rPr>
        <w:t>obtenir des informations et le droit des fonctionnaires au respect de la vie priv</w:t>
      </w:r>
      <w:r w:rsidR="00F52F90" w:rsidRPr="00775E3F">
        <w:rPr>
          <w:lang w:val="fr-CH"/>
        </w:rPr>
        <w:t>ée</w:t>
      </w:r>
      <w:r w:rsidR="00F52F90">
        <w:rPr>
          <w:lang w:val="fr-CH"/>
        </w:rPr>
        <w:t xml:space="preserve">.  </w:t>
      </w:r>
      <w:r w:rsidR="00F52F90" w:rsidRPr="00775E3F">
        <w:rPr>
          <w:lang w:val="fr-CH"/>
        </w:rPr>
        <w:t>El</w:t>
      </w:r>
      <w:r w:rsidRPr="00775E3F">
        <w:rPr>
          <w:lang w:val="fr-CH"/>
        </w:rPr>
        <w:t>le</w:t>
      </w:r>
      <w:r w:rsidR="00FC0708" w:rsidRPr="00775E3F">
        <w:rPr>
          <w:lang w:val="fr-CH"/>
        </w:rPr>
        <w:t> </w:t>
      </w:r>
      <w:r w:rsidRPr="00775E3F">
        <w:rPr>
          <w:lang w:val="fr-CH"/>
        </w:rPr>
        <w:t>s</w:t>
      </w:r>
      <w:r w:rsidR="00775E3F">
        <w:rPr>
          <w:lang w:val="fr-CH"/>
        </w:rPr>
        <w:t>’</w:t>
      </w:r>
      <w:r w:rsidRPr="00775E3F">
        <w:rPr>
          <w:lang w:val="fr-CH"/>
        </w:rPr>
        <w:t xml:space="preserve">efforcera également de prendre en compte le dispositif de gestion des risques et le système de contrôle interne que le Secrétariat met actuellement en </w:t>
      </w:r>
      <w:r w:rsidR="00FC0708" w:rsidRPr="00775E3F">
        <w:rPr>
          <w:lang w:val="fr-CH"/>
        </w:rPr>
        <w:t>œuv</w:t>
      </w:r>
      <w:r w:rsidR="00F52F90" w:rsidRPr="00775E3F">
        <w:rPr>
          <w:lang w:val="fr-CH"/>
        </w:rPr>
        <w:t>re</w:t>
      </w:r>
      <w:r w:rsidR="00F52F90">
        <w:rPr>
          <w:lang w:val="fr-CH"/>
        </w:rPr>
        <w:t xml:space="preserve">.  </w:t>
      </w:r>
      <w:r w:rsidR="00F52F90" w:rsidRPr="00775E3F">
        <w:rPr>
          <w:lang w:val="fr-CH"/>
        </w:rPr>
        <w:t>Le</w:t>
      </w:r>
      <w:r w:rsidRPr="00775E3F">
        <w:rPr>
          <w:lang w:val="fr-CH"/>
        </w:rPr>
        <w:t>s travaux devraient être achevés d</w:t>
      </w:r>
      <w:r w:rsidR="00775E3F">
        <w:rPr>
          <w:lang w:val="fr-CH"/>
        </w:rPr>
        <w:t>’</w:t>
      </w:r>
      <w:r w:rsidRPr="00775E3F">
        <w:rPr>
          <w:lang w:val="fr-CH"/>
        </w:rPr>
        <w:t>ici la fin de</w:t>
      </w:r>
      <w:r w:rsidR="00FC0708" w:rsidRPr="00775E3F">
        <w:rPr>
          <w:lang w:val="fr-CH"/>
        </w:rPr>
        <w:t> </w:t>
      </w:r>
      <w:r w:rsidRPr="00775E3F">
        <w:rPr>
          <w:lang w:val="fr-CH"/>
        </w:rPr>
        <w:t>2016.</w:t>
      </w:r>
    </w:p>
    <w:p w:rsidR="0050421D" w:rsidRPr="00EB1204" w:rsidRDefault="00EB1204" w:rsidP="00EB1204">
      <w:pPr>
        <w:pStyle w:val="Heading1"/>
        <w:rPr>
          <w:lang w:val="fr-CH"/>
        </w:rPr>
      </w:pPr>
      <w:r>
        <w:rPr>
          <w:lang w:val="fr-CH"/>
        </w:rPr>
        <w:t>M</w:t>
      </w:r>
      <w:r w:rsidRPr="00EB1204">
        <w:rPr>
          <w:lang w:val="fr-CH"/>
        </w:rPr>
        <w:t xml:space="preserve">ise en œuvre des politiques assignées au </w:t>
      </w:r>
      <w:r>
        <w:rPr>
          <w:lang w:val="fr-CH"/>
        </w:rPr>
        <w:t>B</w:t>
      </w:r>
      <w:r w:rsidRPr="00EB1204">
        <w:rPr>
          <w:lang w:val="fr-CH"/>
        </w:rPr>
        <w:t>ureau de la déontologie</w:t>
      </w:r>
    </w:p>
    <w:p w:rsidR="0050421D" w:rsidRPr="00775E3F" w:rsidRDefault="0050421D" w:rsidP="004A39C5">
      <w:pPr>
        <w:pStyle w:val="NoSpacing"/>
        <w:rPr>
          <w:i/>
          <w:lang w:val="fr-CH"/>
        </w:rPr>
      </w:pPr>
    </w:p>
    <w:p w:rsidR="0050421D" w:rsidRPr="00775E3F" w:rsidRDefault="009037F6" w:rsidP="009037F6">
      <w:pPr>
        <w:ind w:left="567"/>
        <w:rPr>
          <w:u w:val="single"/>
          <w:lang w:val="fr-CH"/>
        </w:rPr>
      </w:pPr>
      <w:r w:rsidRPr="00775E3F">
        <w:rPr>
          <w:u w:val="single"/>
          <w:lang w:val="fr-CH"/>
        </w:rPr>
        <w:t>Politique de protection des lanceurs d</w:t>
      </w:r>
      <w:r w:rsidR="00775E3F">
        <w:rPr>
          <w:u w:val="single"/>
          <w:lang w:val="fr-CH"/>
        </w:rPr>
        <w:t>’</w:t>
      </w:r>
      <w:r w:rsidRPr="00775E3F">
        <w:rPr>
          <w:u w:val="single"/>
          <w:lang w:val="fr-CH"/>
        </w:rPr>
        <w:t>alerte qui collaborent à une activité de supervision ou qui signalent des fautes ou d</w:t>
      </w:r>
      <w:r w:rsidR="00775E3F">
        <w:rPr>
          <w:u w:val="single"/>
          <w:lang w:val="fr-CH"/>
        </w:rPr>
        <w:t>’</w:t>
      </w:r>
      <w:r w:rsidRPr="00775E3F">
        <w:rPr>
          <w:u w:val="single"/>
          <w:lang w:val="fr-CH"/>
        </w:rPr>
        <w:t>autres irrégularités</w:t>
      </w:r>
    </w:p>
    <w:p w:rsidR="0050421D" w:rsidRPr="00775E3F" w:rsidRDefault="0050421D" w:rsidP="004A39C5">
      <w:pPr>
        <w:rPr>
          <w:u w:val="single"/>
          <w:lang w:val="fr-CH"/>
        </w:rPr>
      </w:pPr>
    </w:p>
    <w:p w:rsidR="00976389" w:rsidRDefault="00E36120" w:rsidP="00976389">
      <w:pPr>
        <w:pStyle w:val="ONUMFS"/>
        <w:rPr>
          <w:lang w:val="fr-CH"/>
        </w:rPr>
      </w:pPr>
      <w:r w:rsidRPr="00775E3F">
        <w:rPr>
          <w:lang w:val="fr-CH"/>
        </w:rPr>
        <w:t>La politique de protection des lanceurs d</w:t>
      </w:r>
      <w:r w:rsidR="00775E3F">
        <w:rPr>
          <w:lang w:val="fr-CH"/>
        </w:rPr>
        <w:t>’</w:t>
      </w:r>
      <w:r w:rsidRPr="00775E3F">
        <w:rPr>
          <w:lang w:val="fr-CH"/>
        </w:rPr>
        <w:t>alerte qui collaborent à une activité de supervision ou qui signalent des faut</w:t>
      </w:r>
      <w:r w:rsidR="0080162C" w:rsidRPr="00775E3F">
        <w:rPr>
          <w:lang w:val="fr-CH"/>
        </w:rPr>
        <w:t>es ou d</w:t>
      </w:r>
      <w:r w:rsidR="00775E3F">
        <w:rPr>
          <w:lang w:val="fr-CH"/>
        </w:rPr>
        <w:t>’</w:t>
      </w:r>
      <w:r w:rsidR="0080162C" w:rsidRPr="00775E3F">
        <w:rPr>
          <w:lang w:val="fr-CH"/>
        </w:rPr>
        <w:t>autres irrégularités (</w:t>
      </w:r>
      <w:r w:rsidR="00775E3F">
        <w:rPr>
          <w:lang w:val="fr-CH"/>
        </w:rPr>
        <w:t>“</w:t>
      </w:r>
      <w:r w:rsidR="0080162C" w:rsidRPr="00775E3F">
        <w:rPr>
          <w:lang w:val="fr-CH"/>
        </w:rPr>
        <w:t>p</w:t>
      </w:r>
      <w:r w:rsidRPr="00775E3F">
        <w:rPr>
          <w:lang w:val="fr-CH"/>
        </w:rPr>
        <w:t>olitique de protection des lanceurs d</w:t>
      </w:r>
      <w:r w:rsidR="00775E3F">
        <w:rPr>
          <w:lang w:val="fr-CH"/>
        </w:rPr>
        <w:t>’</w:t>
      </w:r>
      <w:r w:rsidRPr="00775E3F">
        <w:rPr>
          <w:lang w:val="fr-CH"/>
        </w:rPr>
        <w:t>alerte</w:t>
      </w:r>
      <w:r w:rsidR="00775E3F">
        <w:rPr>
          <w:lang w:val="fr-CH"/>
        </w:rPr>
        <w:t>”</w:t>
      </w:r>
      <w:r w:rsidRPr="00775E3F">
        <w:rPr>
          <w:lang w:val="fr-CH"/>
        </w:rPr>
        <w:t>) est en vigueur à l</w:t>
      </w:r>
      <w:r w:rsidR="00775E3F">
        <w:rPr>
          <w:lang w:val="fr-CH"/>
        </w:rPr>
        <w:t>’</w:t>
      </w:r>
      <w:r w:rsidRPr="00775E3F">
        <w:rPr>
          <w:lang w:val="fr-CH"/>
        </w:rPr>
        <w:t>OMPI depuis</w:t>
      </w:r>
      <w:r w:rsidR="00FC0708" w:rsidRPr="00775E3F">
        <w:rPr>
          <w:lang w:val="fr-CH"/>
        </w:rPr>
        <w:t> </w:t>
      </w:r>
      <w:r w:rsidRPr="00775E3F">
        <w:rPr>
          <w:lang w:val="fr-CH"/>
        </w:rPr>
        <w:t xml:space="preserve">2012 et constitue </w:t>
      </w:r>
      <w:r w:rsidR="0080162C" w:rsidRPr="00775E3F">
        <w:rPr>
          <w:lang w:val="fr-CH"/>
        </w:rPr>
        <w:t>le</w:t>
      </w:r>
      <w:r w:rsidRPr="00775E3F">
        <w:rPr>
          <w:lang w:val="fr-CH"/>
        </w:rPr>
        <w:t xml:space="preserve"> cadre général pour la protection contre d</w:t>
      </w:r>
      <w:r w:rsidR="00775E3F">
        <w:rPr>
          <w:lang w:val="fr-CH"/>
        </w:rPr>
        <w:t>’</w:t>
      </w:r>
      <w:r w:rsidRPr="00775E3F">
        <w:rPr>
          <w:lang w:val="fr-CH"/>
        </w:rPr>
        <w:t xml:space="preserve">éventuelles représailles de tous les membres du personnel qui participent à une activité de supervision définie dans la présente politique ou qui </w:t>
      </w:r>
      <w:r w:rsidR="0080162C" w:rsidRPr="00775E3F">
        <w:rPr>
          <w:lang w:val="fr-CH"/>
        </w:rPr>
        <w:t>signal</w:t>
      </w:r>
      <w:r w:rsidRPr="00775E3F">
        <w:rPr>
          <w:lang w:val="fr-CH"/>
        </w:rPr>
        <w:t>ent une irrégularité.</w:t>
      </w:r>
    </w:p>
    <w:p w:rsidR="00976389" w:rsidRDefault="0077402D" w:rsidP="00976389">
      <w:pPr>
        <w:pStyle w:val="ONUMFS"/>
        <w:rPr>
          <w:lang w:val="fr-CH" w:eastAsia="en-US"/>
        </w:rPr>
      </w:pPr>
      <w:r w:rsidRPr="00775E3F">
        <w:rPr>
          <w:lang w:val="fr-CH" w:eastAsia="en-US"/>
        </w:rPr>
        <w:lastRenderedPageBreak/>
        <w:t xml:space="preserve">Conformément à cette politique, le Bureau de la déontologie reçoit les plaintes faisant état de représailles et </w:t>
      </w:r>
      <w:r w:rsidR="0080162C" w:rsidRPr="00775E3F">
        <w:rPr>
          <w:lang w:val="fr-CH" w:eastAsia="en-US"/>
        </w:rPr>
        <w:t>p</w:t>
      </w:r>
      <w:r w:rsidRPr="00775E3F">
        <w:rPr>
          <w:lang w:val="fr-CH" w:eastAsia="en-US"/>
        </w:rPr>
        <w:t>r</w:t>
      </w:r>
      <w:r w:rsidR="0080162C" w:rsidRPr="00775E3F">
        <w:rPr>
          <w:lang w:val="fr-CH" w:eastAsia="en-US"/>
        </w:rPr>
        <w:t>ocède à</w:t>
      </w:r>
      <w:r w:rsidRPr="00775E3F">
        <w:rPr>
          <w:lang w:val="fr-CH" w:eastAsia="en-US"/>
        </w:rPr>
        <w:t xml:space="preserve"> </w:t>
      </w:r>
      <w:r w:rsidR="006E5EBA" w:rsidRPr="00775E3F">
        <w:rPr>
          <w:lang w:val="fr-CH" w:eastAsia="en-US"/>
        </w:rPr>
        <w:t>un</w:t>
      </w:r>
      <w:r w:rsidRPr="00775E3F">
        <w:rPr>
          <w:lang w:val="fr-CH" w:eastAsia="en-US"/>
        </w:rPr>
        <w:t xml:space="preserve"> examen préliminaire pour déterminer si le </w:t>
      </w:r>
      <w:r w:rsidR="006E5EBA" w:rsidRPr="00775E3F">
        <w:rPr>
          <w:lang w:val="fr-CH" w:eastAsia="en-US"/>
        </w:rPr>
        <w:t>requér</w:t>
      </w:r>
      <w:r w:rsidRPr="00775E3F">
        <w:rPr>
          <w:lang w:val="fr-CH" w:eastAsia="en-US"/>
        </w:rPr>
        <w:t>ant a participé à une activité protég</w:t>
      </w:r>
      <w:r w:rsidR="00F52F90" w:rsidRPr="00775E3F">
        <w:rPr>
          <w:lang w:val="fr-CH" w:eastAsia="en-US"/>
        </w:rPr>
        <w:t>ée</w:t>
      </w:r>
      <w:r w:rsidR="00F52F90">
        <w:rPr>
          <w:lang w:val="fr-CH" w:eastAsia="en-US"/>
        </w:rPr>
        <w:t xml:space="preserve">.  </w:t>
      </w:r>
      <w:r w:rsidR="00F52F90" w:rsidRPr="00775E3F">
        <w:rPr>
          <w:lang w:val="fr-CH" w:eastAsia="en-US"/>
        </w:rPr>
        <w:t>Su</w:t>
      </w:r>
      <w:r w:rsidRPr="00775E3F">
        <w:rPr>
          <w:lang w:val="fr-CH" w:eastAsia="en-US"/>
        </w:rPr>
        <w:t>r la base de l</w:t>
      </w:r>
      <w:r w:rsidR="00775E3F">
        <w:rPr>
          <w:lang w:val="fr-CH" w:eastAsia="en-US"/>
        </w:rPr>
        <w:t>’</w:t>
      </w:r>
      <w:r w:rsidRPr="00775E3F">
        <w:rPr>
          <w:lang w:val="fr-CH" w:eastAsia="en-US"/>
        </w:rPr>
        <w:t>examen préliminaire de la plainte, le Bureau de la déontologie détermine l</w:t>
      </w:r>
      <w:r w:rsidR="00775E3F">
        <w:rPr>
          <w:lang w:val="fr-CH" w:eastAsia="en-US"/>
        </w:rPr>
        <w:t>’</w:t>
      </w:r>
      <w:r w:rsidRPr="00775E3F">
        <w:rPr>
          <w:lang w:val="fr-CH" w:eastAsia="en-US"/>
        </w:rPr>
        <w:t>existence d</w:t>
      </w:r>
      <w:r w:rsidR="00775E3F">
        <w:rPr>
          <w:lang w:val="fr-CH" w:eastAsia="en-US"/>
        </w:rPr>
        <w:t>’</w:t>
      </w:r>
      <w:r w:rsidRPr="00775E3F">
        <w:rPr>
          <w:lang w:val="fr-CH" w:eastAsia="en-US"/>
        </w:rPr>
        <w:t>un</w:t>
      </w:r>
      <w:r w:rsidR="0080162C" w:rsidRPr="00775E3F">
        <w:rPr>
          <w:lang w:val="fr-CH" w:eastAsia="en-US"/>
        </w:rPr>
        <w:t>e</w:t>
      </w:r>
      <w:r w:rsidRPr="00775E3F">
        <w:rPr>
          <w:lang w:val="fr-CH" w:eastAsia="en-US"/>
        </w:rPr>
        <w:t xml:space="preserve"> prés</w:t>
      </w:r>
      <w:r w:rsidR="0080162C" w:rsidRPr="00775E3F">
        <w:rPr>
          <w:lang w:val="fr-CH" w:eastAsia="en-US"/>
        </w:rPr>
        <w:t xml:space="preserve">omption </w:t>
      </w:r>
      <w:r w:rsidRPr="00775E3F">
        <w:rPr>
          <w:lang w:val="fr-CH" w:eastAsia="en-US"/>
        </w:rPr>
        <w:t xml:space="preserve">de représailles et la protection adéquate </w:t>
      </w:r>
      <w:r w:rsidR="006E5EBA" w:rsidRPr="00775E3F">
        <w:rPr>
          <w:lang w:val="fr-CH" w:eastAsia="en-US"/>
        </w:rPr>
        <w:t>à accorder a</w:t>
      </w:r>
      <w:r w:rsidRPr="00775E3F">
        <w:rPr>
          <w:lang w:val="fr-CH" w:eastAsia="en-US"/>
        </w:rPr>
        <w:t>u fonctionnaire concerné.</w:t>
      </w:r>
    </w:p>
    <w:p w:rsidR="00976389" w:rsidRDefault="00495AE9" w:rsidP="00976389">
      <w:pPr>
        <w:pStyle w:val="ONUMFS"/>
        <w:rPr>
          <w:lang w:val="fr-CH"/>
        </w:rPr>
      </w:pPr>
      <w:r w:rsidRPr="00775E3F">
        <w:rPr>
          <w:lang w:val="fr-CH"/>
        </w:rPr>
        <w:t>En</w:t>
      </w:r>
      <w:r w:rsidR="006E5EBA" w:rsidRPr="00775E3F">
        <w:rPr>
          <w:lang w:val="fr-CH"/>
        </w:rPr>
        <w:t> </w:t>
      </w:r>
      <w:r w:rsidRPr="00775E3F">
        <w:rPr>
          <w:lang w:val="fr-CH"/>
        </w:rPr>
        <w:t>2015, le Bureau de la déontologie a mené à bien deux</w:t>
      </w:r>
      <w:r w:rsidR="006E5EBA" w:rsidRPr="00775E3F">
        <w:rPr>
          <w:lang w:val="fr-CH"/>
        </w:rPr>
        <w:t> </w:t>
      </w:r>
      <w:r w:rsidRPr="00775E3F">
        <w:rPr>
          <w:lang w:val="fr-CH"/>
        </w:rPr>
        <w:t xml:space="preserve">examens préliminaires qui étaient en cours à la fin de la période </w:t>
      </w:r>
      <w:r w:rsidR="006E5EBA" w:rsidRPr="00775E3F">
        <w:rPr>
          <w:lang w:val="fr-CH"/>
        </w:rPr>
        <w:t>précédent</w:t>
      </w:r>
      <w:r w:rsidRPr="00775E3F">
        <w:rPr>
          <w:lang w:val="fr-CH"/>
        </w:rPr>
        <w:t>e, et a ouvert et achevé un</w:t>
      </w:r>
      <w:r w:rsidR="006E5EBA" w:rsidRPr="00775E3F">
        <w:rPr>
          <w:lang w:val="fr-CH"/>
        </w:rPr>
        <w:t>e</w:t>
      </w:r>
      <w:r w:rsidRPr="00775E3F">
        <w:rPr>
          <w:lang w:val="fr-CH"/>
        </w:rPr>
        <w:t xml:space="preserve"> autre</w:t>
      </w:r>
      <w:r w:rsidR="006E5EBA" w:rsidRPr="00775E3F">
        <w:rPr>
          <w:lang w:val="fr-CH"/>
        </w:rPr>
        <w:t xml:space="preserve"> procédure d</w:t>
      </w:r>
      <w:r w:rsidR="00775E3F">
        <w:rPr>
          <w:lang w:val="fr-CH"/>
        </w:rPr>
        <w:t>’</w:t>
      </w:r>
      <w:r w:rsidR="006E5EBA" w:rsidRPr="00775E3F">
        <w:rPr>
          <w:lang w:val="fr-CH"/>
        </w:rPr>
        <w:t>exam</w:t>
      </w:r>
      <w:r w:rsidR="00F52F90" w:rsidRPr="00775E3F">
        <w:rPr>
          <w:lang w:val="fr-CH"/>
        </w:rPr>
        <w:t>en</w:t>
      </w:r>
      <w:r w:rsidR="00F52F90">
        <w:rPr>
          <w:lang w:val="fr-CH"/>
        </w:rPr>
        <w:t xml:space="preserve">.  </w:t>
      </w:r>
      <w:r w:rsidR="00F52F90" w:rsidRPr="00775E3F">
        <w:rPr>
          <w:lang w:val="fr-CH"/>
        </w:rPr>
        <w:t>Ét</w:t>
      </w:r>
      <w:r w:rsidRPr="00775E3F">
        <w:rPr>
          <w:lang w:val="fr-CH"/>
        </w:rPr>
        <w:t>ant donné qu</w:t>
      </w:r>
      <w:r w:rsidR="00775E3F">
        <w:rPr>
          <w:lang w:val="fr-CH"/>
        </w:rPr>
        <w:t>’</w:t>
      </w:r>
      <w:r w:rsidRPr="00775E3F">
        <w:rPr>
          <w:lang w:val="fr-CH"/>
        </w:rPr>
        <w:t>il a été jugé que ces plaintes ne relevaient pas de la politique de protection des lanceurs d</w:t>
      </w:r>
      <w:r w:rsidR="00775E3F">
        <w:rPr>
          <w:lang w:val="fr-CH"/>
        </w:rPr>
        <w:t>’</w:t>
      </w:r>
      <w:r w:rsidRPr="00775E3F">
        <w:rPr>
          <w:lang w:val="fr-CH"/>
        </w:rPr>
        <w:t>alerte, le Bureau de la déontologie n</w:t>
      </w:r>
      <w:r w:rsidR="00775E3F">
        <w:rPr>
          <w:lang w:val="fr-CH"/>
        </w:rPr>
        <w:t>’</w:t>
      </w:r>
      <w:r w:rsidRPr="00775E3F">
        <w:rPr>
          <w:lang w:val="fr-CH"/>
        </w:rPr>
        <w:t xml:space="preserve">a </w:t>
      </w:r>
      <w:r w:rsidR="00FD4F9C" w:rsidRPr="00775E3F">
        <w:rPr>
          <w:lang w:val="fr-CH"/>
        </w:rPr>
        <w:t xml:space="preserve">pas </w:t>
      </w:r>
      <w:r w:rsidRPr="00775E3F">
        <w:rPr>
          <w:lang w:val="fr-CH"/>
        </w:rPr>
        <w:t xml:space="preserve">eu à effectuer </w:t>
      </w:r>
      <w:r w:rsidR="00FD4F9C" w:rsidRPr="00775E3F">
        <w:rPr>
          <w:lang w:val="fr-CH"/>
        </w:rPr>
        <w:t>d</w:t>
      </w:r>
      <w:r w:rsidR="00775E3F">
        <w:rPr>
          <w:lang w:val="fr-CH"/>
        </w:rPr>
        <w:t>’</w:t>
      </w:r>
      <w:r w:rsidRPr="00775E3F">
        <w:rPr>
          <w:lang w:val="fr-CH"/>
        </w:rPr>
        <w:t>autre</w:t>
      </w:r>
      <w:r w:rsidR="00FD4F9C" w:rsidRPr="00775E3F">
        <w:rPr>
          <w:lang w:val="fr-CH"/>
        </w:rPr>
        <w:t>s</w:t>
      </w:r>
      <w:r w:rsidRPr="00775E3F">
        <w:rPr>
          <w:lang w:val="fr-CH"/>
        </w:rPr>
        <w:t xml:space="preserve"> démarch</w:t>
      </w:r>
      <w:r w:rsidR="00F52F90" w:rsidRPr="00775E3F">
        <w:rPr>
          <w:lang w:val="fr-CH"/>
        </w:rPr>
        <w:t>es</w:t>
      </w:r>
      <w:r w:rsidR="00F52F90">
        <w:rPr>
          <w:lang w:val="fr-CH"/>
        </w:rPr>
        <w:t xml:space="preserve">.  </w:t>
      </w:r>
      <w:r w:rsidR="00F52F90" w:rsidRPr="00775E3F">
        <w:rPr>
          <w:lang w:val="fr-CH"/>
        </w:rPr>
        <w:t>Un</w:t>
      </w:r>
      <w:r w:rsidR="00370EEC" w:rsidRPr="00775E3F">
        <w:rPr>
          <w:lang w:val="fr-CH"/>
        </w:rPr>
        <w:t xml:space="preserve">e comparaison montre que le nombre de </w:t>
      </w:r>
      <w:r w:rsidR="00E6090D" w:rsidRPr="00775E3F">
        <w:rPr>
          <w:lang w:val="fr-CH"/>
        </w:rPr>
        <w:t>requêtes</w:t>
      </w:r>
      <w:r w:rsidR="00370EEC" w:rsidRPr="00775E3F">
        <w:rPr>
          <w:lang w:val="fr-CH"/>
        </w:rPr>
        <w:t xml:space="preserve"> </w:t>
      </w:r>
      <w:r w:rsidR="00FD4F9C" w:rsidRPr="00775E3F">
        <w:rPr>
          <w:lang w:val="fr-CH"/>
        </w:rPr>
        <w:t>reçu</w:t>
      </w:r>
      <w:r w:rsidR="00370EEC" w:rsidRPr="00775E3F">
        <w:rPr>
          <w:lang w:val="fr-CH"/>
        </w:rPr>
        <w:t xml:space="preserve">es </w:t>
      </w:r>
      <w:r w:rsidR="00FD4F9C" w:rsidRPr="00775E3F">
        <w:rPr>
          <w:lang w:val="fr-CH"/>
        </w:rPr>
        <w:t xml:space="preserve">par </w:t>
      </w:r>
      <w:r w:rsidR="00370EEC" w:rsidRPr="00775E3F">
        <w:rPr>
          <w:lang w:val="fr-CH"/>
        </w:rPr>
        <w:t>l</w:t>
      </w:r>
      <w:r w:rsidR="00775E3F">
        <w:rPr>
          <w:lang w:val="fr-CH"/>
        </w:rPr>
        <w:t>’</w:t>
      </w:r>
      <w:r w:rsidR="00370EEC" w:rsidRPr="00775E3F">
        <w:rPr>
          <w:lang w:val="fr-CH"/>
        </w:rPr>
        <w:t>OMPI est comparable à celui d</w:t>
      </w:r>
      <w:r w:rsidR="00775E3F">
        <w:rPr>
          <w:lang w:val="fr-CH"/>
        </w:rPr>
        <w:t>’</w:t>
      </w:r>
      <w:r w:rsidR="00370EEC" w:rsidRPr="00775E3F">
        <w:rPr>
          <w:lang w:val="fr-CH"/>
        </w:rPr>
        <w:t xml:space="preserve">autres organismes des </w:t>
      </w:r>
      <w:r w:rsidR="00775E3F">
        <w:rPr>
          <w:lang w:val="fr-CH"/>
        </w:rPr>
        <w:t>Nations Unies</w:t>
      </w:r>
      <w:r w:rsidR="00370EEC" w:rsidRPr="00775E3F">
        <w:rPr>
          <w:lang w:val="fr-CH"/>
        </w:rPr>
        <w:t>.</w:t>
      </w:r>
    </w:p>
    <w:p w:rsidR="0050421D" w:rsidRPr="00775E3F" w:rsidRDefault="00370EEC" w:rsidP="00370EEC">
      <w:pPr>
        <w:pStyle w:val="NoSpacing"/>
        <w:ind w:left="567"/>
        <w:rPr>
          <w:u w:val="single"/>
          <w:lang w:val="fr-CH"/>
        </w:rPr>
      </w:pPr>
      <w:r w:rsidRPr="00775E3F">
        <w:rPr>
          <w:u w:val="single"/>
          <w:lang w:val="fr-CH"/>
        </w:rPr>
        <w:t>Déclarations d</w:t>
      </w:r>
      <w:r w:rsidR="00775E3F">
        <w:rPr>
          <w:u w:val="single"/>
          <w:lang w:val="fr-CH"/>
        </w:rPr>
        <w:t>’</w:t>
      </w:r>
      <w:r w:rsidRPr="00775E3F">
        <w:rPr>
          <w:u w:val="single"/>
          <w:lang w:val="fr-CH"/>
        </w:rPr>
        <w:t>intérêt</w:t>
      </w:r>
      <w:r w:rsidR="00E6090D" w:rsidRPr="00775E3F">
        <w:rPr>
          <w:u w:val="single"/>
          <w:lang w:val="fr-CH"/>
        </w:rPr>
        <w:t>s</w:t>
      </w:r>
      <w:r w:rsidRPr="00775E3F">
        <w:rPr>
          <w:u w:val="single"/>
          <w:lang w:val="fr-CH"/>
        </w:rPr>
        <w:t xml:space="preserve"> et divulgations conformes aux normes</w:t>
      </w:r>
      <w:r w:rsidR="00BC11A7">
        <w:rPr>
          <w:u w:val="single"/>
          <w:lang w:val="fr-CH"/>
        </w:rPr>
        <w:t> </w:t>
      </w:r>
      <w:r w:rsidRPr="00775E3F">
        <w:rPr>
          <w:u w:val="single"/>
          <w:lang w:val="fr-CH"/>
        </w:rPr>
        <w:t>IPSAS pour les transactions avec une partie liée</w:t>
      </w:r>
    </w:p>
    <w:p w:rsidR="0050421D" w:rsidRPr="00775E3F" w:rsidRDefault="0050421D" w:rsidP="004A39C5">
      <w:pPr>
        <w:pStyle w:val="NoSpacing"/>
        <w:rPr>
          <w:lang w:val="fr-CH"/>
        </w:rPr>
      </w:pPr>
    </w:p>
    <w:p w:rsidR="00976389" w:rsidRDefault="00370EEC" w:rsidP="00976389">
      <w:pPr>
        <w:pStyle w:val="ONUMFS"/>
        <w:rPr>
          <w:lang w:val="fr-CH"/>
        </w:rPr>
      </w:pPr>
      <w:r w:rsidRPr="00775E3F">
        <w:rPr>
          <w:lang w:val="fr-CH"/>
        </w:rPr>
        <w:t>Le Bureau de la déontologie de l</w:t>
      </w:r>
      <w:r w:rsidR="00775E3F">
        <w:rPr>
          <w:lang w:val="fr-CH"/>
        </w:rPr>
        <w:t>’</w:t>
      </w:r>
      <w:r w:rsidRPr="00775E3F">
        <w:rPr>
          <w:lang w:val="fr-CH"/>
        </w:rPr>
        <w:t>OMPI est chargé de la mise en œuvre du programme de déclarations d</w:t>
      </w:r>
      <w:r w:rsidR="00775E3F">
        <w:rPr>
          <w:lang w:val="fr-CH"/>
        </w:rPr>
        <w:t>’</w:t>
      </w:r>
      <w:r w:rsidRPr="00775E3F">
        <w:rPr>
          <w:lang w:val="fr-CH"/>
        </w:rPr>
        <w:t>intérêts pour les fonctionnaires de l</w:t>
      </w:r>
      <w:r w:rsidR="00775E3F">
        <w:rPr>
          <w:lang w:val="fr-CH"/>
        </w:rPr>
        <w:t>’</w:t>
      </w:r>
      <w:r w:rsidRPr="00775E3F">
        <w:rPr>
          <w:lang w:val="fr-CH"/>
        </w:rPr>
        <w:t>OMPI appartenant aux catégories D</w:t>
      </w:r>
      <w:r w:rsidR="00946212">
        <w:rPr>
          <w:lang w:val="fr-CH"/>
        </w:rPr>
        <w:noBreakHyphen/>
      </w:r>
      <w:r w:rsidRPr="00775E3F">
        <w:rPr>
          <w:lang w:val="fr-CH"/>
        </w:rPr>
        <w:t>1 et supérieures et à un nombre restreint d</w:t>
      </w:r>
      <w:r w:rsidR="00775E3F">
        <w:rPr>
          <w:lang w:val="fr-CH"/>
        </w:rPr>
        <w:t>’</w:t>
      </w:r>
      <w:r w:rsidRPr="00775E3F">
        <w:rPr>
          <w:lang w:val="fr-CH"/>
        </w:rPr>
        <w:t>autres catégories à haut risq</w:t>
      </w:r>
      <w:r w:rsidR="00F52F90" w:rsidRPr="00775E3F">
        <w:rPr>
          <w:lang w:val="fr-CH"/>
        </w:rPr>
        <w:t>ue</w:t>
      </w:r>
      <w:r w:rsidR="00F52F90">
        <w:rPr>
          <w:lang w:val="fr-CH"/>
        </w:rPr>
        <w:t xml:space="preserve">.  </w:t>
      </w:r>
      <w:r w:rsidR="00F52F90" w:rsidRPr="00775E3F">
        <w:rPr>
          <w:lang w:val="fr-CH"/>
        </w:rPr>
        <w:t>La</w:t>
      </w:r>
      <w:r w:rsidRPr="00775E3F">
        <w:rPr>
          <w:lang w:val="fr-CH"/>
        </w:rPr>
        <w:t xml:space="preserve"> conformité avec les normes</w:t>
      </w:r>
      <w:r w:rsidR="00BC11A7">
        <w:rPr>
          <w:lang w:val="fr-CH"/>
        </w:rPr>
        <w:t> </w:t>
      </w:r>
      <w:r w:rsidRPr="00775E3F">
        <w:rPr>
          <w:lang w:val="fr-CH"/>
        </w:rPr>
        <w:t>IPSAS a créé de nouvelles règles de divulgation pour les fonctionnaires des catégories D</w:t>
      </w:r>
      <w:r w:rsidR="00946212">
        <w:rPr>
          <w:lang w:val="fr-CH"/>
        </w:rPr>
        <w:noBreakHyphen/>
      </w:r>
      <w:r w:rsidRPr="00775E3F">
        <w:rPr>
          <w:lang w:val="fr-CH"/>
        </w:rPr>
        <w:t>2 et supérieur</w:t>
      </w:r>
      <w:r w:rsidR="00F52F90" w:rsidRPr="00775E3F">
        <w:rPr>
          <w:lang w:val="fr-CH"/>
        </w:rPr>
        <w:t>es</w:t>
      </w:r>
      <w:r w:rsidR="00F52F90">
        <w:rPr>
          <w:lang w:val="fr-CH"/>
        </w:rPr>
        <w:t xml:space="preserve">.  </w:t>
      </w:r>
      <w:r w:rsidR="00F52F90" w:rsidRPr="00775E3F">
        <w:rPr>
          <w:lang w:val="fr-CH"/>
        </w:rPr>
        <w:t>Un</w:t>
      </w:r>
      <w:r w:rsidRPr="00775E3F">
        <w:rPr>
          <w:lang w:val="fr-CH"/>
        </w:rPr>
        <w:t xml:space="preserve"> taux de conformité de 100% avec les règles de divulgation conformes aux normes</w:t>
      </w:r>
      <w:r w:rsidR="00BC11A7">
        <w:rPr>
          <w:lang w:val="fr-CH"/>
        </w:rPr>
        <w:t> </w:t>
      </w:r>
      <w:r w:rsidRPr="00775E3F">
        <w:rPr>
          <w:lang w:val="fr-CH"/>
        </w:rPr>
        <w:t>IPSAS, concernant les transactions avec une partie liée, a été obtenu pour la période couverte en</w:t>
      </w:r>
      <w:r w:rsidR="00E6090D" w:rsidRPr="00775E3F">
        <w:rPr>
          <w:lang w:val="fr-CH"/>
        </w:rPr>
        <w:t> </w:t>
      </w:r>
      <w:r w:rsidRPr="00775E3F">
        <w:rPr>
          <w:lang w:val="fr-CH"/>
        </w:rPr>
        <w:t>2015.</w:t>
      </w:r>
    </w:p>
    <w:p w:rsidR="0050421D" w:rsidRPr="00775E3F" w:rsidRDefault="00EB1204" w:rsidP="00EB1204">
      <w:pPr>
        <w:pStyle w:val="Heading1"/>
        <w:rPr>
          <w:lang w:val="fr-CH"/>
        </w:rPr>
      </w:pPr>
      <w:r>
        <w:rPr>
          <w:lang w:val="fr-CH"/>
        </w:rPr>
        <w:t>H</w:t>
      </w:r>
      <w:r w:rsidRPr="00775E3F">
        <w:rPr>
          <w:lang w:val="fr-CH"/>
        </w:rPr>
        <w:t xml:space="preserve">armonisation avec les meilleures pratiques en vigueur dans les organisations appliquant le régime commun des </w:t>
      </w:r>
      <w:r>
        <w:rPr>
          <w:lang w:val="fr-CH"/>
        </w:rPr>
        <w:t>N</w:t>
      </w:r>
      <w:r w:rsidRPr="00775E3F">
        <w:rPr>
          <w:lang w:val="fr-CH"/>
        </w:rPr>
        <w:t>ations </w:t>
      </w:r>
      <w:r>
        <w:rPr>
          <w:lang w:val="fr-CH"/>
        </w:rPr>
        <w:t>U</w:t>
      </w:r>
      <w:r w:rsidRPr="00775E3F">
        <w:rPr>
          <w:lang w:val="fr-CH"/>
        </w:rPr>
        <w:t>nies</w:t>
      </w:r>
    </w:p>
    <w:p w:rsidR="0050421D" w:rsidRPr="00775E3F" w:rsidRDefault="0050421D" w:rsidP="004A39C5">
      <w:pPr>
        <w:pStyle w:val="Default"/>
        <w:rPr>
          <w:color w:val="auto"/>
          <w:sz w:val="22"/>
          <w:szCs w:val="22"/>
          <w:lang w:val="fr-CH"/>
        </w:rPr>
      </w:pPr>
    </w:p>
    <w:p w:rsidR="00976389" w:rsidRDefault="00370EEC" w:rsidP="00976389">
      <w:pPr>
        <w:pStyle w:val="ONUMFS"/>
        <w:rPr>
          <w:rFonts w:eastAsia="Times New Roman"/>
          <w:sz w:val="24"/>
          <w:szCs w:val="24"/>
          <w:lang w:val="fr-CH" w:eastAsia="en-US"/>
        </w:rPr>
      </w:pPr>
      <w:r w:rsidRPr="00775E3F">
        <w:rPr>
          <w:lang w:val="fr-CH"/>
        </w:rPr>
        <w:t>En</w:t>
      </w:r>
      <w:r w:rsidR="00E6090D" w:rsidRPr="00775E3F">
        <w:rPr>
          <w:lang w:val="fr-CH"/>
        </w:rPr>
        <w:t> </w:t>
      </w:r>
      <w:r w:rsidRPr="00775E3F">
        <w:rPr>
          <w:lang w:val="fr-CH"/>
        </w:rPr>
        <w:t>2015, le Bureau de la déontologie de l</w:t>
      </w:r>
      <w:r w:rsidR="00775E3F">
        <w:rPr>
          <w:lang w:val="fr-CH"/>
        </w:rPr>
        <w:t>’</w:t>
      </w:r>
      <w:r w:rsidRPr="00775E3F">
        <w:rPr>
          <w:lang w:val="fr-CH"/>
        </w:rPr>
        <w:t>OMPI a joué un rôle actif dans le réseau d</w:t>
      </w:r>
      <w:r w:rsidR="00775E3F">
        <w:rPr>
          <w:lang w:val="fr-CH"/>
        </w:rPr>
        <w:t>’</w:t>
      </w:r>
      <w:r w:rsidRPr="00775E3F">
        <w:rPr>
          <w:lang w:val="fr-CH"/>
        </w:rPr>
        <w:t>éthique des organisations multilatérales, qui vise à promouvoir une collaboration à l</w:t>
      </w:r>
      <w:r w:rsidR="00775E3F">
        <w:rPr>
          <w:lang w:val="fr-CH"/>
        </w:rPr>
        <w:t>’</w:t>
      </w:r>
      <w:r w:rsidRPr="00775E3F">
        <w:rPr>
          <w:lang w:val="fr-CH"/>
        </w:rPr>
        <w:t>échelle de l</w:t>
      </w:r>
      <w:r w:rsidR="00775E3F">
        <w:rPr>
          <w:lang w:val="fr-CH"/>
        </w:rPr>
        <w:t>’</w:t>
      </w:r>
      <w:r w:rsidRPr="00775E3F">
        <w:rPr>
          <w:lang w:val="fr-CH"/>
        </w:rPr>
        <w:t xml:space="preserve">ensemble du système des </w:t>
      </w:r>
      <w:r w:rsidR="00775E3F">
        <w:rPr>
          <w:lang w:val="fr-CH"/>
        </w:rPr>
        <w:t>Nations Unies</w:t>
      </w:r>
      <w:r w:rsidRPr="00775E3F">
        <w:rPr>
          <w:lang w:val="fr-CH"/>
        </w:rPr>
        <w:t xml:space="preserve"> sur les questions de déontolog</w:t>
      </w:r>
      <w:r w:rsidR="00F52F90" w:rsidRPr="00775E3F">
        <w:rPr>
          <w:lang w:val="fr-CH"/>
        </w:rPr>
        <w:t>ie</w:t>
      </w:r>
      <w:r w:rsidR="00F52F90">
        <w:rPr>
          <w:lang w:val="fr-CH"/>
        </w:rPr>
        <w:t xml:space="preserve">.  </w:t>
      </w:r>
      <w:r w:rsidR="00F52F90" w:rsidRPr="00775E3F">
        <w:rPr>
          <w:rFonts w:eastAsia="Times New Roman"/>
          <w:lang w:val="fr-CH" w:eastAsia="en-US"/>
        </w:rPr>
        <w:t>Ce</w:t>
      </w:r>
      <w:r w:rsidR="00CF1BF9" w:rsidRPr="00775E3F">
        <w:rPr>
          <w:rFonts w:eastAsia="Times New Roman"/>
          <w:lang w:val="fr-CH" w:eastAsia="en-US"/>
        </w:rPr>
        <w:t xml:space="preserve"> réseau constitue un</w:t>
      </w:r>
      <w:r w:rsidR="00E6090D" w:rsidRPr="00775E3F">
        <w:rPr>
          <w:rFonts w:eastAsia="Times New Roman"/>
          <w:lang w:val="fr-CH" w:eastAsia="en-US"/>
        </w:rPr>
        <w:t xml:space="preserve"> large forum </w:t>
      </w:r>
      <w:r w:rsidR="00CF1BF9" w:rsidRPr="00775E3F">
        <w:rPr>
          <w:rFonts w:eastAsia="Times New Roman"/>
          <w:lang w:val="fr-CH" w:eastAsia="en-US"/>
        </w:rPr>
        <w:t xml:space="preserve">pour les </w:t>
      </w:r>
      <w:r w:rsidR="00E6090D" w:rsidRPr="00775E3F">
        <w:rPr>
          <w:rFonts w:eastAsia="Times New Roman"/>
          <w:lang w:val="fr-CH" w:eastAsia="en-US"/>
        </w:rPr>
        <w:t>serv</w:t>
      </w:r>
      <w:r w:rsidR="00CF1BF9" w:rsidRPr="00775E3F">
        <w:rPr>
          <w:rFonts w:eastAsia="Times New Roman"/>
          <w:lang w:val="fr-CH" w:eastAsia="en-US"/>
        </w:rPr>
        <w:t>i</w:t>
      </w:r>
      <w:r w:rsidR="00E6090D" w:rsidRPr="00775E3F">
        <w:rPr>
          <w:rFonts w:eastAsia="Times New Roman"/>
          <w:lang w:val="fr-CH" w:eastAsia="en-US"/>
        </w:rPr>
        <w:t>ce</w:t>
      </w:r>
      <w:r w:rsidR="00CF1BF9" w:rsidRPr="00775E3F">
        <w:rPr>
          <w:rFonts w:eastAsia="Times New Roman"/>
          <w:lang w:val="fr-CH" w:eastAsia="en-US"/>
        </w:rPr>
        <w:t xml:space="preserve">s de déontologie des entités du système des </w:t>
      </w:r>
      <w:r w:rsidR="00775E3F">
        <w:rPr>
          <w:rFonts w:eastAsia="Times New Roman"/>
          <w:lang w:val="fr-CH" w:eastAsia="en-US"/>
        </w:rPr>
        <w:t>Nations Unies</w:t>
      </w:r>
      <w:r w:rsidR="00CF1BF9" w:rsidRPr="00775E3F">
        <w:rPr>
          <w:rFonts w:eastAsia="Times New Roman"/>
          <w:lang w:val="fr-CH" w:eastAsia="en-US"/>
        </w:rPr>
        <w:t xml:space="preserve">, </w:t>
      </w:r>
      <w:r w:rsidR="00E6090D" w:rsidRPr="00775E3F">
        <w:rPr>
          <w:rFonts w:eastAsia="Times New Roman"/>
          <w:lang w:val="fr-CH" w:eastAsia="en-US"/>
        </w:rPr>
        <w:t>d</w:t>
      </w:r>
      <w:r w:rsidR="00CF1BF9" w:rsidRPr="00775E3F">
        <w:rPr>
          <w:rFonts w:eastAsia="Times New Roman"/>
          <w:lang w:val="fr-CH" w:eastAsia="en-US"/>
        </w:rPr>
        <w:t xml:space="preserve">es organisations internationales affiliées et </w:t>
      </w:r>
      <w:r w:rsidR="00E6090D" w:rsidRPr="00775E3F">
        <w:rPr>
          <w:rFonts w:eastAsia="Times New Roman"/>
          <w:lang w:val="fr-CH" w:eastAsia="en-US"/>
        </w:rPr>
        <w:t>d</w:t>
      </w:r>
      <w:r w:rsidR="00CF1BF9" w:rsidRPr="00775E3F">
        <w:rPr>
          <w:rFonts w:eastAsia="Times New Roman"/>
          <w:lang w:val="fr-CH" w:eastAsia="en-US"/>
        </w:rPr>
        <w:t>es institutions financières internationales, et permet l</w:t>
      </w:r>
      <w:r w:rsidR="00775E3F">
        <w:rPr>
          <w:rFonts w:eastAsia="Times New Roman"/>
          <w:lang w:val="fr-CH" w:eastAsia="en-US"/>
        </w:rPr>
        <w:t>’</w:t>
      </w:r>
      <w:r w:rsidR="00CF1BF9" w:rsidRPr="00775E3F">
        <w:rPr>
          <w:rFonts w:eastAsia="Times New Roman"/>
          <w:lang w:val="fr-CH" w:eastAsia="en-US"/>
        </w:rPr>
        <w:t>échange de politiques et de pratiques en matière d</w:t>
      </w:r>
      <w:r w:rsidR="00775E3F">
        <w:rPr>
          <w:rFonts w:eastAsia="Times New Roman"/>
          <w:lang w:val="fr-CH" w:eastAsia="en-US"/>
        </w:rPr>
        <w:t>’</w:t>
      </w:r>
      <w:r w:rsidR="00CF1BF9" w:rsidRPr="00775E3F">
        <w:rPr>
          <w:rFonts w:eastAsia="Times New Roman"/>
          <w:lang w:val="fr-CH" w:eastAsia="en-US"/>
        </w:rPr>
        <w:t>éthique.</w:t>
      </w:r>
    </w:p>
    <w:p w:rsidR="00976389" w:rsidRPr="005431C5" w:rsidRDefault="00CF1BF9" w:rsidP="00976389">
      <w:pPr>
        <w:pStyle w:val="ONUMFS"/>
        <w:ind w:left="5533"/>
        <w:rPr>
          <w:i/>
          <w:lang w:val="fr-CH"/>
        </w:rPr>
      </w:pPr>
      <w:r w:rsidRPr="005431C5">
        <w:rPr>
          <w:i/>
          <w:lang w:val="fr-CH"/>
        </w:rPr>
        <w:t>Le Comité de coordination de l</w:t>
      </w:r>
      <w:r w:rsidR="00775E3F" w:rsidRPr="005431C5">
        <w:rPr>
          <w:i/>
          <w:lang w:val="fr-CH"/>
        </w:rPr>
        <w:t>’</w:t>
      </w:r>
      <w:r w:rsidRPr="005431C5">
        <w:rPr>
          <w:i/>
          <w:lang w:val="fr-CH"/>
        </w:rPr>
        <w:t xml:space="preserve">OMPI est invité à prendre note du </w:t>
      </w:r>
      <w:r w:rsidR="00775E3F" w:rsidRPr="005431C5">
        <w:rPr>
          <w:i/>
          <w:lang w:val="fr-CH"/>
        </w:rPr>
        <w:t>“</w:t>
      </w:r>
      <w:r w:rsidRPr="005431C5">
        <w:rPr>
          <w:i/>
          <w:lang w:val="fr-CH"/>
        </w:rPr>
        <w:t>Rapport annuel du Bureau de la déontologie</w:t>
      </w:r>
      <w:r w:rsidR="00775E3F" w:rsidRPr="005431C5">
        <w:rPr>
          <w:i/>
          <w:lang w:val="fr-CH"/>
        </w:rPr>
        <w:t>”</w:t>
      </w:r>
      <w:r w:rsidRPr="005431C5">
        <w:rPr>
          <w:i/>
          <w:lang w:val="fr-CH"/>
        </w:rPr>
        <w:t xml:space="preserve"> (document WO/CC/73/2).</w:t>
      </w:r>
    </w:p>
    <w:p w:rsidR="0050421D" w:rsidRPr="00775E3F" w:rsidRDefault="0050421D" w:rsidP="00976389">
      <w:pPr>
        <w:pStyle w:val="Endofdocument-Annex"/>
        <w:rPr>
          <w:lang w:val="fr-CH"/>
        </w:rPr>
      </w:pPr>
    </w:p>
    <w:p w:rsidR="0050421D" w:rsidRPr="00775E3F" w:rsidRDefault="0050421D" w:rsidP="00976389">
      <w:pPr>
        <w:pStyle w:val="Endofdocument-Annex"/>
        <w:rPr>
          <w:lang w:val="fr-CH"/>
        </w:rPr>
      </w:pPr>
    </w:p>
    <w:p w:rsidR="0050421D" w:rsidRPr="00775E3F" w:rsidRDefault="00CF1BF9" w:rsidP="00976389">
      <w:pPr>
        <w:pStyle w:val="Endofdocument-Annex"/>
      </w:pPr>
      <w:r w:rsidRPr="00775E3F">
        <w:t>[Fin du document]</w:t>
      </w:r>
    </w:p>
    <w:sectPr w:rsidR="0050421D" w:rsidRPr="00775E3F" w:rsidSect="004A39C5">
      <w:headerReference w:type="default"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39C5" w:rsidRDefault="004A39C5">
      <w:r>
        <w:separator/>
      </w:r>
    </w:p>
  </w:endnote>
  <w:endnote w:type="continuationSeparator" w:id="0">
    <w:p w:rsidR="004A39C5" w:rsidRDefault="004A39C5" w:rsidP="003B38C1">
      <w:r>
        <w:separator/>
      </w:r>
    </w:p>
    <w:p w:rsidR="004A39C5" w:rsidRPr="003B38C1" w:rsidRDefault="004A39C5" w:rsidP="003B38C1">
      <w:pPr>
        <w:spacing w:after="60"/>
        <w:rPr>
          <w:sz w:val="17"/>
        </w:rPr>
      </w:pPr>
      <w:r>
        <w:rPr>
          <w:sz w:val="17"/>
        </w:rPr>
        <w:t>[Endnote continued from previous page]</w:t>
      </w:r>
    </w:p>
  </w:endnote>
  <w:endnote w:type="continuationNotice" w:id="1">
    <w:p w:rsidR="004A39C5" w:rsidRPr="003B38C1" w:rsidRDefault="004A39C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39C5" w:rsidRDefault="004A39C5">
      <w:r>
        <w:separator/>
      </w:r>
    </w:p>
  </w:footnote>
  <w:footnote w:type="continuationSeparator" w:id="0">
    <w:p w:rsidR="004A39C5" w:rsidRDefault="004A39C5" w:rsidP="008B60B2">
      <w:r>
        <w:separator/>
      </w:r>
    </w:p>
    <w:p w:rsidR="004A39C5" w:rsidRPr="00ED77FB" w:rsidRDefault="004A39C5" w:rsidP="008B60B2">
      <w:pPr>
        <w:spacing w:after="60"/>
        <w:rPr>
          <w:sz w:val="17"/>
          <w:szCs w:val="17"/>
        </w:rPr>
      </w:pPr>
      <w:r w:rsidRPr="00ED77FB">
        <w:rPr>
          <w:sz w:val="17"/>
          <w:szCs w:val="17"/>
        </w:rPr>
        <w:t>[Footnote continued from previous page]</w:t>
      </w:r>
    </w:p>
  </w:footnote>
  <w:footnote w:type="continuationNotice" w:id="1">
    <w:p w:rsidR="004A39C5" w:rsidRPr="00ED77FB" w:rsidRDefault="004A39C5" w:rsidP="008B60B2">
      <w:pPr>
        <w:spacing w:before="60"/>
        <w:jc w:val="right"/>
        <w:rPr>
          <w:sz w:val="17"/>
          <w:szCs w:val="17"/>
        </w:rPr>
      </w:pPr>
      <w:r w:rsidRPr="00ED77FB">
        <w:rPr>
          <w:sz w:val="17"/>
          <w:szCs w:val="17"/>
        </w:rPr>
        <w:t>[Footnote continued on next page]</w:t>
      </w:r>
    </w:p>
  </w:footnote>
  <w:footnote w:id="2">
    <w:p w:rsidR="00D0288E" w:rsidRPr="00D0288E" w:rsidRDefault="00D0288E">
      <w:pPr>
        <w:pStyle w:val="FootnoteText"/>
        <w:rPr>
          <w:lang w:val="fr-CH"/>
        </w:rPr>
      </w:pPr>
      <w:r>
        <w:rPr>
          <w:rStyle w:val="FootnoteReference"/>
        </w:rPr>
        <w:footnoteRef/>
      </w:r>
      <w:r w:rsidRPr="00D0288E">
        <w:rPr>
          <w:lang w:val="fr-CH"/>
        </w:rPr>
        <w:t xml:space="preserve"> </w:t>
      </w:r>
      <w:r w:rsidR="00A53B0A">
        <w:rPr>
          <w:lang w:val="fr-CH"/>
        </w:rPr>
        <w:tab/>
      </w:r>
      <w:r w:rsidRPr="00D0288E">
        <w:rPr>
          <w:color w:val="000000"/>
          <w:lang w:val="fr-CH"/>
        </w:rPr>
        <w:t>Document WO/CC/66/1, soixante</w:t>
      </w:r>
      <w:r w:rsidR="00A53B0A">
        <w:rPr>
          <w:color w:val="000000"/>
          <w:lang w:val="fr-CH"/>
        </w:rPr>
        <w:noBreakHyphen/>
      </w:r>
      <w:r w:rsidRPr="00D0288E">
        <w:rPr>
          <w:color w:val="000000"/>
          <w:lang w:val="fr-CH"/>
        </w:rPr>
        <w:t>sixième session (43</w:t>
      </w:r>
      <w:r w:rsidRPr="008D4917">
        <w:rPr>
          <w:color w:val="000000"/>
          <w:vertAlign w:val="superscript"/>
          <w:lang w:val="fr-CH"/>
        </w:rPr>
        <w:t>e</w:t>
      </w:r>
      <w:r w:rsidRPr="00D0288E">
        <w:rPr>
          <w:color w:val="000000"/>
          <w:lang w:val="fr-CH"/>
        </w:rPr>
        <w:t xml:space="preserve"> session ordinaire) </w:t>
      </w:r>
      <w:r w:rsidR="008D4917">
        <w:rPr>
          <w:color w:val="000000"/>
          <w:lang w:val="fr-CH"/>
        </w:rPr>
        <w:t>du Comité de coordination de l</w:t>
      </w:r>
      <w:r w:rsidR="00F52F90">
        <w:rPr>
          <w:color w:val="000000"/>
          <w:lang w:val="fr-CH"/>
        </w:rPr>
        <w:t>’</w:t>
      </w:r>
      <w:r w:rsidR="008D4917">
        <w:rPr>
          <w:color w:val="000000"/>
          <w:lang w:val="fr-CH"/>
        </w:rPr>
        <w:t xml:space="preserve">OMPI, </w:t>
      </w:r>
      <w:r w:rsidRPr="00D0288E">
        <w:rPr>
          <w:color w:val="000000"/>
          <w:lang w:val="fr-CH"/>
        </w:rPr>
        <w:t>tenue du</w:t>
      </w:r>
      <w:r w:rsidR="00F52F90">
        <w:rPr>
          <w:color w:val="000000"/>
          <w:lang w:val="fr-CH"/>
        </w:rPr>
        <w:t xml:space="preserve"> 1</w:t>
      </w:r>
      <w:r w:rsidR="00F52F90" w:rsidRPr="00F52F90">
        <w:rPr>
          <w:color w:val="000000"/>
          <w:vertAlign w:val="superscript"/>
          <w:lang w:val="fr-CH"/>
        </w:rPr>
        <w:t>er</w:t>
      </w:r>
      <w:r w:rsidR="00F52F90">
        <w:rPr>
          <w:color w:val="000000"/>
          <w:lang w:val="fr-CH"/>
        </w:rPr>
        <w:t> </w:t>
      </w:r>
      <w:r w:rsidRPr="00D0288E">
        <w:rPr>
          <w:color w:val="000000"/>
          <w:lang w:val="fr-CH"/>
        </w:rPr>
        <w:t>au 9</w:t>
      </w:r>
      <w:r w:rsidR="008D4917">
        <w:rPr>
          <w:color w:val="000000"/>
          <w:lang w:val="fr-CH"/>
        </w:rPr>
        <w:t> </w:t>
      </w:r>
      <w:r w:rsidRPr="00D0288E">
        <w:rPr>
          <w:color w:val="000000"/>
          <w:lang w:val="fr-CH"/>
        </w:rPr>
        <w:t>octobre</w:t>
      </w:r>
      <w:r w:rsidR="008D4917">
        <w:rPr>
          <w:color w:val="000000"/>
          <w:lang w:val="fr-CH"/>
        </w:rPr>
        <w:t> </w:t>
      </w:r>
      <w:r w:rsidRPr="00D0288E">
        <w:rPr>
          <w:color w:val="000000"/>
          <w:lang w:val="fr-CH"/>
        </w:rPr>
        <w:t>2012.</w:t>
      </w:r>
    </w:p>
  </w:footnote>
  <w:footnote w:id="3">
    <w:p w:rsidR="00553405" w:rsidRPr="00946212" w:rsidRDefault="00553405" w:rsidP="00553405">
      <w:pPr>
        <w:pStyle w:val="FootnoteText"/>
        <w:rPr>
          <w:lang w:val="fr-CH"/>
        </w:rPr>
      </w:pPr>
      <w:r>
        <w:rPr>
          <w:rStyle w:val="FootnoteReference"/>
        </w:rPr>
        <w:footnoteRef/>
      </w:r>
      <w:r w:rsidRPr="00553405">
        <w:rPr>
          <w:lang w:val="fr-CH"/>
        </w:rPr>
        <w:t xml:space="preserve"> </w:t>
      </w:r>
      <w:r w:rsidR="00A53B0A">
        <w:rPr>
          <w:lang w:val="fr-CH"/>
        </w:rPr>
        <w:tab/>
      </w:r>
      <w:r w:rsidRPr="00946212">
        <w:rPr>
          <w:lang w:val="fr-CH"/>
        </w:rPr>
        <w:t>Document WO/CC/67/2, soixante</w:t>
      </w:r>
      <w:r w:rsidR="00A53B0A">
        <w:rPr>
          <w:lang w:val="fr-CH"/>
        </w:rPr>
        <w:noBreakHyphen/>
      </w:r>
      <w:r w:rsidRPr="00946212">
        <w:rPr>
          <w:lang w:val="fr-CH"/>
        </w:rPr>
        <w:t>septième session (44</w:t>
      </w:r>
      <w:r w:rsidRPr="00946212">
        <w:rPr>
          <w:vertAlign w:val="superscript"/>
          <w:lang w:val="fr-CH"/>
        </w:rPr>
        <w:t>e</w:t>
      </w:r>
      <w:r w:rsidRPr="00946212">
        <w:rPr>
          <w:lang w:val="fr-CH"/>
        </w:rPr>
        <w:t> session ordinaire) du Comité de coordination de l</w:t>
      </w:r>
      <w:r w:rsidR="00F52F90" w:rsidRPr="00946212">
        <w:rPr>
          <w:lang w:val="fr-CH"/>
        </w:rPr>
        <w:t>’</w:t>
      </w:r>
      <w:r w:rsidRPr="00946212">
        <w:rPr>
          <w:lang w:val="fr-CH"/>
        </w:rPr>
        <w:t>OMPI, tenue du 23</w:t>
      </w:r>
      <w:r w:rsidR="008D4917" w:rsidRPr="00946212">
        <w:rPr>
          <w:lang w:val="fr-CH"/>
        </w:rPr>
        <w:t> </w:t>
      </w:r>
      <w:r w:rsidRPr="00946212">
        <w:rPr>
          <w:lang w:val="fr-CH"/>
        </w:rPr>
        <w:t>septembre au 2</w:t>
      </w:r>
      <w:r w:rsidR="008D4917" w:rsidRPr="00946212">
        <w:rPr>
          <w:lang w:val="fr-CH"/>
        </w:rPr>
        <w:t> </w:t>
      </w:r>
      <w:r w:rsidRPr="00946212">
        <w:rPr>
          <w:lang w:val="fr-CH"/>
        </w:rPr>
        <w:t>octobre 2013, et document WO/CC/70/1, soixante</w:t>
      </w:r>
      <w:r w:rsidR="00A53B0A">
        <w:rPr>
          <w:lang w:val="fr-CH"/>
        </w:rPr>
        <w:noBreakHyphen/>
      </w:r>
      <w:r w:rsidRPr="00946212">
        <w:rPr>
          <w:lang w:val="fr-CH"/>
        </w:rPr>
        <w:t>dixième</w:t>
      </w:r>
      <w:r w:rsidR="00C70481" w:rsidRPr="00946212">
        <w:rPr>
          <w:lang w:val="fr-CH"/>
        </w:rPr>
        <w:t> </w:t>
      </w:r>
      <w:r w:rsidRPr="00946212">
        <w:rPr>
          <w:lang w:val="fr-CH"/>
        </w:rPr>
        <w:t>session (45</w:t>
      </w:r>
      <w:r w:rsidRPr="00946212">
        <w:rPr>
          <w:vertAlign w:val="superscript"/>
          <w:lang w:val="fr-CH"/>
        </w:rPr>
        <w:t>e</w:t>
      </w:r>
      <w:r w:rsidR="008D4917" w:rsidRPr="00946212">
        <w:rPr>
          <w:lang w:val="fr-CH"/>
        </w:rPr>
        <w:t> </w:t>
      </w:r>
      <w:r w:rsidRPr="00946212">
        <w:rPr>
          <w:lang w:val="fr-CH"/>
        </w:rPr>
        <w:t>session ordinaire) du Comité de coordination de l</w:t>
      </w:r>
      <w:r w:rsidR="00F52F90" w:rsidRPr="00946212">
        <w:rPr>
          <w:lang w:val="fr-CH"/>
        </w:rPr>
        <w:t>’</w:t>
      </w:r>
      <w:r w:rsidRPr="00946212">
        <w:rPr>
          <w:lang w:val="fr-CH"/>
        </w:rPr>
        <w:t>OMPI, tenue du 22</w:t>
      </w:r>
      <w:r w:rsidR="00A53B0A">
        <w:rPr>
          <w:lang w:val="fr-CH"/>
        </w:rPr>
        <w:t> </w:t>
      </w:r>
      <w:r w:rsidRPr="00946212">
        <w:rPr>
          <w:lang w:val="fr-CH"/>
        </w:rPr>
        <w:t>au</w:t>
      </w:r>
      <w:r w:rsidR="00A53B0A">
        <w:rPr>
          <w:lang w:val="fr-CH"/>
        </w:rPr>
        <w:t> </w:t>
      </w:r>
      <w:r w:rsidRPr="00946212">
        <w:rPr>
          <w:lang w:val="fr-CH"/>
        </w:rPr>
        <w:t>30</w:t>
      </w:r>
      <w:r w:rsidR="008D4917" w:rsidRPr="00946212">
        <w:rPr>
          <w:lang w:val="fr-CH"/>
        </w:rPr>
        <w:t> </w:t>
      </w:r>
      <w:r w:rsidRPr="00946212">
        <w:rPr>
          <w:lang w:val="fr-CH"/>
        </w:rPr>
        <w:t>septembre</w:t>
      </w:r>
      <w:r w:rsidR="008D4917" w:rsidRPr="00946212">
        <w:rPr>
          <w:lang w:val="fr-CH"/>
        </w:rPr>
        <w:t> </w:t>
      </w:r>
      <w:r w:rsidRPr="00946212">
        <w:rPr>
          <w:lang w:val="fr-CH"/>
        </w:rPr>
        <w:t>2014.</w:t>
      </w:r>
    </w:p>
  </w:footnote>
  <w:footnote w:id="4">
    <w:p w:rsidR="00553405" w:rsidRPr="00946212" w:rsidRDefault="00553405" w:rsidP="00452333">
      <w:pPr>
        <w:pStyle w:val="FootnoteText"/>
        <w:rPr>
          <w:lang w:val="fr-CH"/>
        </w:rPr>
      </w:pPr>
      <w:r w:rsidRPr="00946212">
        <w:rPr>
          <w:rStyle w:val="FootnoteReference"/>
        </w:rPr>
        <w:footnoteRef/>
      </w:r>
      <w:r w:rsidRPr="00946212">
        <w:rPr>
          <w:lang w:val="fr-CH"/>
        </w:rPr>
        <w:t xml:space="preserve"> </w:t>
      </w:r>
      <w:r w:rsidR="00A53B0A">
        <w:rPr>
          <w:lang w:val="fr-CH"/>
        </w:rPr>
        <w:tab/>
      </w:r>
      <w:r w:rsidR="00452333" w:rsidRPr="00946212">
        <w:rPr>
          <w:lang w:val="fr-CH"/>
        </w:rPr>
        <w:t>Document WO/CC/71/3</w:t>
      </w:r>
      <w:r w:rsidR="00C70481" w:rsidRPr="00946212">
        <w:rPr>
          <w:lang w:val="fr-CH"/>
        </w:rPr>
        <w:t> </w:t>
      </w:r>
      <w:proofErr w:type="spellStart"/>
      <w:r w:rsidR="00452333" w:rsidRPr="00946212">
        <w:rPr>
          <w:lang w:val="fr-CH"/>
        </w:rPr>
        <w:t>Rev</w:t>
      </w:r>
      <w:proofErr w:type="spellEnd"/>
      <w:r w:rsidR="00452333" w:rsidRPr="00946212">
        <w:rPr>
          <w:lang w:val="fr-CH"/>
        </w:rPr>
        <w:t>., soixante et onzième session (46</w:t>
      </w:r>
      <w:r w:rsidR="00452333" w:rsidRPr="00A53B0A">
        <w:rPr>
          <w:vertAlign w:val="superscript"/>
          <w:lang w:val="fr-CH"/>
        </w:rPr>
        <w:t>e</w:t>
      </w:r>
      <w:r w:rsidR="00452333" w:rsidRPr="00946212">
        <w:rPr>
          <w:lang w:val="fr-CH"/>
        </w:rPr>
        <w:t> session ordinaire) du Comité de coordination de l</w:t>
      </w:r>
      <w:r w:rsidR="00F52F90" w:rsidRPr="00946212">
        <w:rPr>
          <w:lang w:val="fr-CH"/>
        </w:rPr>
        <w:t>’</w:t>
      </w:r>
      <w:r w:rsidR="00452333" w:rsidRPr="00946212">
        <w:rPr>
          <w:lang w:val="fr-CH"/>
        </w:rPr>
        <w:t>OMPI, tenue du 5</w:t>
      </w:r>
      <w:r w:rsidR="00A53B0A">
        <w:rPr>
          <w:lang w:val="fr-CH"/>
        </w:rPr>
        <w:t> </w:t>
      </w:r>
      <w:r w:rsidR="00452333" w:rsidRPr="00946212">
        <w:rPr>
          <w:lang w:val="fr-CH"/>
        </w:rPr>
        <w:t>au</w:t>
      </w:r>
      <w:r w:rsidR="00A53B0A">
        <w:rPr>
          <w:lang w:val="fr-CH"/>
        </w:rPr>
        <w:t> </w:t>
      </w:r>
      <w:r w:rsidR="00452333" w:rsidRPr="00946212">
        <w:rPr>
          <w:lang w:val="fr-CH"/>
        </w:rPr>
        <w:t>1</w:t>
      </w:r>
      <w:r w:rsidR="00F52F90" w:rsidRPr="00946212">
        <w:rPr>
          <w:lang w:val="fr-CH"/>
        </w:rPr>
        <w:t>4 octobre 20</w:t>
      </w:r>
      <w:r w:rsidR="00452333" w:rsidRPr="00946212">
        <w:rPr>
          <w:lang w:val="fr-CH"/>
        </w:rPr>
        <w:t>15.</w:t>
      </w:r>
    </w:p>
  </w:footnote>
  <w:footnote w:id="5">
    <w:p w:rsidR="002745D3" w:rsidRPr="0050421D" w:rsidRDefault="002745D3">
      <w:pPr>
        <w:pStyle w:val="FootnoteText"/>
        <w:rPr>
          <w:lang w:val="fr-CH"/>
        </w:rPr>
      </w:pPr>
      <w:r>
        <w:rPr>
          <w:rStyle w:val="FootnoteReference"/>
        </w:rPr>
        <w:footnoteRef/>
      </w:r>
      <w:r w:rsidRPr="0050421D">
        <w:rPr>
          <w:lang w:val="fr-CH"/>
        </w:rPr>
        <w:t xml:space="preserve"> </w:t>
      </w:r>
      <w:r w:rsidR="00A53B0A">
        <w:rPr>
          <w:lang w:val="fr-CH"/>
        </w:rPr>
        <w:tab/>
      </w:r>
      <w:r w:rsidR="00D84618">
        <w:rPr>
          <w:lang w:val="fr-CH"/>
        </w:rPr>
        <w:t>À</w:t>
      </w:r>
      <w:r w:rsidR="0050421D" w:rsidRPr="0050421D">
        <w:rPr>
          <w:color w:val="000000"/>
          <w:lang w:val="fr-CH"/>
        </w:rPr>
        <w:t xml:space="preserve"> la suite d</w:t>
      </w:r>
      <w:r w:rsidR="00F52F90">
        <w:rPr>
          <w:color w:val="000000"/>
          <w:lang w:val="fr-CH"/>
        </w:rPr>
        <w:t>’</w:t>
      </w:r>
      <w:r w:rsidR="0050421D" w:rsidRPr="0050421D">
        <w:rPr>
          <w:color w:val="000000"/>
          <w:lang w:val="fr-CH"/>
        </w:rPr>
        <w:t>une mise au concours, Mme</w:t>
      </w:r>
      <w:r w:rsidR="00D84618">
        <w:rPr>
          <w:color w:val="000000"/>
          <w:lang w:val="fr-CH"/>
        </w:rPr>
        <w:t> </w:t>
      </w:r>
      <w:r w:rsidR="0050421D" w:rsidRPr="0050421D">
        <w:rPr>
          <w:color w:val="000000"/>
          <w:lang w:val="fr-CH"/>
        </w:rPr>
        <w:t>Chitra</w:t>
      </w:r>
      <w:r w:rsidR="00D84618">
        <w:rPr>
          <w:color w:val="000000"/>
          <w:lang w:val="fr-CH"/>
        </w:rPr>
        <w:t> </w:t>
      </w:r>
      <w:proofErr w:type="spellStart"/>
      <w:r w:rsidR="0050421D" w:rsidRPr="0050421D">
        <w:rPr>
          <w:color w:val="000000"/>
          <w:lang w:val="fr-CH"/>
        </w:rPr>
        <w:t>Radhakishun</w:t>
      </w:r>
      <w:proofErr w:type="spellEnd"/>
      <w:r w:rsidR="0050421D" w:rsidRPr="0050421D">
        <w:rPr>
          <w:color w:val="000000"/>
          <w:lang w:val="fr-CH"/>
        </w:rPr>
        <w:t xml:space="preserve">, ressortissante du </w:t>
      </w:r>
      <w:r w:rsidR="0050421D" w:rsidRPr="00F52F90">
        <w:rPr>
          <w:lang w:val="fr-CH"/>
        </w:rPr>
        <w:t>Suriname</w:t>
      </w:r>
      <w:r w:rsidR="0050421D" w:rsidRPr="0050421D">
        <w:rPr>
          <w:color w:val="000000"/>
          <w:lang w:val="fr-CH"/>
        </w:rPr>
        <w:t>, a été nommée chef du Bureau de la déontologie de l</w:t>
      </w:r>
      <w:r w:rsidR="00F52F90">
        <w:rPr>
          <w:color w:val="000000"/>
          <w:lang w:val="fr-CH"/>
        </w:rPr>
        <w:t>’</w:t>
      </w:r>
      <w:r w:rsidR="0050421D" w:rsidRPr="0050421D">
        <w:rPr>
          <w:color w:val="000000"/>
          <w:lang w:val="fr-CH"/>
        </w:rPr>
        <w:t>OMPI, Cabinet du Directeur général.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A39C5" w:rsidP="00477D6B">
    <w:pPr>
      <w:jc w:val="right"/>
    </w:pPr>
    <w:bookmarkStart w:id="6" w:name="Code2"/>
    <w:bookmarkEnd w:id="6"/>
    <w:r>
      <w:t>W</w:t>
    </w:r>
    <w:r w:rsidR="00C90E92">
      <w:t>O/CC/73</w:t>
    </w:r>
    <w:r>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5621D2">
      <w:rPr>
        <w:noProof/>
      </w:rPr>
      <w:t>7</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5704B60"/>
    <w:multiLevelType w:val="hybridMultilevel"/>
    <w:tmpl w:val="970C29B4"/>
    <w:lvl w:ilvl="0" w:tplc="498C06FA">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61A15FB"/>
    <w:multiLevelType w:val="hybridMultilevel"/>
    <w:tmpl w:val="F5D0E250"/>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2D7FF1"/>
    <w:multiLevelType w:val="hybridMultilevel"/>
    <w:tmpl w:val="0AB631B2"/>
    <w:lvl w:ilvl="0" w:tplc="22662466">
      <w:start w:val="1"/>
      <w:numFmt w:val="bullet"/>
      <w:lvlText w:val=""/>
      <w:lvlJc w:val="left"/>
      <w:pPr>
        <w:ind w:left="720" w:hanging="360"/>
      </w:pPr>
      <w:rPr>
        <w:rFonts w:ascii="Symbol" w:hAnsi="Symbol" w:hint="default"/>
      </w:rPr>
    </w:lvl>
    <w:lvl w:ilvl="1" w:tplc="2266246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9980178"/>
    <w:multiLevelType w:val="hybridMultilevel"/>
    <w:tmpl w:val="FAEE2D18"/>
    <w:lvl w:ilvl="0" w:tplc="226624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8">
    <w:nsid w:val="31BD5C47"/>
    <w:multiLevelType w:val="hybridMultilevel"/>
    <w:tmpl w:val="D67C0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176089"/>
    <w:multiLevelType w:val="hybridMultilevel"/>
    <w:tmpl w:val="65606EFA"/>
    <w:lvl w:ilvl="0" w:tplc="04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0">
    <w:nsid w:val="3BE45086"/>
    <w:multiLevelType w:val="hybridMultilevel"/>
    <w:tmpl w:val="EF2C1C4A"/>
    <w:lvl w:ilvl="0" w:tplc="22662466">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264034"/>
    <w:multiLevelType w:val="hybridMultilevel"/>
    <w:tmpl w:val="8410CD5C"/>
    <w:lvl w:ilvl="0" w:tplc="226624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454D4B34"/>
    <w:multiLevelType w:val="hybridMultilevel"/>
    <w:tmpl w:val="BA94333A"/>
    <w:lvl w:ilvl="0" w:tplc="B056791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5933283"/>
    <w:multiLevelType w:val="hybridMultilevel"/>
    <w:tmpl w:val="6B3E81C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8161043"/>
    <w:multiLevelType w:val="hybridMultilevel"/>
    <w:tmpl w:val="3CCCB8C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D611B76"/>
    <w:multiLevelType w:val="hybridMultilevel"/>
    <w:tmpl w:val="3884A4B8"/>
    <w:lvl w:ilvl="0" w:tplc="936E7698">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2C85E2B"/>
    <w:multiLevelType w:val="hybridMultilevel"/>
    <w:tmpl w:val="CDB060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4473D6C"/>
    <w:multiLevelType w:val="hybridMultilevel"/>
    <w:tmpl w:val="E40C397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BC1985"/>
    <w:multiLevelType w:val="hybridMultilevel"/>
    <w:tmpl w:val="8E8C2082"/>
    <w:lvl w:ilvl="0" w:tplc="2266246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AD806B4"/>
    <w:multiLevelType w:val="hybridMultilevel"/>
    <w:tmpl w:val="9122410C"/>
    <w:lvl w:ilvl="0" w:tplc="F8F6B29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2"/>
  </w:num>
  <w:num w:numId="3">
    <w:abstractNumId w:val="0"/>
  </w:num>
  <w:num w:numId="4">
    <w:abstractNumId w:val="14"/>
  </w:num>
  <w:num w:numId="5">
    <w:abstractNumId w:val="2"/>
  </w:num>
  <w:num w:numId="6">
    <w:abstractNumId w:val="7"/>
  </w:num>
  <w:num w:numId="7">
    <w:abstractNumId w:val="21"/>
  </w:num>
  <w:num w:numId="8">
    <w:abstractNumId w:val="19"/>
  </w:num>
  <w:num w:numId="9">
    <w:abstractNumId w:val="8"/>
  </w:num>
  <w:num w:numId="10">
    <w:abstractNumId w:val="9"/>
  </w:num>
  <w:num w:numId="11">
    <w:abstractNumId w:val="15"/>
  </w:num>
  <w:num w:numId="12">
    <w:abstractNumId w:val="18"/>
  </w:num>
  <w:num w:numId="13">
    <w:abstractNumId w:val="16"/>
  </w:num>
  <w:num w:numId="14">
    <w:abstractNumId w:val="17"/>
  </w:num>
  <w:num w:numId="15">
    <w:abstractNumId w:val="6"/>
  </w:num>
  <w:num w:numId="16">
    <w:abstractNumId w:val="3"/>
  </w:num>
  <w:num w:numId="17">
    <w:abstractNumId w:val="20"/>
  </w:num>
  <w:num w:numId="18">
    <w:abstractNumId w:val="10"/>
  </w:num>
  <w:num w:numId="19">
    <w:abstractNumId w:val="4"/>
  </w:num>
  <w:num w:numId="20">
    <w:abstractNumId w:val="11"/>
  </w:num>
  <w:num w:numId="21">
    <w:abstractNumId w:val="13"/>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7"/>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WIPONew"/>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WorkspaceFTS\EN-FR\UPOV|TextBase TMs\Glossaries\EN-FR|TextBase TMs\Administrative\Meetings|TextBase TMs\Administrative\Other|TextBase TMs\Administrative\Publications|TextBase TMs\Budget and Finance\Meetings|TextBase TMs\Budget and Finance\Other|TextBase TMs\Budget and Finance\Publications|TextBase TMs\Trademarks\Meetings|TextBase TMs\Trademarks\Other|TextBase TMs\Trademarks\Publications|TextBase TMs\Treaties\Model Laws|TextBase TMs\Treaties\Other Laws and Agreements|TextBase TMs\Treaties\WIPO-administered|TextBase TMs\Patents\Meetings|TextBase TMs\Patents\Other|TextBase TMs\Patent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4A39C5"/>
    <w:rsid w:val="00012F67"/>
    <w:rsid w:val="00020D3D"/>
    <w:rsid w:val="00032130"/>
    <w:rsid w:val="0003407E"/>
    <w:rsid w:val="00043CAA"/>
    <w:rsid w:val="000453F7"/>
    <w:rsid w:val="00075432"/>
    <w:rsid w:val="00081DA4"/>
    <w:rsid w:val="000968ED"/>
    <w:rsid w:val="000B1721"/>
    <w:rsid w:val="000F5E56"/>
    <w:rsid w:val="001362EE"/>
    <w:rsid w:val="00142EF5"/>
    <w:rsid w:val="001832A6"/>
    <w:rsid w:val="001B70D2"/>
    <w:rsid w:val="001D2F53"/>
    <w:rsid w:val="00203B1A"/>
    <w:rsid w:val="002056D1"/>
    <w:rsid w:val="00237BFE"/>
    <w:rsid w:val="00261A93"/>
    <w:rsid w:val="002633F8"/>
    <w:rsid w:val="002634C4"/>
    <w:rsid w:val="002745D3"/>
    <w:rsid w:val="0027525B"/>
    <w:rsid w:val="00287B2A"/>
    <w:rsid w:val="002928D3"/>
    <w:rsid w:val="002B782D"/>
    <w:rsid w:val="002E59C4"/>
    <w:rsid w:val="002F0767"/>
    <w:rsid w:val="002F0E0A"/>
    <w:rsid w:val="002F1FE6"/>
    <w:rsid w:val="002F4E68"/>
    <w:rsid w:val="00312F7F"/>
    <w:rsid w:val="00317391"/>
    <w:rsid w:val="00323882"/>
    <w:rsid w:val="00361450"/>
    <w:rsid w:val="0036672F"/>
    <w:rsid w:val="003673CF"/>
    <w:rsid w:val="00370EEC"/>
    <w:rsid w:val="003845C1"/>
    <w:rsid w:val="003A6F89"/>
    <w:rsid w:val="003B38C1"/>
    <w:rsid w:val="00423E3E"/>
    <w:rsid w:val="00427AF4"/>
    <w:rsid w:val="00452333"/>
    <w:rsid w:val="00454884"/>
    <w:rsid w:val="004647DA"/>
    <w:rsid w:val="00474062"/>
    <w:rsid w:val="00477D6B"/>
    <w:rsid w:val="00495AE9"/>
    <w:rsid w:val="004A39C5"/>
    <w:rsid w:val="004A6D1F"/>
    <w:rsid w:val="004F743D"/>
    <w:rsid w:val="005019FF"/>
    <w:rsid w:val="0050421D"/>
    <w:rsid w:val="0053057A"/>
    <w:rsid w:val="00530C4F"/>
    <w:rsid w:val="0054276D"/>
    <w:rsid w:val="005431C5"/>
    <w:rsid w:val="005453AB"/>
    <w:rsid w:val="00553405"/>
    <w:rsid w:val="00560A29"/>
    <w:rsid w:val="005621D2"/>
    <w:rsid w:val="00571406"/>
    <w:rsid w:val="00583E20"/>
    <w:rsid w:val="005C6649"/>
    <w:rsid w:val="005D5AD0"/>
    <w:rsid w:val="0060285E"/>
    <w:rsid w:val="00605827"/>
    <w:rsid w:val="0062746A"/>
    <w:rsid w:val="006445DB"/>
    <w:rsid w:val="00646050"/>
    <w:rsid w:val="006713CA"/>
    <w:rsid w:val="00676C5C"/>
    <w:rsid w:val="00680E39"/>
    <w:rsid w:val="006E5EBA"/>
    <w:rsid w:val="00705AEC"/>
    <w:rsid w:val="007104F5"/>
    <w:rsid w:val="00714EF7"/>
    <w:rsid w:val="00735F32"/>
    <w:rsid w:val="00760AE4"/>
    <w:rsid w:val="0077402D"/>
    <w:rsid w:val="00775E3F"/>
    <w:rsid w:val="007C08BC"/>
    <w:rsid w:val="007D1613"/>
    <w:rsid w:val="0080162C"/>
    <w:rsid w:val="00806D74"/>
    <w:rsid w:val="00826C7E"/>
    <w:rsid w:val="00894820"/>
    <w:rsid w:val="008B2CC1"/>
    <w:rsid w:val="008B60B2"/>
    <w:rsid w:val="008B6CA0"/>
    <w:rsid w:val="008D4917"/>
    <w:rsid w:val="009037F6"/>
    <w:rsid w:val="00905661"/>
    <w:rsid w:val="0090731E"/>
    <w:rsid w:val="00916EE2"/>
    <w:rsid w:val="00924DDE"/>
    <w:rsid w:val="009420E6"/>
    <w:rsid w:val="00946212"/>
    <w:rsid w:val="009463BC"/>
    <w:rsid w:val="00954F05"/>
    <w:rsid w:val="00966A22"/>
    <w:rsid w:val="0096722F"/>
    <w:rsid w:val="00976389"/>
    <w:rsid w:val="00980843"/>
    <w:rsid w:val="009821DF"/>
    <w:rsid w:val="009E2791"/>
    <w:rsid w:val="009E3F6F"/>
    <w:rsid w:val="009F499F"/>
    <w:rsid w:val="009F7E67"/>
    <w:rsid w:val="00A42DAF"/>
    <w:rsid w:val="00A42FC4"/>
    <w:rsid w:val="00A45BD8"/>
    <w:rsid w:val="00A53B0A"/>
    <w:rsid w:val="00A548F5"/>
    <w:rsid w:val="00A5740A"/>
    <w:rsid w:val="00A869B7"/>
    <w:rsid w:val="00A93BFF"/>
    <w:rsid w:val="00AC205C"/>
    <w:rsid w:val="00AD36A8"/>
    <w:rsid w:val="00AF0A6B"/>
    <w:rsid w:val="00B05A69"/>
    <w:rsid w:val="00B14260"/>
    <w:rsid w:val="00B16E3A"/>
    <w:rsid w:val="00B244DF"/>
    <w:rsid w:val="00B24872"/>
    <w:rsid w:val="00B9734B"/>
    <w:rsid w:val="00BA30E2"/>
    <w:rsid w:val="00BB17E9"/>
    <w:rsid w:val="00BC11A7"/>
    <w:rsid w:val="00BE3582"/>
    <w:rsid w:val="00C00AE8"/>
    <w:rsid w:val="00C11BFE"/>
    <w:rsid w:val="00C12782"/>
    <w:rsid w:val="00C4191E"/>
    <w:rsid w:val="00C511F9"/>
    <w:rsid w:val="00C70481"/>
    <w:rsid w:val="00C70AE0"/>
    <w:rsid w:val="00C801B7"/>
    <w:rsid w:val="00C90E92"/>
    <w:rsid w:val="00C92E51"/>
    <w:rsid w:val="00CD04F1"/>
    <w:rsid w:val="00CE68B2"/>
    <w:rsid w:val="00CF1BF9"/>
    <w:rsid w:val="00D0288E"/>
    <w:rsid w:val="00D075D7"/>
    <w:rsid w:val="00D2277E"/>
    <w:rsid w:val="00D45252"/>
    <w:rsid w:val="00D71B4D"/>
    <w:rsid w:val="00D84618"/>
    <w:rsid w:val="00D93D55"/>
    <w:rsid w:val="00DE11AC"/>
    <w:rsid w:val="00DE540B"/>
    <w:rsid w:val="00E25161"/>
    <w:rsid w:val="00E335FE"/>
    <w:rsid w:val="00E36120"/>
    <w:rsid w:val="00E512FB"/>
    <w:rsid w:val="00E6090D"/>
    <w:rsid w:val="00E640A7"/>
    <w:rsid w:val="00EB1204"/>
    <w:rsid w:val="00EC4E49"/>
    <w:rsid w:val="00ED6F78"/>
    <w:rsid w:val="00ED77FB"/>
    <w:rsid w:val="00EE45FA"/>
    <w:rsid w:val="00F422A4"/>
    <w:rsid w:val="00F52F90"/>
    <w:rsid w:val="00F66152"/>
    <w:rsid w:val="00FC0708"/>
    <w:rsid w:val="00FC2820"/>
    <w:rsid w:val="00FD4F9C"/>
    <w:rsid w:val="00FE1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87B2A"/>
    <w:pPr>
      <w:keepNext/>
      <w:numPr>
        <w:numId w:val="22"/>
      </w:numPr>
      <w:spacing w:before="240" w:after="60"/>
      <w:ind w:left="567" w:hanging="567"/>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link w:val="FootnoteText"/>
    <w:semiHidden/>
    <w:rsid w:val="004A39C5"/>
    <w:rPr>
      <w:rFonts w:ascii="Arial" w:eastAsia="SimSun" w:hAnsi="Arial" w:cs="Arial"/>
      <w:sz w:val="18"/>
      <w:lang w:eastAsia="zh-CN"/>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Spacing">
    <w:name w:val="No Spacing"/>
    <w:uiPriority w:val="1"/>
    <w:qFormat/>
    <w:rsid w:val="004A39C5"/>
    <w:rPr>
      <w:rFonts w:ascii="Arial" w:hAnsi="Arial" w:cs="Arial"/>
      <w:sz w:val="22"/>
    </w:rPr>
  </w:style>
  <w:style w:type="paragraph" w:customStyle="1" w:styleId="Default">
    <w:name w:val="Default"/>
    <w:rsid w:val="004A39C5"/>
    <w:pPr>
      <w:autoSpaceDE w:val="0"/>
      <w:autoSpaceDN w:val="0"/>
      <w:adjustRightInd w:val="0"/>
    </w:pPr>
    <w:rPr>
      <w:rFonts w:ascii="Arial" w:eastAsia="Calibri" w:hAnsi="Arial" w:cs="Arial"/>
      <w:color w:val="000000"/>
      <w:sz w:val="24"/>
      <w:szCs w:val="24"/>
    </w:rPr>
  </w:style>
  <w:style w:type="character" w:styleId="FootnoteReference">
    <w:name w:val="footnote reference"/>
    <w:rsid w:val="004A39C5"/>
    <w:rPr>
      <w:vertAlign w:val="superscript"/>
    </w:rPr>
  </w:style>
  <w:style w:type="paragraph" w:styleId="ListParagraph">
    <w:name w:val="List Paragraph"/>
    <w:basedOn w:val="Normal"/>
    <w:uiPriority w:val="34"/>
    <w:qFormat/>
    <w:rsid w:val="004A39C5"/>
    <w:pPr>
      <w:ind w:left="720"/>
      <w:contextualSpacing/>
    </w:pPr>
  </w:style>
  <w:style w:type="paragraph" w:customStyle="1" w:styleId="Style">
    <w:name w:val="Style"/>
    <w:rsid w:val="004A39C5"/>
    <w:pPr>
      <w:widowControl w:val="0"/>
      <w:autoSpaceDE w:val="0"/>
      <w:autoSpaceDN w:val="0"/>
      <w:adjustRightInd w:val="0"/>
    </w:pPr>
    <w:rPr>
      <w:rFonts w:ascii="Arial" w:hAnsi="Arial" w:cs="Arial"/>
      <w:sz w:val="24"/>
      <w:szCs w:val="24"/>
      <w:lang w:val="en-GB" w:eastAsia="en-GB"/>
    </w:rPr>
  </w:style>
  <w:style w:type="paragraph" w:styleId="BalloonText">
    <w:name w:val="Balloon Text"/>
    <w:basedOn w:val="Normal"/>
    <w:link w:val="BalloonTextChar"/>
    <w:rsid w:val="00A93BFF"/>
    <w:rPr>
      <w:rFonts w:ascii="Tahoma" w:hAnsi="Tahoma" w:cs="Tahoma"/>
      <w:sz w:val="16"/>
      <w:szCs w:val="16"/>
    </w:rPr>
  </w:style>
  <w:style w:type="character" w:customStyle="1" w:styleId="BalloonTextChar">
    <w:name w:val="Balloon Text Char"/>
    <w:basedOn w:val="DefaultParagraphFont"/>
    <w:link w:val="BalloonText"/>
    <w:rsid w:val="00A93BFF"/>
    <w:rPr>
      <w:rFonts w:ascii="Tahoma" w:eastAsia="SimSun" w:hAnsi="Tahoma" w:cs="Tahoma"/>
      <w:sz w:val="16"/>
      <w:szCs w:val="16"/>
      <w:lang w:eastAsia="zh-CN"/>
    </w:rPr>
  </w:style>
  <w:style w:type="character" w:styleId="Hyperlink">
    <w:name w:val="Hyperlink"/>
    <w:basedOn w:val="DefaultParagraphFont"/>
    <w:rsid w:val="00F52F9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287B2A"/>
    <w:pPr>
      <w:keepNext/>
      <w:numPr>
        <w:numId w:val="22"/>
      </w:numPr>
      <w:spacing w:before="240" w:after="60"/>
      <w:ind w:left="567" w:hanging="567"/>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FootnoteTextChar">
    <w:name w:val="Footnote Text Char"/>
    <w:link w:val="FootnoteText"/>
    <w:semiHidden/>
    <w:rsid w:val="004A39C5"/>
    <w:rPr>
      <w:rFonts w:ascii="Arial" w:eastAsia="SimSun" w:hAnsi="Arial" w:cs="Arial"/>
      <w:sz w:val="18"/>
      <w:lang w:eastAsia="zh-CN"/>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Spacing">
    <w:name w:val="No Spacing"/>
    <w:uiPriority w:val="1"/>
    <w:qFormat/>
    <w:rsid w:val="004A39C5"/>
    <w:rPr>
      <w:rFonts w:ascii="Arial" w:hAnsi="Arial" w:cs="Arial"/>
      <w:sz w:val="22"/>
    </w:rPr>
  </w:style>
  <w:style w:type="paragraph" w:customStyle="1" w:styleId="Default">
    <w:name w:val="Default"/>
    <w:rsid w:val="004A39C5"/>
    <w:pPr>
      <w:autoSpaceDE w:val="0"/>
      <w:autoSpaceDN w:val="0"/>
      <w:adjustRightInd w:val="0"/>
    </w:pPr>
    <w:rPr>
      <w:rFonts w:ascii="Arial" w:eastAsia="Calibri" w:hAnsi="Arial" w:cs="Arial"/>
      <w:color w:val="000000"/>
      <w:sz w:val="24"/>
      <w:szCs w:val="24"/>
    </w:rPr>
  </w:style>
  <w:style w:type="character" w:styleId="FootnoteReference">
    <w:name w:val="footnote reference"/>
    <w:rsid w:val="004A39C5"/>
    <w:rPr>
      <w:vertAlign w:val="superscript"/>
    </w:rPr>
  </w:style>
  <w:style w:type="paragraph" w:styleId="ListParagraph">
    <w:name w:val="List Paragraph"/>
    <w:basedOn w:val="Normal"/>
    <w:uiPriority w:val="34"/>
    <w:qFormat/>
    <w:rsid w:val="004A39C5"/>
    <w:pPr>
      <w:ind w:left="720"/>
      <w:contextualSpacing/>
    </w:pPr>
  </w:style>
  <w:style w:type="paragraph" w:customStyle="1" w:styleId="Style">
    <w:name w:val="Style"/>
    <w:rsid w:val="004A39C5"/>
    <w:pPr>
      <w:widowControl w:val="0"/>
      <w:autoSpaceDE w:val="0"/>
      <w:autoSpaceDN w:val="0"/>
      <w:adjustRightInd w:val="0"/>
    </w:pPr>
    <w:rPr>
      <w:rFonts w:ascii="Arial" w:hAnsi="Arial" w:cs="Arial"/>
      <w:sz w:val="24"/>
      <w:szCs w:val="24"/>
      <w:lang w:val="en-GB" w:eastAsia="en-GB"/>
    </w:rPr>
  </w:style>
  <w:style w:type="paragraph" w:styleId="BalloonText">
    <w:name w:val="Balloon Text"/>
    <w:basedOn w:val="Normal"/>
    <w:link w:val="BalloonTextChar"/>
    <w:rsid w:val="00A93BFF"/>
    <w:rPr>
      <w:rFonts w:ascii="Tahoma" w:hAnsi="Tahoma" w:cs="Tahoma"/>
      <w:sz w:val="16"/>
      <w:szCs w:val="16"/>
    </w:rPr>
  </w:style>
  <w:style w:type="character" w:customStyle="1" w:styleId="BalloonTextChar">
    <w:name w:val="Balloon Text Char"/>
    <w:basedOn w:val="DefaultParagraphFont"/>
    <w:link w:val="BalloonText"/>
    <w:rsid w:val="00A93BFF"/>
    <w:rPr>
      <w:rFonts w:ascii="Tahoma" w:eastAsia="SimSun" w:hAnsi="Tahoma" w:cs="Tahoma"/>
      <w:sz w:val="16"/>
      <w:szCs w:val="16"/>
      <w:lang w:eastAsia="zh-CN"/>
    </w:rPr>
  </w:style>
  <w:style w:type="character" w:styleId="Hyperlink">
    <w:name w:val="Hyperlink"/>
    <w:basedOn w:val="DefaultParagraphFont"/>
    <w:rsid w:val="00F52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B816D9-47B0-4AAC-9FA8-0AF3BF7F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62E30F5D</Template>
  <TotalTime>40</TotalTime>
  <Pages>7</Pages>
  <Words>2408</Words>
  <Characters>12758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WO/CC/72/</vt:lpstr>
    </vt:vector>
  </TitlesOfParts>
  <Company>WIPO</Company>
  <LinksUpToDate>false</LinksUpToDate>
  <CharactersWithSpaces>15136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WO/CC/72/</dc:title>
  <dc:creator>Chitra RADHAKISHUN</dc:creator>
  <cp:lastModifiedBy>HÄFLIGER Patience</cp:lastModifiedBy>
  <cp:revision>15</cp:revision>
  <cp:lastPrinted>2016-08-01T09:10:00Z</cp:lastPrinted>
  <dcterms:created xsi:type="dcterms:W3CDTF">2016-07-29T06:50:00Z</dcterms:created>
  <dcterms:modified xsi:type="dcterms:W3CDTF">2016-08-01T09:11:00Z</dcterms:modified>
</cp:coreProperties>
</file>