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9236B" w:rsidRPr="008857FF" w:rsidTr="001D141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9236B" w:rsidRPr="008857FF" w:rsidRDefault="0029236B" w:rsidP="003970A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236B" w:rsidRPr="008857FF" w:rsidRDefault="0029236B" w:rsidP="003970AA">
            <w:r w:rsidRPr="008857FF">
              <w:rPr>
                <w:noProof/>
                <w:lang w:val="en-US" w:eastAsia="en-US"/>
              </w:rPr>
              <w:drawing>
                <wp:inline distT="0" distB="0" distL="0" distR="0" wp14:anchorId="5C34E8B2" wp14:editId="74CFDF5C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236B" w:rsidRPr="008857FF" w:rsidRDefault="0029236B" w:rsidP="003970AA">
            <w:pPr>
              <w:jc w:val="right"/>
            </w:pPr>
            <w:r w:rsidRPr="008857FF">
              <w:rPr>
                <w:b/>
                <w:sz w:val="40"/>
                <w:szCs w:val="40"/>
              </w:rPr>
              <w:t>F</w:t>
            </w:r>
          </w:p>
        </w:tc>
      </w:tr>
      <w:tr w:rsidR="0029236B" w:rsidRPr="008857FF" w:rsidTr="003970A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9236B" w:rsidRPr="008857FF" w:rsidRDefault="0029236B" w:rsidP="003970A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857FF">
              <w:rPr>
                <w:rFonts w:ascii="Arial Black" w:hAnsi="Arial Black"/>
                <w:caps/>
                <w:sz w:val="15"/>
              </w:rPr>
              <w:t>wo/cc/71/</w:t>
            </w:r>
            <w:bookmarkStart w:id="0" w:name="Code"/>
            <w:bookmarkEnd w:id="0"/>
            <w:r w:rsidRPr="008857FF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29236B" w:rsidRPr="008857FF" w:rsidTr="003970A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9236B" w:rsidRPr="008857FF" w:rsidRDefault="0029236B" w:rsidP="003970A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857FF">
              <w:rPr>
                <w:rFonts w:ascii="Arial Black" w:hAnsi="Arial Black"/>
                <w:caps/>
                <w:sz w:val="15"/>
              </w:rPr>
              <w:t>ORIGINAL</w:t>
            </w:r>
            <w:r w:rsidR="002E5A0E" w:rsidRPr="008857FF">
              <w:rPr>
                <w:rFonts w:ascii="Arial Black" w:hAnsi="Arial Black"/>
                <w:caps/>
                <w:sz w:val="15"/>
              </w:rPr>
              <w:t> </w:t>
            </w:r>
            <w:r w:rsidRPr="008857FF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Pr="008857FF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29236B" w:rsidRPr="008857FF" w:rsidTr="003970A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9236B" w:rsidRPr="008857FF" w:rsidRDefault="0029236B" w:rsidP="003970A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857FF">
              <w:rPr>
                <w:rFonts w:ascii="Arial Black" w:hAnsi="Arial Black"/>
                <w:caps/>
                <w:sz w:val="15"/>
              </w:rPr>
              <w:t>DATE</w:t>
            </w:r>
            <w:r w:rsidR="002E5A0E" w:rsidRPr="008857FF">
              <w:rPr>
                <w:rFonts w:ascii="Arial Black" w:hAnsi="Arial Black"/>
                <w:caps/>
                <w:sz w:val="15"/>
              </w:rPr>
              <w:t> </w:t>
            </w:r>
            <w:r w:rsidRPr="008857FF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1D1413" w:rsidRPr="008857FF">
              <w:rPr>
                <w:rFonts w:ascii="Arial Black" w:hAnsi="Arial Black"/>
                <w:caps/>
                <w:sz w:val="15"/>
              </w:rPr>
              <w:t>7 juillet 20</w:t>
            </w:r>
            <w:r w:rsidRPr="008857FF">
              <w:rPr>
                <w:rFonts w:ascii="Arial Black" w:hAnsi="Arial Black"/>
                <w:caps/>
                <w:sz w:val="15"/>
              </w:rPr>
              <w:t>15</w:t>
            </w:r>
          </w:p>
        </w:tc>
      </w:tr>
    </w:tbl>
    <w:p w:rsidR="0029236B" w:rsidRPr="008857FF" w:rsidRDefault="0029236B" w:rsidP="0029236B"/>
    <w:p w:rsidR="0029236B" w:rsidRPr="008857FF" w:rsidRDefault="0029236B" w:rsidP="0029236B"/>
    <w:p w:rsidR="0029236B" w:rsidRPr="008857FF" w:rsidRDefault="0029236B" w:rsidP="0029236B"/>
    <w:p w:rsidR="0029236B" w:rsidRPr="008857FF" w:rsidRDefault="0029236B" w:rsidP="0029236B"/>
    <w:p w:rsidR="0029236B" w:rsidRPr="008857FF" w:rsidRDefault="0029236B" w:rsidP="0029236B"/>
    <w:p w:rsidR="0029236B" w:rsidRPr="008857FF" w:rsidRDefault="0029236B" w:rsidP="0029236B">
      <w:pPr>
        <w:rPr>
          <w:b/>
          <w:sz w:val="28"/>
          <w:szCs w:val="28"/>
        </w:rPr>
      </w:pPr>
      <w:r w:rsidRPr="008857FF">
        <w:rPr>
          <w:b/>
          <w:sz w:val="28"/>
          <w:szCs w:val="28"/>
        </w:rPr>
        <w:t xml:space="preserve">Comité de coordination de </w:t>
      </w:r>
      <w:r w:rsidR="00D342C7" w:rsidRPr="008857FF">
        <w:rPr>
          <w:b/>
          <w:sz w:val="28"/>
          <w:szCs w:val="28"/>
        </w:rPr>
        <w:t>l</w:t>
      </w:r>
      <w:r w:rsidR="0054793B" w:rsidRPr="008857FF">
        <w:rPr>
          <w:b/>
          <w:sz w:val="28"/>
          <w:szCs w:val="28"/>
        </w:rPr>
        <w:t>’</w:t>
      </w:r>
      <w:r w:rsidRPr="008857FF">
        <w:rPr>
          <w:b/>
          <w:sz w:val="28"/>
          <w:szCs w:val="28"/>
        </w:rPr>
        <w:t>OMPI</w:t>
      </w:r>
    </w:p>
    <w:p w:rsidR="0029236B" w:rsidRPr="008857FF" w:rsidRDefault="0029236B" w:rsidP="0029236B"/>
    <w:p w:rsidR="0029236B" w:rsidRPr="008857FF" w:rsidRDefault="0029236B" w:rsidP="0029236B"/>
    <w:p w:rsidR="0029236B" w:rsidRPr="008857FF" w:rsidRDefault="0029236B" w:rsidP="0029236B">
      <w:pPr>
        <w:rPr>
          <w:b/>
          <w:sz w:val="24"/>
          <w:szCs w:val="24"/>
        </w:rPr>
      </w:pPr>
      <w:r w:rsidRPr="008857FF">
        <w:rPr>
          <w:b/>
          <w:sz w:val="24"/>
          <w:szCs w:val="24"/>
        </w:rPr>
        <w:t>Soixante et onzième</w:t>
      </w:r>
      <w:r w:rsidR="002E5A0E" w:rsidRPr="008857FF">
        <w:rPr>
          <w:b/>
          <w:sz w:val="24"/>
          <w:szCs w:val="24"/>
        </w:rPr>
        <w:t> </w:t>
      </w:r>
      <w:r w:rsidRPr="008857FF">
        <w:rPr>
          <w:b/>
          <w:sz w:val="24"/>
          <w:szCs w:val="24"/>
        </w:rPr>
        <w:t>session (46</w:t>
      </w:r>
      <w:r w:rsidRPr="008857FF">
        <w:rPr>
          <w:b/>
          <w:sz w:val="24"/>
          <w:szCs w:val="24"/>
          <w:vertAlign w:val="superscript"/>
        </w:rPr>
        <w:t>e</w:t>
      </w:r>
      <w:r w:rsidRPr="008857FF">
        <w:rPr>
          <w:b/>
          <w:sz w:val="24"/>
          <w:szCs w:val="24"/>
        </w:rPr>
        <w:t xml:space="preserve"> session ordinaire)</w:t>
      </w:r>
    </w:p>
    <w:p w:rsidR="0029236B" w:rsidRPr="008857FF" w:rsidRDefault="0029236B" w:rsidP="0029236B">
      <w:pPr>
        <w:rPr>
          <w:b/>
          <w:sz w:val="24"/>
          <w:szCs w:val="24"/>
        </w:rPr>
      </w:pPr>
      <w:r w:rsidRPr="008857FF">
        <w:rPr>
          <w:b/>
          <w:sz w:val="24"/>
          <w:szCs w:val="24"/>
        </w:rPr>
        <w:t>Genève, 5 – 1</w:t>
      </w:r>
      <w:r w:rsidR="001D1413" w:rsidRPr="008857FF">
        <w:rPr>
          <w:b/>
          <w:sz w:val="24"/>
          <w:szCs w:val="24"/>
        </w:rPr>
        <w:t>4 octobre 20</w:t>
      </w:r>
      <w:r w:rsidRPr="008857FF">
        <w:rPr>
          <w:b/>
          <w:sz w:val="24"/>
          <w:szCs w:val="24"/>
        </w:rPr>
        <w:t>15</w:t>
      </w:r>
    </w:p>
    <w:p w:rsidR="0029236B" w:rsidRPr="008857FF" w:rsidRDefault="0029236B" w:rsidP="0029236B"/>
    <w:p w:rsidR="0029236B" w:rsidRPr="008857FF" w:rsidRDefault="0029236B" w:rsidP="0029236B"/>
    <w:p w:rsidR="0029236B" w:rsidRPr="008857FF" w:rsidRDefault="0029236B" w:rsidP="0029236B"/>
    <w:p w:rsidR="00C570F7" w:rsidRPr="008857FF" w:rsidRDefault="00C032F2" w:rsidP="00C032F2">
      <w:pPr>
        <w:rPr>
          <w:caps/>
          <w:sz w:val="24"/>
        </w:rPr>
      </w:pPr>
      <w:r w:rsidRPr="008857FF">
        <w:rPr>
          <w:caps/>
          <w:sz w:val="24"/>
        </w:rPr>
        <w:t xml:space="preserve">approbation </w:t>
      </w:r>
      <w:r w:rsidR="00E76824" w:rsidRPr="008857FF">
        <w:rPr>
          <w:caps/>
          <w:sz w:val="24"/>
        </w:rPr>
        <w:t>d</w:t>
      </w:r>
      <w:r w:rsidR="0054793B" w:rsidRPr="008857FF">
        <w:rPr>
          <w:caps/>
          <w:sz w:val="24"/>
        </w:rPr>
        <w:t>’</w:t>
      </w:r>
      <w:r w:rsidRPr="008857FF">
        <w:rPr>
          <w:caps/>
          <w:sz w:val="24"/>
        </w:rPr>
        <w:t>accord</w:t>
      </w:r>
      <w:r w:rsidR="00E76824" w:rsidRPr="008857FF">
        <w:rPr>
          <w:caps/>
          <w:sz w:val="24"/>
        </w:rPr>
        <w:t>S</w:t>
      </w:r>
    </w:p>
    <w:p w:rsidR="00C570F7" w:rsidRPr="008857FF" w:rsidRDefault="00C570F7" w:rsidP="008B2CC1"/>
    <w:p w:rsidR="00C570F7" w:rsidRPr="008857FF" w:rsidRDefault="00CC34DC" w:rsidP="00C032F2">
      <w:pPr>
        <w:rPr>
          <w:i/>
        </w:rPr>
      </w:pPr>
      <w:bookmarkStart w:id="3" w:name="Prepared"/>
      <w:bookmarkEnd w:id="3"/>
      <w:r w:rsidRPr="008857FF">
        <w:rPr>
          <w:i/>
        </w:rPr>
        <w:t>Mémorandum du Directeur général</w:t>
      </w:r>
    </w:p>
    <w:p w:rsidR="00C570F7" w:rsidRPr="008857FF" w:rsidRDefault="00C570F7"/>
    <w:p w:rsidR="00C570F7" w:rsidRDefault="00C570F7"/>
    <w:p w:rsidR="00EF10E9" w:rsidRPr="008857FF" w:rsidRDefault="00EF10E9"/>
    <w:p w:rsidR="00C570F7" w:rsidRPr="008857FF" w:rsidRDefault="00C570F7" w:rsidP="0053057A"/>
    <w:p w:rsidR="00C570F7" w:rsidRPr="008857FF" w:rsidRDefault="00F9078F" w:rsidP="0093131C">
      <w:pPr>
        <w:pStyle w:val="ONUMFS"/>
      </w:pPr>
      <w:r w:rsidRPr="008857FF">
        <w:t>Conformément à l</w:t>
      </w:r>
      <w:r w:rsidR="0054793B" w:rsidRPr="008857FF">
        <w:t>’</w:t>
      </w:r>
      <w:r w:rsidRPr="008857FF">
        <w:t>article</w:t>
      </w:r>
      <w:r w:rsidR="002E5A0E" w:rsidRPr="008857FF">
        <w:t> </w:t>
      </w:r>
      <w:r w:rsidRPr="008857FF">
        <w:t>13.1) de la Convention instituant l</w:t>
      </w:r>
      <w:r w:rsidR="0054793B" w:rsidRPr="008857FF">
        <w:t>’</w:t>
      </w:r>
      <w:r w:rsidRPr="008857FF">
        <w:t>Organisation Mondiale de la Propriété Intellectuelle, tout accord visant à établir des relations de travail et une coopération avec d</w:t>
      </w:r>
      <w:r w:rsidR="0054793B" w:rsidRPr="008857FF">
        <w:t>’</w:t>
      </w:r>
      <w:r w:rsidRPr="008857FF">
        <w:t>autres organisations intergouvernementales est conclu par le Directeur général après approbation du Comité de coordination de l</w:t>
      </w:r>
      <w:r w:rsidR="0054793B" w:rsidRPr="008857FF">
        <w:t>’</w:t>
      </w:r>
      <w:r w:rsidRPr="008857FF">
        <w:t>OMPI.</w:t>
      </w:r>
    </w:p>
    <w:p w:rsidR="001D1413" w:rsidRPr="008857FF" w:rsidRDefault="00E84DDF" w:rsidP="0093131C">
      <w:pPr>
        <w:pStyle w:val="Heading2"/>
      </w:pPr>
      <w:r w:rsidRPr="008857FF">
        <w:t>Accord avec le Centre régional pour la promotion du livre en Amérique latine et dans les Caraïbes (CERLALC)</w:t>
      </w:r>
    </w:p>
    <w:p w:rsidR="00C570F7" w:rsidRPr="008857FF" w:rsidRDefault="00C570F7" w:rsidP="0093131C"/>
    <w:p w:rsidR="00C570F7" w:rsidRPr="008857FF" w:rsidRDefault="00F9078F" w:rsidP="0093131C">
      <w:pPr>
        <w:pStyle w:val="ONUMFS"/>
      </w:pPr>
      <w:r w:rsidRPr="008857FF">
        <w:t>Le Directeur général de l</w:t>
      </w:r>
      <w:r w:rsidR="0054793B" w:rsidRPr="008857FF">
        <w:t>’</w:t>
      </w:r>
      <w:r w:rsidRPr="008857FF">
        <w:t>OMPI et le directeur du Centre régional pour la promotion du livre en Amérique latine et dans les Caraïbes (CERLALC) ont établi un mémorandum d</w:t>
      </w:r>
      <w:r w:rsidR="0054793B" w:rsidRPr="008857FF">
        <w:t>’</w:t>
      </w:r>
      <w:r w:rsidRPr="008857FF">
        <w:t xml:space="preserve">accord en vue de renforcer leur collaboration dans le cadre des mandats qui </w:t>
      </w:r>
      <w:r w:rsidR="00D342C7" w:rsidRPr="008857FF">
        <w:t>leur</w:t>
      </w:r>
      <w:r w:rsidRPr="008857FF">
        <w:t xml:space="preserve"> sont confiés et dans l</w:t>
      </w:r>
      <w:r w:rsidR="0054793B" w:rsidRPr="008857FF">
        <w:t>’</w:t>
      </w:r>
      <w:r w:rsidRPr="008857FF">
        <w:t>intérêt de leurs États membres respectifs.</w:t>
      </w:r>
      <w:r w:rsidR="007A1B8A" w:rsidRPr="008857FF">
        <w:t xml:space="preserve">  </w:t>
      </w:r>
      <w:r w:rsidRPr="008857FF">
        <w:t xml:space="preserve">Le texte de </w:t>
      </w:r>
      <w:r w:rsidR="00E84DDF" w:rsidRPr="008857FF">
        <w:t>ce mémorandum d</w:t>
      </w:r>
      <w:r w:rsidR="0054793B" w:rsidRPr="008857FF">
        <w:t>’</w:t>
      </w:r>
      <w:r w:rsidRPr="008857FF">
        <w:t xml:space="preserve">accord est reproduit </w:t>
      </w:r>
      <w:r w:rsidR="00CC34DC" w:rsidRPr="008857FF">
        <w:t>à l</w:t>
      </w:r>
      <w:r w:rsidR="0054793B" w:rsidRPr="008857FF">
        <w:t>’</w:t>
      </w:r>
      <w:r w:rsidR="00CC34DC" w:rsidRPr="008857FF">
        <w:t xml:space="preserve">annexe I </w:t>
      </w:r>
      <w:r w:rsidRPr="008857FF">
        <w:t>du présent document.</w:t>
      </w:r>
    </w:p>
    <w:p w:rsidR="00EF10E9" w:rsidRPr="003225B2" w:rsidRDefault="00CC34DC" w:rsidP="0093131C">
      <w:pPr>
        <w:pStyle w:val="ONUMFS"/>
        <w:rPr>
          <w:i/>
        </w:rPr>
      </w:pPr>
      <w:r w:rsidRPr="008857FF">
        <w:t>Le Directeur général de l</w:t>
      </w:r>
      <w:r w:rsidR="0054793B" w:rsidRPr="008857FF">
        <w:t>’</w:t>
      </w:r>
      <w:r w:rsidRPr="008857FF">
        <w:t xml:space="preserve">OMPI et la secrétaire exécutive de la Commission économique et sociale </w:t>
      </w:r>
      <w:r w:rsidR="004E33B0" w:rsidRPr="008857FF">
        <w:t xml:space="preserve">des </w:t>
      </w:r>
      <w:r w:rsidR="0054793B" w:rsidRPr="008857FF">
        <w:t>Nations Unies</w:t>
      </w:r>
      <w:r w:rsidR="004E33B0" w:rsidRPr="008857FF">
        <w:t xml:space="preserve"> </w:t>
      </w:r>
      <w:r w:rsidRPr="008857FF">
        <w:t>pour l</w:t>
      </w:r>
      <w:r w:rsidR="0054793B" w:rsidRPr="008857FF">
        <w:t>’</w:t>
      </w:r>
      <w:r w:rsidRPr="008857FF">
        <w:t>Asie et le Pacifique (CESAP) ont établi un mémorandum d</w:t>
      </w:r>
      <w:r w:rsidR="0054793B" w:rsidRPr="008857FF">
        <w:t>’</w:t>
      </w:r>
      <w:r w:rsidRPr="008857FF">
        <w:t>accord en vue de renforcer leur collaboration, par la mise en œuvre d</w:t>
      </w:r>
      <w:r w:rsidR="0054793B" w:rsidRPr="008857FF">
        <w:t>’</w:t>
      </w:r>
      <w:r w:rsidRPr="008857FF">
        <w:t>activités et de programmes communs, dans le cadre des mandats qui leur sont confiés et dans l</w:t>
      </w:r>
      <w:r w:rsidR="0054793B" w:rsidRPr="008857FF">
        <w:t>’</w:t>
      </w:r>
      <w:r w:rsidRPr="008857FF">
        <w:t>intérêt de</w:t>
      </w:r>
      <w:r w:rsidR="00B51EB7">
        <w:t>s</w:t>
      </w:r>
      <w:r w:rsidRPr="008857FF">
        <w:t xml:space="preserve"> États membres </w:t>
      </w:r>
      <w:r w:rsidR="00B51EB7">
        <w:t>de la région Asie</w:t>
      </w:r>
      <w:r w:rsidR="00B51EB7">
        <w:noBreakHyphen/>
        <w:t>Pacifique</w:t>
      </w:r>
      <w:r w:rsidRPr="008857FF">
        <w:t>.  Le texte de ce mémorandum d</w:t>
      </w:r>
      <w:r w:rsidR="0054793B" w:rsidRPr="008857FF">
        <w:t>’</w:t>
      </w:r>
      <w:r w:rsidRPr="008857FF">
        <w:t>accord est reproduit à l</w:t>
      </w:r>
      <w:r w:rsidR="0054793B" w:rsidRPr="008857FF">
        <w:t>’</w:t>
      </w:r>
      <w:r w:rsidRPr="008857FF">
        <w:t>annexe II du présent document.</w:t>
      </w:r>
      <w:r w:rsidR="00EF10E9" w:rsidRPr="003225B2">
        <w:rPr>
          <w:i/>
        </w:rPr>
        <w:br w:type="page"/>
      </w:r>
    </w:p>
    <w:p w:rsidR="00C570F7" w:rsidRPr="008857FF" w:rsidRDefault="00F9078F" w:rsidP="0093131C">
      <w:pPr>
        <w:pStyle w:val="ONUMFS"/>
        <w:ind w:left="5533"/>
        <w:rPr>
          <w:i/>
        </w:rPr>
      </w:pPr>
      <w:r w:rsidRPr="008857FF">
        <w:rPr>
          <w:i/>
        </w:rPr>
        <w:lastRenderedPageBreak/>
        <w:t>Le Comité de coordination est invité à approuver le mémorandum d</w:t>
      </w:r>
      <w:r w:rsidR="0054793B" w:rsidRPr="008857FF">
        <w:rPr>
          <w:i/>
        </w:rPr>
        <w:t>’</w:t>
      </w:r>
      <w:r w:rsidRPr="008857FF">
        <w:rPr>
          <w:i/>
        </w:rPr>
        <w:t>accord entre l</w:t>
      </w:r>
      <w:r w:rsidR="0054793B" w:rsidRPr="008857FF">
        <w:rPr>
          <w:i/>
        </w:rPr>
        <w:t>’</w:t>
      </w:r>
      <w:r w:rsidRPr="008857FF">
        <w:rPr>
          <w:i/>
        </w:rPr>
        <w:t>OMPI et</w:t>
      </w:r>
      <w:r w:rsidR="001D1413" w:rsidRPr="008857FF">
        <w:rPr>
          <w:i/>
        </w:rPr>
        <w:t xml:space="preserve"> le CER</w:t>
      </w:r>
      <w:r w:rsidRPr="008857FF">
        <w:rPr>
          <w:i/>
        </w:rPr>
        <w:t xml:space="preserve">LALC </w:t>
      </w:r>
      <w:r w:rsidR="00CC34DC" w:rsidRPr="008857FF">
        <w:rPr>
          <w:i/>
        </w:rPr>
        <w:t>et le mémorandum d</w:t>
      </w:r>
      <w:r w:rsidR="0054793B" w:rsidRPr="008857FF">
        <w:rPr>
          <w:i/>
        </w:rPr>
        <w:t>’</w:t>
      </w:r>
      <w:r w:rsidR="00CC34DC" w:rsidRPr="008857FF">
        <w:rPr>
          <w:i/>
        </w:rPr>
        <w:t>accord entre l</w:t>
      </w:r>
      <w:r w:rsidR="0054793B" w:rsidRPr="008857FF">
        <w:rPr>
          <w:i/>
        </w:rPr>
        <w:t>’</w:t>
      </w:r>
      <w:r w:rsidR="00CC34DC" w:rsidRPr="008857FF">
        <w:rPr>
          <w:i/>
        </w:rPr>
        <w:t xml:space="preserve">OMPI et la CESAP </w:t>
      </w:r>
      <w:r w:rsidRPr="008857FF">
        <w:rPr>
          <w:i/>
        </w:rPr>
        <w:t xml:space="preserve">figurant </w:t>
      </w:r>
      <w:r w:rsidR="00CC34DC" w:rsidRPr="008857FF">
        <w:rPr>
          <w:i/>
        </w:rPr>
        <w:t xml:space="preserve">aux </w:t>
      </w:r>
      <w:r w:rsidRPr="008857FF">
        <w:rPr>
          <w:i/>
        </w:rPr>
        <w:t>annexe</w:t>
      </w:r>
      <w:r w:rsidR="00CC34DC" w:rsidRPr="008857FF">
        <w:rPr>
          <w:i/>
        </w:rPr>
        <w:t>s I et II</w:t>
      </w:r>
      <w:r w:rsidRPr="008857FF">
        <w:rPr>
          <w:i/>
        </w:rPr>
        <w:t xml:space="preserve"> du présent document.</w:t>
      </w:r>
    </w:p>
    <w:p w:rsidR="00C570F7" w:rsidRPr="008857FF" w:rsidRDefault="00C570F7" w:rsidP="0093131C">
      <w:pPr>
        <w:pStyle w:val="Endofdocument"/>
        <w:spacing w:after="0" w:line="240" w:lineRule="auto"/>
        <w:rPr>
          <w:sz w:val="22"/>
          <w:szCs w:val="22"/>
        </w:rPr>
      </w:pPr>
    </w:p>
    <w:p w:rsidR="00C570F7" w:rsidRPr="008857FF" w:rsidRDefault="00C570F7" w:rsidP="00E84DDF">
      <w:pPr>
        <w:pStyle w:val="Endofdocument"/>
        <w:spacing w:after="0" w:line="240" w:lineRule="auto"/>
        <w:rPr>
          <w:sz w:val="22"/>
          <w:szCs w:val="22"/>
        </w:rPr>
      </w:pPr>
    </w:p>
    <w:p w:rsidR="00C570F7" w:rsidRPr="008857FF" w:rsidRDefault="00F9078F" w:rsidP="00E84DDF">
      <w:pPr>
        <w:pStyle w:val="Endofdocument"/>
        <w:spacing w:after="0" w:line="240" w:lineRule="auto"/>
        <w:rPr>
          <w:sz w:val="22"/>
          <w:szCs w:val="22"/>
        </w:rPr>
      </w:pPr>
      <w:r w:rsidRPr="008857FF">
        <w:rPr>
          <w:sz w:val="22"/>
          <w:szCs w:val="22"/>
        </w:rPr>
        <w:t>[L</w:t>
      </w:r>
      <w:r w:rsidR="00CC34DC" w:rsidRPr="008857FF">
        <w:rPr>
          <w:sz w:val="22"/>
          <w:szCs w:val="22"/>
        </w:rPr>
        <w:t xml:space="preserve">es </w:t>
      </w:r>
      <w:r w:rsidRPr="008857FF">
        <w:rPr>
          <w:sz w:val="22"/>
          <w:szCs w:val="22"/>
        </w:rPr>
        <w:t>annexe</w:t>
      </w:r>
      <w:r w:rsidR="00CC34DC" w:rsidRPr="008857FF">
        <w:rPr>
          <w:sz w:val="22"/>
          <w:szCs w:val="22"/>
        </w:rPr>
        <w:t>s</w:t>
      </w:r>
      <w:r w:rsidRPr="008857FF">
        <w:rPr>
          <w:sz w:val="22"/>
          <w:szCs w:val="22"/>
        </w:rPr>
        <w:t xml:space="preserve"> sui</w:t>
      </w:r>
      <w:r w:rsidR="00CC34DC" w:rsidRPr="008857FF">
        <w:rPr>
          <w:sz w:val="22"/>
          <w:szCs w:val="22"/>
        </w:rPr>
        <w:t>ven</w:t>
      </w:r>
      <w:r w:rsidRPr="008857FF">
        <w:rPr>
          <w:sz w:val="22"/>
          <w:szCs w:val="22"/>
        </w:rPr>
        <w:t>t]</w:t>
      </w:r>
    </w:p>
    <w:p w:rsidR="00E84DDF" w:rsidRPr="008857FF" w:rsidRDefault="00E84DDF" w:rsidP="00E84DDF"/>
    <w:p w:rsidR="00066118" w:rsidRPr="008857FF" w:rsidRDefault="00066118" w:rsidP="005D64E8">
      <w:pPr>
        <w:pStyle w:val="Endofdocument"/>
        <w:spacing w:after="0" w:line="360" w:lineRule="auto"/>
        <w:sectPr w:rsidR="00066118" w:rsidRPr="008857FF" w:rsidSect="0054793B"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BC173F" w:rsidRPr="008857FF" w:rsidTr="00E84DDF">
        <w:trPr>
          <w:trHeight w:hRule="exact" w:val="1508"/>
        </w:trPr>
        <w:tc>
          <w:tcPr>
            <w:tcW w:w="4594" w:type="dxa"/>
            <w:shd w:val="clear" w:color="auto" w:fill="auto"/>
            <w:tcMar>
              <w:left w:w="0" w:type="dxa"/>
              <w:bottom w:w="0" w:type="dxa"/>
              <w:right w:w="0" w:type="dxa"/>
            </w:tcMar>
            <w:vAlign w:val="center"/>
          </w:tcPr>
          <w:p w:rsidR="00D23985" w:rsidRPr="008857FF" w:rsidRDefault="00D23985" w:rsidP="00E84DDF">
            <w:r w:rsidRPr="008857FF"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65B8BF6F" wp14:editId="7B94FEA1">
                  <wp:extent cx="2238375" cy="1495425"/>
                  <wp:effectExtent l="0" t="0" r="9525" b="9525"/>
                  <wp:docPr id="4" name="2 Imagen" descr="Biligue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Biligue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4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23985" w:rsidRPr="008857FF" w:rsidRDefault="00A72FE7" w:rsidP="00E84DDF">
            <w:r>
              <w:rPr>
                <w:noProof/>
                <w:lang w:val="en-US" w:eastAsia="en-US"/>
              </w:rPr>
              <w:drawing>
                <wp:inline distT="0" distB="0" distL="0" distR="0" wp14:anchorId="5CC75E89" wp14:editId="67829E16">
                  <wp:extent cx="1603046" cy="1332000"/>
                  <wp:effectExtent l="0" t="0" r="0" b="1905"/>
                  <wp:docPr id="8" name="Picture 8" descr="\\wipogvafs01\redirected$\olivie\Documents\1-Docs de travail\Trucs utiles_logo_liste pays_\logo_ompi_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wipogvafs01\redirected$\olivie\Documents\1-Docs de travail\Trucs utiles_logo_liste pays_\logo_ompi_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046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73F" w:rsidRPr="008857FF" w:rsidTr="00E84DDF">
        <w:trPr>
          <w:trHeight w:val="510"/>
        </w:trPr>
        <w:tc>
          <w:tcPr>
            <w:tcW w:w="4594" w:type="dxa"/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:rsidR="00D23985" w:rsidRPr="008857FF" w:rsidRDefault="00D23985" w:rsidP="00E84DDF">
            <w:pPr>
              <w:spacing w:line="160" w:lineRule="exact"/>
              <w:rPr>
                <w:caps/>
                <w:sz w:val="15"/>
              </w:rPr>
            </w:pPr>
          </w:p>
        </w:tc>
        <w:tc>
          <w:tcPr>
            <w:tcW w:w="476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23985" w:rsidRPr="008857FF" w:rsidRDefault="00D23985" w:rsidP="00E84DDF"/>
        </w:tc>
      </w:tr>
    </w:tbl>
    <w:p w:rsidR="00C570F7" w:rsidRDefault="00C570F7" w:rsidP="00D23985"/>
    <w:p w:rsidR="00A72FE7" w:rsidRPr="008857FF" w:rsidRDefault="00A72FE7" w:rsidP="00D23985"/>
    <w:p w:rsidR="00C570F7" w:rsidRPr="008857FF" w:rsidRDefault="00F95882" w:rsidP="00F95882">
      <w:pPr>
        <w:rPr>
          <w:caps/>
          <w:szCs w:val="22"/>
        </w:rPr>
      </w:pPr>
      <w:r w:rsidRPr="008857FF">
        <w:rPr>
          <w:caps/>
          <w:szCs w:val="22"/>
        </w:rPr>
        <w:t>Mémorandum d</w:t>
      </w:r>
      <w:r w:rsidR="0054793B" w:rsidRPr="008857FF">
        <w:rPr>
          <w:caps/>
          <w:szCs w:val="22"/>
        </w:rPr>
        <w:t>’</w:t>
      </w:r>
      <w:r w:rsidRPr="008857FF">
        <w:rPr>
          <w:caps/>
          <w:szCs w:val="22"/>
        </w:rPr>
        <w:t>accord entre le Centre régional pour la promotion du livre en Amérique latine et dans les Caraïbes (CERLALC) et l</w:t>
      </w:r>
      <w:r w:rsidR="0054793B" w:rsidRPr="008857FF">
        <w:rPr>
          <w:caps/>
          <w:szCs w:val="22"/>
        </w:rPr>
        <w:t>’</w:t>
      </w:r>
      <w:r w:rsidRPr="008857FF">
        <w:rPr>
          <w:caps/>
          <w:szCs w:val="22"/>
        </w:rPr>
        <w:t>Organisation Mondiale de la Propriété Intellectuelle (OMPI)</w:t>
      </w:r>
    </w:p>
    <w:p w:rsidR="00C570F7" w:rsidRPr="008857FF" w:rsidRDefault="00C570F7" w:rsidP="00D23985"/>
    <w:p w:rsidR="00C570F7" w:rsidRPr="008857FF" w:rsidRDefault="00C570F7" w:rsidP="00D23985"/>
    <w:p w:rsidR="00C570F7" w:rsidRPr="008857FF" w:rsidRDefault="00C570F7" w:rsidP="00D23985"/>
    <w:p w:rsidR="00C570F7" w:rsidRPr="008857FF" w:rsidRDefault="00904B9E" w:rsidP="00904B9E">
      <w:r w:rsidRPr="008857FF">
        <w:t>Le présent mémorandum d</w:t>
      </w:r>
      <w:r w:rsidR="0054793B" w:rsidRPr="008857FF">
        <w:t>’</w:t>
      </w:r>
      <w:r w:rsidRPr="008857FF">
        <w:t>accord est établi est conclu par et entre</w:t>
      </w:r>
      <w:r w:rsidR="001D1413" w:rsidRPr="008857FF">
        <w:t xml:space="preserve"> le CER</w:t>
      </w:r>
      <w:r w:rsidRPr="008857FF">
        <w:t xml:space="preserve">LALC, </w:t>
      </w:r>
      <w:r w:rsidR="00E84DDF" w:rsidRPr="008857FF">
        <w:t xml:space="preserve">sis </w:t>
      </w:r>
      <w:r w:rsidRPr="008857FF">
        <w:t>Calle</w:t>
      </w:r>
      <w:r w:rsidR="00E84DDF" w:rsidRPr="008857FF">
        <w:t> </w:t>
      </w:r>
      <w:r w:rsidRPr="008857FF">
        <w:t>70</w:t>
      </w:r>
      <w:r w:rsidR="00E84DDF" w:rsidRPr="008857FF">
        <w:t> </w:t>
      </w:r>
      <w:r w:rsidRPr="008857FF">
        <w:t>#</w:t>
      </w:r>
      <w:r w:rsidR="00E84DDF" w:rsidRPr="008857FF">
        <w:t> </w:t>
      </w:r>
      <w:r w:rsidRPr="008857FF">
        <w:t>9</w:t>
      </w:r>
      <w:r w:rsidR="008857FF" w:rsidRPr="008857FF">
        <w:noBreakHyphen/>
      </w:r>
      <w:r w:rsidRPr="008857FF">
        <w:t>52 à Bogotá (Colombie) et l</w:t>
      </w:r>
      <w:r w:rsidR="0054793B" w:rsidRPr="008857FF">
        <w:t>’</w:t>
      </w:r>
      <w:r w:rsidRPr="008857FF">
        <w:t xml:space="preserve">OMPI, </w:t>
      </w:r>
      <w:r w:rsidR="00E84DDF" w:rsidRPr="008857FF">
        <w:t xml:space="preserve">sise </w:t>
      </w:r>
      <w:r w:rsidRPr="008857FF">
        <w:t xml:space="preserve">34, chemin des Colombettes, </w:t>
      </w:r>
      <w:r w:rsidR="00D342C7" w:rsidRPr="008857FF">
        <w:t>Genève </w:t>
      </w:r>
      <w:r w:rsidRPr="008857FF">
        <w:t>20 (Suisse).</w:t>
      </w:r>
    </w:p>
    <w:p w:rsidR="00C570F7" w:rsidRPr="008857FF" w:rsidRDefault="00C570F7" w:rsidP="00D23985"/>
    <w:p w:rsidR="001D1413" w:rsidRPr="008857FF" w:rsidRDefault="00087CAE" w:rsidP="00087CAE">
      <w:r w:rsidRPr="008857FF">
        <w:t>Considérant que</w:t>
      </w:r>
      <w:r w:rsidR="002E5A0E" w:rsidRPr="008857FF">
        <w:t> </w:t>
      </w:r>
      <w:r w:rsidRPr="008857FF">
        <w:t>:</w:t>
      </w:r>
    </w:p>
    <w:p w:rsidR="00C570F7" w:rsidRPr="008857FF" w:rsidRDefault="00C570F7" w:rsidP="00D23985">
      <w:pPr>
        <w:rPr>
          <w:i/>
        </w:rPr>
      </w:pPr>
    </w:p>
    <w:p w:rsidR="001D1413" w:rsidRPr="008857FF" w:rsidRDefault="00A80939" w:rsidP="00A80939">
      <w:r w:rsidRPr="008857FF">
        <w:t xml:space="preserve">Le </w:t>
      </w:r>
      <w:r w:rsidR="00E84DDF" w:rsidRPr="008857FF">
        <w:t>CENTRE RÉGIONAL POUR LA PROMOTION DU LIVRE EN AMÉRIQUE LATINE ET DANS LES CARAÏBES</w:t>
      </w:r>
      <w:r w:rsidRPr="008857FF">
        <w:t>, ci</w:t>
      </w:r>
      <w:r w:rsidR="008857FF" w:rsidRPr="008857FF">
        <w:noBreakHyphen/>
      </w:r>
      <w:r w:rsidRPr="008857FF">
        <w:t xml:space="preserve">après dénommé </w:t>
      </w:r>
      <w:r w:rsidR="00BC173F" w:rsidRPr="008857FF">
        <w:t>“</w:t>
      </w:r>
      <w:r w:rsidRPr="008857FF">
        <w:t>CERLALC</w:t>
      </w:r>
      <w:r w:rsidR="00BC173F" w:rsidRPr="008857FF">
        <w:t>”</w:t>
      </w:r>
      <w:r w:rsidRPr="008857FF">
        <w:t xml:space="preserve">, </w:t>
      </w:r>
      <w:r w:rsidR="00E84DDF" w:rsidRPr="008857FF">
        <w:t xml:space="preserve">qui </w:t>
      </w:r>
      <w:r w:rsidRPr="008857FF">
        <w:t xml:space="preserve">est une organisation </w:t>
      </w:r>
      <w:r w:rsidR="003E17E9" w:rsidRPr="008857FF">
        <w:t>intergouvernementale</w:t>
      </w:r>
      <w:r w:rsidRPr="008857FF">
        <w:t xml:space="preserve"> composée de </w:t>
      </w:r>
      <w:r w:rsidR="00600464">
        <w:t>21 </w:t>
      </w:r>
      <w:r w:rsidR="00EF10E9">
        <w:t>États membres (19 </w:t>
      </w:r>
      <w:r w:rsidRPr="008857FF">
        <w:t>pays d</w:t>
      </w:r>
      <w:r w:rsidR="0054793B" w:rsidRPr="008857FF">
        <w:t>’</w:t>
      </w:r>
      <w:r w:rsidRPr="008857FF">
        <w:t xml:space="preserve">Amérique latine et des Caraïbes, </w:t>
      </w:r>
      <w:r w:rsidR="0054793B" w:rsidRPr="008857FF">
        <w:t>à savoir</w:t>
      </w:r>
      <w:r w:rsidR="00E84DDF" w:rsidRPr="008857FF">
        <w:t xml:space="preserve"> Argentine, Bolivie (État plurinational de), Brésil, Chili, Colombie, Costa Rica, Cuba, El Salvador, Équateur, Guatemala, Honduras, Mexique, Nicaragua, Panama, Paraguay, Pérou, République dominicaine, Uruguay et Venezuela (République bolivarienne du),</w:t>
      </w:r>
      <w:r w:rsidR="00BF511F" w:rsidRPr="008857FF">
        <w:t xml:space="preserve"> </w:t>
      </w:r>
      <w:r w:rsidR="00C95BDC" w:rsidRPr="008857FF">
        <w:t>et Espagne et Portugal</w:t>
      </w:r>
      <w:r w:rsidRPr="008857FF">
        <w:t>)</w:t>
      </w:r>
      <w:r w:rsidR="000F2072" w:rsidRPr="008857FF">
        <w:t xml:space="preserve">; </w:t>
      </w:r>
      <w:r w:rsidR="00E84DDF" w:rsidRPr="008857FF">
        <w:t xml:space="preserve"> q</w:t>
      </w:r>
      <w:r w:rsidRPr="008857FF">
        <w:t>u</w:t>
      </w:r>
      <w:r w:rsidR="0054793B" w:rsidRPr="008857FF">
        <w:t>’</w:t>
      </w:r>
      <w:r w:rsidRPr="008857FF">
        <w:t>il a été créé dans le cadre d</w:t>
      </w:r>
      <w:r w:rsidR="0054793B" w:rsidRPr="008857FF">
        <w:t>’</w:t>
      </w:r>
      <w:r w:rsidRPr="008857FF">
        <w:t>une initiative conjointe de l</w:t>
      </w:r>
      <w:r w:rsidR="0054793B" w:rsidRPr="008857FF">
        <w:t>’</w:t>
      </w:r>
      <w:r w:rsidRPr="008857FF">
        <w:t xml:space="preserve">Organisation des </w:t>
      </w:r>
      <w:r w:rsidR="0054793B" w:rsidRPr="008857FF">
        <w:t>Nations Unies</w:t>
      </w:r>
      <w:r w:rsidRPr="008857FF">
        <w:t xml:space="preserve"> pour l</w:t>
      </w:r>
      <w:r w:rsidR="0054793B" w:rsidRPr="008857FF">
        <w:t>’</w:t>
      </w:r>
      <w:r w:rsidRPr="008857FF">
        <w:t>éducation, la science et la culture (UNESCO) et de la Colombie en vertu d</w:t>
      </w:r>
      <w:r w:rsidR="0054793B" w:rsidRPr="008857FF">
        <w:t>’</w:t>
      </w:r>
      <w:r w:rsidRPr="008857FF">
        <w:t>un accord de coopération signé le 2</w:t>
      </w:r>
      <w:r w:rsidR="001D1413" w:rsidRPr="008857FF">
        <w:t>3 avril 19</w:t>
      </w:r>
      <w:r w:rsidRPr="008857FF">
        <w:t>71</w:t>
      </w:r>
    </w:p>
    <w:p w:rsidR="00C570F7" w:rsidRPr="008857FF" w:rsidRDefault="00C570F7" w:rsidP="00D23985"/>
    <w:p w:rsidR="00C570F7" w:rsidRPr="008857FF" w:rsidRDefault="00A80939" w:rsidP="00A80939">
      <w:r w:rsidRPr="008857FF">
        <w:t>et</w:t>
      </w:r>
    </w:p>
    <w:p w:rsidR="00C570F7" w:rsidRPr="008857FF" w:rsidRDefault="00C570F7" w:rsidP="00D23985"/>
    <w:p w:rsidR="00C570F7" w:rsidRPr="008857FF" w:rsidRDefault="00DA115D" w:rsidP="00DA115D">
      <w:r w:rsidRPr="008857FF">
        <w:t>L</w:t>
      </w:r>
      <w:r w:rsidR="0054793B" w:rsidRPr="008857FF">
        <w:t>’</w:t>
      </w:r>
      <w:r w:rsidR="00E84DDF" w:rsidRPr="008857FF">
        <w:t>ORGANISATION MONDIALE DE LA PROPRIÉTÉ INTELLECTUELLE</w:t>
      </w:r>
      <w:r w:rsidRPr="008857FF">
        <w:t>, ci</w:t>
      </w:r>
      <w:r w:rsidR="008857FF" w:rsidRPr="008857FF">
        <w:noBreakHyphen/>
      </w:r>
      <w:r w:rsidRPr="008857FF">
        <w:t xml:space="preserve">après dénommée </w:t>
      </w:r>
      <w:r w:rsidR="00BC173F" w:rsidRPr="008857FF">
        <w:t>“</w:t>
      </w:r>
      <w:r w:rsidRPr="008857FF">
        <w:t>OMPI</w:t>
      </w:r>
      <w:r w:rsidR="00BC173F" w:rsidRPr="008857FF">
        <w:t>”</w:t>
      </w:r>
      <w:r w:rsidRPr="008857FF">
        <w:t>, qui est une organisation intergouvernementale établie en vertu de la Convention instituant l</w:t>
      </w:r>
      <w:r w:rsidR="0054793B" w:rsidRPr="008857FF">
        <w:t>’</w:t>
      </w:r>
      <w:r w:rsidRPr="008857FF">
        <w:t>OMPI le 1</w:t>
      </w:r>
      <w:r w:rsidR="001D1413" w:rsidRPr="008857FF">
        <w:t>4 juillet 19</w:t>
      </w:r>
      <w:r w:rsidRPr="008857FF">
        <w:t>67, reconnue institution spécialisée de l</w:t>
      </w:r>
      <w:r w:rsidR="0054793B" w:rsidRPr="008857FF">
        <w:t>’</w:t>
      </w:r>
      <w:r w:rsidRPr="008857FF">
        <w:t>ONU, ayant pour mandat de prendre la tête de l</w:t>
      </w:r>
      <w:r w:rsidR="0054793B" w:rsidRPr="008857FF">
        <w:t>’</w:t>
      </w:r>
      <w:r w:rsidRPr="008857FF">
        <w:t>élaboration d</w:t>
      </w:r>
      <w:r w:rsidR="0054793B" w:rsidRPr="008857FF">
        <w:t>’</w:t>
      </w:r>
      <w:r w:rsidRPr="008857FF">
        <w:t>un système international de propriété intellectuelle équilibré et efficace qui favorise l</w:t>
      </w:r>
      <w:r w:rsidR="0054793B" w:rsidRPr="008857FF">
        <w:t>’</w:t>
      </w:r>
      <w:r w:rsidRPr="008857FF">
        <w:t>innovation et la créativité dans l</w:t>
      </w:r>
      <w:r w:rsidR="0054793B" w:rsidRPr="008857FF">
        <w:t>’</w:t>
      </w:r>
      <w:r w:rsidRPr="008857FF">
        <w:t>intérêt de tous</w:t>
      </w:r>
    </w:p>
    <w:p w:rsidR="00C570F7" w:rsidRPr="008857FF" w:rsidRDefault="00C570F7" w:rsidP="00D23985"/>
    <w:p w:rsidR="00C570F7" w:rsidRPr="008857FF" w:rsidRDefault="00DA115D" w:rsidP="00DA115D">
      <w:r w:rsidRPr="008857FF">
        <w:t>Souhaitant renforcer leur collaboration dans le cadre des mandats qui leurs sont confiés et dans l</w:t>
      </w:r>
      <w:r w:rsidR="0054793B" w:rsidRPr="008857FF">
        <w:t>’</w:t>
      </w:r>
      <w:r w:rsidRPr="008857FF">
        <w:t>intérêt de leurs États membres respectifs;</w:t>
      </w:r>
    </w:p>
    <w:p w:rsidR="00C570F7" w:rsidRPr="008857FF" w:rsidRDefault="00C570F7" w:rsidP="00D23985"/>
    <w:p w:rsidR="00C570F7" w:rsidRPr="008857FF" w:rsidRDefault="00BF511F" w:rsidP="007D7308">
      <w:r w:rsidRPr="008857FF">
        <w:t>Sont convenu</w:t>
      </w:r>
      <w:r w:rsidR="007D7308" w:rsidRPr="008857FF">
        <w:t>s de ce qui suit :</w:t>
      </w:r>
    </w:p>
    <w:p w:rsidR="00C570F7" w:rsidRPr="008857FF" w:rsidRDefault="00C570F7" w:rsidP="00D23985"/>
    <w:p w:rsidR="00C570F7" w:rsidRPr="008857FF" w:rsidRDefault="00C570F7" w:rsidP="00D23985"/>
    <w:p w:rsidR="00A72FE7" w:rsidRDefault="00A72FE7">
      <w:pPr>
        <w:rPr>
          <w:u w:val="single"/>
        </w:rPr>
      </w:pPr>
      <w:r>
        <w:rPr>
          <w:u w:val="single"/>
        </w:rPr>
        <w:br w:type="page"/>
      </w:r>
    </w:p>
    <w:p w:rsidR="00C570F7" w:rsidRPr="008857FF" w:rsidRDefault="007D7308" w:rsidP="007D7308">
      <w:pPr>
        <w:rPr>
          <w:u w:val="single"/>
        </w:rPr>
      </w:pPr>
      <w:r w:rsidRPr="008857FF">
        <w:rPr>
          <w:u w:val="single"/>
        </w:rPr>
        <w:lastRenderedPageBreak/>
        <w:t>Article premier</w:t>
      </w:r>
    </w:p>
    <w:p w:rsidR="00C570F7" w:rsidRPr="008857FF" w:rsidRDefault="007D7308" w:rsidP="007D7308">
      <w:r w:rsidRPr="008857FF">
        <w:t>Objectif</w:t>
      </w:r>
    </w:p>
    <w:p w:rsidR="00C570F7" w:rsidRPr="008857FF" w:rsidRDefault="00C570F7" w:rsidP="00D23985">
      <w:pPr>
        <w:tabs>
          <w:tab w:val="left" w:pos="851"/>
        </w:tabs>
      </w:pPr>
    </w:p>
    <w:p w:rsidR="001D1413" w:rsidRPr="008857FF" w:rsidRDefault="00A02872" w:rsidP="00A02872">
      <w:pPr>
        <w:tabs>
          <w:tab w:val="left" w:pos="851"/>
        </w:tabs>
      </w:pPr>
      <w:r w:rsidRPr="008857FF">
        <w:t>Le présent mémorandum d</w:t>
      </w:r>
      <w:r w:rsidR="0054793B" w:rsidRPr="008857FF">
        <w:t>’</w:t>
      </w:r>
      <w:r w:rsidRPr="008857FF">
        <w:t>accord vise à établir une coopération entre l</w:t>
      </w:r>
      <w:r w:rsidR="0054793B" w:rsidRPr="008857FF">
        <w:t>’</w:t>
      </w:r>
      <w:r w:rsidRPr="008857FF">
        <w:t>OMPI et</w:t>
      </w:r>
      <w:r w:rsidR="001D1413" w:rsidRPr="008857FF">
        <w:t xml:space="preserve"> le CER</w:t>
      </w:r>
      <w:r w:rsidRPr="008857FF">
        <w:t>LALC (ci</w:t>
      </w:r>
      <w:r w:rsidR="008857FF" w:rsidRPr="008857FF">
        <w:noBreakHyphen/>
      </w:r>
      <w:r w:rsidRPr="008857FF">
        <w:t xml:space="preserve">après dénommés </w:t>
      </w:r>
      <w:r w:rsidR="00BC173F" w:rsidRPr="008857FF">
        <w:t>“</w:t>
      </w:r>
      <w:r w:rsidRPr="008857FF">
        <w:t>Parties</w:t>
      </w:r>
      <w:r w:rsidR="00BC173F" w:rsidRPr="008857FF">
        <w:t>”</w:t>
      </w:r>
      <w:r w:rsidRPr="008857FF">
        <w:t xml:space="preserve">), </w:t>
      </w:r>
      <w:r w:rsidR="0054793B" w:rsidRPr="008857FF">
        <w:t>y compris</w:t>
      </w:r>
      <w:r w:rsidRPr="008857FF">
        <w:t xml:space="preserve"> une coordination et une collaboration sur des projets et activités en commun en faveur de la promotion et de la diffusion d</w:t>
      </w:r>
      <w:r w:rsidR="0054793B" w:rsidRPr="008857FF">
        <w:t>’</w:t>
      </w:r>
      <w:r w:rsidRPr="008857FF">
        <w:t xml:space="preserve">informations, moyennant </w:t>
      </w:r>
      <w:r w:rsidR="00E84DDF" w:rsidRPr="008857FF">
        <w:t>des activités de</w:t>
      </w:r>
      <w:r w:rsidRPr="008857FF">
        <w:t xml:space="preserve"> recherche et </w:t>
      </w:r>
      <w:r w:rsidR="00E84DDF" w:rsidRPr="008857FF">
        <w:t xml:space="preserve">de </w:t>
      </w:r>
      <w:r w:rsidRPr="008857FF">
        <w:t>formation, sur les questions de droit d</w:t>
      </w:r>
      <w:r w:rsidR="0054793B" w:rsidRPr="008857FF">
        <w:t>’</w:t>
      </w:r>
      <w:r w:rsidRPr="008857FF">
        <w:t>auteur en Amérique latine et dans les Caraïbes.</w:t>
      </w:r>
    </w:p>
    <w:p w:rsidR="00C570F7" w:rsidRPr="008857FF" w:rsidRDefault="00C570F7" w:rsidP="00D23985">
      <w:pPr>
        <w:rPr>
          <w:u w:val="single"/>
        </w:rPr>
      </w:pPr>
    </w:p>
    <w:p w:rsidR="00C570F7" w:rsidRPr="008857FF" w:rsidRDefault="00C570F7" w:rsidP="00D23985">
      <w:pPr>
        <w:rPr>
          <w:u w:val="single"/>
        </w:rPr>
      </w:pPr>
    </w:p>
    <w:p w:rsidR="00C570F7" w:rsidRPr="008857FF" w:rsidRDefault="00A02872" w:rsidP="00A02872">
      <w:pPr>
        <w:rPr>
          <w:u w:val="single"/>
        </w:rPr>
      </w:pPr>
      <w:r w:rsidRPr="008857FF">
        <w:rPr>
          <w:u w:val="single"/>
        </w:rPr>
        <w:t>Article</w:t>
      </w:r>
      <w:r w:rsidR="002E5A0E" w:rsidRPr="008857FF">
        <w:rPr>
          <w:u w:val="single"/>
        </w:rPr>
        <w:t> </w:t>
      </w:r>
      <w:r w:rsidRPr="008857FF">
        <w:rPr>
          <w:u w:val="single"/>
        </w:rPr>
        <w:t>2</w:t>
      </w:r>
    </w:p>
    <w:p w:rsidR="00C570F7" w:rsidRPr="008857FF" w:rsidRDefault="00A02872" w:rsidP="00A02872">
      <w:r w:rsidRPr="008857FF">
        <w:t>Domaines de coopération</w:t>
      </w:r>
    </w:p>
    <w:p w:rsidR="00C570F7" w:rsidRPr="008857FF" w:rsidRDefault="00C570F7" w:rsidP="00D23985"/>
    <w:p w:rsidR="001D1413" w:rsidRPr="008857FF" w:rsidRDefault="00A02872" w:rsidP="00A02872">
      <w:r w:rsidRPr="008857FF">
        <w:t>Le présent mémorandum d</w:t>
      </w:r>
      <w:r w:rsidR="0054793B" w:rsidRPr="008857FF">
        <w:t>’</w:t>
      </w:r>
      <w:r w:rsidRPr="008857FF">
        <w:t>accord couvre</w:t>
      </w:r>
      <w:r w:rsidR="00E84DDF" w:rsidRPr="008857FF">
        <w:t xml:space="preserve"> principalement</w:t>
      </w:r>
      <w:r w:rsidRPr="008857FF">
        <w:t xml:space="preserve"> les domaines de coopération suivants</w:t>
      </w:r>
      <w:r w:rsidR="002E5A0E" w:rsidRPr="008857FF">
        <w:t> </w:t>
      </w:r>
      <w:r w:rsidRPr="008857FF">
        <w:t>:</w:t>
      </w:r>
    </w:p>
    <w:p w:rsidR="00C570F7" w:rsidRPr="008857FF" w:rsidRDefault="00C570F7" w:rsidP="00D23985"/>
    <w:p w:rsidR="00C570F7" w:rsidRPr="008857FF" w:rsidRDefault="00A02872" w:rsidP="00A02872">
      <w:r w:rsidRPr="008857FF">
        <w:t>a)</w:t>
      </w:r>
      <w:r w:rsidRPr="008857FF">
        <w:tab/>
        <w:t xml:space="preserve">le développement de la législation et de la </w:t>
      </w:r>
      <w:r w:rsidR="00BC173F" w:rsidRPr="008857FF">
        <w:t>politique</w:t>
      </w:r>
      <w:r w:rsidRPr="008857FF">
        <w:t xml:space="preserve"> sur le droit d</w:t>
      </w:r>
      <w:r w:rsidR="0054793B" w:rsidRPr="008857FF">
        <w:t>’</w:t>
      </w:r>
      <w:r w:rsidRPr="008857FF">
        <w:t>auteur, concernant en particulier les défis posés par les nouvelles technologies;</w:t>
      </w:r>
    </w:p>
    <w:p w:rsidR="00C570F7" w:rsidRPr="008857FF" w:rsidRDefault="00C570F7" w:rsidP="00D23985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C570F7" w:rsidRPr="008857FF" w:rsidRDefault="00A02872" w:rsidP="00A02872">
      <w:pPr>
        <w:pStyle w:val="ListParagraph"/>
        <w:spacing w:line="240" w:lineRule="auto"/>
        <w:ind w:left="0"/>
        <w:rPr>
          <w:rFonts w:ascii="Arial" w:hAnsi="Arial" w:cs="Arial"/>
        </w:rPr>
      </w:pPr>
      <w:r w:rsidRPr="008857FF">
        <w:rPr>
          <w:rFonts w:ascii="Arial" w:hAnsi="Arial" w:cs="Arial"/>
        </w:rPr>
        <w:t>b)</w:t>
      </w:r>
      <w:r w:rsidRPr="008857FF">
        <w:rPr>
          <w:rFonts w:ascii="Arial" w:hAnsi="Arial" w:cs="Arial"/>
        </w:rPr>
        <w:tab/>
        <w:t>l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 xml:space="preserve">élaboration et </w:t>
      </w:r>
      <w:r w:rsidR="00E84DDF" w:rsidRPr="008857FF">
        <w:rPr>
          <w:rFonts w:ascii="Arial" w:hAnsi="Arial" w:cs="Arial"/>
        </w:rPr>
        <w:t>l</w:t>
      </w:r>
      <w:r w:rsidR="0054793B" w:rsidRPr="008857FF">
        <w:rPr>
          <w:rFonts w:ascii="Arial" w:hAnsi="Arial" w:cs="Arial"/>
        </w:rPr>
        <w:t>’</w:t>
      </w:r>
      <w:r w:rsidR="00E84DDF" w:rsidRPr="008857FF">
        <w:rPr>
          <w:rFonts w:ascii="Arial" w:hAnsi="Arial" w:cs="Arial"/>
        </w:rPr>
        <w:t xml:space="preserve">organisation </w:t>
      </w:r>
      <w:r w:rsidRPr="008857FF">
        <w:rPr>
          <w:rFonts w:ascii="Arial" w:hAnsi="Arial" w:cs="Arial"/>
        </w:rPr>
        <w:t>de campagnes,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ateliers et de réunions visant à faire mieux connaître la nécessité de promouvoir et de protéger le droit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auteur et les droits connexes, notamment en assurant la promotion des traités de droit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auteur et de droits connexes administrés par l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OMPI et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autres instruments internationaux sur la protection de la propriété intellectuelle;</w:t>
      </w:r>
    </w:p>
    <w:p w:rsidR="00C570F7" w:rsidRPr="008857FF" w:rsidRDefault="00C570F7" w:rsidP="00D23985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C570F7" w:rsidRPr="008857FF" w:rsidRDefault="003263A1" w:rsidP="003263A1">
      <w:pPr>
        <w:pStyle w:val="ListParagraph"/>
        <w:spacing w:line="240" w:lineRule="auto"/>
        <w:ind w:left="0"/>
        <w:rPr>
          <w:rFonts w:ascii="Arial" w:hAnsi="Arial" w:cs="Arial"/>
        </w:rPr>
      </w:pPr>
      <w:r w:rsidRPr="008857FF">
        <w:rPr>
          <w:rFonts w:ascii="Arial" w:hAnsi="Arial" w:cs="Arial"/>
        </w:rPr>
        <w:t>c)</w:t>
      </w:r>
      <w:r w:rsidRPr="008857FF">
        <w:rPr>
          <w:rFonts w:ascii="Arial" w:hAnsi="Arial" w:cs="Arial"/>
        </w:rPr>
        <w:tab/>
        <w:t>la réalisation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études, enquêtes et autres recherches en commun sur les questions de droit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auteur;</w:t>
      </w:r>
    </w:p>
    <w:p w:rsidR="00C570F7" w:rsidRPr="008857FF" w:rsidRDefault="00C570F7" w:rsidP="00D23985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C570F7" w:rsidRPr="008857FF" w:rsidRDefault="003263A1" w:rsidP="003263A1">
      <w:pPr>
        <w:pStyle w:val="ListParagraph"/>
        <w:spacing w:line="240" w:lineRule="auto"/>
        <w:ind w:left="0"/>
        <w:rPr>
          <w:rFonts w:ascii="Arial" w:hAnsi="Arial" w:cs="Arial"/>
        </w:rPr>
      </w:pPr>
      <w:r w:rsidRPr="008857FF">
        <w:rPr>
          <w:rFonts w:ascii="Arial" w:hAnsi="Arial" w:cs="Arial"/>
        </w:rPr>
        <w:t>d)</w:t>
      </w:r>
      <w:r w:rsidRPr="008857FF">
        <w:rPr>
          <w:rFonts w:ascii="Arial" w:hAnsi="Arial" w:cs="Arial"/>
        </w:rPr>
        <w:tab/>
        <w:t>la fourniture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une assistance technique dans les pays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Amérique latine et des Caraïbes afin de mettre au point ou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actualiser des études sur l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incidence économique des industries fondées sur le droit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 xml:space="preserve">auteur </w:t>
      </w:r>
      <w:r w:rsidR="00E84DDF" w:rsidRPr="008857FF">
        <w:rPr>
          <w:rFonts w:ascii="Arial" w:hAnsi="Arial" w:cs="Arial"/>
        </w:rPr>
        <w:t>sur</w:t>
      </w:r>
      <w:r w:rsidRPr="008857FF">
        <w:rPr>
          <w:rFonts w:ascii="Arial" w:hAnsi="Arial" w:cs="Arial"/>
        </w:rPr>
        <w:t xml:space="preserve"> les économies nationales;</w:t>
      </w:r>
    </w:p>
    <w:p w:rsidR="00C570F7" w:rsidRPr="008857FF" w:rsidRDefault="00C570F7" w:rsidP="00D23985">
      <w:pPr>
        <w:pStyle w:val="ListParagraph"/>
        <w:spacing w:line="240" w:lineRule="auto"/>
        <w:ind w:left="0"/>
        <w:rPr>
          <w:rFonts w:ascii="Arial" w:hAnsi="Arial" w:cs="Arial"/>
        </w:rPr>
      </w:pPr>
    </w:p>
    <w:p w:rsidR="00C570F7" w:rsidRPr="008857FF" w:rsidRDefault="003263A1" w:rsidP="003263A1">
      <w:pPr>
        <w:pStyle w:val="ListParagraph"/>
        <w:spacing w:line="240" w:lineRule="auto"/>
        <w:ind w:left="0"/>
        <w:rPr>
          <w:rFonts w:ascii="Arial" w:hAnsi="Arial" w:cs="Arial"/>
        </w:rPr>
      </w:pPr>
      <w:r w:rsidRPr="008857FF">
        <w:rPr>
          <w:rFonts w:ascii="Arial" w:hAnsi="Arial" w:cs="Arial"/>
        </w:rPr>
        <w:t>e)</w:t>
      </w:r>
      <w:r w:rsidRPr="008857FF">
        <w:rPr>
          <w:rFonts w:ascii="Arial" w:hAnsi="Arial" w:cs="Arial"/>
        </w:rPr>
        <w:tab/>
        <w:t>l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élaboration et l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amélioration de sources d</w:t>
      </w:r>
      <w:r w:rsidR="0054793B" w:rsidRPr="008857FF">
        <w:rPr>
          <w:rFonts w:ascii="Arial" w:hAnsi="Arial" w:cs="Arial"/>
        </w:rPr>
        <w:t>’</w:t>
      </w:r>
      <w:r w:rsidRPr="008857FF">
        <w:rPr>
          <w:rFonts w:ascii="Arial" w:hAnsi="Arial" w:cs="Arial"/>
        </w:rPr>
        <w:t>informations telles que pages</w:t>
      </w:r>
      <w:r w:rsidR="002E5A0E" w:rsidRPr="008857FF">
        <w:rPr>
          <w:rFonts w:ascii="Arial" w:hAnsi="Arial" w:cs="Arial"/>
        </w:rPr>
        <w:t> </w:t>
      </w:r>
      <w:r w:rsidRPr="008857FF">
        <w:rPr>
          <w:rFonts w:ascii="Arial" w:hAnsi="Arial" w:cs="Arial"/>
        </w:rPr>
        <w:t xml:space="preserve">Web, bases de données, revues spécialisées, </w:t>
      </w:r>
      <w:r w:rsidR="00D342C7" w:rsidRPr="008857FF">
        <w:rPr>
          <w:rFonts w:ascii="Arial" w:hAnsi="Arial" w:cs="Arial"/>
        </w:rPr>
        <w:t>etc.</w:t>
      </w:r>
      <w:r w:rsidRPr="008857FF">
        <w:rPr>
          <w:rFonts w:ascii="Arial" w:hAnsi="Arial" w:cs="Arial"/>
        </w:rPr>
        <w:t>;  et</w:t>
      </w:r>
    </w:p>
    <w:p w:rsidR="00C570F7" w:rsidRPr="008857FF" w:rsidRDefault="00C570F7" w:rsidP="00D23985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C570F7" w:rsidRPr="008857FF" w:rsidRDefault="003263A1" w:rsidP="003263A1">
      <w:r w:rsidRPr="008857FF">
        <w:t>f)</w:t>
      </w:r>
      <w:r w:rsidRPr="008857FF">
        <w:tab/>
        <w:t>la formation sur les questions de droit d</w:t>
      </w:r>
      <w:r w:rsidR="0054793B" w:rsidRPr="008857FF">
        <w:t>’</w:t>
      </w:r>
      <w:r w:rsidRPr="008857FF">
        <w:t>auteur à l</w:t>
      </w:r>
      <w:r w:rsidR="0054793B" w:rsidRPr="008857FF">
        <w:t>’</w:t>
      </w:r>
      <w:r w:rsidRPr="008857FF">
        <w:t xml:space="preserve">intention des fonctionnaires nationaux, des avocats, des juristes et des universitaires, des </w:t>
      </w:r>
      <w:r w:rsidR="00BC173F" w:rsidRPr="008857FF">
        <w:t>représentants</w:t>
      </w:r>
      <w:r w:rsidRPr="008857FF">
        <w:t xml:space="preserve"> de la société civile, des parties prenantes au droit d</w:t>
      </w:r>
      <w:r w:rsidR="0054793B" w:rsidRPr="008857FF">
        <w:t>’</w:t>
      </w:r>
      <w:r w:rsidRPr="008857FF">
        <w:t>auteur et autres représentants du secteur privé.</w:t>
      </w:r>
    </w:p>
    <w:p w:rsidR="00C570F7" w:rsidRPr="008857FF" w:rsidRDefault="00C570F7" w:rsidP="00EC3DC1"/>
    <w:p w:rsidR="00C570F7" w:rsidRPr="008857FF" w:rsidRDefault="00C570F7" w:rsidP="00EC3DC1"/>
    <w:p w:rsidR="00C570F7" w:rsidRPr="008857FF" w:rsidRDefault="003263A1" w:rsidP="003263A1">
      <w:pPr>
        <w:rPr>
          <w:u w:val="single"/>
        </w:rPr>
      </w:pPr>
      <w:r w:rsidRPr="008857FF">
        <w:rPr>
          <w:u w:val="single"/>
        </w:rPr>
        <w:t>Article</w:t>
      </w:r>
      <w:r w:rsidR="002E5A0E" w:rsidRPr="008857FF">
        <w:rPr>
          <w:u w:val="single"/>
        </w:rPr>
        <w:t> </w:t>
      </w:r>
      <w:r w:rsidRPr="008857FF">
        <w:rPr>
          <w:u w:val="single"/>
        </w:rPr>
        <w:t>3</w:t>
      </w:r>
    </w:p>
    <w:p w:rsidR="00C570F7" w:rsidRPr="008857FF" w:rsidRDefault="003263A1" w:rsidP="003263A1">
      <w:r w:rsidRPr="008857FF">
        <w:t>Coopération institutionnelle</w:t>
      </w:r>
    </w:p>
    <w:p w:rsidR="00C570F7" w:rsidRPr="008857FF" w:rsidRDefault="00C570F7" w:rsidP="00D23985"/>
    <w:p w:rsidR="00C570F7" w:rsidRPr="008857FF" w:rsidRDefault="00262117" w:rsidP="00262117">
      <w:r w:rsidRPr="008857FF">
        <w:t>a)</w:t>
      </w:r>
      <w:r w:rsidRPr="008857FF">
        <w:tab/>
        <w:t xml:space="preserve">Compte dûment tenu de leurs compétences, de leurs </w:t>
      </w:r>
      <w:r w:rsidR="00E84DDF" w:rsidRPr="008857FF">
        <w:t>règles</w:t>
      </w:r>
      <w:r w:rsidRPr="008857FF">
        <w:t xml:space="preserve"> statutaires et de leur cadre opérationnel, les Parties s</w:t>
      </w:r>
      <w:r w:rsidR="0054793B" w:rsidRPr="008857FF">
        <w:t>’</w:t>
      </w:r>
      <w:r w:rsidRPr="008857FF">
        <w:t>informent et se consultent, selon que de besoin, sur les questions d</w:t>
      </w:r>
      <w:r w:rsidR="0054793B" w:rsidRPr="008857FF">
        <w:t>’</w:t>
      </w:r>
      <w:r w:rsidR="00E84DDF" w:rsidRPr="008857FF">
        <w:t>intérêt mutuel, notamment l</w:t>
      </w:r>
      <w:r w:rsidRPr="008857FF">
        <w:t xml:space="preserve">es questions juridiques, </w:t>
      </w:r>
      <w:r w:rsidR="00BC173F" w:rsidRPr="008857FF">
        <w:t>réglementaires</w:t>
      </w:r>
      <w:r w:rsidRPr="008857FF">
        <w:t xml:space="preserve"> ou de développement, sur lesquelles la coopération est susceptible de favoriser la réalisation des objectifs de Parties.</w:t>
      </w:r>
    </w:p>
    <w:p w:rsidR="001D1413" w:rsidRPr="008857FF" w:rsidRDefault="001D1413" w:rsidP="00C82262"/>
    <w:p w:rsidR="001D1413" w:rsidRPr="008857FF" w:rsidRDefault="00C570F7" w:rsidP="00C570F7">
      <w:r w:rsidRPr="008857FF">
        <w:t>b)</w:t>
      </w:r>
      <w:r w:rsidRPr="008857FF">
        <w:tab/>
        <w:t>Lorsque des questions d</w:t>
      </w:r>
      <w:r w:rsidR="0054793B" w:rsidRPr="008857FF">
        <w:t>’</w:t>
      </w:r>
      <w:r w:rsidRPr="008857FF">
        <w:t>intérêt mutuel sont recensées et que les Parties considèrent qu</w:t>
      </w:r>
      <w:r w:rsidR="0054793B" w:rsidRPr="008857FF">
        <w:t>’</w:t>
      </w:r>
      <w:r w:rsidRPr="008857FF">
        <w:t xml:space="preserve">elles pourraient profiter de la coopération et des synergies qui en découlent, </w:t>
      </w:r>
      <w:r w:rsidR="00E84DDF" w:rsidRPr="008857FF">
        <w:t>elles</w:t>
      </w:r>
      <w:r w:rsidRPr="008857FF">
        <w:t xml:space="preserve"> définissent une structure appropriée pour la planification, l</w:t>
      </w:r>
      <w:r w:rsidR="0054793B" w:rsidRPr="008857FF">
        <w:t>’</w:t>
      </w:r>
      <w:r w:rsidRPr="008857FF">
        <w:t>exécution et le suivi de leur coopération, ainsi que pour la diffusion des résultats.</w:t>
      </w:r>
    </w:p>
    <w:p w:rsidR="00C570F7" w:rsidRPr="008857FF" w:rsidRDefault="00C570F7" w:rsidP="00D23985"/>
    <w:p w:rsidR="001D1413" w:rsidRPr="008857FF" w:rsidRDefault="00E032D3" w:rsidP="00E032D3">
      <w:r w:rsidRPr="008857FF">
        <w:t>c)</w:t>
      </w:r>
      <w:r w:rsidRPr="008857FF">
        <w:tab/>
        <w:t xml:space="preserve">les Parties </w:t>
      </w:r>
      <w:r w:rsidR="00BC173F" w:rsidRPr="008857FF">
        <w:t>échangent</w:t>
      </w:r>
      <w:r w:rsidRPr="008857FF">
        <w:t xml:space="preserve"> leurs publications concernant les questions d</w:t>
      </w:r>
      <w:r w:rsidR="0054793B" w:rsidRPr="008857FF">
        <w:t>’</w:t>
      </w:r>
      <w:r w:rsidRPr="008857FF">
        <w:t>intérêt commun et les domaines connexes.</w:t>
      </w:r>
    </w:p>
    <w:p w:rsidR="00C570F7" w:rsidRPr="008857FF" w:rsidRDefault="001B6888" w:rsidP="001B6888">
      <w:r w:rsidRPr="008857FF">
        <w:lastRenderedPageBreak/>
        <w:t>d)</w:t>
      </w:r>
      <w:r w:rsidRPr="008857FF">
        <w:tab/>
        <w:t xml:space="preserve">Des dispositions appropriées peuvent être prises </w:t>
      </w:r>
      <w:r w:rsidR="00E84DDF" w:rsidRPr="008857FF">
        <w:t>ponctuellement</w:t>
      </w:r>
      <w:r w:rsidRPr="008857FF">
        <w:t xml:space="preserve"> pour la représentation réciproque</w:t>
      </w:r>
      <w:r w:rsidR="001D1413" w:rsidRPr="008857FF">
        <w:t xml:space="preserve"> du CER</w:t>
      </w:r>
      <w:r w:rsidRPr="008857FF">
        <w:t>LALC et de l</w:t>
      </w:r>
      <w:r w:rsidR="0054793B" w:rsidRPr="008857FF">
        <w:t>’</w:t>
      </w:r>
      <w:r w:rsidRPr="008857FF">
        <w:t>OMPI à des réunions convoquées sous leurs auspices respectifs et portant sur des questions auxquelles l</w:t>
      </w:r>
      <w:r w:rsidR="0054793B" w:rsidRPr="008857FF">
        <w:t>’</w:t>
      </w:r>
      <w:r w:rsidRPr="008857FF">
        <w:t>autre Partie est intéressée.</w:t>
      </w:r>
    </w:p>
    <w:p w:rsidR="00C570F7" w:rsidRPr="008857FF" w:rsidRDefault="00C570F7" w:rsidP="00D23985"/>
    <w:p w:rsidR="00C570F7" w:rsidRPr="008857FF" w:rsidRDefault="001B6888" w:rsidP="001B6888">
      <w:r w:rsidRPr="008857FF">
        <w:t>e)</w:t>
      </w:r>
      <w:r w:rsidRPr="008857FF">
        <w:tab/>
        <w:t>Les Parties se rencontrent en face à face ou à distance, au moins un</w:t>
      </w:r>
      <w:r w:rsidR="00E84DDF" w:rsidRPr="008857FF">
        <w:t>e</w:t>
      </w:r>
      <w:r w:rsidRPr="008857FF">
        <w:t xml:space="preserve"> fois par année, pour faire le point sur les progrès accomplis et recenser de nouveaux domaines de coopération possibles.</w:t>
      </w:r>
    </w:p>
    <w:p w:rsidR="00C570F7" w:rsidRPr="008857FF" w:rsidRDefault="00C570F7" w:rsidP="00D23985"/>
    <w:p w:rsidR="00C570F7" w:rsidRPr="008857FF" w:rsidRDefault="001B6888" w:rsidP="001B6888">
      <w:r w:rsidRPr="008857FF">
        <w:t>f)</w:t>
      </w:r>
      <w:r w:rsidRPr="008857FF">
        <w:tab/>
        <w:t xml:space="preserve">Chaque Partie désigne un représentant </w:t>
      </w:r>
      <w:r w:rsidR="00BC173F" w:rsidRPr="008857FF">
        <w:t>chargé</w:t>
      </w:r>
      <w:r w:rsidRPr="008857FF">
        <w:t xml:space="preserve"> de coordonner les relations avec l</w:t>
      </w:r>
      <w:r w:rsidR="0054793B" w:rsidRPr="008857FF">
        <w:t>’</w:t>
      </w:r>
      <w:r w:rsidRPr="008857FF">
        <w:t>autre Partie, notamment entre les experts techniques de deux</w:t>
      </w:r>
      <w:r w:rsidR="002E5A0E" w:rsidRPr="008857FF">
        <w:t> </w:t>
      </w:r>
      <w:r w:rsidRPr="008857FF">
        <w:t>Parties, et de tenir le chef de Secrétariat de son organisation informé.</w:t>
      </w:r>
      <w:r w:rsidR="00D23985" w:rsidRPr="008857FF">
        <w:t xml:space="preserve">  </w:t>
      </w:r>
      <w:r w:rsidRPr="008857FF">
        <w:t>Tout changement de représentant est communiqué par écrit à l</w:t>
      </w:r>
      <w:r w:rsidR="0054793B" w:rsidRPr="008857FF">
        <w:t>’</w:t>
      </w:r>
      <w:r w:rsidRPr="008857FF">
        <w:t>autre Partie.</w:t>
      </w:r>
    </w:p>
    <w:p w:rsidR="00C570F7" w:rsidRPr="008857FF" w:rsidRDefault="00C570F7" w:rsidP="00D23985"/>
    <w:p w:rsidR="00C570F7" w:rsidRPr="008857FF" w:rsidRDefault="00C570F7" w:rsidP="00D23985"/>
    <w:p w:rsidR="00C570F7" w:rsidRPr="008857FF" w:rsidRDefault="001B6888" w:rsidP="001B6888">
      <w:pPr>
        <w:rPr>
          <w:u w:val="single"/>
        </w:rPr>
      </w:pPr>
      <w:r w:rsidRPr="008857FF">
        <w:rPr>
          <w:u w:val="single"/>
        </w:rPr>
        <w:t>Article</w:t>
      </w:r>
      <w:r w:rsidR="002E5A0E" w:rsidRPr="008857FF">
        <w:rPr>
          <w:u w:val="single"/>
        </w:rPr>
        <w:t> </w:t>
      </w:r>
      <w:r w:rsidRPr="008857FF">
        <w:rPr>
          <w:u w:val="single"/>
        </w:rPr>
        <w:t>4</w:t>
      </w:r>
    </w:p>
    <w:p w:rsidR="001D1413" w:rsidRPr="008857FF" w:rsidRDefault="001B6888" w:rsidP="001B6888">
      <w:r w:rsidRPr="008857FF">
        <w:t>Approbation des activités et projets et contribution financière</w:t>
      </w:r>
    </w:p>
    <w:p w:rsidR="00C570F7" w:rsidRPr="008857FF" w:rsidRDefault="00C570F7" w:rsidP="00D23985"/>
    <w:p w:rsidR="00C570F7" w:rsidRPr="008857FF" w:rsidRDefault="001B6888" w:rsidP="001B6888">
      <w:r w:rsidRPr="008857FF">
        <w:t>Chaque activité et projet élaboré en vertu du présent mémorandum d</w:t>
      </w:r>
      <w:r w:rsidR="0054793B" w:rsidRPr="008857FF">
        <w:t>’</w:t>
      </w:r>
      <w:r w:rsidRPr="008857FF">
        <w:t xml:space="preserve">accord, </w:t>
      </w:r>
      <w:r w:rsidR="00887964" w:rsidRPr="008857FF">
        <w:t>notamment</w:t>
      </w:r>
      <w:r w:rsidRPr="008857FF">
        <w:t xml:space="preserve"> </w:t>
      </w:r>
      <w:r w:rsidR="00BC173F" w:rsidRPr="008857FF">
        <w:t>ceux</w:t>
      </w:r>
      <w:r w:rsidRPr="008857FF">
        <w:t xml:space="preserve"> nécessitant un appui financier ou humain, est subordonné à l</w:t>
      </w:r>
      <w:r w:rsidR="0054793B" w:rsidRPr="008857FF">
        <w:t>’</w:t>
      </w:r>
      <w:r w:rsidRPr="008857FF">
        <w:t>approbation mutuelle des Parties.</w:t>
      </w:r>
      <w:r w:rsidR="00D23985" w:rsidRPr="008857FF">
        <w:t xml:space="preserve">  </w:t>
      </w:r>
      <w:r w:rsidRPr="008857FF">
        <w:t>Les deux</w:t>
      </w:r>
      <w:r w:rsidR="002E5A0E" w:rsidRPr="008857FF">
        <w:t> </w:t>
      </w:r>
      <w:r w:rsidRPr="008857FF">
        <w:t xml:space="preserve">Parties reconnaissent que la mise en </w:t>
      </w:r>
      <w:r w:rsidR="00BC173F" w:rsidRPr="008857FF">
        <w:t>œuvre</w:t>
      </w:r>
      <w:r w:rsidRPr="008857FF">
        <w:t xml:space="preserve"> de ces activité</w:t>
      </w:r>
      <w:r w:rsidR="000F2072" w:rsidRPr="008857FF">
        <w:t>s</w:t>
      </w:r>
      <w:r w:rsidRPr="008857FF">
        <w:t xml:space="preserve"> et projets est </w:t>
      </w:r>
      <w:r w:rsidR="00887964" w:rsidRPr="008857FF">
        <w:t>sous réserve</w:t>
      </w:r>
      <w:r w:rsidRPr="008857FF">
        <w:t xml:space="preserve"> de ressources suffisantes des Parties.</w:t>
      </w:r>
    </w:p>
    <w:p w:rsidR="00C570F7" w:rsidRPr="008857FF" w:rsidRDefault="00C570F7" w:rsidP="00D23985"/>
    <w:p w:rsidR="00C570F7" w:rsidRPr="008857FF" w:rsidRDefault="00C570F7" w:rsidP="00D23985"/>
    <w:p w:rsidR="00C570F7" w:rsidRPr="008857FF" w:rsidRDefault="001B6888" w:rsidP="001B6888">
      <w:pPr>
        <w:rPr>
          <w:u w:val="single"/>
        </w:rPr>
      </w:pPr>
      <w:r w:rsidRPr="008857FF">
        <w:rPr>
          <w:u w:val="single"/>
        </w:rPr>
        <w:t>Article</w:t>
      </w:r>
      <w:r w:rsidR="002E5A0E" w:rsidRPr="008857FF">
        <w:rPr>
          <w:u w:val="single"/>
        </w:rPr>
        <w:t> </w:t>
      </w:r>
      <w:r w:rsidRPr="008857FF">
        <w:rPr>
          <w:u w:val="single"/>
        </w:rPr>
        <w:t>5</w:t>
      </w:r>
    </w:p>
    <w:p w:rsidR="00C570F7" w:rsidRPr="008857FF" w:rsidRDefault="001B6888" w:rsidP="001B6888">
      <w:r w:rsidRPr="008857FF">
        <w:t>Règlement des litiges</w:t>
      </w:r>
    </w:p>
    <w:p w:rsidR="00C570F7" w:rsidRPr="008857FF" w:rsidRDefault="00C570F7" w:rsidP="00D23985"/>
    <w:p w:rsidR="00C570F7" w:rsidRPr="008857FF" w:rsidRDefault="001B6888" w:rsidP="001B6888">
      <w:r w:rsidRPr="008857FF">
        <w:t>Tout litige concernant l</w:t>
      </w:r>
      <w:r w:rsidR="0054793B" w:rsidRPr="008857FF">
        <w:t>’</w:t>
      </w:r>
      <w:r w:rsidRPr="008857FF">
        <w:t>interprétation ou l</w:t>
      </w:r>
      <w:r w:rsidR="0054793B" w:rsidRPr="008857FF">
        <w:t>’</w:t>
      </w:r>
      <w:r w:rsidRPr="008857FF">
        <w:t>application du présent mémorandum d</w:t>
      </w:r>
      <w:r w:rsidR="0054793B" w:rsidRPr="008857FF">
        <w:t>’</w:t>
      </w:r>
      <w:r w:rsidRPr="008857FF">
        <w:t>accord est réglé à l</w:t>
      </w:r>
      <w:r w:rsidR="0054793B" w:rsidRPr="008857FF">
        <w:t>’</w:t>
      </w:r>
      <w:r w:rsidRPr="008857FF">
        <w:t>amiable entre les Parties.</w:t>
      </w:r>
    </w:p>
    <w:p w:rsidR="00C570F7" w:rsidRPr="008857FF" w:rsidRDefault="00C570F7" w:rsidP="00D23985"/>
    <w:p w:rsidR="00C570F7" w:rsidRPr="008857FF" w:rsidRDefault="00C570F7" w:rsidP="00D23985"/>
    <w:p w:rsidR="00C570F7" w:rsidRPr="008857FF" w:rsidRDefault="001B6888" w:rsidP="001B6888">
      <w:pPr>
        <w:rPr>
          <w:u w:val="single"/>
        </w:rPr>
      </w:pPr>
      <w:r w:rsidRPr="008857FF">
        <w:rPr>
          <w:u w:val="single"/>
        </w:rPr>
        <w:t>Article</w:t>
      </w:r>
      <w:r w:rsidR="002E5A0E" w:rsidRPr="008857FF">
        <w:rPr>
          <w:u w:val="single"/>
        </w:rPr>
        <w:t> </w:t>
      </w:r>
      <w:r w:rsidRPr="008857FF">
        <w:rPr>
          <w:u w:val="single"/>
        </w:rPr>
        <w:t>6</w:t>
      </w:r>
    </w:p>
    <w:p w:rsidR="00C570F7" w:rsidRPr="008857FF" w:rsidRDefault="001B6888" w:rsidP="001B6888">
      <w:r w:rsidRPr="008857FF">
        <w:t>Entrée en vigueur, expiration et modifications</w:t>
      </w:r>
    </w:p>
    <w:p w:rsidR="00C570F7" w:rsidRPr="008857FF" w:rsidRDefault="00C570F7" w:rsidP="00D23985"/>
    <w:p w:rsidR="00C570F7" w:rsidRPr="008857FF" w:rsidRDefault="001B6888" w:rsidP="00BC173F">
      <w:r w:rsidRPr="008857FF">
        <w:t>Le présent mémorandum d</w:t>
      </w:r>
      <w:r w:rsidR="0054793B" w:rsidRPr="008857FF">
        <w:t>’</w:t>
      </w:r>
      <w:r w:rsidRPr="008857FF">
        <w:t xml:space="preserve">accord entrera en vigueur à la date de la dernière des signatures des </w:t>
      </w:r>
      <w:r w:rsidR="00BC173F" w:rsidRPr="008857FF">
        <w:t>représentants</w:t>
      </w:r>
      <w:r w:rsidRPr="008857FF">
        <w:t xml:space="preserve"> dûment autorisés des deux</w:t>
      </w:r>
      <w:r w:rsidR="002E5A0E" w:rsidRPr="008857FF">
        <w:t> </w:t>
      </w:r>
      <w:r w:rsidRPr="008857FF">
        <w:t>Parties.</w:t>
      </w:r>
      <w:r w:rsidR="00D23985" w:rsidRPr="008857FF">
        <w:t xml:space="preserve">  </w:t>
      </w:r>
      <w:r w:rsidRPr="008857FF">
        <w:t>Le présent mémorandum d</w:t>
      </w:r>
      <w:r w:rsidR="0054793B" w:rsidRPr="008857FF">
        <w:t>’</w:t>
      </w:r>
      <w:r w:rsidRPr="008857FF">
        <w:t>accord a une durée de validité de deux</w:t>
      </w:r>
      <w:r w:rsidR="002E5A0E" w:rsidRPr="008857FF">
        <w:t> </w:t>
      </w:r>
      <w:r w:rsidRPr="008857FF">
        <w:t>ans à compter de sa date d</w:t>
      </w:r>
      <w:r w:rsidR="0054793B" w:rsidRPr="008857FF">
        <w:t>’</w:t>
      </w:r>
      <w:r w:rsidRPr="008857FF">
        <w:t>entrée en vigueur et est reconduit automatiquement pour des périodes identiques, sauf si l</w:t>
      </w:r>
      <w:r w:rsidR="0054793B" w:rsidRPr="008857FF">
        <w:t>’</w:t>
      </w:r>
      <w:r w:rsidRPr="008857FF">
        <w:t>une ou l</w:t>
      </w:r>
      <w:r w:rsidR="0054793B" w:rsidRPr="008857FF">
        <w:t>’</w:t>
      </w:r>
      <w:r w:rsidRPr="008857FF">
        <w:t>autre des Parties a fait part de son souhait de ne pas le reconduire.</w:t>
      </w:r>
      <w:r w:rsidR="00D23985" w:rsidRPr="008857FF">
        <w:t xml:space="preserve">  </w:t>
      </w:r>
      <w:r w:rsidR="00BC173F" w:rsidRPr="008857FF">
        <w:t>Chacune des Parties peut dénoncer le présent mémorandum d</w:t>
      </w:r>
      <w:r w:rsidR="0054793B" w:rsidRPr="008857FF">
        <w:t>’</w:t>
      </w:r>
      <w:r w:rsidR="00BC173F" w:rsidRPr="008857FF">
        <w:t>accord par écrit sous réserve d</w:t>
      </w:r>
      <w:r w:rsidR="0054793B" w:rsidRPr="008857FF">
        <w:t>’</w:t>
      </w:r>
      <w:r w:rsidR="00BC173F" w:rsidRPr="008857FF">
        <w:t>un préavis de six mois.</w:t>
      </w:r>
      <w:r w:rsidR="00D23985" w:rsidRPr="008857FF">
        <w:t xml:space="preserve">  </w:t>
      </w:r>
      <w:r w:rsidR="00BC173F" w:rsidRPr="008857FF">
        <w:t>Le présent accord peut être modifié à tout moment.</w:t>
      </w:r>
      <w:r w:rsidR="00D23985" w:rsidRPr="008857FF">
        <w:t xml:space="preserve">  </w:t>
      </w:r>
      <w:r w:rsidR="00BC173F" w:rsidRPr="008857FF">
        <w:t>Toute modification doit faire l</w:t>
      </w:r>
      <w:r w:rsidR="0054793B" w:rsidRPr="008857FF">
        <w:t>’</w:t>
      </w:r>
      <w:r w:rsidR="00BC173F" w:rsidRPr="008857FF">
        <w:t>objet d</w:t>
      </w:r>
      <w:r w:rsidR="0054793B" w:rsidRPr="008857FF">
        <w:t>’</w:t>
      </w:r>
      <w:r w:rsidR="00BC173F" w:rsidRPr="008857FF">
        <w:t>un consentement mutuel et d</w:t>
      </w:r>
      <w:r w:rsidR="0054793B" w:rsidRPr="008857FF">
        <w:t>’</w:t>
      </w:r>
      <w:r w:rsidR="00BC173F" w:rsidRPr="008857FF">
        <w:t>un échange de lettres.</w:t>
      </w:r>
    </w:p>
    <w:p w:rsidR="00C570F7" w:rsidRPr="008857FF" w:rsidRDefault="00C570F7" w:rsidP="00D23985"/>
    <w:p w:rsidR="00C570F7" w:rsidRPr="008857FF" w:rsidRDefault="00BC173F" w:rsidP="00BC173F">
      <w:r w:rsidRPr="008857FF">
        <w:t>En foi de quoi, le Directeur</w:t>
      </w:r>
      <w:r w:rsidR="001D1413" w:rsidRPr="008857FF">
        <w:t xml:space="preserve"> du CER</w:t>
      </w:r>
      <w:r w:rsidRPr="008857FF">
        <w:t>LALC et le Directeur général de l</w:t>
      </w:r>
      <w:r w:rsidR="0054793B" w:rsidRPr="008857FF">
        <w:t>’</w:t>
      </w:r>
      <w:r w:rsidRPr="008857FF">
        <w:t xml:space="preserve">OMPI ont signé le présent </w:t>
      </w:r>
      <w:r w:rsidR="00887964" w:rsidRPr="008857FF">
        <w:t>a</w:t>
      </w:r>
      <w:r w:rsidRPr="008857FF">
        <w:t>ccord en deux</w:t>
      </w:r>
      <w:r w:rsidR="002E5A0E" w:rsidRPr="008857FF">
        <w:t> </w:t>
      </w:r>
      <w:r w:rsidRPr="008857FF">
        <w:t>exemplaires originaux, en langues anglaise et espagnole, aux dates figurant sous leur signature respective.</w:t>
      </w:r>
    </w:p>
    <w:p w:rsidR="00A72FE7" w:rsidRDefault="00A72FE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887964" w:rsidRPr="008857FF" w:rsidTr="00887964">
        <w:tc>
          <w:tcPr>
            <w:tcW w:w="4748" w:type="dxa"/>
          </w:tcPr>
          <w:p w:rsidR="001D1413" w:rsidRPr="008857FF" w:rsidRDefault="00887964" w:rsidP="00887964">
            <w:bookmarkStart w:id="5" w:name="_GoBack"/>
            <w:bookmarkEnd w:id="5"/>
            <w:r w:rsidRPr="008857FF">
              <w:lastRenderedPageBreak/>
              <w:t>Pour le Centre régional pour la promotion du livre en Amérique latine et dans les Caraïbes (CERLALC)</w:t>
            </w:r>
          </w:p>
          <w:p w:rsidR="00887964" w:rsidRPr="008857FF" w:rsidRDefault="00887964" w:rsidP="00887964">
            <w:pPr>
              <w:tabs>
                <w:tab w:val="left" w:pos="3960"/>
              </w:tabs>
              <w:jc w:val="both"/>
            </w:pPr>
          </w:p>
          <w:p w:rsidR="00887964" w:rsidRPr="008857FF" w:rsidRDefault="00887964" w:rsidP="00887964">
            <w:pPr>
              <w:tabs>
                <w:tab w:val="left" w:pos="3960"/>
              </w:tabs>
              <w:jc w:val="both"/>
            </w:pPr>
          </w:p>
          <w:p w:rsidR="00887964" w:rsidRPr="008857FF" w:rsidRDefault="00887964" w:rsidP="00887964">
            <w:pPr>
              <w:tabs>
                <w:tab w:val="left" w:pos="3960"/>
              </w:tabs>
              <w:jc w:val="both"/>
            </w:pPr>
          </w:p>
          <w:p w:rsidR="00887964" w:rsidRPr="008857FF" w:rsidRDefault="00887964" w:rsidP="00887964">
            <w:r w:rsidRPr="008857FF">
              <w:t>Lieu et date :</w:t>
            </w:r>
          </w:p>
          <w:p w:rsidR="00887964" w:rsidRPr="008857FF" w:rsidRDefault="00887964" w:rsidP="00887964"/>
          <w:p w:rsidR="00887964" w:rsidRPr="008857FF" w:rsidRDefault="00887964" w:rsidP="00887964"/>
          <w:p w:rsidR="00887964" w:rsidRPr="008857FF" w:rsidRDefault="00887964" w:rsidP="00887964"/>
          <w:p w:rsidR="00887964" w:rsidRPr="008857FF" w:rsidRDefault="00887964" w:rsidP="00887964"/>
          <w:p w:rsidR="00887964" w:rsidRPr="008857FF" w:rsidRDefault="00887964" w:rsidP="00887964">
            <w:pPr>
              <w:rPr>
                <w:rFonts w:eastAsia="Arial Unicode MS"/>
              </w:rPr>
            </w:pPr>
            <w:r w:rsidRPr="008857FF">
              <w:rPr>
                <w:rFonts w:eastAsia="Arial Unicode MS"/>
              </w:rPr>
              <w:t>M.</w:t>
            </w:r>
            <w:r w:rsidR="002E5A0E" w:rsidRPr="008857FF">
              <w:t> </w:t>
            </w:r>
            <w:r w:rsidR="00A72FE7">
              <w:rPr>
                <w:rFonts w:eastAsia="Arial Unicode MS"/>
              </w:rPr>
              <w:t>Fernando Zapata </w:t>
            </w:r>
            <w:r w:rsidRPr="008857FF">
              <w:rPr>
                <w:rFonts w:eastAsia="Arial Unicode MS"/>
              </w:rPr>
              <w:t>López</w:t>
            </w:r>
          </w:p>
          <w:p w:rsidR="00887964" w:rsidRPr="008857FF" w:rsidRDefault="00887964" w:rsidP="00887964">
            <w:r w:rsidRPr="008857FF">
              <w:rPr>
                <w:rFonts w:eastAsia="Arial Unicode MS"/>
              </w:rPr>
              <w:t>Directeur</w:t>
            </w:r>
          </w:p>
        </w:tc>
        <w:tc>
          <w:tcPr>
            <w:tcW w:w="4748" w:type="dxa"/>
          </w:tcPr>
          <w:p w:rsidR="001D1413" w:rsidRPr="008857FF" w:rsidRDefault="00887964" w:rsidP="00887964">
            <w:r w:rsidRPr="008857FF">
              <w:t>Pour l</w:t>
            </w:r>
            <w:r w:rsidR="0054793B" w:rsidRPr="008857FF">
              <w:t>’</w:t>
            </w:r>
            <w:r w:rsidRPr="008857FF">
              <w:t xml:space="preserve">Organisation </w:t>
            </w:r>
            <w:r w:rsidR="00A72FE7">
              <w:t>M</w:t>
            </w:r>
            <w:r w:rsidRPr="008857FF">
              <w:t xml:space="preserve">ondiale </w:t>
            </w:r>
            <w:r w:rsidRPr="008857FF">
              <w:br/>
              <w:t xml:space="preserve">de la </w:t>
            </w:r>
            <w:r w:rsidR="00A72FE7">
              <w:t>P</w:t>
            </w:r>
            <w:r w:rsidRPr="008857FF">
              <w:t>ropriété Intellectuelle (OMPI)</w:t>
            </w:r>
          </w:p>
          <w:p w:rsidR="00887964" w:rsidRPr="008857FF" w:rsidRDefault="00887964" w:rsidP="00887964">
            <w:pPr>
              <w:tabs>
                <w:tab w:val="left" w:pos="3960"/>
              </w:tabs>
              <w:jc w:val="both"/>
            </w:pPr>
          </w:p>
          <w:p w:rsidR="00887964" w:rsidRPr="008857FF" w:rsidRDefault="00887964" w:rsidP="00887964">
            <w:pPr>
              <w:tabs>
                <w:tab w:val="left" w:pos="3960"/>
              </w:tabs>
              <w:jc w:val="both"/>
            </w:pPr>
          </w:p>
          <w:p w:rsidR="00887964" w:rsidRPr="008857FF" w:rsidRDefault="00887964" w:rsidP="00887964">
            <w:pPr>
              <w:tabs>
                <w:tab w:val="left" w:pos="3960"/>
              </w:tabs>
              <w:jc w:val="both"/>
            </w:pPr>
          </w:p>
          <w:p w:rsidR="00887964" w:rsidRPr="008857FF" w:rsidRDefault="00887964" w:rsidP="00887964">
            <w:pPr>
              <w:tabs>
                <w:tab w:val="left" w:pos="3960"/>
              </w:tabs>
              <w:jc w:val="both"/>
            </w:pPr>
          </w:p>
          <w:p w:rsidR="00887964" w:rsidRPr="008857FF" w:rsidRDefault="00887964" w:rsidP="00887964">
            <w:r w:rsidRPr="008857FF">
              <w:t>Lieu et date :</w:t>
            </w:r>
          </w:p>
          <w:p w:rsidR="00887964" w:rsidRPr="008857FF" w:rsidRDefault="00887964" w:rsidP="00887964"/>
          <w:p w:rsidR="00887964" w:rsidRPr="008857FF" w:rsidRDefault="00887964" w:rsidP="00887964"/>
          <w:p w:rsidR="00887964" w:rsidRPr="008857FF" w:rsidRDefault="00887964" w:rsidP="00887964"/>
          <w:p w:rsidR="00887964" w:rsidRPr="008857FF" w:rsidRDefault="00887964" w:rsidP="00887964"/>
          <w:p w:rsidR="00887964" w:rsidRPr="008857FF" w:rsidRDefault="00887964" w:rsidP="00887964">
            <w:r w:rsidRPr="008857FF">
              <w:t>M. Francis Gurry</w:t>
            </w:r>
          </w:p>
          <w:p w:rsidR="00887964" w:rsidRPr="008857FF" w:rsidRDefault="00887964" w:rsidP="00887964">
            <w:r w:rsidRPr="008857FF">
              <w:t>Directeur général</w:t>
            </w:r>
          </w:p>
        </w:tc>
      </w:tr>
    </w:tbl>
    <w:p w:rsidR="00887964" w:rsidRPr="008857FF" w:rsidRDefault="00887964" w:rsidP="00D23985"/>
    <w:p w:rsidR="00887964" w:rsidRPr="008857FF" w:rsidRDefault="00887964" w:rsidP="00D23985"/>
    <w:p w:rsidR="00887964" w:rsidRPr="008857FF" w:rsidRDefault="00887964" w:rsidP="00D23985"/>
    <w:p w:rsidR="001D6374" w:rsidRPr="008857FF" w:rsidRDefault="00887964">
      <w:pPr>
        <w:pStyle w:val="Endofdocument-Annex"/>
      </w:pPr>
      <w:r w:rsidRPr="008857FF">
        <w:t>[</w:t>
      </w:r>
      <w:r w:rsidR="001D6374" w:rsidRPr="008857FF">
        <w:t>L</w:t>
      </w:r>
      <w:r w:rsidR="0054793B" w:rsidRPr="008857FF">
        <w:t>’</w:t>
      </w:r>
      <w:r w:rsidRPr="008857FF">
        <w:t>annexe</w:t>
      </w:r>
      <w:r w:rsidR="001D6374" w:rsidRPr="008857FF">
        <w:t> II suit</w:t>
      </w:r>
      <w:r w:rsidRPr="008857FF">
        <w:t>]</w:t>
      </w:r>
    </w:p>
    <w:p w:rsidR="001D6374" w:rsidRPr="008857FF" w:rsidRDefault="001D6374">
      <w:r w:rsidRPr="008857FF">
        <w:br w:type="page"/>
      </w:r>
    </w:p>
    <w:p w:rsidR="001D6374" w:rsidRPr="008857FF" w:rsidRDefault="001D6374" w:rsidP="001D6374">
      <w:pPr>
        <w:sectPr w:rsidR="001D6374" w:rsidRPr="008857FF" w:rsidSect="0054793B">
          <w:headerReference w:type="default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1D6374" w:rsidRPr="008857FF" w:rsidTr="0092432A">
        <w:trPr>
          <w:trHeight w:hRule="exact" w:val="1508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D6374" w:rsidRPr="008857FF" w:rsidRDefault="001D6374" w:rsidP="0092432A">
            <w:r w:rsidRPr="008857FF"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5F45BC52" wp14:editId="115690C0">
                  <wp:extent cx="1952625" cy="762000"/>
                  <wp:effectExtent l="0" t="0" r="9525" b="0"/>
                  <wp:docPr id="5" name="Picture 5" descr="Description: http://www.unitar.org/pft/sites/unitar.org.pft/files/UN-ESCAP-logo-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ttp://www.unitar.org/pft/sites/unitar.org.pft/files/UN-ESCAP-logo-2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1D6374" w:rsidRPr="008857FF" w:rsidRDefault="00A72FE7" w:rsidP="0092432A">
            <w:pPr>
              <w:rPr>
                <w:b/>
                <w:bCs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C75E89" wp14:editId="67829E16">
                  <wp:extent cx="1603046" cy="1332000"/>
                  <wp:effectExtent l="0" t="0" r="0" b="1905"/>
                  <wp:docPr id="9" name="Picture 9" descr="\\wipogvafs01\redirected$\olivie\Documents\1-Docs de travail\Trucs utiles_logo_liste pays_\logo_ompi_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wipogvafs01\redirected$\olivie\Documents\1-Docs de travail\Trucs utiles_logo_liste pays_\logo_ompi_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046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374" w:rsidRPr="008857FF" w:rsidTr="0092432A">
        <w:trPr>
          <w:trHeight w:val="510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</w:tcPr>
          <w:p w:rsidR="001D6374" w:rsidRPr="008857FF" w:rsidRDefault="001D6374" w:rsidP="00B51EB7">
            <w:pPr>
              <w:spacing w:line="160" w:lineRule="exact"/>
              <w:rPr>
                <w:caps/>
                <w:sz w:val="15"/>
              </w:rPr>
            </w:pPr>
            <w:r w:rsidRPr="008857FF">
              <w:rPr>
                <w:sz w:val="15"/>
                <w:szCs w:val="15"/>
              </w:rPr>
              <w:t xml:space="preserve">COMMISSION ÉCONOMIQUE ET SOCIALE </w:t>
            </w:r>
            <w:r w:rsidR="00B51EB7">
              <w:rPr>
                <w:sz w:val="15"/>
                <w:szCs w:val="15"/>
              </w:rPr>
              <w:br/>
              <w:t xml:space="preserve">DES NATIONS UNIES </w:t>
            </w:r>
            <w:r w:rsidRPr="008857FF">
              <w:rPr>
                <w:sz w:val="15"/>
                <w:szCs w:val="15"/>
              </w:rPr>
              <w:t>POUR L</w:t>
            </w:r>
            <w:r w:rsidR="0054793B" w:rsidRPr="008857FF">
              <w:rPr>
                <w:sz w:val="15"/>
                <w:szCs w:val="15"/>
              </w:rPr>
              <w:t>’</w:t>
            </w:r>
            <w:r w:rsidRPr="008857FF">
              <w:rPr>
                <w:sz w:val="15"/>
                <w:szCs w:val="15"/>
              </w:rPr>
              <w:t>ASIE ET LE PACIFIQUE</w:t>
            </w: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1D6374" w:rsidRPr="008857FF" w:rsidRDefault="001D6374" w:rsidP="0092432A">
            <w:pPr>
              <w:rPr>
                <w:b/>
                <w:bCs/>
              </w:rPr>
            </w:pPr>
          </w:p>
        </w:tc>
      </w:tr>
    </w:tbl>
    <w:p w:rsidR="001D6374" w:rsidRPr="008857FF" w:rsidRDefault="001D6374" w:rsidP="0093131C">
      <w:pPr>
        <w:rPr>
          <w:b/>
          <w:bCs/>
          <w:caps/>
          <w:color w:val="006092"/>
          <w:sz w:val="28"/>
          <w:szCs w:val="28"/>
        </w:rPr>
      </w:pPr>
    </w:p>
    <w:p w:rsidR="0054793B" w:rsidRPr="008857FF" w:rsidRDefault="001D6374" w:rsidP="0093131C">
      <w:pPr>
        <w:rPr>
          <w:b/>
          <w:bCs/>
          <w:caps/>
          <w:color w:val="006092"/>
          <w:sz w:val="28"/>
          <w:szCs w:val="28"/>
        </w:rPr>
      </w:pPr>
      <w:r w:rsidRPr="008857FF">
        <w:rPr>
          <w:b/>
          <w:bCs/>
          <w:caps/>
          <w:color w:val="006092"/>
          <w:sz w:val="28"/>
          <w:szCs w:val="28"/>
        </w:rPr>
        <w:t>MÉMORANDUM D</w:t>
      </w:r>
      <w:r w:rsidR="0054793B" w:rsidRPr="008857FF">
        <w:rPr>
          <w:b/>
          <w:bCs/>
          <w:caps/>
          <w:color w:val="006092"/>
          <w:sz w:val="28"/>
          <w:szCs w:val="28"/>
        </w:rPr>
        <w:t>’</w:t>
      </w:r>
      <w:r w:rsidRPr="008857FF">
        <w:rPr>
          <w:b/>
          <w:bCs/>
          <w:caps/>
          <w:color w:val="006092"/>
          <w:sz w:val="28"/>
          <w:szCs w:val="28"/>
        </w:rPr>
        <w:t>ACCORD</w:t>
      </w:r>
    </w:p>
    <w:p w:rsidR="0054793B" w:rsidRPr="008857FF" w:rsidRDefault="001D6374" w:rsidP="0093131C">
      <w:pPr>
        <w:rPr>
          <w:b/>
          <w:bCs/>
          <w:caps/>
          <w:color w:val="006092"/>
          <w:sz w:val="28"/>
          <w:szCs w:val="28"/>
        </w:rPr>
      </w:pPr>
      <w:r w:rsidRPr="008857FF">
        <w:rPr>
          <w:b/>
          <w:bCs/>
          <w:caps/>
          <w:color w:val="006092"/>
          <w:sz w:val="28"/>
          <w:szCs w:val="28"/>
        </w:rPr>
        <w:t>ENTRE</w:t>
      </w:r>
    </w:p>
    <w:p w:rsidR="0054793B" w:rsidRPr="008857FF" w:rsidRDefault="001D6374" w:rsidP="0093131C">
      <w:pPr>
        <w:rPr>
          <w:b/>
          <w:bCs/>
          <w:caps/>
          <w:color w:val="006092"/>
          <w:sz w:val="28"/>
          <w:szCs w:val="28"/>
        </w:rPr>
      </w:pPr>
      <w:r w:rsidRPr="008857FF">
        <w:rPr>
          <w:b/>
          <w:bCs/>
          <w:caps/>
          <w:color w:val="006092"/>
          <w:sz w:val="28"/>
          <w:szCs w:val="28"/>
        </w:rPr>
        <w:t>L</w:t>
      </w:r>
      <w:r w:rsidR="0054793B" w:rsidRPr="008857FF">
        <w:rPr>
          <w:b/>
          <w:bCs/>
          <w:caps/>
          <w:color w:val="006092"/>
          <w:sz w:val="28"/>
          <w:szCs w:val="28"/>
        </w:rPr>
        <w:t>’</w:t>
      </w:r>
      <w:r w:rsidRPr="008857FF">
        <w:rPr>
          <w:b/>
          <w:bCs/>
          <w:caps/>
          <w:color w:val="006092"/>
          <w:sz w:val="28"/>
          <w:szCs w:val="28"/>
        </w:rPr>
        <w:t>ORGANISATION MONDIALE DE LA PROPRIéTé INTELLECTUELLE</w:t>
      </w:r>
    </w:p>
    <w:p w:rsidR="0054793B" w:rsidRPr="008857FF" w:rsidRDefault="001D6374" w:rsidP="0093131C">
      <w:pPr>
        <w:rPr>
          <w:b/>
          <w:bCs/>
          <w:caps/>
          <w:color w:val="006092"/>
          <w:sz w:val="28"/>
          <w:szCs w:val="28"/>
        </w:rPr>
      </w:pPr>
      <w:r w:rsidRPr="008857FF">
        <w:rPr>
          <w:b/>
          <w:bCs/>
          <w:caps/>
          <w:color w:val="006092"/>
          <w:sz w:val="28"/>
          <w:szCs w:val="28"/>
        </w:rPr>
        <w:t>ET</w:t>
      </w:r>
    </w:p>
    <w:p w:rsidR="001D6374" w:rsidRPr="008857FF" w:rsidRDefault="001D6374" w:rsidP="0093131C">
      <w:pPr>
        <w:rPr>
          <w:b/>
          <w:bCs/>
          <w:caps/>
          <w:color w:val="006092"/>
          <w:sz w:val="28"/>
          <w:szCs w:val="28"/>
        </w:rPr>
      </w:pPr>
      <w:r w:rsidRPr="008857FF">
        <w:rPr>
          <w:b/>
          <w:bCs/>
          <w:caps/>
          <w:color w:val="006092"/>
          <w:sz w:val="28"/>
          <w:szCs w:val="28"/>
        </w:rPr>
        <w:t xml:space="preserve">LA COMMISSION éCONOMIQUE ET SOCIALE </w:t>
      </w:r>
      <w:r w:rsidR="004E33B0" w:rsidRPr="008857FF">
        <w:rPr>
          <w:b/>
          <w:bCs/>
          <w:caps/>
          <w:color w:val="006092"/>
          <w:sz w:val="28"/>
          <w:szCs w:val="28"/>
        </w:rPr>
        <w:t>des Nations</w:t>
      </w:r>
      <w:r w:rsidR="00A72FE7">
        <w:rPr>
          <w:b/>
          <w:bCs/>
          <w:caps/>
          <w:color w:val="006092"/>
          <w:sz w:val="28"/>
          <w:szCs w:val="28"/>
        </w:rPr>
        <w:t> </w:t>
      </w:r>
      <w:r w:rsidR="004E33B0" w:rsidRPr="008857FF">
        <w:rPr>
          <w:b/>
          <w:bCs/>
          <w:caps/>
          <w:color w:val="006092"/>
          <w:sz w:val="28"/>
          <w:szCs w:val="28"/>
        </w:rPr>
        <w:t>unies</w:t>
      </w:r>
      <w:r w:rsidRPr="008857FF">
        <w:rPr>
          <w:b/>
          <w:bCs/>
          <w:caps/>
          <w:color w:val="006092"/>
          <w:sz w:val="28"/>
          <w:szCs w:val="28"/>
        </w:rPr>
        <w:br/>
        <w:t>POUR L</w:t>
      </w:r>
      <w:r w:rsidR="0054793B" w:rsidRPr="008857FF">
        <w:rPr>
          <w:b/>
          <w:bCs/>
          <w:caps/>
          <w:color w:val="006092"/>
          <w:sz w:val="28"/>
          <w:szCs w:val="28"/>
        </w:rPr>
        <w:t>’</w:t>
      </w:r>
      <w:r w:rsidRPr="008857FF">
        <w:rPr>
          <w:b/>
          <w:bCs/>
          <w:caps/>
          <w:color w:val="006092"/>
          <w:sz w:val="28"/>
          <w:szCs w:val="28"/>
        </w:rPr>
        <w:t>ASIE ET LE PACIFIQUE</w:t>
      </w:r>
    </w:p>
    <w:p w:rsidR="001D6374" w:rsidRPr="008857FF" w:rsidRDefault="001D6374" w:rsidP="0093131C"/>
    <w:p w:rsidR="001D6374" w:rsidRPr="008857FF" w:rsidRDefault="001D6374" w:rsidP="0093131C"/>
    <w:p w:rsidR="001D6374" w:rsidRPr="008857FF" w:rsidRDefault="001D6374" w:rsidP="0093131C"/>
    <w:p w:rsidR="0054793B" w:rsidRPr="008857FF" w:rsidRDefault="001D6374" w:rsidP="0093131C">
      <w:r w:rsidRPr="008857FF">
        <w:t>Le présent mémorandum d</w:t>
      </w:r>
      <w:r w:rsidR="0054793B" w:rsidRPr="008857FF">
        <w:t>’</w:t>
      </w:r>
      <w:r w:rsidRPr="008857FF">
        <w:t>accord est conclu entre</w:t>
      </w:r>
    </w:p>
    <w:p w:rsidR="001D6374" w:rsidRPr="008857FF" w:rsidRDefault="001D6374" w:rsidP="0093131C"/>
    <w:p w:rsidR="0054793B" w:rsidRPr="008857FF" w:rsidRDefault="001D6374" w:rsidP="0093131C">
      <w:r w:rsidRPr="008857FF">
        <w:t>l</w:t>
      </w:r>
      <w:r w:rsidR="0054793B" w:rsidRPr="008857FF">
        <w:t>’</w:t>
      </w:r>
      <w:r w:rsidRPr="008857FF">
        <w:t>Organisation Mondiale de la Propriété Intellectuelle (OMPI)</w:t>
      </w:r>
    </w:p>
    <w:p w:rsidR="001D6374" w:rsidRPr="008857FF" w:rsidRDefault="001D6374" w:rsidP="0093131C"/>
    <w:p w:rsidR="0054793B" w:rsidRPr="008857FF" w:rsidRDefault="001D6374" w:rsidP="0093131C">
      <w:r w:rsidRPr="008857FF">
        <w:t>et</w:t>
      </w:r>
    </w:p>
    <w:p w:rsidR="001D6374" w:rsidRPr="008857FF" w:rsidRDefault="001D6374" w:rsidP="0093131C"/>
    <w:p w:rsidR="001D6374" w:rsidRPr="008857FF" w:rsidRDefault="001D6374" w:rsidP="0093131C">
      <w:r w:rsidRPr="008857FF">
        <w:t xml:space="preserve">la Commission économique et sociale </w:t>
      </w:r>
      <w:r w:rsidR="004E33B0" w:rsidRPr="008857FF">
        <w:t xml:space="preserve">des </w:t>
      </w:r>
      <w:r w:rsidR="0054793B" w:rsidRPr="008857FF">
        <w:t>Nations Unies</w:t>
      </w:r>
      <w:r w:rsidR="004E33B0" w:rsidRPr="008857FF">
        <w:t xml:space="preserve"> </w:t>
      </w:r>
      <w:r w:rsidRPr="008857FF">
        <w:t>pour l</w:t>
      </w:r>
      <w:r w:rsidR="0054793B" w:rsidRPr="008857FF">
        <w:t>’</w:t>
      </w:r>
      <w:r w:rsidRPr="008857FF">
        <w:t>Asie et le Pacifique (CESAP)</w:t>
      </w:r>
    </w:p>
    <w:p w:rsidR="001D6374" w:rsidRPr="008857FF" w:rsidRDefault="001D6374" w:rsidP="0093131C"/>
    <w:p w:rsidR="001D6374" w:rsidRPr="008857FF" w:rsidRDefault="001D6374" w:rsidP="0093131C">
      <w:r w:rsidRPr="008857FF">
        <w:t>ci</w:t>
      </w:r>
      <w:r w:rsidR="008857FF" w:rsidRPr="008857FF">
        <w:noBreakHyphen/>
      </w:r>
      <w:r w:rsidRPr="008857FF">
        <w:t>après collectivement dénommées “parties”</w:t>
      </w:r>
      <w:r w:rsidR="004E33B0" w:rsidRPr="008857FF">
        <w:t>,</w:t>
      </w:r>
    </w:p>
    <w:p w:rsidR="001D6374" w:rsidRPr="008857FF" w:rsidRDefault="001D6374" w:rsidP="0093131C"/>
    <w:p w:rsidR="0054793B" w:rsidRPr="008857FF" w:rsidRDefault="004E33B0" w:rsidP="0093131C">
      <w:r w:rsidRPr="008857FF">
        <w:t xml:space="preserve">à des fins de </w:t>
      </w:r>
      <w:r w:rsidR="001D6374" w:rsidRPr="008857FF">
        <w:t xml:space="preserve">coopération et </w:t>
      </w:r>
      <w:r w:rsidRPr="008857FF">
        <w:t>de</w:t>
      </w:r>
      <w:r w:rsidR="001D6374" w:rsidRPr="008857FF">
        <w:t xml:space="preserve"> mise en œuvre d</w:t>
      </w:r>
      <w:r w:rsidR="0054793B" w:rsidRPr="008857FF">
        <w:t>’</w:t>
      </w:r>
      <w:r w:rsidR="001D6374" w:rsidRPr="008857FF">
        <w:t>activités et de programmes communs</w:t>
      </w:r>
      <w:r w:rsidRPr="008857FF">
        <w:t>.</w:t>
      </w:r>
    </w:p>
    <w:p w:rsidR="004E33B0" w:rsidRPr="008857FF" w:rsidRDefault="004E33B0" w:rsidP="0093131C"/>
    <w:p w:rsidR="001D6374" w:rsidRPr="008857FF" w:rsidRDefault="004E33B0" w:rsidP="0093131C">
      <w:r w:rsidRPr="008857FF">
        <w:t>L</w:t>
      </w:r>
      <w:r w:rsidR="0054793B" w:rsidRPr="008857FF">
        <w:t>’</w:t>
      </w:r>
      <w:r w:rsidR="004B1BD6" w:rsidRPr="008857FF">
        <w:t>OMPI et</w:t>
      </w:r>
      <w:r w:rsidR="0054793B" w:rsidRPr="008857FF">
        <w:t xml:space="preserve"> la CES</w:t>
      </w:r>
      <w:r w:rsidR="004B1BD6" w:rsidRPr="008857FF">
        <w:t>AP</w:t>
      </w:r>
      <w:r w:rsidRPr="008857FF">
        <w:t>,</w:t>
      </w:r>
    </w:p>
    <w:p w:rsidR="001D6374" w:rsidRPr="008857FF" w:rsidRDefault="001D6374" w:rsidP="0093131C"/>
    <w:p w:rsidR="0054793B" w:rsidRPr="008857FF" w:rsidRDefault="004E33B0" w:rsidP="0093131C">
      <w:r w:rsidRPr="008857FF">
        <w:rPr>
          <w:i/>
        </w:rPr>
        <w:t xml:space="preserve">Reconnaissant </w:t>
      </w:r>
      <w:r w:rsidRPr="008857FF">
        <w:t>que l</w:t>
      </w:r>
      <w:r w:rsidR="0054793B" w:rsidRPr="008857FF">
        <w:t>’</w:t>
      </w:r>
      <w:r w:rsidRPr="008857FF">
        <w:t xml:space="preserve">OMPI est une institution spécialisée des </w:t>
      </w:r>
      <w:r w:rsidR="0054793B" w:rsidRPr="008857FF">
        <w:t>Nations Unies</w:t>
      </w:r>
      <w:r w:rsidRPr="008857FF">
        <w:t>, chargée de promouvoir la protection de la propriété intellectuelle par la coopération entre les États et, le cas échéant, en collaboration avec d</w:t>
      </w:r>
      <w:r w:rsidR="0054793B" w:rsidRPr="008857FF">
        <w:t>’</w:t>
      </w:r>
      <w:r w:rsidRPr="008857FF">
        <w:t>autres organisations internationales,</w:t>
      </w:r>
    </w:p>
    <w:p w:rsidR="001D6374" w:rsidRPr="008857FF" w:rsidRDefault="001D6374" w:rsidP="0093131C"/>
    <w:p w:rsidR="001D6374" w:rsidRPr="008857FF" w:rsidRDefault="001D6374" w:rsidP="0093131C">
      <w:r w:rsidRPr="008857FF">
        <w:rPr>
          <w:i/>
        </w:rPr>
        <w:t>Reco</w:t>
      </w:r>
      <w:r w:rsidR="004E33B0" w:rsidRPr="008857FF">
        <w:rPr>
          <w:i/>
        </w:rPr>
        <w:t xml:space="preserve">nnaissant </w:t>
      </w:r>
      <w:r w:rsidR="004E33B0" w:rsidRPr="008857FF">
        <w:t>que</w:t>
      </w:r>
      <w:r w:rsidR="0054793B" w:rsidRPr="008857FF">
        <w:t xml:space="preserve"> la CES</w:t>
      </w:r>
      <w:r w:rsidR="004E33B0" w:rsidRPr="008857FF">
        <w:t xml:space="preserve">AP est la commission régionale des </w:t>
      </w:r>
      <w:r w:rsidR="0054793B" w:rsidRPr="008857FF">
        <w:t>Nations Unies</w:t>
      </w:r>
      <w:r w:rsidR="004E33B0" w:rsidRPr="008857FF">
        <w:t xml:space="preserve"> </w:t>
      </w:r>
      <w:r w:rsidR="00291AE6" w:rsidRPr="008857FF">
        <w:t>pour la région Asie</w:t>
      </w:r>
      <w:r w:rsidR="008857FF" w:rsidRPr="008857FF">
        <w:noBreakHyphen/>
      </w:r>
      <w:r w:rsidR="00291AE6" w:rsidRPr="008857FF">
        <w:t>Pacifique, chargée de promouvoir un développement économique et social viable et sans exclusive dans cette région</w:t>
      </w:r>
      <w:r w:rsidRPr="008857FF">
        <w:t>,</w:t>
      </w:r>
    </w:p>
    <w:p w:rsidR="001D6374" w:rsidRPr="008857FF" w:rsidRDefault="001D6374" w:rsidP="0093131C"/>
    <w:p w:rsidR="0054793B" w:rsidRPr="008857FF" w:rsidRDefault="00291AE6" w:rsidP="0093131C">
      <w:r w:rsidRPr="008857FF">
        <w:rPr>
          <w:i/>
        </w:rPr>
        <w:t>Rappelant</w:t>
      </w:r>
      <w:r w:rsidR="001D6374" w:rsidRPr="008857FF">
        <w:rPr>
          <w:i/>
        </w:rPr>
        <w:t xml:space="preserve"> </w:t>
      </w:r>
      <w:r w:rsidRPr="008857FF">
        <w:t>les bonnes relations institutionnelles qui existent depuis de nombreuses années entre les deux</w:t>
      </w:r>
      <w:r w:rsidR="00E7218B" w:rsidRPr="008857FF">
        <w:t> </w:t>
      </w:r>
      <w:r w:rsidRPr="008857FF">
        <w:t>organisations,</w:t>
      </w:r>
    </w:p>
    <w:p w:rsidR="001D6374" w:rsidRPr="008857FF" w:rsidRDefault="001D6374" w:rsidP="0093131C"/>
    <w:p w:rsidR="001D6374" w:rsidRPr="008857FF" w:rsidRDefault="00291AE6" w:rsidP="0093131C">
      <w:r w:rsidRPr="008857FF">
        <w:rPr>
          <w:i/>
        </w:rPr>
        <w:t xml:space="preserve">Souhaitant </w:t>
      </w:r>
      <w:r w:rsidRPr="008857FF">
        <w:t>renforcer leur collaboration dans le cadre des mandats qui leurs sont confiés et dans l</w:t>
      </w:r>
      <w:r w:rsidR="0054793B" w:rsidRPr="008857FF">
        <w:t>’</w:t>
      </w:r>
      <w:r w:rsidRPr="008857FF">
        <w:t>intérêt des États membres de la région Asie</w:t>
      </w:r>
      <w:r w:rsidR="008857FF" w:rsidRPr="008857FF">
        <w:noBreakHyphen/>
      </w:r>
      <w:r w:rsidRPr="008857FF">
        <w:t>Pacifique</w:t>
      </w:r>
      <w:r w:rsidR="001D6374" w:rsidRPr="008857FF">
        <w:t>.</w:t>
      </w:r>
    </w:p>
    <w:p w:rsidR="001D6374" w:rsidRPr="008857FF" w:rsidRDefault="001D6374" w:rsidP="0093131C"/>
    <w:p w:rsidR="001D6374" w:rsidRPr="008857FF" w:rsidRDefault="004B1BD6" w:rsidP="0093131C">
      <w:r w:rsidRPr="008857FF">
        <w:t>Ont décidé de conclure le présent mémorandum d</w:t>
      </w:r>
      <w:r w:rsidR="0054793B" w:rsidRPr="008857FF">
        <w:t>’</w:t>
      </w:r>
      <w:r w:rsidRPr="008857FF">
        <w:t>accord et sont convenues de ce qui suit :</w:t>
      </w:r>
    </w:p>
    <w:p w:rsidR="001D6374" w:rsidRPr="008857FF" w:rsidRDefault="001D6374" w:rsidP="0093131C"/>
    <w:p w:rsidR="001D6374" w:rsidRPr="00A72FE7" w:rsidRDefault="001D6374" w:rsidP="0093131C"/>
    <w:p w:rsidR="001D6374" w:rsidRPr="008857FF" w:rsidRDefault="001D6374" w:rsidP="0093131C">
      <w:pPr>
        <w:rPr>
          <w:b/>
          <w:i/>
        </w:rPr>
      </w:pPr>
      <w:r w:rsidRPr="008857FF">
        <w:rPr>
          <w:b/>
          <w:i/>
        </w:rPr>
        <w:br w:type="page"/>
      </w:r>
    </w:p>
    <w:p w:rsidR="001D6374" w:rsidRPr="008857FF" w:rsidRDefault="001D6374" w:rsidP="0093131C">
      <w:pPr>
        <w:jc w:val="center"/>
        <w:rPr>
          <w:b/>
          <w:i/>
        </w:rPr>
      </w:pPr>
      <w:r w:rsidRPr="008857FF">
        <w:rPr>
          <w:b/>
          <w:i/>
        </w:rPr>
        <w:lastRenderedPageBreak/>
        <w:t>Article</w:t>
      </w:r>
      <w:r w:rsidR="004B1BD6" w:rsidRPr="008857FF">
        <w:rPr>
          <w:b/>
          <w:i/>
        </w:rPr>
        <w:t xml:space="preserve"> premier</w:t>
      </w:r>
    </w:p>
    <w:p w:rsidR="0054793B" w:rsidRPr="008857FF" w:rsidRDefault="001D6374" w:rsidP="0093131C">
      <w:pPr>
        <w:jc w:val="center"/>
        <w:rPr>
          <w:b/>
          <w:i/>
        </w:rPr>
      </w:pPr>
      <w:r w:rsidRPr="008857FF">
        <w:rPr>
          <w:b/>
          <w:i/>
        </w:rPr>
        <w:t>Coop</w:t>
      </w:r>
      <w:r w:rsidR="004B1BD6" w:rsidRPr="008857FF">
        <w:rPr>
          <w:b/>
          <w:i/>
        </w:rPr>
        <w:t>é</w:t>
      </w:r>
      <w:r w:rsidRPr="008857FF">
        <w:rPr>
          <w:b/>
          <w:i/>
        </w:rPr>
        <w:t>ration</w:t>
      </w:r>
    </w:p>
    <w:p w:rsidR="001D6374" w:rsidRPr="008857FF" w:rsidRDefault="001D6374" w:rsidP="0093131C"/>
    <w:p w:rsidR="001D6374" w:rsidRPr="008857FF" w:rsidRDefault="004B1BD6" w:rsidP="0093131C">
      <w:r w:rsidRPr="008857FF">
        <w:t>Les secrétariats de l</w:t>
      </w:r>
      <w:r w:rsidR="0054793B" w:rsidRPr="008857FF">
        <w:t>’</w:t>
      </w:r>
      <w:r w:rsidRPr="008857FF">
        <w:t>OMPI et de</w:t>
      </w:r>
      <w:r w:rsidR="0054793B" w:rsidRPr="008857FF">
        <w:t xml:space="preserve"> la CES</w:t>
      </w:r>
      <w:r w:rsidRPr="008857FF">
        <w:t>AP, en vue de promouvoir la réalisation des objectifs établis par la Convention instituant l</w:t>
      </w:r>
      <w:r w:rsidR="0054793B" w:rsidRPr="008857FF">
        <w:t>’</w:t>
      </w:r>
      <w:r w:rsidRPr="008857FF">
        <w:t xml:space="preserve">OMPI et les mandats </w:t>
      </w:r>
      <w:r w:rsidR="00B51EB7">
        <w:t>confiés à</w:t>
      </w:r>
      <w:r w:rsidR="0054793B" w:rsidRPr="008857FF">
        <w:t xml:space="preserve"> la CES</w:t>
      </w:r>
      <w:r w:rsidRPr="008857FF">
        <w:t>AP émanant des résolutions de l</w:t>
      </w:r>
      <w:r w:rsidR="0054793B" w:rsidRPr="008857FF">
        <w:t>’</w:t>
      </w:r>
      <w:r w:rsidRPr="008857FF">
        <w:t>Assemblée générale, de l</w:t>
      </w:r>
      <w:r w:rsidR="0054793B" w:rsidRPr="008857FF">
        <w:t>’</w:t>
      </w:r>
      <w:r w:rsidRPr="008857FF">
        <w:t>ECOSOC et de la Commission de</w:t>
      </w:r>
      <w:r w:rsidR="0054793B" w:rsidRPr="008857FF">
        <w:t xml:space="preserve"> la CES</w:t>
      </w:r>
      <w:r w:rsidRPr="008857FF">
        <w:t>AP, ainsi que d</w:t>
      </w:r>
      <w:r w:rsidR="0054793B" w:rsidRPr="008857FF">
        <w:t>’</w:t>
      </w:r>
      <w:r w:rsidRPr="008857FF">
        <w:t>accroître l</w:t>
      </w:r>
      <w:r w:rsidR="0054793B" w:rsidRPr="008857FF">
        <w:t>’</w:t>
      </w:r>
      <w:r w:rsidRPr="008857FF">
        <w:t>efficacité de leurs activités respectives, conviennent de renforcer leur coopération dans les domaines d</w:t>
      </w:r>
      <w:r w:rsidR="0054793B" w:rsidRPr="008857FF">
        <w:t>’</w:t>
      </w:r>
      <w:r w:rsidRPr="008857FF">
        <w:t>intérêt mutuel.</w:t>
      </w:r>
    </w:p>
    <w:p w:rsidR="001D6374" w:rsidRPr="008857FF" w:rsidRDefault="001D6374" w:rsidP="0093131C"/>
    <w:p w:rsidR="001D6374" w:rsidRPr="008857FF" w:rsidRDefault="001D6374" w:rsidP="0093131C">
      <w:pPr>
        <w:jc w:val="center"/>
        <w:rPr>
          <w:b/>
          <w:i/>
        </w:rPr>
      </w:pPr>
    </w:p>
    <w:p w:rsidR="001D6374" w:rsidRPr="008857FF" w:rsidRDefault="001D6374" w:rsidP="0093131C">
      <w:pPr>
        <w:jc w:val="center"/>
        <w:rPr>
          <w:b/>
          <w:i/>
        </w:rPr>
      </w:pPr>
      <w:r w:rsidRPr="008857FF">
        <w:rPr>
          <w:b/>
          <w:i/>
        </w:rPr>
        <w:t>Article</w:t>
      </w:r>
      <w:r w:rsidR="00E7218B" w:rsidRPr="008857FF">
        <w:rPr>
          <w:b/>
          <w:i/>
        </w:rPr>
        <w:t> </w:t>
      </w:r>
      <w:r w:rsidRPr="008857FF">
        <w:rPr>
          <w:b/>
          <w:i/>
        </w:rPr>
        <w:t>II</w:t>
      </w:r>
    </w:p>
    <w:p w:rsidR="001D6374" w:rsidRPr="008857FF" w:rsidRDefault="004B1BD6" w:rsidP="0093131C">
      <w:pPr>
        <w:jc w:val="center"/>
        <w:rPr>
          <w:b/>
          <w:i/>
        </w:rPr>
      </w:pPr>
      <w:r w:rsidRPr="008857FF">
        <w:rPr>
          <w:b/>
          <w:i/>
        </w:rPr>
        <w:t>Domaines de coopération</w:t>
      </w:r>
    </w:p>
    <w:p w:rsidR="001D6374" w:rsidRPr="008857FF" w:rsidRDefault="001D6374" w:rsidP="0093131C">
      <w:pPr>
        <w:jc w:val="center"/>
        <w:rPr>
          <w:b/>
          <w:i/>
        </w:rPr>
      </w:pPr>
    </w:p>
    <w:p w:rsidR="001D6374" w:rsidRPr="008857FF" w:rsidRDefault="004B1BD6" w:rsidP="0093131C">
      <w:r w:rsidRPr="008857FF">
        <w:t>La liste non exhaustive ci</w:t>
      </w:r>
      <w:r w:rsidR="008857FF" w:rsidRPr="008857FF">
        <w:noBreakHyphen/>
      </w:r>
      <w:r w:rsidRPr="008857FF">
        <w:t>après comprend les domaines sur lesquels porte la coopération, dans le cadre des dispositions de l</w:t>
      </w:r>
      <w:r w:rsidR="0054793B" w:rsidRPr="008857FF">
        <w:t>’</w:t>
      </w:r>
      <w:r w:rsidRPr="008857FF">
        <w:t>article</w:t>
      </w:r>
      <w:r w:rsidR="00E7218B" w:rsidRPr="008857FF">
        <w:t> </w:t>
      </w:r>
      <w:r w:rsidRPr="008857FF">
        <w:t>I, et qui sont élaborés par les secrétariats de l</w:t>
      </w:r>
      <w:r w:rsidR="0054793B" w:rsidRPr="008857FF">
        <w:t>’</w:t>
      </w:r>
      <w:r w:rsidRPr="008857FF">
        <w:t>OMPI et de</w:t>
      </w:r>
      <w:r w:rsidR="0054793B" w:rsidRPr="008857FF">
        <w:t xml:space="preserve"> la CES</w:t>
      </w:r>
      <w:r w:rsidRPr="008857FF">
        <w:t>AP :</w:t>
      </w:r>
    </w:p>
    <w:p w:rsidR="001D6374" w:rsidRPr="008857FF" w:rsidRDefault="001D6374" w:rsidP="0093131C"/>
    <w:p w:rsidR="001D6374" w:rsidRPr="008857FF" w:rsidRDefault="00266C46" w:rsidP="0093131C">
      <w:pPr>
        <w:numPr>
          <w:ilvl w:val="0"/>
          <w:numId w:val="7"/>
        </w:numPr>
        <w:ind w:left="1134" w:hanging="567"/>
        <w:contextualSpacing/>
      </w:pPr>
      <w:r w:rsidRPr="008857FF">
        <w:t>renforcement des capacités en matière d</w:t>
      </w:r>
      <w:r w:rsidR="0054793B" w:rsidRPr="008857FF">
        <w:t>’</w:t>
      </w:r>
      <w:r w:rsidRPr="008857FF">
        <w:t>utilisation stratégique de la propriété intellectuelle en tant qu</w:t>
      </w:r>
      <w:r w:rsidR="0054793B" w:rsidRPr="008857FF">
        <w:t>’</w:t>
      </w:r>
      <w:r w:rsidRPr="008857FF">
        <w:t>outil de développement socioéconomique, culturel et technologique</w:t>
      </w:r>
      <w:r w:rsidR="001D6374" w:rsidRPr="008857FF">
        <w:t>;</w:t>
      </w:r>
    </w:p>
    <w:p w:rsidR="001D6374" w:rsidRPr="008857FF" w:rsidRDefault="001D6374" w:rsidP="0093131C">
      <w:pPr>
        <w:ind w:left="1134" w:hanging="567"/>
      </w:pPr>
    </w:p>
    <w:p w:rsidR="001D6374" w:rsidRPr="008857FF" w:rsidRDefault="00266C46" w:rsidP="0093131C">
      <w:pPr>
        <w:numPr>
          <w:ilvl w:val="0"/>
          <w:numId w:val="7"/>
        </w:numPr>
        <w:ind w:left="1134" w:hanging="567"/>
        <w:contextualSpacing/>
      </w:pPr>
      <w:r w:rsidRPr="008857FF">
        <w:t>développement et renforcement des stratégies nationales en matière de propriété intellectuelle et d</w:t>
      </w:r>
      <w:r w:rsidR="0054793B" w:rsidRPr="008857FF">
        <w:t>’</w:t>
      </w:r>
      <w:r w:rsidRPr="008857FF">
        <w:t>innovation afin d</w:t>
      </w:r>
      <w:r w:rsidR="0054793B" w:rsidRPr="008857FF">
        <w:t>’</w:t>
      </w:r>
      <w:r w:rsidRPr="008857FF">
        <w:t>atteindre les objectifs politiques et économiques nationaux</w:t>
      </w:r>
      <w:r w:rsidR="001D6374" w:rsidRPr="008857FF">
        <w:t>;</w:t>
      </w:r>
    </w:p>
    <w:p w:rsidR="001D6374" w:rsidRPr="008857FF" w:rsidRDefault="001D6374" w:rsidP="0093131C">
      <w:pPr>
        <w:ind w:left="1134" w:hanging="567"/>
      </w:pPr>
    </w:p>
    <w:p w:rsidR="001D6374" w:rsidRPr="008857FF" w:rsidRDefault="00266C46" w:rsidP="0093131C">
      <w:pPr>
        <w:numPr>
          <w:ilvl w:val="0"/>
          <w:numId w:val="7"/>
        </w:numPr>
        <w:ind w:left="1134" w:hanging="567"/>
        <w:contextualSpacing/>
      </w:pPr>
      <w:r w:rsidRPr="008857FF">
        <w:t>mise en place des mécanismes de réglementation appropriés et renforcement de l</w:t>
      </w:r>
      <w:r w:rsidR="0054793B" w:rsidRPr="008857FF">
        <w:t>’</w:t>
      </w:r>
      <w:r w:rsidRPr="008857FF">
        <w:t>infrastructure nécessaire pour tirer parti du potentiel qu</w:t>
      </w:r>
      <w:r w:rsidR="0054793B" w:rsidRPr="008857FF">
        <w:t>’</w:t>
      </w:r>
      <w:r w:rsidRPr="008857FF">
        <w:t>offre la propriété intellectuelle aux fins de la croissance et du développement économiques</w:t>
      </w:r>
      <w:r w:rsidR="001D6374" w:rsidRPr="008857FF">
        <w:t>;</w:t>
      </w:r>
    </w:p>
    <w:p w:rsidR="001D6374" w:rsidRPr="008857FF" w:rsidRDefault="001D6374" w:rsidP="0093131C">
      <w:pPr>
        <w:ind w:left="1134" w:hanging="567"/>
      </w:pPr>
    </w:p>
    <w:p w:rsidR="001D6374" w:rsidRPr="008857FF" w:rsidRDefault="00BF5AAE" w:rsidP="0093131C">
      <w:pPr>
        <w:numPr>
          <w:ilvl w:val="0"/>
          <w:numId w:val="7"/>
        </w:numPr>
        <w:ind w:left="1134" w:hanging="567"/>
        <w:contextualSpacing/>
      </w:pPr>
      <w:r w:rsidRPr="008857FF">
        <w:t>promotion de l</w:t>
      </w:r>
      <w:r w:rsidR="0054793B" w:rsidRPr="008857FF">
        <w:t>’</w:t>
      </w:r>
      <w:r w:rsidRPr="008857FF">
        <w:t>accès à l</w:t>
      </w:r>
      <w:r w:rsidR="0054793B" w:rsidRPr="008857FF">
        <w:t>’</w:t>
      </w:r>
      <w:r w:rsidRPr="008857FF">
        <w:t>information technique et scientifique et de l</w:t>
      </w:r>
      <w:r w:rsidR="0054793B" w:rsidRPr="008857FF">
        <w:t>’</w:t>
      </w:r>
      <w:r w:rsidRPr="008857FF">
        <w:t>utilisation de celle</w:t>
      </w:r>
      <w:r w:rsidR="008857FF" w:rsidRPr="008857FF">
        <w:noBreakHyphen/>
      </w:r>
      <w:r w:rsidRPr="008857FF">
        <w:t xml:space="preserve">ci, </w:t>
      </w:r>
      <w:r w:rsidR="0054793B" w:rsidRPr="008857FF">
        <w:t>y compris</w:t>
      </w:r>
      <w:r w:rsidRPr="008857FF">
        <w:t xml:space="preserve"> de l</w:t>
      </w:r>
      <w:r w:rsidR="0054793B" w:rsidRPr="008857FF">
        <w:t>’</w:t>
      </w:r>
      <w:r w:rsidRPr="008857FF">
        <w:t>information contenue dans les documents de brevet, notamment en faveur des pays les moins avancés, afin d</w:t>
      </w:r>
      <w:r w:rsidR="0054793B" w:rsidRPr="008857FF">
        <w:t>’</w:t>
      </w:r>
      <w:r w:rsidRPr="008857FF">
        <w:t>obtenir des résultats en matière de développement</w:t>
      </w:r>
      <w:r w:rsidR="001D6374" w:rsidRPr="008857FF">
        <w:t>.</w:t>
      </w:r>
    </w:p>
    <w:p w:rsidR="001D6374" w:rsidRDefault="001D6374" w:rsidP="0093131C">
      <w:pPr>
        <w:ind w:left="360"/>
      </w:pPr>
    </w:p>
    <w:p w:rsidR="00A72FE7" w:rsidRPr="008857FF" w:rsidRDefault="00A72FE7" w:rsidP="0093131C">
      <w:pPr>
        <w:ind w:left="360"/>
      </w:pPr>
    </w:p>
    <w:p w:rsidR="001D6374" w:rsidRPr="008857FF" w:rsidRDefault="001D6374" w:rsidP="0093131C">
      <w:pPr>
        <w:jc w:val="center"/>
        <w:rPr>
          <w:b/>
          <w:i/>
        </w:rPr>
      </w:pPr>
      <w:r w:rsidRPr="008857FF">
        <w:rPr>
          <w:b/>
          <w:i/>
        </w:rPr>
        <w:t>Article</w:t>
      </w:r>
      <w:r w:rsidR="00E7218B" w:rsidRPr="008857FF">
        <w:rPr>
          <w:b/>
          <w:i/>
        </w:rPr>
        <w:t> </w:t>
      </w:r>
      <w:r w:rsidRPr="008857FF">
        <w:rPr>
          <w:b/>
          <w:i/>
        </w:rPr>
        <w:t>III</w:t>
      </w:r>
    </w:p>
    <w:p w:rsidR="001D6374" w:rsidRPr="008857FF" w:rsidRDefault="00BF5AAE" w:rsidP="0093131C">
      <w:pPr>
        <w:jc w:val="center"/>
        <w:rPr>
          <w:b/>
          <w:i/>
        </w:rPr>
      </w:pPr>
      <w:r w:rsidRPr="008857FF">
        <w:rPr>
          <w:b/>
          <w:i/>
        </w:rPr>
        <w:t>Représentation réciproque</w:t>
      </w:r>
    </w:p>
    <w:p w:rsidR="001D6374" w:rsidRPr="008857FF" w:rsidRDefault="001D6374" w:rsidP="0093131C">
      <w:pPr>
        <w:jc w:val="center"/>
        <w:rPr>
          <w:b/>
          <w:i/>
        </w:rPr>
      </w:pPr>
    </w:p>
    <w:p w:rsidR="0054793B" w:rsidRPr="008857FF" w:rsidRDefault="00BF5AAE" w:rsidP="0093131C">
      <w:r w:rsidRPr="008857FF">
        <w:t>Les secrétariats de l</w:t>
      </w:r>
      <w:r w:rsidR="0054793B" w:rsidRPr="008857FF">
        <w:t>’</w:t>
      </w:r>
      <w:r w:rsidRPr="008857FF">
        <w:t>OMPI et de</w:t>
      </w:r>
      <w:r w:rsidR="0054793B" w:rsidRPr="008857FF">
        <w:t xml:space="preserve"> la CES</w:t>
      </w:r>
      <w:r w:rsidRPr="008857FF">
        <w:t>AP, conformément à leur pratique courante, s</w:t>
      </w:r>
      <w:r w:rsidR="0054793B" w:rsidRPr="008857FF">
        <w:t>’</w:t>
      </w:r>
      <w:r w:rsidRPr="008857FF">
        <w:t>invitent réciproquement à participer aux réunions organisées par chacun sur des questions d</w:t>
      </w:r>
      <w:r w:rsidR="0054793B" w:rsidRPr="008857FF">
        <w:t>’</w:t>
      </w:r>
      <w:r w:rsidRPr="008857FF">
        <w:t>intérêt commun et peuvent, s</w:t>
      </w:r>
      <w:r w:rsidR="0054793B" w:rsidRPr="008857FF">
        <w:t>’</w:t>
      </w:r>
      <w:r w:rsidRPr="008857FF">
        <w:t>ils le jugent approprié, coparrainer ces réunions.  À cette fin, l</w:t>
      </w:r>
      <w:r w:rsidR="0054793B" w:rsidRPr="008857FF">
        <w:t>’</w:t>
      </w:r>
      <w:r w:rsidRPr="008857FF">
        <w:t>OMPI et la CESAP prennent également toutes dispositions nécessaires pour assurer leur représentation réciproque aux réunions pertinentes convoquées sous leurs auspices respectifs.</w:t>
      </w:r>
    </w:p>
    <w:p w:rsidR="001D6374" w:rsidRPr="008857FF" w:rsidRDefault="001D6374" w:rsidP="0093131C"/>
    <w:p w:rsidR="0054793B" w:rsidRPr="008857FF" w:rsidRDefault="0054793B" w:rsidP="0093131C"/>
    <w:p w:rsidR="001D6374" w:rsidRPr="008857FF" w:rsidRDefault="001D6374" w:rsidP="0093131C">
      <w:pPr>
        <w:jc w:val="center"/>
        <w:rPr>
          <w:b/>
          <w:i/>
        </w:rPr>
      </w:pPr>
      <w:r w:rsidRPr="008857FF">
        <w:rPr>
          <w:b/>
          <w:i/>
        </w:rPr>
        <w:t>Article</w:t>
      </w:r>
      <w:r w:rsidR="00E7218B" w:rsidRPr="008857FF">
        <w:rPr>
          <w:b/>
          <w:i/>
        </w:rPr>
        <w:t> </w:t>
      </w:r>
      <w:r w:rsidRPr="008857FF">
        <w:rPr>
          <w:b/>
          <w:i/>
        </w:rPr>
        <w:t>IV</w:t>
      </w:r>
    </w:p>
    <w:p w:rsidR="001D6374" w:rsidRPr="008857FF" w:rsidRDefault="00BF5AAE" w:rsidP="0093131C">
      <w:pPr>
        <w:jc w:val="center"/>
        <w:rPr>
          <w:b/>
          <w:i/>
        </w:rPr>
      </w:pPr>
      <w:r w:rsidRPr="008857FF">
        <w:rPr>
          <w:b/>
          <w:i/>
        </w:rPr>
        <w:t>Échange d</w:t>
      </w:r>
      <w:r w:rsidR="0054793B" w:rsidRPr="008857FF">
        <w:rPr>
          <w:b/>
          <w:i/>
        </w:rPr>
        <w:t>’</w:t>
      </w:r>
      <w:r w:rsidRPr="008857FF">
        <w:rPr>
          <w:b/>
          <w:i/>
        </w:rPr>
        <w:t>informations et de documents</w:t>
      </w:r>
    </w:p>
    <w:p w:rsidR="001D6374" w:rsidRPr="008857FF" w:rsidRDefault="001D6374" w:rsidP="0093131C"/>
    <w:p w:rsidR="001D6374" w:rsidRPr="008857FF" w:rsidRDefault="00BF5AAE" w:rsidP="0093131C">
      <w:r w:rsidRPr="008857FF">
        <w:t>Les secrétariats de l</w:t>
      </w:r>
      <w:r w:rsidR="0054793B" w:rsidRPr="008857FF">
        <w:t>’</w:t>
      </w:r>
      <w:r w:rsidRPr="008857FF">
        <w:t>OMPI et de</w:t>
      </w:r>
      <w:r w:rsidR="0054793B" w:rsidRPr="008857FF">
        <w:t xml:space="preserve"> la CES</w:t>
      </w:r>
      <w:r w:rsidRPr="008857FF">
        <w:t>AP s</w:t>
      </w:r>
      <w:r w:rsidR="0054793B" w:rsidRPr="008857FF">
        <w:t>’</w:t>
      </w:r>
      <w:r w:rsidRPr="008857FF">
        <w:t>échangent des informations et des documents pertinents, sous réserve des restrictions et conditions que l</w:t>
      </w:r>
      <w:r w:rsidR="0054793B" w:rsidRPr="008857FF">
        <w:t>’</w:t>
      </w:r>
      <w:r w:rsidRPr="008857FF">
        <w:t>une ou l</w:t>
      </w:r>
      <w:r w:rsidR="0054793B" w:rsidRPr="008857FF">
        <w:t>’</w:t>
      </w:r>
      <w:r w:rsidRPr="008857FF">
        <w:t>autre partie peut juger nécessaires pour préserver le caractère confidentiel de certaines informations et de certains documents.</w:t>
      </w:r>
    </w:p>
    <w:p w:rsidR="001D6374" w:rsidRPr="008857FF" w:rsidRDefault="001D6374" w:rsidP="0093131C">
      <w:r w:rsidRPr="008857FF">
        <w:br w:type="page"/>
      </w:r>
    </w:p>
    <w:p w:rsidR="001D6374" w:rsidRPr="008857FF" w:rsidRDefault="001D6374" w:rsidP="0093131C">
      <w:pPr>
        <w:jc w:val="center"/>
        <w:rPr>
          <w:b/>
          <w:i/>
        </w:rPr>
      </w:pPr>
      <w:r w:rsidRPr="008857FF">
        <w:rPr>
          <w:b/>
          <w:i/>
        </w:rPr>
        <w:lastRenderedPageBreak/>
        <w:t>Article</w:t>
      </w:r>
      <w:r w:rsidR="00E7218B" w:rsidRPr="008857FF">
        <w:rPr>
          <w:b/>
          <w:i/>
        </w:rPr>
        <w:t> </w:t>
      </w:r>
      <w:r w:rsidRPr="008857FF">
        <w:rPr>
          <w:b/>
          <w:i/>
        </w:rPr>
        <w:t>V</w:t>
      </w:r>
    </w:p>
    <w:p w:rsidR="001D6374" w:rsidRPr="008857FF" w:rsidRDefault="00BF5AAE" w:rsidP="0093131C">
      <w:pPr>
        <w:jc w:val="center"/>
        <w:rPr>
          <w:b/>
          <w:i/>
        </w:rPr>
      </w:pPr>
      <w:r w:rsidRPr="008857FF">
        <w:rPr>
          <w:b/>
          <w:i/>
        </w:rPr>
        <w:t>Incidences financières</w:t>
      </w:r>
    </w:p>
    <w:p w:rsidR="001D6374" w:rsidRPr="008857FF" w:rsidRDefault="001D6374" w:rsidP="0093131C">
      <w:pPr>
        <w:jc w:val="center"/>
        <w:rPr>
          <w:b/>
          <w:i/>
        </w:rPr>
      </w:pPr>
    </w:p>
    <w:p w:rsidR="001D6374" w:rsidRPr="008857FF" w:rsidRDefault="00BF5AAE" w:rsidP="0093131C">
      <w:r w:rsidRPr="008857FF">
        <w:t>Toute dépense mineure ou ordinaire afférente à l</w:t>
      </w:r>
      <w:r w:rsidR="0054793B" w:rsidRPr="008857FF">
        <w:t>’</w:t>
      </w:r>
      <w:r w:rsidRPr="008857FF">
        <w:t>exécution du présent accord est à la charge de la partie concernée.</w:t>
      </w:r>
    </w:p>
    <w:p w:rsidR="001D6374" w:rsidRPr="008857FF" w:rsidRDefault="001D6374" w:rsidP="0093131C"/>
    <w:p w:rsidR="001D6374" w:rsidRPr="008857FF" w:rsidRDefault="00BF5AAE" w:rsidP="0093131C">
      <w:r w:rsidRPr="008857FF">
        <w:t>Si la coopération proposée par l</w:t>
      </w:r>
      <w:r w:rsidR="0054793B" w:rsidRPr="008857FF">
        <w:t>’</w:t>
      </w:r>
      <w:r w:rsidRPr="008857FF">
        <w:t>une des parties à l</w:t>
      </w:r>
      <w:r w:rsidR="0054793B" w:rsidRPr="008857FF">
        <w:t>’</w:t>
      </w:r>
      <w:r w:rsidRPr="008857FF">
        <w:t>autre partie, conformément au présent mémorandum d</w:t>
      </w:r>
      <w:r w:rsidR="0054793B" w:rsidRPr="008857FF">
        <w:t>’</w:t>
      </w:r>
      <w:r w:rsidRPr="008857FF">
        <w:t>accord, entraîne des dépenses supérieures aux dépenses susvisées, l</w:t>
      </w:r>
      <w:r w:rsidR="0054793B" w:rsidRPr="008857FF">
        <w:t>’</w:t>
      </w:r>
      <w:r w:rsidRPr="008857FF">
        <w:t>OMPI et</w:t>
      </w:r>
      <w:r w:rsidR="0054793B" w:rsidRPr="008857FF">
        <w:t xml:space="preserve"> la CES</w:t>
      </w:r>
      <w:r w:rsidRPr="008857FF">
        <w:t>AP se consultent pour déterminer si les ressources nécessaires sont disponibles, le moyen le plus équitable de faire face à ces dépenses et, si les ressources ne sont pas disponibles rapidement, le moyen le plus approprié de les obtenir.</w:t>
      </w:r>
    </w:p>
    <w:p w:rsidR="001D6374" w:rsidRDefault="001D6374" w:rsidP="0093131C"/>
    <w:p w:rsidR="00A72FE7" w:rsidRPr="008857FF" w:rsidRDefault="00A72FE7" w:rsidP="0093131C"/>
    <w:p w:rsidR="001D6374" w:rsidRPr="008857FF" w:rsidRDefault="001D6374" w:rsidP="0093131C">
      <w:pPr>
        <w:jc w:val="center"/>
        <w:rPr>
          <w:b/>
          <w:i/>
        </w:rPr>
      </w:pPr>
      <w:r w:rsidRPr="008857FF">
        <w:rPr>
          <w:b/>
          <w:i/>
        </w:rPr>
        <w:t>Article</w:t>
      </w:r>
      <w:r w:rsidR="00E7218B" w:rsidRPr="008857FF">
        <w:rPr>
          <w:b/>
          <w:i/>
        </w:rPr>
        <w:t> </w:t>
      </w:r>
      <w:r w:rsidRPr="008857FF">
        <w:rPr>
          <w:b/>
          <w:i/>
        </w:rPr>
        <w:t>VI</w:t>
      </w:r>
    </w:p>
    <w:p w:rsidR="0054793B" w:rsidRPr="008857FF" w:rsidRDefault="001D6374" w:rsidP="0093131C">
      <w:pPr>
        <w:jc w:val="center"/>
        <w:rPr>
          <w:b/>
          <w:i/>
        </w:rPr>
      </w:pPr>
      <w:r w:rsidRPr="008857FF">
        <w:rPr>
          <w:b/>
          <w:i/>
        </w:rPr>
        <w:t>Modification</w:t>
      </w:r>
    </w:p>
    <w:p w:rsidR="001D6374" w:rsidRPr="008857FF" w:rsidRDefault="001D6374" w:rsidP="0093131C"/>
    <w:p w:rsidR="001D6374" w:rsidRPr="008857FF" w:rsidRDefault="00BF5AAE" w:rsidP="0093131C">
      <w:pPr>
        <w:pStyle w:val="ONUME"/>
        <w:numPr>
          <w:ilvl w:val="0"/>
          <w:numId w:val="0"/>
        </w:numPr>
        <w:spacing w:after="0"/>
      </w:pPr>
      <w:r w:rsidRPr="008857FF">
        <w:t xml:space="preserve">Le mémorandum </w:t>
      </w:r>
      <w:r w:rsidR="00B51EB7">
        <w:t xml:space="preserve">d’accord </w:t>
      </w:r>
      <w:r w:rsidRPr="008857FF">
        <w:t>peut être modifié par consen</w:t>
      </w:r>
      <w:r w:rsidR="00E84AB4" w:rsidRPr="008857FF">
        <w:t>tement mutuel écrit des parties et officialisé par un échange de lettres spécifiant la date d</w:t>
      </w:r>
      <w:r w:rsidR="0054793B" w:rsidRPr="008857FF">
        <w:t>’</w:t>
      </w:r>
      <w:r w:rsidR="00E84AB4" w:rsidRPr="008857FF">
        <w:t>entrée en vigueur de la modification concernée</w:t>
      </w:r>
      <w:r w:rsidR="001D6374" w:rsidRPr="008857FF">
        <w:t>.</w:t>
      </w:r>
    </w:p>
    <w:p w:rsidR="00A72FE7" w:rsidRPr="00A72FE7" w:rsidRDefault="00A72FE7" w:rsidP="0093131C"/>
    <w:p w:rsidR="00A72FE7" w:rsidRPr="00A72FE7" w:rsidRDefault="00A72FE7" w:rsidP="0093131C"/>
    <w:p w:rsidR="001D6374" w:rsidRPr="008857FF" w:rsidRDefault="001D6374" w:rsidP="0093131C">
      <w:pPr>
        <w:jc w:val="center"/>
        <w:rPr>
          <w:b/>
          <w:i/>
        </w:rPr>
      </w:pPr>
      <w:r w:rsidRPr="008857FF">
        <w:rPr>
          <w:b/>
          <w:i/>
        </w:rPr>
        <w:t>Article</w:t>
      </w:r>
      <w:r w:rsidR="00E7218B" w:rsidRPr="008857FF">
        <w:rPr>
          <w:b/>
          <w:i/>
        </w:rPr>
        <w:t> </w:t>
      </w:r>
      <w:r w:rsidRPr="008857FF">
        <w:rPr>
          <w:b/>
          <w:i/>
        </w:rPr>
        <w:t>VII</w:t>
      </w:r>
    </w:p>
    <w:p w:rsidR="001D6374" w:rsidRPr="008857FF" w:rsidRDefault="00E84AB4" w:rsidP="0093131C">
      <w:pPr>
        <w:jc w:val="center"/>
        <w:rPr>
          <w:b/>
          <w:i/>
        </w:rPr>
      </w:pPr>
      <w:r w:rsidRPr="008857FF">
        <w:rPr>
          <w:b/>
          <w:i/>
        </w:rPr>
        <w:t>Entrée en vigueur</w:t>
      </w:r>
    </w:p>
    <w:p w:rsidR="001D6374" w:rsidRPr="008857FF" w:rsidRDefault="001D6374" w:rsidP="0093131C"/>
    <w:p w:rsidR="001D6374" w:rsidRPr="008857FF" w:rsidRDefault="00E84AB4" w:rsidP="0093131C">
      <w:r w:rsidRPr="008857FF">
        <w:t>Le présent mémorandum d</w:t>
      </w:r>
      <w:r w:rsidR="0054793B" w:rsidRPr="008857FF">
        <w:t>’</w:t>
      </w:r>
      <w:r w:rsidRPr="008857FF">
        <w:t>accord entre en vigueur à la date à laquelle il est signé par le Directeur général de l</w:t>
      </w:r>
      <w:r w:rsidR="0054793B" w:rsidRPr="008857FF">
        <w:t>’</w:t>
      </w:r>
      <w:r w:rsidRPr="008857FF">
        <w:t>OMPI et la secrétaire exécutive de</w:t>
      </w:r>
      <w:r w:rsidR="0054793B" w:rsidRPr="008857FF">
        <w:t xml:space="preserve"> la CES</w:t>
      </w:r>
      <w:r w:rsidRPr="008857FF">
        <w:t>AP</w:t>
      </w:r>
      <w:r w:rsidR="001D6374" w:rsidRPr="008857FF">
        <w:t xml:space="preserve">, </w:t>
      </w:r>
      <w:r w:rsidRPr="008857FF">
        <w:t>sous réserve de l</w:t>
      </w:r>
      <w:r w:rsidR="0054793B" w:rsidRPr="008857FF">
        <w:t>’</w:t>
      </w:r>
      <w:r w:rsidRPr="008857FF">
        <w:t xml:space="preserve">approbation de la Commission économique et sociale des </w:t>
      </w:r>
      <w:r w:rsidR="0054793B" w:rsidRPr="008857FF">
        <w:t>Nations Unies</w:t>
      </w:r>
      <w:r w:rsidRPr="008857FF">
        <w:t xml:space="preserve"> pour l</w:t>
      </w:r>
      <w:r w:rsidR="0054793B" w:rsidRPr="008857FF">
        <w:t>’</w:t>
      </w:r>
      <w:r w:rsidRPr="008857FF">
        <w:t>Asie et le Pacifique</w:t>
      </w:r>
      <w:r w:rsidR="001D6374" w:rsidRPr="008857FF">
        <w:t>.</w:t>
      </w:r>
    </w:p>
    <w:p w:rsidR="001D6374" w:rsidRPr="00A72FE7" w:rsidRDefault="001D6374" w:rsidP="0093131C"/>
    <w:p w:rsidR="00A72FE7" w:rsidRPr="00A72FE7" w:rsidRDefault="00A72FE7" w:rsidP="0093131C"/>
    <w:p w:rsidR="001D6374" w:rsidRPr="008857FF" w:rsidRDefault="001D6374" w:rsidP="0093131C">
      <w:pPr>
        <w:jc w:val="center"/>
        <w:rPr>
          <w:b/>
          <w:i/>
        </w:rPr>
      </w:pPr>
      <w:r w:rsidRPr="008857FF">
        <w:rPr>
          <w:b/>
          <w:i/>
        </w:rPr>
        <w:t>Article</w:t>
      </w:r>
      <w:r w:rsidR="00E7218B" w:rsidRPr="008857FF">
        <w:rPr>
          <w:b/>
          <w:i/>
        </w:rPr>
        <w:t> </w:t>
      </w:r>
      <w:r w:rsidRPr="008857FF">
        <w:rPr>
          <w:b/>
          <w:i/>
        </w:rPr>
        <w:t>VIII</w:t>
      </w:r>
    </w:p>
    <w:p w:rsidR="0054793B" w:rsidRPr="008857FF" w:rsidRDefault="00E84AB4" w:rsidP="0093131C">
      <w:pPr>
        <w:jc w:val="center"/>
        <w:rPr>
          <w:b/>
          <w:i/>
        </w:rPr>
      </w:pPr>
      <w:r w:rsidRPr="008857FF">
        <w:rPr>
          <w:b/>
          <w:i/>
        </w:rPr>
        <w:t>Résiliation</w:t>
      </w:r>
    </w:p>
    <w:p w:rsidR="001D6374" w:rsidRPr="008857FF" w:rsidRDefault="001D6374" w:rsidP="0093131C">
      <w:pPr>
        <w:jc w:val="center"/>
        <w:rPr>
          <w:b/>
          <w:i/>
        </w:rPr>
      </w:pPr>
    </w:p>
    <w:p w:rsidR="001D6374" w:rsidRPr="008857FF" w:rsidRDefault="00E84AB4" w:rsidP="0093131C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eastAsia="en-US"/>
        </w:rPr>
      </w:pPr>
      <w:r w:rsidRPr="008857FF">
        <w:rPr>
          <w:rFonts w:eastAsia="Times New Roman"/>
          <w:szCs w:val="22"/>
          <w:lang w:eastAsia="en-US"/>
        </w:rPr>
        <w:t>Le présent mémorandum d</w:t>
      </w:r>
      <w:r w:rsidR="0054793B" w:rsidRPr="008857FF">
        <w:rPr>
          <w:rFonts w:eastAsia="Times New Roman"/>
          <w:szCs w:val="22"/>
          <w:lang w:eastAsia="en-US"/>
        </w:rPr>
        <w:t>’</w:t>
      </w:r>
      <w:r w:rsidRPr="008857FF">
        <w:rPr>
          <w:rFonts w:eastAsia="Times New Roman"/>
          <w:szCs w:val="22"/>
          <w:lang w:eastAsia="en-US"/>
        </w:rPr>
        <w:t>accord peut être résilié d</w:t>
      </w:r>
      <w:r w:rsidR="0054793B" w:rsidRPr="008857FF">
        <w:rPr>
          <w:rFonts w:eastAsia="Times New Roman"/>
          <w:szCs w:val="22"/>
          <w:lang w:eastAsia="en-US"/>
        </w:rPr>
        <w:t>’</w:t>
      </w:r>
      <w:r w:rsidRPr="008857FF">
        <w:rPr>
          <w:rFonts w:eastAsia="Times New Roman"/>
          <w:szCs w:val="22"/>
          <w:lang w:eastAsia="en-US"/>
        </w:rPr>
        <w:t xml:space="preserve">un commun accord écrit entre les parties, ou par une </w:t>
      </w:r>
      <w:r w:rsidR="00B51EB7">
        <w:rPr>
          <w:rFonts w:eastAsia="Times New Roman"/>
          <w:szCs w:val="22"/>
          <w:lang w:eastAsia="en-US"/>
        </w:rPr>
        <w:t xml:space="preserve">des </w:t>
      </w:r>
      <w:r w:rsidRPr="008857FF">
        <w:rPr>
          <w:rFonts w:eastAsia="Times New Roman"/>
          <w:szCs w:val="22"/>
          <w:lang w:eastAsia="en-US"/>
        </w:rPr>
        <w:t>partie</w:t>
      </w:r>
      <w:r w:rsidR="00B51EB7">
        <w:rPr>
          <w:rFonts w:eastAsia="Times New Roman"/>
          <w:szCs w:val="22"/>
          <w:lang w:eastAsia="en-US"/>
        </w:rPr>
        <w:t>s</w:t>
      </w:r>
      <w:r w:rsidRPr="008857FF">
        <w:rPr>
          <w:rFonts w:eastAsia="Times New Roman"/>
          <w:szCs w:val="22"/>
          <w:lang w:eastAsia="en-US"/>
        </w:rPr>
        <w:t xml:space="preserve"> </w:t>
      </w:r>
      <w:r w:rsidR="00972FF9" w:rsidRPr="008857FF">
        <w:rPr>
          <w:rFonts w:eastAsia="Times New Roman"/>
          <w:szCs w:val="22"/>
          <w:lang w:eastAsia="en-US"/>
        </w:rPr>
        <w:t>moyennant un préavis de six</w:t>
      </w:r>
      <w:r w:rsidR="00E7218B" w:rsidRPr="008857FF">
        <w:rPr>
          <w:rFonts w:eastAsia="Times New Roman"/>
          <w:szCs w:val="22"/>
          <w:lang w:eastAsia="en-US"/>
        </w:rPr>
        <w:t> </w:t>
      </w:r>
      <w:r w:rsidR="00972FF9" w:rsidRPr="008857FF">
        <w:rPr>
          <w:rFonts w:eastAsia="Times New Roman"/>
          <w:szCs w:val="22"/>
          <w:lang w:eastAsia="en-US"/>
        </w:rPr>
        <w:t>mois notifié à l</w:t>
      </w:r>
      <w:r w:rsidR="0054793B" w:rsidRPr="008857FF">
        <w:rPr>
          <w:rFonts w:eastAsia="Times New Roman"/>
          <w:szCs w:val="22"/>
          <w:lang w:eastAsia="en-US"/>
        </w:rPr>
        <w:t>’</w:t>
      </w:r>
      <w:r w:rsidR="00972FF9" w:rsidRPr="008857FF">
        <w:rPr>
          <w:rFonts w:eastAsia="Times New Roman"/>
          <w:szCs w:val="22"/>
          <w:lang w:eastAsia="en-US"/>
        </w:rPr>
        <w:t>autre partie</w:t>
      </w:r>
      <w:r w:rsidR="001D6374" w:rsidRPr="008857FF">
        <w:rPr>
          <w:rFonts w:eastAsia="Times New Roman" w:cs="Times New Roman"/>
          <w:szCs w:val="22"/>
          <w:lang w:eastAsia="en-US"/>
        </w:rPr>
        <w:t xml:space="preserve">.  </w:t>
      </w:r>
      <w:r w:rsidR="00972FF9" w:rsidRPr="008857FF">
        <w:rPr>
          <w:rFonts w:eastAsia="Times New Roman" w:cs="Times New Roman"/>
          <w:szCs w:val="22"/>
          <w:lang w:eastAsia="en-US"/>
        </w:rPr>
        <w:t xml:space="preserve">Dans pareil cas, </w:t>
      </w:r>
      <w:r w:rsidR="00B51EB7">
        <w:rPr>
          <w:rFonts w:eastAsia="Times New Roman" w:cs="Times New Roman"/>
          <w:szCs w:val="22"/>
          <w:lang w:eastAsia="en-US"/>
        </w:rPr>
        <w:t>sauf</w:t>
      </w:r>
      <w:r w:rsidR="00972FF9" w:rsidRPr="008857FF">
        <w:rPr>
          <w:rFonts w:eastAsia="Times New Roman" w:cs="Times New Roman"/>
          <w:szCs w:val="22"/>
          <w:lang w:eastAsia="en-US"/>
        </w:rPr>
        <w:t xml:space="preserve"> accord contraire, les obligations précédemment contractées dans le cadre de projets de coopération spécifiques ne sont pas concernées</w:t>
      </w:r>
      <w:r w:rsidR="001D6374" w:rsidRPr="008857FF">
        <w:rPr>
          <w:rFonts w:eastAsia="Times New Roman"/>
          <w:szCs w:val="22"/>
          <w:lang w:eastAsia="en-US"/>
        </w:rPr>
        <w:t>.</w:t>
      </w:r>
    </w:p>
    <w:p w:rsidR="001D6374" w:rsidRPr="00A72FE7" w:rsidRDefault="001D6374" w:rsidP="0093131C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eastAsia="en-US"/>
        </w:rPr>
      </w:pPr>
    </w:p>
    <w:p w:rsidR="00A72FE7" w:rsidRPr="00A72FE7" w:rsidRDefault="00A72FE7" w:rsidP="0093131C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eastAsia="en-US"/>
        </w:rPr>
      </w:pPr>
    </w:p>
    <w:p w:rsidR="001D6374" w:rsidRPr="008857FF" w:rsidRDefault="001D6374" w:rsidP="0093131C">
      <w:pPr>
        <w:jc w:val="center"/>
        <w:rPr>
          <w:b/>
        </w:rPr>
      </w:pPr>
      <w:r w:rsidRPr="008857FF">
        <w:rPr>
          <w:b/>
        </w:rPr>
        <w:t>Article</w:t>
      </w:r>
      <w:r w:rsidR="00E7218B" w:rsidRPr="008857FF">
        <w:rPr>
          <w:b/>
        </w:rPr>
        <w:t> </w:t>
      </w:r>
      <w:r w:rsidRPr="008857FF">
        <w:rPr>
          <w:b/>
        </w:rPr>
        <w:t>IX</w:t>
      </w:r>
    </w:p>
    <w:p w:rsidR="001D6374" w:rsidRPr="008857FF" w:rsidRDefault="00972FF9" w:rsidP="0093131C">
      <w:pPr>
        <w:pStyle w:val="ONUME"/>
        <w:numPr>
          <w:ilvl w:val="0"/>
          <w:numId w:val="0"/>
        </w:numPr>
        <w:spacing w:after="0"/>
        <w:jc w:val="center"/>
        <w:rPr>
          <w:rFonts w:eastAsia="Times New Roman"/>
          <w:b/>
          <w:i/>
          <w:szCs w:val="22"/>
          <w:lang w:eastAsia="en-US"/>
        </w:rPr>
      </w:pPr>
      <w:r w:rsidRPr="008857FF">
        <w:rPr>
          <w:rFonts w:eastAsia="Times New Roman"/>
          <w:b/>
          <w:i/>
          <w:szCs w:val="22"/>
          <w:lang w:eastAsia="en-US"/>
        </w:rPr>
        <w:t>Coordonnateurs</w:t>
      </w:r>
    </w:p>
    <w:p w:rsidR="001D6374" w:rsidRPr="008857FF" w:rsidRDefault="001D6374" w:rsidP="0093131C">
      <w:pPr>
        <w:pStyle w:val="ONUME"/>
        <w:numPr>
          <w:ilvl w:val="0"/>
          <w:numId w:val="0"/>
        </w:numPr>
        <w:spacing w:after="0"/>
        <w:jc w:val="center"/>
        <w:rPr>
          <w:rFonts w:eastAsia="Times New Roman"/>
          <w:szCs w:val="22"/>
          <w:lang w:eastAsia="en-US"/>
        </w:rPr>
      </w:pPr>
    </w:p>
    <w:p w:rsidR="001D6374" w:rsidRPr="008857FF" w:rsidRDefault="00972FF9" w:rsidP="0093131C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eastAsia="en-US"/>
        </w:rPr>
      </w:pPr>
      <w:r w:rsidRPr="008857FF">
        <w:rPr>
          <w:rFonts w:eastAsia="Times New Roman"/>
          <w:szCs w:val="22"/>
          <w:lang w:eastAsia="en-US"/>
        </w:rPr>
        <w:t>Les parties désignent un coordonnateur chargé de faciliter la coordination et la communication sur les questions relatives à la mise en œuvre du présent mémorandum d</w:t>
      </w:r>
      <w:r w:rsidR="0054793B" w:rsidRPr="008857FF">
        <w:rPr>
          <w:rFonts w:eastAsia="Times New Roman"/>
          <w:szCs w:val="22"/>
          <w:lang w:eastAsia="en-US"/>
        </w:rPr>
        <w:t>’</w:t>
      </w:r>
      <w:r w:rsidRPr="008857FF">
        <w:rPr>
          <w:rFonts w:eastAsia="Times New Roman"/>
          <w:szCs w:val="22"/>
          <w:lang w:eastAsia="en-US"/>
        </w:rPr>
        <w:t>accord et se tien</w:t>
      </w:r>
      <w:r w:rsidR="00B51EB7">
        <w:rPr>
          <w:rFonts w:eastAsia="Times New Roman"/>
          <w:szCs w:val="22"/>
          <w:lang w:eastAsia="en-US"/>
        </w:rPr>
        <w:t>ne</w:t>
      </w:r>
      <w:r w:rsidRPr="008857FF">
        <w:rPr>
          <w:rFonts w:eastAsia="Times New Roman"/>
          <w:szCs w:val="22"/>
          <w:lang w:eastAsia="en-US"/>
        </w:rPr>
        <w:t>nt mutuellement informées en cas de changement</w:t>
      </w:r>
      <w:r w:rsidR="001D6374" w:rsidRPr="008857FF">
        <w:rPr>
          <w:rFonts w:eastAsia="Times New Roman"/>
          <w:szCs w:val="22"/>
          <w:lang w:eastAsia="en-US"/>
        </w:rPr>
        <w:t>.</w:t>
      </w:r>
    </w:p>
    <w:p w:rsidR="001D6374" w:rsidRPr="008857FF" w:rsidRDefault="001D6374" w:rsidP="0093131C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eastAsia="en-US"/>
        </w:rPr>
      </w:pPr>
    </w:p>
    <w:p w:rsidR="001D6374" w:rsidRPr="008857FF" w:rsidRDefault="001D6374" w:rsidP="0093131C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eastAsia="en-US"/>
        </w:rPr>
      </w:pPr>
    </w:p>
    <w:p w:rsidR="001D6374" w:rsidRPr="008857FF" w:rsidRDefault="00972FF9" w:rsidP="0093131C">
      <w:pPr>
        <w:pStyle w:val="ONUME"/>
        <w:numPr>
          <w:ilvl w:val="0"/>
          <w:numId w:val="0"/>
        </w:numPr>
        <w:spacing w:after="0"/>
      </w:pPr>
      <w:r w:rsidRPr="008857FF">
        <w:t>Le coordonnateur pour</w:t>
      </w:r>
      <w:r w:rsidR="0054793B" w:rsidRPr="008857FF">
        <w:t xml:space="preserve"> la CES</w:t>
      </w:r>
      <w:r w:rsidRPr="008857FF">
        <w:t>AP est :</w:t>
      </w:r>
    </w:p>
    <w:p w:rsidR="001D6374" w:rsidRPr="008857FF" w:rsidRDefault="001D6374" w:rsidP="0093131C">
      <w:pPr>
        <w:pStyle w:val="ONUME"/>
        <w:numPr>
          <w:ilvl w:val="0"/>
          <w:numId w:val="0"/>
        </w:numPr>
        <w:spacing w:after="0"/>
      </w:pPr>
    </w:p>
    <w:p w:rsidR="001D6374" w:rsidRPr="008857FF" w:rsidRDefault="001D6374" w:rsidP="0093131C">
      <w:pPr>
        <w:autoSpaceDE w:val="0"/>
        <w:autoSpaceDN w:val="0"/>
        <w:adjustRightInd w:val="0"/>
        <w:rPr>
          <w:szCs w:val="22"/>
        </w:rPr>
      </w:pPr>
    </w:p>
    <w:p w:rsidR="001D6374" w:rsidRPr="008857FF" w:rsidRDefault="001D6374" w:rsidP="0093131C">
      <w:pPr>
        <w:pStyle w:val="ONUME"/>
        <w:numPr>
          <w:ilvl w:val="0"/>
          <w:numId w:val="0"/>
        </w:numPr>
        <w:spacing w:after="0"/>
      </w:pPr>
    </w:p>
    <w:p w:rsidR="001D6374" w:rsidRPr="008857FF" w:rsidRDefault="001D6374" w:rsidP="0093131C">
      <w:pPr>
        <w:pStyle w:val="ONUME"/>
        <w:numPr>
          <w:ilvl w:val="0"/>
          <w:numId w:val="0"/>
        </w:numPr>
        <w:spacing w:after="0"/>
      </w:pPr>
    </w:p>
    <w:p w:rsidR="001D6374" w:rsidRPr="008857FF" w:rsidRDefault="00972FF9" w:rsidP="0093131C">
      <w:pPr>
        <w:pStyle w:val="ONUME"/>
        <w:numPr>
          <w:ilvl w:val="0"/>
          <w:numId w:val="0"/>
        </w:numPr>
        <w:spacing w:after="0"/>
      </w:pPr>
      <w:r w:rsidRPr="008857FF">
        <w:t>Le coordonnateur pour l</w:t>
      </w:r>
      <w:r w:rsidR="0054793B" w:rsidRPr="008857FF">
        <w:t>’</w:t>
      </w:r>
      <w:r w:rsidRPr="008857FF">
        <w:t>OMPI est :</w:t>
      </w:r>
    </w:p>
    <w:p w:rsidR="001D6374" w:rsidRPr="008857FF" w:rsidRDefault="001D6374" w:rsidP="0093131C">
      <w:pPr>
        <w:jc w:val="center"/>
        <w:rPr>
          <w:b/>
          <w:i/>
        </w:rPr>
      </w:pPr>
    </w:p>
    <w:p w:rsidR="001D6374" w:rsidRPr="008857FF" w:rsidRDefault="001D6374" w:rsidP="0093131C">
      <w:r w:rsidRPr="008857FF">
        <w:br w:type="page"/>
      </w:r>
    </w:p>
    <w:p w:rsidR="001D6374" w:rsidRPr="008857FF" w:rsidRDefault="00972FF9" w:rsidP="0093131C">
      <w:pPr>
        <w:pStyle w:val="ONUME"/>
        <w:numPr>
          <w:ilvl w:val="0"/>
          <w:numId w:val="0"/>
        </w:numPr>
      </w:pPr>
      <w:r w:rsidRPr="008857FF">
        <w:lastRenderedPageBreak/>
        <w:t>EN FOI DE QUOI, les soussignés, étant dûment autorisés, ont signé l</w:t>
      </w:r>
      <w:r w:rsidR="0054793B" w:rsidRPr="008857FF">
        <w:t>’</w:t>
      </w:r>
      <w:r w:rsidRPr="008857FF">
        <w:t>accord.</w:t>
      </w:r>
    </w:p>
    <w:p w:rsidR="001D6374" w:rsidRPr="008857FF" w:rsidRDefault="00972FF9" w:rsidP="0093131C">
      <w:pPr>
        <w:pStyle w:val="ONUME"/>
        <w:numPr>
          <w:ilvl w:val="0"/>
          <w:numId w:val="0"/>
        </w:numPr>
      </w:pPr>
      <w:r w:rsidRPr="008857FF">
        <w:t>Fait à Genève</w:t>
      </w:r>
      <w:r w:rsidR="001D6374" w:rsidRPr="008857FF">
        <w:t xml:space="preserve">, </w:t>
      </w:r>
      <w:r w:rsidRPr="008857FF">
        <w:t>le</w:t>
      </w:r>
      <w:r w:rsidR="001D6374" w:rsidRPr="008857FF">
        <w:t xml:space="preserve"> [date]</w:t>
      </w:r>
    </w:p>
    <w:p w:rsidR="001D6374" w:rsidRPr="008857FF" w:rsidRDefault="001D6374" w:rsidP="0093131C">
      <w:pPr>
        <w:jc w:val="center"/>
        <w:rPr>
          <w:b/>
          <w:i/>
        </w:rPr>
      </w:pPr>
    </w:p>
    <w:p w:rsidR="001D6374" w:rsidRPr="008857FF" w:rsidRDefault="001D6374" w:rsidP="0093131C">
      <w:pPr>
        <w:jc w:val="center"/>
        <w:rPr>
          <w:b/>
          <w:i/>
        </w:rPr>
      </w:pPr>
    </w:p>
    <w:p w:rsidR="001D6374" w:rsidRPr="008857FF" w:rsidRDefault="001D6374" w:rsidP="0093131C">
      <w:pPr>
        <w:jc w:val="center"/>
        <w:rPr>
          <w:b/>
          <w:i/>
        </w:rPr>
      </w:pPr>
    </w:p>
    <w:p w:rsidR="001D6374" w:rsidRPr="008857FF" w:rsidRDefault="001D6374" w:rsidP="0093131C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2"/>
        <w:gridCol w:w="4764"/>
      </w:tblGrid>
      <w:tr w:rsidR="001D6374" w:rsidRPr="008857FF" w:rsidTr="0092432A">
        <w:trPr>
          <w:trHeight w:val="567"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:rsidR="001D6374" w:rsidRPr="008857FF" w:rsidRDefault="00262A79" w:rsidP="0093131C">
            <w:pPr>
              <w:keepNext/>
              <w:keepLines/>
            </w:pPr>
            <w:r w:rsidRPr="008857FF">
              <w:t xml:space="preserve">Pour la Commission économique et sociale des </w:t>
            </w:r>
            <w:r w:rsidR="0054793B" w:rsidRPr="008857FF">
              <w:t>Nations Unies</w:t>
            </w:r>
            <w:r w:rsidRPr="008857FF">
              <w:t xml:space="preserve"> pour l</w:t>
            </w:r>
            <w:r w:rsidR="0054793B" w:rsidRPr="008857FF">
              <w:t>’</w:t>
            </w:r>
            <w:r w:rsidRPr="008857FF">
              <w:t>Asie et le Pacifique (CESAP)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1D6374" w:rsidRPr="008857FF" w:rsidRDefault="00262A79" w:rsidP="0093131C">
            <w:pPr>
              <w:keepNext/>
              <w:keepLines/>
            </w:pPr>
            <w:r w:rsidRPr="008857FF">
              <w:t>Pour l</w:t>
            </w:r>
            <w:r w:rsidR="0054793B" w:rsidRPr="008857FF">
              <w:t>’</w:t>
            </w:r>
            <w:r w:rsidRPr="008857FF">
              <w:t xml:space="preserve">Organisation Mondiale de la Propriété Intellectuelle </w:t>
            </w:r>
            <w:r w:rsidR="001D6374" w:rsidRPr="008857FF">
              <w:t>(</w:t>
            </w:r>
            <w:r w:rsidRPr="008857FF">
              <w:t>OMPI</w:t>
            </w:r>
            <w:r w:rsidR="001D6374" w:rsidRPr="008857FF">
              <w:t>)</w:t>
            </w:r>
          </w:p>
        </w:tc>
      </w:tr>
      <w:tr w:rsidR="001D6374" w:rsidRPr="008857FF" w:rsidTr="0092432A">
        <w:trPr>
          <w:trHeight w:hRule="exact" w:val="1418"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:rsidR="001D6374" w:rsidRPr="008857FF" w:rsidRDefault="001D6374" w:rsidP="0093131C">
            <w:pPr>
              <w:keepNext/>
              <w:keepLines/>
              <w:rPr>
                <w:caps/>
                <w:szCs w:val="22"/>
              </w:rPr>
            </w:pPr>
          </w:p>
          <w:p w:rsidR="001D6374" w:rsidRPr="008857FF" w:rsidRDefault="001D6374" w:rsidP="0093131C">
            <w:pPr>
              <w:keepNext/>
              <w:keepLines/>
              <w:rPr>
                <w:caps/>
                <w:szCs w:val="22"/>
              </w:rPr>
            </w:pPr>
          </w:p>
          <w:p w:rsidR="001D6374" w:rsidRPr="008857FF" w:rsidRDefault="001D6374" w:rsidP="0093131C">
            <w:pPr>
              <w:keepNext/>
              <w:keepLines/>
              <w:rPr>
                <w:caps/>
                <w:szCs w:val="22"/>
              </w:rPr>
            </w:pPr>
          </w:p>
          <w:p w:rsidR="001D6374" w:rsidRPr="008857FF" w:rsidRDefault="001D6374" w:rsidP="0093131C">
            <w:pPr>
              <w:keepNext/>
              <w:keepLines/>
              <w:rPr>
                <w:caps/>
                <w:szCs w:val="22"/>
              </w:rPr>
            </w:pPr>
          </w:p>
          <w:p w:rsidR="001D6374" w:rsidRPr="008857FF" w:rsidRDefault="001D6374" w:rsidP="0093131C">
            <w:pPr>
              <w:keepNext/>
              <w:keepLines/>
              <w:rPr>
                <w:szCs w:val="22"/>
              </w:rPr>
            </w:pPr>
          </w:p>
          <w:p w:rsidR="001D6374" w:rsidRPr="008857FF" w:rsidRDefault="001D6374" w:rsidP="0093131C">
            <w:pPr>
              <w:keepNext/>
              <w:keepLines/>
              <w:rPr>
                <w:szCs w:val="22"/>
              </w:rPr>
            </w:pPr>
          </w:p>
          <w:p w:rsidR="001D6374" w:rsidRPr="008857FF" w:rsidRDefault="001D6374" w:rsidP="0093131C">
            <w:pPr>
              <w:keepNext/>
              <w:keepLines/>
              <w:rPr>
                <w:caps/>
                <w:szCs w:val="22"/>
              </w:rPr>
            </w:pPr>
            <w:r w:rsidRPr="008857FF">
              <w:rPr>
                <w:szCs w:val="22"/>
              </w:rPr>
              <w:t>Ms.Shamshad Akhtar</w:t>
            </w:r>
          </w:p>
          <w:p w:rsidR="001D6374" w:rsidRPr="008857FF" w:rsidRDefault="001D6374" w:rsidP="0093131C">
            <w:pPr>
              <w:keepNext/>
              <w:keepLines/>
              <w:rPr>
                <w:caps/>
                <w:szCs w:val="22"/>
              </w:rPr>
            </w:pPr>
          </w:p>
          <w:p w:rsidR="001D6374" w:rsidRPr="008857FF" w:rsidRDefault="001D6374" w:rsidP="0093131C">
            <w:pPr>
              <w:keepNext/>
              <w:keepLines/>
              <w:rPr>
                <w:caps/>
                <w:szCs w:val="22"/>
              </w:rPr>
            </w:pP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1D6374" w:rsidRPr="008857FF" w:rsidRDefault="001D6374" w:rsidP="0093131C">
            <w:pPr>
              <w:keepNext/>
              <w:keepLines/>
            </w:pPr>
          </w:p>
        </w:tc>
      </w:tr>
      <w:tr w:rsidR="001D6374" w:rsidRPr="008857FF" w:rsidTr="0092432A">
        <w:trPr>
          <w:trHeight w:val="567"/>
        </w:trPr>
        <w:tc>
          <w:tcPr>
            <w:tcW w:w="4592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:rsidR="001D6374" w:rsidRPr="008857FF" w:rsidRDefault="001D6374" w:rsidP="0093131C">
            <w:pPr>
              <w:keepNext/>
              <w:keepLines/>
              <w:rPr>
                <w:rFonts w:ascii="ArialMT" w:eastAsia="Times New Roman" w:hAnsi="ArialMT" w:cs="ArialMT"/>
                <w:szCs w:val="22"/>
                <w:lang w:eastAsia="en-US"/>
              </w:rPr>
            </w:pPr>
            <w:r w:rsidRPr="008857FF">
              <w:rPr>
                <w:rFonts w:ascii="ArialMT" w:eastAsia="Times New Roman" w:hAnsi="ArialMT" w:cs="ArialMT"/>
                <w:szCs w:val="22"/>
                <w:lang w:eastAsia="en-US"/>
              </w:rPr>
              <w:t>M</w:t>
            </w:r>
            <w:r w:rsidR="00262A79" w:rsidRPr="008857FF">
              <w:rPr>
                <w:rFonts w:ascii="ArialMT" w:eastAsia="Times New Roman" w:hAnsi="ArialMT" w:cs="ArialMT"/>
                <w:szCs w:val="22"/>
                <w:lang w:eastAsia="en-US"/>
              </w:rPr>
              <w:t>me</w:t>
            </w:r>
            <w:r w:rsidR="00E7218B" w:rsidRPr="008857FF">
              <w:rPr>
                <w:rFonts w:ascii="ArialMT" w:eastAsia="Times New Roman" w:hAnsi="ArialMT" w:cs="ArialMT"/>
                <w:szCs w:val="22"/>
                <w:lang w:eastAsia="en-US"/>
              </w:rPr>
              <w:t> </w:t>
            </w:r>
            <w:r w:rsidR="008857FF" w:rsidRPr="008857FF">
              <w:rPr>
                <w:rFonts w:ascii="ArialMT" w:eastAsia="Times New Roman" w:hAnsi="ArialMT" w:cs="ArialMT"/>
                <w:szCs w:val="22"/>
                <w:lang w:eastAsia="en-US"/>
              </w:rPr>
              <w:t>Shamshad </w:t>
            </w:r>
            <w:r w:rsidRPr="008857FF">
              <w:rPr>
                <w:rFonts w:ascii="ArialMT" w:eastAsia="Times New Roman" w:hAnsi="ArialMT" w:cs="ArialMT"/>
                <w:szCs w:val="22"/>
                <w:lang w:eastAsia="en-US"/>
              </w:rPr>
              <w:t>Akhtar</w:t>
            </w:r>
          </w:p>
          <w:p w:rsidR="001D6374" w:rsidRPr="008857FF" w:rsidRDefault="00262A79" w:rsidP="0093131C">
            <w:pPr>
              <w:keepNext/>
              <w:keepLines/>
              <w:rPr>
                <w:caps/>
                <w:szCs w:val="22"/>
              </w:rPr>
            </w:pPr>
            <w:r w:rsidRPr="008857FF">
              <w:rPr>
                <w:rFonts w:ascii="ArialMT" w:eastAsia="Times New Roman" w:hAnsi="ArialMT" w:cs="ArialMT"/>
                <w:szCs w:val="22"/>
                <w:lang w:eastAsia="en-US"/>
              </w:rPr>
              <w:t>Secrétaire exécutive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54793B" w:rsidRPr="008857FF" w:rsidRDefault="001D6374" w:rsidP="0093131C">
            <w:pPr>
              <w:keepNext/>
              <w:keepLines/>
              <w:rPr>
                <w:rFonts w:ascii="ArialMT" w:eastAsia="Times New Roman" w:hAnsi="ArialMT" w:cs="ArialMT"/>
                <w:szCs w:val="22"/>
                <w:lang w:eastAsia="en-US"/>
              </w:rPr>
            </w:pPr>
            <w:r w:rsidRPr="008857FF">
              <w:rPr>
                <w:rFonts w:ascii="ArialMT" w:eastAsia="Times New Roman" w:hAnsi="ArialMT" w:cs="ArialMT"/>
                <w:szCs w:val="22"/>
                <w:lang w:eastAsia="en-US"/>
              </w:rPr>
              <w:t>M.</w:t>
            </w:r>
            <w:r w:rsidR="008857FF" w:rsidRPr="008857FF">
              <w:rPr>
                <w:rFonts w:ascii="ArialMT" w:eastAsia="Times New Roman" w:hAnsi="ArialMT" w:cs="ArialMT"/>
                <w:szCs w:val="22"/>
                <w:lang w:eastAsia="en-US"/>
              </w:rPr>
              <w:t> Francis </w:t>
            </w:r>
            <w:r w:rsidRPr="008857FF">
              <w:rPr>
                <w:rFonts w:ascii="ArialMT" w:eastAsia="Times New Roman" w:hAnsi="ArialMT" w:cs="ArialMT"/>
                <w:szCs w:val="22"/>
                <w:lang w:eastAsia="en-US"/>
              </w:rPr>
              <w:t>Gurry</w:t>
            </w:r>
          </w:p>
          <w:p w:rsidR="001D6374" w:rsidRPr="008857FF" w:rsidRDefault="001D6374" w:rsidP="0093131C">
            <w:pPr>
              <w:keepNext/>
              <w:keepLines/>
              <w:rPr>
                <w:caps/>
                <w:szCs w:val="22"/>
              </w:rPr>
            </w:pPr>
            <w:r w:rsidRPr="008857FF">
              <w:rPr>
                <w:szCs w:val="22"/>
              </w:rPr>
              <w:t>Direct</w:t>
            </w:r>
            <w:r w:rsidR="00262A79" w:rsidRPr="008857FF">
              <w:rPr>
                <w:szCs w:val="22"/>
              </w:rPr>
              <w:t>eur général</w:t>
            </w:r>
          </w:p>
        </w:tc>
      </w:tr>
    </w:tbl>
    <w:p w:rsidR="001D6374" w:rsidRPr="008857FF" w:rsidRDefault="001D6374" w:rsidP="0093131C"/>
    <w:p w:rsidR="001D6374" w:rsidRPr="008857FF" w:rsidRDefault="001D6374" w:rsidP="0093131C"/>
    <w:p w:rsidR="001D6374" w:rsidRPr="008857FF" w:rsidRDefault="001D6374" w:rsidP="0093131C"/>
    <w:p w:rsidR="001D6374" w:rsidRPr="008857FF" w:rsidRDefault="001D6374" w:rsidP="0093131C">
      <w:pPr>
        <w:pStyle w:val="Endofdocument-Annex"/>
      </w:pPr>
      <w:r w:rsidRPr="008857FF">
        <w:t>[</w:t>
      </w:r>
      <w:r w:rsidR="00262A79" w:rsidRPr="008857FF">
        <w:t>Fin de l</w:t>
      </w:r>
      <w:r w:rsidR="0054793B" w:rsidRPr="008857FF">
        <w:t>’</w:t>
      </w:r>
      <w:r w:rsidR="00262A79" w:rsidRPr="008857FF">
        <w:t>annexe II et du</w:t>
      </w:r>
      <w:r w:rsidRPr="008857FF">
        <w:t xml:space="preserve"> document]</w:t>
      </w:r>
    </w:p>
    <w:p w:rsidR="00887964" w:rsidRPr="008857FF" w:rsidRDefault="00887964" w:rsidP="0093131C">
      <w:pPr>
        <w:pStyle w:val="Endofdocument-Annex"/>
      </w:pPr>
    </w:p>
    <w:sectPr w:rsidR="00887964" w:rsidRPr="008857FF" w:rsidSect="0054793B">
      <w:headerReference w:type="default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85" w:rsidRDefault="00D23985">
      <w:r>
        <w:separator/>
      </w:r>
    </w:p>
  </w:endnote>
  <w:endnote w:type="continuationSeparator" w:id="0">
    <w:p w:rsidR="00D23985" w:rsidRDefault="00D23985" w:rsidP="003B38C1">
      <w:r>
        <w:separator/>
      </w:r>
    </w:p>
    <w:p w:rsidR="00D23985" w:rsidRPr="00FD624C" w:rsidRDefault="00D23985" w:rsidP="003B38C1">
      <w:pPr>
        <w:spacing w:after="60"/>
        <w:rPr>
          <w:sz w:val="17"/>
          <w:lang w:val="en-US"/>
        </w:rPr>
      </w:pPr>
      <w:r w:rsidRPr="00FD624C">
        <w:rPr>
          <w:sz w:val="17"/>
          <w:lang w:val="en-US"/>
        </w:rPr>
        <w:t>[Endnote continued from previous page]</w:t>
      </w:r>
    </w:p>
  </w:endnote>
  <w:endnote w:type="continuationNotice" w:id="1">
    <w:p w:rsidR="00D23985" w:rsidRPr="00FD624C" w:rsidRDefault="00D23985" w:rsidP="003B38C1">
      <w:pPr>
        <w:spacing w:before="60"/>
        <w:jc w:val="right"/>
        <w:rPr>
          <w:sz w:val="17"/>
          <w:szCs w:val="17"/>
          <w:lang w:val="en-US"/>
        </w:rPr>
      </w:pPr>
      <w:r w:rsidRPr="00FD624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74" w:rsidRDefault="001D6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E9" w:rsidRPr="00EF10E9" w:rsidRDefault="00EF10E9" w:rsidP="00EF10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1EB" w:rsidRDefault="008061E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13" w:rsidRPr="001D1413" w:rsidRDefault="001D1413" w:rsidP="001D1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85" w:rsidRDefault="00D23985">
      <w:r>
        <w:separator/>
      </w:r>
    </w:p>
  </w:footnote>
  <w:footnote w:type="continuationSeparator" w:id="0">
    <w:p w:rsidR="00D23985" w:rsidRDefault="00D23985" w:rsidP="008B60B2">
      <w:r>
        <w:separator/>
      </w:r>
    </w:p>
    <w:p w:rsidR="00D23985" w:rsidRPr="00FD624C" w:rsidRDefault="00D23985" w:rsidP="008B60B2">
      <w:pPr>
        <w:spacing w:after="60"/>
        <w:rPr>
          <w:sz w:val="17"/>
          <w:szCs w:val="17"/>
          <w:lang w:val="en-US"/>
        </w:rPr>
      </w:pPr>
      <w:r w:rsidRPr="00FD624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D23985" w:rsidRPr="00FD624C" w:rsidRDefault="00D23985" w:rsidP="008B60B2">
      <w:pPr>
        <w:spacing w:before="60"/>
        <w:jc w:val="right"/>
        <w:rPr>
          <w:sz w:val="17"/>
          <w:szCs w:val="17"/>
          <w:lang w:val="en-US"/>
        </w:rPr>
      </w:pPr>
      <w:r w:rsidRPr="00FD624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23985" w:rsidP="004C2F87">
    <w:pPr>
      <w:jc w:val="right"/>
    </w:pPr>
    <w:bookmarkStart w:id="4" w:name="Code2"/>
    <w:bookmarkEnd w:id="4"/>
    <w:r>
      <w:t>WO/CC/71/</w:t>
    </w:r>
    <w:r w:rsidR="004C2F87">
      <w:t>1</w:t>
    </w:r>
  </w:p>
  <w:p w:rsidR="00EC4E49" w:rsidRDefault="00EC4E49" w:rsidP="008061E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1788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74" w:rsidRPr="00FD624C" w:rsidRDefault="001D6374" w:rsidP="004C2F87">
    <w:pPr>
      <w:jc w:val="right"/>
      <w:rPr>
        <w:lang w:val="en-US"/>
      </w:rPr>
    </w:pPr>
    <w:r w:rsidRPr="00FD624C">
      <w:rPr>
        <w:lang w:val="en-US"/>
      </w:rPr>
      <w:t>WO/CC/71/1</w:t>
    </w:r>
  </w:p>
  <w:p w:rsidR="001D6374" w:rsidRPr="00FD624C" w:rsidRDefault="001D6374" w:rsidP="00477D6B">
    <w:pPr>
      <w:jc w:val="right"/>
      <w:rPr>
        <w:lang w:val="en-US"/>
      </w:rPr>
    </w:pPr>
    <w:r w:rsidRPr="00FD624C">
      <w:rPr>
        <w:lang w:val="en-US"/>
      </w:rPr>
      <w:t xml:space="preserve">Annexe I, page </w:t>
    </w:r>
    <w:r>
      <w:fldChar w:fldCharType="begin"/>
    </w:r>
    <w:r w:rsidRPr="00FD624C">
      <w:rPr>
        <w:lang w:val="en-US"/>
      </w:rPr>
      <w:instrText xml:space="preserve"> PAGE  \* MERGEFORMAT </w:instrText>
    </w:r>
    <w:r>
      <w:fldChar w:fldCharType="separate"/>
    </w:r>
    <w:r w:rsidR="00A1788F">
      <w:rPr>
        <w:noProof/>
        <w:lang w:val="en-US"/>
      </w:rPr>
      <w:t>4</w:t>
    </w:r>
    <w:r>
      <w:fldChar w:fldCharType="end"/>
    </w:r>
  </w:p>
  <w:p w:rsidR="001D6374" w:rsidRPr="00FD624C" w:rsidRDefault="001D6374" w:rsidP="00477D6B">
    <w:pPr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E9" w:rsidRDefault="00EF10E9" w:rsidP="00EF10E9">
    <w:pPr>
      <w:jc w:val="right"/>
    </w:pPr>
    <w:r>
      <w:t>WO/CC/71/1</w:t>
    </w:r>
  </w:p>
  <w:p w:rsidR="00EF10E9" w:rsidRDefault="00EF10E9" w:rsidP="00EF10E9">
    <w:pPr>
      <w:jc w:val="right"/>
    </w:pPr>
    <w:r>
      <w:t>ANNEXE I</w:t>
    </w:r>
  </w:p>
  <w:p w:rsidR="00EF10E9" w:rsidRDefault="00EF10E9" w:rsidP="00EF10E9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1EB" w:rsidRDefault="008061EB" w:rsidP="004C2F87">
    <w:pPr>
      <w:jc w:val="right"/>
    </w:pPr>
    <w:r>
      <w:t>WO/CC/71/1</w:t>
    </w:r>
  </w:p>
  <w:p w:rsidR="008061EB" w:rsidRDefault="008061EB" w:rsidP="00477D6B">
    <w:pPr>
      <w:jc w:val="right"/>
    </w:pPr>
    <w:r>
      <w:t>Annex</w:t>
    </w:r>
    <w:r w:rsidR="00E84DDF">
      <w:t>e</w:t>
    </w:r>
    <w:r w:rsidR="001D6374">
      <w:t> II</w:t>
    </w:r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 w:rsidR="00A1788F">
      <w:rPr>
        <w:noProof/>
      </w:rPr>
      <w:t>4</w:t>
    </w:r>
    <w:r>
      <w:fldChar w:fldCharType="end"/>
    </w:r>
  </w:p>
  <w:p w:rsidR="008061EB" w:rsidRDefault="008061EB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DF" w:rsidRPr="00E84DDF" w:rsidRDefault="00E84DDF" w:rsidP="00E84DDF">
    <w:pPr>
      <w:jc w:val="right"/>
    </w:pPr>
    <w:r w:rsidRPr="00E84DDF">
      <w:t>WO/CC/</w:t>
    </w:r>
    <w:r>
      <w:t>71</w:t>
    </w:r>
    <w:r w:rsidRPr="00E84DDF">
      <w:t>/1</w:t>
    </w:r>
  </w:p>
  <w:p w:rsidR="00E84DDF" w:rsidRDefault="00E84DDF" w:rsidP="00E84DDF">
    <w:pPr>
      <w:jc w:val="right"/>
    </w:pPr>
    <w:r w:rsidRPr="00E84DDF">
      <w:t>ANNEX</w:t>
    </w:r>
    <w:r>
      <w:t>E</w:t>
    </w:r>
    <w:r w:rsidR="001D6374">
      <w:t xml:space="preserve"> II</w:t>
    </w:r>
  </w:p>
  <w:p w:rsidR="00E84DDF" w:rsidRDefault="00E84DDF" w:rsidP="00E84DDF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7C21A3"/>
    <w:multiLevelType w:val="hybridMultilevel"/>
    <w:tmpl w:val="27B81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3D0E93A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"/>
    <w:docVar w:name="TextBaseURL" w:val="empty"/>
    <w:docVar w:name="UILng" w:val="en"/>
  </w:docVars>
  <w:rsids>
    <w:rsidRoot w:val="00D23985"/>
    <w:rsid w:val="00043CAA"/>
    <w:rsid w:val="00066118"/>
    <w:rsid w:val="00075432"/>
    <w:rsid w:val="00087CAE"/>
    <w:rsid w:val="000968ED"/>
    <w:rsid w:val="000A48CF"/>
    <w:rsid w:val="000F2072"/>
    <w:rsid w:val="000F5E56"/>
    <w:rsid w:val="001061BC"/>
    <w:rsid w:val="001362EE"/>
    <w:rsid w:val="001832A6"/>
    <w:rsid w:val="001B2F0C"/>
    <w:rsid w:val="001B6888"/>
    <w:rsid w:val="001D1413"/>
    <w:rsid w:val="001D6374"/>
    <w:rsid w:val="00262117"/>
    <w:rsid w:val="00262A79"/>
    <w:rsid w:val="002634C4"/>
    <w:rsid w:val="00266C46"/>
    <w:rsid w:val="00291AE6"/>
    <w:rsid w:val="0029236B"/>
    <w:rsid w:val="002928D3"/>
    <w:rsid w:val="002C71B2"/>
    <w:rsid w:val="002E5A0E"/>
    <w:rsid w:val="002F1FE6"/>
    <w:rsid w:val="002F4E68"/>
    <w:rsid w:val="00312F7F"/>
    <w:rsid w:val="003225B2"/>
    <w:rsid w:val="003228B7"/>
    <w:rsid w:val="003263A1"/>
    <w:rsid w:val="003673CF"/>
    <w:rsid w:val="003845C1"/>
    <w:rsid w:val="003A6F89"/>
    <w:rsid w:val="003B38C1"/>
    <w:rsid w:val="003E17E9"/>
    <w:rsid w:val="00423E3E"/>
    <w:rsid w:val="00426DC0"/>
    <w:rsid w:val="00427AF4"/>
    <w:rsid w:val="004400E2"/>
    <w:rsid w:val="004647DA"/>
    <w:rsid w:val="00474062"/>
    <w:rsid w:val="00477D6B"/>
    <w:rsid w:val="004B1BD6"/>
    <w:rsid w:val="004C2F87"/>
    <w:rsid w:val="004E1555"/>
    <w:rsid w:val="004E33B0"/>
    <w:rsid w:val="0053057A"/>
    <w:rsid w:val="0054793B"/>
    <w:rsid w:val="00560A29"/>
    <w:rsid w:val="005D0E0B"/>
    <w:rsid w:val="005D64E8"/>
    <w:rsid w:val="00600464"/>
    <w:rsid w:val="00605827"/>
    <w:rsid w:val="00646050"/>
    <w:rsid w:val="006713CA"/>
    <w:rsid w:val="00676C5C"/>
    <w:rsid w:val="0068004B"/>
    <w:rsid w:val="00683899"/>
    <w:rsid w:val="006C52C2"/>
    <w:rsid w:val="006D2B15"/>
    <w:rsid w:val="007058FB"/>
    <w:rsid w:val="007A1B8A"/>
    <w:rsid w:val="007A390A"/>
    <w:rsid w:val="007B6A58"/>
    <w:rsid w:val="007D1613"/>
    <w:rsid w:val="007D7308"/>
    <w:rsid w:val="008061EB"/>
    <w:rsid w:val="008857FF"/>
    <w:rsid w:val="00887964"/>
    <w:rsid w:val="008B2CC1"/>
    <w:rsid w:val="008B60B2"/>
    <w:rsid w:val="00904B9E"/>
    <w:rsid w:val="0090731E"/>
    <w:rsid w:val="00916EE2"/>
    <w:rsid w:val="0093131C"/>
    <w:rsid w:val="00966A22"/>
    <w:rsid w:val="0096722F"/>
    <w:rsid w:val="00972FF9"/>
    <w:rsid w:val="00980843"/>
    <w:rsid w:val="009E2787"/>
    <w:rsid w:val="009E2791"/>
    <w:rsid w:val="009E3F6F"/>
    <w:rsid w:val="009F499F"/>
    <w:rsid w:val="00A02872"/>
    <w:rsid w:val="00A1788F"/>
    <w:rsid w:val="00A42DAF"/>
    <w:rsid w:val="00A45BD8"/>
    <w:rsid w:val="00A72FE7"/>
    <w:rsid w:val="00A80939"/>
    <w:rsid w:val="00A85B8E"/>
    <w:rsid w:val="00A91791"/>
    <w:rsid w:val="00AC205C"/>
    <w:rsid w:val="00B05A69"/>
    <w:rsid w:val="00B51EB7"/>
    <w:rsid w:val="00B9734B"/>
    <w:rsid w:val="00BC173F"/>
    <w:rsid w:val="00BE7703"/>
    <w:rsid w:val="00BF511F"/>
    <w:rsid w:val="00BF5AAE"/>
    <w:rsid w:val="00C032F2"/>
    <w:rsid w:val="00C03615"/>
    <w:rsid w:val="00C11BFE"/>
    <w:rsid w:val="00C570F7"/>
    <w:rsid w:val="00C71392"/>
    <w:rsid w:val="00C82262"/>
    <w:rsid w:val="00C94629"/>
    <w:rsid w:val="00C95BDC"/>
    <w:rsid w:val="00CC34DC"/>
    <w:rsid w:val="00D23985"/>
    <w:rsid w:val="00D342C7"/>
    <w:rsid w:val="00D45252"/>
    <w:rsid w:val="00D71B4D"/>
    <w:rsid w:val="00D93D55"/>
    <w:rsid w:val="00DA115D"/>
    <w:rsid w:val="00DC4340"/>
    <w:rsid w:val="00E032D3"/>
    <w:rsid w:val="00E335FE"/>
    <w:rsid w:val="00E5021F"/>
    <w:rsid w:val="00E671C4"/>
    <w:rsid w:val="00E7218B"/>
    <w:rsid w:val="00E76824"/>
    <w:rsid w:val="00E84AB4"/>
    <w:rsid w:val="00E84DDF"/>
    <w:rsid w:val="00EC3DC1"/>
    <w:rsid w:val="00EC4E49"/>
    <w:rsid w:val="00ED77FB"/>
    <w:rsid w:val="00EF10E9"/>
    <w:rsid w:val="00F021A6"/>
    <w:rsid w:val="00F66152"/>
    <w:rsid w:val="00F9078F"/>
    <w:rsid w:val="00F95882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555"/>
    <w:rPr>
      <w:rFonts w:ascii="Arial" w:eastAsia="SimSun" w:hAnsi="Arial" w:cs="Arial"/>
      <w:sz w:val="22"/>
      <w:lang w:val="fr-FR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D2398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2398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2B15"/>
    <w:rPr>
      <w:rFonts w:ascii="Arial" w:eastAsia="SimSun" w:hAnsi="Arial" w:cs="Arial"/>
      <w:sz w:val="22"/>
    </w:rPr>
  </w:style>
  <w:style w:type="table" w:styleId="TableGrid">
    <w:name w:val="Table Grid"/>
    <w:basedOn w:val="TableNormal"/>
    <w:rsid w:val="00887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342C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1D6374"/>
    <w:rPr>
      <w:rFonts w:ascii="Arial" w:eastAsia="SimSun" w:hAnsi="Arial" w:cs="Arial"/>
      <w:sz w:val="22"/>
      <w:lang w:val="fr-FR"/>
    </w:rPr>
  </w:style>
  <w:style w:type="character" w:customStyle="1" w:styleId="ONUMEChar">
    <w:name w:val="ONUM E Char"/>
    <w:link w:val="ONUME"/>
    <w:rsid w:val="001D6374"/>
    <w:rPr>
      <w:rFonts w:ascii="Arial" w:eastAsia="SimSun" w:hAnsi="Arial" w:cs="Arial"/>
      <w:sz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555"/>
    <w:rPr>
      <w:rFonts w:ascii="Arial" w:eastAsia="SimSun" w:hAnsi="Arial" w:cs="Arial"/>
      <w:sz w:val="22"/>
      <w:lang w:val="fr-FR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D2398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2398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2B15"/>
    <w:rPr>
      <w:rFonts w:ascii="Arial" w:eastAsia="SimSun" w:hAnsi="Arial" w:cs="Arial"/>
      <w:sz w:val="22"/>
    </w:rPr>
  </w:style>
  <w:style w:type="table" w:styleId="TableGrid">
    <w:name w:val="Table Grid"/>
    <w:basedOn w:val="TableNormal"/>
    <w:rsid w:val="00887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342C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1D6374"/>
    <w:rPr>
      <w:rFonts w:ascii="Arial" w:eastAsia="SimSun" w:hAnsi="Arial" w:cs="Arial"/>
      <w:sz w:val="22"/>
      <w:lang w:val="fr-FR"/>
    </w:rPr>
  </w:style>
  <w:style w:type="character" w:customStyle="1" w:styleId="ONUMEChar">
    <w:name w:val="ONUM E Char"/>
    <w:link w:val="ONUME"/>
    <w:rsid w:val="001D6374"/>
    <w:rPr>
      <w:rFonts w:ascii="Arial" w:eastAsia="SimSun" w:hAnsi="Arial" w:cs="Arial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2.wdp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2F48-CDFD-45A6-B1A1-FE936146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71 (E).dotm</Template>
  <TotalTime>29</TotalTime>
  <Pages>10</Pages>
  <Words>2193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WO/CC/71/</vt:lpstr>
    </vt:vector>
  </TitlesOfParts>
  <Company>WIPO</Company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WO/CC/71/</dc:title>
  <dc:creator>HAPPY-DUMAS Juliet</dc:creator>
  <cp:keywords>MP/ko</cp:keywords>
  <cp:lastModifiedBy>MARIN-CUDRAZ DAVI Nicoletta</cp:lastModifiedBy>
  <cp:revision>14</cp:revision>
  <cp:lastPrinted>2015-07-03T12:56:00Z</cp:lastPrinted>
  <dcterms:created xsi:type="dcterms:W3CDTF">2015-07-03T11:55:00Z</dcterms:created>
  <dcterms:modified xsi:type="dcterms:W3CDTF">2015-07-06T09:20:00Z</dcterms:modified>
</cp:coreProperties>
</file>