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455B1" w:rsidRPr="00970BC4" w:rsidTr="00A455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55B1" w:rsidRPr="00970BC4" w:rsidRDefault="00A455B1" w:rsidP="0086271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55B1" w:rsidRPr="00970BC4" w:rsidRDefault="00A455B1" w:rsidP="00862710">
            <w:pPr>
              <w:rPr>
                <w:lang w:val="fr-FR"/>
              </w:rPr>
            </w:pPr>
            <w:r w:rsidRPr="00970BC4">
              <w:rPr>
                <w:noProof/>
                <w:lang w:eastAsia="en-US"/>
              </w:rPr>
              <w:drawing>
                <wp:inline distT="0" distB="0" distL="0" distR="0" wp14:anchorId="2B470DA6" wp14:editId="5FE353F9">
                  <wp:extent cx="1854835" cy="1326515"/>
                  <wp:effectExtent l="0" t="0" r="0" b="6985"/>
                  <wp:docPr id="2" name="Imag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55B1" w:rsidRPr="00970BC4" w:rsidRDefault="00A455B1" w:rsidP="00862710">
            <w:pPr>
              <w:jc w:val="right"/>
              <w:rPr>
                <w:lang w:val="fr-FR"/>
              </w:rPr>
            </w:pPr>
            <w:r w:rsidRPr="00970BC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455B1" w:rsidRPr="00970BC4" w:rsidTr="0086271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55B1" w:rsidRPr="00970BC4" w:rsidRDefault="00A455B1" w:rsidP="0086271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0BC4">
              <w:rPr>
                <w:rFonts w:ascii="Arial Black" w:hAnsi="Arial Black"/>
                <w:caps/>
                <w:sz w:val="15"/>
                <w:lang w:val="fr-FR"/>
              </w:rPr>
              <w:t>wo/cc/67</w:t>
            </w:r>
            <w:bookmarkStart w:id="0" w:name="Code"/>
            <w:bookmarkEnd w:id="0"/>
            <w:r w:rsidRPr="00970BC4">
              <w:rPr>
                <w:rFonts w:ascii="Arial Black" w:hAnsi="Arial Black"/>
                <w:caps/>
                <w:sz w:val="15"/>
                <w:lang w:val="fr-FR"/>
              </w:rPr>
              <w:t xml:space="preserve">/1  </w:t>
            </w:r>
          </w:p>
        </w:tc>
      </w:tr>
      <w:tr w:rsidR="00A455B1" w:rsidRPr="00970BC4" w:rsidTr="0086271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55B1" w:rsidRPr="00970BC4" w:rsidRDefault="00A455B1" w:rsidP="0086271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0BC4">
              <w:rPr>
                <w:rFonts w:ascii="Arial Black" w:hAnsi="Arial Black"/>
                <w:caps/>
                <w:sz w:val="15"/>
                <w:lang w:val="fr-FR"/>
              </w:rPr>
              <w:t xml:space="preserve">ORIGINAL : </w:t>
            </w:r>
            <w:bookmarkStart w:id="1" w:name="Original"/>
            <w:bookmarkEnd w:id="1"/>
            <w:r w:rsidRPr="00970BC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455B1" w:rsidRPr="00970BC4" w:rsidTr="0086271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55B1" w:rsidRPr="00970BC4" w:rsidRDefault="00A455B1" w:rsidP="0086271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0BC4">
              <w:rPr>
                <w:rFonts w:ascii="Arial Black" w:hAnsi="Arial Black"/>
                <w:caps/>
                <w:sz w:val="15"/>
                <w:lang w:val="fr-FR"/>
              </w:rPr>
              <w:t xml:space="preserve">DATE : </w:t>
            </w:r>
            <w:bookmarkStart w:id="2" w:name="Date"/>
            <w:bookmarkEnd w:id="2"/>
            <w:r w:rsidRPr="00970BC4">
              <w:rPr>
                <w:rFonts w:ascii="Arial Black" w:hAnsi="Arial Black"/>
                <w:caps/>
                <w:sz w:val="15"/>
                <w:lang w:val="fr-FR"/>
              </w:rPr>
              <w:t>24 juin 2013</w:t>
            </w:r>
          </w:p>
        </w:tc>
      </w:tr>
    </w:tbl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b/>
          <w:sz w:val="28"/>
          <w:szCs w:val="28"/>
          <w:lang w:val="fr-FR"/>
        </w:rPr>
      </w:pPr>
      <w:r w:rsidRPr="00970BC4">
        <w:rPr>
          <w:b/>
          <w:sz w:val="28"/>
          <w:szCs w:val="28"/>
          <w:lang w:val="fr-FR"/>
        </w:rPr>
        <w:t>Comité de coordination de l’OMPI</w:t>
      </w: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b/>
          <w:sz w:val="24"/>
          <w:szCs w:val="24"/>
          <w:lang w:val="fr-FR"/>
        </w:rPr>
      </w:pPr>
      <w:r w:rsidRPr="00970BC4">
        <w:rPr>
          <w:b/>
          <w:sz w:val="24"/>
          <w:szCs w:val="24"/>
          <w:lang w:val="fr-FR"/>
        </w:rPr>
        <w:t>Soixante-septième session (44</w:t>
      </w:r>
      <w:r w:rsidRPr="00970BC4">
        <w:rPr>
          <w:b/>
          <w:sz w:val="24"/>
          <w:szCs w:val="24"/>
          <w:vertAlign w:val="superscript"/>
          <w:lang w:val="fr-FR"/>
        </w:rPr>
        <w:t>e</w:t>
      </w:r>
      <w:r w:rsidRPr="00970BC4">
        <w:rPr>
          <w:b/>
          <w:sz w:val="24"/>
          <w:szCs w:val="24"/>
          <w:lang w:val="fr-FR"/>
        </w:rPr>
        <w:t xml:space="preserve"> session ordinaire)</w:t>
      </w:r>
    </w:p>
    <w:p w:rsidR="00A455B1" w:rsidRPr="00970BC4" w:rsidRDefault="00A455B1" w:rsidP="00A455B1">
      <w:pPr>
        <w:rPr>
          <w:b/>
          <w:sz w:val="24"/>
          <w:szCs w:val="24"/>
          <w:lang w:val="fr-FR"/>
        </w:rPr>
      </w:pPr>
      <w:r w:rsidRPr="00970BC4">
        <w:rPr>
          <w:b/>
          <w:sz w:val="24"/>
          <w:szCs w:val="24"/>
          <w:lang w:val="fr-FR"/>
        </w:rPr>
        <w:t>Genève, 23 septembre – 2 octobre 2013</w:t>
      </w: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lang w:val="fr-FR"/>
        </w:rPr>
      </w:pPr>
    </w:p>
    <w:p w:rsidR="00A455B1" w:rsidRPr="00970BC4" w:rsidRDefault="00A455B1" w:rsidP="00A455B1">
      <w:pPr>
        <w:rPr>
          <w:caps/>
          <w:sz w:val="24"/>
          <w:lang w:val="fr-FR"/>
        </w:rPr>
      </w:pPr>
      <w:bookmarkStart w:id="3" w:name="TitleOfDoc"/>
      <w:bookmarkEnd w:id="3"/>
      <w:r w:rsidRPr="00970BC4">
        <w:rPr>
          <w:caps/>
          <w:sz w:val="24"/>
          <w:lang w:val="fr-FR"/>
        </w:rPr>
        <w:t>approbation d’accords</w:t>
      </w:r>
    </w:p>
    <w:p w:rsidR="00A455B1" w:rsidRPr="00970BC4" w:rsidRDefault="00A455B1" w:rsidP="00A455B1">
      <w:pPr>
        <w:rPr>
          <w:lang w:val="fr-FR"/>
        </w:rPr>
      </w:pPr>
    </w:p>
    <w:p w:rsidR="004D7FAF" w:rsidRPr="00970BC4" w:rsidRDefault="00A455B1" w:rsidP="00A455B1">
      <w:pPr>
        <w:rPr>
          <w:i/>
          <w:lang w:val="fr-FR"/>
        </w:rPr>
      </w:pPr>
      <w:bookmarkStart w:id="4" w:name="Prepared"/>
      <w:bookmarkEnd w:id="4"/>
      <w:r w:rsidRPr="00970BC4">
        <w:rPr>
          <w:i/>
          <w:lang w:val="fr-FR"/>
        </w:rPr>
        <w:t>Mémorandum du Directeur général</w:t>
      </w:r>
    </w:p>
    <w:p w:rsidR="004D7FAF" w:rsidRPr="00970BC4" w:rsidRDefault="004D7FAF">
      <w:pPr>
        <w:rPr>
          <w:lang w:val="fr-FR"/>
        </w:rPr>
      </w:pPr>
    </w:p>
    <w:p w:rsidR="004D7FAF" w:rsidRPr="00970BC4" w:rsidRDefault="004D7FAF">
      <w:pPr>
        <w:rPr>
          <w:lang w:val="fr-FR"/>
        </w:rPr>
      </w:pPr>
    </w:p>
    <w:p w:rsidR="004D7FAF" w:rsidRPr="00970BC4" w:rsidRDefault="004D7FAF">
      <w:pPr>
        <w:rPr>
          <w:lang w:val="fr-FR"/>
        </w:rPr>
      </w:pPr>
    </w:p>
    <w:p w:rsidR="004D7FAF" w:rsidRPr="00970BC4" w:rsidRDefault="004D7FAF" w:rsidP="0053057A">
      <w:pPr>
        <w:rPr>
          <w:lang w:val="fr-FR"/>
        </w:rPr>
      </w:pPr>
    </w:p>
    <w:p w:rsidR="004D7FAF" w:rsidRPr="00970BC4" w:rsidRDefault="00ED222F" w:rsidP="00A455B1">
      <w:pPr>
        <w:pStyle w:val="Heading2"/>
        <w:numPr>
          <w:ilvl w:val="0"/>
          <w:numId w:val="19"/>
        </w:numPr>
        <w:ind w:left="0" w:firstLine="0"/>
        <w:rPr>
          <w:lang w:val="fr-FR"/>
        </w:rPr>
      </w:pPr>
      <w:r w:rsidRPr="00970BC4">
        <w:rPr>
          <w:caps w:val="0"/>
          <w:lang w:val="fr-FR"/>
        </w:rPr>
        <w:t>INTRODUCTION</w:t>
      </w:r>
    </w:p>
    <w:p w:rsidR="004D7FAF" w:rsidRPr="00970BC4" w:rsidRDefault="004D7FAF" w:rsidP="00AA0ECC">
      <w:pPr>
        <w:rPr>
          <w:lang w:val="fr-FR"/>
        </w:rPr>
      </w:pPr>
    </w:p>
    <w:p w:rsidR="004D7FAF" w:rsidRPr="00970BC4" w:rsidRDefault="00AA0ECC" w:rsidP="00E608F5">
      <w:pPr>
        <w:rPr>
          <w:lang w:val="fr-FR"/>
        </w:rPr>
      </w:pPr>
      <w:r w:rsidRPr="00970BC4">
        <w:rPr>
          <w:lang w:val="fr-FR"/>
        </w:rPr>
        <w:fldChar w:fldCharType="begin"/>
      </w:r>
      <w:r w:rsidRPr="00970BC4">
        <w:rPr>
          <w:lang w:val="fr-FR"/>
        </w:rPr>
        <w:instrText xml:space="preserve"> AUTONUM  </w:instrText>
      </w:r>
      <w:r w:rsidRPr="00970BC4">
        <w:rPr>
          <w:lang w:val="fr-FR"/>
        </w:rPr>
        <w:fldChar w:fldCharType="end"/>
      </w:r>
      <w:r w:rsidRPr="00970BC4">
        <w:rPr>
          <w:lang w:val="fr-FR"/>
        </w:rPr>
        <w:tab/>
      </w:r>
      <w:r w:rsidR="00ED222F" w:rsidRPr="00970BC4">
        <w:rPr>
          <w:lang w:val="fr-FR"/>
        </w:rPr>
        <w:t>En vertu de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>article 12</w:t>
      </w:r>
      <w:r w:rsidR="00ED222F" w:rsidRPr="00970BC4">
        <w:rPr>
          <w:color w:val="000000"/>
          <w:lang w:val="fr-FR"/>
        </w:rPr>
        <w:t>.</w:t>
      </w:r>
      <w:r w:rsidR="00ED222F" w:rsidRPr="00970BC4">
        <w:rPr>
          <w:lang w:val="fr-FR"/>
        </w:rPr>
        <w:t>4) de la Convention instituant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>Organisation Mondiale de la Propriété Intellectuelle, tout accord conclu en vue de définir le statut juridique de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>OMPI sur le territoire d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>un État membre doit avoir été approuvé par le Comité de coordination.</w:t>
      </w:r>
      <w:r w:rsidRPr="00970BC4">
        <w:rPr>
          <w:lang w:val="fr-FR"/>
        </w:rPr>
        <w:t xml:space="preserve"> </w:t>
      </w:r>
    </w:p>
    <w:p w:rsidR="004D7FAF" w:rsidRPr="00970BC4" w:rsidRDefault="004D7FAF" w:rsidP="00E608F5">
      <w:pPr>
        <w:rPr>
          <w:lang w:val="fr-FR"/>
        </w:rPr>
      </w:pPr>
    </w:p>
    <w:p w:rsidR="004D7FAF" w:rsidRPr="00970BC4" w:rsidRDefault="00ED222F" w:rsidP="00E608F5">
      <w:pPr>
        <w:pStyle w:val="Heading2"/>
        <w:rPr>
          <w:lang w:val="fr-FR"/>
        </w:rPr>
      </w:pPr>
      <w:r w:rsidRPr="00970BC4">
        <w:rPr>
          <w:caps w:val="0"/>
          <w:color w:val="000000"/>
          <w:lang w:val="fr-FR"/>
        </w:rPr>
        <w:t>II.</w:t>
      </w:r>
      <w:r w:rsidRPr="00970BC4">
        <w:rPr>
          <w:caps w:val="0"/>
          <w:color w:val="000000"/>
          <w:lang w:val="fr-FR"/>
        </w:rPr>
        <w:tab/>
        <w:t>ACCORD ENTRE L</w:t>
      </w:r>
      <w:r w:rsidR="00B45ACF" w:rsidRPr="00970BC4">
        <w:rPr>
          <w:caps w:val="0"/>
          <w:color w:val="000000"/>
          <w:lang w:val="fr-FR"/>
        </w:rPr>
        <w:t>’</w:t>
      </w:r>
      <w:r w:rsidRPr="00970BC4">
        <w:rPr>
          <w:caps w:val="0"/>
          <w:color w:val="000000"/>
          <w:lang w:val="fr-FR"/>
        </w:rPr>
        <w:t>OMPI ET LA RÉPUBLIQUE POPULAIRE DE CHINE</w:t>
      </w:r>
    </w:p>
    <w:p w:rsidR="004D7FAF" w:rsidRPr="00970BC4" w:rsidRDefault="004D7FAF" w:rsidP="00E608F5">
      <w:pPr>
        <w:keepLines/>
        <w:rPr>
          <w:lang w:val="fr-FR"/>
        </w:rPr>
      </w:pPr>
    </w:p>
    <w:p w:rsidR="004D7FAF" w:rsidRPr="00970BC4" w:rsidRDefault="00AA0ECC" w:rsidP="00E608F5">
      <w:pPr>
        <w:rPr>
          <w:lang w:val="fr-FR"/>
        </w:rPr>
      </w:pPr>
      <w:r w:rsidRPr="00970BC4">
        <w:rPr>
          <w:lang w:val="fr-FR"/>
        </w:rPr>
        <w:fldChar w:fldCharType="begin"/>
      </w:r>
      <w:r w:rsidRPr="00970BC4">
        <w:rPr>
          <w:lang w:val="fr-FR"/>
        </w:rPr>
        <w:instrText xml:space="preserve"> AUTONUM  </w:instrText>
      </w:r>
      <w:r w:rsidRPr="00970BC4">
        <w:rPr>
          <w:lang w:val="fr-FR"/>
        </w:rPr>
        <w:fldChar w:fldCharType="end"/>
      </w:r>
      <w:r w:rsidRPr="00970BC4">
        <w:rPr>
          <w:lang w:val="fr-FR"/>
        </w:rPr>
        <w:tab/>
      </w:r>
      <w:r w:rsidR="00ED222F" w:rsidRPr="00970BC4">
        <w:rPr>
          <w:lang w:val="fr-FR"/>
        </w:rPr>
        <w:t xml:space="preserve">Le </w:t>
      </w:r>
      <w:r w:rsidR="00F7749B" w:rsidRPr="00970BC4">
        <w:rPr>
          <w:lang w:val="fr-FR"/>
        </w:rPr>
        <w:t>D</w:t>
      </w:r>
      <w:r w:rsidR="00ED222F" w:rsidRPr="00970BC4">
        <w:rPr>
          <w:lang w:val="fr-FR"/>
        </w:rPr>
        <w:t>irecteur général de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 xml:space="preserve">OMPI et le Gouvernement de la République </w:t>
      </w:r>
      <w:r w:rsidR="00ED222F" w:rsidRPr="00970BC4">
        <w:rPr>
          <w:color w:val="000000"/>
          <w:lang w:val="fr-FR"/>
        </w:rPr>
        <w:t>populaire de Chine</w:t>
      </w:r>
      <w:r w:rsidR="00ED222F" w:rsidRPr="00970BC4">
        <w:rPr>
          <w:lang w:val="fr-FR"/>
        </w:rPr>
        <w:t xml:space="preserve"> ont </w:t>
      </w:r>
      <w:r w:rsidR="00F7749B" w:rsidRPr="00970BC4">
        <w:rPr>
          <w:lang w:val="fr-FR"/>
        </w:rPr>
        <w:t>établi</w:t>
      </w:r>
      <w:r w:rsidR="00ED222F" w:rsidRPr="00970BC4">
        <w:rPr>
          <w:lang w:val="fr-FR"/>
        </w:rPr>
        <w:t xml:space="preserve"> un accord visant à définir le statut juridique d</w:t>
      </w:r>
      <w:r w:rsidR="00B45ACF" w:rsidRPr="00970BC4">
        <w:rPr>
          <w:lang w:val="fr-FR"/>
        </w:rPr>
        <w:t>’</w:t>
      </w:r>
      <w:r w:rsidR="00F7749B" w:rsidRPr="00970BC4">
        <w:rPr>
          <w:lang w:val="fr-FR"/>
        </w:rPr>
        <w:t>un B</w:t>
      </w:r>
      <w:r w:rsidR="00ED222F" w:rsidRPr="00970BC4">
        <w:rPr>
          <w:lang w:val="fr-FR"/>
        </w:rPr>
        <w:t>ureau de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 xml:space="preserve">OMPI </w:t>
      </w:r>
      <w:r w:rsidR="00ED222F" w:rsidRPr="00970BC4">
        <w:rPr>
          <w:color w:val="000000"/>
          <w:lang w:val="fr-FR"/>
        </w:rPr>
        <w:t>en Chine</w:t>
      </w:r>
      <w:r w:rsidR="00ED222F" w:rsidRPr="00970BC4">
        <w:rPr>
          <w:lang w:val="fr-FR"/>
        </w:rPr>
        <w:t>.</w:t>
      </w:r>
      <w:r w:rsidRPr="00970BC4">
        <w:rPr>
          <w:lang w:val="fr-FR"/>
        </w:rPr>
        <w:t xml:space="preserve">  </w:t>
      </w:r>
      <w:r w:rsidR="00ED222F" w:rsidRPr="00970BC4">
        <w:rPr>
          <w:lang w:val="fr-FR"/>
        </w:rPr>
        <w:t>Le texte de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>accord entre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 xml:space="preserve">OMPI et le Gouvernement de la République </w:t>
      </w:r>
      <w:r w:rsidR="00ED222F" w:rsidRPr="00970BC4">
        <w:rPr>
          <w:color w:val="000000"/>
          <w:lang w:val="fr-FR"/>
        </w:rPr>
        <w:t xml:space="preserve">populaire de Chine </w:t>
      </w:r>
      <w:r w:rsidR="00F7749B" w:rsidRPr="00970BC4">
        <w:rPr>
          <w:lang w:val="fr-FR"/>
        </w:rPr>
        <w:t>fait l</w:t>
      </w:r>
      <w:r w:rsidR="00B45ACF" w:rsidRPr="00970BC4">
        <w:rPr>
          <w:lang w:val="fr-FR"/>
        </w:rPr>
        <w:t>’</w:t>
      </w:r>
      <w:r w:rsidR="00F7749B" w:rsidRPr="00970BC4">
        <w:rPr>
          <w:lang w:val="fr-FR"/>
        </w:rPr>
        <w:t>objet de</w:t>
      </w:r>
      <w:r w:rsidR="00ED222F" w:rsidRPr="00970BC4">
        <w:rPr>
          <w:lang w:val="fr-FR"/>
        </w:rPr>
        <w:t xml:space="preserve">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 xml:space="preserve">annexe </w:t>
      </w:r>
      <w:r w:rsidR="007D5EC1" w:rsidRPr="00970BC4">
        <w:rPr>
          <w:lang w:val="fr-FR"/>
        </w:rPr>
        <w:t xml:space="preserve">I </w:t>
      </w:r>
      <w:r w:rsidR="00ED222F" w:rsidRPr="00970BC4">
        <w:rPr>
          <w:lang w:val="fr-FR"/>
        </w:rPr>
        <w:t>du présent document.</w:t>
      </w:r>
    </w:p>
    <w:p w:rsidR="00E31DDA" w:rsidRPr="00970BC4" w:rsidRDefault="00E31DDA">
      <w:pPr>
        <w:rPr>
          <w:bCs/>
          <w:iCs/>
          <w:caps/>
          <w:szCs w:val="28"/>
          <w:lang w:val="fr-FR"/>
        </w:rPr>
      </w:pPr>
      <w:r w:rsidRPr="00970BC4">
        <w:rPr>
          <w:lang w:val="fr-FR"/>
        </w:rPr>
        <w:br w:type="page"/>
      </w:r>
    </w:p>
    <w:p w:rsidR="004D7FAF" w:rsidRPr="00970BC4" w:rsidRDefault="00AA0ECC" w:rsidP="00ED222F">
      <w:pPr>
        <w:pStyle w:val="Heading2"/>
        <w:rPr>
          <w:lang w:val="fr-FR"/>
        </w:rPr>
      </w:pPr>
      <w:r w:rsidRPr="00970BC4">
        <w:rPr>
          <w:lang w:val="fr-FR"/>
        </w:rPr>
        <w:lastRenderedPageBreak/>
        <w:t>III.</w:t>
      </w:r>
      <w:r w:rsidRPr="00970BC4">
        <w:rPr>
          <w:lang w:val="fr-FR"/>
        </w:rPr>
        <w:tab/>
      </w:r>
      <w:r w:rsidR="00ED222F" w:rsidRPr="00970BC4">
        <w:rPr>
          <w:caps w:val="0"/>
          <w:color w:val="000000"/>
          <w:lang w:val="fr-FR"/>
        </w:rPr>
        <w:t>ACCORD ENTRE L</w:t>
      </w:r>
      <w:r w:rsidR="00B45ACF" w:rsidRPr="00970BC4">
        <w:rPr>
          <w:caps w:val="0"/>
          <w:color w:val="000000"/>
          <w:lang w:val="fr-FR"/>
        </w:rPr>
        <w:t>’</w:t>
      </w:r>
      <w:r w:rsidR="00ED222F" w:rsidRPr="00970BC4">
        <w:rPr>
          <w:caps w:val="0"/>
          <w:color w:val="000000"/>
          <w:lang w:val="fr-FR"/>
        </w:rPr>
        <w:t>OMPI ET LA FÉDÉRATION DE RUSSIE</w:t>
      </w:r>
    </w:p>
    <w:p w:rsidR="004D7FAF" w:rsidRPr="00970BC4" w:rsidRDefault="004D7FAF" w:rsidP="00AA0ECC">
      <w:pPr>
        <w:rPr>
          <w:lang w:val="fr-FR"/>
        </w:rPr>
      </w:pPr>
    </w:p>
    <w:p w:rsidR="004D7FAF" w:rsidRPr="00970BC4" w:rsidRDefault="00AA0ECC" w:rsidP="00E608F5">
      <w:pPr>
        <w:rPr>
          <w:lang w:val="fr-FR"/>
        </w:rPr>
      </w:pPr>
      <w:r w:rsidRPr="00970BC4">
        <w:rPr>
          <w:lang w:val="fr-FR"/>
        </w:rPr>
        <w:fldChar w:fldCharType="begin"/>
      </w:r>
      <w:r w:rsidRPr="00970BC4">
        <w:rPr>
          <w:lang w:val="fr-FR"/>
        </w:rPr>
        <w:instrText xml:space="preserve"> AUTONUM  </w:instrText>
      </w:r>
      <w:r w:rsidRPr="00970BC4">
        <w:rPr>
          <w:lang w:val="fr-FR"/>
        </w:rPr>
        <w:fldChar w:fldCharType="end"/>
      </w:r>
      <w:r w:rsidRPr="00970BC4">
        <w:rPr>
          <w:lang w:val="fr-FR"/>
        </w:rPr>
        <w:tab/>
      </w:r>
      <w:r w:rsidR="00F7749B" w:rsidRPr="00970BC4">
        <w:rPr>
          <w:lang w:val="fr-FR"/>
        </w:rPr>
        <w:t>Le D</w:t>
      </w:r>
      <w:r w:rsidR="00ED222F" w:rsidRPr="00970BC4">
        <w:rPr>
          <w:lang w:val="fr-FR"/>
        </w:rPr>
        <w:t>irecteur général de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 xml:space="preserve">OMPI et le Gouvernement </w:t>
      </w:r>
      <w:r w:rsidR="00ED222F" w:rsidRPr="00970BC4">
        <w:rPr>
          <w:color w:val="000000"/>
          <w:lang w:val="fr-FR"/>
        </w:rPr>
        <w:t xml:space="preserve">de la Fédération de Russie </w:t>
      </w:r>
      <w:r w:rsidR="00ED222F" w:rsidRPr="00970BC4">
        <w:rPr>
          <w:lang w:val="fr-FR"/>
        </w:rPr>
        <w:t xml:space="preserve">ont </w:t>
      </w:r>
      <w:r w:rsidR="00146A2E" w:rsidRPr="00970BC4">
        <w:rPr>
          <w:lang w:val="fr-FR"/>
        </w:rPr>
        <w:t>établi</w:t>
      </w:r>
      <w:r w:rsidR="00ED222F" w:rsidRPr="00970BC4">
        <w:rPr>
          <w:lang w:val="fr-FR"/>
        </w:rPr>
        <w:t xml:space="preserve"> un accord visant à définir le statut juridique d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 xml:space="preserve">un </w:t>
      </w:r>
      <w:r w:rsidR="00F7749B" w:rsidRPr="00970BC4">
        <w:rPr>
          <w:lang w:val="fr-FR"/>
        </w:rPr>
        <w:t>B</w:t>
      </w:r>
      <w:r w:rsidR="00ED222F" w:rsidRPr="00970BC4">
        <w:rPr>
          <w:lang w:val="fr-FR"/>
        </w:rPr>
        <w:t>ureau de l</w:t>
      </w:r>
      <w:r w:rsidR="00B45ACF" w:rsidRPr="00970BC4">
        <w:rPr>
          <w:lang w:val="fr-FR"/>
        </w:rPr>
        <w:t>’</w:t>
      </w:r>
      <w:r w:rsidR="00ED222F" w:rsidRPr="00970BC4">
        <w:rPr>
          <w:lang w:val="fr-FR"/>
        </w:rPr>
        <w:t xml:space="preserve">OMPI </w:t>
      </w:r>
      <w:r w:rsidR="00ED222F" w:rsidRPr="00970BC4">
        <w:rPr>
          <w:color w:val="000000"/>
          <w:lang w:val="fr-FR"/>
        </w:rPr>
        <w:t>en Fédération de Russie</w:t>
      </w:r>
      <w:r w:rsidR="00ED222F" w:rsidRPr="00970BC4">
        <w:rPr>
          <w:lang w:val="fr-FR"/>
        </w:rPr>
        <w:t>.</w:t>
      </w:r>
      <w:r w:rsidRPr="00970BC4">
        <w:rPr>
          <w:lang w:val="fr-FR"/>
        </w:rPr>
        <w:t xml:space="preserve">  </w:t>
      </w:r>
      <w:r w:rsidR="007D5EC1" w:rsidRPr="00970BC4">
        <w:rPr>
          <w:color w:val="000000"/>
          <w:lang w:val="fr-FR"/>
        </w:rPr>
        <w:t>Le</w:t>
      </w:r>
      <w:r w:rsidR="00146A2E" w:rsidRPr="00970BC4">
        <w:rPr>
          <w:color w:val="000000"/>
          <w:lang w:val="fr-FR"/>
        </w:rPr>
        <w:t> </w:t>
      </w:r>
      <w:r w:rsidR="007D5EC1" w:rsidRPr="00970BC4">
        <w:rPr>
          <w:color w:val="000000"/>
          <w:lang w:val="fr-FR"/>
        </w:rPr>
        <w:t>texte de l</w:t>
      </w:r>
      <w:r w:rsidR="00B45ACF" w:rsidRPr="00970BC4">
        <w:rPr>
          <w:color w:val="000000"/>
          <w:lang w:val="fr-FR"/>
        </w:rPr>
        <w:t>’</w:t>
      </w:r>
      <w:r w:rsidR="007D5EC1" w:rsidRPr="00970BC4">
        <w:rPr>
          <w:color w:val="000000"/>
          <w:lang w:val="fr-FR"/>
        </w:rPr>
        <w:t>accord entre l</w:t>
      </w:r>
      <w:r w:rsidR="00B45ACF" w:rsidRPr="00970BC4">
        <w:rPr>
          <w:color w:val="000000"/>
          <w:lang w:val="fr-FR"/>
        </w:rPr>
        <w:t>’</w:t>
      </w:r>
      <w:r w:rsidR="007D5EC1" w:rsidRPr="00970BC4">
        <w:rPr>
          <w:color w:val="000000"/>
          <w:lang w:val="fr-FR"/>
        </w:rPr>
        <w:t xml:space="preserve">OMPI et le Gouvernement de la Fédération de Russie </w:t>
      </w:r>
      <w:r w:rsidR="00F7749B" w:rsidRPr="00970BC4">
        <w:rPr>
          <w:color w:val="000000"/>
          <w:lang w:val="fr-FR"/>
        </w:rPr>
        <w:t>fait l</w:t>
      </w:r>
      <w:r w:rsidR="00B45ACF" w:rsidRPr="00970BC4">
        <w:rPr>
          <w:color w:val="000000"/>
          <w:lang w:val="fr-FR"/>
        </w:rPr>
        <w:t>’</w:t>
      </w:r>
      <w:r w:rsidR="00F7749B" w:rsidRPr="00970BC4">
        <w:rPr>
          <w:color w:val="000000"/>
          <w:lang w:val="fr-FR"/>
        </w:rPr>
        <w:t>objet de</w:t>
      </w:r>
      <w:r w:rsidR="007D5EC1" w:rsidRPr="00970BC4">
        <w:rPr>
          <w:color w:val="000000"/>
          <w:lang w:val="fr-FR"/>
        </w:rPr>
        <w:t xml:space="preserve"> l</w:t>
      </w:r>
      <w:r w:rsidR="00B45ACF" w:rsidRPr="00970BC4">
        <w:rPr>
          <w:color w:val="000000"/>
          <w:lang w:val="fr-FR"/>
        </w:rPr>
        <w:t>’</w:t>
      </w:r>
      <w:r w:rsidR="007D5EC1" w:rsidRPr="00970BC4">
        <w:rPr>
          <w:color w:val="000000"/>
          <w:lang w:val="fr-FR"/>
        </w:rPr>
        <w:t>annexe II du présent document.</w:t>
      </w:r>
      <w:r w:rsidRPr="00970BC4">
        <w:rPr>
          <w:lang w:val="fr-FR"/>
        </w:rPr>
        <w:t xml:space="preserve"> </w:t>
      </w:r>
    </w:p>
    <w:p w:rsidR="004D7FAF" w:rsidRPr="00970BC4" w:rsidRDefault="004D7FAF" w:rsidP="00E608F5">
      <w:pPr>
        <w:rPr>
          <w:lang w:val="fr-FR"/>
        </w:rPr>
      </w:pPr>
    </w:p>
    <w:p w:rsidR="004D7FAF" w:rsidRPr="00970BC4" w:rsidRDefault="0021752E" w:rsidP="004270A7">
      <w:pPr>
        <w:pStyle w:val="DecisionInvitingPara"/>
        <w:tabs>
          <w:tab w:val="left" w:pos="6096"/>
        </w:tabs>
        <w:ind w:left="5533"/>
        <w:rPr>
          <w:rFonts w:ascii="Arial" w:hAnsi="Arial" w:cs="Arial"/>
          <w:sz w:val="22"/>
          <w:szCs w:val="22"/>
          <w:lang w:val="fr-FR"/>
        </w:rPr>
      </w:pPr>
      <w:r w:rsidRPr="00970BC4">
        <w:rPr>
          <w:rFonts w:ascii="Arial" w:hAnsi="Arial" w:cs="Arial"/>
          <w:sz w:val="22"/>
          <w:szCs w:val="22"/>
          <w:lang w:val="fr-FR"/>
        </w:rPr>
        <w:fldChar w:fldCharType="begin"/>
      </w:r>
      <w:r w:rsidRPr="00970BC4">
        <w:rPr>
          <w:rFonts w:ascii="Arial" w:hAnsi="Arial" w:cs="Arial"/>
          <w:sz w:val="22"/>
          <w:szCs w:val="22"/>
          <w:lang w:val="fr-FR"/>
        </w:rPr>
        <w:instrText xml:space="preserve"> AUTONUM  </w:instrText>
      </w:r>
      <w:r w:rsidRPr="00970BC4">
        <w:rPr>
          <w:rFonts w:ascii="Arial" w:hAnsi="Arial" w:cs="Arial"/>
          <w:sz w:val="22"/>
          <w:szCs w:val="22"/>
          <w:lang w:val="fr-FR"/>
        </w:rPr>
        <w:fldChar w:fldCharType="end"/>
      </w:r>
      <w:r w:rsidRPr="00970BC4">
        <w:rPr>
          <w:rFonts w:ascii="Arial" w:hAnsi="Arial" w:cs="Arial"/>
          <w:sz w:val="22"/>
          <w:szCs w:val="22"/>
          <w:lang w:val="fr-FR"/>
        </w:rPr>
        <w:tab/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 xml:space="preserve">Le Comité de coordination est invité à </w:t>
      </w:r>
      <w:r w:rsidR="007D5EC1" w:rsidRPr="00FA490D">
        <w:rPr>
          <w:rFonts w:ascii="Arial" w:hAnsi="Arial" w:cs="Arial"/>
          <w:color w:val="000000"/>
          <w:sz w:val="22"/>
          <w:szCs w:val="22"/>
          <w:lang w:val="fr-FR"/>
        </w:rPr>
        <w:t>approuver</w:t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 xml:space="preserve"> l</w:t>
      </w:r>
      <w:r w:rsidR="00B45ACF" w:rsidRPr="00970BC4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>accord entre l</w:t>
      </w:r>
      <w:r w:rsidR="00B45ACF" w:rsidRPr="00970BC4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>OMPI et le Gouvernement de la République populaire de</w:t>
      </w:r>
      <w:r w:rsidR="00A455B1" w:rsidRPr="00970BC4">
        <w:rPr>
          <w:rFonts w:ascii="Arial" w:hAnsi="Arial" w:cs="Arial"/>
          <w:color w:val="000000"/>
          <w:sz w:val="22"/>
          <w:szCs w:val="22"/>
          <w:lang w:val="fr-FR"/>
        </w:rPr>
        <w:t> </w:t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>Chine et l</w:t>
      </w:r>
      <w:r w:rsidR="00B45ACF" w:rsidRPr="00970BC4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>accord entre l</w:t>
      </w:r>
      <w:r w:rsidR="00B45ACF" w:rsidRPr="00970BC4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>OMPI et le Gouvernement de la Fédération de Russie, qui figurent respectivement aux annexes I et II du</w:t>
      </w:r>
      <w:r w:rsidR="00A455B1" w:rsidRPr="00970BC4">
        <w:rPr>
          <w:rFonts w:ascii="Arial" w:hAnsi="Arial" w:cs="Arial"/>
          <w:color w:val="000000"/>
          <w:sz w:val="22"/>
          <w:szCs w:val="22"/>
          <w:lang w:val="fr-FR"/>
        </w:rPr>
        <w:t> </w:t>
      </w:r>
      <w:r w:rsidR="007D5EC1" w:rsidRPr="00970BC4">
        <w:rPr>
          <w:rFonts w:ascii="Arial" w:hAnsi="Arial" w:cs="Arial"/>
          <w:color w:val="000000"/>
          <w:sz w:val="22"/>
          <w:szCs w:val="22"/>
          <w:lang w:val="fr-FR"/>
        </w:rPr>
        <w:t>présent document.</w:t>
      </w:r>
    </w:p>
    <w:p w:rsidR="004D7FAF" w:rsidRPr="00970BC4" w:rsidRDefault="004D7FAF" w:rsidP="00E608F5">
      <w:pPr>
        <w:pStyle w:val="DecisionInvitingPara"/>
        <w:rPr>
          <w:rFonts w:ascii="Arial" w:hAnsi="Arial" w:cs="Arial"/>
          <w:sz w:val="22"/>
          <w:szCs w:val="22"/>
          <w:lang w:val="fr-FR"/>
        </w:rPr>
      </w:pPr>
    </w:p>
    <w:p w:rsidR="004D7FAF" w:rsidRPr="00970BC4" w:rsidRDefault="004D7FAF" w:rsidP="00E608F5">
      <w:pPr>
        <w:pStyle w:val="DecisionInvitingPara"/>
        <w:rPr>
          <w:rFonts w:ascii="Arial" w:hAnsi="Arial" w:cs="Arial"/>
          <w:sz w:val="22"/>
          <w:szCs w:val="22"/>
          <w:lang w:val="fr-FR"/>
        </w:rPr>
      </w:pPr>
    </w:p>
    <w:p w:rsidR="004D7FAF" w:rsidRPr="00970BC4" w:rsidRDefault="004D7FAF" w:rsidP="00E608F5">
      <w:pPr>
        <w:pStyle w:val="DecisionInvitingPara"/>
        <w:rPr>
          <w:rFonts w:ascii="Arial" w:hAnsi="Arial" w:cs="Arial"/>
          <w:sz w:val="22"/>
          <w:szCs w:val="22"/>
          <w:lang w:val="fr-FR"/>
        </w:rPr>
      </w:pPr>
    </w:p>
    <w:p w:rsidR="004D7FAF" w:rsidRPr="00970BC4" w:rsidRDefault="007D5EC1" w:rsidP="00FA490D">
      <w:pPr>
        <w:pStyle w:val="DecisionInvitingPara"/>
        <w:ind w:left="5533"/>
        <w:rPr>
          <w:i w:val="0"/>
          <w:szCs w:val="22"/>
          <w:lang w:val="fr-FR"/>
        </w:rPr>
      </w:pPr>
      <w:r w:rsidRPr="00970BC4">
        <w:rPr>
          <w:rFonts w:ascii="Arial" w:hAnsi="Arial" w:cs="Arial"/>
          <w:i w:val="0"/>
          <w:sz w:val="22"/>
          <w:szCs w:val="22"/>
          <w:lang w:val="fr-FR"/>
        </w:rPr>
        <w:t>[Les annexes suivent]</w:t>
      </w:r>
    </w:p>
    <w:p w:rsidR="00862710" w:rsidRPr="00970BC4" w:rsidRDefault="00862710" w:rsidP="007D5EC1">
      <w:pPr>
        <w:keepNext/>
        <w:keepLines/>
        <w:spacing w:line="336" w:lineRule="exact"/>
        <w:rPr>
          <w:bCs/>
          <w:szCs w:val="22"/>
          <w:lang w:val="fr-FR"/>
        </w:rPr>
        <w:sectPr w:rsidR="00862710" w:rsidRPr="00970BC4" w:rsidSect="007D51F2">
          <w:headerReference w:type="default" r:id="rId10"/>
          <w:endnotePr>
            <w:numFmt w:val="decimal"/>
          </w:endnotePr>
          <w:pgSz w:w="11907" w:h="16840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D7FAF" w:rsidRPr="00970BC4" w:rsidRDefault="007D5EC1" w:rsidP="007D5EC1">
      <w:pPr>
        <w:keepNext/>
        <w:keepLines/>
        <w:spacing w:line="336" w:lineRule="exact"/>
        <w:rPr>
          <w:bCs/>
          <w:caps/>
          <w:szCs w:val="22"/>
          <w:lang w:val="fr-FR"/>
        </w:rPr>
      </w:pPr>
      <w:r w:rsidRPr="00970BC4">
        <w:rPr>
          <w:bCs/>
          <w:szCs w:val="22"/>
          <w:lang w:val="fr-FR"/>
        </w:rPr>
        <w:lastRenderedPageBreak/>
        <w:t>ACCORD ENTRE</w:t>
      </w:r>
    </w:p>
    <w:p w:rsidR="004D7FAF" w:rsidRPr="00970BC4" w:rsidRDefault="007D5EC1" w:rsidP="007D5EC1">
      <w:pPr>
        <w:keepNext/>
        <w:keepLines/>
        <w:spacing w:line="336" w:lineRule="exact"/>
        <w:rPr>
          <w:bCs/>
          <w:caps/>
          <w:szCs w:val="22"/>
          <w:lang w:val="fr-FR"/>
        </w:rPr>
      </w:pPr>
      <w:r w:rsidRPr="00970BC4">
        <w:rPr>
          <w:bCs/>
          <w:szCs w:val="22"/>
          <w:lang w:val="fr-FR"/>
        </w:rPr>
        <w:t>L</w:t>
      </w:r>
      <w:r w:rsidR="00B45ACF" w:rsidRPr="00970BC4">
        <w:rPr>
          <w:bCs/>
          <w:szCs w:val="22"/>
          <w:lang w:val="fr-FR"/>
        </w:rPr>
        <w:t>’</w:t>
      </w:r>
      <w:r w:rsidRPr="00970BC4">
        <w:rPr>
          <w:bCs/>
          <w:szCs w:val="22"/>
          <w:lang w:val="fr-FR"/>
        </w:rPr>
        <w:t>ORGANISATION MONDIALE DE LA PROPRIÉTÉ INTELLECTUELLE</w:t>
      </w:r>
    </w:p>
    <w:p w:rsidR="004D7FAF" w:rsidRPr="00970BC4" w:rsidRDefault="007D5EC1" w:rsidP="007D5EC1">
      <w:pPr>
        <w:keepNext/>
        <w:keepLines/>
        <w:spacing w:line="336" w:lineRule="exact"/>
        <w:rPr>
          <w:bCs/>
          <w:caps/>
          <w:szCs w:val="22"/>
          <w:lang w:val="fr-FR"/>
        </w:rPr>
      </w:pPr>
      <w:r w:rsidRPr="00970BC4">
        <w:rPr>
          <w:bCs/>
          <w:color w:val="000000"/>
          <w:szCs w:val="22"/>
          <w:lang w:val="fr-FR"/>
        </w:rPr>
        <w:t>ET</w:t>
      </w:r>
      <w:r w:rsidR="00AA0ECC" w:rsidRPr="00970BC4">
        <w:rPr>
          <w:bCs/>
          <w:caps/>
          <w:szCs w:val="22"/>
          <w:lang w:val="fr-FR"/>
        </w:rPr>
        <w:t xml:space="preserve"> </w:t>
      </w:r>
    </w:p>
    <w:p w:rsidR="004D7FAF" w:rsidRPr="00970BC4" w:rsidRDefault="007D5EC1" w:rsidP="007D5EC1">
      <w:pPr>
        <w:spacing w:line="336" w:lineRule="exact"/>
        <w:rPr>
          <w:bCs/>
          <w:caps/>
          <w:szCs w:val="22"/>
          <w:lang w:val="fr-FR"/>
        </w:rPr>
      </w:pPr>
      <w:r w:rsidRPr="00970BC4">
        <w:rPr>
          <w:bCs/>
          <w:color w:val="000000"/>
          <w:szCs w:val="22"/>
          <w:lang w:val="fr-FR"/>
        </w:rPr>
        <w:t>LE GOUVERNEMENT DE LA RÉPUBLIQUE POPULAIRE DE CHINE</w:t>
      </w:r>
      <w:r w:rsidR="00AA0ECC" w:rsidRPr="00970BC4">
        <w:rPr>
          <w:bCs/>
          <w:caps/>
          <w:szCs w:val="22"/>
          <w:lang w:val="fr-FR"/>
        </w:rPr>
        <w:t xml:space="preserve"> </w:t>
      </w:r>
    </w:p>
    <w:p w:rsidR="004D7FAF" w:rsidRPr="00970BC4" w:rsidRDefault="00206566" w:rsidP="007D5EC1">
      <w:pPr>
        <w:spacing w:line="336" w:lineRule="exact"/>
        <w:rPr>
          <w:bCs/>
          <w:caps/>
          <w:szCs w:val="22"/>
          <w:lang w:val="fr-FR"/>
        </w:rPr>
      </w:pPr>
      <w:r w:rsidRPr="00970BC4">
        <w:rPr>
          <w:bCs/>
          <w:color w:val="000000"/>
          <w:szCs w:val="22"/>
          <w:lang w:val="fr-FR"/>
        </w:rPr>
        <w:t>CONCERNANT</w:t>
      </w:r>
      <w:r w:rsidR="00402B2E" w:rsidRPr="00970BC4">
        <w:rPr>
          <w:bCs/>
          <w:color w:val="000000"/>
          <w:szCs w:val="22"/>
          <w:lang w:val="fr-FR"/>
        </w:rPr>
        <w:t xml:space="preserve"> L</w:t>
      </w:r>
      <w:r w:rsidR="00B45ACF" w:rsidRPr="00970BC4">
        <w:rPr>
          <w:bCs/>
          <w:color w:val="000000"/>
          <w:szCs w:val="22"/>
          <w:lang w:val="fr-FR"/>
        </w:rPr>
        <w:t>’</w:t>
      </w:r>
      <w:r w:rsidR="00402B2E" w:rsidRPr="00970BC4">
        <w:rPr>
          <w:bCs/>
          <w:color w:val="000000"/>
          <w:szCs w:val="22"/>
          <w:lang w:val="fr-FR"/>
        </w:rPr>
        <w:t xml:space="preserve">ÉTABLISSEMENT </w:t>
      </w:r>
      <w:r w:rsidR="007D5EC1" w:rsidRPr="00970BC4">
        <w:rPr>
          <w:bCs/>
          <w:color w:val="000000"/>
          <w:szCs w:val="22"/>
          <w:lang w:val="fr-FR"/>
        </w:rPr>
        <w:t>D</w:t>
      </w:r>
      <w:r w:rsidR="00B45ACF" w:rsidRPr="00970BC4">
        <w:rPr>
          <w:bCs/>
          <w:color w:val="000000"/>
          <w:szCs w:val="22"/>
          <w:lang w:val="fr-FR"/>
        </w:rPr>
        <w:t>’</w:t>
      </w:r>
      <w:r w:rsidR="007D5EC1" w:rsidRPr="00970BC4">
        <w:rPr>
          <w:bCs/>
          <w:color w:val="000000"/>
          <w:szCs w:val="22"/>
          <w:lang w:val="fr-FR"/>
        </w:rPr>
        <w:t>UN BUREAU DE L</w:t>
      </w:r>
      <w:r w:rsidR="00B45ACF" w:rsidRPr="00970BC4">
        <w:rPr>
          <w:bCs/>
          <w:color w:val="000000"/>
          <w:szCs w:val="22"/>
          <w:lang w:val="fr-FR"/>
        </w:rPr>
        <w:t>’</w:t>
      </w:r>
      <w:r w:rsidR="007D5EC1" w:rsidRPr="00970BC4">
        <w:rPr>
          <w:bCs/>
          <w:color w:val="000000"/>
          <w:szCs w:val="22"/>
          <w:lang w:val="fr-FR"/>
        </w:rPr>
        <w:t>ORGANISATION MONDIALE DE LA PROPRIÉTÉ INTELLECTUELLE EN CHINE</w:t>
      </w:r>
    </w:p>
    <w:p w:rsidR="004D7FAF" w:rsidRPr="00970BC4" w:rsidRDefault="004D7FAF" w:rsidP="00AA0ECC">
      <w:pPr>
        <w:spacing w:line="336" w:lineRule="exact"/>
        <w:rPr>
          <w:b/>
          <w:bCs/>
          <w:caps/>
          <w:szCs w:val="22"/>
          <w:lang w:val="fr-FR"/>
        </w:rPr>
      </w:pPr>
    </w:p>
    <w:p w:rsidR="004D7FAF" w:rsidRPr="00970BC4" w:rsidRDefault="004D7FAF" w:rsidP="00AA0ECC">
      <w:pPr>
        <w:spacing w:line="336" w:lineRule="exact"/>
        <w:rPr>
          <w:b/>
          <w:bCs/>
          <w:caps/>
          <w:szCs w:val="22"/>
          <w:lang w:val="fr-FR"/>
        </w:rPr>
      </w:pPr>
    </w:p>
    <w:p w:rsidR="004D7FAF" w:rsidRPr="00970BC4" w:rsidRDefault="007D5EC1" w:rsidP="007D5EC1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Mondiale de la Propriété Intellectuelle (</w:t>
      </w:r>
      <w:r w:rsidR="00B45ACF" w:rsidRPr="00970BC4">
        <w:rPr>
          <w:color w:val="000000"/>
          <w:szCs w:val="22"/>
          <w:lang w:val="fr-FR"/>
        </w:rPr>
        <w:t>“</w:t>
      </w:r>
      <w:r w:rsidRPr="00970BC4">
        <w:rPr>
          <w:color w:val="000000"/>
          <w:szCs w:val="22"/>
          <w:lang w:val="fr-FR"/>
        </w:rPr>
        <w:t>OMPI</w:t>
      </w:r>
      <w:r w:rsidR="00B45ACF" w:rsidRPr="00970BC4">
        <w:rPr>
          <w:color w:val="000000"/>
          <w:szCs w:val="22"/>
          <w:lang w:val="fr-FR"/>
        </w:rPr>
        <w:t>”</w:t>
      </w:r>
      <w:r w:rsidRPr="00970BC4">
        <w:rPr>
          <w:color w:val="000000"/>
          <w:szCs w:val="22"/>
          <w:lang w:val="fr-FR"/>
        </w:rPr>
        <w:t>) et le Gouvernement de la</w:t>
      </w:r>
      <w:r w:rsidR="00862710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Ré</w:t>
      </w:r>
      <w:r w:rsidR="00F7749B" w:rsidRPr="00970BC4">
        <w:rPr>
          <w:color w:val="000000"/>
          <w:szCs w:val="22"/>
          <w:lang w:val="fr-FR"/>
        </w:rPr>
        <w:t>publique populaire de Chine (</w:t>
      </w:r>
      <w:r w:rsidR="00B45ACF" w:rsidRPr="00970BC4">
        <w:rPr>
          <w:color w:val="000000"/>
          <w:szCs w:val="22"/>
          <w:lang w:val="fr-FR"/>
        </w:rPr>
        <w:t>“</w:t>
      </w:r>
      <w:r w:rsidR="00F7749B" w:rsidRPr="00970BC4">
        <w:rPr>
          <w:color w:val="000000"/>
          <w:szCs w:val="22"/>
          <w:lang w:val="fr-FR"/>
        </w:rPr>
        <w:t>G</w:t>
      </w:r>
      <w:r w:rsidRPr="00970BC4">
        <w:rPr>
          <w:color w:val="000000"/>
          <w:szCs w:val="22"/>
          <w:lang w:val="fr-FR"/>
        </w:rPr>
        <w:t>ouvernement</w:t>
      </w:r>
      <w:r w:rsidR="00B45ACF" w:rsidRPr="00970BC4">
        <w:rPr>
          <w:color w:val="000000"/>
          <w:szCs w:val="22"/>
          <w:lang w:val="fr-FR"/>
        </w:rPr>
        <w:t>”</w:t>
      </w:r>
      <w:r w:rsidRPr="00970BC4">
        <w:rPr>
          <w:color w:val="000000"/>
          <w:szCs w:val="22"/>
          <w:lang w:val="fr-FR"/>
        </w:rPr>
        <w:t xml:space="preserve">) (ci-après </w:t>
      </w:r>
      <w:r w:rsidR="00F7749B" w:rsidRPr="00970BC4">
        <w:rPr>
          <w:color w:val="000000"/>
          <w:szCs w:val="22"/>
          <w:lang w:val="fr-FR"/>
        </w:rPr>
        <w:t xml:space="preserve">dénommés </w:t>
      </w:r>
      <w:r w:rsidR="00B45ACF" w:rsidRPr="00970BC4">
        <w:rPr>
          <w:color w:val="000000"/>
          <w:szCs w:val="22"/>
          <w:lang w:val="fr-FR"/>
        </w:rPr>
        <w:t>“</w:t>
      </w:r>
      <w:r w:rsidR="00F7749B" w:rsidRPr="00970BC4">
        <w:rPr>
          <w:color w:val="000000"/>
          <w:szCs w:val="22"/>
          <w:lang w:val="fr-FR"/>
        </w:rPr>
        <w:t>Pa</w:t>
      </w:r>
      <w:r w:rsidRPr="00970BC4">
        <w:rPr>
          <w:color w:val="000000"/>
          <w:szCs w:val="22"/>
          <w:lang w:val="fr-FR"/>
        </w:rPr>
        <w:t>rtie</w:t>
      </w:r>
      <w:r w:rsidR="00F7749B" w:rsidRPr="00970BC4">
        <w:rPr>
          <w:color w:val="000000"/>
          <w:szCs w:val="22"/>
          <w:lang w:val="fr-FR"/>
        </w:rPr>
        <w:t>(s)</w:t>
      </w:r>
      <w:r w:rsidR="00B45ACF" w:rsidRPr="00970BC4">
        <w:rPr>
          <w:color w:val="000000"/>
          <w:szCs w:val="22"/>
          <w:lang w:val="fr-FR"/>
        </w:rPr>
        <w:t>”</w:t>
      </w:r>
      <w:r w:rsidRPr="00970BC4">
        <w:rPr>
          <w:color w:val="000000"/>
          <w:szCs w:val="22"/>
          <w:lang w:val="fr-FR"/>
        </w:rPr>
        <w:t>),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60B2D" w:rsidP="00160B2D">
      <w:pPr>
        <w:rPr>
          <w:szCs w:val="22"/>
          <w:lang w:val="fr-FR"/>
        </w:rPr>
      </w:pPr>
      <w:r w:rsidRPr="00970BC4">
        <w:rPr>
          <w:szCs w:val="22"/>
          <w:lang w:val="fr-FR"/>
        </w:rPr>
        <w:t xml:space="preserve">Conscients des </w:t>
      </w:r>
      <w:r w:rsidR="00206566" w:rsidRPr="00970BC4">
        <w:rPr>
          <w:szCs w:val="22"/>
          <w:lang w:val="fr-FR"/>
        </w:rPr>
        <w:t>avantages</w:t>
      </w:r>
      <w:r w:rsidRPr="00970BC4">
        <w:rPr>
          <w:szCs w:val="22"/>
          <w:lang w:val="fr-FR"/>
        </w:rPr>
        <w:t xml:space="preserve"> pouvant découler d</w:t>
      </w:r>
      <w:r w:rsidR="00B45ACF" w:rsidRPr="00970BC4">
        <w:rPr>
          <w:szCs w:val="22"/>
          <w:lang w:val="fr-FR"/>
        </w:rPr>
        <w:t>’</w:t>
      </w:r>
      <w:r w:rsidRPr="00970BC4">
        <w:rPr>
          <w:szCs w:val="22"/>
          <w:lang w:val="fr-FR"/>
        </w:rPr>
        <w:t>une coop</w:t>
      </w:r>
      <w:r w:rsidR="008A201B" w:rsidRPr="00970BC4">
        <w:rPr>
          <w:szCs w:val="22"/>
          <w:lang w:val="fr-FR"/>
        </w:rPr>
        <w:t>ération plus étroite entre les P</w:t>
      </w:r>
      <w:r w:rsidRPr="00970BC4">
        <w:rPr>
          <w:szCs w:val="22"/>
          <w:lang w:val="fr-FR"/>
        </w:rPr>
        <w:t>arties en ce qui concerne la promotion du développement dans le domaine de la propriété intellectuelle,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60B2D" w:rsidP="00160B2D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Désireux de </w:t>
      </w:r>
      <w:r w:rsidR="00862710" w:rsidRPr="00970BC4">
        <w:rPr>
          <w:color w:val="000000"/>
          <w:szCs w:val="22"/>
          <w:lang w:val="fr-FR"/>
        </w:rPr>
        <w:t>renforcer la promotion de</w:t>
      </w:r>
      <w:r w:rsidRPr="00970BC4">
        <w:rPr>
          <w:color w:val="000000"/>
          <w:szCs w:val="22"/>
          <w:lang w:val="fr-FR"/>
        </w:rPr>
        <w:t xml:space="preserve"> la coopération ent</w:t>
      </w:r>
      <w:r w:rsidR="0035622A" w:rsidRPr="00970BC4">
        <w:rPr>
          <w:color w:val="000000"/>
          <w:szCs w:val="22"/>
          <w:lang w:val="fr-FR"/>
        </w:rPr>
        <w:t>re les P</w:t>
      </w:r>
      <w:r w:rsidRPr="00970BC4">
        <w:rPr>
          <w:color w:val="000000"/>
          <w:szCs w:val="22"/>
          <w:lang w:val="fr-FR"/>
        </w:rPr>
        <w:t>arties en vue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atteindre leur objectif commun </w:t>
      </w:r>
      <w:r w:rsidR="0035622A" w:rsidRPr="00970BC4">
        <w:rPr>
          <w:color w:val="000000"/>
          <w:szCs w:val="22"/>
          <w:lang w:val="fr-FR"/>
        </w:rPr>
        <w:t xml:space="preserve">de </w:t>
      </w:r>
      <w:r w:rsidR="00862710" w:rsidRPr="00970BC4">
        <w:rPr>
          <w:color w:val="000000"/>
          <w:szCs w:val="22"/>
          <w:lang w:val="fr-FR"/>
        </w:rPr>
        <w:t>développement dans le domaine</w:t>
      </w:r>
      <w:r w:rsidRPr="00970BC4">
        <w:rPr>
          <w:color w:val="000000"/>
          <w:szCs w:val="22"/>
          <w:lang w:val="fr-FR"/>
        </w:rPr>
        <w:t xml:space="preserve"> de la </w:t>
      </w:r>
      <w:r w:rsidRPr="00970BC4">
        <w:rPr>
          <w:szCs w:val="22"/>
          <w:lang w:val="fr-FR"/>
        </w:rPr>
        <w:t>propriété intellectuelle</w:t>
      </w:r>
      <w:r w:rsidRPr="00970BC4">
        <w:rPr>
          <w:color w:val="000000"/>
          <w:szCs w:val="22"/>
          <w:lang w:val="fr-FR"/>
        </w:rPr>
        <w:t>,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60B2D" w:rsidP="00160B2D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Reconnaissant qu</w:t>
      </w:r>
      <w:r w:rsidR="00B45ACF" w:rsidRPr="00970BC4">
        <w:rPr>
          <w:color w:val="000000"/>
          <w:szCs w:val="22"/>
          <w:lang w:val="fr-FR"/>
        </w:rPr>
        <w:t>’</w:t>
      </w:r>
      <w:r w:rsidR="0035622A" w:rsidRPr="00970BC4">
        <w:rPr>
          <w:color w:val="000000"/>
          <w:szCs w:val="22"/>
          <w:lang w:val="fr-FR"/>
        </w:rPr>
        <w:t>un B</w:t>
      </w:r>
      <w:r w:rsidRPr="00970BC4">
        <w:rPr>
          <w:color w:val="000000"/>
          <w:szCs w:val="22"/>
          <w:lang w:val="fr-FR"/>
        </w:rPr>
        <w:t>ureau spécialisé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OMPI en Chine sera</w:t>
      </w:r>
      <w:r w:rsidR="00862710" w:rsidRPr="00970BC4">
        <w:rPr>
          <w:color w:val="000000"/>
          <w:szCs w:val="22"/>
          <w:lang w:val="fr-FR"/>
        </w:rPr>
        <w:t>it</w:t>
      </w:r>
      <w:r w:rsidRPr="00970BC4">
        <w:rPr>
          <w:color w:val="000000"/>
          <w:szCs w:val="22"/>
          <w:lang w:val="fr-FR"/>
        </w:rPr>
        <w:t xml:space="preserve"> un symbole visible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engagement résolu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OMPI </w:t>
      </w:r>
      <w:r w:rsidR="0035622A" w:rsidRPr="00970BC4">
        <w:rPr>
          <w:color w:val="000000"/>
          <w:szCs w:val="22"/>
          <w:lang w:val="fr-FR"/>
        </w:rPr>
        <w:t>en faveur du</w:t>
      </w:r>
      <w:r w:rsidRPr="00970BC4">
        <w:rPr>
          <w:color w:val="000000"/>
          <w:szCs w:val="22"/>
          <w:lang w:val="fr-FR"/>
        </w:rPr>
        <w:t xml:space="preserve"> développement de la </w:t>
      </w:r>
      <w:r w:rsidRPr="00970BC4">
        <w:rPr>
          <w:szCs w:val="22"/>
          <w:lang w:val="fr-FR"/>
        </w:rPr>
        <w:t>propriété intellectuelle</w:t>
      </w:r>
      <w:r w:rsidRPr="00970BC4">
        <w:rPr>
          <w:color w:val="000000"/>
          <w:szCs w:val="22"/>
          <w:lang w:val="fr-FR"/>
        </w:rPr>
        <w:t xml:space="preserve"> </w:t>
      </w:r>
      <w:r w:rsidR="0035622A" w:rsidRPr="00970BC4">
        <w:rPr>
          <w:color w:val="000000"/>
          <w:szCs w:val="22"/>
          <w:lang w:val="fr-FR"/>
        </w:rPr>
        <w:t>en</w:t>
      </w:r>
      <w:r w:rsidR="00862710" w:rsidRPr="00970BC4">
        <w:rPr>
          <w:color w:val="000000"/>
          <w:szCs w:val="22"/>
          <w:lang w:val="fr-FR"/>
        </w:rPr>
        <w:t> </w:t>
      </w:r>
      <w:r w:rsidR="0035622A" w:rsidRPr="00970BC4">
        <w:rPr>
          <w:color w:val="000000"/>
          <w:szCs w:val="22"/>
          <w:lang w:val="fr-FR"/>
        </w:rPr>
        <w:t xml:space="preserve">Chine </w:t>
      </w:r>
      <w:r w:rsidRPr="00970BC4">
        <w:rPr>
          <w:color w:val="000000"/>
          <w:szCs w:val="22"/>
          <w:lang w:val="fr-FR"/>
        </w:rPr>
        <w:t xml:space="preserve">et </w:t>
      </w:r>
      <w:r w:rsidR="0035622A" w:rsidRPr="00970BC4">
        <w:rPr>
          <w:color w:val="000000"/>
          <w:szCs w:val="22"/>
          <w:lang w:val="fr-FR"/>
        </w:rPr>
        <w:t>qu</w:t>
      </w:r>
      <w:r w:rsidR="00B45ACF" w:rsidRPr="00970BC4">
        <w:rPr>
          <w:color w:val="000000"/>
          <w:szCs w:val="22"/>
          <w:lang w:val="fr-FR"/>
        </w:rPr>
        <w:t>’</w:t>
      </w:r>
      <w:r w:rsidR="0035622A" w:rsidRPr="00970BC4">
        <w:rPr>
          <w:color w:val="000000"/>
          <w:szCs w:val="22"/>
          <w:lang w:val="fr-FR"/>
        </w:rPr>
        <w:t xml:space="preserve">il </w:t>
      </w:r>
      <w:r w:rsidRPr="00970BC4">
        <w:rPr>
          <w:color w:val="000000"/>
          <w:szCs w:val="22"/>
          <w:lang w:val="fr-FR"/>
        </w:rPr>
        <w:t>donnera du poids à tout projet ou activité lancé par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OMPI dans le cadre de son mandat et de ses responsabilités,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60B2D" w:rsidP="00160B2D">
      <w:pPr>
        <w:rPr>
          <w:szCs w:val="22"/>
          <w:lang w:val="fr-FR"/>
        </w:rPr>
      </w:pPr>
      <w:r w:rsidRPr="00970BC4">
        <w:rPr>
          <w:szCs w:val="22"/>
          <w:lang w:val="fr-FR"/>
        </w:rPr>
        <w:t>Sont convenus de ce qui suit :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60B2D" w:rsidP="00160B2D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ARTICLE PREMIER</w:t>
      </w:r>
      <w:r w:rsidR="0035622A" w:rsidRPr="00970BC4">
        <w:rPr>
          <w:color w:val="000000"/>
          <w:szCs w:val="22"/>
          <w:lang w:val="fr-FR"/>
        </w:rPr>
        <w:t> :</w:t>
      </w:r>
      <w:r w:rsidRPr="00970BC4">
        <w:rPr>
          <w:color w:val="000000"/>
          <w:szCs w:val="22"/>
          <w:lang w:val="fr-FR"/>
        </w:rPr>
        <w:t xml:space="preserve"> </w:t>
      </w:r>
      <w:r w:rsidR="0035622A" w:rsidRPr="00970BC4">
        <w:rPr>
          <w:color w:val="000000"/>
          <w:szCs w:val="22"/>
          <w:lang w:val="fr-FR"/>
        </w:rPr>
        <w:t>DOMAINES D</w:t>
      </w:r>
      <w:r w:rsidR="00B45ACF" w:rsidRPr="00970BC4">
        <w:rPr>
          <w:color w:val="000000"/>
          <w:szCs w:val="22"/>
          <w:lang w:val="fr-FR"/>
        </w:rPr>
        <w:t>’</w:t>
      </w:r>
      <w:r w:rsidR="0035622A" w:rsidRPr="00970BC4">
        <w:rPr>
          <w:color w:val="000000"/>
          <w:szCs w:val="22"/>
          <w:lang w:val="fr-FR"/>
        </w:rPr>
        <w:t>ACTIVITÉ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60B2D" w:rsidP="00160B2D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 établi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 xml:space="preserve">ra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 xml:space="preserve">à Beijing (Chine) 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>un B</w:t>
      </w:r>
      <w:r w:rsidRPr="00970BC4">
        <w:rPr>
          <w:rFonts w:ascii="Arial" w:hAnsi="Arial" w:cs="Arial"/>
          <w:color w:val="000000"/>
          <w:sz w:val="22"/>
          <w:lang w:val="fr-FR"/>
        </w:rPr>
        <w:t>ureau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 (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 xml:space="preserve">ci-après dénommé 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“</w:t>
      </w:r>
      <w:r w:rsidRPr="00970BC4">
        <w:rPr>
          <w:rFonts w:ascii="Arial" w:hAnsi="Arial" w:cs="Arial"/>
          <w:color w:val="000000"/>
          <w:sz w:val="22"/>
          <w:lang w:val="fr-FR"/>
        </w:rPr>
        <w:t>Bureau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”</w:t>
      </w:r>
      <w:r w:rsidRPr="00970BC4">
        <w:rPr>
          <w:rFonts w:ascii="Arial" w:hAnsi="Arial" w:cs="Arial"/>
          <w:color w:val="000000"/>
          <w:sz w:val="22"/>
          <w:lang w:val="fr-FR"/>
        </w:rPr>
        <w:t>), qui contribuera aux travaux et aux objectifs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OMPI 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>en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Chine et 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 xml:space="preserve">dans </w:t>
      </w:r>
      <w:r w:rsidRPr="00970BC4">
        <w:rPr>
          <w:rFonts w:ascii="Arial" w:hAnsi="Arial" w:cs="Arial"/>
          <w:color w:val="000000"/>
          <w:sz w:val="22"/>
          <w:lang w:val="fr-FR"/>
        </w:rPr>
        <w:t>tout autre pays susceptible 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être désigné par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OMPI.</w:t>
      </w:r>
      <w:r w:rsidR="00AA0ECC" w:rsidRPr="00970BC4">
        <w:rPr>
          <w:rFonts w:ascii="Arial" w:hAnsi="Arial" w:cs="Arial"/>
          <w:sz w:val="22"/>
          <w:lang w:val="fr-FR"/>
        </w:rPr>
        <w:t xml:space="preserve">  </w:t>
      </w:r>
      <w:r w:rsidRPr="00970BC4">
        <w:rPr>
          <w:rFonts w:ascii="Arial" w:hAnsi="Arial" w:cs="Arial"/>
          <w:color w:val="000000"/>
          <w:sz w:val="22"/>
          <w:lang w:val="fr-FR"/>
        </w:rPr>
        <w:t>Le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>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activités du Bureau 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>porteront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essentiellement 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 xml:space="preserve">sur </w:t>
      </w:r>
      <w:r w:rsidRPr="00970BC4">
        <w:rPr>
          <w:rFonts w:ascii="Arial" w:hAnsi="Arial" w:cs="Arial"/>
          <w:color w:val="000000"/>
          <w:sz w:val="22"/>
          <w:lang w:val="fr-FR"/>
        </w:rPr>
        <w:t>les</w:t>
      </w:r>
      <w:r w:rsidR="00862710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>domaines suivants :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135701" w:rsidP="004270A7">
      <w:pPr>
        <w:pStyle w:val="a"/>
        <w:numPr>
          <w:ilvl w:val="0"/>
          <w:numId w:val="7"/>
        </w:numPr>
        <w:tabs>
          <w:tab w:val="clear" w:pos="780"/>
          <w:tab w:val="left" w:pos="1134"/>
        </w:tabs>
        <w:ind w:left="0" w:firstLineChars="0" w:firstLine="539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Représenter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OMPI et promouvoir des relations </w:t>
      </w:r>
      <w:r w:rsidR="0080441E" w:rsidRPr="00970BC4">
        <w:rPr>
          <w:rFonts w:ascii="Arial" w:hAnsi="Arial" w:cs="Arial"/>
          <w:color w:val="000000"/>
          <w:sz w:val="22"/>
          <w:lang w:val="fr-FR"/>
        </w:rPr>
        <w:t xml:space="preserve">et une coopération </w:t>
      </w:r>
      <w:r w:rsidRPr="00970BC4">
        <w:rPr>
          <w:rFonts w:ascii="Arial" w:hAnsi="Arial" w:cs="Arial"/>
          <w:color w:val="000000"/>
          <w:sz w:val="22"/>
          <w:lang w:val="fr-FR"/>
        </w:rPr>
        <w:t>plus étroites entre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 et le Gouvernement,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industrie et le secteur privé, ainsi que le grand public;</w:t>
      </w:r>
    </w:p>
    <w:p w:rsidR="004D7FAF" w:rsidRPr="00970BC4" w:rsidRDefault="004D7FAF" w:rsidP="004270A7">
      <w:pPr>
        <w:pStyle w:val="a"/>
        <w:tabs>
          <w:tab w:val="left" w:pos="1134"/>
        </w:tabs>
        <w:ind w:left="420"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80441E" w:rsidP="004270A7">
      <w:pPr>
        <w:widowControl w:val="0"/>
        <w:numPr>
          <w:ilvl w:val="0"/>
          <w:numId w:val="7"/>
        </w:numPr>
        <w:tabs>
          <w:tab w:val="clear" w:pos="780"/>
          <w:tab w:val="left" w:pos="1134"/>
        </w:tabs>
        <w:ind w:left="0" w:firstLine="54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Sur demande des autorités compétentes et d</w:t>
      </w:r>
      <w:r w:rsidR="00862710" w:rsidRPr="00970BC4">
        <w:rPr>
          <w:color w:val="000000"/>
          <w:szCs w:val="22"/>
          <w:lang w:val="fr-FR"/>
        </w:rPr>
        <w:t>es entités mentionnées au point </w:t>
      </w:r>
      <w:r w:rsidRPr="00970BC4">
        <w:rPr>
          <w:color w:val="000000"/>
          <w:szCs w:val="22"/>
          <w:lang w:val="fr-FR"/>
        </w:rPr>
        <w:t>1 ci</w:t>
      </w:r>
      <w:r w:rsidR="00862710" w:rsidRPr="00970BC4">
        <w:rPr>
          <w:color w:val="000000"/>
          <w:szCs w:val="22"/>
          <w:lang w:val="fr-FR"/>
        </w:rPr>
        <w:noBreakHyphen/>
      </w:r>
      <w:r w:rsidRPr="00970BC4">
        <w:rPr>
          <w:color w:val="000000"/>
          <w:szCs w:val="22"/>
          <w:lang w:val="fr-FR"/>
        </w:rPr>
        <w:t>dessus, d</w:t>
      </w:r>
      <w:r w:rsidR="000B7246" w:rsidRPr="00970BC4">
        <w:rPr>
          <w:color w:val="000000"/>
          <w:szCs w:val="22"/>
          <w:lang w:val="fr-FR"/>
        </w:rPr>
        <w:t xml:space="preserve">ispenser une assistance juridique et technique </w:t>
      </w:r>
      <w:r w:rsidR="00301A16" w:rsidRPr="00970BC4">
        <w:rPr>
          <w:color w:val="000000"/>
          <w:szCs w:val="22"/>
          <w:lang w:val="fr-FR"/>
        </w:rPr>
        <w:t>dans le domaine</w:t>
      </w:r>
      <w:r w:rsidR="000B7246" w:rsidRPr="00970BC4">
        <w:rPr>
          <w:color w:val="000000"/>
          <w:szCs w:val="22"/>
          <w:lang w:val="fr-FR"/>
        </w:rPr>
        <w:t xml:space="preserve"> de </w:t>
      </w:r>
      <w:r w:rsidR="00301A16" w:rsidRPr="00970BC4">
        <w:rPr>
          <w:color w:val="000000"/>
          <w:szCs w:val="22"/>
          <w:lang w:val="fr-FR"/>
        </w:rPr>
        <w:t xml:space="preserve">la </w:t>
      </w:r>
      <w:r w:rsidR="000B7246" w:rsidRPr="00970BC4">
        <w:rPr>
          <w:szCs w:val="22"/>
          <w:lang w:val="fr-FR"/>
        </w:rPr>
        <w:t>propriété intellectuelle</w:t>
      </w:r>
      <w:r w:rsidR="00301A16" w:rsidRPr="00970BC4">
        <w:rPr>
          <w:szCs w:val="22"/>
          <w:lang w:val="fr-FR"/>
        </w:rPr>
        <w:t>,</w:t>
      </w:r>
      <w:r w:rsidR="000B7246" w:rsidRPr="00970BC4">
        <w:rPr>
          <w:color w:val="000000"/>
          <w:szCs w:val="22"/>
          <w:lang w:val="fr-FR"/>
        </w:rPr>
        <w:t xml:space="preserve"> contribuer aux activités permanentes de l</w:t>
      </w:r>
      <w:r w:rsidR="00B45ACF" w:rsidRPr="00970BC4">
        <w:rPr>
          <w:color w:val="000000"/>
          <w:szCs w:val="22"/>
          <w:lang w:val="fr-FR"/>
        </w:rPr>
        <w:t>’</w:t>
      </w:r>
      <w:r w:rsidR="000B7246" w:rsidRPr="00970BC4">
        <w:rPr>
          <w:color w:val="000000"/>
          <w:szCs w:val="22"/>
          <w:lang w:val="fr-FR"/>
        </w:rPr>
        <w:t>OMPI en matière d</w:t>
      </w:r>
      <w:r w:rsidR="00B45ACF" w:rsidRPr="00970BC4">
        <w:rPr>
          <w:color w:val="000000"/>
          <w:szCs w:val="22"/>
          <w:lang w:val="fr-FR"/>
        </w:rPr>
        <w:t>’</w:t>
      </w:r>
      <w:r w:rsidR="000B7246" w:rsidRPr="00970BC4">
        <w:rPr>
          <w:color w:val="000000"/>
          <w:szCs w:val="22"/>
          <w:lang w:val="fr-FR"/>
        </w:rPr>
        <w:t xml:space="preserve">établissement de normes et aux autres initiatives de promotion du développement de la </w:t>
      </w:r>
      <w:r w:rsidR="000B7246" w:rsidRPr="00970BC4">
        <w:rPr>
          <w:szCs w:val="22"/>
          <w:lang w:val="fr-FR"/>
        </w:rPr>
        <w:t>propriété intellectuelle</w:t>
      </w:r>
      <w:r w:rsidR="000B7246" w:rsidRPr="00970BC4">
        <w:rPr>
          <w:color w:val="000000"/>
          <w:szCs w:val="22"/>
          <w:lang w:val="fr-FR"/>
        </w:rPr>
        <w:t>, notamment dans les domaines du droit d</w:t>
      </w:r>
      <w:r w:rsidR="00B45ACF" w:rsidRPr="00970BC4">
        <w:rPr>
          <w:color w:val="000000"/>
          <w:szCs w:val="22"/>
          <w:lang w:val="fr-FR"/>
        </w:rPr>
        <w:t>’</w:t>
      </w:r>
      <w:r w:rsidR="000B7246" w:rsidRPr="00970BC4">
        <w:rPr>
          <w:color w:val="000000"/>
          <w:szCs w:val="22"/>
          <w:lang w:val="fr-FR"/>
        </w:rPr>
        <w:t>auteur et des droits connexes, des brevets et des</w:t>
      </w:r>
      <w:r w:rsidR="00862710" w:rsidRPr="00970BC4">
        <w:rPr>
          <w:color w:val="000000"/>
          <w:szCs w:val="22"/>
          <w:lang w:val="fr-FR"/>
        </w:rPr>
        <w:t> </w:t>
      </w:r>
      <w:r w:rsidR="000B7246" w:rsidRPr="00970BC4">
        <w:rPr>
          <w:color w:val="000000"/>
          <w:szCs w:val="22"/>
          <w:lang w:val="fr-FR"/>
        </w:rPr>
        <w:t>marques;</w:t>
      </w:r>
    </w:p>
    <w:p w:rsidR="004D7FAF" w:rsidRPr="00970BC4" w:rsidRDefault="004D7FAF" w:rsidP="004270A7">
      <w:pPr>
        <w:pStyle w:val="a"/>
        <w:tabs>
          <w:tab w:val="left" w:pos="1134"/>
          <w:tab w:val="left" w:pos="4995"/>
        </w:tabs>
        <w:ind w:left="357"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667BA2" w:rsidP="004270A7">
      <w:pPr>
        <w:pStyle w:val="a"/>
        <w:numPr>
          <w:ilvl w:val="0"/>
          <w:numId w:val="7"/>
        </w:numPr>
        <w:tabs>
          <w:tab w:val="clear" w:pos="780"/>
          <w:tab w:val="left" w:pos="1134"/>
        </w:tabs>
        <w:ind w:left="0" w:firstLineChars="0" w:firstLine="54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Pour favoriser la création,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utilisation, la protection et la gestion de la propriété intellectuelle, notamment en ce qui concerne le droit 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auteur et les droits connexes, les brevets et les marques, le Bureau assurera la promotion des services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862710" w:rsidRPr="00970BC4">
        <w:rPr>
          <w:rFonts w:ascii="Arial" w:hAnsi="Arial" w:cs="Arial"/>
          <w:color w:val="000000"/>
          <w:sz w:val="22"/>
          <w:lang w:val="fr-FR"/>
        </w:rPr>
        <w:t>OMPI relatifs aux systèmes du </w:t>
      </w:r>
      <w:r w:rsidRPr="00970BC4">
        <w:rPr>
          <w:rFonts w:ascii="Arial" w:hAnsi="Arial" w:cs="Arial"/>
          <w:color w:val="000000"/>
          <w:sz w:val="22"/>
          <w:lang w:val="fr-FR"/>
        </w:rPr>
        <w:t>PCT, de Madrid, de La Haye et de Lisbonne, au droit 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3A47AE" w:rsidRPr="00970BC4">
        <w:rPr>
          <w:rFonts w:ascii="Arial" w:hAnsi="Arial" w:cs="Arial"/>
          <w:color w:val="000000"/>
          <w:sz w:val="22"/>
          <w:lang w:val="fr-FR"/>
        </w:rPr>
        <w:t>auteur et aux droits connexes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ainsi qu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aux autres droits de propriété intellectuelle, en coopération avec les autorités compétentes du Gouvernement;</w:t>
      </w:r>
    </w:p>
    <w:p w:rsidR="004D7FAF" w:rsidRPr="00970BC4" w:rsidRDefault="004D7FAF" w:rsidP="004270A7">
      <w:pPr>
        <w:pStyle w:val="a"/>
        <w:tabs>
          <w:tab w:val="left" w:pos="1134"/>
        </w:tabs>
        <w:ind w:left="357"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6F17B8" w:rsidP="004270A7">
      <w:pPr>
        <w:pStyle w:val="a"/>
        <w:numPr>
          <w:ilvl w:val="0"/>
          <w:numId w:val="7"/>
        </w:numPr>
        <w:tabs>
          <w:tab w:val="clear" w:pos="780"/>
          <w:tab w:val="left" w:pos="1134"/>
        </w:tabs>
        <w:ind w:left="0" w:firstLineChars="0" w:firstLine="54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 xml:space="preserve">Prêter </w:t>
      </w:r>
      <w:r w:rsidR="00667BA2" w:rsidRPr="00970BC4">
        <w:rPr>
          <w:rFonts w:ascii="Arial" w:hAnsi="Arial" w:cs="Arial"/>
          <w:color w:val="000000"/>
          <w:sz w:val="22"/>
          <w:lang w:val="fr-FR"/>
        </w:rPr>
        <w:t>assistance au traitement des demandes internationales déposées dans le</w:t>
      </w:r>
      <w:r w:rsidR="00862710" w:rsidRPr="00970BC4">
        <w:rPr>
          <w:rFonts w:ascii="Arial" w:hAnsi="Arial" w:cs="Arial"/>
          <w:color w:val="000000"/>
          <w:sz w:val="22"/>
          <w:lang w:val="fr-FR"/>
        </w:rPr>
        <w:t> cadre des systèmes du </w:t>
      </w:r>
      <w:r w:rsidR="00667BA2" w:rsidRPr="00970BC4">
        <w:rPr>
          <w:rFonts w:ascii="Arial" w:hAnsi="Arial" w:cs="Arial"/>
          <w:color w:val="000000"/>
          <w:sz w:val="22"/>
          <w:lang w:val="fr-FR"/>
        </w:rPr>
        <w:t>PCT, de Madrid et de La Haye par des déposants chinois;</w:t>
      </w:r>
    </w:p>
    <w:p w:rsidR="00862710" w:rsidRPr="00970BC4" w:rsidRDefault="00862710">
      <w:pPr>
        <w:rPr>
          <w:lang w:val="fr-FR"/>
        </w:rPr>
      </w:pPr>
      <w:r w:rsidRPr="00970BC4">
        <w:rPr>
          <w:lang w:val="fr-FR"/>
        </w:rPr>
        <w:br w:type="page"/>
      </w:r>
    </w:p>
    <w:p w:rsidR="004D7FAF" w:rsidRPr="00970BC4" w:rsidRDefault="00667BA2" w:rsidP="004270A7">
      <w:pPr>
        <w:pStyle w:val="a"/>
        <w:numPr>
          <w:ilvl w:val="0"/>
          <w:numId w:val="7"/>
        </w:numPr>
        <w:tabs>
          <w:tab w:val="clear" w:pos="780"/>
          <w:tab w:val="num" w:pos="1134"/>
        </w:tabs>
        <w:ind w:left="0" w:firstLineChars="0" w:firstLine="54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lastRenderedPageBreak/>
        <w:t xml:space="preserve">Évaluer les questions, opportunités et faits nouveaux susceptibles </w:t>
      </w:r>
      <w:r w:rsidR="006F17B8" w:rsidRPr="00970BC4">
        <w:rPr>
          <w:rFonts w:ascii="Arial" w:hAnsi="Arial" w:cs="Arial"/>
          <w:color w:val="000000"/>
          <w:sz w:val="22"/>
          <w:lang w:val="fr-FR"/>
        </w:rPr>
        <w:t>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6F17B8" w:rsidRPr="00970BC4">
        <w:rPr>
          <w:rFonts w:ascii="Arial" w:hAnsi="Arial" w:cs="Arial"/>
          <w:color w:val="000000"/>
          <w:sz w:val="22"/>
          <w:lang w:val="fr-FR"/>
        </w:rPr>
        <w:t>influer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sur les travaux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 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une manière générale et </w:t>
      </w:r>
      <w:r w:rsidR="006F17B8" w:rsidRPr="00970BC4">
        <w:rPr>
          <w:rFonts w:ascii="Arial" w:hAnsi="Arial" w:cs="Arial"/>
          <w:color w:val="000000"/>
          <w:sz w:val="22"/>
          <w:lang w:val="fr-FR"/>
        </w:rPr>
        <w:t xml:space="preserve">conseiller </w:t>
      </w:r>
      <w:r w:rsidRPr="00970BC4">
        <w:rPr>
          <w:rFonts w:ascii="Arial" w:hAnsi="Arial" w:cs="Arial"/>
          <w:color w:val="000000"/>
          <w:sz w:val="22"/>
          <w:lang w:val="fr-FR"/>
        </w:rPr>
        <w:t>le siège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 à cet égard.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071593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ARTICLE 2 : CAPACITÉ JURIDIQUE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071593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 xml:space="preserve">Aux fins du présent accord, le Bureau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 xml:space="preserve">OMPI 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est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réputé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être doté d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e la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personnalité juridique et jouit sur le territoire de la Chine de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capacité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juridique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nécessaire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pour exercer ses fonctions et remplir sa mission.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071593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ARTICLE 3 : PRIVILÈGES ET IMMUNITÉS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071593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Le Bureau jouit des privilèges et immunités semblables à ceux que la Chine accorde aux</w:t>
      </w:r>
      <w:r w:rsidR="00862710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bureaux des institutions spécialisées des Nations Unies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en Chine, qui sont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exposées dans</w:t>
      </w:r>
      <w:r w:rsidR="00862710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>le mémorandum relatif au présent accord.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071593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ARTICLE 4 : RÉMUNÉRATION DES FONCTIONNAIRES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071593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 prend à sa charge le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traitement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,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indemnités et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prestations et autres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 xml:space="preserve">frais 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logistiques connexes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d</w:t>
      </w:r>
      <w:r w:rsidRPr="00970BC4">
        <w:rPr>
          <w:rFonts w:ascii="Arial" w:hAnsi="Arial" w:cs="Arial"/>
          <w:color w:val="000000"/>
          <w:sz w:val="22"/>
          <w:lang w:val="fr-FR"/>
        </w:rPr>
        <w:t>e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 xml:space="preserve"> </w:t>
      </w:r>
      <w:r w:rsidRPr="00970BC4">
        <w:rPr>
          <w:rFonts w:ascii="Arial" w:hAnsi="Arial" w:cs="Arial"/>
          <w:color w:val="000000"/>
          <w:sz w:val="22"/>
          <w:lang w:val="fr-FR"/>
        </w:rPr>
        <w:t>s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es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 xml:space="preserve">fonctionnaires </w:t>
      </w:r>
      <w:r w:rsidRPr="00970BC4">
        <w:rPr>
          <w:rFonts w:ascii="Arial" w:hAnsi="Arial" w:cs="Arial"/>
          <w:color w:val="000000"/>
          <w:sz w:val="22"/>
          <w:lang w:val="fr-FR"/>
        </w:rPr>
        <w:t>affectés au Bureau, conformément à son Statut et règlement du</w:t>
      </w:r>
      <w:r w:rsidR="00862710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>personnel et à ses politiques en vigueur.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071593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sz w:val="22"/>
          <w:lang w:val="fr-FR"/>
        </w:rPr>
        <w:t xml:space="preserve">ARTICLE 5 : 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DEVOIRS </w:t>
      </w:r>
      <w:r w:rsidRPr="00970BC4">
        <w:rPr>
          <w:rFonts w:ascii="Arial" w:hAnsi="Arial" w:cs="Arial"/>
          <w:sz w:val="22"/>
          <w:lang w:val="fr-FR"/>
        </w:rPr>
        <w:t>DES FONCTIONNAIRES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377D6C" w:rsidP="00071593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Voués</w:t>
      </w:r>
      <w:r w:rsidR="00071593" w:rsidRPr="00970BC4">
        <w:rPr>
          <w:rFonts w:ascii="Arial" w:hAnsi="Arial" w:cs="Arial"/>
          <w:color w:val="000000"/>
          <w:sz w:val="22"/>
          <w:lang w:val="fr-FR"/>
        </w:rPr>
        <w:t xml:space="preserve"> à la coopération avec le Gouvernement, les fonctionnaires affectés au Bureau </w:t>
      </w:r>
      <w:r w:rsidRPr="00970BC4">
        <w:rPr>
          <w:rFonts w:ascii="Arial" w:hAnsi="Arial" w:cs="Arial"/>
          <w:color w:val="000000"/>
          <w:sz w:val="22"/>
          <w:lang w:val="fr-FR"/>
        </w:rPr>
        <w:t>s</w:t>
      </w:r>
      <w:r w:rsidR="00071593" w:rsidRPr="00970BC4">
        <w:rPr>
          <w:rFonts w:ascii="Arial" w:hAnsi="Arial" w:cs="Arial"/>
          <w:color w:val="000000"/>
          <w:sz w:val="22"/>
          <w:lang w:val="fr-FR"/>
        </w:rPr>
        <w:t xml:space="preserve">ont 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tenus </w:t>
      </w:r>
      <w:r w:rsidR="00071593" w:rsidRPr="00970BC4">
        <w:rPr>
          <w:rFonts w:ascii="Arial" w:hAnsi="Arial" w:cs="Arial"/>
          <w:color w:val="000000"/>
          <w:sz w:val="22"/>
          <w:lang w:val="fr-FR"/>
        </w:rPr>
        <w:t>de respecter la législation et la réglementation de la Chine et de s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071593" w:rsidRPr="00970BC4">
        <w:rPr>
          <w:rFonts w:ascii="Arial" w:hAnsi="Arial" w:cs="Arial"/>
          <w:color w:val="000000"/>
          <w:sz w:val="22"/>
          <w:lang w:val="fr-FR"/>
        </w:rPr>
        <w:t>abstenir de toute ingérence dans les affaires internes de la Chine.</w:t>
      </w:r>
    </w:p>
    <w:p w:rsidR="004D7FAF" w:rsidRPr="00970BC4" w:rsidRDefault="004D7FAF" w:rsidP="00AA0ECC">
      <w:pPr>
        <w:pStyle w:val="a"/>
        <w:ind w:left="357"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D7FAF" w:rsidP="00AA0ECC">
      <w:pPr>
        <w:pStyle w:val="a"/>
        <w:ind w:left="357"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9446D4" w:rsidP="009446D4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ARTICLE 6 : LOCAUX ET ÉQUIPEMENT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9446D4" w:rsidP="004270A7">
      <w:pPr>
        <w:pStyle w:val="a"/>
        <w:numPr>
          <w:ilvl w:val="0"/>
          <w:numId w:val="8"/>
        </w:numPr>
        <w:tabs>
          <w:tab w:val="left" w:pos="1134"/>
        </w:tabs>
        <w:ind w:left="0" w:firstLineChars="0" w:firstLine="567"/>
        <w:jc w:val="left"/>
        <w:rPr>
          <w:rFonts w:ascii="Arial" w:hAnsi="Arial" w:cs="Arial"/>
          <w:i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Le Gouvernement met à la disposition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OMPI des locaux appropriés à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usage du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Bureau et prend à sa charge le coût de 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 xml:space="preserve">la </w:t>
      </w:r>
      <w:r w:rsidRPr="00970BC4">
        <w:rPr>
          <w:rFonts w:ascii="Arial" w:hAnsi="Arial" w:cs="Arial"/>
          <w:color w:val="000000"/>
          <w:sz w:val="22"/>
          <w:lang w:val="fr-FR"/>
        </w:rPr>
        <w:t>location ainsi que les charges et frais 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entretien de ces locaux (dont les modalités détaillées sont indiquées dans le mémorandum relatif au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>présent accord), étant entendu que la mise à disposition de ces locaux ne confère à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OMPI </w:t>
      </w:r>
      <w:r w:rsidR="00B26489" w:rsidRPr="00970BC4">
        <w:rPr>
          <w:rFonts w:ascii="Arial" w:hAnsi="Arial" w:cs="Arial"/>
          <w:color w:val="000000"/>
          <w:sz w:val="22"/>
          <w:lang w:val="fr-FR"/>
        </w:rPr>
        <w:t xml:space="preserve">aucun </w:t>
      </w:r>
      <w:r w:rsidR="00377D6C" w:rsidRPr="00970BC4">
        <w:rPr>
          <w:rFonts w:ascii="Arial" w:hAnsi="Arial" w:cs="Arial"/>
          <w:color w:val="000000"/>
          <w:sz w:val="22"/>
          <w:lang w:val="fr-FR"/>
        </w:rPr>
        <w:t>droit de propriété sur ceux-ci</w:t>
      </w:r>
      <w:r w:rsidRPr="00970BC4">
        <w:rPr>
          <w:rFonts w:ascii="Arial" w:hAnsi="Arial" w:cs="Arial"/>
          <w:color w:val="000000"/>
          <w:sz w:val="22"/>
          <w:lang w:val="fr-FR"/>
        </w:rPr>
        <w:t>.</w:t>
      </w:r>
    </w:p>
    <w:p w:rsidR="004D7FAF" w:rsidRPr="00970BC4" w:rsidRDefault="004D7FAF" w:rsidP="004270A7">
      <w:pPr>
        <w:pStyle w:val="a"/>
        <w:tabs>
          <w:tab w:val="left" w:pos="1134"/>
        </w:tabs>
        <w:ind w:left="720" w:firstLineChars="0" w:firstLine="567"/>
        <w:jc w:val="left"/>
        <w:rPr>
          <w:rFonts w:ascii="Arial" w:hAnsi="Arial" w:cs="Arial"/>
          <w:i/>
          <w:sz w:val="22"/>
          <w:lang w:val="fr-FR"/>
        </w:rPr>
      </w:pPr>
    </w:p>
    <w:p w:rsidR="004D7FAF" w:rsidRPr="00970BC4" w:rsidRDefault="003971BD" w:rsidP="004270A7">
      <w:pPr>
        <w:pStyle w:val="a"/>
        <w:numPr>
          <w:ilvl w:val="0"/>
          <w:numId w:val="8"/>
        </w:numPr>
        <w:tabs>
          <w:tab w:val="left" w:pos="1134"/>
        </w:tabs>
        <w:ind w:left="0" w:firstLineChars="0" w:firstLine="567"/>
        <w:jc w:val="left"/>
        <w:rPr>
          <w:rFonts w:ascii="Arial" w:hAnsi="Arial" w:cs="Arial"/>
          <w:i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Le Gouvernement prend à sa charge les coûts 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équipement de base liés à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établissement du Bureau, comprenant notamment le mobilier et le matériel informatique nécessaires pour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installation</w:t>
      </w:r>
      <w:r w:rsidR="00A0535E" w:rsidRPr="00970BC4">
        <w:rPr>
          <w:rFonts w:ascii="Arial" w:hAnsi="Arial" w:cs="Arial"/>
          <w:color w:val="000000"/>
          <w:sz w:val="22"/>
          <w:lang w:val="fr-FR"/>
        </w:rPr>
        <w:t xml:space="preserve"> et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le fonctionnement </w:t>
      </w:r>
      <w:r w:rsidR="00A0535E" w:rsidRPr="00970BC4">
        <w:rPr>
          <w:rFonts w:ascii="Arial" w:hAnsi="Arial" w:cs="Arial"/>
          <w:color w:val="000000"/>
          <w:sz w:val="22"/>
          <w:lang w:val="fr-FR"/>
        </w:rPr>
        <w:t xml:space="preserve">du Bureau ainsi que 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 xml:space="preserve">pour </w:t>
      </w:r>
      <w:r w:rsidR="00A0535E" w:rsidRPr="00970BC4">
        <w:rPr>
          <w:rFonts w:ascii="Arial" w:hAnsi="Arial" w:cs="Arial"/>
          <w:color w:val="000000"/>
          <w:sz w:val="22"/>
          <w:lang w:val="fr-FR"/>
        </w:rPr>
        <w:t>la réalisation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des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tâches </w:t>
      </w:r>
      <w:r w:rsidR="00A0535E" w:rsidRPr="00970BC4">
        <w:rPr>
          <w:rFonts w:ascii="Arial" w:hAnsi="Arial" w:cs="Arial"/>
          <w:color w:val="000000"/>
          <w:sz w:val="22"/>
          <w:lang w:val="fr-FR"/>
        </w:rPr>
        <w:t>qui lui incombent</w:t>
      </w:r>
      <w:r w:rsidRPr="00970BC4">
        <w:rPr>
          <w:rFonts w:ascii="Arial" w:hAnsi="Arial" w:cs="Arial"/>
          <w:color w:val="000000"/>
          <w:sz w:val="22"/>
          <w:lang w:val="fr-FR"/>
        </w:rPr>
        <w:t>.</w:t>
      </w:r>
    </w:p>
    <w:p w:rsidR="004D7FAF" w:rsidRPr="00970BC4" w:rsidRDefault="004D7FAF" w:rsidP="004270A7">
      <w:pPr>
        <w:pStyle w:val="ListParagraph"/>
        <w:tabs>
          <w:tab w:val="left" w:pos="1134"/>
        </w:tabs>
        <w:ind w:firstLine="567"/>
        <w:rPr>
          <w:i/>
          <w:lang w:val="fr-FR"/>
        </w:rPr>
      </w:pPr>
    </w:p>
    <w:p w:rsidR="004D7FAF" w:rsidRPr="00970BC4" w:rsidRDefault="008C51AB" w:rsidP="004270A7">
      <w:pPr>
        <w:pStyle w:val="a"/>
        <w:numPr>
          <w:ilvl w:val="0"/>
          <w:numId w:val="8"/>
        </w:numPr>
        <w:tabs>
          <w:tab w:val="left" w:pos="1134"/>
        </w:tabs>
        <w:ind w:left="0" w:firstLineChars="0" w:firstLine="567"/>
        <w:jc w:val="left"/>
        <w:rPr>
          <w:rFonts w:ascii="Arial" w:hAnsi="Arial" w:cs="Arial"/>
          <w:i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Le Gouvernement prend les dispositions appropriées pour assurer la sécurité du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> </w:t>
      </w:r>
      <w:r w:rsidRPr="00970BC4">
        <w:rPr>
          <w:rFonts w:ascii="Arial" w:hAnsi="Arial" w:cs="Arial"/>
          <w:color w:val="000000"/>
          <w:sz w:val="22"/>
          <w:lang w:val="fr-FR"/>
        </w:rPr>
        <w:t>Bureau.</w:t>
      </w:r>
    </w:p>
    <w:p w:rsidR="004D7FAF" w:rsidRPr="00970BC4" w:rsidRDefault="004D7FAF" w:rsidP="004270A7">
      <w:pPr>
        <w:pStyle w:val="a"/>
        <w:tabs>
          <w:tab w:val="left" w:pos="1134"/>
        </w:tabs>
        <w:ind w:firstLineChars="0" w:firstLine="567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8C51AB" w:rsidP="00B150FC">
      <w:pPr>
        <w:rPr>
          <w:lang w:val="fr-FR"/>
        </w:rPr>
      </w:pPr>
      <w:r w:rsidRPr="00970BC4">
        <w:rPr>
          <w:lang w:val="fr-FR"/>
        </w:rPr>
        <w:t>ARTICLE 7 : RÈGLEMENT DES DIFFÉRENDS</w:t>
      </w:r>
    </w:p>
    <w:p w:rsidR="004D7FAF" w:rsidRPr="00970BC4" w:rsidRDefault="004D7FAF" w:rsidP="00AA0ECC">
      <w:pPr>
        <w:rPr>
          <w:b/>
          <w:szCs w:val="22"/>
          <w:lang w:val="fr-FR"/>
        </w:rPr>
      </w:pPr>
    </w:p>
    <w:p w:rsidR="004D7FAF" w:rsidRPr="00970BC4" w:rsidRDefault="008C51AB" w:rsidP="008C51AB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 xml:space="preserve">Tout différend </w:t>
      </w:r>
      <w:r w:rsidR="00A0535E" w:rsidRPr="00970BC4">
        <w:rPr>
          <w:rFonts w:ascii="Arial" w:hAnsi="Arial" w:cs="Arial"/>
          <w:sz w:val="22"/>
          <w:lang w:val="fr-FR"/>
        </w:rPr>
        <w:t>concernant</w:t>
      </w:r>
      <w:r w:rsidRPr="00970BC4">
        <w:rPr>
          <w:rFonts w:ascii="Arial" w:hAnsi="Arial" w:cs="Arial"/>
          <w:sz w:val="22"/>
          <w:lang w:val="fr-FR"/>
        </w:rPr>
        <w:t xml:space="preserve"> présent accord est réglé à l</w:t>
      </w:r>
      <w:r w:rsidR="00B45ACF" w:rsidRPr="00970BC4">
        <w:rPr>
          <w:rFonts w:ascii="Arial" w:hAnsi="Arial" w:cs="Arial"/>
          <w:sz w:val="22"/>
          <w:lang w:val="fr-FR"/>
        </w:rPr>
        <w:t>’</w:t>
      </w:r>
      <w:r w:rsidRPr="00970BC4">
        <w:rPr>
          <w:rFonts w:ascii="Arial" w:hAnsi="Arial" w:cs="Arial"/>
          <w:sz w:val="22"/>
          <w:lang w:val="fr-FR"/>
        </w:rPr>
        <w:t>amiable par</w:t>
      </w:r>
      <w:r w:rsidR="00A0535E" w:rsidRPr="00970BC4">
        <w:rPr>
          <w:rFonts w:ascii="Arial" w:hAnsi="Arial" w:cs="Arial"/>
          <w:sz w:val="22"/>
          <w:lang w:val="fr-FR"/>
        </w:rPr>
        <w:t xml:space="preserve"> voie de négociation entre les P</w:t>
      </w:r>
      <w:r w:rsidRPr="00970BC4">
        <w:rPr>
          <w:rFonts w:ascii="Arial" w:hAnsi="Arial" w:cs="Arial"/>
          <w:sz w:val="22"/>
          <w:lang w:val="fr-FR"/>
        </w:rPr>
        <w:t>arties.</w:t>
      </w:r>
    </w:p>
    <w:p w:rsidR="004D7FAF" w:rsidRPr="00970BC4" w:rsidRDefault="004D7FAF" w:rsidP="00AA0ECC">
      <w:pPr>
        <w:rPr>
          <w:b/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26A6F" w:rsidP="00426A6F">
      <w:pPr>
        <w:keepNext/>
        <w:keepLines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lastRenderedPageBreak/>
        <w:t>ARTICLE 8 : DISPOSITIONS FINALES</w:t>
      </w:r>
    </w:p>
    <w:p w:rsidR="004D7FAF" w:rsidRPr="00970BC4" w:rsidRDefault="004D7FAF" w:rsidP="00AA0ECC">
      <w:pPr>
        <w:keepNext/>
        <w:keepLines/>
        <w:rPr>
          <w:szCs w:val="22"/>
          <w:lang w:val="fr-FR"/>
        </w:rPr>
      </w:pPr>
    </w:p>
    <w:p w:rsidR="004D7FAF" w:rsidRPr="00970BC4" w:rsidRDefault="00565074" w:rsidP="00426A6F">
      <w:pPr>
        <w:pStyle w:val="a"/>
        <w:keepNext/>
        <w:keepLines/>
        <w:numPr>
          <w:ilvl w:val="0"/>
          <w:numId w:val="9"/>
        </w:numPr>
        <w:ind w:firstLineChars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Les P</w:t>
      </w:r>
      <w:r w:rsidR="00426A6F" w:rsidRPr="00970BC4">
        <w:rPr>
          <w:rFonts w:ascii="Arial" w:hAnsi="Arial" w:cs="Arial"/>
          <w:color w:val="000000"/>
          <w:sz w:val="22"/>
          <w:lang w:val="fr-FR"/>
        </w:rPr>
        <w:t>arties conviennent que les dispositions finales du mémorandum relatif au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> </w:t>
      </w:r>
      <w:r w:rsidR="00426A6F" w:rsidRPr="00970BC4">
        <w:rPr>
          <w:rFonts w:ascii="Arial" w:hAnsi="Arial" w:cs="Arial"/>
          <w:color w:val="000000"/>
          <w:sz w:val="22"/>
          <w:lang w:val="fr-FR"/>
        </w:rPr>
        <w:t>présent accord seront arrêtées dès que possible après la signature du présent accord.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26A6F" w:rsidP="00426A6F">
      <w:pPr>
        <w:pStyle w:val="a"/>
        <w:numPr>
          <w:ilvl w:val="0"/>
          <w:numId w:val="9"/>
        </w:numPr>
        <w:ind w:firstLineChars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Le présent accord peut être modifié d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un commun accord par les Parties.</w:t>
      </w:r>
      <w:r w:rsidR="00AA0ECC" w:rsidRPr="00970BC4">
        <w:rPr>
          <w:rFonts w:ascii="Arial" w:hAnsi="Arial" w:cs="Arial"/>
          <w:sz w:val="22"/>
          <w:lang w:val="fr-FR"/>
        </w:rPr>
        <w:t xml:space="preserve">  </w:t>
      </w:r>
      <w:r w:rsidRPr="00970BC4">
        <w:rPr>
          <w:rFonts w:ascii="Arial" w:hAnsi="Arial" w:cs="Arial"/>
          <w:sz w:val="22"/>
          <w:lang w:val="fr-FR"/>
        </w:rPr>
        <w:t>Toute modification est sans préjudice des droits ou obligations pouvant exister avant la date d</w:t>
      </w:r>
      <w:r w:rsidR="00B45ACF" w:rsidRPr="00970BC4">
        <w:rPr>
          <w:rFonts w:ascii="Arial" w:hAnsi="Arial" w:cs="Arial"/>
          <w:sz w:val="22"/>
          <w:lang w:val="fr-FR"/>
        </w:rPr>
        <w:t>’</w:t>
      </w:r>
      <w:r w:rsidRPr="00970BC4">
        <w:rPr>
          <w:rFonts w:ascii="Arial" w:hAnsi="Arial" w:cs="Arial"/>
          <w:sz w:val="22"/>
          <w:lang w:val="fr-FR"/>
        </w:rPr>
        <w:t>entrée en vigueur de la modification.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26A6F" w:rsidP="00426A6F">
      <w:pPr>
        <w:pStyle w:val="a"/>
        <w:numPr>
          <w:ilvl w:val="0"/>
          <w:numId w:val="9"/>
        </w:numPr>
        <w:ind w:firstLineChars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Le présent accord entre en vigueur à la date de la dernière notification par laquelle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565074" w:rsidRPr="00970BC4">
        <w:rPr>
          <w:rFonts w:ascii="Arial" w:hAnsi="Arial" w:cs="Arial"/>
          <w:color w:val="000000"/>
          <w:sz w:val="22"/>
          <w:lang w:val="fr-FR"/>
        </w:rPr>
        <w:t>une des P</w:t>
      </w:r>
      <w:r w:rsidRPr="00970BC4">
        <w:rPr>
          <w:rFonts w:ascii="Arial" w:hAnsi="Arial" w:cs="Arial"/>
          <w:color w:val="000000"/>
          <w:sz w:val="22"/>
          <w:lang w:val="fr-FR"/>
        </w:rPr>
        <w:t>arties informe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autre par écrit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lang w:val="fr-FR"/>
        </w:rPr>
        <w:t>achèvement de ses procédures internes r</w:t>
      </w:r>
      <w:r w:rsidR="00565074" w:rsidRPr="00970BC4">
        <w:rPr>
          <w:rFonts w:ascii="Arial" w:hAnsi="Arial" w:cs="Arial"/>
          <w:color w:val="000000"/>
          <w:sz w:val="22"/>
          <w:lang w:val="fr-FR"/>
        </w:rPr>
        <w:t>espectives requises pour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565074" w:rsidRPr="00970BC4">
        <w:rPr>
          <w:rFonts w:ascii="Arial" w:hAnsi="Arial" w:cs="Arial"/>
          <w:color w:val="000000"/>
          <w:sz w:val="22"/>
          <w:lang w:val="fr-FR"/>
        </w:rPr>
        <w:t>entrée</w:t>
      </w:r>
      <w:r w:rsidRPr="00970BC4">
        <w:rPr>
          <w:rFonts w:ascii="Arial" w:hAnsi="Arial" w:cs="Arial"/>
          <w:color w:val="000000"/>
          <w:sz w:val="22"/>
          <w:lang w:val="fr-FR"/>
        </w:rPr>
        <w:t xml:space="preserve"> en vigueur du présent accord. 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26A6F" w:rsidP="00426A6F">
      <w:pPr>
        <w:pStyle w:val="a"/>
        <w:numPr>
          <w:ilvl w:val="0"/>
          <w:numId w:val="9"/>
        </w:numPr>
        <w:ind w:firstLineChars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Nonobstant les dispositions de l</w:t>
      </w:r>
      <w:r w:rsidR="00B45ACF" w:rsidRPr="00970BC4">
        <w:rPr>
          <w:rFonts w:ascii="Arial" w:hAnsi="Arial" w:cs="Arial"/>
          <w:color w:val="000000"/>
          <w:sz w:val="22"/>
          <w:lang w:val="fr-FR"/>
        </w:rPr>
        <w:t>’</w:t>
      </w:r>
      <w:r w:rsidR="00B150FC" w:rsidRPr="00970BC4">
        <w:rPr>
          <w:rFonts w:ascii="Arial" w:hAnsi="Arial" w:cs="Arial"/>
          <w:color w:val="000000"/>
          <w:sz w:val="22"/>
          <w:lang w:val="fr-FR"/>
        </w:rPr>
        <w:t>alinéa </w:t>
      </w:r>
      <w:r w:rsidRPr="00970BC4">
        <w:rPr>
          <w:rFonts w:ascii="Arial" w:hAnsi="Arial" w:cs="Arial"/>
          <w:color w:val="000000"/>
          <w:sz w:val="22"/>
          <w:lang w:val="fr-FR"/>
        </w:rPr>
        <w:t>3 du présent article, le présent accord est appli</w:t>
      </w:r>
      <w:r w:rsidR="00565074" w:rsidRPr="00970BC4">
        <w:rPr>
          <w:rFonts w:ascii="Arial" w:hAnsi="Arial" w:cs="Arial"/>
          <w:color w:val="000000"/>
          <w:sz w:val="22"/>
          <w:lang w:val="fr-FR"/>
        </w:rPr>
        <w:t>qué à titre provisoire par les P</w:t>
      </w:r>
      <w:r w:rsidRPr="00970BC4">
        <w:rPr>
          <w:rFonts w:ascii="Arial" w:hAnsi="Arial" w:cs="Arial"/>
          <w:color w:val="000000"/>
          <w:sz w:val="22"/>
          <w:lang w:val="fr-FR"/>
        </w:rPr>
        <w:t>arties à compter de la date de sa signature.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</w:p>
    <w:p w:rsidR="004D7FAF" w:rsidRPr="00970BC4" w:rsidRDefault="00426A6F" w:rsidP="00426A6F">
      <w:pPr>
        <w:widowControl w:val="0"/>
        <w:numPr>
          <w:ilvl w:val="0"/>
          <w:numId w:val="9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 présent accord reste en vigueur pendant six ans après son entrée en vigueur.</w:t>
      </w:r>
      <w:r w:rsidR="00AA0ECC" w:rsidRPr="00970BC4">
        <w:rPr>
          <w:szCs w:val="22"/>
          <w:lang w:val="fr-FR"/>
        </w:rPr>
        <w:t xml:space="preserve">  </w:t>
      </w:r>
      <w:r w:rsidR="00565074" w:rsidRPr="00970BC4">
        <w:rPr>
          <w:color w:val="000000"/>
          <w:szCs w:val="22"/>
          <w:lang w:val="fr-FR"/>
        </w:rPr>
        <w:t>Les P</w:t>
      </w:r>
      <w:r w:rsidRPr="00970BC4">
        <w:rPr>
          <w:color w:val="000000"/>
          <w:szCs w:val="22"/>
          <w:lang w:val="fr-FR"/>
        </w:rPr>
        <w:t>arties réexaminent le présent accord six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mois avant son expiration.</w:t>
      </w:r>
      <w:r w:rsidR="00AA0ECC" w:rsidRPr="00970BC4">
        <w:rPr>
          <w:szCs w:val="22"/>
          <w:lang w:val="fr-FR"/>
        </w:rPr>
        <w:t xml:space="preserve">  </w:t>
      </w:r>
      <w:r w:rsidRPr="00970BC4">
        <w:rPr>
          <w:color w:val="000000"/>
          <w:szCs w:val="22"/>
          <w:lang w:val="fr-FR"/>
        </w:rPr>
        <w:t>Le présent accord peut être prolongé par consente</w:t>
      </w:r>
      <w:r w:rsidR="00B150FC" w:rsidRPr="00970BC4">
        <w:rPr>
          <w:color w:val="000000"/>
          <w:szCs w:val="22"/>
          <w:lang w:val="fr-FR"/>
        </w:rPr>
        <w:t>ment mutuel par périodes de six </w:t>
      </w:r>
      <w:r w:rsidRPr="00970BC4">
        <w:rPr>
          <w:color w:val="000000"/>
          <w:szCs w:val="22"/>
          <w:lang w:val="fr-FR"/>
        </w:rPr>
        <w:t>ans successives.</w:t>
      </w:r>
      <w:r w:rsidR="00AA0ECC" w:rsidRPr="00970BC4">
        <w:rPr>
          <w:szCs w:val="22"/>
          <w:lang w:val="fr-FR"/>
        </w:rPr>
        <w:t xml:space="preserve">  </w:t>
      </w:r>
      <w:r w:rsidRPr="00970BC4">
        <w:rPr>
          <w:color w:val="000000"/>
          <w:szCs w:val="22"/>
          <w:lang w:val="fr-FR"/>
        </w:rPr>
        <w:t>Il peut être dénoncé par consentement mutuel.</w:t>
      </w:r>
    </w:p>
    <w:p w:rsidR="004D7FAF" w:rsidRPr="00970BC4" w:rsidRDefault="004D7FAF" w:rsidP="00AA0ECC">
      <w:pPr>
        <w:pStyle w:val="a"/>
        <w:ind w:firstLineChars="0" w:firstLine="0"/>
        <w:jc w:val="left"/>
        <w:rPr>
          <w:rFonts w:ascii="Arial" w:hAnsi="Arial" w:cs="Arial"/>
          <w:b/>
          <w:sz w:val="22"/>
          <w:lang w:val="fr-FR"/>
        </w:rPr>
      </w:pPr>
    </w:p>
    <w:p w:rsidR="004D7FAF" w:rsidRDefault="004D7FAF" w:rsidP="00AA0ECC">
      <w:pPr>
        <w:pStyle w:val="a"/>
        <w:ind w:firstLineChars="0" w:firstLine="0"/>
        <w:jc w:val="left"/>
        <w:rPr>
          <w:rFonts w:ascii="Arial" w:hAnsi="Arial" w:cs="Arial"/>
          <w:b/>
          <w:sz w:val="22"/>
          <w:lang w:val="fr-FR"/>
        </w:rPr>
      </w:pPr>
    </w:p>
    <w:p w:rsidR="004270A7" w:rsidRPr="00970BC4" w:rsidRDefault="004270A7" w:rsidP="00AA0ECC">
      <w:pPr>
        <w:pStyle w:val="a"/>
        <w:ind w:firstLineChars="0" w:firstLine="0"/>
        <w:jc w:val="left"/>
        <w:rPr>
          <w:rFonts w:ascii="Arial" w:hAnsi="Arial" w:cs="Arial"/>
          <w:b/>
          <w:sz w:val="22"/>
          <w:lang w:val="fr-FR"/>
        </w:rPr>
      </w:pPr>
    </w:p>
    <w:p w:rsidR="004D7FAF" w:rsidRPr="00970BC4" w:rsidRDefault="004D7FAF" w:rsidP="00AA0ECC">
      <w:pPr>
        <w:rPr>
          <w:b/>
          <w:kern w:val="2"/>
          <w:szCs w:val="22"/>
          <w:lang w:val="fr-FR"/>
        </w:rPr>
      </w:pPr>
    </w:p>
    <w:p w:rsidR="004D7FAF" w:rsidRPr="00970BC4" w:rsidRDefault="00B10DEB" w:rsidP="00B10DEB">
      <w:pPr>
        <w:pStyle w:val="a"/>
        <w:ind w:firstLineChars="0" w:firstLine="0"/>
        <w:jc w:val="left"/>
        <w:rPr>
          <w:rFonts w:ascii="Arial" w:hAnsi="Arial" w:cs="Arial"/>
          <w:sz w:val="22"/>
          <w:lang w:val="fr-FR"/>
        </w:rPr>
      </w:pPr>
      <w:r w:rsidRPr="00970BC4">
        <w:rPr>
          <w:rFonts w:ascii="Arial" w:hAnsi="Arial" w:cs="Arial"/>
          <w:color w:val="000000"/>
          <w:sz w:val="22"/>
          <w:lang w:val="fr-FR"/>
        </w:rPr>
        <w:t>CLAUSES DE TÉMOIN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B10DEB" w:rsidP="00B10DEB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Fait à Genève le</w:t>
      </w:r>
      <w:r w:rsidR="00B150FC" w:rsidRPr="00970BC4">
        <w:rPr>
          <w:color w:val="000000"/>
          <w:szCs w:val="22"/>
          <w:lang w:val="fr-FR"/>
        </w:rPr>
        <w:t xml:space="preserve"> 25 avril 2013, en deux </w:t>
      </w:r>
      <w:r w:rsidRPr="00970BC4">
        <w:rPr>
          <w:color w:val="000000"/>
          <w:szCs w:val="22"/>
          <w:lang w:val="fr-FR"/>
        </w:rPr>
        <w:t>exemplaires, en langues anglaise et chinoise, les deux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textes faisant également foi.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AA0ECC" w:rsidRPr="00970BC4" w:rsidRDefault="00AA0ECC" w:rsidP="00AA0ECC">
      <w:pPr>
        <w:rPr>
          <w:szCs w:val="22"/>
          <w:lang w:val="fr-FR"/>
        </w:rPr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94"/>
        <w:gridCol w:w="4766"/>
      </w:tblGrid>
      <w:tr w:rsidR="00AA0ECC" w:rsidRPr="004270A7" w:rsidTr="007B66E3">
        <w:trPr>
          <w:trHeight w:val="567"/>
        </w:trPr>
        <w:tc>
          <w:tcPr>
            <w:tcW w:w="4594" w:type="dxa"/>
            <w:tcMar>
              <w:top w:w="0" w:type="dxa"/>
              <w:left w:w="0" w:type="dxa"/>
              <w:bottom w:w="0" w:type="dxa"/>
              <w:right w:w="227" w:type="dxa"/>
            </w:tcMar>
            <w:hideMark/>
          </w:tcPr>
          <w:p w:rsidR="004D7FAF" w:rsidRPr="00970BC4" w:rsidRDefault="00B10DEB" w:rsidP="00B10DEB">
            <w:pPr>
              <w:keepNext/>
              <w:keepLines/>
              <w:rPr>
                <w:szCs w:val="22"/>
                <w:lang w:val="fr-FR"/>
              </w:rPr>
            </w:pPr>
            <w:r w:rsidRPr="00970BC4">
              <w:rPr>
                <w:szCs w:val="22"/>
                <w:lang w:val="fr-FR"/>
              </w:rPr>
              <w:t>Pour l</w:t>
            </w:r>
            <w:r w:rsidR="00B45ACF" w:rsidRPr="00970BC4">
              <w:rPr>
                <w:szCs w:val="22"/>
                <w:lang w:val="fr-FR"/>
              </w:rPr>
              <w:t>’</w:t>
            </w:r>
            <w:r w:rsidRPr="00970BC4">
              <w:rPr>
                <w:szCs w:val="22"/>
                <w:lang w:val="fr-FR"/>
              </w:rPr>
              <w:t xml:space="preserve">Organisation Mondiale de la </w:t>
            </w:r>
            <w:r w:rsidR="00565074" w:rsidRPr="00970BC4">
              <w:rPr>
                <w:szCs w:val="22"/>
                <w:lang w:val="fr-FR"/>
              </w:rPr>
              <w:br/>
            </w:r>
            <w:r w:rsidRPr="00970BC4">
              <w:rPr>
                <w:szCs w:val="22"/>
                <w:lang w:val="fr-FR"/>
              </w:rPr>
              <w:t>Propriété Intellectuelle (OMPI) :</w:t>
            </w:r>
          </w:p>
          <w:p w:rsidR="00AA0ECC" w:rsidRPr="00970BC4" w:rsidRDefault="00AA0ECC" w:rsidP="007B66E3">
            <w:pPr>
              <w:rPr>
                <w:szCs w:val="22"/>
                <w:lang w:val="fr-FR"/>
              </w:rPr>
            </w:pP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FAF" w:rsidRPr="00970BC4" w:rsidRDefault="00B10DEB" w:rsidP="004270A7">
            <w:pPr>
              <w:ind w:left="935"/>
              <w:rPr>
                <w:szCs w:val="22"/>
                <w:lang w:val="fr-FR"/>
              </w:rPr>
            </w:pPr>
            <w:r w:rsidRPr="00970BC4">
              <w:rPr>
                <w:color w:val="000000"/>
                <w:szCs w:val="22"/>
                <w:lang w:val="fr-FR"/>
              </w:rPr>
              <w:t>Pour le G</w:t>
            </w:r>
            <w:r w:rsidRPr="00970BC4">
              <w:rPr>
                <w:szCs w:val="22"/>
                <w:lang w:val="fr-FR"/>
              </w:rPr>
              <w:t xml:space="preserve">ouvernement de la </w:t>
            </w:r>
            <w:r w:rsidRPr="00970BC4">
              <w:rPr>
                <w:color w:val="000000"/>
                <w:szCs w:val="22"/>
                <w:lang w:val="fr-FR"/>
              </w:rPr>
              <w:t>R</w:t>
            </w:r>
            <w:r w:rsidRPr="00970BC4">
              <w:rPr>
                <w:szCs w:val="22"/>
                <w:lang w:val="fr-FR"/>
              </w:rPr>
              <w:t>épublique populaire de </w:t>
            </w:r>
            <w:r w:rsidRPr="00970BC4">
              <w:rPr>
                <w:color w:val="000000"/>
                <w:szCs w:val="22"/>
                <w:lang w:val="fr-FR"/>
              </w:rPr>
              <w:t>C</w:t>
            </w:r>
            <w:r w:rsidRPr="00970BC4">
              <w:rPr>
                <w:szCs w:val="22"/>
                <w:lang w:val="fr-FR"/>
              </w:rPr>
              <w:t>hine</w:t>
            </w:r>
            <w:r w:rsidR="00565074" w:rsidRPr="00970BC4">
              <w:rPr>
                <w:szCs w:val="22"/>
                <w:lang w:val="fr-FR"/>
              </w:rPr>
              <w:t> :</w:t>
            </w:r>
          </w:p>
          <w:p w:rsidR="00AA0ECC" w:rsidRPr="00970BC4" w:rsidRDefault="00AA0ECC" w:rsidP="004270A7">
            <w:pPr>
              <w:keepNext/>
              <w:keepLines/>
              <w:ind w:left="935"/>
              <w:rPr>
                <w:szCs w:val="22"/>
                <w:lang w:val="fr-FR"/>
              </w:rPr>
            </w:pPr>
          </w:p>
        </w:tc>
      </w:tr>
      <w:tr w:rsidR="00AA0ECC" w:rsidRPr="004270A7" w:rsidTr="007B66E3">
        <w:trPr>
          <w:trHeight w:hRule="exact" w:val="1418"/>
        </w:trPr>
        <w:tc>
          <w:tcPr>
            <w:tcW w:w="4594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AA0ECC" w:rsidRPr="00970BC4" w:rsidRDefault="00AA0ECC" w:rsidP="007B66E3">
            <w:pPr>
              <w:keepNext/>
              <w:keepLines/>
              <w:rPr>
                <w:caps/>
                <w:szCs w:val="22"/>
                <w:lang w:val="fr-FR"/>
              </w:rPr>
            </w:pP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ECC" w:rsidRPr="00970BC4" w:rsidRDefault="00AA0ECC" w:rsidP="004270A7">
            <w:pPr>
              <w:keepNext/>
              <w:keepLines/>
              <w:ind w:left="935"/>
              <w:rPr>
                <w:szCs w:val="22"/>
                <w:lang w:val="fr-FR"/>
              </w:rPr>
            </w:pPr>
          </w:p>
        </w:tc>
      </w:tr>
      <w:tr w:rsidR="00AA0ECC" w:rsidRPr="004270A7" w:rsidTr="007B66E3">
        <w:trPr>
          <w:trHeight w:val="567"/>
        </w:trPr>
        <w:tc>
          <w:tcPr>
            <w:tcW w:w="4590" w:type="dxa"/>
            <w:tcMar>
              <w:top w:w="0" w:type="dxa"/>
              <w:left w:w="0" w:type="dxa"/>
              <w:bottom w:w="0" w:type="dxa"/>
              <w:right w:w="227" w:type="dxa"/>
            </w:tcMar>
            <w:hideMark/>
          </w:tcPr>
          <w:p w:rsidR="004D7FAF" w:rsidRPr="00970BC4" w:rsidRDefault="00B10DEB" w:rsidP="00B10DEB">
            <w:pPr>
              <w:keepNext/>
              <w:keepLines/>
              <w:rPr>
                <w:rFonts w:eastAsia="Times New Roman"/>
                <w:szCs w:val="22"/>
                <w:lang w:val="fr-FR" w:eastAsia="en-US"/>
              </w:rPr>
            </w:pPr>
            <w:r w:rsidRPr="00970BC4">
              <w:rPr>
                <w:rFonts w:eastAsia="Times New Roman"/>
                <w:szCs w:val="22"/>
                <w:lang w:val="fr-FR" w:eastAsia="en-US"/>
              </w:rPr>
              <w:t>Francis Gurry</w:t>
            </w:r>
          </w:p>
          <w:p w:rsidR="00AA0ECC" w:rsidRPr="00970BC4" w:rsidRDefault="00B10DEB" w:rsidP="00B10DEB">
            <w:pPr>
              <w:rPr>
                <w:caps/>
                <w:szCs w:val="22"/>
                <w:lang w:val="fr-FR"/>
              </w:rPr>
            </w:pPr>
            <w:r w:rsidRPr="00970BC4">
              <w:rPr>
                <w:rFonts w:eastAsia="Times New Roman"/>
                <w:szCs w:val="22"/>
                <w:lang w:val="fr-FR" w:eastAsia="en-US"/>
              </w:rPr>
              <w:t>Directeur général</w:t>
            </w:r>
          </w:p>
        </w:tc>
        <w:tc>
          <w:tcPr>
            <w:tcW w:w="47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FAF" w:rsidRPr="00970BC4" w:rsidRDefault="00B10DEB" w:rsidP="004270A7">
            <w:pPr>
              <w:ind w:left="935"/>
              <w:rPr>
                <w:szCs w:val="22"/>
                <w:lang w:val="fr-FR"/>
              </w:rPr>
            </w:pPr>
            <w:r w:rsidRPr="00970BC4">
              <w:rPr>
                <w:color w:val="000000"/>
                <w:szCs w:val="22"/>
                <w:lang w:val="fr-FR"/>
              </w:rPr>
              <w:t>LIU Zhenmin</w:t>
            </w:r>
          </w:p>
          <w:p w:rsidR="00AA0ECC" w:rsidRPr="00970BC4" w:rsidRDefault="00B10DEB" w:rsidP="004270A7">
            <w:pPr>
              <w:ind w:left="935"/>
              <w:rPr>
                <w:caps/>
                <w:szCs w:val="22"/>
                <w:lang w:val="fr-FR"/>
              </w:rPr>
            </w:pPr>
            <w:r w:rsidRPr="00970BC4">
              <w:rPr>
                <w:color w:val="000000"/>
                <w:szCs w:val="22"/>
                <w:lang w:val="fr-FR"/>
              </w:rPr>
              <w:t xml:space="preserve">Ambassadeur et représentant permanent </w:t>
            </w:r>
          </w:p>
        </w:tc>
      </w:tr>
    </w:tbl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lang w:val="fr-FR"/>
        </w:rPr>
      </w:pPr>
    </w:p>
    <w:p w:rsidR="004D7FAF" w:rsidRPr="00970BC4" w:rsidRDefault="00B10DEB" w:rsidP="00B10DEB">
      <w:pPr>
        <w:pStyle w:val="Endofdocument-Annex"/>
        <w:rPr>
          <w:szCs w:val="22"/>
          <w:lang w:val="fr-FR"/>
        </w:rPr>
      </w:pPr>
      <w:r w:rsidRPr="00970BC4">
        <w:rPr>
          <w:lang w:val="fr-FR"/>
        </w:rPr>
        <w:t>[L</w:t>
      </w:r>
      <w:r w:rsidR="00B45ACF" w:rsidRPr="00970BC4">
        <w:rPr>
          <w:lang w:val="fr-FR"/>
        </w:rPr>
        <w:t>’</w:t>
      </w:r>
      <w:r w:rsidRPr="00970BC4">
        <w:rPr>
          <w:lang w:val="fr-FR"/>
        </w:rPr>
        <w:t>annexe II suit]</w:t>
      </w:r>
    </w:p>
    <w:p w:rsidR="00AA0ECC" w:rsidRPr="00970BC4" w:rsidRDefault="00AA0ECC" w:rsidP="00AA0ECC">
      <w:pPr>
        <w:rPr>
          <w:b/>
          <w:szCs w:val="22"/>
          <w:lang w:val="fr-FR"/>
        </w:rPr>
        <w:sectPr w:rsidR="00AA0ECC" w:rsidRPr="00970BC4" w:rsidSect="007D51F2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D7FAF" w:rsidRPr="00970BC4" w:rsidRDefault="00B150FC" w:rsidP="00B10DEB">
      <w:pPr>
        <w:spacing w:after="120"/>
        <w:rPr>
          <w:szCs w:val="22"/>
          <w:lang w:val="fr-FR"/>
        </w:rPr>
      </w:pPr>
      <w:r w:rsidRPr="00970BC4">
        <w:rPr>
          <w:szCs w:val="22"/>
          <w:lang w:val="fr-FR"/>
        </w:rPr>
        <w:lastRenderedPageBreak/>
        <w:t xml:space="preserve">ACCORD ENTRE </w:t>
      </w:r>
      <w:r w:rsidR="00B10DEB" w:rsidRPr="00970BC4">
        <w:rPr>
          <w:szCs w:val="22"/>
          <w:lang w:val="fr-FR"/>
        </w:rPr>
        <w:t>L</w:t>
      </w:r>
      <w:r w:rsidR="00B45ACF" w:rsidRPr="00970BC4">
        <w:rPr>
          <w:szCs w:val="22"/>
          <w:lang w:val="fr-FR"/>
        </w:rPr>
        <w:t>’</w:t>
      </w:r>
      <w:r w:rsidR="00B10DEB" w:rsidRPr="00970BC4">
        <w:rPr>
          <w:szCs w:val="22"/>
          <w:lang w:val="fr-FR"/>
        </w:rPr>
        <w:t>ORGANISATION MONDIALE DE LA PROPRIÉTÉ INTELLECTUELLE</w:t>
      </w:r>
    </w:p>
    <w:p w:rsidR="004D7FAF" w:rsidRPr="00970BC4" w:rsidRDefault="00B10DEB" w:rsidP="00B10DEB">
      <w:pPr>
        <w:spacing w:after="12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ET</w:t>
      </w:r>
    </w:p>
    <w:p w:rsidR="00B150FC" w:rsidRPr="00970BC4" w:rsidRDefault="00B10DEB" w:rsidP="00B150FC">
      <w:pPr>
        <w:spacing w:after="120"/>
        <w:rPr>
          <w:color w:val="000000"/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LE GOUVERNEMENT DE LA FÉDÉRATION DE RUSSIE CONCERNANT </w:t>
      </w:r>
    </w:p>
    <w:p w:rsidR="004D7FAF" w:rsidRPr="00970BC4" w:rsidRDefault="00B10DEB" w:rsidP="00B150FC">
      <w:pPr>
        <w:spacing w:after="12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ÉTABLISSEMENT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UN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B10DEB" w:rsidP="00B10DEB">
      <w:pPr>
        <w:spacing w:after="12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BUREAU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MONDIALE DE LA PROPRIÉTÉ INTELLECTUELLE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B10DEB" w:rsidP="00B10DEB">
      <w:pPr>
        <w:spacing w:after="12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EN FÉDÉRATION DE RUSSIE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B10DEB" w:rsidP="00B10DEB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Mondiale de la Propriété Intellectuelle et le Gouvernement de la Fédération de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 xml:space="preserve">Russie, ci-après dénommés </w:t>
      </w:r>
      <w:r w:rsidR="00B45ACF" w:rsidRPr="00970BC4">
        <w:rPr>
          <w:color w:val="000000"/>
          <w:szCs w:val="22"/>
          <w:lang w:val="fr-FR"/>
        </w:rPr>
        <w:t>“</w:t>
      </w:r>
      <w:r w:rsidRPr="00970BC4">
        <w:rPr>
          <w:color w:val="000000"/>
          <w:szCs w:val="22"/>
          <w:lang w:val="fr-FR"/>
        </w:rPr>
        <w:t>Parties</w:t>
      </w:r>
      <w:r w:rsidR="00B45ACF" w:rsidRPr="00970BC4">
        <w:rPr>
          <w:color w:val="000000"/>
          <w:szCs w:val="22"/>
          <w:lang w:val="fr-FR"/>
        </w:rPr>
        <w:t>”</w:t>
      </w:r>
      <w:r w:rsidRPr="00970BC4">
        <w:rPr>
          <w:color w:val="000000"/>
          <w:szCs w:val="22"/>
          <w:lang w:val="fr-FR"/>
        </w:rPr>
        <w:t xml:space="preserve">,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B10DEB" w:rsidP="00B10DEB">
      <w:pPr>
        <w:rPr>
          <w:szCs w:val="22"/>
          <w:lang w:val="fr-FR"/>
        </w:rPr>
      </w:pPr>
      <w:r w:rsidRPr="00970BC4">
        <w:rPr>
          <w:szCs w:val="22"/>
          <w:lang w:val="fr-FR"/>
        </w:rPr>
        <w:t xml:space="preserve">Conscients des </w:t>
      </w:r>
      <w:r w:rsidR="00206566" w:rsidRPr="00970BC4">
        <w:rPr>
          <w:szCs w:val="22"/>
          <w:lang w:val="fr-FR"/>
        </w:rPr>
        <w:t>avantages</w:t>
      </w:r>
      <w:r w:rsidRPr="00970BC4">
        <w:rPr>
          <w:szCs w:val="22"/>
          <w:lang w:val="fr-FR"/>
        </w:rPr>
        <w:t xml:space="preserve"> pouvant découler d</w:t>
      </w:r>
      <w:r w:rsidR="00B45ACF" w:rsidRPr="00970BC4">
        <w:rPr>
          <w:szCs w:val="22"/>
          <w:lang w:val="fr-FR"/>
        </w:rPr>
        <w:t>’</w:t>
      </w:r>
      <w:r w:rsidRPr="00970BC4">
        <w:rPr>
          <w:szCs w:val="22"/>
          <w:lang w:val="fr-FR"/>
        </w:rPr>
        <w:t>une coopération plus étroite entre les parties en</w:t>
      </w:r>
      <w:r w:rsidR="00B150FC" w:rsidRPr="00970BC4">
        <w:rPr>
          <w:szCs w:val="22"/>
          <w:lang w:val="fr-FR"/>
        </w:rPr>
        <w:t> </w:t>
      </w:r>
      <w:r w:rsidRPr="00970BC4">
        <w:rPr>
          <w:szCs w:val="22"/>
          <w:lang w:val="fr-FR"/>
        </w:rPr>
        <w:t xml:space="preserve">ce qui concerne la promotion du développement </w:t>
      </w:r>
      <w:r w:rsidRPr="00970BC4">
        <w:rPr>
          <w:color w:val="000000"/>
          <w:szCs w:val="22"/>
          <w:lang w:val="fr-FR"/>
        </w:rPr>
        <w:t xml:space="preserve">du système mondial </w:t>
      </w:r>
      <w:r w:rsidRPr="00970BC4">
        <w:rPr>
          <w:szCs w:val="22"/>
          <w:lang w:val="fr-FR"/>
        </w:rPr>
        <w:t>de la propriété intellectuelle,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FC4FC6" w:rsidP="00790F24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Considérant</w:t>
      </w:r>
      <w:r w:rsidR="00790F24" w:rsidRPr="00970BC4">
        <w:rPr>
          <w:color w:val="000000"/>
          <w:szCs w:val="22"/>
          <w:lang w:val="fr-FR"/>
        </w:rPr>
        <w:t xml:space="preserve"> que le Gouvernement de la Fédération de Russie </w:t>
      </w:r>
      <w:r w:rsidRPr="00970BC4">
        <w:rPr>
          <w:color w:val="000000"/>
          <w:szCs w:val="22"/>
          <w:lang w:val="fr-FR"/>
        </w:rPr>
        <w:t xml:space="preserve">souhaite </w:t>
      </w:r>
      <w:r w:rsidR="00790F24" w:rsidRPr="00970BC4">
        <w:rPr>
          <w:color w:val="000000"/>
          <w:szCs w:val="22"/>
          <w:lang w:val="fr-FR"/>
        </w:rPr>
        <w:t>que l</w:t>
      </w:r>
      <w:r w:rsidR="00B45ACF" w:rsidRPr="00970BC4">
        <w:rPr>
          <w:color w:val="000000"/>
          <w:szCs w:val="22"/>
          <w:lang w:val="fr-FR"/>
        </w:rPr>
        <w:t>’</w:t>
      </w:r>
      <w:r w:rsidR="00790F24" w:rsidRPr="00970BC4">
        <w:rPr>
          <w:color w:val="000000"/>
          <w:szCs w:val="22"/>
          <w:lang w:val="fr-FR"/>
        </w:rPr>
        <w:t>Organisation Mondiale de la Propriété Intellectuelle établisse un Bureau en Fédération de Russie (ci</w:t>
      </w:r>
      <w:r w:rsidR="00B150FC" w:rsidRPr="00970BC4">
        <w:rPr>
          <w:color w:val="000000"/>
          <w:szCs w:val="22"/>
          <w:lang w:val="fr-FR"/>
        </w:rPr>
        <w:noBreakHyphen/>
      </w:r>
      <w:r w:rsidR="00790F24" w:rsidRPr="00970BC4">
        <w:rPr>
          <w:color w:val="000000"/>
          <w:szCs w:val="22"/>
          <w:lang w:val="fr-FR"/>
        </w:rPr>
        <w:t xml:space="preserve">après dénommé </w:t>
      </w:r>
      <w:r w:rsidR="00B45ACF" w:rsidRPr="00970BC4">
        <w:rPr>
          <w:color w:val="000000"/>
          <w:szCs w:val="22"/>
          <w:lang w:val="fr-FR"/>
        </w:rPr>
        <w:t>“</w:t>
      </w:r>
      <w:r w:rsidR="00790F24" w:rsidRPr="00970BC4">
        <w:rPr>
          <w:color w:val="000000"/>
          <w:szCs w:val="22"/>
          <w:lang w:val="fr-FR"/>
        </w:rPr>
        <w:t>Bureau</w:t>
      </w:r>
      <w:r w:rsidR="00B45ACF" w:rsidRPr="00970BC4">
        <w:rPr>
          <w:color w:val="000000"/>
          <w:szCs w:val="22"/>
          <w:lang w:val="fr-FR"/>
        </w:rPr>
        <w:t>”</w:t>
      </w:r>
      <w:r w:rsidR="00790F24" w:rsidRPr="00970BC4">
        <w:rPr>
          <w:color w:val="000000"/>
          <w:szCs w:val="22"/>
          <w:lang w:val="fr-FR"/>
        </w:rPr>
        <w:t xml:space="preserve">) et </w:t>
      </w:r>
      <w:r w:rsidRPr="00970BC4">
        <w:rPr>
          <w:color w:val="000000"/>
          <w:szCs w:val="22"/>
          <w:lang w:val="fr-FR"/>
        </w:rPr>
        <w:t>qu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il est </w:t>
      </w:r>
      <w:r w:rsidR="00B150FC" w:rsidRPr="00970BC4">
        <w:rPr>
          <w:color w:val="000000"/>
          <w:szCs w:val="22"/>
          <w:lang w:val="fr-FR"/>
        </w:rPr>
        <w:t>résolu</w:t>
      </w:r>
      <w:r w:rsidR="00790F24" w:rsidRPr="00970BC4">
        <w:rPr>
          <w:color w:val="000000"/>
          <w:szCs w:val="22"/>
          <w:lang w:val="fr-FR"/>
        </w:rPr>
        <w:t xml:space="preserve"> </w:t>
      </w:r>
      <w:r w:rsidRPr="00970BC4">
        <w:rPr>
          <w:color w:val="000000"/>
          <w:szCs w:val="22"/>
          <w:lang w:val="fr-FR"/>
        </w:rPr>
        <w:t xml:space="preserve">à </w:t>
      </w:r>
      <w:r w:rsidR="00790F24" w:rsidRPr="00970BC4">
        <w:rPr>
          <w:color w:val="000000"/>
          <w:szCs w:val="22"/>
          <w:lang w:val="fr-FR"/>
        </w:rPr>
        <w:t xml:space="preserve">mettre à disposition les installations et </w:t>
      </w:r>
      <w:r w:rsidRPr="00970BC4">
        <w:rPr>
          <w:color w:val="000000"/>
          <w:szCs w:val="22"/>
          <w:lang w:val="fr-FR"/>
        </w:rPr>
        <w:t>à</w:t>
      </w:r>
      <w:r w:rsidR="00790F24" w:rsidRPr="00970BC4">
        <w:rPr>
          <w:color w:val="000000"/>
          <w:szCs w:val="22"/>
          <w:lang w:val="fr-FR"/>
        </w:rPr>
        <w:t xml:space="preserve"> réunir les</w:t>
      </w:r>
      <w:r w:rsidR="00B150FC" w:rsidRPr="00970BC4">
        <w:rPr>
          <w:color w:val="000000"/>
          <w:szCs w:val="22"/>
          <w:lang w:val="fr-FR"/>
        </w:rPr>
        <w:t> </w:t>
      </w:r>
      <w:r w:rsidR="00790F24" w:rsidRPr="00970BC4">
        <w:rPr>
          <w:color w:val="000000"/>
          <w:szCs w:val="22"/>
          <w:lang w:val="fr-FR"/>
        </w:rPr>
        <w:t xml:space="preserve">conditions nécessaires à cet effet,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A5ACE" w:rsidP="006A5ACE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Tenant compte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intérêt </w:t>
      </w:r>
      <w:r w:rsidR="00FC4FC6" w:rsidRPr="00970BC4">
        <w:rPr>
          <w:color w:val="000000"/>
          <w:szCs w:val="22"/>
          <w:lang w:val="fr-FR"/>
        </w:rPr>
        <w:t>que présente pour</w:t>
      </w:r>
      <w:r w:rsidRPr="00970BC4">
        <w:rPr>
          <w:color w:val="000000"/>
          <w:szCs w:val="22"/>
          <w:lang w:val="fr-FR"/>
        </w:rPr>
        <w:t xml:space="preserve">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Organisation Mondiale de la Propriété Intellectuelle (ci-après dénommée </w:t>
      </w:r>
      <w:r w:rsidR="00B45ACF" w:rsidRPr="00970BC4">
        <w:rPr>
          <w:color w:val="000000"/>
          <w:szCs w:val="22"/>
          <w:lang w:val="fr-FR"/>
        </w:rPr>
        <w:t>“</w:t>
      </w:r>
      <w:r w:rsidRPr="00970BC4">
        <w:rPr>
          <w:color w:val="000000"/>
          <w:szCs w:val="22"/>
          <w:lang w:val="fr-FR"/>
        </w:rPr>
        <w:t>Organisation</w:t>
      </w:r>
      <w:r w:rsidR="00B45ACF" w:rsidRPr="00970BC4">
        <w:rPr>
          <w:color w:val="000000"/>
          <w:szCs w:val="22"/>
          <w:lang w:val="fr-FR"/>
        </w:rPr>
        <w:t>”</w:t>
      </w:r>
      <w:r w:rsidRPr="00970BC4">
        <w:rPr>
          <w:color w:val="000000"/>
          <w:szCs w:val="22"/>
          <w:lang w:val="fr-FR"/>
        </w:rPr>
        <w:t xml:space="preserve">) </w:t>
      </w:r>
      <w:r w:rsidR="00FC4FC6"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="00FC4FC6" w:rsidRPr="00970BC4">
        <w:rPr>
          <w:color w:val="000000"/>
          <w:szCs w:val="22"/>
          <w:lang w:val="fr-FR"/>
        </w:rPr>
        <w:t xml:space="preserve">établissement </w:t>
      </w:r>
      <w:r w:rsidRPr="00970BC4">
        <w:rPr>
          <w:color w:val="000000"/>
          <w:szCs w:val="22"/>
          <w:lang w:val="fr-FR"/>
        </w:rPr>
        <w:t>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un Bureau à Moscou aux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 xml:space="preserve">fins de </w:t>
      </w:r>
      <w:r w:rsidR="00F867AD"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="00F867AD" w:rsidRPr="00970BC4">
        <w:rPr>
          <w:color w:val="000000"/>
          <w:szCs w:val="22"/>
          <w:lang w:val="fr-FR"/>
        </w:rPr>
        <w:t>accomplissement</w:t>
      </w:r>
      <w:r w:rsidRPr="00970BC4">
        <w:rPr>
          <w:color w:val="000000"/>
          <w:szCs w:val="22"/>
          <w:lang w:val="fr-FR"/>
        </w:rPr>
        <w:t xml:space="preserve"> de son mandat, notamment </w:t>
      </w:r>
      <w:r w:rsidR="00FC4FC6" w:rsidRPr="00970BC4">
        <w:rPr>
          <w:color w:val="000000"/>
          <w:szCs w:val="22"/>
          <w:lang w:val="fr-FR"/>
        </w:rPr>
        <w:t xml:space="preserve">en matière </w:t>
      </w:r>
      <w:r w:rsidRPr="00970BC4">
        <w:rPr>
          <w:color w:val="000000"/>
          <w:szCs w:val="22"/>
          <w:lang w:val="fr-FR"/>
        </w:rPr>
        <w:t>de promo</w:t>
      </w:r>
      <w:r w:rsidR="00FC4FC6" w:rsidRPr="00970BC4">
        <w:rPr>
          <w:color w:val="000000"/>
          <w:szCs w:val="22"/>
          <w:lang w:val="fr-FR"/>
        </w:rPr>
        <w:t xml:space="preserve">tion de </w:t>
      </w:r>
      <w:r w:rsidRPr="00970BC4">
        <w:rPr>
          <w:color w:val="000000"/>
          <w:szCs w:val="22"/>
          <w:lang w:val="fr-FR"/>
        </w:rPr>
        <w:t>la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protection de la propriété intellectuelle,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A5ACE" w:rsidP="006A5ACE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Considérant la législation et la réglementation de la Fédération de Russie qui confèrent des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privilèges et immunités aux organisations internationales,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B150FC" w:rsidP="006A5ACE">
      <w:pPr>
        <w:rPr>
          <w:szCs w:val="22"/>
          <w:lang w:val="fr-FR"/>
        </w:rPr>
      </w:pPr>
      <w:r w:rsidRPr="00970BC4">
        <w:rPr>
          <w:szCs w:val="22"/>
          <w:lang w:val="fr-FR"/>
        </w:rPr>
        <w:t>Sont convenus de ce qui suit </w:t>
      </w:r>
      <w:r w:rsidR="006A5ACE" w:rsidRPr="00970BC4">
        <w:rPr>
          <w:szCs w:val="22"/>
          <w:lang w:val="fr-FR"/>
        </w:rPr>
        <w:t>: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A5ACE" w:rsidP="006A5ACE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ARTICLE PREMIER : DISPOSITIONS GÉNÉRALES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A5ACE" w:rsidP="006A5ACE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établit le Bureau, auquel sont affectés des fonctionnaires nommés par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A5ACE" w:rsidP="006A5ACE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 Bureau s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acquitte de ses fonctions conformément au mandat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Organisation, notam</w:t>
      </w:r>
      <w:r w:rsidR="00B150FC" w:rsidRPr="00970BC4">
        <w:rPr>
          <w:color w:val="000000"/>
          <w:szCs w:val="22"/>
          <w:lang w:val="fr-FR"/>
        </w:rPr>
        <w:t>ment dans les domaines suivants </w:t>
      </w:r>
      <w:r w:rsidRPr="00970BC4">
        <w:rPr>
          <w:color w:val="000000"/>
          <w:szCs w:val="22"/>
          <w:lang w:val="fr-FR"/>
        </w:rPr>
        <w:t>:</w:t>
      </w:r>
    </w:p>
    <w:p w:rsidR="004D7FAF" w:rsidRPr="00970BC4" w:rsidRDefault="006A5ACE" w:rsidP="006A5ACE">
      <w:pPr>
        <w:numPr>
          <w:ilvl w:val="0"/>
          <w:numId w:val="10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services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appui aux systèmes mondiaux de propriété intellectuelle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Organisation;</w:t>
      </w:r>
    </w:p>
    <w:p w:rsidR="004D7FAF" w:rsidRPr="00970BC4" w:rsidRDefault="006A5ACE" w:rsidP="006A5ACE">
      <w:pPr>
        <w:numPr>
          <w:ilvl w:val="0"/>
          <w:numId w:val="10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prestation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assistance technique en rapport avec les programmes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relatifs 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infrastructure mondiale;</w:t>
      </w:r>
    </w:p>
    <w:p w:rsidR="004D7FAF" w:rsidRPr="00970BC4" w:rsidRDefault="006A5ACE" w:rsidP="006A5ACE">
      <w:pPr>
        <w:numPr>
          <w:ilvl w:val="0"/>
          <w:numId w:val="10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activités de renforcement des capacités dans le domaine de la propriété intellectuelle.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A5ACE" w:rsidP="006A5ACE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ARTICLE 2 : CONTRIBUTION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A5DEB" w:rsidP="004A5DEB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Organisation prend </w:t>
      </w:r>
      <w:r w:rsidR="00D757D6" w:rsidRPr="00970BC4">
        <w:rPr>
          <w:color w:val="000000"/>
          <w:szCs w:val="22"/>
          <w:lang w:val="fr-FR"/>
        </w:rPr>
        <w:t>en</w:t>
      </w:r>
      <w:r w:rsidRPr="00970BC4">
        <w:rPr>
          <w:color w:val="000000"/>
          <w:szCs w:val="22"/>
          <w:lang w:val="fr-FR"/>
        </w:rPr>
        <w:t xml:space="preserve"> charge les traitements, </w:t>
      </w:r>
      <w:r w:rsidR="00F867AD" w:rsidRPr="00970BC4">
        <w:rPr>
          <w:color w:val="000000"/>
          <w:szCs w:val="22"/>
          <w:lang w:val="fr-FR"/>
        </w:rPr>
        <w:t xml:space="preserve">indemnités et </w:t>
      </w:r>
      <w:r w:rsidRPr="00970BC4">
        <w:rPr>
          <w:color w:val="000000"/>
          <w:szCs w:val="22"/>
          <w:lang w:val="fr-FR"/>
        </w:rPr>
        <w:t xml:space="preserve">prestations de ses fonctionnaires </w:t>
      </w:r>
      <w:r w:rsidR="00D757D6" w:rsidRPr="00970BC4">
        <w:rPr>
          <w:color w:val="000000"/>
          <w:szCs w:val="22"/>
          <w:lang w:val="fr-FR"/>
        </w:rPr>
        <w:t xml:space="preserve">et du personnel recruté sur le plan local qui sont </w:t>
      </w:r>
      <w:r w:rsidRPr="00970BC4">
        <w:rPr>
          <w:color w:val="000000"/>
          <w:szCs w:val="22"/>
          <w:lang w:val="fr-FR"/>
        </w:rPr>
        <w:t xml:space="preserve">affectés au Bureau, ainsi que </w:t>
      </w:r>
      <w:r w:rsidR="00D757D6" w:rsidRPr="00970BC4">
        <w:rPr>
          <w:color w:val="000000"/>
          <w:szCs w:val="22"/>
          <w:lang w:val="fr-FR"/>
        </w:rPr>
        <w:t xml:space="preserve">les </w:t>
      </w:r>
      <w:r w:rsidRPr="00970BC4">
        <w:rPr>
          <w:color w:val="000000"/>
          <w:szCs w:val="22"/>
          <w:lang w:val="fr-FR"/>
        </w:rPr>
        <w:t xml:space="preserve">modalités de transport et de logement des fonctionnaires du Bureau en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 xml:space="preserve"> </w:t>
      </w:r>
      <w:r w:rsidR="00D757D6" w:rsidRPr="00970BC4">
        <w:rPr>
          <w:color w:val="000000"/>
          <w:szCs w:val="22"/>
          <w:lang w:val="fr-FR"/>
        </w:rPr>
        <w:t xml:space="preserve">et les </w:t>
      </w:r>
      <w:r w:rsidRPr="00970BC4">
        <w:rPr>
          <w:color w:val="000000"/>
          <w:szCs w:val="22"/>
          <w:lang w:val="fr-FR"/>
        </w:rPr>
        <w:t>coûts correspondants</w:t>
      </w:r>
      <w:r w:rsidR="00D757D6" w:rsidRPr="00970BC4">
        <w:rPr>
          <w:color w:val="000000"/>
          <w:szCs w:val="22"/>
          <w:lang w:val="fr-FR"/>
        </w:rPr>
        <w:t>,</w:t>
      </w:r>
      <w:r w:rsidRPr="00970BC4">
        <w:rPr>
          <w:color w:val="000000"/>
          <w:szCs w:val="22"/>
          <w:lang w:val="fr-FR"/>
        </w:rPr>
        <w:t xml:space="preserve"> conformément aux règles et normes établies par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Organisation. </w:t>
      </w:r>
    </w:p>
    <w:p w:rsidR="004D7FAF" w:rsidRPr="00970BC4" w:rsidRDefault="00AA0ECC" w:rsidP="00AA0ECC">
      <w:pPr>
        <w:rPr>
          <w:szCs w:val="22"/>
          <w:lang w:val="fr-FR"/>
        </w:rPr>
      </w:pPr>
      <w:r w:rsidRPr="00970BC4">
        <w:rPr>
          <w:szCs w:val="22"/>
          <w:lang w:val="fr-FR"/>
        </w:rPr>
        <w:br w:type="page"/>
      </w:r>
    </w:p>
    <w:p w:rsidR="004D7FAF" w:rsidRPr="00970BC4" w:rsidRDefault="004A5DEB" w:rsidP="004A5DEB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lastRenderedPageBreak/>
        <w:t>ARTICLE 3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: CONTRIBUTION DU GOUVERNEMENT DE LA FÉDÉRATION DE RUSSIE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A5DEB" w:rsidP="004A5DEB">
      <w:pPr>
        <w:numPr>
          <w:ilvl w:val="0"/>
          <w:numId w:val="11"/>
        </w:numPr>
        <w:ind w:left="0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Le Gouvernement de la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 xml:space="preserve"> met à la disposition du Bureau des locaux appropriés sur la base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un contrat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occupation à titre gracieux.</w:t>
      </w:r>
      <w:r w:rsidR="00AA0ECC" w:rsidRPr="00970BC4">
        <w:rPr>
          <w:szCs w:val="22"/>
          <w:lang w:val="fr-FR"/>
        </w:rPr>
        <w:t xml:space="preserve">  </w:t>
      </w:r>
      <w:r w:rsidRPr="00970BC4">
        <w:rPr>
          <w:color w:val="000000"/>
          <w:szCs w:val="22"/>
          <w:lang w:val="fr-FR"/>
        </w:rPr>
        <w:t xml:space="preserve">Le Gouvernement de la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 xml:space="preserve"> met également à la disposition du Bureau, à titre</w:t>
      </w:r>
      <w:r w:rsidR="00FE1B77" w:rsidRPr="00970BC4">
        <w:rPr>
          <w:color w:val="000000"/>
          <w:szCs w:val="22"/>
          <w:lang w:val="fr-FR"/>
        </w:rPr>
        <w:t xml:space="preserve"> gracieux, le mobilier, les</w:t>
      </w:r>
      <w:r w:rsidR="00B150FC" w:rsidRPr="00970BC4">
        <w:rPr>
          <w:color w:val="000000"/>
          <w:szCs w:val="22"/>
          <w:lang w:val="fr-FR"/>
        </w:rPr>
        <w:t> </w:t>
      </w:r>
      <w:r w:rsidR="00FE1B77" w:rsidRPr="00970BC4">
        <w:rPr>
          <w:color w:val="000000"/>
          <w:szCs w:val="22"/>
          <w:lang w:val="fr-FR"/>
        </w:rPr>
        <w:t>ser</w:t>
      </w:r>
      <w:r w:rsidRPr="00970BC4">
        <w:rPr>
          <w:color w:val="000000"/>
          <w:szCs w:val="22"/>
          <w:lang w:val="fr-FR"/>
        </w:rPr>
        <w:t>v</w:t>
      </w:r>
      <w:r w:rsidR="00FE1B77" w:rsidRPr="00970BC4">
        <w:rPr>
          <w:color w:val="000000"/>
          <w:szCs w:val="22"/>
          <w:lang w:val="fr-FR"/>
        </w:rPr>
        <w:t>ic</w:t>
      </w:r>
      <w:r w:rsidRPr="00970BC4">
        <w:rPr>
          <w:color w:val="000000"/>
          <w:szCs w:val="22"/>
          <w:lang w:val="fr-FR"/>
        </w:rPr>
        <w:t>es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entretien du matériel et des systèmes ainsi que les services de maintenance et de sécurité nécessaires pour permettre au Bureau de s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acquitter de ses fonctions.</w:t>
      </w:r>
      <w:r w:rsidR="00AA0ECC" w:rsidRPr="00970BC4">
        <w:rPr>
          <w:szCs w:val="22"/>
          <w:lang w:val="fr-FR"/>
        </w:rPr>
        <w:t xml:space="preserve"> 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CF3C5A" w:rsidP="00CF3C5A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 Gouvernement de la Fédération de Russie met à disposition les services publics, tels que eau, électricité, protection anti-incendie et autres, nécessaires pour permettre au Bureau de mener à bien ses activités.</w:t>
      </w:r>
      <w:r w:rsidR="00AA0ECC" w:rsidRPr="00970BC4">
        <w:rPr>
          <w:szCs w:val="22"/>
          <w:lang w:val="fr-FR"/>
        </w:rPr>
        <w:t xml:space="preserve">  </w:t>
      </w:r>
      <w:r w:rsidRPr="00970BC4">
        <w:rPr>
          <w:color w:val="000000"/>
          <w:szCs w:val="22"/>
          <w:lang w:val="fr-FR"/>
        </w:rPr>
        <w:t>Les biens meubles et immeubles appartenant à la Fédération de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 xml:space="preserve">Russie qui sont transférés au Bureau pour lui permettre </w:t>
      </w:r>
      <w:r w:rsidR="009B4F9B" w:rsidRPr="00970BC4">
        <w:rPr>
          <w:color w:val="000000"/>
          <w:szCs w:val="22"/>
          <w:lang w:val="fr-FR"/>
        </w:rPr>
        <w:t>de remplir</w:t>
      </w:r>
      <w:r w:rsidRPr="00970BC4">
        <w:rPr>
          <w:color w:val="000000"/>
          <w:szCs w:val="22"/>
          <w:lang w:val="fr-FR"/>
        </w:rPr>
        <w:t xml:space="preserve"> ses fonctions sont mis à disposition à titre temporaire et ne peuvent être aliénés sans le consentement du Gouvernement de la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>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B1968" w:rsidP="006B1968">
      <w:pPr>
        <w:numPr>
          <w:ilvl w:val="0"/>
          <w:numId w:val="11"/>
        </w:numPr>
        <w:tabs>
          <w:tab w:val="left" w:pos="724"/>
        </w:tabs>
        <w:ind w:left="0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 Gouvernement de la Fédération de Russie prête son concours au Bureau pour la</w:t>
      </w:r>
      <w:r w:rsidR="00B150FC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recherche ou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offre de locaux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habitation appropriés aux fonctionnaires du Bureau mais ne prend </w:t>
      </w:r>
      <w:r w:rsidR="00B150FC" w:rsidRPr="00970BC4">
        <w:rPr>
          <w:color w:val="000000"/>
          <w:szCs w:val="22"/>
          <w:lang w:val="fr-FR"/>
        </w:rPr>
        <w:t>en</w:t>
      </w:r>
      <w:r w:rsidRPr="00970BC4">
        <w:rPr>
          <w:color w:val="000000"/>
          <w:szCs w:val="22"/>
          <w:lang w:val="fr-FR"/>
        </w:rPr>
        <w:t xml:space="preserve"> charge aucun coût lié à la recherche et à la location de ces locaux.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B1968" w:rsidP="006B1968">
      <w:pPr>
        <w:rPr>
          <w:szCs w:val="22"/>
          <w:lang w:val="fr-FR"/>
        </w:rPr>
      </w:pPr>
      <w:r w:rsidRPr="00970BC4">
        <w:rPr>
          <w:szCs w:val="22"/>
          <w:lang w:val="fr-FR"/>
        </w:rPr>
        <w:t>ARTICLE 4</w:t>
      </w:r>
      <w:r w:rsidR="00B150FC" w:rsidRPr="00970BC4">
        <w:rPr>
          <w:szCs w:val="22"/>
          <w:lang w:val="fr-FR"/>
        </w:rPr>
        <w:t> </w:t>
      </w:r>
      <w:r w:rsidRPr="00970BC4">
        <w:rPr>
          <w:szCs w:val="22"/>
          <w:lang w:val="fr-FR"/>
        </w:rPr>
        <w:t>: CAPACITÉ JURIDIQUE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B1968" w:rsidP="006B1968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Aux fins du présent accord, le Bureau est </w:t>
      </w:r>
      <w:r w:rsidR="00265A43" w:rsidRPr="00970BC4">
        <w:rPr>
          <w:color w:val="000000"/>
          <w:szCs w:val="22"/>
          <w:lang w:val="fr-FR"/>
        </w:rPr>
        <w:t>réputé</w:t>
      </w:r>
      <w:r w:rsidRPr="00970BC4">
        <w:rPr>
          <w:color w:val="000000"/>
          <w:szCs w:val="22"/>
          <w:lang w:val="fr-FR"/>
        </w:rPr>
        <w:t xml:space="preserve"> être doté de </w:t>
      </w:r>
      <w:r w:rsidR="00265A43" w:rsidRPr="00970BC4">
        <w:rPr>
          <w:color w:val="000000"/>
          <w:szCs w:val="22"/>
          <w:lang w:val="fr-FR"/>
        </w:rPr>
        <w:t xml:space="preserve">la </w:t>
      </w:r>
      <w:r w:rsidRPr="00970BC4">
        <w:rPr>
          <w:color w:val="000000"/>
          <w:szCs w:val="22"/>
          <w:lang w:val="fr-FR"/>
        </w:rPr>
        <w:t xml:space="preserve">personnalité juridique et jouit sur le territoire de la </w:t>
      </w:r>
      <w:r w:rsidRPr="00970BC4">
        <w:rPr>
          <w:szCs w:val="22"/>
          <w:lang w:val="fr-FR"/>
        </w:rPr>
        <w:t xml:space="preserve">Fédération de Russie </w:t>
      </w:r>
      <w:r w:rsidRPr="00970BC4">
        <w:rPr>
          <w:color w:val="000000"/>
          <w:szCs w:val="22"/>
          <w:lang w:val="fr-FR"/>
        </w:rPr>
        <w:t>de</w:t>
      </w:r>
      <w:r w:rsidR="00265A43" w:rsidRPr="00970BC4">
        <w:rPr>
          <w:color w:val="000000"/>
          <w:szCs w:val="22"/>
          <w:lang w:val="fr-FR"/>
        </w:rPr>
        <w:t>s</w:t>
      </w:r>
      <w:r w:rsidRPr="00970BC4">
        <w:rPr>
          <w:color w:val="000000"/>
          <w:szCs w:val="22"/>
          <w:lang w:val="fr-FR"/>
        </w:rPr>
        <w:t xml:space="preserve"> capacité</w:t>
      </w:r>
      <w:r w:rsidR="00265A43" w:rsidRPr="00970BC4">
        <w:rPr>
          <w:color w:val="000000"/>
          <w:szCs w:val="22"/>
          <w:lang w:val="fr-FR"/>
        </w:rPr>
        <w:t>s</w:t>
      </w:r>
      <w:r w:rsidRPr="00970BC4">
        <w:rPr>
          <w:color w:val="000000"/>
          <w:szCs w:val="22"/>
          <w:lang w:val="fr-FR"/>
        </w:rPr>
        <w:t xml:space="preserve"> juridique</w:t>
      </w:r>
      <w:r w:rsidR="00265A43" w:rsidRPr="00970BC4">
        <w:rPr>
          <w:color w:val="000000"/>
          <w:szCs w:val="22"/>
          <w:lang w:val="fr-FR"/>
        </w:rPr>
        <w:t>s</w:t>
      </w:r>
      <w:r w:rsidRPr="00970BC4">
        <w:rPr>
          <w:color w:val="000000"/>
          <w:szCs w:val="22"/>
          <w:lang w:val="fr-FR"/>
        </w:rPr>
        <w:t xml:space="preserve"> nécessaire</w:t>
      </w:r>
      <w:r w:rsidR="00265A43" w:rsidRPr="00970BC4">
        <w:rPr>
          <w:color w:val="000000"/>
          <w:szCs w:val="22"/>
          <w:lang w:val="fr-FR"/>
        </w:rPr>
        <w:t>s</w:t>
      </w:r>
      <w:r w:rsidRPr="00970BC4">
        <w:rPr>
          <w:color w:val="000000"/>
          <w:szCs w:val="22"/>
          <w:lang w:val="fr-FR"/>
        </w:rPr>
        <w:t xml:space="preserve"> pour exercer ses fonctions et remplir sa mission, notamment :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B1968" w:rsidP="004270A7">
      <w:pPr>
        <w:numPr>
          <w:ilvl w:val="0"/>
          <w:numId w:val="12"/>
        </w:numPr>
        <w:tabs>
          <w:tab w:val="clear" w:pos="705"/>
        </w:tabs>
        <w:ind w:left="567" w:hanging="507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la capacité de conclure des contrats</w:t>
      </w:r>
      <w:r w:rsidRPr="00970BC4">
        <w:rPr>
          <w:szCs w:val="22"/>
          <w:lang w:val="fr-FR"/>
        </w:rPr>
        <w:t>;</w:t>
      </w:r>
    </w:p>
    <w:p w:rsidR="004D7FAF" w:rsidRPr="00970BC4" w:rsidRDefault="006B1968" w:rsidP="004270A7">
      <w:pPr>
        <w:numPr>
          <w:ilvl w:val="0"/>
          <w:numId w:val="12"/>
        </w:numPr>
        <w:tabs>
          <w:tab w:val="clear" w:pos="705"/>
        </w:tabs>
        <w:ind w:left="567" w:hanging="507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la capacité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acquérir et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aliéner des biens meubles et immeubles;</w:t>
      </w:r>
    </w:p>
    <w:p w:rsidR="004D7FAF" w:rsidRPr="00970BC4" w:rsidRDefault="006B1968" w:rsidP="004270A7">
      <w:pPr>
        <w:numPr>
          <w:ilvl w:val="0"/>
          <w:numId w:val="12"/>
        </w:numPr>
        <w:tabs>
          <w:tab w:val="clear" w:pos="705"/>
        </w:tabs>
        <w:ind w:left="567" w:hanging="507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la capacité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</w:t>
      </w:r>
      <w:r w:rsidRPr="00970BC4">
        <w:rPr>
          <w:szCs w:val="22"/>
          <w:lang w:val="fr-FR"/>
        </w:rPr>
        <w:t>ster en justice.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B150FC" w:rsidP="006B1968">
      <w:p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ARTICLE 5 </w:t>
      </w:r>
      <w:r w:rsidR="006B1968" w:rsidRPr="00970BC4">
        <w:rPr>
          <w:color w:val="000000"/>
          <w:szCs w:val="22"/>
          <w:lang w:val="fr-FR"/>
        </w:rPr>
        <w:t>: PRIVILÈGES ET IMMUNITÉS DE L</w:t>
      </w:r>
      <w:r w:rsidR="00B45ACF" w:rsidRPr="00970BC4">
        <w:rPr>
          <w:color w:val="000000"/>
          <w:szCs w:val="22"/>
          <w:lang w:val="fr-FR"/>
        </w:rPr>
        <w:t>’</w:t>
      </w:r>
      <w:r w:rsidR="006B1968" w:rsidRPr="00970BC4">
        <w:rPr>
          <w:color w:val="000000"/>
          <w:szCs w:val="22"/>
          <w:lang w:val="fr-FR"/>
        </w:rPr>
        <w:t>ORGANISATION ET DU BUREAU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B1968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En ce qui concerne ses communications officielles, le Bureau jouit sur le territoire de la Fédération de Russie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un traitement non moins favorable que celui accordé par la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 xml:space="preserve"> à </w:t>
      </w:r>
      <w:r w:rsidR="00265A43" w:rsidRPr="00970BC4">
        <w:rPr>
          <w:color w:val="000000"/>
          <w:szCs w:val="22"/>
          <w:lang w:val="fr-FR"/>
        </w:rPr>
        <w:t>toute autre organisation intergouvernementale</w:t>
      </w:r>
      <w:r w:rsidRPr="00970BC4">
        <w:rPr>
          <w:color w:val="000000"/>
          <w:szCs w:val="22"/>
          <w:lang w:val="fr-FR"/>
        </w:rPr>
        <w:t xml:space="preserve">, dans </w:t>
      </w:r>
      <w:r w:rsidR="00265A43" w:rsidRPr="00970BC4">
        <w:rPr>
          <w:color w:val="000000"/>
          <w:szCs w:val="22"/>
          <w:lang w:val="fr-FR"/>
        </w:rPr>
        <w:t xml:space="preserve">les limites du respect des </w:t>
      </w:r>
      <w:r w:rsidRPr="00970BC4">
        <w:rPr>
          <w:color w:val="000000"/>
          <w:szCs w:val="22"/>
          <w:lang w:val="fr-FR"/>
        </w:rPr>
        <w:t>règles du droit international.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4270A7">
      <w:pPr>
        <w:tabs>
          <w:tab w:val="num" w:pos="567"/>
        </w:tabs>
        <w:rPr>
          <w:szCs w:val="22"/>
          <w:lang w:val="fr-FR"/>
        </w:rPr>
      </w:pPr>
    </w:p>
    <w:p w:rsidR="004D7FAF" w:rsidRPr="00970BC4" w:rsidRDefault="006C118A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Organisation et le Bureau, sans être </w:t>
      </w:r>
      <w:r w:rsidR="00265A43" w:rsidRPr="00970BC4">
        <w:rPr>
          <w:color w:val="000000"/>
          <w:szCs w:val="22"/>
          <w:lang w:val="fr-FR"/>
        </w:rPr>
        <w:t xml:space="preserve">astreints à aucun </w:t>
      </w:r>
      <w:r w:rsidRPr="00970BC4">
        <w:rPr>
          <w:color w:val="000000"/>
          <w:szCs w:val="22"/>
          <w:lang w:val="fr-FR"/>
        </w:rPr>
        <w:t xml:space="preserve">contrôle, </w:t>
      </w:r>
      <w:r w:rsidR="00265A43" w:rsidRPr="00970BC4">
        <w:rPr>
          <w:color w:val="000000"/>
          <w:szCs w:val="22"/>
          <w:lang w:val="fr-FR"/>
        </w:rPr>
        <w:t xml:space="preserve">réglementation </w:t>
      </w:r>
      <w:r w:rsidRPr="00970BC4">
        <w:rPr>
          <w:color w:val="000000"/>
          <w:szCs w:val="22"/>
          <w:lang w:val="fr-FR"/>
        </w:rPr>
        <w:t>ou moratoire</w:t>
      </w:r>
      <w:r w:rsidR="00265A43" w:rsidRPr="00970BC4">
        <w:rPr>
          <w:color w:val="000000"/>
          <w:szCs w:val="22"/>
          <w:lang w:val="fr-FR"/>
        </w:rPr>
        <w:t xml:space="preserve"> financier</w:t>
      </w:r>
      <w:r w:rsidRPr="00970BC4">
        <w:rPr>
          <w:color w:val="000000"/>
          <w:szCs w:val="22"/>
          <w:lang w:val="fr-FR"/>
        </w:rPr>
        <w:t>, ont le droit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C118A" w:rsidP="004270A7">
      <w:pPr>
        <w:numPr>
          <w:ilvl w:val="0"/>
          <w:numId w:val="14"/>
        </w:numPr>
        <w:tabs>
          <w:tab w:val="clear" w:pos="722"/>
          <w:tab w:val="num" w:pos="1134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de détenir et utiliser des fonds,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or </w:t>
      </w:r>
      <w:r w:rsidR="00265A43" w:rsidRPr="00970BC4">
        <w:rPr>
          <w:color w:val="000000"/>
          <w:szCs w:val="22"/>
          <w:lang w:val="fr-FR"/>
        </w:rPr>
        <w:t>ou</w:t>
      </w:r>
      <w:r w:rsidRPr="00970BC4">
        <w:rPr>
          <w:color w:val="000000"/>
          <w:szCs w:val="22"/>
          <w:lang w:val="fr-FR"/>
        </w:rPr>
        <w:t xml:space="preserve"> de</w:t>
      </w:r>
      <w:r w:rsidR="00265A43" w:rsidRPr="00970BC4">
        <w:rPr>
          <w:color w:val="000000"/>
          <w:szCs w:val="22"/>
          <w:lang w:val="fr-FR"/>
        </w:rPr>
        <w:t>s</w:t>
      </w:r>
      <w:r w:rsidRPr="00970BC4">
        <w:rPr>
          <w:color w:val="000000"/>
          <w:szCs w:val="22"/>
          <w:lang w:val="fr-FR"/>
        </w:rPr>
        <w:t xml:space="preserve"> devises de toute</w:t>
      </w:r>
      <w:r w:rsidR="00265A43" w:rsidRPr="00970BC4">
        <w:rPr>
          <w:color w:val="000000"/>
          <w:szCs w:val="22"/>
          <w:lang w:val="fr-FR"/>
        </w:rPr>
        <w:t xml:space="preserve"> nature </w:t>
      </w:r>
      <w:r w:rsidRPr="00970BC4">
        <w:rPr>
          <w:color w:val="000000"/>
          <w:szCs w:val="22"/>
          <w:lang w:val="fr-FR"/>
        </w:rPr>
        <w:t>et de convertir toute devise en leur possession en toute autre monnaie;</w:t>
      </w:r>
    </w:p>
    <w:p w:rsidR="004D7FAF" w:rsidRPr="00970BC4" w:rsidRDefault="004D7FAF" w:rsidP="004270A7">
      <w:pPr>
        <w:tabs>
          <w:tab w:val="num" w:pos="1134"/>
        </w:tabs>
        <w:ind w:left="567"/>
        <w:rPr>
          <w:szCs w:val="22"/>
          <w:lang w:val="fr-FR"/>
        </w:rPr>
      </w:pPr>
    </w:p>
    <w:p w:rsidR="004D7FAF" w:rsidRPr="00970BC4" w:rsidRDefault="006C118A" w:rsidP="004270A7">
      <w:pPr>
        <w:numPr>
          <w:ilvl w:val="0"/>
          <w:numId w:val="14"/>
        </w:numPr>
        <w:tabs>
          <w:tab w:val="clear" w:pos="722"/>
          <w:tab w:val="num" w:pos="1134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de transférer leurs fonds, leur or ou leurs devises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un pays </w:t>
      </w:r>
      <w:r w:rsidR="00265A43" w:rsidRPr="00970BC4">
        <w:rPr>
          <w:color w:val="000000"/>
          <w:szCs w:val="22"/>
          <w:lang w:val="fr-FR"/>
        </w:rPr>
        <w:t xml:space="preserve">dans un </w:t>
      </w:r>
      <w:r w:rsidRPr="00970BC4">
        <w:rPr>
          <w:color w:val="000000"/>
          <w:szCs w:val="22"/>
          <w:lang w:val="fr-FR"/>
        </w:rPr>
        <w:t>autre ou 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intérieur du territoire de la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>;</w:t>
      </w:r>
    </w:p>
    <w:p w:rsidR="004D7FAF" w:rsidRPr="00970BC4" w:rsidRDefault="004D7FAF" w:rsidP="004270A7">
      <w:pPr>
        <w:tabs>
          <w:tab w:val="num" w:pos="1134"/>
        </w:tabs>
        <w:ind w:left="567"/>
        <w:rPr>
          <w:szCs w:val="22"/>
          <w:lang w:val="fr-FR"/>
        </w:rPr>
      </w:pPr>
    </w:p>
    <w:p w:rsidR="004D7FAF" w:rsidRPr="00970BC4" w:rsidRDefault="006C118A" w:rsidP="004270A7">
      <w:pPr>
        <w:numPr>
          <w:ilvl w:val="0"/>
          <w:numId w:val="14"/>
        </w:numPr>
        <w:tabs>
          <w:tab w:val="clear" w:pos="722"/>
          <w:tab w:val="num" w:pos="1134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de bénéficier du taux de change </w:t>
      </w:r>
      <w:r w:rsidR="00265A43" w:rsidRPr="00970BC4">
        <w:rPr>
          <w:color w:val="000000"/>
          <w:szCs w:val="22"/>
          <w:lang w:val="fr-FR"/>
        </w:rPr>
        <w:t xml:space="preserve">légal </w:t>
      </w:r>
      <w:r w:rsidRPr="00970BC4">
        <w:rPr>
          <w:color w:val="000000"/>
          <w:szCs w:val="22"/>
          <w:lang w:val="fr-FR"/>
        </w:rPr>
        <w:t>le plus favorable pour leurs transactions financières.</w:t>
      </w:r>
    </w:p>
    <w:p w:rsidR="004D7FAF" w:rsidRPr="00970BC4" w:rsidRDefault="00AA0ECC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szCs w:val="22"/>
          <w:lang w:val="fr-FR"/>
        </w:rPr>
        <w:br w:type="page"/>
      </w:r>
      <w:r w:rsidR="006C118A" w:rsidRPr="00970BC4">
        <w:rPr>
          <w:color w:val="000000"/>
          <w:szCs w:val="22"/>
          <w:lang w:val="fr-FR"/>
        </w:rPr>
        <w:lastRenderedPageBreak/>
        <w:t xml:space="preserve">Dans </w:t>
      </w:r>
      <w:r w:rsidR="00971836" w:rsidRPr="00970BC4">
        <w:rPr>
          <w:color w:val="000000"/>
          <w:szCs w:val="22"/>
          <w:lang w:val="fr-FR"/>
        </w:rPr>
        <w:t>l’exercice</w:t>
      </w:r>
      <w:r w:rsidR="006C118A" w:rsidRPr="00970BC4">
        <w:rPr>
          <w:color w:val="000000"/>
          <w:szCs w:val="22"/>
          <w:lang w:val="fr-FR"/>
        </w:rPr>
        <w:t xml:space="preserve"> des droits prévus à l</w:t>
      </w:r>
      <w:r w:rsidR="00B45ACF" w:rsidRPr="00970BC4">
        <w:rPr>
          <w:color w:val="000000"/>
          <w:szCs w:val="22"/>
          <w:lang w:val="fr-FR"/>
        </w:rPr>
        <w:t>’</w:t>
      </w:r>
      <w:r w:rsidR="00971836" w:rsidRPr="00970BC4">
        <w:rPr>
          <w:color w:val="000000"/>
          <w:szCs w:val="22"/>
          <w:lang w:val="fr-FR"/>
        </w:rPr>
        <w:t>alinéa </w:t>
      </w:r>
      <w:r w:rsidR="006C118A" w:rsidRPr="00970BC4">
        <w:rPr>
          <w:color w:val="000000"/>
          <w:szCs w:val="22"/>
          <w:lang w:val="fr-FR"/>
        </w:rPr>
        <w:t>2 du présent article, le Bureau tient dûment compte de tout</w:t>
      </w:r>
      <w:r w:rsidR="000503DC" w:rsidRPr="00970BC4">
        <w:rPr>
          <w:color w:val="000000"/>
          <w:szCs w:val="22"/>
          <w:lang w:val="fr-FR"/>
        </w:rPr>
        <w:t>e</w:t>
      </w:r>
      <w:r w:rsidR="006C118A" w:rsidRPr="00970BC4">
        <w:rPr>
          <w:color w:val="000000"/>
          <w:szCs w:val="22"/>
          <w:lang w:val="fr-FR"/>
        </w:rPr>
        <w:t xml:space="preserve"> </w:t>
      </w:r>
      <w:r w:rsidR="000503DC" w:rsidRPr="00970BC4">
        <w:rPr>
          <w:color w:val="000000"/>
          <w:szCs w:val="22"/>
          <w:lang w:val="fr-FR"/>
        </w:rPr>
        <w:t>représentation qui lui serait faite</w:t>
      </w:r>
      <w:r w:rsidR="006C118A" w:rsidRPr="00970BC4">
        <w:rPr>
          <w:color w:val="000000"/>
          <w:szCs w:val="22"/>
          <w:lang w:val="fr-FR"/>
        </w:rPr>
        <w:t xml:space="preserve"> par le </w:t>
      </w:r>
      <w:r w:rsidR="006C118A" w:rsidRPr="00970BC4">
        <w:rPr>
          <w:szCs w:val="22"/>
          <w:lang w:val="fr-FR"/>
        </w:rPr>
        <w:t>Gouvernement de la Fédération de Russie</w:t>
      </w:r>
      <w:r w:rsidR="006C118A" w:rsidRPr="00970BC4">
        <w:rPr>
          <w:color w:val="000000"/>
          <w:szCs w:val="22"/>
          <w:lang w:val="fr-FR"/>
        </w:rPr>
        <w:t xml:space="preserve"> </w:t>
      </w:r>
      <w:r w:rsidR="000503DC" w:rsidRPr="00970BC4">
        <w:rPr>
          <w:color w:val="000000"/>
          <w:szCs w:val="22"/>
          <w:lang w:val="fr-FR"/>
        </w:rPr>
        <w:t xml:space="preserve">dans la mesure où il estime pouvoir y donner suite sans porter </w:t>
      </w:r>
      <w:r w:rsidR="006C118A" w:rsidRPr="00970BC4">
        <w:rPr>
          <w:color w:val="000000"/>
          <w:szCs w:val="22"/>
          <w:lang w:val="fr-FR"/>
        </w:rPr>
        <w:t xml:space="preserve">préjudice </w:t>
      </w:r>
      <w:r w:rsidR="000503DC" w:rsidRPr="00970BC4">
        <w:rPr>
          <w:color w:val="000000"/>
          <w:szCs w:val="22"/>
          <w:lang w:val="fr-FR"/>
        </w:rPr>
        <w:t xml:space="preserve">à ses </w:t>
      </w:r>
      <w:r w:rsidR="006C118A" w:rsidRPr="00970BC4">
        <w:rPr>
          <w:color w:val="000000"/>
          <w:szCs w:val="22"/>
          <w:lang w:val="fr-FR"/>
        </w:rPr>
        <w:t>intérêts.</w:t>
      </w:r>
      <w:r w:rsidRPr="00970BC4">
        <w:rPr>
          <w:szCs w:val="22"/>
          <w:lang w:val="fr-FR"/>
        </w:rPr>
        <w:t xml:space="preserve">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FD63FC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Les avoirs, recettes et autres biens du Bureau sont exonérés de tout impôt direct (impôt sur le revenu et taxes immobilières).</w:t>
      </w:r>
      <w:r w:rsidR="00AA0ECC" w:rsidRPr="00970BC4">
        <w:rPr>
          <w:szCs w:val="22"/>
          <w:lang w:val="fr-FR"/>
        </w:rPr>
        <w:t xml:space="preserve"> </w:t>
      </w:r>
      <w:r w:rsidR="009E1636" w:rsidRPr="00970BC4">
        <w:rPr>
          <w:szCs w:val="22"/>
          <w:lang w:val="fr-FR"/>
        </w:rPr>
        <w:t xml:space="preserve"> </w:t>
      </w:r>
      <w:r w:rsidR="00D163CC" w:rsidRPr="00970BC4">
        <w:rPr>
          <w:color w:val="000000"/>
          <w:szCs w:val="22"/>
          <w:lang w:val="fr-FR"/>
        </w:rPr>
        <w:t>Toutefois, il est en</w:t>
      </w:r>
      <w:r w:rsidR="009E1636" w:rsidRPr="00970BC4">
        <w:rPr>
          <w:color w:val="000000"/>
          <w:szCs w:val="22"/>
          <w:lang w:val="fr-FR"/>
        </w:rPr>
        <w:t>tendu que le Bureau ne demande</w:t>
      </w:r>
      <w:r w:rsidR="00D163CC" w:rsidRPr="00970BC4">
        <w:rPr>
          <w:color w:val="000000"/>
          <w:szCs w:val="22"/>
          <w:lang w:val="fr-FR"/>
        </w:rPr>
        <w:t xml:space="preserve"> pas d</w:t>
      </w:r>
      <w:r w:rsidR="00B45ACF" w:rsidRPr="00970BC4">
        <w:rPr>
          <w:color w:val="000000"/>
          <w:szCs w:val="22"/>
          <w:lang w:val="fr-FR"/>
        </w:rPr>
        <w:t>’</w:t>
      </w:r>
      <w:r w:rsidR="00D163CC" w:rsidRPr="00970BC4">
        <w:rPr>
          <w:color w:val="000000"/>
          <w:szCs w:val="22"/>
          <w:lang w:val="fr-FR"/>
        </w:rPr>
        <w:t xml:space="preserve">exonération pour les services </w:t>
      </w:r>
      <w:r w:rsidR="00AA7C44" w:rsidRPr="00970BC4">
        <w:rPr>
          <w:color w:val="000000"/>
          <w:szCs w:val="22"/>
          <w:lang w:val="fr-FR"/>
        </w:rPr>
        <w:t>publics</w:t>
      </w:r>
      <w:r w:rsidR="009E1636" w:rsidRPr="00970BC4">
        <w:rPr>
          <w:color w:val="000000"/>
          <w:szCs w:val="22"/>
          <w:lang w:val="fr-FR"/>
        </w:rPr>
        <w:t xml:space="preserve"> </w:t>
      </w:r>
      <w:r w:rsidR="00D163CC" w:rsidRPr="00970BC4">
        <w:rPr>
          <w:color w:val="000000"/>
          <w:szCs w:val="22"/>
          <w:lang w:val="fr-FR"/>
        </w:rPr>
        <w:t>mentionnés à l</w:t>
      </w:r>
      <w:r w:rsidR="00B45ACF" w:rsidRPr="00970BC4">
        <w:rPr>
          <w:color w:val="000000"/>
          <w:szCs w:val="22"/>
          <w:lang w:val="fr-FR"/>
        </w:rPr>
        <w:t>’</w:t>
      </w:r>
      <w:r w:rsidR="00971836" w:rsidRPr="00970BC4">
        <w:rPr>
          <w:color w:val="000000"/>
          <w:szCs w:val="22"/>
          <w:lang w:val="fr-FR"/>
        </w:rPr>
        <w:t>alinéa </w:t>
      </w:r>
      <w:r w:rsidR="00D163CC" w:rsidRPr="00970BC4">
        <w:rPr>
          <w:color w:val="000000"/>
          <w:szCs w:val="22"/>
          <w:lang w:val="fr-FR"/>
        </w:rPr>
        <w:t>1 de l</w:t>
      </w:r>
      <w:r w:rsidR="00B45ACF" w:rsidRPr="00970BC4">
        <w:rPr>
          <w:color w:val="000000"/>
          <w:szCs w:val="22"/>
          <w:lang w:val="fr-FR"/>
        </w:rPr>
        <w:t>’</w:t>
      </w:r>
      <w:r w:rsidR="00971836" w:rsidRPr="00970BC4">
        <w:rPr>
          <w:color w:val="000000"/>
          <w:szCs w:val="22"/>
          <w:lang w:val="fr-FR"/>
        </w:rPr>
        <w:t>article </w:t>
      </w:r>
      <w:r w:rsidR="00D163CC" w:rsidRPr="00970BC4">
        <w:rPr>
          <w:color w:val="000000"/>
          <w:szCs w:val="22"/>
          <w:lang w:val="fr-FR"/>
        </w:rPr>
        <w:t xml:space="preserve">3 du présent accord qui </w:t>
      </w:r>
      <w:r w:rsidR="00AA7C44" w:rsidRPr="00970BC4">
        <w:rPr>
          <w:color w:val="000000"/>
          <w:szCs w:val="22"/>
          <w:lang w:val="fr-FR"/>
        </w:rPr>
        <w:t>sont assurés par une personne morale selon une grille de tarification détaillée</w:t>
      </w:r>
      <w:r w:rsidR="00D163CC" w:rsidRPr="00970BC4">
        <w:rPr>
          <w:color w:val="000000"/>
          <w:szCs w:val="22"/>
          <w:lang w:val="fr-FR"/>
        </w:rPr>
        <w:t>.</w:t>
      </w:r>
      <w:r w:rsidR="00AA0ECC" w:rsidRPr="00970BC4">
        <w:rPr>
          <w:szCs w:val="22"/>
          <w:lang w:val="fr-FR"/>
        </w:rPr>
        <w:t xml:space="preserve">  </w:t>
      </w:r>
      <w:r w:rsidR="00D163CC" w:rsidRPr="00970BC4">
        <w:rPr>
          <w:color w:val="000000"/>
          <w:szCs w:val="22"/>
          <w:lang w:val="fr-FR"/>
        </w:rPr>
        <w:t xml:space="preserve">Le Bureau est exonéré de taxe sur la valeur ajoutée </w:t>
      </w:r>
      <w:r w:rsidR="000C4F58" w:rsidRPr="00970BC4">
        <w:rPr>
          <w:color w:val="000000"/>
          <w:szCs w:val="22"/>
          <w:lang w:val="fr-FR"/>
        </w:rPr>
        <w:t>selon les</w:t>
      </w:r>
      <w:r w:rsidR="00D163CC" w:rsidRPr="00970BC4">
        <w:rPr>
          <w:color w:val="000000"/>
          <w:szCs w:val="22"/>
          <w:lang w:val="fr-FR"/>
        </w:rPr>
        <w:t xml:space="preserve"> conditions prévues par la législation de la</w:t>
      </w:r>
      <w:r w:rsidR="00971836" w:rsidRPr="00970BC4">
        <w:rPr>
          <w:color w:val="000000"/>
          <w:szCs w:val="22"/>
          <w:lang w:val="fr-FR"/>
        </w:rPr>
        <w:t> </w:t>
      </w:r>
      <w:r w:rsidR="00D163CC" w:rsidRPr="00970BC4">
        <w:rPr>
          <w:szCs w:val="22"/>
          <w:lang w:val="fr-FR"/>
        </w:rPr>
        <w:t>Fédération de Russie</w:t>
      </w:r>
      <w:r w:rsidR="00D163CC" w:rsidRPr="00970BC4">
        <w:rPr>
          <w:color w:val="000000"/>
          <w:szCs w:val="22"/>
          <w:lang w:val="fr-FR"/>
        </w:rPr>
        <w:t>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D163CC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et le Bureau sont exonérés des cotisation</w:t>
      </w:r>
      <w:r w:rsidR="008A30E5" w:rsidRPr="00970BC4">
        <w:rPr>
          <w:color w:val="000000"/>
          <w:szCs w:val="22"/>
          <w:lang w:val="fr-FR"/>
        </w:rPr>
        <w:t>s</w:t>
      </w:r>
      <w:r w:rsidRPr="00970BC4">
        <w:rPr>
          <w:color w:val="000000"/>
          <w:szCs w:val="22"/>
          <w:lang w:val="fr-FR"/>
        </w:rPr>
        <w:t xml:space="preserve"> </w:t>
      </w:r>
      <w:r w:rsidR="008A30E5" w:rsidRPr="00970BC4">
        <w:rPr>
          <w:color w:val="000000"/>
          <w:szCs w:val="22"/>
          <w:lang w:val="fr-FR"/>
        </w:rPr>
        <w:t>d</w:t>
      </w:r>
      <w:r w:rsidR="00B45ACF" w:rsidRPr="00970BC4">
        <w:rPr>
          <w:color w:val="000000"/>
          <w:szCs w:val="22"/>
          <w:lang w:val="fr-FR"/>
        </w:rPr>
        <w:t>’</w:t>
      </w:r>
      <w:r w:rsidR="008A30E5" w:rsidRPr="00970BC4">
        <w:rPr>
          <w:color w:val="000000"/>
          <w:szCs w:val="22"/>
          <w:lang w:val="fr-FR"/>
        </w:rPr>
        <w:t xml:space="preserve">employeur </w:t>
      </w:r>
      <w:r w:rsidRPr="00970BC4">
        <w:rPr>
          <w:color w:val="000000"/>
          <w:szCs w:val="22"/>
          <w:lang w:val="fr-FR"/>
        </w:rPr>
        <w:t>au régime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assurance </w:t>
      </w:r>
      <w:r w:rsidR="008A30E5" w:rsidRPr="00970BC4">
        <w:rPr>
          <w:color w:val="000000"/>
          <w:szCs w:val="22"/>
          <w:lang w:val="fr-FR"/>
        </w:rPr>
        <w:t xml:space="preserve">obligatoire </w:t>
      </w:r>
      <w:r w:rsidRPr="00970BC4">
        <w:rPr>
          <w:color w:val="000000"/>
          <w:szCs w:val="22"/>
          <w:lang w:val="fr-FR"/>
        </w:rPr>
        <w:t>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égard des fonctionnaires du Bureau qui sont couverts par les dispositions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relatives à la protection sociale.</w:t>
      </w:r>
      <w:r w:rsidR="00AA0ECC" w:rsidRPr="00970BC4">
        <w:rPr>
          <w:szCs w:val="22"/>
          <w:lang w:val="fr-FR"/>
        </w:rPr>
        <w:t xml:space="preserve">  </w:t>
      </w:r>
    </w:p>
    <w:p w:rsidR="004D7FAF" w:rsidRPr="00970BC4" w:rsidRDefault="004D7FAF" w:rsidP="004270A7">
      <w:pPr>
        <w:tabs>
          <w:tab w:val="num" w:pos="567"/>
        </w:tabs>
        <w:rPr>
          <w:szCs w:val="22"/>
          <w:lang w:val="fr-FR"/>
        </w:rPr>
      </w:pPr>
    </w:p>
    <w:p w:rsidR="004D7FAF" w:rsidRPr="00970BC4" w:rsidRDefault="00D163CC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Outres les exonérations octroyé</w:t>
      </w:r>
      <w:r w:rsidR="00971836" w:rsidRPr="00970BC4">
        <w:rPr>
          <w:color w:val="000000"/>
          <w:szCs w:val="22"/>
          <w:lang w:val="fr-FR"/>
        </w:rPr>
        <w:t>e</w:t>
      </w:r>
      <w:r w:rsidRPr="00970BC4">
        <w:rPr>
          <w:color w:val="000000"/>
          <w:szCs w:val="22"/>
          <w:lang w:val="fr-FR"/>
        </w:rPr>
        <w:t>s en vertu des alinéas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4 et 5 du présent article, le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Bureau bénéficie des exonérations p</w:t>
      </w:r>
      <w:r w:rsidR="00FE1B77" w:rsidRPr="00970BC4">
        <w:rPr>
          <w:color w:val="000000"/>
          <w:szCs w:val="22"/>
          <w:lang w:val="fr-FR"/>
        </w:rPr>
        <w:t>r</w:t>
      </w:r>
      <w:r w:rsidRPr="00970BC4">
        <w:rPr>
          <w:color w:val="000000"/>
          <w:szCs w:val="22"/>
          <w:lang w:val="fr-FR"/>
        </w:rPr>
        <w:t xml:space="preserve">évues </w:t>
      </w:r>
      <w:r w:rsidR="00816E0F" w:rsidRPr="00970BC4">
        <w:rPr>
          <w:color w:val="000000"/>
          <w:szCs w:val="22"/>
          <w:lang w:val="fr-FR"/>
        </w:rPr>
        <w:t>aux alinéas</w:t>
      </w:r>
      <w:r w:rsidRPr="00970BC4">
        <w:rPr>
          <w:color w:val="000000"/>
          <w:szCs w:val="22"/>
          <w:lang w:val="fr-FR"/>
        </w:rPr>
        <w:t xml:space="preserve"> b) et c) de </w:t>
      </w:r>
      <w:r w:rsidR="00980350" w:rsidRPr="00970BC4">
        <w:rPr>
          <w:color w:val="000000"/>
          <w:szCs w:val="22"/>
          <w:lang w:val="fr-FR"/>
        </w:rPr>
        <w:t>la section</w:t>
      </w:r>
      <w:r w:rsidRPr="00970BC4">
        <w:rPr>
          <w:color w:val="000000"/>
          <w:szCs w:val="22"/>
          <w:lang w:val="fr-FR"/>
        </w:rPr>
        <w:t xml:space="preserve"> 9 de la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Convention sur les privilèges et immunités des institutions spécialisées datée du 21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novembre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1947.</w:t>
      </w:r>
    </w:p>
    <w:p w:rsidR="004D7FAF" w:rsidRPr="00970BC4" w:rsidRDefault="004D7FAF" w:rsidP="004270A7">
      <w:pPr>
        <w:tabs>
          <w:tab w:val="num" w:pos="567"/>
        </w:tabs>
        <w:rPr>
          <w:szCs w:val="22"/>
          <w:lang w:val="fr-FR"/>
        </w:rPr>
      </w:pPr>
    </w:p>
    <w:p w:rsidR="004D7FAF" w:rsidRPr="00970BC4" w:rsidRDefault="00AD3ADA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Les biens et avoirs du Bureau, en quelque endroit qu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ils se trouvent et quel qu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en soit le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détenteur, ne peuvent faire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objet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aucune </w:t>
      </w:r>
      <w:r w:rsidR="008A30E5" w:rsidRPr="00970BC4">
        <w:rPr>
          <w:color w:val="000000"/>
          <w:szCs w:val="22"/>
          <w:lang w:val="fr-FR"/>
        </w:rPr>
        <w:t xml:space="preserve">mesure de </w:t>
      </w:r>
      <w:r w:rsidRPr="00970BC4">
        <w:rPr>
          <w:color w:val="000000"/>
          <w:szCs w:val="22"/>
          <w:lang w:val="fr-FR"/>
        </w:rPr>
        <w:t xml:space="preserve">perquisition, réquisition, </w:t>
      </w:r>
      <w:r w:rsidR="008A30E5" w:rsidRPr="00970BC4">
        <w:rPr>
          <w:color w:val="000000"/>
          <w:szCs w:val="22"/>
          <w:lang w:val="fr-FR"/>
        </w:rPr>
        <w:t>saisie, expropriation ou autre ni d</w:t>
      </w:r>
      <w:r w:rsidR="00B45ACF" w:rsidRPr="00970BC4">
        <w:rPr>
          <w:color w:val="000000"/>
          <w:szCs w:val="22"/>
          <w:lang w:val="fr-FR"/>
        </w:rPr>
        <w:t>’</w:t>
      </w:r>
      <w:r w:rsidR="008A30E5" w:rsidRPr="00970BC4">
        <w:rPr>
          <w:color w:val="000000"/>
          <w:szCs w:val="22"/>
          <w:lang w:val="fr-FR"/>
        </w:rPr>
        <w:t>a</w:t>
      </w:r>
      <w:r w:rsidRPr="00970BC4">
        <w:rPr>
          <w:color w:val="000000"/>
          <w:szCs w:val="22"/>
          <w:lang w:val="fr-FR"/>
        </w:rPr>
        <w:t>u</w:t>
      </w:r>
      <w:r w:rsidR="008A30E5" w:rsidRPr="00970BC4">
        <w:rPr>
          <w:color w:val="000000"/>
          <w:szCs w:val="22"/>
          <w:lang w:val="fr-FR"/>
        </w:rPr>
        <w:t>cune</w:t>
      </w:r>
      <w:r w:rsidRPr="00970BC4">
        <w:rPr>
          <w:color w:val="000000"/>
          <w:szCs w:val="22"/>
          <w:lang w:val="fr-FR"/>
        </w:rPr>
        <w:t xml:space="preserve"> forme de contrainte exécutive, administrative, judiciaire ou législative.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AD3ADA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Organisation, le Bureau et les fonctionnaires du Bureau sont </w:t>
      </w:r>
      <w:r w:rsidR="00971836" w:rsidRPr="00970BC4">
        <w:rPr>
          <w:color w:val="000000"/>
          <w:szCs w:val="22"/>
          <w:lang w:val="fr-FR"/>
        </w:rPr>
        <w:t>exonérés de</w:t>
      </w:r>
      <w:r w:rsidRPr="00970BC4">
        <w:rPr>
          <w:color w:val="000000"/>
          <w:szCs w:val="22"/>
          <w:lang w:val="fr-FR"/>
        </w:rPr>
        <w:t xml:space="preserve"> responsabilité civile en cas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atteinte à la vie, à la santé ou aux biens causée par un </w:t>
      </w:r>
      <w:r w:rsidR="008A30E5" w:rsidRPr="00970BC4">
        <w:rPr>
          <w:color w:val="000000"/>
          <w:szCs w:val="22"/>
          <w:lang w:val="fr-FR"/>
        </w:rPr>
        <w:t>moyen</w:t>
      </w:r>
      <w:r w:rsidRPr="00970BC4">
        <w:rPr>
          <w:color w:val="000000"/>
          <w:szCs w:val="22"/>
          <w:lang w:val="fr-FR"/>
        </w:rPr>
        <w:t xml:space="preserve"> de transport appartenant 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Organisation, au Bureau ou aux fonctionnaire</w:t>
      </w:r>
      <w:r w:rsidR="00971836" w:rsidRPr="00970BC4">
        <w:rPr>
          <w:color w:val="000000"/>
          <w:szCs w:val="22"/>
          <w:lang w:val="fr-FR"/>
        </w:rPr>
        <w:t>s du Bureau ou conduit par ceux</w:t>
      </w:r>
      <w:r w:rsidR="00971836" w:rsidRPr="00970BC4">
        <w:rPr>
          <w:color w:val="000000"/>
          <w:szCs w:val="22"/>
          <w:lang w:val="fr-FR"/>
        </w:rPr>
        <w:noBreakHyphen/>
      </w:r>
      <w:r w:rsidRPr="00970BC4">
        <w:rPr>
          <w:color w:val="000000"/>
          <w:szCs w:val="22"/>
          <w:lang w:val="fr-FR"/>
        </w:rPr>
        <w:t>ci.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4270A7">
      <w:pPr>
        <w:tabs>
          <w:tab w:val="num" w:pos="567"/>
        </w:tabs>
        <w:rPr>
          <w:szCs w:val="22"/>
          <w:lang w:val="fr-FR"/>
        </w:rPr>
      </w:pPr>
    </w:p>
    <w:p w:rsidR="004D7FAF" w:rsidRPr="00970BC4" w:rsidRDefault="00AD3ADA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Les locaux du Bureau sont inviolables.</w:t>
      </w:r>
      <w:r w:rsidR="00AA0ECC" w:rsidRPr="00970BC4">
        <w:rPr>
          <w:szCs w:val="22"/>
          <w:lang w:val="fr-FR"/>
        </w:rPr>
        <w:t xml:space="preserve">  </w:t>
      </w:r>
      <w:r w:rsidRPr="00970BC4">
        <w:rPr>
          <w:color w:val="000000"/>
          <w:szCs w:val="22"/>
          <w:lang w:val="fr-FR"/>
        </w:rPr>
        <w:t>Néanmoins, le directeur du Bureau a le droit et le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devoir de lever cette immunité dans tous les cas où, à son avis, celle-ci entraverait le cours de la justice et peut être levée sans porter préjudice au</w:t>
      </w:r>
      <w:r w:rsidR="008A30E5" w:rsidRPr="00970BC4">
        <w:rPr>
          <w:color w:val="000000"/>
          <w:szCs w:val="22"/>
          <w:lang w:val="fr-FR"/>
        </w:rPr>
        <w:t>x</w:t>
      </w:r>
      <w:r w:rsidRPr="00970BC4">
        <w:rPr>
          <w:color w:val="000000"/>
          <w:szCs w:val="22"/>
          <w:lang w:val="fr-FR"/>
        </w:rPr>
        <w:t xml:space="preserve"> </w:t>
      </w:r>
      <w:r w:rsidR="008A30E5" w:rsidRPr="00970BC4">
        <w:rPr>
          <w:color w:val="000000"/>
          <w:szCs w:val="22"/>
          <w:lang w:val="fr-FR"/>
        </w:rPr>
        <w:t xml:space="preserve">intérêts du </w:t>
      </w:r>
      <w:r w:rsidRPr="00970BC4">
        <w:rPr>
          <w:color w:val="000000"/>
          <w:szCs w:val="22"/>
          <w:lang w:val="fr-FR"/>
        </w:rPr>
        <w:t>Bureau.</w:t>
      </w:r>
      <w:r w:rsidR="00AA0ECC" w:rsidRPr="00970BC4">
        <w:rPr>
          <w:szCs w:val="22"/>
          <w:lang w:val="fr-FR"/>
        </w:rPr>
        <w:t xml:space="preserve"> </w:t>
      </w:r>
      <w:r w:rsidR="008A30E5" w:rsidRPr="00970BC4">
        <w:rPr>
          <w:szCs w:val="22"/>
          <w:lang w:val="fr-FR"/>
        </w:rPr>
        <w:t xml:space="preserve"> </w:t>
      </w:r>
      <w:r w:rsidRPr="00970BC4">
        <w:rPr>
          <w:color w:val="000000"/>
          <w:szCs w:val="22"/>
          <w:lang w:val="fr-FR"/>
        </w:rPr>
        <w:t xml:space="preserve">Les représentants du </w:t>
      </w:r>
      <w:r w:rsidRPr="00970BC4">
        <w:rPr>
          <w:szCs w:val="22"/>
          <w:lang w:val="fr-FR"/>
        </w:rPr>
        <w:t>Gouvernement de la Fédération de Russie</w:t>
      </w:r>
      <w:r w:rsidRPr="00970BC4">
        <w:rPr>
          <w:color w:val="000000"/>
          <w:szCs w:val="22"/>
          <w:lang w:val="fr-FR"/>
        </w:rPr>
        <w:t xml:space="preserve"> ne pénètrent dans les locaux du Bureau dans le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 xml:space="preserve">cadre de leurs fonctions officielles </w:t>
      </w:r>
      <w:r w:rsidR="008A30E5" w:rsidRPr="00970BC4">
        <w:rPr>
          <w:color w:val="000000"/>
          <w:szCs w:val="22"/>
          <w:lang w:val="fr-FR"/>
        </w:rPr>
        <w:t>qu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avec le consentement exprès du directeur du Bureau et aux conditions approuvées par lui.</w:t>
      </w:r>
      <w:r w:rsidR="00AA0ECC" w:rsidRPr="00970BC4">
        <w:rPr>
          <w:szCs w:val="22"/>
          <w:lang w:val="fr-FR"/>
        </w:rPr>
        <w:t xml:space="preserve">  </w:t>
      </w:r>
      <w:r w:rsidR="001C6DC1" w:rsidRPr="00970BC4">
        <w:rPr>
          <w:color w:val="000000"/>
          <w:szCs w:val="22"/>
          <w:lang w:val="fr-FR"/>
        </w:rPr>
        <w:t>Ce consentement n</w:t>
      </w:r>
      <w:r w:rsidR="00B45ACF" w:rsidRPr="00970BC4">
        <w:rPr>
          <w:color w:val="000000"/>
          <w:szCs w:val="22"/>
          <w:lang w:val="fr-FR"/>
        </w:rPr>
        <w:t>’</w:t>
      </w:r>
      <w:r w:rsidR="001C6DC1" w:rsidRPr="00970BC4">
        <w:rPr>
          <w:color w:val="000000"/>
          <w:szCs w:val="22"/>
          <w:lang w:val="fr-FR"/>
        </w:rPr>
        <w:t>est pas nécessaire en cas de catastrophe naturelle, d</w:t>
      </w:r>
      <w:r w:rsidR="00B45ACF" w:rsidRPr="00970BC4">
        <w:rPr>
          <w:color w:val="000000"/>
          <w:szCs w:val="22"/>
          <w:lang w:val="fr-FR"/>
        </w:rPr>
        <w:t>’</w:t>
      </w:r>
      <w:r w:rsidR="001C6DC1" w:rsidRPr="00970BC4">
        <w:rPr>
          <w:color w:val="000000"/>
          <w:szCs w:val="22"/>
          <w:lang w:val="fr-FR"/>
        </w:rPr>
        <w:t>incendie ou d</w:t>
      </w:r>
      <w:r w:rsidR="00B45ACF" w:rsidRPr="00970BC4">
        <w:rPr>
          <w:color w:val="000000"/>
          <w:szCs w:val="22"/>
          <w:lang w:val="fr-FR"/>
        </w:rPr>
        <w:t>’</w:t>
      </w:r>
      <w:r w:rsidR="001C6DC1" w:rsidRPr="00970BC4">
        <w:rPr>
          <w:color w:val="000000"/>
          <w:szCs w:val="22"/>
          <w:lang w:val="fr-FR"/>
        </w:rPr>
        <w:t>autres situations d</w:t>
      </w:r>
      <w:r w:rsidR="00B45ACF" w:rsidRPr="00970BC4">
        <w:rPr>
          <w:color w:val="000000"/>
          <w:szCs w:val="22"/>
          <w:lang w:val="fr-FR"/>
        </w:rPr>
        <w:t>’</w:t>
      </w:r>
      <w:r w:rsidR="001C6DC1" w:rsidRPr="00970BC4">
        <w:rPr>
          <w:color w:val="000000"/>
          <w:szCs w:val="22"/>
          <w:lang w:val="fr-FR"/>
        </w:rPr>
        <w:t>urgence mena</w:t>
      </w:r>
      <w:r w:rsidR="008A30E5" w:rsidRPr="00970BC4">
        <w:rPr>
          <w:color w:val="000000"/>
          <w:szCs w:val="22"/>
          <w:lang w:val="fr-FR"/>
        </w:rPr>
        <w:t>çant</w:t>
      </w:r>
      <w:r w:rsidR="001C6DC1" w:rsidRPr="00970BC4">
        <w:rPr>
          <w:color w:val="000000"/>
          <w:szCs w:val="22"/>
          <w:lang w:val="fr-FR"/>
        </w:rPr>
        <w:t xml:space="preserve"> directe</w:t>
      </w:r>
      <w:r w:rsidR="008A30E5" w:rsidRPr="00970BC4">
        <w:rPr>
          <w:color w:val="000000"/>
          <w:szCs w:val="22"/>
          <w:lang w:val="fr-FR"/>
        </w:rPr>
        <w:t>ment</w:t>
      </w:r>
      <w:r w:rsidR="001C6DC1" w:rsidRPr="00970BC4">
        <w:rPr>
          <w:color w:val="000000"/>
          <w:szCs w:val="22"/>
          <w:lang w:val="fr-FR"/>
        </w:rPr>
        <w:t xml:space="preserve"> et </w:t>
      </w:r>
      <w:r w:rsidR="008A30E5" w:rsidRPr="00970BC4">
        <w:rPr>
          <w:color w:val="000000"/>
          <w:szCs w:val="22"/>
          <w:lang w:val="fr-FR"/>
        </w:rPr>
        <w:t xml:space="preserve">sérieusement </w:t>
      </w:r>
      <w:r w:rsidR="001C6DC1" w:rsidRPr="00970BC4">
        <w:rPr>
          <w:color w:val="000000"/>
          <w:szCs w:val="22"/>
          <w:lang w:val="fr-FR"/>
        </w:rPr>
        <w:t xml:space="preserve">la sécurité des personnes qui se trouvent dans les locaux du Bureau, ainsi que les locaux et bâtiments situés dans le </w:t>
      </w:r>
      <w:r w:rsidR="008A30E5" w:rsidRPr="00970BC4">
        <w:rPr>
          <w:color w:val="000000"/>
          <w:szCs w:val="22"/>
          <w:lang w:val="fr-FR"/>
        </w:rPr>
        <w:t xml:space="preserve">périmètre </w:t>
      </w:r>
      <w:r w:rsidR="001C6DC1" w:rsidRPr="00970BC4">
        <w:rPr>
          <w:color w:val="000000"/>
          <w:szCs w:val="22"/>
          <w:lang w:val="fr-FR"/>
        </w:rPr>
        <w:t>immédiat.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C6DC1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Le </w:t>
      </w:r>
      <w:r w:rsidRPr="00970BC4">
        <w:rPr>
          <w:szCs w:val="22"/>
          <w:lang w:val="fr-FR"/>
        </w:rPr>
        <w:t>Gouvernement de la Fédération de Russie</w:t>
      </w:r>
      <w:r w:rsidRPr="00970BC4">
        <w:rPr>
          <w:color w:val="000000"/>
          <w:szCs w:val="22"/>
          <w:lang w:val="fr-FR"/>
        </w:rPr>
        <w:t xml:space="preserve"> prend les mesures appropriées pour assurer la protection du Bureau contre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entrée non autorisée de personnes ou de groupes de personnes extérieur</w:t>
      </w:r>
      <w:r w:rsidR="008A30E5" w:rsidRPr="00970BC4">
        <w:rPr>
          <w:color w:val="000000"/>
          <w:szCs w:val="22"/>
          <w:lang w:val="fr-FR"/>
        </w:rPr>
        <w:t>e</w:t>
      </w:r>
      <w:r w:rsidRPr="00970BC4">
        <w:rPr>
          <w:color w:val="000000"/>
          <w:szCs w:val="22"/>
          <w:lang w:val="fr-FR"/>
        </w:rPr>
        <w:t xml:space="preserve">s ou en cas de troubles dans le </w:t>
      </w:r>
      <w:r w:rsidR="008A30E5" w:rsidRPr="00970BC4">
        <w:rPr>
          <w:color w:val="000000"/>
          <w:szCs w:val="22"/>
          <w:lang w:val="fr-FR"/>
        </w:rPr>
        <w:t>périmètre</w:t>
      </w:r>
      <w:r w:rsidRPr="00970BC4">
        <w:rPr>
          <w:color w:val="000000"/>
          <w:szCs w:val="22"/>
          <w:lang w:val="fr-FR"/>
        </w:rPr>
        <w:t xml:space="preserve"> immédiat.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4270A7">
      <w:pPr>
        <w:tabs>
          <w:tab w:val="num" w:pos="567"/>
        </w:tabs>
        <w:rPr>
          <w:szCs w:val="22"/>
          <w:lang w:val="fr-FR"/>
        </w:rPr>
      </w:pPr>
    </w:p>
    <w:p w:rsidR="004D7FAF" w:rsidRPr="00970BC4" w:rsidRDefault="006B173D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Sans préjudice des dispositions de l</w:t>
      </w:r>
      <w:r w:rsidR="00B45ACF" w:rsidRPr="00970BC4">
        <w:rPr>
          <w:color w:val="000000"/>
          <w:szCs w:val="22"/>
          <w:lang w:val="fr-FR"/>
        </w:rPr>
        <w:t>’</w:t>
      </w:r>
      <w:r w:rsidR="00971836" w:rsidRPr="00970BC4">
        <w:rPr>
          <w:color w:val="000000"/>
          <w:szCs w:val="22"/>
          <w:lang w:val="fr-FR"/>
        </w:rPr>
        <w:t>alinéa </w:t>
      </w:r>
      <w:r w:rsidRPr="00970BC4">
        <w:rPr>
          <w:color w:val="000000"/>
          <w:szCs w:val="22"/>
          <w:lang w:val="fr-FR"/>
        </w:rPr>
        <w:t>9 du présent article,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et le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 xml:space="preserve">Bureau mettent tout en </w:t>
      </w:r>
      <w:r w:rsidR="00FE1B77" w:rsidRPr="00970BC4">
        <w:rPr>
          <w:color w:val="000000"/>
          <w:szCs w:val="22"/>
          <w:lang w:val="fr-FR"/>
        </w:rPr>
        <w:t>œuvre</w:t>
      </w:r>
      <w:r w:rsidRPr="00970BC4">
        <w:rPr>
          <w:color w:val="000000"/>
          <w:szCs w:val="22"/>
          <w:lang w:val="fr-FR"/>
        </w:rPr>
        <w:t xml:space="preserve"> pour </w:t>
      </w:r>
      <w:r w:rsidR="008A30E5" w:rsidRPr="00970BC4">
        <w:rPr>
          <w:color w:val="000000"/>
          <w:szCs w:val="22"/>
          <w:lang w:val="fr-FR"/>
        </w:rPr>
        <w:t>éviter</w:t>
      </w:r>
      <w:r w:rsidRPr="00970BC4">
        <w:rPr>
          <w:color w:val="000000"/>
          <w:szCs w:val="22"/>
          <w:lang w:val="fr-FR"/>
        </w:rPr>
        <w:t xml:space="preserve"> </w:t>
      </w:r>
      <w:r w:rsidR="008A30E5" w:rsidRPr="00970BC4">
        <w:rPr>
          <w:color w:val="000000"/>
          <w:szCs w:val="22"/>
          <w:lang w:val="fr-FR"/>
        </w:rPr>
        <w:t xml:space="preserve">que </w:t>
      </w:r>
      <w:r w:rsidRPr="00970BC4">
        <w:rPr>
          <w:color w:val="000000"/>
          <w:szCs w:val="22"/>
          <w:lang w:val="fr-FR"/>
        </w:rPr>
        <w:t>le Bureau serv</w:t>
      </w:r>
      <w:r w:rsidR="008A30E5" w:rsidRPr="00970BC4">
        <w:rPr>
          <w:color w:val="000000"/>
          <w:szCs w:val="22"/>
          <w:lang w:val="fr-FR"/>
        </w:rPr>
        <w:t>e</w:t>
      </w:r>
      <w:r w:rsidRPr="00970BC4">
        <w:rPr>
          <w:color w:val="000000"/>
          <w:szCs w:val="22"/>
          <w:lang w:val="fr-FR"/>
        </w:rPr>
        <w:t xml:space="preserve"> de refuge à des personnes qui tentent de se soustraire à une </w:t>
      </w:r>
      <w:r w:rsidR="008A30E5" w:rsidRPr="00970BC4">
        <w:rPr>
          <w:color w:val="000000"/>
          <w:szCs w:val="22"/>
          <w:lang w:val="fr-FR"/>
        </w:rPr>
        <w:t>mesure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arrestation</w:t>
      </w:r>
      <w:r w:rsidR="008A30E5" w:rsidRPr="00970BC4">
        <w:rPr>
          <w:color w:val="000000"/>
          <w:szCs w:val="22"/>
          <w:lang w:val="fr-FR"/>
        </w:rPr>
        <w:t xml:space="preserve"> ou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extradition ou à une autre procédure judiciaire ou </w:t>
      </w:r>
      <w:r w:rsidR="008A30E5" w:rsidRPr="00970BC4">
        <w:rPr>
          <w:color w:val="000000"/>
          <w:szCs w:val="22"/>
          <w:lang w:val="fr-FR"/>
        </w:rPr>
        <w:t xml:space="preserve">de se soustraire </w:t>
      </w:r>
      <w:r w:rsidRPr="00970BC4">
        <w:rPr>
          <w:color w:val="000000"/>
          <w:szCs w:val="22"/>
          <w:lang w:val="fr-FR"/>
        </w:rPr>
        <w:t>à leurs responsabilités en cas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infraction.</w:t>
      </w:r>
      <w:r w:rsidR="00AA0ECC" w:rsidRPr="00970BC4">
        <w:rPr>
          <w:szCs w:val="22"/>
          <w:lang w:val="fr-FR"/>
        </w:rPr>
        <w:t xml:space="preserve">  </w:t>
      </w:r>
    </w:p>
    <w:p w:rsidR="004D7FAF" w:rsidRPr="00970BC4" w:rsidRDefault="004D7FAF" w:rsidP="004270A7">
      <w:pPr>
        <w:tabs>
          <w:tab w:val="num" w:pos="567"/>
        </w:tabs>
        <w:rPr>
          <w:szCs w:val="22"/>
          <w:lang w:val="fr-FR"/>
        </w:rPr>
      </w:pPr>
    </w:p>
    <w:p w:rsidR="004D7FAF" w:rsidRPr="00970BC4" w:rsidRDefault="006B173D" w:rsidP="004270A7">
      <w:pPr>
        <w:numPr>
          <w:ilvl w:val="0"/>
          <w:numId w:val="13"/>
        </w:numPr>
        <w:tabs>
          <w:tab w:val="clear" w:pos="680"/>
          <w:tab w:val="num" w:pos="56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Les archives </w:t>
      </w:r>
      <w:r w:rsidRPr="00970BC4">
        <w:rPr>
          <w:szCs w:val="22"/>
          <w:lang w:val="fr-FR"/>
        </w:rPr>
        <w:t>du Bureau sont inviolables.</w:t>
      </w:r>
    </w:p>
    <w:p w:rsidR="004D7FAF" w:rsidRPr="00970BC4" w:rsidRDefault="00AA0ECC" w:rsidP="006B173D">
      <w:pPr>
        <w:rPr>
          <w:szCs w:val="22"/>
          <w:lang w:val="fr-FR"/>
        </w:rPr>
      </w:pPr>
      <w:r w:rsidRPr="00970BC4">
        <w:rPr>
          <w:szCs w:val="22"/>
          <w:lang w:val="fr-FR"/>
        </w:rPr>
        <w:br w:type="page"/>
      </w:r>
      <w:r w:rsidR="006B173D" w:rsidRPr="00970BC4">
        <w:rPr>
          <w:color w:val="000000"/>
          <w:szCs w:val="22"/>
          <w:lang w:val="fr-FR"/>
        </w:rPr>
        <w:lastRenderedPageBreak/>
        <w:t>ARTICLE 6</w:t>
      </w:r>
      <w:r w:rsidR="00971836" w:rsidRPr="00970BC4">
        <w:rPr>
          <w:color w:val="000000"/>
          <w:szCs w:val="22"/>
          <w:lang w:val="fr-FR"/>
        </w:rPr>
        <w:t> </w:t>
      </w:r>
      <w:r w:rsidR="006B173D" w:rsidRPr="00970BC4">
        <w:rPr>
          <w:color w:val="000000"/>
          <w:szCs w:val="22"/>
          <w:lang w:val="fr-FR"/>
        </w:rPr>
        <w:t>: PRIVILÈGES ET IMMUNITÉS DES FONCTIONNAIRES DU BUREAU</w:t>
      </w:r>
      <w:r w:rsidRPr="00970BC4">
        <w:rPr>
          <w:szCs w:val="22"/>
          <w:lang w:val="fr-FR"/>
        </w:rPr>
        <w:t xml:space="preserve">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6B173D" w:rsidP="004270A7">
      <w:pPr>
        <w:numPr>
          <w:ilvl w:val="1"/>
          <w:numId w:val="14"/>
        </w:numPr>
        <w:tabs>
          <w:tab w:val="clear" w:pos="682"/>
          <w:tab w:val="left" w:pos="567"/>
        </w:tabs>
        <w:ind w:left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Les fonctionnaires du Bureau</w:t>
      </w: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4D7FAF" w:rsidRPr="00970BC4" w:rsidRDefault="006B173D" w:rsidP="004270A7">
      <w:pPr>
        <w:numPr>
          <w:ilvl w:val="0"/>
          <w:numId w:val="15"/>
        </w:numPr>
        <w:tabs>
          <w:tab w:val="clear" w:pos="720"/>
          <w:tab w:val="left" w:pos="1134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jouissent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immunité de juridiction en ce qui concerne les paroles ou les écrits ou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les actes émanant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eux dans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accomplissement</w:t>
      </w:r>
      <w:r w:rsidR="0023598E" w:rsidRPr="00970BC4">
        <w:rPr>
          <w:color w:val="000000"/>
          <w:szCs w:val="22"/>
          <w:lang w:val="fr-FR"/>
        </w:rPr>
        <w:t xml:space="preserve"> de leurs fonctions officielles</w:t>
      </w:r>
      <w:r w:rsidR="00B45ACF" w:rsidRPr="00970BC4">
        <w:rPr>
          <w:color w:val="000000"/>
          <w:szCs w:val="22"/>
          <w:lang w:val="fr-FR"/>
        </w:rPr>
        <w:t>;</w:t>
      </w:r>
      <w:r w:rsidR="00AA0ECC" w:rsidRPr="00970BC4">
        <w:rPr>
          <w:szCs w:val="22"/>
          <w:lang w:val="fr-FR"/>
        </w:rPr>
        <w:t xml:space="preserve">  </w:t>
      </w:r>
      <w:r w:rsidR="0023598E" w:rsidRPr="00970BC4">
        <w:rPr>
          <w:color w:val="000000"/>
          <w:szCs w:val="22"/>
          <w:lang w:val="fr-FR"/>
        </w:rPr>
        <w:t>c</w:t>
      </w:r>
      <w:r w:rsidRPr="00970BC4">
        <w:rPr>
          <w:color w:val="000000"/>
          <w:szCs w:val="22"/>
          <w:lang w:val="fr-FR"/>
        </w:rPr>
        <w:t>ette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immunité continue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être accordée après la cessation de leur service auprès du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Bureau;</w:t>
      </w:r>
    </w:p>
    <w:p w:rsidR="004D7FAF" w:rsidRPr="00970BC4" w:rsidRDefault="004D7FAF" w:rsidP="00971836">
      <w:pPr>
        <w:ind w:left="567"/>
        <w:rPr>
          <w:szCs w:val="22"/>
          <w:lang w:val="fr-FR"/>
        </w:rPr>
      </w:pPr>
    </w:p>
    <w:p w:rsidR="004D7FAF" w:rsidRPr="00970BC4" w:rsidRDefault="006B173D" w:rsidP="00971836">
      <w:pPr>
        <w:numPr>
          <w:ilvl w:val="0"/>
          <w:numId w:val="15"/>
        </w:numPr>
        <w:tabs>
          <w:tab w:val="clear" w:pos="720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sont exonérés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impôt sur les traitements et autres émoluments qui leur sont versés par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ou le Bureau;</w:t>
      </w:r>
    </w:p>
    <w:p w:rsidR="004D7FAF" w:rsidRPr="00970BC4" w:rsidRDefault="004D7FAF" w:rsidP="00971836">
      <w:pPr>
        <w:ind w:left="567"/>
        <w:rPr>
          <w:szCs w:val="22"/>
          <w:lang w:val="fr-FR"/>
        </w:rPr>
      </w:pPr>
    </w:p>
    <w:p w:rsidR="004D7FAF" w:rsidRPr="00970BC4" w:rsidRDefault="006B173D" w:rsidP="00971836">
      <w:pPr>
        <w:numPr>
          <w:ilvl w:val="0"/>
          <w:numId w:val="15"/>
        </w:numPr>
        <w:tabs>
          <w:tab w:val="clear" w:pos="720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sont exonérés de toute cotisation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assurance sociale </w:t>
      </w:r>
      <w:r w:rsidR="0023598E" w:rsidRPr="00970BC4">
        <w:rPr>
          <w:color w:val="000000"/>
          <w:szCs w:val="22"/>
          <w:lang w:val="fr-FR"/>
        </w:rPr>
        <w:t>pour autant</w:t>
      </w:r>
      <w:r w:rsidRPr="00970BC4">
        <w:rPr>
          <w:color w:val="000000"/>
          <w:szCs w:val="22"/>
          <w:lang w:val="fr-FR"/>
        </w:rPr>
        <w:t xml:space="preserve"> qu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ils sont couverts par les dispositions de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relatives à la sécurité sociale interne;</w:t>
      </w:r>
    </w:p>
    <w:p w:rsidR="004D7FAF" w:rsidRPr="00970BC4" w:rsidRDefault="004D7FAF" w:rsidP="00971836">
      <w:pPr>
        <w:ind w:left="567"/>
        <w:rPr>
          <w:szCs w:val="22"/>
          <w:lang w:val="fr-FR"/>
        </w:rPr>
      </w:pPr>
    </w:p>
    <w:p w:rsidR="004D7FAF" w:rsidRPr="00970BC4" w:rsidRDefault="00144DCF" w:rsidP="00971836">
      <w:pPr>
        <w:numPr>
          <w:ilvl w:val="0"/>
          <w:numId w:val="15"/>
        </w:numPr>
        <w:tabs>
          <w:tab w:val="clear" w:pos="720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sont exemptés, ainsi que leurs proches, à savoir conjoint, enfants, frères et </w:t>
      </w:r>
      <w:r w:rsidR="0023598E" w:rsidRPr="00970BC4">
        <w:rPr>
          <w:color w:val="000000"/>
          <w:szCs w:val="22"/>
          <w:lang w:val="fr-FR"/>
        </w:rPr>
        <w:t>sœurs</w:t>
      </w:r>
      <w:r w:rsidRPr="00970BC4">
        <w:rPr>
          <w:color w:val="000000"/>
          <w:szCs w:val="22"/>
          <w:lang w:val="fr-FR"/>
        </w:rPr>
        <w:t xml:space="preserve">, selon la décision du directeur du Bureau (ci-après dénommés </w:t>
      </w:r>
      <w:r w:rsidR="00B45ACF" w:rsidRPr="00970BC4">
        <w:rPr>
          <w:color w:val="000000"/>
          <w:szCs w:val="22"/>
          <w:lang w:val="fr-FR"/>
        </w:rPr>
        <w:t>“</w:t>
      </w:r>
      <w:r w:rsidRPr="00970BC4">
        <w:rPr>
          <w:color w:val="000000"/>
          <w:szCs w:val="22"/>
          <w:lang w:val="fr-FR"/>
        </w:rPr>
        <w:t>personnes à charges</w:t>
      </w:r>
      <w:r w:rsidR="00B45ACF" w:rsidRPr="00970BC4">
        <w:rPr>
          <w:color w:val="000000"/>
          <w:szCs w:val="22"/>
          <w:lang w:val="fr-FR"/>
        </w:rPr>
        <w:t>”</w:t>
      </w:r>
      <w:r w:rsidRPr="00970BC4">
        <w:rPr>
          <w:color w:val="000000"/>
          <w:szCs w:val="22"/>
          <w:lang w:val="fr-FR"/>
        </w:rPr>
        <w:t>), des obligations</w:t>
      </w:r>
      <w:r w:rsidR="0023598E" w:rsidRPr="00970BC4">
        <w:rPr>
          <w:color w:val="000000"/>
          <w:szCs w:val="22"/>
          <w:lang w:val="fr-FR"/>
        </w:rPr>
        <w:t xml:space="preserve"> relatives au service national</w:t>
      </w:r>
      <w:r w:rsidR="00B45ACF" w:rsidRPr="00970BC4">
        <w:rPr>
          <w:color w:val="000000"/>
          <w:szCs w:val="22"/>
          <w:lang w:val="fr-FR"/>
        </w:rPr>
        <w:t>;</w:t>
      </w:r>
    </w:p>
    <w:p w:rsidR="004D7FAF" w:rsidRPr="00970BC4" w:rsidRDefault="004D7FAF" w:rsidP="00971836">
      <w:pPr>
        <w:ind w:left="567"/>
        <w:rPr>
          <w:szCs w:val="22"/>
          <w:lang w:val="fr-FR"/>
        </w:rPr>
      </w:pPr>
    </w:p>
    <w:p w:rsidR="004D7FAF" w:rsidRPr="00970BC4" w:rsidRDefault="00144DCF" w:rsidP="00971836">
      <w:pPr>
        <w:numPr>
          <w:ilvl w:val="0"/>
          <w:numId w:val="15"/>
        </w:numPr>
        <w:tabs>
          <w:tab w:val="clear" w:pos="720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jouissent des mêmes privilèges concernant les facilités de change que les membres des missions diplomatiques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un rang comparable;</w:t>
      </w:r>
    </w:p>
    <w:p w:rsidR="004D7FAF" w:rsidRPr="00970BC4" w:rsidRDefault="004D7FAF" w:rsidP="00971836">
      <w:pPr>
        <w:ind w:left="567"/>
        <w:jc w:val="both"/>
        <w:rPr>
          <w:szCs w:val="22"/>
          <w:lang w:val="fr-FR"/>
        </w:rPr>
      </w:pPr>
    </w:p>
    <w:p w:rsidR="004D7FAF" w:rsidRPr="00970BC4" w:rsidRDefault="00144DCF" w:rsidP="00971836">
      <w:pPr>
        <w:numPr>
          <w:ilvl w:val="0"/>
          <w:numId w:val="15"/>
        </w:numPr>
        <w:tabs>
          <w:tab w:val="clear" w:pos="720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jouissent du droit de détenir des comptes en </w:t>
      </w:r>
      <w:r w:rsidR="007E07FE" w:rsidRPr="00970BC4">
        <w:rPr>
          <w:color w:val="000000"/>
          <w:szCs w:val="22"/>
          <w:lang w:val="fr-FR"/>
        </w:rPr>
        <w:t>monnaie</w:t>
      </w:r>
      <w:r w:rsidRPr="00970BC4">
        <w:rPr>
          <w:color w:val="000000"/>
          <w:szCs w:val="22"/>
          <w:lang w:val="fr-FR"/>
        </w:rPr>
        <w:t xml:space="preserve"> nationale ou étrangère, de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transférer librement leurs fonds en monnaie nationale ou étrangère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un pays </w:t>
      </w:r>
      <w:r w:rsidR="007E07FE" w:rsidRPr="00970BC4">
        <w:rPr>
          <w:color w:val="000000"/>
          <w:szCs w:val="22"/>
          <w:lang w:val="fr-FR"/>
        </w:rPr>
        <w:t>dans un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autre ou 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intérieur de la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 xml:space="preserve"> selon la procédure applicab</w:t>
      </w:r>
      <w:r w:rsidR="007E07FE" w:rsidRPr="00970BC4">
        <w:rPr>
          <w:color w:val="000000"/>
          <w:szCs w:val="22"/>
          <w:lang w:val="fr-FR"/>
        </w:rPr>
        <w:t>le dans la</w:t>
      </w:r>
      <w:r w:rsidR="00971836" w:rsidRPr="00970BC4">
        <w:rPr>
          <w:color w:val="000000"/>
          <w:szCs w:val="22"/>
          <w:lang w:val="fr-FR"/>
        </w:rPr>
        <w:t> </w:t>
      </w:r>
      <w:r w:rsidR="007E07FE" w:rsidRPr="00970BC4">
        <w:rPr>
          <w:color w:val="000000"/>
          <w:szCs w:val="22"/>
          <w:lang w:val="fr-FR"/>
        </w:rPr>
        <w:t>Fédération de Russie</w:t>
      </w:r>
      <w:r w:rsidR="00B45ACF" w:rsidRPr="00970BC4">
        <w:rPr>
          <w:color w:val="000000"/>
          <w:szCs w:val="22"/>
          <w:lang w:val="fr-FR"/>
        </w:rPr>
        <w:t>;</w:t>
      </w:r>
    </w:p>
    <w:p w:rsidR="004D7FAF" w:rsidRPr="00970BC4" w:rsidRDefault="004D7FAF" w:rsidP="00971836">
      <w:pPr>
        <w:ind w:left="567"/>
        <w:jc w:val="both"/>
        <w:rPr>
          <w:szCs w:val="22"/>
          <w:lang w:val="fr-FR"/>
        </w:rPr>
      </w:pPr>
    </w:p>
    <w:p w:rsidR="004D7FAF" w:rsidRPr="00970BC4" w:rsidRDefault="00056607" w:rsidP="00971836">
      <w:pPr>
        <w:numPr>
          <w:ilvl w:val="0"/>
          <w:numId w:val="15"/>
        </w:numPr>
        <w:tabs>
          <w:tab w:val="clear" w:pos="720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jouissent, de même que les personnes à leur charge, des mêmes privilèges en matière de rapatriement en cas de crise internationale que ceux accordés en Fédération de Russie au personnel des missions diplomatiques étrangères de rang comparable;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971836">
      <w:pPr>
        <w:ind w:left="567"/>
        <w:rPr>
          <w:szCs w:val="22"/>
          <w:lang w:val="fr-FR"/>
        </w:rPr>
      </w:pPr>
    </w:p>
    <w:p w:rsidR="004D7FAF" w:rsidRPr="00970BC4" w:rsidRDefault="00056607" w:rsidP="00971836">
      <w:pPr>
        <w:numPr>
          <w:ilvl w:val="0"/>
          <w:numId w:val="15"/>
        </w:numPr>
        <w:tabs>
          <w:tab w:val="clear" w:pos="720"/>
        </w:tabs>
        <w:ind w:left="567" w:firstLine="0"/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ont le droit d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importer en franchise leur mobilier et leurs effets 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occasion de leur</w:t>
      </w:r>
      <w:r w:rsidR="00971836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première prise de fonction.</w:t>
      </w: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4D7FAF" w:rsidRPr="00970BC4" w:rsidRDefault="00E25E9D" w:rsidP="00E25E9D">
      <w:pPr>
        <w:numPr>
          <w:ilvl w:val="1"/>
          <w:numId w:val="15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aliénation des articles importés en ap</w:t>
      </w:r>
      <w:r w:rsidR="005E4EA8" w:rsidRPr="00970BC4">
        <w:rPr>
          <w:color w:val="000000"/>
          <w:szCs w:val="22"/>
          <w:lang w:val="fr-FR"/>
        </w:rPr>
        <w:t>plication du sous-alinéa </w:t>
      </w:r>
      <w:r w:rsidRPr="00970BC4">
        <w:rPr>
          <w:color w:val="000000"/>
          <w:szCs w:val="22"/>
          <w:lang w:val="fr-FR"/>
        </w:rPr>
        <w:t>h</w:t>
      </w:r>
      <w:r w:rsidR="007E07FE" w:rsidRPr="00970BC4">
        <w:rPr>
          <w:color w:val="000000"/>
          <w:szCs w:val="22"/>
          <w:lang w:val="fr-FR"/>
        </w:rPr>
        <w:t>)</w:t>
      </w:r>
      <w:r w:rsidRPr="00970BC4">
        <w:rPr>
          <w:color w:val="000000"/>
          <w:szCs w:val="22"/>
          <w:lang w:val="fr-FR"/>
        </w:rPr>
        <w:t xml:space="preserve"> de l</w:t>
      </w:r>
      <w:r w:rsidR="00B45ACF" w:rsidRPr="00970BC4">
        <w:rPr>
          <w:color w:val="000000"/>
          <w:szCs w:val="22"/>
          <w:lang w:val="fr-FR"/>
        </w:rPr>
        <w:t>’</w:t>
      </w:r>
      <w:r w:rsidR="005E4EA8" w:rsidRPr="00970BC4">
        <w:rPr>
          <w:color w:val="000000"/>
          <w:szCs w:val="22"/>
          <w:lang w:val="fr-FR"/>
        </w:rPr>
        <w:t>article </w:t>
      </w:r>
      <w:r w:rsidRPr="00970BC4">
        <w:rPr>
          <w:color w:val="000000"/>
          <w:szCs w:val="22"/>
          <w:lang w:val="fr-FR"/>
        </w:rPr>
        <w:t>6</w:t>
      </w:r>
      <w:r w:rsidR="007E07FE" w:rsidRPr="00970BC4">
        <w:rPr>
          <w:color w:val="000000"/>
          <w:szCs w:val="22"/>
          <w:lang w:val="fr-FR"/>
        </w:rPr>
        <w:t>.1</w:t>
      </w:r>
      <w:r w:rsidRPr="00970BC4">
        <w:rPr>
          <w:color w:val="000000"/>
          <w:szCs w:val="22"/>
          <w:lang w:val="fr-FR"/>
        </w:rPr>
        <w:t xml:space="preserve"> du présent accord n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est possible que conformément à la législation de la Fédération de Russie.</w:t>
      </w:r>
      <w:r w:rsidR="00AA0ECC" w:rsidRPr="00970BC4">
        <w:rPr>
          <w:szCs w:val="22"/>
          <w:lang w:val="fr-FR"/>
        </w:rPr>
        <w:t xml:space="preserve"> 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E25E9D" w:rsidP="00E25E9D">
      <w:pPr>
        <w:numPr>
          <w:ilvl w:val="1"/>
          <w:numId w:val="15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 directeur du Bureau jouit des mêmes privilèges et immunités que ceux accordés en</w:t>
      </w:r>
      <w:r w:rsidR="005E4EA8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Fédération de Russie au personnel des missions diplomatiques étrangères de rang comparable.</w:t>
      </w:r>
      <w:r w:rsidR="00AA0ECC" w:rsidRPr="00970BC4">
        <w:rPr>
          <w:szCs w:val="22"/>
          <w:lang w:val="fr-FR"/>
        </w:rPr>
        <w:t xml:space="preserve"> </w:t>
      </w:r>
      <w:r w:rsidR="007E07FE" w:rsidRPr="00970BC4">
        <w:rPr>
          <w:szCs w:val="22"/>
          <w:lang w:val="fr-FR"/>
        </w:rPr>
        <w:t xml:space="preserve"> </w:t>
      </w:r>
      <w:r w:rsidRPr="00970BC4">
        <w:rPr>
          <w:color w:val="000000"/>
          <w:szCs w:val="22"/>
          <w:lang w:val="fr-FR"/>
        </w:rPr>
        <w:t>À cet effet, le nom du directeur du Bureau peut être inscrit sur la liste du corps diplomatique.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4D7FAF" w:rsidRPr="00970BC4" w:rsidRDefault="004D7FAF" w:rsidP="004D7FAF">
      <w:pPr>
        <w:numPr>
          <w:ilvl w:val="1"/>
          <w:numId w:val="15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Si les fonctionnaires du Bureau qui sont ressortissants de la Fédération de Russie sont appelés sous les drapeaux, la Fédération de Russie accorde à ces appelés, à la demande du</w:t>
      </w:r>
      <w:r w:rsidR="005E4EA8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Bureau, les sursis nécessaires pour éviter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interruption des services essentiels du Bureau.</w:t>
      </w:r>
      <w:r w:rsidR="00AA0ECC" w:rsidRPr="00970BC4">
        <w:rPr>
          <w:szCs w:val="22"/>
          <w:lang w:val="fr-FR"/>
        </w:rPr>
        <w:t xml:space="preserve">  </w:t>
      </w:r>
      <w:r w:rsidRPr="00970BC4">
        <w:rPr>
          <w:color w:val="000000"/>
          <w:szCs w:val="22"/>
          <w:lang w:val="fr-FR"/>
        </w:rPr>
        <w:t xml:space="preserve">Les personnes à charge qui ne sont pas ressortissantes de la Fédération de Russie ont le droit </w:t>
      </w:r>
      <w:r w:rsidR="007E07FE" w:rsidRPr="00970BC4">
        <w:rPr>
          <w:color w:val="000000"/>
          <w:szCs w:val="22"/>
          <w:lang w:val="fr-FR"/>
        </w:rPr>
        <w:t>de briguer</w:t>
      </w:r>
      <w:r w:rsidRPr="00970BC4">
        <w:rPr>
          <w:color w:val="000000"/>
          <w:szCs w:val="22"/>
          <w:lang w:val="fr-FR"/>
        </w:rPr>
        <w:t xml:space="preserve"> un emploi en Fédération de Russie et les organes compétents leur octroient sans tarder toute autorisation ou tout document requis à cet effet, conformément à la législation de la</w:t>
      </w:r>
      <w:r w:rsidR="005E4EA8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Fédération de Russie.</w:t>
      </w: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4D7FAF" w:rsidRPr="00970BC4" w:rsidRDefault="004D7FAF" w:rsidP="004D7FAF">
      <w:pPr>
        <w:numPr>
          <w:ilvl w:val="1"/>
          <w:numId w:val="15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Les privilèges et immunités énoncés aux alinéas</w:t>
      </w:r>
      <w:r w:rsidR="005E4EA8" w:rsidRPr="00970BC4">
        <w:rPr>
          <w:color w:val="000000"/>
          <w:szCs w:val="22"/>
          <w:lang w:val="fr-FR"/>
        </w:rPr>
        <w:t> </w:t>
      </w:r>
      <w:r w:rsidRPr="00970BC4">
        <w:rPr>
          <w:color w:val="000000"/>
          <w:szCs w:val="22"/>
          <w:lang w:val="fr-FR"/>
        </w:rPr>
        <w:t>1.b), 1.e), 1.f), 1.g), 1.h) et 3 du présent article ne s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appliquent pas aux fonctionnaires du Bureau ni aux personnes à leur charge qui sont ressortissants de la </w:t>
      </w:r>
      <w:r w:rsidRPr="00970BC4">
        <w:rPr>
          <w:szCs w:val="22"/>
          <w:lang w:val="fr-FR"/>
        </w:rPr>
        <w:t>Fédération de Russie</w:t>
      </w:r>
      <w:r w:rsidRPr="00970BC4">
        <w:rPr>
          <w:color w:val="000000"/>
          <w:szCs w:val="22"/>
          <w:lang w:val="fr-FR"/>
        </w:rPr>
        <w:t>, ni aux personnes qui résident à titre permanent sur le territoire de la Fédération de Russie.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4D7FAF" w:rsidRPr="00970BC4" w:rsidRDefault="001D1C60" w:rsidP="001D1C60">
      <w:pPr>
        <w:numPr>
          <w:ilvl w:val="1"/>
          <w:numId w:val="15"/>
        </w:numPr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lastRenderedPageBreak/>
        <w:t>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Organisation notifie au Ministère des affaires étrangères de la Fédération de Russie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arrivée et le départ de tous les fonctionnaires affectés au Bureau, respectivement à leur entrée en fonctions et à la fin de leur affectation. 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D1C60" w:rsidP="001D1C60">
      <w:pPr>
        <w:rPr>
          <w:szCs w:val="22"/>
          <w:lang w:val="fr-FR"/>
        </w:rPr>
      </w:pPr>
      <w:r w:rsidRPr="00970BC4">
        <w:rPr>
          <w:szCs w:val="22"/>
          <w:lang w:val="fr-FR"/>
        </w:rPr>
        <w:t>ARTICLE 7</w:t>
      </w:r>
      <w:r w:rsidR="005E4EA8" w:rsidRPr="00970BC4">
        <w:rPr>
          <w:szCs w:val="22"/>
          <w:lang w:val="fr-FR"/>
        </w:rPr>
        <w:t> </w:t>
      </w:r>
      <w:r w:rsidRPr="00970BC4">
        <w:rPr>
          <w:szCs w:val="22"/>
          <w:lang w:val="fr-FR"/>
        </w:rPr>
        <w:t>: DISPOSITIONS FINALES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D1C60" w:rsidP="004270A7">
      <w:pPr>
        <w:numPr>
          <w:ilvl w:val="0"/>
          <w:numId w:val="16"/>
        </w:numPr>
        <w:tabs>
          <w:tab w:val="clear" w:pos="454"/>
        </w:tabs>
        <w:rPr>
          <w:szCs w:val="22"/>
          <w:lang w:val="fr-FR"/>
        </w:rPr>
      </w:pPr>
      <w:r w:rsidRPr="00970BC4">
        <w:rPr>
          <w:szCs w:val="22"/>
          <w:lang w:val="fr-FR"/>
        </w:rPr>
        <w:t>Le présent accord peut être modifié d</w:t>
      </w:r>
      <w:r w:rsidR="00B45ACF" w:rsidRPr="00970BC4">
        <w:rPr>
          <w:szCs w:val="22"/>
          <w:lang w:val="fr-FR"/>
        </w:rPr>
        <w:t>’</w:t>
      </w:r>
      <w:r w:rsidRPr="00970BC4">
        <w:rPr>
          <w:szCs w:val="22"/>
          <w:lang w:val="fr-FR"/>
        </w:rPr>
        <w:t>un commun accord par les Parties.</w:t>
      </w:r>
    </w:p>
    <w:p w:rsidR="004D7FAF" w:rsidRPr="00970BC4" w:rsidRDefault="004D7FAF" w:rsidP="004270A7">
      <w:pPr>
        <w:rPr>
          <w:szCs w:val="22"/>
          <w:lang w:val="fr-FR"/>
        </w:rPr>
      </w:pPr>
    </w:p>
    <w:p w:rsidR="004D7FAF" w:rsidRPr="00970BC4" w:rsidRDefault="001D1C60" w:rsidP="004270A7">
      <w:pPr>
        <w:pStyle w:val="EndofDocument"/>
        <w:numPr>
          <w:ilvl w:val="0"/>
          <w:numId w:val="16"/>
        </w:numPr>
        <w:tabs>
          <w:tab w:val="clear" w:pos="454"/>
        </w:tabs>
        <w:jc w:val="left"/>
        <w:rPr>
          <w:szCs w:val="22"/>
          <w:lang w:val="fr-FR"/>
        </w:rPr>
      </w:pPr>
      <w:r w:rsidRPr="00970BC4">
        <w:rPr>
          <w:rFonts w:ascii="Arial" w:hAnsi="Arial" w:cs="Arial"/>
          <w:color w:val="000000"/>
          <w:sz w:val="22"/>
          <w:szCs w:val="22"/>
          <w:lang w:val="fr-FR"/>
        </w:rPr>
        <w:t>Tout différend concernant l</w:t>
      </w:r>
      <w:r w:rsidR="00B45ACF" w:rsidRPr="00970BC4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szCs w:val="22"/>
          <w:lang w:val="fr-FR"/>
        </w:rPr>
        <w:t>interprétation ou l</w:t>
      </w:r>
      <w:r w:rsidR="00B45ACF" w:rsidRPr="00970BC4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70BC4">
        <w:rPr>
          <w:rFonts w:ascii="Arial" w:hAnsi="Arial" w:cs="Arial"/>
          <w:color w:val="000000"/>
          <w:sz w:val="22"/>
          <w:szCs w:val="22"/>
          <w:lang w:val="fr-FR"/>
        </w:rPr>
        <w:t>application du présent accord est réglé par voie de négoc</w:t>
      </w:r>
      <w:r w:rsidR="007E07FE" w:rsidRPr="00970BC4">
        <w:rPr>
          <w:rFonts w:ascii="Arial" w:hAnsi="Arial" w:cs="Arial"/>
          <w:color w:val="000000"/>
          <w:sz w:val="22"/>
          <w:szCs w:val="22"/>
          <w:lang w:val="fr-FR"/>
        </w:rPr>
        <w:t>iation entre les P</w:t>
      </w:r>
      <w:r w:rsidRPr="00970BC4">
        <w:rPr>
          <w:rFonts w:ascii="Arial" w:hAnsi="Arial" w:cs="Arial"/>
          <w:color w:val="000000"/>
          <w:sz w:val="22"/>
          <w:szCs w:val="22"/>
          <w:lang w:val="fr-FR"/>
        </w:rPr>
        <w:t>arties.</w:t>
      </w:r>
    </w:p>
    <w:p w:rsidR="004D7FAF" w:rsidRPr="00970BC4" w:rsidRDefault="004D7FAF" w:rsidP="004270A7">
      <w:pPr>
        <w:rPr>
          <w:szCs w:val="22"/>
          <w:lang w:val="fr-FR"/>
        </w:rPr>
      </w:pPr>
    </w:p>
    <w:p w:rsidR="004D7FAF" w:rsidRPr="00970BC4" w:rsidRDefault="001D1C60" w:rsidP="004270A7">
      <w:pPr>
        <w:numPr>
          <w:ilvl w:val="0"/>
          <w:numId w:val="16"/>
        </w:numPr>
        <w:tabs>
          <w:tab w:val="clear" w:pos="454"/>
        </w:tabs>
        <w:rPr>
          <w:szCs w:val="22"/>
          <w:lang w:val="fr-FR"/>
        </w:rPr>
      </w:pPr>
      <w:r w:rsidRPr="00970BC4">
        <w:rPr>
          <w:szCs w:val="22"/>
          <w:lang w:val="fr-FR"/>
        </w:rPr>
        <w:t xml:space="preserve">Le présent accord entre en vigueur à la date de la dernière notification par </w:t>
      </w:r>
      <w:r w:rsidR="0065657E" w:rsidRPr="00970BC4">
        <w:rPr>
          <w:szCs w:val="22"/>
          <w:lang w:val="fr-FR"/>
        </w:rPr>
        <w:t xml:space="preserve">laquelle </w:t>
      </w:r>
      <w:r w:rsidRPr="00970BC4">
        <w:rPr>
          <w:color w:val="000000"/>
          <w:szCs w:val="22"/>
          <w:lang w:val="fr-FR"/>
        </w:rPr>
        <w:t>les</w:t>
      </w:r>
      <w:r w:rsidR="005E4EA8" w:rsidRPr="00970BC4">
        <w:rPr>
          <w:color w:val="000000"/>
          <w:szCs w:val="22"/>
          <w:lang w:val="fr-FR"/>
        </w:rPr>
        <w:t> </w:t>
      </w:r>
      <w:r w:rsidR="00A161D4" w:rsidRPr="00970BC4">
        <w:rPr>
          <w:szCs w:val="22"/>
          <w:lang w:val="fr-FR"/>
        </w:rPr>
        <w:t>P</w:t>
      </w:r>
      <w:r w:rsidRPr="00970BC4">
        <w:rPr>
          <w:szCs w:val="22"/>
          <w:lang w:val="fr-FR"/>
        </w:rPr>
        <w:t xml:space="preserve">arties </w:t>
      </w:r>
      <w:r w:rsidRPr="00970BC4">
        <w:rPr>
          <w:color w:val="000000"/>
          <w:szCs w:val="22"/>
          <w:lang w:val="fr-FR"/>
        </w:rPr>
        <w:t>s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szCs w:val="22"/>
          <w:lang w:val="fr-FR"/>
        </w:rPr>
        <w:t>informe</w:t>
      </w:r>
      <w:r w:rsidRPr="00970BC4">
        <w:rPr>
          <w:color w:val="000000"/>
          <w:szCs w:val="22"/>
          <w:lang w:val="fr-FR"/>
        </w:rPr>
        <w:t xml:space="preserve">nt </w:t>
      </w:r>
      <w:r w:rsidR="0065657E" w:rsidRPr="00970BC4">
        <w:rPr>
          <w:color w:val="000000"/>
          <w:szCs w:val="22"/>
          <w:lang w:val="fr-FR"/>
        </w:rPr>
        <w:t xml:space="preserve">respectivement </w:t>
      </w:r>
      <w:r w:rsidRPr="00970BC4">
        <w:rPr>
          <w:szCs w:val="22"/>
          <w:lang w:val="fr-FR"/>
        </w:rPr>
        <w:t>par écrit de l</w:t>
      </w:r>
      <w:r w:rsidR="00B45ACF" w:rsidRPr="00970BC4">
        <w:rPr>
          <w:szCs w:val="22"/>
          <w:lang w:val="fr-FR"/>
        </w:rPr>
        <w:t>’</w:t>
      </w:r>
      <w:r w:rsidRPr="00970BC4">
        <w:rPr>
          <w:szCs w:val="22"/>
          <w:lang w:val="fr-FR"/>
        </w:rPr>
        <w:t>achèvement des procédures internes requises pour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entrée </w:t>
      </w:r>
      <w:r w:rsidRPr="00970BC4">
        <w:rPr>
          <w:szCs w:val="22"/>
          <w:lang w:val="fr-FR"/>
        </w:rPr>
        <w:t>en vigueur du présent accord.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4270A7">
      <w:pPr>
        <w:rPr>
          <w:szCs w:val="22"/>
          <w:lang w:val="fr-FR"/>
        </w:rPr>
      </w:pPr>
    </w:p>
    <w:p w:rsidR="004D7FAF" w:rsidRPr="00970BC4" w:rsidRDefault="001D1C60" w:rsidP="004270A7">
      <w:pPr>
        <w:numPr>
          <w:ilvl w:val="0"/>
          <w:numId w:val="16"/>
        </w:numPr>
        <w:tabs>
          <w:tab w:val="clear" w:pos="454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Le présent accord est appli</w:t>
      </w:r>
      <w:r w:rsidR="00A161D4" w:rsidRPr="00970BC4">
        <w:rPr>
          <w:color w:val="000000"/>
          <w:szCs w:val="22"/>
          <w:lang w:val="fr-FR"/>
        </w:rPr>
        <w:t>qué à titre provisoire par les P</w:t>
      </w:r>
      <w:r w:rsidRPr="00970BC4">
        <w:rPr>
          <w:color w:val="000000"/>
          <w:szCs w:val="22"/>
          <w:lang w:val="fr-FR"/>
        </w:rPr>
        <w:t>arties 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expiration d</w:t>
      </w:r>
      <w:r w:rsidR="00B45ACF" w:rsidRPr="00970BC4">
        <w:rPr>
          <w:color w:val="000000"/>
          <w:szCs w:val="22"/>
          <w:lang w:val="fr-FR"/>
        </w:rPr>
        <w:t>’</w:t>
      </w:r>
      <w:r w:rsidR="005E4EA8" w:rsidRPr="00970BC4">
        <w:rPr>
          <w:color w:val="000000"/>
          <w:szCs w:val="22"/>
          <w:lang w:val="fr-FR"/>
        </w:rPr>
        <w:t>un délai de 60 </w:t>
      </w:r>
      <w:r w:rsidRPr="00970BC4">
        <w:rPr>
          <w:color w:val="000000"/>
          <w:szCs w:val="22"/>
          <w:lang w:val="fr-FR"/>
        </w:rPr>
        <w:t>jours à compter de sa signature.</w:t>
      </w:r>
      <w:r w:rsidR="00AA0ECC" w:rsidRPr="00970BC4">
        <w:rPr>
          <w:szCs w:val="22"/>
          <w:lang w:val="fr-FR"/>
        </w:rPr>
        <w:t xml:space="preserve"> </w:t>
      </w:r>
    </w:p>
    <w:p w:rsidR="004D7FAF" w:rsidRPr="00970BC4" w:rsidRDefault="004D7FAF" w:rsidP="004270A7">
      <w:pPr>
        <w:rPr>
          <w:szCs w:val="22"/>
          <w:lang w:val="fr-FR"/>
        </w:rPr>
      </w:pPr>
    </w:p>
    <w:p w:rsidR="004D7FAF" w:rsidRPr="00970BC4" w:rsidRDefault="001D1C60" w:rsidP="004270A7">
      <w:pPr>
        <w:numPr>
          <w:ilvl w:val="1"/>
          <w:numId w:val="17"/>
        </w:numPr>
        <w:tabs>
          <w:tab w:val="clear" w:pos="39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 xml:space="preserve">Le présent accord a une durée de validité de six ans et est automatiquement reconductible </w:t>
      </w:r>
      <w:r w:rsidR="00A161D4" w:rsidRPr="00970BC4">
        <w:rPr>
          <w:color w:val="000000"/>
          <w:szCs w:val="22"/>
          <w:lang w:val="fr-FR"/>
        </w:rPr>
        <w:t xml:space="preserve">par périodes de </w:t>
      </w:r>
      <w:r w:rsidRPr="00970BC4">
        <w:rPr>
          <w:color w:val="000000"/>
          <w:szCs w:val="22"/>
          <w:lang w:val="fr-FR"/>
        </w:rPr>
        <w:t>six ans supplémentaires, sauf si une partie envoie à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autre une notification écrite indiquant son intention de le dénoncer au moins trois mois avant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 xml:space="preserve">expiration de sa </w:t>
      </w:r>
      <w:r w:rsidR="00A161D4" w:rsidRPr="00970BC4">
        <w:rPr>
          <w:color w:val="000000"/>
          <w:szCs w:val="22"/>
          <w:lang w:val="fr-FR"/>
        </w:rPr>
        <w:t>période de validité</w:t>
      </w:r>
      <w:r w:rsidRPr="00970BC4">
        <w:rPr>
          <w:color w:val="000000"/>
          <w:szCs w:val="22"/>
          <w:lang w:val="fr-FR"/>
        </w:rPr>
        <w:t xml:space="preserve"> initiale ou subséquente.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1D1C60" w:rsidP="004270A7">
      <w:pPr>
        <w:numPr>
          <w:ilvl w:val="1"/>
          <w:numId w:val="17"/>
        </w:numPr>
        <w:tabs>
          <w:tab w:val="clear" w:pos="397"/>
        </w:tabs>
        <w:rPr>
          <w:szCs w:val="22"/>
          <w:lang w:val="fr-FR"/>
        </w:rPr>
      </w:pPr>
      <w:r w:rsidRPr="00970BC4">
        <w:rPr>
          <w:color w:val="000000"/>
          <w:szCs w:val="22"/>
          <w:lang w:val="fr-FR"/>
        </w:rPr>
        <w:t>La dénonciation du présent accord est sans préjudice des droits ou obligations découlant pour l</w:t>
      </w:r>
      <w:r w:rsidR="00B45ACF" w:rsidRPr="00970BC4">
        <w:rPr>
          <w:color w:val="000000"/>
          <w:szCs w:val="22"/>
          <w:lang w:val="fr-FR"/>
        </w:rPr>
        <w:t>’</w:t>
      </w:r>
      <w:r w:rsidRPr="00970BC4">
        <w:rPr>
          <w:color w:val="000000"/>
          <w:szCs w:val="22"/>
          <w:lang w:val="fr-FR"/>
        </w:rPr>
        <w:t>une ou l</w:t>
      </w:r>
      <w:r w:rsidR="00B45ACF" w:rsidRPr="00970BC4">
        <w:rPr>
          <w:color w:val="000000"/>
          <w:szCs w:val="22"/>
          <w:lang w:val="fr-FR"/>
        </w:rPr>
        <w:t>’</w:t>
      </w:r>
      <w:r w:rsidR="00A161D4" w:rsidRPr="00970BC4">
        <w:rPr>
          <w:color w:val="000000"/>
          <w:szCs w:val="22"/>
          <w:lang w:val="fr-FR"/>
        </w:rPr>
        <w:t>autre P</w:t>
      </w:r>
      <w:r w:rsidRPr="00970BC4">
        <w:rPr>
          <w:color w:val="000000"/>
          <w:szCs w:val="22"/>
          <w:lang w:val="fr-FR"/>
        </w:rPr>
        <w:t xml:space="preserve">artie de la mise en </w:t>
      </w:r>
      <w:r w:rsidR="0065657E" w:rsidRPr="00970BC4">
        <w:rPr>
          <w:color w:val="000000"/>
          <w:szCs w:val="22"/>
          <w:lang w:val="fr-FR"/>
        </w:rPr>
        <w:t>œuvre</w:t>
      </w:r>
      <w:r w:rsidRPr="00970BC4">
        <w:rPr>
          <w:color w:val="000000"/>
          <w:szCs w:val="22"/>
          <w:lang w:val="fr-FR"/>
        </w:rPr>
        <w:t xml:space="preserve"> du présent accord.</w:t>
      </w:r>
    </w:p>
    <w:p w:rsidR="004D7FAF" w:rsidRPr="00970BC4" w:rsidRDefault="004D7FAF" w:rsidP="00AA0ECC">
      <w:pPr>
        <w:rPr>
          <w:szCs w:val="22"/>
          <w:lang w:val="fr-FR"/>
        </w:rPr>
      </w:pPr>
    </w:p>
    <w:p w:rsidR="004D7FAF" w:rsidRPr="00970BC4" w:rsidRDefault="005E4EA8" w:rsidP="001D1C60">
      <w:pPr>
        <w:rPr>
          <w:szCs w:val="22"/>
          <w:lang w:val="fr-FR"/>
        </w:rPr>
      </w:pPr>
      <w:r w:rsidRPr="00970BC4">
        <w:rPr>
          <w:szCs w:val="22"/>
          <w:lang w:val="fr-FR"/>
        </w:rPr>
        <w:t>Fait à Genève le 10 </w:t>
      </w:r>
      <w:r w:rsidR="001D1C60" w:rsidRPr="00970BC4">
        <w:rPr>
          <w:szCs w:val="22"/>
          <w:lang w:val="fr-FR"/>
        </w:rPr>
        <w:t>avril</w:t>
      </w:r>
      <w:r w:rsidRPr="00970BC4">
        <w:rPr>
          <w:szCs w:val="22"/>
          <w:lang w:val="fr-FR"/>
        </w:rPr>
        <w:t> </w:t>
      </w:r>
      <w:r w:rsidR="001D1C60" w:rsidRPr="00970BC4">
        <w:rPr>
          <w:szCs w:val="22"/>
          <w:lang w:val="fr-FR"/>
        </w:rPr>
        <w:t>2013, en deux</w:t>
      </w:r>
      <w:r w:rsidRPr="00970BC4">
        <w:rPr>
          <w:szCs w:val="22"/>
          <w:lang w:val="fr-FR"/>
        </w:rPr>
        <w:t> </w:t>
      </w:r>
      <w:r w:rsidR="001D1C60" w:rsidRPr="00970BC4">
        <w:rPr>
          <w:szCs w:val="22"/>
          <w:lang w:val="fr-FR"/>
        </w:rPr>
        <w:t xml:space="preserve">exemplaires, en langues anglaise et </w:t>
      </w:r>
      <w:r w:rsidR="001D1C60" w:rsidRPr="00970BC4">
        <w:rPr>
          <w:color w:val="000000"/>
          <w:szCs w:val="22"/>
          <w:lang w:val="fr-FR"/>
        </w:rPr>
        <w:t>russe</w:t>
      </w:r>
      <w:r w:rsidR="001D1C60" w:rsidRPr="00970BC4">
        <w:rPr>
          <w:szCs w:val="22"/>
          <w:lang w:val="fr-FR"/>
        </w:rPr>
        <w:t>, les deux</w:t>
      </w:r>
      <w:r w:rsidRPr="00970BC4">
        <w:rPr>
          <w:szCs w:val="22"/>
          <w:lang w:val="fr-FR"/>
        </w:rPr>
        <w:t> </w:t>
      </w:r>
      <w:r w:rsidR="001D1C60" w:rsidRPr="00970BC4">
        <w:rPr>
          <w:szCs w:val="22"/>
          <w:lang w:val="fr-FR"/>
        </w:rPr>
        <w:t>textes faisant également foi.</w:t>
      </w: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4D7FAF" w:rsidRPr="00970BC4" w:rsidRDefault="004D7FAF" w:rsidP="00AA0ECC">
      <w:pPr>
        <w:jc w:val="both"/>
        <w:rPr>
          <w:szCs w:val="22"/>
          <w:lang w:val="fr-FR"/>
        </w:rPr>
      </w:pPr>
    </w:p>
    <w:p w:rsidR="00AA0ECC" w:rsidRPr="00970BC4" w:rsidRDefault="00AA0ECC" w:rsidP="00AA0ECC">
      <w:pPr>
        <w:jc w:val="both"/>
        <w:rPr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6"/>
        <w:gridCol w:w="4395"/>
      </w:tblGrid>
      <w:tr w:rsidR="00AA0ECC" w:rsidRPr="004270A7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4D7FAF" w:rsidRPr="00970BC4" w:rsidRDefault="001D1C60" w:rsidP="001D1C60">
            <w:pPr>
              <w:rPr>
                <w:szCs w:val="22"/>
                <w:lang w:val="fr-FR"/>
              </w:rPr>
            </w:pPr>
            <w:r w:rsidRPr="00970BC4">
              <w:rPr>
                <w:szCs w:val="22"/>
                <w:lang w:val="fr-FR"/>
              </w:rPr>
              <w:t>Pour l</w:t>
            </w:r>
            <w:r w:rsidR="00B45ACF" w:rsidRPr="00970BC4">
              <w:rPr>
                <w:szCs w:val="22"/>
                <w:lang w:val="fr-FR"/>
              </w:rPr>
              <w:t>’</w:t>
            </w:r>
            <w:r w:rsidRPr="00970BC4">
              <w:rPr>
                <w:szCs w:val="22"/>
                <w:lang w:val="fr-FR"/>
              </w:rPr>
              <w:t>Organisation Mondiale de la Propriété Intellectuelle</w:t>
            </w:r>
          </w:p>
          <w:p w:rsidR="00AA0ECC" w:rsidRPr="00970BC4" w:rsidRDefault="00AA0ECC" w:rsidP="007B66E3">
            <w:pPr>
              <w:rPr>
                <w:szCs w:val="22"/>
                <w:lang w:val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ECC" w:rsidRPr="00970BC4" w:rsidRDefault="001D1C60" w:rsidP="004270A7">
            <w:pPr>
              <w:ind w:left="353"/>
              <w:rPr>
                <w:szCs w:val="22"/>
                <w:lang w:val="fr-FR"/>
              </w:rPr>
            </w:pPr>
            <w:r w:rsidRPr="00970BC4">
              <w:rPr>
                <w:color w:val="000000"/>
                <w:szCs w:val="22"/>
                <w:lang w:val="fr-FR"/>
              </w:rPr>
              <w:t xml:space="preserve">Pour le </w:t>
            </w:r>
            <w:r w:rsidRPr="00970BC4">
              <w:rPr>
                <w:szCs w:val="22"/>
                <w:lang w:val="fr-FR"/>
              </w:rPr>
              <w:t>Gouvernement de la Fédération de</w:t>
            </w:r>
            <w:r w:rsidR="0095240D" w:rsidRPr="00970BC4">
              <w:rPr>
                <w:szCs w:val="22"/>
                <w:lang w:val="fr-FR"/>
              </w:rPr>
              <w:t> </w:t>
            </w:r>
            <w:r w:rsidRPr="00970BC4">
              <w:rPr>
                <w:szCs w:val="22"/>
                <w:lang w:val="fr-FR"/>
              </w:rPr>
              <w:t>Russie</w:t>
            </w:r>
          </w:p>
        </w:tc>
      </w:tr>
      <w:tr w:rsidR="00AA0ECC" w:rsidRPr="004270A7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7B66E3">
            <w:pPr>
              <w:rPr>
                <w:szCs w:val="22"/>
                <w:lang w:val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4270A7">
            <w:pPr>
              <w:ind w:left="353"/>
              <w:rPr>
                <w:szCs w:val="22"/>
                <w:lang w:val="fr-FR"/>
              </w:rPr>
            </w:pPr>
          </w:p>
        </w:tc>
      </w:tr>
      <w:tr w:rsidR="00AA0ECC" w:rsidRPr="004270A7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7B66E3">
            <w:pPr>
              <w:rPr>
                <w:szCs w:val="22"/>
                <w:lang w:val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4270A7">
            <w:pPr>
              <w:ind w:left="353"/>
              <w:rPr>
                <w:szCs w:val="22"/>
                <w:lang w:val="fr-FR"/>
              </w:rPr>
            </w:pPr>
          </w:p>
        </w:tc>
      </w:tr>
      <w:tr w:rsidR="00AA0ECC" w:rsidRPr="004270A7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7B66E3">
            <w:pPr>
              <w:rPr>
                <w:szCs w:val="22"/>
                <w:lang w:val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4270A7">
            <w:pPr>
              <w:ind w:left="353"/>
              <w:rPr>
                <w:szCs w:val="22"/>
                <w:lang w:val="fr-FR"/>
              </w:rPr>
            </w:pPr>
          </w:p>
        </w:tc>
      </w:tr>
      <w:tr w:rsidR="00AA0ECC" w:rsidRPr="004270A7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7B66E3">
            <w:pPr>
              <w:rPr>
                <w:szCs w:val="22"/>
                <w:lang w:val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4270A7">
            <w:pPr>
              <w:ind w:left="353"/>
              <w:rPr>
                <w:szCs w:val="22"/>
                <w:lang w:val="fr-FR"/>
              </w:rPr>
            </w:pPr>
          </w:p>
        </w:tc>
      </w:tr>
      <w:tr w:rsidR="00AA0ECC" w:rsidRPr="00970BC4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ECC" w:rsidRPr="00970BC4" w:rsidRDefault="001D1C60" w:rsidP="001D1C60">
            <w:pPr>
              <w:rPr>
                <w:szCs w:val="22"/>
                <w:lang w:val="fr-FR"/>
              </w:rPr>
            </w:pPr>
            <w:r w:rsidRPr="00970BC4">
              <w:rPr>
                <w:szCs w:val="22"/>
                <w:lang w:val="fr-FR"/>
              </w:rPr>
              <w:t>Francis Gurry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ECC" w:rsidRPr="00970BC4" w:rsidRDefault="001D1C60" w:rsidP="004270A7">
            <w:pPr>
              <w:ind w:left="353"/>
              <w:rPr>
                <w:szCs w:val="22"/>
                <w:lang w:val="fr-FR"/>
              </w:rPr>
            </w:pPr>
            <w:r w:rsidRPr="00970BC4">
              <w:rPr>
                <w:color w:val="000000"/>
                <w:szCs w:val="22"/>
                <w:lang w:val="fr-FR"/>
              </w:rPr>
              <w:t>Boris Simonov</w:t>
            </w:r>
          </w:p>
        </w:tc>
      </w:tr>
      <w:tr w:rsidR="00AA0ECC" w:rsidRPr="00970BC4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ECC" w:rsidRPr="00970BC4" w:rsidRDefault="001D1C60" w:rsidP="001D1C60">
            <w:pPr>
              <w:rPr>
                <w:szCs w:val="22"/>
                <w:lang w:val="fr-FR"/>
              </w:rPr>
            </w:pPr>
            <w:r w:rsidRPr="00970BC4">
              <w:rPr>
                <w:szCs w:val="22"/>
                <w:lang w:val="fr-FR"/>
              </w:rPr>
              <w:t>Directeur général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ECC" w:rsidRPr="00970BC4" w:rsidRDefault="001D1C60" w:rsidP="004270A7">
            <w:pPr>
              <w:ind w:left="353"/>
              <w:rPr>
                <w:szCs w:val="22"/>
                <w:lang w:val="fr-FR"/>
              </w:rPr>
            </w:pPr>
            <w:r w:rsidRPr="00970BC4">
              <w:rPr>
                <w:szCs w:val="22"/>
                <w:lang w:val="fr-FR"/>
              </w:rPr>
              <w:t>Directeur général</w:t>
            </w:r>
          </w:p>
        </w:tc>
      </w:tr>
      <w:tr w:rsidR="00AA0ECC" w:rsidRPr="004270A7" w:rsidTr="007B66E3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AA0ECC" w:rsidRPr="00970BC4" w:rsidRDefault="00AA0ECC" w:rsidP="007B66E3">
            <w:pPr>
              <w:rPr>
                <w:szCs w:val="22"/>
                <w:lang w:val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ECC" w:rsidRPr="00970BC4" w:rsidRDefault="001D1C60" w:rsidP="004270A7">
            <w:pPr>
              <w:ind w:left="353"/>
              <w:rPr>
                <w:szCs w:val="22"/>
                <w:lang w:val="fr-FR"/>
              </w:rPr>
            </w:pPr>
            <w:r w:rsidRPr="00970BC4">
              <w:rPr>
                <w:color w:val="000000"/>
                <w:szCs w:val="22"/>
                <w:lang w:val="fr-FR"/>
              </w:rPr>
              <w:t>Service fédéral pour la propriété intellectuelle (ROSPATENT)</w:t>
            </w:r>
          </w:p>
        </w:tc>
      </w:tr>
    </w:tbl>
    <w:p w:rsidR="004D7FAF" w:rsidRPr="00970BC4" w:rsidRDefault="004D7FAF" w:rsidP="007B66E3">
      <w:pPr>
        <w:pStyle w:val="EndofDocument"/>
        <w:jc w:val="left"/>
        <w:rPr>
          <w:rFonts w:eastAsia="SimSun"/>
          <w:lang w:val="fr-FR"/>
        </w:rPr>
      </w:pPr>
    </w:p>
    <w:p w:rsidR="004D7FAF" w:rsidRPr="00970BC4" w:rsidRDefault="004D7FAF" w:rsidP="00AA0ECC">
      <w:pPr>
        <w:pStyle w:val="EndofDocument"/>
        <w:jc w:val="left"/>
        <w:rPr>
          <w:lang w:val="fr-FR"/>
        </w:rPr>
      </w:pPr>
    </w:p>
    <w:p w:rsidR="004D7FAF" w:rsidRPr="00970BC4" w:rsidRDefault="004D7FAF" w:rsidP="00AA0ECC">
      <w:pPr>
        <w:pStyle w:val="EndofDocument"/>
        <w:jc w:val="left"/>
        <w:rPr>
          <w:lang w:val="fr-FR"/>
        </w:rPr>
      </w:pPr>
    </w:p>
    <w:p w:rsidR="004D7FAF" w:rsidRPr="00970BC4" w:rsidRDefault="001D1C60" w:rsidP="00FA490D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fr-FR"/>
        </w:rPr>
      </w:pPr>
      <w:r w:rsidRPr="00970BC4">
        <w:rPr>
          <w:rFonts w:ascii="Arial" w:hAnsi="Arial" w:cs="Arial"/>
          <w:sz w:val="22"/>
          <w:szCs w:val="22"/>
          <w:lang w:val="fr-FR"/>
        </w:rPr>
        <w:t>[Fin de l</w:t>
      </w:r>
      <w:r w:rsidR="00B45ACF" w:rsidRPr="00970BC4">
        <w:rPr>
          <w:rFonts w:ascii="Arial" w:hAnsi="Arial" w:cs="Arial"/>
          <w:sz w:val="22"/>
          <w:szCs w:val="22"/>
          <w:lang w:val="fr-FR"/>
        </w:rPr>
        <w:t>’</w:t>
      </w:r>
      <w:r w:rsidRPr="00970BC4">
        <w:rPr>
          <w:rFonts w:ascii="Arial" w:hAnsi="Arial" w:cs="Arial"/>
          <w:sz w:val="22"/>
          <w:szCs w:val="22"/>
          <w:lang w:val="fr-FR"/>
        </w:rPr>
        <w:t>an</w:t>
      </w:r>
      <w:bookmarkStart w:id="5" w:name="_GoBack"/>
      <w:bookmarkEnd w:id="5"/>
      <w:r w:rsidRPr="00970BC4">
        <w:rPr>
          <w:rFonts w:ascii="Arial" w:hAnsi="Arial" w:cs="Arial"/>
          <w:sz w:val="22"/>
          <w:szCs w:val="22"/>
          <w:lang w:val="fr-FR"/>
        </w:rPr>
        <w:t>nexe II et du document]</w:t>
      </w:r>
    </w:p>
    <w:sectPr w:rsidR="004D7FAF" w:rsidRPr="00970BC4" w:rsidSect="007D51F2"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DA" w:rsidRDefault="00E31DDA">
      <w:r>
        <w:separator/>
      </w:r>
    </w:p>
  </w:endnote>
  <w:endnote w:type="continuationSeparator" w:id="0">
    <w:p w:rsidR="00E31DDA" w:rsidRDefault="00E31DDA" w:rsidP="003B38C1">
      <w:r>
        <w:separator/>
      </w:r>
    </w:p>
    <w:p w:rsidR="00E31DDA" w:rsidRPr="003B38C1" w:rsidRDefault="00E31D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31DDA" w:rsidRPr="003B38C1" w:rsidRDefault="00E31D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DA" w:rsidRDefault="00E31D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F2" w:rsidRPr="007D51F2" w:rsidRDefault="007D51F2" w:rsidP="007D5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DA" w:rsidRDefault="00E31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DA" w:rsidRDefault="00E31DDA">
      <w:r>
        <w:separator/>
      </w:r>
    </w:p>
  </w:footnote>
  <w:footnote w:type="continuationSeparator" w:id="0">
    <w:p w:rsidR="00E31DDA" w:rsidRDefault="00E31DDA" w:rsidP="008B60B2">
      <w:r>
        <w:separator/>
      </w:r>
    </w:p>
    <w:p w:rsidR="00E31DDA" w:rsidRPr="00ED77FB" w:rsidRDefault="00E31D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31DDA" w:rsidRPr="00ED77FB" w:rsidRDefault="00E31D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F2" w:rsidRDefault="007D51F2">
    <w:pPr>
      <w:pStyle w:val="Header"/>
      <w:jc w:val="right"/>
    </w:pPr>
    <w:r>
      <w:t>WO/CC/67/1</w:t>
    </w:r>
  </w:p>
  <w:p w:rsidR="007D51F2" w:rsidRDefault="007D51F2">
    <w:pPr>
      <w:pStyle w:val="Header"/>
      <w:jc w:val="right"/>
    </w:pPr>
    <w:r>
      <w:t xml:space="preserve">page </w:t>
    </w:r>
    <w:sdt>
      <w:sdtPr>
        <w:id w:val="132763683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70A7" w:rsidRPr="004270A7">
          <w:rPr>
            <w:noProof/>
            <w:lang w:val="fr-FR"/>
          </w:rPr>
          <w:t>2</w:t>
        </w:r>
        <w:r>
          <w:fldChar w:fldCharType="end"/>
        </w:r>
      </w:sdtContent>
    </w:sdt>
  </w:p>
  <w:p w:rsidR="00E31DDA" w:rsidRPr="00E44146" w:rsidRDefault="00E31DDA" w:rsidP="007B66E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003315"/>
      <w:docPartObj>
        <w:docPartGallery w:val="Page Numbers (Top of Page)"/>
        <w:docPartUnique/>
      </w:docPartObj>
    </w:sdtPr>
    <w:sdtEndPr/>
    <w:sdtContent>
      <w:p w:rsidR="007D51F2" w:rsidRDefault="007D51F2">
        <w:pPr>
          <w:pStyle w:val="Header"/>
          <w:jc w:val="right"/>
        </w:pPr>
        <w:r>
          <w:t>WO/CC/67/1</w:t>
        </w:r>
      </w:p>
      <w:p w:rsidR="00E31DDA" w:rsidRDefault="007D51F2">
        <w:pPr>
          <w:pStyle w:val="Header"/>
          <w:jc w:val="right"/>
        </w:pPr>
        <w:proofErr w:type="spellStart"/>
        <w:r>
          <w:t>Annexe</w:t>
        </w:r>
        <w:proofErr w:type="spellEnd"/>
        <w:r>
          <w:t xml:space="preserve"> I, page </w:t>
        </w:r>
        <w:r w:rsidR="00E31DDA">
          <w:fldChar w:fldCharType="begin"/>
        </w:r>
        <w:r w:rsidR="00E31DDA">
          <w:instrText>PAGE   \* MERGEFORMAT</w:instrText>
        </w:r>
        <w:r w:rsidR="00E31DDA">
          <w:fldChar w:fldCharType="separate"/>
        </w:r>
        <w:r w:rsidR="004270A7">
          <w:rPr>
            <w:noProof/>
          </w:rPr>
          <w:t>3</w:t>
        </w:r>
        <w:r w:rsidR="00E31DDA">
          <w:fldChar w:fldCharType="end"/>
        </w:r>
      </w:p>
    </w:sdtContent>
  </w:sdt>
  <w:p w:rsidR="00E31DDA" w:rsidRPr="00E44146" w:rsidRDefault="00E31DDA" w:rsidP="007B66E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F2" w:rsidRDefault="007D51F2" w:rsidP="007D51F2">
    <w:pPr>
      <w:pStyle w:val="Header"/>
      <w:jc w:val="right"/>
    </w:pPr>
    <w:r>
      <w:t>WO/CC/67/1</w:t>
    </w:r>
  </w:p>
  <w:p w:rsidR="007D51F2" w:rsidRDefault="007D51F2" w:rsidP="007D51F2">
    <w:pPr>
      <w:pStyle w:val="Header"/>
      <w:jc w:val="right"/>
    </w:pPr>
    <w:r>
      <w:t>ANNEXE I</w:t>
    </w:r>
  </w:p>
  <w:p w:rsidR="007D51F2" w:rsidRDefault="007D51F2" w:rsidP="007D51F2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F2" w:rsidRPr="00E608F5" w:rsidRDefault="007D51F2">
    <w:pPr>
      <w:pStyle w:val="Header"/>
      <w:jc w:val="right"/>
      <w:rPr>
        <w:lang w:val="fr-CH"/>
      </w:rPr>
    </w:pPr>
    <w:r w:rsidRPr="00E608F5">
      <w:rPr>
        <w:lang w:val="fr-CH"/>
      </w:rPr>
      <w:t>WO/CC/67/1</w:t>
    </w:r>
  </w:p>
  <w:p w:rsidR="007D51F2" w:rsidRPr="00E608F5" w:rsidRDefault="007D51F2">
    <w:pPr>
      <w:pStyle w:val="Header"/>
      <w:jc w:val="right"/>
      <w:rPr>
        <w:lang w:val="fr-CH"/>
      </w:rPr>
    </w:pPr>
    <w:r w:rsidRPr="00E608F5">
      <w:rPr>
        <w:lang w:val="fr-CH"/>
      </w:rPr>
      <w:t xml:space="preserve">Annexe II, page </w:t>
    </w:r>
    <w:sdt>
      <w:sdtPr>
        <w:id w:val="-65344430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E608F5">
          <w:rPr>
            <w:lang w:val="fr-CH"/>
          </w:rPr>
          <w:instrText>PAGE   \* MERGEFORMAT</w:instrText>
        </w:r>
        <w:r>
          <w:fldChar w:fldCharType="separate"/>
        </w:r>
        <w:r w:rsidR="004270A7" w:rsidRPr="004270A7">
          <w:rPr>
            <w:noProof/>
            <w:lang w:val="fr-FR"/>
          </w:rPr>
          <w:t>5</w:t>
        </w:r>
        <w:r>
          <w:fldChar w:fldCharType="end"/>
        </w:r>
      </w:sdtContent>
    </w:sdt>
  </w:p>
  <w:p w:rsidR="007D51F2" w:rsidRPr="00B32BA3" w:rsidRDefault="007D51F2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DA" w:rsidRPr="00A455B1" w:rsidRDefault="00E31DDA" w:rsidP="00B150FC">
    <w:pPr>
      <w:jc w:val="right"/>
      <w:rPr>
        <w:szCs w:val="22"/>
        <w:lang w:val="fr-FR"/>
      </w:rPr>
    </w:pPr>
    <w:r w:rsidRPr="00A455B1">
      <w:rPr>
        <w:szCs w:val="22"/>
        <w:lang w:val="fr-FR"/>
      </w:rPr>
      <w:t>WO/CC/67/1</w:t>
    </w:r>
  </w:p>
  <w:p w:rsidR="00E31DDA" w:rsidRPr="00A455B1" w:rsidRDefault="00E31DDA" w:rsidP="00B150FC">
    <w:pPr>
      <w:tabs>
        <w:tab w:val="right" w:pos="9355"/>
      </w:tabs>
      <w:jc w:val="right"/>
      <w:rPr>
        <w:szCs w:val="22"/>
        <w:lang w:val="fr-FR"/>
      </w:rPr>
    </w:pPr>
    <w:r w:rsidRPr="00A455B1">
      <w:rPr>
        <w:szCs w:val="22"/>
        <w:lang w:val="fr-FR"/>
      </w:rPr>
      <w:t>ANNEXE II</w:t>
    </w:r>
  </w:p>
  <w:p w:rsidR="00E31DDA" w:rsidRPr="00A455B1" w:rsidRDefault="00E31DDA" w:rsidP="00B150FC">
    <w:pPr>
      <w:jc w:val="right"/>
      <w:rPr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767AC9"/>
    <w:multiLevelType w:val="hybridMultilevel"/>
    <w:tmpl w:val="9566F45A"/>
    <w:lvl w:ilvl="0" w:tplc="86A4A240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A52E5C36">
      <w:start w:val="5"/>
      <w:numFmt w:val="decimal"/>
      <w:lvlText w:val="%2."/>
      <w:lvlJc w:val="left"/>
      <w:pPr>
        <w:tabs>
          <w:tab w:val="num" w:pos="397"/>
        </w:tabs>
        <w:ind w:left="0" w:firstLine="0"/>
      </w:pPr>
      <w:rPr>
        <w:strike w:val="0"/>
        <w:dstrike w:val="0"/>
        <w:u w:val="none"/>
        <w:effect w:val="none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BB04E7"/>
    <w:multiLevelType w:val="hybridMultilevel"/>
    <w:tmpl w:val="5C72F89E"/>
    <w:lvl w:ilvl="0" w:tplc="4F2CB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72E4D"/>
    <w:multiLevelType w:val="hybridMultilevel"/>
    <w:tmpl w:val="9DFC63EA"/>
    <w:lvl w:ilvl="0" w:tplc="6FF2F174">
      <w:start w:val="1"/>
      <w:numFmt w:val="decimal"/>
      <w:lvlText w:val="%1."/>
      <w:lvlJc w:val="center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9715FC"/>
    <w:multiLevelType w:val="hybridMultilevel"/>
    <w:tmpl w:val="B868229E"/>
    <w:lvl w:ilvl="0" w:tplc="0419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</w:lvl>
    <w:lvl w:ilvl="1" w:tplc="3AAA1922">
      <w:start w:val="1"/>
      <w:numFmt w:val="decimal"/>
      <w:lvlText w:val="%2."/>
      <w:lvlJc w:val="left"/>
      <w:pPr>
        <w:tabs>
          <w:tab w:val="num" w:pos="682"/>
        </w:tabs>
        <w:ind w:left="2" w:firstLine="0"/>
      </w:pPr>
    </w:lvl>
    <w:lvl w:ilvl="2" w:tplc="04190017">
      <w:start w:val="1"/>
      <w:numFmt w:val="lowerLetter"/>
      <w:lvlText w:val="%3)"/>
      <w:lvlJc w:val="left"/>
      <w:pPr>
        <w:tabs>
          <w:tab w:val="num" w:pos="2342"/>
        </w:tabs>
        <w:ind w:left="23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DBE0CEA"/>
    <w:multiLevelType w:val="hybridMultilevel"/>
    <w:tmpl w:val="530EAB04"/>
    <w:lvl w:ilvl="0" w:tplc="B9D2454C">
      <w:start w:val="1"/>
      <w:numFmt w:val="decimal"/>
      <w:lvlText w:val="%1."/>
      <w:lvlJc w:val="left"/>
      <w:pPr>
        <w:ind w:left="750" w:hanging="750"/>
      </w:pPr>
    </w:lvl>
    <w:lvl w:ilvl="1" w:tplc="04190019">
      <w:start w:val="1"/>
      <w:numFmt w:val="lowerLetter"/>
      <w:lvlText w:val="%2."/>
      <w:lvlJc w:val="left"/>
      <w:pPr>
        <w:ind w:left="1442" w:hanging="360"/>
      </w:pPr>
    </w:lvl>
    <w:lvl w:ilvl="2" w:tplc="0419001B">
      <w:start w:val="1"/>
      <w:numFmt w:val="lowerRoman"/>
      <w:lvlText w:val="%3."/>
      <w:lvlJc w:val="right"/>
      <w:pPr>
        <w:ind w:left="2162" w:hanging="180"/>
      </w:pPr>
    </w:lvl>
    <w:lvl w:ilvl="3" w:tplc="0419000F">
      <w:start w:val="1"/>
      <w:numFmt w:val="decimal"/>
      <w:lvlText w:val="%4."/>
      <w:lvlJc w:val="left"/>
      <w:pPr>
        <w:ind w:left="2882" w:hanging="360"/>
      </w:pPr>
    </w:lvl>
    <w:lvl w:ilvl="4" w:tplc="04190019">
      <w:start w:val="1"/>
      <w:numFmt w:val="lowerLetter"/>
      <w:lvlText w:val="%5."/>
      <w:lvlJc w:val="left"/>
      <w:pPr>
        <w:ind w:left="3602" w:hanging="360"/>
      </w:pPr>
    </w:lvl>
    <w:lvl w:ilvl="5" w:tplc="0419001B">
      <w:start w:val="1"/>
      <w:numFmt w:val="lowerRoman"/>
      <w:lvlText w:val="%6."/>
      <w:lvlJc w:val="right"/>
      <w:pPr>
        <w:ind w:left="4322" w:hanging="180"/>
      </w:pPr>
    </w:lvl>
    <w:lvl w:ilvl="6" w:tplc="0419000F">
      <w:start w:val="1"/>
      <w:numFmt w:val="decimal"/>
      <w:lvlText w:val="%7."/>
      <w:lvlJc w:val="left"/>
      <w:pPr>
        <w:ind w:left="5042" w:hanging="360"/>
      </w:pPr>
    </w:lvl>
    <w:lvl w:ilvl="7" w:tplc="04190019">
      <w:start w:val="1"/>
      <w:numFmt w:val="lowerLetter"/>
      <w:lvlText w:val="%8."/>
      <w:lvlJc w:val="left"/>
      <w:pPr>
        <w:ind w:left="5762" w:hanging="360"/>
      </w:pPr>
    </w:lvl>
    <w:lvl w:ilvl="8" w:tplc="0419001B">
      <w:start w:val="1"/>
      <w:numFmt w:val="lowerRoman"/>
      <w:lvlText w:val="%9."/>
      <w:lvlJc w:val="right"/>
      <w:pPr>
        <w:ind w:left="6482" w:hanging="180"/>
      </w:pPr>
    </w:lvl>
  </w:abstractNum>
  <w:abstractNum w:abstractNumId="9">
    <w:nsid w:val="39401250"/>
    <w:multiLevelType w:val="hybridMultilevel"/>
    <w:tmpl w:val="14ECF668"/>
    <w:lvl w:ilvl="0" w:tplc="BEB6EBA4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</w:lvl>
    <w:lvl w:ilvl="1" w:tplc="4C8267B6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356D8E"/>
    <w:multiLevelType w:val="hybridMultilevel"/>
    <w:tmpl w:val="BD7CCB08"/>
    <w:lvl w:ilvl="0" w:tplc="48206832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5B0A86"/>
    <w:multiLevelType w:val="hybridMultilevel"/>
    <w:tmpl w:val="30721010"/>
    <w:lvl w:ilvl="0" w:tplc="31588942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75D86"/>
    <w:multiLevelType w:val="hybridMultilevel"/>
    <w:tmpl w:val="D7EC034A"/>
    <w:lvl w:ilvl="0" w:tplc="78861476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6026B4"/>
    <w:multiLevelType w:val="hybridMultilevel"/>
    <w:tmpl w:val="F6D60314"/>
    <w:lvl w:ilvl="0" w:tplc="A50EA62E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05480"/>
    <w:multiLevelType w:val="hybridMultilevel"/>
    <w:tmpl w:val="24F2A1BC"/>
    <w:lvl w:ilvl="0" w:tplc="3CFE2D3E">
      <w:start w:val="1"/>
      <w:numFmt w:val="lowerLetter"/>
      <w:lvlText w:val="%1)"/>
      <w:lvlJc w:val="left"/>
      <w:pPr>
        <w:tabs>
          <w:tab w:val="num" w:pos="720"/>
        </w:tabs>
        <w:ind w:left="0" w:firstLine="113"/>
      </w:pPr>
    </w:lvl>
    <w:lvl w:ilvl="1" w:tplc="93EC56B8">
      <w:start w:val="2"/>
      <w:numFmt w:val="decimal"/>
      <w:lvlText w:val="%2."/>
      <w:lvlJc w:val="left"/>
      <w:pPr>
        <w:tabs>
          <w:tab w:val="num" w:pos="454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B0526E"/>
    <w:multiLevelType w:val="hybridMultilevel"/>
    <w:tmpl w:val="C83C44DA"/>
    <w:lvl w:ilvl="0" w:tplc="0A10730E">
      <w:start w:val="1"/>
      <w:numFmt w:val="decimal"/>
      <w:lvlText w:val="%1."/>
      <w:lvlJc w:val="left"/>
      <w:pPr>
        <w:tabs>
          <w:tab w:val="num" w:pos="780"/>
        </w:tabs>
        <w:ind w:left="360" w:firstLine="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|WIPO"/>
    <w:docVar w:name="TermBaseURL" w:val="empty"/>
    <w:docVar w:name="TextBases" w:val="Administrative\Meetings|Administrative\Other|Administrative\Publications|Budget and Finance\Meetings|Budget and Finance\Other|Budget and Finance\Publications|IP in General\Publications|Patents\Meetings|Treaties\WIPO-administered|Treaties\Model Laws|Treaties\Other Laws and Agreements|IP in General\Meetings|IP in General\Press Room|IP in General\Other|Copyright\Meetings|Copyright\Other|Copyright\Publications|IP in General\Academy|IP in General\Arbitration and Mediation|Patents\Other|Patents\Publications|Trademarks\Meetings|Trademarks\Other|Trademarks\Publications|UPOV\Meetings|UPOV\Other|UPOV\Publications|UPOV\Technical Guidelines"/>
    <w:docVar w:name="TextBaseURL" w:val="empty"/>
    <w:docVar w:name="UILng" w:val="en"/>
  </w:docVars>
  <w:rsids>
    <w:rsidRoot w:val="00AA0ECC"/>
    <w:rsid w:val="00043CAA"/>
    <w:rsid w:val="000503DC"/>
    <w:rsid w:val="00056607"/>
    <w:rsid w:val="00071593"/>
    <w:rsid w:val="00075432"/>
    <w:rsid w:val="000968ED"/>
    <w:rsid w:val="000B7246"/>
    <w:rsid w:val="000C4F58"/>
    <w:rsid w:val="000F5E56"/>
    <w:rsid w:val="00135701"/>
    <w:rsid w:val="001362EE"/>
    <w:rsid w:val="00144DCF"/>
    <w:rsid w:val="00146A2E"/>
    <w:rsid w:val="00160B2D"/>
    <w:rsid w:val="00163BD9"/>
    <w:rsid w:val="001832A6"/>
    <w:rsid w:val="001C6DC1"/>
    <w:rsid w:val="001D1C60"/>
    <w:rsid w:val="00206566"/>
    <w:rsid w:val="002118C6"/>
    <w:rsid w:val="0021752E"/>
    <w:rsid w:val="0023598E"/>
    <w:rsid w:val="002634C4"/>
    <w:rsid w:val="00265A43"/>
    <w:rsid w:val="002928D3"/>
    <w:rsid w:val="002F1FE6"/>
    <w:rsid w:val="002F4E68"/>
    <w:rsid w:val="00301A16"/>
    <w:rsid w:val="00312F7F"/>
    <w:rsid w:val="0035622A"/>
    <w:rsid w:val="00361450"/>
    <w:rsid w:val="003673CF"/>
    <w:rsid w:val="00377D6C"/>
    <w:rsid w:val="003845C1"/>
    <w:rsid w:val="003971BD"/>
    <w:rsid w:val="003A47AE"/>
    <w:rsid w:val="003A6F89"/>
    <w:rsid w:val="003B38C1"/>
    <w:rsid w:val="00402B2E"/>
    <w:rsid w:val="00423E3E"/>
    <w:rsid w:val="00426A6F"/>
    <w:rsid w:val="004270A7"/>
    <w:rsid w:val="00427AF4"/>
    <w:rsid w:val="004647DA"/>
    <w:rsid w:val="00474062"/>
    <w:rsid w:val="00477D6B"/>
    <w:rsid w:val="004A5DEB"/>
    <w:rsid w:val="004D7FAF"/>
    <w:rsid w:val="005019FF"/>
    <w:rsid w:val="0053057A"/>
    <w:rsid w:val="00560A29"/>
    <w:rsid w:val="00565074"/>
    <w:rsid w:val="005C4A02"/>
    <w:rsid w:val="005C6649"/>
    <w:rsid w:val="005E4EA8"/>
    <w:rsid w:val="00605827"/>
    <w:rsid w:val="00612D9E"/>
    <w:rsid w:val="00646050"/>
    <w:rsid w:val="0065657E"/>
    <w:rsid w:val="00667BA2"/>
    <w:rsid w:val="006713CA"/>
    <w:rsid w:val="00676C5C"/>
    <w:rsid w:val="006A5ACE"/>
    <w:rsid w:val="006A7FDD"/>
    <w:rsid w:val="006B173D"/>
    <w:rsid w:val="006B1968"/>
    <w:rsid w:val="006C118A"/>
    <w:rsid w:val="006F17B8"/>
    <w:rsid w:val="006F4572"/>
    <w:rsid w:val="006F783C"/>
    <w:rsid w:val="00790F24"/>
    <w:rsid w:val="007B66E3"/>
    <w:rsid w:val="007D1613"/>
    <w:rsid w:val="007D51F2"/>
    <w:rsid w:val="007D5EC1"/>
    <w:rsid w:val="007E07FE"/>
    <w:rsid w:val="007E65A0"/>
    <w:rsid w:val="0080441E"/>
    <w:rsid w:val="00816E0F"/>
    <w:rsid w:val="00862710"/>
    <w:rsid w:val="008734C8"/>
    <w:rsid w:val="00897DC1"/>
    <w:rsid w:val="008A201B"/>
    <w:rsid w:val="008A30E5"/>
    <w:rsid w:val="008B2CC1"/>
    <w:rsid w:val="008B60B2"/>
    <w:rsid w:val="008C51AB"/>
    <w:rsid w:val="0090731E"/>
    <w:rsid w:val="00916EE2"/>
    <w:rsid w:val="009446D4"/>
    <w:rsid w:val="0095240D"/>
    <w:rsid w:val="00966A22"/>
    <w:rsid w:val="0096722F"/>
    <w:rsid w:val="00970BC4"/>
    <w:rsid w:val="00971836"/>
    <w:rsid w:val="00980350"/>
    <w:rsid w:val="00980843"/>
    <w:rsid w:val="009A00E6"/>
    <w:rsid w:val="009B4F9B"/>
    <w:rsid w:val="009E1636"/>
    <w:rsid w:val="009E2791"/>
    <w:rsid w:val="009E3F6F"/>
    <w:rsid w:val="009F499F"/>
    <w:rsid w:val="00A0535E"/>
    <w:rsid w:val="00A161D4"/>
    <w:rsid w:val="00A42DAF"/>
    <w:rsid w:val="00A455B1"/>
    <w:rsid w:val="00A45BD8"/>
    <w:rsid w:val="00A869B7"/>
    <w:rsid w:val="00AA0ECC"/>
    <w:rsid w:val="00AA7C44"/>
    <w:rsid w:val="00AB59B9"/>
    <w:rsid w:val="00AC205C"/>
    <w:rsid w:val="00AD3ADA"/>
    <w:rsid w:val="00AF0A6B"/>
    <w:rsid w:val="00B05A69"/>
    <w:rsid w:val="00B10DEB"/>
    <w:rsid w:val="00B150FC"/>
    <w:rsid w:val="00B26489"/>
    <w:rsid w:val="00B32BA3"/>
    <w:rsid w:val="00B45ACF"/>
    <w:rsid w:val="00B56341"/>
    <w:rsid w:val="00B9734B"/>
    <w:rsid w:val="00C0334C"/>
    <w:rsid w:val="00C11BFE"/>
    <w:rsid w:val="00CA26E0"/>
    <w:rsid w:val="00CF3C5A"/>
    <w:rsid w:val="00D163CC"/>
    <w:rsid w:val="00D27F2A"/>
    <w:rsid w:val="00D45252"/>
    <w:rsid w:val="00D71B4D"/>
    <w:rsid w:val="00D757D6"/>
    <w:rsid w:val="00D93D55"/>
    <w:rsid w:val="00DC530C"/>
    <w:rsid w:val="00E25E9D"/>
    <w:rsid w:val="00E31DDA"/>
    <w:rsid w:val="00E335FE"/>
    <w:rsid w:val="00E44146"/>
    <w:rsid w:val="00E608F5"/>
    <w:rsid w:val="00EC4E49"/>
    <w:rsid w:val="00ED222F"/>
    <w:rsid w:val="00ED77FB"/>
    <w:rsid w:val="00EE45FA"/>
    <w:rsid w:val="00EE608D"/>
    <w:rsid w:val="00EF7408"/>
    <w:rsid w:val="00F27049"/>
    <w:rsid w:val="00F66152"/>
    <w:rsid w:val="00F7749B"/>
    <w:rsid w:val="00F867AD"/>
    <w:rsid w:val="00F878B2"/>
    <w:rsid w:val="00FA490D"/>
    <w:rsid w:val="00FC4FC6"/>
    <w:rsid w:val="00FD63FC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AA0EC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AA0EC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EndofDocument">
    <w:name w:val="End of Document"/>
    <w:basedOn w:val="Normal"/>
    <w:rsid w:val="00AA0ECC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A0ECC"/>
    <w:pPr>
      <w:ind w:left="720"/>
      <w:contextualSpacing/>
    </w:pPr>
  </w:style>
  <w:style w:type="paragraph" w:customStyle="1" w:styleId="a">
    <w:name w:val="列出段落"/>
    <w:basedOn w:val="Normal"/>
    <w:uiPriority w:val="99"/>
    <w:qFormat/>
    <w:rsid w:val="00AA0ECC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HeaderChar">
    <w:name w:val="Header Char"/>
    <w:link w:val="Header"/>
    <w:uiPriority w:val="99"/>
    <w:rsid w:val="00AA0EC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612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D9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AA0EC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AA0EC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EndofDocument">
    <w:name w:val="End of Document"/>
    <w:basedOn w:val="Normal"/>
    <w:rsid w:val="00AA0ECC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A0ECC"/>
    <w:pPr>
      <w:ind w:left="720"/>
      <w:contextualSpacing/>
    </w:pPr>
  </w:style>
  <w:style w:type="paragraph" w:customStyle="1" w:styleId="a">
    <w:name w:val="列出段落"/>
    <w:basedOn w:val="Normal"/>
    <w:uiPriority w:val="99"/>
    <w:qFormat/>
    <w:rsid w:val="00AA0ECC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HeaderChar">
    <w:name w:val="Header Char"/>
    <w:link w:val="Header"/>
    <w:uiPriority w:val="99"/>
    <w:rsid w:val="00AA0EC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612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D9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6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32D8-BBBA-48AC-8E5A-120D7B8C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67 (E)</Template>
  <TotalTime>897</TotalTime>
  <Pages>10</Pages>
  <Words>3242</Words>
  <Characters>17695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WO/CC/67/</vt:lpstr>
      <vt:lpstr>WO/CC/67/</vt:lpstr>
    </vt:vector>
  </TitlesOfParts>
  <Company>WIPO</Company>
  <LinksUpToDate>false</LinksUpToDate>
  <CharactersWithSpaces>20896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WO/CC/67/1</dc:title>
  <dc:subject>Approval of Agreements</dc:subject>
  <dc:creator>HAPPY-DUMAS Juliet</dc:creator>
  <cp:keywords>JCH/cp</cp:keywords>
  <dc:description/>
  <cp:lastModifiedBy>MARIN-CUDRAZ DAVI Nicoletta</cp:lastModifiedBy>
  <cp:revision>52</cp:revision>
  <cp:lastPrinted>2013-05-30T13:57:00Z</cp:lastPrinted>
  <dcterms:created xsi:type="dcterms:W3CDTF">2013-05-21T14:41:00Z</dcterms:created>
  <dcterms:modified xsi:type="dcterms:W3CDTF">2013-06-13T14:24:00Z</dcterms:modified>
</cp:coreProperties>
</file>