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F911" w14:textId="77777777" w:rsidR="00011C4E" w:rsidRPr="000C7C81" w:rsidRDefault="000960F2" w:rsidP="000960F2">
      <w:pPr>
        <w:widowControl w:val="0"/>
        <w:jc w:val="right"/>
        <w:rPr>
          <w:b/>
          <w:sz w:val="2"/>
          <w:szCs w:val="40"/>
        </w:rPr>
      </w:pPr>
      <w:bookmarkStart w:id="0" w:name="TitleOfDoc"/>
      <w:bookmarkStart w:id="1" w:name="_GoBack"/>
      <w:bookmarkEnd w:id="0"/>
      <w:bookmarkEnd w:id="1"/>
      <w:r w:rsidRPr="000C7C81">
        <w:rPr>
          <w:b/>
          <w:sz w:val="40"/>
          <w:szCs w:val="40"/>
        </w:rPr>
        <w:t>F</w:t>
      </w:r>
    </w:p>
    <w:p w14:paraId="11625FBF" w14:textId="77777777" w:rsidR="00011C4E" w:rsidRPr="000C7C81" w:rsidRDefault="000960F2" w:rsidP="000960F2">
      <w:pPr>
        <w:spacing w:line="360" w:lineRule="auto"/>
        <w:ind w:left="4592"/>
        <w:rPr>
          <w:rFonts w:ascii="Arial Black" w:hAnsi="Arial Black"/>
          <w:caps/>
          <w:sz w:val="15"/>
        </w:rPr>
      </w:pPr>
      <w:r w:rsidRPr="000C7C81">
        <w:rPr>
          <w:noProof/>
          <w:lang w:val="en-US" w:eastAsia="en-US"/>
        </w:rPr>
        <w:drawing>
          <wp:inline distT="0" distB="0" distL="0" distR="0" wp14:anchorId="2ABB9EBD" wp14:editId="7AC5957E">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43298C0B" w14:textId="1838523D" w:rsidR="00011C4E" w:rsidRPr="000C7C81" w:rsidRDefault="000960F2" w:rsidP="000960F2">
      <w:pPr>
        <w:pBdr>
          <w:top w:val="single" w:sz="4" w:space="10" w:color="auto"/>
        </w:pBdr>
        <w:spacing w:before="120"/>
        <w:jc w:val="right"/>
        <w:rPr>
          <w:rFonts w:ascii="Arial Black" w:hAnsi="Arial Black"/>
          <w:b/>
          <w:caps/>
          <w:sz w:val="15"/>
        </w:rPr>
      </w:pPr>
      <w:r w:rsidRPr="000C7C81">
        <w:rPr>
          <w:rFonts w:ascii="Arial Black" w:hAnsi="Arial Black"/>
          <w:b/>
          <w:caps/>
          <w:sz w:val="15"/>
        </w:rPr>
        <w:t>PCT/A/51/</w:t>
      </w:r>
      <w:bookmarkStart w:id="2" w:name="Code"/>
      <w:bookmarkEnd w:id="2"/>
      <w:r w:rsidRPr="000C7C81">
        <w:rPr>
          <w:rFonts w:ascii="Arial Black" w:hAnsi="Arial Black"/>
          <w:b/>
          <w:caps/>
          <w:sz w:val="15"/>
        </w:rPr>
        <w:t>4</w:t>
      </w:r>
    </w:p>
    <w:p w14:paraId="71BBF89E" w14:textId="2D5D6479" w:rsidR="00011C4E" w:rsidRPr="000C7C81" w:rsidRDefault="000960F2" w:rsidP="000960F2">
      <w:pPr>
        <w:jc w:val="right"/>
        <w:rPr>
          <w:rFonts w:ascii="Arial Black" w:hAnsi="Arial Black"/>
          <w:b/>
          <w:caps/>
          <w:sz w:val="15"/>
        </w:rPr>
      </w:pPr>
      <w:r w:rsidRPr="000C7C81">
        <w:rPr>
          <w:rFonts w:ascii="Arial Black" w:hAnsi="Arial Black"/>
          <w:b/>
          <w:caps/>
          <w:sz w:val="15"/>
        </w:rPr>
        <w:t>ORIGINAL</w:t>
      </w:r>
      <w:r w:rsidR="00A9666D" w:rsidRPr="000C7C81">
        <w:rPr>
          <w:rFonts w:ascii="Arial Black" w:hAnsi="Arial Black"/>
          <w:b/>
          <w:caps/>
          <w:sz w:val="15"/>
        </w:rPr>
        <w:t> :</w:t>
      </w:r>
      <w:r w:rsidRPr="000C7C81">
        <w:rPr>
          <w:rFonts w:ascii="Arial Black" w:hAnsi="Arial Black"/>
          <w:b/>
          <w:caps/>
          <w:sz w:val="15"/>
        </w:rPr>
        <w:t xml:space="preserve"> </w:t>
      </w:r>
      <w:bookmarkStart w:id="3" w:name="Original"/>
      <w:bookmarkEnd w:id="3"/>
      <w:r w:rsidRPr="000C7C81">
        <w:rPr>
          <w:rFonts w:ascii="Arial Black" w:hAnsi="Arial Black"/>
          <w:b/>
          <w:caps/>
          <w:sz w:val="15"/>
        </w:rPr>
        <w:t>anglais</w:t>
      </w:r>
    </w:p>
    <w:p w14:paraId="04A72D20" w14:textId="381A7947" w:rsidR="00011C4E" w:rsidRPr="000C7C81" w:rsidRDefault="000960F2" w:rsidP="000960F2">
      <w:pPr>
        <w:spacing w:line="1680" w:lineRule="auto"/>
        <w:jc w:val="right"/>
        <w:rPr>
          <w:rFonts w:ascii="Arial Black" w:hAnsi="Arial Black"/>
          <w:b/>
          <w:caps/>
          <w:sz w:val="15"/>
        </w:rPr>
      </w:pPr>
      <w:r w:rsidRPr="000C7C81">
        <w:rPr>
          <w:rFonts w:ascii="Arial Black" w:hAnsi="Arial Black"/>
          <w:b/>
          <w:caps/>
          <w:sz w:val="15"/>
        </w:rPr>
        <w:t>DATE</w:t>
      </w:r>
      <w:r w:rsidR="00A9666D" w:rsidRPr="000C7C81">
        <w:rPr>
          <w:rFonts w:ascii="Arial Black" w:hAnsi="Arial Black"/>
          <w:b/>
          <w:caps/>
          <w:sz w:val="15"/>
        </w:rPr>
        <w:t> :</w:t>
      </w:r>
      <w:r w:rsidRPr="000C7C81">
        <w:rPr>
          <w:rFonts w:ascii="Arial Black" w:hAnsi="Arial Black"/>
          <w:b/>
          <w:caps/>
          <w:sz w:val="15"/>
        </w:rPr>
        <w:t xml:space="preserve"> </w:t>
      </w:r>
      <w:bookmarkStart w:id="4" w:name="Date"/>
      <w:bookmarkEnd w:id="4"/>
      <w:r w:rsidR="00D770CA">
        <w:rPr>
          <w:rFonts w:ascii="Arial Black" w:hAnsi="Arial Black"/>
          <w:b/>
          <w:caps/>
          <w:sz w:val="15"/>
        </w:rPr>
        <w:t>13 décem</w:t>
      </w:r>
      <w:r w:rsidR="00A9666D" w:rsidRPr="000C7C81">
        <w:rPr>
          <w:rFonts w:ascii="Arial Black" w:hAnsi="Arial Black"/>
          <w:b/>
          <w:caps/>
          <w:sz w:val="15"/>
        </w:rPr>
        <w:t>bre 20</w:t>
      </w:r>
      <w:r w:rsidRPr="000C7C81">
        <w:rPr>
          <w:rFonts w:ascii="Arial Black" w:hAnsi="Arial Black"/>
          <w:b/>
          <w:caps/>
          <w:sz w:val="15"/>
        </w:rPr>
        <w:t>19</w:t>
      </w:r>
    </w:p>
    <w:p w14:paraId="31060081" w14:textId="4817110F" w:rsidR="00011C4E" w:rsidRPr="000C7C81" w:rsidRDefault="000960F2" w:rsidP="000960F2">
      <w:pPr>
        <w:pStyle w:val="Heading1"/>
      </w:pPr>
      <w:r w:rsidRPr="000C7C81">
        <w:t xml:space="preserve">Union internationale de coopération en matière de brevets </w:t>
      </w:r>
      <w:r w:rsidRPr="000C7C81">
        <w:br/>
        <w:t>(Union</w:t>
      </w:r>
      <w:r w:rsidR="00A9666D" w:rsidRPr="000C7C81">
        <w:t xml:space="preserve"> du PCT</w:t>
      </w:r>
      <w:r w:rsidRPr="000C7C81">
        <w:t>)</w:t>
      </w:r>
    </w:p>
    <w:p w14:paraId="27852B06" w14:textId="77777777" w:rsidR="00011C4E" w:rsidRPr="000C7C81" w:rsidRDefault="000960F2" w:rsidP="000960F2">
      <w:pPr>
        <w:pStyle w:val="Heading1"/>
      </w:pPr>
      <w:r w:rsidRPr="000C7C81">
        <w:t>Assemblée</w:t>
      </w:r>
    </w:p>
    <w:p w14:paraId="6298A580" w14:textId="6CE22BFB" w:rsidR="00011C4E" w:rsidRPr="000C7C81" w:rsidRDefault="000960F2" w:rsidP="000960F2">
      <w:pPr>
        <w:spacing w:after="720"/>
        <w:rPr>
          <w:b/>
          <w:sz w:val="24"/>
        </w:rPr>
      </w:pPr>
      <w:r w:rsidRPr="000C7C81">
        <w:rPr>
          <w:b/>
          <w:sz w:val="24"/>
        </w:rPr>
        <w:t>Cinquante</w:t>
      </w:r>
      <w:r w:rsidR="00A9666D" w:rsidRPr="000C7C81">
        <w:rPr>
          <w:b/>
          <w:sz w:val="24"/>
        </w:rPr>
        <w:t> et unième session</w:t>
      </w:r>
      <w:r w:rsidRPr="000C7C81">
        <w:rPr>
          <w:b/>
          <w:sz w:val="24"/>
        </w:rPr>
        <w:t xml:space="preserve"> (22</w:t>
      </w:r>
      <w:r w:rsidRPr="000C7C81">
        <w:rPr>
          <w:b/>
          <w:sz w:val="24"/>
          <w:vertAlign w:val="superscript"/>
        </w:rPr>
        <w:t>e</w:t>
      </w:r>
      <w:r w:rsidRPr="000C7C81">
        <w:rPr>
          <w:b/>
          <w:sz w:val="24"/>
        </w:rPr>
        <w:t xml:space="preserve"> session ordinaire)</w:t>
      </w:r>
      <w:r w:rsidRPr="000C7C81">
        <w:rPr>
          <w:b/>
          <w:sz w:val="24"/>
        </w:rPr>
        <w:br/>
        <w:t>Genève, 30</w:t>
      </w:r>
      <w:r w:rsidR="00A44F45" w:rsidRPr="000C7C81">
        <w:rPr>
          <w:b/>
          <w:sz w:val="24"/>
        </w:rPr>
        <w:t> </w:t>
      </w:r>
      <w:r w:rsidRPr="000C7C81">
        <w:rPr>
          <w:b/>
          <w:sz w:val="24"/>
        </w:rPr>
        <w:t>septembre – 9</w:t>
      </w:r>
      <w:r w:rsidR="00A44F45" w:rsidRPr="000C7C81">
        <w:rPr>
          <w:b/>
          <w:sz w:val="24"/>
        </w:rPr>
        <w:t> </w:t>
      </w:r>
      <w:r w:rsidR="00A9666D" w:rsidRPr="000C7C81">
        <w:rPr>
          <w:b/>
          <w:sz w:val="24"/>
        </w:rPr>
        <w:t>octobre 20</w:t>
      </w:r>
      <w:r w:rsidRPr="000C7C81">
        <w:rPr>
          <w:b/>
          <w:sz w:val="24"/>
        </w:rPr>
        <w:t>19</w:t>
      </w:r>
    </w:p>
    <w:p w14:paraId="719F41D9" w14:textId="75D07303" w:rsidR="00011C4E" w:rsidRPr="000C7C81" w:rsidRDefault="00D770CA" w:rsidP="003D2030">
      <w:pPr>
        <w:spacing w:after="360"/>
        <w:rPr>
          <w:caps/>
          <w:sz w:val="24"/>
        </w:rPr>
      </w:pPr>
      <w:r>
        <w:rPr>
          <w:caps/>
          <w:sz w:val="24"/>
        </w:rPr>
        <w:t>R</w:t>
      </w:r>
      <w:r w:rsidR="000960F2" w:rsidRPr="000C7C81">
        <w:rPr>
          <w:caps/>
          <w:sz w:val="24"/>
        </w:rPr>
        <w:t>apport</w:t>
      </w:r>
    </w:p>
    <w:p w14:paraId="010C8B19" w14:textId="02A991DE" w:rsidR="00011C4E" w:rsidRPr="000C7C81" w:rsidRDefault="00D770CA" w:rsidP="009C127D">
      <w:pPr>
        <w:spacing w:after="960"/>
        <w:rPr>
          <w:i/>
        </w:rPr>
      </w:pPr>
      <w:bookmarkStart w:id="5" w:name="Prepared"/>
      <w:bookmarkEnd w:id="5"/>
      <w:proofErr w:type="gramStart"/>
      <w:r>
        <w:rPr>
          <w:i/>
        </w:rPr>
        <w:t>adopté</w:t>
      </w:r>
      <w:proofErr w:type="gramEnd"/>
      <w:r>
        <w:rPr>
          <w:i/>
        </w:rPr>
        <w:t xml:space="preserve"> par l’assemblée</w:t>
      </w:r>
    </w:p>
    <w:p w14:paraId="29A581F6" w14:textId="03D8E01D" w:rsidR="00011C4E" w:rsidRPr="000C7C81" w:rsidRDefault="000960F2" w:rsidP="000960F2">
      <w:pPr>
        <w:pStyle w:val="ONUMFS"/>
      </w:pPr>
      <w:r w:rsidRPr="000C7C81">
        <w:t>L</w:t>
      </w:r>
      <w:r w:rsidR="00A9666D" w:rsidRPr="000C7C81">
        <w:t>’</w:t>
      </w:r>
      <w:r w:rsidRPr="000C7C81">
        <w:t>assemblée avait à examiner les points suivants de l</w:t>
      </w:r>
      <w:r w:rsidR="00A9666D" w:rsidRPr="000C7C81">
        <w:t>’</w:t>
      </w:r>
      <w:r w:rsidRPr="000C7C81">
        <w:t>ordre du jour unifié (document</w:t>
      </w:r>
      <w:r w:rsidR="00EB552D" w:rsidRPr="000C7C81">
        <w:t> </w:t>
      </w:r>
      <w:r w:rsidRPr="000C7C81">
        <w:t>A/59/1)</w:t>
      </w:r>
      <w:r w:rsidR="00A9666D" w:rsidRPr="000C7C81">
        <w:t> :</w:t>
      </w:r>
      <w:r w:rsidRPr="000C7C81">
        <w:t xml:space="preserve"> 1</w:t>
      </w:r>
      <w:r w:rsidR="00F74BCA">
        <w:t>, 2, 3, 4, 5,</w:t>
      </w:r>
      <w:r w:rsidRPr="000C7C81">
        <w:t xml:space="preserve"> 6, 8, 11.ii), 13, 14, 23, 32 et 33.</w:t>
      </w:r>
    </w:p>
    <w:p w14:paraId="7F8EC625" w14:textId="56E63AD8" w:rsidR="00011C4E" w:rsidRPr="000C7C81" w:rsidRDefault="000960F2" w:rsidP="000960F2">
      <w:pPr>
        <w:pStyle w:val="ONUMFS"/>
      </w:pPr>
      <w:r w:rsidRPr="000C7C81">
        <w:t>Les rapports sur ces points, à l</w:t>
      </w:r>
      <w:r w:rsidR="00A9666D" w:rsidRPr="000C7C81">
        <w:t>’</w:t>
      </w:r>
      <w:r w:rsidRPr="000C7C81">
        <w:t>exception du point 23, figurent dans le rapport général (document A/59/14).</w:t>
      </w:r>
    </w:p>
    <w:p w14:paraId="7CC569EC" w14:textId="521D6588" w:rsidR="00011C4E" w:rsidRPr="000C7C81" w:rsidRDefault="000960F2" w:rsidP="000960F2">
      <w:pPr>
        <w:pStyle w:val="ONUMFS"/>
      </w:pPr>
      <w:r w:rsidRPr="000C7C81">
        <w:t>Le rapport sur le point</w:t>
      </w:r>
      <w:r w:rsidR="00F536D8" w:rsidRPr="000C7C81">
        <w:t> </w:t>
      </w:r>
      <w:r w:rsidRPr="000C7C81">
        <w:t>23 figure dans le présent document.</w:t>
      </w:r>
    </w:p>
    <w:p w14:paraId="3799118D" w14:textId="03076704" w:rsidR="00011C4E" w:rsidRPr="000C7C81" w:rsidRDefault="000960F2" w:rsidP="00F74BCA">
      <w:pPr>
        <w:pStyle w:val="ONUMFS"/>
      </w:pPr>
      <w:r w:rsidRPr="000C7C81">
        <w:t>M. </w:t>
      </w:r>
      <w:proofErr w:type="spellStart"/>
      <w:r w:rsidRPr="000C7C81">
        <w:t>Sandris</w:t>
      </w:r>
      <w:proofErr w:type="spellEnd"/>
      <w:r w:rsidRPr="000C7C81">
        <w:t> </w:t>
      </w:r>
      <w:proofErr w:type="spellStart"/>
      <w:r w:rsidRPr="000C7C81">
        <w:t>Laganovskis</w:t>
      </w:r>
      <w:proofErr w:type="spellEnd"/>
      <w:r w:rsidRPr="000C7C81">
        <w:t xml:space="preserve"> (Lettonie), a été élu président de </w:t>
      </w:r>
      <w:proofErr w:type="gramStart"/>
      <w:r w:rsidRPr="000C7C81">
        <w:t>l</w:t>
      </w:r>
      <w:r w:rsidR="00A9666D" w:rsidRPr="000C7C81">
        <w:t>’</w:t>
      </w:r>
      <w:r w:rsidRPr="000C7C81">
        <w:t xml:space="preserve">assemblée;  </w:t>
      </w:r>
      <w:r w:rsidR="00F74BCA" w:rsidRPr="00F74BCA">
        <w:t>M.</w:t>
      </w:r>
      <w:proofErr w:type="gramEnd"/>
      <w:r w:rsidR="00F74BCA">
        <w:t> </w:t>
      </w:r>
      <w:proofErr w:type="spellStart"/>
      <w:r w:rsidR="00F74BCA" w:rsidRPr="00F74BCA">
        <w:t>Abdulaziz</w:t>
      </w:r>
      <w:proofErr w:type="spellEnd"/>
      <w:r w:rsidR="00F74BCA">
        <w:t> </w:t>
      </w:r>
      <w:r w:rsidR="00F74BCA" w:rsidRPr="00F74BCA">
        <w:t xml:space="preserve">Mohammed </w:t>
      </w:r>
      <w:proofErr w:type="spellStart"/>
      <w:r w:rsidR="00F74BCA" w:rsidRPr="00F74BCA">
        <w:t>Alswailem</w:t>
      </w:r>
      <w:proofErr w:type="spellEnd"/>
      <w:r w:rsidR="00F74BCA" w:rsidRPr="00F74BCA">
        <w:t xml:space="preserve"> (</w:t>
      </w:r>
      <w:r w:rsidR="00F74BCA">
        <w:t>Arabie saoudite</w:t>
      </w:r>
      <w:r w:rsidR="00F74BCA" w:rsidRPr="00F74BCA">
        <w:t>), M</w:t>
      </w:r>
      <w:r w:rsidR="00F74BCA">
        <w:t>me Grâce </w:t>
      </w:r>
      <w:proofErr w:type="spellStart"/>
      <w:r w:rsidR="00F74BCA" w:rsidRPr="00F74BCA">
        <w:t>Issahaque</w:t>
      </w:r>
      <w:proofErr w:type="spellEnd"/>
      <w:r w:rsidR="00F74BCA" w:rsidRPr="00F74BCA">
        <w:t xml:space="preserve"> (Ghana) (2019</w:t>
      </w:r>
      <w:r w:rsidR="00D770CA">
        <w:noBreakHyphen/>
      </w:r>
      <w:r w:rsidR="00F74BCA" w:rsidRPr="00F74BCA">
        <w:t xml:space="preserve">2020) </w:t>
      </w:r>
      <w:r w:rsidR="00F74BCA">
        <w:t>et M</w:t>
      </w:r>
      <w:r w:rsidR="00F74BCA" w:rsidRPr="00F74BCA">
        <w:t xml:space="preserve">. </w:t>
      </w:r>
      <w:proofErr w:type="spellStart"/>
      <w:r w:rsidR="00F74BCA" w:rsidRPr="00F74BCA">
        <w:t>Shen</w:t>
      </w:r>
      <w:proofErr w:type="spellEnd"/>
      <w:r w:rsidR="00F74BCA" w:rsidRPr="00F74BCA">
        <w:t xml:space="preserve"> </w:t>
      </w:r>
      <w:proofErr w:type="spellStart"/>
      <w:r w:rsidR="00F74BCA" w:rsidRPr="00F74BCA">
        <w:t>Changyu</w:t>
      </w:r>
      <w:proofErr w:type="spellEnd"/>
      <w:r w:rsidR="00F74BCA" w:rsidRPr="00F74BCA">
        <w:t xml:space="preserve"> (Chin</w:t>
      </w:r>
      <w:r w:rsidR="00F74BCA">
        <w:t>e</w:t>
      </w:r>
      <w:r w:rsidR="00F74BCA" w:rsidRPr="00F74BCA">
        <w:t>) (2020</w:t>
      </w:r>
      <w:r w:rsidR="00D770CA">
        <w:noBreakHyphen/>
      </w:r>
      <w:r w:rsidR="00F74BCA" w:rsidRPr="00F74BCA">
        <w:t>2021)</w:t>
      </w:r>
      <w:r w:rsidRPr="000C7C81">
        <w:t xml:space="preserve"> ont été élus vice</w:t>
      </w:r>
      <w:r w:rsidR="00D770CA">
        <w:noBreakHyphen/>
      </w:r>
      <w:r w:rsidRPr="000C7C81">
        <w:t>présidents.</w:t>
      </w:r>
    </w:p>
    <w:p w14:paraId="56C7845D" w14:textId="77777777" w:rsidR="000C7C81" w:rsidRDefault="000C7C81">
      <w:pPr>
        <w:rPr>
          <w:bCs/>
          <w:iCs/>
          <w:caps/>
          <w:szCs w:val="28"/>
        </w:rPr>
      </w:pPr>
      <w:r>
        <w:br w:type="page"/>
      </w:r>
    </w:p>
    <w:p w14:paraId="58876971" w14:textId="2310CE4F" w:rsidR="00011C4E" w:rsidRPr="000C7C81" w:rsidRDefault="00D42CDD" w:rsidP="00D42CDD">
      <w:pPr>
        <w:pStyle w:val="Heading2"/>
      </w:pPr>
      <w:r w:rsidRPr="000C7C81">
        <w:lastRenderedPageBreak/>
        <w:t>Point</w:t>
      </w:r>
      <w:r w:rsidR="00A44F45" w:rsidRPr="000C7C81">
        <w:t> </w:t>
      </w:r>
      <w:r w:rsidRPr="000C7C81">
        <w:t>23 de l</w:t>
      </w:r>
      <w:r w:rsidR="00A9666D" w:rsidRPr="000C7C81">
        <w:t>’</w:t>
      </w:r>
      <w:r w:rsidRPr="000C7C81">
        <w:t>ordre du jour unifié</w:t>
      </w:r>
    </w:p>
    <w:p w14:paraId="3405644D" w14:textId="4E7DEC0C" w:rsidR="00011C4E" w:rsidRPr="000C7C81" w:rsidRDefault="00D42CDD" w:rsidP="00D42CDD">
      <w:pPr>
        <w:pStyle w:val="Heading2"/>
      </w:pPr>
      <w:r w:rsidRPr="000C7C81">
        <w:t>Système</w:t>
      </w:r>
      <w:r w:rsidR="00A9666D" w:rsidRPr="000C7C81">
        <w:t xml:space="preserve"> du PCT</w:t>
      </w:r>
    </w:p>
    <w:p w14:paraId="7926A69E" w14:textId="3ED94168" w:rsidR="00011C4E" w:rsidRPr="000C7C81" w:rsidRDefault="00DA0F85" w:rsidP="00D42CDD">
      <w:pPr>
        <w:pStyle w:val="ONUMFS"/>
      </w:pPr>
      <w:r w:rsidRPr="000C7C81">
        <w:t>Le président a salué l</w:t>
      </w:r>
      <w:r w:rsidR="00A9666D" w:rsidRPr="000C7C81">
        <w:t>’</w:t>
      </w:r>
      <w:r w:rsidRPr="000C7C81">
        <w:t>adhésion du Samoa à l</w:t>
      </w:r>
      <w:r w:rsidR="00A9666D" w:rsidRPr="000C7C81">
        <w:t>’</w:t>
      </w:r>
      <w:r w:rsidRPr="000C7C81">
        <w:t>Union</w:t>
      </w:r>
      <w:r w:rsidR="00A9666D" w:rsidRPr="000C7C81">
        <w:t xml:space="preserve"> du PCT</w:t>
      </w:r>
      <w:r w:rsidRPr="000C7C81">
        <w:t xml:space="preserve"> à la suite du dépôt de son instrument d</w:t>
      </w:r>
      <w:r w:rsidR="00A9666D" w:rsidRPr="000C7C81">
        <w:t>’</w:t>
      </w:r>
      <w:r w:rsidRPr="000C7C81">
        <w:t>adhésion le 2 octobre 2019, portant ainsi le nombre d</w:t>
      </w:r>
      <w:r w:rsidR="00A9666D" w:rsidRPr="000C7C81">
        <w:t>’</w:t>
      </w:r>
      <w:r w:rsidRPr="000C7C81">
        <w:t>États contractants</w:t>
      </w:r>
      <w:r w:rsidR="00A9666D" w:rsidRPr="000C7C81">
        <w:t xml:space="preserve"> du PCT</w:t>
      </w:r>
      <w:r w:rsidRPr="000C7C81">
        <w:t xml:space="preserve"> à 153.  Le président a également souhaité plein succès à l</w:t>
      </w:r>
      <w:r w:rsidR="00A9666D" w:rsidRPr="000C7C81">
        <w:t>’</w:t>
      </w:r>
      <w:r w:rsidRPr="000C7C81">
        <w:t>Office de la propriété intellectuelle des Philippines dans ses activités en qualité d</w:t>
      </w:r>
      <w:r w:rsidR="00A9666D" w:rsidRPr="000C7C81">
        <w:t>’</w:t>
      </w:r>
      <w:r w:rsidRPr="000C7C81">
        <w:t>administration chargée de la recherche internationale et de l</w:t>
      </w:r>
      <w:r w:rsidR="00A9666D" w:rsidRPr="000C7C81">
        <w:t>’</w:t>
      </w:r>
      <w:r w:rsidRPr="000C7C81">
        <w:t xml:space="preserve">examen préliminaire international, qui </w:t>
      </w:r>
      <w:r w:rsidR="00982EAA" w:rsidRPr="000C7C81">
        <w:t>avaient</w:t>
      </w:r>
      <w:r w:rsidRPr="000C7C81">
        <w:t xml:space="preserve"> débuté </w:t>
      </w:r>
      <w:r w:rsidR="00982EAA" w:rsidRPr="000C7C81">
        <w:t>de</w:t>
      </w:r>
      <w:r w:rsidRPr="000C7C81">
        <w:t>puis la dernière session de l</w:t>
      </w:r>
      <w:r w:rsidR="00A9666D" w:rsidRPr="000C7C81">
        <w:t>’</w:t>
      </w:r>
      <w:r w:rsidR="00982EAA" w:rsidRPr="000C7C81">
        <w:t>a</w:t>
      </w:r>
      <w:r w:rsidRPr="000C7C81">
        <w:t>ssemblée en octobre 2018.</w:t>
      </w:r>
    </w:p>
    <w:p w14:paraId="69282A6B" w14:textId="77777777" w:rsidR="00011C4E" w:rsidRPr="000C7C81" w:rsidRDefault="00D42CDD" w:rsidP="00D42CDD">
      <w:pPr>
        <w:pStyle w:val="Heading4"/>
      </w:pPr>
      <w:r w:rsidRPr="000C7C81">
        <w:t>Rapport sur le Groupe de travail du PCT</w:t>
      </w:r>
    </w:p>
    <w:p w14:paraId="4CFC3D6F" w14:textId="77777777" w:rsidR="00011C4E" w:rsidRPr="000C7C81" w:rsidRDefault="00D42CDD" w:rsidP="00D42CDD">
      <w:pPr>
        <w:pStyle w:val="ONUMFS"/>
      </w:pPr>
      <w:r w:rsidRPr="000C7C81">
        <w:t>Les délibérations ont eu lieu sur la base du document</w:t>
      </w:r>
      <w:r w:rsidR="001403F6" w:rsidRPr="000C7C81">
        <w:t xml:space="preserve"> PCT/A/51/1.</w:t>
      </w:r>
    </w:p>
    <w:p w14:paraId="03A4E9AA" w14:textId="05742F76" w:rsidR="00011C4E" w:rsidRPr="000C7C81" w:rsidRDefault="00D42CDD" w:rsidP="00D42CDD">
      <w:pPr>
        <w:pStyle w:val="ONUMFS"/>
      </w:pPr>
      <w:r w:rsidRPr="000C7C81">
        <w:t>Le Secrétariat a présenté le document, qui contenait un rapport sur la douz</w:t>
      </w:r>
      <w:r w:rsidR="00A9666D" w:rsidRPr="000C7C81">
        <w:t>ième session</w:t>
      </w:r>
      <w:r w:rsidRPr="000C7C81">
        <w:t xml:space="preserve"> du Groupe de travail du </w:t>
      </w:r>
      <w:r w:rsidR="00EB552D" w:rsidRPr="000C7C81">
        <w:t>PCT.  Le</w:t>
      </w:r>
      <w:r w:rsidRPr="000C7C81">
        <w:t xml:space="preserve"> programme de travail de cette session était chargé, avec 25 points inscrits à l</w:t>
      </w:r>
      <w:r w:rsidR="00A9666D" w:rsidRPr="000C7C81">
        <w:t>’</w:t>
      </w:r>
      <w:r w:rsidRPr="000C7C81">
        <w:t>ordre du jour et 23 documents de travail à examin</w:t>
      </w:r>
      <w:r w:rsidR="00EB552D" w:rsidRPr="000C7C81">
        <w:t>er.  Ce</w:t>
      </w:r>
      <w:r w:rsidRPr="000C7C81">
        <w:t>la démontrait l</w:t>
      </w:r>
      <w:r w:rsidR="00A9666D" w:rsidRPr="000C7C81">
        <w:t>’</w:t>
      </w:r>
      <w:r w:rsidRPr="000C7C81">
        <w:t>intérêt constant pour le développement du système du PCT en tant que pilier central du système international des brevets afin d</w:t>
      </w:r>
      <w:r w:rsidR="00A9666D" w:rsidRPr="000C7C81">
        <w:t>’</w:t>
      </w:r>
      <w:r w:rsidRPr="000C7C81">
        <w:t>apporter de nouvelles améliorations au profit des offices et des utilisateu</w:t>
      </w:r>
      <w:r w:rsidR="00EB552D" w:rsidRPr="000C7C81">
        <w:t>rs.  Un</w:t>
      </w:r>
      <w:r w:rsidRPr="000C7C81">
        <w:t xml:space="preserve"> document distinct (document PCT/A/51/2) apportant des modifications au règlement d</w:t>
      </w:r>
      <w:r w:rsidR="00A9666D" w:rsidRPr="000C7C81">
        <w:t>’</w:t>
      </w:r>
      <w:r w:rsidRPr="000C7C81">
        <w:t>exécution du PCT, approuvé par le groupe de travail, avait été soumis à l</w:t>
      </w:r>
      <w:r w:rsidR="00A9666D" w:rsidRPr="000C7C81">
        <w:t>’</w:t>
      </w:r>
      <w:r w:rsidRPr="000C7C81">
        <w:t>assemblée pour décisi</w:t>
      </w:r>
      <w:r w:rsidR="00EB552D" w:rsidRPr="000C7C81">
        <w:t>on.  Le</w:t>
      </w:r>
      <w:r w:rsidR="00DA0F85" w:rsidRPr="000C7C81">
        <w:t xml:space="preserve"> groupe de travail avait également examiné les critères relatifs à certa</w:t>
      </w:r>
      <w:r w:rsidR="00982EAA" w:rsidRPr="000C7C81">
        <w:t>ines réductions de taxes que l</w:t>
      </w:r>
      <w:r w:rsidR="00A9666D" w:rsidRPr="000C7C81">
        <w:t>’</w:t>
      </w:r>
      <w:r w:rsidR="00982EAA" w:rsidRPr="000C7C81">
        <w:t>a</w:t>
      </w:r>
      <w:r w:rsidR="00DA0F85" w:rsidRPr="000C7C81">
        <w:t xml:space="preserve">ssemblée est tenue de réexaminer régulièrement et un document distinct sur ce point </w:t>
      </w:r>
      <w:r w:rsidR="00F519CA" w:rsidRPr="000C7C81">
        <w:t xml:space="preserve">(document PCT/A/51/3) </w:t>
      </w:r>
      <w:r w:rsidR="00982EAA" w:rsidRPr="000C7C81">
        <w:t>avait été soumis à l</w:t>
      </w:r>
      <w:r w:rsidR="00A9666D" w:rsidRPr="000C7C81">
        <w:t>’</w:t>
      </w:r>
      <w:r w:rsidR="00982EAA" w:rsidRPr="000C7C81">
        <w:t>a</w:t>
      </w:r>
      <w:r w:rsidR="00DA0F85" w:rsidRPr="000C7C81">
        <w:t>ssemblée pour décisi</w:t>
      </w:r>
      <w:r w:rsidR="00EB552D" w:rsidRPr="000C7C81">
        <w:t>on.  Le</w:t>
      </w:r>
      <w:r w:rsidR="00DA0F85" w:rsidRPr="000C7C81">
        <w:t xml:space="preserve"> résumé présenté par le président qui est joint à ce document présentait un aperçu de tous les points discutés au cours de la session.</w:t>
      </w:r>
    </w:p>
    <w:p w14:paraId="18AE9C1D" w14:textId="342999BE" w:rsidR="00011C4E" w:rsidRPr="000C7C81" w:rsidRDefault="007A66F6" w:rsidP="00D42CDD">
      <w:pPr>
        <w:pStyle w:val="ONUMFS"/>
      </w:pPr>
      <w:r w:rsidRPr="000C7C81">
        <w:t>La délégation de Colombie s</w:t>
      </w:r>
      <w:r w:rsidR="00A9666D" w:rsidRPr="000C7C81">
        <w:t>’</w:t>
      </w:r>
      <w:r w:rsidRPr="000C7C81">
        <w:t>est déclarée favorable à la convocation d</w:t>
      </w:r>
      <w:r w:rsidR="00A9666D" w:rsidRPr="000C7C81">
        <w:t>’</w:t>
      </w:r>
      <w:r w:rsidRPr="000C7C81">
        <w:t xml:space="preserve">une </w:t>
      </w:r>
      <w:r w:rsidR="0011780E" w:rsidRPr="000C7C81">
        <w:t>session</w:t>
      </w:r>
      <w:r w:rsidRPr="000C7C81">
        <w:t xml:space="preserve"> du Groupe de travail</w:t>
      </w:r>
      <w:r w:rsidR="00A9666D" w:rsidRPr="000C7C81">
        <w:t xml:space="preserve"> du PCT</w:t>
      </w:r>
      <w:r w:rsidRPr="000C7C81">
        <w:t xml:space="preserve"> </w:t>
      </w:r>
      <w:r w:rsidR="00982EAA" w:rsidRPr="000C7C81">
        <w:t>entre la session actuelle de l</w:t>
      </w:r>
      <w:r w:rsidR="00A9666D" w:rsidRPr="000C7C81">
        <w:t>’</w:t>
      </w:r>
      <w:r w:rsidR="00982EAA" w:rsidRPr="000C7C81">
        <w:t>a</w:t>
      </w:r>
      <w:r w:rsidRPr="000C7C81">
        <w:t>ssemblée et celle de l</w:t>
      </w:r>
      <w:r w:rsidR="00A9666D" w:rsidRPr="000C7C81">
        <w:t>’</w:t>
      </w:r>
      <w:r w:rsidRPr="000C7C81">
        <w:t>automne 2020, ainsi qu</w:t>
      </w:r>
      <w:r w:rsidR="00A9666D" w:rsidRPr="000C7C81">
        <w:t>’</w:t>
      </w:r>
      <w:r w:rsidRPr="000C7C81">
        <w:t xml:space="preserve">au fait que la même aide financière </w:t>
      </w:r>
      <w:r w:rsidR="00982EAA" w:rsidRPr="000C7C81">
        <w:t xml:space="preserve">que celle </w:t>
      </w:r>
      <w:r w:rsidRPr="000C7C81">
        <w:t>qui avait été accordée lors de sessions antérieures du groupe de travail soit à nouveau proposée afin de permettre la participation de davantage de délégatio</w:t>
      </w:r>
      <w:r w:rsidR="00EB552D" w:rsidRPr="000C7C81">
        <w:t>ns.  La</w:t>
      </w:r>
      <w:r w:rsidRPr="000C7C81">
        <w:t xml:space="preserve"> délégation de Colombie </w:t>
      </w:r>
      <w:r w:rsidR="00365A61" w:rsidRPr="000C7C81">
        <w:t>a</w:t>
      </w:r>
      <w:r w:rsidRPr="000C7C81">
        <w:t xml:space="preserve"> également </w:t>
      </w:r>
      <w:r w:rsidR="00365A61" w:rsidRPr="000C7C81">
        <w:t xml:space="preserve">estimé </w:t>
      </w:r>
      <w:r w:rsidRPr="000C7C81">
        <w:t>qu</w:t>
      </w:r>
      <w:r w:rsidR="00A9666D" w:rsidRPr="000C7C81">
        <w:t>’</w:t>
      </w:r>
      <w:r w:rsidRPr="000C7C81">
        <w:t>il convenait d</w:t>
      </w:r>
      <w:r w:rsidR="00A9666D" w:rsidRPr="000C7C81">
        <w:t>’</w:t>
      </w:r>
      <w:r w:rsidRPr="000C7C81">
        <w:t xml:space="preserve">adopter les </w:t>
      </w:r>
      <w:r w:rsidR="00982EAA" w:rsidRPr="000C7C81">
        <w:t xml:space="preserve">propositions de </w:t>
      </w:r>
      <w:r w:rsidRPr="000C7C81">
        <w:t>modification</w:t>
      </w:r>
      <w:r w:rsidR="00A9666D" w:rsidRPr="000C7C81">
        <w:t xml:space="preserve"> du PCT</w:t>
      </w:r>
      <w:r w:rsidRPr="000C7C81">
        <w:t xml:space="preserve"> concernant les mesures </w:t>
      </w:r>
      <w:r w:rsidR="00CC36FD" w:rsidRPr="000C7C81">
        <w:t xml:space="preserve">de sauvegarde </w:t>
      </w:r>
      <w:r w:rsidRPr="000C7C81">
        <w:t xml:space="preserve">à prendre </w:t>
      </w:r>
      <w:r w:rsidR="00CC36FD" w:rsidRPr="000C7C81">
        <w:t xml:space="preserve">en </w:t>
      </w:r>
      <w:r w:rsidRPr="000C7C81">
        <w:t>cas d</w:t>
      </w:r>
      <w:r w:rsidR="00A9666D" w:rsidRPr="000C7C81">
        <w:t>’</w:t>
      </w:r>
      <w:r w:rsidRPr="000C7C81">
        <w:t xml:space="preserve">interruption de service </w:t>
      </w:r>
      <w:r w:rsidR="00CC36FD" w:rsidRPr="000C7C81">
        <w:t>affectant</w:t>
      </w:r>
      <w:r w:rsidRPr="000C7C81">
        <w:t xml:space="preserve"> les offices, la correction ou l</w:t>
      </w:r>
      <w:r w:rsidR="00A9666D" w:rsidRPr="000C7C81">
        <w:t>’</w:t>
      </w:r>
      <w:r w:rsidRPr="000C7C81">
        <w:t>a</w:t>
      </w:r>
      <w:r w:rsidR="0011780E" w:rsidRPr="000C7C81">
        <w:t>djonction</w:t>
      </w:r>
      <w:r w:rsidRPr="000C7C81">
        <w:t xml:space="preserve"> d</w:t>
      </w:r>
      <w:r w:rsidR="00A9666D" w:rsidRPr="000C7C81">
        <w:t>’</w:t>
      </w:r>
      <w:r w:rsidRPr="000C7C81">
        <w:t xml:space="preserve">indications dans la </w:t>
      </w:r>
      <w:r w:rsidR="002B6CC1" w:rsidRPr="000C7C81">
        <w:t>requête</w:t>
      </w:r>
      <w:r w:rsidRPr="000C7C81">
        <w:t xml:space="preserve"> </w:t>
      </w:r>
      <w:r w:rsidR="002B6CC1" w:rsidRPr="000C7C81">
        <w:t xml:space="preserve">en vertu de </w:t>
      </w:r>
      <w:r w:rsidRPr="000C7C81">
        <w:t xml:space="preserve">la règle 4.11, les éléments et parties de demandes internationales indûment déposés </w:t>
      </w:r>
      <w:r w:rsidR="00365A61" w:rsidRPr="000C7C81">
        <w:t>et le transfert des taxes</w:t>
      </w:r>
      <w:r w:rsidR="00A9666D" w:rsidRPr="000C7C81">
        <w:t xml:space="preserve"> du </w:t>
      </w:r>
      <w:r w:rsidR="00EB552D" w:rsidRPr="000C7C81">
        <w:t>PCT.  En</w:t>
      </w:r>
      <w:r w:rsidR="00365A61" w:rsidRPr="000C7C81">
        <w:t>fin, la délégation s</w:t>
      </w:r>
      <w:r w:rsidR="00A9666D" w:rsidRPr="000C7C81">
        <w:t>’</w:t>
      </w:r>
      <w:r w:rsidR="00365A61" w:rsidRPr="000C7C81">
        <w:t>est dite favorabl</w:t>
      </w:r>
      <w:r w:rsidR="008E6F20" w:rsidRPr="000C7C81">
        <w:t>e</w:t>
      </w:r>
      <w:r w:rsidR="00365A61" w:rsidRPr="000C7C81">
        <w:t xml:space="preserve"> au maintien des critères destinés à l</w:t>
      </w:r>
      <w:r w:rsidR="00A9666D" w:rsidRPr="000C7C81">
        <w:t>’</w:t>
      </w:r>
      <w:r w:rsidR="00365A61" w:rsidRPr="000C7C81">
        <w:t>établissement des listes d</w:t>
      </w:r>
      <w:r w:rsidR="00A9666D" w:rsidRPr="000C7C81">
        <w:t>’</w:t>
      </w:r>
      <w:r w:rsidR="00365A61" w:rsidRPr="000C7C81">
        <w:t>États dont les ressortissants et les résidents peuvent bénéficier de réductions des taxes</w:t>
      </w:r>
      <w:r w:rsidR="00A9666D" w:rsidRPr="000C7C81">
        <w:t xml:space="preserve"> du </w:t>
      </w:r>
      <w:r w:rsidR="00EB552D" w:rsidRPr="000C7C81">
        <w:t>PCT.  La</w:t>
      </w:r>
      <w:r w:rsidR="00365A61" w:rsidRPr="000C7C81">
        <w:t xml:space="preserve"> délégation a ajouté que les données présentées au Groupe de travail</w:t>
      </w:r>
      <w:r w:rsidR="00A9666D" w:rsidRPr="000C7C81">
        <w:t xml:space="preserve"> du PCT</w:t>
      </w:r>
      <w:r w:rsidR="00365A61" w:rsidRPr="000C7C81">
        <w:t xml:space="preserve"> ont montré l</w:t>
      </w:r>
      <w:r w:rsidR="00A9666D" w:rsidRPr="000C7C81">
        <w:t>’</w:t>
      </w:r>
      <w:r w:rsidR="00365A61" w:rsidRPr="000C7C81">
        <w:t>importance d</w:t>
      </w:r>
      <w:r w:rsidR="00A9666D" w:rsidRPr="000C7C81">
        <w:t>’</w:t>
      </w:r>
      <w:r w:rsidR="00365A61" w:rsidRPr="000C7C81">
        <w:t>appliquer des réductions de taxes aux personnes physiques résidant dans les pays qui bénéficient de ces réductions, compte tenu de la baisse du nombre de demandes internationales émanant de pays où ces réductions des taxes avaient cessé de s</w:t>
      </w:r>
      <w:r w:rsidR="00A9666D" w:rsidRPr="000C7C81">
        <w:t>’</w:t>
      </w:r>
      <w:r w:rsidR="00365A61" w:rsidRPr="000C7C81">
        <w:t>appliquer.</w:t>
      </w:r>
    </w:p>
    <w:p w14:paraId="29C354CD" w14:textId="73B848EC" w:rsidR="00011C4E" w:rsidRPr="000C7C81" w:rsidRDefault="00365A61" w:rsidP="00D42CDD">
      <w:pPr>
        <w:pStyle w:val="ONUMFS"/>
      </w:pPr>
      <w:r w:rsidRPr="000C7C81">
        <w:t>La délégation de la Fédération de Russie a pris note du document, qui reflétait des questions relatives au fonctionnement du système</w:t>
      </w:r>
      <w:r w:rsidR="00A9666D" w:rsidRPr="000C7C81">
        <w:t xml:space="preserve"> du PCT</w:t>
      </w:r>
      <w:r w:rsidRPr="000C7C81">
        <w:t>, et s</w:t>
      </w:r>
      <w:r w:rsidR="00A9666D" w:rsidRPr="000C7C81">
        <w:t>’</w:t>
      </w:r>
      <w:r w:rsidRPr="000C7C81">
        <w:t>est félicitée des activités du Bureau international sur les questions liées</w:t>
      </w:r>
      <w:r w:rsidR="00A9666D" w:rsidRPr="000C7C81">
        <w:t xml:space="preserve"> au </w:t>
      </w:r>
      <w:r w:rsidR="00EB552D" w:rsidRPr="000C7C81">
        <w:t>PCT.  En</w:t>
      </w:r>
      <w:r w:rsidRPr="000C7C81">
        <w:t xml:space="preserve"> particulier, la délégation </w:t>
      </w:r>
      <w:r w:rsidR="00E05231" w:rsidRPr="000C7C81">
        <w:t>a pris note des services en ligne proposés aux déposants et aux offic</w:t>
      </w:r>
      <w:r w:rsidR="00EB552D" w:rsidRPr="000C7C81">
        <w:t>es.  Le</w:t>
      </w:r>
      <w:r w:rsidR="00E05231" w:rsidRPr="000C7C81">
        <w:t xml:space="preserve"> Service fédéral de la propriété intellectuelle (ROSPATENT), qui agissait en qualité d</w:t>
      </w:r>
      <w:r w:rsidR="00A9666D" w:rsidRPr="000C7C81">
        <w:t>’</w:t>
      </w:r>
      <w:r w:rsidR="00E05231" w:rsidRPr="000C7C81">
        <w:t>office récepteur, d</w:t>
      </w:r>
      <w:r w:rsidR="00A9666D" w:rsidRPr="000C7C81">
        <w:t>’</w:t>
      </w:r>
      <w:r w:rsidR="00E05231" w:rsidRPr="000C7C81">
        <w:t>administration chargée de la recherche internationale et d</w:t>
      </w:r>
      <w:r w:rsidR="00A9666D" w:rsidRPr="000C7C81">
        <w:t>’</w:t>
      </w:r>
      <w:r w:rsidR="00E05231" w:rsidRPr="000C7C81">
        <w:t>administration chargée de l</w:t>
      </w:r>
      <w:r w:rsidR="00A9666D" w:rsidRPr="000C7C81">
        <w:t>’</w:t>
      </w:r>
      <w:r w:rsidR="00E05231" w:rsidRPr="000C7C81">
        <w:t>examen préliminaire international, a utilisé les services en ligne de l</w:t>
      </w:r>
      <w:r w:rsidR="00A9666D" w:rsidRPr="000C7C81">
        <w:t>’</w:t>
      </w:r>
      <w:r w:rsidR="00E05231" w:rsidRPr="000C7C81">
        <w:t>OMPI et</w:t>
      </w:r>
      <w:r w:rsidR="00A9666D" w:rsidRPr="000C7C81">
        <w:t xml:space="preserve"> du PCT</w:t>
      </w:r>
      <w:r w:rsidR="00E05231" w:rsidRPr="000C7C81">
        <w:t>, par exemple pour échanger des documents entre offic</w:t>
      </w:r>
      <w:r w:rsidR="00EB552D" w:rsidRPr="000C7C81">
        <w:t>es.  La</w:t>
      </w:r>
      <w:r w:rsidR="00E05231" w:rsidRPr="000C7C81">
        <w:t xml:space="preserve"> délégation a observé que le nombre de déposants russes utilisant </w:t>
      </w:r>
      <w:r w:rsidR="00982EAA" w:rsidRPr="000C7C81">
        <w:t xml:space="preserve">le système </w:t>
      </w:r>
      <w:proofErr w:type="spellStart"/>
      <w:r w:rsidR="00982EAA" w:rsidRPr="000C7C81">
        <w:t>e</w:t>
      </w:r>
      <w:r w:rsidR="00E05231" w:rsidRPr="000C7C81">
        <w:t>PCT</w:t>
      </w:r>
      <w:proofErr w:type="spellEnd"/>
      <w:r w:rsidR="00E05231" w:rsidRPr="000C7C81">
        <w:t xml:space="preserve"> était en augmentati</w:t>
      </w:r>
      <w:r w:rsidR="00EB552D" w:rsidRPr="000C7C81">
        <w:t>on.  El</w:t>
      </w:r>
      <w:r w:rsidR="00E05231" w:rsidRPr="000C7C81">
        <w:t>le a également apporté son soutien aux projets destinés à garantir une utilisation effective du système</w:t>
      </w:r>
      <w:r w:rsidR="00A9666D" w:rsidRPr="000C7C81">
        <w:t xml:space="preserve"> du PCT</w:t>
      </w:r>
      <w:r w:rsidR="00E05231" w:rsidRPr="000C7C81">
        <w:t xml:space="preserve"> dans la phase internationale et à </w:t>
      </w:r>
      <w:r w:rsidR="00982EAA" w:rsidRPr="000C7C81">
        <w:t>mettre</w:t>
      </w:r>
      <w:r w:rsidR="00E05231" w:rsidRPr="000C7C81">
        <w:t xml:space="preserve"> en place de</w:t>
      </w:r>
      <w:r w:rsidR="00982EAA" w:rsidRPr="000C7C81">
        <w:t>s</w:t>
      </w:r>
      <w:r w:rsidR="00E05231" w:rsidRPr="000C7C81">
        <w:t xml:space="preserve"> services de traduction des documents utilisés dans la </w:t>
      </w:r>
      <w:r w:rsidR="00E05231" w:rsidRPr="000C7C81">
        <w:lastRenderedPageBreak/>
        <w:t xml:space="preserve">phase nationale et elle a </w:t>
      </w:r>
      <w:r w:rsidR="00982EAA" w:rsidRPr="000C7C81">
        <w:t xml:space="preserve">souhaité </w:t>
      </w:r>
      <w:r w:rsidR="00E05231" w:rsidRPr="000C7C81">
        <w:t>que ce travail soit poursui</w:t>
      </w:r>
      <w:r w:rsidR="00EB552D" w:rsidRPr="000C7C81">
        <w:t>vi.  La</w:t>
      </w:r>
      <w:r w:rsidR="00E05231" w:rsidRPr="000C7C81">
        <w:t xml:space="preserve"> délégation a exprimé sa reconnaissance au Bureau international pour son travail constructif en vue de trouver un compromis sur l</w:t>
      </w:r>
      <w:r w:rsidR="00A9666D" w:rsidRPr="000C7C81">
        <w:t>’</w:t>
      </w:r>
      <w:r w:rsidR="00E05231" w:rsidRPr="000C7C81">
        <w:t>introduction de réductions des taxes</w:t>
      </w:r>
      <w:r w:rsidR="00A9666D" w:rsidRPr="000C7C81">
        <w:t xml:space="preserve"> du PCT</w:t>
      </w:r>
      <w:r w:rsidR="00E05231" w:rsidRPr="000C7C81">
        <w:t xml:space="preserve"> pour les universités et les établissements scientifiques et de recherche dans les pays en développement et dans les pays les moins avancés (PMA) et a </w:t>
      </w:r>
      <w:r w:rsidR="00982EAA" w:rsidRPr="000C7C81">
        <w:t xml:space="preserve">formé le vœu </w:t>
      </w:r>
      <w:r w:rsidR="00E05231" w:rsidRPr="000C7C81">
        <w:t>que cette proposition recueille le soutien nécessaire pour être adopt</w:t>
      </w:r>
      <w:r w:rsidR="00EB552D" w:rsidRPr="000C7C81">
        <w:t>ée.  En</w:t>
      </w:r>
      <w:r w:rsidR="00E05231" w:rsidRPr="000C7C81">
        <w:t>fin, la délégation a déclaré n</w:t>
      </w:r>
      <w:r w:rsidR="00A9666D" w:rsidRPr="000C7C81">
        <w:t>’</w:t>
      </w:r>
      <w:r w:rsidR="00E05231" w:rsidRPr="000C7C81">
        <w:t xml:space="preserve">avoir aucune objection </w:t>
      </w:r>
      <w:r w:rsidR="00A9666D" w:rsidRPr="000C7C81">
        <w:t>à l’égard</w:t>
      </w:r>
      <w:r w:rsidR="00E05231" w:rsidRPr="000C7C81">
        <w:t xml:space="preserve"> des modifications </w:t>
      </w:r>
      <w:r w:rsidR="0011780E" w:rsidRPr="000C7C81">
        <w:t>du règlement d</w:t>
      </w:r>
      <w:r w:rsidR="00A9666D" w:rsidRPr="000C7C81">
        <w:t>’</w:t>
      </w:r>
      <w:r w:rsidR="0011780E" w:rsidRPr="000C7C81">
        <w:t>exécution proposées pour adoption lors de cette session.</w:t>
      </w:r>
    </w:p>
    <w:p w14:paraId="1BCEDA30" w14:textId="54B43EFE" w:rsidR="00011C4E" w:rsidRPr="000C7C81" w:rsidRDefault="00D42CDD" w:rsidP="00D42CDD">
      <w:pPr>
        <w:pStyle w:val="ONUMFS"/>
        <w:ind w:left="567"/>
      </w:pPr>
      <w:r w:rsidRPr="000C7C81">
        <w:t>L</w:t>
      </w:r>
      <w:r w:rsidR="00A9666D" w:rsidRPr="000C7C81">
        <w:t>’</w:t>
      </w:r>
      <w:r w:rsidRPr="000C7C81">
        <w:t>Assemblée de l</w:t>
      </w:r>
      <w:r w:rsidR="00A9666D" w:rsidRPr="000C7C81">
        <w:t>’</w:t>
      </w:r>
      <w:r w:rsidRPr="000C7C81">
        <w:t>Union du PCT</w:t>
      </w:r>
    </w:p>
    <w:p w14:paraId="18889614" w14:textId="77777777" w:rsidR="00011C4E" w:rsidRPr="000C7C81" w:rsidRDefault="00D42CDD" w:rsidP="00D42CDD">
      <w:pPr>
        <w:pStyle w:val="ONUMFS"/>
        <w:numPr>
          <w:ilvl w:val="2"/>
          <w:numId w:val="9"/>
        </w:numPr>
      </w:pPr>
      <w:proofErr w:type="gramStart"/>
      <w:r w:rsidRPr="000C7C81">
        <w:t>a</w:t>
      </w:r>
      <w:proofErr w:type="gramEnd"/>
      <w:r w:rsidRPr="000C7C81">
        <w:t xml:space="preserve"> pris note du “Rapport sur le Groupe de travail du PCT” (document PCT/A/51/1) et</w:t>
      </w:r>
    </w:p>
    <w:p w14:paraId="494D2ECC" w14:textId="61D02C1C" w:rsidR="00011C4E" w:rsidRPr="000C7C81" w:rsidRDefault="00D42CDD" w:rsidP="00D42CDD">
      <w:pPr>
        <w:pStyle w:val="ONUMFS"/>
        <w:numPr>
          <w:ilvl w:val="2"/>
          <w:numId w:val="9"/>
        </w:numPr>
      </w:pPr>
      <w:proofErr w:type="gramStart"/>
      <w:r w:rsidRPr="000C7C81">
        <w:t>a</w:t>
      </w:r>
      <w:proofErr w:type="gramEnd"/>
      <w:r w:rsidRPr="000C7C81">
        <w:t xml:space="preserve"> approuvé la convocation d</w:t>
      </w:r>
      <w:r w:rsidR="00A9666D" w:rsidRPr="000C7C81">
        <w:t>’</w:t>
      </w:r>
      <w:r w:rsidRPr="000C7C81">
        <w:t>une session du Groupe de travail du PCT comme indiqué au paragraphe 4 dudit document.</w:t>
      </w:r>
    </w:p>
    <w:p w14:paraId="470371F7" w14:textId="4A903A45" w:rsidR="00011C4E" w:rsidRPr="000C7C81" w:rsidRDefault="00D42CDD" w:rsidP="00D42CDD">
      <w:pPr>
        <w:pStyle w:val="Heading4"/>
      </w:pPr>
      <w:r w:rsidRPr="000C7C81">
        <w:t>Propositions de modification du règlement d</w:t>
      </w:r>
      <w:r w:rsidR="00A9666D" w:rsidRPr="000C7C81">
        <w:t>’</w:t>
      </w:r>
      <w:r w:rsidRPr="000C7C81">
        <w:t>exécution du PCT</w:t>
      </w:r>
    </w:p>
    <w:p w14:paraId="7F42A84B" w14:textId="77777777" w:rsidR="00011C4E" w:rsidRPr="000C7C81" w:rsidRDefault="00D42CDD" w:rsidP="00D42CDD">
      <w:pPr>
        <w:pStyle w:val="ONUMFS"/>
      </w:pPr>
      <w:r w:rsidRPr="000C7C81">
        <w:t>Les délibérations ont eu lieu sur la base du document</w:t>
      </w:r>
      <w:r w:rsidR="001403F6" w:rsidRPr="000C7C81">
        <w:t xml:space="preserve"> PCT/A/51/2.</w:t>
      </w:r>
    </w:p>
    <w:p w14:paraId="037AF3FF" w14:textId="4888266C" w:rsidR="00011C4E" w:rsidRPr="000C7C81" w:rsidRDefault="0011780E" w:rsidP="00D42CDD">
      <w:pPr>
        <w:pStyle w:val="ONUMFS"/>
      </w:pPr>
      <w:r w:rsidRPr="000C7C81">
        <w:t>Le Secrétariat a présenté le document, qui cont</w:t>
      </w:r>
      <w:r w:rsidR="00CC36FD" w:rsidRPr="000C7C81">
        <w:t xml:space="preserve">enait </w:t>
      </w:r>
      <w:r w:rsidRPr="000C7C81">
        <w:t>les propositions de modification du règlement d</w:t>
      </w:r>
      <w:r w:rsidR="00A9666D" w:rsidRPr="000C7C81">
        <w:t>’</w:t>
      </w:r>
      <w:r w:rsidRPr="000C7C81">
        <w:t>exécution</w:t>
      </w:r>
      <w:r w:rsidR="00A9666D" w:rsidRPr="000C7C81">
        <w:t xml:space="preserve"> du </w:t>
      </w:r>
      <w:r w:rsidR="00EB552D" w:rsidRPr="000C7C81">
        <w:t>PCT.  Le</w:t>
      </w:r>
      <w:r w:rsidR="00CC36FD" w:rsidRPr="000C7C81">
        <w:t xml:space="preserve"> Groupe de travail</w:t>
      </w:r>
      <w:r w:rsidR="00A9666D" w:rsidRPr="000C7C81">
        <w:t xml:space="preserve"> du PCT</w:t>
      </w:r>
      <w:r w:rsidR="00CC36FD" w:rsidRPr="000C7C81">
        <w:t xml:space="preserve"> avait discuté de ces modifications et avait convenu à </w:t>
      </w:r>
      <w:r w:rsidR="00982EAA" w:rsidRPr="000C7C81">
        <w:t>l</w:t>
      </w:r>
      <w:r w:rsidR="00A9666D" w:rsidRPr="000C7C81">
        <w:t>’</w:t>
      </w:r>
      <w:r w:rsidR="00982EAA" w:rsidRPr="000C7C81">
        <w:t>unanimité de recommander à l</w:t>
      </w:r>
      <w:r w:rsidR="00A9666D" w:rsidRPr="000C7C81">
        <w:t>’</w:t>
      </w:r>
      <w:r w:rsidR="00982EAA" w:rsidRPr="000C7C81">
        <w:t>a</w:t>
      </w:r>
      <w:r w:rsidR="00CC36FD" w:rsidRPr="000C7C81">
        <w:t>ssemblée d</w:t>
      </w:r>
      <w:r w:rsidR="00A9666D" w:rsidRPr="000C7C81">
        <w:t>’</w:t>
      </w:r>
      <w:r w:rsidR="00CC36FD" w:rsidRPr="000C7C81">
        <w:t>adopter les modifications proposé</w:t>
      </w:r>
      <w:r w:rsidR="00EB552D" w:rsidRPr="000C7C81">
        <w:t>es.  Ce</w:t>
      </w:r>
      <w:r w:rsidR="00CC36FD" w:rsidRPr="000C7C81">
        <w:t>lles</w:t>
      </w:r>
      <w:r w:rsidR="00D770CA">
        <w:noBreakHyphen/>
      </w:r>
      <w:r w:rsidR="00CC36FD" w:rsidRPr="000C7C81">
        <w:t>ci se répartissaient en cinq</w:t>
      </w:r>
      <w:r w:rsidR="00192012" w:rsidRPr="000C7C81">
        <w:t> </w:t>
      </w:r>
      <w:r w:rsidR="00CC36FD" w:rsidRPr="000C7C81">
        <w:t>catégori</w:t>
      </w:r>
      <w:r w:rsidR="00EB552D" w:rsidRPr="000C7C81">
        <w:t>es.  L’a</w:t>
      </w:r>
      <w:r w:rsidR="00CC36FD" w:rsidRPr="000C7C81">
        <w:t>nnexe I du document énonçait les dispositions relatives aux mesures de sauvegarde en cas d</w:t>
      </w:r>
      <w:r w:rsidR="00A9666D" w:rsidRPr="000C7C81">
        <w:t>’</w:t>
      </w:r>
      <w:r w:rsidR="00CC36FD" w:rsidRPr="000C7C81">
        <w:t>interruption de service affectant les offices, sur la base d</w:t>
      </w:r>
      <w:r w:rsidR="00A9666D" w:rsidRPr="000C7C81">
        <w:t>’</w:t>
      </w:r>
      <w:r w:rsidR="00CC36FD" w:rsidRPr="000C7C81">
        <w:t xml:space="preserve">une proposition </w:t>
      </w:r>
      <w:r w:rsidR="002B6CC1" w:rsidRPr="000C7C81">
        <w:t>initialement présentée par</w:t>
      </w:r>
      <w:r w:rsidR="00CC36FD" w:rsidRPr="000C7C81">
        <w:t xml:space="preserve"> l</w:t>
      </w:r>
      <w:r w:rsidR="00A9666D" w:rsidRPr="000C7C81">
        <w:t>’</w:t>
      </w:r>
      <w:r w:rsidR="00CC36FD" w:rsidRPr="000C7C81">
        <w:t>Office européen des brevets</w:t>
      </w:r>
      <w:r w:rsidR="00982EAA" w:rsidRPr="000C7C81">
        <w:t xml:space="preserve">, afin de </w:t>
      </w:r>
      <w:r w:rsidR="00CC36FD" w:rsidRPr="000C7C81">
        <w:t xml:space="preserve">permettre aux offices de simplifier </w:t>
      </w:r>
      <w:r w:rsidR="002B6CC1" w:rsidRPr="000C7C81">
        <w:t>la procédure</w:t>
      </w:r>
      <w:r w:rsidR="00890D0D" w:rsidRPr="000C7C81">
        <w:t xml:space="preserve"> </w:t>
      </w:r>
      <w:r w:rsidR="002B6CC1" w:rsidRPr="000C7C81">
        <w:t>destinée à excuser les retards dans l</w:t>
      </w:r>
      <w:r w:rsidR="00A9666D" w:rsidRPr="000C7C81">
        <w:t>’</w:t>
      </w:r>
      <w:r w:rsidR="002B6CC1" w:rsidRPr="000C7C81">
        <w:t>observation d</w:t>
      </w:r>
      <w:r w:rsidR="00A9666D" w:rsidRPr="000C7C81">
        <w:t>’</w:t>
      </w:r>
      <w:r w:rsidR="002B6CC1" w:rsidRPr="000C7C81">
        <w:t>un délai en raison de l</w:t>
      </w:r>
      <w:r w:rsidR="00A9666D" w:rsidRPr="000C7C81">
        <w:t>’</w:t>
      </w:r>
      <w:r w:rsidR="002B6CC1" w:rsidRPr="000C7C81">
        <w:t>interruption de service de systèmes électroniqu</w:t>
      </w:r>
      <w:r w:rsidR="00EB552D" w:rsidRPr="000C7C81">
        <w:t>es.  L’a</w:t>
      </w:r>
      <w:r w:rsidR="002B6CC1" w:rsidRPr="000C7C81">
        <w:t>nnexe II énonçait les dispositions relatives à la correction et à l</w:t>
      </w:r>
      <w:r w:rsidR="00A9666D" w:rsidRPr="000C7C81">
        <w:t>’</w:t>
      </w:r>
      <w:r w:rsidR="002B6CC1" w:rsidRPr="000C7C81">
        <w:t>adjonction d</w:t>
      </w:r>
      <w:r w:rsidR="00A9666D" w:rsidRPr="000C7C81">
        <w:t>’</w:t>
      </w:r>
      <w:r w:rsidR="002B6CC1" w:rsidRPr="000C7C81">
        <w:t>indications dans la requête en vertu de la règle 4.11, sur la base d</w:t>
      </w:r>
      <w:r w:rsidR="00A9666D" w:rsidRPr="000C7C81">
        <w:t>’</w:t>
      </w:r>
      <w:r w:rsidR="002B6CC1" w:rsidRPr="000C7C81">
        <w:t>une proposition initialement présentée par les États</w:t>
      </w:r>
      <w:r w:rsidR="00D770CA">
        <w:noBreakHyphen/>
      </w:r>
      <w:r w:rsidR="002B6CC1" w:rsidRPr="000C7C81">
        <w:t>Unis d</w:t>
      </w:r>
      <w:r w:rsidR="00A9666D" w:rsidRPr="000C7C81">
        <w:t>’</w:t>
      </w:r>
      <w:r w:rsidR="002B6CC1" w:rsidRPr="000C7C81">
        <w:t>Amérique</w:t>
      </w:r>
      <w:r w:rsidR="00982EAA" w:rsidRPr="000C7C81">
        <w:t>,</w:t>
      </w:r>
      <w:r w:rsidR="002B6CC1" w:rsidRPr="000C7C81">
        <w:t xml:space="preserve"> afin de permettre la correction d</w:t>
      </w:r>
      <w:r w:rsidR="00A9666D" w:rsidRPr="000C7C81">
        <w:t>’</w:t>
      </w:r>
      <w:r w:rsidR="002B6CC1" w:rsidRPr="000C7C81">
        <w:t>erreurs ou d</w:t>
      </w:r>
      <w:r w:rsidR="00A9666D" w:rsidRPr="000C7C81">
        <w:t>’</w:t>
      </w:r>
      <w:r w:rsidR="002B6CC1" w:rsidRPr="000C7C81">
        <w:t>omissions dans des indications du type de protection demandée dans la phase nationa</w:t>
      </w:r>
      <w:r w:rsidR="00EB552D" w:rsidRPr="000C7C81">
        <w:t>le.  L’a</w:t>
      </w:r>
      <w:r w:rsidR="002B6CC1" w:rsidRPr="000C7C81">
        <w:t>nnexe III énonçait les dispositions relatives aux éléments et parties de la demande internationale indûment dépos</w:t>
      </w:r>
      <w:r w:rsidR="00EB552D" w:rsidRPr="000C7C81">
        <w:t>és.  Ce</w:t>
      </w:r>
      <w:r w:rsidR="002B6CC1" w:rsidRPr="000C7C81">
        <w:t>s modifications avaient pour but d</w:t>
      </w:r>
      <w:r w:rsidR="00A9666D" w:rsidRPr="000C7C81">
        <w:t>’</w:t>
      </w:r>
      <w:r w:rsidR="002B6CC1" w:rsidRPr="000C7C81">
        <w:t>harmoniser les pratiques des offices récepteurs et des offices désignés ou élus dans le cas particulier où un déposa</w:t>
      </w:r>
      <w:r w:rsidR="00686237" w:rsidRPr="000C7C81">
        <w:t>nt a</w:t>
      </w:r>
      <w:r w:rsidR="00982EAA" w:rsidRPr="000C7C81">
        <w:t>vait</w:t>
      </w:r>
      <w:r w:rsidR="00686237" w:rsidRPr="000C7C81">
        <w:t xml:space="preserve"> indûment déposé un mauvais élément ou une partie incorrecte de la demande internationa</w:t>
      </w:r>
      <w:r w:rsidR="00EB552D" w:rsidRPr="000C7C81">
        <w:t>le.  En</w:t>
      </w:r>
      <w:r w:rsidR="00686237" w:rsidRPr="000C7C81">
        <w:t xml:space="preserve"> outre, le paragraphe 7 du document contenait deux</w:t>
      </w:r>
      <w:r w:rsidR="00192012" w:rsidRPr="000C7C81">
        <w:t> </w:t>
      </w:r>
      <w:r w:rsidR="00686237" w:rsidRPr="000C7C81">
        <w:t>propositions d</w:t>
      </w:r>
      <w:r w:rsidR="00A9666D" w:rsidRPr="000C7C81">
        <w:t>’</w:t>
      </w:r>
      <w:r w:rsidR="00686237" w:rsidRPr="000C7C81">
        <w:t>accord de principe de l</w:t>
      </w:r>
      <w:r w:rsidR="00A9666D" w:rsidRPr="000C7C81">
        <w:t>’</w:t>
      </w:r>
      <w:r w:rsidR="00686237" w:rsidRPr="000C7C81">
        <w:t>assemblée destinées à renforcer l</w:t>
      </w:r>
      <w:r w:rsidR="00A9666D" w:rsidRPr="000C7C81">
        <w:t>’</w:t>
      </w:r>
      <w:r w:rsidR="00686237" w:rsidRPr="000C7C81">
        <w:t xml:space="preserve">application </w:t>
      </w:r>
      <w:r w:rsidR="00982EAA" w:rsidRPr="000C7C81">
        <w:t>harmonisée</w:t>
      </w:r>
      <w:r w:rsidR="00686237" w:rsidRPr="000C7C81">
        <w:t xml:space="preserve"> par les offices du règlement d</w:t>
      </w:r>
      <w:r w:rsidR="00A9666D" w:rsidRPr="000C7C81">
        <w:t>’</w:t>
      </w:r>
      <w:r w:rsidR="00686237" w:rsidRPr="000C7C81">
        <w:t>exécution modif</w:t>
      </w:r>
      <w:r w:rsidR="00EB552D" w:rsidRPr="000C7C81">
        <w:t>ié.  L’a</w:t>
      </w:r>
      <w:r w:rsidR="00686237" w:rsidRPr="000C7C81">
        <w:t>nnexe IV énonçait les dispositions relatives au transfert des taxes</w:t>
      </w:r>
      <w:r w:rsidR="00A9666D" w:rsidRPr="000C7C81">
        <w:t xml:space="preserve"> du </w:t>
      </w:r>
      <w:r w:rsidR="00EB552D" w:rsidRPr="000C7C81">
        <w:t>PCT.  Il</w:t>
      </w:r>
      <w:r w:rsidR="00686237" w:rsidRPr="000C7C81">
        <w:t xml:space="preserve"> s</w:t>
      </w:r>
      <w:r w:rsidR="00A9666D" w:rsidRPr="000C7C81">
        <w:t>’</w:t>
      </w:r>
      <w:r w:rsidR="00686237" w:rsidRPr="000C7C81">
        <w:t>agissait de dispositions d</w:t>
      </w:r>
      <w:r w:rsidR="00A9666D" w:rsidRPr="000C7C81">
        <w:t>’</w:t>
      </w:r>
      <w:r w:rsidR="00686237" w:rsidRPr="000C7C81">
        <w:t>habilitation permettant l</w:t>
      </w:r>
      <w:r w:rsidR="00A9666D" w:rsidRPr="000C7C81">
        <w:t>’</w:t>
      </w:r>
      <w:r w:rsidR="00686237" w:rsidRPr="000C7C81">
        <w:t>adoption d</w:t>
      </w:r>
      <w:r w:rsidR="00A9666D" w:rsidRPr="000C7C81">
        <w:t>’</w:t>
      </w:r>
      <w:r w:rsidR="00686237" w:rsidRPr="000C7C81">
        <w:t xml:space="preserve">instructions administratives et instaurant des procédures </w:t>
      </w:r>
      <w:r w:rsidR="00982EAA" w:rsidRPr="000C7C81">
        <w:t>harmonisées</w:t>
      </w:r>
      <w:r w:rsidR="00686237" w:rsidRPr="000C7C81">
        <w:t xml:space="preserve"> pour le transfert des taxes d</w:t>
      </w:r>
      <w:r w:rsidR="00A9666D" w:rsidRPr="000C7C81">
        <w:t>’</w:t>
      </w:r>
      <w:r w:rsidR="00686237" w:rsidRPr="000C7C81">
        <w:t>un office à l</w:t>
      </w:r>
      <w:r w:rsidR="00A9666D" w:rsidRPr="000C7C81">
        <w:t>’</w:t>
      </w:r>
      <w:r w:rsidR="00686237" w:rsidRPr="000C7C81">
        <w:t xml:space="preserve">autre par </w:t>
      </w:r>
      <w:r w:rsidR="00982EAA" w:rsidRPr="000C7C81">
        <w:t>l</w:t>
      </w:r>
      <w:r w:rsidR="00A9666D" w:rsidRPr="000C7C81">
        <w:t>’</w:t>
      </w:r>
      <w:r w:rsidR="00982EAA" w:rsidRPr="000C7C81">
        <w:t>intermédiaire du</w:t>
      </w:r>
      <w:r w:rsidR="00686237" w:rsidRPr="000C7C81">
        <w:t xml:space="preserve"> Bureau internation</w:t>
      </w:r>
      <w:r w:rsidR="00EB552D" w:rsidRPr="000C7C81">
        <w:t>al.  Le</w:t>
      </w:r>
      <w:r w:rsidR="00686237" w:rsidRPr="000C7C81">
        <w:t xml:space="preserve"> mécanisme pilote de compensation auquel de nombreux offices avaient participé et dont ils s</w:t>
      </w:r>
      <w:r w:rsidR="00A9666D" w:rsidRPr="000C7C81">
        <w:t>’</w:t>
      </w:r>
      <w:r w:rsidR="00686237" w:rsidRPr="000C7C81">
        <w:t>étaient félicités serait ainsi formali</w:t>
      </w:r>
      <w:r w:rsidR="00EB552D" w:rsidRPr="000C7C81">
        <w:t>sé.  Le</w:t>
      </w:r>
      <w:r w:rsidR="00686237" w:rsidRPr="000C7C81">
        <w:t xml:space="preserve"> Secrétariat a souligné que ces règles aideraient les offices qui le souhaitaient à utiliser le nouveau mécanisme</w:t>
      </w:r>
      <w:r w:rsidR="00890D0D" w:rsidRPr="000C7C81">
        <w:t>,</w:t>
      </w:r>
      <w:r w:rsidR="00686237" w:rsidRPr="000C7C81">
        <w:t xml:space="preserve"> mais qu</w:t>
      </w:r>
      <w:r w:rsidR="00A9666D" w:rsidRPr="000C7C81">
        <w:t>’</w:t>
      </w:r>
      <w:r w:rsidR="00686237" w:rsidRPr="000C7C81">
        <w:t>elles n</w:t>
      </w:r>
      <w:r w:rsidR="00A9666D" w:rsidRPr="000C7C81">
        <w:t>’</w:t>
      </w:r>
      <w:r w:rsidR="00686237" w:rsidRPr="000C7C81">
        <w:t xml:space="preserve">imposaient aucune nouvelle obligation aux offices rencontrant des obstacles juridiques ou administratifs </w:t>
      </w:r>
      <w:r w:rsidR="00982EAA" w:rsidRPr="000C7C81">
        <w:t>dans</w:t>
      </w:r>
      <w:r w:rsidR="00686237" w:rsidRPr="000C7C81">
        <w:t xml:space="preserve"> l</w:t>
      </w:r>
      <w:r w:rsidR="00A9666D" w:rsidRPr="000C7C81">
        <w:t>’</w:t>
      </w:r>
      <w:r w:rsidR="00686237" w:rsidRPr="000C7C81">
        <w:t xml:space="preserve">adoption </w:t>
      </w:r>
      <w:r w:rsidR="00DB7BFF" w:rsidRPr="000C7C81">
        <w:t>de cette approc</w:t>
      </w:r>
      <w:r w:rsidR="00EB552D" w:rsidRPr="000C7C81">
        <w:t>he.  L’a</w:t>
      </w:r>
      <w:r w:rsidR="00DB7BFF" w:rsidRPr="000C7C81">
        <w:t>nnexe V énonçait les dispositions relatives à la mise à disposition du dossier détenu par l</w:t>
      </w:r>
      <w:r w:rsidR="00A9666D" w:rsidRPr="000C7C81">
        <w:t>’</w:t>
      </w:r>
      <w:r w:rsidR="00DB7BFF" w:rsidRPr="000C7C81">
        <w:t>administration chargée de l</w:t>
      </w:r>
      <w:r w:rsidR="00A9666D" w:rsidRPr="000C7C81">
        <w:t>’</w:t>
      </w:r>
      <w:r w:rsidR="00DB7BFF" w:rsidRPr="000C7C81">
        <w:t>examen préliminaire international, sur la base d</w:t>
      </w:r>
      <w:r w:rsidR="00A9666D" w:rsidRPr="000C7C81">
        <w:t>’</w:t>
      </w:r>
      <w:r w:rsidR="00DB7BFF" w:rsidRPr="000C7C81">
        <w:t>une proposition initialement présentée par Singapour</w:t>
      </w:r>
      <w:r w:rsidR="00982EAA" w:rsidRPr="000C7C81">
        <w:t>,</w:t>
      </w:r>
      <w:r w:rsidR="00DB7BFF" w:rsidRPr="000C7C81">
        <w:t xml:space="preserve"> afin d</w:t>
      </w:r>
      <w:r w:rsidR="00A9666D" w:rsidRPr="000C7C81">
        <w:t>’</w:t>
      </w:r>
      <w:r w:rsidR="00DB7BFF" w:rsidRPr="000C7C81">
        <w:t>accroître la transparence en permettant la mise à la disposition du public d</w:t>
      </w:r>
      <w:r w:rsidR="00A9666D" w:rsidRPr="000C7C81">
        <w:t>’</w:t>
      </w:r>
      <w:r w:rsidR="00DB7BFF" w:rsidRPr="000C7C81">
        <w:t>un plus grand nombre de documents relatifs à la procédure d</w:t>
      </w:r>
      <w:r w:rsidR="00A9666D" w:rsidRPr="000C7C81">
        <w:t>’</w:t>
      </w:r>
      <w:r w:rsidR="00DB7BFF" w:rsidRPr="000C7C81">
        <w:t>examen préliminaire internation</w:t>
      </w:r>
      <w:r w:rsidR="00EB552D" w:rsidRPr="000C7C81">
        <w:t>al.  Le</w:t>
      </w:r>
      <w:r w:rsidR="00DB7BFF" w:rsidRPr="000C7C81">
        <w:t xml:space="preserve"> document proposait que toutes les propositions de modification du règlement d</w:t>
      </w:r>
      <w:r w:rsidR="00A9666D" w:rsidRPr="000C7C81">
        <w:t>’</w:t>
      </w:r>
      <w:r w:rsidR="00DB7BFF" w:rsidRPr="000C7C81">
        <w:t xml:space="preserve">exécution </w:t>
      </w:r>
      <w:r w:rsidR="00F536D8" w:rsidRPr="000C7C81">
        <w:t>devaient entrer</w:t>
      </w:r>
      <w:r w:rsidR="00DB7BFF" w:rsidRPr="000C7C81">
        <w:t xml:space="preserve"> en vigueur le</w:t>
      </w:r>
      <w:r w:rsidR="00A9666D" w:rsidRPr="000C7C81">
        <w:t xml:space="preserve"> 1</w:t>
      </w:r>
      <w:r w:rsidR="00A9666D" w:rsidRPr="000C7C81">
        <w:rPr>
          <w:vertAlign w:val="superscript"/>
        </w:rPr>
        <w:t>er</w:t>
      </w:r>
      <w:r w:rsidR="00A9666D" w:rsidRPr="000C7C81">
        <w:t> </w:t>
      </w:r>
      <w:r w:rsidR="00DB7BFF" w:rsidRPr="000C7C81">
        <w:t>juillet 2020 et être soumises aux dispositions transitoires visées au paragraphe 6 du document afin de produire les effets escomptés dès que possible</w:t>
      </w:r>
      <w:r w:rsidR="00982EAA" w:rsidRPr="000C7C81">
        <w:t>,</w:t>
      </w:r>
      <w:r w:rsidR="00DB7BFF" w:rsidRPr="000C7C81">
        <w:t xml:space="preserve"> tout en réduisant au minimu</w:t>
      </w:r>
      <w:r w:rsidR="00F41C06" w:rsidRPr="000C7C81">
        <w:t>m</w:t>
      </w:r>
      <w:r w:rsidR="00DB7BFF" w:rsidRPr="000C7C81">
        <w:t xml:space="preserve"> la charge administrative pour les offices nationaux.</w:t>
      </w:r>
    </w:p>
    <w:p w14:paraId="593ED714" w14:textId="2A553119" w:rsidR="00011C4E" w:rsidRPr="000C7C81" w:rsidRDefault="006173E5" w:rsidP="00D42CDD">
      <w:pPr>
        <w:pStyle w:val="ONUMFS"/>
      </w:pPr>
      <w:r w:rsidRPr="000C7C81">
        <w:lastRenderedPageBreak/>
        <w:t xml:space="preserve">Le représentant de la </w:t>
      </w:r>
      <w:r w:rsidR="00F41C06" w:rsidRPr="000C7C81">
        <w:t>Fédération internationale des conseils en propriété intellectuelle (FICPI) a indiqué que</w:t>
      </w:r>
      <w:r w:rsidR="00A9666D" w:rsidRPr="000C7C81">
        <w:t xml:space="preserve"> la FIC</w:t>
      </w:r>
      <w:r w:rsidR="00F41C06" w:rsidRPr="000C7C81">
        <w:t xml:space="preserve">PI </w:t>
      </w:r>
      <w:r w:rsidR="00431ECF" w:rsidRPr="000C7C81">
        <w:t>estimait que les déposants devraient être autorisés à corriger des erreurs très formelles et évidentes sans perdre de</w:t>
      </w:r>
      <w:r w:rsidR="00982EAA" w:rsidRPr="000C7C81">
        <w:t>s</w:t>
      </w:r>
      <w:r w:rsidR="00431ECF" w:rsidRPr="000C7C81">
        <w:t xml:space="preserve"> droits importan</w:t>
      </w:r>
      <w:r w:rsidR="00EB552D" w:rsidRPr="000C7C81">
        <w:t xml:space="preserve">ts.  À </w:t>
      </w:r>
      <w:r w:rsidR="00431ECF" w:rsidRPr="000C7C81">
        <w:t>cet égard,</w:t>
      </w:r>
      <w:r w:rsidR="00A9666D" w:rsidRPr="000C7C81">
        <w:t xml:space="preserve"> la FIC</w:t>
      </w:r>
      <w:r w:rsidR="00431ECF" w:rsidRPr="000C7C81">
        <w:t>PI s</w:t>
      </w:r>
      <w:r w:rsidR="00A9666D" w:rsidRPr="000C7C81">
        <w:t>’</w:t>
      </w:r>
      <w:r w:rsidR="00431ECF" w:rsidRPr="000C7C81">
        <w:t>est déclarée favorable aux objectifs du Traité sur le droit des brevets (PLT) et s</w:t>
      </w:r>
      <w:r w:rsidR="00A9666D" w:rsidRPr="000C7C81">
        <w:t>’</w:t>
      </w:r>
      <w:r w:rsidR="00431ECF" w:rsidRPr="000C7C81">
        <w:t>est réjouie de l</w:t>
      </w:r>
      <w:r w:rsidR="00A9666D" w:rsidRPr="000C7C81">
        <w:t>’</w:t>
      </w:r>
      <w:r w:rsidR="00431ECF" w:rsidRPr="000C7C81">
        <w:t>introduction de dispositions similaires à celles</w:t>
      </w:r>
      <w:r w:rsidR="00A9666D" w:rsidRPr="000C7C81">
        <w:t xml:space="preserve"> du PLT</w:t>
      </w:r>
      <w:r w:rsidR="00431ECF" w:rsidRPr="000C7C81">
        <w:t xml:space="preserve"> dans</w:t>
      </w:r>
      <w:r w:rsidR="00A9666D" w:rsidRPr="000C7C81">
        <w:t xml:space="preserve"> le </w:t>
      </w:r>
      <w:r w:rsidR="00EB552D" w:rsidRPr="000C7C81">
        <w:t>PCT.  Il</w:t>
      </w:r>
      <w:r w:rsidR="00431ECF" w:rsidRPr="000C7C81">
        <w:t xml:space="preserve"> est clair que les dispositions qui avaient été ajoutées</w:t>
      </w:r>
      <w:r w:rsidR="00A9666D" w:rsidRPr="000C7C81">
        <w:t xml:space="preserve"> au PCT</w:t>
      </w:r>
      <w:r w:rsidR="00431ECF" w:rsidRPr="000C7C81">
        <w:t xml:space="preserve"> étaient destinées à poursuivre le même objectif que</w:t>
      </w:r>
      <w:r w:rsidR="00A9666D" w:rsidRPr="000C7C81">
        <w:t xml:space="preserve"> le PLT</w:t>
      </w:r>
      <w:r w:rsidR="00431ECF" w:rsidRPr="000C7C81">
        <w:t xml:space="preserve">, </w:t>
      </w:r>
      <w:r w:rsidR="00A9666D" w:rsidRPr="000C7C81">
        <w:t>à savoir</w:t>
      </w:r>
      <w:r w:rsidR="00431ECF" w:rsidRPr="000C7C81">
        <w:t xml:space="preserve"> rendre le système des brevets plus facile à utiliser</w:t>
      </w:r>
      <w:r w:rsidR="00982EAA" w:rsidRPr="000C7C81">
        <w:t>,</w:t>
      </w:r>
      <w:r w:rsidR="00431ECF" w:rsidRPr="000C7C81">
        <w:t xml:space="preserve"> tout en maintenant un juste équilibre entre les intérêts des différentes parties prenant</w:t>
      </w:r>
      <w:r w:rsidR="00EB552D" w:rsidRPr="000C7C81">
        <w:t>es.  Se</w:t>
      </w:r>
      <w:r w:rsidR="00431ECF" w:rsidRPr="000C7C81">
        <w:t>lon</w:t>
      </w:r>
      <w:r w:rsidR="00A9666D" w:rsidRPr="000C7C81">
        <w:t xml:space="preserve"> la FIC</w:t>
      </w:r>
      <w:r w:rsidR="00431ECF" w:rsidRPr="000C7C81">
        <w:t>PI, cela couvrait également le remplacement d</w:t>
      </w:r>
      <w:r w:rsidR="00A9666D" w:rsidRPr="000C7C81">
        <w:t>’</w:t>
      </w:r>
      <w:r w:rsidR="00431ECF" w:rsidRPr="000C7C81">
        <w:t>éléments ou de parties indûment déposés par l</w:t>
      </w:r>
      <w:r w:rsidR="00A9666D" w:rsidRPr="000C7C81">
        <w:t>’</w:t>
      </w:r>
      <w:r w:rsidR="00431ECF" w:rsidRPr="000C7C81">
        <w:t>élément correct ou la partie correcte tel qu</w:t>
      </w:r>
      <w:r w:rsidR="00A9666D" w:rsidRPr="000C7C81">
        <w:t>’</w:t>
      </w:r>
      <w:r w:rsidR="00431ECF" w:rsidRPr="000C7C81">
        <w:t>il figure dans une ou plusieurs demandes établissant la priorité, pour autant que les conditions visées à la règle 20 soient satisfaites, sous réserve de certaines mesures de sauvegarde mentionnées par</w:t>
      </w:r>
      <w:r w:rsidR="00A9666D" w:rsidRPr="000C7C81">
        <w:t xml:space="preserve"> la FIC</w:t>
      </w:r>
      <w:r w:rsidR="00431ECF" w:rsidRPr="000C7C81">
        <w:t>PI lors de l</w:t>
      </w:r>
      <w:r w:rsidR="00A9666D" w:rsidRPr="000C7C81">
        <w:t>’</w:t>
      </w:r>
      <w:r w:rsidR="00431ECF" w:rsidRPr="000C7C81">
        <w:t xml:space="preserve">atelier organisé par le Bureau international en juin 2018.  Le représentant a exprimé sa préoccupation </w:t>
      </w:r>
      <w:r w:rsidR="00073F36" w:rsidRPr="000C7C81">
        <w:t>quant au fait que les propositions de modification du règlement d</w:t>
      </w:r>
      <w:r w:rsidR="00A9666D" w:rsidRPr="000C7C81">
        <w:t>’</w:t>
      </w:r>
      <w:r w:rsidR="00073F36" w:rsidRPr="000C7C81">
        <w:t>exécution</w:t>
      </w:r>
      <w:r w:rsidR="00A9666D" w:rsidRPr="000C7C81">
        <w:t xml:space="preserve"> du PCT</w:t>
      </w:r>
      <w:r w:rsidR="00073F36" w:rsidRPr="000C7C81">
        <w:t xml:space="preserve"> que le Groupe de travail</w:t>
      </w:r>
      <w:r w:rsidR="00A9666D" w:rsidRPr="000C7C81">
        <w:t xml:space="preserve"> du PCT</w:t>
      </w:r>
      <w:r w:rsidR="00073F36" w:rsidRPr="000C7C81">
        <w:t xml:space="preserve"> avait recommandé de soumettre pour exa</w:t>
      </w:r>
      <w:r w:rsidR="00982EAA" w:rsidRPr="000C7C81">
        <w:t>men à la présente session de l</w:t>
      </w:r>
      <w:r w:rsidR="00A9666D" w:rsidRPr="000C7C81">
        <w:t>’</w:t>
      </w:r>
      <w:r w:rsidR="00982EAA" w:rsidRPr="000C7C81">
        <w:t>a</w:t>
      </w:r>
      <w:r w:rsidR="00073F36" w:rsidRPr="000C7C81">
        <w:t>ssemblée n</w:t>
      </w:r>
      <w:r w:rsidR="00A9666D" w:rsidRPr="000C7C81">
        <w:t>’</w:t>
      </w:r>
      <w:r w:rsidR="00073F36" w:rsidRPr="000C7C81">
        <w:t>atteindraient pas l</w:t>
      </w:r>
      <w:r w:rsidR="00A9666D" w:rsidRPr="000C7C81">
        <w:t>’</w:t>
      </w:r>
      <w:r w:rsidR="00073F36" w:rsidRPr="000C7C81">
        <w:t>objectif visé d</w:t>
      </w:r>
      <w:r w:rsidR="00A9666D" w:rsidRPr="000C7C81">
        <w:t>’</w:t>
      </w:r>
      <w:r w:rsidR="00073F36" w:rsidRPr="000C7C81">
        <w:t>harmonisation des pratiques en matière d</w:t>
      </w:r>
      <w:r w:rsidR="00A9666D" w:rsidRPr="000C7C81">
        <w:t>’</w:t>
      </w:r>
      <w:r w:rsidR="00073F36" w:rsidRPr="000C7C81">
        <w:t>incorporation par renvoi d</w:t>
      </w:r>
      <w:r w:rsidR="00A9666D" w:rsidRPr="000C7C81">
        <w:t>’</w:t>
      </w:r>
      <w:r w:rsidR="00073F36" w:rsidRPr="000C7C81">
        <w:t>éléments ou de parties figurant dans une demande établissant la priori</w:t>
      </w:r>
      <w:r w:rsidR="00EB552D" w:rsidRPr="000C7C81">
        <w:t>té.  Au</w:t>
      </w:r>
      <w:r w:rsidR="00982EAA" w:rsidRPr="000C7C81">
        <w:t xml:space="preserve"> contraire</w:t>
      </w:r>
      <w:r w:rsidR="00073F36" w:rsidRPr="000C7C81">
        <w:t>, les propositions introduiraient de nouvelles incertitudes et divergences entre les pratiques des offic</w:t>
      </w:r>
      <w:r w:rsidR="00EB552D" w:rsidRPr="000C7C81">
        <w:t>es.  L’u</w:t>
      </w:r>
      <w:r w:rsidR="00073F36" w:rsidRPr="000C7C81">
        <w:t xml:space="preserve">tilisation croissante du système </w:t>
      </w:r>
      <w:proofErr w:type="spellStart"/>
      <w:r w:rsidR="00073F36" w:rsidRPr="000C7C81">
        <w:t>ePCT</w:t>
      </w:r>
      <w:proofErr w:type="spellEnd"/>
      <w:r w:rsidR="00073F36" w:rsidRPr="000C7C81">
        <w:t xml:space="preserve"> a </w:t>
      </w:r>
      <w:r w:rsidR="00982EAA" w:rsidRPr="000C7C81">
        <w:t xml:space="preserve">entraîné un </w:t>
      </w:r>
      <w:r w:rsidR="00073F36" w:rsidRPr="000C7C81">
        <w:t xml:space="preserve">risque </w:t>
      </w:r>
      <w:r w:rsidR="00982EAA" w:rsidRPr="000C7C81">
        <w:t xml:space="preserve">accru </w:t>
      </w:r>
      <w:r w:rsidR="00073F36" w:rsidRPr="000C7C81">
        <w:t>de téléchargement de documents incorrects à partir d</w:t>
      </w:r>
      <w:r w:rsidR="00A9666D" w:rsidRPr="000C7C81">
        <w:t>’</w:t>
      </w:r>
      <w:r w:rsidR="00073F36" w:rsidRPr="000C7C81">
        <w:t>un ordinate</w:t>
      </w:r>
      <w:r w:rsidR="00EB552D" w:rsidRPr="000C7C81">
        <w:t>ur.  Il</w:t>
      </w:r>
      <w:r w:rsidR="00073F36" w:rsidRPr="000C7C81">
        <w:t xml:space="preserve"> était dès lors nécessaire d</w:t>
      </w:r>
      <w:r w:rsidR="00A9666D" w:rsidRPr="000C7C81">
        <w:t>’</w:t>
      </w:r>
      <w:r w:rsidR="00073F36" w:rsidRPr="000C7C81">
        <w:t>introduire une disposition pour remédier à cette situati</w:t>
      </w:r>
      <w:r w:rsidR="00EB552D" w:rsidRPr="000C7C81">
        <w:t>on.  Ét</w:t>
      </w:r>
      <w:r w:rsidR="00073F36" w:rsidRPr="000C7C81">
        <w:t>ait particulièrement préoccupant le cas où l</w:t>
      </w:r>
      <w:r w:rsidR="00A9666D" w:rsidRPr="000C7C81">
        <w:t>’</w:t>
      </w:r>
      <w:r w:rsidR="00073F36" w:rsidRPr="000C7C81">
        <w:t>élément incorrect était un type de document différent</w:t>
      </w:r>
      <w:r w:rsidR="00982EAA" w:rsidRPr="000C7C81">
        <w:t xml:space="preserve"> –</w:t>
      </w:r>
      <w:r w:rsidR="00073F36" w:rsidRPr="000C7C81">
        <w:t xml:space="preserve"> par exemple</w:t>
      </w:r>
      <w:r w:rsidR="00982EAA" w:rsidRPr="000C7C81">
        <w:t>,</w:t>
      </w:r>
      <w:r w:rsidR="00073F36" w:rsidRPr="000C7C81">
        <w:t xml:space="preserve"> une série de revendications plutôt qu</w:t>
      </w:r>
      <w:r w:rsidR="00A9666D" w:rsidRPr="000C7C81">
        <w:t>’</w:t>
      </w:r>
      <w:r w:rsidR="00073F36" w:rsidRPr="000C7C81">
        <w:t>une description</w:t>
      </w:r>
      <w:r w:rsidR="00982EAA" w:rsidRPr="000C7C81">
        <w:t xml:space="preserve"> –</w:t>
      </w:r>
      <w:r w:rsidR="00073F36" w:rsidRPr="000C7C81">
        <w:t xml:space="preserve"> ou concernait manifestement une invention différente, éventuellement pour un client différe</w:t>
      </w:r>
      <w:r w:rsidR="00EB552D" w:rsidRPr="000C7C81">
        <w:t>nt.  En</w:t>
      </w:r>
      <w:r w:rsidR="00073F36" w:rsidRPr="000C7C81">
        <w:t xml:space="preserve"> pareil cas, une incertitude demeurerait quant à la question de savoir si l</w:t>
      </w:r>
      <w:r w:rsidR="00A9666D" w:rsidRPr="000C7C81">
        <w:t>’</w:t>
      </w:r>
      <w:r w:rsidR="00330B5E" w:rsidRPr="000C7C81">
        <w:t>“</w:t>
      </w:r>
      <w:r w:rsidR="00073F36" w:rsidRPr="000C7C81">
        <w:t>élément</w:t>
      </w:r>
      <w:r w:rsidR="00A54120" w:rsidRPr="000C7C81">
        <w:t xml:space="preserve">” </w:t>
      </w:r>
      <w:r w:rsidR="00073F36" w:rsidRPr="000C7C81">
        <w:t>de la demande considérée</w:t>
      </w:r>
      <w:r w:rsidR="000038B8" w:rsidRPr="000C7C81">
        <w:t xml:space="preserve"> </w:t>
      </w:r>
      <w:r w:rsidR="00982EAA" w:rsidRPr="000C7C81">
        <w:t>avait été omis</w:t>
      </w:r>
      <w:r w:rsidR="000038B8" w:rsidRPr="000C7C81">
        <w:t xml:space="preserve"> ou </w:t>
      </w:r>
      <w:r w:rsidR="00982EAA" w:rsidRPr="000C7C81">
        <w:t>s</w:t>
      </w:r>
      <w:r w:rsidR="00A9666D" w:rsidRPr="000C7C81">
        <w:t>’</w:t>
      </w:r>
      <w:r w:rsidR="00982EAA" w:rsidRPr="000C7C81">
        <w:t xml:space="preserve">il </w:t>
      </w:r>
      <w:r w:rsidR="000038B8" w:rsidRPr="000C7C81">
        <w:t>avait été indûment déposé, même avec les propositions de modification des règl</w:t>
      </w:r>
      <w:r w:rsidR="00EB552D" w:rsidRPr="000C7C81">
        <w:t>es.  Da</w:t>
      </w:r>
      <w:r w:rsidR="000038B8" w:rsidRPr="000C7C81">
        <w:t>ns le monde des affaires, si un tel document avait été envoyé par inadvertance à une partie, soit il serait renvoyé à cette partie sans en conserver de copie, soit toutes les copies seraient détruites par la part</w:t>
      </w:r>
      <w:r w:rsidR="00EB552D" w:rsidRPr="000C7C81">
        <w:t>ie.  La</w:t>
      </w:r>
      <w:r w:rsidR="00A9666D" w:rsidRPr="000C7C81">
        <w:t> FIC</w:t>
      </w:r>
      <w:r w:rsidR="000038B8" w:rsidRPr="000C7C81">
        <w:t>P</w:t>
      </w:r>
      <w:r w:rsidR="00A44F45" w:rsidRPr="000C7C81">
        <w:t>I</w:t>
      </w:r>
      <w:r w:rsidR="000038B8" w:rsidRPr="000C7C81">
        <w:t xml:space="preserve"> était d</w:t>
      </w:r>
      <w:r w:rsidR="00A9666D" w:rsidRPr="000C7C81">
        <w:t>’</w:t>
      </w:r>
      <w:r w:rsidR="000038B8" w:rsidRPr="000C7C81">
        <w:t>avis qu</w:t>
      </w:r>
      <w:r w:rsidR="00A9666D" w:rsidRPr="000C7C81">
        <w:t>’</w:t>
      </w:r>
      <w:r w:rsidR="000038B8" w:rsidRPr="000C7C81">
        <w:t>il convenait que le Bureau international ou l</w:t>
      </w:r>
      <w:r w:rsidR="00A9666D" w:rsidRPr="000C7C81">
        <w:t>’</w:t>
      </w:r>
      <w:r w:rsidR="000038B8" w:rsidRPr="000C7C81">
        <w:t>office récepteur fasse de même et elle n</w:t>
      </w:r>
      <w:r w:rsidR="00A9666D" w:rsidRPr="000C7C81">
        <w:t>’</w:t>
      </w:r>
      <w:r w:rsidR="000038B8" w:rsidRPr="000C7C81">
        <w:t>était donc pas favorable à une procédure qui aboutirait à conserver le document incorrect dans la base de données de l</w:t>
      </w:r>
      <w:r w:rsidR="00A9666D" w:rsidRPr="000C7C81">
        <w:t>’</w:t>
      </w:r>
      <w:r w:rsidR="000038B8" w:rsidRPr="000C7C81">
        <w:t>O</w:t>
      </w:r>
      <w:r w:rsidR="00EB552D" w:rsidRPr="000C7C81">
        <w:t>MPI.  De</w:t>
      </w:r>
      <w:r w:rsidR="000038B8" w:rsidRPr="000C7C81">
        <w:t xml:space="preserve"> l</w:t>
      </w:r>
      <w:r w:rsidR="00A9666D" w:rsidRPr="000C7C81">
        <w:t>’</w:t>
      </w:r>
      <w:r w:rsidR="000038B8" w:rsidRPr="000C7C81">
        <w:t>avis de</w:t>
      </w:r>
      <w:r w:rsidR="00A9666D" w:rsidRPr="000C7C81">
        <w:t xml:space="preserve"> la FIC</w:t>
      </w:r>
      <w:r w:rsidR="000038B8" w:rsidRPr="000C7C81">
        <w:t xml:space="preserve">PI, ni la publication du document marqué </w:t>
      </w:r>
      <w:r w:rsidR="00330B5E" w:rsidRPr="000C7C81">
        <w:t>“</w:t>
      </w:r>
      <w:r w:rsidR="000038B8" w:rsidRPr="000C7C81">
        <w:t>indûment déposé</w:t>
      </w:r>
      <w:r w:rsidR="00330B5E" w:rsidRPr="000C7C81">
        <w:t xml:space="preserve">” </w:t>
      </w:r>
      <w:r w:rsidR="000038B8" w:rsidRPr="000C7C81">
        <w:t>comme proposé, ni la conservation du document non publié dans le dossier de l</w:t>
      </w:r>
      <w:r w:rsidR="00A9666D" w:rsidRPr="000C7C81">
        <w:t>’</w:t>
      </w:r>
      <w:r w:rsidR="000038B8" w:rsidRPr="000C7C81">
        <w:t>OMPI à la suite d</w:t>
      </w:r>
      <w:r w:rsidR="00A9666D" w:rsidRPr="000C7C81">
        <w:t>’</w:t>
      </w:r>
      <w:r w:rsidR="000038B8" w:rsidRPr="000C7C81">
        <w:t>une requête au titre de la règle 48.2.l) ne servai</w:t>
      </w:r>
      <w:r w:rsidR="00982EAA" w:rsidRPr="000C7C81">
        <w:t>en</w:t>
      </w:r>
      <w:r w:rsidR="000038B8" w:rsidRPr="000C7C81">
        <w:t>t les intérêts d</w:t>
      </w:r>
      <w:r w:rsidR="00A9666D" w:rsidRPr="000C7C81">
        <w:t>’</w:t>
      </w:r>
      <w:r w:rsidR="000038B8" w:rsidRPr="000C7C81">
        <w:t>une des parties prenant</w:t>
      </w:r>
      <w:r w:rsidR="00EB552D" w:rsidRPr="000C7C81">
        <w:t>es.  Pa</w:t>
      </w:r>
      <w:r w:rsidR="000038B8" w:rsidRPr="000C7C81">
        <w:t>r conséquent,</w:t>
      </w:r>
      <w:r w:rsidR="00A9666D" w:rsidRPr="000C7C81">
        <w:t xml:space="preserve"> la FIC</w:t>
      </w:r>
      <w:r w:rsidR="00A54120" w:rsidRPr="000C7C81">
        <w:t xml:space="preserve">PI </w:t>
      </w:r>
      <w:r w:rsidR="000038B8" w:rsidRPr="000C7C81">
        <w:t>considérait qu</w:t>
      </w:r>
      <w:r w:rsidR="00A9666D" w:rsidRPr="000C7C81">
        <w:t>’</w:t>
      </w:r>
      <w:r w:rsidR="000038B8" w:rsidRPr="000C7C81">
        <w:t>il convenait que le Bureau international et le Groupe de travail</w:t>
      </w:r>
      <w:r w:rsidR="00A9666D" w:rsidRPr="000C7C81">
        <w:t xml:space="preserve"> du PCT</w:t>
      </w:r>
      <w:r w:rsidR="000038B8" w:rsidRPr="000C7C81">
        <w:t xml:space="preserve"> résolvent ce problème en introduisant de nouvelles modifications ou une autre règle dans le règlement d</w:t>
      </w:r>
      <w:r w:rsidR="00A9666D" w:rsidRPr="000C7C81">
        <w:t>’</w:t>
      </w:r>
      <w:r w:rsidR="000038B8" w:rsidRPr="000C7C81">
        <w:t>exécution</w:t>
      </w:r>
      <w:r w:rsidR="00A9666D" w:rsidRPr="000C7C81">
        <w:t xml:space="preserve"> du PCT</w:t>
      </w:r>
      <w:r w:rsidR="000038B8" w:rsidRPr="000C7C81">
        <w:t xml:space="preserve"> afin de parvenir à une plus grande harmonisation entre les différentes autorités</w:t>
      </w:r>
      <w:r w:rsidR="00A9666D" w:rsidRPr="000C7C81">
        <w:t xml:space="preserve"> du PCT</w:t>
      </w:r>
      <w:r w:rsidR="000038B8" w:rsidRPr="000C7C81">
        <w:t xml:space="preserve"> en ce qui concerne l</w:t>
      </w:r>
      <w:r w:rsidR="00A9666D" w:rsidRPr="000C7C81">
        <w:t>’</w:t>
      </w:r>
      <w:r w:rsidR="000038B8" w:rsidRPr="000C7C81">
        <w:t>incorporation par renvoi d</w:t>
      </w:r>
      <w:r w:rsidR="00A9666D" w:rsidRPr="000C7C81">
        <w:t>’</w:t>
      </w:r>
      <w:r w:rsidR="000038B8" w:rsidRPr="000C7C81">
        <w:t>éléments ou de parties figurant dans une demande établissant la priori</w:t>
      </w:r>
      <w:r w:rsidR="00EB552D" w:rsidRPr="000C7C81">
        <w:t>té.  Le</w:t>
      </w:r>
      <w:r w:rsidR="000038B8" w:rsidRPr="000C7C81">
        <w:t xml:space="preserve"> document incorrect devrait être intégralement supprimé de la demande, éventuellement en introduisant une nouvelle règle pour couvrir cette suppression.</w:t>
      </w:r>
    </w:p>
    <w:p w14:paraId="296B295F" w14:textId="1333B91B" w:rsidR="00011C4E" w:rsidRPr="000C7C81" w:rsidRDefault="00F021D8" w:rsidP="00D42CDD">
      <w:pPr>
        <w:pStyle w:val="ONUMFS"/>
      </w:pPr>
      <w:r w:rsidRPr="000C7C81">
        <w:t>En réponse aux observations</w:t>
      </w:r>
      <w:r w:rsidR="00397E74" w:rsidRPr="000C7C81">
        <w:t xml:space="preserve"> formulées par le représentant de</w:t>
      </w:r>
      <w:r w:rsidR="00A9666D" w:rsidRPr="000C7C81">
        <w:t xml:space="preserve"> la FIC</w:t>
      </w:r>
      <w:r w:rsidR="00397E74" w:rsidRPr="000C7C81">
        <w:t>PI, le Secrétariat a déclaré que le Bureau international estimait que les règles proposées pour adoption représentaient une avancée pour les déposants, étant donné qu</w:t>
      </w:r>
      <w:r w:rsidR="00A9666D" w:rsidRPr="000C7C81">
        <w:t>’</w:t>
      </w:r>
      <w:r w:rsidR="00397E74" w:rsidRPr="000C7C81">
        <w:t>elles atténu</w:t>
      </w:r>
      <w:r w:rsidR="00982EAA" w:rsidRPr="000C7C81">
        <w:t>ai</w:t>
      </w:r>
      <w:r w:rsidR="00397E74" w:rsidRPr="000C7C81">
        <w:t>ent les problèmes causés par les erreurs commises au cours de la procédure de dép</w:t>
      </w:r>
      <w:r w:rsidR="00EB552D" w:rsidRPr="000C7C81">
        <w:t>ôt.  Le</w:t>
      </w:r>
      <w:r w:rsidR="00397E74" w:rsidRPr="000C7C81">
        <w:t xml:space="preserve"> Secrétariat a reconnu que les propositions n</w:t>
      </w:r>
      <w:r w:rsidR="00A9666D" w:rsidRPr="000C7C81">
        <w:t>’</w:t>
      </w:r>
      <w:r w:rsidR="00397E74" w:rsidRPr="000C7C81">
        <w:t>allaient pas aussi loin que ce que</w:t>
      </w:r>
      <w:r w:rsidR="00A9666D" w:rsidRPr="000C7C81">
        <w:t xml:space="preserve"> la FIC</w:t>
      </w:r>
      <w:r w:rsidR="00397E74" w:rsidRPr="000C7C81">
        <w:t>PI aurait souhai</w:t>
      </w:r>
      <w:r w:rsidR="00EB552D" w:rsidRPr="000C7C81">
        <w:t>té.  Il</w:t>
      </w:r>
      <w:r w:rsidR="00397E74" w:rsidRPr="000C7C81">
        <w:t xml:space="preserve"> est toutefois ressorti clairement des discussions au sein du Groupe de travail</w:t>
      </w:r>
      <w:r w:rsidR="00A9666D" w:rsidRPr="000C7C81">
        <w:t xml:space="preserve"> du PCT</w:t>
      </w:r>
      <w:r w:rsidR="00397E74" w:rsidRPr="000C7C81">
        <w:t xml:space="preserve"> que les États membres n</w:t>
      </w:r>
      <w:r w:rsidR="00A9666D" w:rsidRPr="000C7C81">
        <w:t>’</w:t>
      </w:r>
      <w:r w:rsidR="00397E74" w:rsidRPr="000C7C81">
        <w:t>avaient pas souhaité voir un quelconque élément totalement supprimé du dossier sans que soit également modifiée la date du dépôt international afin de refléter le moment de la modification correspondan</w:t>
      </w:r>
      <w:r w:rsidR="00EB552D" w:rsidRPr="000C7C81">
        <w:t>te.  Pa</w:t>
      </w:r>
      <w:r w:rsidR="00397E74" w:rsidRPr="000C7C81">
        <w:t xml:space="preserve">r conséquent, le Secrétariat a </w:t>
      </w:r>
      <w:r w:rsidR="00982EAA" w:rsidRPr="000C7C81">
        <w:t>maintenu sa recommandation d</w:t>
      </w:r>
      <w:r w:rsidR="00A9666D" w:rsidRPr="000C7C81">
        <w:t>’</w:t>
      </w:r>
      <w:r w:rsidR="00982EAA" w:rsidRPr="000C7C81">
        <w:t xml:space="preserve">adopter </w:t>
      </w:r>
      <w:r w:rsidR="00397E74" w:rsidRPr="000C7C81">
        <w:t>les modifications telles qu</w:t>
      </w:r>
      <w:r w:rsidR="00A9666D" w:rsidRPr="000C7C81">
        <w:t>’</w:t>
      </w:r>
      <w:r w:rsidR="00397E74" w:rsidRPr="000C7C81">
        <w:t>elles ont été proposé</w:t>
      </w:r>
      <w:r w:rsidR="00EB552D" w:rsidRPr="000C7C81">
        <w:t>es.  Le</w:t>
      </w:r>
      <w:r w:rsidR="00397E74" w:rsidRPr="000C7C81">
        <w:t xml:space="preserve"> Secrétariat a néanmoins encouragé les groupes d</w:t>
      </w:r>
      <w:r w:rsidR="00A9666D" w:rsidRPr="000C7C81">
        <w:t>’</w:t>
      </w:r>
      <w:r w:rsidR="00397E74" w:rsidRPr="000C7C81">
        <w:t>utilisateurs à poursuivre la discussion sur les préoccupations relatives à ce type de problème avec leurs offices nationaux et régionaux respecti</w:t>
      </w:r>
      <w:r w:rsidR="00EB552D" w:rsidRPr="000C7C81">
        <w:t>fs.  Si</w:t>
      </w:r>
      <w:r w:rsidR="00397E74" w:rsidRPr="000C7C81">
        <w:t xml:space="preserve"> les États membres estimaient qu</w:t>
      </w:r>
      <w:r w:rsidR="00A9666D" w:rsidRPr="000C7C81">
        <w:t>’</w:t>
      </w:r>
      <w:r w:rsidR="00397E74" w:rsidRPr="000C7C81">
        <w:t>il existe une possibilité réaliste d</w:t>
      </w:r>
      <w:r w:rsidR="00A9666D" w:rsidRPr="000C7C81">
        <w:t>’</w:t>
      </w:r>
      <w:r w:rsidR="00397E74" w:rsidRPr="000C7C81">
        <w:t xml:space="preserve">améliorer encore les dispositions </w:t>
      </w:r>
      <w:r w:rsidR="00982EAA" w:rsidRPr="000C7C81">
        <w:t>concernant les</w:t>
      </w:r>
      <w:r w:rsidR="00397E74" w:rsidRPr="000C7C81">
        <w:t xml:space="preserve"> mesures de sauvegarde dans le futur, le Bureau international serait </w:t>
      </w:r>
      <w:r w:rsidR="00F536D8" w:rsidRPr="000C7C81">
        <w:t>disposé à</w:t>
      </w:r>
      <w:r w:rsidR="00397E74" w:rsidRPr="000C7C81">
        <w:t xml:space="preserve"> </w:t>
      </w:r>
      <w:r w:rsidR="00397E74" w:rsidRPr="000C7C81">
        <w:lastRenderedPageBreak/>
        <w:t>présenter de nouvelles propositions au Groupe de travail</w:t>
      </w:r>
      <w:r w:rsidR="00A9666D" w:rsidRPr="000C7C81">
        <w:t xml:space="preserve"> du </w:t>
      </w:r>
      <w:r w:rsidR="00EB552D" w:rsidRPr="000C7C81">
        <w:t>PCT.  En</w:t>
      </w:r>
      <w:r w:rsidR="00397E74" w:rsidRPr="000C7C81">
        <w:t>tre</w:t>
      </w:r>
      <w:r w:rsidR="00D770CA">
        <w:noBreakHyphen/>
      </w:r>
      <w:r w:rsidR="00397E74" w:rsidRPr="000C7C81">
        <w:t>temps, le Bureau international indiquerait clairement dans le Guide du déposant</w:t>
      </w:r>
      <w:r w:rsidR="00A9666D" w:rsidRPr="000C7C81">
        <w:t xml:space="preserve"> du PCT</w:t>
      </w:r>
      <w:r w:rsidR="00397E74" w:rsidRPr="000C7C81">
        <w:t xml:space="preserve"> </w:t>
      </w:r>
      <w:r w:rsidR="00A44F45" w:rsidRPr="000C7C81">
        <w:t xml:space="preserve">comment remédier </w:t>
      </w:r>
      <w:r w:rsidR="00397E74" w:rsidRPr="000C7C81">
        <w:t>au mieux à une erreur commise lors du dépôt, mais il a également souligné l</w:t>
      </w:r>
      <w:r w:rsidR="00A9666D" w:rsidRPr="000C7C81">
        <w:t>’</w:t>
      </w:r>
      <w:r w:rsidR="00397E74" w:rsidRPr="000C7C81">
        <w:t xml:space="preserve">importance </w:t>
      </w:r>
      <w:r w:rsidR="0050037D" w:rsidRPr="000C7C81">
        <w:t>de sélectionner avec le plus grand soin les bons documents lors du dépôt d</w:t>
      </w:r>
      <w:r w:rsidR="00A9666D" w:rsidRPr="000C7C81">
        <w:t>’</w:t>
      </w:r>
      <w:r w:rsidR="0050037D" w:rsidRPr="000C7C81">
        <w:t>une demande internationale dans la mesure où certaines erreurs ne pouvaient pas être corrigées.</w:t>
      </w:r>
    </w:p>
    <w:p w14:paraId="2FF9FBC3" w14:textId="6C88720C" w:rsidR="00011C4E" w:rsidRPr="000C7C81" w:rsidRDefault="0050037D" w:rsidP="00D42CDD">
      <w:pPr>
        <w:pStyle w:val="ONUMFS"/>
      </w:pPr>
      <w:r w:rsidRPr="000C7C81">
        <w:t xml:space="preserve">Le représentant de </w:t>
      </w:r>
      <w:proofErr w:type="spellStart"/>
      <w:r w:rsidR="00014669" w:rsidRPr="000C7C81">
        <w:t>Knowledge</w:t>
      </w:r>
      <w:proofErr w:type="spellEnd"/>
      <w:r w:rsidR="00014669" w:rsidRPr="000C7C81">
        <w:t xml:space="preserve"> </w:t>
      </w:r>
      <w:proofErr w:type="spellStart"/>
      <w:r w:rsidR="00014669" w:rsidRPr="000C7C81">
        <w:t>Ecology</w:t>
      </w:r>
      <w:proofErr w:type="spellEnd"/>
      <w:r w:rsidR="00014669" w:rsidRPr="000C7C81">
        <w:t xml:space="preserve"> International (KEI) </w:t>
      </w:r>
      <w:r w:rsidRPr="000C7C81">
        <w:t>a suggéré d</w:t>
      </w:r>
      <w:r w:rsidR="00A9666D" w:rsidRPr="000C7C81">
        <w:t>’</w:t>
      </w:r>
      <w:r w:rsidRPr="000C7C81">
        <w:t>examiner différents domaines dans lesquels davantage d</w:t>
      </w:r>
      <w:r w:rsidR="00A9666D" w:rsidRPr="000C7C81">
        <w:t>’</w:t>
      </w:r>
      <w:r w:rsidRPr="000C7C81">
        <w:t xml:space="preserve">informations pourraient être mises </w:t>
      </w:r>
      <w:r w:rsidR="002074FB" w:rsidRPr="000C7C81">
        <w:t>à</w:t>
      </w:r>
      <w:r w:rsidRPr="000C7C81">
        <w:t xml:space="preserve"> disposition dans les bases de données de brevets à l</w:t>
      </w:r>
      <w:r w:rsidR="00A9666D" w:rsidRPr="000C7C81">
        <w:t>’</w:t>
      </w:r>
      <w:r w:rsidRPr="000C7C81">
        <w:t xml:space="preserve">intérieur du système </w:t>
      </w:r>
      <w:proofErr w:type="spellStart"/>
      <w:r w:rsidRPr="000C7C81">
        <w:t>ePCT</w:t>
      </w:r>
      <w:proofErr w:type="spellEnd"/>
      <w:r w:rsidR="002074FB" w:rsidRPr="000C7C81">
        <w:t>, même si ce n</w:t>
      </w:r>
      <w:r w:rsidR="00A9666D" w:rsidRPr="000C7C81">
        <w:t>’</w:t>
      </w:r>
      <w:r w:rsidR="002074FB" w:rsidRPr="000C7C81">
        <w:t>était que sur une base volontai</w:t>
      </w:r>
      <w:r w:rsidR="00EB552D" w:rsidRPr="000C7C81">
        <w:t xml:space="preserve">re.  À </w:t>
      </w:r>
      <w:r w:rsidR="002074FB" w:rsidRPr="000C7C81">
        <w:t>titre d</w:t>
      </w:r>
      <w:r w:rsidR="00A9666D" w:rsidRPr="000C7C81">
        <w:t>’</w:t>
      </w:r>
      <w:r w:rsidR="002074FB" w:rsidRPr="000C7C81">
        <w:t>exemple, une plus grande visibilité auprès du public pourrait être conférée aux informations sur des licences liées à un brevet, aux informations relatives à des recherches sur l</w:t>
      </w:r>
      <w:r w:rsidR="00A9666D" w:rsidRPr="000C7C81">
        <w:t>’</w:t>
      </w:r>
      <w:r w:rsidR="002074FB" w:rsidRPr="000C7C81">
        <w:t>état de la technique dans les différents ressorts juridiques où la demande de brevet a été déposée ou à la dénomination commune internationale des traitements médicaux liés à un brevet.</w:t>
      </w:r>
    </w:p>
    <w:p w14:paraId="3246D4B6" w14:textId="7828E9D0" w:rsidR="00011C4E" w:rsidRPr="000C7C81" w:rsidRDefault="002074FB" w:rsidP="00D42CDD">
      <w:pPr>
        <w:pStyle w:val="ONUMFS"/>
      </w:pPr>
      <w:r w:rsidRPr="000C7C81">
        <w:t>En réponse aux observations formulées par le représentant de KEI, le Secrétariat a fait valoir que certaines des informations mentionnées étaient déjà accessibles au public dans les bases de données de l</w:t>
      </w:r>
      <w:r w:rsidR="00A9666D" w:rsidRPr="000C7C81">
        <w:t>’</w:t>
      </w:r>
      <w:r w:rsidRPr="000C7C81">
        <w:t>O</w:t>
      </w:r>
      <w:r w:rsidR="00EB552D" w:rsidRPr="000C7C81">
        <w:t>MPI.  Le</w:t>
      </w:r>
      <w:r w:rsidRPr="000C7C81">
        <w:t xml:space="preserve"> Secrétariat s</w:t>
      </w:r>
      <w:r w:rsidR="00A9666D" w:rsidRPr="000C7C81">
        <w:t>’</w:t>
      </w:r>
      <w:r w:rsidRPr="000C7C81">
        <w:t>est déclaré prêt à discuter avec KEI et d</w:t>
      </w:r>
      <w:r w:rsidR="00A9666D" w:rsidRPr="000C7C81">
        <w:t>’</w:t>
      </w:r>
      <w:r w:rsidRPr="000C7C81">
        <w:t xml:space="preserve">autres parties prenantes de solutions </w:t>
      </w:r>
      <w:r w:rsidR="00982EAA" w:rsidRPr="000C7C81">
        <w:t xml:space="preserve">destinées à </w:t>
      </w:r>
      <w:r w:rsidRPr="000C7C81">
        <w:t xml:space="preserve">mieux faire connaître aux déposants et au grand public les options disponibles </w:t>
      </w:r>
      <w:r w:rsidR="00756412" w:rsidRPr="000C7C81">
        <w:t xml:space="preserve">pour fournir ces informations ou y accéder, ainsi que </w:t>
      </w:r>
      <w:r w:rsidR="00982EAA" w:rsidRPr="000C7C81">
        <w:t xml:space="preserve">de </w:t>
      </w:r>
      <w:r w:rsidR="00756412" w:rsidRPr="000C7C81">
        <w:t>la manière d</w:t>
      </w:r>
      <w:r w:rsidR="00A9666D" w:rsidRPr="000C7C81">
        <w:t>’</w:t>
      </w:r>
      <w:r w:rsidR="00756412" w:rsidRPr="000C7C81">
        <w:t>améliorer ces options dans le futur, que ce soit d</w:t>
      </w:r>
      <w:r w:rsidR="00A9666D" w:rsidRPr="000C7C81">
        <w:t>’</w:t>
      </w:r>
      <w:r w:rsidR="00756412" w:rsidRPr="000C7C81">
        <w:t>un point de vue administratif ou en soumettant de nouvelles propositions au Groupe de travail</w:t>
      </w:r>
      <w:r w:rsidR="00A9666D" w:rsidRPr="000C7C81">
        <w:t xml:space="preserve"> du PCT</w:t>
      </w:r>
      <w:r w:rsidR="00756412" w:rsidRPr="000C7C81">
        <w:t xml:space="preserve"> afin d</w:t>
      </w:r>
      <w:r w:rsidR="00A9666D" w:rsidRPr="000C7C81">
        <w:t>’</w:t>
      </w:r>
      <w:r w:rsidR="00756412" w:rsidRPr="000C7C81">
        <w:t>améliorer encore le règlement d</w:t>
      </w:r>
      <w:r w:rsidR="00A9666D" w:rsidRPr="000C7C81">
        <w:t>’</w:t>
      </w:r>
      <w:r w:rsidR="00756412" w:rsidRPr="000C7C81">
        <w:t>exécution de façon à renforcer l</w:t>
      </w:r>
      <w:r w:rsidR="00A9666D" w:rsidRPr="000C7C81">
        <w:t>’</w:t>
      </w:r>
      <w:r w:rsidR="00756412" w:rsidRPr="000C7C81">
        <w:t>utilité du système</w:t>
      </w:r>
      <w:r w:rsidR="00A9666D" w:rsidRPr="000C7C81">
        <w:t xml:space="preserve"> du PCT</w:t>
      </w:r>
      <w:r w:rsidR="00756412" w:rsidRPr="000C7C81">
        <w:t xml:space="preserve"> pour toutes les parties prenantes.</w:t>
      </w:r>
    </w:p>
    <w:p w14:paraId="58ED544F" w14:textId="413594EA" w:rsidR="00011C4E" w:rsidRPr="000C7C81" w:rsidRDefault="00D42CDD" w:rsidP="00D42CDD">
      <w:pPr>
        <w:pStyle w:val="ONUMFS"/>
        <w:ind w:left="567"/>
      </w:pPr>
      <w:r w:rsidRPr="000C7C81">
        <w:t>L</w:t>
      </w:r>
      <w:r w:rsidR="00A9666D" w:rsidRPr="000C7C81">
        <w:t>’</w:t>
      </w:r>
      <w:r w:rsidRPr="000C7C81">
        <w:t>Assemblée de l</w:t>
      </w:r>
      <w:r w:rsidR="00A9666D" w:rsidRPr="000C7C81">
        <w:t>’</w:t>
      </w:r>
      <w:r w:rsidRPr="000C7C81">
        <w:t>Union du PCT</w:t>
      </w:r>
    </w:p>
    <w:p w14:paraId="56A7D4DC" w14:textId="4FEDFE01" w:rsidR="00011C4E" w:rsidRPr="000C7C81" w:rsidRDefault="00D42CDD" w:rsidP="00D42CDD">
      <w:pPr>
        <w:pStyle w:val="ONUMFS"/>
        <w:numPr>
          <w:ilvl w:val="2"/>
          <w:numId w:val="9"/>
        </w:numPr>
      </w:pPr>
      <w:proofErr w:type="gramStart"/>
      <w:r w:rsidRPr="000C7C81">
        <w:t>a</w:t>
      </w:r>
      <w:proofErr w:type="gramEnd"/>
      <w:r w:rsidRPr="000C7C81">
        <w:t xml:space="preserve"> adopté les propositions de modification du règlement d</w:t>
      </w:r>
      <w:r w:rsidR="00A9666D" w:rsidRPr="000C7C81">
        <w:t>’</w:t>
      </w:r>
      <w:r w:rsidRPr="000C7C81">
        <w:t>exécution du PCT présentées dans les annexe</w:t>
      </w:r>
      <w:r w:rsidR="00A44F45" w:rsidRPr="000C7C81">
        <w:t>s</w:t>
      </w:r>
      <w:r w:rsidRPr="000C7C81">
        <w:t> I à V du document PCT/A/51/2, ainsi que l</w:t>
      </w:r>
      <w:r w:rsidR="00A9666D" w:rsidRPr="000C7C81">
        <w:t>’</w:t>
      </w:r>
      <w:r w:rsidRPr="000C7C81">
        <w:t>entrée en vigueur et les dispositions transitoires figurant au paragraphe 6 du même document, et</w:t>
      </w:r>
    </w:p>
    <w:p w14:paraId="6515CBE6" w14:textId="0D57C4C8" w:rsidR="00011C4E" w:rsidRPr="000C7C81" w:rsidRDefault="00011C4E" w:rsidP="00011C4E">
      <w:pPr>
        <w:pStyle w:val="ONUMFS"/>
        <w:numPr>
          <w:ilvl w:val="2"/>
          <w:numId w:val="9"/>
        </w:numPr>
      </w:pPr>
      <w:proofErr w:type="gramStart"/>
      <w:r w:rsidRPr="000C7C81">
        <w:t>a</w:t>
      </w:r>
      <w:proofErr w:type="gramEnd"/>
      <w:r w:rsidRPr="000C7C81">
        <w:t xml:space="preserve"> adopté les accords de principe qui figurent au paragraphe</w:t>
      </w:r>
      <w:r w:rsidR="00A44F45" w:rsidRPr="000C7C81">
        <w:t> </w:t>
      </w:r>
      <w:r w:rsidRPr="000C7C81">
        <w:t>7 du document PCT/A/51/2.</w:t>
      </w:r>
    </w:p>
    <w:p w14:paraId="6D19AFAB" w14:textId="77777777" w:rsidR="00011C4E" w:rsidRPr="000C7C81" w:rsidRDefault="00D42CDD" w:rsidP="00D42CDD">
      <w:pPr>
        <w:pStyle w:val="Heading4"/>
      </w:pPr>
      <w:r w:rsidRPr="000C7C81">
        <w:t>Examen des critères de réduction des taxes du PCT pour les déposants de certains pays</w:t>
      </w:r>
    </w:p>
    <w:p w14:paraId="63199617" w14:textId="77777777" w:rsidR="00011C4E" w:rsidRPr="000C7C81" w:rsidRDefault="00D42CDD" w:rsidP="00D42CDD">
      <w:pPr>
        <w:pStyle w:val="ONUMFS"/>
      </w:pPr>
      <w:r w:rsidRPr="000C7C81">
        <w:t>Les délibérations ont eu lieu sur la base du document</w:t>
      </w:r>
      <w:r w:rsidR="001403F6" w:rsidRPr="000C7C81">
        <w:t xml:space="preserve"> PCT/A/51/3.</w:t>
      </w:r>
    </w:p>
    <w:p w14:paraId="78D7896D" w14:textId="37EBF85B" w:rsidR="00011C4E" w:rsidRPr="000C7C81" w:rsidRDefault="00756412" w:rsidP="00D42CDD">
      <w:pPr>
        <w:pStyle w:val="ONUMFS"/>
      </w:pPr>
      <w:r w:rsidRPr="000C7C81">
        <w:t>Le Secrétariat a présenté le document en expliquant que</w:t>
      </w:r>
      <w:r w:rsidR="00982EAA" w:rsidRPr="000C7C81">
        <w:t>,</w:t>
      </w:r>
      <w:r w:rsidRPr="000C7C81">
        <w:t xml:space="preserve"> lors de sa quara</w:t>
      </w:r>
      <w:r w:rsidR="00982EAA" w:rsidRPr="000C7C81">
        <w:t>nte</w:t>
      </w:r>
      <w:r w:rsidR="00D770CA">
        <w:noBreakHyphen/>
      </w:r>
      <w:r w:rsidR="00982EAA" w:rsidRPr="000C7C81">
        <w:t>six</w:t>
      </w:r>
      <w:r w:rsidR="00A9666D" w:rsidRPr="000C7C81">
        <w:t>ième session</w:t>
      </w:r>
      <w:r w:rsidR="00982EAA" w:rsidRPr="000C7C81">
        <w:t xml:space="preserve"> </w:t>
      </w:r>
      <w:r w:rsidR="00A9666D" w:rsidRPr="000C7C81">
        <w:t>en 2014</w:t>
      </w:r>
      <w:r w:rsidR="00982EAA" w:rsidRPr="000C7C81">
        <w:t>, l</w:t>
      </w:r>
      <w:r w:rsidR="00A9666D" w:rsidRPr="000C7C81">
        <w:t>’</w:t>
      </w:r>
      <w:r w:rsidR="00982EAA" w:rsidRPr="000C7C81">
        <w:t>a</w:t>
      </w:r>
      <w:r w:rsidRPr="000C7C81">
        <w:t>ssemblée avait adopté des modifications du barème de</w:t>
      </w:r>
      <w:r w:rsidR="005471C4" w:rsidRPr="000C7C81">
        <w:t>s</w:t>
      </w:r>
      <w:r w:rsidRPr="000C7C81">
        <w:t xml:space="preserve"> taxes en ce qui concerne les critères d</w:t>
      </w:r>
      <w:r w:rsidR="00A9666D" w:rsidRPr="000C7C81">
        <w:t>’</w:t>
      </w:r>
      <w:r w:rsidRPr="000C7C81">
        <w:t>éligibilité à des réductions de certaines taxes</w:t>
      </w:r>
      <w:r w:rsidR="00A9666D" w:rsidRPr="000C7C81">
        <w:t xml:space="preserve"> du </w:t>
      </w:r>
      <w:r w:rsidR="00EB552D" w:rsidRPr="000C7C81">
        <w:t>PCT.  Le</w:t>
      </w:r>
      <w:r w:rsidRPr="000C7C81">
        <w:t xml:space="preserve"> barème de</w:t>
      </w:r>
      <w:r w:rsidR="005471C4" w:rsidRPr="000C7C81">
        <w:t>s</w:t>
      </w:r>
      <w:r w:rsidRPr="000C7C81">
        <w:t xml:space="preserve"> ta</w:t>
      </w:r>
      <w:r w:rsidR="00982EAA" w:rsidRPr="000C7C81">
        <w:t>xes ainsi modifié imposait à l</w:t>
      </w:r>
      <w:r w:rsidR="00A9666D" w:rsidRPr="000C7C81">
        <w:t>’</w:t>
      </w:r>
      <w:r w:rsidR="00982EAA" w:rsidRPr="000C7C81">
        <w:t>a</w:t>
      </w:r>
      <w:r w:rsidRPr="000C7C81">
        <w:t>ssemblée de réexaminer les critères au moins tous les cinq</w:t>
      </w:r>
      <w:r w:rsidR="00192012" w:rsidRPr="000C7C81">
        <w:t> </w:t>
      </w:r>
      <w:r w:rsidRPr="000C7C81">
        <w:t>a</w:t>
      </w:r>
      <w:r w:rsidR="00EB552D" w:rsidRPr="000C7C81">
        <w:t>ns.  Le</w:t>
      </w:r>
      <w:r w:rsidRPr="000C7C81">
        <w:t xml:space="preserve"> document fournissait des informations sur les critères d</w:t>
      </w:r>
      <w:r w:rsidR="00A9666D" w:rsidRPr="000C7C81">
        <w:t>’</w:t>
      </w:r>
      <w:r w:rsidRPr="000C7C81">
        <w:t>éligibilité à des réductions de taxes au titre du point 5 du barème de</w:t>
      </w:r>
      <w:r w:rsidR="005471C4" w:rsidRPr="000C7C81">
        <w:t>s</w:t>
      </w:r>
      <w:r w:rsidRPr="000C7C81">
        <w:t xml:space="preserve"> taxes</w:t>
      </w:r>
      <w:r w:rsidR="00890D0D" w:rsidRPr="000C7C81">
        <w:t xml:space="preserve">, </w:t>
      </w:r>
      <w:r w:rsidRPr="000C7C81">
        <w:t xml:space="preserve">le nombre de demandes ayant bénéficié de ces réductions de taxes et le nombre de demandes déposées par différentes catégories de déposants avant et après </w:t>
      </w:r>
      <w:r w:rsidR="00982EAA" w:rsidRPr="000C7C81">
        <w:t>le</w:t>
      </w:r>
      <w:r w:rsidR="00A9666D" w:rsidRPr="000C7C81">
        <w:t xml:space="preserve"> 1</w:t>
      </w:r>
      <w:r w:rsidR="00A9666D" w:rsidRPr="000C7C81">
        <w:rPr>
          <w:vertAlign w:val="superscript"/>
        </w:rPr>
        <w:t>er</w:t>
      </w:r>
      <w:r w:rsidR="00A9666D" w:rsidRPr="000C7C81">
        <w:t> </w:t>
      </w:r>
      <w:r w:rsidR="00982EAA" w:rsidRPr="000C7C81">
        <w:t>juillet 2015, date d</w:t>
      </w:r>
      <w:r w:rsidR="00A9666D" w:rsidRPr="000C7C81">
        <w:t>’</w:t>
      </w:r>
      <w:r w:rsidRPr="000C7C81">
        <w:t>entrée en vigueur des modifications des listes des États éligibl</w:t>
      </w:r>
      <w:r w:rsidR="00EB552D" w:rsidRPr="000C7C81">
        <w:t>es.  Le</w:t>
      </w:r>
      <w:r w:rsidRPr="000C7C81">
        <w:t xml:space="preserve"> Groupe de travail</w:t>
      </w:r>
      <w:r w:rsidR="00A9666D" w:rsidRPr="000C7C81">
        <w:t xml:space="preserve"> du PCT</w:t>
      </w:r>
      <w:r w:rsidRPr="000C7C81">
        <w:t xml:space="preserve"> avait </w:t>
      </w:r>
      <w:r w:rsidR="005471C4" w:rsidRPr="000C7C81">
        <w:t>débattu des informations contenues dans le document et avait unanimement recommandé à l</w:t>
      </w:r>
      <w:r w:rsidR="00A9666D" w:rsidRPr="000C7C81">
        <w:t>’</w:t>
      </w:r>
      <w:r w:rsidR="00982EAA" w:rsidRPr="000C7C81">
        <w:t>a</w:t>
      </w:r>
      <w:r w:rsidR="005471C4" w:rsidRPr="000C7C81">
        <w:t>ssemblée de maintenir les critères en l</w:t>
      </w:r>
      <w:r w:rsidR="00A9666D" w:rsidRPr="000C7C81">
        <w:t>’</w:t>
      </w:r>
      <w:r w:rsidR="005471C4" w:rsidRPr="000C7C81">
        <w:t>état et de les réexaminer dans cinq</w:t>
      </w:r>
      <w:r w:rsidR="00192012" w:rsidRPr="000C7C81">
        <w:t> </w:t>
      </w:r>
      <w:r w:rsidR="005471C4" w:rsidRPr="000C7C81">
        <w:t>a</w:t>
      </w:r>
      <w:r w:rsidR="00EB552D" w:rsidRPr="000C7C81">
        <w:t>ns.  Le</w:t>
      </w:r>
      <w:r w:rsidR="005471C4" w:rsidRPr="000C7C81">
        <w:t xml:space="preserve"> document invitait l</w:t>
      </w:r>
      <w:r w:rsidR="00A9666D" w:rsidRPr="000C7C81">
        <w:t>’</w:t>
      </w:r>
      <w:r w:rsidR="00982EAA" w:rsidRPr="000C7C81">
        <w:t>a</w:t>
      </w:r>
      <w:r w:rsidR="005471C4" w:rsidRPr="000C7C81">
        <w:t>ssemblée à réexaminer les critères et à suivre la recommandation du groupe de travail.</w:t>
      </w:r>
    </w:p>
    <w:p w14:paraId="07D99BE9" w14:textId="36D8601D" w:rsidR="00011C4E" w:rsidRPr="000C7C81" w:rsidRDefault="00D42CDD" w:rsidP="000C7C81">
      <w:pPr>
        <w:pStyle w:val="ONUMFS"/>
        <w:keepNext/>
        <w:ind w:left="567"/>
      </w:pPr>
      <w:r w:rsidRPr="000C7C81">
        <w:lastRenderedPageBreak/>
        <w:t>L</w:t>
      </w:r>
      <w:r w:rsidR="00A9666D" w:rsidRPr="000C7C81">
        <w:t>’</w:t>
      </w:r>
      <w:r w:rsidRPr="000C7C81">
        <w:t>Assemblée de l</w:t>
      </w:r>
      <w:r w:rsidR="00A9666D" w:rsidRPr="000C7C81">
        <w:t>’</w:t>
      </w:r>
      <w:r w:rsidRPr="000C7C81">
        <w:t>Union du PCT</w:t>
      </w:r>
    </w:p>
    <w:p w14:paraId="03498DDE" w14:textId="06E998F3" w:rsidR="00011C4E" w:rsidRPr="000C7C81" w:rsidRDefault="00011C4E" w:rsidP="00011C4E">
      <w:pPr>
        <w:pStyle w:val="ONUMFS"/>
        <w:numPr>
          <w:ilvl w:val="2"/>
          <w:numId w:val="9"/>
        </w:numPr>
      </w:pPr>
      <w:proofErr w:type="gramStart"/>
      <w:r w:rsidRPr="000C7C81">
        <w:t>s</w:t>
      </w:r>
      <w:r w:rsidR="00A9666D" w:rsidRPr="000C7C81">
        <w:t>’</w:t>
      </w:r>
      <w:r w:rsidRPr="000C7C81">
        <w:t>est</w:t>
      </w:r>
      <w:proofErr w:type="gramEnd"/>
      <w:r w:rsidRPr="000C7C81">
        <w:t xml:space="preserve"> prononcé</w:t>
      </w:r>
      <w:r w:rsidR="00982EAA" w:rsidRPr="000C7C81">
        <w:t>e</w:t>
      </w:r>
      <w:r w:rsidRPr="000C7C81">
        <w:t>, après réexamen des critères énoncés au point</w:t>
      </w:r>
      <w:r w:rsidR="00A44F45" w:rsidRPr="000C7C81">
        <w:t> </w:t>
      </w:r>
      <w:r w:rsidRPr="000C7C81">
        <w:t>5 du barème des taxes</w:t>
      </w:r>
      <w:r w:rsidR="00A9666D" w:rsidRPr="000C7C81">
        <w:t xml:space="preserve"> du PCT</w:t>
      </w:r>
      <w:r w:rsidRPr="000C7C81">
        <w:t>, sur le maintien de ces critères;  et</w:t>
      </w:r>
    </w:p>
    <w:p w14:paraId="63FA1873" w14:textId="4362B2E7" w:rsidR="00011C4E" w:rsidRPr="000C7C81" w:rsidRDefault="00011C4E" w:rsidP="00011C4E">
      <w:pPr>
        <w:pStyle w:val="ONUMFS"/>
        <w:numPr>
          <w:ilvl w:val="2"/>
          <w:numId w:val="9"/>
        </w:numPr>
      </w:pPr>
      <w:proofErr w:type="gramStart"/>
      <w:r w:rsidRPr="000C7C81">
        <w:t>a</w:t>
      </w:r>
      <w:proofErr w:type="gramEnd"/>
      <w:r w:rsidRPr="000C7C81">
        <w:t xml:space="preserve"> décidé que ces critères seront réexaminés par l</w:t>
      </w:r>
      <w:r w:rsidR="00A9666D" w:rsidRPr="000C7C81">
        <w:t>’</w:t>
      </w:r>
      <w:r w:rsidRPr="000C7C81">
        <w:t>assemblée dans cinq</w:t>
      </w:r>
      <w:r w:rsidR="00192012" w:rsidRPr="000C7C81">
        <w:t> </w:t>
      </w:r>
      <w:r w:rsidRPr="000C7C81">
        <w:t>ans, comme l</w:t>
      </w:r>
      <w:r w:rsidR="00A9666D" w:rsidRPr="000C7C81">
        <w:t>’</w:t>
      </w:r>
      <w:r w:rsidRPr="000C7C81">
        <w:t>exige le barème.</w:t>
      </w:r>
    </w:p>
    <w:p w14:paraId="0C88EAEB" w14:textId="77777777" w:rsidR="00011C4E" w:rsidRPr="000C7C81" w:rsidRDefault="00113519" w:rsidP="00D42CDD">
      <w:pPr>
        <w:pStyle w:val="Endofdocument-Annex"/>
      </w:pPr>
      <w:r w:rsidRPr="000C7C81">
        <w:t>[</w:t>
      </w:r>
      <w:r w:rsidR="00D42CDD" w:rsidRPr="000C7C81">
        <w:t>Fin du</w:t>
      </w:r>
      <w:r w:rsidRPr="000C7C81">
        <w:t xml:space="preserve"> document]</w:t>
      </w:r>
    </w:p>
    <w:sectPr w:rsidR="00011C4E" w:rsidRPr="000C7C81" w:rsidSect="00564D3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42B65" w14:textId="77777777" w:rsidR="002C7AE0" w:rsidRDefault="002C7AE0">
      <w:r>
        <w:separator/>
      </w:r>
    </w:p>
  </w:endnote>
  <w:endnote w:type="continuationSeparator" w:id="0">
    <w:p w14:paraId="3D98A770" w14:textId="77777777" w:rsidR="002C7AE0" w:rsidRDefault="002C7AE0" w:rsidP="003B38C1">
      <w:r>
        <w:separator/>
      </w:r>
    </w:p>
    <w:p w14:paraId="245C4822" w14:textId="77777777" w:rsidR="002C7AE0" w:rsidRPr="003B38C1" w:rsidRDefault="002C7AE0"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14:paraId="7E754EBD" w14:textId="77777777" w:rsidR="002C7AE0" w:rsidRPr="003B38C1" w:rsidRDefault="002C7AE0"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CE80" w14:textId="77777777" w:rsidR="002C7AE0" w:rsidRDefault="002C7AE0">
      <w:r>
        <w:separator/>
      </w:r>
    </w:p>
  </w:footnote>
  <w:footnote w:type="continuationSeparator" w:id="0">
    <w:p w14:paraId="27811EC4" w14:textId="77777777" w:rsidR="002C7AE0" w:rsidRDefault="002C7AE0" w:rsidP="008B60B2">
      <w:r>
        <w:separator/>
      </w:r>
    </w:p>
    <w:p w14:paraId="1F860B1D" w14:textId="77777777" w:rsidR="002C7AE0" w:rsidRPr="00ED77FB" w:rsidRDefault="002C7AE0"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14:paraId="66190498" w14:textId="77777777" w:rsidR="002C7AE0" w:rsidRPr="00ED77FB" w:rsidRDefault="002C7AE0"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A94CF" w14:textId="4AA0FC03" w:rsidR="00756412" w:rsidRDefault="00756412" w:rsidP="00477D6B">
    <w:pPr>
      <w:jc w:val="right"/>
    </w:pPr>
    <w:bookmarkStart w:id="6" w:name="Code2"/>
    <w:bookmarkEnd w:id="6"/>
    <w:r>
      <w:t>PCT/A/51/4</w:t>
    </w:r>
  </w:p>
  <w:p w14:paraId="678B904E" w14:textId="649D050C" w:rsidR="00756412" w:rsidRDefault="00756412" w:rsidP="00477D6B">
    <w:pPr>
      <w:jc w:val="right"/>
    </w:pPr>
    <w:r>
      <w:t xml:space="preserve">page </w:t>
    </w:r>
    <w:r>
      <w:fldChar w:fldCharType="begin"/>
    </w:r>
    <w:r>
      <w:instrText xml:space="preserve"> PAGE  \* MERGEFORMAT </w:instrText>
    </w:r>
    <w:r>
      <w:fldChar w:fldCharType="separate"/>
    </w:r>
    <w:r w:rsidR="00E52C02">
      <w:rPr>
        <w:noProof/>
      </w:rPr>
      <w:t>6</w:t>
    </w:r>
    <w:r>
      <w:fldChar w:fldCharType="end"/>
    </w:r>
  </w:p>
  <w:p w14:paraId="702BE8A2" w14:textId="77777777" w:rsidR="00756412" w:rsidRDefault="00756412" w:rsidP="00477D6B">
    <w:pPr>
      <w:jc w:val="right"/>
    </w:pPr>
  </w:p>
  <w:p w14:paraId="5F88890F" w14:textId="77777777" w:rsidR="00756412" w:rsidRDefault="0075641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GRTKF\GRTKF|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564D3A"/>
    <w:rsid w:val="000038B8"/>
    <w:rsid w:val="00011C4E"/>
    <w:rsid w:val="00014669"/>
    <w:rsid w:val="00027B00"/>
    <w:rsid w:val="0004144B"/>
    <w:rsid w:val="00043CAA"/>
    <w:rsid w:val="00052A17"/>
    <w:rsid w:val="0006223C"/>
    <w:rsid w:val="00073F36"/>
    <w:rsid w:val="00075432"/>
    <w:rsid w:val="000765C4"/>
    <w:rsid w:val="000960F2"/>
    <w:rsid w:val="000968ED"/>
    <w:rsid w:val="000A157B"/>
    <w:rsid w:val="000A7AB4"/>
    <w:rsid w:val="000C117A"/>
    <w:rsid w:val="000C7C81"/>
    <w:rsid w:val="000D65A0"/>
    <w:rsid w:val="000E6FDE"/>
    <w:rsid w:val="000F5E56"/>
    <w:rsid w:val="0010331B"/>
    <w:rsid w:val="00106FA5"/>
    <w:rsid w:val="00113519"/>
    <w:rsid w:val="0011780E"/>
    <w:rsid w:val="001362EE"/>
    <w:rsid w:val="001403F6"/>
    <w:rsid w:val="00150814"/>
    <w:rsid w:val="00156693"/>
    <w:rsid w:val="001647D5"/>
    <w:rsid w:val="0017131D"/>
    <w:rsid w:val="001715BA"/>
    <w:rsid w:val="001832A6"/>
    <w:rsid w:val="00192012"/>
    <w:rsid w:val="001C59D4"/>
    <w:rsid w:val="001E4E00"/>
    <w:rsid w:val="002074FB"/>
    <w:rsid w:val="0021217E"/>
    <w:rsid w:val="002213A6"/>
    <w:rsid w:val="0026201A"/>
    <w:rsid w:val="002634C4"/>
    <w:rsid w:val="00265437"/>
    <w:rsid w:val="002928D3"/>
    <w:rsid w:val="002B466C"/>
    <w:rsid w:val="002B6CC1"/>
    <w:rsid w:val="002C7AE0"/>
    <w:rsid w:val="002F1FE6"/>
    <w:rsid w:val="002F4E68"/>
    <w:rsid w:val="00312F7F"/>
    <w:rsid w:val="003178BA"/>
    <w:rsid w:val="00330B5E"/>
    <w:rsid w:val="00350AE2"/>
    <w:rsid w:val="00361450"/>
    <w:rsid w:val="00365A61"/>
    <w:rsid w:val="003673CF"/>
    <w:rsid w:val="00377FDC"/>
    <w:rsid w:val="003845C1"/>
    <w:rsid w:val="00385E6F"/>
    <w:rsid w:val="00397E74"/>
    <w:rsid w:val="003A2E03"/>
    <w:rsid w:val="003A6F89"/>
    <w:rsid w:val="003B38C1"/>
    <w:rsid w:val="003B62A1"/>
    <w:rsid w:val="003D2030"/>
    <w:rsid w:val="003D57B0"/>
    <w:rsid w:val="00415DF6"/>
    <w:rsid w:val="00421224"/>
    <w:rsid w:val="00423E3E"/>
    <w:rsid w:val="00427AF4"/>
    <w:rsid w:val="00431ECF"/>
    <w:rsid w:val="004500E7"/>
    <w:rsid w:val="004647DA"/>
    <w:rsid w:val="004729DF"/>
    <w:rsid w:val="00474062"/>
    <w:rsid w:val="00476D05"/>
    <w:rsid w:val="00477D6B"/>
    <w:rsid w:val="004E1752"/>
    <w:rsid w:val="0050037D"/>
    <w:rsid w:val="005019FF"/>
    <w:rsid w:val="00517ADF"/>
    <w:rsid w:val="00524C6A"/>
    <w:rsid w:val="005250C3"/>
    <w:rsid w:val="0053057A"/>
    <w:rsid w:val="005471C4"/>
    <w:rsid w:val="00560A29"/>
    <w:rsid w:val="00564D3A"/>
    <w:rsid w:val="00586A22"/>
    <w:rsid w:val="00597527"/>
    <w:rsid w:val="005A40B7"/>
    <w:rsid w:val="005B6BD5"/>
    <w:rsid w:val="005C26D4"/>
    <w:rsid w:val="005C6649"/>
    <w:rsid w:val="006001B6"/>
    <w:rsid w:val="00605827"/>
    <w:rsid w:val="006173E5"/>
    <w:rsid w:val="00646050"/>
    <w:rsid w:val="00670963"/>
    <w:rsid w:val="006713CA"/>
    <w:rsid w:val="00676C5C"/>
    <w:rsid w:val="00686237"/>
    <w:rsid w:val="006E4F5F"/>
    <w:rsid w:val="00747216"/>
    <w:rsid w:val="00756412"/>
    <w:rsid w:val="00765AC9"/>
    <w:rsid w:val="00780448"/>
    <w:rsid w:val="00787C15"/>
    <w:rsid w:val="00793BAA"/>
    <w:rsid w:val="007A66F6"/>
    <w:rsid w:val="007D1613"/>
    <w:rsid w:val="007E4C0E"/>
    <w:rsid w:val="00821B19"/>
    <w:rsid w:val="008267FB"/>
    <w:rsid w:val="008319C2"/>
    <w:rsid w:val="00855661"/>
    <w:rsid w:val="00860537"/>
    <w:rsid w:val="00877718"/>
    <w:rsid w:val="00883417"/>
    <w:rsid w:val="00890D0D"/>
    <w:rsid w:val="00897D1E"/>
    <w:rsid w:val="008A134B"/>
    <w:rsid w:val="008B2CC1"/>
    <w:rsid w:val="008B60B2"/>
    <w:rsid w:val="008E6F20"/>
    <w:rsid w:val="008F697E"/>
    <w:rsid w:val="0090731E"/>
    <w:rsid w:val="00916EE2"/>
    <w:rsid w:val="0094600B"/>
    <w:rsid w:val="00966A22"/>
    <w:rsid w:val="0096722F"/>
    <w:rsid w:val="00980843"/>
    <w:rsid w:val="00982EAA"/>
    <w:rsid w:val="009A7B7A"/>
    <w:rsid w:val="009B6777"/>
    <w:rsid w:val="009C127D"/>
    <w:rsid w:val="009D3DE1"/>
    <w:rsid w:val="009E2791"/>
    <w:rsid w:val="009E3F6F"/>
    <w:rsid w:val="009E7237"/>
    <w:rsid w:val="009F236D"/>
    <w:rsid w:val="009F499F"/>
    <w:rsid w:val="009F78AD"/>
    <w:rsid w:val="009F7DB0"/>
    <w:rsid w:val="00A14364"/>
    <w:rsid w:val="00A25C3C"/>
    <w:rsid w:val="00A3049C"/>
    <w:rsid w:val="00A37342"/>
    <w:rsid w:val="00A42DAF"/>
    <w:rsid w:val="00A44F45"/>
    <w:rsid w:val="00A45BD8"/>
    <w:rsid w:val="00A54120"/>
    <w:rsid w:val="00A663AE"/>
    <w:rsid w:val="00A869B7"/>
    <w:rsid w:val="00A9666D"/>
    <w:rsid w:val="00AA2DD4"/>
    <w:rsid w:val="00AB4EBB"/>
    <w:rsid w:val="00AC205C"/>
    <w:rsid w:val="00AC4EBD"/>
    <w:rsid w:val="00AF0A6B"/>
    <w:rsid w:val="00B05A69"/>
    <w:rsid w:val="00B72EA2"/>
    <w:rsid w:val="00B764FF"/>
    <w:rsid w:val="00B9734B"/>
    <w:rsid w:val="00BA30E2"/>
    <w:rsid w:val="00BB3A8F"/>
    <w:rsid w:val="00C11BFE"/>
    <w:rsid w:val="00C5068F"/>
    <w:rsid w:val="00C86D74"/>
    <w:rsid w:val="00CC36FD"/>
    <w:rsid w:val="00CD04F1"/>
    <w:rsid w:val="00CD7F59"/>
    <w:rsid w:val="00CE5CD8"/>
    <w:rsid w:val="00CF1505"/>
    <w:rsid w:val="00D37A33"/>
    <w:rsid w:val="00D42CDD"/>
    <w:rsid w:val="00D44A0B"/>
    <w:rsid w:val="00D45252"/>
    <w:rsid w:val="00D56B51"/>
    <w:rsid w:val="00D66E37"/>
    <w:rsid w:val="00D71B4D"/>
    <w:rsid w:val="00D73000"/>
    <w:rsid w:val="00D770CA"/>
    <w:rsid w:val="00D93D55"/>
    <w:rsid w:val="00DA0F85"/>
    <w:rsid w:val="00DA327B"/>
    <w:rsid w:val="00DA6FAA"/>
    <w:rsid w:val="00DB7BFF"/>
    <w:rsid w:val="00DC0E7C"/>
    <w:rsid w:val="00DC7057"/>
    <w:rsid w:val="00DF023A"/>
    <w:rsid w:val="00DF383E"/>
    <w:rsid w:val="00E05231"/>
    <w:rsid w:val="00E15015"/>
    <w:rsid w:val="00E335FE"/>
    <w:rsid w:val="00E52C02"/>
    <w:rsid w:val="00E5566B"/>
    <w:rsid w:val="00E85557"/>
    <w:rsid w:val="00E9608E"/>
    <w:rsid w:val="00EA7D6E"/>
    <w:rsid w:val="00EB2210"/>
    <w:rsid w:val="00EB552D"/>
    <w:rsid w:val="00EC4E49"/>
    <w:rsid w:val="00EC6576"/>
    <w:rsid w:val="00ED5CF9"/>
    <w:rsid w:val="00ED77FB"/>
    <w:rsid w:val="00EE0DD8"/>
    <w:rsid w:val="00EE25EB"/>
    <w:rsid w:val="00EE45FA"/>
    <w:rsid w:val="00F021D8"/>
    <w:rsid w:val="00F13CF0"/>
    <w:rsid w:val="00F15557"/>
    <w:rsid w:val="00F41C06"/>
    <w:rsid w:val="00F441EB"/>
    <w:rsid w:val="00F519CA"/>
    <w:rsid w:val="00F536D8"/>
    <w:rsid w:val="00F66152"/>
    <w:rsid w:val="00F74BCA"/>
    <w:rsid w:val="00FD53CC"/>
    <w:rsid w:val="00FF36A9"/>
    <w:rsid w:val="00FF492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28BDD0"/>
  <w15:docId w15:val="{1A09A3AB-EC8D-46E5-AD4E-5B4B4364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F2"/>
    <w:rPr>
      <w:rFonts w:ascii="Arial" w:eastAsia="SimSun" w:hAnsi="Arial" w:cs="Arial"/>
      <w:sz w:val="22"/>
      <w:lang w:val="fr-FR" w:eastAsia="zh-CN"/>
    </w:rPr>
  </w:style>
  <w:style w:type="paragraph" w:styleId="Heading1">
    <w:name w:val="heading 1"/>
    <w:basedOn w:val="Normal"/>
    <w:next w:val="Normal"/>
    <w:link w:val="Heading1Char"/>
    <w:autoRedefine/>
    <w:qFormat/>
    <w:rsid w:val="000960F2"/>
    <w:pPr>
      <w:keepNext/>
      <w:spacing w:after="600"/>
      <w:outlineLvl w:val="0"/>
    </w:pPr>
    <w:rPr>
      <w:b/>
      <w:bCs/>
      <w:kern w:val="32"/>
      <w:sz w:val="28"/>
      <w:szCs w:val="32"/>
    </w:rPr>
  </w:style>
  <w:style w:type="paragraph" w:styleId="Heading2">
    <w:name w:val="heading 2"/>
    <w:basedOn w:val="Normal"/>
    <w:next w:val="Normal"/>
    <w:qFormat/>
    <w:rsid w:val="000960F2"/>
    <w:pPr>
      <w:keepNext/>
      <w:spacing w:before="240" w:after="280"/>
      <w:outlineLvl w:val="1"/>
    </w:pPr>
    <w:rPr>
      <w:bCs/>
      <w:iCs/>
      <w:caps/>
      <w:szCs w:val="28"/>
    </w:rPr>
  </w:style>
  <w:style w:type="paragraph" w:styleId="Heading3">
    <w:name w:val="heading 3"/>
    <w:basedOn w:val="Normal"/>
    <w:next w:val="Normal"/>
    <w:link w:val="Heading3Char"/>
    <w:qFormat/>
    <w:rsid w:val="000960F2"/>
    <w:pPr>
      <w:keepNext/>
      <w:spacing w:before="240" w:after="280"/>
      <w:outlineLvl w:val="2"/>
    </w:pPr>
    <w:rPr>
      <w:bCs/>
      <w:caps/>
      <w:szCs w:val="26"/>
    </w:rPr>
  </w:style>
  <w:style w:type="paragraph" w:styleId="Heading4">
    <w:name w:val="heading 4"/>
    <w:basedOn w:val="Normal"/>
    <w:next w:val="Normal"/>
    <w:link w:val="Heading4Char"/>
    <w:qFormat/>
    <w:rsid w:val="00D42CDD"/>
    <w:pPr>
      <w:keepNext/>
      <w:spacing w:before="240" w:after="28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0960F2"/>
    <w:pPr>
      <w:spacing w:before="720"/>
      <w:ind w:left="5534"/>
    </w:pPr>
  </w:style>
  <w:style w:type="paragraph" w:styleId="BodyText">
    <w:name w:val="Body Text"/>
    <w:basedOn w:val="Normal"/>
    <w:link w:val="BodyTextChar"/>
    <w:rsid w:val="000960F2"/>
    <w:pPr>
      <w:spacing w:after="220"/>
    </w:pPr>
  </w:style>
  <w:style w:type="paragraph" w:styleId="Caption">
    <w:name w:val="caption"/>
    <w:basedOn w:val="Normal"/>
    <w:next w:val="Normal"/>
    <w:qFormat/>
    <w:rsid w:val="000960F2"/>
    <w:rPr>
      <w:b/>
      <w:bCs/>
      <w:sz w:val="18"/>
    </w:rPr>
  </w:style>
  <w:style w:type="paragraph" w:styleId="CommentText">
    <w:name w:val="annotation text"/>
    <w:basedOn w:val="Normal"/>
    <w:link w:val="CommentTextChar"/>
    <w:semiHidden/>
    <w:rsid w:val="000960F2"/>
    <w:rPr>
      <w:sz w:val="18"/>
    </w:rPr>
  </w:style>
  <w:style w:type="paragraph" w:styleId="EndnoteText">
    <w:name w:val="endnote text"/>
    <w:basedOn w:val="Normal"/>
    <w:semiHidden/>
    <w:rsid w:val="000960F2"/>
    <w:rPr>
      <w:sz w:val="18"/>
    </w:rPr>
  </w:style>
  <w:style w:type="paragraph" w:styleId="Footer">
    <w:name w:val="footer"/>
    <w:basedOn w:val="Normal"/>
    <w:semiHidden/>
    <w:rsid w:val="000960F2"/>
    <w:pPr>
      <w:tabs>
        <w:tab w:val="center" w:pos="4320"/>
        <w:tab w:val="right" w:pos="8640"/>
      </w:tabs>
    </w:pPr>
  </w:style>
  <w:style w:type="paragraph" w:styleId="FootnoteText">
    <w:name w:val="footnote text"/>
    <w:basedOn w:val="Normal"/>
    <w:semiHidden/>
    <w:rsid w:val="000960F2"/>
    <w:rPr>
      <w:sz w:val="18"/>
    </w:rPr>
  </w:style>
  <w:style w:type="paragraph" w:styleId="Header">
    <w:name w:val="header"/>
    <w:basedOn w:val="Normal"/>
    <w:semiHidden/>
    <w:rsid w:val="000960F2"/>
    <w:pPr>
      <w:tabs>
        <w:tab w:val="center" w:pos="4536"/>
        <w:tab w:val="right" w:pos="9072"/>
      </w:tabs>
    </w:pPr>
  </w:style>
  <w:style w:type="paragraph" w:styleId="ListNumber">
    <w:name w:val="List Number"/>
    <w:basedOn w:val="Normal"/>
    <w:semiHidden/>
    <w:rsid w:val="000960F2"/>
    <w:pPr>
      <w:numPr>
        <w:numId w:val="7"/>
      </w:numPr>
    </w:pPr>
  </w:style>
  <w:style w:type="paragraph" w:customStyle="1" w:styleId="ONUME">
    <w:name w:val="ONUM E"/>
    <w:basedOn w:val="BodyText"/>
    <w:link w:val="ONUMEChar"/>
    <w:rsid w:val="000960F2"/>
    <w:pPr>
      <w:numPr>
        <w:numId w:val="8"/>
      </w:numPr>
    </w:pPr>
  </w:style>
  <w:style w:type="paragraph" w:customStyle="1" w:styleId="ONUMFS">
    <w:name w:val="ONUM FS"/>
    <w:basedOn w:val="BodyText"/>
    <w:rsid w:val="000960F2"/>
    <w:pPr>
      <w:numPr>
        <w:numId w:val="9"/>
      </w:numPr>
    </w:pPr>
  </w:style>
  <w:style w:type="paragraph" w:styleId="Salutation">
    <w:name w:val="Salutation"/>
    <w:basedOn w:val="Normal"/>
    <w:next w:val="Normal"/>
    <w:semiHidden/>
    <w:rsid w:val="000960F2"/>
  </w:style>
  <w:style w:type="paragraph" w:styleId="Signature">
    <w:name w:val="Signature"/>
    <w:basedOn w:val="Normal"/>
    <w:semiHidden/>
    <w:rsid w:val="000960F2"/>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basedOn w:val="DefaultParagraphFont"/>
    <w:link w:val="ONUME"/>
    <w:locked/>
    <w:rsid w:val="001403F6"/>
    <w:rPr>
      <w:rFonts w:ascii="Arial" w:eastAsia="SimSun" w:hAnsi="Arial" w:cs="Arial"/>
      <w:sz w:val="22"/>
      <w:lang w:val="fr-FR" w:eastAsia="zh-CN"/>
    </w:rPr>
  </w:style>
  <w:style w:type="character" w:styleId="CommentReference">
    <w:name w:val="annotation reference"/>
    <w:basedOn w:val="DefaultParagraphFont"/>
    <w:semiHidden/>
    <w:unhideWhenUsed/>
    <w:rsid w:val="000D65A0"/>
    <w:rPr>
      <w:sz w:val="16"/>
      <w:szCs w:val="16"/>
    </w:rPr>
  </w:style>
  <w:style w:type="paragraph" w:styleId="CommentSubject">
    <w:name w:val="annotation subject"/>
    <w:basedOn w:val="CommentText"/>
    <w:next w:val="CommentText"/>
    <w:link w:val="CommentSubjectChar"/>
    <w:semiHidden/>
    <w:unhideWhenUsed/>
    <w:rsid w:val="000D65A0"/>
    <w:rPr>
      <w:b/>
      <w:bCs/>
      <w:sz w:val="20"/>
    </w:rPr>
  </w:style>
  <w:style w:type="character" w:customStyle="1" w:styleId="CommentTextChar">
    <w:name w:val="Comment Text Char"/>
    <w:basedOn w:val="DefaultParagraphFont"/>
    <w:link w:val="CommentText"/>
    <w:semiHidden/>
    <w:rsid w:val="000D65A0"/>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0D65A0"/>
    <w:rPr>
      <w:rFonts w:ascii="Arial" w:eastAsia="SimSun" w:hAnsi="Arial" w:cs="Arial"/>
      <w:b/>
      <w:bCs/>
      <w:sz w:val="18"/>
      <w:lang w:val="en-US" w:eastAsia="zh-CN"/>
    </w:rPr>
  </w:style>
  <w:style w:type="character" w:customStyle="1" w:styleId="Heading1Char">
    <w:name w:val="Heading 1 Char"/>
    <w:basedOn w:val="DefaultParagraphFont"/>
    <w:link w:val="Heading1"/>
    <w:rsid w:val="000960F2"/>
    <w:rPr>
      <w:rFonts w:ascii="Arial" w:eastAsia="SimSun" w:hAnsi="Arial" w:cs="Arial"/>
      <w:b/>
      <w:bCs/>
      <w:kern w:val="32"/>
      <w:sz w:val="28"/>
      <w:szCs w:val="32"/>
      <w:lang w:val="fr-FR" w:eastAsia="zh-CN"/>
    </w:rPr>
  </w:style>
  <w:style w:type="character" w:customStyle="1" w:styleId="BodyTextChar">
    <w:name w:val="Body Text Char"/>
    <w:basedOn w:val="DefaultParagraphFont"/>
    <w:link w:val="BodyText"/>
    <w:rsid w:val="000960F2"/>
    <w:rPr>
      <w:rFonts w:ascii="Arial" w:eastAsia="SimSun" w:hAnsi="Arial" w:cs="Arial"/>
      <w:sz w:val="22"/>
      <w:lang w:val="fr-FR" w:eastAsia="zh-CN"/>
    </w:rPr>
  </w:style>
  <w:style w:type="paragraph" w:styleId="ListParagraph">
    <w:name w:val="List Paragraph"/>
    <w:basedOn w:val="Normal"/>
    <w:uiPriority w:val="34"/>
    <w:qFormat/>
    <w:rsid w:val="000960F2"/>
    <w:pPr>
      <w:ind w:left="720"/>
      <w:contextualSpacing/>
    </w:pPr>
    <w:rPr>
      <w:lang w:val="fr-CH"/>
    </w:rPr>
  </w:style>
  <w:style w:type="character" w:customStyle="1" w:styleId="Heading3Char">
    <w:name w:val="Heading 3 Char"/>
    <w:basedOn w:val="DefaultParagraphFont"/>
    <w:link w:val="Heading3"/>
    <w:rsid w:val="00D42CDD"/>
    <w:rPr>
      <w:rFonts w:ascii="Arial" w:eastAsia="SimSun" w:hAnsi="Arial" w:cs="Arial"/>
      <w:bCs/>
      <w:caps/>
      <w:sz w:val="22"/>
      <w:szCs w:val="26"/>
      <w:lang w:val="fr-FR" w:eastAsia="zh-CN"/>
    </w:rPr>
  </w:style>
  <w:style w:type="character" w:customStyle="1" w:styleId="Heading4Char">
    <w:name w:val="Heading 4 Char"/>
    <w:basedOn w:val="DefaultParagraphFont"/>
    <w:link w:val="Heading4"/>
    <w:rsid w:val="00D42CDD"/>
    <w:rPr>
      <w:rFonts w:ascii="Arial" w:eastAsia="SimSun" w:hAnsi="Arial" w:cs="Arial"/>
      <w:bCs/>
      <w:sz w:val="22"/>
      <w:szCs w:val="28"/>
      <w:u w:val="single"/>
      <w:lang w:val="fr-FR" w:eastAsia="zh-CN"/>
    </w:rPr>
  </w:style>
  <w:style w:type="character" w:styleId="Hyperlink">
    <w:name w:val="Hyperlink"/>
    <w:basedOn w:val="DefaultParagraphFont"/>
    <w:semiHidden/>
    <w:unhideWhenUsed/>
    <w:rsid w:val="00EB5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86FF-7260-4839-8D36-664BBE82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6</Pages>
  <Words>2738</Words>
  <Characters>15093</Characters>
  <Application>Microsoft Office Word</Application>
  <DocSecurity>0</DocSecurity>
  <Lines>220</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PCT/A/51/4 Prov.</vt:lpstr>
      <vt:lpstr>PCT/A/51/4 Prov.</vt:lpstr>
    </vt:vector>
  </TitlesOfParts>
  <Company>WIPO</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PCT/A/51/4 Prov.</dc:title>
  <dc:subject>Fifty-Ninth Series of Meetings</dc:subject>
  <dc:creator>MARLOW Thomas</dc:creator>
  <cp:keywords>PUBLIC</cp:keywords>
  <cp:lastModifiedBy>HÄFLIGER Patience</cp:lastModifiedBy>
  <cp:revision>15</cp:revision>
  <cp:lastPrinted>2019-10-13T17:06:00Z</cp:lastPrinted>
  <dcterms:created xsi:type="dcterms:W3CDTF">2019-10-08T14:44:00Z</dcterms:created>
  <dcterms:modified xsi:type="dcterms:W3CDTF">2019-12-09T15:55:00Z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7e78e535-b0b0-4ea1-8e03-57eef9d54c94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